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053" w:rsidRPr="00403C8F" w:rsidRDefault="00DC4053" w:rsidP="00DC4053">
      <w:pPr>
        <w:suppressAutoHyphens/>
        <w:autoSpaceDE w:val="0"/>
        <w:autoSpaceDN w:val="0"/>
        <w:adjustRightInd w:val="0"/>
        <w:spacing w:after="283" w:line="160" w:lineRule="atLeast"/>
        <w:textAlignment w:val="center"/>
        <w:rPr>
          <w:rFonts w:ascii="David"/>
          <w:b/>
          <w:bCs/>
          <w:sz w:val="40"/>
          <w:szCs w:val="40"/>
        </w:rPr>
      </w:pPr>
      <w:bookmarkStart w:id="0" w:name="_GoBack"/>
      <w:bookmarkEnd w:id="0"/>
      <w:r w:rsidRPr="00403C8F">
        <w:rPr>
          <w:rFonts w:ascii="David" w:hint="eastAsia"/>
          <w:b/>
          <w:bCs/>
          <w:sz w:val="40"/>
          <w:szCs w:val="40"/>
          <w:rtl/>
        </w:rPr>
        <w:t>ת</w:t>
      </w:r>
      <w:r>
        <w:rPr>
          <w:rFonts w:ascii="David" w:hint="cs"/>
          <w:b/>
          <w:bCs/>
          <w:sz w:val="40"/>
          <w:szCs w:val="40"/>
          <w:rtl/>
        </w:rPr>
        <w:t>ו</w:t>
      </w:r>
      <w:r w:rsidRPr="00403C8F">
        <w:rPr>
          <w:rFonts w:ascii="David" w:hint="eastAsia"/>
          <w:b/>
          <w:bCs/>
          <w:sz w:val="40"/>
          <w:szCs w:val="40"/>
          <w:rtl/>
        </w:rPr>
        <w:t>כנית</w:t>
      </w:r>
      <w:r w:rsidRPr="00403C8F">
        <w:rPr>
          <w:rFonts w:ascii="David"/>
          <w:b/>
          <w:bCs/>
          <w:sz w:val="40"/>
          <w:szCs w:val="40"/>
          <w:rtl/>
        </w:rPr>
        <w:t xml:space="preserve"> </w:t>
      </w:r>
      <w:r w:rsidRPr="00403C8F">
        <w:rPr>
          <w:rFonts w:ascii="David" w:hint="eastAsia"/>
          <w:b/>
          <w:bCs/>
          <w:sz w:val="40"/>
          <w:szCs w:val="40"/>
          <w:rtl/>
        </w:rPr>
        <w:t>התקציב</w:t>
      </w:r>
      <w:r w:rsidRPr="00403C8F">
        <w:rPr>
          <w:rFonts w:ascii="David"/>
          <w:b/>
          <w:bCs/>
          <w:sz w:val="40"/>
          <w:szCs w:val="40"/>
          <w:rtl/>
        </w:rPr>
        <w:t xml:space="preserve"> </w:t>
      </w:r>
      <w:r w:rsidRPr="00403C8F">
        <w:rPr>
          <w:rFonts w:ascii="David" w:hint="eastAsia"/>
          <w:b/>
          <w:bCs/>
          <w:sz w:val="40"/>
          <w:szCs w:val="40"/>
          <w:rtl/>
        </w:rPr>
        <w:t>הרב</w:t>
      </w:r>
      <w:r w:rsidRPr="00403C8F">
        <w:rPr>
          <w:rFonts w:ascii="David"/>
          <w:b/>
          <w:bCs/>
          <w:sz w:val="40"/>
          <w:szCs w:val="40"/>
          <w:rtl/>
        </w:rPr>
        <w:t xml:space="preserve">-שנתית </w:t>
      </w:r>
      <w:r w:rsidRPr="00403C8F">
        <w:rPr>
          <w:rFonts w:ascii="David" w:hint="eastAsia"/>
          <w:b/>
          <w:bCs/>
          <w:sz w:val="40"/>
          <w:szCs w:val="40"/>
          <w:rtl/>
        </w:rPr>
        <w:t>לשנים</w:t>
      </w:r>
      <w:r w:rsidRPr="00403C8F">
        <w:rPr>
          <w:rFonts w:ascii="David"/>
          <w:b/>
          <w:bCs/>
          <w:sz w:val="40"/>
          <w:szCs w:val="40"/>
          <w:rtl/>
        </w:rPr>
        <w:t xml:space="preserve"> 2020 </w:t>
      </w:r>
      <w:r w:rsidRPr="00403C8F">
        <w:rPr>
          <w:rFonts w:ascii="David" w:hint="eastAsia"/>
          <w:b/>
          <w:bCs/>
          <w:sz w:val="40"/>
          <w:szCs w:val="40"/>
          <w:rtl/>
        </w:rPr>
        <w:t>עד</w:t>
      </w:r>
      <w:r w:rsidRPr="00403C8F">
        <w:rPr>
          <w:rFonts w:ascii="David"/>
          <w:b/>
          <w:bCs/>
          <w:sz w:val="40"/>
          <w:szCs w:val="40"/>
          <w:rtl/>
        </w:rPr>
        <w:t xml:space="preserve"> 2022</w:t>
      </w:r>
    </w:p>
    <w:p w:rsidR="00BF0450" w:rsidRDefault="00BF0450" w:rsidP="00BF0450">
      <w:pPr>
        <w:widowControl w:val="0"/>
        <w:tabs>
          <w:tab w:val="left" w:pos="-2"/>
          <w:tab w:val="left" w:pos="7371"/>
        </w:tabs>
        <w:spacing w:before="100" w:beforeAutospacing="1" w:after="100" w:afterAutospacing="1"/>
        <w:ind w:left="-2"/>
        <w:rPr>
          <w:rtl/>
        </w:rPr>
      </w:pPr>
      <w:r w:rsidRPr="00BF0450">
        <w:rPr>
          <w:rtl/>
        </w:rPr>
        <w:t xml:space="preserve">בהתאם להוראות סעיף 40א לחוק יסודות התקציב התשמ"ה-1985 (להלן – </w:t>
      </w:r>
      <w:r w:rsidRPr="00E904B4">
        <w:rPr>
          <w:b/>
          <w:bCs/>
          <w:rtl/>
        </w:rPr>
        <w:t>החוק</w:t>
      </w:r>
      <w:r w:rsidRPr="00BF0450">
        <w:rPr>
          <w:rtl/>
        </w:rPr>
        <w:t>), יחד עם הצעת חוק התקציב לשנת הכספים 2019, התשע"ח-2018, הונחה על שולחן הכנסת, תכנית התקציב לשנים 2020 עד 2022.</w:t>
      </w:r>
      <w:r>
        <w:rPr>
          <w:rFonts w:hint="cs"/>
          <w:rtl/>
        </w:rPr>
        <w:t xml:space="preserve"> </w:t>
      </w:r>
    </w:p>
    <w:p w:rsidR="006404AD" w:rsidRDefault="006404AD" w:rsidP="00955AE2">
      <w:pPr>
        <w:widowControl w:val="0"/>
        <w:tabs>
          <w:tab w:val="left" w:pos="-2"/>
          <w:tab w:val="left" w:pos="7371"/>
        </w:tabs>
        <w:spacing w:before="100" w:beforeAutospacing="1" w:after="100" w:afterAutospacing="1"/>
        <w:rPr>
          <w:rtl/>
        </w:rPr>
      </w:pPr>
      <w:r>
        <w:rPr>
          <w:rFonts w:hint="cs"/>
          <w:rtl/>
        </w:rPr>
        <w:t>בהתאם לסעיף האמור</w:t>
      </w:r>
      <w:r w:rsidR="001A11EE">
        <w:rPr>
          <w:rFonts w:hint="cs"/>
          <w:rtl/>
        </w:rPr>
        <w:t>,</w:t>
      </w:r>
      <w:r>
        <w:rPr>
          <w:rFonts w:hint="cs"/>
          <w:rtl/>
        </w:rPr>
        <w:t xml:space="preserve"> ב</w:t>
      </w:r>
      <w:r w:rsidR="00955AE2">
        <w:rPr>
          <w:rFonts w:hint="cs"/>
          <w:rtl/>
        </w:rPr>
        <w:t xml:space="preserve">יום </w:t>
      </w:r>
      <w:r>
        <w:rPr>
          <w:rFonts w:hint="cs"/>
          <w:rtl/>
        </w:rPr>
        <w:t xml:space="preserve">1 ביוני </w:t>
      </w:r>
      <w:r w:rsidR="001A11EE">
        <w:rPr>
          <w:rFonts w:hint="cs"/>
          <w:rtl/>
        </w:rPr>
        <w:t xml:space="preserve">2018 </w:t>
      </w:r>
      <w:r>
        <w:rPr>
          <w:rFonts w:hint="cs"/>
          <w:rtl/>
        </w:rPr>
        <w:t xml:space="preserve">הגיש </w:t>
      </w:r>
      <w:r w:rsidRPr="00BF0450">
        <w:rPr>
          <w:rFonts w:ascii="David" w:hAnsi="David"/>
          <w:rtl/>
        </w:rPr>
        <w:t xml:space="preserve">שר האוצר לאישור הממשלה עדכון לתכנית התקציב בהתאם למרכיבים המפורטים בחוק. </w:t>
      </w:r>
      <w:r w:rsidR="00130E64">
        <w:rPr>
          <w:rFonts w:ascii="David" w:hAnsi="David" w:hint="cs"/>
          <w:rtl/>
        </w:rPr>
        <w:t xml:space="preserve">התכנית כללה </w:t>
      </w:r>
      <w:r w:rsidRPr="00BF0450">
        <w:rPr>
          <w:rFonts w:ascii="David" w:hAnsi="David"/>
          <w:rtl/>
        </w:rPr>
        <w:t>עדכון בהסתמך על תחזי</w:t>
      </w:r>
      <w:r w:rsidR="00C52D7C">
        <w:rPr>
          <w:rFonts w:ascii="David" w:hAnsi="David" w:hint="cs"/>
          <w:rtl/>
        </w:rPr>
        <w:t>ו</w:t>
      </w:r>
      <w:r w:rsidRPr="00BF0450">
        <w:rPr>
          <w:rFonts w:ascii="David" w:hAnsi="David"/>
          <w:rtl/>
        </w:rPr>
        <w:t>ת ההוצאות ו</w:t>
      </w:r>
      <w:r w:rsidR="00C52D7C">
        <w:rPr>
          <w:rFonts w:ascii="David" w:hAnsi="David" w:hint="cs"/>
          <w:rtl/>
        </w:rPr>
        <w:t>ה</w:t>
      </w:r>
      <w:r w:rsidRPr="00BF0450">
        <w:rPr>
          <w:rFonts w:ascii="David" w:hAnsi="David"/>
          <w:rtl/>
        </w:rPr>
        <w:t xml:space="preserve">הכנסות העדכניות ביותר וכן בוצעה בחינה של עמידת התחזיות במגבלות הפיסקאליות הקבועות בחוק הפחתת הגירעון והגבלת ההוצאה התקציבית התשנ"ב-1992 (להלן – </w:t>
      </w:r>
      <w:r w:rsidRPr="00E904B4">
        <w:rPr>
          <w:rFonts w:ascii="David" w:hAnsi="David"/>
          <w:b/>
          <w:bCs/>
          <w:rtl/>
        </w:rPr>
        <w:t>חוק המסגרות</w:t>
      </w:r>
      <w:r w:rsidRPr="00BF0450">
        <w:rPr>
          <w:rFonts w:ascii="David" w:hAnsi="David"/>
          <w:rtl/>
        </w:rPr>
        <w:t>), כמפורט להלן.</w:t>
      </w:r>
      <w:r>
        <w:rPr>
          <w:rFonts w:hint="cs"/>
          <w:rtl/>
        </w:rPr>
        <w:t xml:space="preserve"> </w:t>
      </w:r>
      <w:r w:rsidRPr="00B12B02">
        <w:rPr>
          <w:rFonts w:hint="cs"/>
          <w:rtl/>
        </w:rPr>
        <w:t>ב</w:t>
      </w:r>
      <w:r w:rsidR="00955AE2">
        <w:rPr>
          <w:rFonts w:hint="cs"/>
          <w:rtl/>
        </w:rPr>
        <w:t>חלוף חצי שנה מהפרסום הקודם וב</w:t>
      </w:r>
      <w:r w:rsidRPr="00B12B02">
        <w:rPr>
          <w:rFonts w:hint="cs"/>
          <w:rtl/>
        </w:rPr>
        <w:t>התאם</w:t>
      </w:r>
      <w:r w:rsidRPr="00B12B02">
        <w:rPr>
          <w:rtl/>
        </w:rPr>
        <w:t xml:space="preserve"> </w:t>
      </w:r>
      <w:r w:rsidRPr="00B12B02">
        <w:rPr>
          <w:rFonts w:hint="cs"/>
          <w:rtl/>
        </w:rPr>
        <w:t>להוראות</w:t>
      </w:r>
      <w:r w:rsidRPr="00B12B02">
        <w:rPr>
          <w:rtl/>
        </w:rPr>
        <w:t xml:space="preserve"> </w:t>
      </w:r>
      <w:r w:rsidRPr="00B12B02">
        <w:rPr>
          <w:rFonts w:hint="cs"/>
          <w:rtl/>
        </w:rPr>
        <w:t>סעיף</w:t>
      </w:r>
      <w:r w:rsidRPr="00B12B02">
        <w:rPr>
          <w:rtl/>
        </w:rPr>
        <w:t xml:space="preserve"> </w:t>
      </w:r>
      <w:r w:rsidR="00955AE2">
        <w:rPr>
          <w:rFonts w:hint="cs"/>
          <w:rtl/>
        </w:rPr>
        <w:t>40א</w:t>
      </w:r>
      <w:r w:rsidR="00C52D7C">
        <w:rPr>
          <w:rFonts w:hint="cs"/>
          <w:rtl/>
        </w:rPr>
        <w:t>(</w:t>
      </w:r>
      <w:r>
        <w:rPr>
          <w:rFonts w:hint="cs"/>
          <w:rtl/>
        </w:rPr>
        <w:t>ט</w:t>
      </w:r>
      <w:r w:rsidR="00C52D7C">
        <w:rPr>
          <w:rFonts w:hint="cs"/>
          <w:rtl/>
        </w:rPr>
        <w:t>)</w:t>
      </w:r>
      <w:r w:rsidRPr="00B12B02">
        <w:rPr>
          <w:rtl/>
        </w:rPr>
        <w:t>(</w:t>
      </w:r>
      <w:r>
        <w:rPr>
          <w:rFonts w:hint="cs"/>
          <w:rtl/>
        </w:rPr>
        <w:t>2</w:t>
      </w:r>
      <w:r w:rsidRPr="00B12B02">
        <w:rPr>
          <w:rtl/>
        </w:rPr>
        <w:t>)</w:t>
      </w:r>
      <w:r w:rsidR="002B193F">
        <w:rPr>
          <w:rFonts w:hint="cs"/>
          <w:rtl/>
        </w:rPr>
        <w:t xml:space="preserve">, </w:t>
      </w:r>
      <w:r>
        <w:rPr>
          <w:rFonts w:hint="cs"/>
          <w:rtl/>
        </w:rPr>
        <w:t>מוגש כעת עדכון לתכנית התקציב</w:t>
      </w:r>
      <w:r w:rsidR="00955AE2">
        <w:rPr>
          <w:rFonts w:hint="cs"/>
          <w:rtl/>
        </w:rPr>
        <w:t xml:space="preserve"> לשנים 2020 עד 2022</w:t>
      </w:r>
      <w:r>
        <w:rPr>
          <w:rFonts w:hint="cs"/>
          <w:rtl/>
        </w:rPr>
        <w:t>.</w:t>
      </w:r>
    </w:p>
    <w:p w:rsidR="00DC4053" w:rsidRPr="00CA6F81" w:rsidRDefault="00DC4053" w:rsidP="00DC4053">
      <w:pPr>
        <w:spacing w:before="100" w:beforeAutospacing="1" w:after="100" w:afterAutospacing="1"/>
        <w:rPr>
          <w:rtl/>
        </w:rPr>
      </w:pPr>
      <w:r w:rsidRPr="00CA6F81">
        <w:rPr>
          <w:rFonts w:hint="cs"/>
          <w:rtl/>
        </w:rPr>
        <w:t>על</w:t>
      </w:r>
      <w:r w:rsidRPr="00CA6F81">
        <w:rPr>
          <w:rtl/>
        </w:rPr>
        <w:t xml:space="preserve"> פי הוראות החוק, ת</w:t>
      </w:r>
      <w:r>
        <w:rPr>
          <w:rFonts w:hint="cs"/>
          <w:rtl/>
        </w:rPr>
        <w:t>ו</w:t>
      </w:r>
      <w:r w:rsidRPr="00CA6F81">
        <w:rPr>
          <w:rtl/>
        </w:rPr>
        <w:t xml:space="preserve">כנית התקציב </w:t>
      </w:r>
      <w:r w:rsidRPr="00CA6F81">
        <w:rPr>
          <w:rFonts w:hint="cs"/>
          <w:rtl/>
        </w:rPr>
        <w:t>האמורה</w:t>
      </w:r>
      <w:r w:rsidRPr="00CA6F81">
        <w:rPr>
          <w:rtl/>
        </w:rPr>
        <w:t xml:space="preserve"> כוללת, עבור כל אחת משנות התקציב הנכללות בה את </w:t>
      </w:r>
      <w:r w:rsidRPr="00CA6F81">
        <w:rPr>
          <w:rFonts w:hint="cs"/>
          <w:rtl/>
        </w:rPr>
        <w:t>תחזית</w:t>
      </w:r>
      <w:r w:rsidRPr="00CA6F81">
        <w:rPr>
          <w:rtl/>
        </w:rPr>
        <w:t xml:space="preserve"> </w:t>
      </w:r>
      <w:r w:rsidRPr="00CA6F81">
        <w:rPr>
          <w:rFonts w:hint="cs"/>
          <w:rtl/>
        </w:rPr>
        <w:t>הצמיחה</w:t>
      </w:r>
      <w:r w:rsidRPr="00CA6F81">
        <w:rPr>
          <w:rtl/>
        </w:rPr>
        <w:t xml:space="preserve">, </w:t>
      </w:r>
      <w:r w:rsidRPr="00CA6F81">
        <w:rPr>
          <w:rFonts w:hint="cs"/>
          <w:rtl/>
        </w:rPr>
        <w:t>סכום</w:t>
      </w:r>
      <w:r w:rsidRPr="00CA6F81">
        <w:rPr>
          <w:rtl/>
        </w:rPr>
        <w:t xml:space="preserve"> </w:t>
      </w:r>
      <w:r w:rsidRPr="00CA6F81">
        <w:rPr>
          <w:rFonts w:hint="cs"/>
          <w:rtl/>
        </w:rPr>
        <w:t>ההוצאה</w:t>
      </w:r>
      <w:r w:rsidRPr="00CA6F81">
        <w:rPr>
          <w:rtl/>
        </w:rPr>
        <w:t xml:space="preserve"> </w:t>
      </w:r>
      <w:r w:rsidRPr="00CA6F81">
        <w:rPr>
          <w:rFonts w:hint="cs"/>
          <w:rtl/>
        </w:rPr>
        <w:t>הממשלתית</w:t>
      </w:r>
      <w:r w:rsidRPr="00CA6F81">
        <w:rPr>
          <w:rtl/>
        </w:rPr>
        <w:t xml:space="preserve"> </w:t>
      </w:r>
      <w:r w:rsidRPr="00CA6F81">
        <w:rPr>
          <w:rFonts w:hint="cs"/>
          <w:rtl/>
        </w:rPr>
        <w:t>הצפויה</w:t>
      </w:r>
      <w:r w:rsidRPr="00CA6F81">
        <w:rPr>
          <w:rtl/>
        </w:rPr>
        <w:t xml:space="preserve">, </w:t>
      </w:r>
      <w:r w:rsidRPr="00CA6F81">
        <w:rPr>
          <w:rFonts w:hint="cs"/>
          <w:rtl/>
        </w:rPr>
        <w:t>תחזית</w:t>
      </w:r>
      <w:r w:rsidRPr="00CA6F81">
        <w:rPr>
          <w:rtl/>
        </w:rPr>
        <w:t xml:space="preserve"> </w:t>
      </w:r>
      <w:r w:rsidRPr="00CA6F81">
        <w:rPr>
          <w:rFonts w:hint="cs"/>
          <w:rtl/>
        </w:rPr>
        <w:t>הכנסות</w:t>
      </w:r>
      <w:r w:rsidRPr="00CA6F81">
        <w:rPr>
          <w:rtl/>
        </w:rPr>
        <w:t xml:space="preserve"> </w:t>
      </w:r>
      <w:r w:rsidRPr="00CA6F81">
        <w:rPr>
          <w:rFonts w:hint="cs"/>
          <w:rtl/>
        </w:rPr>
        <w:t>המדינה</w:t>
      </w:r>
      <w:r w:rsidRPr="00CA6F81">
        <w:rPr>
          <w:rtl/>
        </w:rPr>
        <w:t xml:space="preserve">, </w:t>
      </w:r>
      <w:r w:rsidRPr="00CA6F81">
        <w:rPr>
          <w:rFonts w:hint="cs"/>
          <w:rtl/>
        </w:rPr>
        <w:t>תחזית</w:t>
      </w:r>
      <w:r w:rsidRPr="00CA6F81">
        <w:rPr>
          <w:rtl/>
        </w:rPr>
        <w:t xml:space="preserve"> </w:t>
      </w:r>
      <w:r w:rsidRPr="00CA6F81">
        <w:rPr>
          <w:rFonts w:hint="cs"/>
          <w:rtl/>
        </w:rPr>
        <w:t>הגירעון</w:t>
      </w:r>
      <w:r w:rsidRPr="00CA6F81">
        <w:rPr>
          <w:rtl/>
        </w:rPr>
        <w:t xml:space="preserve"> </w:t>
      </w:r>
      <w:r w:rsidRPr="00CA6F81">
        <w:rPr>
          <w:rFonts w:hint="cs"/>
          <w:rtl/>
        </w:rPr>
        <w:t>הכולל</w:t>
      </w:r>
      <w:r w:rsidRPr="00CA6F81">
        <w:rPr>
          <w:rtl/>
        </w:rPr>
        <w:t xml:space="preserve">, </w:t>
      </w:r>
      <w:r w:rsidRPr="00CA6F81">
        <w:rPr>
          <w:rFonts w:hint="cs"/>
          <w:rtl/>
        </w:rPr>
        <w:t>מגבלת</w:t>
      </w:r>
      <w:r w:rsidRPr="00CA6F81">
        <w:rPr>
          <w:rtl/>
        </w:rPr>
        <w:t xml:space="preserve"> </w:t>
      </w:r>
      <w:r w:rsidRPr="00CA6F81">
        <w:rPr>
          <w:rFonts w:hint="cs"/>
          <w:rtl/>
        </w:rPr>
        <w:t>ההוצאה</w:t>
      </w:r>
      <w:r w:rsidRPr="00CA6F81">
        <w:rPr>
          <w:rtl/>
        </w:rPr>
        <w:t xml:space="preserve"> </w:t>
      </w:r>
      <w:r w:rsidRPr="00CA6F81">
        <w:rPr>
          <w:rFonts w:hint="cs"/>
          <w:rtl/>
        </w:rPr>
        <w:t>המותרת</w:t>
      </w:r>
      <w:r w:rsidRPr="00CA6F81">
        <w:rPr>
          <w:rtl/>
        </w:rPr>
        <w:t xml:space="preserve">, </w:t>
      </w:r>
      <w:r w:rsidRPr="00CA6F81">
        <w:rPr>
          <w:rFonts w:hint="cs"/>
          <w:rtl/>
        </w:rPr>
        <w:t>סכום</w:t>
      </w:r>
      <w:r w:rsidRPr="00CA6F81">
        <w:rPr>
          <w:rtl/>
        </w:rPr>
        <w:t xml:space="preserve"> </w:t>
      </w:r>
      <w:r w:rsidRPr="00CA6F81">
        <w:rPr>
          <w:rFonts w:hint="cs"/>
          <w:rtl/>
        </w:rPr>
        <w:t>הגירעון</w:t>
      </w:r>
      <w:r w:rsidRPr="00CA6F81">
        <w:rPr>
          <w:rtl/>
        </w:rPr>
        <w:t xml:space="preserve"> </w:t>
      </w:r>
      <w:r w:rsidRPr="00CA6F81">
        <w:rPr>
          <w:rFonts w:hint="cs"/>
          <w:rtl/>
        </w:rPr>
        <w:t>המותר</w:t>
      </w:r>
      <w:r w:rsidRPr="00CA6F81">
        <w:rPr>
          <w:rtl/>
        </w:rPr>
        <w:t xml:space="preserve"> </w:t>
      </w:r>
      <w:r w:rsidRPr="00CA6F81">
        <w:rPr>
          <w:rFonts w:hint="cs"/>
          <w:rtl/>
        </w:rPr>
        <w:t>וכן</w:t>
      </w:r>
      <w:r w:rsidRPr="00CA6F81">
        <w:rPr>
          <w:rtl/>
        </w:rPr>
        <w:t xml:space="preserve"> </w:t>
      </w:r>
      <w:r w:rsidRPr="00CA6F81">
        <w:rPr>
          <w:rFonts w:hint="cs"/>
          <w:rtl/>
        </w:rPr>
        <w:t>את</w:t>
      </w:r>
      <w:r w:rsidRPr="00CA6F81">
        <w:rPr>
          <w:rtl/>
        </w:rPr>
        <w:t xml:space="preserve"> </w:t>
      </w:r>
      <w:r w:rsidRPr="00CA6F81">
        <w:rPr>
          <w:rFonts w:hint="cs"/>
          <w:rtl/>
        </w:rPr>
        <w:t>ההפרשים</w:t>
      </w:r>
      <w:r w:rsidRPr="00CA6F81">
        <w:rPr>
          <w:rtl/>
        </w:rPr>
        <w:t xml:space="preserve"> </w:t>
      </w:r>
      <w:r w:rsidRPr="00CA6F81">
        <w:rPr>
          <w:rFonts w:hint="cs"/>
          <w:rtl/>
        </w:rPr>
        <w:t>בין</w:t>
      </w:r>
      <w:r w:rsidRPr="00CA6F81">
        <w:rPr>
          <w:rtl/>
        </w:rPr>
        <w:t xml:space="preserve"> </w:t>
      </w:r>
      <w:r w:rsidRPr="00CA6F81">
        <w:rPr>
          <w:rFonts w:hint="cs"/>
          <w:rtl/>
        </w:rPr>
        <w:t>סכום</w:t>
      </w:r>
      <w:r w:rsidRPr="00CA6F81">
        <w:rPr>
          <w:rtl/>
        </w:rPr>
        <w:t xml:space="preserve"> </w:t>
      </w:r>
      <w:r w:rsidRPr="00CA6F81">
        <w:rPr>
          <w:rFonts w:hint="cs"/>
          <w:rtl/>
        </w:rPr>
        <w:t>ההוצאה</w:t>
      </w:r>
      <w:r w:rsidRPr="00CA6F81">
        <w:rPr>
          <w:rtl/>
        </w:rPr>
        <w:t xml:space="preserve"> </w:t>
      </w:r>
      <w:r w:rsidRPr="00CA6F81">
        <w:rPr>
          <w:rFonts w:hint="cs"/>
          <w:rtl/>
        </w:rPr>
        <w:t>הממשלתית</w:t>
      </w:r>
      <w:r w:rsidRPr="00CA6F81">
        <w:rPr>
          <w:rtl/>
        </w:rPr>
        <w:t xml:space="preserve"> </w:t>
      </w:r>
      <w:r w:rsidRPr="00CA6F81">
        <w:rPr>
          <w:rFonts w:hint="cs"/>
          <w:rtl/>
        </w:rPr>
        <w:t>הצפויה</w:t>
      </w:r>
      <w:r w:rsidRPr="00CA6F81">
        <w:rPr>
          <w:rtl/>
        </w:rPr>
        <w:t xml:space="preserve"> </w:t>
      </w:r>
      <w:r w:rsidRPr="00CA6F81">
        <w:rPr>
          <w:rFonts w:hint="cs"/>
          <w:rtl/>
        </w:rPr>
        <w:t>למגבלת</w:t>
      </w:r>
      <w:r w:rsidRPr="00CA6F81">
        <w:rPr>
          <w:rtl/>
        </w:rPr>
        <w:t xml:space="preserve"> </w:t>
      </w:r>
      <w:r w:rsidRPr="00CA6F81">
        <w:rPr>
          <w:rFonts w:hint="cs"/>
          <w:rtl/>
        </w:rPr>
        <w:t>ההוצאה</w:t>
      </w:r>
      <w:r w:rsidRPr="00CA6F81">
        <w:rPr>
          <w:rtl/>
        </w:rPr>
        <w:t xml:space="preserve"> </w:t>
      </w:r>
      <w:r w:rsidRPr="00CA6F81">
        <w:rPr>
          <w:rFonts w:hint="cs"/>
          <w:rtl/>
        </w:rPr>
        <w:t>המותרת</w:t>
      </w:r>
      <w:r w:rsidRPr="00CA6F81">
        <w:rPr>
          <w:rtl/>
        </w:rPr>
        <w:t xml:space="preserve"> (</w:t>
      </w:r>
      <w:r w:rsidRPr="00CA6F81">
        <w:rPr>
          <w:rFonts w:hint="cs"/>
          <w:rtl/>
        </w:rPr>
        <w:t>להלן</w:t>
      </w:r>
      <w:r w:rsidRPr="00CA6F81">
        <w:rPr>
          <w:rtl/>
        </w:rPr>
        <w:t xml:space="preserve"> </w:t>
      </w:r>
      <w:r w:rsidRPr="00CA6F81">
        <w:rPr>
          <w:rFonts w:hint="eastAsia"/>
          <w:rtl/>
        </w:rPr>
        <w:t>–</w:t>
      </w:r>
      <w:r w:rsidRPr="00CA6F81">
        <w:rPr>
          <w:rtl/>
        </w:rPr>
        <w:t xml:space="preserve"> </w:t>
      </w:r>
      <w:r w:rsidRPr="00CA6F81">
        <w:rPr>
          <w:b/>
          <w:bCs/>
          <w:rtl/>
        </w:rPr>
        <w:t>התאמות בצד ההוצאה</w:t>
      </w:r>
      <w:r w:rsidRPr="00CA6F81">
        <w:rPr>
          <w:rtl/>
        </w:rPr>
        <w:t>) ובין תחזית הגירעון הכולל וסכום הגירעון המותר (</w:t>
      </w:r>
      <w:r w:rsidRPr="00CA6F81">
        <w:rPr>
          <w:rFonts w:hint="cs"/>
          <w:rtl/>
        </w:rPr>
        <w:t>להלן</w:t>
      </w:r>
      <w:r w:rsidRPr="00CA6F81">
        <w:rPr>
          <w:rtl/>
        </w:rPr>
        <w:t xml:space="preserve"> </w:t>
      </w:r>
      <w:r w:rsidRPr="00CA6F81">
        <w:rPr>
          <w:rFonts w:hint="eastAsia"/>
          <w:rtl/>
        </w:rPr>
        <w:t>–</w:t>
      </w:r>
      <w:r w:rsidRPr="00CA6F81">
        <w:rPr>
          <w:rtl/>
        </w:rPr>
        <w:t xml:space="preserve"> </w:t>
      </w:r>
      <w:r w:rsidRPr="009C3D53">
        <w:rPr>
          <w:b/>
          <w:bCs/>
          <w:rtl/>
        </w:rPr>
        <w:t xml:space="preserve">התאמות </w:t>
      </w:r>
      <w:r w:rsidRPr="009C3D53">
        <w:rPr>
          <w:rFonts w:hint="cs"/>
          <w:b/>
          <w:bCs/>
          <w:rtl/>
        </w:rPr>
        <w:t>בצד</w:t>
      </w:r>
      <w:r w:rsidRPr="009C3D53">
        <w:rPr>
          <w:b/>
          <w:bCs/>
          <w:rtl/>
        </w:rPr>
        <w:t xml:space="preserve"> </w:t>
      </w:r>
      <w:r w:rsidRPr="009C3D53">
        <w:rPr>
          <w:rFonts w:hint="cs"/>
          <w:b/>
          <w:bCs/>
          <w:rtl/>
        </w:rPr>
        <w:t>ההכנסה</w:t>
      </w:r>
      <w:r w:rsidRPr="00CA6F81">
        <w:rPr>
          <w:rtl/>
        </w:rPr>
        <w:t xml:space="preserve">). </w:t>
      </w:r>
    </w:p>
    <w:p w:rsidR="00DC4053" w:rsidRPr="00CA6F81" w:rsidRDefault="00DC4053" w:rsidP="001D083F">
      <w:pPr>
        <w:spacing w:before="100" w:beforeAutospacing="1" w:after="100" w:afterAutospacing="1"/>
        <w:rPr>
          <w:rtl/>
        </w:rPr>
      </w:pPr>
      <w:r w:rsidRPr="00CA6F81">
        <w:rPr>
          <w:rFonts w:hint="cs"/>
          <w:rtl/>
        </w:rPr>
        <w:t>בנוסף</w:t>
      </w:r>
      <w:r w:rsidRPr="00CA6F81">
        <w:rPr>
          <w:rtl/>
        </w:rPr>
        <w:t xml:space="preserve">, כוללת </w:t>
      </w:r>
      <w:r w:rsidRPr="00CA6F81">
        <w:rPr>
          <w:rFonts w:hint="cs"/>
          <w:rtl/>
        </w:rPr>
        <w:t>התכנית</w:t>
      </w:r>
      <w:r w:rsidRPr="00CA6F81">
        <w:rPr>
          <w:rtl/>
        </w:rPr>
        <w:t xml:space="preserve"> </w:t>
      </w:r>
      <w:r w:rsidRPr="00CA6F81">
        <w:rPr>
          <w:rFonts w:hint="cs"/>
          <w:rtl/>
        </w:rPr>
        <w:t>פירוט</w:t>
      </w:r>
      <w:r w:rsidRPr="00CA6F81">
        <w:rPr>
          <w:rtl/>
        </w:rPr>
        <w:t xml:space="preserve"> </w:t>
      </w:r>
      <w:r w:rsidRPr="00CA6F81">
        <w:rPr>
          <w:rFonts w:hint="cs"/>
          <w:rtl/>
        </w:rPr>
        <w:t>על</w:t>
      </w:r>
      <w:r w:rsidRPr="00CA6F81">
        <w:rPr>
          <w:rtl/>
        </w:rPr>
        <w:t xml:space="preserve"> </w:t>
      </w:r>
      <w:r w:rsidRPr="00CA6F81">
        <w:rPr>
          <w:rFonts w:hint="cs"/>
          <w:rtl/>
        </w:rPr>
        <w:t>היעדים</w:t>
      </w:r>
      <w:r w:rsidRPr="00CA6F81">
        <w:rPr>
          <w:rtl/>
        </w:rPr>
        <w:t xml:space="preserve"> </w:t>
      </w:r>
      <w:r w:rsidRPr="00CA6F81">
        <w:rPr>
          <w:rFonts w:hint="cs"/>
          <w:rtl/>
        </w:rPr>
        <w:t>הפיסקליים</w:t>
      </w:r>
      <w:r w:rsidRPr="00CA6F81">
        <w:rPr>
          <w:rtl/>
        </w:rPr>
        <w:t xml:space="preserve"> </w:t>
      </w:r>
      <w:r w:rsidRPr="00CA6F81">
        <w:rPr>
          <w:rFonts w:hint="cs"/>
          <w:rtl/>
        </w:rPr>
        <w:t>של</w:t>
      </w:r>
      <w:r w:rsidRPr="00CA6F81">
        <w:rPr>
          <w:rtl/>
        </w:rPr>
        <w:t xml:space="preserve"> </w:t>
      </w:r>
      <w:r w:rsidRPr="00CA6F81">
        <w:rPr>
          <w:rFonts w:hint="cs"/>
          <w:rtl/>
        </w:rPr>
        <w:t>הממשלה</w:t>
      </w:r>
      <w:r w:rsidRPr="00CA6F81">
        <w:rPr>
          <w:rtl/>
        </w:rPr>
        <w:t xml:space="preserve">, </w:t>
      </w:r>
      <w:r w:rsidRPr="00CA6F81">
        <w:rPr>
          <w:rFonts w:hint="cs"/>
          <w:rtl/>
        </w:rPr>
        <w:t>המגבלות</w:t>
      </w:r>
      <w:r w:rsidRPr="00CA6F81">
        <w:rPr>
          <w:rtl/>
        </w:rPr>
        <w:t xml:space="preserve"> </w:t>
      </w:r>
      <w:r w:rsidRPr="00CA6F81">
        <w:rPr>
          <w:rFonts w:hint="cs"/>
          <w:rtl/>
        </w:rPr>
        <w:t>הפיסקליות</w:t>
      </w:r>
      <w:r w:rsidRPr="00CA6F81">
        <w:rPr>
          <w:rtl/>
        </w:rPr>
        <w:t xml:space="preserve"> </w:t>
      </w:r>
      <w:r w:rsidRPr="00CA6F81">
        <w:rPr>
          <w:rFonts w:hint="cs"/>
          <w:rtl/>
        </w:rPr>
        <w:t>הקבועות</w:t>
      </w:r>
      <w:r w:rsidRPr="00CA6F81">
        <w:rPr>
          <w:rtl/>
        </w:rPr>
        <w:t xml:space="preserve"> </w:t>
      </w:r>
      <w:r w:rsidRPr="00CA6F81">
        <w:rPr>
          <w:rFonts w:hint="cs"/>
          <w:rtl/>
        </w:rPr>
        <w:t>בחוק</w:t>
      </w:r>
      <w:r w:rsidR="001D083F">
        <w:rPr>
          <w:rFonts w:hint="cs"/>
          <w:rtl/>
        </w:rPr>
        <w:t xml:space="preserve"> </w:t>
      </w:r>
      <w:r w:rsidR="00955AE2">
        <w:rPr>
          <w:rFonts w:hint="cs"/>
          <w:rtl/>
        </w:rPr>
        <w:t>המסגרות</w:t>
      </w:r>
      <w:r w:rsidRPr="00CA6F81">
        <w:rPr>
          <w:rFonts w:hint="cs"/>
          <w:rtl/>
        </w:rPr>
        <w:t>,</w:t>
      </w:r>
      <w:r w:rsidRPr="00CA6F81">
        <w:rPr>
          <w:rtl/>
        </w:rPr>
        <w:t xml:space="preserve"> וכן את ההנחות העיקריות ששימשו לבניית אומדן הוצאות הממשלה ותחזית ההכנסות ממ</w:t>
      </w:r>
      <w:r>
        <w:rPr>
          <w:rFonts w:hint="cs"/>
          <w:rtl/>
        </w:rPr>
        <w:t>י</w:t>
      </w:r>
      <w:r w:rsidRPr="00CA6F81">
        <w:rPr>
          <w:rtl/>
        </w:rPr>
        <w:t xml:space="preserve">סים. </w:t>
      </w:r>
    </w:p>
    <w:p w:rsidR="00DC4053" w:rsidRDefault="00DC4053" w:rsidP="00DC4053">
      <w:pPr>
        <w:spacing w:before="100" w:beforeAutospacing="1" w:after="100" w:afterAutospacing="1"/>
        <w:rPr>
          <w:rtl/>
        </w:rPr>
      </w:pPr>
      <w:r w:rsidRPr="00CA6F81">
        <w:rPr>
          <w:rFonts w:hint="cs"/>
          <w:rtl/>
        </w:rPr>
        <w:t>בהתאם</w:t>
      </w:r>
      <w:r w:rsidRPr="00CA6F81">
        <w:rPr>
          <w:rtl/>
        </w:rPr>
        <w:t xml:space="preserve"> </w:t>
      </w:r>
      <w:r w:rsidRPr="00CA6F81">
        <w:rPr>
          <w:rFonts w:hint="cs"/>
          <w:rtl/>
        </w:rPr>
        <w:t>לסעיף 40א לחוק</w:t>
      </w:r>
      <w:r w:rsidRPr="00CA6F81">
        <w:rPr>
          <w:rtl/>
        </w:rPr>
        <w:t xml:space="preserve">, </w:t>
      </w:r>
      <w:r w:rsidRPr="00CA6F81">
        <w:rPr>
          <w:rFonts w:hint="cs"/>
          <w:rtl/>
        </w:rPr>
        <w:t>הממשלה</w:t>
      </w:r>
      <w:r w:rsidRPr="00CA6F81">
        <w:rPr>
          <w:rtl/>
        </w:rPr>
        <w:t xml:space="preserve"> </w:t>
      </w:r>
      <w:r w:rsidRPr="00CA6F81">
        <w:rPr>
          <w:rFonts w:hint="cs"/>
          <w:rtl/>
        </w:rPr>
        <w:t>לא</w:t>
      </w:r>
      <w:r w:rsidRPr="00CA6F81">
        <w:rPr>
          <w:rtl/>
        </w:rPr>
        <w:t xml:space="preserve"> </w:t>
      </w:r>
      <w:r w:rsidRPr="00CA6F81">
        <w:rPr>
          <w:rFonts w:hint="cs"/>
          <w:rtl/>
        </w:rPr>
        <w:t>תתמוך</w:t>
      </w:r>
      <w:r w:rsidRPr="00CA6F81">
        <w:rPr>
          <w:rtl/>
        </w:rPr>
        <w:t xml:space="preserve"> בחקיקה, לא </w:t>
      </w:r>
      <w:r w:rsidRPr="00CA6F81">
        <w:rPr>
          <w:rFonts w:hint="cs"/>
          <w:rtl/>
        </w:rPr>
        <w:t>תקדם</w:t>
      </w:r>
      <w:r w:rsidRPr="00CA6F81">
        <w:rPr>
          <w:rtl/>
        </w:rPr>
        <w:t xml:space="preserve"> </w:t>
      </w:r>
      <w:r w:rsidRPr="00CA6F81">
        <w:rPr>
          <w:rFonts w:hint="cs"/>
          <w:rtl/>
        </w:rPr>
        <w:t>הוראות</w:t>
      </w:r>
      <w:r w:rsidRPr="00CA6F81">
        <w:rPr>
          <w:rtl/>
        </w:rPr>
        <w:t xml:space="preserve"> </w:t>
      </w:r>
      <w:r w:rsidRPr="00CA6F81">
        <w:rPr>
          <w:rFonts w:hint="cs"/>
          <w:rtl/>
        </w:rPr>
        <w:t>מ</w:t>
      </w:r>
      <w:r>
        <w:rPr>
          <w:rFonts w:hint="cs"/>
          <w:rtl/>
        </w:rPr>
        <w:t>ִ</w:t>
      </w:r>
      <w:r w:rsidRPr="00CA6F81">
        <w:rPr>
          <w:rFonts w:hint="cs"/>
          <w:rtl/>
        </w:rPr>
        <w:t>נהל</w:t>
      </w:r>
      <w:r w:rsidRPr="00CA6F81">
        <w:rPr>
          <w:rtl/>
        </w:rPr>
        <w:t xml:space="preserve">, </w:t>
      </w:r>
      <w:r w:rsidRPr="00CA6F81">
        <w:rPr>
          <w:rFonts w:hint="cs"/>
          <w:rtl/>
        </w:rPr>
        <w:t>תקנות,</w:t>
      </w:r>
      <w:r w:rsidRPr="00CA6F81">
        <w:rPr>
          <w:rtl/>
        </w:rPr>
        <w:t xml:space="preserve"> </w:t>
      </w:r>
      <w:r w:rsidRPr="00CA6F81">
        <w:rPr>
          <w:rFonts w:hint="cs"/>
          <w:rtl/>
        </w:rPr>
        <w:t>חוזים</w:t>
      </w:r>
      <w:r w:rsidRPr="00CA6F81">
        <w:rPr>
          <w:rtl/>
        </w:rPr>
        <w:t xml:space="preserve"> </w:t>
      </w:r>
      <w:r w:rsidRPr="00CA6F81">
        <w:rPr>
          <w:rFonts w:hint="cs"/>
          <w:rtl/>
        </w:rPr>
        <w:t>או התחייבויות אחרות שבביצוען</w:t>
      </w:r>
      <w:r w:rsidRPr="00CA6F81">
        <w:rPr>
          <w:rtl/>
        </w:rPr>
        <w:t xml:space="preserve"> </w:t>
      </w:r>
      <w:r w:rsidRPr="00CA6F81">
        <w:rPr>
          <w:rFonts w:hint="cs"/>
          <w:rtl/>
        </w:rPr>
        <w:t>כרוכה</w:t>
      </w:r>
      <w:r w:rsidRPr="00CA6F81">
        <w:rPr>
          <w:rtl/>
        </w:rPr>
        <w:t xml:space="preserve"> </w:t>
      </w:r>
      <w:r w:rsidRPr="00CA6F81">
        <w:rPr>
          <w:rFonts w:hint="cs"/>
          <w:rtl/>
        </w:rPr>
        <w:t>הגדלה</w:t>
      </w:r>
      <w:r w:rsidRPr="00CA6F81">
        <w:rPr>
          <w:rtl/>
        </w:rPr>
        <w:t xml:space="preserve"> </w:t>
      </w:r>
      <w:r w:rsidRPr="00CA6F81">
        <w:rPr>
          <w:rFonts w:hint="cs"/>
          <w:rtl/>
        </w:rPr>
        <w:t>של</w:t>
      </w:r>
      <w:r w:rsidRPr="00CA6F81">
        <w:rPr>
          <w:rtl/>
        </w:rPr>
        <w:t xml:space="preserve"> </w:t>
      </w:r>
      <w:r w:rsidRPr="00CA6F81">
        <w:rPr>
          <w:rFonts w:hint="cs"/>
          <w:rtl/>
        </w:rPr>
        <w:t>ההוצאה</w:t>
      </w:r>
      <w:r w:rsidRPr="00CA6F81">
        <w:rPr>
          <w:rtl/>
        </w:rPr>
        <w:t xml:space="preserve"> </w:t>
      </w:r>
      <w:r w:rsidRPr="00CA6F81">
        <w:rPr>
          <w:rFonts w:hint="cs"/>
          <w:rtl/>
        </w:rPr>
        <w:t>הממשלתית</w:t>
      </w:r>
      <w:r w:rsidRPr="00CA6F81">
        <w:rPr>
          <w:rtl/>
        </w:rPr>
        <w:t xml:space="preserve"> </w:t>
      </w:r>
      <w:r w:rsidRPr="00CA6F81">
        <w:rPr>
          <w:rFonts w:hint="cs"/>
          <w:rtl/>
        </w:rPr>
        <w:t>או</w:t>
      </w:r>
      <w:r w:rsidRPr="00CA6F81">
        <w:rPr>
          <w:rtl/>
        </w:rPr>
        <w:t xml:space="preserve"> </w:t>
      </w:r>
      <w:r w:rsidRPr="00CA6F81">
        <w:rPr>
          <w:rFonts w:hint="cs"/>
          <w:rtl/>
        </w:rPr>
        <w:t>הפחתה</w:t>
      </w:r>
      <w:r w:rsidRPr="00CA6F81">
        <w:rPr>
          <w:rtl/>
        </w:rPr>
        <w:t xml:space="preserve"> </w:t>
      </w:r>
      <w:r w:rsidRPr="00CA6F81">
        <w:rPr>
          <w:rFonts w:hint="cs"/>
          <w:rtl/>
        </w:rPr>
        <w:t>של</w:t>
      </w:r>
      <w:r w:rsidRPr="00CA6F81">
        <w:rPr>
          <w:rtl/>
        </w:rPr>
        <w:t xml:space="preserve"> </w:t>
      </w:r>
      <w:r w:rsidRPr="00CA6F81">
        <w:rPr>
          <w:rFonts w:hint="cs"/>
          <w:rtl/>
        </w:rPr>
        <w:t>הכנסות</w:t>
      </w:r>
      <w:r w:rsidRPr="00CA6F81">
        <w:rPr>
          <w:rtl/>
        </w:rPr>
        <w:t xml:space="preserve"> </w:t>
      </w:r>
      <w:r w:rsidRPr="00CA6F81">
        <w:rPr>
          <w:rFonts w:hint="cs"/>
          <w:rtl/>
        </w:rPr>
        <w:t>המדינה</w:t>
      </w:r>
      <w:r w:rsidRPr="00CA6F81">
        <w:rPr>
          <w:rtl/>
        </w:rPr>
        <w:t xml:space="preserve"> </w:t>
      </w:r>
      <w:r w:rsidRPr="00CA6F81">
        <w:rPr>
          <w:rFonts w:hint="cs"/>
          <w:rtl/>
        </w:rPr>
        <w:t>אשר</w:t>
      </w:r>
      <w:r w:rsidRPr="00CA6F81">
        <w:rPr>
          <w:rtl/>
        </w:rPr>
        <w:t xml:space="preserve"> יביאו לחריגה מהמסגרות הפיסקאליות הקבועות </w:t>
      </w:r>
      <w:r w:rsidRPr="00CA6F81">
        <w:rPr>
          <w:rFonts w:hint="cs"/>
          <w:rtl/>
        </w:rPr>
        <w:t>בחוק</w:t>
      </w:r>
      <w:r w:rsidRPr="00CA6F81">
        <w:rPr>
          <w:rtl/>
        </w:rPr>
        <w:t xml:space="preserve"> </w:t>
      </w:r>
      <w:r>
        <w:rPr>
          <w:rFonts w:hint="cs"/>
          <w:rtl/>
        </w:rPr>
        <w:t xml:space="preserve">המסגרות </w:t>
      </w:r>
      <w:r w:rsidRPr="00CA6F81">
        <w:rPr>
          <w:rtl/>
        </w:rPr>
        <w:t xml:space="preserve">אלא בביצוע פעולות מאזנות שיהוו מקור תקציבי. </w:t>
      </w:r>
      <w:r w:rsidRPr="00CA6F81">
        <w:rPr>
          <w:rFonts w:hint="cs"/>
          <w:rtl/>
        </w:rPr>
        <w:t>הוראה</w:t>
      </w:r>
      <w:r w:rsidRPr="00CA6F81">
        <w:rPr>
          <w:rtl/>
        </w:rPr>
        <w:t xml:space="preserve"> זו מקבלת תמיכה מקצועית בקרב המוסדות הכלכליים הבי</w:t>
      </w:r>
      <w:r>
        <w:rPr>
          <w:rFonts w:hint="cs"/>
          <w:rtl/>
        </w:rPr>
        <w:t>ן-</w:t>
      </w:r>
      <w:r w:rsidRPr="00CA6F81">
        <w:rPr>
          <w:rtl/>
        </w:rPr>
        <w:t xml:space="preserve">לאומיים </w:t>
      </w:r>
      <w:r w:rsidRPr="00CA6F81">
        <w:rPr>
          <w:rFonts w:hint="cs"/>
          <w:rtl/>
        </w:rPr>
        <w:t>המציינים</w:t>
      </w:r>
      <w:r w:rsidRPr="00CA6F81">
        <w:rPr>
          <w:rtl/>
        </w:rPr>
        <w:t xml:space="preserve"> </w:t>
      </w:r>
      <w:r w:rsidRPr="00CA6F81">
        <w:rPr>
          <w:rFonts w:hint="cs"/>
          <w:rtl/>
        </w:rPr>
        <w:t>לחיוב</w:t>
      </w:r>
      <w:r w:rsidRPr="00CA6F81">
        <w:rPr>
          <w:rtl/>
        </w:rPr>
        <w:t xml:space="preserve"> </w:t>
      </w:r>
      <w:r w:rsidRPr="00CA6F81">
        <w:rPr>
          <w:rFonts w:hint="cs"/>
          <w:rtl/>
        </w:rPr>
        <w:t>את</w:t>
      </w:r>
      <w:r w:rsidRPr="00CA6F81">
        <w:rPr>
          <w:rtl/>
        </w:rPr>
        <w:t xml:space="preserve"> השפעתה על </w:t>
      </w:r>
      <w:r w:rsidRPr="00CA6F81">
        <w:rPr>
          <w:rFonts w:hint="cs"/>
          <w:rtl/>
        </w:rPr>
        <w:t>התחזקות</w:t>
      </w:r>
      <w:r w:rsidRPr="00CA6F81">
        <w:rPr>
          <w:rtl/>
        </w:rPr>
        <w:t xml:space="preserve"> </w:t>
      </w:r>
      <w:r w:rsidRPr="00CA6F81">
        <w:rPr>
          <w:rFonts w:hint="cs"/>
          <w:rtl/>
        </w:rPr>
        <w:t>יציבותה</w:t>
      </w:r>
      <w:r w:rsidRPr="00CA6F81">
        <w:rPr>
          <w:rtl/>
        </w:rPr>
        <w:t xml:space="preserve"> </w:t>
      </w:r>
      <w:r w:rsidRPr="00CA6F81">
        <w:rPr>
          <w:rFonts w:hint="cs"/>
          <w:rtl/>
        </w:rPr>
        <w:t>הכלכלית</w:t>
      </w:r>
      <w:r w:rsidRPr="00CA6F81">
        <w:rPr>
          <w:rtl/>
        </w:rPr>
        <w:t xml:space="preserve"> </w:t>
      </w:r>
      <w:r w:rsidRPr="00CA6F81">
        <w:rPr>
          <w:rFonts w:hint="cs"/>
          <w:rtl/>
        </w:rPr>
        <w:t>של</w:t>
      </w:r>
      <w:r w:rsidRPr="00CA6F81">
        <w:rPr>
          <w:rtl/>
        </w:rPr>
        <w:t xml:space="preserve"> </w:t>
      </w:r>
      <w:r w:rsidRPr="00CA6F81">
        <w:rPr>
          <w:rFonts w:hint="cs"/>
          <w:rtl/>
        </w:rPr>
        <w:t>הממשלה</w:t>
      </w:r>
      <w:r w:rsidRPr="00CA6F81">
        <w:rPr>
          <w:rtl/>
        </w:rPr>
        <w:t xml:space="preserve"> </w:t>
      </w:r>
      <w:r w:rsidRPr="00CA6F81">
        <w:rPr>
          <w:rFonts w:hint="cs"/>
          <w:rtl/>
        </w:rPr>
        <w:t>בטווח</w:t>
      </w:r>
      <w:r w:rsidRPr="00CA6F81">
        <w:rPr>
          <w:rtl/>
        </w:rPr>
        <w:t xml:space="preserve"> </w:t>
      </w:r>
      <w:r w:rsidRPr="00CA6F81">
        <w:rPr>
          <w:rFonts w:hint="cs"/>
          <w:rtl/>
        </w:rPr>
        <w:t>הבינוני</w:t>
      </w:r>
      <w:r w:rsidRPr="00CA6F81">
        <w:rPr>
          <w:rtl/>
        </w:rPr>
        <w:t xml:space="preserve"> וכן את הגברת השקיפות התקציבית הנובעת מפרסום אומדני ההוצאות וההכנסות במתכונת רב-</w:t>
      </w:r>
      <w:r w:rsidRPr="00CA6F81">
        <w:rPr>
          <w:rFonts w:hint="cs"/>
          <w:rtl/>
        </w:rPr>
        <w:t>שנתית</w:t>
      </w:r>
      <w:r w:rsidRPr="00CA6F81">
        <w:rPr>
          <w:rStyle w:val="ab"/>
          <w:rtl/>
        </w:rPr>
        <w:footnoteReference w:id="2"/>
      </w:r>
      <w:r w:rsidRPr="00CA6F81">
        <w:rPr>
          <w:rtl/>
        </w:rPr>
        <w:t>.</w:t>
      </w:r>
      <w:r w:rsidRPr="00B12B02">
        <w:rPr>
          <w:rtl/>
        </w:rPr>
        <w:t xml:space="preserve"> </w:t>
      </w:r>
    </w:p>
    <w:p w:rsidR="00DC4053" w:rsidRPr="002132EA" w:rsidRDefault="00DC4053" w:rsidP="0086781D">
      <w:pPr>
        <w:spacing w:before="100" w:beforeAutospacing="1" w:after="100" w:afterAutospacing="1"/>
        <w:rPr>
          <w:rtl/>
        </w:rPr>
      </w:pPr>
      <w:r>
        <w:rPr>
          <w:rFonts w:hint="cs"/>
          <w:rtl/>
        </w:rPr>
        <w:t xml:space="preserve">לנוחות הקוראים נתוני תוכנית התקציב הרב-שנתית מוצגים גם במערכת '"פיסקלי-דיגיטלי" שבאתר משרד האוצר בלינק: </w:t>
      </w:r>
      <w:hyperlink r:id="rId8" w:anchor="!/" w:history="1">
        <w:r w:rsidRPr="002132EA">
          <w:rPr>
            <w:rStyle w:val="Hyperlink"/>
          </w:rPr>
          <w:t>https://public.tableau.com/profile/mof.budget</w:t>
        </w:r>
        <w:r w:rsidRPr="002132EA">
          <w:rPr>
            <w:rStyle w:val="Hyperlink"/>
            <w:rtl/>
          </w:rPr>
          <w:t>#!/</w:t>
        </w:r>
      </w:hyperlink>
    </w:p>
    <w:p w:rsidR="00DC4053" w:rsidRPr="00B12B02" w:rsidRDefault="00DC4053" w:rsidP="00BF0450">
      <w:pPr>
        <w:spacing w:before="100" w:beforeAutospacing="1" w:after="100" w:afterAutospacing="1"/>
        <w:rPr>
          <w:rtl/>
        </w:rPr>
      </w:pPr>
      <w:r>
        <w:rPr>
          <w:rFonts w:hint="cs"/>
          <w:rtl/>
        </w:rPr>
        <w:t>כלל הנתונים מוצגים במחירים שוטפים כל עוד לא צוין במפורש אחרת.</w:t>
      </w:r>
    </w:p>
    <w:p w:rsidR="00DC4053" w:rsidRPr="003C0454" w:rsidRDefault="00DC4053" w:rsidP="00DC4053">
      <w:pPr>
        <w:spacing w:before="100" w:beforeAutospacing="1" w:after="100" w:afterAutospacing="1"/>
        <w:rPr>
          <w:b/>
          <w:bCs/>
          <w:highlight w:val="yellow"/>
          <w:rtl/>
        </w:rPr>
      </w:pPr>
      <w:r w:rsidRPr="003C0454">
        <w:rPr>
          <w:b/>
          <w:bCs/>
          <w:highlight w:val="yellow"/>
          <w:rtl/>
        </w:rPr>
        <w:br w:type="page"/>
      </w:r>
    </w:p>
    <w:p w:rsidR="00DC4053" w:rsidRPr="00B12B02" w:rsidRDefault="00DC4053" w:rsidP="00DC4053">
      <w:pPr>
        <w:spacing w:before="100" w:beforeAutospacing="1" w:after="100" w:afterAutospacing="1"/>
        <w:rPr>
          <w:b/>
          <w:bCs/>
          <w:rtl/>
        </w:rPr>
      </w:pPr>
      <w:r w:rsidRPr="00B12B02">
        <w:rPr>
          <w:rFonts w:hint="cs"/>
          <w:b/>
          <w:bCs/>
          <w:rtl/>
        </w:rPr>
        <w:lastRenderedPageBreak/>
        <w:t>ת</w:t>
      </w:r>
      <w:r>
        <w:rPr>
          <w:rFonts w:hint="cs"/>
          <w:b/>
          <w:bCs/>
          <w:rtl/>
        </w:rPr>
        <w:t>ו</w:t>
      </w:r>
      <w:r w:rsidRPr="00B12B02">
        <w:rPr>
          <w:rFonts w:hint="cs"/>
          <w:b/>
          <w:bCs/>
          <w:rtl/>
        </w:rPr>
        <w:t>כנית</w:t>
      </w:r>
      <w:r w:rsidRPr="00B12B02">
        <w:rPr>
          <w:b/>
          <w:bCs/>
          <w:rtl/>
        </w:rPr>
        <w:t xml:space="preserve"> </w:t>
      </w:r>
      <w:r>
        <w:rPr>
          <w:rFonts w:hint="cs"/>
          <w:b/>
          <w:bCs/>
          <w:rtl/>
        </w:rPr>
        <w:t xml:space="preserve">התקציב </w:t>
      </w:r>
      <w:r w:rsidRPr="00B12B02">
        <w:rPr>
          <w:rFonts w:hint="cs"/>
          <w:b/>
          <w:bCs/>
          <w:rtl/>
        </w:rPr>
        <w:t>הרב</w:t>
      </w:r>
      <w:r w:rsidRPr="00B12B02">
        <w:rPr>
          <w:b/>
          <w:bCs/>
          <w:rtl/>
        </w:rPr>
        <w:t xml:space="preserve">-שנתית לשנים </w:t>
      </w:r>
      <w:r>
        <w:rPr>
          <w:rFonts w:hint="cs"/>
          <w:b/>
          <w:bCs/>
          <w:rtl/>
        </w:rPr>
        <w:t>2020 עד 2022</w:t>
      </w:r>
    </w:p>
    <w:p w:rsidR="00DC4053" w:rsidRPr="00B12B02" w:rsidRDefault="00DC4053" w:rsidP="00DC4053">
      <w:pPr>
        <w:rPr>
          <w:rtl/>
        </w:rPr>
      </w:pPr>
      <w:r w:rsidRPr="00B12B02">
        <w:rPr>
          <w:rFonts w:hint="cs"/>
          <w:rtl/>
        </w:rPr>
        <w:t>יציבות</w:t>
      </w:r>
      <w:r w:rsidRPr="00B12B02">
        <w:rPr>
          <w:rtl/>
        </w:rPr>
        <w:t xml:space="preserve"> </w:t>
      </w:r>
      <w:r w:rsidRPr="00B12B02">
        <w:rPr>
          <w:rFonts w:hint="cs"/>
          <w:rtl/>
        </w:rPr>
        <w:t>פיסקלית</w:t>
      </w:r>
      <w:r w:rsidRPr="00B12B02">
        <w:rPr>
          <w:rtl/>
        </w:rPr>
        <w:t xml:space="preserve"> </w:t>
      </w:r>
      <w:r w:rsidRPr="00B12B02">
        <w:rPr>
          <w:rFonts w:hint="cs"/>
          <w:rtl/>
        </w:rPr>
        <w:t>ושמירה</w:t>
      </w:r>
      <w:r w:rsidRPr="00B12B02">
        <w:rPr>
          <w:rtl/>
        </w:rPr>
        <w:t xml:space="preserve"> </w:t>
      </w:r>
      <w:r w:rsidRPr="00B12B02">
        <w:rPr>
          <w:rFonts w:hint="cs"/>
          <w:rtl/>
        </w:rPr>
        <w:t>על</w:t>
      </w:r>
      <w:r w:rsidRPr="00B12B02">
        <w:rPr>
          <w:rtl/>
        </w:rPr>
        <w:t xml:space="preserve"> </w:t>
      </w:r>
      <w:r w:rsidRPr="00B12B02">
        <w:rPr>
          <w:rFonts w:hint="cs"/>
          <w:rtl/>
        </w:rPr>
        <w:t>אמינותה</w:t>
      </w:r>
      <w:r w:rsidRPr="00B12B02">
        <w:rPr>
          <w:rtl/>
        </w:rPr>
        <w:t xml:space="preserve"> </w:t>
      </w:r>
      <w:r w:rsidRPr="00B12B02">
        <w:rPr>
          <w:rFonts w:hint="cs"/>
          <w:rtl/>
        </w:rPr>
        <w:t>הפיסקלית</w:t>
      </w:r>
      <w:r w:rsidRPr="00B12B02">
        <w:rPr>
          <w:rtl/>
        </w:rPr>
        <w:t xml:space="preserve"> </w:t>
      </w:r>
      <w:r w:rsidRPr="00B12B02">
        <w:rPr>
          <w:rFonts w:hint="cs"/>
          <w:rtl/>
        </w:rPr>
        <w:t>של</w:t>
      </w:r>
      <w:r w:rsidRPr="00B12B02">
        <w:rPr>
          <w:rtl/>
        </w:rPr>
        <w:t xml:space="preserve"> </w:t>
      </w:r>
      <w:r w:rsidRPr="00B12B02">
        <w:rPr>
          <w:rFonts w:hint="cs"/>
          <w:rtl/>
        </w:rPr>
        <w:t>הממשלה</w:t>
      </w:r>
      <w:r w:rsidRPr="00B12B02">
        <w:rPr>
          <w:rtl/>
        </w:rPr>
        <w:t xml:space="preserve"> </w:t>
      </w:r>
      <w:r w:rsidRPr="00B12B02">
        <w:rPr>
          <w:rFonts w:hint="cs"/>
          <w:rtl/>
        </w:rPr>
        <w:t>הם</w:t>
      </w:r>
      <w:r w:rsidRPr="00B12B02">
        <w:rPr>
          <w:rtl/>
        </w:rPr>
        <w:t xml:space="preserve"> </w:t>
      </w:r>
      <w:r w:rsidRPr="00B12B02">
        <w:rPr>
          <w:rFonts w:hint="cs"/>
          <w:rtl/>
        </w:rPr>
        <w:t>תנאים</w:t>
      </w:r>
      <w:r w:rsidRPr="00B12B02">
        <w:rPr>
          <w:rtl/>
        </w:rPr>
        <w:t xml:space="preserve"> </w:t>
      </w:r>
      <w:r w:rsidRPr="00B12B02">
        <w:rPr>
          <w:rFonts w:hint="cs"/>
          <w:rtl/>
        </w:rPr>
        <w:t>הכרחיים</w:t>
      </w:r>
      <w:r w:rsidRPr="00B12B02">
        <w:rPr>
          <w:rtl/>
        </w:rPr>
        <w:t xml:space="preserve"> </w:t>
      </w:r>
      <w:r w:rsidRPr="00B12B02">
        <w:rPr>
          <w:rFonts w:hint="cs"/>
          <w:rtl/>
        </w:rPr>
        <w:t>ליציבותו</w:t>
      </w:r>
      <w:r w:rsidRPr="00B12B02">
        <w:rPr>
          <w:rtl/>
        </w:rPr>
        <w:t xml:space="preserve"> </w:t>
      </w:r>
      <w:r w:rsidRPr="00B12B02">
        <w:rPr>
          <w:rFonts w:hint="cs"/>
          <w:rtl/>
        </w:rPr>
        <w:t>הכלכלית</w:t>
      </w:r>
      <w:r w:rsidRPr="00B12B02">
        <w:rPr>
          <w:rtl/>
        </w:rPr>
        <w:t xml:space="preserve"> </w:t>
      </w:r>
      <w:r w:rsidRPr="00B12B02">
        <w:rPr>
          <w:rFonts w:hint="cs"/>
          <w:rtl/>
        </w:rPr>
        <w:t>של</w:t>
      </w:r>
      <w:r w:rsidRPr="00B12B02">
        <w:rPr>
          <w:rtl/>
        </w:rPr>
        <w:t xml:space="preserve"> </w:t>
      </w:r>
      <w:r w:rsidRPr="00B12B02">
        <w:rPr>
          <w:rFonts w:hint="cs"/>
          <w:rtl/>
        </w:rPr>
        <w:t>המשק</w:t>
      </w:r>
      <w:r w:rsidRPr="00B12B02">
        <w:rPr>
          <w:rtl/>
        </w:rPr>
        <w:t xml:space="preserve"> </w:t>
      </w:r>
      <w:r w:rsidRPr="00B12B02">
        <w:rPr>
          <w:rFonts w:hint="cs"/>
          <w:rtl/>
        </w:rPr>
        <w:t>וליכולתה</w:t>
      </w:r>
      <w:r w:rsidRPr="00B12B02">
        <w:rPr>
          <w:rtl/>
        </w:rPr>
        <w:t xml:space="preserve"> </w:t>
      </w:r>
      <w:r w:rsidRPr="00B12B02">
        <w:rPr>
          <w:rFonts w:hint="cs"/>
          <w:rtl/>
        </w:rPr>
        <w:t>של</w:t>
      </w:r>
      <w:r w:rsidRPr="00B12B02">
        <w:rPr>
          <w:rtl/>
        </w:rPr>
        <w:t xml:space="preserve"> </w:t>
      </w:r>
      <w:r w:rsidRPr="00B12B02">
        <w:rPr>
          <w:rFonts w:hint="cs"/>
          <w:rtl/>
        </w:rPr>
        <w:t>הממשלה</w:t>
      </w:r>
      <w:r w:rsidRPr="00B12B02">
        <w:rPr>
          <w:rtl/>
        </w:rPr>
        <w:t xml:space="preserve"> </w:t>
      </w:r>
      <w:r w:rsidRPr="00B12B02">
        <w:rPr>
          <w:rFonts w:hint="cs"/>
          <w:rtl/>
        </w:rPr>
        <w:t>להתמודד</w:t>
      </w:r>
      <w:r w:rsidRPr="00B12B02">
        <w:rPr>
          <w:rtl/>
        </w:rPr>
        <w:t xml:space="preserve"> </w:t>
      </w:r>
      <w:r w:rsidRPr="00B12B02">
        <w:rPr>
          <w:rFonts w:hint="cs"/>
          <w:rtl/>
        </w:rPr>
        <w:t>בהצלחה</w:t>
      </w:r>
      <w:r w:rsidRPr="00B12B02">
        <w:rPr>
          <w:rtl/>
        </w:rPr>
        <w:t xml:space="preserve"> </w:t>
      </w:r>
      <w:r w:rsidRPr="00B12B02">
        <w:rPr>
          <w:rFonts w:hint="cs"/>
          <w:rtl/>
        </w:rPr>
        <w:t>עם</w:t>
      </w:r>
      <w:r w:rsidRPr="00B12B02">
        <w:rPr>
          <w:rtl/>
        </w:rPr>
        <w:t xml:space="preserve"> </w:t>
      </w:r>
      <w:r w:rsidRPr="00B12B02">
        <w:rPr>
          <w:rFonts w:hint="cs"/>
          <w:rtl/>
        </w:rPr>
        <w:t>זעזועים</w:t>
      </w:r>
      <w:r w:rsidRPr="00B12B02">
        <w:rPr>
          <w:rtl/>
        </w:rPr>
        <w:t xml:space="preserve"> </w:t>
      </w:r>
      <w:r w:rsidRPr="00B12B02">
        <w:rPr>
          <w:rFonts w:hint="cs"/>
          <w:rtl/>
        </w:rPr>
        <w:t>כלכליים</w:t>
      </w:r>
      <w:r w:rsidRPr="00B12B02">
        <w:rPr>
          <w:rtl/>
        </w:rPr>
        <w:t xml:space="preserve">. </w:t>
      </w:r>
      <w:r w:rsidRPr="00B12B02">
        <w:rPr>
          <w:rFonts w:hint="cs"/>
          <w:rtl/>
        </w:rPr>
        <w:t>בהתאם</w:t>
      </w:r>
      <w:r w:rsidRPr="00B12B02">
        <w:rPr>
          <w:rtl/>
        </w:rPr>
        <w:t xml:space="preserve"> </w:t>
      </w:r>
      <w:r w:rsidRPr="00B12B02">
        <w:rPr>
          <w:rFonts w:hint="cs"/>
          <w:rtl/>
        </w:rPr>
        <w:t>לכך</w:t>
      </w:r>
      <w:r w:rsidRPr="00B12B02">
        <w:rPr>
          <w:rtl/>
        </w:rPr>
        <w:t xml:space="preserve">, </w:t>
      </w:r>
      <w:r w:rsidRPr="00B12B02">
        <w:rPr>
          <w:rFonts w:hint="cs"/>
          <w:rtl/>
        </w:rPr>
        <w:t>העמידה</w:t>
      </w:r>
      <w:r w:rsidRPr="00B12B02">
        <w:rPr>
          <w:rtl/>
        </w:rPr>
        <w:t xml:space="preserve"> </w:t>
      </w:r>
      <w:r w:rsidRPr="00B12B02">
        <w:rPr>
          <w:rFonts w:hint="cs"/>
          <w:rtl/>
        </w:rPr>
        <w:t>בכללים</w:t>
      </w:r>
      <w:r w:rsidRPr="00B12B02">
        <w:rPr>
          <w:rtl/>
        </w:rPr>
        <w:t xml:space="preserve"> </w:t>
      </w:r>
      <w:r w:rsidRPr="00B12B02">
        <w:rPr>
          <w:rFonts w:hint="cs"/>
          <w:rtl/>
        </w:rPr>
        <w:t>הפיסקליים</w:t>
      </w:r>
      <w:r w:rsidRPr="00B12B02">
        <w:rPr>
          <w:rtl/>
        </w:rPr>
        <w:t xml:space="preserve"> </w:t>
      </w:r>
      <w:r w:rsidRPr="00B12B02">
        <w:rPr>
          <w:rFonts w:hint="cs"/>
          <w:rtl/>
        </w:rPr>
        <w:t>הקבועים</w:t>
      </w:r>
      <w:r w:rsidRPr="00B12B02">
        <w:rPr>
          <w:rtl/>
        </w:rPr>
        <w:t xml:space="preserve"> </w:t>
      </w:r>
      <w:r w:rsidRPr="00B12B02">
        <w:rPr>
          <w:rFonts w:hint="cs"/>
          <w:rtl/>
        </w:rPr>
        <w:t>בחוק</w:t>
      </w:r>
      <w:r w:rsidRPr="00B12B02">
        <w:rPr>
          <w:rtl/>
        </w:rPr>
        <w:t xml:space="preserve">, </w:t>
      </w:r>
      <w:r w:rsidRPr="00B12B02">
        <w:rPr>
          <w:rFonts w:hint="cs"/>
          <w:rtl/>
        </w:rPr>
        <w:t>תאפשר</w:t>
      </w:r>
      <w:r w:rsidRPr="00B12B02">
        <w:rPr>
          <w:rtl/>
        </w:rPr>
        <w:t xml:space="preserve"> </w:t>
      </w:r>
      <w:r w:rsidRPr="00B12B02">
        <w:rPr>
          <w:rFonts w:hint="cs"/>
          <w:rtl/>
        </w:rPr>
        <w:t>הפעלת</w:t>
      </w:r>
      <w:r w:rsidRPr="00B12B02">
        <w:rPr>
          <w:rtl/>
        </w:rPr>
        <w:t xml:space="preserve"> </w:t>
      </w:r>
      <w:r w:rsidRPr="00B12B02">
        <w:rPr>
          <w:rFonts w:hint="cs"/>
          <w:rtl/>
        </w:rPr>
        <w:t>מדיניות</w:t>
      </w:r>
      <w:r w:rsidRPr="00B12B02">
        <w:rPr>
          <w:rtl/>
        </w:rPr>
        <w:t xml:space="preserve"> </w:t>
      </w:r>
      <w:r w:rsidRPr="00B12B02">
        <w:rPr>
          <w:rFonts w:hint="cs"/>
          <w:rtl/>
        </w:rPr>
        <w:t>אנטי</w:t>
      </w:r>
      <w:r w:rsidRPr="00B12B02">
        <w:rPr>
          <w:rtl/>
        </w:rPr>
        <w:t xml:space="preserve"> </w:t>
      </w:r>
      <w:r w:rsidRPr="00B12B02">
        <w:rPr>
          <w:rFonts w:hint="cs"/>
          <w:rtl/>
        </w:rPr>
        <w:t>מחזורית</w:t>
      </w:r>
      <w:r w:rsidRPr="00B12B02">
        <w:rPr>
          <w:rtl/>
        </w:rPr>
        <w:t xml:space="preserve"> </w:t>
      </w:r>
      <w:r w:rsidRPr="00B12B02">
        <w:rPr>
          <w:rFonts w:hint="cs"/>
          <w:rtl/>
        </w:rPr>
        <w:t>בעת</w:t>
      </w:r>
      <w:r w:rsidRPr="00B12B02">
        <w:rPr>
          <w:rtl/>
        </w:rPr>
        <w:t xml:space="preserve"> </w:t>
      </w:r>
      <w:r w:rsidRPr="00B12B02">
        <w:rPr>
          <w:rFonts w:hint="cs"/>
          <w:rtl/>
        </w:rPr>
        <w:t>משבר</w:t>
      </w:r>
      <w:r w:rsidRPr="00B12B02">
        <w:rPr>
          <w:rtl/>
        </w:rPr>
        <w:t xml:space="preserve"> </w:t>
      </w:r>
      <w:r w:rsidRPr="00B12B02">
        <w:rPr>
          <w:rFonts w:hint="cs"/>
          <w:rtl/>
        </w:rPr>
        <w:t>כלכלי</w:t>
      </w:r>
      <w:r w:rsidRPr="00B12B02">
        <w:rPr>
          <w:rtl/>
        </w:rPr>
        <w:t xml:space="preserve">, </w:t>
      </w:r>
      <w:r w:rsidRPr="00B12B02">
        <w:rPr>
          <w:rFonts w:hint="cs"/>
          <w:rtl/>
        </w:rPr>
        <w:t>וכך</w:t>
      </w:r>
      <w:r w:rsidRPr="00B12B02">
        <w:rPr>
          <w:rtl/>
        </w:rPr>
        <w:t xml:space="preserve"> </w:t>
      </w:r>
      <w:r w:rsidRPr="00B12B02">
        <w:rPr>
          <w:rFonts w:hint="cs"/>
          <w:rtl/>
        </w:rPr>
        <w:t>היא</w:t>
      </w:r>
      <w:r w:rsidRPr="00B12B02">
        <w:rPr>
          <w:rtl/>
        </w:rPr>
        <w:t xml:space="preserve"> </w:t>
      </w:r>
      <w:r w:rsidRPr="00B12B02">
        <w:rPr>
          <w:rFonts w:hint="cs"/>
          <w:rtl/>
        </w:rPr>
        <w:t>תתמוך</w:t>
      </w:r>
      <w:r w:rsidRPr="00B12B02">
        <w:rPr>
          <w:rtl/>
        </w:rPr>
        <w:t xml:space="preserve"> </w:t>
      </w:r>
      <w:r w:rsidRPr="00B12B02">
        <w:rPr>
          <w:rFonts w:hint="cs"/>
          <w:rtl/>
        </w:rPr>
        <w:t>בצמיחה</w:t>
      </w:r>
      <w:r w:rsidRPr="00B12B02">
        <w:rPr>
          <w:rtl/>
        </w:rPr>
        <w:t xml:space="preserve"> </w:t>
      </w:r>
      <w:r w:rsidRPr="00B12B02">
        <w:rPr>
          <w:rFonts w:hint="cs"/>
          <w:rtl/>
        </w:rPr>
        <w:t>בת</w:t>
      </w:r>
      <w:r w:rsidRPr="00B12B02">
        <w:rPr>
          <w:rtl/>
        </w:rPr>
        <w:t>-</w:t>
      </w:r>
      <w:r w:rsidRPr="00B12B02">
        <w:rPr>
          <w:rFonts w:hint="cs"/>
          <w:rtl/>
        </w:rPr>
        <w:t>קיימא</w:t>
      </w:r>
      <w:r w:rsidRPr="00B12B02">
        <w:rPr>
          <w:rtl/>
        </w:rPr>
        <w:t xml:space="preserve"> במשק. </w:t>
      </w:r>
    </w:p>
    <w:p w:rsidR="00DC4053" w:rsidRPr="00B12B02" w:rsidRDefault="00DC4053" w:rsidP="00DC4053">
      <w:pPr>
        <w:rPr>
          <w:rtl/>
        </w:rPr>
      </w:pPr>
      <w:r w:rsidRPr="00B12B02">
        <w:rPr>
          <w:rFonts w:hint="cs"/>
          <w:rtl/>
        </w:rPr>
        <w:t>מחקרים</w:t>
      </w:r>
      <w:r w:rsidRPr="00B12B02">
        <w:rPr>
          <w:rtl/>
        </w:rPr>
        <w:t xml:space="preserve"> </w:t>
      </w:r>
      <w:r w:rsidRPr="00B12B02">
        <w:rPr>
          <w:rFonts w:hint="cs"/>
          <w:rtl/>
        </w:rPr>
        <w:t>של</w:t>
      </w:r>
      <w:r w:rsidRPr="00B12B02">
        <w:rPr>
          <w:rtl/>
        </w:rPr>
        <w:t xml:space="preserve"> </w:t>
      </w:r>
      <w:r w:rsidRPr="00B12B02">
        <w:rPr>
          <w:rFonts w:hint="cs"/>
          <w:rtl/>
        </w:rPr>
        <w:t>גופים</w:t>
      </w:r>
      <w:r w:rsidRPr="00B12B02">
        <w:rPr>
          <w:rtl/>
        </w:rPr>
        <w:t xml:space="preserve"> </w:t>
      </w:r>
      <w:r w:rsidRPr="00B12B02">
        <w:rPr>
          <w:rFonts w:hint="cs"/>
          <w:rtl/>
        </w:rPr>
        <w:t>בין</w:t>
      </w:r>
      <w:r w:rsidRPr="00B12B02">
        <w:rPr>
          <w:rtl/>
        </w:rPr>
        <w:t xml:space="preserve">-לאומיים </w:t>
      </w:r>
      <w:r w:rsidRPr="00B12B02">
        <w:rPr>
          <w:rFonts w:hint="cs"/>
          <w:rtl/>
        </w:rPr>
        <w:t>שונים</w:t>
      </w:r>
      <w:r w:rsidRPr="00B12B02">
        <w:rPr>
          <w:rtl/>
        </w:rPr>
        <w:t xml:space="preserve"> וביניהם קרן המטבע הבין-לאומית</w:t>
      </w:r>
      <w:r>
        <w:rPr>
          <w:rFonts w:hint="cs"/>
        </w:rPr>
        <w:t xml:space="preserve"> </w:t>
      </w:r>
      <w:r>
        <w:rPr>
          <w:rFonts w:hint="cs"/>
          <w:rtl/>
        </w:rPr>
        <w:t>(ה-</w:t>
      </w:r>
      <w:r w:rsidRPr="00403C8F">
        <w:rPr>
          <w:sz w:val="20"/>
          <w:szCs w:val="20"/>
        </w:rPr>
        <w:t>IMF</w:t>
      </w:r>
      <w:r>
        <w:rPr>
          <w:rFonts w:hint="cs"/>
          <w:rtl/>
        </w:rPr>
        <w:t>)</w:t>
      </w:r>
      <w:r w:rsidRPr="00B12B02">
        <w:rPr>
          <w:rtl/>
        </w:rPr>
        <w:t xml:space="preserve">, מראים כי היכולת של ממשלות </w:t>
      </w:r>
      <w:r w:rsidRPr="00B12B02">
        <w:rPr>
          <w:rFonts w:hint="cs"/>
          <w:rtl/>
        </w:rPr>
        <w:t>להגדיל</w:t>
      </w:r>
      <w:r w:rsidRPr="00B12B02">
        <w:rPr>
          <w:rtl/>
        </w:rPr>
        <w:t xml:space="preserve"> </w:t>
      </w:r>
      <w:r w:rsidRPr="00B12B02">
        <w:rPr>
          <w:rFonts w:hint="cs"/>
          <w:rtl/>
        </w:rPr>
        <w:t>הוצאה</w:t>
      </w:r>
      <w:r w:rsidRPr="00B12B02">
        <w:rPr>
          <w:rtl/>
        </w:rPr>
        <w:t xml:space="preserve"> </w:t>
      </w:r>
      <w:r w:rsidRPr="00B12B02">
        <w:rPr>
          <w:rFonts w:hint="cs"/>
          <w:rtl/>
        </w:rPr>
        <w:t>באירועי</w:t>
      </w:r>
      <w:r w:rsidRPr="00B12B02">
        <w:rPr>
          <w:rtl/>
        </w:rPr>
        <w:t xml:space="preserve"> </w:t>
      </w:r>
      <w:r w:rsidRPr="00B12B02">
        <w:rPr>
          <w:rFonts w:hint="cs"/>
          <w:rtl/>
        </w:rPr>
        <w:t>משבר</w:t>
      </w:r>
      <w:r w:rsidRPr="00B12B02">
        <w:rPr>
          <w:rtl/>
        </w:rPr>
        <w:t xml:space="preserve">, פוחתת כאשר תנאי הפתיחה טרם המשבר חלשים יותר. כפועל יוצא, הפסדי התוצר בעת משבר במשק בעל תנאי פתיחה פיסקליים נחותים, עשויים להיות גבוהים בשיעורים ניכרים ממשק שהיטיב להיערך מבעוד מועד למשבר הכלכלי. הדבר </w:t>
      </w:r>
      <w:r w:rsidRPr="00B12B02">
        <w:rPr>
          <w:rFonts w:hint="cs"/>
          <w:rtl/>
        </w:rPr>
        <w:t>אף</w:t>
      </w:r>
      <w:r w:rsidRPr="00B12B02">
        <w:rPr>
          <w:rtl/>
        </w:rPr>
        <w:t xml:space="preserve"> </w:t>
      </w:r>
      <w:r w:rsidRPr="00B12B02">
        <w:rPr>
          <w:rFonts w:hint="cs"/>
          <w:rtl/>
        </w:rPr>
        <w:t>עשוי</w:t>
      </w:r>
      <w:r w:rsidRPr="00B12B02">
        <w:rPr>
          <w:rtl/>
        </w:rPr>
        <w:t xml:space="preserve"> </w:t>
      </w:r>
      <w:r w:rsidRPr="00B12B02">
        <w:rPr>
          <w:rFonts w:hint="cs"/>
          <w:rtl/>
        </w:rPr>
        <w:t>להשליך</w:t>
      </w:r>
      <w:r w:rsidRPr="00B12B02">
        <w:rPr>
          <w:rtl/>
        </w:rPr>
        <w:t xml:space="preserve"> </w:t>
      </w:r>
      <w:r w:rsidRPr="00B12B02">
        <w:rPr>
          <w:rFonts w:hint="cs"/>
          <w:rtl/>
        </w:rPr>
        <w:t>על</w:t>
      </w:r>
      <w:r w:rsidRPr="00B12B02">
        <w:rPr>
          <w:rtl/>
        </w:rPr>
        <w:t xml:space="preserve"> </w:t>
      </w:r>
      <w:r w:rsidRPr="00B12B02">
        <w:rPr>
          <w:rFonts w:hint="cs"/>
          <w:rtl/>
        </w:rPr>
        <w:t>היקף</w:t>
      </w:r>
      <w:r w:rsidRPr="00B12B02">
        <w:rPr>
          <w:rtl/>
        </w:rPr>
        <w:t xml:space="preserve"> </w:t>
      </w:r>
      <w:r w:rsidRPr="00B12B02">
        <w:rPr>
          <w:rFonts w:hint="cs"/>
          <w:rtl/>
        </w:rPr>
        <w:t>העלייה</w:t>
      </w:r>
      <w:r w:rsidRPr="00B12B02">
        <w:rPr>
          <w:rtl/>
        </w:rPr>
        <w:t xml:space="preserve"> </w:t>
      </w:r>
      <w:r w:rsidRPr="00B12B02">
        <w:rPr>
          <w:rFonts w:hint="cs"/>
          <w:rtl/>
        </w:rPr>
        <w:t>בשיעור</w:t>
      </w:r>
      <w:r w:rsidRPr="00B12B02">
        <w:rPr>
          <w:rtl/>
        </w:rPr>
        <w:t xml:space="preserve"> </w:t>
      </w:r>
      <w:r w:rsidRPr="00B12B02">
        <w:rPr>
          <w:rFonts w:hint="cs"/>
          <w:rtl/>
        </w:rPr>
        <w:t>הבלתי</w:t>
      </w:r>
      <w:r w:rsidRPr="00B12B02">
        <w:rPr>
          <w:rtl/>
        </w:rPr>
        <w:t xml:space="preserve"> </w:t>
      </w:r>
      <w:r w:rsidRPr="00B12B02">
        <w:rPr>
          <w:rFonts w:hint="cs"/>
          <w:rtl/>
        </w:rPr>
        <w:t>מועסקים</w:t>
      </w:r>
      <w:r w:rsidRPr="00B12B02">
        <w:rPr>
          <w:rtl/>
        </w:rPr>
        <w:t xml:space="preserve"> </w:t>
      </w:r>
      <w:r w:rsidRPr="00B12B02">
        <w:rPr>
          <w:rFonts w:hint="cs"/>
          <w:rtl/>
        </w:rPr>
        <w:t>במשק</w:t>
      </w:r>
      <w:r w:rsidRPr="00B12B02">
        <w:rPr>
          <w:rtl/>
        </w:rPr>
        <w:t xml:space="preserve"> </w:t>
      </w:r>
      <w:r w:rsidRPr="00B12B02">
        <w:rPr>
          <w:rFonts w:hint="cs"/>
          <w:rtl/>
        </w:rPr>
        <w:t>וכן</w:t>
      </w:r>
      <w:r w:rsidRPr="00B12B02">
        <w:rPr>
          <w:rtl/>
        </w:rPr>
        <w:t xml:space="preserve"> </w:t>
      </w:r>
      <w:r w:rsidRPr="00B12B02">
        <w:rPr>
          <w:rFonts w:hint="cs"/>
          <w:rtl/>
        </w:rPr>
        <w:t>על</w:t>
      </w:r>
      <w:r w:rsidRPr="00B12B02">
        <w:rPr>
          <w:rtl/>
        </w:rPr>
        <w:t xml:space="preserve"> </w:t>
      </w:r>
      <w:r w:rsidRPr="00B12B02">
        <w:rPr>
          <w:rFonts w:hint="cs"/>
          <w:rtl/>
        </w:rPr>
        <w:t>משכי</w:t>
      </w:r>
      <w:r w:rsidRPr="00B12B02">
        <w:rPr>
          <w:rtl/>
        </w:rPr>
        <w:t xml:space="preserve"> </w:t>
      </w:r>
      <w:r w:rsidRPr="00B12B02">
        <w:rPr>
          <w:rFonts w:hint="cs"/>
          <w:rtl/>
        </w:rPr>
        <w:t>הזמן</w:t>
      </w:r>
      <w:r w:rsidRPr="00B12B02">
        <w:rPr>
          <w:rtl/>
        </w:rPr>
        <w:t xml:space="preserve"> </w:t>
      </w:r>
      <w:r w:rsidRPr="00B12B02">
        <w:rPr>
          <w:rFonts w:hint="cs"/>
          <w:rtl/>
        </w:rPr>
        <w:t>שייקח</w:t>
      </w:r>
      <w:r w:rsidRPr="00B12B02">
        <w:rPr>
          <w:rtl/>
        </w:rPr>
        <w:t xml:space="preserve"> </w:t>
      </w:r>
      <w:r w:rsidRPr="00B12B02">
        <w:rPr>
          <w:rFonts w:hint="cs"/>
          <w:rtl/>
        </w:rPr>
        <w:t>לכלכלה</w:t>
      </w:r>
      <w:r w:rsidRPr="00B12B02">
        <w:rPr>
          <w:rtl/>
        </w:rPr>
        <w:t xml:space="preserve"> </w:t>
      </w:r>
      <w:r w:rsidRPr="00B12B02">
        <w:rPr>
          <w:rFonts w:hint="cs"/>
          <w:rtl/>
        </w:rPr>
        <w:t>להתאושש</w:t>
      </w:r>
      <w:r w:rsidRPr="00B12B02">
        <w:rPr>
          <w:rtl/>
        </w:rPr>
        <w:t xml:space="preserve"> </w:t>
      </w:r>
      <w:r w:rsidRPr="00B12B02">
        <w:rPr>
          <w:rFonts w:hint="cs"/>
          <w:rtl/>
        </w:rPr>
        <w:t>מהמשבר</w:t>
      </w:r>
      <w:r w:rsidRPr="00B12B02">
        <w:rPr>
          <w:rtl/>
        </w:rPr>
        <w:t>.</w:t>
      </w:r>
    </w:p>
    <w:p w:rsidR="00DC4053" w:rsidRDefault="00DC4053" w:rsidP="00DC4053">
      <w:pPr>
        <w:rPr>
          <w:rtl/>
        </w:rPr>
      </w:pPr>
      <w:r w:rsidRPr="00B12B02">
        <w:rPr>
          <w:rFonts w:hint="cs"/>
          <w:rtl/>
        </w:rPr>
        <w:t>על</w:t>
      </w:r>
      <w:r w:rsidRPr="00B12B02">
        <w:rPr>
          <w:rtl/>
        </w:rPr>
        <w:t>-</w:t>
      </w:r>
      <w:r w:rsidRPr="00B12B02">
        <w:rPr>
          <w:rFonts w:hint="cs"/>
          <w:rtl/>
        </w:rPr>
        <w:t>פי</w:t>
      </w:r>
      <w:r w:rsidRPr="00B12B02">
        <w:rPr>
          <w:rtl/>
        </w:rPr>
        <w:t xml:space="preserve"> </w:t>
      </w:r>
      <w:r w:rsidRPr="00B12B02">
        <w:rPr>
          <w:rFonts w:hint="cs"/>
          <w:rtl/>
        </w:rPr>
        <w:t>התחזיות</w:t>
      </w:r>
      <w:r w:rsidRPr="00B12B02">
        <w:rPr>
          <w:rtl/>
        </w:rPr>
        <w:t xml:space="preserve"> </w:t>
      </w:r>
      <w:r w:rsidRPr="00B12B02">
        <w:rPr>
          <w:rFonts w:hint="cs"/>
          <w:rtl/>
        </w:rPr>
        <w:t>הקיימות</w:t>
      </w:r>
      <w:r w:rsidRPr="00B12B02">
        <w:rPr>
          <w:rtl/>
        </w:rPr>
        <w:t xml:space="preserve"> </w:t>
      </w:r>
      <w:r w:rsidRPr="00B12B02">
        <w:rPr>
          <w:rFonts w:hint="cs"/>
          <w:rtl/>
        </w:rPr>
        <w:t>לגבי</w:t>
      </w:r>
      <w:r w:rsidRPr="00B12B02">
        <w:rPr>
          <w:rtl/>
        </w:rPr>
        <w:t xml:space="preserve"> </w:t>
      </w:r>
      <w:r w:rsidRPr="00B12B02">
        <w:rPr>
          <w:rFonts w:hint="cs"/>
          <w:rtl/>
        </w:rPr>
        <w:t>מחויבויותיה</w:t>
      </w:r>
      <w:r w:rsidRPr="00B12B02">
        <w:rPr>
          <w:rtl/>
        </w:rPr>
        <w:t xml:space="preserve"> </w:t>
      </w:r>
      <w:r w:rsidRPr="00B12B02">
        <w:rPr>
          <w:rFonts w:hint="cs"/>
          <w:rtl/>
        </w:rPr>
        <w:t>התקציביות</w:t>
      </w:r>
      <w:r w:rsidRPr="00B12B02">
        <w:rPr>
          <w:rtl/>
        </w:rPr>
        <w:t xml:space="preserve"> </w:t>
      </w:r>
      <w:r w:rsidRPr="00B12B02">
        <w:rPr>
          <w:rFonts w:hint="cs"/>
          <w:rtl/>
        </w:rPr>
        <w:t>של</w:t>
      </w:r>
      <w:r w:rsidRPr="00B12B02">
        <w:rPr>
          <w:rtl/>
        </w:rPr>
        <w:t xml:space="preserve"> </w:t>
      </w:r>
      <w:r w:rsidRPr="00B12B02">
        <w:rPr>
          <w:rFonts w:hint="cs"/>
          <w:rtl/>
        </w:rPr>
        <w:t>הממשלה</w:t>
      </w:r>
      <w:r w:rsidRPr="00B12B02">
        <w:rPr>
          <w:rtl/>
        </w:rPr>
        <w:t xml:space="preserve"> </w:t>
      </w:r>
      <w:r w:rsidRPr="00B12B02">
        <w:rPr>
          <w:rFonts w:hint="cs"/>
          <w:rtl/>
        </w:rPr>
        <w:t>ולגבי</w:t>
      </w:r>
      <w:r w:rsidRPr="00B12B02">
        <w:rPr>
          <w:rtl/>
        </w:rPr>
        <w:t xml:space="preserve"> </w:t>
      </w:r>
      <w:r w:rsidRPr="00B12B02">
        <w:rPr>
          <w:rFonts w:hint="cs"/>
          <w:rtl/>
        </w:rPr>
        <w:t>הכנסות</w:t>
      </w:r>
      <w:r w:rsidRPr="00B12B02">
        <w:rPr>
          <w:rtl/>
        </w:rPr>
        <w:t xml:space="preserve"> </w:t>
      </w:r>
      <w:r w:rsidRPr="00B12B02">
        <w:rPr>
          <w:rFonts w:hint="cs"/>
          <w:rtl/>
        </w:rPr>
        <w:t>המדינה</w:t>
      </w:r>
      <w:r w:rsidRPr="00B12B02">
        <w:rPr>
          <w:rtl/>
        </w:rPr>
        <w:t xml:space="preserve"> </w:t>
      </w:r>
      <w:r w:rsidRPr="00B12B02">
        <w:rPr>
          <w:rFonts w:hint="cs"/>
          <w:rtl/>
        </w:rPr>
        <w:t>לשנים</w:t>
      </w:r>
      <w:r w:rsidRPr="00B12B02">
        <w:rPr>
          <w:rtl/>
        </w:rPr>
        <w:t xml:space="preserve"> </w:t>
      </w:r>
      <w:r>
        <w:rPr>
          <w:rFonts w:hint="cs"/>
          <w:rtl/>
        </w:rPr>
        <w:t>2022-2020</w:t>
      </w:r>
      <w:r w:rsidRPr="00B12B02">
        <w:rPr>
          <w:rtl/>
        </w:rPr>
        <w:t xml:space="preserve">, </w:t>
      </w:r>
      <w:r w:rsidRPr="00B12B02">
        <w:rPr>
          <w:rFonts w:hint="cs"/>
          <w:rtl/>
        </w:rPr>
        <w:t>לצורך</w:t>
      </w:r>
      <w:r w:rsidRPr="00B12B02">
        <w:rPr>
          <w:rtl/>
        </w:rPr>
        <w:t xml:space="preserve"> </w:t>
      </w:r>
      <w:r w:rsidRPr="00B12B02">
        <w:rPr>
          <w:rFonts w:hint="cs"/>
          <w:rtl/>
        </w:rPr>
        <w:t>עמידה</w:t>
      </w:r>
      <w:r w:rsidRPr="00B12B02">
        <w:rPr>
          <w:rtl/>
        </w:rPr>
        <w:t xml:space="preserve"> </w:t>
      </w:r>
      <w:r w:rsidRPr="00B12B02">
        <w:rPr>
          <w:rFonts w:hint="cs"/>
          <w:rtl/>
        </w:rPr>
        <w:t>במגבלות</w:t>
      </w:r>
      <w:r w:rsidRPr="00B12B02">
        <w:rPr>
          <w:rtl/>
        </w:rPr>
        <w:t xml:space="preserve"> </w:t>
      </w:r>
      <w:r w:rsidRPr="00B12B02">
        <w:rPr>
          <w:rFonts w:hint="cs"/>
          <w:rtl/>
        </w:rPr>
        <w:t>הפיסקליות</w:t>
      </w:r>
      <w:r w:rsidRPr="00B12B02">
        <w:rPr>
          <w:rtl/>
        </w:rPr>
        <w:t xml:space="preserve">, יידרשו בכל אחת מהשנים האמורות צעדי התאמה </w:t>
      </w:r>
      <w:r>
        <w:rPr>
          <w:rFonts w:hint="cs"/>
          <w:rtl/>
        </w:rPr>
        <w:t>לצורך התכנסות לתקרת הגירעון בלבד</w:t>
      </w:r>
      <w:r w:rsidRPr="00B12B02">
        <w:rPr>
          <w:rtl/>
        </w:rPr>
        <w:t xml:space="preserve">, </w:t>
      </w:r>
      <w:r w:rsidRPr="00B12B02">
        <w:rPr>
          <w:rFonts w:hint="cs"/>
          <w:rtl/>
        </w:rPr>
        <w:t>זאת</w:t>
      </w:r>
      <w:r w:rsidRPr="00B12B02">
        <w:rPr>
          <w:rtl/>
        </w:rPr>
        <w:t xml:space="preserve"> </w:t>
      </w:r>
      <w:r w:rsidRPr="00B12B02">
        <w:rPr>
          <w:rFonts w:hint="cs"/>
          <w:rtl/>
        </w:rPr>
        <w:t>בהתאם</w:t>
      </w:r>
      <w:r>
        <w:rPr>
          <w:rFonts w:hint="cs"/>
          <w:rtl/>
        </w:rPr>
        <w:t xml:space="preserve"> לנתונים הידועים נכון למועד זה,</w:t>
      </w:r>
      <w:r w:rsidRPr="00B12B02">
        <w:rPr>
          <w:rtl/>
        </w:rPr>
        <w:t xml:space="preserve"> </w:t>
      </w:r>
      <w:r>
        <w:rPr>
          <w:rFonts w:hint="cs"/>
          <w:rtl/>
        </w:rPr>
        <w:t xml:space="preserve">ובהתאם </w:t>
      </w:r>
      <w:r w:rsidRPr="00B12B02">
        <w:rPr>
          <w:rFonts w:hint="cs"/>
          <w:rtl/>
        </w:rPr>
        <w:t>למתואר</w:t>
      </w:r>
      <w:r w:rsidRPr="00B12B02">
        <w:rPr>
          <w:rtl/>
        </w:rPr>
        <w:t xml:space="preserve"> </w:t>
      </w:r>
      <w:r w:rsidRPr="00B12B02">
        <w:rPr>
          <w:rFonts w:hint="cs"/>
          <w:rtl/>
        </w:rPr>
        <w:t>בטבלה</w:t>
      </w:r>
      <w:r w:rsidRPr="00B12B02">
        <w:rPr>
          <w:rtl/>
        </w:rPr>
        <w:t xml:space="preserve"> </w:t>
      </w:r>
      <w:r w:rsidRPr="00B12B02">
        <w:rPr>
          <w:rFonts w:hint="cs"/>
          <w:rtl/>
        </w:rPr>
        <w:t>שלהלן</w:t>
      </w:r>
      <w:r w:rsidRPr="00B12B02">
        <w:rPr>
          <w:rtl/>
        </w:rPr>
        <w:t>.</w:t>
      </w:r>
    </w:p>
    <w:p w:rsidR="00FD0CE5" w:rsidRPr="00B12B02" w:rsidRDefault="00FD0CE5" w:rsidP="00DC4053">
      <w:pPr>
        <w:rPr>
          <w:rtl/>
        </w:rPr>
      </w:pPr>
    </w:p>
    <w:tbl>
      <w:tblPr>
        <w:bidiVisual/>
        <w:tblW w:w="8586"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047"/>
        <w:gridCol w:w="1513"/>
        <w:gridCol w:w="1513"/>
        <w:gridCol w:w="1513"/>
      </w:tblGrid>
      <w:tr w:rsidR="00DC4053" w:rsidRPr="002410AE" w:rsidTr="00D00A54">
        <w:trPr>
          <w:trHeight w:val="300"/>
        </w:trPr>
        <w:tc>
          <w:tcPr>
            <w:tcW w:w="4047" w:type="dxa"/>
            <w:tcBorders>
              <w:top w:val="single" w:sz="4" w:space="0" w:color="auto"/>
              <w:bottom w:val="nil"/>
              <w:right w:val="single" w:sz="4" w:space="0" w:color="auto"/>
            </w:tcBorders>
            <w:shd w:val="clear" w:color="000000" w:fill="1F497D"/>
            <w:vAlign w:val="bottom"/>
            <w:hideMark/>
          </w:tcPr>
          <w:p w:rsidR="00DC4053" w:rsidRPr="00A34826" w:rsidRDefault="00DC4053" w:rsidP="00D00A54">
            <w:pPr>
              <w:bidi w:val="0"/>
              <w:spacing w:after="0" w:line="240" w:lineRule="auto"/>
              <w:jc w:val="right"/>
              <w:rPr>
                <w:rFonts w:ascii="David" w:eastAsia="Times New Roman" w:hAnsi="David"/>
                <w:b/>
                <w:bCs/>
                <w:color w:val="FFFFFF"/>
                <w:sz w:val="20"/>
                <w:szCs w:val="20"/>
              </w:rPr>
            </w:pPr>
            <w:r w:rsidRPr="002410AE">
              <w:rPr>
                <w:rFonts w:ascii="David" w:hAnsi="David"/>
                <w:b/>
                <w:bCs/>
                <w:color w:val="FFFFFF"/>
                <w:sz w:val="20"/>
                <w:szCs w:val="20"/>
                <w:rtl/>
              </w:rPr>
              <w:t xml:space="preserve">(במיליארדי </w:t>
            </w:r>
            <w:r w:rsidRPr="002410AE">
              <w:rPr>
                <w:rFonts w:ascii="David" w:hAnsi="David" w:hint="eastAsia"/>
                <w:b/>
                <w:bCs/>
                <w:color w:val="FFFFFF"/>
                <w:sz w:val="20"/>
                <w:szCs w:val="20"/>
                <w:rtl/>
              </w:rPr>
              <w:t>ש</w:t>
            </w:r>
            <w:r w:rsidRPr="002410AE">
              <w:rPr>
                <w:rFonts w:ascii="David" w:hAnsi="David"/>
                <w:b/>
                <w:bCs/>
                <w:color w:val="FFFFFF"/>
                <w:sz w:val="20"/>
                <w:szCs w:val="20"/>
                <w:rtl/>
              </w:rPr>
              <w:t>"ח)</w:t>
            </w:r>
          </w:p>
        </w:tc>
        <w:tc>
          <w:tcPr>
            <w:tcW w:w="1513" w:type="dxa"/>
            <w:tcBorders>
              <w:left w:val="single" w:sz="4" w:space="0" w:color="auto"/>
              <w:right w:val="single" w:sz="4" w:space="0" w:color="auto"/>
            </w:tcBorders>
            <w:shd w:val="clear" w:color="000000" w:fill="1F497D"/>
            <w:vAlign w:val="center"/>
            <w:hideMark/>
          </w:tcPr>
          <w:p w:rsidR="00DC4053" w:rsidRPr="00A34826" w:rsidRDefault="00DC4053" w:rsidP="00D00A54">
            <w:pPr>
              <w:spacing w:after="0" w:line="240" w:lineRule="auto"/>
              <w:jc w:val="center"/>
              <w:rPr>
                <w:rFonts w:ascii="David" w:eastAsia="Times New Roman" w:hAnsi="David"/>
                <w:b/>
                <w:bCs/>
                <w:color w:val="FFFFFF"/>
                <w:sz w:val="20"/>
                <w:szCs w:val="20"/>
              </w:rPr>
            </w:pPr>
            <w:r w:rsidRPr="00A34826">
              <w:rPr>
                <w:rFonts w:ascii="David" w:eastAsia="Times New Roman" w:hAnsi="David" w:hint="eastAsia"/>
                <w:b/>
                <w:bCs/>
                <w:color w:val="FFFFFF"/>
                <w:sz w:val="20"/>
                <w:szCs w:val="20"/>
                <w:rtl/>
              </w:rPr>
              <w:t>שנת</w:t>
            </w:r>
            <w:r w:rsidRPr="00A34826">
              <w:rPr>
                <w:rFonts w:ascii="David" w:eastAsia="Times New Roman" w:hAnsi="David"/>
                <w:b/>
                <w:bCs/>
                <w:color w:val="FFFFFF"/>
                <w:sz w:val="20"/>
                <w:szCs w:val="20"/>
                <w:rtl/>
              </w:rPr>
              <w:t xml:space="preserve"> 2020</w:t>
            </w:r>
          </w:p>
        </w:tc>
        <w:tc>
          <w:tcPr>
            <w:tcW w:w="1513" w:type="dxa"/>
            <w:tcBorders>
              <w:top w:val="single" w:sz="4" w:space="0" w:color="auto"/>
              <w:left w:val="single" w:sz="4" w:space="0" w:color="auto"/>
              <w:bottom w:val="nil"/>
              <w:right w:val="single" w:sz="4" w:space="0" w:color="auto"/>
            </w:tcBorders>
            <w:shd w:val="clear" w:color="000000" w:fill="1F497D"/>
            <w:vAlign w:val="center"/>
            <w:hideMark/>
          </w:tcPr>
          <w:p w:rsidR="00DC4053" w:rsidRPr="00A34826" w:rsidRDefault="00DC4053" w:rsidP="00D00A54">
            <w:pPr>
              <w:spacing w:after="0" w:line="240" w:lineRule="auto"/>
              <w:jc w:val="center"/>
              <w:rPr>
                <w:rFonts w:ascii="David" w:eastAsia="Times New Roman" w:hAnsi="David"/>
                <w:b/>
                <w:bCs/>
                <w:color w:val="FFFFFF"/>
                <w:sz w:val="20"/>
                <w:szCs w:val="20"/>
              </w:rPr>
            </w:pPr>
            <w:r w:rsidRPr="00A34826">
              <w:rPr>
                <w:rFonts w:ascii="David" w:eastAsia="Times New Roman" w:hAnsi="David" w:hint="eastAsia"/>
                <w:b/>
                <w:bCs/>
                <w:color w:val="FFFFFF"/>
                <w:sz w:val="20"/>
                <w:szCs w:val="20"/>
                <w:rtl/>
              </w:rPr>
              <w:t>שנת</w:t>
            </w:r>
            <w:r w:rsidRPr="00A34826">
              <w:rPr>
                <w:rFonts w:ascii="David" w:eastAsia="Times New Roman" w:hAnsi="David"/>
                <w:b/>
                <w:bCs/>
                <w:color w:val="FFFFFF"/>
                <w:sz w:val="20"/>
                <w:szCs w:val="20"/>
                <w:rtl/>
              </w:rPr>
              <w:t xml:space="preserve"> 2021</w:t>
            </w:r>
          </w:p>
        </w:tc>
        <w:tc>
          <w:tcPr>
            <w:tcW w:w="1513" w:type="dxa"/>
            <w:tcBorders>
              <w:top w:val="single" w:sz="4" w:space="0" w:color="auto"/>
              <w:left w:val="single" w:sz="4" w:space="0" w:color="auto"/>
              <w:bottom w:val="nil"/>
            </w:tcBorders>
            <w:shd w:val="clear" w:color="000000" w:fill="1F497D"/>
            <w:vAlign w:val="center"/>
          </w:tcPr>
          <w:p w:rsidR="00DC4053" w:rsidRPr="00A34826" w:rsidRDefault="00DC4053" w:rsidP="00D00A54">
            <w:pPr>
              <w:spacing w:after="0" w:line="240" w:lineRule="auto"/>
              <w:jc w:val="center"/>
              <w:rPr>
                <w:rFonts w:ascii="David" w:eastAsia="Times New Roman" w:hAnsi="David"/>
                <w:b/>
                <w:bCs/>
                <w:color w:val="FFFFFF"/>
                <w:sz w:val="20"/>
                <w:szCs w:val="20"/>
                <w:rtl/>
              </w:rPr>
            </w:pPr>
            <w:r w:rsidRPr="00A34826">
              <w:rPr>
                <w:rFonts w:ascii="David" w:eastAsia="Times New Roman" w:hAnsi="David" w:hint="eastAsia"/>
                <w:b/>
                <w:bCs/>
                <w:color w:val="FFFFFF"/>
                <w:sz w:val="20"/>
                <w:szCs w:val="20"/>
                <w:rtl/>
              </w:rPr>
              <w:t>שנת</w:t>
            </w:r>
            <w:r w:rsidRPr="00A34826">
              <w:rPr>
                <w:rFonts w:ascii="David" w:eastAsia="Times New Roman" w:hAnsi="David"/>
                <w:b/>
                <w:bCs/>
                <w:color w:val="FFFFFF"/>
                <w:sz w:val="20"/>
                <w:szCs w:val="20"/>
                <w:rtl/>
              </w:rPr>
              <w:t xml:space="preserve"> 2022</w:t>
            </w:r>
          </w:p>
        </w:tc>
      </w:tr>
      <w:tr w:rsidR="00452CE3" w:rsidRPr="002410AE" w:rsidTr="00A34826">
        <w:trPr>
          <w:trHeight w:val="300"/>
        </w:trPr>
        <w:tc>
          <w:tcPr>
            <w:tcW w:w="4047" w:type="dxa"/>
            <w:tcBorders>
              <w:top w:val="nil"/>
              <w:bottom w:val="nil"/>
              <w:right w:val="single" w:sz="4" w:space="0" w:color="auto"/>
            </w:tcBorders>
            <w:shd w:val="clear" w:color="auto" w:fill="auto"/>
            <w:noWrap/>
            <w:vAlign w:val="center"/>
            <w:hideMark/>
          </w:tcPr>
          <w:p w:rsidR="00452CE3" w:rsidRPr="00A34826" w:rsidRDefault="00452CE3" w:rsidP="00452CE3">
            <w:pPr>
              <w:spacing w:before="0" w:after="0" w:line="240" w:lineRule="auto"/>
              <w:jc w:val="left"/>
              <w:rPr>
                <w:rFonts w:ascii="David" w:eastAsia="Times New Roman" w:hAnsi="David"/>
                <w:b/>
                <w:bCs/>
                <w:sz w:val="20"/>
                <w:szCs w:val="20"/>
                <w:rtl/>
              </w:rPr>
            </w:pPr>
            <w:r w:rsidRPr="00A34826">
              <w:rPr>
                <w:rFonts w:ascii="David" w:eastAsia="Times New Roman" w:hAnsi="David" w:hint="eastAsia"/>
                <w:b/>
                <w:bCs/>
                <w:sz w:val="20"/>
                <w:szCs w:val="20"/>
                <w:rtl/>
              </w:rPr>
              <w:t>סך</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הוצאות</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הממשלה</w:t>
            </w:r>
          </w:p>
        </w:tc>
        <w:tc>
          <w:tcPr>
            <w:tcW w:w="1513" w:type="dxa"/>
            <w:tcBorders>
              <w:top w:val="nil"/>
              <w:left w:val="single" w:sz="4" w:space="0" w:color="000000"/>
              <w:bottom w:val="nil"/>
              <w:right w:val="single" w:sz="4" w:space="0" w:color="000000"/>
            </w:tcBorders>
            <w:shd w:val="clear" w:color="auto" w:fill="auto"/>
            <w:noWrap/>
            <w:vAlign w:val="bottom"/>
            <w:hideMark/>
          </w:tcPr>
          <w:p w:rsidR="00452CE3" w:rsidRPr="00A34826" w:rsidRDefault="00452CE3" w:rsidP="00452CE3">
            <w:pPr>
              <w:bidi w:val="0"/>
              <w:spacing w:before="0" w:after="0" w:line="240" w:lineRule="auto"/>
              <w:jc w:val="center"/>
              <w:rPr>
                <w:rFonts w:ascii="David" w:eastAsia="Times New Roman" w:hAnsi="David"/>
                <w:b/>
                <w:bCs/>
                <w:sz w:val="20"/>
                <w:szCs w:val="20"/>
                <w:rtl/>
              </w:rPr>
            </w:pPr>
            <w:r w:rsidRPr="00A34826">
              <w:rPr>
                <w:rFonts w:ascii="David" w:hAnsi="David"/>
                <w:b/>
                <w:bCs/>
                <w:color w:val="000000"/>
                <w:kern w:val="24"/>
                <w:sz w:val="20"/>
                <w:szCs w:val="20"/>
                <w:rtl/>
              </w:rPr>
              <w:t>417.4</w:t>
            </w:r>
          </w:p>
        </w:tc>
        <w:tc>
          <w:tcPr>
            <w:tcW w:w="1513" w:type="dxa"/>
            <w:tcBorders>
              <w:top w:val="nil"/>
              <w:left w:val="single" w:sz="4" w:space="0" w:color="000000"/>
              <w:bottom w:val="nil"/>
              <w:right w:val="single" w:sz="4" w:space="0" w:color="000000"/>
            </w:tcBorders>
            <w:shd w:val="clear" w:color="auto" w:fill="auto"/>
            <w:noWrap/>
            <w:vAlign w:val="bottom"/>
            <w:hideMark/>
          </w:tcPr>
          <w:p w:rsidR="00452CE3" w:rsidRPr="00A34826" w:rsidRDefault="00452CE3" w:rsidP="00452CE3">
            <w:pPr>
              <w:bidi w:val="0"/>
              <w:spacing w:before="0" w:after="0" w:line="240" w:lineRule="auto"/>
              <w:jc w:val="center"/>
              <w:rPr>
                <w:rFonts w:ascii="David" w:eastAsia="Times New Roman" w:hAnsi="David"/>
                <w:b/>
                <w:bCs/>
                <w:sz w:val="20"/>
                <w:szCs w:val="20"/>
                <w:rtl/>
              </w:rPr>
            </w:pPr>
            <w:r w:rsidRPr="00A34826">
              <w:rPr>
                <w:rFonts w:ascii="David" w:hAnsi="David"/>
                <w:b/>
                <w:bCs/>
                <w:color w:val="000000"/>
                <w:kern w:val="24"/>
                <w:sz w:val="20"/>
                <w:szCs w:val="20"/>
                <w:rtl/>
              </w:rPr>
              <w:t>434.1</w:t>
            </w:r>
          </w:p>
        </w:tc>
        <w:tc>
          <w:tcPr>
            <w:tcW w:w="1513" w:type="dxa"/>
            <w:tcBorders>
              <w:top w:val="nil"/>
              <w:left w:val="single" w:sz="4" w:space="0" w:color="000000"/>
              <w:bottom w:val="nil"/>
              <w:right w:val="single" w:sz="4" w:space="0" w:color="000000"/>
            </w:tcBorders>
            <w:shd w:val="clear" w:color="auto" w:fill="auto"/>
            <w:vAlign w:val="bottom"/>
          </w:tcPr>
          <w:p w:rsidR="00452CE3" w:rsidRPr="00A34826" w:rsidRDefault="00452CE3" w:rsidP="00452CE3">
            <w:pPr>
              <w:bidi w:val="0"/>
              <w:spacing w:before="0" w:after="0" w:line="240" w:lineRule="auto"/>
              <w:jc w:val="center"/>
              <w:rPr>
                <w:rFonts w:ascii="David" w:hAnsi="David"/>
                <w:b/>
                <w:bCs/>
                <w:sz w:val="20"/>
                <w:szCs w:val="20"/>
              </w:rPr>
            </w:pPr>
            <w:r w:rsidRPr="00A34826">
              <w:rPr>
                <w:rFonts w:ascii="David" w:hAnsi="David"/>
                <w:b/>
                <w:bCs/>
                <w:color w:val="000000"/>
                <w:kern w:val="24"/>
                <w:sz w:val="20"/>
                <w:szCs w:val="20"/>
                <w:rtl/>
              </w:rPr>
              <w:t>450.2</w:t>
            </w:r>
          </w:p>
        </w:tc>
      </w:tr>
      <w:tr w:rsidR="00D10E3F" w:rsidRPr="002410AE" w:rsidTr="00D00A54">
        <w:trPr>
          <w:trHeight w:val="300"/>
        </w:trPr>
        <w:tc>
          <w:tcPr>
            <w:tcW w:w="4047" w:type="dxa"/>
            <w:tcBorders>
              <w:top w:val="nil"/>
              <w:bottom w:val="nil"/>
              <w:right w:val="single" w:sz="4" w:space="0" w:color="auto"/>
            </w:tcBorders>
            <w:shd w:val="clear" w:color="auto" w:fill="auto"/>
            <w:noWrap/>
            <w:vAlign w:val="center"/>
            <w:hideMark/>
          </w:tcPr>
          <w:p w:rsidR="00D10E3F" w:rsidRPr="00A34826" w:rsidRDefault="00D10E3F" w:rsidP="00D10E3F">
            <w:pPr>
              <w:spacing w:before="0" w:after="0" w:line="240" w:lineRule="auto"/>
              <w:jc w:val="left"/>
              <w:rPr>
                <w:rFonts w:ascii="David" w:eastAsia="Times New Roman" w:hAnsi="David"/>
                <w:b/>
                <w:bCs/>
                <w:sz w:val="20"/>
                <w:szCs w:val="20"/>
                <w:rtl/>
              </w:rPr>
            </w:pPr>
            <w:r w:rsidRPr="00A34826">
              <w:rPr>
                <w:rFonts w:ascii="David" w:eastAsia="Times New Roman" w:hAnsi="David" w:hint="eastAsia"/>
                <w:b/>
                <w:bCs/>
                <w:sz w:val="20"/>
                <w:szCs w:val="20"/>
                <w:rtl/>
              </w:rPr>
              <w:t>מגבלת</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ההוצאה</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המותרת</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על</w:t>
            </w:r>
            <w:r w:rsidRPr="00A34826">
              <w:rPr>
                <w:rFonts w:ascii="David" w:eastAsia="Times New Roman" w:hAnsi="David"/>
                <w:b/>
                <w:bCs/>
                <w:sz w:val="20"/>
                <w:szCs w:val="20"/>
                <w:rtl/>
              </w:rPr>
              <w:t>-</w:t>
            </w:r>
            <w:r w:rsidRPr="00A34826">
              <w:rPr>
                <w:rFonts w:ascii="David" w:eastAsia="Times New Roman" w:hAnsi="David" w:hint="eastAsia"/>
                <w:b/>
                <w:bCs/>
                <w:sz w:val="20"/>
                <w:szCs w:val="20"/>
                <w:rtl/>
              </w:rPr>
              <w:t>פי</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חוק</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המסגרות</w:t>
            </w:r>
          </w:p>
        </w:tc>
        <w:tc>
          <w:tcPr>
            <w:tcW w:w="1513" w:type="dxa"/>
            <w:tcBorders>
              <w:left w:val="single" w:sz="4" w:space="0" w:color="auto"/>
              <w:right w:val="single" w:sz="4" w:space="0" w:color="auto"/>
            </w:tcBorders>
            <w:shd w:val="clear" w:color="auto" w:fill="auto"/>
            <w:noWrap/>
            <w:vAlign w:val="bottom"/>
            <w:hideMark/>
          </w:tcPr>
          <w:p w:rsidR="00D10E3F" w:rsidRPr="00A34826" w:rsidRDefault="00D10E3F" w:rsidP="00D10E3F">
            <w:pPr>
              <w:bidi w:val="0"/>
              <w:spacing w:before="0" w:after="0" w:line="240" w:lineRule="auto"/>
              <w:jc w:val="center"/>
              <w:rPr>
                <w:rFonts w:ascii="David" w:eastAsia="Times New Roman" w:hAnsi="David"/>
                <w:b/>
                <w:bCs/>
                <w:sz w:val="20"/>
                <w:szCs w:val="20"/>
                <w:rtl/>
              </w:rPr>
            </w:pPr>
            <w:r>
              <w:rPr>
                <w:rFonts w:ascii="David" w:hAnsi="David"/>
                <w:b/>
                <w:bCs/>
                <w:sz w:val="20"/>
                <w:szCs w:val="20"/>
              </w:rPr>
              <w:t>412.0</w:t>
            </w:r>
          </w:p>
        </w:tc>
        <w:tc>
          <w:tcPr>
            <w:tcW w:w="1513" w:type="dxa"/>
            <w:tcBorders>
              <w:top w:val="nil"/>
              <w:left w:val="single" w:sz="4" w:space="0" w:color="auto"/>
              <w:bottom w:val="nil"/>
              <w:right w:val="single" w:sz="4" w:space="0" w:color="auto"/>
            </w:tcBorders>
            <w:shd w:val="clear" w:color="auto" w:fill="auto"/>
            <w:noWrap/>
            <w:vAlign w:val="bottom"/>
            <w:hideMark/>
          </w:tcPr>
          <w:p w:rsidR="00D10E3F" w:rsidRPr="00A34826" w:rsidRDefault="00D10E3F" w:rsidP="00D10E3F">
            <w:pPr>
              <w:bidi w:val="0"/>
              <w:spacing w:before="0" w:after="0" w:line="240" w:lineRule="auto"/>
              <w:jc w:val="center"/>
              <w:rPr>
                <w:rFonts w:ascii="David" w:eastAsia="Times New Roman" w:hAnsi="David"/>
                <w:b/>
                <w:bCs/>
                <w:sz w:val="20"/>
                <w:szCs w:val="20"/>
              </w:rPr>
            </w:pPr>
            <w:r>
              <w:rPr>
                <w:rFonts w:ascii="David" w:hAnsi="David"/>
                <w:b/>
                <w:bCs/>
                <w:sz w:val="20"/>
                <w:szCs w:val="20"/>
              </w:rPr>
              <w:t>426.4</w:t>
            </w:r>
          </w:p>
        </w:tc>
        <w:tc>
          <w:tcPr>
            <w:tcW w:w="1513" w:type="dxa"/>
            <w:tcBorders>
              <w:top w:val="nil"/>
              <w:left w:val="single" w:sz="4" w:space="0" w:color="auto"/>
              <w:bottom w:val="nil"/>
            </w:tcBorders>
            <w:vAlign w:val="bottom"/>
          </w:tcPr>
          <w:p w:rsidR="00D10E3F" w:rsidRPr="00A34826" w:rsidRDefault="00D10E3F" w:rsidP="00D10E3F">
            <w:pPr>
              <w:bidi w:val="0"/>
              <w:spacing w:before="0" w:after="0" w:line="240" w:lineRule="auto"/>
              <w:jc w:val="center"/>
              <w:rPr>
                <w:rFonts w:ascii="David" w:hAnsi="David"/>
                <w:b/>
                <w:bCs/>
                <w:sz w:val="20"/>
                <w:szCs w:val="20"/>
                <w:rtl/>
              </w:rPr>
            </w:pPr>
            <w:r>
              <w:rPr>
                <w:rFonts w:ascii="David" w:hAnsi="David"/>
                <w:b/>
                <w:bCs/>
                <w:sz w:val="20"/>
                <w:szCs w:val="20"/>
              </w:rPr>
              <w:t>442.9</w:t>
            </w:r>
          </w:p>
        </w:tc>
      </w:tr>
      <w:tr w:rsidR="00DC4053" w:rsidRPr="002410AE" w:rsidTr="00D00A54">
        <w:trPr>
          <w:trHeight w:val="300"/>
        </w:trPr>
        <w:tc>
          <w:tcPr>
            <w:tcW w:w="4047" w:type="dxa"/>
            <w:tcBorders>
              <w:top w:val="nil"/>
              <w:bottom w:val="nil"/>
              <w:right w:val="single" w:sz="4" w:space="0" w:color="auto"/>
            </w:tcBorders>
            <w:shd w:val="clear" w:color="auto" w:fill="auto"/>
            <w:vAlign w:val="center"/>
            <w:hideMark/>
          </w:tcPr>
          <w:p w:rsidR="00DC4053" w:rsidRPr="00A34826" w:rsidRDefault="00DC4053" w:rsidP="00D00A54">
            <w:pPr>
              <w:spacing w:before="0" w:after="0" w:line="240" w:lineRule="auto"/>
              <w:jc w:val="left"/>
              <w:rPr>
                <w:rFonts w:ascii="David" w:eastAsia="Times New Roman" w:hAnsi="David"/>
                <w:b/>
                <w:bCs/>
                <w:sz w:val="20"/>
                <w:szCs w:val="20"/>
                <w:rtl/>
              </w:rPr>
            </w:pPr>
            <w:r w:rsidRPr="00A34826">
              <w:rPr>
                <w:rFonts w:ascii="David" w:hAnsi="David"/>
                <w:b/>
                <w:bCs/>
                <w:color w:val="000000"/>
                <w:sz w:val="20"/>
                <w:szCs w:val="20"/>
              </w:rPr>
              <w:t>----------</w:t>
            </w:r>
            <w:r w:rsidRPr="00A34826">
              <w:rPr>
                <w:rFonts w:ascii="David" w:eastAsia="Times New Roman" w:hAnsi="David"/>
                <w:b/>
                <w:bCs/>
                <w:sz w:val="20"/>
                <w:szCs w:val="20"/>
                <w:rtl/>
              </w:rPr>
              <w:t>---------------------------------</w:t>
            </w:r>
          </w:p>
        </w:tc>
        <w:tc>
          <w:tcPr>
            <w:tcW w:w="1513" w:type="dxa"/>
            <w:tcBorders>
              <w:left w:val="single" w:sz="4" w:space="0" w:color="auto"/>
              <w:right w:val="single" w:sz="4" w:space="0" w:color="auto"/>
            </w:tcBorders>
            <w:shd w:val="clear" w:color="auto" w:fill="auto"/>
            <w:noWrap/>
            <w:vAlign w:val="bottom"/>
            <w:hideMark/>
          </w:tcPr>
          <w:p w:rsidR="00DC4053" w:rsidRPr="00A34826" w:rsidRDefault="00DC4053" w:rsidP="00D00A54">
            <w:pPr>
              <w:bidi w:val="0"/>
              <w:spacing w:before="0" w:after="0" w:line="240" w:lineRule="auto"/>
              <w:jc w:val="center"/>
              <w:rPr>
                <w:rFonts w:ascii="David" w:eastAsia="Times New Roman" w:hAnsi="David"/>
                <w:b/>
                <w:bCs/>
                <w:sz w:val="20"/>
                <w:szCs w:val="20"/>
                <w:rtl/>
              </w:rPr>
            </w:pPr>
            <w:r w:rsidRPr="00A34826">
              <w:rPr>
                <w:rFonts w:ascii="David" w:hAnsi="David"/>
                <w:b/>
                <w:bCs/>
                <w:color w:val="000000"/>
                <w:sz w:val="20"/>
                <w:szCs w:val="20"/>
              </w:rPr>
              <w:t>----------</w:t>
            </w:r>
          </w:p>
        </w:tc>
        <w:tc>
          <w:tcPr>
            <w:tcW w:w="1513" w:type="dxa"/>
            <w:tcBorders>
              <w:top w:val="nil"/>
              <w:left w:val="single" w:sz="4" w:space="0" w:color="auto"/>
              <w:bottom w:val="nil"/>
              <w:right w:val="single" w:sz="4" w:space="0" w:color="auto"/>
            </w:tcBorders>
            <w:shd w:val="clear" w:color="auto" w:fill="auto"/>
            <w:noWrap/>
            <w:vAlign w:val="bottom"/>
            <w:hideMark/>
          </w:tcPr>
          <w:p w:rsidR="00DC4053" w:rsidRPr="00A34826" w:rsidRDefault="00DC4053" w:rsidP="00D00A54">
            <w:pPr>
              <w:bidi w:val="0"/>
              <w:spacing w:before="0" w:after="0" w:line="240" w:lineRule="auto"/>
              <w:jc w:val="center"/>
              <w:rPr>
                <w:rFonts w:ascii="David" w:eastAsia="Times New Roman" w:hAnsi="David"/>
                <w:b/>
                <w:bCs/>
                <w:sz w:val="20"/>
                <w:szCs w:val="20"/>
              </w:rPr>
            </w:pPr>
            <w:r w:rsidRPr="00A34826">
              <w:rPr>
                <w:rFonts w:ascii="David" w:hAnsi="David"/>
                <w:b/>
                <w:bCs/>
                <w:color w:val="000000"/>
                <w:sz w:val="20"/>
                <w:szCs w:val="20"/>
              </w:rPr>
              <w:t>----------</w:t>
            </w:r>
          </w:p>
        </w:tc>
        <w:tc>
          <w:tcPr>
            <w:tcW w:w="1513" w:type="dxa"/>
            <w:tcBorders>
              <w:top w:val="nil"/>
              <w:left w:val="single" w:sz="4" w:space="0" w:color="auto"/>
              <w:bottom w:val="nil"/>
            </w:tcBorders>
            <w:vAlign w:val="bottom"/>
          </w:tcPr>
          <w:p w:rsidR="00DC4053" w:rsidRPr="00A34826" w:rsidRDefault="00DC4053" w:rsidP="00D00A54">
            <w:pPr>
              <w:bidi w:val="0"/>
              <w:spacing w:before="0" w:after="0" w:line="240" w:lineRule="auto"/>
              <w:jc w:val="center"/>
              <w:rPr>
                <w:rFonts w:ascii="David" w:hAnsi="David"/>
                <w:b/>
                <w:bCs/>
                <w:color w:val="000000"/>
                <w:sz w:val="20"/>
                <w:szCs w:val="20"/>
              </w:rPr>
            </w:pPr>
            <w:r w:rsidRPr="00A34826">
              <w:rPr>
                <w:rFonts w:ascii="David" w:hAnsi="David"/>
                <w:b/>
                <w:bCs/>
                <w:color w:val="000000"/>
                <w:sz w:val="20"/>
                <w:szCs w:val="20"/>
              </w:rPr>
              <w:t>----------</w:t>
            </w:r>
          </w:p>
        </w:tc>
      </w:tr>
      <w:tr w:rsidR="00452CE3" w:rsidRPr="002410AE" w:rsidTr="00A34826">
        <w:trPr>
          <w:trHeight w:val="300"/>
        </w:trPr>
        <w:tc>
          <w:tcPr>
            <w:tcW w:w="4047" w:type="dxa"/>
            <w:tcBorders>
              <w:top w:val="nil"/>
              <w:bottom w:val="nil"/>
              <w:right w:val="single" w:sz="4" w:space="0" w:color="auto"/>
            </w:tcBorders>
            <w:shd w:val="clear" w:color="auto" w:fill="auto"/>
            <w:noWrap/>
            <w:vAlign w:val="center"/>
          </w:tcPr>
          <w:p w:rsidR="00452CE3" w:rsidRPr="00A34826" w:rsidRDefault="00452CE3" w:rsidP="00452CE3">
            <w:pPr>
              <w:bidi w:val="0"/>
              <w:spacing w:before="0" w:after="0" w:line="240" w:lineRule="auto"/>
              <w:jc w:val="right"/>
              <w:rPr>
                <w:rFonts w:ascii="David" w:eastAsia="Times New Roman" w:hAnsi="David"/>
                <w:b/>
                <w:bCs/>
                <w:sz w:val="20"/>
                <w:szCs w:val="20"/>
                <w:rtl/>
              </w:rPr>
            </w:pPr>
            <w:r w:rsidRPr="00A34826">
              <w:rPr>
                <w:rFonts w:ascii="David" w:eastAsia="Times New Roman" w:hAnsi="David" w:hint="eastAsia"/>
                <w:b/>
                <w:bCs/>
                <w:sz w:val="20"/>
                <w:szCs w:val="20"/>
                <w:rtl/>
              </w:rPr>
              <w:t>ההתאמות</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הנדרשות</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לצורך</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עמידה</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במגבלת</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ההוצאה</w:t>
            </w:r>
          </w:p>
        </w:tc>
        <w:tc>
          <w:tcPr>
            <w:tcW w:w="1513" w:type="dxa"/>
            <w:tcBorders>
              <w:left w:val="single" w:sz="4" w:space="0" w:color="auto"/>
              <w:right w:val="single" w:sz="4" w:space="0" w:color="auto"/>
            </w:tcBorders>
            <w:shd w:val="clear" w:color="auto" w:fill="auto"/>
            <w:noWrap/>
            <w:vAlign w:val="center"/>
          </w:tcPr>
          <w:p w:rsidR="00452CE3" w:rsidRPr="00A34826" w:rsidRDefault="00452CE3" w:rsidP="00452CE3">
            <w:pPr>
              <w:bidi w:val="0"/>
              <w:spacing w:before="0" w:after="0" w:line="240" w:lineRule="auto"/>
              <w:jc w:val="center"/>
              <w:rPr>
                <w:rFonts w:ascii="David" w:hAnsi="David"/>
                <w:b/>
                <w:bCs/>
                <w:sz w:val="20"/>
                <w:szCs w:val="20"/>
              </w:rPr>
            </w:pPr>
            <w:r w:rsidRPr="00A34826">
              <w:rPr>
                <w:rFonts w:ascii="David" w:hAnsi="David"/>
                <w:b/>
                <w:bCs/>
                <w:color w:val="000000"/>
                <w:kern w:val="24"/>
                <w:sz w:val="20"/>
                <w:szCs w:val="20"/>
                <w:rtl/>
              </w:rPr>
              <w:t>5.4</w:t>
            </w:r>
          </w:p>
        </w:tc>
        <w:tc>
          <w:tcPr>
            <w:tcW w:w="1513" w:type="dxa"/>
            <w:tcBorders>
              <w:top w:val="nil"/>
              <w:left w:val="single" w:sz="4" w:space="0" w:color="auto"/>
              <w:bottom w:val="nil"/>
              <w:right w:val="single" w:sz="4" w:space="0" w:color="auto"/>
            </w:tcBorders>
            <w:shd w:val="clear" w:color="auto" w:fill="auto"/>
            <w:noWrap/>
            <w:vAlign w:val="center"/>
          </w:tcPr>
          <w:p w:rsidR="00452CE3" w:rsidRPr="00A34826" w:rsidRDefault="00452CE3">
            <w:pPr>
              <w:bidi w:val="0"/>
              <w:spacing w:before="0" w:after="0" w:line="240" w:lineRule="auto"/>
              <w:jc w:val="center"/>
              <w:rPr>
                <w:rFonts w:ascii="David" w:hAnsi="David"/>
                <w:b/>
                <w:bCs/>
                <w:sz w:val="20"/>
                <w:szCs w:val="20"/>
                <w:rtl/>
              </w:rPr>
            </w:pPr>
            <w:r w:rsidRPr="00A34826">
              <w:rPr>
                <w:rFonts w:ascii="David" w:hAnsi="David"/>
                <w:b/>
                <w:bCs/>
                <w:color w:val="000000"/>
                <w:kern w:val="24"/>
                <w:sz w:val="20"/>
                <w:szCs w:val="20"/>
                <w:rtl/>
              </w:rPr>
              <w:t>7.</w:t>
            </w:r>
            <w:r w:rsidR="001F7F00">
              <w:rPr>
                <w:rFonts w:ascii="David" w:hAnsi="David" w:hint="cs"/>
                <w:b/>
                <w:bCs/>
                <w:color w:val="000000"/>
                <w:kern w:val="24"/>
                <w:sz w:val="20"/>
                <w:szCs w:val="20"/>
                <w:rtl/>
              </w:rPr>
              <w:t>7</w:t>
            </w:r>
          </w:p>
        </w:tc>
        <w:tc>
          <w:tcPr>
            <w:tcW w:w="1513" w:type="dxa"/>
            <w:tcBorders>
              <w:top w:val="nil"/>
              <w:left w:val="single" w:sz="4" w:space="0" w:color="auto"/>
              <w:bottom w:val="nil"/>
            </w:tcBorders>
            <w:vAlign w:val="center"/>
          </w:tcPr>
          <w:p w:rsidR="00452CE3" w:rsidRPr="00A34826" w:rsidRDefault="001F7F00" w:rsidP="00452CE3">
            <w:pPr>
              <w:bidi w:val="0"/>
              <w:spacing w:before="0" w:after="0" w:line="240" w:lineRule="auto"/>
              <w:jc w:val="center"/>
              <w:rPr>
                <w:rFonts w:ascii="David" w:hAnsi="David"/>
                <w:b/>
                <w:bCs/>
                <w:sz w:val="20"/>
                <w:szCs w:val="20"/>
                <w:rtl/>
              </w:rPr>
            </w:pPr>
            <w:r>
              <w:rPr>
                <w:rFonts w:ascii="David" w:hAnsi="David" w:hint="cs"/>
                <w:b/>
                <w:bCs/>
                <w:color w:val="000000"/>
                <w:kern w:val="24"/>
                <w:sz w:val="20"/>
                <w:szCs w:val="20"/>
                <w:rtl/>
              </w:rPr>
              <w:t>7.3</w:t>
            </w:r>
          </w:p>
        </w:tc>
      </w:tr>
      <w:tr w:rsidR="00DC4053" w:rsidRPr="002410AE" w:rsidTr="00D00A54">
        <w:trPr>
          <w:trHeight w:val="300"/>
        </w:trPr>
        <w:tc>
          <w:tcPr>
            <w:tcW w:w="4047" w:type="dxa"/>
            <w:tcBorders>
              <w:top w:val="nil"/>
              <w:bottom w:val="nil"/>
              <w:right w:val="single" w:sz="4" w:space="0" w:color="auto"/>
            </w:tcBorders>
            <w:shd w:val="clear" w:color="auto" w:fill="auto"/>
            <w:noWrap/>
            <w:vAlign w:val="center"/>
            <w:hideMark/>
          </w:tcPr>
          <w:p w:rsidR="00DC4053" w:rsidRPr="00A34826" w:rsidRDefault="00DC4053" w:rsidP="00D00A54">
            <w:pPr>
              <w:bidi w:val="0"/>
              <w:spacing w:before="0" w:after="0" w:line="240" w:lineRule="auto"/>
              <w:jc w:val="left"/>
              <w:rPr>
                <w:rFonts w:ascii="David" w:eastAsia="Times New Roman" w:hAnsi="David"/>
                <w:sz w:val="20"/>
                <w:szCs w:val="20"/>
                <w:rtl/>
              </w:rPr>
            </w:pPr>
            <w:r w:rsidRPr="00A34826">
              <w:rPr>
                <w:rFonts w:ascii="David" w:hAnsi="David"/>
                <w:b/>
                <w:bCs/>
                <w:color w:val="000000"/>
                <w:sz w:val="20"/>
                <w:szCs w:val="20"/>
              </w:rPr>
              <w:t>----------</w:t>
            </w:r>
            <w:r w:rsidRPr="00A34826">
              <w:rPr>
                <w:rFonts w:ascii="David" w:eastAsia="Times New Roman" w:hAnsi="David"/>
                <w:b/>
                <w:bCs/>
                <w:sz w:val="20"/>
                <w:szCs w:val="20"/>
                <w:rtl/>
              </w:rPr>
              <w:t>---------------------------------</w:t>
            </w:r>
          </w:p>
        </w:tc>
        <w:tc>
          <w:tcPr>
            <w:tcW w:w="1513" w:type="dxa"/>
            <w:tcBorders>
              <w:left w:val="single" w:sz="4" w:space="0" w:color="auto"/>
              <w:right w:val="single" w:sz="4" w:space="0" w:color="auto"/>
            </w:tcBorders>
            <w:shd w:val="clear" w:color="auto" w:fill="auto"/>
            <w:noWrap/>
            <w:vAlign w:val="bottom"/>
          </w:tcPr>
          <w:p w:rsidR="00DC4053" w:rsidRPr="00A34826" w:rsidRDefault="00DC4053" w:rsidP="00D00A54">
            <w:pPr>
              <w:bidi w:val="0"/>
              <w:spacing w:before="0" w:after="0" w:line="240" w:lineRule="auto"/>
              <w:jc w:val="center"/>
              <w:rPr>
                <w:rFonts w:ascii="David" w:eastAsia="Times New Roman" w:hAnsi="David"/>
                <w:b/>
                <w:bCs/>
                <w:color w:val="000000"/>
                <w:sz w:val="20"/>
                <w:szCs w:val="20"/>
              </w:rPr>
            </w:pPr>
            <w:r w:rsidRPr="00A34826">
              <w:rPr>
                <w:rFonts w:ascii="David" w:hAnsi="David"/>
                <w:b/>
                <w:bCs/>
                <w:color w:val="000000"/>
                <w:sz w:val="20"/>
                <w:szCs w:val="20"/>
              </w:rPr>
              <w:t>----------</w:t>
            </w:r>
          </w:p>
        </w:tc>
        <w:tc>
          <w:tcPr>
            <w:tcW w:w="1513" w:type="dxa"/>
            <w:tcBorders>
              <w:top w:val="nil"/>
              <w:left w:val="single" w:sz="4" w:space="0" w:color="auto"/>
              <w:bottom w:val="nil"/>
              <w:right w:val="single" w:sz="4" w:space="0" w:color="auto"/>
            </w:tcBorders>
            <w:shd w:val="clear" w:color="auto" w:fill="auto"/>
            <w:noWrap/>
            <w:vAlign w:val="bottom"/>
          </w:tcPr>
          <w:p w:rsidR="00DC4053" w:rsidRPr="00A34826" w:rsidRDefault="00DC4053" w:rsidP="00D00A54">
            <w:pPr>
              <w:bidi w:val="0"/>
              <w:spacing w:before="0" w:after="0" w:line="240" w:lineRule="auto"/>
              <w:jc w:val="center"/>
              <w:rPr>
                <w:rFonts w:ascii="David" w:eastAsia="Times New Roman" w:hAnsi="David"/>
                <w:b/>
                <w:bCs/>
                <w:color w:val="000000"/>
                <w:sz w:val="20"/>
                <w:szCs w:val="20"/>
                <w:rtl/>
              </w:rPr>
            </w:pPr>
            <w:r w:rsidRPr="00A34826">
              <w:rPr>
                <w:rFonts w:ascii="David" w:hAnsi="David"/>
                <w:b/>
                <w:bCs/>
                <w:color w:val="000000"/>
                <w:sz w:val="20"/>
                <w:szCs w:val="20"/>
              </w:rPr>
              <w:t>----------</w:t>
            </w:r>
          </w:p>
        </w:tc>
        <w:tc>
          <w:tcPr>
            <w:tcW w:w="1513" w:type="dxa"/>
            <w:tcBorders>
              <w:top w:val="nil"/>
              <w:left w:val="single" w:sz="4" w:space="0" w:color="auto"/>
              <w:bottom w:val="nil"/>
            </w:tcBorders>
            <w:vAlign w:val="bottom"/>
          </w:tcPr>
          <w:p w:rsidR="00DC4053" w:rsidRPr="00A34826" w:rsidRDefault="00DC4053" w:rsidP="00D00A54">
            <w:pPr>
              <w:bidi w:val="0"/>
              <w:spacing w:before="0" w:after="0" w:line="240" w:lineRule="auto"/>
              <w:jc w:val="center"/>
              <w:rPr>
                <w:rFonts w:ascii="David" w:hAnsi="David"/>
                <w:b/>
                <w:bCs/>
                <w:color w:val="000000"/>
                <w:sz w:val="20"/>
                <w:szCs w:val="20"/>
                <w:rtl/>
              </w:rPr>
            </w:pPr>
            <w:r w:rsidRPr="00A34826">
              <w:rPr>
                <w:rFonts w:ascii="David" w:hAnsi="David"/>
                <w:b/>
                <w:bCs/>
                <w:color w:val="000000"/>
                <w:sz w:val="20"/>
                <w:szCs w:val="20"/>
              </w:rPr>
              <w:t>----------</w:t>
            </w:r>
          </w:p>
        </w:tc>
      </w:tr>
      <w:tr w:rsidR="00452CE3" w:rsidRPr="002410AE" w:rsidTr="00A34826">
        <w:trPr>
          <w:trHeight w:val="300"/>
        </w:trPr>
        <w:tc>
          <w:tcPr>
            <w:tcW w:w="4047" w:type="dxa"/>
            <w:tcBorders>
              <w:top w:val="nil"/>
              <w:bottom w:val="nil"/>
              <w:right w:val="single" w:sz="4" w:space="0" w:color="auto"/>
            </w:tcBorders>
            <w:shd w:val="clear" w:color="auto" w:fill="auto"/>
            <w:noWrap/>
            <w:vAlign w:val="center"/>
            <w:hideMark/>
          </w:tcPr>
          <w:p w:rsidR="00452CE3" w:rsidRPr="00A34826" w:rsidRDefault="00452CE3" w:rsidP="00452CE3">
            <w:pPr>
              <w:spacing w:before="0" w:after="0" w:line="240" w:lineRule="auto"/>
              <w:jc w:val="left"/>
              <w:rPr>
                <w:rFonts w:ascii="David" w:eastAsia="Times New Roman" w:hAnsi="David"/>
                <w:b/>
                <w:bCs/>
                <w:sz w:val="20"/>
                <w:szCs w:val="20"/>
                <w:rtl/>
              </w:rPr>
            </w:pPr>
            <w:r w:rsidRPr="00A34826">
              <w:rPr>
                <w:rFonts w:ascii="David" w:eastAsia="Times New Roman" w:hAnsi="David" w:hint="eastAsia"/>
                <w:b/>
                <w:bCs/>
                <w:sz w:val="20"/>
                <w:szCs w:val="20"/>
                <w:rtl/>
              </w:rPr>
              <w:t>ההוצאה</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לחישוב</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מגבלת</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הגירעון</w:t>
            </w:r>
          </w:p>
        </w:tc>
        <w:tc>
          <w:tcPr>
            <w:tcW w:w="1513" w:type="dxa"/>
            <w:tcBorders>
              <w:left w:val="single" w:sz="4" w:space="0" w:color="auto"/>
              <w:right w:val="single" w:sz="4" w:space="0" w:color="auto"/>
            </w:tcBorders>
            <w:shd w:val="clear" w:color="auto" w:fill="auto"/>
            <w:noWrap/>
            <w:vAlign w:val="center"/>
          </w:tcPr>
          <w:p w:rsidR="00452CE3" w:rsidRPr="00A34826" w:rsidRDefault="00452CE3" w:rsidP="00452CE3">
            <w:pPr>
              <w:bidi w:val="0"/>
              <w:spacing w:before="0" w:after="0" w:line="240" w:lineRule="auto"/>
              <w:jc w:val="center"/>
              <w:rPr>
                <w:rFonts w:ascii="David" w:eastAsia="Times New Roman" w:hAnsi="David"/>
                <w:b/>
                <w:bCs/>
                <w:sz w:val="20"/>
                <w:szCs w:val="20"/>
                <w:rtl/>
              </w:rPr>
            </w:pPr>
            <w:r w:rsidRPr="00A34826">
              <w:rPr>
                <w:rFonts w:ascii="David" w:hAnsi="David"/>
                <w:b/>
                <w:bCs/>
                <w:color w:val="000000"/>
                <w:kern w:val="24"/>
                <w:sz w:val="20"/>
                <w:szCs w:val="20"/>
                <w:rtl/>
              </w:rPr>
              <w:t>411.7</w:t>
            </w:r>
          </w:p>
        </w:tc>
        <w:tc>
          <w:tcPr>
            <w:tcW w:w="1513" w:type="dxa"/>
            <w:tcBorders>
              <w:top w:val="nil"/>
              <w:left w:val="single" w:sz="4" w:space="0" w:color="auto"/>
              <w:bottom w:val="nil"/>
              <w:right w:val="single" w:sz="4" w:space="0" w:color="auto"/>
            </w:tcBorders>
            <w:shd w:val="clear" w:color="auto" w:fill="auto"/>
            <w:noWrap/>
            <w:vAlign w:val="center"/>
          </w:tcPr>
          <w:p w:rsidR="00452CE3" w:rsidRPr="00A34826" w:rsidRDefault="00452CE3">
            <w:pPr>
              <w:bidi w:val="0"/>
              <w:spacing w:before="0" w:after="0" w:line="240" w:lineRule="auto"/>
              <w:jc w:val="center"/>
              <w:rPr>
                <w:rFonts w:ascii="David" w:eastAsia="Times New Roman" w:hAnsi="David"/>
                <w:b/>
                <w:bCs/>
                <w:sz w:val="20"/>
                <w:szCs w:val="20"/>
                <w:rtl/>
              </w:rPr>
            </w:pPr>
            <w:r w:rsidRPr="00A34826">
              <w:rPr>
                <w:rFonts w:ascii="David" w:hAnsi="David"/>
                <w:b/>
                <w:bCs/>
                <w:color w:val="000000"/>
                <w:kern w:val="24"/>
                <w:sz w:val="20"/>
                <w:szCs w:val="20"/>
                <w:rtl/>
              </w:rPr>
              <w:t>426.</w:t>
            </w:r>
            <w:r w:rsidR="001F7F00">
              <w:rPr>
                <w:rFonts w:ascii="David" w:hAnsi="David" w:hint="cs"/>
                <w:b/>
                <w:bCs/>
                <w:color w:val="000000"/>
                <w:kern w:val="24"/>
                <w:sz w:val="20"/>
                <w:szCs w:val="20"/>
                <w:rtl/>
              </w:rPr>
              <w:t>0</w:t>
            </w:r>
          </w:p>
        </w:tc>
        <w:tc>
          <w:tcPr>
            <w:tcW w:w="1513" w:type="dxa"/>
            <w:tcBorders>
              <w:top w:val="nil"/>
              <w:left w:val="single" w:sz="4" w:space="0" w:color="auto"/>
              <w:bottom w:val="nil"/>
            </w:tcBorders>
            <w:vAlign w:val="center"/>
          </w:tcPr>
          <w:p w:rsidR="00452CE3" w:rsidRPr="00A34826" w:rsidRDefault="00452CE3">
            <w:pPr>
              <w:bidi w:val="0"/>
              <w:spacing w:before="0" w:after="0" w:line="240" w:lineRule="auto"/>
              <w:jc w:val="center"/>
              <w:rPr>
                <w:rFonts w:ascii="David" w:hAnsi="David"/>
                <w:b/>
                <w:bCs/>
                <w:sz w:val="20"/>
                <w:szCs w:val="20"/>
                <w:rtl/>
              </w:rPr>
            </w:pPr>
            <w:r w:rsidRPr="00A34826">
              <w:rPr>
                <w:rFonts w:ascii="David" w:hAnsi="David"/>
                <w:b/>
                <w:bCs/>
                <w:color w:val="000000"/>
                <w:kern w:val="24"/>
                <w:sz w:val="20"/>
                <w:szCs w:val="20"/>
                <w:rtl/>
              </w:rPr>
              <w:t>44</w:t>
            </w:r>
            <w:r w:rsidR="001F7F00">
              <w:rPr>
                <w:rFonts w:ascii="David" w:hAnsi="David" w:hint="cs"/>
                <w:b/>
                <w:bCs/>
                <w:color w:val="000000"/>
                <w:kern w:val="24"/>
                <w:sz w:val="20"/>
                <w:szCs w:val="20"/>
                <w:rtl/>
              </w:rPr>
              <w:t>2</w:t>
            </w:r>
            <w:r w:rsidRPr="00A34826">
              <w:rPr>
                <w:rFonts w:ascii="David" w:hAnsi="David"/>
                <w:b/>
                <w:bCs/>
                <w:color w:val="000000"/>
                <w:kern w:val="24"/>
                <w:sz w:val="20"/>
                <w:szCs w:val="20"/>
                <w:rtl/>
              </w:rPr>
              <w:t>.</w:t>
            </w:r>
            <w:r w:rsidR="001F7F00">
              <w:rPr>
                <w:rFonts w:ascii="David" w:hAnsi="David" w:hint="cs"/>
                <w:b/>
                <w:bCs/>
                <w:color w:val="000000"/>
                <w:kern w:val="24"/>
                <w:sz w:val="20"/>
                <w:szCs w:val="20"/>
                <w:rtl/>
              </w:rPr>
              <w:t>5</w:t>
            </w:r>
          </w:p>
        </w:tc>
      </w:tr>
      <w:tr w:rsidR="00D10E3F" w:rsidRPr="002410AE" w:rsidTr="00A34826">
        <w:trPr>
          <w:trHeight w:val="300"/>
        </w:trPr>
        <w:tc>
          <w:tcPr>
            <w:tcW w:w="4047" w:type="dxa"/>
            <w:tcBorders>
              <w:top w:val="nil"/>
              <w:bottom w:val="nil"/>
              <w:right w:val="single" w:sz="4" w:space="0" w:color="auto"/>
            </w:tcBorders>
            <w:shd w:val="clear" w:color="auto" w:fill="auto"/>
            <w:noWrap/>
            <w:vAlign w:val="center"/>
            <w:hideMark/>
          </w:tcPr>
          <w:p w:rsidR="00D10E3F" w:rsidRPr="00A34826" w:rsidRDefault="00D10E3F" w:rsidP="00D10E3F">
            <w:pPr>
              <w:spacing w:before="0" w:after="0" w:line="240" w:lineRule="auto"/>
              <w:jc w:val="left"/>
              <w:rPr>
                <w:rFonts w:ascii="David" w:eastAsia="Times New Roman" w:hAnsi="David"/>
                <w:b/>
                <w:bCs/>
                <w:sz w:val="20"/>
                <w:szCs w:val="20"/>
                <w:rtl/>
              </w:rPr>
            </w:pPr>
            <w:r w:rsidRPr="00A34826">
              <w:rPr>
                <w:rFonts w:ascii="David" w:eastAsia="Times New Roman" w:hAnsi="David" w:hint="eastAsia"/>
                <w:b/>
                <w:bCs/>
                <w:sz w:val="20"/>
                <w:szCs w:val="20"/>
                <w:rtl/>
              </w:rPr>
              <w:t>תחזית</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הכנסות</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המדינה</w:t>
            </w:r>
          </w:p>
        </w:tc>
        <w:tc>
          <w:tcPr>
            <w:tcW w:w="1513" w:type="dxa"/>
            <w:tcBorders>
              <w:left w:val="single" w:sz="4" w:space="0" w:color="auto"/>
              <w:right w:val="single" w:sz="4" w:space="0" w:color="auto"/>
            </w:tcBorders>
            <w:shd w:val="clear" w:color="auto" w:fill="auto"/>
            <w:noWrap/>
            <w:vAlign w:val="center"/>
          </w:tcPr>
          <w:p w:rsidR="00D10E3F" w:rsidRPr="00A34826" w:rsidRDefault="00D10E3F" w:rsidP="00D10E3F">
            <w:pPr>
              <w:bidi w:val="0"/>
              <w:spacing w:before="0" w:after="0" w:line="240" w:lineRule="auto"/>
              <w:jc w:val="center"/>
              <w:rPr>
                <w:rFonts w:ascii="David" w:eastAsia="Times New Roman" w:hAnsi="David"/>
                <w:b/>
                <w:bCs/>
                <w:sz w:val="20"/>
                <w:szCs w:val="20"/>
                <w:rtl/>
              </w:rPr>
            </w:pPr>
            <w:r>
              <w:rPr>
                <w:rFonts w:ascii="David" w:hAnsi="David"/>
                <w:b/>
                <w:bCs/>
                <w:sz w:val="20"/>
                <w:szCs w:val="20"/>
              </w:rPr>
              <w:t>363.6</w:t>
            </w:r>
          </w:p>
        </w:tc>
        <w:tc>
          <w:tcPr>
            <w:tcW w:w="1513" w:type="dxa"/>
            <w:tcBorders>
              <w:top w:val="nil"/>
              <w:left w:val="single" w:sz="4" w:space="0" w:color="auto"/>
              <w:bottom w:val="nil"/>
              <w:right w:val="single" w:sz="4" w:space="0" w:color="auto"/>
            </w:tcBorders>
            <w:shd w:val="clear" w:color="auto" w:fill="auto"/>
            <w:noWrap/>
            <w:vAlign w:val="center"/>
          </w:tcPr>
          <w:p w:rsidR="00D10E3F" w:rsidRPr="00A34826" w:rsidRDefault="00D10E3F" w:rsidP="00D10E3F">
            <w:pPr>
              <w:bidi w:val="0"/>
              <w:spacing w:before="0" w:after="0" w:line="240" w:lineRule="auto"/>
              <w:jc w:val="center"/>
              <w:rPr>
                <w:rFonts w:ascii="David" w:eastAsia="Times New Roman" w:hAnsi="David"/>
                <w:b/>
                <w:bCs/>
                <w:sz w:val="20"/>
                <w:szCs w:val="20"/>
                <w:rtl/>
              </w:rPr>
            </w:pPr>
            <w:r>
              <w:rPr>
                <w:rFonts w:ascii="David" w:hAnsi="David"/>
                <w:b/>
                <w:bCs/>
                <w:sz w:val="20"/>
                <w:szCs w:val="20"/>
              </w:rPr>
              <w:t>380.0</w:t>
            </w:r>
          </w:p>
        </w:tc>
        <w:tc>
          <w:tcPr>
            <w:tcW w:w="1513" w:type="dxa"/>
            <w:tcBorders>
              <w:top w:val="nil"/>
              <w:left w:val="single" w:sz="4" w:space="0" w:color="auto"/>
              <w:bottom w:val="nil"/>
            </w:tcBorders>
            <w:vAlign w:val="center"/>
          </w:tcPr>
          <w:p w:rsidR="00D10E3F" w:rsidRPr="00A34826" w:rsidRDefault="00D10E3F" w:rsidP="00D10E3F">
            <w:pPr>
              <w:bidi w:val="0"/>
              <w:spacing w:before="0" w:after="0" w:line="240" w:lineRule="auto"/>
              <w:jc w:val="center"/>
              <w:rPr>
                <w:rFonts w:ascii="David" w:hAnsi="David"/>
                <w:b/>
                <w:bCs/>
                <w:sz w:val="20"/>
                <w:szCs w:val="20"/>
                <w:rtl/>
              </w:rPr>
            </w:pPr>
            <w:r>
              <w:rPr>
                <w:rFonts w:ascii="David" w:hAnsi="David"/>
                <w:b/>
                <w:bCs/>
                <w:sz w:val="20"/>
                <w:szCs w:val="20"/>
              </w:rPr>
              <w:t>397.4</w:t>
            </w:r>
          </w:p>
        </w:tc>
      </w:tr>
      <w:tr w:rsidR="00DC4053" w:rsidRPr="002410AE" w:rsidTr="00D00A54">
        <w:trPr>
          <w:trHeight w:val="300"/>
        </w:trPr>
        <w:tc>
          <w:tcPr>
            <w:tcW w:w="4047" w:type="dxa"/>
            <w:tcBorders>
              <w:top w:val="nil"/>
              <w:bottom w:val="nil"/>
              <w:right w:val="single" w:sz="4" w:space="0" w:color="auto"/>
            </w:tcBorders>
            <w:shd w:val="clear" w:color="auto" w:fill="auto"/>
            <w:noWrap/>
            <w:vAlign w:val="center"/>
            <w:hideMark/>
          </w:tcPr>
          <w:p w:rsidR="00DC4053" w:rsidRPr="00A34826" w:rsidRDefault="00DC4053" w:rsidP="00D00A54">
            <w:pPr>
              <w:bidi w:val="0"/>
              <w:spacing w:before="0" w:after="0" w:line="240" w:lineRule="auto"/>
              <w:jc w:val="left"/>
              <w:rPr>
                <w:rFonts w:ascii="David" w:eastAsia="Times New Roman" w:hAnsi="David"/>
                <w:sz w:val="20"/>
                <w:szCs w:val="20"/>
                <w:rtl/>
              </w:rPr>
            </w:pPr>
            <w:r w:rsidRPr="00A34826">
              <w:rPr>
                <w:rFonts w:ascii="David" w:hAnsi="David"/>
                <w:b/>
                <w:bCs/>
                <w:color w:val="000000"/>
                <w:sz w:val="20"/>
                <w:szCs w:val="20"/>
              </w:rPr>
              <w:t>----------</w:t>
            </w:r>
            <w:r w:rsidRPr="00A34826">
              <w:rPr>
                <w:rFonts w:ascii="David" w:eastAsia="Times New Roman" w:hAnsi="David"/>
                <w:b/>
                <w:bCs/>
                <w:sz w:val="20"/>
                <w:szCs w:val="20"/>
                <w:rtl/>
              </w:rPr>
              <w:t>---------------------------------</w:t>
            </w:r>
          </w:p>
        </w:tc>
        <w:tc>
          <w:tcPr>
            <w:tcW w:w="1513" w:type="dxa"/>
            <w:tcBorders>
              <w:left w:val="single" w:sz="4" w:space="0" w:color="auto"/>
              <w:right w:val="single" w:sz="4" w:space="0" w:color="auto"/>
            </w:tcBorders>
            <w:shd w:val="clear" w:color="auto" w:fill="auto"/>
            <w:noWrap/>
            <w:vAlign w:val="bottom"/>
          </w:tcPr>
          <w:p w:rsidR="00DC4053" w:rsidRPr="00A34826" w:rsidRDefault="00DC4053" w:rsidP="00D00A54">
            <w:pPr>
              <w:bidi w:val="0"/>
              <w:spacing w:before="0" w:after="0" w:line="240" w:lineRule="auto"/>
              <w:jc w:val="center"/>
              <w:rPr>
                <w:rFonts w:ascii="David" w:eastAsia="Times New Roman" w:hAnsi="David"/>
                <w:b/>
                <w:bCs/>
                <w:color w:val="000000"/>
                <w:sz w:val="20"/>
                <w:szCs w:val="20"/>
                <w:rtl/>
              </w:rPr>
            </w:pPr>
            <w:r w:rsidRPr="00A34826">
              <w:rPr>
                <w:rFonts w:ascii="David" w:hAnsi="David"/>
                <w:b/>
                <w:bCs/>
                <w:color w:val="000000"/>
                <w:sz w:val="20"/>
                <w:szCs w:val="20"/>
              </w:rPr>
              <w:t>----------</w:t>
            </w:r>
          </w:p>
        </w:tc>
        <w:tc>
          <w:tcPr>
            <w:tcW w:w="1513" w:type="dxa"/>
            <w:tcBorders>
              <w:top w:val="nil"/>
              <w:left w:val="single" w:sz="4" w:space="0" w:color="auto"/>
              <w:bottom w:val="nil"/>
              <w:right w:val="single" w:sz="4" w:space="0" w:color="auto"/>
            </w:tcBorders>
            <w:shd w:val="clear" w:color="auto" w:fill="auto"/>
            <w:noWrap/>
            <w:vAlign w:val="bottom"/>
          </w:tcPr>
          <w:p w:rsidR="00DC4053" w:rsidRPr="00A34826" w:rsidRDefault="00DC4053" w:rsidP="00D00A54">
            <w:pPr>
              <w:bidi w:val="0"/>
              <w:spacing w:before="0" w:after="0" w:line="240" w:lineRule="auto"/>
              <w:jc w:val="center"/>
              <w:rPr>
                <w:rFonts w:ascii="David" w:eastAsia="Times New Roman" w:hAnsi="David"/>
                <w:b/>
                <w:bCs/>
                <w:color w:val="000000"/>
                <w:sz w:val="20"/>
                <w:szCs w:val="20"/>
                <w:rtl/>
              </w:rPr>
            </w:pPr>
            <w:r w:rsidRPr="00A34826">
              <w:rPr>
                <w:rFonts w:ascii="David" w:hAnsi="David"/>
                <w:b/>
                <w:bCs/>
                <w:color w:val="000000"/>
                <w:sz w:val="20"/>
                <w:szCs w:val="20"/>
              </w:rPr>
              <w:t>----------</w:t>
            </w:r>
          </w:p>
        </w:tc>
        <w:tc>
          <w:tcPr>
            <w:tcW w:w="1513" w:type="dxa"/>
            <w:tcBorders>
              <w:top w:val="nil"/>
              <w:left w:val="single" w:sz="4" w:space="0" w:color="auto"/>
              <w:bottom w:val="nil"/>
            </w:tcBorders>
            <w:vAlign w:val="bottom"/>
          </w:tcPr>
          <w:p w:rsidR="00DC4053" w:rsidRPr="00A34826" w:rsidRDefault="00DC4053" w:rsidP="00D00A54">
            <w:pPr>
              <w:bidi w:val="0"/>
              <w:spacing w:before="0" w:after="0" w:line="240" w:lineRule="auto"/>
              <w:jc w:val="center"/>
              <w:rPr>
                <w:rFonts w:ascii="David" w:hAnsi="David"/>
                <w:b/>
                <w:bCs/>
                <w:color w:val="000000"/>
                <w:sz w:val="20"/>
                <w:szCs w:val="20"/>
                <w:rtl/>
              </w:rPr>
            </w:pPr>
            <w:r w:rsidRPr="00A34826">
              <w:rPr>
                <w:rFonts w:ascii="David" w:hAnsi="David"/>
                <w:b/>
                <w:bCs/>
                <w:color w:val="000000"/>
                <w:sz w:val="20"/>
                <w:szCs w:val="20"/>
              </w:rPr>
              <w:t>----------</w:t>
            </w:r>
          </w:p>
        </w:tc>
      </w:tr>
      <w:tr w:rsidR="00D10E3F" w:rsidRPr="002410AE" w:rsidTr="00A34826">
        <w:trPr>
          <w:trHeight w:val="300"/>
        </w:trPr>
        <w:tc>
          <w:tcPr>
            <w:tcW w:w="4047" w:type="dxa"/>
            <w:tcBorders>
              <w:top w:val="nil"/>
              <w:bottom w:val="nil"/>
              <w:right w:val="single" w:sz="4" w:space="0" w:color="auto"/>
            </w:tcBorders>
            <w:shd w:val="clear" w:color="auto" w:fill="auto"/>
            <w:noWrap/>
            <w:vAlign w:val="center"/>
            <w:hideMark/>
          </w:tcPr>
          <w:p w:rsidR="00D10E3F" w:rsidRPr="00A34826" w:rsidRDefault="00D10E3F" w:rsidP="00D10E3F">
            <w:pPr>
              <w:spacing w:before="0" w:after="0" w:line="240" w:lineRule="auto"/>
              <w:jc w:val="left"/>
              <w:rPr>
                <w:rFonts w:ascii="David" w:eastAsia="Times New Roman" w:hAnsi="David"/>
                <w:sz w:val="20"/>
                <w:szCs w:val="20"/>
                <w:rtl/>
              </w:rPr>
            </w:pPr>
            <w:r w:rsidRPr="00A34826">
              <w:rPr>
                <w:rFonts w:ascii="David" w:eastAsia="Times New Roman" w:hAnsi="David" w:hint="eastAsia"/>
                <w:sz w:val="20"/>
                <w:szCs w:val="20"/>
                <w:rtl/>
              </w:rPr>
              <w:t>גירעון</w:t>
            </w:r>
            <w:r w:rsidRPr="00A34826">
              <w:rPr>
                <w:rFonts w:ascii="David" w:eastAsia="Times New Roman" w:hAnsi="David"/>
                <w:sz w:val="20"/>
                <w:szCs w:val="20"/>
                <w:rtl/>
              </w:rPr>
              <w:t xml:space="preserve"> </w:t>
            </w:r>
            <w:r w:rsidRPr="00A34826">
              <w:rPr>
                <w:rFonts w:ascii="David" w:eastAsia="Times New Roman" w:hAnsi="David" w:hint="eastAsia"/>
                <w:sz w:val="20"/>
                <w:szCs w:val="20"/>
                <w:rtl/>
              </w:rPr>
              <w:t>חזוי</w:t>
            </w:r>
            <w:r w:rsidRPr="00A34826">
              <w:rPr>
                <w:rFonts w:ascii="David" w:eastAsia="Times New Roman" w:hAnsi="David"/>
                <w:sz w:val="20"/>
                <w:szCs w:val="20"/>
                <w:rtl/>
              </w:rPr>
              <w:t xml:space="preserve"> </w:t>
            </w:r>
            <w:r w:rsidRPr="00A34826">
              <w:rPr>
                <w:rFonts w:ascii="David" w:eastAsia="Times New Roman" w:hAnsi="David" w:hint="eastAsia"/>
                <w:sz w:val="20"/>
                <w:szCs w:val="20"/>
                <w:rtl/>
              </w:rPr>
              <w:t>בעת</w:t>
            </w:r>
            <w:r w:rsidRPr="00A34826">
              <w:rPr>
                <w:rFonts w:ascii="David" w:eastAsia="Times New Roman" w:hAnsi="David"/>
                <w:sz w:val="20"/>
                <w:szCs w:val="20"/>
                <w:rtl/>
              </w:rPr>
              <w:t xml:space="preserve"> </w:t>
            </w:r>
            <w:r w:rsidRPr="00A34826">
              <w:rPr>
                <w:rFonts w:ascii="David" w:eastAsia="Times New Roman" w:hAnsi="David" w:hint="eastAsia"/>
                <w:sz w:val="20"/>
                <w:szCs w:val="20"/>
                <w:rtl/>
              </w:rPr>
              <w:t>התכנסות</w:t>
            </w:r>
            <w:r w:rsidRPr="00A34826">
              <w:rPr>
                <w:rFonts w:ascii="David" w:eastAsia="Times New Roman" w:hAnsi="David"/>
                <w:sz w:val="20"/>
                <w:szCs w:val="20"/>
                <w:rtl/>
              </w:rPr>
              <w:t xml:space="preserve"> </w:t>
            </w:r>
            <w:r w:rsidRPr="00A34826">
              <w:rPr>
                <w:rFonts w:ascii="David" w:eastAsia="Times New Roman" w:hAnsi="David" w:hint="eastAsia"/>
                <w:sz w:val="20"/>
                <w:szCs w:val="20"/>
                <w:rtl/>
              </w:rPr>
              <w:t>למגבלת</w:t>
            </w:r>
            <w:r w:rsidRPr="00A34826">
              <w:rPr>
                <w:rFonts w:ascii="David" w:eastAsia="Times New Roman" w:hAnsi="David"/>
                <w:sz w:val="20"/>
                <w:szCs w:val="20"/>
                <w:rtl/>
              </w:rPr>
              <w:t xml:space="preserve"> </w:t>
            </w:r>
            <w:r w:rsidRPr="00A34826">
              <w:rPr>
                <w:rFonts w:ascii="David" w:eastAsia="Times New Roman" w:hAnsi="David" w:hint="eastAsia"/>
                <w:sz w:val="20"/>
                <w:szCs w:val="20"/>
                <w:rtl/>
              </w:rPr>
              <w:t>ההוצאה</w:t>
            </w:r>
          </w:p>
        </w:tc>
        <w:tc>
          <w:tcPr>
            <w:tcW w:w="1513" w:type="dxa"/>
            <w:tcBorders>
              <w:left w:val="single" w:sz="4" w:space="0" w:color="auto"/>
              <w:right w:val="single" w:sz="4" w:space="0" w:color="auto"/>
            </w:tcBorders>
            <w:shd w:val="clear" w:color="auto" w:fill="auto"/>
            <w:noWrap/>
            <w:vAlign w:val="center"/>
          </w:tcPr>
          <w:p w:rsidR="00D10E3F" w:rsidRPr="00A34826" w:rsidRDefault="00D10E3F" w:rsidP="00D10E3F">
            <w:pPr>
              <w:bidi w:val="0"/>
              <w:spacing w:before="0" w:after="0" w:line="240" w:lineRule="auto"/>
              <w:jc w:val="center"/>
              <w:rPr>
                <w:rFonts w:ascii="David" w:eastAsia="Times New Roman" w:hAnsi="David"/>
                <w:sz w:val="20"/>
                <w:szCs w:val="20"/>
                <w:rtl/>
              </w:rPr>
            </w:pPr>
            <w:r>
              <w:rPr>
                <w:rFonts w:ascii="David" w:hAnsi="David"/>
                <w:b/>
                <w:bCs/>
                <w:sz w:val="20"/>
                <w:szCs w:val="20"/>
              </w:rPr>
              <w:t>48.1</w:t>
            </w:r>
          </w:p>
        </w:tc>
        <w:tc>
          <w:tcPr>
            <w:tcW w:w="1513" w:type="dxa"/>
            <w:tcBorders>
              <w:top w:val="nil"/>
              <w:left w:val="single" w:sz="4" w:space="0" w:color="auto"/>
              <w:bottom w:val="nil"/>
              <w:right w:val="single" w:sz="4" w:space="0" w:color="auto"/>
            </w:tcBorders>
            <w:shd w:val="clear" w:color="auto" w:fill="auto"/>
            <w:noWrap/>
            <w:vAlign w:val="center"/>
          </w:tcPr>
          <w:p w:rsidR="00D10E3F" w:rsidRPr="00A34826" w:rsidRDefault="00D10E3F" w:rsidP="00D10E3F">
            <w:pPr>
              <w:bidi w:val="0"/>
              <w:spacing w:before="0" w:after="0" w:line="240" w:lineRule="auto"/>
              <w:jc w:val="center"/>
              <w:rPr>
                <w:rFonts w:ascii="David" w:eastAsia="Times New Roman" w:hAnsi="David"/>
                <w:sz w:val="20"/>
                <w:szCs w:val="20"/>
                <w:rtl/>
              </w:rPr>
            </w:pPr>
            <w:r>
              <w:rPr>
                <w:rFonts w:ascii="David" w:hAnsi="David"/>
                <w:b/>
                <w:bCs/>
                <w:sz w:val="20"/>
                <w:szCs w:val="20"/>
              </w:rPr>
              <w:t>46.0</w:t>
            </w:r>
          </w:p>
        </w:tc>
        <w:tc>
          <w:tcPr>
            <w:tcW w:w="1513" w:type="dxa"/>
            <w:tcBorders>
              <w:top w:val="nil"/>
              <w:left w:val="single" w:sz="4" w:space="0" w:color="auto"/>
              <w:bottom w:val="nil"/>
            </w:tcBorders>
            <w:vAlign w:val="center"/>
          </w:tcPr>
          <w:p w:rsidR="00D10E3F" w:rsidRPr="00A34826" w:rsidRDefault="00D10E3F" w:rsidP="00D10E3F">
            <w:pPr>
              <w:bidi w:val="0"/>
              <w:spacing w:before="0" w:after="0" w:line="240" w:lineRule="auto"/>
              <w:jc w:val="center"/>
              <w:rPr>
                <w:rFonts w:ascii="David" w:hAnsi="David"/>
                <w:sz w:val="20"/>
                <w:szCs w:val="20"/>
                <w:rtl/>
              </w:rPr>
            </w:pPr>
            <w:r>
              <w:rPr>
                <w:rFonts w:ascii="David" w:hAnsi="David"/>
                <w:b/>
                <w:bCs/>
                <w:sz w:val="20"/>
                <w:szCs w:val="20"/>
              </w:rPr>
              <w:t>45.1</w:t>
            </w:r>
          </w:p>
        </w:tc>
      </w:tr>
      <w:tr w:rsidR="00D10E3F" w:rsidRPr="002410AE" w:rsidTr="00A34826">
        <w:trPr>
          <w:trHeight w:val="300"/>
        </w:trPr>
        <w:tc>
          <w:tcPr>
            <w:tcW w:w="4047" w:type="dxa"/>
            <w:tcBorders>
              <w:top w:val="nil"/>
              <w:bottom w:val="nil"/>
              <w:right w:val="single" w:sz="4" w:space="0" w:color="auto"/>
            </w:tcBorders>
            <w:shd w:val="clear" w:color="auto" w:fill="auto"/>
            <w:noWrap/>
            <w:vAlign w:val="center"/>
            <w:hideMark/>
          </w:tcPr>
          <w:p w:rsidR="00D10E3F" w:rsidRPr="00A34826" w:rsidRDefault="00D10E3F" w:rsidP="00D10E3F">
            <w:pPr>
              <w:spacing w:before="0" w:after="0" w:line="240" w:lineRule="auto"/>
              <w:jc w:val="left"/>
              <w:rPr>
                <w:rFonts w:ascii="David" w:eastAsia="Times New Roman" w:hAnsi="David"/>
                <w:sz w:val="20"/>
                <w:szCs w:val="20"/>
                <w:rtl/>
              </w:rPr>
            </w:pPr>
            <w:r w:rsidRPr="00A34826">
              <w:rPr>
                <w:rFonts w:ascii="David" w:eastAsia="Times New Roman" w:hAnsi="David" w:hint="eastAsia"/>
                <w:sz w:val="20"/>
                <w:szCs w:val="20"/>
                <w:rtl/>
              </w:rPr>
              <w:t>גירעון</w:t>
            </w:r>
            <w:r w:rsidRPr="00A34826">
              <w:rPr>
                <w:rFonts w:ascii="David" w:eastAsia="Times New Roman" w:hAnsi="David"/>
                <w:sz w:val="20"/>
                <w:szCs w:val="20"/>
                <w:rtl/>
              </w:rPr>
              <w:t xml:space="preserve"> </w:t>
            </w:r>
            <w:r w:rsidRPr="00A34826">
              <w:rPr>
                <w:rFonts w:ascii="David" w:eastAsia="Times New Roman" w:hAnsi="David" w:hint="eastAsia"/>
                <w:sz w:val="20"/>
                <w:szCs w:val="20"/>
                <w:rtl/>
              </w:rPr>
              <w:t>מותר</w:t>
            </w:r>
            <w:r w:rsidRPr="00A34826">
              <w:rPr>
                <w:rFonts w:ascii="David" w:eastAsia="Times New Roman" w:hAnsi="David"/>
                <w:sz w:val="20"/>
                <w:szCs w:val="20"/>
                <w:rtl/>
              </w:rPr>
              <w:t xml:space="preserve"> </w:t>
            </w:r>
            <w:r w:rsidRPr="00A34826">
              <w:rPr>
                <w:rFonts w:ascii="David" w:eastAsia="Times New Roman" w:hAnsi="David" w:hint="eastAsia"/>
                <w:sz w:val="20"/>
                <w:szCs w:val="20"/>
                <w:rtl/>
              </w:rPr>
              <w:t>על</w:t>
            </w:r>
            <w:r w:rsidRPr="00A34826">
              <w:rPr>
                <w:rFonts w:ascii="David" w:eastAsia="Times New Roman" w:hAnsi="David"/>
                <w:sz w:val="20"/>
                <w:szCs w:val="20"/>
                <w:rtl/>
              </w:rPr>
              <w:t>-</w:t>
            </w:r>
            <w:r w:rsidRPr="00A34826">
              <w:rPr>
                <w:rFonts w:ascii="David" w:eastAsia="Times New Roman" w:hAnsi="David" w:hint="eastAsia"/>
                <w:sz w:val="20"/>
                <w:szCs w:val="20"/>
                <w:rtl/>
              </w:rPr>
              <w:t>פי</w:t>
            </w:r>
            <w:r w:rsidRPr="00A34826">
              <w:rPr>
                <w:rFonts w:ascii="David" w:eastAsia="Times New Roman" w:hAnsi="David"/>
                <w:sz w:val="20"/>
                <w:szCs w:val="20"/>
                <w:rtl/>
              </w:rPr>
              <w:t xml:space="preserve"> </w:t>
            </w:r>
            <w:r w:rsidRPr="00A34826">
              <w:rPr>
                <w:rFonts w:ascii="David" w:eastAsia="Times New Roman" w:hAnsi="David" w:hint="eastAsia"/>
                <w:sz w:val="20"/>
                <w:szCs w:val="20"/>
                <w:rtl/>
              </w:rPr>
              <w:t>חוק</w:t>
            </w:r>
            <w:r w:rsidRPr="00A34826">
              <w:rPr>
                <w:rFonts w:ascii="David" w:eastAsia="Times New Roman" w:hAnsi="David"/>
                <w:sz w:val="20"/>
                <w:szCs w:val="20"/>
                <w:rtl/>
              </w:rPr>
              <w:t xml:space="preserve"> </w:t>
            </w:r>
            <w:r w:rsidRPr="00A34826">
              <w:rPr>
                <w:rFonts w:ascii="David" w:eastAsia="Times New Roman" w:hAnsi="David" w:hint="eastAsia"/>
                <w:sz w:val="20"/>
                <w:szCs w:val="20"/>
                <w:rtl/>
              </w:rPr>
              <w:t>המסגרות</w:t>
            </w:r>
          </w:p>
        </w:tc>
        <w:tc>
          <w:tcPr>
            <w:tcW w:w="1513" w:type="dxa"/>
            <w:tcBorders>
              <w:left w:val="single" w:sz="4" w:space="0" w:color="auto"/>
              <w:right w:val="single" w:sz="4" w:space="0" w:color="auto"/>
            </w:tcBorders>
            <w:shd w:val="clear" w:color="auto" w:fill="auto"/>
            <w:noWrap/>
            <w:vAlign w:val="center"/>
          </w:tcPr>
          <w:p w:rsidR="00D10E3F" w:rsidRPr="00A34826" w:rsidRDefault="00D10E3F" w:rsidP="00D10E3F">
            <w:pPr>
              <w:bidi w:val="0"/>
              <w:spacing w:before="0" w:after="0" w:line="240" w:lineRule="auto"/>
              <w:jc w:val="center"/>
              <w:rPr>
                <w:rFonts w:ascii="David" w:eastAsia="Times New Roman" w:hAnsi="David"/>
                <w:sz w:val="20"/>
                <w:szCs w:val="20"/>
                <w:rtl/>
              </w:rPr>
            </w:pPr>
            <w:r>
              <w:rPr>
                <w:rFonts w:ascii="David" w:hAnsi="David"/>
                <w:b/>
                <w:bCs/>
                <w:sz w:val="20"/>
                <w:szCs w:val="20"/>
              </w:rPr>
              <w:t>36.0</w:t>
            </w:r>
          </w:p>
        </w:tc>
        <w:tc>
          <w:tcPr>
            <w:tcW w:w="1513" w:type="dxa"/>
            <w:tcBorders>
              <w:top w:val="nil"/>
              <w:left w:val="single" w:sz="4" w:space="0" w:color="auto"/>
              <w:bottom w:val="nil"/>
              <w:right w:val="single" w:sz="4" w:space="0" w:color="auto"/>
            </w:tcBorders>
            <w:shd w:val="clear" w:color="auto" w:fill="auto"/>
            <w:noWrap/>
            <w:vAlign w:val="center"/>
          </w:tcPr>
          <w:p w:rsidR="00D10E3F" w:rsidRPr="00A34826" w:rsidRDefault="00D10E3F" w:rsidP="00D10E3F">
            <w:pPr>
              <w:bidi w:val="0"/>
              <w:spacing w:before="0" w:after="0" w:line="240" w:lineRule="auto"/>
              <w:jc w:val="center"/>
              <w:rPr>
                <w:rFonts w:ascii="David" w:eastAsia="Times New Roman" w:hAnsi="David"/>
                <w:sz w:val="20"/>
                <w:szCs w:val="20"/>
                <w:rtl/>
              </w:rPr>
            </w:pPr>
            <w:r>
              <w:rPr>
                <w:rFonts w:ascii="David" w:hAnsi="David"/>
                <w:b/>
                <w:bCs/>
                <w:sz w:val="20"/>
                <w:szCs w:val="20"/>
              </w:rPr>
              <w:t>33.9</w:t>
            </w:r>
          </w:p>
        </w:tc>
        <w:tc>
          <w:tcPr>
            <w:tcW w:w="1513" w:type="dxa"/>
            <w:tcBorders>
              <w:top w:val="nil"/>
              <w:left w:val="single" w:sz="4" w:space="0" w:color="auto"/>
              <w:bottom w:val="nil"/>
            </w:tcBorders>
            <w:vAlign w:val="center"/>
          </w:tcPr>
          <w:p w:rsidR="00D10E3F" w:rsidRPr="00A34826" w:rsidRDefault="00D10E3F" w:rsidP="00D10E3F">
            <w:pPr>
              <w:bidi w:val="0"/>
              <w:spacing w:before="0" w:after="0" w:line="240" w:lineRule="auto"/>
              <w:jc w:val="center"/>
              <w:rPr>
                <w:rFonts w:ascii="David" w:hAnsi="David"/>
                <w:sz w:val="20"/>
                <w:szCs w:val="20"/>
                <w:rtl/>
              </w:rPr>
            </w:pPr>
            <w:r>
              <w:rPr>
                <w:rFonts w:ascii="David" w:hAnsi="David"/>
                <w:b/>
                <w:bCs/>
                <w:sz w:val="20"/>
                <w:szCs w:val="20"/>
              </w:rPr>
              <w:t>31.6</w:t>
            </w:r>
          </w:p>
        </w:tc>
      </w:tr>
      <w:tr w:rsidR="00DC4053" w:rsidRPr="002410AE" w:rsidTr="00D00A54">
        <w:trPr>
          <w:trHeight w:val="300"/>
        </w:trPr>
        <w:tc>
          <w:tcPr>
            <w:tcW w:w="4047" w:type="dxa"/>
            <w:tcBorders>
              <w:top w:val="nil"/>
              <w:bottom w:val="nil"/>
              <w:right w:val="single" w:sz="4" w:space="0" w:color="auto"/>
            </w:tcBorders>
            <w:shd w:val="clear" w:color="auto" w:fill="auto"/>
            <w:noWrap/>
            <w:vAlign w:val="center"/>
            <w:hideMark/>
          </w:tcPr>
          <w:p w:rsidR="00DC4053" w:rsidRPr="00A34826" w:rsidRDefault="00DC4053" w:rsidP="00D00A54">
            <w:pPr>
              <w:bidi w:val="0"/>
              <w:spacing w:before="0" w:after="0" w:line="240" w:lineRule="auto"/>
              <w:jc w:val="left"/>
              <w:rPr>
                <w:rFonts w:ascii="David" w:eastAsia="Times New Roman" w:hAnsi="David"/>
                <w:sz w:val="20"/>
                <w:szCs w:val="20"/>
                <w:rtl/>
              </w:rPr>
            </w:pPr>
            <w:r w:rsidRPr="00A34826">
              <w:rPr>
                <w:rFonts w:ascii="David" w:hAnsi="David"/>
                <w:b/>
                <w:bCs/>
                <w:color w:val="000000"/>
                <w:sz w:val="20"/>
                <w:szCs w:val="20"/>
              </w:rPr>
              <w:t>----------</w:t>
            </w:r>
            <w:r w:rsidRPr="00A34826">
              <w:rPr>
                <w:rFonts w:ascii="David" w:eastAsia="Times New Roman" w:hAnsi="David"/>
                <w:b/>
                <w:bCs/>
                <w:sz w:val="20"/>
                <w:szCs w:val="20"/>
                <w:rtl/>
              </w:rPr>
              <w:t>---------------------------------</w:t>
            </w:r>
          </w:p>
        </w:tc>
        <w:tc>
          <w:tcPr>
            <w:tcW w:w="1513" w:type="dxa"/>
            <w:tcBorders>
              <w:left w:val="single" w:sz="4" w:space="0" w:color="auto"/>
              <w:right w:val="single" w:sz="4" w:space="0" w:color="auto"/>
            </w:tcBorders>
            <w:shd w:val="clear" w:color="auto" w:fill="auto"/>
            <w:noWrap/>
            <w:vAlign w:val="bottom"/>
          </w:tcPr>
          <w:p w:rsidR="00DC4053" w:rsidRPr="00A34826" w:rsidRDefault="00DC4053" w:rsidP="00D00A54">
            <w:pPr>
              <w:bidi w:val="0"/>
              <w:spacing w:before="0" w:after="0" w:line="240" w:lineRule="auto"/>
              <w:jc w:val="center"/>
              <w:rPr>
                <w:rFonts w:ascii="David" w:eastAsia="Times New Roman" w:hAnsi="David"/>
                <w:b/>
                <w:bCs/>
                <w:color w:val="000000"/>
                <w:sz w:val="20"/>
                <w:szCs w:val="20"/>
                <w:rtl/>
              </w:rPr>
            </w:pPr>
            <w:r w:rsidRPr="00A34826">
              <w:rPr>
                <w:rFonts w:ascii="David" w:hAnsi="David"/>
                <w:b/>
                <w:bCs/>
                <w:color w:val="000000"/>
                <w:sz w:val="20"/>
                <w:szCs w:val="20"/>
              </w:rPr>
              <w:t>----------</w:t>
            </w:r>
          </w:p>
        </w:tc>
        <w:tc>
          <w:tcPr>
            <w:tcW w:w="1513" w:type="dxa"/>
            <w:tcBorders>
              <w:top w:val="nil"/>
              <w:left w:val="single" w:sz="4" w:space="0" w:color="auto"/>
              <w:bottom w:val="nil"/>
              <w:right w:val="single" w:sz="4" w:space="0" w:color="auto"/>
            </w:tcBorders>
            <w:shd w:val="clear" w:color="auto" w:fill="auto"/>
            <w:noWrap/>
            <w:vAlign w:val="bottom"/>
          </w:tcPr>
          <w:p w:rsidR="00DC4053" w:rsidRPr="00A34826" w:rsidRDefault="00DC4053" w:rsidP="00D00A54">
            <w:pPr>
              <w:bidi w:val="0"/>
              <w:spacing w:before="0" w:after="0" w:line="240" w:lineRule="auto"/>
              <w:jc w:val="center"/>
              <w:rPr>
                <w:rFonts w:ascii="David" w:eastAsia="Times New Roman" w:hAnsi="David"/>
                <w:b/>
                <w:bCs/>
                <w:color w:val="000000"/>
                <w:sz w:val="20"/>
                <w:szCs w:val="20"/>
                <w:rtl/>
              </w:rPr>
            </w:pPr>
            <w:r w:rsidRPr="00A34826">
              <w:rPr>
                <w:rFonts w:ascii="David" w:hAnsi="David"/>
                <w:b/>
                <w:bCs/>
                <w:color w:val="000000"/>
                <w:sz w:val="20"/>
                <w:szCs w:val="20"/>
              </w:rPr>
              <w:t>----------</w:t>
            </w:r>
          </w:p>
        </w:tc>
        <w:tc>
          <w:tcPr>
            <w:tcW w:w="1513" w:type="dxa"/>
            <w:tcBorders>
              <w:top w:val="nil"/>
              <w:left w:val="single" w:sz="4" w:space="0" w:color="auto"/>
              <w:bottom w:val="nil"/>
            </w:tcBorders>
            <w:vAlign w:val="bottom"/>
          </w:tcPr>
          <w:p w:rsidR="00DC4053" w:rsidRPr="00A34826" w:rsidRDefault="00DC4053" w:rsidP="00D00A54">
            <w:pPr>
              <w:bidi w:val="0"/>
              <w:spacing w:before="0" w:after="0" w:line="240" w:lineRule="auto"/>
              <w:jc w:val="center"/>
              <w:rPr>
                <w:rFonts w:ascii="David" w:hAnsi="David"/>
                <w:b/>
                <w:bCs/>
                <w:color w:val="000000"/>
                <w:sz w:val="20"/>
                <w:szCs w:val="20"/>
                <w:rtl/>
              </w:rPr>
            </w:pPr>
            <w:r w:rsidRPr="00A34826">
              <w:rPr>
                <w:rFonts w:ascii="David" w:hAnsi="David"/>
                <w:b/>
                <w:bCs/>
                <w:color w:val="000000"/>
                <w:sz w:val="20"/>
                <w:szCs w:val="20"/>
              </w:rPr>
              <w:t>----------</w:t>
            </w:r>
          </w:p>
        </w:tc>
      </w:tr>
      <w:tr w:rsidR="00D10E3F" w:rsidRPr="002410AE" w:rsidTr="00A34826">
        <w:trPr>
          <w:trHeight w:val="300"/>
        </w:trPr>
        <w:tc>
          <w:tcPr>
            <w:tcW w:w="4047" w:type="dxa"/>
            <w:tcBorders>
              <w:top w:val="nil"/>
              <w:bottom w:val="nil"/>
              <w:right w:val="single" w:sz="4" w:space="0" w:color="auto"/>
            </w:tcBorders>
            <w:shd w:val="clear" w:color="auto" w:fill="auto"/>
            <w:vAlign w:val="center"/>
            <w:hideMark/>
          </w:tcPr>
          <w:p w:rsidR="00D10E3F" w:rsidRPr="00A34826" w:rsidRDefault="00D10E3F" w:rsidP="00D10E3F">
            <w:pPr>
              <w:spacing w:before="0" w:after="0" w:line="240" w:lineRule="auto"/>
              <w:jc w:val="left"/>
              <w:rPr>
                <w:rFonts w:ascii="David" w:eastAsia="Times New Roman" w:hAnsi="David"/>
                <w:b/>
                <w:bCs/>
                <w:sz w:val="20"/>
                <w:szCs w:val="20"/>
                <w:rtl/>
              </w:rPr>
            </w:pPr>
            <w:r w:rsidRPr="00A34826">
              <w:rPr>
                <w:rFonts w:ascii="David" w:eastAsia="Times New Roman" w:hAnsi="David" w:hint="eastAsia"/>
                <w:b/>
                <w:bCs/>
                <w:sz w:val="20"/>
                <w:szCs w:val="20"/>
                <w:rtl/>
              </w:rPr>
              <w:t>צעדי</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התכנסות</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נדרשים</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לצורך</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עמידה</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בגירעון</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המותר</w:t>
            </w:r>
          </w:p>
        </w:tc>
        <w:tc>
          <w:tcPr>
            <w:tcW w:w="1513" w:type="dxa"/>
            <w:tcBorders>
              <w:left w:val="single" w:sz="4" w:space="0" w:color="auto"/>
              <w:right w:val="single" w:sz="4" w:space="0" w:color="auto"/>
            </w:tcBorders>
            <w:shd w:val="clear" w:color="auto" w:fill="auto"/>
            <w:noWrap/>
            <w:vAlign w:val="center"/>
          </w:tcPr>
          <w:p w:rsidR="00D10E3F" w:rsidRPr="00A34826" w:rsidRDefault="00D10E3F" w:rsidP="00D10E3F">
            <w:pPr>
              <w:bidi w:val="0"/>
              <w:spacing w:before="0" w:after="0" w:line="240" w:lineRule="auto"/>
              <w:jc w:val="center"/>
              <w:rPr>
                <w:rFonts w:ascii="David" w:eastAsia="Times New Roman" w:hAnsi="David"/>
                <w:b/>
                <w:bCs/>
                <w:sz w:val="20"/>
                <w:szCs w:val="20"/>
                <w:rtl/>
              </w:rPr>
            </w:pPr>
            <w:r>
              <w:rPr>
                <w:rFonts w:ascii="David" w:hAnsi="David"/>
                <w:b/>
                <w:bCs/>
                <w:sz w:val="20"/>
                <w:szCs w:val="20"/>
              </w:rPr>
              <w:t>12.0</w:t>
            </w:r>
          </w:p>
        </w:tc>
        <w:tc>
          <w:tcPr>
            <w:tcW w:w="1513" w:type="dxa"/>
            <w:tcBorders>
              <w:top w:val="nil"/>
              <w:left w:val="single" w:sz="4" w:space="0" w:color="auto"/>
              <w:bottom w:val="nil"/>
              <w:right w:val="single" w:sz="4" w:space="0" w:color="auto"/>
            </w:tcBorders>
            <w:shd w:val="clear" w:color="auto" w:fill="auto"/>
            <w:noWrap/>
            <w:vAlign w:val="center"/>
          </w:tcPr>
          <w:p w:rsidR="00D10E3F" w:rsidRPr="00A34826" w:rsidRDefault="00D10E3F" w:rsidP="00D10E3F">
            <w:pPr>
              <w:bidi w:val="0"/>
              <w:spacing w:before="0" w:after="0" w:line="240" w:lineRule="auto"/>
              <w:jc w:val="center"/>
              <w:rPr>
                <w:rFonts w:ascii="David" w:eastAsia="Times New Roman" w:hAnsi="David"/>
                <w:b/>
                <w:bCs/>
                <w:sz w:val="20"/>
                <w:szCs w:val="20"/>
                <w:rtl/>
              </w:rPr>
            </w:pPr>
            <w:r>
              <w:rPr>
                <w:rFonts w:ascii="David" w:hAnsi="David"/>
                <w:b/>
                <w:bCs/>
                <w:sz w:val="20"/>
                <w:szCs w:val="20"/>
              </w:rPr>
              <w:t>12.1</w:t>
            </w:r>
          </w:p>
        </w:tc>
        <w:tc>
          <w:tcPr>
            <w:tcW w:w="1513" w:type="dxa"/>
            <w:tcBorders>
              <w:top w:val="nil"/>
              <w:left w:val="single" w:sz="4" w:space="0" w:color="auto"/>
              <w:bottom w:val="nil"/>
            </w:tcBorders>
            <w:vAlign w:val="center"/>
          </w:tcPr>
          <w:p w:rsidR="00D10E3F" w:rsidRPr="00A34826" w:rsidRDefault="00D10E3F" w:rsidP="00D10E3F">
            <w:pPr>
              <w:bidi w:val="0"/>
              <w:spacing w:before="0" w:after="0" w:line="240" w:lineRule="auto"/>
              <w:jc w:val="center"/>
              <w:rPr>
                <w:rFonts w:ascii="David" w:hAnsi="David"/>
                <w:b/>
                <w:bCs/>
                <w:sz w:val="20"/>
                <w:szCs w:val="20"/>
                <w:rtl/>
              </w:rPr>
            </w:pPr>
            <w:r>
              <w:rPr>
                <w:rFonts w:ascii="David" w:hAnsi="David"/>
                <w:b/>
                <w:bCs/>
                <w:sz w:val="20"/>
                <w:szCs w:val="20"/>
              </w:rPr>
              <w:t>13.5</w:t>
            </w:r>
          </w:p>
        </w:tc>
      </w:tr>
      <w:tr w:rsidR="00DC4053" w:rsidRPr="002410AE" w:rsidTr="00D00A54">
        <w:trPr>
          <w:trHeight w:val="300"/>
        </w:trPr>
        <w:tc>
          <w:tcPr>
            <w:tcW w:w="4047" w:type="dxa"/>
            <w:tcBorders>
              <w:top w:val="nil"/>
              <w:bottom w:val="nil"/>
              <w:right w:val="single" w:sz="4" w:space="0" w:color="auto"/>
            </w:tcBorders>
            <w:shd w:val="clear" w:color="auto" w:fill="auto"/>
            <w:noWrap/>
            <w:vAlign w:val="center"/>
            <w:hideMark/>
          </w:tcPr>
          <w:p w:rsidR="00DC4053" w:rsidRPr="00A34826" w:rsidRDefault="00DC4053" w:rsidP="00D00A54">
            <w:pPr>
              <w:bidi w:val="0"/>
              <w:spacing w:before="0" w:after="0" w:line="240" w:lineRule="auto"/>
              <w:jc w:val="left"/>
              <w:rPr>
                <w:rFonts w:ascii="David" w:eastAsia="Times New Roman" w:hAnsi="David"/>
                <w:sz w:val="20"/>
                <w:szCs w:val="20"/>
                <w:rtl/>
              </w:rPr>
            </w:pPr>
            <w:r w:rsidRPr="00A34826">
              <w:rPr>
                <w:rFonts w:ascii="David" w:hAnsi="David"/>
                <w:b/>
                <w:bCs/>
                <w:color w:val="000000"/>
                <w:sz w:val="20"/>
                <w:szCs w:val="20"/>
              </w:rPr>
              <w:t>----------</w:t>
            </w:r>
            <w:r w:rsidRPr="00A34826">
              <w:rPr>
                <w:rFonts w:ascii="David" w:eastAsia="Times New Roman" w:hAnsi="David"/>
                <w:b/>
                <w:bCs/>
                <w:sz w:val="20"/>
                <w:szCs w:val="20"/>
                <w:rtl/>
              </w:rPr>
              <w:t>---------------------------------</w:t>
            </w:r>
          </w:p>
        </w:tc>
        <w:tc>
          <w:tcPr>
            <w:tcW w:w="1513" w:type="dxa"/>
            <w:tcBorders>
              <w:left w:val="single" w:sz="4" w:space="0" w:color="auto"/>
              <w:right w:val="single" w:sz="4" w:space="0" w:color="auto"/>
            </w:tcBorders>
            <w:shd w:val="clear" w:color="auto" w:fill="auto"/>
            <w:noWrap/>
            <w:vAlign w:val="bottom"/>
          </w:tcPr>
          <w:p w:rsidR="00DC4053" w:rsidRPr="00A34826" w:rsidRDefault="00DC4053" w:rsidP="00D00A54">
            <w:pPr>
              <w:bidi w:val="0"/>
              <w:spacing w:before="0" w:after="0" w:line="240" w:lineRule="auto"/>
              <w:jc w:val="center"/>
              <w:rPr>
                <w:rFonts w:ascii="David" w:eastAsia="Times New Roman" w:hAnsi="David"/>
                <w:b/>
                <w:bCs/>
                <w:color w:val="000000"/>
                <w:sz w:val="20"/>
                <w:szCs w:val="20"/>
                <w:rtl/>
              </w:rPr>
            </w:pPr>
            <w:r w:rsidRPr="00A34826">
              <w:rPr>
                <w:rFonts w:ascii="David" w:hAnsi="David"/>
                <w:b/>
                <w:bCs/>
                <w:color w:val="000000"/>
                <w:sz w:val="20"/>
                <w:szCs w:val="20"/>
              </w:rPr>
              <w:t>----------</w:t>
            </w:r>
          </w:p>
        </w:tc>
        <w:tc>
          <w:tcPr>
            <w:tcW w:w="1513" w:type="dxa"/>
            <w:tcBorders>
              <w:top w:val="nil"/>
              <w:left w:val="single" w:sz="4" w:space="0" w:color="auto"/>
              <w:bottom w:val="nil"/>
              <w:right w:val="single" w:sz="4" w:space="0" w:color="auto"/>
            </w:tcBorders>
            <w:shd w:val="clear" w:color="auto" w:fill="auto"/>
            <w:noWrap/>
            <w:vAlign w:val="bottom"/>
          </w:tcPr>
          <w:p w:rsidR="00DC4053" w:rsidRPr="00A34826" w:rsidRDefault="00DC4053" w:rsidP="00D00A54">
            <w:pPr>
              <w:bidi w:val="0"/>
              <w:spacing w:before="0" w:after="0" w:line="240" w:lineRule="auto"/>
              <w:jc w:val="center"/>
              <w:rPr>
                <w:rFonts w:ascii="David" w:eastAsia="Times New Roman" w:hAnsi="David"/>
                <w:b/>
                <w:bCs/>
                <w:color w:val="000000"/>
                <w:sz w:val="20"/>
                <w:szCs w:val="20"/>
              </w:rPr>
            </w:pPr>
            <w:r w:rsidRPr="00A34826">
              <w:rPr>
                <w:rFonts w:ascii="David" w:hAnsi="David"/>
                <w:b/>
                <w:bCs/>
                <w:color w:val="000000"/>
                <w:sz w:val="20"/>
                <w:szCs w:val="20"/>
              </w:rPr>
              <w:t>----------</w:t>
            </w:r>
          </w:p>
        </w:tc>
        <w:tc>
          <w:tcPr>
            <w:tcW w:w="1513" w:type="dxa"/>
            <w:tcBorders>
              <w:top w:val="nil"/>
              <w:left w:val="single" w:sz="4" w:space="0" w:color="auto"/>
              <w:bottom w:val="nil"/>
            </w:tcBorders>
            <w:vAlign w:val="bottom"/>
          </w:tcPr>
          <w:p w:rsidR="00DC4053" w:rsidRPr="00A34826" w:rsidRDefault="00DC4053" w:rsidP="00D00A54">
            <w:pPr>
              <w:bidi w:val="0"/>
              <w:spacing w:before="0" w:after="0" w:line="240" w:lineRule="auto"/>
              <w:jc w:val="center"/>
              <w:rPr>
                <w:rFonts w:ascii="David" w:hAnsi="David"/>
                <w:b/>
                <w:bCs/>
                <w:color w:val="000000"/>
                <w:sz w:val="20"/>
                <w:szCs w:val="20"/>
                <w:rtl/>
              </w:rPr>
            </w:pPr>
            <w:r w:rsidRPr="00A34826">
              <w:rPr>
                <w:rFonts w:ascii="David" w:hAnsi="David"/>
                <w:b/>
                <w:bCs/>
                <w:color w:val="000000"/>
                <w:sz w:val="20"/>
                <w:szCs w:val="20"/>
              </w:rPr>
              <w:t>----------</w:t>
            </w:r>
          </w:p>
        </w:tc>
      </w:tr>
      <w:tr w:rsidR="00D10E3F" w:rsidRPr="002410AE" w:rsidTr="00A34826">
        <w:trPr>
          <w:trHeight w:val="300"/>
        </w:trPr>
        <w:tc>
          <w:tcPr>
            <w:tcW w:w="4047" w:type="dxa"/>
            <w:tcBorders>
              <w:top w:val="nil"/>
              <w:bottom w:val="nil"/>
              <w:right w:val="single" w:sz="4" w:space="0" w:color="auto"/>
            </w:tcBorders>
            <w:shd w:val="clear" w:color="auto" w:fill="auto"/>
            <w:vAlign w:val="center"/>
            <w:hideMark/>
          </w:tcPr>
          <w:p w:rsidR="00D10E3F" w:rsidRPr="00A34826" w:rsidRDefault="00D10E3F" w:rsidP="00D10E3F">
            <w:pPr>
              <w:spacing w:before="0" w:after="0" w:line="240" w:lineRule="auto"/>
              <w:jc w:val="left"/>
              <w:rPr>
                <w:rFonts w:ascii="David" w:eastAsia="Times New Roman" w:hAnsi="David"/>
                <w:b/>
                <w:bCs/>
                <w:sz w:val="20"/>
                <w:szCs w:val="20"/>
                <w:rtl/>
              </w:rPr>
            </w:pPr>
            <w:r w:rsidRPr="00A34826">
              <w:rPr>
                <w:rFonts w:ascii="David" w:eastAsia="Times New Roman" w:hAnsi="David" w:hint="eastAsia"/>
                <w:b/>
                <w:bCs/>
                <w:sz w:val="20"/>
                <w:szCs w:val="20"/>
                <w:rtl/>
              </w:rPr>
              <w:t>סך</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צעדי</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ההתכנסות</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הנדרשים</w:t>
            </w:r>
          </w:p>
        </w:tc>
        <w:tc>
          <w:tcPr>
            <w:tcW w:w="1513" w:type="dxa"/>
            <w:tcBorders>
              <w:left w:val="single" w:sz="4" w:space="0" w:color="auto"/>
              <w:right w:val="single" w:sz="4" w:space="0" w:color="auto"/>
            </w:tcBorders>
            <w:shd w:val="clear" w:color="auto" w:fill="auto"/>
            <w:noWrap/>
            <w:vAlign w:val="center"/>
          </w:tcPr>
          <w:p w:rsidR="00D10E3F" w:rsidRPr="00A34826" w:rsidRDefault="00D10E3F" w:rsidP="00D10E3F">
            <w:pPr>
              <w:bidi w:val="0"/>
              <w:spacing w:before="0" w:after="0" w:line="240" w:lineRule="auto"/>
              <w:jc w:val="center"/>
              <w:rPr>
                <w:rFonts w:ascii="David" w:eastAsia="Times New Roman" w:hAnsi="David"/>
                <w:b/>
                <w:bCs/>
                <w:sz w:val="20"/>
                <w:szCs w:val="20"/>
                <w:rtl/>
              </w:rPr>
            </w:pPr>
            <w:r>
              <w:rPr>
                <w:rFonts w:ascii="David" w:hAnsi="David"/>
                <w:b/>
                <w:bCs/>
                <w:sz w:val="20"/>
                <w:szCs w:val="20"/>
              </w:rPr>
              <w:t>17.4</w:t>
            </w:r>
          </w:p>
        </w:tc>
        <w:tc>
          <w:tcPr>
            <w:tcW w:w="1513" w:type="dxa"/>
            <w:tcBorders>
              <w:top w:val="nil"/>
              <w:left w:val="single" w:sz="4" w:space="0" w:color="auto"/>
              <w:bottom w:val="nil"/>
              <w:right w:val="single" w:sz="4" w:space="0" w:color="auto"/>
            </w:tcBorders>
            <w:shd w:val="clear" w:color="auto" w:fill="auto"/>
            <w:noWrap/>
            <w:vAlign w:val="center"/>
          </w:tcPr>
          <w:p w:rsidR="00D10E3F" w:rsidRPr="00A34826" w:rsidRDefault="00D10E3F" w:rsidP="00D10E3F">
            <w:pPr>
              <w:bidi w:val="0"/>
              <w:spacing w:before="0" w:after="0" w:line="240" w:lineRule="auto"/>
              <w:jc w:val="center"/>
              <w:rPr>
                <w:rFonts w:ascii="David" w:eastAsia="Times New Roman" w:hAnsi="David"/>
                <w:b/>
                <w:bCs/>
                <w:sz w:val="20"/>
                <w:szCs w:val="20"/>
                <w:rtl/>
              </w:rPr>
            </w:pPr>
            <w:r>
              <w:rPr>
                <w:rFonts w:ascii="David" w:hAnsi="David"/>
                <w:b/>
                <w:bCs/>
                <w:sz w:val="20"/>
                <w:szCs w:val="20"/>
              </w:rPr>
              <w:t>19.8</w:t>
            </w:r>
          </w:p>
        </w:tc>
        <w:tc>
          <w:tcPr>
            <w:tcW w:w="1513" w:type="dxa"/>
            <w:tcBorders>
              <w:top w:val="nil"/>
              <w:left w:val="single" w:sz="4" w:space="0" w:color="auto"/>
              <w:bottom w:val="nil"/>
            </w:tcBorders>
            <w:vAlign w:val="center"/>
          </w:tcPr>
          <w:p w:rsidR="00D10E3F" w:rsidRPr="00A34826" w:rsidRDefault="00D10E3F" w:rsidP="00D10E3F">
            <w:pPr>
              <w:bidi w:val="0"/>
              <w:spacing w:before="0" w:after="0" w:line="240" w:lineRule="auto"/>
              <w:jc w:val="center"/>
              <w:rPr>
                <w:rFonts w:ascii="David" w:hAnsi="David"/>
                <w:b/>
                <w:bCs/>
                <w:sz w:val="20"/>
                <w:szCs w:val="20"/>
                <w:rtl/>
              </w:rPr>
            </w:pPr>
            <w:r>
              <w:rPr>
                <w:rFonts w:ascii="David" w:hAnsi="David"/>
                <w:b/>
                <w:bCs/>
                <w:sz w:val="20"/>
                <w:szCs w:val="20"/>
              </w:rPr>
              <w:t>20.8</w:t>
            </w:r>
          </w:p>
        </w:tc>
      </w:tr>
      <w:tr w:rsidR="00DC4053" w:rsidRPr="002410AE" w:rsidTr="00D00A54">
        <w:trPr>
          <w:trHeight w:val="300"/>
        </w:trPr>
        <w:tc>
          <w:tcPr>
            <w:tcW w:w="4047" w:type="dxa"/>
            <w:tcBorders>
              <w:top w:val="nil"/>
              <w:bottom w:val="nil"/>
              <w:right w:val="single" w:sz="4" w:space="0" w:color="auto"/>
            </w:tcBorders>
            <w:shd w:val="clear" w:color="auto" w:fill="auto"/>
            <w:vAlign w:val="center"/>
            <w:hideMark/>
          </w:tcPr>
          <w:p w:rsidR="00DC4053" w:rsidRPr="00A34826" w:rsidRDefault="00DC4053" w:rsidP="00D00A54">
            <w:pPr>
              <w:spacing w:before="0" w:after="0" w:line="240" w:lineRule="auto"/>
              <w:jc w:val="left"/>
              <w:rPr>
                <w:rFonts w:ascii="David" w:eastAsia="Times New Roman" w:hAnsi="David"/>
                <w:sz w:val="20"/>
                <w:szCs w:val="20"/>
                <w:rtl/>
              </w:rPr>
            </w:pPr>
            <w:r w:rsidRPr="00A34826">
              <w:rPr>
                <w:rFonts w:ascii="David" w:eastAsia="Times New Roman" w:hAnsi="David" w:hint="eastAsia"/>
                <w:sz w:val="20"/>
                <w:szCs w:val="20"/>
                <w:rtl/>
              </w:rPr>
              <w:t>גירעון</w:t>
            </w:r>
            <w:r w:rsidRPr="00A34826">
              <w:rPr>
                <w:rFonts w:ascii="David" w:eastAsia="Times New Roman" w:hAnsi="David"/>
                <w:sz w:val="20"/>
                <w:szCs w:val="20"/>
                <w:rtl/>
              </w:rPr>
              <w:t xml:space="preserve"> </w:t>
            </w:r>
            <w:r w:rsidRPr="00A34826">
              <w:rPr>
                <w:rFonts w:ascii="David" w:eastAsia="Times New Roman" w:hAnsi="David" w:hint="eastAsia"/>
                <w:sz w:val="20"/>
                <w:szCs w:val="20"/>
                <w:rtl/>
              </w:rPr>
              <w:t>מותר</w:t>
            </w:r>
            <w:r w:rsidRPr="00A34826">
              <w:rPr>
                <w:rFonts w:ascii="David" w:eastAsia="Times New Roman" w:hAnsi="David"/>
                <w:sz w:val="20"/>
                <w:szCs w:val="20"/>
                <w:rtl/>
              </w:rPr>
              <w:t xml:space="preserve"> </w:t>
            </w:r>
            <w:r w:rsidRPr="00A34826">
              <w:rPr>
                <w:rFonts w:ascii="David" w:eastAsia="Times New Roman" w:hAnsi="David" w:hint="eastAsia"/>
                <w:sz w:val="20"/>
                <w:szCs w:val="20"/>
                <w:rtl/>
              </w:rPr>
              <w:t>באחוזי</w:t>
            </w:r>
            <w:r w:rsidRPr="00A34826">
              <w:rPr>
                <w:rFonts w:ascii="David" w:eastAsia="Times New Roman" w:hAnsi="David"/>
                <w:sz w:val="20"/>
                <w:szCs w:val="20"/>
                <w:rtl/>
              </w:rPr>
              <w:t xml:space="preserve"> </w:t>
            </w:r>
            <w:r w:rsidRPr="00A34826">
              <w:rPr>
                <w:rFonts w:ascii="David" w:eastAsia="Times New Roman" w:hAnsi="David" w:hint="eastAsia"/>
                <w:sz w:val="20"/>
                <w:szCs w:val="20"/>
                <w:rtl/>
              </w:rPr>
              <w:t>תוצר</w:t>
            </w:r>
          </w:p>
        </w:tc>
        <w:tc>
          <w:tcPr>
            <w:tcW w:w="1513" w:type="dxa"/>
            <w:tcBorders>
              <w:left w:val="single" w:sz="4" w:space="0" w:color="auto"/>
              <w:right w:val="single" w:sz="4" w:space="0" w:color="auto"/>
            </w:tcBorders>
            <w:shd w:val="clear" w:color="auto" w:fill="auto"/>
            <w:noWrap/>
            <w:vAlign w:val="bottom"/>
          </w:tcPr>
          <w:p w:rsidR="00DC4053" w:rsidRPr="00A34826" w:rsidRDefault="00DC4053" w:rsidP="00D00A54">
            <w:pPr>
              <w:bidi w:val="0"/>
              <w:spacing w:before="0" w:after="0" w:line="240" w:lineRule="auto"/>
              <w:jc w:val="center"/>
              <w:rPr>
                <w:rFonts w:ascii="David" w:eastAsia="Times New Roman" w:hAnsi="David"/>
                <w:sz w:val="20"/>
                <w:szCs w:val="20"/>
                <w:rtl/>
              </w:rPr>
            </w:pPr>
            <w:r w:rsidRPr="00A34826">
              <w:rPr>
                <w:rFonts w:ascii="David" w:hAnsi="David"/>
                <w:b/>
                <w:bCs/>
                <w:sz w:val="20"/>
                <w:szCs w:val="20"/>
              </w:rPr>
              <w:t>2.50%</w:t>
            </w:r>
          </w:p>
        </w:tc>
        <w:tc>
          <w:tcPr>
            <w:tcW w:w="1513" w:type="dxa"/>
            <w:tcBorders>
              <w:top w:val="nil"/>
              <w:left w:val="single" w:sz="4" w:space="0" w:color="auto"/>
              <w:bottom w:val="nil"/>
              <w:right w:val="single" w:sz="4" w:space="0" w:color="auto"/>
            </w:tcBorders>
            <w:shd w:val="clear" w:color="auto" w:fill="auto"/>
            <w:noWrap/>
            <w:vAlign w:val="bottom"/>
          </w:tcPr>
          <w:p w:rsidR="00DC4053" w:rsidRPr="00A34826" w:rsidRDefault="00DC4053" w:rsidP="00D00A54">
            <w:pPr>
              <w:bidi w:val="0"/>
              <w:spacing w:before="0" w:after="0" w:line="240" w:lineRule="auto"/>
              <w:jc w:val="center"/>
              <w:rPr>
                <w:rFonts w:ascii="David" w:eastAsia="Times New Roman" w:hAnsi="David"/>
                <w:sz w:val="20"/>
                <w:szCs w:val="20"/>
                <w:rtl/>
              </w:rPr>
            </w:pPr>
            <w:r w:rsidRPr="00A34826">
              <w:rPr>
                <w:rFonts w:ascii="David" w:hAnsi="David"/>
                <w:b/>
                <w:bCs/>
                <w:sz w:val="20"/>
                <w:szCs w:val="20"/>
              </w:rPr>
              <w:t>2.25%</w:t>
            </w:r>
          </w:p>
        </w:tc>
        <w:tc>
          <w:tcPr>
            <w:tcW w:w="1513" w:type="dxa"/>
            <w:tcBorders>
              <w:top w:val="nil"/>
              <w:left w:val="single" w:sz="4" w:space="0" w:color="auto"/>
              <w:bottom w:val="nil"/>
            </w:tcBorders>
            <w:vAlign w:val="bottom"/>
          </w:tcPr>
          <w:p w:rsidR="00DC4053" w:rsidRPr="00A34826" w:rsidRDefault="00DC4053" w:rsidP="00D00A54">
            <w:pPr>
              <w:bidi w:val="0"/>
              <w:spacing w:before="0" w:after="0" w:line="240" w:lineRule="auto"/>
              <w:jc w:val="center"/>
              <w:rPr>
                <w:rFonts w:ascii="David" w:hAnsi="David"/>
                <w:sz w:val="20"/>
                <w:szCs w:val="20"/>
                <w:rtl/>
              </w:rPr>
            </w:pPr>
            <w:r w:rsidRPr="00A34826">
              <w:rPr>
                <w:rFonts w:ascii="David" w:hAnsi="David"/>
                <w:b/>
                <w:bCs/>
                <w:sz w:val="20"/>
                <w:szCs w:val="20"/>
              </w:rPr>
              <w:t>2.00%</w:t>
            </w:r>
          </w:p>
        </w:tc>
      </w:tr>
      <w:tr w:rsidR="00D10E3F" w:rsidRPr="002410AE" w:rsidTr="00A34826">
        <w:trPr>
          <w:trHeight w:val="300"/>
        </w:trPr>
        <w:tc>
          <w:tcPr>
            <w:tcW w:w="4047" w:type="dxa"/>
            <w:tcBorders>
              <w:top w:val="nil"/>
              <w:bottom w:val="single" w:sz="4" w:space="0" w:color="auto"/>
              <w:right w:val="single" w:sz="4" w:space="0" w:color="auto"/>
            </w:tcBorders>
            <w:shd w:val="clear" w:color="auto" w:fill="auto"/>
            <w:vAlign w:val="center"/>
            <w:hideMark/>
          </w:tcPr>
          <w:p w:rsidR="00D10E3F" w:rsidRPr="00A34826" w:rsidRDefault="00D10E3F" w:rsidP="00D10E3F">
            <w:pPr>
              <w:spacing w:before="0" w:after="0" w:line="240" w:lineRule="auto"/>
              <w:jc w:val="left"/>
              <w:rPr>
                <w:rFonts w:ascii="David" w:eastAsia="Times New Roman" w:hAnsi="David"/>
                <w:b/>
                <w:bCs/>
                <w:sz w:val="20"/>
                <w:szCs w:val="20"/>
                <w:rtl/>
              </w:rPr>
            </w:pPr>
            <w:r w:rsidRPr="00A34826">
              <w:rPr>
                <w:rFonts w:ascii="David" w:eastAsia="Times New Roman" w:hAnsi="David" w:hint="eastAsia"/>
                <w:b/>
                <w:bCs/>
                <w:sz w:val="20"/>
                <w:szCs w:val="20"/>
                <w:rtl/>
              </w:rPr>
              <w:t>גירעון</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תוצאתי</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ללא</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ביצוע</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צעדי</w:t>
            </w:r>
            <w:r w:rsidRPr="00A34826">
              <w:rPr>
                <w:rFonts w:ascii="David" w:eastAsia="Times New Roman" w:hAnsi="David"/>
                <w:b/>
                <w:bCs/>
                <w:sz w:val="20"/>
                <w:szCs w:val="20"/>
                <w:rtl/>
              </w:rPr>
              <w:t xml:space="preserve"> </w:t>
            </w:r>
            <w:r w:rsidRPr="00A34826">
              <w:rPr>
                <w:rFonts w:ascii="David" w:eastAsia="Times New Roman" w:hAnsi="David" w:hint="eastAsia"/>
                <w:b/>
                <w:bCs/>
                <w:sz w:val="20"/>
                <w:szCs w:val="20"/>
                <w:rtl/>
              </w:rPr>
              <w:t>התאמה</w:t>
            </w:r>
          </w:p>
        </w:tc>
        <w:tc>
          <w:tcPr>
            <w:tcW w:w="1513" w:type="dxa"/>
            <w:tcBorders>
              <w:top w:val="nil"/>
              <w:left w:val="single" w:sz="4" w:space="0" w:color="000000"/>
              <w:bottom w:val="single" w:sz="4" w:space="0" w:color="000000"/>
              <w:right w:val="single" w:sz="4" w:space="0" w:color="000000"/>
            </w:tcBorders>
            <w:shd w:val="clear" w:color="auto" w:fill="auto"/>
            <w:noWrap/>
            <w:vAlign w:val="center"/>
          </w:tcPr>
          <w:p w:rsidR="00D10E3F" w:rsidRPr="00A34826" w:rsidRDefault="00D10E3F" w:rsidP="00D10E3F">
            <w:pPr>
              <w:bidi w:val="0"/>
              <w:spacing w:before="0" w:after="0" w:line="240" w:lineRule="auto"/>
              <w:jc w:val="center"/>
              <w:rPr>
                <w:rFonts w:ascii="David" w:hAnsi="David"/>
                <w:b/>
                <w:bCs/>
                <w:sz w:val="20"/>
                <w:szCs w:val="20"/>
                <w:rtl/>
              </w:rPr>
            </w:pPr>
            <w:r>
              <w:rPr>
                <w:rFonts w:ascii="David" w:hAnsi="David"/>
                <w:b/>
                <w:bCs/>
                <w:sz w:val="20"/>
                <w:szCs w:val="20"/>
              </w:rPr>
              <w:t>3.7%</w:t>
            </w:r>
          </w:p>
        </w:tc>
        <w:tc>
          <w:tcPr>
            <w:tcW w:w="1513" w:type="dxa"/>
            <w:tcBorders>
              <w:top w:val="nil"/>
              <w:left w:val="single" w:sz="4" w:space="0" w:color="000000"/>
              <w:bottom w:val="single" w:sz="4" w:space="0" w:color="000000"/>
              <w:right w:val="single" w:sz="4" w:space="0" w:color="000000"/>
            </w:tcBorders>
            <w:shd w:val="clear" w:color="auto" w:fill="auto"/>
            <w:noWrap/>
            <w:vAlign w:val="center"/>
          </w:tcPr>
          <w:p w:rsidR="00D10E3F" w:rsidRPr="00A34826" w:rsidRDefault="00D10E3F" w:rsidP="00D10E3F">
            <w:pPr>
              <w:bidi w:val="0"/>
              <w:spacing w:before="0" w:after="0" w:line="240" w:lineRule="auto"/>
              <w:jc w:val="center"/>
              <w:rPr>
                <w:rFonts w:ascii="David" w:hAnsi="David"/>
                <w:b/>
                <w:bCs/>
                <w:sz w:val="20"/>
                <w:szCs w:val="20"/>
                <w:rtl/>
              </w:rPr>
            </w:pPr>
            <w:r>
              <w:rPr>
                <w:rFonts w:ascii="David" w:hAnsi="David"/>
                <w:b/>
                <w:bCs/>
                <w:sz w:val="20"/>
                <w:szCs w:val="20"/>
              </w:rPr>
              <w:t>3.6%</w:t>
            </w:r>
          </w:p>
        </w:tc>
        <w:tc>
          <w:tcPr>
            <w:tcW w:w="1513" w:type="dxa"/>
            <w:tcBorders>
              <w:top w:val="nil"/>
              <w:left w:val="single" w:sz="4" w:space="0" w:color="000000"/>
              <w:bottom w:val="single" w:sz="4" w:space="0" w:color="000000"/>
              <w:right w:val="single" w:sz="4" w:space="0" w:color="000000"/>
            </w:tcBorders>
            <w:shd w:val="clear" w:color="auto" w:fill="auto"/>
            <w:vAlign w:val="center"/>
          </w:tcPr>
          <w:p w:rsidR="00D10E3F" w:rsidRPr="00A34826" w:rsidRDefault="00D10E3F" w:rsidP="00D10E3F">
            <w:pPr>
              <w:bidi w:val="0"/>
              <w:spacing w:before="0" w:after="0" w:line="240" w:lineRule="auto"/>
              <w:jc w:val="center"/>
              <w:rPr>
                <w:rFonts w:ascii="David" w:hAnsi="David"/>
                <w:b/>
                <w:bCs/>
                <w:sz w:val="20"/>
                <w:szCs w:val="20"/>
                <w:rtl/>
              </w:rPr>
            </w:pPr>
            <w:r>
              <w:rPr>
                <w:rFonts w:ascii="David" w:hAnsi="David"/>
                <w:b/>
                <w:bCs/>
                <w:sz w:val="20"/>
                <w:szCs w:val="20"/>
              </w:rPr>
              <w:t>3.3%</w:t>
            </w:r>
          </w:p>
        </w:tc>
      </w:tr>
    </w:tbl>
    <w:p w:rsidR="00DC4053" w:rsidRPr="003C0454" w:rsidRDefault="00DC4053" w:rsidP="00DC4053">
      <w:pPr>
        <w:rPr>
          <w:sz w:val="20"/>
          <w:szCs w:val="20"/>
          <w:highlight w:val="yellow"/>
          <w:rtl/>
        </w:rPr>
      </w:pPr>
    </w:p>
    <w:p w:rsidR="00DC4053" w:rsidRPr="003C0454" w:rsidRDefault="00DC4053" w:rsidP="005971AC">
      <w:pPr>
        <w:rPr>
          <w:highlight w:val="yellow"/>
          <w:rtl/>
        </w:rPr>
      </w:pPr>
      <w:r w:rsidRPr="009D14C0">
        <w:rPr>
          <w:rFonts w:hint="eastAsia"/>
          <w:rtl/>
        </w:rPr>
        <w:t>על</w:t>
      </w:r>
      <w:r w:rsidRPr="009D14C0">
        <w:rPr>
          <w:rtl/>
        </w:rPr>
        <w:t xml:space="preserve"> פי חוק </w:t>
      </w:r>
      <w:r w:rsidRPr="009D14C0">
        <w:rPr>
          <w:rFonts w:hint="eastAsia"/>
          <w:rtl/>
        </w:rPr>
        <w:t>המסגרות</w:t>
      </w:r>
      <w:r w:rsidRPr="009D14C0">
        <w:rPr>
          <w:rtl/>
        </w:rPr>
        <w:t xml:space="preserve"> ולנוכח </w:t>
      </w:r>
      <w:r w:rsidRPr="00B12B02">
        <w:rPr>
          <w:rtl/>
        </w:rPr>
        <w:t xml:space="preserve">התחזיות המקרו-כלכליות הנוכחיות, הגידול </w:t>
      </w:r>
      <w:r>
        <w:rPr>
          <w:rFonts w:hint="cs"/>
          <w:rtl/>
        </w:rPr>
        <w:t xml:space="preserve">השנתי </w:t>
      </w:r>
      <w:r w:rsidRPr="00B12B02">
        <w:rPr>
          <w:rtl/>
        </w:rPr>
        <w:t xml:space="preserve">הנומינלי הממוצע המותר בתקציב המדינה </w:t>
      </w:r>
      <w:r w:rsidRPr="00CF4DB8">
        <w:rPr>
          <w:rFonts w:hint="eastAsia"/>
          <w:rtl/>
        </w:rPr>
        <w:t>בין</w:t>
      </w:r>
      <w:r w:rsidRPr="00CF4DB8">
        <w:rPr>
          <w:rtl/>
        </w:rPr>
        <w:t xml:space="preserve"> השנים </w:t>
      </w:r>
      <w:r w:rsidR="00153A9C">
        <w:rPr>
          <w:rFonts w:hint="cs"/>
          <w:rtl/>
        </w:rPr>
        <w:t>2019-2022</w:t>
      </w:r>
      <w:r w:rsidRPr="00CF4DB8">
        <w:rPr>
          <w:rtl/>
        </w:rPr>
        <w:t xml:space="preserve"> </w:t>
      </w:r>
      <w:r w:rsidRPr="00CF4DB8">
        <w:rPr>
          <w:rFonts w:hint="eastAsia"/>
          <w:rtl/>
        </w:rPr>
        <w:t>יעמוד</w:t>
      </w:r>
      <w:r w:rsidRPr="00CF4DB8">
        <w:rPr>
          <w:rtl/>
        </w:rPr>
        <w:t xml:space="preserve"> </w:t>
      </w:r>
      <w:r w:rsidRPr="00CF4DB8">
        <w:rPr>
          <w:rFonts w:hint="eastAsia"/>
          <w:rtl/>
        </w:rPr>
        <w:t>על</w:t>
      </w:r>
      <w:r w:rsidRPr="00CF4DB8">
        <w:rPr>
          <w:rtl/>
        </w:rPr>
        <w:t xml:space="preserve"> </w:t>
      </w:r>
      <w:r w:rsidRPr="00CF4DB8">
        <w:rPr>
          <w:rFonts w:hint="eastAsia"/>
          <w:rtl/>
        </w:rPr>
        <w:t>כ</w:t>
      </w:r>
      <w:r w:rsidRPr="00CF4DB8">
        <w:rPr>
          <w:rtl/>
        </w:rPr>
        <w:t>-</w:t>
      </w:r>
      <w:r w:rsidR="00B1308E">
        <w:rPr>
          <w:rFonts w:hint="cs"/>
          <w:rtl/>
        </w:rPr>
        <w:t>1</w:t>
      </w:r>
      <w:r w:rsidR="00E833B5">
        <w:rPr>
          <w:rFonts w:hint="cs"/>
          <w:rtl/>
        </w:rPr>
        <w:t>5</w:t>
      </w:r>
      <w:r w:rsidR="00B1308E">
        <w:rPr>
          <w:rFonts w:hint="cs"/>
          <w:rtl/>
        </w:rPr>
        <w:t>.</w:t>
      </w:r>
      <w:r w:rsidR="00153A9C">
        <w:rPr>
          <w:rFonts w:hint="cs"/>
          <w:rtl/>
        </w:rPr>
        <w:t>2</w:t>
      </w:r>
      <w:r w:rsidR="002410AE" w:rsidRPr="00CF4DB8">
        <w:rPr>
          <w:rtl/>
        </w:rPr>
        <w:t xml:space="preserve"> </w:t>
      </w:r>
      <w:r w:rsidRPr="00CF4DB8">
        <w:rPr>
          <w:rFonts w:hint="eastAsia"/>
          <w:rtl/>
        </w:rPr>
        <w:t>מיליארד</w:t>
      </w:r>
      <w:r w:rsidRPr="00CF4DB8">
        <w:rPr>
          <w:rtl/>
        </w:rPr>
        <w:t xml:space="preserve"> </w:t>
      </w:r>
      <w:r w:rsidRPr="00CF4DB8">
        <w:rPr>
          <w:rFonts w:hint="eastAsia"/>
          <w:rtl/>
        </w:rPr>
        <w:t>ש</w:t>
      </w:r>
      <w:r w:rsidRPr="00CF4DB8">
        <w:rPr>
          <w:rtl/>
        </w:rPr>
        <w:t>"ח</w:t>
      </w:r>
      <w:r>
        <w:rPr>
          <w:rFonts w:hint="cs"/>
          <w:rtl/>
        </w:rPr>
        <w:t>, כך</w:t>
      </w:r>
      <w:r w:rsidRPr="00CF4DB8">
        <w:rPr>
          <w:rtl/>
        </w:rPr>
        <w:t xml:space="preserve"> </w:t>
      </w:r>
      <w:r>
        <w:rPr>
          <w:rFonts w:hint="cs"/>
          <w:rtl/>
        </w:rPr>
        <w:t>ש</w:t>
      </w:r>
      <w:r w:rsidRPr="00CF4DB8">
        <w:rPr>
          <w:rFonts w:hint="eastAsia"/>
          <w:rtl/>
        </w:rPr>
        <w:t>תקציב</w:t>
      </w:r>
      <w:r w:rsidRPr="00CF4DB8">
        <w:rPr>
          <w:rtl/>
        </w:rPr>
        <w:t xml:space="preserve"> </w:t>
      </w:r>
      <w:r w:rsidRPr="00CF4DB8">
        <w:rPr>
          <w:rFonts w:hint="eastAsia"/>
          <w:rtl/>
        </w:rPr>
        <w:t>המדינה</w:t>
      </w:r>
      <w:r w:rsidRPr="00CF4DB8">
        <w:rPr>
          <w:rtl/>
        </w:rPr>
        <w:t xml:space="preserve"> </w:t>
      </w:r>
      <w:r w:rsidRPr="00CF4DB8">
        <w:rPr>
          <w:rFonts w:hint="eastAsia"/>
          <w:rtl/>
        </w:rPr>
        <w:t>צפוי</w:t>
      </w:r>
      <w:r w:rsidRPr="00CF4DB8">
        <w:rPr>
          <w:rtl/>
        </w:rPr>
        <w:t xml:space="preserve"> </w:t>
      </w:r>
      <w:r w:rsidRPr="00CF4DB8">
        <w:rPr>
          <w:rFonts w:hint="eastAsia"/>
          <w:rtl/>
        </w:rPr>
        <w:t>לגדול</w:t>
      </w:r>
      <w:r w:rsidRPr="00CF4DB8">
        <w:rPr>
          <w:rtl/>
        </w:rPr>
        <w:t xml:space="preserve"> </w:t>
      </w:r>
      <w:r w:rsidRPr="00CF4DB8">
        <w:rPr>
          <w:rFonts w:hint="eastAsia"/>
          <w:rtl/>
        </w:rPr>
        <w:t>מ</w:t>
      </w:r>
      <w:r w:rsidR="00153A9C">
        <w:rPr>
          <w:rFonts w:hint="cs"/>
          <w:rtl/>
        </w:rPr>
        <w:t>-397.4 ב-2019 לכ</w:t>
      </w:r>
      <w:r w:rsidR="00E833B5">
        <w:rPr>
          <w:rFonts w:hint="cs"/>
          <w:rtl/>
        </w:rPr>
        <w:t>-412.0 בשנת 2020</w:t>
      </w:r>
      <w:r w:rsidR="00153A9C">
        <w:rPr>
          <w:rFonts w:hint="cs"/>
          <w:rtl/>
        </w:rPr>
        <w:t>,</w:t>
      </w:r>
      <w:r w:rsidR="00E833B5">
        <w:rPr>
          <w:rFonts w:hint="cs"/>
          <w:rtl/>
        </w:rPr>
        <w:t xml:space="preserve"> לכ</w:t>
      </w:r>
      <w:r w:rsidRPr="00CF4DB8">
        <w:rPr>
          <w:rtl/>
        </w:rPr>
        <w:t>-</w:t>
      </w:r>
      <w:r w:rsidR="00B1308E">
        <w:rPr>
          <w:rFonts w:hint="cs"/>
          <w:rtl/>
        </w:rPr>
        <w:t>426.</w:t>
      </w:r>
      <w:r w:rsidR="00153A9C">
        <w:rPr>
          <w:rFonts w:hint="cs"/>
          <w:rtl/>
        </w:rPr>
        <w:t>4</w:t>
      </w:r>
      <w:r w:rsidR="00B1308E" w:rsidRPr="00CF4DB8">
        <w:rPr>
          <w:rtl/>
        </w:rPr>
        <w:t xml:space="preserve"> </w:t>
      </w:r>
      <w:r w:rsidRPr="00CF4DB8">
        <w:rPr>
          <w:rtl/>
        </w:rPr>
        <w:t xml:space="preserve">מיליארד ש"ח בשנת </w:t>
      </w:r>
      <w:r w:rsidR="00E833B5" w:rsidRPr="00CF4DB8">
        <w:rPr>
          <w:rtl/>
        </w:rPr>
        <w:t>20</w:t>
      </w:r>
      <w:r w:rsidR="00E833B5">
        <w:rPr>
          <w:rFonts w:hint="cs"/>
          <w:rtl/>
        </w:rPr>
        <w:t>21</w:t>
      </w:r>
      <w:r w:rsidRPr="00CF4DB8">
        <w:rPr>
          <w:rtl/>
        </w:rPr>
        <w:t>, ולכ-</w:t>
      </w:r>
      <w:r w:rsidR="00B1308E">
        <w:rPr>
          <w:rFonts w:hint="cs"/>
          <w:rtl/>
        </w:rPr>
        <w:t>442.</w:t>
      </w:r>
      <w:r w:rsidR="00153A9C">
        <w:rPr>
          <w:rFonts w:hint="cs"/>
          <w:rtl/>
        </w:rPr>
        <w:t>9</w:t>
      </w:r>
      <w:r w:rsidR="00B1308E" w:rsidRPr="00CF4DB8">
        <w:rPr>
          <w:rtl/>
        </w:rPr>
        <w:t xml:space="preserve"> </w:t>
      </w:r>
      <w:r w:rsidRPr="00CF4DB8">
        <w:rPr>
          <w:rtl/>
        </w:rPr>
        <w:t xml:space="preserve">מיליארד </w:t>
      </w:r>
      <w:r w:rsidRPr="00CF4DB8">
        <w:rPr>
          <w:rFonts w:hint="eastAsia"/>
          <w:rtl/>
        </w:rPr>
        <w:t>ש</w:t>
      </w:r>
      <w:r w:rsidRPr="00CF4DB8">
        <w:rPr>
          <w:rtl/>
        </w:rPr>
        <w:t xml:space="preserve">"ח </w:t>
      </w:r>
      <w:r w:rsidRPr="00CF4DB8">
        <w:rPr>
          <w:rFonts w:hint="eastAsia"/>
          <w:rtl/>
        </w:rPr>
        <w:t>בשנת</w:t>
      </w:r>
      <w:r w:rsidRPr="00CF4DB8">
        <w:rPr>
          <w:rtl/>
        </w:rPr>
        <w:t xml:space="preserve"> 202</w:t>
      </w:r>
      <w:r>
        <w:rPr>
          <w:rFonts w:hint="cs"/>
          <w:rtl/>
        </w:rPr>
        <w:t>2</w:t>
      </w:r>
      <w:r w:rsidRPr="00CF4DB8">
        <w:rPr>
          <w:rtl/>
        </w:rPr>
        <w:t xml:space="preserve">. </w:t>
      </w:r>
      <w:r w:rsidRPr="00CF4DB8">
        <w:rPr>
          <w:rFonts w:hint="eastAsia"/>
          <w:rtl/>
        </w:rPr>
        <w:t>הגידול</w:t>
      </w:r>
      <w:r w:rsidRPr="00CF4DB8">
        <w:rPr>
          <w:rtl/>
        </w:rPr>
        <w:t xml:space="preserve"> </w:t>
      </w:r>
      <w:r>
        <w:rPr>
          <w:rFonts w:hint="cs"/>
          <w:rtl/>
        </w:rPr>
        <w:t>האמור</w:t>
      </w:r>
      <w:r w:rsidRPr="00CF4DB8">
        <w:rPr>
          <w:rtl/>
        </w:rPr>
        <w:t xml:space="preserve"> </w:t>
      </w:r>
      <w:r w:rsidRPr="00CF4DB8">
        <w:rPr>
          <w:rFonts w:hint="eastAsia"/>
          <w:rtl/>
        </w:rPr>
        <w:t>משקף</w:t>
      </w:r>
      <w:r w:rsidRPr="00CF4DB8">
        <w:rPr>
          <w:rtl/>
        </w:rPr>
        <w:t xml:space="preserve"> </w:t>
      </w:r>
      <w:r w:rsidRPr="00CF4DB8">
        <w:rPr>
          <w:rFonts w:hint="eastAsia"/>
          <w:rtl/>
        </w:rPr>
        <w:t>גידול</w:t>
      </w:r>
      <w:r w:rsidRPr="00CF4DB8">
        <w:rPr>
          <w:rtl/>
        </w:rPr>
        <w:t xml:space="preserve"> </w:t>
      </w:r>
      <w:r w:rsidRPr="00CF4DB8">
        <w:rPr>
          <w:rFonts w:hint="eastAsia"/>
          <w:rtl/>
        </w:rPr>
        <w:t>ריאלי</w:t>
      </w:r>
      <w:r w:rsidRPr="00CF4DB8">
        <w:rPr>
          <w:rtl/>
        </w:rPr>
        <w:t xml:space="preserve"> </w:t>
      </w:r>
      <w:r w:rsidRPr="00CF4DB8">
        <w:rPr>
          <w:rFonts w:hint="eastAsia"/>
          <w:rtl/>
        </w:rPr>
        <w:t>ממוצע</w:t>
      </w:r>
      <w:r w:rsidRPr="00CF4DB8">
        <w:rPr>
          <w:rtl/>
        </w:rPr>
        <w:t xml:space="preserve"> </w:t>
      </w:r>
      <w:r w:rsidRPr="00CF4DB8">
        <w:rPr>
          <w:rFonts w:hint="eastAsia"/>
          <w:rtl/>
        </w:rPr>
        <w:t>שנתי</w:t>
      </w:r>
      <w:r w:rsidRPr="00CF4DB8">
        <w:rPr>
          <w:rtl/>
        </w:rPr>
        <w:t xml:space="preserve"> </w:t>
      </w:r>
      <w:r w:rsidRPr="00CF4DB8">
        <w:rPr>
          <w:rFonts w:hint="eastAsia"/>
          <w:rtl/>
        </w:rPr>
        <w:t>בהוצאות</w:t>
      </w:r>
      <w:r w:rsidRPr="00CF4DB8">
        <w:rPr>
          <w:rtl/>
        </w:rPr>
        <w:t xml:space="preserve"> </w:t>
      </w:r>
      <w:r w:rsidRPr="00CF4DB8">
        <w:rPr>
          <w:rFonts w:hint="eastAsia"/>
          <w:rtl/>
        </w:rPr>
        <w:t>הממשלה</w:t>
      </w:r>
      <w:r w:rsidRPr="00CF4DB8">
        <w:rPr>
          <w:rtl/>
        </w:rPr>
        <w:t xml:space="preserve"> </w:t>
      </w:r>
      <w:r w:rsidRPr="00CF4DB8">
        <w:rPr>
          <w:rFonts w:hint="eastAsia"/>
          <w:rtl/>
        </w:rPr>
        <w:t>של</w:t>
      </w:r>
      <w:r w:rsidRPr="00CF4DB8">
        <w:rPr>
          <w:rtl/>
        </w:rPr>
        <w:t xml:space="preserve"> </w:t>
      </w:r>
      <w:r w:rsidRPr="00CF4DB8">
        <w:rPr>
          <w:rFonts w:hint="eastAsia"/>
          <w:rtl/>
        </w:rPr>
        <w:t>כ</w:t>
      </w:r>
      <w:r w:rsidRPr="00CF4DB8">
        <w:rPr>
          <w:rtl/>
        </w:rPr>
        <w:t>-</w:t>
      </w:r>
      <w:r w:rsidR="00875543">
        <w:rPr>
          <w:rFonts w:hint="cs"/>
          <w:rtl/>
        </w:rPr>
        <w:t>12.4</w:t>
      </w:r>
      <w:r w:rsidRPr="00CF4DB8">
        <w:rPr>
          <w:rtl/>
        </w:rPr>
        <w:t xml:space="preserve"> </w:t>
      </w:r>
      <w:r w:rsidR="00955AE2">
        <w:rPr>
          <w:rFonts w:hint="cs"/>
          <w:rtl/>
        </w:rPr>
        <w:t xml:space="preserve">מיליארד ש"ח </w:t>
      </w:r>
      <w:r w:rsidRPr="00CF4DB8">
        <w:rPr>
          <w:rtl/>
        </w:rPr>
        <w:t xml:space="preserve">בין השנים </w:t>
      </w:r>
      <w:r w:rsidR="00E833B5">
        <w:rPr>
          <w:rFonts w:hint="cs"/>
          <w:rtl/>
        </w:rPr>
        <w:t>20</w:t>
      </w:r>
      <w:r w:rsidR="00DD31F1">
        <w:rPr>
          <w:rFonts w:hint="cs"/>
          <w:rtl/>
        </w:rPr>
        <w:t>19</w:t>
      </w:r>
      <w:r w:rsidR="00E833B5" w:rsidRPr="00CF4DB8">
        <w:rPr>
          <w:rtl/>
        </w:rPr>
        <w:t xml:space="preserve"> </w:t>
      </w:r>
      <w:r w:rsidRPr="00CF4DB8">
        <w:rPr>
          <w:rtl/>
        </w:rPr>
        <w:t>עד 202</w:t>
      </w:r>
      <w:r>
        <w:rPr>
          <w:rFonts w:hint="cs"/>
          <w:rtl/>
        </w:rPr>
        <w:t>2</w:t>
      </w:r>
      <w:r w:rsidRPr="00CF4DB8">
        <w:rPr>
          <w:rtl/>
        </w:rPr>
        <w:t xml:space="preserve">. </w:t>
      </w:r>
      <w:r w:rsidRPr="00CF4DB8">
        <w:rPr>
          <w:rFonts w:hint="eastAsia"/>
          <w:rtl/>
        </w:rPr>
        <w:t>האמור</w:t>
      </w:r>
      <w:r w:rsidRPr="00CF4DB8">
        <w:rPr>
          <w:rtl/>
        </w:rPr>
        <w:t xml:space="preserve"> </w:t>
      </w:r>
      <w:r>
        <w:rPr>
          <w:rFonts w:hint="cs"/>
          <w:rtl/>
        </w:rPr>
        <w:t xml:space="preserve">לעיל הוא </w:t>
      </w:r>
      <w:r w:rsidRPr="00CF4DB8">
        <w:rPr>
          <w:rtl/>
        </w:rPr>
        <w:t xml:space="preserve">בהתאם לנוסחת </w:t>
      </w:r>
      <w:r w:rsidRPr="00CF4DB8">
        <w:rPr>
          <w:rtl/>
        </w:rPr>
        <w:lastRenderedPageBreak/>
        <w:t>מגבלת ההוצאה אשר עומדת</w:t>
      </w:r>
      <w:r w:rsidR="00056C13">
        <w:rPr>
          <w:rFonts w:hint="cs"/>
          <w:rtl/>
        </w:rPr>
        <w:t xml:space="preserve"> בממוצע בשנים 2019-2022, בהינתן הפרמטרים הנכללים בה, על כ-</w:t>
      </w:r>
      <w:r w:rsidRPr="00141E73">
        <w:rPr>
          <w:rtl/>
        </w:rPr>
        <w:t>2.7</w:t>
      </w:r>
      <w:r>
        <w:rPr>
          <w:rFonts w:hint="cs"/>
          <w:rtl/>
        </w:rPr>
        <w:t>%</w:t>
      </w:r>
      <w:r w:rsidRPr="00CF4DB8">
        <w:rPr>
          <w:rtl/>
        </w:rPr>
        <w:t xml:space="preserve"> </w:t>
      </w:r>
      <w:r w:rsidRPr="00B12B02">
        <w:rPr>
          <w:rFonts w:hint="cs"/>
          <w:rtl/>
        </w:rPr>
        <w:t>בשנה</w:t>
      </w:r>
      <w:r w:rsidRPr="00B12B02">
        <w:rPr>
          <w:rtl/>
        </w:rPr>
        <w:t xml:space="preserve"> ולחריגות מנוסחה זו</w:t>
      </w:r>
      <w:r>
        <w:rPr>
          <w:rFonts w:hint="cs"/>
          <w:rtl/>
        </w:rPr>
        <w:t>,</w:t>
      </w:r>
      <w:r w:rsidRPr="00B12B02">
        <w:rPr>
          <w:rtl/>
        </w:rPr>
        <w:t xml:space="preserve"> בגובה </w:t>
      </w:r>
      <w:r w:rsidR="009F3415">
        <w:rPr>
          <w:rFonts w:hint="cs"/>
          <w:rtl/>
        </w:rPr>
        <w:t>2.9</w:t>
      </w:r>
      <w:r w:rsidRPr="00B12B02">
        <w:rPr>
          <w:rtl/>
        </w:rPr>
        <w:t xml:space="preserve"> </w:t>
      </w:r>
      <w:r w:rsidR="009F3415">
        <w:rPr>
          <w:rFonts w:hint="cs"/>
          <w:rtl/>
        </w:rPr>
        <w:t xml:space="preserve">מיליארד ש"ח </w:t>
      </w:r>
      <w:r w:rsidRPr="00B12B02">
        <w:rPr>
          <w:rFonts w:hint="cs"/>
          <w:rtl/>
        </w:rPr>
        <w:t>לשנ</w:t>
      </w:r>
      <w:r>
        <w:rPr>
          <w:rFonts w:hint="cs"/>
          <w:rtl/>
        </w:rPr>
        <w:t xml:space="preserve">ת </w:t>
      </w:r>
      <w:r w:rsidRPr="00B12B02">
        <w:rPr>
          <w:rtl/>
        </w:rPr>
        <w:t xml:space="preserve">2020. </w:t>
      </w:r>
      <w:r w:rsidRPr="00B12B02">
        <w:rPr>
          <w:rFonts w:hint="cs"/>
          <w:rtl/>
        </w:rPr>
        <w:t>חריג</w:t>
      </w:r>
      <w:r>
        <w:rPr>
          <w:rFonts w:hint="cs"/>
          <w:rtl/>
        </w:rPr>
        <w:t>ה</w:t>
      </w:r>
      <w:r w:rsidRPr="00B12B02">
        <w:rPr>
          <w:rtl/>
        </w:rPr>
        <w:t xml:space="preserve"> </w:t>
      </w:r>
      <w:r>
        <w:rPr>
          <w:rFonts w:hint="cs"/>
          <w:rtl/>
        </w:rPr>
        <w:t>זו</w:t>
      </w:r>
      <w:r w:rsidRPr="00B12B02">
        <w:rPr>
          <w:rtl/>
        </w:rPr>
        <w:t xml:space="preserve"> עוגנ</w:t>
      </w:r>
      <w:r>
        <w:rPr>
          <w:rFonts w:hint="cs"/>
          <w:rtl/>
        </w:rPr>
        <w:t>ה</w:t>
      </w:r>
      <w:r w:rsidRPr="00B12B02">
        <w:rPr>
          <w:rtl/>
        </w:rPr>
        <w:t xml:space="preserve"> בחוק </w:t>
      </w:r>
      <w:r w:rsidRPr="00B12B02">
        <w:rPr>
          <w:rFonts w:hint="cs"/>
          <w:rtl/>
        </w:rPr>
        <w:t>המסגרות</w:t>
      </w:r>
      <w:r w:rsidRPr="00B12B02">
        <w:rPr>
          <w:rtl/>
        </w:rPr>
        <w:t xml:space="preserve"> במסגרת הליך אישור תקציב המדינה לשנים 2017 </w:t>
      </w:r>
      <w:r w:rsidRPr="00B12B02">
        <w:rPr>
          <w:rFonts w:hint="cs"/>
          <w:rtl/>
        </w:rPr>
        <w:t>ו</w:t>
      </w:r>
      <w:r w:rsidRPr="00B12B02">
        <w:rPr>
          <w:rtl/>
        </w:rPr>
        <w:t xml:space="preserve">-2018. </w:t>
      </w:r>
    </w:p>
    <w:p w:rsidR="00DC4053" w:rsidRPr="00B12B02" w:rsidRDefault="00DC4053" w:rsidP="00DC4053">
      <w:pPr>
        <w:rPr>
          <w:rtl/>
        </w:rPr>
      </w:pPr>
      <w:r w:rsidRPr="00B12B02">
        <w:rPr>
          <w:rFonts w:hint="cs"/>
          <w:rtl/>
        </w:rPr>
        <w:t>הוצאות</w:t>
      </w:r>
      <w:r w:rsidRPr="00B12B02">
        <w:rPr>
          <w:rtl/>
        </w:rPr>
        <w:t xml:space="preserve"> הממשלה בשנים 20</w:t>
      </w:r>
      <w:r>
        <w:rPr>
          <w:rFonts w:hint="cs"/>
          <w:rtl/>
        </w:rPr>
        <w:t>20</w:t>
      </w:r>
      <w:r w:rsidRPr="00B12B02">
        <w:rPr>
          <w:rtl/>
        </w:rPr>
        <w:t xml:space="preserve"> </w:t>
      </w:r>
      <w:r w:rsidRPr="00B12B02">
        <w:rPr>
          <w:rFonts w:hint="cs"/>
          <w:rtl/>
        </w:rPr>
        <w:t>עד</w:t>
      </w:r>
      <w:r w:rsidRPr="00B12B02">
        <w:rPr>
          <w:rtl/>
        </w:rPr>
        <w:t xml:space="preserve"> 202</w:t>
      </w:r>
      <w:r>
        <w:rPr>
          <w:rFonts w:hint="cs"/>
          <w:rtl/>
        </w:rPr>
        <w:t>2</w:t>
      </w:r>
      <w:r w:rsidRPr="00B12B02">
        <w:rPr>
          <w:rtl/>
        </w:rPr>
        <w:t xml:space="preserve"> </w:t>
      </w:r>
      <w:r w:rsidRPr="00B12B02">
        <w:rPr>
          <w:rFonts w:hint="cs"/>
          <w:rtl/>
        </w:rPr>
        <w:t>מביאות</w:t>
      </w:r>
      <w:r w:rsidRPr="00B12B02">
        <w:rPr>
          <w:rtl/>
        </w:rPr>
        <w:t xml:space="preserve"> בחשבון את כלל ההוצאות שהממשלה מחויבת אליהן, בהן:</w:t>
      </w:r>
      <w:r w:rsidR="00FE752A">
        <w:rPr>
          <w:rFonts w:hint="cs"/>
          <w:rtl/>
        </w:rPr>
        <w:t xml:space="preserve"> </w:t>
      </w:r>
      <w:r w:rsidRPr="00B12B02">
        <w:rPr>
          <w:rtl/>
        </w:rPr>
        <w:t xml:space="preserve">הוצאות הנובעות מחקיקה, החלטות </w:t>
      </w:r>
      <w:r>
        <w:rPr>
          <w:rFonts w:hint="cs"/>
          <w:rtl/>
        </w:rPr>
        <w:t>ה</w:t>
      </w:r>
      <w:r w:rsidRPr="00B12B02">
        <w:rPr>
          <w:rtl/>
        </w:rPr>
        <w:t>ממשלה, פסיקה</w:t>
      </w:r>
      <w:r>
        <w:rPr>
          <w:rFonts w:hint="cs"/>
          <w:rtl/>
        </w:rPr>
        <w:t xml:space="preserve"> של בתי משפט</w:t>
      </w:r>
      <w:r w:rsidRPr="00B12B02">
        <w:rPr>
          <w:rtl/>
        </w:rPr>
        <w:t xml:space="preserve">, הסכמים המחייבים את </w:t>
      </w:r>
      <w:r>
        <w:rPr>
          <w:rFonts w:hint="cs"/>
          <w:rtl/>
        </w:rPr>
        <w:t xml:space="preserve">המדינה, </w:t>
      </w:r>
      <w:r w:rsidRPr="00B12B02">
        <w:rPr>
          <w:rtl/>
        </w:rPr>
        <w:t>סיכומים תקציביים</w:t>
      </w:r>
      <w:r>
        <w:rPr>
          <w:rFonts w:hint="cs"/>
          <w:rtl/>
        </w:rPr>
        <w:t xml:space="preserve"> בין משרדי ממשלה וכן עתודה להוצאות שאינן עולות על ההיקף התקציבי המוגדר בסעיף 3ג(ד) לחוק יסוד: משק המדינה, והכול</w:t>
      </w:r>
      <w:r w:rsidRPr="00B12B02">
        <w:rPr>
          <w:rtl/>
        </w:rPr>
        <w:t xml:space="preserve"> בהנחה שהממשלה שומרת על רמת הפעילות הנוכחית שלה.</w:t>
      </w:r>
    </w:p>
    <w:p w:rsidR="00DC4053" w:rsidRPr="00141E73" w:rsidRDefault="00DC4053" w:rsidP="0086781D">
      <w:pPr>
        <w:rPr>
          <w:rtl/>
        </w:rPr>
      </w:pPr>
      <w:r w:rsidRPr="00B12B02">
        <w:rPr>
          <w:rFonts w:hint="cs"/>
          <w:rtl/>
        </w:rPr>
        <w:t>היקף</w:t>
      </w:r>
      <w:r w:rsidRPr="00B12B02">
        <w:rPr>
          <w:rtl/>
        </w:rPr>
        <w:t xml:space="preserve"> הוצאות הממשלה בשנים </w:t>
      </w:r>
      <w:r w:rsidRPr="00CD28B7">
        <w:rPr>
          <w:rtl/>
        </w:rPr>
        <w:t>20</w:t>
      </w:r>
      <w:r>
        <w:rPr>
          <w:rFonts w:hint="cs"/>
          <w:rtl/>
        </w:rPr>
        <w:t>20</w:t>
      </w:r>
      <w:r w:rsidRPr="00CD28B7">
        <w:rPr>
          <w:rtl/>
        </w:rPr>
        <w:t xml:space="preserve"> </w:t>
      </w:r>
      <w:r w:rsidRPr="00CD28B7">
        <w:rPr>
          <w:rFonts w:hint="eastAsia"/>
          <w:rtl/>
        </w:rPr>
        <w:t>עד</w:t>
      </w:r>
      <w:r w:rsidRPr="00CD28B7">
        <w:rPr>
          <w:rtl/>
        </w:rPr>
        <w:t xml:space="preserve"> 202</w:t>
      </w:r>
      <w:r>
        <w:rPr>
          <w:rFonts w:hint="cs"/>
          <w:rtl/>
        </w:rPr>
        <w:t>2</w:t>
      </w:r>
      <w:r w:rsidRPr="00B12B02">
        <w:rPr>
          <w:rtl/>
        </w:rPr>
        <w:t xml:space="preserve"> </w:t>
      </w:r>
      <w:r>
        <w:rPr>
          <w:rFonts w:hint="cs"/>
          <w:rtl/>
        </w:rPr>
        <w:t>הוא</w:t>
      </w:r>
      <w:r w:rsidRPr="00B12B02">
        <w:rPr>
          <w:rtl/>
        </w:rPr>
        <w:t xml:space="preserve"> היקף המחויבויות הידועות, נכון למועד פרסום זה, בהנחה שבמהלך שנות התקציב הרלוונטיות לא יבוצעו שינויי מדיניות יזומים </w:t>
      </w:r>
      <w:r w:rsidRPr="00B12B02">
        <w:rPr>
          <w:rFonts w:hint="cs"/>
          <w:rtl/>
        </w:rPr>
        <w:t>או</w:t>
      </w:r>
      <w:r w:rsidRPr="00B12B02">
        <w:rPr>
          <w:rtl/>
        </w:rPr>
        <w:t xml:space="preserve"> כתגובה לאירועים אקסוגניים. </w:t>
      </w:r>
      <w:r w:rsidR="001B75A3">
        <w:rPr>
          <w:rFonts w:hint="cs"/>
          <w:rtl/>
        </w:rPr>
        <w:t>דהיינו</w:t>
      </w:r>
      <w:r w:rsidRPr="00141E73">
        <w:rPr>
          <w:rtl/>
        </w:rPr>
        <w:t xml:space="preserve">, הנתונים </w:t>
      </w:r>
      <w:r w:rsidRPr="00141E73">
        <w:rPr>
          <w:rFonts w:hint="cs"/>
          <w:rtl/>
        </w:rPr>
        <w:t>מוצגים</w:t>
      </w:r>
      <w:r w:rsidRPr="00141E73">
        <w:rPr>
          <w:rtl/>
        </w:rPr>
        <w:t xml:space="preserve"> בהנחת עמידה בסעיף 40א לחוק יסודות התקציב, הקובע כי במצב הקיים של חריגה מהמגבלות הפיסקליות הקבועות בחוק </w:t>
      </w:r>
      <w:r w:rsidRPr="00141E73">
        <w:rPr>
          <w:rFonts w:hint="cs"/>
          <w:rtl/>
        </w:rPr>
        <w:t>המסגרות</w:t>
      </w:r>
      <w:r>
        <w:rPr>
          <w:rFonts w:hint="cs"/>
          <w:rtl/>
        </w:rPr>
        <w:t>,</w:t>
      </w:r>
      <w:r w:rsidRPr="00141E73">
        <w:rPr>
          <w:rtl/>
        </w:rPr>
        <w:t xml:space="preserve"> </w:t>
      </w:r>
      <w:r w:rsidRPr="00141E73">
        <w:rPr>
          <w:rFonts w:hint="cs"/>
          <w:rtl/>
        </w:rPr>
        <w:t>אין</w:t>
      </w:r>
      <w:r w:rsidRPr="00141E73">
        <w:rPr>
          <w:rtl/>
        </w:rPr>
        <w:t xml:space="preserve"> לקבל החלטות על מחויבויות חדשות ללא </w:t>
      </w:r>
      <w:r w:rsidRPr="00141E73">
        <w:rPr>
          <w:rFonts w:hint="cs"/>
          <w:rtl/>
        </w:rPr>
        <w:t>נקיטה</w:t>
      </w:r>
      <w:r w:rsidRPr="00141E73">
        <w:rPr>
          <w:rtl/>
        </w:rPr>
        <w:t xml:space="preserve"> </w:t>
      </w:r>
      <w:r w:rsidRPr="00141E73">
        <w:rPr>
          <w:rFonts w:hint="cs"/>
          <w:rtl/>
        </w:rPr>
        <w:t>בפעולה</w:t>
      </w:r>
      <w:r w:rsidRPr="00141E73">
        <w:rPr>
          <w:rtl/>
        </w:rPr>
        <w:t xml:space="preserve"> </w:t>
      </w:r>
      <w:r w:rsidRPr="00141E73">
        <w:rPr>
          <w:rFonts w:hint="cs"/>
          <w:rtl/>
        </w:rPr>
        <w:t>מאזנת</w:t>
      </w:r>
      <w:r w:rsidRPr="00141E73">
        <w:rPr>
          <w:rtl/>
        </w:rPr>
        <w:t>.</w:t>
      </w:r>
    </w:p>
    <w:p w:rsidR="00DC4053" w:rsidRPr="00141E73" w:rsidRDefault="00DC4053" w:rsidP="003C00DF">
      <w:pPr>
        <w:rPr>
          <w:rtl/>
        </w:rPr>
      </w:pPr>
      <w:r w:rsidRPr="00141E73">
        <w:rPr>
          <w:rFonts w:hint="cs"/>
          <w:rtl/>
        </w:rPr>
        <w:t>ללא</w:t>
      </w:r>
      <w:r w:rsidRPr="00141E73">
        <w:rPr>
          <w:rtl/>
        </w:rPr>
        <w:t xml:space="preserve"> שינויי מדיניות, הגידול השנתי הממוצע בהיקף מחויבויות הממשלה בשנים </w:t>
      </w:r>
      <w:r w:rsidR="00E86D12">
        <w:rPr>
          <w:rFonts w:hint="cs"/>
          <w:rtl/>
        </w:rPr>
        <w:t>2019</w:t>
      </w:r>
      <w:r w:rsidR="00E86D12" w:rsidRPr="00141E73">
        <w:rPr>
          <w:rtl/>
        </w:rPr>
        <w:t xml:space="preserve"> </w:t>
      </w:r>
      <w:r w:rsidRPr="00141E73">
        <w:rPr>
          <w:rtl/>
        </w:rPr>
        <w:t>עד 202</w:t>
      </w:r>
      <w:r>
        <w:rPr>
          <w:rFonts w:hint="cs"/>
          <w:rtl/>
        </w:rPr>
        <w:t>2</w:t>
      </w:r>
      <w:r w:rsidRPr="00141E73">
        <w:rPr>
          <w:rtl/>
        </w:rPr>
        <w:t xml:space="preserve"> </w:t>
      </w:r>
      <w:r w:rsidRPr="00141E73">
        <w:rPr>
          <w:rFonts w:hint="cs"/>
          <w:rtl/>
        </w:rPr>
        <w:t>עומד</w:t>
      </w:r>
      <w:r w:rsidRPr="00141E73">
        <w:rPr>
          <w:rtl/>
        </w:rPr>
        <w:t xml:space="preserve"> </w:t>
      </w:r>
      <w:r w:rsidRPr="00141E73">
        <w:rPr>
          <w:rFonts w:hint="cs"/>
          <w:rtl/>
        </w:rPr>
        <w:t>נכון</w:t>
      </w:r>
      <w:r w:rsidRPr="00141E73">
        <w:rPr>
          <w:rtl/>
        </w:rPr>
        <w:t xml:space="preserve"> </w:t>
      </w:r>
      <w:r w:rsidRPr="00141E73">
        <w:rPr>
          <w:rFonts w:hint="cs"/>
          <w:rtl/>
        </w:rPr>
        <w:t>להיום</w:t>
      </w:r>
      <w:r w:rsidRPr="00141E73">
        <w:rPr>
          <w:rtl/>
        </w:rPr>
        <w:t xml:space="preserve"> </w:t>
      </w:r>
      <w:r w:rsidRPr="00141E73">
        <w:rPr>
          <w:rFonts w:hint="cs"/>
          <w:rtl/>
        </w:rPr>
        <w:t>על</w:t>
      </w:r>
      <w:r w:rsidRPr="00141E73">
        <w:rPr>
          <w:rtl/>
        </w:rPr>
        <w:t xml:space="preserve"> </w:t>
      </w:r>
      <w:r w:rsidRPr="00141E73">
        <w:rPr>
          <w:rFonts w:hint="cs"/>
          <w:rtl/>
        </w:rPr>
        <w:t>כ</w:t>
      </w:r>
      <w:r w:rsidR="00CD524B" w:rsidRPr="00141E73">
        <w:rPr>
          <w:rtl/>
        </w:rPr>
        <w:t>-</w:t>
      </w:r>
      <w:r w:rsidR="00D71871">
        <w:rPr>
          <w:rFonts w:hint="cs"/>
          <w:rtl/>
        </w:rPr>
        <w:t>17</w:t>
      </w:r>
      <w:r w:rsidR="00CD524B">
        <w:rPr>
          <w:rFonts w:hint="cs"/>
          <w:rtl/>
        </w:rPr>
        <w:t>.</w:t>
      </w:r>
      <w:r w:rsidR="00D71871">
        <w:rPr>
          <w:rFonts w:hint="cs"/>
          <w:rtl/>
        </w:rPr>
        <w:t>6</w:t>
      </w:r>
      <w:r w:rsidR="00CD524B" w:rsidRPr="00141E73">
        <w:rPr>
          <w:rtl/>
        </w:rPr>
        <w:t xml:space="preserve"> </w:t>
      </w:r>
      <w:r w:rsidRPr="00141E73">
        <w:rPr>
          <w:rtl/>
        </w:rPr>
        <w:t xml:space="preserve">מיליארד ש"ח, כך שהיקף מחויבויות הממשלה צפוי לגדול </w:t>
      </w:r>
      <w:r w:rsidR="00D71871">
        <w:rPr>
          <w:rFonts w:hint="cs"/>
          <w:rtl/>
        </w:rPr>
        <w:t>ל</w:t>
      </w:r>
      <w:r w:rsidRPr="00141E73">
        <w:rPr>
          <w:rtl/>
        </w:rPr>
        <w:t>כ-</w:t>
      </w:r>
      <w:r w:rsidR="00CD524B">
        <w:rPr>
          <w:rFonts w:hint="cs"/>
          <w:rtl/>
        </w:rPr>
        <w:t>417</w:t>
      </w:r>
      <w:r>
        <w:rPr>
          <w:rFonts w:hint="cs"/>
          <w:rtl/>
        </w:rPr>
        <w:t>.4</w:t>
      </w:r>
      <w:r w:rsidRPr="00141E73">
        <w:rPr>
          <w:rtl/>
        </w:rPr>
        <w:t xml:space="preserve"> מיליארד ש"ח בשנת </w:t>
      </w:r>
      <w:r w:rsidR="00CD524B">
        <w:rPr>
          <w:rFonts w:hint="cs"/>
          <w:rtl/>
        </w:rPr>
        <w:t>2020</w:t>
      </w:r>
      <w:r w:rsidRPr="00141E73">
        <w:rPr>
          <w:rFonts w:hint="cs"/>
          <w:rtl/>
        </w:rPr>
        <w:t>,</w:t>
      </w:r>
      <w:r w:rsidRPr="00141E73">
        <w:rPr>
          <w:rtl/>
        </w:rPr>
        <w:t xml:space="preserve"> </w:t>
      </w:r>
      <w:r w:rsidRPr="00141E73">
        <w:rPr>
          <w:rFonts w:hint="cs"/>
          <w:rtl/>
        </w:rPr>
        <w:t>לכ</w:t>
      </w:r>
      <w:r w:rsidR="00CD524B" w:rsidRPr="00141E73">
        <w:rPr>
          <w:rtl/>
        </w:rPr>
        <w:t>-</w:t>
      </w:r>
      <w:r w:rsidR="00CD524B">
        <w:rPr>
          <w:rFonts w:hint="cs"/>
          <w:rtl/>
        </w:rPr>
        <w:t>434.1</w:t>
      </w:r>
      <w:r w:rsidR="00CD524B" w:rsidRPr="00141E73">
        <w:rPr>
          <w:rtl/>
        </w:rPr>
        <w:t xml:space="preserve"> </w:t>
      </w:r>
      <w:r w:rsidRPr="00141E73">
        <w:rPr>
          <w:rFonts w:hint="cs"/>
          <w:rtl/>
        </w:rPr>
        <w:t>מיליארד</w:t>
      </w:r>
      <w:r w:rsidRPr="00141E73">
        <w:rPr>
          <w:rtl/>
        </w:rPr>
        <w:t xml:space="preserve"> </w:t>
      </w:r>
      <w:r w:rsidRPr="00141E73">
        <w:rPr>
          <w:rFonts w:hint="cs"/>
          <w:rtl/>
        </w:rPr>
        <w:t>ש</w:t>
      </w:r>
      <w:r w:rsidRPr="00141E73">
        <w:rPr>
          <w:rtl/>
        </w:rPr>
        <w:t xml:space="preserve">"ח </w:t>
      </w:r>
      <w:r w:rsidRPr="00141E73">
        <w:rPr>
          <w:rFonts w:hint="cs"/>
          <w:rtl/>
        </w:rPr>
        <w:t xml:space="preserve">בשנת </w:t>
      </w:r>
      <w:r w:rsidR="00CD524B" w:rsidRPr="00141E73">
        <w:rPr>
          <w:rtl/>
        </w:rPr>
        <w:t>20</w:t>
      </w:r>
      <w:r w:rsidR="00CD524B">
        <w:rPr>
          <w:rFonts w:hint="cs"/>
          <w:rtl/>
        </w:rPr>
        <w:t>21</w:t>
      </w:r>
      <w:r w:rsidRPr="00141E73">
        <w:rPr>
          <w:rFonts w:hint="cs"/>
          <w:rtl/>
        </w:rPr>
        <w:t>,</w:t>
      </w:r>
      <w:r w:rsidRPr="00141E73">
        <w:rPr>
          <w:rtl/>
        </w:rPr>
        <w:t xml:space="preserve"> </w:t>
      </w:r>
      <w:r w:rsidR="00CD524B">
        <w:rPr>
          <w:rFonts w:hint="cs"/>
          <w:rtl/>
        </w:rPr>
        <w:t>ו</w:t>
      </w:r>
      <w:r w:rsidRPr="00141E73">
        <w:rPr>
          <w:rFonts w:hint="cs"/>
          <w:rtl/>
        </w:rPr>
        <w:t>לכ</w:t>
      </w:r>
      <w:r w:rsidR="00CD524B" w:rsidRPr="00141E73">
        <w:rPr>
          <w:rtl/>
        </w:rPr>
        <w:t>-</w:t>
      </w:r>
      <w:r w:rsidR="00CD524B">
        <w:rPr>
          <w:rFonts w:hint="cs"/>
          <w:rtl/>
        </w:rPr>
        <w:t>450.2</w:t>
      </w:r>
      <w:r w:rsidR="00CD524B" w:rsidRPr="00141E73">
        <w:rPr>
          <w:rtl/>
        </w:rPr>
        <w:t xml:space="preserve"> </w:t>
      </w:r>
      <w:r w:rsidRPr="00141E73">
        <w:rPr>
          <w:rtl/>
        </w:rPr>
        <w:t xml:space="preserve">מיליארד ש"ח בשנת </w:t>
      </w:r>
      <w:r w:rsidR="00CD524B" w:rsidRPr="00141E73">
        <w:rPr>
          <w:rtl/>
        </w:rPr>
        <w:t>202</w:t>
      </w:r>
      <w:r w:rsidR="00CD524B">
        <w:rPr>
          <w:rFonts w:hint="cs"/>
          <w:rtl/>
        </w:rPr>
        <w:t>2.</w:t>
      </w:r>
    </w:p>
    <w:p w:rsidR="00DC4053" w:rsidRPr="00B12B02" w:rsidRDefault="00DC4053" w:rsidP="00DF44CB">
      <w:r w:rsidRPr="00B12B02">
        <w:rPr>
          <w:rFonts w:hint="cs"/>
          <w:rtl/>
        </w:rPr>
        <w:t>על</w:t>
      </w:r>
      <w:r w:rsidRPr="00B12B02">
        <w:rPr>
          <w:rtl/>
        </w:rPr>
        <w:t xml:space="preserve"> </w:t>
      </w:r>
      <w:r w:rsidRPr="00B12B02">
        <w:rPr>
          <w:rFonts w:hint="cs"/>
          <w:rtl/>
        </w:rPr>
        <w:t>מנת</w:t>
      </w:r>
      <w:r w:rsidRPr="00B12B02">
        <w:rPr>
          <w:rtl/>
        </w:rPr>
        <w:t xml:space="preserve"> </w:t>
      </w:r>
      <w:r w:rsidRPr="00B12B02">
        <w:rPr>
          <w:rFonts w:hint="cs"/>
          <w:rtl/>
        </w:rPr>
        <w:t>לעמוד</w:t>
      </w:r>
      <w:r w:rsidRPr="00B12B02">
        <w:rPr>
          <w:rtl/>
        </w:rPr>
        <w:t xml:space="preserve"> </w:t>
      </w:r>
      <w:r w:rsidRPr="00B12B02">
        <w:rPr>
          <w:rFonts w:hint="cs"/>
          <w:rtl/>
        </w:rPr>
        <w:t>בתקרת</w:t>
      </w:r>
      <w:r w:rsidRPr="00B12B02">
        <w:rPr>
          <w:rtl/>
        </w:rPr>
        <w:t xml:space="preserve"> </w:t>
      </w:r>
      <w:r w:rsidRPr="00B12B02">
        <w:rPr>
          <w:rFonts w:hint="cs"/>
          <w:rtl/>
        </w:rPr>
        <w:t>הגירעון</w:t>
      </w:r>
      <w:r w:rsidRPr="00B12B02">
        <w:rPr>
          <w:rtl/>
        </w:rPr>
        <w:t xml:space="preserve"> </w:t>
      </w:r>
      <w:r w:rsidRPr="00B12B02">
        <w:rPr>
          <w:rFonts w:hint="cs"/>
          <w:rtl/>
        </w:rPr>
        <w:t>הקבועה</w:t>
      </w:r>
      <w:r w:rsidRPr="00B12B02">
        <w:rPr>
          <w:rtl/>
        </w:rPr>
        <w:t xml:space="preserve"> </w:t>
      </w:r>
      <w:r w:rsidRPr="00B12B02">
        <w:rPr>
          <w:rFonts w:hint="cs"/>
          <w:rtl/>
        </w:rPr>
        <w:t>בחוק</w:t>
      </w:r>
      <w:r w:rsidRPr="00B12B02">
        <w:rPr>
          <w:rtl/>
        </w:rPr>
        <w:t xml:space="preserve"> </w:t>
      </w:r>
      <w:r w:rsidRPr="00B12B02">
        <w:rPr>
          <w:rFonts w:hint="cs"/>
          <w:rtl/>
        </w:rPr>
        <w:t>המסגרות</w:t>
      </w:r>
      <w:r w:rsidRPr="00B12B02">
        <w:rPr>
          <w:rtl/>
        </w:rPr>
        <w:t xml:space="preserve"> </w:t>
      </w:r>
      <w:r w:rsidRPr="00B12B02">
        <w:rPr>
          <w:rFonts w:hint="cs"/>
          <w:rtl/>
        </w:rPr>
        <w:t>תידרש</w:t>
      </w:r>
      <w:r w:rsidRPr="00B12B02">
        <w:rPr>
          <w:rtl/>
        </w:rPr>
        <w:t xml:space="preserve"> </w:t>
      </w:r>
      <w:r w:rsidRPr="00B12B02">
        <w:rPr>
          <w:rFonts w:hint="cs"/>
          <w:rtl/>
        </w:rPr>
        <w:t>הממשלה</w:t>
      </w:r>
      <w:r w:rsidRPr="00B12B02">
        <w:rPr>
          <w:rtl/>
        </w:rPr>
        <w:t xml:space="preserve"> </w:t>
      </w:r>
      <w:r w:rsidRPr="00B12B02">
        <w:rPr>
          <w:rFonts w:hint="cs"/>
          <w:rtl/>
        </w:rPr>
        <w:t>לבצע</w:t>
      </w:r>
      <w:r w:rsidRPr="00B12B02">
        <w:rPr>
          <w:rtl/>
        </w:rPr>
        <w:t xml:space="preserve"> </w:t>
      </w:r>
      <w:r w:rsidRPr="00B12B02">
        <w:rPr>
          <w:rFonts w:hint="cs"/>
          <w:rtl/>
        </w:rPr>
        <w:t>צעדי</w:t>
      </w:r>
      <w:r w:rsidRPr="00B12B02">
        <w:rPr>
          <w:rtl/>
        </w:rPr>
        <w:t xml:space="preserve"> </w:t>
      </w:r>
      <w:r w:rsidRPr="00B12B02">
        <w:rPr>
          <w:rFonts w:hint="cs"/>
          <w:rtl/>
        </w:rPr>
        <w:t>התכנסות</w:t>
      </w:r>
      <w:r w:rsidRPr="00B12B02">
        <w:rPr>
          <w:rtl/>
        </w:rPr>
        <w:t xml:space="preserve"> </w:t>
      </w:r>
      <w:r w:rsidRPr="00B12B02">
        <w:rPr>
          <w:rFonts w:hint="cs"/>
          <w:rtl/>
        </w:rPr>
        <w:t>בצד</w:t>
      </w:r>
      <w:r w:rsidRPr="00B12B02">
        <w:rPr>
          <w:rtl/>
        </w:rPr>
        <w:t xml:space="preserve"> </w:t>
      </w:r>
      <w:r w:rsidRPr="00B12B02">
        <w:rPr>
          <w:rFonts w:hint="cs"/>
          <w:rtl/>
        </w:rPr>
        <w:t>ההכנסה</w:t>
      </w:r>
      <w:r w:rsidRPr="00B12B02">
        <w:rPr>
          <w:rtl/>
        </w:rPr>
        <w:t xml:space="preserve"> </w:t>
      </w:r>
      <w:r w:rsidRPr="00B12B02">
        <w:rPr>
          <w:rFonts w:hint="cs"/>
          <w:rtl/>
        </w:rPr>
        <w:t>או</w:t>
      </w:r>
      <w:r w:rsidRPr="00B12B02">
        <w:rPr>
          <w:rtl/>
        </w:rPr>
        <w:t xml:space="preserve"> </w:t>
      </w:r>
      <w:r w:rsidRPr="00B12B02">
        <w:rPr>
          <w:rFonts w:hint="cs"/>
          <w:rtl/>
        </w:rPr>
        <w:t>צעדי</w:t>
      </w:r>
      <w:r w:rsidRPr="00B12B02">
        <w:rPr>
          <w:rtl/>
        </w:rPr>
        <w:t xml:space="preserve"> </w:t>
      </w:r>
      <w:r w:rsidRPr="00B12B02">
        <w:rPr>
          <w:rFonts w:hint="cs"/>
          <w:rtl/>
        </w:rPr>
        <w:t>התכנסות</w:t>
      </w:r>
      <w:r w:rsidRPr="00B12B02">
        <w:rPr>
          <w:rtl/>
        </w:rPr>
        <w:t xml:space="preserve"> </w:t>
      </w:r>
      <w:r w:rsidRPr="00B12B02">
        <w:rPr>
          <w:rFonts w:hint="cs"/>
          <w:rtl/>
        </w:rPr>
        <w:t>בצד</w:t>
      </w:r>
      <w:r w:rsidRPr="00B12B02">
        <w:rPr>
          <w:rtl/>
        </w:rPr>
        <w:t xml:space="preserve"> </w:t>
      </w:r>
      <w:r w:rsidRPr="00B12B02">
        <w:rPr>
          <w:rFonts w:hint="cs"/>
          <w:rtl/>
        </w:rPr>
        <w:t>ההוצאה</w:t>
      </w:r>
      <w:r w:rsidRPr="00B12B02">
        <w:rPr>
          <w:rtl/>
        </w:rPr>
        <w:t xml:space="preserve"> </w:t>
      </w:r>
      <w:r w:rsidRPr="00B12B02">
        <w:rPr>
          <w:rFonts w:hint="cs"/>
          <w:rtl/>
        </w:rPr>
        <w:t>בהיקף</w:t>
      </w:r>
      <w:r w:rsidRPr="00B12B02">
        <w:rPr>
          <w:rtl/>
        </w:rPr>
        <w:t xml:space="preserve"> </w:t>
      </w:r>
      <w:r w:rsidRPr="00B12B02">
        <w:rPr>
          <w:rFonts w:hint="cs"/>
          <w:rtl/>
        </w:rPr>
        <w:t>של</w:t>
      </w:r>
      <w:r w:rsidRPr="00B12B02">
        <w:rPr>
          <w:rtl/>
        </w:rPr>
        <w:t xml:space="preserve"> </w:t>
      </w:r>
      <w:r w:rsidRPr="00CF4DB8">
        <w:rPr>
          <w:rFonts w:hint="eastAsia"/>
          <w:rtl/>
        </w:rPr>
        <w:t>כ</w:t>
      </w:r>
      <w:r w:rsidR="00776D11">
        <w:rPr>
          <w:rFonts w:hint="cs"/>
          <w:rtl/>
        </w:rPr>
        <w:t>-</w:t>
      </w:r>
      <w:r w:rsidR="00CF14B5">
        <w:rPr>
          <w:rFonts w:hint="cs"/>
          <w:rtl/>
        </w:rPr>
        <w:t>1</w:t>
      </w:r>
      <w:r w:rsidR="00DF44CB">
        <w:rPr>
          <w:rFonts w:hint="cs"/>
          <w:rtl/>
        </w:rPr>
        <w:t>7</w:t>
      </w:r>
      <w:r w:rsidR="00776D11">
        <w:rPr>
          <w:rFonts w:hint="cs"/>
          <w:rtl/>
        </w:rPr>
        <w:t>.</w:t>
      </w:r>
      <w:r w:rsidR="00DF44CB">
        <w:rPr>
          <w:rFonts w:hint="cs"/>
          <w:rtl/>
        </w:rPr>
        <w:t>4</w:t>
      </w:r>
      <w:r w:rsidR="00776D11">
        <w:rPr>
          <w:rFonts w:hint="cs"/>
          <w:rtl/>
        </w:rPr>
        <w:t xml:space="preserve"> </w:t>
      </w:r>
      <w:r w:rsidRPr="00CF4DB8">
        <w:rPr>
          <w:rtl/>
        </w:rPr>
        <w:t>מיליארד ש"ח בשנת 2</w:t>
      </w:r>
      <w:r>
        <w:rPr>
          <w:rFonts w:hint="cs"/>
          <w:rtl/>
        </w:rPr>
        <w:t>020</w:t>
      </w:r>
      <w:r w:rsidRPr="00CF4DB8">
        <w:rPr>
          <w:rtl/>
        </w:rPr>
        <w:t>. לאחר ביצוע צעדי התאמה פרמננטיים כאמור</w:t>
      </w:r>
      <w:r>
        <w:rPr>
          <w:rFonts w:hint="cs"/>
          <w:rtl/>
        </w:rPr>
        <w:t>,</w:t>
      </w:r>
      <w:r w:rsidRPr="00CF4DB8">
        <w:rPr>
          <w:rtl/>
        </w:rPr>
        <w:t xml:space="preserve"> יידרשו בשנת 202</w:t>
      </w:r>
      <w:r>
        <w:rPr>
          <w:rFonts w:hint="cs"/>
          <w:rtl/>
        </w:rPr>
        <w:t>1</w:t>
      </w:r>
      <w:r w:rsidRPr="00CF4DB8">
        <w:rPr>
          <w:rtl/>
        </w:rPr>
        <w:t xml:space="preserve"> צעדי התאמה נוספים בהיקף של </w:t>
      </w:r>
      <w:r w:rsidRPr="00CF4DB8">
        <w:rPr>
          <w:rFonts w:hint="eastAsia"/>
          <w:rtl/>
        </w:rPr>
        <w:t>כ</w:t>
      </w:r>
      <w:r w:rsidR="00776D11" w:rsidRPr="00CF4DB8">
        <w:rPr>
          <w:rtl/>
        </w:rPr>
        <w:t>-</w:t>
      </w:r>
      <w:r w:rsidR="00776D11">
        <w:rPr>
          <w:rFonts w:hint="cs"/>
          <w:rtl/>
        </w:rPr>
        <w:t>2.</w:t>
      </w:r>
      <w:r w:rsidR="00CF14B5">
        <w:rPr>
          <w:rFonts w:hint="cs"/>
          <w:rtl/>
        </w:rPr>
        <w:t>4</w:t>
      </w:r>
      <w:r w:rsidR="00776D11" w:rsidRPr="00CF4DB8">
        <w:rPr>
          <w:rtl/>
        </w:rPr>
        <w:t xml:space="preserve"> </w:t>
      </w:r>
      <w:r w:rsidRPr="00CF4DB8">
        <w:rPr>
          <w:rtl/>
        </w:rPr>
        <w:t xml:space="preserve">מיליארד </w:t>
      </w:r>
      <w:r w:rsidRPr="00CF4DB8">
        <w:rPr>
          <w:rFonts w:hint="eastAsia"/>
          <w:rtl/>
        </w:rPr>
        <w:t>ש</w:t>
      </w:r>
      <w:r w:rsidRPr="00CF4DB8">
        <w:rPr>
          <w:rtl/>
        </w:rPr>
        <w:t xml:space="preserve">"ח. </w:t>
      </w:r>
      <w:r w:rsidRPr="00CF4DB8">
        <w:rPr>
          <w:rFonts w:hint="eastAsia"/>
          <w:rtl/>
        </w:rPr>
        <w:t>מעבר</w:t>
      </w:r>
      <w:r w:rsidRPr="00CF4DB8">
        <w:rPr>
          <w:rtl/>
        </w:rPr>
        <w:t xml:space="preserve"> </w:t>
      </w:r>
      <w:r w:rsidRPr="00CF4DB8">
        <w:rPr>
          <w:rFonts w:hint="eastAsia"/>
          <w:rtl/>
        </w:rPr>
        <w:t>ל</w:t>
      </w:r>
      <w:r w:rsidRPr="00CF4DB8">
        <w:rPr>
          <w:rtl/>
        </w:rPr>
        <w:t>ביצוע צעדי ה</w:t>
      </w:r>
      <w:r w:rsidRPr="00CF4DB8">
        <w:rPr>
          <w:rFonts w:hint="eastAsia"/>
          <w:rtl/>
        </w:rPr>
        <w:t>התאמה</w:t>
      </w:r>
      <w:r w:rsidRPr="00CF4DB8">
        <w:rPr>
          <w:rtl/>
        </w:rPr>
        <w:t xml:space="preserve"> </w:t>
      </w:r>
      <w:r w:rsidRPr="00CF4DB8">
        <w:rPr>
          <w:rFonts w:hint="eastAsia"/>
          <w:rtl/>
        </w:rPr>
        <w:t>הפרמננטיים</w:t>
      </w:r>
      <w:r w:rsidRPr="00CF4DB8">
        <w:rPr>
          <w:rtl/>
        </w:rPr>
        <w:t xml:space="preserve"> </w:t>
      </w:r>
      <w:r w:rsidRPr="00CF4DB8">
        <w:rPr>
          <w:rFonts w:hint="eastAsia"/>
          <w:rtl/>
        </w:rPr>
        <w:t>לשנים</w:t>
      </w:r>
      <w:r w:rsidRPr="00CF4DB8">
        <w:rPr>
          <w:rtl/>
        </w:rPr>
        <w:t xml:space="preserve"> 20</w:t>
      </w:r>
      <w:r>
        <w:rPr>
          <w:rFonts w:hint="cs"/>
          <w:rtl/>
        </w:rPr>
        <w:t>20</w:t>
      </w:r>
      <w:r w:rsidRPr="00CF4DB8">
        <w:rPr>
          <w:rtl/>
        </w:rPr>
        <w:t xml:space="preserve"> </w:t>
      </w:r>
      <w:r w:rsidRPr="00CF4DB8">
        <w:rPr>
          <w:rFonts w:hint="eastAsia"/>
          <w:rtl/>
        </w:rPr>
        <w:t>ו</w:t>
      </w:r>
      <w:r w:rsidRPr="00CF4DB8">
        <w:rPr>
          <w:rtl/>
        </w:rPr>
        <w:t>-202</w:t>
      </w:r>
      <w:r>
        <w:rPr>
          <w:rFonts w:hint="cs"/>
          <w:rtl/>
        </w:rPr>
        <w:t>1</w:t>
      </w:r>
      <w:r w:rsidRPr="00CF4DB8">
        <w:rPr>
          <w:rtl/>
        </w:rPr>
        <w:t xml:space="preserve"> כאמור לעיל, יידרשו בשנת 202</w:t>
      </w:r>
      <w:r>
        <w:rPr>
          <w:rFonts w:hint="cs"/>
          <w:rtl/>
        </w:rPr>
        <w:t>2</w:t>
      </w:r>
      <w:r w:rsidRPr="00CF4DB8">
        <w:rPr>
          <w:rtl/>
        </w:rPr>
        <w:t xml:space="preserve"> צעדי התאמה נוספים בהיקף של </w:t>
      </w:r>
      <w:r w:rsidRPr="00CF4DB8">
        <w:rPr>
          <w:rFonts w:hint="eastAsia"/>
          <w:rtl/>
        </w:rPr>
        <w:t>כ</w:t>
      </w:r>
      <w:r w:rsidR="00776D11" w:rsidRPr="00CF4DB8">
        <w:rPr>
          <w:rtl/>
        </w:rPr>
        <w:t>-</w:t>
      </w:r>
      <w:r w:rsidR="00B2255F">
        <w:rPr>
          <w:rFonts w:hint="cs"/>
          <w:rtl/>
        </w:rPr>
        <w:t>1.</w:t>
      </w:r>
      <w:r w:rsidR="00CF14B5">
        <w:rPr>
          <w:rFonts w:hint="cs"/>
          <w:rtl/>
        </w:rPr>
        <w:t>0</w:t>
      </w:r>
      <w:r w:rsidR="00776D11">
        <w:rPr>
          <w:rFonts w:hint="cs"/>
          <w:rtl/>
        </w:rPr>
        <w:t xml:space="preserve"> </w:t>
      </w:r>
      <w:r w:rsidRPr="00583AFE">
        <w:rPr>
          <w:rtl/>
        </w:rPr>
        <w:t xml:space="preserve">מיליארד </w:t>
      </w:r>
      <w:r>
        <w:rPr>
          <w:rFonts w:hint="cs"/>
          <w:rtl/>
        </w:rPr>
        <w:t>ש"ח.</w:t>
      </w:r>
    </w:p>
    <w:p w:rsidR="00DC4053" w:rsidRPr="00B12B02" w:rsidRDefault="00DC4053" w:rsidP="00DC4053">
      <w:pPr>
        <w:rPr>
          <w:rtl/>
        </w:rPr>
      </w:pPr>
      <w:r w:rsidRPr="00B12B02">
        <w:rPr>
          <w:rFonts w:hint="cs"/>
          <w:rtl/>
        </w:rPr>
        <w:t>צעדי</w:t>
      </w:r>
      <w:r w:rsidRPr="00B12B02">
        <w:rPr>
          <w:rtl/>
        </w:rPr>
        <w:t xml:space="preserve"> ההתכנסות האפשריים בצד ההוצאה הם הפחתה של הוצאות הממשלה בתחומים האזרחיים </w:t>
      </w:r>
      <w:r w:rsidRPr="00B12B02">
        <w:rPr>
          <w:rFonts w:hint="cs"/>
          <w:rtl/>
        </w:rPr>
        <w:t>או</w:t>
      </w:r>
      <w:r w:rsidRPr="00B12B02">
        <w:rPr>
          <w:rtl/>
        </w:rPr>
        <w:t xml:space="preserve"> בתחומים </w:t>
      </w:r>
      <w:r w:rsidRPr="00B12B02">
        <w:rPr>
          <w:rFonts w:hint="cs"/>
          <w:rtl/>
        </w:rPr>
        <w:t>הביטחוניים</w:t>
      </w:r>
      <w:r w:rsidRPr="00B12B02">
        <w:rPr>
          <w:rtl/>
        </w:rPr>
        <w:t xml:space="preserve">. </w:t>
      </w:r>
      <w:r w:rsidRPr="00B12B02">
        <w:rPr>
          <w:rFonts w:hint="cs"/>
          <w:rtl/>
        </w:rPr>
        <w:t>עוד</w:t>
      </w:r>
      <w:r w:rsidRPr="00B12B02">
        <w:rPr>
          <w:rtl/>
        </w:rPr>
        <w:t xml:space="preserve"> </w:t>
      </w:r>
      <w:r w:rsidRPr="00B12B02">
        <w:rPr>
          <w:rFonts w:hint="cs"/>
          <w:rtl/>
        </w:rPr>
        <w:t>יצוין</w:t>
      </w:r>
      <w:r w:rsidRPr="00B12B02">
        <w:rPr>
          <w:rtl/>
        </w:rPr>
        <w:t xml:space="preserve"> </w:t>
      </w:r>
      <w:r w:rsidRPr="00B12B02">
        <w:rPr>
          <w:rFonts w:hint="cs"/>
          <w:rtl/>
        </w:rPr>
        <w:t>כי</w:t>
      </w:r>
      <w:r w:rsidRPr="00B12B02">
        <w:rPr>
          <w:rtl/>
        </w:rPr>
        <w:t xml:space="preserve"> </w:t>
      </w:r>
      <w:r w:rsidRPr="00B12B02">
        <w:rPr>
          <w:rFonts w:hint="cs"/>
          <w:rtl/>
        </w:rPr>
        <w:t>ככל</w:t>
      </w:r>
      <w:r w:rsidRPr="00B12B02">
        <w:rPr>
          <w:rtl/>
        </w:rPr>
        <w:t xml:space="preserve"> </w:t>
      </w:r>
      <w:r w:rsidRPr="00B12B02">
        <w:rPr>
          <w:rFonts w:hint="cs"/>
          <w:rtl/>
        </w:rPr>
        <w:t>שהממשלה</w:t>
      </w:r>
      <w:r w:rsidRPr="00B12B02">
        <w:rPr>
          <w:rtl/>
        </w:rPr>
        <w:t xml:space="preserve"> </w:t>
      </w:r>
      <w:r w:rsidRPr="00B12B02">
        <w:rPr>
          <w:rFonts w:hint="cs"/>
          <w:rtl/>
        </w:rPr>
        <w:t>תנקוט</w:t>
      </w:r>
      <w:r w:rsidRPr="00B12B02">
        <w:rPr>
          <w:rtl/>
        </w:rPr>
        <w:t xml:space="preserve"> </w:t>
      </w:r>
      <w:r w:rsidRPr="00B12B02">
        <w:rPr>
          <w:rFonts w:hint="cs"/>
          <w:rtl/>
        </w:rPr>
        <w:t>צעדי</w:t>
      </w:r>
      <w:r w:rsidRPr="00B12B02">
        <w:rPr>
          <w:rtl/>
        </w:rPr>
        <w:t xml:space="preserve"> </w:t>
      </w:r>
      <w:r w:rsidRPr="00B12B02">
        <w:rPr>
          <w:rFonts w:hint="cs"/>
          <w:rtl/>
        </w:rPr>
        <w:t>התייעלות</w:t>
      </w:r>
      <w:r w:rsidRPr="00B12B02">
        <w:rPr>
          <w:rtl/>
        </w:rPr>
        <w:t xml:space="preserve"> </w:t>
      </w:r>
      <w:r w:rsidRPr="00B12B02">
        <w:rPr>
          <w:rFonts w:hint="cs"/>
          <w:rtl/>
        </w:rPr>
        <w:t>אפקטיביים</w:t>
      </w:r>
      <w:r w:rsidRPr="00B12B02">
        <w:rPr>
          <w:rtl/>
        </w:rPr>
        <w:t xml:space="preserve">, </w:t>
      </w:r>
      <w:r w:rsidRPr="00B12B02">
        <w:rPr>
          <w:rFonts w:hint="cs"/>
          <w:rtl/>
        </w:rPr>
        <w:t>תתאפשר</w:t>
      </w:r>
      <w:r w:rsidRPr="00B12B02">
        <w:rPr>
          <w:rtl/>
        </w:rPr>
        <w:t xml:space="preserve"> </w:t>
      </w:r>
      <w:r w:rsidRPr="00B12B02">
        <w:rPr>
          <w:rFonts w:hint="cs"/>
          <w:rtl/>
        </w:rPr>
        <w:t>הפחתה</w:t>
      </w:r>
      <w:r w:rsidRPr="00B12B02">
        <w:rPr>
          <w:rtl/>
        </w:rPr>
        <w:t xml:space="preserve"> </w:t>
      </w:r>
      <w:r w:rsidRPr="00B12B02">
        <w:rPr>
          <w:rFonts w:hint="cs"/>
          <w:rtl/>
        </w:rPr>
        <w:t>בהוצאות</w:t>
      </w:r>
      <w:r w:rsidRPr="00B12B02">
        <w:rPr>
          <w:rtl/>
        </w:rPr>
        <w:t xml:space="preserve"> </w:t>
      </w:r>
      <w:r w:rsidRPr="00B12B02">
        <w:rPr>
          <w:rFonts w:hint="cs"/>
          <w:rtl/>
        </w:rPr>
        <w:t>הממשלה</w:t>
      </w:r>
      <w:r w:rsidRPr="00B12B02">
        <w:rPr>
          <w:rtl/>
        </w:rPr>
        <w:t xml:space="preserve"> </w:t>
      </w:r>
      <w:r w:rsidRPr="00B12B02">
        <w:rPr>
          <w:rFonts w:hint="cs"/>
          <w:rtl/>
        </w:rPr>
        <w:t>ללא</w:t>
      </w:r>
      <w:r w:rsidRPr="00B12B02">
        <w:rPr>
          <w:rtl/>
        </w:rPr>
        <w:t xml:space="preserve"> </w:t>
      </w:r>
      <w:r w:rsidRPr="00B12B02">
        <w:rPr>
          <w:rFonts w:hint="cs"/>
          <w:rtl/>
        </w:rPr>
        <w:t>פגיעה</w:t>
      </w:r>
      <w:r w:rsidRPr="00B12B02">
        <w:rPr>
          <w:rtl/>
        </w:rPr>
        <w:t xml:space="preserve"> </w:t>
      </w:r>
      <w:r w:rsidRPr="00B12B02">
        <w:rPr>
          <w:rFonts w:hint="cs"/>
          <w:rtl/>
        </w:rPr>
        <w:t>ברמת</w:t>
      </w:r>
      <w:r w:rsidRPr="00B12B02">
        <w:rPr>
          <w:rtl/>
        </w:rPr>
        <w:t xml:space="preserve"> </w:t>
      </w:r>
      <w:r w:rsidRPr="00B12B02">
        <w:rPr>
          <w:rFonts w:hint="cs"/>
          <w:rtl/>
        </w:rPr>
        <w:t>השירותים</w:t>
      </w:r>
      <w:r w:rsidRPr="00B12B02">
        <w:rPr>
          <w:rtl/>
        </w:rPr>
        <w:t xml:space="preserve"> </w:t>
      </w:r>
      <w:r w:rsidRPr="00B12B02">
        <w:rPr>
          <w:rFonts w:hint="cs"/>
          <w:rtl/>
        </w:rPr>
        <w:t>הניתנת</w:t>
      </w:r>
      <w:r w:rsidRPr="00B12B02">
        <w:rPr>
          <w:rtl/>
        </w:rPr>
        <w:t xml:space="preserve"> </w:t>
      </w:r>
      <w:r w:rsidRPr="00B12B02">
        <w:rPr>
          <w:rFonts w:hint="cs"/>
          <w:rtl/>
        </w:rPr>
        <w:t>לאזרח</w:t>
      </w:r>
      <w:r w:rsidRPr="00B12B02">
        <w:rPr>
          <w:rtl/>
        </w:rPr>
        <w:t xml:space="preserve">. </w:t>
      </w:r>
      <w:r w:rsidRPr="00B12B02">
        <w:rPr>
          <w:rFonts w:hint="cs"/>
          <w:rtl/>
        </w:rPr>
        <w:t>בנוסף</w:t>
      </w:r>
      <w:r w:rsidRPr="00B12B02">
        <w:rPr>
          <w:rtl/>
        </w:rPr>
        <w:t xml:space="preserve"> </w:t>
      </w:r>
      <w:r w:rsidRPr="00B12B02">
        <w:rPr>
          <w:rFonts w:hint="cs"/>
          <w:rtl/>
        </w:rPr>
        <w:t>לכך</w:t>
      </w:r>
      <w:r w:rsidRPr="00B12B02">
        <w:rPr>
          <w:rtl/>
        </w:rPr>
        <w:t xml:space="preserve">, </w:t>
      </w:r>
      <w:r w:rsidRPr="00B12B02">
        <w:rPr>
          <w:rFonts w:hint="cs"/>
          <w:rtl/>
        </w:rPr>
        <w:t>ככל</w:t>
      </w:r>
      <w:r w:rsidRPr="00B12B02">
        <w:rPr>
          <w:rtl/>
        </w:rPr>
        <w:t xml:space="preserve"> </w:t>
      </w:r>
      <w:r w:rsidRPr="00B12B02">
        <w:rPr>
          <w:rFonts w:hint="cs"/>
          <w:rtl/>
        </w:rPr>
        <w:t>שהממשלה</w:t>
      </w:r>
      <w:r w:rsidRPr="00B12B02">
        <w:rPr>
          <w:rtl/>
        </w:rPr>
        <w:t xml:space="preserve"> </w:t>
      </w:r>
      <w:r w:rsidRPr="00B12B02">
        <w:rPr>
          <w:rFonts w:hint="cs"/>
          <w:rtl/>
        </w:rPr>
        <w:t>תקבע</w:t>
      </w:r>
      <w:r w:rsidRPr="00B12B02">
        <w:rPr>
          <w:rtl/>
        </w:rPr>
        <w:t xml:space="preserve"> </w:t>
      </w:r>
      <w:r w:rsidRPr="00B12B02">
        <w:rPr>
          <w:rFonts w:hint="cs"/>
          <w:rtl/>
        </w:rPr>
        <w:t>תקרת</w:t>
      </w:r>
      <w:r w:rsidRPr="00B12B02">
        <w:rPr>
          <w:rtl/>
        </w:rPr>
        <w:t xml:space="preserve"> </w:t>
      </w:r>
      <w:r w:rsidRPr="00B12B02">
        <w:rPr>
          <w:rFonts w:hint="cs"/>
          <w:rtl/>
        </w:rPr>
        <w:t>גירעון</w:t>
      </w:r>
      <w:r w:rsidRPr="00B12B02">
        <w:rPr>
          <w:rtl/>
        </w:rPr>
        <w:t xml:space="preserve"> </w:t>
      </w:r>
      <w:r w:rsidRPr="00B12B02">
        <w:rPr>
          <w:rFonts w:hint="cs"/>
          <w:rtl/>
        </w:rPr>
        <w:t>נמוכה</w:t>
      </w:r>
      <w:r w:rsidRPr="00B12B02">
        <w:rPr>
          <w:rtl/>
        </w:rPr>
        <w:t xml:space="preserve"> </w:t>
      </w:r>
      <w:r w:rsidRPr="00B12B02">
        <w:rPr>
          <w:rFonts w:hint="cs"/>
          <w:rtl/>
        </w:rPr>
        <w:t>יותר</w:t>
      </w:r>
      <w:r w:rsidRPr="00B12B02">
        <w:rPr>
          <w:rtl/>
        </w:rPr>
        <w:t xml:space="preserve"> </w:t>
      </w:r>
      <w:r w:rsidRPr="00B12B02">
        <w:rPr>
          <w:rFonts w:hint="cs"/>
          <w:rtl/>
        </w:rPr>
        <w:t>מזו</w:t>
      </w:r>
      <w:r w:rsidRPr="00B12B02">
        <w:rPr>
          <w:rtl/>
        </w:rPr>
        <w:t xml:space="preserve"> </w:t>
      </w:r>
      <w:r w:rsidRPr="00B12B02">
        <w:rPr>
          <w:rFonts w:hint="cs"/>
          <w:rtl/>
        </w:rPr>
        <w:t>הקבועה</w:t>
      </w:r>
      <w:r w:rsidRPr="00B12B02">
        <w:rPr>
          <w:rtl/>
        </w:rPr>
        <w:t xml:space="preserve"> כיום בחוק המסגרות ותעמוד בה, כך נטל תשלומי הריבית </w:t>
      </w:r>
      <w:r>
        <w:rPr>
          <w:rFonts w:hint="cs"/>
          <w:rtl/>
        </w:rPr>
        <w:t xml:space="preserve">בגין החזרי חוב </w:t>
      </w:r>
      <w:r w:rsidRPr="00B12B02">
        <w:rPr>
          <w:rtl/>
        </w:rPr>
        <w:t>בשנים הבאות יפחת באופן שייווצר חיסכון תקציבי</w:t>
      </w:r>
      <w:r>
        <w:rPr>
          <w:rFonts w:hint="cs"/>
          <w:rtl/>
        </w:rPr>
        <w:t>,</w:t>
      </w:r>
      <w:r w:rsidRPr="00B12B02">
        <w:rPr>
          <w:rtl/>
        </w:rPr>
        <w:t xml:space="preserve"> אשר ימתן את הצורך לבצע הפחתות בתקציבים האזרחיים או באלו הביטחוניים.</w:t>
      </w:r>
    </w:p>
    <w:p w:rsidR="00DC4053" w:rsidRPr="00D137A7" w:rsidRDefault="00DC4053" w:rsidP="00DC4053">
      <w:pPr>
        <w:rPr>
          <w:rtl/>
        </w:rPr>
      </w:pPr>
      <w:r w:rsidRPr="00B8536C">
        <w:rPr>
          <w:rFonts w:hint="cs"/>
          <w:rtl/>
        </w:rPr>
        <w:t>צעדי</w:t>
      </w:r>
      <w:r w:rsidRPr="00B8536C">
        <w:rPr>
          <w:rtl/>
        </w:rPr>
        <w:t xml:space="preserve"> ההתכנסות האפשריים בצד ההכנסה הם הרחבת בסיס המס, </w:t>
      </w:r>
      <w:r w:rsidRPr="00B8536C">
        <w:rPr>
          <w:rFonts w:hint="cs"/>
          <w:rtl/>
        </w:rPr>
        <w:t>היינו</w:t>
      </w:r>
      <w:r w:rsidRPr="00B8536C">
        <w:rPr>
          <w:rtl/>
        </w:rPr>
        <w:t xml:space="preserve">: </w:t>
      </w:r>
      <w:r w:rsidRPr="00B8536C">
        <w:rPr>
          <w:rFonts w:hint="cs"/>
          <w:rtl/>
        </w:rPr>
        <w:t>ביטול</w:t>
      </w:r>
      <w:r w:rsidRPr="00B8536C">
        <w:rPr>
          <w:rtl/>
        </w:rPr>
        <w:t xml:space="preserve"> </w:t>
      </w:r>
      <w:r w:rsidRPr="00B8536C">
        <w:rPr>
          <w:rFonts w:hint="cs"/>
          <w:rtl/>
        </w:rPr>
        <w:t>של</w:t>
      </w:r>
      <w:r w:rsidRPr="00B8536C">
        <w:rPr>
          <w:rtl/>
        </w:rPr>
        <w:t xml:space="preserve"> </w:t>
      </w:r>
      <w:r w:rsidRPr="00B8536C">
        <w:rPr>
          <w:rFonts w:hint="cs"/>
          <w:rtl/>
        </w:rPr>
        <w:t>פטורים</w:t>
      </w:r>
      <w:r w:rsidRPr="00B8536C">
        <w:rPr>
          <w:rtl/>
        </w:rPr>
        <w:t xml:space="preserve"> </w:t>
      </w:r>
      <w:r w:rsidRPr="00B8536C">
        <w:rPr>
          <w:rFonts w:hint="cs"/>
          <w:rtl/>
        </w:rPr>
        <w:t>קיימים</w:t>
      </w:r>
      <w:r w:rsidRPr="00B8536C">
        <w:rPr>
          <w:rtl/>
        </w:rPr>
        <w:t xml:space="preserve"> </w:t>
      </w:r>
      <w:r w:rsidRPr="00B8536C">
        <w:rPr>
          <w:rFonts w:hint="cs"/>
          <w:rtl/>
        </w:rPr>
        <w:t>במערכת</w:t>
      </w:r>
      <w:r w:rsidRPr="00B8536C">
        <w:rPr>
          <w:rtl/>
        </w:rPr>
        <w:t xml:space="preserve"> </w:t>
      </w:r>
      <w:r w:rsidRPr="00B8536C">
        <w:rPr>
          <w:rFonts w:hint="cs"/>
          <w:rtl/>
        </w:rPr>
        <w:t>המס</w:t>
      </w:r>
      <w:r>
        <w:rPr>
          <w:rFonts w:hint="cs"/>
          <w:rtl/>
        </w:rPr>
        <w:t xml:space="preserve">, </w:t>
      </w:r>
      <w:r w:rsidRPr="00B8536C">
        <w:rPr>
          <w:rFonts w:hint="cs"/>
          <w:rtl/>
        </w:rPr>
        <w:t>העלאה</w:t>
      </w:r>
      <w:r w:rsidRPr="00B8536C">
        <w:rPr>
          <w:rtl/>
        </w:rPr>
        <w:t xml:space="preserve"> </w:t>
      </w:r>
      <w:r w:rsidRPr="00B8536C">
        <w:rPr>
          <w:rFonts w:hint="cs"/>
          <w:rtl/>
        </w:rPr>
        <w:t>של</w:t>
      </w:r>
      <w:r w:rsidRPr="00B8536C">
        <w:rPr>
          <w:rtl/>
        </w:rPr>
        <w:t xml:space="preserve"> </w:t>
      </w:r>
      <w:r w:rsidRPr="00B8536C">
        <w:rPr>
          <w:rFonts w:hint="cs"/>
          <w:rtl/>
        </w:rPr>
        <w:t>שיעורי</w:t>
      </w:r>
      <w:r w:rsidRPr="00B8536C">
        <w:rPr>
          <w:rtl/>
        </w:rPr>
        <w:t xml:space="preserve"> </w:t>
      </w:r>
      <w:r w:rsidRPr="00B8536C">
        <w:rPr>
          <w:rFonts w:hint="cs"/>
          <w:rtl/>
        </w:rPr>
        <w:t>המס</w:t>
      </w:r>
      <w:r w:rsidRPr="00B8536C">
        <w:rPr>
          <w:rtl/>
        </w:rPr>
        <w:t xml:space="preserve"> </w:t>
      </w:r>
      <w:r w:rsidRPr="00B8536C">
        <w:rPr>
          <w:rFonts w:hint="cs"/>
          <w:rtl/>
        </w:rPr>
        <w:t>הקיימים</w:t>
      </w:r>
      <w:r>
        <w:rPr>
          <w:rFonts w:hint="cs"/>
          <w:rtl/>
        </w:rPr>
        <w:t xml:space="preserve"> וכן הרחבת בסיס הגבייה באמצעות טיפול בפרצות מס</w:t>
      </w:r>
      <w:r w:rsidRPr="00B8536C">
        <w:rPr>
          <w:rtl/>
        </w:rPr>
        <w:t>.</w:t>
      </w:r>
    </w:p>
    <w:p w:rsidR="00B5160D" w:rsidRDefault="00B5160D" w:rsidP="00DC4053">
      <w:pPr>
        <w:bidi w:val="0"/>
        <w:spacing w:before="200"/>
        <w:jc w:val="right"/>
        <w:rPr>
          <w:b/>
          <w:bCs/>
          <w:rtl/>
        </w:rPr>
      </w:pPr>
    </w:p>
    <w:p w:rsidR="00B5160D" w:rsidRDefault="00B5160D">
      <w:pPr>
        <w:bidi w:val="0"/>
        <w:spacing w:before="200"/>
        <w:jc w:val="right"/>
        <w:rPr>
          <w:b/>
          <w:bCs/>
          <w:rtl/>
        </w:rPr>
      </w:pPr>
    </w:p>
    <w:p w:rsidR="00B5160D" w:rsidRDefault="00B5160D">
      <w:pPr>
        <w:bidi w:val="0"/>
        <w:spacing w:before="200"/>
        <w:jc w:val="right"/>
        <w:rPr>
          <w:b/>
          <w:bCs/>
          <w:rtl/>
        </w:rPr>
      </w:pPr>
    </w:p>
    <w:p w:rsidR="00B5160D" w:rsidRDefault="00B5160D">
      <w:pPr>
        <w:bidi w:val="0"/>
        <w:spacing w:before="200"/>
        <w:jc w:val="right"/>
        <w:rPr>
          <w:b/>
          <w:bCs/>
          <w:rtl/>
        </w:rPr>
      </w:pPr>
    </w:p>
    <w:p w:rsidR="00DC4053" w:rsidRPr="00B8536C" w:rsidRDefault="00DC4053">
      <w:pPr>
        <w:bidi w:val="0"/>
        <w:spacing w:before="200"/>
        <w:jc w:val="right"/>
        <w:rPr>
          <w:b/>
          <w:bCs/>
        </w:rPr>
      </w:pPr>
      <w:r w:rsidRPr="00B8536C">
        <w:rPr>
          <w:rFonts w:hint="cs"/>
          <w:b/>
          <w:bCs/>
          <w:rtl/>
        </w:rPr>
        <w:lastRenderedPageBreak/>
        <w:t>הוצאות</w:t>
      </w:r>
      <w:r w:rsidRPr="00B8536C">
        <w:rPr>
          <w:b/>
          <w:bCs/>
          <w:rtl/>
        </w:rPr>
        <w:t xml:space="preserve"> </w:t>
      </w:r>
      <w:r w:rsidRPr="00B8536C">
        <w:rPr>
          <w:rFonts w:hint="cs"/>
          <w:b/>
          <w:bCs/>
          <w:rtl/>
        </w:rPr>
        <w:t>הממשלה</w:t>
      </w:r>
      <w:r w:rsidRPr="00B8536C">
        <w:rPr>
          <w:b/>
          <w:bCs/>
          <w:rtl/>
        </w:rPr>
        <w:t xml:space="preserve"> </w:t>
      </w:r>
      <w:r w:rsidRPr="00B8536C">
        <w:rPr>
          <w:rFonts w:hint="cs"/>
          <w:b/>
          <w:bCs/>
          <w:rtl/>
        </w:rPr>
        <w:t>בטווח</w:t>
      </w:r>
      <w:r w:rsidRPr="00B8536C">
        <w:rPr>
          <w:b/>
          <w:bCs/>
          <w:rtl/>
        </w:rPr>
        <w:t xml:space="preserve"> </w:t>
      </w:r>
      <w:r w:rsidRPr="00B8536C">
        <w:rPr>
          <w:rFonts w:hint="cs"/>
          <w:b/>
          <w:bCs/>
          <w:rtl/>
        </w:rPr>
        <w:t>הבינוני</w:t>
      </w:r>
      <w:r w:rsidRPr="00B8536C">
        <w:rPr>
          <w:b/>
          <w:bCs/>
          <w:rtl/>
        </w:rPr>
        <w:t xml:space="preserve"> </w:t>
      </w:r>
    </w:p>
    <w:tbl>
      <w:tblPr>
        <w:bidiVisual/>
        <w:tblW w:w="8296" w:type="dxa"/>
        <w:jc w:val="center"/>
        <w:tblLook w:val="04A0" w:firstRow="1" w:lastRow="0" w:firstColumn="1" w:lastColumn="0" w:noHBand="0" w:noVBand="1"/>
      </w:tblPr>
      <w:tblGrid>
        <w:gridCol w:w="3679"/>
        <w:gridCol w:w="1077"/>
        <w:gridCol w:w="1114"/>
        <w:gridCol w:w="1213"/>
        <w:gridCol w:w="1213"/>
      </w:tblGrid>
      <w:tr w:rsidR="00DC4053" w:rsidRPr="00016AC3" w:rsidTr="00D00A54">
        <w:trPr>
          <w:trHeight w:val="391"/>
          <w:jc w:val="center"/>
        </w:trPr>
        <w:tc>
          <w:tcPr>
            <w:tcW w:w="3679" w:type="dxa"/>
            <w:tcBorders>
              <w:top w:val="single" w:sz="4" w:space="0" w:color="auto"/>
              <w:left w:val="single" w:sz="4" w:space="0" w:color="auto"/>
              <w:bottom w:val="single" w:sz="4" w:space="0" w:color="auto"/>
              <w:right w:val="single" w:sz="4" w:space="0" w:color="auto"/>
            </w:tcBorders>
            <w:shd w:val="clear" w:color="auto" w:fill="1F497D"/>
            <w:vAlign w:val="center"/>
            <w:hideMark/>
          </w:tcPr>
          <w:p w:rsidR="00DC4053" w:rsidRPr="00B8536C" w:rsidRDefault="00DC4053" w:rsidP="00D00A54">
            <w:pPr>
              <w:spacing w:after="0" w:line="240" w:lineRule="auto"/>
              <w:jc w:val="left"/>
              <w:rPr>
                <w:rFonts w:eastAsia="Times New Roman"/>
                <w:b/>
                <w:bCs/>
                <w:color w:val="FFFFFF"/>
                <w:sz w:val="20"/>
                <w:szCs w:val="20"/>
              </w:rPr>
            </w:pPr>
            <w:r>
              <w:rPr>
                <w:rFonts w:eastAsia="Times New Roman" w:hint="cs"/>
                <w:b/>
                <w:bCs/>
                <w:color w:val="FFFFFF"/>
                <w:sz w:val="20"/>
                <w:szCs w:val="20"/>
                <w:rtl/>
              </w:rPr>
              <w:t>(במיליארדי ש"ח)</w:t>
            </w:r>
          </w:p>
        </w:tc>
        <w:tc>
          <w:tcPr>
            <w:tcW w:w="1077" w:type="dxa"/>
            <w:tcBorders>
              <w:top w:val="single" w:sz="4" w:space="0" w:color="auto"/>
              <w:left w:val="single" w:sz="4" w:space="0" w:color="auto"/>
              <w:bottom w:val="single" w:sz="4" w:space="0" w:color="auto"/>
              <w:right w:val="single" w:sz="4" w:space="0" w:color="auto"/>
            </w:tcBorders>
            <w:shd w:val="clear" w:color="auto" w:fill="1F497D"/>
            <w:vAlign w:val="center"/>
          </w:tcPr>
          <w:p w:rsidR="00DC4053" w:rsidRPr="00583AFE" w:rsidDel="005A4673" w:rsidRDefault="00DC4053" w:rsidP="00D00A54">
            <w:pPr>
              <w:bidi w:val="0"/>
              <w:spacing w:after="0" w:line="240" w:lineRule="auto"/>
              <w:jc w:val="center"/>
              <w:rPr>
                <w:rFonts w:eastAsia="Times New Roman"/>
                <w:b/>
                <w:bCs/>
                <w:color w:val="FFFFFF"/>
                <w:sz w:val="20"/>
                <w:szCs w:val="20"/>
                <w:rtl/>
              </w:rPr>
            </w:pPr>
            <w:r>
              <w:rPr>
                <w:rFonts w:eastAsia="Times New Roman" w:hint="cs"/>
                <w:b/>
                <w:bCs/>
                <w:color w:val="FFFFFF"/>
                <w:sz w:val="20"/>
                <w:szCs w:val="20"/>
                <w:rtl/>
              </w:rPr>
              <w:t>2019</w:t>
            </w:r>
          </w:p>
        </w:tc>
        <w:tc>
          <w:tcPr>
            <w:tcW w:w="1114" w:type="dxa"/>
            <w:tcBorders>
              <w:top w:val="single" w:sz="4" w:space="0" w:color="auto"/>
              <w:left w:val="single" w:sz="4" w:space="0" w:color="auto"/>
              <w:bottom w:val="single" w:sz="4" w:space="0" w:color="auto"/>
              <w:right w:val="single" w:sz="4" w:space="0" w:color="auto"/>
            </w:tcBorders>
            <w:shd w:val="clear" w:color="auto" w:fill="1F497D"/>
            <w:vAlign w:val="center"/>
          </w:tcPr>
          <w:p w:rsidR="00DC4053" w:rsidRPr="00016AC3" w:rsidDel="00F72B86" w:rsidRDefault="00DC4053" w:rsidP="00D00A54">
            <w:pPr>
              <w:bidi w:val="0"/>
              <w:spacing w:after="0" w:line="240" w:lineRule="auto"/>
              <w:jc w:val="center"/>
              <w:rPr>
                <w:rFonts w:eastAsia="Times New Roman"/>
                <w:b/>
                <w:bCs/>
                <w:color w:val="FFFFFF"/>
                <w:sz w:val="20"/>
                <w:szCs w:val="20"/>
                <w:rtl/>
              </w:rPr>
            </w:pPr>
            <w:r w:rsidRPr="00583AFE">
              <w:rPr>
                <w:rFonts w:eastAsia="Times New Roman" w:hint="cs"/>
                <w:b/>
                <w:bCs/>
                <w:color w:val="FFFFFF"/>
                <w:sz w:val="20"/>
                <w:szCs w:val="20"/>
                <w:rtl/>
              </w:rPr>
              <w:t>20</w:t>
            </w:r>
            <w:r>
              <w:rPr>
                <w:rFonts w:eastAsia="Times New Roman" w:hint="cs"/>
                <w:b/>
                <w:bCs/>
                <w:color w:val="FFFFFF"/>
                <w:sz w:val="20"/>
                <w:szCs w:val="20"/>
                <w:rtl/>
              </w:rPr>
              <w:t>20</w:t>
            </w:r>
          </w:p>
        </w:tc>
        <w:tc>
          <w:tcPr>
            <w:tcW w:w="1213" w:type="dxa"/>
            <w:tcBorders>
              <w:top w:val="single" w:sz="4" w:space="0" w:color="auto"/>
              <w:left w:val="single" w:sz="4" w:space="0" w:color="auto"/>
              <w:bottom w:val="single" w:sz="4" w:space="0" w:color="auto"/>
              <w:right w:val="single" w:sz="4" w:space="0" w:color="auto"/>
            </w:tcBorders>
            <w:shd w:val="clear" w:color="auto" w:fill="1F497D"/>
            <w:vAlign w:val="center"/>
            <w:hideMark/>
          </w:tcPr>
          <w:p w:rsidR="00DC4053" w:rsidRPr="00B8536C" w:rsidRDefault="00DC4053" w:rsidP="00D00A54">
            <w:pPr>
              <w:bidi w:val="0"/>
              <w:spacing w:after="0" w:line="240" w:lineRule="auto"/>
              <w:jc w:val="center"/>
              <w:rPr>
                <w:rFonts w:eastAsia="Times New Roman"/>
                <w:b/>
                <w:bCs/>
                <w:color w:val="FFFFFF"/>
                <w:sz w:val="20"/>
                <w:szCs w:val="20"/>
              </w:rPr>
            </w:pPr>
            <w:r>
              <w:rPr>
                <w:rFonts w:eastAsia="Times New Roman" w:hint="cs"/>
                <w:b/>
                <w:bCs/>
                <w:color w:val="FFFFFF"/>
                <w:sz w:val="20"/>
                <w:szCs w:val="20"/>
                <w:rtl/>
              </w:rPr>
              <w:t>2021</w:t>
            </w:r>
          </w:p>
        </w:tc>
        <w:tc>
          <w:tcPr>
            <w:tcW w:w="1213" w:type="dxa"/>
            <w:tcBorders>
              <w:top w:val="single" w:sz="4" w:space="0" w:color="auto"/>
              <w:left w:val="single" w:sz="4" w:space="0" w:color="auto"/>
              <w:bottom w:val="single" w:sz="4" w:space="0" w:color="auto"/>
              <w:right w:val="single" w:sz="4" w:space="0" w:color="auto"/>
            </w:tcBorders>
            <w:shd w:val="clear" w:color="auto" w:fill="1F497D"/>
            <w:vAlign w:val="center"/>
            <w:hideMark/>
          </w:tcPr>
          <w:p w:rsidR="00DC4053" w:rsidRPr="00B8536C" w:rsidRDefault="00DC4053" w:rsidP="00D00A54">
            <w:pPr>
              <w:bidi w:val="0"/>
              <w:spacing w:after="0" w:line="240" w:lineRule="auto"/>
              <w:jc w:val="center"/>
              <w:rPr>
                <w:rFonts w:eastAsia="Times New Roman"/>
                <w:b/>
                <w:bCs/>
                <w:color w:val="FFFFFF"/>
                <w:sz w:val="20"/>
                <w:szCs w:val="20"/>
              </w:rPr>
            </w:pPr>
            <w:r>
              <w:rPr>
                <w:rFonts w:eastAsia="Times New Roman" w:hint="cs"/>
                <w:b/>
                <w:bCs/>
                <w:color w:val="FFFFFF"/>
                <w:sz w:val="20"/>
                <w:szCs w:val="20"/>
                <w:rtl/>
              </w:rPr>
              <w:t>2022</w:t>
            </w:r>
          </w:p>
        </w:tc>
      </w:tr>
      <w:tr w:rsidR="00B5160D" w:rsidRPr="00016AC3" w:rsidTr="00A34826">
        <w:trPr>
          <w:trHeight w:val="255"/>
          <w:jc w:val="center"/>
        </w:trPr>
        <w:tc>
          <w:tcPr>
            <w:tcW w:w="3679" w:type="dxa"/>
            <w:tcBorders>
              <w:left w:val="single" w:sz="4" w:space="0" w:color="auto"/>
              <w:right w:val="single" w:sz="4" w:space="0" w:color="auto"/>
            </w:tcBorders>
            <w:shd w:val="clear" w:color="auto" w:fill="auto"/>
            <w:noWrap/>
            <w:vAlign w:val="center"/>
            <w:hideMark/>
          </w:tcPr>
          <w:p w:rsidR="00B5160D" w:rsidRPr="00B5160D" w:rsidRDefault="00B5160D" w:rsidP="00B5160D">
            <w:pPr>
              <w:spacing w:after="0" w:line="240" w:lineRule="auto"/>
              <w:jc w:val="left"/>
              <w:rPr>
                <w:rFonts w:eastAsia="Times New Roman"/>
                <w:b/>
                <w:bCs/>
                <w:sz w:val="20"/>
                <w:szCs w:val="20"/>
              </w:rPr>
            </w:pPr>
            <w:r w:rsidRPr="00B5160D">
              <w:rPr>
                <w:rFonts w:eastAsia="Times New Roman" w:hint="eastAsia"/>
                <w:b/>
                <w:bCs/>
                <w:sz w:val="20"/>
                <w:szCs w:val="20"/>
                <w:rtl/>
              </w:rPr>
              <w:t>סך</w:t>
            </w:r>
            <w:r w:rsidRPr="00B5160D">
              <w:rPr>
                <w:rFonts w:eastAsia="Times New Roman"/>
                <w:b/>
                <w:bCs/>
                <w:sz w:val="20"/>
                <w:szCs w:val="20"/>
                <w:rtl/>
              </w:rPr>
              <w:t xml:space="preserve"> </w:t>
            </w:r>
            <w:r w:rsidRPr="00B5160D">
              <w:rPr>
                <w:rFonts w:eastAsia="Times New Roman" w:hint="eastAsia"/>
                <w:b/>
                <w:bCs/>
                <w:sz w:val="20"/>
                <w:szCs w:val="20"/>
                <w:rtl/>
              </w:rPr>
              <w:t>הוצאות</w:t>
            </w:r>
            <w:r w:rsidRPr="00B5160D">
              <w:rPr>
                <w:rFonts w:eastAsia="Times New Roman"/>
                <w:b/>
                <w:bCs/>
                <w:sz w:val="20"/>
                <w:szCs w:val="20"/>
                <w:rtl/>
              </w:rPr>
              <w:t xml:space="preserve"> </w:t>
            </w:r>
            <w:r w:rsidRPr="00B5160D">
              <w:rPr>
                <w:rFonts w:eastAsia="Times New Roman" w:hint="eastAsia"/>
                <w:b/>
                <w:bCs/>
                <w:sz w:val="20"/>
                <w:szCs w:val="20"/>
                <w:rtl/>
              </w:rPr>
              <w:t>הממשלה</w:t>
            </w:r>
          </w:p>
        </w:tc>
        <w:tc>
          <w:tcPr>
            <w:tcW w:w="1077" w:type="dxa"/>
            <w:tcBorders>
              <w:left w:val="single" w:sz="4" w:space="0" w:color="auto"/>
              <w:right w:val="single" w:sz="4" w:space="0" w:color="auto"/>
            </w:tcBorders>
            <w:shd w:val="clear" w:color="auto" w:fill="auto"/>
            <w:vAlign w:val="bottom"/>
          </w:tcPr>
          <w:p w:rsidR="00B5160D" w:rsidRPr="00B5160D" w:rsidRDefault="00B5160D" w:rsidP="00B5160D">
            <w:pPr>
              <w:bidi w:val="0"/>
              <w:spacing w:after="0" w:line="240" w:lineRule="auto"/>
              <w:jc w:val="center"/>
              <w:rPr>
                <w:rFonts w:ascii="David" w:hAnsi="David"/>
                <w:b/>
                <w:bCs/>
                <w:sz w:val="20"/>
                <w:szCs w:val="20"/>
              </w:rPr>
            </w:pPr>
            <w:r w:rsidRPr="00B5160D">
              <w:rPr>
                <w:rFonts w:ascii="David" w:hAnsi="David"/>
                <w:b/>
                <w:bCs/>
                <w:sz w:val="20"/>
                <w:szCs w:val="20"/>
              </w:rPr>
              <w:t>397.4</w:t>
            </w:r>
          </w:p>
        </w:tc>
        <w:tc>
          <w:tcPr>
            <w:tcW w:w="1114" w:type="dxa"/>
            <w:tcBorders>
              <w:left w:val="single" w:sz="4" w:space="0" w:color="auto"/>
              <w:right w:val="single" w:sz="4" w:space="0" w:color="auto"/>
            </w:tcBorders>
            <w:shd w:val="clear" w:color="auto" w:fill="auto"/>
            <w:vAlign w:val="bottom"/>
          </w:tcPr>
          <w:p w:rsidR="00B5160D" w:rsidRPr="00A34826" w:rsidDel="00F72B86" w:rsidRDefault="00B5160D" w:rsidP="00B5160D">
            <w:pPr>
              <w:bidi w:val="0"/>
              <w:spacing w:after="0" w:line="240" w:lineRule="auto"/>
              <w:jc w:val="center"/>
              <w:rPr>
                <w:rFonts w:ascii="Calibri" w:hAnsi="Calibri"/>
                <w:b/>
                <w:bCs/>
                <w:sz w:val="20"/>
                <w:szCs w:val="20"/>
                <w:rtl/>
              </w:rPr>
            </w:pPr>
            <w:r>
              <w:rPr>
                <w:rFonts w:ascii="David" w:hAnsi="David"/>
                <w:b/>
                <w:bCs/>
                <w:sz w:val="20"/>
                <w:szCs w:val="20"/>
              </w:rPr>
              <w:t>417.4</w:t>
            </w:r>
          </w:p>
        </w:tc>
        <w:tc>
          <w:tcPr>
            <w:tcW w:w="1213" w:type="dxa"/>
            <w:tcBorders>
              <w:left w:val="single" w:sz="4" w:space="0" w:color="auto"/>
              <w:right w:val="single" w:sz="4" w:space="0" w:color="auto"/>
            </w:tcBorders>
            <w:shd w:val="clear" w:color="auto" w:fill="auto"/>
            <w:noWrap/>
            <w:vAlign w:val="bottom"/>
            <w:hideMark/>
          </w:tcPr>
          <w:p w:rsidR="00B5160D" w:rsidRPr="00A34826" w:rsidRDefault="00B5160D" w:rsidP="00B5160D">
            <w:pPr>
              <w:bidi w:val="0"/>
              <w:spacing w:after="0" w:line="240" w:lineRule="auto"/>
              <w:jc w:val="center"/>
              <w:rPr>
                <w:rFonts w:eastAsia="Times New Roman"/>
                <w:b/>
                <w:bCs/>
                <w:sz w:val="20"/>
                <w:szCs w:val="20"/>
                <w:rtl/>
              </w:rPr>
            </w:pPr>
            <w:r>
              <w:rPr>
                <w:rFonts w:ascii="David" w:hAnsi="David"/>
                <w:b/>
                <w:bCs/>
                <w:sz w:val="20"/>
                <w:szCs w:val="20"/>
              </w:rPr>
              <w:t>434.1</w:t>
            </w:r>
          </w:p>
        </w:tc>
        <w:tc>
          <w:tcPr>
            <w:tcW w:w="1213" w:type="dxa"/>
            <w:tcBorders>
              <w:left w:val="single" w:sz="4" w:space="0" w:color="auto"/>
              <w:right w:val="single" w:sz="4" w:space="0" w:color="auto"/>
            </w:tcBorders>
            <w:shd w:val="clear" w:color="auto" w:fill="auto"/>
            <w:noWrap/>
            <w:vAlign w:val="bottom"/>
            <w:hideMark/>
          </w:tcPr>
          <w:p w:rsidR="00B5160D" w:rsidRPr="00A34826" w:rsidRDefault="00B5160D" w:rsidP="00B5160D">
            <w:pPr>
              <w:bidi w:val="0"/>
              <w:spacing w:after="0" w:line="240" w:lineRule="auto"/>
              <w:jc w:val="center"/>
              <w:rPr>
                <w:rFonts w:eastAsia="Times New Roman"/>
                <w:b/>
                <w:bCs/>
                <w:sz w:val="20"/>
                <w:szCs w:val="20"/>
                <w:rtl/>
              </w:rPr>
            </w:pPr>
            <w:r>
              <w:rPr>
                <w:rFonts w:ascii="David" w:hAnsi="David"/>
                <w:b/>
                <w:bCs/>
                <w:sz w:val="20"/>
                <w:szCs w:val="20"/>
              </w:rPr>
              <w:t>450.2</w:t>
            </w:r>
          </w:p>
        </w:tc>
      </w:tr>
      <w:tr w:rsidR="00DC4053" w:rsidRPr="00016AC3" w:rsidTr="00A34826">
        <w:trPr>
          <w:trHeight w:val="255"/>
          <w:jc w:val="center"/>
        </w:trPr>
        <w:tc>
          <w:tcPr>
            <w:tcW w:w="3679" w:type="dxa"/>
            <w:tcBorders>
              <w:left w:val="single" w:sz="4" w:space="0" w:color="auto"/>
              <w:right w:val="single" w:sz="4" w:space="0" w:color="auto"/>
            </w:tcBorders>
            <w:shd w:val="clear" w:color="auto" w:fill="auto"/>
            <w:noWrap/>
            <w:vAlign w:val="center"/>
            <w:hideMark/>
          </w:tcPr>
          <w:p w:rsidR="00DC4053" w:rsidRPr="00B5160D" w:rsidRDefault="00DC4053" w:rsidP="00D00A54">
            <w:pPr>
              <w:spacing w:after="0" w:line="240" w:lineRule="auto"/>
              <w:jc w:val="left"/>
              <w:rPr>
                <w:rFonts w:eastAsia="Times New Roman"/>
                <w:sz w:val="20"/>
                <w:szCs w:val="20"/>
                <w:rtl/>
              </w:rPr>
            </w:pPr>
            <w:r w:rsidRPr="00B5160D">
              <w:rPr>
                <w:rFonts w:eastAsia="Times New Roman"/>
                <w:sz w:val="20"/>
                <w:szCs w:val="20"/>
                <w:rtl/>
              </w:rPr>
              <w:t>---------------------------</w:t>
            </w:r>
          </w:p>
        </w:tc>
        <w:tc>
          <w:tcPr>
            <w:tcW w:w="1077" w:type="dxa"/>
            <w:tcBorders>
              <w:left w:val="single" w:sz="4" w:space="0" w:color="auto"/>
              <w:right w:val="single" w:sz="4" w:space="0" w:color="auto"/>
            </w:tcBorders>
            <w:shd w:val="clear" w:color="auto" w:fill="auto"/>
            <w:vAlign w:val="bottom"/>
          </w:tcPr>
          <w:p w:rsidR="00DC4053" w:rsidRPr="00B5160D" w:rsidRDefault="00DC4053" w:rsidP="00D00A54">
            <w:pPr>
              <w:bidi w:val="0"/>
              <w:spacing w:after="0" w:line="240" w:lineRule="auto"/>
              <w:jc w:val="center"/>
              <w:rPr>
                <w:sz w:val="20"/>
                <w:szCs w:val="20"/>
                <w:rtl/>
              </w:rPr>
            </w:pPr>
            <w:r w:rsidRPr="00B5160D">
              <w:rPr>
                <w:sz w:val="20"/>
                <w:szCs w:val="20"/>
                <w:rtl/>
              </w:rPr>
              <w:t>------------</w:t>
            </w:r>
          </w:p>
        </w:tc>
        <w:tc>
          <w:tcPr>
            <w:tcW w:w="1114" w:type="dxa"/>
            <w:tcBorders>
              <w:left w:val="single" w:sz="4" w:space="0" w:color="auto"/>
              <w:right w:val="single" w:sz="4" w:space="0" w:color="auto"/>
            </w:tcBorders>
            <w:shd w:val="clear" w:color="auto" w:fill="auto"/>
          </w:tcPr>
          <w:p w:rsidR="00DC4053" w:rsidRPr="00A34826" w:rsidDel="00F72B86" w:rsidRDefault="00DC4053" w:rsidP="00D00A54">
            <w:pPr>
              <w:bidi w:val="0"/>
              <w:spacing w:after="0" w:line="240" w:lineRule="auto"/>
              <w:jc w:val="center"/>
              <w:rPr>
                <w:rFonts w:ascii="Calibri" w:hAnsi="Calibri"/>
                <w:sz w:val="20"/>
                <w:szCs w:val="20"/>
                <w:rtl/>
              </w:rPr>
            </w:pPr>
            <w:r w:rsidRPr="00A34826">
              <w:rPr>
                <w:sz w:val="20"/>
                <w:szCs w:val="20"/>
                <w:rtl/>
              </w:rPr>
              <w:t>------------</w:t>
            </w:r>
          </w:p>
        </w:tc>
        <w:tc>
          <w:tcPr>
            <w:tcW w:w="1213" w:type="dxa"/>
            <w:tcBorders>
              <w:left w:val="single" w:sz="4" w:space="0" w:color="auto"/>
              <w:right w:val="single" w:sz="4" w:space="0" w:color="auto"/>
            </w:tcBorders>
            <w:shd w:val="clear" w:color="auto" w:fill="auto"/>
            <w:noWrap/>
            <w:hideMark/>
          </w:tcPr>
          <w:p w:rsidR="00DC4053" w:rsidRPr="00A34826" w:rsidRDefault="00DC4053" w:rsidP="00D00A54">
            <w:pPr>
              <w:bidi w:val="0"/>
              <w:spacing w:after="0" w:line="240" w:lineRule="auto"/>
              <w:jc w:val="center"/>
              <w:rPr>
                <w:rFonts w:eastAsia="Times New Roman"/>
                <w:sz w:val="20"/>
                <w:szCs w:val="20"/>
                <w:rtl/>
              </w:rPr>
            </w:pPr>
            <w:r w:rsidRPr="00A34826">
              <w:rPr>
                <w:sz w:val="20"/>
                <w:szCs w:val="20"/>
                <w:rtl/>
              </w:rPr>
              <w:t>------------</w:t>
            </w:r>
          </w:p>
        </w:tc>
        <w:tc>
          <w:tcPr>
            <w:tcW w:w="1213" w:type="dxa"/>
            <w:tcBorders>
              <w:left w:val="single" w:sz="4" w:space="0" w:color="auto"/>
              <w:right w:val="single" w:sz="4" w:space="0" w:color="auto"/>
            </w:tcBorders>
            <w:shd w:val="clear" w:color="auto" w:fill="auto"/>
            <w:noWrap/>
            <w:hideMark/>
          </w:tcPr>
          <w:p w:rsidR="00DC4053" w:rsidRPr="00A34826" w:rsidRDefault="00DC4053" w:rsidP="00D00A54">
            <w:pPr>
              <w:bidi w:val="0"/>
              <w:spacing w:after="0" w:line="240" w:lineRule="auto"/>
              <w:jc w:val="center"/>
              <w:rPr>
                <w:rFonts w:eastAsia="Times New Roman"/>
                <w:sz w:val="20"/>
                <w:szCs w:val="20"/>
                <w:rtl/>
              </w:rPr>
            </w:pPr>
            <w:r w:rsidRPr="00A34826">
              <w:rPr>
                <w:sz w:val="20"/>
                <w:szCs w:val="20"/>
                <w:rtl/>
              </w:rPr>
              <w:t>------------</w:t>
            </w:r>
          </w:p>
        </w:tc>
      </w:tr>
      <w:tr w:rsidR="00B5160D" w:rsidRPr="00016AC3" w:rsidTr="00A34826">
        <w:trPr>
          <w:trHeight w:val="255"/>
          <w:jc w:val="center"/>
        </w:trPr>
        <w:tc>
          <w:tcPr>
            <w:tcW w:w="3679" w:type="dxa"/>
            <w:tcBorders>
              <w:left w:val="single" w:sz="4" w:space="0" w:color="auto"/>
              <w:right w:val="single" w:sz="4" w:space="0" w:color="auto"/>
            </w:tcBorders>
            <w:shd w:val="clear" w:color="auto" w:fill="auto"/>
            <w:noWrap/>
            <w:vAlign w:val="center"/>
            <w:hideMark/>
          </w:tcPr>
          <w:p w:rsidR="00B5160D" w:rsidRPr="00B5160D" w:rsidRDefault="00B5160D" w:rsidP="00B5160D">
            <w:pPr>
              <w:spacing w:after="0" w:line="240" w:lineRule="auto"/>
              <w:jc w:val="left"/>
              <w:rPr>
                <w:rFonts w:eastAsia="Times New Roman"/>
                <w:sz w:val="20"/>
                <w:szCs w:val="20"/>
              </w:rPr>
            </w:pPr>
            <w:r w:rsidRPr="00B5160D">
              <w:rPr>
                <w:rFonts w:eastAsia="Times New Roman" w:hint="eastAsia"/>
                <w:sz w:val="20"/>
                <w:szCs w:val="20"/>
                <w:rtl/>
              </w:rPr>
              <w:t>הביטחון</w:t>
            </w:r>
            <w:r w:rsidRPr="00B5160D">
              <w:rPr>
                <w:rFonts w:eastAsia="Times New Roman"/>
                <w:sz w:val="20"/>
                <w:szCs w:val="20"/>
                <w:rtl/>
              </w:rPr>
              <w:t xml:space="preserve"> </w:t>
            </w:r>
            <w:r w:rsidRPr="00B5160D">
              <w:rPr>
                <w:rFonts w:eastAsia="Times New Roman" w:hint="eastAsia"/>
                <w:sz w:val="20"/>
                <w:szCs w:val="20"/>
                <w:rtl/>
              </w:rPr>
              <w:t>והסדר</w:t>
            </w:r>
            <w:r w:rsidRPr="00B5160D">
              <w:rPr>
                <w:rFonts w:eastAsia="Times New Roman"/>
                <w:sz w:val="20"/>
                <w:szCs w:val="20"/>
                <w:rtl/>
              </w:rPr>
              <w:t xml:space="preserve"> </w:t>
            </w:r>
            <w:r w:rsidRPr="00B5160D">
              <w:rPr>
                <w:rFonts w:eastAsia="Times New Roman" w:hint="eastAsia"/>
                <w:sz w:val="20"/>
                <w:szCs w:val="20"/>
                <w:rtl/>
              </w:rPr>
              <w:t>הציבורי</w:t>
            </w:r>
          </w:p>
        </w:tc>
        <w:tc>
          <w:tcPr>
            <w:tcW w:w="1077" w:type="dxa"/>
            <w:tcBorders>
              <w:left w:val="single" w:sz="4" w:space="0" w:color="auto"/>
              <w:right w:val="single" w:sz="4" w:space="0" w:color="auto"/>
            </w:tcBorders>
            <w:shd w:val="clear" w:color="auto" w:fill="auto"/>
            <w:vAlign w:val="bottom"/>
          </w:tcPr>
          <w:p w:rsidR="00B5160D" w:rsidRPr="00B5160D" w:rsidRDefault="00B5160D" w:rsidP="00B5160D">
            <w:pPr>
              <w:bidi w:val="0"/>
              <w:spacing w:after="0" w:line="240" w:lineRule="auto"/>
              <w:jc w:val="center"/>
              <w:rPr>
                <w:rFonts w:ascii="David" w:hAnsi="David"/>
                <w:sz w:val="20"/>
                <w:szCs w:val="20"/>
              </w:rPr>
            </w:pPr>
            <w:r w:rsidRPr="00B5160D">
              <w:rPr>
                <w:rFonts w:ascii="David" w:hAnsi="David"/>
                <w:sz w:val="20"/>
                <w:szCs w:val="20"/>
              </w:rPr>
              <w:t>87.3</w:t>
            </w:r>
          </w:p>
        </w:tc>
        <w:tc>
          <w:tcPr>
            <w:tcW w:w="1114" w:type="dxa"/>
            <w:tcBorders>
              <w:left w:val="single" w:sz="4" w:space="0" w:color="auto"/>
              <w:right w:val="single" w:sz="4" w:space="0" w:color="auto"/>
            </w:tcBorders>
            <w:shd w:val="clear" w:color="auto" w:fill="auto"/>
            <w:vAlign w:val="bottom"/>
          </w:tcPr>
          <w:p w:rsidR="00B5160D" w:rsidRPr="00A34826" w:rsidDel="00F72B86" w:rsidRDefault="00B5160D" w:rsidP="00B5160D">
            <w:pPr>
              <w:bidi w:val="0"/>
              <w:spacing w:after="0" w:line="240" w:lineRule="auto"/>
              <w:jc w:val="center"/>
              <w:rPr>
                <w:rFonts w:ascii="Calibri" w:hAnsi="Calibri"/>
                <w:sz w:val="20"/>
                <w:szCs w:val="20"/>
                <w:rtl/>
              </w:rPr>
            </w:pPr>
            <w:r>
              <w:rPr>
                <w:rFonts w:ascii="David" w:hAnsi="David"/>
                <w:sz w:val="20"/>
                <w:szCs w:val="20"/>
              </w:rPr>
              <w:t>90.4</w:t>
            </w:r>
          </w:p>
        </w:tc>
        <w:tc>
          <w:tcPr>
            <w:tcW w:w="1213" w:type="dxa"/>
            <w:tcBorders>
              <w:left w:val="single" w:sz="4" w:space="0" w:color="auto"/>
              <w:right w:val="single" w:sz="4" w:space="0" w:color="auto"/>
            </w:tcBorders>
            <w:shd w:val="clear" w:color="auto" w:fill="auto"/>
            <w:noWrap/>
            <w:vAlign w:val="bottom"/>
            <w:hideMark/>
          </w:tcPr>
          <w:p w:rsidR="00B5160D" w:rsidRPr="00A34826" w:rsidRDefault="00B5160D" w:rsidP="00B5160D">
            <w:pPr>
              <w:bidi w:val="0"/>
              <w:spacing w:after="0" w:line="240" w:lineRule="auto"/>
              <w:jc w:val="center"/>
              <w:rPr>
                <w:rFonts w:eastAsia="Times New Roman"/>
                <w:sz w:val="20"/>
                <w:szCs w:val="20"/>
                <w:rtl/>
              </w:rPr>
            </w:pPr>
            <w:r>
              <w:rPr>
                <w:rFonts w:ascii="David" w:hAnsi="David"/>
                <w:sz w:val="20"/>
                <w:szCs w:val="20"/>
              </w:rPr>
              <w:t>92.4</w:t>
            </w:r>
          </w:p>
        </w:tc>
        <w:tc>
          <w:tcPr>
            <w:tcW w:w="1213" w:type="dxa"/>
            <w:tcBorders>
              <w:left w:val="single" w:sz="4" w:space="0" w:color="auto"/>
              <w:right w:val="single" w:sz="4" w:space="0" w:color="auto"/>
            </w:tcBorders>
            <w:shd w:val="clear" w:color="auto" w:fill="auto"/>
            <w:noWrap/>
            <w:vAlign w:val="bottom"/>
            <w:hideMark/>
          </w:tcPr>
          <w:p w:rsidR="00B5160D" w:rsidRPr="00A34826" w:rsidRDefault="00B5160D" w:rsidP="00B5160D">
            <w:pPr>
              <w:bidi w:val="0"/>
              <w:spacing w:after="0" w:line="240" w:lineRule="auto"/>
              <w:jc w:val="center"/>
              <w:rPr>
                <w:rFonts w:eastAsia="Times New Roman"/>
                <w:sz w:val="20"/>
                <w:szCs w:val="20"/>
                <w:rtl/>
              </w:rPr>
            </w:pPr>
            <w:r>
              <w:rPr>
                <w:rFonts w:ascii="David" w:hAnsi="David"/>
                <w:sz w:val="20"/>
                <w:szCs w:val="20"/>
              </w:rPr>
              <w:t>94.0</w:t>
            </w:r>
          </w:p>
        </w:tc>
      </w:tr>
      <w:tr w:rsidR="00B5160D" w:rsidRPr="00016AC3" w:rsidTr="00A34826">
        <w:trPr>
          <w:trHeight w:val="255"/>
          <w:jc w:val="center"/>
        </w:trPr>
        <w:tc>
          <w:tcPr>
            <w:tcW w:w="3679" w:type="dxa"/>
            <w:tcBorders>
              <w:left w:val="single" w:sz="4" w:space="0" w:color="auto"/>
              <w:right w:val="single" w:sz="4" w:space="0" w:color="auto"/>
            </w:tcBorders>
            <w:shd w:val="clear" w:color="auto" w:fill="auto"/>
            <w:noWrap/>
            <w:vAlign w:val="center"/>
            <w:hideMark/>
          </w:tcPr>
          <w:p w:rsidR="00B5160D" w:rsidRPr="00B5160D" w:rsidRDefault="00B5160D" w:rsidP="00B5160D">
            <w:pPr>
              <w:spacing w:after="0" w:line="240" w:lineRule="auto"/>
              <w:jc w:val="left"/>
              <w:rPr>
                <w:rFonts w:eastAsia="Times New Roman"/>
                <w:sz w:val="20"/>
                <w:szCs w:val="20"/>
              </w:rPr>
            </w:pPr>
            <w:r w:rsidRPr="00B5160D">
              <w:rPr>
                <w:rFonts w:eastAsia="Times New Roman" w:hint="eastAsia"/>
                <w:sz w:val="20"/>
                <w:szCs w:val="20"/>
                <w:rtl/>
              </w:rPr>
              <w:t>השירותים</w:t>
            </w:r>
            <w:r w:rsidRPr="00B5160D">
              <w:rPr>
                <w:rFonts w:eastAsia="Times New Roman"/>
                <w:sz w:val="20"/>
                <w:szCs w:val="20"/>
                <w:rtl/>
              </w:rPr>
              <w:t xml:space="preserve"> </w:t>
            </w:r>
            <w:r w:rsidRPr="00B5160D">
              <w:rPr>
                <w:rFonts w:eastAsia="Times New Roman" w:hint="eastAsia"/>
                <w:sz w:val="20"/>
                <w:szCs w:val="20"/>
                <w:rtl/>
              </w:rPr>
              <w:t>החברתיים</w:t>
            </w:r>
            <w:r w:rsidRPr="00B5160D">
              <w:rPr>
                <w:rFonts w:eastAsia="Times New Roman"/>
                <w:sz w:val="20"/>
                <w:szCs w:val="20"/>
                <w:rtl/>
              </w:rPr>
              <w:t>*</w:t>
            </w:r>
          </w:p>
        </w:tc>
        <w:tc>
          <w:tcPr>
            <w:tcW w:w="1077" w:type="dxa"/>
            <w:tcBorders>
              <w:left w:val="single" w:sz="4" w:space="0" w:color="auto"/>
              <w:right w:val="single" w:sz="4" w:space="0" w:color="auto"/>
            </w:tcBorders>
            <w:shd w:val="clear" w:color="auto" w:fill="auto"/>
            <w:vAlign w:val="bottom"/>
          </w:tcPr>
          <w:p w:rsidR="00B5160D" w:rsidRPr="00B5160D" w:rsidRDefault="00B5160D" w:rsidP="00B5160D">
            <w:pPr>
              <w:bidi w:val="0"/>
              <w:spacing w:after="0" w:line="240" w:lineRule="auto"/>
              <w:jc w:val="center"/>
              <w:rPr>
                <w:rFonts w:ascii="David" w:hAnsi="David"/>
                <w:sz w:val="20"/>
                <w:szCs w:val="20"/>
              </w:rPr>
            </w:pPr>
            <w:r w:rsidRPr="00B5160D">
              <w:rPr>
                <w:rFonts w:ascii="David" w:hAnsi="David"/>
                <w:sz w:val="20"/>
                <w:szCs w:val="20"/>
              </w:rPr>
              <w:t>177.8</w:t>
            </w:r>
          </w:p>
        </w:tc>
        <w:tc>
          <w:tcPr>
            <w:tcW w:w="1114" w:type="dxa"/>
            <w:tcBorders>
              <w:left w:val="single" w:sz="4" w:space="0" w:color="auto"/>
              <w:right w:val="single" w:sz="4" w:space="0" w:color="auto"/>
            </w:tcBorders>
            <w:shd w:val="clear" w:color="auto" w:fill="auto"/>
            <w:vAlign w:val="bottom"/>
          </w:tcPr>
          <w:p w:rsidR="00B5160D" w:rsidRPr="00A34826" w:rsidDel="00F72B86" w:rsidRDefault="00B5160D" w:rsidP="00B5160D">
            <w:pPr>
              <w:bidi w:val="0"/>
              <w:spacing w:after="0" w:line="240" w:lineRule="auto"/>
              <w:jc w:val="center"/>
              <w:rPr>
                <w:rFonts w:ascii="Calibri" w:hAnsi="Calibri"/>
                <w:sz w:val="20"/>
                <w:szCs w:val="20"/>
                <w:rtl/>
              </w:rPr>
            </w:pPr>
            <w:r>
              <w:rPr>
                <w:rFonts w:ascii="David" w:hAnsi="David"/>
                <w:sz w:val="20"/>
                <w:szCs w:val="20"/>
              </w:rPr>
              <w:t>189.2</w:t>
            </w:r>
          </w:p>
        </w:tc>
        <w:tc>
          <w:tcPr>
            <w:tcW w:w="1213" w:type="dxa"/>
            <w:tcBorders>
              <w:left w:val="single" w:sz="4" w:space="0" w:color="auto"/>
              <w:right w:val="single" w:sz="4" w:space="0" w:color="auto"/>
            </w:tcBorders>
            <w:shd w:val="clear" w:color="auto" w:fill="auto"/>
            <w:noWrap/>
            <w:vAlign w:val="bottom"/>
            <w:hideMark/>
          </w:tcPr>
          <w:p w:rsidR="00B5160D" w:rsidRPr="00A34826" w:rsidRDefault="00B5160D" w:rsidP="00B5160D">
            <w:pPr>
              <w:bidi w:val="0"/>
              <w:spacing w:after="0" w:line="240" w:lineRule="auto"/>
              <w:jc w:val="center"/>
              <w:rPr>
                <w:rFonts w:eastAsia="Times New Roman"/>
                <w:sz w:val="20"/>
                <w:szCs w:val="20"/>
                <w:rtl/>
              </w:rPr>
            </w:pPr>
            <w:r>
              <w:rPr>
                <w:rFonts w:ascii="David" w:hAnsi="David"/>
                <w:sz w:val="20"/>
                <w:szCs w:val="20"/>
              </w:rPr>
              <w:t>199.0</w:t>
            </w:r>
          </w:p>
        </w:tc>
        <w:tc>
          <w:tcPr>
            <w:tcW w:w="1213" w:type="dxa"/>
            <w:tcBorders>
              <w:left w:val="single" w:sz="4" w:space="0" w:color="auto"/>
              <w:right w:val="single" w:sz="4" w:space="0" w:color="auto"/>
            </w:tcBorders>
            <w:shd w:val="clear" w:color="auto" w:fill="auto"/>
            <w:noWrap/>
            <w:vAlign w:val="bottom"/>
            <w:hideMark/>
          </w:tcPr>
          <w:p w:rsidR="00B5160D" w:rsidRPr="00A34826" w:rsidRDefault="00B5160D" w:rsidP="00B5160D">
            <w:pPr>
              <w:bidi w:val="0"/>
              <w:spacing w:after="0" w:line="240" w:lineRule="auto"/>
              <w:jc w:val="center"/>
              <w:rPr>
                <w:rFonts w:eastAsia="Times New Roman"/>
                <w:sz w:val="20"/>
                <w:szCs w:val="20"/>
                <w:rtl/>
              </w:rPr>
            </w:pPr>
            <w:r>
              <w:rPr>
                <w:rFonts w:ascii="David" w:hAnsi="David"/>
                <w:sz w:val="20"/>
                <w:szCs w:val="20"/>
              </w:rPr>
              <w:t>211.5</w:t>
            </w:r>
          </w:p>
        </w:tc>
      </w:tr>
      <w:tr w:rsidR="00B5160D" w:rsidRPr="00016AC3" w:rsidTr="00A34826">
        <w:trPr>
          <w:trHeight w:val="255"/>
          <w:jc w:val="center"/>
        </w:trPr>
        <w:tc>
          <w:tcPr>
            <w:tcW w:w="3679" w:type="dxa"/>
            <w:tcBorders>
              <w:left w:val="single" w:sz="4" w:space="0" w:color="auto"/>
              <w:right w:val="single" w:sz="4" w:space="0" w:color="auto"/>
            </w:tcBorders>
            <w:shd w:val="clear" w:color="auto" w:fill="auto"/>
            <w:noWrap/>
            <w:vAlign w:val="center"/>
            <w:hideMark/>
          </w:tcPr>
          <w:p w:rsidR="00B5160D" w:rsidRPr="00B5160D" w:rsidRDefault="00B5160D" w:rsidP="00B5160D">
            <w:pPr>
              <w:spacing w:after="0" w:line="240" w:lineRule="auto"/>
              <w:jc w:val="left"/>
              <w:rPr>
                <w:rFonts w:eastAsia="Times New Roman"/>
                <w:sz w:val="20"/>
                <w:szCs w:val="20"/>
              </w:rPr>
            </w:pPr>
            <w:r w:rsidRPr="00B5160D">
              <w:rPr>
                <w:rFonts w:eastAsia="Times New Roman" w:hint="eastAsia"/>
                <w:sz w:val="20"/>
                <w:szCs w:val="20"/>
                <w:rtl/>
              </w:rPr>
              <w:t>תשתיות</w:t>
            </w:r>
          </w:p>
        </w:tc>
        <w:tc>
          <w:tcPr>
            <w:tcW w:w="1077" w:type="dxa"/>
            <w:tcBorders>
              <w:left w:val="single" w:sz="4" w:space="0" w:color="auto"/>
              <w:right w:val="single" w:sz="4" w:space="0" w:color="auto"/>
            </w:tcBorders>
            <w:shd w:val="clear" w:color="auto" w:fill="auto"/>
            <w:vAlign w:val="bottom"/>
          </w:tcPr>
          <w:p w:rsidR="00B5160D" w:rsidRPr="00B5160D" w:rsidRDefault="00B5160D" w:rsidP="00B5160D">
            <w:pPr>
              <w:bidi w:val="0"/>
              <w:spacing w:after="0" w:line="240" w:lineRule="auto"/>
              <w:jc w:val="center"/>
              <w:rPr>
                <w:rFonts w:ascii="David" w:hAnsi="David"/>
                <w:sz w:val="20"/>
                <w:szCs w:val="20"/>
              </w:rPr>
            </w:pPr>
            <w:r w:rsidRPr="00B5160D">
              <w:rPr>
                <w:rFonts w:ascii="David" w:hAnsi="David"/>
                <w:sz w:val="20"/>
                <w:szCs w:val="20"/>
              </w:rPr>
              <w:t>27.4</w:t>
            </w:r>
          </w:p>
        </w:tc>
        <w:tc>
          <w:tcPr>
            <w:tcW w:w="1114" w:type="dxa"/>
            <w:tcBorders>
              <w:left w:val="single" w:sz="4" w:space="0" w:color="auto"/>
              <w:right w:val="single" w:sz="4" w:space="0" w:color="auto"/>
            </w:tcBorders>
            <w:shd w:val="clear" w:color="auto" w:fill="auto"/>
            <w:vAlign w:val="bottom"/>
          </w:tcPr>
          <w:p w:rsidR="00B5160D" w:rsidRPr="00A34826" w:rsidDel="00F72B86" w:rsidRDefault="00B5160D" w:rsidP="00B5160D">
            <w:pPr>
              <w:bidi w:val="0"/>
              <w:spacing w:after="0" w:line="240" w:lineRule="auto"/>
              <w:jc w:val="center"/>
              <w:rPr>
                <w:rFonts w:ascii="Calibri" w:hAnsi="Calibri"/>
                <w:sz w:val="20"/>
                <w:szCs w:val="20"/>
                <w:rtl/>
              </w:rPr>
            </w:pPr>
            <w:r>
              <w:rPr>
                <w:rFonts w:ascii="David" w:hAnsi="David"/>
                <w:sz w:val="20"/>
                <w:szCs w:val="20"/>
              </w:rPr>
              <w:t>31.2</w:t>
            </w:r>
          </w:p>
        </w:tc>
        <w:tc>
          <w:tcPr>
            <w:tcW w:w="1213" w:type="dxa"/>
            <w:tcBorders>
              <w:left w:val="single" w:sz="4" w:space="0" w:color="auto"/>
              <w:right w:val="single" w:sz="4" w:space="0" w:color="auto"/>
            </w:tcBorders>
            <w:shd w:val="clear" w:color="auto" w:fill="auto"/>
            <w:noWrap/>
            <w:vAlign w:val="bottom"/>
            <w:hideMark/>
          </w:tcPr>
          <w:p w:rsidR="00B5160D" w:rsidRPr="00A34826" w:rsidRDefault="00B5160D" w:rsidP="00B5160D">
            <w:pPr>
              <w:bidi w:val="0"/>
              <w:spacing w:after="0" w:line="240" w:lineRule="auto"/>
              <w:jc w:val="center"/>
              <w:rPr>
                <w:rFonts w:eastAsia="Times New Roman"/>
                <w:sz w:val="20"/>
                <w:szCs w:val="20"/>
                <w:rtl/>
              </w:rPr>
            </w:pPr>
            <w:r>
              <w:rPr>
                <w:rFonts w:ascii="David" w:hAnsi="David"/>
                <w:sz w:val="20"/>
                <w:szCs w:val="20"/>
              </w:rPr>
              <w:t>31.9</w:t>
            </w:r>
          </w:p>
        </w:tc>
        <w:tc>
          <w:tcPr>
            <w:tcW w:w="1213" w:type="dxa"/>
            <w:tcBorders>
              <w:left w:val="single" w:sz="4" w:space="0" w:color="auto"/>
              <w:right w:val="single" w:sz="4" w:space="0" w:color="auto"/>
            </w:tcBorders>
            <w:shd w:val="clear" w:color="auto" w:fill="auto"/>
            <w:noWrap/>
            <w:vAlign w:val="bottom"/>
            <w:hideMark/>
          </w:tcPr>
          <w:p w:rsidR="00B5160D" w:rsidRPr="00A34826" w:rsidRDefault="00B5160D" w:rsidP="00B5160D">
            <w:pPr>
              <w:bidi w:val="0"/>
              <w:spacing w:after="0" w:line="240" w:lineRule="auto"/>
              <w:jc w:val="center"/>
              <w:rPr>
                <w:rFonts w:eastAsia="Times New Roman"/>
                <w:sz w:val="20"/>
                <w:szCs w:val="20"/>
                <w:rtl/>
              </w:rPr>
            </w:pPr>
            <w:r>
              <w:rPr>
                <w:rFonts w:ascii="David" w:hAnsi="David"/>
                <w:sz w:val="20"/>
                <w:szCs w:val="20"/>
              </w:rPr>
              <w:t>30.9</w:t>
            </w:r>
          </w:p>
        </w:tc>
      </w:tr>
      <w:tr w:rsidR="00B5160D" w:rsidRPr="00016AC3" w:rsidTr="00A34826">
        <w:trPr>
          <w:trHeight w:val="255"/>
          <w:jc w:val="center"/>
        </w:trPr>
        <w:tc>
          <w:tcPr>
            <w:tcW w:w="3679" w:type="dxa"/>
            <w:tcBorders>
              <w:left w:val="single" w:sz="4" w:space="0" w:color="auto"/>
              <w:right w:val="single" w:sz="4" w:space="0" w:color="auto"/>
            </w:tcBorders>
            <w:shd w:val="clear" w:color="auto" w:fill="auto"/>
            <w:noWrap/>
            <w:vAlign w:val="center"/>
            <w:hideMark/>
          </w:tcPr>
          <w:p w:rsidR="00B5160D" w:rsidRPr="00B5160D" w:rsidRDefault="00B5160D" w:rsidP="00B5160D">
            <w:pPr>
              <w:spacing w:after="0" w:line="240" w:lineRule="auto"/>
              <w:jc w:val="left"/>
              <w:rPr>
                <w:rFonts w:eastAsia="Times New Roman"/>
                <w:sz w:val="20"/>
                <w:szCs w:val="20"/>
              </w:rPr>
            </w:pPr>
            <w:r w:rsidRPr="00B5160D">
              <w:rPr>
                <w:rFonts w:eastAsia="Times New Roman" w:hint="eastAsia"/>
                <w:sz w:val="20"/>
                <w:szCs w:val="20"/>
                <w:rtl/>
              </w:rPr>
              <w:t>משרדי</w:t>
            </w:r>
            <w:r w:rsidRPr="00B5160D">
              <w:rPr>
                <w:rFonts w:eastAsia="Times New Roman"/>
                <w:sz w:val="20"/>
                <w:szCs w:val="20"/>
                <w:rtl/>
              </w:rPr>
              <w:t xml:space="preserve"> </w:t>
            </w:r>
            <w:r w:rsidRPr="00B5160D">
              <w:rPr>
                <w:rFonts w:eastAsia="Times New Roman" w:hint="eastAsia"/>
                <w:sz w:val="20"/>
                <w:szCs w:val="20"/>
                <w:rtl/>
              </w:rPr>
              <w:t>המטה</w:t>
            </w:r>
          </w:p>
        </w:tc>
        <w:tc>
          <w:tcPr>
            <w:tcW w:w="1077" w:type="dxa"/>
            <w:tcBorders>
              <w:left w:val="single" w:sz="4" w:space="0" w:color="auto"/>
              <w:right w:val="single" w:sz="4" w:space="0" w:color="auto"/>
            </w:tcBorders>
            <w:shd w:val="clear" w:color="auto" w:fill="auto"/>
            <w:vAlign w:val="bottom"/>
          </w:tcPr>
          <w:p w:rsidR="00B5160D" w:rsidRPr="00B5160D" w:rsidRDefault="00B5160D" w:rsidP="00B5160D">
            <w:pPr>
              <w:bidi w:val="0"/>
              <w:spacing w:after="0" w:line="240" w:lineRule="auto"/>
              <w:jc w:val="center"/>
              <w:rPr>
                <w:rFonts w:ascii="David" w:hAnsi="David"/>
                <w:sz w:val="20"/>
                <w:szCs w:val="20"/>
              </w:rPr>
            </w:pPr>
            <w:r w:rsidRPr="00B5160D">
              <w:rPr>
                <w:rFonts w:ascii="David" w:hAnsi="David"/>
                <w:sz w:val="20"/>
                <w:szCs w:val="20"/>
              </w:rPr>
              <w:t>20.6</w:t>
            </w:r>
          </w:p>
        </w:tc>
        <w:tc>
          <w:tcPr>
            <w:tcW w:w="1114" w:type="dxa"/>
            <w:tcBorders>
              <w:left w:val="single" w:sz="4" w:space="0" w:color="auto"/>
              <w:right w:val="single" w:sz="4" w:space="0" w:color="auto"/>
            </w:tcBorders>
            <w:shd w:val="clear" w:color="auto" w:fill="auto"/>
            <w:vAlign w:val="bottom"/>
          </w:tcPr>
          <w:p w:rsidR="00B5160D" w:rsidRPr="00A34826" w:rsidDel="00F72B86" w:rsidRDefault="00B5160D" w:rsidP="00B5160D">
            <w:pPr>
              <w:bidi w:val="0"/>
              <w:spacing w:after="0" w:line="240" w:lineRule="auto"/>
              <w:jc w:val="center"/>
              <w:rPr>
                <w:rFonts w:ascii="Calibri" w:hAnsi="Calibri"/>
                <w:sz w:val="20"/>
                <w:szCs w:val="20"/>
                <w:rtl/>
              </w:rPr>
            </w:pPr>
            <w:r>
              <w:rPr>
                <w:rFonts w:ascii="David" w:hAnsi="David"/>
                <w:sz w:val="20"/>
                <w:szCs w:val="20"/>
              </w:rPr>
              <w:t>20.8</w:t>
            </w:r>
          </w:p>
        </w:tc>
        <w:tc>
          <w:tcPr>
            <w:tcW w:w="1213" w:type="dxa"/>
            <w:tcBorders>
              <w:left w:val="single" w:sz="4" w:space="0" w:color="auto"/>
              <w:right w:val="single" w:sz="4" w:space="0" w:color="auto"/>
            </w:tcBorders>
            <w:shd w:val="clear" w:color="auto" w:fill="auto"/>
            <w:noWrap/>
            <w:vAlign w:val="bottom"/>
            <w:hideMark/>
          </w:tcPr>
          <w:p w:rsidR="00B5160D" w:rsidRPr="00A34826" w:rsidRDefault="00B5160D" w:rsidP="00B5160D">
            <w:pPr>
              <w:bidi w:val="0"/>
              <w:spacing w:after="0" w:line="240" w:lineRule="auto"/>
              <w:jc w:val="center"/>
              <w:rPr>
                <w:rFonts w:eastAsia="Times New Roman"/>
                <w:sz w:val="20"/>
                <w:szCs w:val="20"/>
                <w:rtl/>
              </w:rPr>
            </w:pPr>
            <w:r>
              <w:rPr>
                <w:rFonts w:ascii="David" w:hAnsi="David"/>
                <w:sz w:val="20"/>
                <w:szCs w:val="20"/>
              </w:rPr>
              <w:t>20.4</w:t>
            </w:r>
          </w:p>
        </w:tc>
        <w:tc>
          <w:tcPr>
            <w:tcW w:w="1213" w:type="dxa"/>
            <w:tcBorders>
              <w:left w:val="single" w:sz="4" w:space="0" w:color="auto"/>
              <w:right w:val="single" w:sz="4" w:space="0" w:color="auto"/>
            </w:tcBorders>
            <w:shd w:val="clear" w:color="auto" w:fill="auto"/>
            <w:noWrap/>
            <w:vAlign w:val="bottom"/>
            <w:hideMark/>
          </w:tcPr>
          <w:p w:rsidR="00B5160D" w:rsidRPr="00A34826" w:rsidRDefault="00B5160D" w:rsidP="00B5160D">
            <w:pPr>
              <w:bidi w:val="0"/>
              <w:spacing w:after="0" w:line="240" w:lineRule="auto"/>
              <w:jc w:val="center"/>
              <w:rPr>
                <w:rFonts w:eastAsia="Times New Roman"/>
                <w:sz w:val="20"/>
                <w:szCs w:val="20"/>
                <w:rtl/>
              </w:rPr>
            </w:pPr>
            <w:r>
              <w:rPr>
                <w:rFonts w:ascii="David" w:hAnsi="David"/>
                <w:sz w:val="20"/>
                <w:szCs w:val="20"/>
              </w:rPr>
              <w:t>20.2</w:t>
            </w:r>
          </w:p>
        </w:tc>
      </w:tr>
      <w:tr w:rsidR="00B5160D" w:rsidRPr="00016AC3" w:rsidTr="00A34826">
        <w:trPr>
          <w:trHeight w:val="255"/>
          <w:jc w:val="center"/>
        </w:trPr>
        <w:tc>
          <w:tcPr>
            <w:tcW w:w="3679" w:type="dxa"/>
            <w:tcBorders>
              <w:left w:val="single" w:sz="4" w:space="0" w:color="auto"/>
              <w:right w:val="single" w:sz="4" w:space="0" w:color="auto"/>
            </w:tcBorders>
            <w:shd w:val="clear" w:color="auto" w:fill="auto"/>
            <w:noWrap/>
            <w:vAlign w:val="center"/>
            <w:hideMark/>
          </w:tcPr>
          <w:p w:rsidR="00B5160D" w:rsidRPr="00B5160D" w:rsidRDefault="00B5160D" w:rsidP="005971AC">
            <w:pPr>
              <w:spacing w:after="0" w:line="240" w:lineRule="auto"/>
              <w:jc w:val="left"/>
              <w:rPr>
                <w:rFonts w:eastAsia="Times New Roman"/>
                <w:sz w:val="20"/>
                <w:szCs w:val="20"/>
                <w:rtl/>
              </w:rPr>
            </w:pPr>
            <w:r w:rsidRPr="00B5160D">
              <w:rPr>
                <w:rFonts w:eastAsia="Times New Roman" w:hint="eastAsia"/>
                <w:sz w:val="20"/>
                <w:szCs w:val="20"/>
                <w:rtl/>
              </w:rPr>
              <w:t>ענפי</w:t>
            </w:r>
            <w:r w:rsidRPr="00B5160D">
              <w:rPr>
                <w:rFonts w:eastAsia="Times New Roman"/>
                <w:sz w:val="20"/>
                <w:szCs w:val="20"/>
                <w:rtl/>
              </w:rPr>
              <w:t xml:space="preserve"> </w:t>
            </w:r>
            <w:r w:rsidRPr="00B5160D">
              <w:rPr>
                <w:rFonts w:eastAsia="Times New Roman" w:hint="eastAsia"/>
                <w:sz w:val="20"/>
                <w:szCs w:val="20"/>
                <w:rtl/>
              </w:rPr>
              <w:t>המשק</w:t>
            </w:r>
            <w:r>
              <w:rPr>
                <w:rFonts w:eastAsia="Times New Roman" w:hint="cs"/>
                <w:sz w:val="20"/>
                <w:szCs w:val="20"/>
                <w:rtl/>
              </w:rPr>
              <w:t xml:space="preserve"> והוצאות אחרות</w:t>
            </w:r>
          </w:p>
        </w:tc>
        <w:tc>
          <w:tcPr>
            <w:tcW w:w="1077" w:type="dxa"/>
            <w:tcBorders>
              <w:left w:val="single" w:sz="4" w:space="0" w:color="auto"/>
              <w:right w:val="single" w:sz="4" w:space="0" w:color="auto"/>
            </w:tcBorders>
            <w:shd w:val="clear" w:color="auto" w:fill="auto"/>
            <w:vAlign w:val="bottom"/>
          </w:tcPr>
          <w:p w:rsidR="00B5160D" w:rsidRPr="00B5160D" w:rsidRDefault="00B5160D" w:rsidP="00B5160D">
            <w:pPr>
              <w:bidi w:val="0"/>
              <w:spacing w:after="0" w:line="240" w:lineRule="auto"/>
              <w:jc w:val="center"/>
              <w:rPr>
                <w:rFonts w:ascii="David" w:hAnsi="David"/>
                <w:sz w:val="20"/>
                <w:szCs w:val="20"/>
              </w:rPr>
            </w:pPr>
            <w:r>
              <w:rPr>
                <w:rFonts w:ascii="David" w:hAnsi="David"/>
                <w:sz w:val="20"/>
                <w:szCs w:val="20"/>
              </w:rPr>
              <w:t>32.2</w:t>
            </w:r>
          </w:p>
        </w:tc>
        <w:tc>
          <w:tcPr>
            <w:tcW w:w="1114" w:type="dxa"/>
            <w:tcBorders>
              <w:left w:val="single" w:sz="4" w:space="0" w:color="auto"/>
              <w:right w:val="single" w:sz="4" w:space="0" w:color="auto"/>
            </w:tcBorders>
            <w:shd w:val="clear" w:color="auto" w:fill="auto"/>
            <w:vAlign w:val="bottom"/>
          </w:tcPr>
          <w:p w:rsidR="00B5160D" w:rsidRPr="00A34826" w:rsidDel="00F72B86" w:rsidRDefault="00B5160D" w:rsidP="00B5160D">
            <w:pPr>
              <w:bidi w:val="0"/>
              <w:spacing w:after="0" w:line="240" w:lineRule="auto"/>
              <w:jc w:val="center"/>
              <w:rPr>
                <w:rFonts w:ascii="Calibri" w:hAnsi="Calibri"/>
                <w:sz w:val="20"/>
                <w:szCs w:val="20"/>
                <w:rtl/>
              </w:rPr>
            </w:pPr>
            <w:r>
              <w:rPr>
                <w:rFonts w:ascii="David" w:hAnsi="David"/>
                <w:sz w:val="20"/>
                <w:szCs w:val="20"/>
              </w:rPr>
              <w:t>31.6</w:t>
            </w:r>
          </w:p>
        </w:tc>
        <w:tc>
          <w:tcPr>
            <w:tcW w:w="1213" w:type="dxa"/>
            <w:tcBorders>
              <w:left w:val="single" w:sz="4" w:space="0" w:color="auto"/>
              <w:right w:val="single" w:sz="4" w:space="0" w:color="auto"/>
            </w:tcBorders>
            <w:shd w:val="clear" w:color="auto" w:fill="auto"/>
            <w:noWrap/>
            <w:vAlign w:val="bottom"/>
            <w:hideMark/>
          </w:tcPr>
          <w:p w:rsidR="00B5160D" w:rsidRPr="00A34826" w:rsidRDefault="00B5160D" w:rsidP="00B5160D">
            <w:pPr>
              <w:bidi w:val="0"/>
              <w:spacing w:after="0" w:line="240" w:lineRule="auto"/>
              <w:jc w:val="center"/>
              <w:rPr>
                <w:rFonts w:eastAsia="Times New Roman"/>
                <w:sz w:val="20"/>
                <w:szCs w:val="20"/>
                <w:rtl/>
              </w:rPr>
            </w:pPr>
            <w:r>
              <w:rPr>
                <w:rFonts w:ascii="David" w:hAnsi="David"/>
                <w:sz w:val="20"/>
                <w:szCs w:val="20"/>
              </w:rPr>
              <w:t>33.5</w:t>
            </w:r>
          </w:p>
        </w:tc>
        <w:tc>
          <w:tcPr>
            <w:tcW w:w="1213" w:type="dxa"/>
            <w:tcBorders>
              <w:left w:val="single" w:sz="4" w:space="0" w:color="auto"/>
              <w:right w:val="single" w:sz="4" w:space="0" w:color="auto"/>
            </w:tcBorders>
            <w:shd w:val="clear" w:color="auto" w:fill="auto"/>
            <w:noWrap/>
            <w:vAlign w:val="bottom"/>
            <w:hideMark/>
          </w:tcPr>
          <w:p w:rsidR="00B5160D" w:rsidRPr="00A34826" w:rsidRDefault="00B5160D" w:rsidP="00B5160D">
            <w:pPr>
              <w:bidi w:val="0"/>
              <w:spacing w:after="0" w:line="240" w:lineRule="auto"/>
              <w:jc w:val="center"/>
              <w:rPr>
                <w:rFonts w:eastAsia="Times New Roman"/>
                <w:sz w:val="20"/>
                <w:szCs w:val="20"/>
                <w:rtl/>
              </w:rPr>
            </w:pPr>
            <w:r>
              <w:rPr>
                <w:rFonts w:ascii="David" w:hAnsi="David"/>
                <w:sz w:val="20"/>
                <w:szCs w:val="20"/>
              </w:rPr>
              <w:t>33.0</w:t>
            </w:r>
          </w:p>
        </w:tc>
      </w:tr>
      <w:tr w:rsidR="00B5160D" w:rsidRPr="00016AC3" w:rsidTr="00A34826">
        <w:trPr>
          <w:trHeight w:val="255"/>
          <w:jc w:val="center"/>
        </w:trPr>
        <w:tc>
          <w:tcPr>
            <w:tcW w:w="3679" w:type="dxa"/>
            <w:tcBorders>
              <w:left w:val="single" w:sz="4" w:space="0" w:color="auto"/>
              <w:right w:val="single" w:sz="4" w:space="0" w:color="auto"/>
            </w:tcBorders>
            <w:shd w:val="clear" w:color="auto" w:fill="auto"/>
            <w:noWrap/>
            <w:vAlign w:val="center"/>
            <w:hideMark/>
          </w:tcPr>
          <w:p w:rsidR="00B5160D" w:rsidRPr="00B5160D" w:rsidRDefault="00B5160D" w:rsidP="001D083F">
            <w:pPr>
              <w:spacing w:after="0" w:line="240" w:lineRule="auto"/>
              <w:jc w:val="left"/>
              <w:rPr>
                <w:rFonts w:eastAsia="Times New Roman"/>
                <w:sz w:val="20"/>
                <w:szCs w:val="20"/>
              </w:rPr>
            </w:pPr>
            <w:r w:rsidRPr="00B5160D">
              <w:rPr>
                <w:rFonts w:eastAsia="Times New Roman" w:hint="eastAsia"/>
                <w:sz w:val="20"/>
                <w:szCs w:val="20"/>
                <w:rtl/>
              </w:rPr>
              <w:t>החזרי</w:t>
            </w:r>
            <w:r w:rsidRPr="00B5160D">
              <w:rPr>
                <w:rFonts w:eastAsia="Times New Roman"/>
                <w:sz w:val="20"/>
                <w:szCs w:val="20"/>
                <w:rtl/>
              </w:rPr>
              <w:t xml:space="preserve"> </w:t>
            </w:r>
            <w:r w:rsidRPr="00B5160D">
              <w:rPr>
                <w:rFonts w:eastAsia="Times New Roman" w:hint="eastAsia"/>
                <w:sz w:val="20"/>
                <w:szCs w:val="20"/>
                <w:rtl/>
              </w:rPr>
              <w:t>חוב</w:t>
            </w:r>
            <w:r w:rsidRPr="00B5160D">
              <w:rPr>
                <w:rFonts w:eastAsia="Times New Roman"/>
                <w:sz w:val="20"/>
                <w:szCs w:val="20"/>
                <w:rtl/>
              </w:rPr>
              <w:t xml:space="preserve"> (ריבית </w:t>
            </w:r>
            <w:r w:rsidRPr="00B5160D">
              <w:rPr>
                <w:rFonts w:eastAsia="Times New Roman" w:hint="eastAsia"/>
                <w:sz w:val="20"/>
                <w:szCs w:val="20"/>
                <w:rtl/>
              </w:rPr>
              <w:t>וקרן</w:t>
            </w:r>
            <w:r w:rsidRPr="00B5160D">
              <w:rPr>
                <w:rFonts w:eastAsia="Times New Roman"/>
                <w:sz w:val="20"/>
                <w:szCs w:val="20"/>
                <w:rtl/>
              </w:rPr>
              <w:t xml:space="preserve"> </w:t>
            </w:r>
            <w:r w:rsidR="001D083F" w:rsidRPr="00B5160D">
              <w:rPr>
                <w:rFonts w:eastAsia="Times New Roman" w:hint="cs"/>
                <w:sz w:val="20"/>
                <w:szCs w:val="20"/>
                <w:rtl/>
              </w:rPr>
              <w:t>בטל</w:t>
            </w:r>
            <w:r w:rsidR="001D083F">
              <w:rPr>
                <w:rFonts w:eastAsia="Times New Roman" w:hint="cs"/>
                <w:sz w:val="20"/>
                <w:szCs w:val="20"/>
                <w:rtl/>
              </w:rPr>
              <w:t>"</w:t>
            </w:r>
            <w:r w:rsidR="001D083F" w:rsidRPr="00B5160D">
              <w:rPr>
                <w:rFonts w:eastAsia="Times New Roman" w:hint="cs"/>
                <w:sz w:val="20"/>
                <w:szCs w:val="20"/>
                <w:rtl/>
              </w:rPr>
              <w:t>א</w:t>
            </w:r>
            <w:r w:rsidRPr="00B5160D">
              <w:rPr>
                <w:rFonts w:eastAsia="Times New Roman"/>
                <w:sz w:val="20"/>
                <w:szCs w:val="20"/>
                <w:rtl/>
              </w:rPr>
              <w:t>)</w:t>
            </w:r>
          </w:p>
        </w:tc>
        <w:tc>
          <w:tcPr>
            <w:tcW w:w="1077" w:type="dxa"/>
            <w:tcBorders>
              <w:left w:val="single" w:sz="4" w:space="0" w:color="auto"/>
              <w:right w:val="single" w:sz="4" w:space="0" w:color="auto"/>
            </w:tcBorders>
            <w:shd w:val="clear" w:color="auto" w:fill="auto"/>
            <w:vAlign w:val="bottom"/>
          </w:tcPr>
          <w:p w:rsidR="00B5160D" w:rsidRPr="00B5160D" w:rsidRDefault="00B5160D" w:rsidP="00B5160D">
            <w:pPr>
              <w:bidi w:val="0"/>
              <w:spacing w:after="0" w:line="240" w:lineRule="auto"/>
              <w:jc w:val="center"/>
              <w:rPr>
                <w:rFonts w:ascii="David" w:hAnsi="David"/>
                <w:sz w:val="20"/>
                <w:szCs w:val="20"/>
              </w:rPr>
            </w:pPr>
            <w:r w:rsidRPr="00B5160D">
              <w:rPr>
                <w:rFonts w:ascii="David" w:hAnsi="David"/>
                <w:sz w:val="20"/>
                <w:szCs w:val="20"/>
              </w:rPr>
              <w:t>52.3</w:t>
            </w:r>
          </w:p>
        </w:tc>
        <w:tc>
          <w:tcPr>
            <w:tcW w:w="1114" w:type="dxa"/>
            <w:tcBorders>
              <w:left w:val="single" w:sz="4" w:space="0" w:color="auto"/>
              <w:right w:val="single" w:sz="4" w:space="0" w:color="auto"/>
            </w:tcBorders>
            <w:shd w:val="clear" w:color="auto" w:fill="auto"/>
            <w:vAlign w:val="bottom"/>
          </w:tcPr>
          <w:p w:rsidR="00B5160D" w:rsidRPr="00A34826" w:rsidDel="00F72B86" w:rsidRDefault="00B5160D" w:rsidP="00B5160D">
            <w:pPr>
              <w:bidi w:val="0"/>
              <w:spacing w:after="0" w:line="240" w:lineRule="auto"/>
              <w:jc w:val="center"/>
              <w:rPr>
                <w:rFonts w:ascii="Calibri" w:hAnsi="Calibri"/>
                <w:sz w:val="20"/>
                <w:szCs w:val="20"/>
                <w:rtl/>
              </w:rPr>
            </w:pPr>
            <w:r>
              <w:rPr>
                <w:rFonts w:ascii="David" w:hAnsi="David"/>
                <w:sz w:val="20"/>
                <w:szCs w:val="20"/>
              </w:rPr>
              <w:t>54.3</w:t>
            </w:r>
          </w:p>
        </w:tc>
        <w:tc>
          <w:tcPr>
            <w:tcW w:w="1213" w:type="dxa"/>
            <w:tcBorders>
              <w:left w:val="single" w:sz="4" w:space="0" w:color="auto"/>
              <w:right w:val="single" w:sz="4" w:space="0" w:color="auto"/>
            </w:tcBorders>
            <w:shd w:val="clear" w:color="auto" w:fill="auto"/>
            <w:noWrap/>
            <w:vAlign w:val="bottom"/>
            <w:hideMark/>
          </w:tcPr>
          <w:p w:rsidR="00B5160D" w:rsidRPr="00A34826" w:rsidRDefault="00B5160D" w:rsidP="00B5160D">
            <w:pPr>
              <w:bidi w:val="0"/>
              <w:spacing w:after="0" w:line="240" w:lineRule="auto"/>
              <w:jc w:val="center"/>
              <w:rPr>
                <w:rFonts w:eastAsia="Times New Roman"/>
                <w:sz w:val="20"/>
                <w:szCs w:val="20"/>
                <w:rtl/>
              </w:rPr>
            </w:pPr>
            <w:r>
              <w:rPr>
                <w:rFonts w:ascii="David" w:hAnsi="David"/>
                <w:sz w:val="20"/>
                <w:szCs w:val="20"/>
              </w:rPr>
              <w:t>56.9</w:t>
            </w:r>
          </w:p>
        </w:tc>
        <w:tc>
          <w:tcPr>
            <w:tcW w:w="1213" w:type="dxa"/>
            <w:tcBorders>
              <w:left w:val="single" w:sz="4" w:space="0" w:color="auto"/>
              <w:right w:val="single" w:sz="4" w:space="0" w:color="auto"/>
            </w:tcBorders>
            <w:shd w:val="clear" w:color="auto" w:fill="auto"/>
            <w:noWrap/>
            <w:vAlign w:val="bottom"/>
            <w:hideMark/>
          </w:tcPr>
          <w:p w:rsidR="00B5160D" w:rsidRPr="00A34826" w:rsidRDefault="00B5160D" w:rsidP="00B5160D">
            <w:pPr>
              <w:bidi w:val="0"/>
              <w:spacing w:after="0" w:line="240" w:lineRule="auto"/>
              <w:jc w:val="center"/>
              <w:rPr>
                <w:rFonts w:eastAsia="Times New Roman"/>
                <w:sz w:val="20"/>
                <w:szCs w:val="20"/>
                <w:rtl/>
              </w:rPr>
            </w:pPr>
            <w:r>
              <w:rPr>
                <w:rFonts w:ascii="David" w:hAnsi="David"/>
                <w:sz w:val="20"/>
                <w:szCs w:val="20"/>
              </w:rPr>
              <w:t>60.6</w:t>
            </w:r>
          </w:p>
        </w:tc>
      </w:tr>
      <w:tr w:rsidR="00DC4053" w:rsidRPr="00016AC3" w:rsidTr="00A34826">
        <w:trPr>
          <w:trHeight w:val="255"/>
          <w:jc w:val="center"/>
        </w:trPr>
        <w:tc>
          <w:tcPr>
            <w:tcW w:w="3679" w:type="dxa"/>
            <w:tcBorders>
              <w:left w:val="single" w:sz="4" w:space="0" w:color="auto"/>
              <w:right w:val="single" w:sz="4" w:space="0" w:color="auto"/>
            </w:tcBorders>
            <w:shd w:val="clear" w:color="auto" w:fill="auto"/>
            <w:noWrap/>
            <w:vAlign w:val="center"/>
            <w:hideMark/>
          </w:tcPr>
          <w:p w:rsidR="00DC4053" w:rsidRPr="00B5160D" w:rsidRDefault="00DC4053" w:rsidP="00D00A54">
            <w:pPr>
              <w:spacing w:after="0" w:line="240" w:lineRule="auto"/>
              <w:jc w:val="left"/>
              <w:rPr>
                <w:rFonts w:cs="Times New Roman"/>
                <w:sz w:val="20"/>
                <w:szCs w:val="20"/>
              </w:rPr>
            </w:pPr>
            <w:r w:rsidRPr="00B5160D">
              <w:rPr>
                <w:rFonts w:eastAsia="Times New Roman"/>
                <w:sz w:val="20"/>
                <w:szCs w:val="20"/>
                <w:rtl/>
              </w:rPr>
              <w:t>---------------------------------------------</w:t>
            </w:r>
          </w:p>
        </w:tc>
        <w:tc>
          <w:tcPr>
            <w:tcW w:w="1077" w:type="dxa"/>
            <w:tcBorders>
              <w:left w:val="single" w:sz="4" w:space="0" w:color="auto"/>
              <w:right w:val="single" w:sz="4" w:space="0" w:color="auto"/>
            </w:tcBorders>
            <w:shd w:val="clear" w:color="auto" w:fill="auto"/>
            <w:vAlign w:val="bottom"/>
          </w:tcPr>
          <w:p w:rsidR="00DC4053" w:rsidRPr="00B5160D" w:rsidRDefault="00DC4053" w:rsidP="00D00A54">
            <w:pPr>
              <w:spacing w:after="0" w:line="240" w:lineRule="auto"/>
              <w:jc w:val="center"/>
              <w:rPr>
                <w:rFonts w:eastAsia="Times New Roman"/>
                <w:sz w:val="20"/>
                <w:szCs w:val="20"/>
                <w:rtl/>
              </w:rPr>
            </w:pPr>
            <w:r w:rsidRPr="00B5160D">
              <w:rPr>
                <w:sz w:val="20"/>
                <w:szCs w:val="20"/>
                <w:rtl/>
              </w:rPr>
              <w:t>------------</w:t>
            </w:r>
          </w:p>
        </w:tc>
        <w:tc>
          <w:tcPr>
            <w:tcW w:w="1114" w:type="dxa"/>
            <w:tcBorders>
              <w:left w:val="single" w:sz="4" w:space="0" w:color="auto"/>
              <w:right w:val="single" w:sz="4" w:space="0" w:color="auto"/>
            </w:tcBorders>
            <w:shd w:val="clear" w:color="auto" w:fill="auto"/>
            <w:vAlign w:val="bottom"/>
          </w:tcPr>
          <w:p w:rsidR="00DC4053" w:rsidRPr="00B5160D" w:rsidDel="00F72B86" w:rsidRDefault="00DC4053" w:rsidP="00D00A54">
            <w:pPr>
              <w:spacing w:after="0" w:line="240" w:lineRule="auto"/>
              <w:jc w:val="center"/>
              <w:rPr>
                <w:rFonts w:eastAsia="Times New Roman"/>
                <w:sz w:val="20"/>
                <w:szCs w:val="20"/>
                <w:rtl/>
              </w:rPr>
            </w:pPr>
            <w:r w:rsidRPr="00B5160D">
              <w:rPr>
                <w:rFonts w:eastAsia="Times New Roman"/>
                <w:sz w:val="20"/>
                <w:szCs w:val="20"/>
                <w:rtl/>
              </w:rPr>
              <w:t>-------------</w:t>
            </w:r>
          </w:p>
        </w:tc>
        <w:tc>
          <w:tcPr>
            <w:tcW w:w="1213" w:type="dxa"/>
            <w:tcBorders>
              <w:left w:val="single" w:sz="4" w:space="0" w:color="auto"/>
              <w:right w:val="single" w:sz="4" w:space="0" w:color="auto"/>
            </w:tcBorders>
            <w:shd w:val="clear" w:color="auto" w:fill="auto"/>
            <w:noWrap/>
            <w:vAlign w:val="bottom"/>
            <w:hideMark/>
          </w:tcPr>
          <w:p w:rsidR="00DC4053" w:rsidRPr="00B5160D" w:rsidRDefault="00DC4053" w:rsidP="00D00A54">
            <w:pPr>
              <w:spacing w:after="0" w:line="240" w:lineRule="auto"/>
              <w:jc w:val="center"/>
              <w:rPr>
                <w:rFonts w:cs="Times New Roman"/>
                <w:sz w:val="20"/>
                <w:szCs w:val="20"/>
                <w:rtl/>
              </w:rPr>
            </w:pPr>
            <w:r w:rsidRPr="00B5160D">
              <w:rPr>
                <w:rFonts w:eastAsia="Times New Roman"/>
                <w:sz w:val="20"/>
                <w:szCs w:val="20"/>
                <w:rtl/>
              </w:rPr>
              <w:t>-------------</w:t>
            </w:r>
          </w:p>
        </w:tc>
        <w:tc>
          <w:tcPr>
            <w:tcW w:w="1213" w:type="dxa"/>
            <w:tcBorders>
              <w:left w:val="single" w:sz="4" w:space="0" w:color="auto"/>
              <w:right w:val="single" w:sz="4" w:space="0" w:color="auto"/>
            </w:tcBorders>
            <w:shd w:val="clear" w:color="auto" w:fill="auto"/>
            <w:noWrap/>
            <w:vAlign w:val="bottom"/>
            <w:hideMark/>
          </w:tcPr>
          <w:p w:rsidR="00DC4053" w:rsidRPr="00B5160D" w:rsidRDefault="00DC4053" w:rsidP="00D00A54">
            <w:pPr>
              <w:spacing w:after="0" w:line="240" w:lineRule="auto"/>
              <w:rPr>
                <w:rFonts w:cs="Times New Roman"/>
                <w:sz w:val="20"/>
                <w:szCs w:val="20"/>
                <w:rtl/>
              </w:rPr>
            </w:pPr>
            <w:r w:rsidRPr="00B5160D">
              <w:rPr>
                <w:rFonts w:eastAsia="Times New Roman"/>
                <w:sz w:val="20"/>
                <w:szCs w:val="20"/>
                <w:rtl/>
              </w:rPr>
              <w:t>-------------</w:t>
            </w:r>
          </w:p>
        </w:tc>
      </w:tr>
      <w:tr w:rsidR="002747D2" w:rsidRPr="00016AC3" w:rsidTr="00A34826">
        <w:trPr>
          <w:trHeight w:val="255"/>
          <w:jc w:val="center"/>
        </w:trPr>
        <w:tc>
          <w:tcPr>
            <w:tcW w:w="3679" w:type="dxa"/>
            <w:tcBorders>
              <w:left w:val="single" w:sz="4" w:space="0" w:color="auto"/>
              <w:bottom w:val="single" w:sz="4" w:space="0" w:color="auto"/>
              <w:right w:val="single" w:sz="4" w:space="0" w:color="auto"/>
            </w:tcBorders>
            <w:shd w:val="clear" w:color="auto" w:fill="auto"/>
            <w:noWrap/>
            <w:vAlign w:val="center"/>
            <w:hideMark/>
          </w:tcPr>
          <w:p w:rsidR="002747D2" w:rsidRPr="00B5160D" w:rsidRDefault="002747D2" w:rsidP="002747D2">
            <w:pPr>
              <w:spacing w:after="0" w:line="240" w:lineRule="auto"/>
              <w:jc w:val="left"/>
              <w:rPr>
                <w:rFonts w:eastAsia="Times New Roman"/>
                <w:b/>
                <w:bCs/>
                <w:sz w:val="20"/>
                <w:szCs w:val="20"/>
              </w:rPr>
            </w:pPr>
            <w:r w:rsidRPr="00B5160D">
              <w:rPr>
                <w:rFonts w:eastAsia="Times New Roman" w:hint="eastAsia"/>
                <w:b/>
                <w:bCs/>
                <w:sz w:val="20"/>
                <w:szCs w:val="20"/>
                <w:rtl/>
              </w:rPr>
              <w:t>מגבלת</w:t>
            </w:r>
            <w:r w:rsidRPr="00B5160D">
              <w:rPr>
                <w:rFonts w:eastAsia="Times New Roman"/>
                <w:b/>
                <w:bCs/>
                <w:sz w:val="20"/>
                <w:szCs w:val="20"/>
                <w:rtl/>
              </w:rPr>
              <w:t xml:space="preserve"> </w:t>
            </w:r>
            <w:r w:rsidRPr="00B5160D">
              <w:rPr>
                <w:rFonts w:eastAsia="Times New Roman" w:hint="eastAsia"/>
                <w:b/>
                <w:bCs/>
                <w:sz w:val="20"/>
                <w:szCs w:val="20"/>
                <w:rtl/>
              </w:rPr>
              <w:t>ההוצאה</w:t>
            </w:r>
            <w:r w:rsidRPr="00B5160D">
              <w:rPr>
                <w:rFonts w:eastAsia="Times New Roman"/>
                <w:b/>
                <w:bCs/>
                <w:sz w:val="20"/>
                <w:szCs w:val="20"/>
                <w:rtl/>
              </w:rPr>
              <w:t xml:space="preserve"> </w:t>
            </w:r>
            <w:r w:rsidRPr="00B5160D">
              <w:rPr>
                <w:rFonts w:eastAsia="Times New Roman" w:hint="eastAsia"/>
                <w:b/>
                <w:bCs/>
                <w:sz w:val="20"/>
                <w:szCs w:val="20"/>
                <w:rtl/>
              </w:rPr>
              <w:t>המותרת</w:t>
            </w:r>
            <w:r w:rsidRPr="00B5160D">
              <w:rPr>
                <w:rFonts w:eastAsia="Times New Roman"/>
                <w:b/>
                <w:bCs/>
                <w:sz w:val="20"/>
                <w:szCs w:val="20"/>
                <w:rtl/>
              </w:rPr>
              <w:t xml:space="preserve"> </w:t>
            </w:r>
            <w:r w:rsidRPr="00B5160D">
              <w:rPr>
                <w:rFonts w:eastAsia="Times New Roman" w:hint="eastAsia"/>
                <w:b/>
                <w:bCs/>
                <w:sz w:val="20"/>
                <w:szCs w:val="20"/>
                <w:rtl/>
              </w:rPr>
              <w:t>על</w:t>
            </w:r>
            <w:r w:rsidRPr="00B5160D">
              <w:rPr>
                <w:rFonts w:eastAsia="Times New Roman"/>
                <w:b/>
                <w:bCs/>
                <w:sz w:val="20"/>
                <w:szCs w:val="20"/>
                <w:rtl/>
              </w:rPr>
              <w:t xml:space="preserve">-פי </w:t>
            </w:r>
            <w:r w:rsidRPr="00B5160D">
              <w:rPr>
                <w:rFonts w:eastAsia="Times New Roman" w:hint="eastAsia"/>
                <w:b/>
                <w:bCs/>
                <w:sz w:val="20"/>
                <w:szCs w:val="20"/>
                <w:rtl/>
              </w:rPr>
              <w:t>חוק</w:t>
            </w:r>
            <w:r w:rsidRPr="00B5160D">
              <w:rPr>
                <w:rFonts w:eastAsia="Times New Roman"/>
                <w:b/>
                <w:bCs/>
                <w:sz w:val="20"/>
                <w:szCs w:val="20"/>
                <w:rtl/>
              </w:rPr>
              <w:t xml:space="preserve"> </w:t>
            </w:r>
            <w:r w:rsidRPr="00B5160D">
              <w:rPr>
                <w:rFonts w:eastAsia="Times New Roman" w:hint="eastAsia"/>
                <w:b/>
                <w:bCs/>
                <w:sz w:val="20"/>
                <w:szCs w:val="20"/>
                <w:rtl/>
              </w:rPr>
              <w:t>המסגרות</w:t>
            </w:r>
          </w:p>
        </w:tc>
        <w:tc>
          <w:tcPr>
            <w:tcW w:w="1077" w:type="dxa"/>
            <w:tcBorders>
              <w:left w:val="single" w:sz="4" w:space="0" w:color="auto"/>
              <w:bottom w:val="single" w:sz="4" w:space="0" w:color="auto"/>
              <w:right w:val="single" w:sz="4" w:space="0" w:color="auto"/>
            </w:tcBorders>
            <w:shd w:val="clear" w:color="auto" w:fill="auto"/>
            <w:vAlign w:val="bottom"/>
          </w:tcPr>
          <w:p w:rsidR="002747D2" w:rsidRPr="00B5160D" w:rsidRDefault="002747D2" w:rsidP="002747D2">
            <w:pPr>
              <w:bidi w:val="0"/>
              <w:spacing w:after="0" w:line="240" w:lineRule="auto"/>
              <w:jc w:val="center"/>
              <w:rPr>
                <w:rFonts w:ascii="David" w:hAnsi="David"/>
                <w:b/>
                <w:bCs/>
                <w:sz w:val="20"/>
                <w:szCs w:val="20"/>
              </w:rPr>
            </w:pPr>
            <w:r w:rsidRPr="00B5160D">
              <w:rPr>
                <w:rFonts w:ascii="David" w:hAnsi="David"/>
                <w:b/>
                <w:bCs/>
                <w:sz w:val="20"/>
                <w:szCs w:val="20"/>
              </w:rPr>
              <w:t>397.4</w:t>
            </w:r>
          </w:p>
        </w:tc>
        <w:tc>
          <w:tcPr>
            <w:tcW w:w="1114" w:type="dxa"/>
            <w:tcBorders>
              <w:left w:val="single" w:sz="4" w:space="0" w:color="auto"/>
              <w:bottom w:val="single" w:sz="4" w:space="0" w:color="auto"/>
              <w:right w:val="single" w:sz="4" w:space="0" w:color="auto"/>
            </w:tcBorders>
            <w:shd w:val="clear" w:color="auto" w:fill="auto"/>
            <w:vAlign w:val="bottom"/>
          </w:tcPr>
          <w:p w:rsidR="002747D2" w:rsidRPr="00B5160D" w:rsidDel="00F72B86" w:rsidRDefault="002747D2" w:rsidP="002747D2">
            <w:pPr>
              <w:bidi w:val="0"/>
              <w:spacing w:after="0" w:line="240" w:lineRule="auto"/>
              <w:jc w:val="center"/>
              <w:rPr>
                <w:rFonts w:ascii="Calibri" w:hAnsi="Calibri"/>
                <w:b/>
                <w:bCs/>
                <w:sz w:val="20"/>
                <w:szCs w:val="20"/>
              </w:rPr>
            </w:pPr>
            <w:r>
              <w:rPr>
                <w:rFonts w:ascii="David" w:hAnsi="David"/>
                <w:b/>
                <w:bCs/>
                <w:sz w:val="20"/>
                <w:szCs w:val="20"/>
              </w:rPr>
              <w:t>412.0</w:t>
            </w:r>
          </w:p>
        </w:tc>
        <w:tc>
          <w:tcPr>
            <w:tcW w:w="1213" w:type="dxa"/>
            <w:tcBorders>
              <w:left w:val="single" w:sz="4" w:space="0" w:color="auto"/>
              <w:bottom w:val="single" w:sz="4" w:space="0" w:color="auto"/>
              <w:right w:val="single" w:sz="4" w:space="0" w:color="auto"/>
            </w:tcBorders>
            <w:shd w:val="clear" w:color="auto" w:fill="auto"/>
            <w:noWrap/>
            <w:vAlign w:val="bottom"/>
            <w:hideMark/>
          </w:tcPr>
          <w:p w:rsidR="002747D2" w:rsidRPr="00B5160D" w:rsidRDefault="002747D2" w:rsidP="002747D2">
            <w:pPr>
              <w:bidi w:val="0"/>
              <w:spacing w:after="0" w:line="240" w:lineRule="auto"/>
              <w:jc w:val="center"/>
              <w:rPr>
                <w:rFonts w:eastAsia="Times New Roman"/>
                <w:b/>
                <w:bCs/>
                <w:sz w:val="20"/>
                <w:szCs w:val="20"/>
                <w:rtl/>
              </w:rPr>
            </w:pPr>
            <w:r>
              <w:rPr>
                <w:rFonts w:ascii="David" w:hAnsi="David"/>
                <w:b/>
                <w:bCs/>
                <w:sz w:val="20"/>
                <w:szCs w:val="20"/>
              </w:rPr>
              <w:t>426.4</w:t>
            </w:r>
          </w:p>
        </w:tc>
        <w:tc>
          <w:tcPr>
            <w:tcW w:w="1213" w:type="dxa"/>
            <w:tcBorders>
              <w:left w:val="single" w:sz="4" w:space="0" w:color="auto"/>
              <w:bottom w:val="single" w:sz="4" w:space="0" w:color="auto"/>
              <w:right w:val="single" w:sz="4" w:space="0" w:color="auto"/>
            </w:tcBorders>
            <w:shd w:val="clear" w:color="auto" w:fill="auto"/>
            <w:noWrap/>
            <w:vAlign w:val="bottom"/>
            <w:hideMark/>
          </w:tcPr>
          <w:p w:rsidR="002747D2" w:rsidRPr="00B5160D" w:rsidRDefault="002747D2" w:rsidP="002747D2">
            <w:pPr>
              <w:bidi w:val="0"/>
              <w:spacing w:after="0" w:line="240" w:lineRule="auto"/>
              <w:jc w:val="center"/>
              <w:rPr>
                <w:rFonts w:eastAsia="Times New Roman"/>
                <w:b/>
                <w:bCs/>
                <w:sz w:val="20"/>
                <w:szCs w:val="20"/>
                <w:rtl/>
              </w:rPr>
            </w:pPr>
            <w:r>
              <w:rPr>
                <w:rFonts w:ascii="David" w:hAnsi="David"/>
                <w:b/>
                <w:bCs/>
                <w:sz w:val="20"/>
                <w:szCs w:val="20"/>
              </w:rPr>
              <w:t>442.9</w:t>
            </w:r>
          </w:p>
        </w:tc>
      </w:tr>
    </w:tbl>
    <w:p w:rsidR="00DC4053" w:rsidRPr="00ED1F1E" w:rsidRDefault="00EC6A40" w:rsidP="00DC4053">
      <w:pPr>
        <w:spacing w:before="200" w:after="200" w:line="276" w:lineRule="auto"/>
        <w:rPr>
          <w:sz w:val="20"/>
          <w:szCs w:val="20"/>
          <w:rtl/>
        </w:rPr>
      </w:pPr>
      <w:r w:rsidRPr="00ED1F1E">
        <w:rPr>
          <w:sz w:val="20"/>
          <w:szCs w:val="20"/>
          <w:rtl/>
        </w:rPr>
        <w:t>* המספרים לשנת 2019 מובאים לצרכי השוואה בלבד ואינם חלק מתכנית התקציב התלת שנתית.</w:t>
      </w:r>
    </w:p>
    <w:p w:rsidR="00B5160D" w:rsidRDefault="00B5160D" w:rsidP="00DC4053">
      <w:pPr>
        <w:rPr>
          <w:b/>
          <w:bCs/>
          <w:rtl/>
        </w:rPr>
      </w:pPr>
    </w:p>
    <w:p w:rsidR="00DC4053" w:rsidRPr="00B8536C" w:rsidRDefault="00DC4053" w:rsidP="005971AC">
      <w:pPr>
        <w:rPr>
          <w:b/>
          <w:bCs/>
          <w:rtl/>
        </w:rPr>
      </w:pPr>
      <w:r w:rsidRPr="00B8536C">
        <w:rPr>
          <w:rFonts w:hint="cs"/>
          <w:b/>
          <w:bCs/>
          <w:rtl/>
        </w:rPr>
        <w:t>עיקרי</w:t>
      </w:r>
      <w:r w:rsidRPr="00B8536C">
        <w:rPr>
          <w:b/>
          <w:bCs/>
          <w:rtl/>
        </w:rPr>
        <w:t xml:space="preserve"> השינויים ב</w:t>
      </w:r>
      <w:r w:rsidR="00452339">
        <w:rPr>
          <w:rFonts w:hint="cs"/>
          <w:b/>
          <w:bCs/>
          <w:rtl/>
        </w:rPr>
        <w:t xml:space="preserve">יחס לתקציב 2019 </w:t>
      </w:r>
      <w:r w:rsidRPr="00B8536C">
        <w:rPr>
          <w:b/>
          <w:bCs/>
          <w:rtl/>
        </w:rPr>
        <w:t xml:space="preserve"> </w:t>
      </w:r>
    </w:p>
    <w:p w:rsidR="005C19B8" w:rsidRDefault="00E326A2" w:rsidP="0096767D">
      <w:pPr>
        <w:rPr>
          <w:rtl/>
        </w:rPr>
      </w:pPr>
      <w:r>
        <w:rPr>
          <w:rtl/>
        </w:rPr>
        <w:t xml:space="preserve">מסמך זה כאמור, מהווה עדכון של תמונת המצב הפיסקאלית לשנים 2020 - 2022 תוך התייחסות לשינויים </w:t>
      </w:r>
      <w:r>
        <w:rPr>
          <w:rFonts w:hint="cs"/>
          <w:rtl/>
        </w:rPr>
        <w:t xml:space="preserve">בסך ההתאמות הנדרשות בשנות התכנית הרב שנתית </w:t>
      </w:r>
      <w:r>
        <w:rPr>
          <w:rtl/>
        </w:rPr>
        <w:t>שהתרחשו ממועד בניית התקציב לשנת 2019 ועד למועד פרסום המסמך.</w:t>
      </w:r>
      <w:r>
        <w:rPr>
          <w:rFonts w:hint="cs"/>
          <w:rtl/>
        </w:rPr>
        <w:t xml:space="preserve"> </w:t>
      </w:r>
      <w:r w:rsidRPr="00E326A2">
        <w:rPr>
          <w:rtl/>
        </w:rPr>
        <w:t>בשל פרק הזמן הקצר ממועד הגשת</w:t>
      </w:r>
      <w:r>
        <w:rPr>
          <w:rFonts w:hint="cs"/>
          <w:rtl/>
        </w:rPr>
        <w:t xml:space="preserve"> התקציב</w:t>
      </w:r>
      <w:r w:rsidRPr="00E326A2">
        <w:rPr>
          <w:rtl/>
        </w:rPr>
        <w:t xml:space="preserve"> לכנסת (</w:t>
      </w:r>
      <w:r w:rsidR="00097E5F">
        <w:rPr>
          <w:rFonts w:hint="cs"/>
          <w:rtl/>
        </w:rPr>
        <w:t>פברואר</w:t>
      </w:r>
      <w:r w:rsidR="00097E5F" w:rsidRPr="00E326A2">
        <w:rPr>
          <w:rtl/>
        </w:rPr>
        <w:t xml:space="preserve"> </w:t>
      </w:r>
      <w:r w:rsidRPr="00E326A2">
        <w:rPr>
          <w:rtl/>
        </w:rPr>
        <w:t>2018)</w:t>
      </w:r>
      <w:r w:rsidR="00BE4940">
        <w:rPr>
          <w:rFonts w:hint="cs"/>
          <w:rtl/>
        </w:rPr>
        <w:t xml:space="preserve"> ל</w:t>
      </w:r>
      <w:r w:rsidR="005971AC">
        <w:rPr>
          <w:rFonts w:hint="cs"/>
          <w:rtl/>
        </w:rPr>
        <w:t xml:space="preserve">בין </w:t>
      </w:r>
      <w:r w:rsidR="00BE4940">
        <w:rPr>
          <w:rFonts w:hint="cs"/>
          <w:rtl/>
        </w:rPr>
        <w:t xml:space="preserve">פרסום העדכון לתכנית התקציב התלת שנתית בחודש יוני </w:t>
      </w:r>
      <w:r w:rsidR="005C19B8">
        <w:rPr>
          <w:rFonts w:hint="cs"/>
          <w:rtl/>
        </w:rPr>
        <w:t xml:space="preserve">בוצעה </w:t>
      </w:r>
      <w:r w:rsidRPr="00E326A2">
        <w:rPr>
          <w:rtl/>
        </w:rPr>
        <w:t>בחינה נקודתית של הוצאות חדשות שהתבהרו</w:t>
      </w:r>
      <w:r w:rsidR="005C19B8">
        <w:rPr>
          <w:rFonts w:hint="cs"/>
          <w:rtl/>
        </w:rPr>
        <w:t xml:space="preserve"> </w:t>
      </w:r>
      <w:r w:rsidR="005971AC">
        <w:rPr>
          <w:rFonts w:hint="cs"/>
          <w:rtl/>
        </w:rPr>
        <w:t xml:space="preserve">באותו מועד </w:t>
      </w:r>
      <w:r w:rsidR="005C19B8">
        <w:rPr>
          <w:rFonts w:hint="cs"/>
          <w:rtl/>
        </w:rPr>
        <w:t xml:space="preserve">ואילו בפרסום זה </w:t>
      </w:r>
      <w:r w:rsidR="004F43B8">
        <w:rPr>
          <w:rFonts w:hint="cs"/>
          <w:rtl/>
        </w:rPr>
        <w:t>מ</w:t>
      </w:r>
      <w:r w:rsidR="005C19B8">
        <w:rPr>
          <w:rFonts w:hint="cs"/>
          <w:rtl/>
        </w:rPr>
        <w:t>תבצע עדכון מלא של תחזית ההוצאה.</w:t>
      </w:r>
    </w:p>
    <w:tbl>
      <w:tblPr>
        <w:bidiVisual/>
        <w:tblW w:w="0" w:type="auto"/>
        <w:jc w:val="center"/>
        <w:tblCellMar>
          <w:left w:w="0" w:type="dxa"/>
          <w:right w:w="0" w:type="dxa"/>
        </w:tblCellMar>
        <w:tblLook w:val="0600" w:firstRow="0" w:lastRow="0" w:firstColumn="0" w:lastColumn="0" w:noHBand="1" w:noVBand="1"/>
      </w:tblPr>
      <w:tblGrid>
        <w:gridCol w:w="4143"/>
        <w:gridCol w:w="1659"/>
      </w:tblGrid>
      <w:tr w:rsidR="00DF0FFB" w:rsidRPr="006B3A62" w:rsidTr="00164768">
        <w:trPr>
          <w:trHeight w:val="577"/>
          <w:jc w:val="center"/>
        </w:trPr>
        <w:tc>
          <w:tcPr>
            <w:tcW w:w="4143" w:type="dxa"/>
            <w:tcBorders>
              <w:top w:val="single" w:sz="4" w:space="0" w:color="000000"/>
              <w:left w:val="single" w:sz="4" w:space="0" w:color="000000"/>
              <w:bottom w:val="single" w:sz="4" w:space="0" w:color="000000"/>
              <w:right w:val="single" w:sz="4" w:space="0" w:color="000000"/>
            </w:tcBorders>
            <w:shd w:val="clear" w:color="auto" w:fill="1F497D"/>
            <w:tcMar>
              <w:top w:w="15" w:type="dxa"/>
              <w:left w:w="15" w:type="dxa"/>
              <w:bottom w:w="0" w:type="dxa"/>
              <w:right w:w="15" w:type="dxa"/>
            </w:tcMar>
            <w:vAlign w:val="center"/>
            <w:hideMark/>
          </w:tcPr>
          <w:p w:rsidR="006B3A62" w:rsidRPr="00A34826" w:rsidRDefault="009C11C1" w:rsidP="006B3A62">
            <w:pPr>
              <w:rPr>
                <w:rFonts w:ascii="David" w:hAnsi="David"/>
                <w:sz w:val="20"/>
                <w:szCs w:val="20"/>
              </w:rPr>
            </w:pPr>
            <w:r w:rsidRPr="00A34826">
              <w:rPr>
                <w:rFonts w:ascii="David" w:hAnsi="David"/>
                <w:b/>
                <w:bCs/>
                <w:color w:val="FFFFFF" w:themeColor="background1"/>
                <w:sz w:val="20"/>
                <w:szCs w:val="20"/>
                <w:rtl/>
              </w:rPr>
              <w:t>(</w:t>
            </w:r>
            <w:r>
              <w:rPr>
                <w:rFonts w:ascii="David" w:hAnsi="David" w:hint="cs"/>
                <w:b/>
                <w:bCs/>
                <w:color w:val="FFFFFF" w:themeColor="background1"/>
                <w:sz w:val="20"/>
                <w:szCs w:val="20"/>
                <w:rtl/>
              </w:rPr>
              <w:t>ב</w:t>
            </w:r>
            <w:r w:rsidRPr="00A34826">
              <w:rPr>
                <w:rFonts w:eastAsia="Times New Roman" w:hint="eastAsia"/>
                <w:b/>
                <w:bCs/>
                <w:color w:val="FFFFFF" w:themeColor="background1"/>
                <w:sz w:val="20"/>
                <w:szCs w:val="20"/>
                <w:rtl/>
              </w:rPr>
              <w:t>מיליארדי</w:t>
            </w:r>
            <w:r w:rsidRPr="00A34826">
              <w:rPr>
                <w:rFonts w:eastAsia="Times New Roman"/>
                <w:b/>
                <w:bCs/>
                <w:color w:val="FFFFFF" w:themeColor="background1"/>
                <w:sz w:val="20"/>
                <w:szCs w:val="20"/>
                <w:rtl/>
              </w:rPr>
              <w:t xml:space="preserve"> </w:t>
            </w:r>
            <w:r w:rsidRPr="00A34826">
              <w:rPr>
                <w:rFonts w:eastAsia="Times New Roman" w:hint="eastAsia"/>
                <w:b/>
                <w:bCs/>
                <w:color w:val="FFFFFF" w:themeColor="background1"/>
                <w:sz w:val="20"/>
                <w:szCs w:val="20"/>
                <w:rtl/>
              </w:rPr>
              <w:t>ש</w:t>
            </w:r>
            <w:r w:rsidRPr="00A34826">
              <w:rPr>
                <w:rFonts w:eastAsia="Times New Roman"/>
                <w:b/>
                <w:bCs/>
                <w:color w:val="FFFFFF" w:themeColor="background1"/>
                <w:sz w:val="20"/>
                <w:szCs w:val="20"/>
                <w:rtl/>
              </w:rPr>
              <w:t>"ח)</w:t>
            </w:r>
          </w:p>
        </w:tc>
        <w:tc>
          <w:tcPr>
            <w:tcW w:w="1659" w:type="dxa"/>
            <w:tcBorders>
              <w:top w:val="single" w:sz="4" w:space="0" w:color="000000"/>
              <w:left w:val="single" w:sz="4" w:space="0" w:color="000000"/>
              <w:bottom w:val="nil"/>
              <w:right w:val="single" w:sz="4" w:space="0" w:color="000000"/>
            </w:tcBorders>
            <w:shd w:val="clear" w:color="auto" w:fill="1F497D"/>
            <w:tcMar>
              <w:top w:w="15" w:type="dxa"/>
              <w:left w:w="15" w:type="dxa"/>
              <w:bottom w:w="0" w:type="dxa"/>
              <w:right w:w="15" w:type="dxa"/>
            </w:tcMar>
            <w:vAlign w:val="center"/>
            <w:hideMark/>
          </w:tcPr>
          <w:p w:rsidR="006B3A62" w:rsidRPr="00A34826" w:rsidRDefault="006B3A62" w:rsidP="00A34826">
            <w:pPr>
              <w:jc w:val="center"/>
              <w:rPr>
                <w:rFonts w:ascii="David" w:hAnsi="David"/>
                <w:sz w:val="20"/>
                <w:szCs w:val="20"/>
                <w:rtl/>
              </w:rPr>
            </w:pPr>
            <w:r w:rsidRPr="00A34826">
              <w:rPr>
                <w:rFonts w:ascii="David" w:hAnsi="David"/>
                <w:b/>
                <w:bCs/>
                <w:color w:val="FFFFFF" w:themeColor="background1"/>
                <w:sz w:val="20"/>
                <w:szCs w:val="20"/>
                <w:rtl/>
              </w:rPr>
              <w:t>שנת 2019</w:t>
            </w:r>
          </w:p>
        </w:tc>
      </w:tr>
      <w:tr w:rsidR="00DF0FFB" w:rsidRPr="006B3A62" w:rsidTr="00164768">
        <w:trPr>
          <w:trHeight w:val="246"/>
          <w:jc w:val="center"/>
        </w:trPr>
        <w:tc>
          <w:tcPr>
            <w:tcW w:w="4143" w:type="dxa"/>
            <w:tcBorders>
              <w:top w:val="single" w:sz="4" w:space="0" w:color="000000"/>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6B3A62" w:rsidRPr="00E904B4" w:rsidRDefault="006B3A62" w:rsidP="00A34826">
            <w:pPr>
              <w:spacing w:after="0" w:line="240" w:lineRule="auto"/>
              <w:jc w:val="left"/>
              <w:rPr>
                <w:rFonts w:eastAsia="Times New Roman"/>
                <w:sz w:val="20"/>
                <w:szCs w:val="20"/>
                <w:rtl/>
              </w:rPr>
            </w:pPr>
            <w:r w:rsidRPr="00E904B4">
              <w:rPr>
                <w:rFonts w:eastAsia="Times New Roman"/>
                <w:sz w:val="20"/>
                <w:szCs w:val="20"/>
                <w:rtl/>
              </w:rPr>
              <w:t>תחזית הוצאה מקורית</w:t>
            </w:r>
          </w:p>
        </w:tc>
        <w:tc>
          <w:tcPr>
            <w:tcW w:w="1659" w:type="dxa"/>
            <w:tcBorders>
              <w:top w:val="nil"/>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6B3A62" w:rsidRPr="00E904B4" w:rsidRDefault="006B3A62" w:rsidP="00A34826">
            <w:pPr>
              <w:spacing w:after="0" w:line="240" w:lineRule="auto"/>
              <w:jc w:val="center"/>
              <w:rPr>
                <w:rFonts w:eastAsia="Times New Roman"/>
                <w:sz w:val="20"/>
                <w:szCs w:val="20"/>
                <w:rtl/>
              </w:rPr>
            </w:pPr>
            <w:r w:rsidRPr="00E904B4">
              <w:rPr>
                <w:rFonts w:eastAsia="Times New Roman"/>
                <w:sz w:val="20"/>
                <w:szCs w:val="20"/>
                <w:rtl/>
              </w:rPr>
              <w:t>397.4</w:t>
            </w:r>
          </w:p>
        </w:tc>
      </w:tr>
      <w:tr w:rsidR="00DF0FFB" w:rsidRPr="006B3A62" w:rsidTr="00164768">
        <w:trPr>
          <w:trHeight w:val="121"/>
          <w:jc w:val="center"/>
        </w:trPr>
        <w:tc>
          <w:tcPr>
            <w:tcW w:w="4143" w:type="dxa"/>
            <w:tcBorders>
              <w:top w:val="nil"/>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6B3A62" w:rsidRPr="00E904B4" w:rsidRDefault="006B3A62" w:rsidP="00A34826">
            <w:pPr>
              <w:spacing w:after="0" w:line="240" w:lineRule="auto"/>
              <w:jc w:val="left"/>
              <w:rPr>
                <w:rFonts w:eastAsia="Times New Roman"/>
                <w:sz w:val="20"/>
                <w:szCs w:val="20"/>
                <w:rtl/>
              </w:rPr>
            </w:pPr>
            <w:r w:rsidRPr="00E904B4">
              <w:rPr>
                <w:rFonts w:eastAsia="Times New Roman"/>
                <w:sz w:val="20"/>
                <w:szCs w:val="20"/>
                <w:rtl/>
              </w:rPr>
              <w:t>תחזית הוצאה עדכנית</w:t>
            </w:r>
          </w:p>
        </w:tc>
        <w:tc>
          <w:tcPr>
            <w:tcW w:w="1659" w:type="dxa"/>
            <w:tcBorders>
              <w:top w:val="nil"/>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6B3A62" w:rsidRPr="00E904B4" w:rsidRDefault="006B3A62" w:rsidP="00A34826">
            <w:pPr>
              <w:spacing w:after="0" w:line="240" w:lineRule="auto"/>
              <w:jc w:val="center"/>
              <w:rPr>
                <w:rFonts w:eastAsia="Times New Roman"/>
                <w:sz w:val="20"/>
                <w:szCs w:val="20"/>
                <w:rtl/>
              </w:rPr>
            </w:pPr>
            <w:r w:rsidRPr="00E904B4">
              <w:rPr>
                <w:rFonts w:eastAsia="Times New Roman"/>
                <w:sz w:val="20"/>
                <w:szCs w:val="20"/>
                <w:rtl/>
              </w:rPr>
              <w:t>400.7</w:t>
            </w:r>
          </w:p>
        </w:tc>
      </w:tr>
      <w:tr w:rsidR="00DF0FFB" w:rsidRPr="006B3A62" w:rsidTr="00164768">
        <w:trPr>
          <w:trHeight w:val="121"/>
          <w:jc w:val="center"/>
        </w:trPr>
        <w:tc>
          <w:tcPr>
            <w:tcW w:w="4143" w:type="dxa"/>
            <w:tcBorders>
              <w:top w:val="nil"/>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6B3A62" w:rsidRPr="00E904B4" w:rsidRDefault="006B3A62" w:rsidP="00A34826">
            <w:pPr>
              <w:spacing w:after="0" w:line="240" w:lineRule="auto"/>
              <w:jc w:val="left"/>
              <w:rPr>
                <w:rFonts w:eastAsia="Times New Roman"/>
                <w:sz w:val="20"/>
                <w:szCs w:val="20"/>
                <w:rtl/>
              </w:rPr>
            </w:pPr>
            <w:r w:rsidRPr="00E904B4">
              <w:rPr>
                <w:rFonts w:eastAsia="Times New Roman"/>
                <w:sz w:val="20"/>
                <w:szCs w:val="20"/>
                <w:rtl/>
              </w:rPr>
              <w:t>----------------------------</w:t>
            </w:r>
          </w:p>
        </w:tc>
        <w:tc>
          <w:tcPr>
            <w:tcW w:w="1659" w:type="dxa"/>
            <w:tcBorders>
              <w:top w:val="nil"/>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6B3A62" w:rsidRPr="00E904B4" w:rsidRDefault="006B3A62" w:rsidP="00A34826">
            <w:pPr>
              <w:spacing w:after="0" w:line="240" w:lineRule="auto"/>
              <w:jc w:val="center"/>
              <w:rPr>
                <w:rFonts w:eastAsia="Times New Roman"/>
                <w:sz w:val="20"/>
                <w:szCs w:val="20"/>
                <w:rtl/>
              </w:rPr>
            </w:pPr>
            <w:r w:rsidRPr="00E904B4">
              <w:rPr>
                <w:rFonts w:eastAsia="Times New Roman"/>
                <w:sz w:val="20"/>
                <w:szCs w:val="20"/>
                <w:rtl/>
              </w:rPr>
              <w:t>---------------</w:t>
            </w:r>
          </w:p>
        </w:tc>
      </w:tr>
      <w:tr w:rsidR="00DF0FFB" w:rsidRPr="006B3A62" w:rsidTr="00164768">
        <w:trPr>
          <w:trHeight w:val="121"/>
          <w:jc w:val="center"/>
        </w:trPr>
        <w:tc>
          <w:tcPr>
            <w:tcW w:w="4143" w:type="dxa"/>
            <w:tcBorders>
              <w:top w:val="nil"/>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6B3A62" w:rsidRPr="00E904B4" w:rsidRDefault="006B3A62" w:rsidP="00A34826">
            <w:pPr>
              <w:spacing w:after="0" w:line="240" w:lineRule="auto"/>
              <w:jc w:val="left"/>
              <w:rPr>
                <w:rFonts w:eastAsia="Times New Roman"/>
                <w:sz w:val="20"/>
                <w:szCs w:val="20"/>
                <w:rtl/>
              </w:rPr>
            </w:pPr>
            <w:r w:rsidRPr="00E904B4">
              <w:rPr>
                <w:rFonts w:eastAsia="Times New Roman"/>
                <w:sz w:val="20"/>
                <w:szCs w:val="20"/>
                <w:rtl/>
              </w:rPr>
              <w:t>הוצאה לחישוב מגבלת הגרעון</w:t>
            </w:r>
          </w:p>
        </w:tc>
        <w:tc>
          <w:tcPr>
            <w:tcW w:w="1659" w:type="dxa"/>
            <w:tcBorders>
              <w:top w:val="nil"/>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6B3A62" w:rsidRPr="00E904B4" w:rsidRDefault="006B3A62" w:rsidP="00A34826">
            <w:pPr>
              <w:spacing w:after="0" w:line="240" w:lineRule="auto"/>
              <w:jc w:val="center"/>
              <w:rPr>
                <w:rFonts w:eastAsia="Times New Roman"/>
                <w:sz w:val="20"/>
                <w:szCs w:val="20"/>
                <w:rtl/>
              </w:rPr>
            </w:pPr>
            <w:r w:rsidRPr="00E904B4">
              <w:rPr>
                <w:rFonts w:eastAsia="Times New Roman"/>
                <w:sz w:val="20"/>
                <w:szCs w:val="20"/>
                <w:rtl/>
              </w:rPr>
              <w:t>400</w:t>
            </w:r>
            <w:r w:rsidR="00DF0FFB" w:rsidRPr="00E904B4">
              <w:rPr>
                <w:rFonts w:eastAsia="Times New Roman"/>
                <w:sz w:val="20"/>
                <w:szCs w:val="20"/>
                <w:rtl/>
              </w:rPr>
              <w:t>.2</w:t>
            </w:r>
          </w:p>
        </w:tc>
      </w:tr>
      <w:tr w:rsidR="00DF0FFB" w:rsidRPr="006B3A62" w:rsidTr="00164768">
        <w:trPr>
          <w:trHeight w:val="121"/>
          <w:jc w:val="center"/>
        </w:trPr>
        <w:tc>
          <w:tcPr>
            <w:tcW w:w="4143" w:type="dxa"/>
            <w:tcBorders>
              <w:top w:val="nil"/>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6B3A62" w:rsidRPr="00E904B4" w:rsidRDefault="006B3A62" w:rsidP="00A34826">
            <w:pPr>
              <w:spacing w:after="0" w:line="240" w:lineRule="auto"/>
              <w:jc w:val="left"/>
              <w:rPr>
                <w:rFonts w:eastAsia="Times New Roman"/>
                <w:sz w:val="20"/>
                <w:szCs w:val="20"/>
                <w:rtl/>
              </w:rPr>
            </w:pPr>
            <w:r w:rsidRPr="00E904B4">
              <w:rPr>
                <w:rFonts w:eastAsia="Times New Roman"/>
                <w:sz w:val="20"/>
                <w:szCs w:val="20"/>
                <w:rtl/>
              </w:rPr>
              <w:t>תחזית הכנסות המדינה</w:t>
            </w:r>
          </w:p>
        </w:tc>
        <w:tc>
          <w:tcPr>
            <w:tcW w:w="1659" w:type="dxa"/>
            <w:tcBorders>
              <w:top w:val="nil"/>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6B3A62" w:rsidRPr="00E904B4" w:rsidRDefault="006B3A62" w:rsidP="00A34826">
            <w:pPr>
              <w:spacing w:after="0" w:line="240" w:lineRule="auto"/>
              <w:jc w:val="center"/>
              <w:rPr>
                <w:rFonts w:eastAsia="Times New Roman"/>
                <w:sz w:val="20"/>
                <w:szCs w:val="20"/>
                <w:rtl/>
              </w:rPr>
            </w:pPr>
            <w:r w:rsidRPr="00E904B4">
              <w:rPr>
                <w:rFonts w:eastAsia="Times New Roman"/>
                <w:sz w:val="20"/>
                <w:szCs w:val="20"/>
                <w:rtl/>
              </w:rPr>
              <w:t>35</w:t>
            </w:r>
            <w:r w:rsidR="00CB651C" w:rsidRPr="00E904B4">
              <w:rPr>
                <w:rFonts w:eastAsia="Times New Roman"/>
                <w:sz w:val="20"/>
                <w:szCs w:val="20"/>
                <w:rtl/>
              </w:rPr>
              <w:t>0</w:t>
            </w:r>
            <w:r w:rsidRPr="00E904B4">
              <w:rPr>
                <w:rFonts w:eastAsia="Times New Roman"/>
                <w:sz w:val="20"/>
                <w:szCs w:val="20"/>
                <w:rtl/>
              </w:rPr>
              <w:t>.</w:t>
            </w:r>
            <w:r w:rsidR="00CB651C" w:rsidRPr="00E904B4">
              <w:rPr>
                <w:rFonts w:eastAsia="Times New Roman"/>
                <w:sz w:val="20"/>
                <w:szCs w:val="20"/>
                <w:rtl/>
              </w:rPr>
              <w:t>2</w:t>
            </w:r>
          </w:p>
        </w:tc>
      </w:tr>
      <w:tr w:rsidR="00DF0FFB" w:rsidRPr="006B3A62" w:rsidTr="00164768">
        <w:trPr>
          <w:trHeight w:val="121"/>
          <w:jc w:val="center"/>
        </w:trPr>
        <w:tc>
          <w:tcPr>
            <w:tcW w:w="4143" w:type="dxa"/>
            <w:tcBorders>
              <w:top w:val="nil"/>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6B3A62" w:rsidRPr="00E904B4" w:rsidRDefault="006B3A62" w:rsidP="00A34826">
            <w:pPr>
              <w:spacing w:after="0" w:line="240" w:lineRule="auto"/>
              <w:jc w:val="left"/>
              <w:rPr>
                <w:rFonts w:eastAsia="Times New Roman"/>
                <w:sz w:val="20"/>
                <w:szCs w:val="20"/>
                <w:rtl/>
              </w:rPr>
            </w:pPr>
            <w:r w:rsidRPr="00E904B4">
              <w:rPr>
                <w:rFonts w:eastAsia="Times New Roman"/>
                <w:sz w:val="20"/>
                <w:szCs w:val="20"/>
                <w:rtl/>
              </w:rPr>
              <w:t>----------------------------</w:t>
            </w:r>
          </w:p>
        </w:tc>
        <w:tc>
          <w:tcPr>
            <w:tcW w:w="1659" w:type="dxa"/>
            <w:tcBorders>
              <w:top w:val="nil"/>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6B3A62" w:rsidRPr="00E904B4" w:rsidRDefault="006B3A62" w:rsidP="00A34826">
            <w:pPr>
              <w:spacing w:after="0" w:line="240" w:lineRule="auto"/>
              <w:jc w:val="center"/>
              <w:rPr>
                <w:rFonts w:eastAsia="Times New Roman"/>
                <w:sz w:val="20"/>
                <w:szCs w:val="20"/>
                <w:rtl/>
              </w:rPr>
            </w:pPr>
            <w:r w:rsidRPr="00E904B4">
              <w:rPr>
                <w:rFonts w:eastAsia="Times New Roman"/>
                <w:sz w:val="20"/>
                <w:szCs w:val="20"/>
                <w:rtl/>
              </w:rPr>
              <w:t>---------------</w:t>
            </w:r>
          </w:p>
        </w:tc>
      </w:tr>
      <w:tr w:rsidR="00DF0FFB" w:rsidRPr="006B3A62" w:rsidTr="00164768">
        <w:trPr>
          <w:trHeight w:val="121"/>
          <w:jc w:val="center"/>
        </w:trPr>
        <w:tc>
          <w:tcPr>
            <w:tcW w:w="4143" w:type="dxa"/>
            <w:tcBorders>
              <w:top w:val="nil"/>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6B3A62" w:rsidRPr="00E904B4" w:rsidRDefault="006B3A62" w:rsidP="00A34826">
            <w:pPr>
              <w:spacing w:after="0" w:line="240" w:lineRule="auto"/>
              <w:jc w:val="left"/>
              <w:rPr>
                <w:rFonts w:eastAsia="Times New Roman"/>
                <w:sz w:val="20"/>
                <w:szCs w:val="20"/>
                <w:rtl/>
              </w:rPr>
            </w:pPr>
            <w:r w:rsidRPr="00E904B4">
              <w:rPr>
                <w:rFonts w:eastAsia="Times New Roman"/>
                <w:sz w:val="20"/>
                <w:szCs w:val="20"/>
                <w:rtl/>
              </w:rPr>
              <w:t xml:space="preserve">גרעון </w:t>
            </w:r>
            <w:r w:rsidR="00B16B2F" w:rsidRPr="00E904B4">
              <w:rPr>
                <w:rFonts w:eastAsia="Times New Roman" w:hint="eastAsia"/>
                <w:sz w:val="20"/>
                <w:szCs w:val="20"/>
                <w:rtl/>
              </w:rPr>
              <w:t>תוצאתי</w:t>
            </w:r>
          </w:p>
        </w:tc>
        <w:tc>
          <w:tcPr>
            <w:tcW w:w="1659" w:type="dxa"/>
            <w:tcBorders>
              <w:top w:val="nil"/>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6B3A62" w:rsidRPr="00E904B4" w:rsidRDefault="00CB651C" w:rsidP="00A34826">
            <w:pPr>
              <w:spacing w:after="0" w:line="240" w:lineRule="auto"/>
              <w:jc w:val="center"/>
              <w:rPr>
                <w:rFonts w:eastAsia="Times New Roman"/>
                <w:sz w:val="20"/>
                <w:szCs w:val="20"/>
                <w:rtl/>
              </w:rPr>
            </w:pPr>
            <w:r w:rsidRPr="00E904B4">
              <w:rPr>
                <w:rFonts w:eastAsia="Times New Roman"/>
                <w:sz w:val="20"/>
                <w:szCs w:val="20"/>
                <w:rtl/>
              </w:rPr>
              <w:t>50</w:t>
            </w:r>
            <w:r w:rsidR="006B3A62" w:rsidRPr="00E904B4">
              <w:rPr>
                <w:rFonts w:eastAsia="Times New Roman"/>
                <w:sz w:val="20"/>
                <w:szCs w:val="20"/>
                <w:rtl/>
              </w:rPr>
              <w:t>.</w:t>
            </w:r>
            <w:r w:rsidRPr="00E904B4">
              <w:rPr>
                <w:rFonts w:eastAsia="Times New Roman"/>
                <w:sz w:val="20"/>
                <w:szCs w:val="20"/>
                <w:rtl/>
              </w:rPr>
              <w:t>0</w:t>
            </w:r>
          </w:p>
        </w:tc>
      </w:tr>
      <w:tr w:rsidR="00DF0FFB" w:rsidRPr="006B3A62" w:rsidTr="00164768">
        <w:trPr>
          <w:trHeight w:val="121"/>
          <w:jc w:val="center"/>
        </w:trPr>
        <w:tc>
          <w:tcPr>
            <w:tcW w:w="4143" w:type="dxa"/>
            <w:tcBorders>
              <w:top w:val="nil"/>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6B3A62" w:rsidRPr="00E904B4" w:rsidRDefault="006B3A62" w:rsidP="00A34826">
            <w:pPr>
              <w:spacing w:after="0" w:line="240" w:lineRule="auto"/>
              <w:jc w:val="left"/>
              <w:rPr>
                <w:rFonts w:eastAsia="Times New Roman"/>
                <w:sz w:val="20"/>
                <w:szCs w:val="20"/>
                <w:rtl/>
              </w:rPr>
            </w:pPr>
            <w:r w:rsidRPr="00E904B4">
              <w:rPr>
                <w:rFonts w:eastAsia="Times New Roman"/>
                <w:sz w:val="20"/>
                <w:szCs w:val="20"/>
                <w:rtl/>
              </w:rPr>
              <w:t>גרעון מותר לפי חוק המסגרות</w:t>
            </w:r>
          </w:p>
        </w:tc>
        <w:tc>
          <w:tcPr>
            <w:tcW w:w="1659" w:type="dxa"/>
            <w:tcBorders>
              <w:top w:val="nil"/>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6B3A62" w:rsidRPr="00E904B4" w:rsidRDefault="006B3A62" w:rsidP="00A34826">
            <w:pPr>
              <w:spacing w:after="0" w:line="240" w:lineRule="auto"/>
              <w:jc w:val="center"/>
              <w:rPr>
                <w:rFonts w:eastAsia="Times New Roman"/>
                <w:sz w:val="20"/>
                <w:szCs w:val="20"/>
                <w:rtl/>
              </w:rPr>
            </w:pPr>
            <w:r w:rsidRPr="00E904B4">
              <w:rPr>
                <w:rFonts w:eastAsia="Times New Roman"/>
                <w:sz w:val="20"/>
                <w:szCs w:val="20"/>
                <w:rtl/>
              </w:rPr>
              <w:t>40.0</w:t>
            </w:r>
          </w:p>
        </w:tc>
      </w:tr>
      <w:tr w:rsidR="00DF0FFB" w:rsidRPr="006B3A62" w:rsidTr="00164768">
        <w:trPr>
          <w:trHeight w:val="121"/>
          <w:jc w:val="center"/>
        </w:trPr>
        <w:tc>
          <w:tcPr>
            <w:tcW w:w="4143" w:type="dxa"/>
            <w:tcBorders>
              <w:top w:val="nil"/>
              <w:left w:val="single" w:sz="4" w:space="0" w:color="000000"/>
              <w:right w:val="single" w:sz="4" w:space="0" w:color="000000"/>
            </w:tcBorders>
            <w:shd w:val="clear" w:color="auto" w:fill="auto"/>
            <w:tcMar>
              <w:top w:w="15" w:type="dxa"/>
              <w:left w:w="15" w:type="dxa"/>
              <w:bottom w:w="0" w:type="dxa"/>
              <w:right w:w="15" w:type="dxa"/>
            </w:tcMar>
            <w:vAlign w:val="center"/>
            <w:hideMark/>
          </w:tcPr>
          <w:p w:rsidR="006B3A62" w:rsidRPr="00E904B4" w:rsidRDefault="006B3A62" w:rsidP="00A34826">
            <w:pPr>
              <w:spacing w:after="0" w:line="240" w:lineRule="auto"/>
              <w:jc w:val="left"/>
              <w:rPr>
                <w:rFonts w:eastAsia="Times New Roman"/>
                <w:sz w:val="20"/>
                <w:szCs w:val="20"/>
                <w:rtl/>
              </w:rPr>
            </w:pPr>
            <w:r w:rsidRPr="00E904B4">
              <w:rPr>
                <w:rFonts w:eastAsia="Times New Roman"/>
                <w:sz w:val="20"/>
                <w:szCs w:val="20"/>
                <w:rtl/>
              </w:rPr>
              <w:t>----------------------------</w:t>
            </w:r>
          </w:p>
        </w:tc>
        <w:tc>
          <w:tcPr>
            <w:tcW w:w="1659" w:type="dxa"/>
            <w:tcBorders>
              <w:top w:val="nil"/>
              <w:left w:val="single" w:sz="4" w:space="0" w:color="000000"/>
              <w:right w:val="single" w:sz="4" w:space="0" w:color="000000"/>
            </w:tcBorders>
            <w:shd w:val="clear" w:color="auto" w:fill="auto"/>
            <w:tcMar>
              <w:top w:w="15" w:type="dxa"/>
              <w:left w:w="15" w:type="dxa"/>
              <w:bottom w:w="0" w:type="dxa"/>
              <w:right w:w="15" w:type="dxa"/>
            </w:tcMar>
            <w:vAlign w:val="center"/>
            <w:hideMark/>
          </w:tcPr>
          <w:p w:rsidR="006B3A62" w:rsidRPr="00E904B4" w:rsidRDefault="006B3A62" w:rsidP="00A34826">
            <w:pPr>
              <w:spacing w:after="0" w:line="240" w:lineRule="auto"/>
              <w:jc w:val="center"/>
              <w:rPr>
                <w:rFonts w:eastAsia="Times New Roman"/>
                <w:sz w:val="20"/>
                <w:szCs w:val="20"/>
                <w:rtl/>
              </w:rPr>
            </w:pPr>
            <w:r w:rsidRPr="00E904B4">
              <w:rPr>
                <w:rFonts w:eastAsia="Times New Roman"/>
                <w:sz w:val="20"/>
                <w:szCs w:val="20"/>
                <w:rtl/>
              </w:rPr>
              <w:t>---------------</w:t>
            </w:r>
          </w:p>
        </w:tc>
      </w:tr>
      <w:tr w:rsidR="00DF0FFB" w:rsidRPr="006B3A62" w:rsidTr="00164768">
        <w:trPr>
          <w:trHeight w:val="121"/>
          <w:jc w:val="center"/>
        </w:trPr>
        <w:tc>
          <w:tcPr>
            <w:tcW w:w="4143" w:type="dxa"/>
            <w:tcBorders>
              <w:top w:val="nil"/>
              <w:left w:val="single" w:sz="4" w:space="0" w:color="000000"/>
              <w:right w:val="single" w:sz="4" w:space="0" w:color="000000"/>
            </w:tcBorders>
            <w:shd w:val="clear" w:color="auto" w:fill="auto"/>
            <w:tcMar>
              <w:top w:w="15" w:type="dxa"/>
              <w:left w:w="15" w:type="dxa"/>
              <w:bottom w:w="0" w:type="dxa"/>
              <w:right w:w="15" w:type="dxa"/>
            </w:tcMar>
            <w:vAlign w:val="center"/>
            <w:hideMark/>
          </w:tcPr>
          <w:p w:rsidR="006B3A62" w:rsidRPr="00E904B4" w:rsidRDefault="006B3A62" w:rsidP="00A34826">
            <w:pPr>
              <w:spacing w:after="0" w:line="240" w:lineRule="auto"/>
              <w:jc w:val="left"/>
              <w:rPr>
                <w:rFonts w:eastAsia="Times New Roman"/>
                <w:sz w:val="20"/>
                <w:szCs w:val="20"/>
                <w:rtl/>
              </w:rPr>
            </w:pPr>
            <w:r w:rsidRPr="00E904B4">
              <w:rPr>
                <w:rFonts w:eastAsia="Times New Roman"/>
                <w:sz w:val="20"/>
                <w:szCs w:val="20"/>
                <w:rtl/>
              </w:rPr>
              <w:t>גרעון מותר באחוזי תוצר</w:t>
            </w:r>
          </w:p>
        </w:tc>
        <w:tc>
          <w:tcPr>
            <w:tcW w:w="1659" w:type="dxa"/>
            <w:tcBorders>
              <w:top w:val="nil"/>
              <w:left w:val="single" w:sz="4" w:space="0" w:color="000000"/>
              <w:right w:val="single" w:sz="4" w:space="0" w:color="000000"/>
            </w:tcBorders>
            <w:shd w:val="clear" w:color="auto" w:fill="auto"/>
            <w:tcMar>
              <w:top w:w="15" w:type="dxa"/>
              <w:left w:w="15" w:type="dxa"/>
              <w:bottom w:w="0" w:type="dxa"/>
              <w:right w:w="15" w:type="dxa"/>
            </w:tcMar>
            <w:vAlign w:val="center"/>
            <w:hideMark/>
          </w:tcPr>
          <w:p w:rsidR="006B3A62" w:rsidRPr="00E904B4" w:rsidRDefault="006B3A62" w:rsidP="00A34826">
            <w:pPr>
              <w:spacing w:after="0" w:line="240" w:lineRule="auto"/>
              <w:jc w:val="center"/>
              <w:rPr>
                <w:rFonts w:eastAsia="Times New Roman"/>
                <w:sz w:val="20"/>
                <w:szCs w:val="20"/>
                <w:rtl/>
              </w:rPr>
            </w:pPr>
            <w:r w:rsidRPr="00E904B4">
              <w:rPr>
                <w:rFonts w:eastAsia="Times New Roman"/>
                <w:sz w:val="20"/>
                <w:szCs w:val="20"/>
                <w:rtl/>
              </w:rPr>
              <w:t>2.9%</w:t>
            </w:r>
          </w:p>
        </w:tc>
      </w:tr>
      <w:tr w:rsidR="00DF0FFB" w:rsidRPr="006B3A62" w:rsidTr="00164768">
        <w:trPr>
          <w:trHeight w:val="121"/>
          <w:jc w:val="center"/>
        </w:trPr>
        <w:tc>
          <w:tcPr>
            <w:tcW w:w="4143" w:type="dxa"/>
            <w:tcBorders>
              <w:top w:val="nil"/>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6B3A62" w:rsidRPr="00E25C34" w:rsidRDefault="006B3A62" w:rsidP="00A34826">
            <w:pPr>
              <w:spacing w:after="0" w:line="240" w:lineRule="auto"/>
              <w:jc w:val="left"/>
              <w:rPr>
                <w:rFonts w:eastAsia="Times New Roman"/>
                <w:b/>
                <w:bCs/>
                <w:sz w:val="20"/>
                <w:szCs w:val="20"/>
                <w:rtl/>
              </w:rPr>
            </w:pPr>
            <w:r w:rsidRPr="00E25C34">
              <w:rPr>
                <w:rFonts w:eastAsia="Times New Roman"/>
                <w:b/>
                <w:bCs/>
                <w:sz w:val="20"/>
                <w:szCs w:val="20"/>
                <w:rtl/>
              </w:rPr>
              <w:t>גרעון תוצאתי</w:t>
            </w:r>
            <w:r w:rsidR="00B16B2F" w:rsidRPr="00E25C34">
              <w:rPr>
                <w:rFonts w:eastAsia="Times New Roman"/>
                <w:b/>
                <w:bCs/>
                <w:sz w:val="20"/>
                <w:szCs w:val="20"/>
                <w:rtl/>
              </w:rPr>
              <w:t xml:space="preserve"> באחוזי תוצר</w:t>
            </w:r>
          </w:p>
        </w:tc>
        <w:tc>
          <w:tcPr>
            <w:tcW w:w="1659" w:type="dxa"/>
            <w:tcBorders>
              <w:top w:val="nil"/>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6B3A62" w:rsidRPr="00E25C34" w:rsidRDefault="006B3A62" w:rsidP="00A34826">
            <w:pPr>
              <w:spacing w:after="0" w:line="240" w:lineRule="auto"/>
              <w:jc w:val="center"/>
              <w:rPr>
                <w:rFonts w:eastAsia="Times New Roman"/>
                <w:b/>
                <w:bCs/>
                <w:sz w:val="20"/>
                <w:szCs w:val="20"/>
                <w:rtl/>
              </w:rPr>
            </w:pPr>
            <w:r w:rsidRPr="00E25C34">
              <w:rPr>
                <w:rFonts w:eastAsia="Times New Roman"/>
                <w:b/>
                <w:bCs/>
                <w:sz w:val="20"/>
                <w:szCs w:val="20"/>
                <w:rtl/>
              </w:rPr>
              <w:t>3.6%</w:t>
            </w:r>
          </w:p>
        </w:tc>
      </w:tr>
      <w:tr w:rsidR="00E25C34" w:rsidRPr="006B3A62" w:rsidTr="00164768">
        <w:trPr>
          <w:trHeight w:val="507"/>
          <w:jc w:val="center"/>
        </w:trPr>
        <w:tc>
          <w:tcPr>
            <w:tcW w:w="4143" w:type="dxa"/>
            <w:tcBorders>
              <w:top w:val="nil"/>
              <w:left w:val="single" w:sz="4" w:space="0" w:color="000000"/>
              <w:bottom w:val="single" w:sz="4" w:space="0" w:color="auto"/>
              <w:right w:val="single" w:sz="4" w:space="0" w:color="000000"/>
            </w:tcBorders>
            <w:shd w:val="clear" w:color="auto" w:fill="auto"/>
            <w:tcMar>
              <w:top w:w="15" w:type="dxa"/>
              <w:left w:w="15" w:type="dxa"/>
              <w:bottom w:w="0" w:type="dxa"/>
              <w:right w:w="15" w:type="dxa"/>
            </w:tcMar>
            <w:vAlign w:val="center"/>
          </w:tcPr>
          <w:p w:rsidR="00E25C34" w:rsidRPr="00E25C34" w:rsidRDefault="00E25C34" w:rsidP="003A4447">
            <w:pPr>
              <w:spacing w:after="0" w:line="240" w:lineRule="auto"/>
              <w:jc w:val="left"/>
              <w:rPr>
                <w:rFonts w:eastAsia="Times New Roman"/>
                <w:b/>
                <w:bCs/>
                <w:sz w:val="20"/>
                <w:szCs w:val="20"/>
                <w:rtl/>
              </w:rPr>
            </w:pPr>
            <w:r w:rsidRPr="00E25C34">
              <w:rPr>
                <w:rFonts w:eastAsia="Times New Roman"/>
                <w:b/>
                <w:bCs/>
                <w:sz w:val="20"/>
                <w:szCs w:val="20"/>
                <w:rtl/>
              </w:rPr>
              <w:t>גרעון לאחר שימוש ברזרבת ההתאמות להפחתת הגרעון</w:t>
            </w:r>
          </w:p>
        </w:tc>
        <w:tc>
          <w:tcPr>
            <w:tcW w:w="1659" w:type="dxa"/>
            <w:tcBorders>
              <w:top w:val="nil"/>
              <w:left w:val="single" w:sz="4" w:space="0" w:color="000000"/>
              <w:bottom w:val="single" w:sz="4" w:space="0" w:color="auto"/>
              <w:right w:val="single" w:sz="4" w:space="0" w:color="000000"/>
            </w:tcBorders>
            <w:shd w:val="clear" w:color="auto" w:fill="auto"/>
            <w:tcMar>
              <w:top w:w="15" w:type="dxa"/>
              <w:left w:w="15" w:type="dxa"/>
              <w:bottom w:w="0" w:type="dxa"/>
              <w:right w:w="15" w:type="dxa"/>
            </w:tcMar>
            <w:vAlign w:val="center"/>
          </w:tcPr>
          <w:p w:rsidR="00E25C34" w:rsidRPr="00E25C34" w:rsidRDefault="00E25C34" w:rsidP="00A34826">
            <w:pPr>
              <w:spacing w:after="0" w:line="240" w:lineRule="auto"/>
              <w:jc w:val="center"/>
              <w:rPr>
                <w:rFonts w:eastAsia="Times New Roman"/>
                <w:b/>
                <w:bCs/>
                <w:sz w:val="20"/>
                <w:szCs w:val="20"/>
                <w:rtl/>
              </w:rPr>
            </w:pPr>
            <w:r w:rsidRPr="00E25C34">
              <w:rPr>
                <w:rFonts w:eastAsia="Times New Roman"/>
                <w:b/>
                <w:bCs/>
                <w:sz w:val="20"/>
                <w:szCs w:val="20"/>
                <w:rtl/>
              </w:rPr>
              <w:t>3.5%</w:t>
            </w:r>
          </w:p>
        </w:tc>
      </w:tr>
    </w:tbl>
    <w:p w:rsidR="007B0452" w:rsidRDefault="007B0452" w:rsidP="0019343C">
      <w:pPr>
        <w:rPr>
          <w:rtl/>
        </w:rPr>
      </w:pPr>
    </w:p>
    <w:p w:rsidR="0019343C" w:rsidRDefault="0019343C" w:rsidP="00A34826">
      <w:pPr>
        <w:rPr>
          <w:rtl/>
        </w:rPr>
      </w:pPr>
      <w:r>
        <w:rPr>
          <w:rFonts w:hint="cs"/>
          <w:rtl/>
        </w:rPr>
        <w:t xml:space="preserve">יש לציין כי </w:t>
      </w:r>
      <w:r>
        <w:rPr>
          <w:rtl/>
        </w:rPr>
        <w:t>תקציב המדינה לשנת 2019 אושר בממשלה, ביום 11 בינואר 2018. בהתאם לכך</w:t>
      </w:r>
      <w:r>
        <w:rPr>
          <w:rFonts w:hint="cs"/>
          <w:rtl/>
        </w:rPr>
        <w:t>,</w:t>
      </w:r>
      <w:r>
        <w:rPr>
          <w:rtl/>
        </w:rPr>
        <w:t xml:space="preserve"> הנתונים עליהם מתבסס התקציב המאושר לשנת 2019 גובשו </w:t>
      </w:r>
      <w:r w:rsidR="005971AC">
        <w:rPr>
          <w:rFonts w:hint="cs"/>
          <w:rtl/>
        </w:rPr>
        <w:t>יותר משנה</w:t>
      </w:r>
      <w:r>
        <w:rPr>
          <w:rtl/>
        </w:rPr>
        <w:t xml:space="preserve"> לפני תחילתה של שנת </w:t>
      </w:r>
      <w:r>
        <w:rPr>
          <w:rtl/>
        </w:rPr>
        <w:lastRenderedPageBreak/>
        <w:t xml:space="preserve">התקציב 2019. </w:t>
      </w:r>
      <w:r>
        <w:rPr>
          <w:rFonts w:hint="cs"/>
          <w:rtl/>
        </w:rPr>
        <w:t>לפיכך, חלו</w:t>
      </w:r>
      <w:r>
        <w:rPr>
          <w:rtl/>
        </w:rPr>
        <w:t xml:space="preserve"> שינויים בהנחות העבודה ביחס לתקציב בין מועד הכנת התקציב לשנת 2019 ואישורו למועד תחילת העבודה לפי תקציב זה, עם תחילה של השנה הקלנדרית.</w:t>
      </w:r>
    </w:p>
    <w:p w:rsidR="00244A79" w:rsidRDefault="0019343C" w:rsidP="00F015FF">
      <w:pPr>
        <w:rPr>
          <w:rtl/>
        </w:rPr>
      </w:pPr>
      <w:r w:rsidRPr="003D4BB3">
        <w:rPr>
          <w:rtl/>
        </w:rPr>
        <w:t>יוער כי נוכח קצב ביצוע התקציב הגבוה בשנת 2018 והשינויים בהנחות המפורטים להלן ביחס לשנים 2019 ואילך, ניתן להעריך ברמת ודאות גבוהה, כבר בשלב זה, כי היקף ההוצאה התקציבית בשנת 2019 צפוי לעמוד על</w:t>
      </w:r>
      <w:r>
        <w:rPr>
          <w:rFonts w:hint="cs"/>
          <w:rtl/>
        </w:rPr>
        <w:t xml:space="preserve"> קרוב ל-101% </w:t>
      </w:r>
      <w:r w:rsidRPr="003D4BB3">
        <w:rPr>
          <w:rtl/>
        </w:rPr>
        <w:t>מתוך תקציבי המשרדים.</w:t>
      </w:r>
      <w:r w:rsidR="00955AE2">
        <w:rPr>
          <w:rFonts w:hint="cs"/>
          <w:rtl/>
        </w:rPr>
        <w:t xml:space="preserve"> </w:t>
      </w:r>
      <w:r w:rsidR="00F015FF">
        <w:rPr>
          <w:rFonts w:hint="cs"/>
          <w:rtl/>
        </w:rPr>
        <w:t>על כן, עשויים להידרש צעדים לריסון ההוצאה בשנת 2019 בשים לב לקצב הביצוע בפועל ובכפוף למגבלות הקבועות בחוק התקציב</w:t>
      </w:r>
      <w:r w:rsidR="00955AE2">
        <w:rPr>
          <w:rFonts w:hint="cs"/>
          <w:rtl/>
        </w:rPr>
        <w:t>.</w:t>
      </w:r>
    </w:p>
    <w:p w:rsidR="0019343C" w:rsidRDefault="00FB2B04" w:rsidP="00AB5D4C">
      <w:pPr>
        <w:rPr>
          <w:rtl/>
        </w:rPr>
      </w:pPr>
      <w:r w:rsidRPr="002A1867">
        <w:rPr>
          <w:rStyle w:val="HeadHatzaotHok0"/>
          <w:rFonts w:ascii="David" w:eastAsia="MS Mincho" w:hAnsi="David"/>
          <w:snapToGrid w:val="0"/>
          <w:sz w:val="18"/>
          <w:rtl/>
        </w:rPr>
        <w:t>עיקרי השינויים בתחזית ההוצאה לשנת 201</w:t>
      </w:r>
      <w:r>
        <w:rPr>
          <w:rStyle w:val="HeadHatzaotHok0"/>
          <w:rFonts w:ascii="David" w:eastAsia="MS Mincho" w:hAnsi="David" w:hint="cs"/>
          <w:snapToGrid w:val="0"/>
          <w:sz w:val="18"/>
          <w:rtl/>
        </w:rPr>
        <w:t>9</w:t>
      </w:r>
      <w:r w:rsidRPr="002A1867">
        <w:rPr>
          <w:rStyle w:val="HeadHatzaotHok0"/>
          <w:rFonts w:ascii="David" w:eastAsia="MS Mincho" w:hAnsi="David"/>
          <w:snapToGrid w:val="0"/>
          <w:sz w:val="18"/>
          <w:rtl/>
        </w:rPr>
        <w:t xml:space="preserve"> נובעים מ</w:t>
      </w:r>
      <w:r w:rsidR="005971AC">
        <w:rPr>
          <w:rStyle w:val="HeadHatzaotHok0"/>
          <w:rFonts w:ascii="David" w:eastAsia="MS Mincho" w:hAnsi="David" w:hint="cs"/>
          <w:snapToGrid w:val="0"/>
          <w:sz w:val="18"/>
          <w:rtl/>
        </w:rPr>
        <w:t>ה</w:t>
      </w:r>
      <w:r w:rsidRPr="002A1867">
        <w:rPr>
          <w:rStyle w:val="HeadHatzaotHok0"/>
          <w:rFonts w:ascii="David" w:eastAsia="MS Mincho" w:hAnsi="David"/>
          <w:snapToGrid w:val="0"/>
          <w:sz w:val="18"/>
          <w:rtl/>
        </w:rPr>
        <w:t>סיבות המפורטות להלן</w:t>
      </w:r>
      <w:r>
        <w:rPr>
          <w:rFonts w:hint="cs"/>
          <w:rtl/>
        </w:rPr>
        <w:t xml:space="preserve">: </w:t>
      </w:r>
      <w:r w:rsidR="00E07B75">
        <w:rPr>
          <w:rFonts w:hint="cs"/>
          <w:rtl/>
        </w:rPr>
        <w:t>עלייה בהשתתפות המדינה בגביית הביטוח הלאומי;</w:t>
      </w:r>
      <w:r w:rsidR="00E07B75" w:rsidRPr="00FB2B04">
        <w:rPr>
          <w:rtl/>
        </w:rPr>
        <w:t xml:space="preserve"> </w:t>
      </w:r>
      <w:r w:rsidRPr="00FB2B04">
        <w:rPr>
          <w:rtl/>
        </w:rPr>
        <w:t>עלות גבוהה מהצפוי ביישום תיקוני חקיקה</w:t>
      </w:r>
      <w:r w:rsidR="009437FF">
        <w:rPr>
          <w:rFonts w:hint="cs"/>
          <w:rtl/>
        </w:rPr>
        <w:t xml:space="preserve"> </w:t>
      </w:r>
      <w:r w:rsidRPr="00FB2B04">
        <w:rPr>
          <w:rtl/>
        </w:rPr>
        <w:t>להגדלת תשלומים לניצולי שואה ובני זוגם</w:t>
      </w:r>
      <w:r w:rsidR="009437FF">
        <w:rPr>
          <w:rFonts w:hint="cs"/>
          <w:rtl/>
        </w:rPr>
        <w:t xml:space="preserve">, והשפעת מיזמי מיצוי זכויות </w:t>
      </w:r>
      <w:r w:rsidRPr="00FB2B04">
        <w:rPr>
          <w:rtl/>
        </w:rPr>
        <w:t>והוראות מנהליות שהרחיבו את היקף האוכלוסיות הזכאיות לקצבאות ומענקים</w:t>
      </w:r>
      <w:r w:rsidR="009437FF">
        <w:rPr>
          <w:rFonts w:hint="cs"/>
          <w:rtl/>
        </w:rPr>
        <w:t>;</w:t>
      </w:r>
      <w:r w:rsidRPr="00FB2B04">
        <w:rPr>
          <w:rtl/>
        </w:rPr>
        <w:t xml:space="preserve"> עדכון תזרימי פיתוח לפרויקטים בתחומי התחבורה, המים והתיירות</w:t>
      </w:r>
      <w:r>
        <w:t xml:space="preserve"> ;</w:t>
      </w:r>
      <w:r w:rsidRPr="00FB2B04">
        <w:rPr>
          <w:rtl/>
        </w:rPr>
        <w:t>עדכון תזרים תשלומי הריבית והחזר קרן הביטוח הלאומי</w:t>
      </w:r>
      <w:r>
        <w:t>;</w:t>
      </w:r>
      <w:r>
        <w:rPr>
          <w:rFonts w:hint="cs"/>
          <w:rtl/>
        </w:rPr>
        <w:t xml:space="preserve"> המשך ה</w:t>
      </w:r>
      <w:r w:rsidR="005971AC">
        <w:rPr>
          <w:rFonts w:hint="cs"/>
          <w:rtl/>
        </w:rPr>
        <w:t>גידול הגבוה</w:t>
      </w:r>
      <w:r w:rsidRPr="00FB2B04">
        <w:rPr>
          <w:rtl/>
        </w:rPr>
        <w:t xml:space="preserve"> מהצפוי במספר התלמידים הזכאים לחינוך מיוחד</w:t>
      </w:r>
      <w:r>
        <w:rPr>
          <w:rFonts w:hint="cs"/>
          <w:rtl/>
        </w:rPr>
        <w:t xml:space="preserve"> והשירותים הניתנים להם לרבות </w:t>
      </w:r>
      <w:r w:rsidR="005F3824">
        <w:rPr>
          <w:rFonts w:hint="cs"/>
          <w:rtl/>
        </w:rPr>
        <w:t>הסעות</w:t>
      </w:r>
      <w:r w:rsidR="005F3824">
        <w:t>;</w:t>
      </w:r>
      <w:r w:rsidR="005F3824">
        <w:rPr>
          <w:rFonts w:hint="cs"/>
          <w:rtl/>
        </w:rPr>
        <w:t xml:space="preserve"> </w:t>
      </w:r>
      <w:r w:rsidR="00AB5D4C">
        <w:rPr>
          <w:rFonts w:hint="cs"/>
          <w:rtl/>
        </w:rPr>
        <w:t xml:space="preserve">פסיקת בית המשפט העליון </w:t>
      </w:r>
      <w:r w:rsidR="00A80773">
        <w:rPr>
          <w:rFonts w:hint="cs"/>
          <w:rtl/>
        </w:rPr>
        <w:t>המורה על יישום רפורמת שכר לבתי ספר לחינוך מיוחד; עדכוני</w:t>
      </w:r>
      <w:r w:rsidR="00E07B75">
        <w:rPr>
          <w:rFonts w:hint="cs"/>
          <w:rtl/>
        </w:rPr>
        <w:t xml:space="preserve"> תזרים בתשלום מענקי מחיר למשתכן.</w:t>
      </w:r>
    </w:p>
    <w:p w:rsidR="005F3824" w:rsidRDefault="005F3824" w:rsidP="0096767D">
      <w:pPr>
        <w:rPr>
          <w:rtl/>
        </w:rPr>
      </w:pPr>
      <w:r w:rsidRPr="005F3824">
        <w:rPr>
          <w:rtl/>
        </w:rPr>
        <w:t>בהתאם למפורט לעיל, נכון למועד זה</w:t>
      </w:r>
      <w:r w:rsidR="007078F7">
        <w:rPr>
          <w:rFonts w:hint="cs"/>
          <w:rtl/>
        </w:rPr>
        <w:t xml:space="preserve"> וביחס לעדכון תכנית התקציב התלת שנתית הקודמת</w:t>
      </w:r>
      <w:r w:rsidRPr="005F3824">
        <w:rPr>
          <w:rtl/>
        </w:rPr>
        <w:t>, קיים בשנת 201</w:t>
      </w:r>
      <w:r w:rsidR="007078F7">
        <w:rPr>
          <w:rFonts w:hint="cs"/>
          <w:rtl/>
        </w:rPr>
        <w:t>9</w:t>
      </w:r>
      <w:r w:rsidRPr="005F3824">
        <w:rPr>
          <w:rtl/>
        </w:rPr>
        <w:t xml:space="preserve"> הפרש בתחזית ההוצאה בהיקף תקציבי של כ-</w:t>
      </w:r>
      <w:r w:rsidR="007078F7">
        <w:rPr>
          <w:rFonts w:hint="cs"/>
          <w:rtl/>
        </w:rPr>
        <w:t>3</w:t>
      </w:r>
      <w:r w:rsidRPr="005F3824">
        <w:rPr>
          <w:rtl/>
        </w:rPr>
        <w:t xml:space="preserve">.3 מיליארד </w:t>
      </w:r>
      <w:r w:rsidR="00AB5D4C">
        <w:rPr>
          <w:rFonts w:hint="cs"/>
          <w:rtl/>
        </w:rPr>
        <w:t>ש"ח.</w:t>
      </w:r>
      <w:r w:rsidR="007078F7">
        <w:rPr>
          <w:rFonts w:hint="cs"/>
          <w:rtl/>
        </w:rPr>
        <w:t xml:space="preserve"> בנוסף</w:t>
      </w:r>
      <w:r w:rsidR="00AB5D4C">
        <w:rPr>
          <w:rFonts w:hint="cs"/>
          <w:rtl/>
        </w:rPr>
        <w:t>,</w:t>
      </w:r>
      <w:r w:rsidR="007078F7">
        <w:rPr>
          <w:rFonts w:hint="cs"/>
          <w:rtl/>
        </w:rPr>
        <w:t xml:space="preserve"> קיים הפרש בתחזית ההכנסות בגובה </w:t>
      </w:r>
      <w:r w:rsidR="0096767D">
        <w:rPr>
          <w:rFonts w:hint="cs"/>
          <w:rtl/>
        </w:rPr>
        <w:t>6.5</w:t>
      </w:r>
      <w:r w:rsidR="007078F7">
        <w:rPr>
          <w:rFonts w:hint="cs"/>
          <w:rtl/>
        </w:rPr>
        <w:t xml:space="preserve"> מיליארד</w:t>
      </w:r>
      <w:r w:rsidR="00AB5D4C">
        <w:rPr>
          <w:rFonts w:hint="cs"/>
          <w:rtl/>
        </w:rPr>
        <w:t xml:space="preserve"> ש"ח</w:t>
      </w:r>
      <w:r w:rsidR="007078F7">
        <w:rPr>
          <w:rFonts w:hint="cs"/>
          <w:rtl/>
        </w:rPr>
        <w:t>. הפרשים אל</w:t>
      </w:r>
      <w:r w:rsidR="005971AC">
        <w:rPr>
          <w:rFonts w:hint="cs"/>
          <w:rtl/>
        </w:rPr>
        <w:t>ה</w:t>
      </w:r>
      <w:r w:rsidR="007078F7">
        <w:rPr>
          <w:rFonts w:hint="cs"/>
          <w:rtl/>
        </w:rPr>
        <w:t xml:space="preserve"> מביאים לתחזית גרעון תוצאתי </w:t>
      </w:r>
      <w:r w:rsidR="00235A9A">
        <w:rPr>
          <w:rFonts w:hint="cs"/>
          <w:rtl/>
        </w:rPr>
        <w:t xml:space="preserve">מעודכנת </w:t>
      </w:r>
      <w:r w:rsidR="007078F7">
        <w:rPr>
          <w:rFonts w:hint="cs"/>
          <w:rtl/>
        </w:rPr>
        <w:t xml:space="preserve">של 3.6% לשנת </w:t>
      </w:r>
      <w:r w:rsidR="00F27271">
        <w:rPr>
          <w:rFonts w:hint="cs"/>
          <w:rtl/>
        </w:rPr>
        <w:t>2019</w:t>
      </w:r>
      <w:r w:rsidR="008E75C8">
        <w:rPr>
          <w:rFonts w:hint="cs"/>
          <w:rtl/>
        </w:rPr>
        <w:t xml:space="preserve"> </w:t>
      </w:r>
      <w:r w:rsidR="00452339">
        <w:rPr>
          <w:rFonts w:hint="cs"/>
          <w:rtl/>
        </w:rPr>
        <w:t xml:space="preserve">המהווה </w:t>
      </w:r>
      <w:r w:rsidR="008E75C8">
        <w:rPr>
          <w:rFonts w:hint="cs"/>
          <w:rtl/>
        </w:rPr>
        <w:t>חריגה של 0.7% ביחס לתקרת הגרעון המותרת בחוק</w:t>
      </w:r>
      <w:r>
        <w:rPr>
          <w:rFonts w:hint="cs"/>
          <w:rtl/>
        </w:rPr>
        <w:t>.</w:t>
      </w:r>
    </w:p>
    <w:p w:rsidR="000D351C" w:rsidRDefault="00AB5D4C" w:rsidP="00A34826">
      <w:pPr>
        <w:rPr>
          <w:rtl/>
        </w:rPr>
      </w:pPr>
      <w:r>
        <w:rPr>
          <w:rFonts w:hint="cs"/>
          <w:rtl/>
        </w:rPr>
        <w:t xml:space="preserve"> </w:t>
      </w:r>
      <w:r w:rsidR="005971AC">
        <w:rPr>
          <w:rFonts w:hint="cs"/>
          <w:rtl/>
        </w:rPr>
        <w:t>יתר על כן</w:t>
      </w:r>
      <w:r w:rsidR="00F90CD4">
        <w:rPr>
          <w:rFonts w:hint="cs"/>
          <w:rtl/>
        </w:rPr>
        <w:t>,</w:t>
      </w:r>
      <w:r w:rsidR="00E326A2">
        <w:rPr>
          <w:rtl/>
        </w:rPr>
        <w:t xml:space="preserve"> החלטת ממשלה מס' 3409 מיום 11 בינואר 2018 (להלן – החלטה 3409) הנחתה את שר האוצר להביא לאישור הממשלה, במהלך שנת 2019 דו"ח לעניין קיום הפרשים מהמסגרות הפיסקאליות המאושרות בחוק </w:t>
      </w:r>
      <w:r w:rsidR="002349FD">
        <w:rPr>
          <w:rFonts w:hint="cs"/>
          <w:rtl/>
        </w:rPr>
        <w:t>(להלן</w:t>
      </w:r>
      <w:r>
        <w:rPr>
          <w:rFonts w:hint="cs"/>
          <w:rtl/>
        </w:rPr>
        <w:t xml:space="preserve"> -</w:t>
      </w:r>
      <w:r w:rsidR="002349FD">
        <w:rPr>
          <w:rFonts w:hint="cs"/>
          <w:rtl/>
        </w:rPr>
        <w:t xml:space="preserve"> דו"ח ההפרשים) </w:t>
      </w:r>
      <w:r w:rsidR="00E326A2">
        <w:rPr>
          <w:rtl/>
        </w:rPr>
        <w:t>וזאת לאחר בחינת היקף התחייבויות הממשלה והכנסות המדינה אל מול הצפי בתחזית התקציב.</w:t>
      </w:r>
      <w:r w:rsidR="00F535B3">
        <w:rPr>
          <w:rFonts w:hint="cs"/>
          <w:rtl/>
        </w:rPr>
        <w:t xml:space="preserve"> </w:t>
      </w:r>
    </w:p>
    <w:p w:rsidR="008106F8" w:rsidRDefault="00AB5D4C" w:rsidP="00FC3ADE">
      <w:pPr>
        <w:rPr>
          <w:rtl/>
        </w:rPr>
      </w:pPr>
      <w:r>
        <w:rPr>
          <w:rFonts w:hint="cs"/>
          <w:rtl/>
        </w:rPr>
        <w:t>לנוכח ההפרשים הקיימים, מוצע בהצעת ההחלטה</w:t>
      </w:r>
      <w:r w:rsidRPr="00AB5D4C">
        <w:rPr>
          <w:rFonts w:hint="cs"/>
          <w:rtl/>
        </w:rPr>
        <w:t xml:space="preserve"> </w:t>
      </w:r>
      <w:r>
        <w:rPr>
          <w:rFonts w:hint="cs"/>
          <w:rtl/>
        </w:rPr>
        <w:t xml:space="preserve">כי הממשלה תורה על </w:t>
      </w:r>
      <w:r w:rsidRPr="00AB5D4C">
        <w:rPr>
          <w:rFonts w:hint="cs"/>
          <w:rtl/>
        </w:rPr>
        <w:t>הפחתה בגובה רזרבת ההתאמות לצורך שמירה על היציבות הפיסקלית</w:t>
      </w:r>
      <w:r w:rsidR="002349FD">
        <w:rPr>
          <w:rFonts w:hint="cs"/>
          <w:rtl/>
        </w:rPr>
        <w:t>.</w:t>
      </w:r>
      <w:r w:rsidR="00F30B98">
        <w:rPr>
          <w:rFonts w:hint="cs"/>
          <w:rtl/>
        </w:rPr>
        <w:t xml:space="preserve"> בהינתן תחזית ההכנסות </w:t>
      </w:r>
      <w:r w:rsidR="007B0452">
        <w:rPr>
          <w:rFonts w:hint="cs"/>
          <w:rtl/>
        </w:rPr>
        <w:t>הנוכחית י</w:t>
      </w:r>
      <w:r w:rsidR="009606F7">
        <w:rPr>
          <w:rFonts w:hint="cs"/>
          <w:rtl/>
        </w:rPr>
        <w:t xml:space="preserve">פחת </w:t>
      </w:r>
      <w:r w:rsidR="007B0452">
        <w:rPr>
          <w:rFonts w:hint="cs"/>
          <w:rtl/>
        </w:rPr>
        <w:t xml:space="preserve">הגרעון התוצאתי </w:t>
      </w:r>
      <w:r w:rsidR="00D67D4C">
        <w:rPr>
          <w:rFonts w:hint="cs"/>
          <w:rtl/>
        </w:rPr>
        <w:t xml:space="preserve">בעקבות המהלך </w:t>
      </w:r>
      <w:r w:rsidR="009606F7">
        <w:rPr>
          <w:rFonts w:hint="cs"/>
          <w:rtl/>
        </w:rPr>
        <w:t>מ-3.6%</w:t>
      </w:r>
      <w:r w:rsidR="007B0452">
        <w:rPr>
          <w:rFonts w:hint="cs"/>
          <w:rtl/>
        </w:rPr>
        <w:t xml:space="preserve"> </w:t>
      </w:r>
      <w:r w:rsidR="009606F7">
        <w:rPr>
          <w:rFonts w:hint="cs"/>
          <w:rtl/>
        </w:rPr>
        <w:t>ל-</w:t>
      </w:r>
      <w:r w:rsidR="007B0452">
        <w:rPr>
          <w:rFonts w:hint="cs"/>
          <w:rtl/>
        </w:rPr>
        <w:t>3.</w:t>
      </w:r>
      <w:r w:rsidR="0096767D">
        <w:rPr>
          <w:rFonts w:hint="cs"/>
          <w:rtl/>
        </w:rPr>
        <w:t>5</w:t>
      </w:r>
      <w:r w:rsidR="007B0452">
        <w:rPr>
          <w:rFonts w:hint="cs"/>
          <w:rtl/>
        </w:rPr>
        <w:t>%.</w:t>
      </w:r>
    </w:p>
    <w:p w:rsidR="00452339" w:rsidRPr="00A34826" w:rsidRDefault="00452339" w:rsidP="00A34826">
      <w:pPr>
        <w:rPr>
          <w:b/>
          <w:bCs/>
          <w:rtl/>
        </w:rPr>
      </w:pPr>
      <w:r w:rsidRPr="00B8536C">
        <w:rPr>
          <w:rFonts w:hint="cs"/>
          <w:b/>
          <w:bCs/>
          <w:rtl/>
        </w:rPr>
        <w:t>עיקרי</w:t>
      </w:r>
      <w:r w:rsidRPr="00B8536C">
        <w:rPr>
          <w:b/>
          <w:bCs/>
          <w:rtl/>
        </w:rPr>
        <w:t xml:space="preserve"> השינויים בת</w:t>
      </w:r>
      <w:r>
        <w:rPr>
          <w:rFonts w:hint="cs"/>
          <w:b/>
          <w:bCs/>
          <w:rtl/>
        </w:rPr>
        <w:t>ו</w:t>
      </w:r>
      <w:r w:rsidRPr="00B8536C">
        <w:rPr>
          <w:b/>
          <w:bCs/>
          <w:rtl/>
        </w:rPr>
        <w:t xml:space="preserve">כנית </w:t>
      </w:r>
      <w:r w:rsidRPr="00B8536C">
        <w:rPr>
          <w:rFonts w:hint="cs"/>
          <w:b/>
          <w:bCs/>
          <w:rtl/>
        </w:rPr>
        <w:t>הרב</w:t>
      </w:r>
      <w:r w:rsidRPr="00B8536C">
        <w:rPr>
          <w:b/>
          <w:bCs/>
          <w:rtl/>
        </w:rPr>
        <w:t xml:space="preserve">-שנתית </w:t>
      </w:r>
    </w:p>
    <w:p w:rsidR="00CD109F" w:rsidRPr="00B8536C" w:rsidRDefault="00CD109F" w:rsidP="00A34826">
      <w:pPr>
        <w:rPr>
          <w:rtl/>
        </w:rPr>
      </w:pPr>
      <w:r w:rsidRPr="00B8536C">
        <w:rPr>
          <w:rFonts w:hint="cs"/>
          <w:rtl/>
        </w:rPr>
        <w:t>להלן</w:t>
      </w:r>
      <w:r w:rsidRPr="00B8536C">
        <w:rPr>
          <w:rtl/>
        </w:rPr>
        <w:t xml:space="preserve"> השינויים בסך ההתאמות הנדרשות בשנות הת</w:t>
      </w:r>
      <w:r>
        <w:rPr>
          <w:rFonts w:hint="cs"/>
          <w:rtl/>
        </w:rPr>
        <w:t>ו</w:t>
      </w:r>
      <w:r w:rsidRPr="00B8536C">
        <w:rPr>
          <w:rtl/>
        </w:rPr>
        <w:t xml:space="preserve">כנית </w:t>
      </w:r>
      <w:r w:rsidRPr="00B8536C">
        <w:rPr>
          <w:rFonts w:hint="cs"/>
          <w:rtl/>
        </w:rPr>
        <w:t>הרב</w:t>
      </w:r>
      <w:r w:rsidRPr="00B8536C">
        <w:rPr>
          <w:rtl/>
        </w:rPr>
        <w:t xml:space="preserve">-שנתית, בין הפרסום בחודש </w:t>
      </w:r>
      <w:r w:rsidR="00BC5224">
        <w:rPr>
          <w:rFonts w:hint="cs"/>
          <w:rtl/>
        </w:rPr>
        <w:t xml:space="preserve">פברואר </w:t>
      </w:r>
      <w:r>
        <w:rPr>
          <w:rFonts w:hint="cs"/>
          <w:rtl/>
        </w:rPr>
        <w:t>2018</w:t>
      </w:r>
      <w:r w:rsidRPr="00B8536C">
        <w:rPr>
          <w:rtl/>
        </w:rPr>
        <w:t xml:space="preserve"> של ת</w:t>
      </w:r>
      <w:r>
        <w:rPr>
          <w:rFonts w:hint="cs"/>
          <w:rtl/>
        </w:rPr>
        <w:t>ו</w:t>
      </w:r>
      <w:r w:rsidRPr="00B8536C">
        <w:rPr>
          <w:rtl/>
        </w:rPr>
        <w:t xml:space="preserve">כנית התקציב לשנים </w:t>
      </w:r>
      <w:r>
        <w:rPr>
          <w:rFonts w:hint="cs"/>
          <w:rtl/>
        </w:rPr>
        <w:t>2020</w:t>
      </w:r>
      <w:r w:rsidRPr="00B8536C">
        <w:rPr>
          <w:rtl/>
        </w:rPr>
        <w:softHyphen/>
      </w:r>
      <w:r w:rsidRPr="00B8536C">
        <w:rPr>
          <w:rtl/>
        </w:rPr>
        <w:softHyphen/>
        <w:t xml:space="preserve"> עד 202</w:t>
      </w:r>
      <w:r>
        <w:rPr>
          <w:rFonts w:hint="cs"/>
          <w:rtl/>
        </w:rPr>
        <w:t>2</w:t>
      </w:r>
      <w:r w:rsidRPr="00B8536C">
        <w:rPr>
          <w:rtl/>
        </w:rPr>
        <w:t xml:space="preserve"> </w:t>
      </w:r>
      <w:r>
        <w:rPr>
          <w:rFonts w:hint="cs"/>
          <w:rtl/>
        </w:rPr>
        <w:t xml:space="preserve">יחד עם הנחת הצעת חוק התקציב לשנת 2019 </w:t>
      </w:r>
      <w:r w:rsidRPr="00B8536C">
        <w:rPr>
          <w:rtl/>
        </w:rPr>
        <w:t>(</w:t>
      </w:r>
      <w:r w:rsidRPr="00B8536C">
        <w:rPr>
          <w:rFonts w:hint="cs"/>
          <w:rtl/>
        </w:rPr>
        <w:t>להלן</w:t>
      </w:r>
      <w:r w:rsidRPr="00B8536C">
        <w:rPr>
          <w:rtl/>
        </w:rPr>
        <w:t xml:space="preserve"> </w:t>
      </w:r>
      <w:r w:rsidRPr="00B8536C">
        <w:rPr>
          <w:rFonts w:hint="eastAsia"/>
          <w:rtl/>
        </w:rPr>
        <w:t>–</w:t>
      </w:r>
      <w:r w:rsidRPr="00B8536C">
        <w:rPr>
          <w:rtl/>
        </w:rPr>
        <w:t xml:space="preserve"> </w:t>
      </w:r>
      <w:r w:rsidRPr="00141E73">
        <w:rPr>
          <w:b/>
          <w:bCs/>
          <w:rtl/>
        </w:rPr>
        <w:t>הפרסום הקודם</w:t>
      </w:r>
      <w:r w:rsidRPr="00B8536C">
        <w:rPr>
          <w:rtl/>
        </w:rPr>
        <w:t>) ל</w:t>
      </w:r>
      <w:r w:rsidR="005971AC">
        <w:rPr>
          <w:rFonts w:hint="cs"/>
          <w:rtl/>
        </w:rPr>
        <w:t>בין ה</w:t>
      </w:r>
      <w:r w:rsidRPr="00B8536C">
        <w:rPr>
          <w:rtl/>
        </w:rPr>
        <w:t xml:space="preserve">עדכון המבוצע כעת </w:t>
      </w:r>
      <w:r w:rsidRPr="00B8536C">
        <w:rPr>
          <w:rFonts w:hint="cs"/>
          <w:rtl/>
        </w:rPr>
        <w:t>בחודש</w:t>
      </w:r>
      <w:r w:rsidRPr="00B8536C">
        <w:rPr>
          <w:rtl/>
        </w:rPr>
        <w:t xml:space="preserve"> </w:t>
      </w:r>
      <w:r w:rsidR="00BC5224">
        <w:rPr>
          <w:rFonts w:hint="cs"/>
          <w:rtl/>
        </w:rPr>
        <w:t xml:space="preserve">ינואר </w:t>
      </w:r>
      <w:r w:rsidR="00BC5224" w:rsidRPr="00B8536C">
        <w:rPr>
          <w:rtl/>
        </w:rPr>
        <w:t>201</w:t>
      </w:r>
      <w:r w:rsidR="00BC5224">
        <w:rPr>
          <w:rFonts w:hint="cs"/>
          <w:rtl/>
        </w:rPr>
        <w:t xml:space="preserve">9 </w:t>
      </w:r>
      <w:r w:rsidRPr="00B8536C">
        <w:rPr>
          <w:rFonts w:hint="cs"/>
          <w:rtl/>
        </w:rPr>
        <w:t>עבור</w:t>
      </w:r>
      <w:r w:rsidRPr="00B8536C">
        <w:rPr>
          <w:rtl/>
        </w:rPr>
        <w:t xml:space="preserve"> </w:t>
      </w:r>
      <w:r w:rsidRPr="00B8536C">
        <w:rPr>
          <w:rFonts w:hint="cs"/>
          <w:rtl/>
        </w:rPr>
        <w:t>השנים</w:t>
      </w:r>
      <w:r>
        <w:rPr>
          <w:rFonts w:hint="cs"/>
          <w:rtl/>
        </w:rPr>
        <w:t xml:space="preserve"> 2020 עד 2022</w:t>
      </w:r>
      <w:r w:rsidRPr="00B8536C">
        <w:rPr>
          <w:rtl/>
        </w:rPr>
        <w:t xml:space="preserve"> (</w:t>
      </w:r>
      <w:r w:rsidRPr="00B8536C">
        <w:rPr>
          <w:rFonts w:hint="cs"/>
          <w:rtl/>
        </w:rPr>
        <w:t>להלן</w:t>
      </w:r>
      <w:r w:rsidRPr="00B8536C">
        <w:rPr>
          <w:rtl/>
        </w:rPr>
        <w:t xml:space="preserve"> </w:t>
      </w:r>
      <w:r w:rsidRPr="00B8536C">
        <w:rPr>
          <w:rFonts w:hint="eastAsia"/>
          <w:rtl/>
        </w:rPr>
        <w:t>–</w:t>
      </w:r>
      <w:r w:rsidRPr="00B8536C">
        <w:rPr>
          <w:rtl/>
        </w:rPr>
        <w:t xml:space="preserve"> </w:t>
      </w:r>
      <w:r w:rsidRPr="00141E73">
        <w:rPr>
          <w:b/>
          <w:bCs/>
          <w:rtl/>
        </w:rPr>
        <w:t>הפרסום הנוכחי</w:t>
      </w:r>
      <w:r w:rsidRPr="00B8536C">
        <w:rPr>
          <w:rtl/>
        </w:rPr>
        <w:t>)</w:t>
      </w:r>
      <w:r>
        <w:rPr>
          <w:rFonts w:hint="cs"/>
          <w:rtl/>
        </w:rPr>
        <w:t xml:space="preserve">. </w:t>
      </w:r>
      <w:r w:rsidRPr="00B8536C">
        <w:rPr>
          <w:rtl/>
        </w:rPr>
        <w:t>כפי שיובהר בהמשך, השינוי</w:t>
      </w:r>
      <w:r w:rsidR="005971AC">
        <w:rPr>
          <w:rFonts w:hint="cs"/>
          <w:rtl/>
        </w:rPr>
        <w:t xml:space="preserve"> </w:t>
      </w:r>
      <w:r w:rsidRPr="00B8536C">
        <w:rPr>
          <w:rtl/>
        </w:rPr>
        <w:t>בסך ההתאמות נובע משינוי</w:t>
      </w:r>
      <w:r>
        <w:rPr>
          <w:rFonts w:hint="cs"/>
          <w:rtl/>
        </w:rPr>
        <w:t>ים</w:t>
      </w:r>
      <w:r w:rsidRPr="00B8536C">
        <w:rPr>
          <w:rtl/>
        </w:rPr>
        <w:t xml:space="preserve"> בהנחות לגבי היקף הוצאות הממשלה, </w:t>
      </w:r>
      <w:r>
        <w:rPr>
          <w:rFonts w:hint="cs"/>
          <w:rtl/>
        </w:rPr>
        <w:t>ב</w:t>
      </w:r>
      <w:r w:rsidRPr="00B8536C">
        <w:rPr>
          <w:rtl/>
        </w:rPr>
        <w:t>היקף ההכנסות</w:t>
      </w:r>
      <w:r>
        <w:rPr>
          <w:rFonts w:hint="cs"/>
          <w:rtl/>
        </w:rPr>
        <w:t>, ב</w:t>
      </w:r>
      <w:r w:rsidRPr="00B8536C">
        <w:rPr>
          <w:rtl/>
        </w:rPr>
        <w:t>גודל התוצר</w:t>
      </w:r>
      <w:r>
        <w:rPr>
          <w:rFonts w:hint="cs"/>
          <w:rtl/>
        </w:rPr>
        <w:t xml:space="preserve"> </w:t>
      </w:r>
      <w:r w:rsidRPr="001B684E">
        <w:rPr>
          <w:rFonts w:hint="cs"/>
          <w:rtl/>
        </w:rPr>
        <w:t>ו</w:t>
      </w:r>
      <w:r>
        <w:rPr>
          <w:rFonts w:hint="cs"/>
          <w:rtl/>
        </w:rPr>
        <w:t>ב</w:t>
      </w:r>
      <w:r w:rsidRPr="001B684E">
        <w:rPr>
          <w:rFonts w:hint="cs"/>
          <w:rtl/>
        </w:rPr>
        <w:t>גירעון</w:t>
      </w:r>
      <w:r w:rsidRPr="001B684E">
        <w:rPr>
          <w:rtl/>
        </w:rPr>
        <w:t xml:space="preserve"> </w:t>
      </w:r>
      <w:r w:rsidRPr="001B684E">
        <w:rPr>
          <w:rFonts w:hint="cs"/>
          <w:rtl/>
        </w:rPr>
        <w:t>המותר</w:t>
      </w:r>
      <w:r w:rsidRPr="001B684E">
        <w:rPr>
          <w:rtl/>
        </w:rPr>
        <w:t xml:space="preserve"> בכל</w:t>
      </w:r>
      <w:r w:rsidRPr="00B8536C">
        <w:rPr>
          <w:rtl/>
        </w:rPr>
        <w:t xml:space="preserve"> אחת מהשנים האמורות.</w:t>
      </w:r>
    </w:p>
    <w:p w:rsidR="00CD109F" w:rsidRDefault="00CD109F" w:rsidP="00CD109F">
      <w:pPr>
        <w:rPr>
          <w:rtl/>
        </w:rPr>
      </w:pPr>
      <w:r w:rsidRPr="00B8536C">
        <w:rPr>
          <w:rFonts w:ascii="David" w:hAnsi="David" w:hint="cs"/>
          <w:rtl/>
        </w:rPr>
        <w:t>השפעת</w:t>
      </w:r>
      <w:r w:rsidRPr="00B8536C">
        <w:rPr>
          <w:rFonts w:ascii="David" w:hAnsi="David"/>
          <w:rtl/>
        </w:rPr>
        <w:t xml:space="preserve"> גודל התוצר היא עקיפה, שכן הגירעון השנתי המותר קבוע </w:t>
      </w:r>
      <w:r w:rsidRPr="00B8536C">
        <w:rPr>
          <w:rFonts w:ascii="David" w:hAnsi="David" w:hint="cs"/>
          <w:rtl/>
        </w:rPr>
        <w:t>כשיעור</w:t>
      </w:r>
      <w:r w:rsidRPr="00B8536C">
        <w:rPr>
          <w:rFonts w:ascii="David" w:hAnsi="David"/>
          <w:rtl/>
        </w:rPr>
        <w:t xml:space="preserve"> </w:t>
      </w:r>
      <w:r w:rsidRPr="00B8536C">
        <w:rPr>
          <w:rFonts w:ascii="David" w:hAnsi="David" w:hint="cs"/>
          <w:rtl/>
        </w:rPr>
        <w:t>מהתוצר</w:t>
      </w:r>
      <w:r>
        <w:rPr>
          <w:rFonts w:ascii="David" w:hAnsi="David" w:hint="cs"/>
          <w:rtl/>
        </w:rPr>
        <w:t>.</w:t>
      </w:r>
      <w:r w:rsidRPr="00B8536C">
        <w:rPr>
          <w:rFonts w:ascii="David" w:hAnsi="David"/>
          <w:rtl/>
        </w:rPr>
        <w:t xml:space="preserve"> </w:t>
      </w:r>
      <w:r w:rsidRPr="00B8536C">
        <w:rPr>
          <w:rFonts w:ascii="David" w:hAnsi="David" w:hint="cs"/>
          <w:rtl/>
        </w:rPr>
        <w:t>לפיכך</w:t>
      </w:r>
      <w:r>
        <w:rPr>
          <w:rFonts w:ascii="David" w:hAnsi="David" w:hint="cs"/>
          <w:rtl/>
        </w:rPr>
        <w:t>,</w:t>
      </w:r>
      <w:r w:rsidRPr="00B8536C">
        <w:rPr>
          <w:rFonts w:ascii="David" w:hAnsi="David"/>
          <w:rtl/>
        </w:rPr>
        <w:t xml:space="preserve"> </w:t>
      </w:r>
      <w:r w:rsidRPr="00B8536C">
        <w:rPr>
          <w:rFonts w:ascii="David" w:hAnsi="David" w:hint="cs"/>
          <w:rtl/>
        </w:rPr>
        <w:t>עלייה</w:t>
      </w:r>
      <w:r>
        <w:rPr>
          <w:rFonts w:ascii="David" w:hAnsi="David" w:hint="cs"/>
          <w:rtl/>
        </w:rPr>
        <w:t xml:space="preserve"> או ירידה</w:t>
      </w:r>
      <w:r w:rsidRPr="00B8536C">
        <w:rPr>
          <w:rFonts w:ascii="David" w:hAnsi="David"/>
          <w:rtl/>
        </w:rPr>
        <w:t xml:space="preserve"> בתוצר מאפשרת גירעון </w:t>
      </w:r>
      <w:r w:rsidR="005971AC">
        <w:rPr>
          <w:rFonts w:ascii="David" w:hAnsi="David" w:hint="cs"/>
          <w:rtl/>
        </w:rPr>
        <w:t xml:space="preserve">נומינלי </w:t>
      </w:r>
      <w:r w:rsidRPr="00B8536C">
        <w:rPr>
          <w:rFonts w:ascii="David" w:hAnsi="David"/>
          <w:rtl/>
        </w:rPr>
        <w:t>גבוה</w:t>
      </w:r>
      <w:r>
        <w:rPr>
          <w:rFonts w:ascii="David" w:hAnsi="David" w:hint="cs"/>
          <w:rtl/>
        </w:rPr>
        <w:t xml:space="preserve"> או נמוך</w:t>
      </w:r>
      <w:r w:rsidRPr="00B8536C">
        <w:rPr>
          <w:rFonts w:ascii="David" w:hAnsi="David"/>
          <w:rtl/>
        </w:rPr>
        <w:t xml:space="preserve"> יותר ובהתאם מצמצת </w:t>
      </w:r>
      <w:r>
        <w:rPr>
          <w:rFonts w:ascii="David" w:hAnsi="David" w:hint="cs"/>
          <w:rtl/>
        </w:rPr>
        <w:t xml:space="preserve">או מגדילה </w:t>
      </w:r>
      <w:r w:rsidRPr="00B8536C">
        <w:rPr>
          <w:rFonts w:ascii="David" w:hAnsi="David" w:hint="cs"/>
          <w:rtl/>
        </w:rPr>
        <w:t>את</w:t>
      </w:r>
      <w:r w:rsidRPr="00B8536C">
        <w:rPr>
          <w:rFonts w:ascii="David" w:hAnsi="David"/>
          <w:rtl/>
        </w:rPr>
        <w:t xml:space="preserve"> </w:t>
      </w:r>
      <w:r w:rsidRPr="00B8536C">
        <w:rPr>
          <w:rFonts w:ascii="David" w:hAnsi="David" w:hint="cs"/>
          <w:rtl/>
        </w:rPr>
        <w:t>היקף</w:t>
      </w:r>
      <w:r w:rsidRPr="00B8536C">
        <w:rPr>
          <w:rFonts w:ascii="David" w:hAnsi="David"/>
          <w:rtl/>
        </w:rPr>
        <w:t xml:space="preserve"> </w:t>
      </w:r>
      <w:r w:rsidRPr="00B8536C">
        <w:rPr>
          <w:rFonts w:ascii="David" w:hAnsi="David" w:hint="cs"/>
          <w:rtl/>
        </w:rPr>
        <w:t>ההתאמות</w:t>
      </w:r>
      <w:r w:rsidRPr="00B8536C">
        <w:rPr>
          <w:rFonts w:ascii="David" w:hAnsi="David"/>
          <w:rtl/>
        </w:rPr>
        <w:t xml:space="preserve"> </w:t>
      </w:r>
      <w:r w:rsidRPr="00B8536C">
        <w:rPr>
          <w:rFonts w:ascii="David" w:hAnsi="David" w:hint="cs"/>
          <w:rtl/>
        </w:rPr>
        <w:t>הנדרש</w:t>
      </w:r>
      <w:r w:rsidRPr="00B8536C">
        <w:rPr>
          <w:rFonts w:ascii="David" w:hAnsi="David"/>
          <w:rtl/>
        </w:rPr>
        <w:t xml:space="preserve"> </w:t>
      </w:r>
      <w:r w:rsidRPr="00B8536C">
        <w:rPr>
          <w:rFonts w:ascii="David" w:hAnsi="David" w:hint="cs"/>
          <w:rtl/>
        </w:rPr>
        <w:t>ל</w:t>
      </w:r>
      <w:r>
        <w:rPr>
          <w:rFonts w:ascii="David" w:hAnsi="David" w:hint="cs"/>
          <w:rtl/>
        </w:rPr>
        <w:t xml:space="preserve">צורך </w:t>
      </w:r>
      <w:r w:rsidRPr="00B8536C">
        <w:rPr>
          <w:rFonts w:ascii="David" w:hAnsi="David" w:hint="cs"/>
          <w:rtl/>
        </w:rPr>
        <w:t>עמידה</w:t>
      </w:r>
      <w:r w:rsidRPr="00B8536C">
        <w:rPr>
          <w:rFonts w:ascii="David" w:hAnsi="David"/>
          <w:rtl/>
        </w:rPr>
        <w:t xml:space="preserve"> </w:t>
      </w:r>
      <w:r w:rsidRPr="00B8536C">
        <w:rPr>
          <w:rFonts w:ascii="David" w:hAnsi="David" w:hint="cs"/>
          <w:rtl/>
        </w:rPr>
        <w:t>בגירעון</w:t>
      </w:r>
      <w:r w:rsidRPr="00B8536C">
        <w:rPr>
          <w:rFonts w:ascii="David" w:hAnsi="David"/>
          <w:rtl/>
        </w:rPr>
        <w:t xml:space="preserve"> </w:t>
      </w:r>
      <w:r w:rsidRPr="00B8536C">
        <w:rPr>
          <w:rFonts w:ascii="David" w:hAnsi="David" w:hint="cs"/>
          <w:rtl/>
        </w:rPr>
        <w:t>המותר</w:t>
      </w:r>
      <w:r w:rsidRPr="00B8536C">
        <w:rPr>
          <w:rFonts w:ascii="David" w:hAnsi="David"/>
          <w:rtl/>
        </w:rPr>
        <w:t>.</w:t>
      </w:r>
    </w:p>
    <w:p w:rsidR="00474C3B" w:rsidRDefault="00474C3B" w:rsidP="00CD109F">
      <w:pPr>
        <w:rPr>
          <w:rtl/>
        </w:rPr>
      </w:pPr>
    </w:p>
    <w:p w:rsidR="00474C3B" w:rsidRDefault="00474C3B" w:rsidP="00CD109F">
      <w:pPr>
        <w:rPr>
          <w:rtl/>
        </w:rPr>
      </w:pPr>
    </w:p>
    <w:tbl>
      <w:tblPr>
        <w:bidiVisual/>
        <w:tblW w:w="8422" w:type="dxa"/>
        <w:tblCellMar>
          <w:left w:w="0" w:type="dxa"/>
          <w:right w:w="0" w:type="dxa"/>
        </w:tblCellMar>
        <w:tblLook w:val="04A0" w:firstRow="1" w:lastRow="0" w:firstColumn="1" w:lastColumn="0" w:noHBand="0" w:noVBand="1"/>
      </w:tblPr>
      <w:tblGrid>
        <w:gridCol w:w="4234"/>
        <w:gridCol w:w="1675"/>
        <w:gridCol w:w="1200"/>
        <w:gridCol w:w="1313"/>
      </w:tblGrid>
      <w:tr w:rsidR="00B008FD" w:rsidTr="00ED1F1E">
        <w:trPr>
          <w:trHeight w:val="286"/>
        </w:trPr>
        <w:tc>
          <w:tcPr>
            <w:tcW w:w="4234" w:type="dxa"/>
            <w:tcBorders>
              <w:top w:val="single" w:sz="8" w:space="0" w:color="auto"/>
              <w:left w:val="single" w:sz="8" w:space="0" w:color="auto"/>
              <w:bottom w:val="single" w:sz="8" w:space="0" w:color="auto"/>
              <w:right w:val="single" w:sz="8" w:space="0" w:color="auto"/>
            </w:tcBorders>
            <w:shd w:val="clear" w:color="000000" w:fill="1F497D"/>
            <w:vAlign w:val="center"/>
            <w:hideMark/>
          </w:tcPr>
          <w:p w:rsidR="00B008FD" w:rsidRDefault="00B008FD">
            <w:pPr>
              <w:bidi w:val="0"/>
              <w:spacing w:before="0" w:after="0" w:line="240" w:lineRule="auto"/>
              <w:jc w:val="right"/>
              <w:rPr>
                <w:rFonts w:ascii="David" w:hAnsi="David"/>
                <w:b/>
                <w:bCs/>
                <w:color w:val="FFFFFF"/>
                <w:sz w:val="22"/>
                <w:szCs w:val="22"/>
              </w:rPr>
            </w:pPr>
            <w:r>
              <w:rPr>
                <w:rFonts w:ascii="David" w:hAnsi="David" w:hint="cs"/>
                <w:b/>
                <w:bCs/>
                <w:color w:val="FFFFFF"/>
                <w:sz w:val="22"/>
                <w:szCs w:val="22"/>
                <w:rtl/>
              </w:rPr>
              <w:t>(במיליארדי ש"ח)</w:t>
            </w:r>
          </w:p>
        </w:tc>
        <w:tc>
          <w:tcPr>
            <w:tcW w:w="1675" w:type="dxa"/>
            <w:tcBorders>
              <w:top w:val="single" w:sz="8" w:space="0" w:color="auto"/>
              <w:left w:val="single" w:sz="8" w:space="0" w:color="auto"/>
              <w:bottom w:val="single" w:sz="8" w:space="0" w:color="auto"/>
              <w:right w:val="nil"/>
            </w:tcBorders>
            <w:shd w:val="clear" w:color="000000" w:fill="1F497D"/>
            <w:vAlign w:val="center"/>
            <w:hideMark/>
          </w:tcPr>
          <w:p w:rsidR="00B008FD" w:rsidRDefault="00B008FD">
            <w:pPr>
              <w:bidi w:val="0"/>
              <w:jc w:val="center"/>
              <w:rPr>
                <w:rFonts w:ascii="David" w:hAnsi="David"/>
                <w:b/>
                <w:bCs/>
                <w:color w:val="FFFFFF"/>
                <w:sz w:val="22"/>
                <w:szCs w:val="22"/>
              </w:rPr>
            </w:pPr>
            <w:r>
              <w:rPr>
                <w:rFonts w:ascii="David" w:hAnsi="David"/>
                <w:b/>
                <w:bCs/>
                <w:color w:val="FFFFFF"/>
                <w:sz w:val="22"/>
                <w:szCs w:val="22"/>
              </w:rPr>
              <w:t>2020</w:t>
            </w:r>
          </w:p>
        </w:tc>
        <w:tc>
          <w:tcPr>
            <w:tcW w:w="1200" w:type="dxa"/>
            <w:tcBorders>
              <w:top w:val="single" w:sz="8" w:space="0" w:color="auto"/>
              <w:left w:val="single" w:sz="8" w:space="0" w:color="auto"/>
              <w:bottom w:val="single" w:sz="8" w:space="0" w:color="auto"/>
              <w:right w:val="nil"/>
            </w:tcBorders>
            <w:shd w:val="clear" w:color="000000" w:fill="1F497D"/>
            <w:vAlign w:val="center"/>
            <w:hideMark/>
          </w:tcPr>
          <w:p w:rsidR="00B008FD" w:rsidRDefault="00B008FD">
            <w:pPr>
              <w:bidi w:val="0"/>
              <w:jc w:val="center"/>
              <w:rPr>
                <w:rFonts w:ascii="David" w:hAnsi="David"/>
                <w:b/>
                <w:bCs/>
                <w:color w:val="FFFFFF"/>
                <w:sz w:val="22"/>
                <w:szCs w:val="22"/>
              </w:rPr>
            </w:pPr>
            <w:r>
              <w:rPr>
                <w:rFonts w:ascii="David" w:hAnsi="David"/>
                <w:b/>
                <w:bCs/>
                <w:color w:val="FFFFFF"/>
                <w:sz w:val="22"/>
                <w:szCs w:val="22"/>
              </w:rPr>
              <w:t>2021</w:t>
            </w:r>
          </w:p>
        </w:tc>
        <w:tc>
          <w:tcPr>
            <w:tcW w:w="1313" w:type="dxa"/>
            <w:tcBorders>
              <w:top w:val="single" w:sz="8" w:space="0" w:color="auto"/>
              <w:left w:val="single" w:sz="8" w:space="0" w:color="auto"/>
              <w:bottom w:val="single" w:sz="8" w:space="0" w:color="auto"/>
              <w:right w:val="nil"/>
            </w:tcBorders>
            <w:shd w:val="clear" w:color="000000" w:fill="1F497D"/>
            <w:vAlign w:val="center"/>
            <w:hideMark/>
          </w:tcPr>
          <w:p w:rsidR="00B008FD" w:rsidRDefault="00B008FD">
            <w:pPr>
              <w:bidi w:val="0"/>
              <w:jc w:val="center"/>
              <w:rPr>
                <w:rFonts w:ascii="David" w:hAnsi="David"/>
                <w:b/>
                <w:bCs/>
                <w:color w:val="FFFFFF"/>
                <w:sz w:val="22"/>
                <w:szCs w:val="22"/>
              </w:rPr>
            </w:pPr>
            <w:r>
              <w:rPr>
                <w:rFonts w:ascii="David" w:hAnsi="David"/>
                <w:b/>
                <w:bCs/>
                <w:color w:val="FFFFFF"/>
                <w:sz w:val="22"/>
                <w:szCs w:val="22"/>
              </w:rPr>
              <w:t>2022</w:t>
            </w:r>
          </w:p>
        </w:tc>
      </w:tr>
      <w:tr w:rsidR="00C521B6" w:rsidTr="00ED1F1E">
        <w:trPr>
          <w:trHeight w:val="562"/>
        </w:trPr>
        <w:tc>
          <w:tcPr>
            <w:tcW w:w="4234" w:type="dxa"/>
            <w:tcBorders>
              <w:top w:val="nil"/>
              <w:left w:val="single" w:sz="8" w:space="0" w:color="auto"/>
              <w:bottom w:val="single" w:sz="8" w:space="0" w:color="auto"/>
              <w:right w:val="single" w:sz="8" w:space="0" w:color="auto"/>
            </w:tcBorders>
            <w:shd w:val="clear" w:color="000000" w:fill="538DD5"/>
            <w:vAlign w:val="center"/>
            <w:hideMark/>
          </w:tcPr>
          <w:p w:rsidR="00C521B6" w:rsidRDefault="00C521B6" w:rsidP="005971AC">
            <w:pPr>
              <w:jc w:val="left"/>
              <w:rPr>
                <w:rFonts w:ascii="David" w:hAnsi="David"/>
                <w:b/>
                <w:bCs/>
                <w:color w:val="000000"/>
                <w:sz w:val="22"/>
                <w:szCs w:val="22"/>
              </w:rPr>
            </w:pPr>
            <w:r>
              <w:rPr>
                <w:rFonts w:ascii="David" w:hAnsi="David"/>
                <w:b/>
                <w:bCs/>
                <w:color w:val="000000"/>
                <w:sz w:val="22"/>
                <w:szCs w:val="22"/>
                <w:rtl/>
              </w:rPr>
              <w:t>היקף ההתאמות הנדרשות בפרסום הקודם (</w:t>
            </w:r>
            <w:r>
              <w:rPr>
                <w:rFonts w:ascii="David" w:hAnsi="David" w:hint="cs"/>
                <w:b/>
                <w:bCs/>
                <w:color w:val="000000"/>
                <w:sz w:val="22"/>
                <w:szCs w:val="22"/>
                <w:rtl/>
              </w:rPr>
              <w:t xml:space="preserve">פברואר </w:t>
            </w:r>
            <w:r>
              <w:rPr>
                <w:rFonts w:ascii="David" w:hAnsi="David"/>
                <w:b/>
                <w:bCs/>
                <w:color w:val="000000"/>
                <w:sz w:val="22"/>
                <w:szCs w:val="22"/>
                <w:rtl/>
              </w:rPr>
              <w:t>2018)</w:t>
            </w:r>
          </w:p>
        </w:tc>
        <w:tc>
          <w:tcPr>
            <w:tcW w:w="1675" w:type="dxa"/>
            <w:tcBorders>
              <w:top w:val="nil"/>
              <w:left w:val="single" w:sz="8" w:space="0" w:color="auto"/>
              <w:bottom w:val="single" w:sz="8" w:space="0" w:color="auto"/>
              <w:right w:val="nil"/>
            </w:tcBorders>
            <w:shd w:val="clear" w:color="000000" w:fill="538DD5"/>
            <w:vAlign w:val="center"/>
            <w:hideMark/>
          </w:tcPr>
          <w:p w:rsidR="00C521B6" w:rsidRDefault="00C521B6" w:rsidP="00C521B6">
            <w:pPr>
              <w:bidi w:val="0"/>
              <w:jc w:val="center"/>
              <w:rPr>
                <w:rFonts w:ascii="David" w:hAnsi="David"/>
                <w:b/>
                <w:bCs/>
                <w:color w:val="000000"/>
                <w:sz w:val="22"/>
                <w:szCs w:val="22"/>
                <w:rtl/>
              </w:rPr>
            </w:pPr>
            <w:r>
              <w:rPr>
                <w:rFonts w:ascii="David" w:hAnsi="David"/>
                <w:b/>
                <w:bCs/>
                <w:color w:val="000000"/>
                <w:sz w:val="22"/>
                <w:szCs w:val="22"/>
              </w:rPr>
              <w:t>7.2</w:t>
            </w:r>
          </w:p>
        </w:tc>
        <w:tc>
          <w:tcPr>
            <w:tcW w:w="1200" w:type="dxa"/>
            <w:tcBorders>
              <w:top w:val="nil"/>
              <w:left w:val="single" w:sz="8" w:space="0" w:color="auto"/>
              <w:bottom w:val="single" w:sz="8" w:space="0" w:color="auto"/>
              <w:right w:val="nil"/>
            </w:tcBorders>
            <w:shd w:val="clear" w:color="000000" w:fill="538DD5"/>
            <w:vAlign w:val="center"/>
            <w:hideMark/>
          </w:tcPr>
          <w:p w:rsidR="00C521B6" w:rsidRDefault="00C521B6" w:rsidP="00C521B6">
            <w:pPr>
              <w:bidi w:val="0"/>
              <w:jc w:val="center"/>
              <w:rPr>
                <w:rFonts w:ascii="David" w:hAnsi="David"/>
                <w:b/>
                <w:bCs/>
                <w:color w:val="000000"/>
                <w:sz w:val="22"/>
                <w:szCs w:val="22"/>
              </w:rPr>
            </w:pPr>
            <w:r>
              <w:rPr>
                <w:rFonts w:ascii="David" w:hAnsi="David"/>
                <w:b/>
                <w:bCs/>
                <w:color w:val="000000"/>
                <w:sz w:val="22"/>
                <w:szCs w:val="22"/>
              </w:rPr>
              <w:t>9.3</w:t>
            </w:r>
          </w:p>
        </w:tc>
        <w:tc>
          <w:tcPr>
            <w:tcW w:w="1313" w:type="dxa"/>
            <w:tcBorders>
              <w:top w:val="nil"/>
              <w:left w:val="single" w:sz="8" w:space="0" w:color="auto"/>
              <w:bottom w:val="single" w:sz="8" w:space="0" w:color="auto"/>
              <w:right w:val="nil"/>
            </w:tcBorders>
            <w:shd w:val="clear" w:color="000000" w:fill="538DD5"/>
            <w:vAlign w:val="center"/>
            <w:hideMark/>
          </w:tcPr>
          <w:p w:rsidR="00C521B6" w:rsidRDefault="00C521B6" w:rsidP="00C521B6">
            <w:pPr>
              <w:bidi w:val="0"/>
              <w:jc w:val="center"/>
              <w:rPr>
                <w:rFonts w:ascii="David" w:hAnsi="David"/>
                <w:b/>
                <w:bCs/>
                <w:color w:val="000000"/>
                <w:sz w:val="22"/>
                <w:szCs w:val="22"/>
              </w:rPr>
            </w:pPr>
            <w:r>
              <w:rPr>
                <w:rFonts w:ascii="David" w:hAnsi="David"/>
                <w:b/>
                <w:bCs/>
                <w:color w:val="000000"/>
                <w:sz w:val="22"/>
                <w:szCs w:val="22"/>
              </w:rPr>
              <w:t>10.6</w:t>
            </w:r>
          </w:p>
        </w:tc>
      </w:tr>
      <w:tr w:rsidR="005E34FB" w:rsidTr="00ED1F1E">
        <w:trPr>
          <w:trHeight w:val="286"/>
        </w:trPr>
        <w:tc>
          <w:tcPr>
            <w:tcW w:w="4234" w:type="dxa"/>
            <w:tcBorders>
              <w:top w:val="nil"/>
              <w:left w:val="single" w:sz="8" w:space="0" w:color="auto"/>
              <w:bottom w:val="single" w:sz="8" w:space="0" w:color="auto"/>
              <w:right w:val="single" w:sz="8" w:space="0" w:color="auto"/>
            </w:tcBorders>
            <w:shd w:val="clear" w:color="auto" w:fill="auto"/>
            <w:vAlign w:val="center"/>
            <w:hideMark/>
          </w:tcPr>
          <w:p w:rsidR="005E34FB" w:rsidRDefault="005E34FB" w:rsidP="005E34FB">
            <w:pPr>
              <w:jc w:val="left"/>
              <w:rPr>
                <w:rFonts w:ascii="David" w:hAnsi="David"/>
                <w:color w:val="000000"/>
                <w:sz w:val="22"/>
                <w:szCs w:val="22"/>
              </w:rPr>
            </w:pPr>
            <w:r>
              <w:rPr>
                <w:rFonts w:ascii="David" w:hAnsi="David"/>
                <w:color w:val="000000"/>
                <w:sz w:val="22"/>
                <w:szCs w:val="22"/>
                <w:rtl/>
              </w:rPr>
              <w:t>השינוי בהיקף ההתאמות בצד ההוצאות</w:t>
            </w:r>
          </w:p>
        </w:tc>
        <w:tc>
          <w:tcPr>
            <w:tcW w:w="1675" w:type="dxa"/>
            <w:tcBorders>
              <w:top w:val="nil"/>
              <w:left w:val="single" w:sz="8" w:space="0" w:color="auto"/>
              <w:bottom w:val="single" w:sz="8" w:space="0" w:color="auto"/>
              <w:right w:val="nil"/>
            </w:tcBorders>
            <w:shd w:val="clear" w:color="auto" w:fill="auto"/>
            <w:vAlign w:val="center"/>
            <w:hideMark/>
          </w:tcPr>
          <w:p w:rsidR="005E34FB" w:rsidRDefault="005E34FB" w:rsidP="005E34FB">
            <w:pPr>
              <w:bidi w:val="0"/>
              <w:jc w:val="center"/>
              <w:rPr>
                <w:rFonts w:ascii="David" w:hAnsi="David"/>
                <w:color w:val="000000"/>
                <w:sz w:val="22"/>
                <w:szCs w:val="22"/>
                <w:rtl/>
              </w:rPr>
            </w:pPr>
            <w:r>
              <w:rPr>
                <w:rFonts w:ascii="David" w:hAnsi="David"/>
                <w:color w:val="000000"/>
                <w:sz w:val="22"/>
                <w:szCs w:val="22"/>
              </w:rPr>
              <w:t>5.5</w:t>
            </w:r>
          </w:p>
        </w:tc>
        <w:tc>
          <w:tcPr>
            <w:tcW w:w="1200" w:type="dxa"/>
            <w:tcBorders>
              <w:top w:val="nil"/>
              <w:left w:val="single" w:sz="8" w:space="0" w:color="auto"/>
              <w:bottom w:val="single" w:sz="8" w:space="0" w:color="auto"/>
              <w:right w:val="nil"/>
            </w:tcBorders>
            <w:shd w:val="clear" w:color="auto" w:fill="auto"/>
            <w:vAlign w:val="center"/>
            <w:hideMark/>
          </w:tcPr>
          <w:p w:rsidR="005E34FB" w:rsidRDefault="005E34FB" w:rsidP="005E34FB">
            <w:pPr>
              <w:bidi w:val="0"/>
              <w:jc w:val="center"/>
              <w:rPr>
                <w:rFonts w:ascii="David" w:hAnsi="David"/>
                <w:color w:val="000000"/>
                <w:sz w:val="22"/>
                <w:szCs w:val="22"/>
              </w:rPr>
            </w:pPr>
            <w:r>
              <w:rPr>
                <w:rFonts w:ascii="David" w:hAnsi="David"/>
                <w:color w:val="000000"/>
                <w:sz w:val="22"/>
                <w:szCs w:val="22"/>
              </w:rPr>
              <w:t>7.9</w:t>
            </w:r>
          </w:p>
        </w:tc>
        <w:tc>
          <w:tcPr>
            <w:tcW w:w="1313" w:type="dxa"/>
            <w:tcBorders>
              <w:top w:val="nil"/>
              <w:left w:val="single" w:sz="8" w:space="0" w:color="auto"/>
              <w:bottom w:val="single" w:sz="8" w:space="0" w:color="auto"/>
              <w:right w:val="nil"/>
            </w:tcBorders>
            <w:shd w:val="clear" w:color="auto" w:fill="auto"/>
            <w:vAlign w:val="center"/>
            <w:hideMark/>
          </w:tcPr>
          <w:p w:rsidR="005E34FB" w:rsidRDefault="005E34FB" w:rsidP="005E34FB">
            <w:pPr>
              <w:bidi w:val="0"/>
              <w:jc w:val="center"/>
              <w:rPr>
                <w:rFonts w:ascii="David" w:hAnsi="David"/>
                <w:color w:val="000000"/>
                <w:sz w:val="22"/>
                <w:szCs w:val="22"/>
              </w:rPr>
            </w:pPr>
            <w:r>
              <w:rPr>
                <w:rFonts w:ascii="David" w:hAnsi="David"/>
                <w:color w:val="000000"/>
                <w:sz w:val="22"/>
                <w:szCs w:val="22"/>
              </w:rPr>
              <w:t>8.8</w:t>
            </w:r>
          </w:p>
        </w:tc>
      </w:tr>
      <w:tr w:rsidR="00921559" w:rsidTr="00ED1F1E">
        <w:trPr>
          <w:trHeight w:val="286"/>
        </w:trPr>
        <w:tc>
          <w:tcPr>
            <w:tcW w:w="4234" w:type="dxa"/>
            <w:tcBorders>
              <w:top w:val="nil"/>
              <w:left w:val="single" w:sz="8" w:space="0" w:color="auto"/>
              <w:bottom w:val="single" w:sz="8" w:space="0" w:color="auto"/>
              <w:right w:val="single" w:sz="8" w:space="0" w:color="auto"/>
            </w:tcBorders>
            <w:shd w:val="clear" w:color="auto" w:fill="auto"/>
            <w:vAlign w:val="center"/>
            <w:hideMark/>
          </w:tcPr>
          <w:p w:rsidR="00921559" w:rsidRDefault="00921559" w:rsidP="00921559">
            <w:pPr>
              <w:jc w:val="left"/>
              <w:rPr>
                <w:rFonts w:ascii="David" w:hAnsi="David"/>
                <w:color w:val="000000"/>
                <w:sz w:val="22"/>
                <w:szCs w:val="22"/>
              </w:rPr>
            </w:pPr>
            <w:r w:rsidRPr="00474C3B">
              <w:rPr>
                <w:rFonts w:ascii="David" w:hAnsi="David"/>
                <w:color w:val="000000"/>
                <w:sz w:val="22"/>
                <w:szCs w:val="22"/>
                <w:rtl/>
              </w:rPr>
              <w:t>השינוי בהיקף ההתאמות בגין תחזית ההכנסות</w:t>
            </w:r>
          </w:p>
        </w:tc>
        <w:tc>
          <w:tcPr>
            <w:tcW w:w="1675" w:type="dxa"/>
            <w:tcBorders>
              <w:top w:val="nil"/>
              <w:left w:val="single" w:sz="8" w:space="0" w:color="auto"/>
              <w:bottom w:val="single" w:sz="8" w:space="0" w:color="auto"/>
              <w:right w:val="nil"/>
            </w:tcBorders>
            <w:shd w:val="clear" w:color="auto" w:fill="auto"/>
            <w:vAlign w:val="center"/>
            <w:hideMark/>
          </w:tcPr>
          <w:p w:rsidR="00921559" w:rsidRDefault="00921559" w:rsidP="00921559">
            <w:pPr>
              <w:bidi w:val="0"/>
              <w:jc w:val="center"/>
              <w:rPr>
                <w:rFonts w:ascii="David" w:hAnsi="David"/>
                <w:color w:val="000000"/>
                <w:sz w:val="22"/>
                <w:szCs w:val="22"/>
                <w:rtl/>
              </w:rPr>
            </w:pPr>
            <w:r>
              <w:rPr>
                <w:rFonts w:ascii="David" w:hAnsi="David"/>
                <w:color w:val="000000"/>
                <w:sz w:val="22"/>
                <w:szCs w:val="22"/>
              </w:rPr>
              <w:t>5.0</w:t>
            </w:r>
          </w:p>
        </w:tc>
        <w:tc>
          <w:tcPr>
            <w:tcW w:w="1200" w:type="dxa"/>
            <w:tcBorders>
              <w:top w:val="nil"/>
              <w:left w:val="single" w:sz="8" w:space="0" w:color="auto"/>
              <w:bottom w:val="single" w:sz="8" w:space="0" w:color="auto"/>
              <w:right w:val="nil"/>
            </w:tcBorders>
            <w:shd w:val="clear" w:color="auto" w:fill="auto"/>
            <w:vAlign w:val="center"/>
            <w:hideMark/>
          </w:tcPr>
          <w:p w:rsidR="00921559" w:rsidRDefault="00921559" w:rsidP="00921559">
            <w:pPr>
              <w:bidi w:val="0"/>
              <w:jc w:val="center"/>
              <w:rPr>
                <w:rFonts w:ascii="David" w:hAnsi="David"/>
                <w:color w:val="000000"/>
                <w:sz w:val="22"/>
                <w:szCs w:val="22"/>
              </w:rPr>
            </w:pPr>
            <w:r>
              <w:rPr>
                <w:rFonts w:ascii="David" w:hAnsi="David"/>
                <w:color w:val="000000"/>
                <w:sz w:val="22"/>
                <w:szCs w:val="22"/>
              </w:rPr>
              <w:t>2.9</w:t>
            </w:r>
          </w:p>
        </w:tc>
        <w:tc>
          <w:tcPr>
            <w:tcW w:w="1313" w:type="dxa"/>
            <w:tcBorders>
              <w:top w:val="nil"/>
              <w:left w:val="single" w:sz="8" w:space="0" w:color="auto"/>
              <w:bottom w:val="single" w:sz="8" w:space="0" w:color="auto"/>
              <w:right w:val="nil"/>
            </w:tcBorders>
            <w:shd w:val="clear" w:color="auto" w:fill="auto"/>
            <w:vAlign w:val="center"/>
            <w:hideMark/>
          </w:tcPr>
          <w:p w:rsidR="00921559" w:rsidRDefault="00921559" w:rsidP="00921559">
            <w:pPr>
              <w:bidi w:val="0"/>
              <w:jc w:val="center"/>
              <w:rPr>
                <w:rFonts w:ascii="David" w:hAnsi="David"/>
                <w:color w:val="000000"/>
                <w:sz w:val="22"/>
                <w:szCs w:val="22"/>
              </w:rPr>
            </w:pPr>
            <w:r>
              <w:rPr>
                <w:rFonts w:ascii="David" w:hAnsi="David"/>
                <w:color w:val="000000"/>
                <w:sz w:val="22"/>
                <w:szCs w:val="22"/>
              </w:rPr>
              <w:t>1.6</w:t>
            </w:r>
          </w:p>
        </w:tc>
      </w:tr>
      <w:tr w:rsidR="00921559" w:rsidTr="00ED1F1E">
        <w:trPr>
          <w:trHeight w:val="286"/>
        </w:trPr>
        <w:tc>
          <w:tcPr>
            <w:tcW w:w="4234" w:type="dxa"/>
            <w:tcBorders>
              <w:top w:val="nil"/>
              <w:left w:val="single" w:sz="8" w:space="0" w:color="auto"/>
              <w:bottom w:val="single" w:sz="8" w:space="0" w:color="auto"/>
              <w:right w:val="single" w:sz="8" w:space="0" w:color="auto"/>
            </w:tcBorders>
            <w:shd w:val="clear" w:color="auto" w:fill="auto"/>
            <w:vAlign w:val="center"/>
            <w:hideMark/>
          </w:tcPr>
          <w:p w:rsidR="00921559" w:rsidRDefault="00921559" w:rsidP="00921559">
            <w:pPr>
              <w:jc w:val="left"/>
              <w:rPr>
                <w:rFonts w:ascii="David" w:hAnsi="David"/>
                <w:color w:val="000000"/>
                <w:sz w:val="22"/>
                <w:szCs w:val="22"/>
              </w:rPr>
            </w:pPr>
            <w:r>
              <w:rPr>
                <w:rFonts w:ascii="David" w:hAnsi="David"/>
                <w:color w:val="000000"/>
                <w:sz w:val="22"/>
                <w:szCs w:val="22"/>
                <w:rtl/>
              </w:rPr>
              <w:t>שינוי בעיה בגין השפעת תוצר</w:t>
            </w:r>
          </w:p>
        </w:tc>
        <w:tc>
          <w:tcPr>
            <w:tcW w:w="1675" w:type="dxa"/>
            <w:tcBorders>
              <w:top w:val="nil"/>
              <w:left w:val="single" w:sz="8" w:space="0" w:color="auto"/>
              <w:bottom w:val="single" w:sz="8" w:space="0" w:color="auto"/>
              <w:right w:val="nil"/>
            </w:tcBorders>
            <w:shd w:val="clear" w:color="auto" w:fill="auto"/>
            <w:vAlign w:val="center"/>
            <w:hideMark/>
          </w:tcPr>
          <w:p w:rsidR="00921559" w:rsidRDefault="00921559" w:rsidP="00921559">
            <w:pPr>
              <w:bidi w:val="0"/>
              <w:jc w:val="center"/>
              <w:rPr>
                <w:rFonts w:ascii="David" w:hAnsi="David"/>
                <w:color w:val="000000"/>
                <w:sz w:val="22"/>
                <w:szCs w:val="22"/>
                <w:rtl/>
              </w:rPr>
            </w:pPr>
            <w:r>
              <w:rPr>
                <w:rFonts w:ascii="David" w:hAnsi="David"/>
                <w:color w:val="000000"/>
                <w:sz w:val="22"/>
                <w:szCs w:val="22"/>
              </w:rPr>
              <w:t>-0.2</w:t>
            </w:r>
          </w:p>
        </w:tc>
        <w:tc>
          <w:tcPr>
            <w:tcW w:w="1200" w:type="dxa"/>
            <w:tcBorders>
              <w:top w:val="nil"/>
              <w:left w:val="single" w:sz="8" w:space="0" w:color="auto"/>
              <w:bottom w:val="single" w:sz="8" w:space="0" w:color="auto"/>
              <w:right w:val="nil"/>
            </w:tcBorders>
            <w:shd w:val="clear" w:color="auto" w:fill="auto"/>
            <w:vAlign w:val="center"/>
            <w:hideMark/>
          </w:tcPr>
          <w:p w:rsidR="00921559" w:rsidRDefault="00921559" w:rsidP="00921559">
            <w:pPr>
              <w:bidi w:val="0"/>
              <w:jc w:val="center"/>
              <w:rPr>
                <w:rFonts w:ascii="David" w:hAnsi="David"/>
                <w:color w:val="000000"/>
                <w:sz w:val="22"/>
                <w:szCs w:val="22"/>
              </w:rPr>
            </w:pPr>
            <w:r>
              <w:rPr>
                <w:rFonts w:ascii="David" w:hAnsi="David"/>
                <w:color w:val="000000"/>
                <w:sz w:val="22"/>
                <w:szCs w:val="22"/>
              </w:rPr>
              <w:t>-0.3</w:t>
            </w:r>
          </w:p>
        </w:tc>
        <w:tc>
          <w:tcPr>
            <w:tcW w:w="1313" w:type="dxa"/>
            <w:tcBorders>
              <w:top w:val="nil"/>
              <w:left w:val="single" w:sz="8" w:space="0" w:color="auto"/>
              <w:bottom w:val="single" w:sz="8" w:space="0" w:color="auto"/>
              <w:right w:val="nil"/>
            </w:tcBorders>
            <w:shd w:val="clear" w:color="auto" w:fill="auto"/>
            <w:vAlign w:val="center"/>
            <w:hideMark/>
          </w:tcPr>
          <w:p w:rsidR="00921559" w:rsidRDefault="00921559" w:rsidP="00921559">
            <w:pPr>
              <w:bidi w:val="0"/>
              <w:jc w:val="center"/>
              <w:rPr>
                <w:rFonts w:ascii="David" w:hAnsi="David"/>
                <w:color w:val="000000"/>
                <w:sz w:val="22"/>
                <w:szCs w:val="22"/>
              </w:rPr>
            </w:pPr>
            <w:r>
              <w:rPr>
                <w:rFonts w:ascii="David" w:hAnsi="David"/>
                <w:color w:val="000000"/>
                <w:sz w:val="22"/>
                <w:szCs w:val="22"/>
              </w:rPr>
              <w:t>-0.2</w:t>
            </w:r>
          </w:p>
        </w:tc>
      </w:tr>
      <w:tr w:rsidR="00921559" w:rsidTr="00ED1F1E">
        <w:trPr>
          <w:trHeight w:val="562"/>
        </w:trPr>
        <w:tc>
          <w:tcPr>
            <w:tcW w:w="4234" w:type="dxa"/>
            <w:tcBorders>
              <w:top w:val="nil"/>
              <w:left w:val="single" w:sz="8" w:space="0" w:color="auto"/>
              <w:bottom w:val="single" w:sz="8" w:space="0" w:color="auto"/>
              <w:right w:val="single" w:sz="8" w:space="0" w:color="auto"/>
            </w:tcBorders>
            <w:shd w:val="clear" w:color="000000" w:fill="8DB4E2"/>
            <w:vAlign w:val="center"/>
            <w:hideMark/>
          </w:tcPr>
          <w:p w:rsidR="00921559" w:rsidRDefault="00921559" w:rsidP="00921559">
            <w:pPr>
              <w:jc w:val="left"/>
              <w:rPr>
                <w:rFonts w:ascii="David" w:hAnsi="David"/>
                <w:b/>
                <w:bCs/>
                <w:color w:val="000000"/>
                <w:sz w:val="22"/>
                <w:szCs w:val="22"/>
              </w:rPr>
            </w:pPr>
            <w:r>
              <w:rPr>
                <w:rFonts w:ascii="David" w:hAnsi="David"/>
                <w:b/>
                <w:bCs/>
                <w:color w:val="000000"/>
                <w:sz w:val="22"/>
                <w:szCs w:val="22"/>
                <w:rtl/>
              </w:rPr>
              <w:t>היקף ההתאמות הנדרשות בפרסום הנוכחי (דצמבר 2018)</w:t>
            </w:r>
          </w:p>
        </w:tc>
        <w:tc>
          <w:tcPr>
            <w:tcW w:w="1675" w:type="dxa"/>
            <w:tcBorders>
              <w:top w:val="nil"/>
              <w:left w:val="single" w:sz="8" w:space="0" w:color="auto"/>
              <w:bottom w:val="single" w:sz="8" w:space="0" w:color="auto"/>
              <w:right w:val="nil"/>
            </w:tcBorders>
            <w:shd w:val="clear" w:color="000000" w:fill="8DB4E2"/>
            <w:vAlign w:val="center"/>
            <w:hideMark/>
          </w:tcPr>
          <w:p w:rsidR="00921559" w:rsidRDefault="00921559" w:rsidP="00921559">
            <w:pPr>
              <w:bidi w:val="0"/>
              <w:jc w:val="center"/>
              <w:rPr>
                <w:rFonts w:ascii="David" w:hAnsi="David"/>
                <w:b/>
                <w:bCs/>
                <w:color w:val="000000"/>
                <w:sz w:val="22"/>
                <w:szCs w:val="22"/>
                <w:rtl/>
              </w:rPr>
            </w:pPr>
            <w:r>
              <w:rPr>
                <w:rFonts w:ascii="David" w:hAnsi="David"/>
                <w:b/>
                <w:bCs/>
                <w:color w:val="000000"/>
                <w:sz w:val="22"/>
                <w:szCs w:val="22"/>
              </w:rPr>
              <w:t>17.4</w:t>
            </w:r>
          </w:p>
        </w:tc>
        <w:tc>
          <w:tcPr>
            <w:tcW w:w="1200" w:type="dxa"/>
            <w:tcBorders>
              <w:top w:val="nil"/>
              <w:left w:val="single" w:sz="8" w:space="0" w:color="auto"/>
              <w:bottom w:val="single" w:sz="8" w:space="0" w:color="auto"/>
              <w:right w:val="nil"/>
            </w:tcBorders>
            <w:shd w:val="clear" w:color="000000" w:fill="8DB4E2"/>
            <w:vAlign w:val="center"/>
            <w:hideMark/>
          </w:tcPr>
          <w:p w:rsidR="00921559" w:rsidRDefault="00921559" w:rsidP="00921559">
            <w:pPr>
              <w:bidi w:val="0"/>
              <w:jc w:val="center"/>
              <w:rPr>
                <w:rFonts w:ascii="David" w:hAnsi="David"/>
                <w:b/>
                <w:bCs/>
                <w:color w:val="000000"/>
                <w:sz w:val="22"/>
                <w:szCs w:val="22"/>
              </w:rPr>
            </w:pPr>
            <w:r>
              <w:rPr>
                <w:rFonts w:ascii="David" w:hAnsi="David"/>
                <w:b/>
                <w:bCs/>
                <w:color w:val="000000"/>
                <w:sz w:val="22"/>
                <w:szCs w:val="22"/>
              </w:rPr>
              <w:t>19.8</w:t>
            </w:r>
          </w:p>
        </w:tc>
        <w:tc>
          <w:tcPr>
            <w:tcW w:w="1313" w:type="dxa"/>
            <w:tcBorders>
              <w:top w:val="nil"/>
              <w:left w:val="single" w:sz="8" w:space="0" w:color="auto"/>
              <w:bottom w:val="single" w:sz="8" w:space="0" w:color="auto"/>
              <w:right w:val="nil"/>
            </w:tcBorders>
            <w:shd w:val="clear" w:color="000000" w:fill="8DB4E2"/>
            <w:vAlign w:val="center"/>
            <w:hideMark/>
          </w:tcPr>
          <w:p w:rsidR="00921559" w:rsidRDefault="00921559" w:rsidP="00921559">
            <w:pPr>
              <w:bidi w:val="0"/>
              <w:jc w:val="center"/>
              <w:rPr>
                <w:rFonts w:ascii="David" w:hAnsi="David"/>
                <w:b/>
                <w:bCs/>
                <w:color w:val="000000"/>
                <w:sz w:val="22"/>
                <w:szCs w:val="22"/>
              </w:rPr>
            </w:pPr>
            <w:r>
              <w:rPr>
                <w:rFonts w:ascii="David" w:hAnsi="David"/>
                <w:b/>
                <w:bCs/>
                <w:color w:val="000000"/>
                <w:sz w:val="22"/>
                <w:szCs w:val="22"/>
              </w:rPr>
              <w:t>20.8</w:t>
            </w:r>
          </w:p>
        </w:tc>
      </w:tr>
    </w:tbl>
    <w:p w:rsidR="00CD109F" w:rsidRPr="00E11AC6" w:rsidRDefault="00CD109F" w:rsidP="00CD109F">
      <w:pPr>
        <w:rPr>
          <w:rtl/>
        </w:rPr>
      </w:pPr>
      <w:r>
        <w:rPr>
          <w:rtl/>
        </w:rPr>
        <w:t>*</w:t>
      </w:r>
      <w:r>
        <w:rPr>
          <w:rFonts w:asciiTheme="minorHAnsi" w:eastAsiaTheme="minorEastAsia" w:cstheme="minorBidi"/>
          <w:color w:val="000000" w:themeColor="text1"/>
          <w:kern w:val="24"/>
          <w:sz w:val="28"/>
          <w:szCs w:val="28"/>
          <w:rtl/>
        </w:rPr>
        <w:t xml:space="preserve"> </w:t>
      </w:r>
      <w:r>
        <w:rPr>
          <w:sz w:val="20"/>
          <w:szCs w:val="20"/>
          <w:rtl/>
        </w:rPr>
        <w:t>הבדלים בסכומים המצרפיים נובעים מעיגול ספרות</w:t>
      </w:r>
    </w:p>
    <w:p w:rsidR="00CD109F" w:rsidRDefault="00CD109F" w:rsidP="0086781D">
      <w:pPr>
        <w:rPr>
          <w:rtl/>
        </w:rPr>
      </w:pPr>
    </w:p>
    <w:p w:rsidR="00DC4053" w:rsidRPr="00B8536C" w:rsidRDefault="00DC4053" w:rsidP="00FD0CE5">
      <w:pPr>
        <w:rPr>
          <w:b/>
          <w:bCs/>
          <w:rtl/>
        </w:rPr>
      </w:pPr>
      <w:r w:rsidRPr="00B8536C">
        <w:rPr>
          <w:rFonts w:hint="cs"/>
          <w:b/>
          <w:bCs/>
          <w:rtl/>
        </w:rPr>
        <w:t>התכנסות</w:t>
      </w:r>
      <w:r w:rsidRPr="00B8536C">
        <w:rPr>
          <w:b/>
          <w:bCs/>
          <w:rtl/>
        </w:rPr>
        <w:t xml:space="preserve"> </w:t>
      </w:r>
      <w:r w:rsidRPr="00B8536C">
        <w:rPr>
          <w:rFonts w:hint="cs"/>
          <w:b/>
          <w:bCs/>
          <w:rtl/>
        </w:rPr>
        <w:t>למ</w:t>
      </w:r>
      <w:r>
        <w:rPr>
          <w:rFonts w:hint="cs"/>
          <w:b/>
          <w:bCs/>
          <w:rtl/>
        </w:rPr>
        <w:t xml:space="preserve">גבלת ההוצאה המותרת לשנים </w:t>
      </w:r>
      <w:r w:rsidR="00FD0CE5">
        <w:rPr>
          <w:rFonts w:hint="cs"/>
          <w:b/>
          <w:bCs/>
          <w:rtl/>
        </w:rPr>
        <w:t xml:space="preserve">2020 </w:t>
      </w:r>
      <w:r>
        <w:rPr>
          <w:rFonts w:hint="cs"/>
          <w:b/>
          <w:bCs/>
          <w:rtl/>
        </w:rPr>
        <w:t xml:space="preserve">עד </w:t>
      </w:r>
      <w:r w:rsidR="00FD0CE5">
        <w:rPr>
          <w:rFonts w:hint="cs"/>
          <w:b/>
          <w:bCs/>
          <w:rtl/>
        </w:rPr>
        <w:t xml:space="preserve">2022 </w:t>
      </w:r>
      <w:r w:rsidRPr="00B8536C">
        <w:rPr>
          <w:rFonts w:hint="cs"/>
          <w:b/>
          <w:bCs/>
          <w:rtl/>
        </w:rPr>
        <w:t>ועיקרי</w:t>
      </w:r>
      <w:r w:rsidRPr="00B8536C">
        <w:rPr>
          <w:b/>
          <w:bCs/>
          <w:rtl/>
        </w:rPr>
        <w:t xml:space="preserve"> </w:t>
      </w:r>
      <w:r w:rsidRPr="00B8536C">
        <w:rPr>
          <w:rFonts w:hint="cs"/>
          <w:b/>
          <w:bCs/>
          <w:rtl/>
        </w:rPr>
        <w:t>השינויים</w:t>
      </w:r>
      <w:r w:rsidRPr="00B8536C">
        <w:rPr>
          <w:b/>
          <w:bCs/>
          <w:rtl/>
        </w:rPr>
        <w:t xml:space="preserve"> </w:t>
      </w:r>
      <w:r w:rsidRPr="00B8536C">
        <w:rPr>
          <w:rFonts w:hint="cs"/>
          <w:b/>
          <w:bCs/>
          <w:rtl/>
        </w:rPr>
        <w:t>בצד</w:t>
      </w:r>
      <w:r w:rsidRPr="00B8536C">
        <w:rPr>
          <w:b/>
          <w:bCs/>
          <w:rtl/>
        </w:rPr>
        <w:t xml:space="preserve"> </w:t>
      </w:r>
      <w:r w:rsidRPr="00B8536C">
        <w:rPr>
          <w:rFonts w:hint="cs"/>
          <w:b/>
          <w:bCs/>
          <w:rtl/>
        </w:rPr>
        <w:t>ההוצאה</w:t>
      </w:r>
    </w:p>
    <w:p w:rsidR="00DC4053" w:rsidRPr="00B8536C" w:rsidRDefault="00DC4053" w:rsidP="003F5A0B">
      <w:pPr>
        <w:rPr>
          <w:rtl/>
        </w:rPr>
      </w:pPr>
      <w:r w:rsidRPr="00B8536C">
        <w:rPr>
          <w:rFonts w:hint="cs"/>
          <w:rtl/>
        </w:rPr>
        <w:t>בהתאם</w:t>
      </w:r>
      <w:r w:rsidRPr="00B8536C">
        <w:rPr>
          <w:rtl/>
        </w:rPr>
        <w:t xml:space="preserve"> </w:t>
      </w:r>
      <w:r w:rsidRPr="00B8536C">
        <w:rPr>
          <w:rFonts w:hint="cs"/>
          <w:rtl/>
        </w:rPr>
        <w:t>ל</w:t>
      </w:r>
      <w:r>
        <w:rPr>
          <w:rFonts w:hint="cs"/>
          <w:rtl/>
        </w:rPr>
        <w:t>סעיף 40א ל</w:t>
      </w:r>
      <w:r w:rsidRPr="00B8536C">
        <w:rPr>
          <w:rFonts w:hint="cs"/>
          <w:rtl/>
        </w:rPr>
        <w:t>חוק</w:t>
      </w:r>
      <w:r w:rsidRPr="00B8536C">
        <w:rPr>
          <w:rtl/>
        </w:rPr>
        <w:t>, היקף מחויבויות הממשלה לכל אחת משנות התקציב הנכללות בת</w:t>
      </w:r>
      <w:r>
        <w:rPr>
          <w:rFonts w:hint="cs"/>
          <w:rtl/>
        </w:rPr>
        <w:t>ו</w:t>
      </w:r>
      <w:r w:rsidRPr="00B8536C">
        <w:rPr>
          <w:rtl/>
        </w:rPr>
        <w:t xml:space="preserve">כנית </w:t>
      </w:r>
      <w:r w:rsidRPr="00B8536C">
        <w:rPr>
          <w:rFonts w:hint="cs"/>
          <w:rtl/>
        </w:rPr>
        <w:t>הרב</w:t>
      </w:r>
      <w:r w:rsidRPr="00B8536C">
        <w:rPr>
          <w:rtl/>
        </w:rPr>
        <w:t xml:space="preserve">-שנתית </w:t>
      </w:r>
      <w:r w:rsidRPr="00B8536C">
        <w:rPr>
          <w:rFonts w:hint="cs"/>
          <w:rtl/>
        </w:rPr>
        <w:t>לא</w:t>
      </w:r>
      <w:r w:rsidRPr="00B8536C">
        <w:rPr>
          <w:rtl/>
        </w:rPr>
        <w:t xml:space="preserve"> </w:t>
      </w:r>
      <w:r w:rsidRPr="00B8536C">
        <w:rPr>
          <w:rFonts w:hint="cs"/>
          <w:rtl/>
        </w:rPr>
        <w:t>יעלה</w:t>
      </w:r>
      <w:r w:rsidRPr="00B8536C">
        <w:rPr>
          <w:rtl/>
        </w:rPr>
        <w:t xml:space="preserve"> </w:t>
      </w:r>
      <w:r w:rsidRPr="00B8536C">
        <w:rPr>
          <w:rFonts w:hint="cs"/>
          <w:rtl/>
        </w:rPr>
        <w:t>על</w:t>
      </w:r>
      <w:r w:rsidRPr="00B8536C">
        <w:rPr>
          <w:rtl/>
        </w:rPr>
        <w:t xml:space="preserve"> </w:t>
      </w:r>
      <w:r w:rsidRPr="00B8536C">
        <w:rPr>
          <w:rFonts w:hint="cs"/>
          <w:rtl/>
        </w:rPr>
        <w:t>מגבלת</w:t>
      </w:r>
      <w:r w:rsidRPr="00B8536C">
        <w:rPr>
          <w:rtl/>
        </w:rPr>
        <w:t xml:space="preserve"> </w:t>
      </w:r>
      <w:r w:rsidRPr="00B8536C">
        <w:rPr>
          <w:rFonts w:hint="cs"/>
          <w:rtl/>
        </w:rPr>
        <w:t>ההוצאה</w:t>
      </w:r>
      <w:r w:rsidRPr="00B8536C">
        <w:rPr>
          <w:rtl/>
        </w:rPr>
        <w:t xml:space="preserve"> </w:t>
      </w:r>
      <w:r w:rsidRPr="00B8536C">
        <w:rPr>
          <w:rFonts w:hint="cs"/>
          <w:rtl/>
        </w:rPr>
        <w:t>המותרת</w:t>
      </w:r>
      <w:r w:rsidRPr="00B8536C">
        <w:rPr>
          <w:rtl/>
        </w:rPr>
        <w:t xml:space="preserve"> </w:t>
      </w:r>
      <w:r w:rsidRPr="00B8536C">
        <w:rPr>
          <w:rFonts w:hint="cs"/>
          <w:rtl/>
        </w:rPr>
        <w:t>לאותה</w:t>
      </w:r>
      <w:r w:rsidRPr="00B8536C">
        <w:rPr>
          <w:rtl/>
        </w:rPr>
        <w:t xml:space="preserve"> </w:t>
      </w:r>
      <w:r w:rsidRPr="00B8536C">
        <w:rPr>
          <w:rFonts w:hint="cs"/>
          <w:rtl/>
        </w:rPr>
        <w:t>שנת</w:t>
      </w:r>
      <w:r w:rsidRPr="00B8536C">
        <w:rPr>
          <w:rtl/>
        </w:rPr>
        <w:t xml:space="preserve"> </w:t>
      </w:r>
      <w:r w:rsidRPr="00B8536C">
        <w:rPr>
          <w:rFonts w:hint="cs"/>
          <w:rtl/>
        </w:rPr>
        <w:t>תקציב</w:t>
      </w:r>
      <w:r w:rsidRPr="00B8536C">
        <w:rPr>
          <w:rtl/>
        </w:rPr>
        <w:t>.</w:t>
      </w:r>
    </w:p>
    <w:p w:rsidR="00DC4053" w:rsidRPr="00B8536C" w:rsidRDefault="000F1384" w:rsidP="005971AC">
      <w:pPr>
        <w:rPr>
          <w:rtl/>
        </w:rPr>
      </w:pPr>
      <w:r>
        <w:rPr>
          <w:rFonts w:hint="cs"/>
          <w:rtl/>
        </w:rPr>
        <w:t xml:space="preserve">במהלך התקופה שבין פרסום </w:t>
      </w:r>
      <w:r w:rsidR="004A29C1">
        <w:rPr>
          <w:rFonts w:hint="cs"/>
          <w:rtl/>
        </w:rPr>
        <w:t xml:space="preserve">תכנית התקציב התלת שנתית בחודש פברואר 2018 </w:t>
      </w:r>
      <w:r w:rsidR="00406C35">
        <w:rPr>
          <w:rFonts w:hint="cs"/>
          <w:rtl/>
        </w:rPr>
        <w:t xml:space="preserve">כחלק </w:t>
      </w:r>
      <w:r w:rsidR="00DC4053">
        <w:rPr>
          <w:rFonts w:hint="cs"/>
          <w:rtl/>
        </w:rPr>
        <w:t>מתהליך אישור תקציב המדינה</w:t>
      </w:r>
      <w:r w:rsidR="004A29C1">
        <w:rPr>
          <w:rFonts w:hint="cs"/>
          <w:rtl/>
        </w:rPr>
        <w:t xml:space="preserve"> ועד לפרסום הנוכחי </w:t>
      </w:r>
      <w:r w:rsidR="00DC4053">
        <w:rPr>
          <w:rFonts w:hint="cs"/>
          <w:rtl/>
        </w:rPr>
        <w:t xml:space="preserve">התקבלו החלטות מדיניות המשפיעות על היקף ההוצאה הצפוי בשנות התוכנית התלת-שנתית. </w:t>
      </w:r>
      <w:r w:rsidR="00DC4053" w:rsidRPr="006214C9">
        <w:rPr>
          <w:rFonts w:hint="cs"/>
          <w:rtl/>
        </w:rPr>
        <w:t>בין</w:t>
      </w:r>
      <w:r w:rsidR="00DC4053" w:rsidRPr="006214C9">
        <w:rPr>
          <w:rtl/>
        </w:rPr>
        <w:t xml:space="preserve"> </w:t>
      </w:r>
      <w:r w:rsidR="00DC4053" w:rsidRPr="006214C9">
        <w:rPr>
          <w:rFonts w:hint="cs"/>
          <w:rtl/>
        </w:rPr>
        <w:t>היתר</w:t>
      </w:r>
      <w:r w:rsidR="00DC4053" w:rsidRPr="006214C9">
        <w:rPr>
          <w:rtl/>
        </w:rPr>
        <w:t>, התבהרו נתונים נוספים לגבי קצבי ביצוע של פרויקטים ותכניות הנמצאים בשלבי מי</w:t>
      </w:r>
      <w:r w:rsidR="00DC4053" w:rsidRPr="00B8536C">
        <w:rPr>
          <w:rtl/>
        </w:rPr>
        <w:t>מוש שונים, בוצעו עדכונים לתחזיות מדדי המחירים, וכן נוצרו לממשלה עלויות תקציביות</w:t>
      </w:r>
      <w:r w:rsidR="00DC4053">
        <w:rPr>
          <w:rFonts w:hint="cs"/>
          <w:rtl/>
        </w:rPr>
        <w:t xml:space="preserve"> הן כתוצאה מצעדי מדיניות שאושרו </w:t>
      </w:r>
      <w:r w:rsidR="00406C35">
        <w:rPr>
          <w:rFonts w:hint="cs"/>
          <w:rtl/>
        </w:rPr>
        <w:t xml:space="preserve">לאחר </w:t>
      </w:r>
      <w:r w:rsidR="00DC4053">
        <w:rPr>
          <w:rFonts w:hint="cs"/>
          <w:rtl/>
        </w:rPr>
        <w:t xml:space="preserve">אישור </w:t>
      </w:r>
      <w:r w:rsidR="00406C35">
        <w:rPr>
          <w:rFonts w:hint="cs"/>
          <w:rtl/>
        </w:rPr>
        <w:t>ה</w:t>
      </w:r>
      <w:r w:rsidR="00DC4053">
        <w:rPr>
          <w:rFonts w:hint="cs"/>
          <w:rtl/>
        </w:rPr>
        <w:t>תקציב והן כתוצאה מ</w:t>
      </w:r>
      <w:r w:rsidR="00DC4053" w:rsidRPr="00B8536C">
        <w:rPr>
          <w:rtl/>
        </w:rPr>
        <w:t>מימוש פסקי דין והתחייבות חוזיות</w:t>
      </w:r>
      <w:r w:rsidR="00406C35">
        <w:rPr>
          <w:rFonts w:hint="cs"/>
          <w:rtl/>
        </w:rPr>
        <w:t>.</w:t>
      </w:r>
      <w:r w:rsidR="00DC4053" w:rsidRPr="00B8536C">
        <w:rPr>
          <w:rtl/>
        </w:rPr>
        <w:t xml:space="preserve"> </w:t>
      </w:r>
    </w:p>
    <w:p w:rsidR="00B008FD" w:rsidRDefault="00B008FD" w:rsidP="00B008FD">
      <w:pPr>
        <w:rPr>
          <w:rtl/>
        </w:rPr>
      </w:pPr>
      <w:r w:rsidRPr="00B8536C">
        <w:rPr>
          <w:rFonts w:hint="cs"/>
          <w:rtl/>
        </w:rPr>
        <w:t>להלן</w:t>
      </w:r>
      <w:r w:rsidRPr="00B8536C">
        <w:rPr>
          <w:rtl/>
        </w:rPr>
        <w:t xml:space="preserve"> </w:t>
      </w:r>
      <w:r>
        <w:rPr>
          <w:rFonts w:hint="cs"/>
          <w:rtl/>
        </w:rPr>
        <w:t>יפורטו</w:t>
      </w:r>
      <w:r w:rsidRPr="00B8536C">
        <w:rPr>
          <w:rtl/>
        </w:rPr>
        <w:t xml:space="preserve"> </w:t>
      </w:r>
      <w:r w:rsidRPr="00B8536C">
        <w:rPr>
          <w:rFonts w:hint="cs"/>
          <w:rtl/>
        </w:rPr>
        <w:t>עיקרי</w:t>
      </w:r>
      <w:r w:rsidRPr="00B8536C">
        <w:rPr>
          <w:rtl/>
        </w:rPr>
        <w:t xml:space="preserve"> השינויים בהיקף ההתאמות הנדרש בצד ההוצאה כתוצאה מהשינויים במגבלת ההוצאה המותרת וכן בסך ההוצאות הצפויות לשנים 20</w:t>
      </w:r>
      <w:r>
        <w:rPr>
          <w:rFonts w:hint="cs"/>
          <w:rtl/>
        </w:rPr>
        <w:t>20</w:t>
      </w:r>
      <w:r w:rsidRPr="00B8536C">
        <w:rPr>
          <w:rtl/>
        </w:rPr>
        <w:t xml:space="preserve"> עד 202</w:t>
      </w:r>
      <w:r>
        <w:rPr>
          <w:rFonts w:hint="cs"/>
          <w:rtl/>
        </w:rPr>
        <w:t>2</w:t>
      </w:r>
      <w:r w:rsidRPr="00B8536C">
        <w:rPr>
          <w:rtl/>
        </w:rPr>
        <w:t>.</w:t>
      </w:r>
    </w:p>
    <w:tbl>
      <w:tblPr>
        <w:bidiVisual/>
        <w:tblW w:w="8195" w:type="dxa"/>
        <w:tblInd w:w="1265" w:type="dxa"/>
        <w:tblLayout w:type="fixed"/>
        <w:tblLook w:val="04A0" w:firstRow="1" w:lastRow="0" w:firstColumn="1" w:lastColumn="0" w:noHBand="0" w:noVBand="1"/>
      </w:tblPr>
      <w:tblGrid>
        <w:gridCol w:w="5363"/>
        <w:gridCol w:w="944"/>
        <w:gridCol w:w="944"/>
        <w:gridCol w:w="944"/>
      </w:tblGrid>
      <w:tr w:rsidR="00B008FD" w:rsidRPr="00981842" w:rsidTr="001524C4">
        <w:trPr>
          <w:trHeight w:val="300"/>
        </w:trPr>
        <w:tc>
          <w:tcPr>
            <w:tcW w:w="5363" w:type="dxa"/>
            <w:tcBorders>
              <w:top w:val="single" w:sz="4" w:space="0" w:color="auto"/>
              <w:left w:val="single" w:sz="4" w:space="0" w:color="auto"/>
              <w:bottom w:val="single" w:sz="4" w:space="0" w:color="auto"/>
              <w:right w:val="single" w:sz="4" w:space="0" w:color="auto"/>
            </w:tcBorders>
            <w:shd w:val="clear" w:color="000000" w:fill="1F497D"/>
            <w:noWrap/>
            <w:vAlign w:val="center"/>
            <w:hideMark/>
          </w:tcPr>
          <w:p w:rsidR="00B008FD" w:rsidRPr="006214C9" w:rsidRDefault="00B008FD" w:rsidP="001524C4">
            <w:pPr>
              <w:bidi w:val="0"/>
              <w:spacing w:before="0" w:after="0" w:line="240" w:lineRule="auto"/>
              <w:jc w:val="right"/>
              <w:rPr>
                <w:rFonts w:ascii="Calibri" w:eastAsia="Times New Roman" w:hAnsi="Calibri"/>
                <w:b/>
                <w:bCs/>
                <w:color w:val="FFFFFF"/>
                <w:sz w:val="21"/>
                <w:szCs w:val="21"/>
                <w:rtl/>
              </w:rPr>
            </w:pPr>
            <w:r w:rsidRPr="006214C9">
              <w:rPr>
                <w:rFonts w:ascii="Calibri" w:eastAsia="Times New Roman" w:hAnsi="Calibri" w:hint="eastAsia"/>
                <w:b/>
                <w:bCs/>
                <w:color w:val="FFFFFF"/>
                <w:sz w:val="21"/>
                <w:szCs w:val="21"/>
                <w:rtl/>
              </w:rPr>
              <w:t> </w:t>
            </w:r>
            <w:r w:rsidRPr="006214C9">
              <w:rPr>
                <w:rFonts w:ascii="Calibri" w:eastAsia="Times New Roman" w:hAnsi="Calibri"/>
                <w:b/>
                <w:bCs/>
                <w:color w:val="FFFFFF"/>
                <w:sz w:val="21"/>
                <w:szCs w:val="21"/>
                <w:rtl/>
              </w:rPr>
              <w:t>(</w:t>
            </w:r>
            <w:r w:rsidRPr="006214C9">
              <w:rPr>
                <w:rFonts w:ascii="Calibri" w:eastAsia="Times New Roman" w:hAnsi="Calibri" w:hint="eastAsia"/>
                <w:b/>
                <w:bCs/>
                <w:color w:val="FFFFFF"/>
                <w:sz w:val="21"/>
                <w:szCs w:val="21"/>
                <w:rtl/>
              </w:rPr>
              <w:t>במיליארדי</w:t>
            </w:r>
            <w:r w:rsidRPr="006214C9">
              <w:rPr>
                <w:rFonts w:ascii="Calibri" w:eastAsia="Times New Roman" w:hAnsi="Calibri"/>
                <w:b/>
                <w:bCs/>
                <w:color w:val="FFFFFF"/>
                <w:sz w:val="21"/>
                <w:szCs w:val="21"/>
                <w:rtl/>
              </w:rPr>
              <w:t xml:space="preserve"> </w:t>
            </w:r>
            <w:r w:rsidRPr="006214C9">
              <w:rPr>
                <w:rFonts w:ascii="Calibri" w:eastAsia="Times New Roman" w:hAnsi="Calibri" w:hint="eastAsia"/>
                <w:b/>
                <w:bCs/>
                <w:color w:val="FFFFFF"/>
                <w:sz w:val="21"/>
                <w:szCs w:val="21"/>
                <w:rtl/>
              </w:rPr>
              <w:t>ש</w:t>
            </w:r>
            <w:r w:rsidRPr="006214C9">
              <w:rPr>
                <w:rFonts w:ascii="Calibri" w:eastAsia="Times New Roman" w:hAnsi="Calibri"/>
                <w:b/>
                <w:bCs/>
                <w:color w:val="FFFFFF"/>
                <w:sz w:val="21"/>
                <w:szCs w:val="21"/>
                <w:rtl/>
              </w:rPr>
              <w:t>"</w:t>
            </w:r>
            <w:r w:rsidRPr="006214C9">
              <w:rPr>
                <w:rFonts w:ascii="Calibri" w:eastAsia="Times New Roman" w:hAnsi="Calibri" w:hint="eastAsia"/>
                <w:b/>
                <w:bCs/>
                <w:color w:val="FFFFFF"/>
                <w:sz w:val="21"/>
                <w:szCs w:val="21"/>
                <w:rtl/>
              </w:rPr>
              <w:t>ח</w:t>
            </w:r>
            <w:r w:rsidRPr="006214C9">
              <w:rPr>
                <w:rFonts w:ascii="Calibri" w:eastAsia="Times New Roman" w:hAnsi="Calibri"/>
                <w:b/>
                <w:bCs/>
                <w:color w:val="FFFFFF"/>
                <w:sz w:val="21"/>
                <w:szCs w:val="21"/>
                <w:rtl/>
              </w:rPr>
              <w:t>)</w:t>
            </w:r>
          </w:p>
        </w:tc>
        <w:tc>
          <w:tcPr>
            <w:tcW w:w="944" w:type="dxa"/>
            <w:tcBorders>
              <w:top w:val="single" w:sz="4" w:space="0" w:color="auto"/>
              <w:left w:val="single" w:sz="4" w:space="0" w:color="auto"/>
              <w:bottom w:val="single" w:sz="4" w:space="0" w:color="auto"/>
              <w:right w:val="single" w:sz="4" w:space="0" w:color="auto"/>
            </w:tcBorders>
            <w:shd w:val="clear" w:color="000000" w:fill="1F497D"/>
            <w:vAlign w:val="center"/>
          </w:tcPr>
          <w:p w:rsidR="00B008FD" w:rsidRPr="006214C9" w:rsidRDefault="00B008FD" w:rsidP="001524C4">
            <w:pPr>
              <w:bidi w:val="0"/>
              <w:spacing w:before="0" w:after="0" w:line="240" w:lineRule="auto"/>
              <w:jc w:val="center"/>
              <w:rPr>
                <w:rFonts w:ascii="Calibri" w:eastAsia="Times New Roman" w:hAnsi="Calibri"/>
                <w:b/>
                <w:bCs/>
                <w:color w:val="FFFFFF"/>
                <w:sz w:val="21"/>
                <w:szCs w:val="21"/>
              </w:rPr>
            </w:pPr>
            <w:r>
              <w:rPr>
                <w:rFonts w:ascii="Calibri" w:eastAsia="Times New Roman" w:hAnsi="Calibri" w:hint="cs"/>
                <w:b/>
                <w:bCs/>
                <w:color w:val="FFFFFF"/>
                <w:sz w:val="21"/>
                <w:szCs w:val="21"/>
                <w:rtl/>
              </w:rPr>
              <w:t>2020</w:t>
            </w:r>
          </w:p>
        </w:tc>
        <w:tc>
          <w:tcPr>
            <w:tcW w:w="944" w:type="dxa"/>
            <w:tcBorders>
              <w:top w:val="single" w:sz="4" w:space="0" w:color="auto"/>
              <w:left w:val="single" w:sz="4" w:space="0" w:color="auto"/>
              <w:bottom w:val="single" w:sz="4" w:space="0" w:color="auto"/>
              <w:right w:val="single" w:sz="4" w:space="0" w:color="auto"/>
            </w:tcBorders>
            <w:shd w:val="clear" w:color="000000" w:fill="1F497D"/>
            <w:noWrap/>
            <w:vAlign w:val="center"/>
            <w:hideMark/>
          </w:tcPr>
          <w:p w:rsidR="00B008FD" w:rsidRPr="006214C9" w:rsidRDefault="00B008FD" w:rsidP="001524C4">
            <w:pPr>
              <w:bidi w:val="0"/>
              <w:spacing w:before="0" w:after="0" w:line="240" w:lineRule="auto"/>
              <w:jc w:val="center"/>
              <w:rPr>
                <w:rFonts w:ascii="Calibri" w:eastAsia="Times New Roman" w:hAnsi="Calibri"/>
                <w:b/>
                <w:bCs/>
                <w:color w:val="FFFFFF"/>
                <w:sz w:val="21"/>
                <w:szCs w:val="21"/>
                <w:rtl/>
              </w:rPr>
            </w:pPr>
            <w:r>
              <w:rPr>
                <w:rFonts w:ascii="Calibri" w:eastAsia="Times New Roman" w:hAnsi="Calibri" w:hint="cs"/>
                <w:b/>
                <w:bCs/>
                <w:color w:val="FFFFFF"/>
                <w:sz w:val="21"/>
                <w:szCs w:val="21"/>
                <w:rtl/>
              </w:rPr>
              <w:t>2021</w:t>
            </w:r>
          </w:p>
        </w:tc>
        <w:tc>
          <w:tcPr>
            <w:tcW w:w="944" w:type="dxa"/>
            <w:tcBorders>
              <w:top w:val="single" w:sz="4" w:space="0" w:color="auto"/>
              <w:left w:val="single" w:sz="4" w:space="0" w:color="auto"/>
              <w:bottom w:val="single" w:sz="4" w:space="0" w:color="auto"/>
              <w:right w:val="single" w:sz="4" w:space="0" w:color="auto"/>
            </w:tcBorders>
            <w:shd w:val="clear" w:color="000000" w:fill="1F497D"/>
            <w:noWrap/>
            <w:vAlign w:val="center"/>
            <w:hideMark/>
          </w:tcPr>
          <w:p w:rsidR="00B008FD" w:rsidRPr="006214C9" w:rsidRDefault="00B008FD" w:rsidP="001524C4">
            <w:pPr>
              <w:bidi w:val="0"/>
              <w:spacing w:before="0" w:after="0" w:line="240" w:lineRule="auto"/>
              <w:jc w:val="center"/>
              <w:rPr>
                <w:rFonts w:ascii="Calibri" w:eastAsia="Times New Roman" w:hAnsi="Calibri"/>
                <w:b/>
                <w:bCs/>
                <w:color w:val="FFFFFF"/>
                <w:sz w:val="21"/>
                <w:szCs w:val="21"/>
                <w:rtl/>
              </w:rPr>
            </w:pPr>
            <w:r>
              <w:rPr>
                <w:rFonts w:ascii="Calibri" w:eastAsia="Times New Roman" w:hAnsi="Calibri" w:hint="cs"/>
                <w:b/>
                <w:bCs/>
                <w:color w:val="FFFFFF"/>
                <w:sz w:val="21"/>
                <w:szCs w:val="21"/>
                <w:rtl/>
              </w:rPr>
              <w:t>2022</w:t>
            </w:r>
          </w:p>
        </w:tc>
      </w:tr>
      <w:tr w:rsidR="001E0270" w:rsidRPr="00981842" w:rsidTr="001524C4">
        <w:trPr>
          <w:trHeight w:val="300"/>
        </w:trPr>
        <w:tc>
          <w:tcPr>
            <w:tcW w:w="5363" w:type="dxa"/>
            <w:tcBorders>
              <w:top w:val="nil"/>
              <w:left w:val="single" w:sz="4" w:space="0" w:color="auto"/>
              <w:bottom w:val="single" w:sz="4" w:space="0" w:color="auto"/>
              <w:right w:val="single" w:sz="4" w:space="0" w:color="auto"/>
            </w:tcBorders>
            <w:shd w:val="clear" w:color="000000" w:fill="538DD5"/>
            <w:noWrap/>
            <w:vAlign w:val="center"/>
            <w:hideMark/>
          </w:tcPr>
          <w:p w:rsidR="001E0270" w:rsidRPr="006214C9" w:rsidRDefault="001E0270" w:rsidP="005971AC">
            <w:pPr>
              <w:spacing w:before="0" w:after="0" w:line="240" w:lineRule="auto"/>
              <w:jc w:val="left"/>
              <w:rPr>
                <w:rFonts w:ascii="Calibri" w:eastAsia="Times New Roman" w:hAnsi="Calibri"/>
                <w:b/>
                <w:bCs/>
                <w:color w:val="000000"/>
                <w:sz w:val="21"/>
                <w:szCs w:val="21"/>
                <w:rtl/>
              </w:rPr>
            </w:pPr>
            <w:r w:rsidRPr="006214C9">
              <w:rPr>
                <w:rFonts w:ascii="Calibri" w:eastAsia="Times New Roman" w:hAnsi="Calibri" w:hint="eastAsia"/>
                <w:b/>
                <w:bCs/>
                <w:color w:val="000000"/>
                <w:sz w:val="21"/>
                <w:szCs w:val="21"/>
                <w:rtl/>
              </w:rPr>
              <w:t>היקף</w:t>
            </w:r>
            <w:r w:rsidRPr="006214C9">
              <w:rPr>
                <w:rFonts w:ascii="Calibri" w:eastAsia="Times New Roman" w:hAnsi="Calibri"/>
                <w:b/>
                <w:bCs/>
                <w:color w:val="000000"/>
                <w:sz w:val="21"/>
                <w:szCs w:val="21"/>
                <w:rtl/>
              </w:rPr>
              <w:t xml:space="preserve"> </w:t>
            </w:r>
            <w:r>
              <w:rPr>
                <w:rFonts w:ascii="Calibri" w:eastAsia="Times New Roman" w:hAnsi="Calibri" w:hint="cs"/>
                <w:b/>
                <w:bCs/>
                <w:color w:val="000000"/>
                <w:sz w:val="21"/>
                <w:szCs w:val="21"/>
                <w:rtl/>
              </w:rPr>
              <w:t>ה</w:t>
            </w:r>
            <w:r w:rsidRPr="006214C9">
              <w:rPr>
                <w:rFonts w:ascii="Calibri" w:eastAsia="Times New Roman" w:hAnsi="Calibri" w:hint="eastAsia"/>
                <w:b/>
                <w:bCs/>
                <w:color w:val="000000"/>
                <w:sz w:val="21"/>
                <w:szCs w:val="21"/>
                <w:rtl/>
              </w:rPr>
              <w:t>התאמות</w:t>
            </w:r>
            <w:r w:rsidRPr="006214C9">
              <w:rPr>
                <w:rFonts w:ascii="Calibri" w:eastAsia="Times New Roman" w:hAnsi="Calibri"/>
                <w:b/>
                <w:bCs/>
                <w:color w:val="000000"/>
                <w:sz w:val="21"/>
                <w:szCs w:val="21"/>
                <w:rtl/>
              </w:rPr>
              <w:t xml:space="preserve"> </w:t>
            </w:r>
            <w:r>
              <w:rPr>
                <w:rFonts w:ascii="Calibri" w:eastAsia="Times New Roman" w:hAnsi="Calibri" w:hint="cs"/>
                <w:b/>
                <w:bCs/>
                <w:color w:val="000000"/>
                <w:sz w:val="21"/>
                <w:szCs w:val="21"/>
                <w:rtl/>
              </w:rPr>
              <w:t>ה</w:t>
            </w:r>
            <w:r w:rsidRPr="006214C9">
              <w:rPr>
                <w:rFonts w:ascii="Calibri" w:eastAsia="Times New Roman" w:hAnsi="Calibri" w:hint="eastAsia"/>
                <w:b/>
                <w:bCs/>
                <w:color w:val="000000"/>
                <w:sz w:val="21"/>
                <w:szCs w:val="21"/>
                <w:rtl/>
              </w:rPr>
              <w:t>נדרש</w:t>
            </w:r>
            <w:r w:rsidRPr="006214C9">
              <w:rPr>
                <w:rFonts w:ascii="Calibri" w:eastAsia="Times New Roman" w:hAnsi="Calibri"/>
                <w:b/>
                <w:bCs/>
                <w:color w:val="000000"/>
                <w:sz w:val="21"/>
                <w:szCs w:val="21"/>
                <w:rtl/>
              </w:rPr>
              <w:t xml:space="preserve"> </w:t>
            </w:r>
            <w:r w:rsidRPr="006214C9">
              <w:rPr>
                <w:rFonts w:ascii="Calibri" w:eastAsia="Times New Roman" w:hAnsi="Calibri" w:hint="eastAsia"/>
                <w:b/>
                <w:bCs/>
                <w:color w:val="000000"/>
                <w:sz w:val="21"/>
                <w:szCs w:val="21"/>
                <w:rtl/>
              </w:rPr>
              <w:t>בצד</w:t>
            </w:r>
            <w:r w:rsidRPr="006214C9">
              <w:rPr>
                <w:rFonts w:ascii="Calibri" w:eastAsia="Times New Roman" w:hAnsi="Calibri"/>
                <w:b/>
                <w:bCs/>
                <w:color w:val="000000"/>
                <w:sz w:val="21"/>
                <w:szCs w:val="21"/>
                <w:rtl/>
              </w:rPr>
              <w:t xml:space="preserve"> </w:t>
            </w:r>
            <w:r>
              <w:rPr>
                <w:rFonts w:ascii="Calibri" w:eastAsia="Times New Roman" w:hAnsi="Calibri" w:hint="cs"/>
                <w:b/>
                <w:bCs/>
                <w:color w:val="000000"/>
                <w:sz w:val="21"/>
                <w:szCs w:val="21"/>
                <w:rtl/>
              </w:rPr>
              <w:t>ה</w:t>
            </w:r>
            <w:r w:rsidRPr="006214C9">
              <w:rPr>
                <w:rFonts w:ascii="Calibri" w:eastAsia="Times New Roman" w:hAnsi="Calibri" w:hint="eastAsia"/>
                <w:b/>
                <w:bCs/>
                <w:color w:val="000000"/>
                <w:sz w:val="21"/>
                <w:szCs w:val="21"/>
                <w:rtl/>
              </w:rPr>
              <w:t>הוצאה</w:t>
            </w:r>
            <w:r w:rsidRPr="006214C9">
              <w:rPr>
                <w:rFonts w:ascii="Calibri" w:eastAsia="Times New Roman" w:hAnsi="Calibri"/>
                <w:b/>
                <w:bCs/>
                <w:color w:val="000000"/>
                <w:sz w:val="21"/>
                <w:szCs w:val="21"/>
                <w:rtl/>
              </w:rPr>
              <w:t xml:space="preserve"> </w:t>
            </w:r>
            <w:r w:rsidRPr="006214C9">
              <w:rPr>
                <w:rFonts w:ascii="Calibri" w:eastAsia="Times New Roman" w:hAnsi="Calibri" w:hint="eastAsia"/>
                <w:b/>
                <w:bCs/>
                <w:color w:val="000000"/>
                <w:sz w:val="21"/>
                <w:szCs w:val="21"/>
                <w:rtl/>
              </w:rPr>
              <w:t>בפרסום</w:t>
            </w:r>
            <w:r w:rsidRPr="006214C9">
              <w:rPr>
                <w:rFonts w:ascii="Calibri" w:eastAsia="Times New Roman" w:hAnsi="Calibri"/>
                <w:b/>
                <w:bCs/>
                <w:color w:val="000000"/>
                <w:sz w:val="21"/>
                <w:szCs w:val="21"/>
                <w:rtl/>
              </w:rPr>
              <w:t xml:space="preserve"> </w:t>
            </w:r>
            <w:r w:rsidRPr="006214C9">
              <w:rPr>
                <w:rFonts w:ascii="Calibri" w:eastAsia="Times New Roman" w:hAnsi="Calibri" w:hint="eastAsia"/>
                <w:b/>
                <w:bCs/>
                <w:color w:val="000000"/>
                <w:sz w:val="21"/>
                <w:szCs w:val="21"/>
                <w:rtl/>
              </w:rPr>
              <w:t>הקודם</w:t>
            </w:r>
            <w:r w:rsidRPr="006214C9">
              <w:rPr>
                <w:rFonts w:ascii="Calibri" w:eastAsia="Times New Roman" w:hAnsi="Calibri"/>
                <w:b/>
                <w:bCs/>
                <w:color w:val="000000"/>
                <w:sz w:val="21"/>
                <w:szCs w:val="21"/>
                <w:rtl/>
              </w:rPr>
              <w:t xml:space="preserve"> (</w:t>
            </w:r>
            <w:r>
              <w:rPr>
                <w:rFonts w:ascii="Calibri" w:eastAsia="Times New Roman" w:hAnsi="Calibri" w:hint="cs"/>
                <w:b/>
                <w:bCs/>
                <w:color w:val="000000"/>
                <w:sz w:val="21"/>
                <w:szCs w:val="21"/>
                <w:rtl/>
              </w:rPr>
              <w:t>פברואר</w:t>
            </w:r>
            <w:r w:rsidRPr="006214C9">
              <w:rPr>
                <w:rFonts w:ascii="Calibri" w:eastAsia="Times New Roman" w:hAnsi="Calibri"/>
                <w:b/>
                <w:bCs/>
                <w:color w:val="000000"/>
                <w:sz w:val="21"/>
                <w:szCs w:val="21"/>
                <w:rtl/>
              </w:rPr>
              <w:t xml:space="preserve"> </w:t>
            </w:r>
            <w:r>
              <w:rPr>
                <w:rFonts w:ascii="Calibri" w:eastAsia="Times New Roman" w:hAnsi="Calibri" w:hint="cs"/>
                <w:b/>
                <w:bCs/>
                <w:color w:val="000000"/>
                <w:sz w:val="21"/>
                <w:szCs w:val="21"/>
                <w:rtl/>
              </w:rPr>
              <w:t>2018</w:t>
            </w:r>
            <w:r w:rsidRPr="006214C9">
              <w:rPr>
                <w:rFonts w:ascii="Calibri" w:eastAsia="Times New Roman" w:hAnsi="Calibri"/>
                <w:b/>
                <w:bCs/>
                <w:color w:val="000000"/>
                <w:sz w:val="21"/>
                <w:szCs w:val="21"/>
                <w:rtl/>
              </w:rPr>
              <w:t>)</w:t>
            </w:r>
          </w:p>
        </w:tc>
        <w:tc>
          <w:tcPr>
            <w:tcW w:w="944" w:type="dxa"/>
            <w:tcBorders>
              <w:top w:val="nil"/>
              <w:left w:val="single" w:sz="4" w:space="0" w:color="auto"/>
              <w:bottom w:val="single" w:sz="4" w:space="0" w:color="auto"/>
              <w:right w:val="single" w:sz="4" w:space="0" w:color="auto"/>
            </w:tcBorders>
            <w:shd w:val="clear" w:color="000000" w:fill="538DD5"/>
            <w:vAlign w:val="center"/>
          </w:tcPr>
          <w:p w:rsidR="001E0270" w:rsidRPr="006214C9" w:rsidRDefault="001E0270" w:rsidP="001E0270">
            <w:pPr>
              <w:bidi w:val="0"/>
              <w:spacing w:before="0" w:after="0" w:line="240" w:lineRule="auto"/>
              <w:jc w:val="center"/>
              <w:rPr>
                <w:rFonts w:ascii="David" w:hAnsi="David"/>
                <w:b/>
                <w:bCs/>
                <w:color w:val="000000"/>
                <w:sz w:val="21"/>
                <w:szCs w:val="21"/>
              </w:rPr>
            </w:pPr>
            <w:r>
              <w:rPr>
                <w:rFonts w:ascii="David" w:hAnsi="David"/>
                <w:b/>
                <w:bCs/>
                <w:color w:val="000000"/>
                <w:sz w:val="22"/>
                <w:szCs w:val="22"/>
              </w:rPr>
              <w:t>0.0</w:t>
            </w:r>
          </w:p>
        </w:tc>
        <w:tc>
          <w:tcPr>
            <w:tcW w:w="944" w:type="dxa"/>
            <w:tcBorders>
              <w:top w:val="nil"/>
              <w:left w:val="single" w:sz="4" w:space="0" w:color="auto"/>
              <w:bottom w:val="single" w:sz="4" w:space="0" w:color="auto"/>
              <w:right w:val="single" w:sz="4" w:space="0" w:color="auto"/>
            </w:tcBorders>
            <w:shd w:val="clear" w:color="000000" w:fill="538DD5"/>
            <w:noWrap/>
            <w:vAlign w:val="center"/>
            <w:hideMark/>
          </w:tcPr>
          <w:p w:rsidR="001E0270" w:rsidRPr="006214C9" w:rsidRDefault="001E0270" w:rsidP="001E0270">
            <w:pPr>
              <w:bidi w:val="0"/>
              <w:spacing w:before="0" w:after="0" w:line="240" w:lineRule="auto"/>
              <w:jc w:val="center"/>
              <w:rPr>
                <w:rFonts w:ascii="Calibri" w:eastAsia="Times New Roman" w:hAnsi="Calibri"/>
                <w:b/>
                <w:bCs/>
                <w:color w:val="000000"/>
                <w:sz w:val="21"/>
                <w:szCs w:val="21"/>
                <w:rtl/>
              </w:rPr>
            </w:pPr>
            <w:r>
              <w:rPr>
                <w:rFonts w:ascii="David" w:hAnsi="David"/>
                <w:b/>
                <w:bCs/>
                <w:color w:val="000000"/>
                <w:sz w:val="22"/>
                <w:szCs w:val="22"/>
              </w:rPr>
              <w:t>0.0</w:t>
            </w:r>
          </w:p>
        </w:tc>
        <w:tc>
          <w:tcPr>
            <w:tcW w:w="944" w:type="dxa"/>
            <w:tcBorders>
              <w:top w:val="nil"/>
              <w:left w:val="single" w:sz="4" w:space="0" w:color="auto"/>
              <w:bottom w:val="single" w:sz="4" w:space="0" w:color="auto"/>
              <w:right w:val="single" w:sz="4" w:space="0" w:color="auto"/>
            </w:tcBorders>
            <w:shd w:val="clear" w:color="000000" w:fill="538DD5"/>
            <w:noWrap/>
            <w:vAlign w:val="center"/>
            <w:hideMark/>
          </w:tcPr>
          <w:p w:rsidR="001E0270" w:rsidRPr="006214C9" w:rsidRDefault="001E0270" w:rsidP="001E0270">
            <w:pPr>
              <w:bidi w:val="0"/>
              <w:spacing w:before="0" w:after="0" w:line="240" w:lineRule="auto"/>
              <w:jc w:val="center"/>
              <w:rPr>
                <w:rFonts w:ascii="Calibri" w:eastAsia="Times New Roman" w:hAnsi="Calibri"/>
                <w:b/>
                <w:bCs/>
                <w:color w:val="000000"/>
                <w:sz w:val="21"/>
                <w:szCs w:val="21"/>
                <w:rtl/>
              </w:rPr>
            </w:pPr>
            <w:r>
              <w:rPr>
                <w:rFonts w:ascii="David" w:hAnsi="David"/>
                <w:b/>
                <w:bCs/>
                <w:color w:val="000000"/>
                <w:sz w:val="22"/>
                <w:szCs w:val="22"/>
              </w:rPr>
              <w:t>-1.0</w:t>
            </w:r>
          </w:p>
        </w:tc>
      </w:tr>
      <w:tr w:rsidR="00E96B20" w:rsidRPr="00981842" w:rsidTr="001524C4">
        <w:trPr>
          <w:trHeight w:val="300"/>
        </w:trPr>
        <w:tc>
          <w:tcPr>
            <w:tcW w:w="5363" w:type="dxa"/>
            <w:tcBorders>
              <w:top w:val="nil"/>
              <w:left w:val="single" w:sz="4" w:space="0" w:color="auto"/>
              <w:bottom w:val="single" w:sz="4" w:space="0" w:color="auto"/>
              <w:right w:val="single" w:sz="4" w:space="0" w:color="auto"/>
            </w:tcBorders>
            <w:shd w:val="clear" w:color="auto" w:fill="auto"/>
            <w:noWrap/>
            <w:vAlign w:val="center"/>
            <w:hideMark/>
          </w:tcPr>
          <w:p w:rsidR="00E96B20" w:rsidRPr="006214C9" w:rsidRDefault="00E96B20" w:rsidP="00E96B20">
            <w:pPr>
              <w:spacing w:before="0" w:after="0" w:line="240" w:lineRule="auto"/>
              <w:jc w:val="left"/>
              <w:rPr>
                <w:rFonts w:ascii="Calibri" w:eastAsia="Times New Roman" w:hAnsi="Calibri"/>
                <w:color w:val="000000"/>
                <w:sz w:val="21"/>
                <w:szCs w:val="21"/>
                <w:rtl/>
              </w:rPr>
            </w:pPr>
            <w:r w:rsidRPr="006214C9">
              <w:rPr>
                <w:rFonts w:ascii="Calibri" w:eastAsia="Times New Roman" w:hAnsi="Calibri" w:hint="eastAsia"/>
                <w:color w:val="000000"/>
                <w:sz w:val="21"/>
                <w:szCs w:val="21"/>
                <w:rtl/>
              </w:rPr>
              <w:t>שינוי</w:t>
            </w:r>
            <w:r w:rsidRPr="006214C9">
              <w:rPr>
                <w:rFonts w:ascii="Calibri" w:eastAsia="Times New Roman" w:hAnsi="Calibri"/>
                <w:color w:val="000000"/>
                <w:sz w:val="21"/>
                <w:szCs w:val="21"/>
                <w:rtl/>
              </w:rPr>
              <w:t xml:space="preserve"> </w:t>
            </w:r>
            <w:r w:rsidRPr="006214C9">
              <w:rPr>
                <w:rFonts w:ascii="Calibri" w:eastAsia="Times New Roman" w:hAnsi="Calibri" w:hint="eastAsia"/>
                <w:color w:val="000000"/>
                <w:sz w:val="21"/>
                <w:szCs w:val="21"/>
                <w:rtl/>
              </w:rPr>
              <w:t>הנובע</w:t>
            </w:r>
            <w:r w:rsidRPr="006214C9">
              <w:rPr>
                <w:rFonts w:ascii="Calibri" w:eastAsia="Times New Roman" w:hAnsi="Calibri"/>
                <w:color w:val="000000"/>
                <w:sz w:val="21"/>
                <w:szCs w:val="21"/>
                <w:rtl/>
              </w:rPr>
              <w:t xml:space="preserve"> </w:t>
            </w:r>
            <w:r w:rsidRPr="006214C9">
              <w:rPr>
                <w:rFonts w:ascii="Calibri" w:eastAsia="Times New Roman" w:hAnsi="Calibri" w:hint="eastAsia"/>
                <w:color w:val="000000"/>
                <w:sz w:val="21"/>
                <w:szCs w:val="21"/>
                <w:rtl/>
              </w:rPr>
              <w:t>מ</w:t>
            </w:r>
            <w:r>
              <w:rPr>
                <w:rFonts w:ascii="Calibri" w:eastAsia="Times New Roman" w:hAnsi="Calibri" w:hint="cs"/>
                <w:color w:val="000000"/>
                <w:sz w:val="21"/>
                <w:szCs w:val="21"/>
                <w:rtl/>
              </w:rPr>
              <w:t>עדכון</w:t>
            </w:r>
            <w:r w:rsidRPr="006214C9">
              <w:rPr>
                <w:rFonts w:ascii="Calibri" w:eastAsia="Times New Roman" w:hAnsi="Calibri"/>
                <w:color w:val="000000"/>
                <w:sz w:val="21"/>
                <w:szCs w:val="21"/>
                <w:rtl/>
              </w:rPr>
              <w:t xml:space="preserve"> </w:t>
            </w:r>
            <w:r w:rsidRPr="006214C9">
              <w:rPr>
                <w:rFonts w:ascii="Calibri" w:eastAsia="Times New Roman" w:hAnsi="Calibri" w:hint="eastAsia"/>
                <w:color w:val="000000"/>
                <w:sz w:val="21"/>
                <w:szCs w:val="21"/>
                <w:rtl/>
              </w:rPr>
              <w:t>מגבלת</w:t>
            </w:r>
            <w:r w:rsidRPr="006214C9">
              <w:rPr>
                <w:rFonts w:ascii="Calibri" w:eastAsia="Times New Roman" w:hAnsi="Calibri"/>
                <w:color w:val="000000"/>
                <w:sz w:val="21"/>
                <w:szCs w:val="21"/>
                <w:rtl/>
              </w:rPr>
              <w:t xml:space="preserve"> </w:t>
            </w:r>
            <w:r w:rsidRPr="006214C9">
              <w:rPr>
                <w:rFonts w:ascii="Calibri" w:eastAsia="Times New Roman" w:hAnsi="Calibri" w:hint="eastAsia"/>
                <w:color w:val="000000"/>
                <w:sz w:val="21"/>
                <w:szCs w:val="21"/>
                <w:rtl/>
              </w:rPr>
              <w:t>ההוצאה</w:t>
            </w:r>
          </w:p>
        </w:tc>
        <w:tc>
          <w:tcPr>
            <w:tcW w:w="944" w:type="dxa"/>
            <w:tcBorders>
              <w:top w:val="nil"/>
              <w:left w:val="single" w:sz="4" w:space="0" w:color="auto"/>
              <w:bottom w:val="single" w:sz="4" w:space="0" w:color="auto"/>
              <w:right w:val="single" w:sz="4" w:space="0" w:color="auto"/>
            </w:tcBorders>
            <w:vAlign w:val="center"/>
          </w:tcPr>
          <w:p w:rsidR="00E96B20" w:rsidRPr="006214C9" w:rsidRDefault="00E96B20" w:rsidP="00E96B20">
            <w:pPr>
              <w:bidi w:val="0"/>
              <w:spacing w:before="0" w:after="0" w:line="240" w:lineRule="auto"/>
              <w:jc w:val="center"/>
              <w:rPr>
                <w:rFonts w:ascii="David" w:hAnsi="David"/>
                <w:color w:val="000000"/>
                <w:sz w:val="21"/>
                <w:szCs w:val="21"/>
              </w:rPr>
            </w:pPr>
            <w:r>
              <w:rPr>
                <w:rFonts w:ascii="David" w:hAnsi="David"/>
                <w:color w:val="000000"/>
                <w:sz w:val="22"/>
                <w:szCs w:val="22"/>
              </w:rPr>
              <w:t>0.0</w:t>
            </w:r>
          </w:p>
        </w:tc>
        <w:tc>
          <w:tcPr>
            <w:tcW w:w="944" w:type="dxa"/>
            <w:tcBorders>
              <w:top w:val="nil"/>
              <w:left w:val="single" w:sz="4" w:space="0" w:color="auto"/>
              <w:bottom w:val="single" w:sz="4" w:space="0" w:color="auto"/>
              <w:right w:val="single" w:sz="4" w:space="0" w:color="auto"/>
            </w:tcBorders>
            <w:shd w:val="clear" w:color="auto" w:fill="auto"/>
            <w:noWrap/>
            <w:vAlign w:val="center"/>
            <w:hideMark/>
          </w:tcPr>
          <w:p w:rsidR="00E96B20" w:rsidRPr="006214C9" w:rsidRDefault="00E96B20" w:rsidP="00E96B20">
            <w:pPr>
              <w:bidi w:val="0"/>
              <w:spacing w:before="0" w:after="0" w:line="240" w:lineRule="auto"/>
              <w:jc w:val="center"/>
              <w:rPr>
                <w:rFonts w:ascii="Calibri" w:eastAsia="Times New Roman" w:hAnsi="Calibri"/>
                <w:color w:val="000000"/>
                <w:sz w:val="21"/>
                <w:szCs w:val="21"/>
                <w:rtl/>
              </w:rPr>
            </w:pPr>
            <w:r>
              <w:rPr>
                <w:rFonts w:ascii="David" w:hAnsi="David"/>
                <w:color w:val="000000"/>
                <w:sz w:val="22"/>
                <w:szCs w:val="22"/>
              </w:rPr>
              <w:t>-0.2</w:t>
            </w:r>
          </w:p>
        </w:tc>
        <w:tc>
          <w:tcPr>
            <w:tcW w:w="944" w:type="dxa"/>
            <w:tcBorders>
              <w:top w:val="nil"/>
              <w:left w:val="single" w:sz="4" w:space="0" w:color="auto"/>
              <w:bottom w:val="single" w:sz="4" w:space="0" w:color="auto"/>
              <w:right w:val="single" w:sz="4" w:space="0" w:color="auto"/>
            </w:tcBorders>
            <w:shd w:val="clear" w:color="auto" w:fill="auto"/>
            <w:noWrap/>
            <w:vAlign w:val="center"/>
            <w:hideMark/>
          </w:tcPr>
          <w:p w:rsidR="00E96B20" w:rsidRPr="006214C9" w:rsidRDefault="00E96B20" w:rsidP="00E96B20">
            <w:pPr>
              <w:bidi w:val="0"/>
              <w:spacing w:before="0" w:after="0" w:line="240" w:lineRule="auto"/>
              <w:jc w:val="center"/>
              <w:rPr>
                <w:rFonts w:ascii="Calibri" w:eastAsia="Times New Roman" w:hAnsi="Calibri"/>
                <w:color w:val="000000"/>
                <w:sz w:val="21"/>
                <w:szCs w:val="21"/>
                <w:rtl/>
              </w:rPr>
            </w:pPr>
            <w:r>
              <w:rPr>
                <w:rFonts w:ascii="David" w:hAnsi="David"/>
                <w:color w:val="000000"/>
                <w:sz w:val="22"/>
                <w:szCs w:val="22"/>
              </w:rPr>
              <w:t>-0.5</w:t>
            </w:r>
          </w:p>
        </w:tc>
      </w:tr>
      <w:tr w:rsidR="001E0270" w:rsidRPr="00981842" w:rsidTr="001524C4">
        <w:trPr>
          <w:trHeight w:val="300"/>
        </w:trPr>
        <w:tc>
          <w:tcPr>
            <w:tcW w:w="5363" w:type="dxa"/>
            <w:tcBorders>
              <w:top w:val="nil"/>
              <w:left w:val="single" w:sz="4" w:space="0" w:color="auto"/>
              <w:bottom w:val="single" w:sz="4" w:space="0" w:color="auto"/>
              <w:right w:val="single" w:sz="4" w:space="0" w:color="auto"/>
            </w:tcBorders>
            <w:shd w:val="clear" w:color="auto" w:fill="auto"/>
            <w:noWrap/>
            <w:vAlign w:val="center"/>
            <w:hideMark/>
          </w:tcPr>
          <w:p w:rsidR="001E0270" w:rsidRPr="006214C9" w:rsidRDefault="001E0270" w:rsidP="001E0270">
            <w:pPr>
              <w:spacing w:before="0" w:after="0" w:line="240" w:lineRule="auto"/>
              <w:jc w:val="left"/>
              <w:rPr>
                <w:rFonts w:ascii="Calibri" w:eastAsia="Times New Roman" w:hAnsi="Calibri"/>
                <w:color w:val="000000"/>
                <w:sz w:val="21"/>
                <w:szCs w:val="21"/>
                <w:rtl/>
              </w:rPr>
            </w:pPr>
            <w:r w:rsidRPr="006214C9">
              <w:rPr>
                <w:rFonts w:ascii="Calibri" w:eastAsia="Times New Roman" w:hAnsi="Calibri" w:hint="eastAsia"/>
                <w:color w:val="000000"/>
                <w:sz w:val="21"/>
                <w:szCs w:val="21"/>
                <w:rtl/>
              </w:rPr>
              <w:t>שינוי</w:t>
            </w:r>
            <w:r w:rsidRPr="006214C9">
              <w:rPr>
                <w:rFonts w:ascii="Calibri" w:eastAsia="Times New Roman" w:hAnsi="Calibri"/>
                <w:color w:val="000000"/>
                <w:sz w:val="21"/>
                <w:szCs w:val="21"/>
                <w:rtl/>
              </w:rPr>
              <w:t xml:space="preserve"> </w:t>
            </w:r>
            <w:r w:rsidRPr="006214C9">
              <w:rPr>
                <w:rFonts w:ascii="Calibri" w:eastAsia="Times New Roman" w:hAnsi="Calibri" w:hint="eastAsia"/>
                <w:color w:val="000000"/>
                <w:sz w:val="21"/>
                <w:szCs w:val="21"/>
                <w:rtl/>
              </w:rPr>
              <w:t>הנובע</w:t>
            </w:r>
            <w:r w:rsidRPr="006214C9">
              <w:rPr>
                <w:rFonts w:ascii="Calibri" w:eastAsia="Times New Roman" w:hAnsi="Calibri"/>
                <w:color w:val="000000"/>
                <w:sz w:val="21"/>
                <w:szCs w:val="21"/>
                <w:rtl/>
              </w:rPr>
              <w:t xml:space="preserve"> </w:t>
            </w:r>
            <w:r w:rsidRPr="006214C9">
              <w:rPr>
                <w:rFonts w:ascii="Calibri" w:eastAsia="Times New Roman" w:hAnsi="Calibri" w:hint="eastAsia"/>
                <w:color w:val="000000"/>
                <w:sz w:val="21"/>
                <w:szCs w:val="21"/>
                <w:rtl/>
              </w:rPr>
              <w:t>מ</w:t>
            </w:r>
            <w:r>
              <w:rPr>
                <w:rFonts w:ascii="Calibri" w:eastAsia="Times New Roman" w:hAnsi="Calibri" w:hint="cs"/>
                <w:color w:val="000000"/>
                <w:sz w:val="21"/>
                <w:szCs w:val="21"/>
                <w:rtl/>
              </w:rPr>
              <w:t xml:space="preserve">עדכון </w:t>
            </w:r>
            <w:r w:rsidRPr="006214C9">
              <w:rPr>
                <w:rFonts w:ascii="Calibri" w:eastAsia="Times New Roman" w:hAnsi="Calibri" w:hint="eastAsia"/>
                <w:color w:val="000000"/>
                <w:sz w:val="21"/>
                <w:szCs w:val="21"/>
                <w:rtl/>
              </w:rPr>
              <w:t>היקף</w:t>
            </w:r>
            <w:r w:rsidRPr="006214C9">
              <w:rPr>
                <w:rFonts w:ascii="Calibri" w:eastAsia="Times New Roman" w:hAnsi="Calibri"/>
                <w:color w:val="000000"/>
                <w:sz w:val="21"/>
                <w:szCs w:val="21"/>
                <w:rtl/>
              </w:rPr>
              <w:t xml:space="preserve"> </w:t>
            </w:r>
            <w:r w:rsidRPr="006214C9">
              <w:rPr>
                <w:rFonts w:ascii="Calibri" w:eastAsia="Times New Roman" w:hAnsi="Calibri" w:hint="eastAsia"/>
                <w:color w:val="000000"/>
                <w:sz w:val="21"/>
                <w:szCs w:val="21"/>
                <w:rtl/>
              </w:rPr>
              <w:t>ההוצאה</w:t>
            </w:r>
            <w:r w:rsidRPr="006214C9">
              <w:rPr>
                <w:rFonts w:ascii="Calibri" w:eastAsia="Times New Roman" w:hAnsi="Calibri"/>
                <w:color w:val="000000"/>
                <w:sz w:val="21"/>
                <w:szCs w:val="21"/>
                <w:rtl/>
              </w:rPr>
              <w:t xml:space="preserve"> </w:t>
            </w:r>
            <w:r w:rsidRPr="006214C9">
              <w:rPr>
                <w:rFonts w:ascii="Calibri" w:eastAsia="Times New Roman" w:hAnsi="Calibri" w:hint="eastAsia"/>
                <w:color w:val="000000"/>
                <w:sz w:val="21"/>
                <w:szCs w:val="21"/>
                <w:rtl/>
              </w:rPr>
              <w:t>הממשלתית</w:t>
            </w:r>
          </w:p>
        </w:tc>
        <w:tc>
          <w:tcPr>
            <w:tcW w:w="944" w:type="dxa"/>
            <w:tcBorders>
              <w:top w:val="nil"/>
              <w:left w:val="single" w:sz="4" w:space="0" w:color="auto"/>
              <w:bottom w:val="single" w:sz="4" w:space="0" w:color="auto"/>
              <w:right w:val="single" w:sz="4" w:space="0" w:color="auto"/>
            </w:tcBorders>
            <w:vAlign w:val="center"/>
          </w:tcPr>
          <w:p w:rsidR="001E0270" w:rsidRPr="006214C9" w:rsidRDefault="001E0270" w:rsidP="001E0270">
            <w:pPr>
              <w:bidi w:val="0"/>
              <w:spacing w:before="0" w:after="0" w:line="240" w:lineRule="auto"/>
              <w:jc w:val="center"/>
              <w:rPr>
                <w:rFonts w:ascii="David" w:hAnsi="David"/>
                <w:color w:val="000000"/>
                <w:sz w:val="21"/>
                <w:szCs w:val="21"/>
              </w:rPr>
            </w:pPr>
            <w:r>
              <w:rPr>
                <w:rFonts w:ascii="David" w:hAnsi="David"/>
                <w:color w:val="000000"/>
                <w:sz w:val="22"/>
                <w:szCs w:val="22"/>
              </w:rPr>
              <w:t>5.4</w:t>
            </w:r>
          </w:p>
        </w:tc>
        <w:tc>
          <w:tcPr>
            <w:tcW w:w="944" w:type="dxa"/>
            <w:tcBorders>
              <w:top w:val="nil"/>
              <w:left w:val="single" w:sz="4" w:space="0" w:color="auto"/>
              <w:bottom w:val="single" w:sz="4" w:space="0" w:color="auto"/>
              <w:right w:val="single" w:sz="4" w:space="0" w:color="auto"/>
            </w:tcBorders>
            <w:shd w:val="clear" w:color="auto" w:fill="auto"/>
            <w:noWrap/>
            <w:vAlign w:val="center"/>
            <w:hideMark/>
          </w:tcPr>
          <w:p w:rsidR="001E0270" w:rsidRPr="006214C9" w:rsidRDefault="001E0270" w:rsidP="001E0270">
            <w:pPr>
              <w:bidi w:val="0"/>
              <w:spacing w:before="0" w:after="0" w:line="240" w:lineRule="auto"/>
              <w:jc w:val="center"/>
              <w:rPr>
                <w:rFonts w:ascii="Calibri" w:eastAsia="Times New Roman" w:hAnsi="Calibri"/>
                <w:color w:val="000000"/>
                <w:sz w:val="21"/>
                <w:szCs w:val="21"/>
                <w:rtl/>
              </w:rPr>
            </w:pPr>
            <w:r>
              <w:rPr>
                <w:rFonts w:ascii="David" w:hAnsi="David"/>
                <w:color w:val="000000"/>
                <w:sz w:val="22"/>
                <w:szCs w:val="22"/>
              </w:rPr>
              <w:t>7.9</w:t>
            </w:r>
          </w:p>
        </w:tc>
        <w:tc>
          <w:tcPr>
            <w:tcW w:w="944" w:type="dxa"/>
            <w:tcBorders>
              <w:top w:val="nil"/>
              <w:left w:val="single" w:sz="4" w:space="0" w:color="auto"/>
              <w:bottom w:val="single" w:sz="4" w:space="0" w:color="auto"/>
              <w:right w:val="single" w:sz="4" w:space="0" w:color="auto"/>
            </w:tcBorders>
            <w:shd w:val="clear" w:color="auto" w:fill="auto"/>
            <w:noWrap/>
            <w:vAlign w:val="center"/>
            <w:hideMark/>
          </w:tcPr>
          <w:p w:rsidR="001E0270" w:rsidRPr="006214C9" w:rsidRDefault="001E0270" w:rsidP="001E0270">
            <w:pPr>
              <w:bidi w:val="0"/>
              <w:spacing w:before="0" w:after="0" w:line="240" w:lineRule="auto"/>
              <w:jc w:val="center"/>
              <w:rPr>
                <w:rFonts w:ascii="Calibri" w:eastAsia="Times New Roman" w:hAnsi="Calibri"/>
                <w:color w:val="000000"/>
                <w:sz w:val="21"/>
                <w:szCs w:val="21"/>
              </w:rPr>
            </w:pPr>
            <w:r>
              <w:rPr>
                <w:rFonts w:ascii="David" w:hAnsi="David"/>
                <w:color w:val="000000"/>
                <w:sz w:val="22"/>
                <w:szCs w:val="22"/>
              </w:rPr>
              <w:t>8.8</w:t>
            </w:r>
          </w:p>
        </w:tc>
      </w:tr>
      <w:tr w:rsidR="00E96B20" w:rsidRPr="00981842" w:rsidTr="001524C4">
        <w:trPr>
          <w:trHeight w:val="300"/>
        </w:trPr>
        <w:tc>
          <w:tcPr>
            <w:tcW w:w="5363" w:type="dxa"/>
            <w:tcBorders>
              <w:top w:val="nil"/>
              <w:left w:val="single" w:sz="4" w:space="0" w:color="auto"/>
              <w:bottom w:val="single" w:sz="4" w:space="0" w:color="auto"/>
              <w:right w:val="single" w:sz="4" w:space="0" w:color="auto"/>
            </w:tcBorders>
            <w:shd w:val="clear" w:color="000000" w:fill="B7DEE8"/>
            <w:noWrap/>
            <w:vAlign w:val="center"/>
            <w:hideMark/>
          </w:tcPr>
          <w:p w:rsidR="00E96B20" w:rsidRPr="006214C9" w:rsidRDefault="00E96B20" w:rsidP="00E96B20">
            <w:pPr>
              <w:spacing w:before="0" w:after="0" w:line="240" w:lineRule="auto"/>
              <w:jc w:val="left"/>
              <w:rPr>
                <w:rFonts w:ascii="Calibri" w:eastAsia="Times New Roman" w:hAnsi="Calibri"/>
                <w:b/>
                <w:bCs/>
                <w:color w:val="000000"/>
                <w:sz w:val="21"/>
                <w:szCs w:val="21"/>
                <w:rtl/>
              </w:rPr>
            </w:pPr>
            <w:r w:rsidRPr="006214C9">
              <w:rPr>
                <w:rFonts w:ascii="Calibri" w:eastAsia="Times New Roman" w:hAnsi="Calibri" w:hint="eastAsia"/>
                <w:b/>
                <w:bCs/>
                <w:color w:val="000000"/>
                <w:sz w:val="21"/>
                <w:szCs w:val="21"/>
                <w:rtl/>
              </w:rPr>
              <w:t>היקף</w:t>
            </w:r>
            <w:r w:rsidRPr="006214C9">
              <w:rPr>
                <w:rFonts w:ascii="Calibri" w:eastAsia="Times New Roman" w:hAnsi="Calibri"/>
                <w:b/>
                <w:bCs/>
                <w:color w:val="000000"/>
                <w:sz w:val="21"/>
                <w:szCs w:val="21"/>
                <w:rtl/>
              </w:rPr>
              <w:t xml:space="preserve"> </w:t>
            </w:r>
            <w:r>
              <w:rPr>
                <w:rFonts w:ascii="Calibri" w:eastAsia="Times New Roman" w:hAnsi="Calibri" w:hint="cs"/>
                <w:b/>
                <w:bCs/>
                <w:color w:val="000000"/>
                <w:sz w:val="21"/>
                <w:szCs w:val="21"/>
                <w:rtl/>
              </w:rPr>
              <w:t>ה</w:t>
            </w:r>
            <w:r w:rsidRPr="006214C9">
              <w:rPr>
                <w:rFonts w:ascii="Calibri" w:eastAsia="Times New Roman" w:hAnsi="Calibri" w:hint="eastAsia"/>
                <w:b/>
                <w:bCs/>
                <w:color w:val="000000"/>
                <w:sz w:val="21"/>
                <w:szCs w:val="21"/>
                <w:rtl/>
              </w:rPr>
              <w:t>התאמות</w:t>
            </w:r>
            <w:r w:rsidRPr="006214C9">
              <w:rPr>
                <w:rFonts w:ascii="Calibri" w:eastAsia="Times New Roman" w:hAnsi="Calibri"/>
                <w:b/>
                <w:bCs/>
                <w:color w:val="000000"/>
                <w:sz w:val="21"/>
                <w:szCs w:val="21"/>
                <w:rtl/>
              </w:rPr>
              <w:t xml:space="preserve"> </w:t>
            </w:r>
            <w:r>
              <w:rPr>
                <w:rFonts w:ascii="Calibri" w:eastAsia="Times New Roman" w:hAnsi="Calibri" w:hint="cs"/>
                <w:b/>
                <w:bCs/>
                <w:color w:val="000000"/>
                <w:sz w:val="21"/>
                <w:szCs w:val="21"/>
                <w:rtl/>
              </w:rPr>
              <w:t>ה</w:t>
            </w:r>
            <w:r w:rsidRPr="006214C9">
              <w:rPr>
                <w:rFonts w:ascii="Calibri" w:eastAsia="Times New Roman" w:hAnsi="Calibri" w:hint="eastAsia"/>
                <w:b/>
                <w:bCs/>
                <w:color w:val="000000"/>
                <w:sz w:val="21"/>
                <w:szCs w:val="21"/>
                <w:rtl/>
              </w:rPr>
              <w:t>נדרש</w:t>
            </w:r>
            <w:r w:rsidRPr="006214C9">
              <w:rPr>
                <w:rFonts w:ascii="Calibri" w:eastAsia="Times New Roman" w:hAnsi="Calibri"/>
                <w:b/>
                <w:bCs/>
                <w:color w:val="000000"/>
                <w:sz w:val="21"/>
                <w:szCs w:val="21"/>
                <w:rtl/>
              </w:rPr>
              <w:t xml:space="preserve"> </w:t>
            </w:r>
            <w:r w:rsidRPr="006214C9">
              <w:rPr>
                <w:rFonts w:ascii="Calibri" w:eastAsia="Times New Roman" w:hAnsi="Calibri" w:hint="eastAsia"/>
                <w:b/>
                <w:bCs/>
                <w:color w:val="000000"/>
                <w:sz w:val="21"/>
                <w:szCs w:val="21"/>
                <w:rtl/>
              </w:rPr>
              <w:t>בצד</w:t>
            </w:r>
            <w:r w:rsidRPr="006214C9">
              <w:rPr>
                <w:rFonts w:ascii="Calibri" w:eastAsia="Times New Roman" w:hAnsi="Calibri"/>
                <w:b/>
                <w:bCs/>
                <w:color w:val="000000"/>
                <w:sz w:val="21"/>
                <w:szCs w:val="21"/>
                <w:rtl/>
              </w:rPr>
              <w:t xml:space="preserve"> </w:t>
            </w:r>
            <w:r>
              <w:rPr>
                <w:rFonts w:ascii="Calibri" w:eastAsia="Times New Roman" w:hAnsi="Calibri" w:hint="cs"/>
                <w:b/>
                <w:bCs/>
                <w:color w:val="000000"/>
                <w:sz w:val="21"/>
                <w:szCs w:val="21"/>
                <w:rtl/>
              </w:rPr>
              <w:t>ה</w:t>
            </w:r>
            <w:r w:rsidRPr="006214C9">
              <w:rPr>
                <w:rFonts w:ascii="Calibri" w:eastAsia="Times New Roman" w:hAnsi="Calibri" w:hint="eastAsia"/>
                <w:b/>
                <w:bCs/>
                <w:color w:val="000000"/>
                <w:sz w:val="21"/>
                <w:szCs w:val="21"/>
                <w:rtl/>
              </w:rPr>
              <w:t>הוצאה</w:t>
            </w:r>
            <w:r w:rsidRPr="006214C9">
              <w:rPr>
                <w:rFonts w:ascii="Calibri" w:eastAsia="Times New Roman" w:hAnsi="Calibri"/>
                <w:b/>
                <w:bCs/>
                <w:color w:val="000000"/>
                <w:sz w:val="21"/>
                <w:szCs w:val="21"/>
                <w:rtl/>
              </w:rPr>
              <w:t xml:space="preserve"> </w:t>
            </w:r>
            <w:r w:rsidRPr="006214C9">
              <w:rPr>
                <w:rFonts w:ascii="Calibri" w:eastAsia="Times New Roman" w:hAnsi="Calibri" w:hint="eastAsia"/>
                <w:b/>
                <w:bCs/>
                <w:color w:val="000000"/>
                <w:sz w:val="21"/>
                <w:szCs w:val="21"/>
                <w:rtl/>
              </w:rPr>
              <w:t>בפרסום</w:t>
            </w:r>
            <w:r w:rsidRPr="006214C9">
              <w:rPr>
                <w:rFonts w:ascii="Calibri" w:eastAsia="Times New Roman" w:hAnsi="Calibri"/>
                <w:b/>
                <w:bCs/>
                <w:color w:val="000000"/>
                <w:sz w:val="21"/>
                <w:szCs w:val="21"/>
                <w:rtl/>
              </w:rPr>
              <w:t xml:space="preserve"> </w:t>
            </w:r>
            <w:r>
              <w:rPr>
                <w:rFonts w:ascii="Calibri" w:eastAsia="Times New Roman" w:hAnsi="Calibri" w:hint="cs"/>
                <w:b/>
                <w:bCs/>
                <w:color w:val="000000"/>
                <w:sz w:val="21"/>
                <w:szCs w:val="21"/>
                <w:rtl/>
              </w:rPr>
              <w:t>ה</w:t>
            </w:r>
            <w:r w:rsidRPr="006214C9">
              <w:rPr>
                <w:rFonts w:ascii="Calibri" w:eastAsia="Times New Roman" w:hAnsi="Calibri" w:hint="eastAsia"/>
                <w:b/>
                <w:bCs/>
                <w:color w:val="000000"/>
                <w:sz w:val="21"/>
                <w:szCs w:val="21"/>
                <w:rtl/>
              </w:rPr>
              <w:t>נוכחי</w:t>
            </w:r>
            <w:r w:rsidRPr="006214C9">
              <w:rPr>
                <w:rFonts w:ascii="Calibri" w:eastAsia="Times New Roman" w:hAnsi="Calibri"/>
                <w:b/>
                <w:bCs/>
                <w:color w:val="000000"/>
                <w:sz w:val="21"/>
                <w:szCs w:val="21"/>
                <w:rtl/>
              </w:rPr>
              <w:t xml:space="preserve"> (</w:t>
            </w:r>
            <w:r w:rsidRPr="006214C9">
              <w:rPr>
                <w:rFonts w:ascii="Calibri" w:eastAsia="Times New Roman" w:hAnsi="Calibri" w:hint="eastAsia"/>
                <w:b/>
                <w:bCs/>
                <w:color w:val="000000"/>
                <w:sz w:val="21"/>
                <w:szCs w:val="21"/>
                <w:rtl/>
              </w:rPr>
              <w:t>פבר</w:t>
            </w:r>
            <w:r w:rsidRPr="006214C9">
              <w:rPr>
                <w:rFonts w:ascii="Calibri" w:eastAsia="Times New Roman" w:hAnsi="Calibri"/>
                <w:b/>
                <w:bCs/>
                <w:color w:val="000000"/>
                <w:sz w:val="21"/>
                <w:szCs w:val="21"/>
                <w:rtl/>
              </w:rPr>
              <w:t>' 2018)</w:t>
            </w:r>
          </w:p>
        </w:tc>
        <w:tc>
          <w:tcPr>
            <w:tcW w:w="944" w:type="dxa"/>
            <w:tcBorders>
              <w:top w:val="nil"/>
              <w:left w:val="single" w:sz="4" w:space="0" w:color="auto"/>
              <w:bottom w:val="single" w:sz="4" w:space="0" w:color="auto"/>
              <w:right w:val="single" w:sz="4" w:space="0" w:color="auto"/>
            </w:tcBorders>
            <w:shd w:val="clear" w:color="000000" w:fill="B7DEE8"/>
            <w:vAlign w:val="center"/>
          </w:tcPr>
          <w:p w:rsidR="00E96B20" w:rsidRPr="006214C9" w:rsidRDefault="00E96B20" w:rsidP="00E96B20">
            <w:pPr>
              <w:bidi w:val="0"/>
              <w:spacing w:before="0" w:after="0" w:line="240" w:lineRule="auto"/>
              <w:jc w:val="center"/>
              <w:rPr>
                <w:rFonts w:ascii="David" w:hAnsi="David"/>
                <w:b/>
                <w:bCs/>
                <w:color w:val="000000"/>
                <w:sz w:val="21"/>
                <w:szCs w:val="21"/>
              </w:rPr>
            </w:pPr>
            <w:r>
              <w:rPr>
                <w:rFonts w:ascii="David" w:hAnsi="David"/>
                <w:b/>
                <w:bCs/>
                <w:color w:val="000000"/>
                <w:sz w:val="22"/>
                <w:szCs w:val="22"/>
              </w:rPr>
              <w:t>5.4</w:t>
            </w:r>
          </w:p>
        </w:tc>
        <w:tc>
          <w:tcPr>
            <w:tcW w:w="944" w:type="dxa"/>
            <w:tcBorders>
              <w:top w:val="nil"/>
              <w:left w:val="single" w:sz="4" w:space="0" w:color="auto"/>
              <w:bottom w:val="single" w:sz="4" w:space="0" w:color="auto"/>
              <w:right w:val="single" w:sz="4" w:space="0" w:color="auto"/>
            </w:tcBorders>
            <w:shd w:val="clear" w:color="000000" w:fill="B7DEE8"/>
            <w:noWrap/>
            <w:vAlign w:val="center"/>
            <w:hideMark/>
          </w:tcPr>
          <w:p w:rsidR="00E96B20" w:rsidRPr="006214C9" w:rsidRDefault="00E96B20" w:rsidP="00E96B20">
            <w:pPr>
              <w:bidi w:val="0"/>
              <w:spacing w:before="0" w:after="0" w:line="240" w:lineRule="auto"/>
              <w:jc w:val="center"/>
              <w:rPr>
                <w:rFonts w:ascii="Calibri" w:eastAsia="Times New Roman" w:hAnsi="Calibri"/>
                <w:b/>
                <w:bCs/>
                <w:color w:val="000000"/>
                <w:sz w:val="21"/>
                <w:szCs w:val="21"/>
                <w:rtl/>
              </w:rPr>
            </w:pPr>
            <w:r>
              <w:rPr>
                <w:rFonts w:ascii="David" w:hAnsi="David"/>
                <w:b/>
                <w:bCs/>
                <w:color w:val="000000"/>
                <w:sz w:val="22"/>
                <w:szCs w:val="22"/>
              </w:rPr>
              <w:t>7.7</w:t>
            </w:r>
          </w:p>
        </w:tc>
        <w:tc>
          <w:tcPr>
            <w:tcW w:w="944" w:type="dxa"/>
            <w:tcBorders>
              <w:top w:val="nil"/>
              <w:left w:val="single" w:sz="4" w:space="0" w:color="auto"/>
              <w:bottom w:val="single" w:sz="4" w:space="0" w:color="auto"/>
              <w:right w:val="single" w:sz="4" w:space="0" w:color="auto"/>
            </w:tcBorders>
            <w:shd w:val="clear" w:color="000000" w:fill="B7DEE8"/>
            <w:noWrap/>
            <w:vAlign w:val="center"/>
            <w:hideMark/>
          </w:tcPr>
          <w:p w:rsidR="00E96B20" w:rsidRPr="006214C9" w:rsidRDefault="00E96B20" w:rsidP="00E96B20">
            <w:pPr>
              <w:bidi w:val="0"/>
              <w:spacing w:before="0" w:after="0" w:line="240" w:lineRule="auto"/>
              <w:jc w:val="center"/>
              <w:rPr>
                <w:rFonts w:ascii="Calibri" w:eastAsia="Times New Roman" w:hAnsi="Calibri"/>
                <w:b/>
                <w:bCs/>
                <w:color w:val="000000"/>
                <w:sz w:val="21"/>
                <w:szCs w:val="21"/>
                <w:rtl/>
              </w:rPr>
            </w:pPr>
            <w:r>
              <w:rPr>
                <w:rFonts w:ascii="David" w:hAnsi="David"/>
                <w:b/>
                <w:bCs/>
                <w:color w:val="000000"/>
                <w:sz w:val="22"/>
                <w:szCs w:val="22"/>
              </w:rPr>
              <w:t>7.3</w:t>
            </w:r>
          </w:p>
        </w:tc>
      </w:tr>
    </w:tbl>
    <w:p w:rsidR="00B008FD" w:rsidRDefault="00B008FD" w:rsidP="00B008FD">
      <w:pPr>
        <w:rPr>
          <w:rtl/>
        </w:rPr>
      </w:pPr>
    </w:p>
    <w:p w:rsidR="00DC4053" w:rsidRDefault="00B008FD" w:rsidP="0086781D">
      <w:pPr>
        <w:rPr>
          <w:rtl/>
        </w:rPr>
      </w:pPr>
      <w:r>
        <w:rPr>
          <w:rFonts w:hint="cs"/>
          <w:rtl/>
        </w:rPr>
        <w:t xml:space="preserve">יצוין כי </w:t>
      </w:r>
      <w:r w:rsidR="00DC4053" w:rsidRPr="00954124">
        <w:rPr>
          <w:rtl/>
        </w:rPr>
        <w:t>ל</w:t>
      </w:r>
      <w:r w:rsidR="00DC4053" w:rsidRPr="00B8536C">
        <w:rPr>
          <w:rtl/>
        </w:rPr>
        <w:t>צורך ה</w:t>
      </w:r>
      <w:r w:rsidR="00DC4053">
        <w:rPr>
          <w:rFonts w:hint="cs"/>
          <w:rtl/>
        </w:rPr>
        <w:t>ה</w:t>
      </w:r>
      <w:r w:rsidR="00DC4053" w:rsidRPr="00B8536C">
        <w:rPr>
          <w:rtl/>
        </w:rPr>
        <w:t>תכנסות למגבלת ההוצאה המותרת בשנים 20</w:t>
      </w:r>
      <w:r w:rsidR="00DC4053">
        <w:rPr>
          <w:rFonts w:hint="cs"/>
          <w:rtl/>
        </w:rPr>
        <w:t>20</w:t>
      </w:r>
      <w:r w:rsidR="00DC4053" w:rsidRPr="00B8536C">
        <w:rPr>
          <w:rtl/>
        </w:rPr>
        <w:t xml:space="preserve"> עד </w:t>
      </w:r>
      <w:r w:rsidR="00DC4053">
        <w:rPr>
          <w:rFonts w:hint="cs"/>
          <w:rtl/>
        </w:rPr>
        <w:t>2022</w:t>
      </w:r>
      <w:r w:rsidR="00DC4053" w:rsidRPr="00B8536C">
        <w:rPr>
          <w:rtl/>
        </w:rPr>
        <w:t>, הוחלט במועד אישור תקציב המדינה לשנ</w:t>
      </w:r>
      <w:r w:rsidR="00DC4053">
        <w:rPr>
          <w:rFonts w:hint="cs"/>
          <w:rtl/>
        </w:rPr>
        <w:t>ת 2019</w:t>
      </w:r>
      <w:r w:rsidR="00DC4053" w:rsidRPr="00B8536C">
        <w:rPr>
          <w:rtl/>
        </w:rPr>
        <w:t xml:space="preserve"> בממשלה, על שור</w:t>
      </w:r>
      <w:r w:rsidR="00DC4053" w:rsidRPr="00B8536C">
        <w:rPr>
          <w:rFonts w:hint="cs"/>
          <w:rtl/>
        </w:rPr>
        <w:t>ת</w:t>
      </w:r>
      <w:r w:rsidR="00DC4053" w:rsidRPr="00B8536C">
        <w:rPr>
          <w:rtl/>
        </w:rPr>
        <w:t xml:space="preserve"> צעדים שיחולו החל משנת 20</w:t>
      </w:r>
      <w:r w:rsidR="00DC4053">
        <w:rPr>
          <w:rFonts w:hint="cs"/>
          <w:rtl/>
        </w:rPr>
        <w:t>20</w:t>
      </w:r>
      <w:r w:rsidR="00DC4053" w:rsidRPr="00B8536C">
        <w:rPr>
          <w:rtl/>
        </w:rPr>
        <w:t xml:space="preserve">: הפחתה </w:t>
      </w:r>
      <w:r w:rsidR="00DC4053" w:rsidRPr="00B8536C">
        <w:rPr>
          <w:rFonts w:hint="cs"/>
          <w:rtl/>
        </w:rPr>
        <w:t>רוחבית</w:t>
      </w:r>
      <w:r w:rsidR="00DC4053" w:rsidRPr="00B8536C">
        <w:rPr>
          <w:rtl/>
        </w:rPr>
        <w:t xml:space="preserve"> </w:t>
      </w:r>
      <w:r w:rsidR="00DC4053" w:rsidRPr="00B8536C">
        <w:rPr>
          <w:rFonts w:hint="cs"/>
          <w:rtl/>
        </w:rPr>
        <w:t>בהיקף</w:t>
      </w:r>
      <w:r w:rsidR="00DC4053" w:rsidRPr="00B8536C">
        <w:rPr>
          <w:rtl/>
        </w:rPr>
        <w:t xml:space="preserve"> </w:t>
      </w:r>
      <w:r w:rsidR="00DC4053" w:rsidRPr="00B8536C">
        <w:rPr>
          <w:rFonts w:hint="cs"/>
          <w:rtl/>
        </w:rPr>
        <w:t>של</w:t>
      </w:r>
      <w:r w:rsidR="00DC4053" w:rsidRPr="00B8536C">
        <w:rPr>
          <w:rtl/>
        </w:rPr>
        <w:t xml:space="preserve"> </w:t>
      </w:r>
      <w:r w:rsidR="00DC4053">
        <w:rPr>
          <w:rFonts w:hint="cs"/>
          <w:rtl/>
        </w:rPr>
        <w:t>2</w:t>
      </w:r>
      <w:r w:rsidR="00DC4053" w:rsidRPr="00B8536C">
        <w:rPr>
          <w:rtl/>
        </w:rPr>
        <w:t>.5</w:t>
      </w:r>
      <w:r w:rsidR="00DC4053">
        <w:rPr>
          <w:rFonts w:hint="cs"/>
          <w:rtl/>
        </w:rPr>
        <w:t>%</w:t>
      </w:r>
      <w:r w:rsidR="00DC4053" w:rsidRPr="00B8536C">
        <w:rPr>
          <w:rtl/>
        </w:rPr>
        <w:t xml:space="preserve"> </w:t>
      </w:r>
      <w:r w:rsidR="00DC4053">
        <w:rPr>
          <w:rFonts w:hint="cs"/>
          <w:rtl/>
        </w:rPr>
        <w:t xml:space="preserve">ו-7.5% </w:t>
      </w:r>
      <w:r w:rsidR="00DC4053" w:rsidRPr="00B8536C">
        <w:rPr>
          <w:rFonts w:hint="cs"/>
          <w:rtl/>
        </w:rPr>
        <w:t>מתקציב</w:t>
      </w:r>
      <w:r w:rsidR="00DC4053" w:rsidRPr="00B8536C">
        <w:rPr>
          <w:rtl/>
        </w:rPr>
        <w:t xml:space="preserve"> </w:t>
      </w:r>
      <w:r w:rsidR="00DC4053" w:rsidRPr="00B8536C">
        <w:rPr>
          <w:rFonts w:hint="cs"/>
          <w:rtl/>
        </w:rPr>
        <w:t>הקניות</w:t>
      </w:r>
      <w:r w:rsidR="00DC4053" w:rsidRPr="00B8536C">
        <w:rPr>
          <w:rtl/>
        </w:rPr>
        <w:t xml:space="preserve"> </w:t>
      </w:r>
      <w:r w:rsidR="00DC4053" w:rsidRPr="00B8536C">
        <w:rPr>
          <w:rFonts w:hint="cs"/>
          <w:rtl/>
        </w:rPr>
        <w:t>של</w:t>
      </w:r>
      <w:r w:rsidR="00DC4053" w:rsidRPr="00B8536C">
        <w:rPr>
          <w:rtl/>
        </w:rPr>
        <w:t xml:space="preserve"> </w:t>
      </w:r>
      <w:r w:rsidR="00DC4053" w:rsidRPr="00B8536C">
        <w:rPr>
          <w:rFonts w:hint="cs"/>
          <w:rtl/>
        </w:rPr>
        <w:t>משרדי</w:t>
      </w:r>
      <w:r w:rsidR="00DC4053" w:rsidRPr="00B8536C">
        <w:rPr>
          <w:rtl/>
        </w:rPr>
        <w:t xml:space="preserve"> </w:t>
      </w:r>
      <w:r w:rsidR="00DC4053" w:rsidRPr="00B8536C">
        <w:rPr>
          <w:rFonts w:hint="cs"/>
          <w:rtl/>
        </w:rPr>
        <w:t>הממשלה</w:t>
      </w:r>
      <w:r w:rsidR="00DC4053" w:rsidRPr="00B8536C">
        <w:rPr>
          <w:rtl/>
        </w:rPr>
        <w:t xml:space="preserve"> </w:t>
      </w:r>
      <w:r w:rsidR="00DC4053" w:rsidRPr="00B8536C">
        <w:rPr>
          <w:rFonts w:hint="cs"/>
          <w:rtl/>
        </w:rPr>
        <w:t>החל</w:t>
      </w:r>
      <w:r w:rsidR="00DC4053" w:rsidRPr="00B8536C">
        <w:rPr>
          <w:rtl/>
        </w:rPr>
        <w:t xml:space="preserve"> </w:t>
      </w:r>
      <w:r w:rsidR="00DC4053" w:rsidRPr="00B8536C">
        <w:rPr>
          <w:rFonts w:hint="cs"/>
          <w:rtl/>
        </w:rPr>
        <w:t>מ</w:t>
      </w:r>
      <w:r w:rsidR="00DC4053">
        <w:rPr>
          <w:rFonts w:hint="cs"/>
          <w:rtl/>
        </w:rPr>
        <w:t>השנים 2020 ו-2021</w:t>
      </w:r>
      <w:r w:rsidR="00DC4053" w:rsidRPr="00B8536C">
        <w:rPr>
          <w:rtl/>
        </w:rPr>
        <w:t xml:space="preserve">, </w:t>
      </w:r>
      <w:r w:rsidR="00DC4053">
        <w:rPr>
          <w:rFonts w:hint="cs"/>
          <w:rtl/>
        </w:rPr>
        <w:t>בהתאמה.</w:t>
      </w:r>
      <w:r w:rsidR="00DC4053" w:rsidRPr="00B8536C">
        <w:rPr>
          <w:rtl/>
        </w:rPr>
        <w:t xml:space="preserve"> </w:t>
      </w:r>
      <w:r w:rsidR="00954124">
        <w:rPr>
          <w:rFonts w:hint="cs"/>
          <w:rtl/>
        </w:rPr>
        <w:t xml:space="preserve">בנוסף, </w:t>
      </w:r>
      <w:r w:rsidR="00DC4053">
        <w:rPr>
          <w:rFonts w:hint="cs"/>
          <w:rtl/>
        </w:rPr>
        <w:t xml:space="preserve">בשל הפער המשמעותי בין תחזית מדד המחירים לצרכן לבין מדד המחירים לעניין </w:t>
      </w:r>
      <w:r w:rsidR="00DC4053">
        <w:rPr>
          <w:rFonts w:hint="cs"/>
          <w:rtl/>
        </w:rPr>
        <w:lastRenderedPageBreak/>
        <w:t>הצמדת מגבלת ההוצאה, הונח כי טרם אישור תקציב 2020 יבוצעו התאמות אשר ייתרו התאמות נוספות בגין פערי מחירים כאמור בשנים עתידיות.</w:t>
      </w:r>
    </w:p>
    <w:p w:rsidR="0059688A" w:rsidRPr="00B8536C" w:rsidRDefault="00DA1DF7" w:rsidP="00E904B4">
      <w:pPr>
        <w:rPr>
          <w:rtl/>
        </w:rPr>
      </w:pPr>
      <w:r w:rsidRPr="001524C4">
        <w:rPr>
          <w:rFonts w:hint="eastAsia"/>
          <w:rtl/>
        </w:rPr>
        <w:t>עדכון</w:t>
      </w:r>
      <w:r w:rsidRPr="001524C4">
        <w:rPr>
          <w:rtl/>
        </w:rPr>
        <w:t xml:space="preserve"> </w:t>
      </w:r>
      <w:r w:rsidRPr="001524C4">
        <w:rPr>
          <w:rFonts w:hint="eastAsia"/>
          <w:rtl/>
        </w:rPr>
        <w:t>הפרמטרים</w:t>
      </w:r>
      <w:r w:rsidRPr="001524C4">
        <w:rPr>
          <w:rtl/>
        </w:rPr>
        <w:t xml:space="preserve"> לפי נוסחת </w:t>
      </w:r>
      <w:r w:rsidRPr="001524C4">
        <w:rPr>
          <w:rFonts w:hint="eastAsia"/>
          <w:rtl/>
        </w:rPr>
        <w:t>מגבלת</w:t>
      </w:r>
      <w:r w:rsidRPr="001524C4">
        <w:rPr>
          <w:rtl/>
        </w:rPr>
        <w:t xml:space="preserve"> ההוצאה </w:t>
      </w:r>
      <w:r w:rsidR="00EE4D85">
        <w:rPr>
          <w:rFonts w:hint="cs"/>
          <w:rtl/>
        </w:rPr>
        <w:t>בהתאם ל</w:t>
      </w:r>
      <w:r w:rsidRPr="001524C4">
        <w:rPr>
          <w:rFonts w:hint="eastAsia"/>
          <w:rtl/>
        </w:rPr>
        <w:t>חוק</w:t>
      </w:r>
      <w:r w:rsidRPr="001524C4">
        <w:rPr>
          <w:rtl/>
        </w:rPr>
        <w:t xml:space="preserve"> </w:t>
      </w:r>
      <w:r w:rsidR="00EE4D85">
        <w:rPr>
          <w:rFonts w:hint="cs"/>
          <w:rtl/>
        </w:rPr>
        <w:t xml:space="preserve">המסגרות </w:t>
      </w:r>
      <w:r w:rsidRPr="001524C4">
        <w:rPr>
          <w:rFonts w:hint="eastAsia"/>
          <w:rtl/>
        </w:rPr>
        <w:t>בפרסום</w:t>
      </w:r>
      <w:r w:rsidRPr="001524C4">
        <w:rPr>
          <w:rtl/>
        </w:rPr>
        <w:t xml:space="preserve"> זה הביא </w:t>
      </w:r>
      <w:r w:rsidRPr="001524C4">
        <w:rPr>
          <w:rFonts w:hint="eastAsia"/>
          <w:rtl/>
        </w:rPr>
        <w:t>עדכון</w:t>
      </w:r>
      <w:r w:rsidRPr="001524C4">
        <w:rPr>
          <w:rtl/>
        </w:rPr>
        <w:t xml:space="preserve"> </w:t>
      </w:r>
      <w:r w:rsidRPr="001524C4">
        <w:rPr>
          <w:rFonts w:hint="eastAsia"/>
          <w:rtl/>
        </w:rPr>
        <w:t>כלפי</w:t>
      </w:r>
      <w:r w:rsidRPr="001524C4">
        <w:rPr>
          <w:rtl/>
        </w:rPr>
        <w:t xml:space="preserve"> </w:t>
      </w:r>
      <w:r w:rsidRPr="001524C4">
        <w:rPr>
          <w:rFonts w:hint="eastAsia"/>
          <w:rtl/>
        </w:rPr>
        <w:t>מעלה</w:t>
      </w:r>
      <w:r w:rsidRPr="001524C4">
        <w:rPr>
          <w:rtl/>
        </w:rPr>
        <w:t xml:space="preserve"> </w:t>
      </w:r>
      <w:r w:rsidRPr="001524C4">
        <w:rPr>
          <w:rFonts w:hint="eastAsia"/>
          <w:rtl/>
        </w:rPr>
        <w:t>של</w:t>
      </w:r>
      <w:r w:rsidRPr="001524C4">
        <w:rPr>
          <w:rtl/>
        </w:rPr>
        <w:t xml:space="preserve"> 0.</w:t>
      </w:r>
      <w:r w:rsidR="001524C4" w:rsidRPr="00A34826">
        <w:rPr>
          <w:rtl/>
        </w:rPr>
        <w:t>2</w:t>
      </w:r>
      <w:r w:rsidRPr="001524C4">
        <w:rPr>
          <w:rtl/>
        </w:rPr>
        <w:t xml:space="preserve"> </w:t>
      </w:r>
      <w:r w:rsidRPr="001524C4">
        <w:rPr>
          <w:rFonts w:hint="eastAsia"/>
          <w:rtl/>
        </w:rPr>
        <w:t>מיליארד</w:t>
      </w:r>
      <w:r w:rsidRPr="001524C4">
        <w:rPr>
          <w:rtl/>
        </w:rPr>
        <w:t xml:space="preserve"> </w:t>
      </w:r>
      <w:r w:rsidRPr="001524C4">
        <w:rPr>
          <w:rFonts w:hint="eastAsia"/>
          <w:rtl/>
        </w:rPr>
        <w:t>במגבלת</w:t>
      </w:r>
      <w:r w:rsidRPr="001524C4">
        <w:rPr>
          <w:rtl/>
        </w:rPr>
        <w:t xml:space="preserve"> </w:t>
      </w:r>
      <w:r w:rsidRPr="001524C4">
        <w:rPr>
          <w:rFonts w:hint="eastAsia"/>
          <w:rtl/>
        </w:rPr>
        <w:t>ההוצאה</w:t>
      </w:r>
      <w:r w:rsidRPr="001524C4">
        <w:rPr>
          <w:rtl/>
        </w:rPr>
        <w:t xml:space="preserve"> המותרת על פי החוק בשנת 2021 ו-</w:t>
      </w:r>
      <w:r w:rsidR="001524C4" w:rsidRPr="00A34826">
        <w:rPr>
          <w:rtl/>
        </w:rPr>
        <w:t>0.5</w:t>
      </w:r>
      <w:r w:rsidRPr="001524C4">
        <w:rPr>
          <w:rtl/>
        </w:rPr>
        <w:t xml:space="preserve"> </w:t>
      </w:r>
      <w:r w:rsidRPr="001524C4">
        <w:rPr>
          <w:rFonts w:hint="eastAsia"/>
          <w:rtl/>
        </w:rPr>
        <w:t>מיליארד</w:t>
      </w:r>
      <w:r w:rsidRPr="001524C4">
        <w:rPr>
          <w:rtl/>
        </w:rPr>
        <w:t xml:space="preserve"> </w:t>
      </w:r>
      <w:r w:rsidRPr="001524C4">
        <w:rPr>
          <w:rFonts w:hint="eastAsia"/>
          <w:rtl/>
        </w:rPr>
        <w:t>בשנת</w:t>
      </w:r>
      <w:r w:rsidRPr="001524C4">
        <w:rPr>
          <w:rtl/>
        </w:rPr>
        <w:t xml:space="preserve"> 2022. מגבלת ההוצאה בשנת 2020 </w:t>
      </w:r>
      <w:r w:rsidR="00AB7F91" w:rsidRPr="001524C4">
        <w:rPr>
          <w:rFonts w:hint="eastAsia"/>
          <w:rtl/>
        </w:rPr>
        <w:t>נותרה</w:t>
      </w:r>
      <w:r w:rsidRPr="001524C4">
        <w:rPr>
          <w:rtl/>
        </w:rPr>
        <w:t xml:space="preserve"> </w:t>
      </w:r>
      <w:r w:rsidR="00EC0838" w:rsidRPr="001524C4">
        <w:rPr>
          <w:rFonts w:hint="eastAsia"/>
          <w:rtl/>
        </w:rPr>
        <w:t>ללא</w:t>
      </w:r>
      <w:r w:rsidR="00EC0838" w:rsidRPr="001524C4">
        <w:rPr>
          <w:rtl/>
        </w:rPr>
        <w:t xml:space="preserve"> שינוי. </w:t>
      </w:r>
      <w:r w:rsidR="003E3F1A" w:rsidRPr="001524C4">
        <w:rPr>
          <w:rFonts w:hint="eastAsia"/>
          <w:rtl/>
        </w:rPr>
        <w:t>לפיכך</w:t>
      </w:r>
      <w:r w:rsidR="00B72C31" w:rsidRPr="001524C4">
        <w:rPr>
          <w:rtl/>
        </w:rPr>
        <w:t>,</w:t>
      </w:r>
      <w:r w:rsidR="003E3F1A" w:rsidRPr="001524C4">
        <w:rPr>
          <w:rtl/>
        </w:rPr>
        <w:t xml:space="preserve"> הגידול בהיקף ההתאמות הנדרש בצד ההוצאה</w:t>
      </w:r>
      <w:r w:rsidR="001524C4" w:rsidRPr="00A34826">
        <w:rPr>
          <w:rtl/>
        </w:rPr>
        <w:t xml:space="preserve"> לשנה זו</w:t>
      </w:r>
      <w:r w:rsidR="003E3F1A" w:rsidRPr="001524C4">
        <w:rPr>
          <w:rtl/>
        </w:rPr>
        <w:t xml:space="preserve"> נובע כולו מעדכון היקף ההוצאה הממשלתית.</w:t>
      </w:r>
    </w:p>
    <w:p w:rsidR="00DC4053" w:rsidRDefault="00DC4053" w:rsidP="00A34826">
      <w:pPr>
        <w:rPr>
          <w:rtl/>
        </w:rPr>
      </w:pPr>
      <w:r w:rsidRPr="00B8536C">
        <w:rPr>
          <w:rFonts w:hint="cs"/>
          <w:rtl/>
        </w:rPr>
        <w:t>להלן</w:t>
      </w:r>
      <w:r w:rsidRPr="00B8536C">
        <w:rPr>
          <w:rtl/>
        </w:rPr>
        <w:t xml:space="preserve"> השינויים בהוצאה הממשלתית בשנים </w:t>
      </w:r>
      <w:r w:rsidR="00C66B09">
        <w:rPr>
          <w:rFonts w:hint="cs"/>
          <w:rtl/>
        </w:rPr>
        <w:t xml:space="preserve">2020 </w:t>
      </w:r>
      <w:r>
        <w:rPr>
          <w:rFonts w:hint="cs"/>
          <w:rtl/>
        </w:rPr>
        <w:t xml:space="preserve">עד </w:t>
      </w:r>
      <w:r w:rsidR="00C66B09">
        <w:rPr>
          <w:rFonts w:hint="cs"/>
          <w:rtl/>
        </w:rPr>
        <w:t>2022</w:t>
      </w:r>
      <w:r w:rsidRPr="00B8536C">
        <w:rPr>
          <w:rtl/>
        </w:rPr>
        <w:t xml:space="preserve">, </w:t>
      </w:r>
      <w:r w:rsidRPr="00B8536C">
        <w:rPr>
          <w:rFonts w:hint="cs"/>
          <w:rtl/>
        </w:rPr>
        <w:t>כפי</w:t>
      </w:r>
      <w:r w:rsidRPr="00B8536C">
        <w:rPr>
          <w:rtl/>
        </w:rPr>
        <w:t xml:space="preserve"> </w:t>
      </w:r>
      <w:r w:rsidRPr="00B8536C">
        <w:rPr>
          <w:rFonts w:hint="cs"/>
          <w:rtl/>
        </w:rPr>
        <w:t>שהם</w:t>
      </w:r>
      <w:r w:rsidRPr="00B8536C">
        <w:rPr>
          <w:rtl/>
        </w:rPr>
        <w:t xml:space="preserve"> </w:t>
      </w:r>
      <w:r w:rsidRPr="00B8536C">
        <w:rPr>
          <w:rFonts w:hint="cs"/>
          <w:rtl/>
        </w:rPr>
        <w:t>באים</w:t>
      </w:r>
      <w:r w:rsidRPr="00B8536C">
        <w:rPr>
          <w:rtl/>
        </w:rPr>
        <w:t xml:space="preserve"> </w:t>
      </w:r>
      <w:r w:rsidRPr="00B8536C">
        <w:rPr>
          <w:rFonts w:hint="cs"/>
          <w:rtl/>
        </w:rPr>
        <w:t>לידי</w:t>
      </w:r>
      <w:r w:rsidRPr="00B8536C">
        <w:rPr>
          <w:rtl/>
        </w:rPr>
        <w:t xml:space="preserve"> </w:t>
      </w:r>
      <w:r w:rsidRPr="00B8536C">
        <w:rPr>
          <w:rFonts w:hint="cs"/>
          <w:rtl/>
        </w:rPr>
        <w:t>ביטוי</w:t>
      </w:r>
      <w:r w:rsidRPr="00B8536C">
        <w:rPr>
          <w:rtl/>
        </w:rPr>
        <w:t xml:space="preserve"> </w:t>
      </w:r>
      <w:r w:rsidRPr="00B8536C">
        <w:rPr>
          <w:rFonts w:hint="cs"/>
          <w:rtl/>
        </w:rPr>
        <w:t>בכל</w:t>
      </w:r>
      <w:r w:rsidRPr="00B8536C">
        <w:rPr>
          <w:rtl/>
        </w:rPr>
        <w:t xml:space="preserve"> </w:t>
      </w:r>
      <w:r w:rsidRPr="00B8536C">
        <w:rPr>
          <w:rFonts w:hint="cs"/>
          <w:rtl/>
        </w:rPr>
        <w:t>אחד</w:t>
      </w:r>
      <w:r w:rsidRPr="00B8536C">
        <w:rPr>
          <w:rtl/>
        </w:rPr>
        <w:t xml:space="preserve"> </w:t>
      </w:r>
      <w:r w:rsidRPr="00B8536C">
        <w:rPr>
          <w:rFonts w:hint="cs"/>
          <w:rtl/>
        </w:rPr>
        <w:t>מאשכולות</w:t>
      </w:r>
      <w:r w:rsidRPr="00B8536C">
        <w:rPr>
          <w:rtl/>
        </w:rPr>
        <w:t xml:space="preserve"> </w:t>
      </w:r>
      <w:r w:rsidRPr="00B8536C">
        <w:rPr>
          <w:rFonts w:hint="cs"/>
          <w:rtl/>
        </w:rPr>
        <w:t>התקציב</w:t>
      </w:r>
      <w:r w:rsidRPr="00B8536C">
        <w:rPr>
          <w:rtl/>
        </w:rPr>
        <w:t xml:space="preserve"> </w:t>
      </w:r>
      <w:r w:rsidRPr="00B8536C">
        <w:rPr>
          <w:rFonts w:hint="cs"/>
          <w:rtl/>
        </w:rPr>
        <w:t>השונים</w:t>
      </w:r>
      <w:r>
        <w:rPr>
          <w:rFonts w:hint="cs"/>
          <w:rtl/>
        </w:rPr>
        <w:t>:</w:t>
      </w:r>
    </w:p>
    <w:tbl>
      <w:tblPr>
        <w:bidiVisual/>
        <w:tblW w:w="8360" w:type="dxa"/>
        <w:tblInd w:w="1464" w:type="dxa"/>
        <w:tblLayout w:type="fixed"/>
        <w:tblLook w:val="04A0" w:firstRow="1" w:lastRow="0" w:firstColumn="1" w:lastColumn="0" w:noHBand="0" w:noVBand="1"/>
      </w:tblPr>
      <w:tblGrid>
        <w:gridCol w:w="4685"/>
        <w:gridCol w:w="1225"/>
        <w:gridCol w:w="1225"/>
        <w:gridCol w:w="1225"/>
      </w:tblGrid>
      <w:tr w:rsidR="00DC4053" w:rsidRPr="008960B8" w:rsidTr="00D00A54">
        <w:trPr>
          <w:trHeight w:val="315"/>
        </w:trPr>
        <w:tc>
          <w:tcPr>
            <w:tcW w:w="4685" w:type="dxa"/>
            <w:tcBorders>
              <w:top w:val="single" w:sz="4" w:space="0" w:color="auto"/>
              <w:left w:val="single" w:sz="4" w:space="0" w:color="auto"/>
              <w:bottom w:val="single" w:sz="4" w:space="0" w:color="auto"/>
              <w:right w:val="single" w:sz="4" w:space="0" w:color="auto"/>
            </w:tcBorders>
            <w:shd w:val="clear" w:color="000000" w:fill="1F497D"/>
            <w:noWrap/>
            <w:vAlign w:val="center"/>
            <w:hideMark/>
          </w:tcPr>
          <w:p w:rsidR="00DC4053" w:rsidRPr="001F0EA1" w:rsidRDefault="00DC4053" w:rsidP="00D00A54">
            <w:pPr>
              <w:bidi w:val="0"/>
              <w:spacing w:before="0" w:after="0" w:line="240" w:lineRule="auto"/>
              <w:jc w:val="right"/>
              <w:rPr>
                <w:rFonts w:ascii="Calibri" w:eastAsia="Times New Roman" w:hAnsi="Calibri"/>
                <w:b/>
                <w:bCs/>
                <w:color w:val="FFFFFF"/>
                <w:sz w:val="22"/>
                <w:szCs w:val="22"/>
                <w:rtl/>
              </w:rPr>
            </w:pPr>
            <w:r w:rsidRPr="001F0EA1">
              <w:rPr>
                <w:rFonts w:ascii="Calibri" w:eastAsia="Times New Roman" w:hAnsi="Calibri"/>
                <w:b/>
                <w:bCs/>
                <w:color w:val="FFFFFF"/>
                <w:sz w:val="22"/>
                <w:szCs w:val="22"/>
                <w:rtl/>
              </w:rPr>
              <w:t xml:space="preserve"> (</w:t>
            </w:r>
            <w:r w:rsidRPr="001F0EA1">
              <w:rPr>
                <w:rFonts w:ascii="Calibri" w:eastAsia="Times New Roman" w:hAnsi="Calibri" w:hint="eastAsia"/>
                <w:b/>
                <w:bCs/>
                <w:color w:val="FFFFFF"/>
                <w:sz w:val="22"/>
                <w:szCs w:val="22"/>
                <w:rtl/>
              </w:rPr>
              <w:t>במיליארדי</w:t>
            </w:r>
            <w:r w:rsidRPr="001F0EA1">
              <w:rPr>
                <w:rFonts w:ascii="Calibri" w:eastAsia="Times New Roman" w:hAnsi="Calibri"/>
                <w:b/>
                <w:bCs/>
                <w:color w:val="FFFFFF"/>
                <w:sz w:val="22"/>
                <w:szCs w:val="22"/>
                <w:rtl/>
              </w:rPr>
              <w:t xml:space="preserve"> </w:t>
            </w:r>
            <w:r w:rsidRPr="001F0EA1">
              <w:rPr>
                <w:rFonts w:ascii="Calibri" w:eastAsia="Times New Roman" w:hAnsi="Calibri" w:hint="eastAsia"/>
                <w:b/>
                <w:bCs/>
                <w:color w:val="FFFFFF"/>
                <w:sz w:val="22"/>
                <w:szCs w:val="22"/>
                <w:rtl/>
              </w:rPr>
              <w:t>ש</w:t>
            </w:r>
            <w:r w:rsidRPr="001F0EA1">
              <w:rPr>
                <w:rFonts w:ascii="Calibri" w:eastAsia="Times New Roman" w:hAnsi="Calibri"/>
                <w:b/>
                <w:bCs/>
                <w:color w:val="FFFFFF"/>
                <w:sz w:val="22"/>
                <w:szCs w:val="22"/>
                <w:rtl/>
              </w:rPr>
              <w:t>"</w:t>
            </w:r>
            <w:r w:rsidRPr="001F0EA1">
              <w:rPr>
                <w:rFonts w:ascii="Calibri" w:eastAsia="Times New Roman" w:hAnsi="Calibri" w:hint="eastAsia"/>
                <w:b/>
                <w:bCs/>
                <w:color w:val="FFFFFF"/>
                <w:sz w:val="22"/>
                <w:szCs w:val="22"/>
                <w:rtl/>
              </w:rPr>
              <w:t>ח</w:t>
            </w:r>
            <w:r w:rsidRPr="001F0EA1">
              <w:rPr>
                <w:rFonts w:ascii="Calibri" w:eastAsia="Times New Roman" w:hAnsi="Calibri"/>
                <w:b/>
                <w:bCs/>
                <w:color w:val="FFFFFF"/>
                <w:sz w:val="22"/>
                <w:szCs w:val="22"/>
                <w:rtl/>
              </w:rPr>
              <w:t>)</w:t>
            </w:r>
          </w:p>
        </w:tc>
        <w:tc>
          <w:tcPr>
            <w:tcW w:w="1225" w:type="dxa"/>
            <w:tcBorders>
              <w:top w:val="single" w:sz="4" w:space="0" w:color="auto"/>
              <w:left w:val="single" w:sz="4" w:space="0" w:color="auto"/>
              <w:bottom w:val="single" w:sz="4" w:space="0" w:color="auto"/>
              <w:right w:val="single" w:sz="4" w:space="0" w:color="auto"/>
            </w:tcBorders>
            <w:shd w:val="clear" w:color="000000" w:fill="1F497D"/>
            <w:vAlign w:val="center"/>
          </w:tcPr>
          <w:p w:rsidR="00DC4053" w:rsidRPr="008960B8" w:rsidRDefault="003D4BB3" w:rsidP="00D00A54">
            <w:pPr>
              <w:bidi w:val="0"/>
              <w:spacing w:before="0" w:after="0" w:line="240" w:lineRule="auto"/>
              <w:jc w:val="center"/>
              <w:rPr>
                <w:rFonts w:ascii="Calibri" w:eastAsia="Times New Roman" w:hAnsi="Calibri"/>
                <w:b/>
                <w:bCs/>
                <w:color w:val="FFFFFF"/>
                <w:sz w:val="22"/>
                <w:szCs w:val="22"/>
                <w:rtl/>
              </w:rPr>
            </w:pPr>
            <w:r>
              <w:rPr>
                <w:rFonts w:ascii="Calibri" w:eastAsia="Times New Roman" w:hAnsi="Calibri" w:hint="cs"/>
                <w:b/>
                <w:bCs/>
                <w:color w:val="FFFFFF"/>
                <w:sz w:val="22"/>
                <w:szCs w:val="22"/>
                <w:rtl/>
              </w:rPr>
              <w:t>2020</w:t>
            </w:r>
          </w:p>
        </w:tc>
        <w:tc>
          <w:tcPr>
            <w:tcW w:w="1225" w:type="dxa"/>
            <w:tcBorders>
              <w:top w:val="single" w:sz="4" w:space="0" w:color="auto"/>
              <w:left w:val="single" w:sz="4" w:space="0" w:color="auto"/>
              <w:bottom w:val="single" w:sz="4" w:space="0" w:color="auto"/>
              <w:right w:val="single" w:sz="4" w:space="0" w:color="auto"/>
            </w:tcBorders>
            <w:shd w:val="clear" w:color="000000" w:fill="1F497D"/>
            <w:noWrap/>
            <w:vAlign w:val="center"/>
          </w:tcPr>
          <w:p w:rsidR="00DC4053" w:rsidRPr="001F0EA1" w:rsidRDefault="003D4BB3" w:rsidP="000D0225">
            <w:pPr>
              <w:bidi w:val="0"/>
              <w:spacing w:before="0" w:after="0" w:line="240" w:lineRule="auto"/>
              <w:jc w:val="center"/>
              <w:rPr>
                <w:rFonts w:ascii="Calibri" w:eastAsia="Times New Roman" w:hAnsi="Calibri"/>
                <w:b/>
                <w:bCs/>
                <w:color w:val="FFFFFF"/>
                <w:sz w:val="22"/>
                <w:szCs w:val="22"/>
                <w:rtl/>
              </w:rPr>
            </w:pPr>
            <w:r>
              <w:rPr>
                <w:rFonts w:ascii="Calibri" w:eastAsia="Times New Roman" w:hAnsi="Calibri" w:hint="cs"/>
                <w:b/>
                <w:bCs/>
                <w:color w:val="FFFFFF"/>
                <w:sz w:val="22"/>
                <w:szCs w:val="22"/>
                <w:rtl/>
              </w:rPr>
              <w:t>202</w:t>
            </w:r>
            <w:r w:rsidR="000D0225">
              <w:rPr>
                <w:rFonts w:ascii="Calibri" w:eastAsia="Times New Roman" w:hAnsi="Calibri"/>
                <w:b/>
                <w:bCs/>
                <w:color w:val="FFFFFF"/>
                <w:sz w:val="22"/>
                <w:szCs w:val="22"/>
              </w:rPr>
              <w:t>1</w:t>
            </w:r>
          </w:p>
        </w:tc>
        <w:tc>
          <w:tcPr>
            <w:tcW w:w="1225" w:type="dxa"/>
            <w:tcBorders>
              <w:top w:val="single" w:sz="4" w:space="0" w:color="auto"/>
              <w:left w:val="single" w:sz="4" w:space="0" w:color="auto"/>
              <w:bottom w:val="single" w:sz="4" w:space="0" w:color="auto"/>
              <w:right w:val="single" w:sz="4" w:space="0" w:color="auto"/>
            </w:tcBorders>
            <w:shd w:val="clear" w:color="000000" w:fill="1F497D"/>
            <w:noWrap/>
            <w:vAlign w:val="center"/>
            <w:hideMark/>
          </w:tcPr>
          <w:p w:rsidR="00DC4053" w:rsidRPr="001F0EA1" w:rsidRDefault="003D4BB3" w:rsidP="000D0225">
            <w:pPr>
              <w:bidi w:val="0"/>
              <w:spacing w:before="0" w:after="0" w:line="240" w:lineRule="auto"/>
              <w:jc w:val="center"/>
              <w:rPr>
                <w:rFonts w:ascii="Calibri" w:eastAsia="Times New Roman" w:hAnsi="Calibri"/>
                <w:b/>
                <w:bCs/>
                <w:color w:val="FFFFFF"/>
                <w:sz w:val="22"/>
                <w:szCs w:val="22"/>
                <w:rtl/>
              </w:rPr>
            </w:pPr>
            <w:r>
              <w:rPr>
                <w:rFonts w:ascii="Calibri" w:eastAsia="Times New Roman" w:hAnsi="Calibri" w:hint="cs"/>
                <w:b/>
                <w:bCs/>
                <w:color w:val="FFFFFF"/>
                <w:sz w:val="22"/>
                <w:szCs w:val="22"/>
                <w:rtl/>
              </w:rPr>
              <w:t>202</w:t>
            </w:r>
            <w:r w:rsidR="000D0225">
              <w:rPr>
                <w:rFonts w:ascii="Calibri" w:eastAsia="Times New Roman" w:hAnsi="Calibri"/>
                <w:b/>
                <w:bCs/>
                <w:color w:val="FFFFFF"/>
                <w:sz w:val="22"/>
                <w:szCs w:val="22"/>
              </w:rPr>
              <w:t>2</w:t>
            </w:r>
          </w:p>
        </w:tc>
      </w:tr>
      <w:tr w:rsidR="003F46C3" w:rsidRPr="008960B8" w:rsidTr="00ED1F1E">
        <w:trPr>
          <w:trHeight w:val="300"/>
        </w:trPr>
        <w:tc>
          <w:tcPr>
            <w:tcW w:w="4685" w:type="dxa"/>
            <w:tcBorders>
              <w:top w:val="nil"/>
              <w:left w:val="single" w:sz="4" w:space="0" w:color="auto"/>
              <w:bottom w:val="single" w:sz="4" w:space="0" w:color="auto"/>
              <w:right w:val="single" w:sz="4" w:space="0" w:color="auto"/>
            </w:tcBorders>
            <w:shd w:val="clear" w:color="000000" w:fill="538DD5"/>
            <w:noWrap/>
            <w:vAlign w:val="center"/>
            <w:hideMark/>
          </w:tcPr>
          <w:p w:rsidR="003F46C3" w:rsidRPr="001F0EA1" w:rsidRDefault="003F46C3" w:rsidP="003F46C3">
            <w:pPr>
              <w:spacing w:before="0" w:after="0" w:line="240" w:lineRule="auto"/>
              <w:jc w:val="left"/>
              <w:rPr>
                <w:rFonts w:ascii="Calibri" w:eastAsia="Times New Roman" w:hAnsi="Calibri"/>
                <w:b/>
                <w:bCs/>
                <w:color w:val="000000"/>
                <w:sz w:val="22"/>
                <w:szCs w:val="22"/>
                <w:rtl/>
              </w:rPr>
            </w:pPr>
            <w:r w:rsidRPr="001F0EA1">
              <w:rPr>
                <w:rFonts w:ascii="Calibri" w:eastAsia="Times New Roman" w:hAnsi="Calibri" w:hint="eastAsia"/>
                <w:b/>
                <w:bCs/>
                <w:color w:val="000000"/>
                <w:sz w:val="22"/>
                <w:szCs w:val="22"/>
                <w:rtl/>
              </w:rPr>
              <w:t>סך</w:t>
            </w:r>
            <w:r w:rsidRPr="001F0EA1">
              <w:rPr>
                <w:rFonts w:ascii="Calibri" w:eastAsia="Times New Roman" w:hAnsi="Calibri"/>
                <w:b/>
                <w:bCs/>
                <w:color w:val="000000"/>
                <w:sz w:val="22"/>
                <w:szCs w:val="22"/>
                <w:rtl/>
              </w:rPr>
              <w:t xml:space="preserve"> </w:t>
            </w:r>
            <w:r w:rsidRPr="001F0EA1">
              <w:rPr>
                <w:rFonts w:ascii="Calibri" w:eastAsia="Times New Roman" w:hAnsi="Calibri" w:hint="eastAsia"/>
                <w:b/>
                <w:bCs/>
                <w:color w:val="000000"/>
                <w:sz w:val="22"/>
                <w:szCs w:val="22"/>
                <w:rtl/>
              </w:rPr>
              <w:t>ההוצאה</w:t>
            </w:r>
            <w:r w:rsidRPr="001F0EA1">
              <w:rPr>
                <w:rFonts w:ascii="Calibri" w:eastAsia="Times New Roman" w:hAnsi="Calibri"/>
                <w:b/>
                <w:bCs/>
                <w:color w:val="000000"/>
                <w:sz w:val="22"/>
                <w:szCs w:val="22"/>
                <w:rtl/>
              </w:rPr>
              <w:t xml:space="preserve"> </w:t>
            </w:r>
            <w:r w:rsidRPr="001F0EA1">
              <w:rPr>
                <w:rFonts w:ascii="Calibri" w:eastAsia="Times New Roman" w:hAnsi="Calibri" w:hint="eastAsia"/>
                <w:b/>
                <w:bCs/>
                <w:color w:val="000000"/>
                <w:sz w:val="22"/>
                <w:szCs w:val="22"/>
                <w:rtl/>
              </w:rPr>
              <w:t>הממשלתית</w:t>
            </w:r>
            <w:r w:rsidRPr="001F0EA1">
              <w:rPr>
                <w:rFonts w:ascii="Calibri" w:eastAsia="Times New Roman" w:hAnsi="Calibri"/>
                <w:b/>
                <w:bCs/>
                <w:color w:val="000000"/>
                <w:sz w:val="22"/>
                <w:szCs w:val="22"/>
                <w:rtl/>
              </w:rPr>
              <w:t xml:space="preserve"> </w:t>
            </w:r>
            <w:r w:rsidRPr="001F0EA1">
              <w:rPr>
                <w:rFonts w:ascii="Calibri" w:eastAsia="Times New Roman" w:hAnsi="Calibri" w:hint="eastAsia"/>
                <w:b/>
                <w:bCs/>
                <w:color w:val="000000"/>
                <w:sz w:val="22"/>
                <w:szCs w:val="22"/>
                <w:rtl/>
              </w:rPr>
              <w:t>בפרסום</w:t>
            </w:r>
            <w:r w:rsidRPr="001F0EA1">
              <w:rPr>
                <w:rFonts w:ascii="Calibri" w:eastAsia="Times New Roman" w:hAnsi="Calibri"/>
                <w:b/>
                <w:bCs/>
                <w:color w:val="000000"/>
                <w:sz w:val="22"/>
                <w:szCs w:val="22"/>
                <w:rtl/>
              </w:rPr>
              <w:t xml:space="preserve"> </w:t>
            </w:r>
            <w:r w:rsidRPr="001F0EA1">
              <w:rPr>
                <w:rFonts w:ascii="Calibri" w:eastAsia="Times New Roman" w:hAnsi="Calibri" w:hint="eastAsia"/>
                <w:b/>
                <w:bCs/>
                <w:color w:val="000000"/>
                <w:sz w:val="22"/>
                <w:szCs w:val="22"/>
                <w:rtl/>
              </w:rPr>
              <w:t>הקודם</w:t>
            </w:r>
            <w:r w:rsidRPr="001F0EA1">
              <w:rPr>
                <w:rFonts w:ascii="Calibri" w:eastAsia="Times New Roman" w:hAnsi="Calibri"/>
                <w:b/>
                <w:bCs/>
                <w:color w:val="000000"/>
                <w:sz w:val="22"/>
                <w:szCs w:val="22"/>
                <w:rtl/>
              </w:rPr>
              <w:t xml:space="preserve"> (</w:t>
            </w:r>
            <w:r>
              <w:rPr>
                <w:rFonts w:ascii="Calibri" w:eastAsia="Times New Roman" w:hAnsi="Calibri" w:hint="cs"/>
                <w:b/>
                <w:bCs/>
                <w:color w:val="000000"/>
                <w:sz w:val="22"/>
                <w:szCs w:val="22"/>
                <w:rtl/>
              </w:rPr>
              <w:t>פבר'</w:t>
            </w:r>
            <w:r w:rsidRPr="001F0EA1">
              <w:rPr>
                <w:rFonts w:ascii="Calibri" w:eastAsia="Times New Roman" w:hAnsi="Calibri"/>
                <w:b/>
                <w:bCs/>
                <w:color w:val="000000"/>
                <w:sz w:val="22"/>
                <w:szCs w:val="22"/>
                <w:rtl/>
              </w:rPr>
              <w:t xml:space="preserve"> 2017)</w:t>
            </w:r>
          </w:p>
        </w:tc>
        <w:tc>
          <w:tcPr>
            <w:tcW w:w="1225" w:type="dxa"/>
            <w:tcBorders>
              <w:top w:val="nil"/>
              <w:left w:val="single" w:sz="4" w:space="0" w:color="auto"/>
              <w:bottom w:val="single" w:sz="4" w:space="0" w:color="auto"/>
              <w:right w:val="single" w:sz="4" w:space="0" w:color="auto"/>
            </w:tcBorders>
            <w:shd w:val="clear" w:color="000000" w:fill="538DD5"/>
            <w:vAlign w:val="center"/>
          </w:tcPr>
          <w:p w:rsidR="003F46C3" w:rsidRPr="008960B8" w:rsidRDefault="000D0225" w:rsidP="0086781D">
            <w:pPr>
              <w:bidi w:val="0"/>
              <w:spacing w:before="0" w:after="0" w:line="240" w:lineRule="auto"/>
              <w:jc w:val="center"/>
              <w:rPr>
                <w:rFonts w:ascii="David" w:hAnsi="David"/>
                <w:b/>
                <w:bCs/>
                <w:color w:val="000000"/>
                <w:sz w:val="22"/>
                <w:szCs w:val="22"/>
              </w:rPr>
            </w:pPr>
            <w:r>
              <w:rPr>
                <w:rFonts w:ascii="David" w:hAnsi="David"/>
                <w:b/>
                <w:bCs/>
                <w:color w:val="000000"/>
                <w:sz w:val="22"/>
                <w:szCs w:val="22"/>
              </w:rPr>
              <w:t>412.0</w:t>
            </w:r>
          </w:p>
        </w:tc>
        <w:tc>
          <w:tcPr>
            <w:tcW w:w="1225" w:type="dxa"/>
            <w:tcBorders>
              <w:top w:val="nil"/>
              <w:left w:val="single" w:sz="4" w:space="0" w:color="auto"/>
              <w:bottom w:val="single" w:sz="4" w:space="0" w:color="auto"/>
              <w:right w:val="single" w:sz="4" w:space="0" w:color="auto"/>
            </w:tcBorders>
            <w:shd w:val="clear" w:color="000000" w:fill="538DD5"/>
            <w:noWrap/>
            <w:vAlign w:val="center"/>
            <w:hideMark/>
          </w:tcPr>
          <w:p w:rsidR="003F46C3" w:rsidRPr="00ED1F1E" w:rsidRDefault="000D0225" w:rsidP="0086781D">
            <w:pPr>
              <w:bidi w:val="0"/>
              <w:spacing w:before="0" w:after="0" w:line="240" w:lineRule="auto"/>
              <w:jc w:val="center"/>
              <w:rPr>
                <w:rFonts w:ascii="David" w:hAnsi="David"/>
                <w:b/>
                <w:bCs/>
                <w:color w:val="000000"/>
                <w:sz w:val="22"/>
                <w:szCs w:val="22"/>
                <w:rtl/>
              </w:rPr>
            </w:pPr>
            <w:r w:rsidRPr="00ED1F1E">
              <w:rPr>
                <w:rFonts w:ascii="David" w:hAnsi="David"/>
                <w:b/>
                <w:bCs/>
                <w:color w:val="000000"/>
                <w:sz w:val="22"/>
                <w:szCs w:val="22"/>
              </w:rPr>
              <w:t>426.2</w:t>
            </w:r>
          </w:p>
        </w:tc>
        <w:tc>
          <w:tcPr>
            <w:tcW w:w="1225" w:type="dxa"/>
            <w:tcBorders>
              <w:top w:val="nil"/>
              <w:left w:val="single" w:sz="4" w:space="0" w:color="auto"/>
              <w:bottom w:val="single" w:sz="4" w:space="0" w:color="auto"/>
              <w:right w:val="single" w:sz="4" w:space="0" w:color="auto"/>
            </w:tcBorders>
            <w:shd w:val="clear" w:color="000000" w:fill="538DD5"/>
            <w:noWrap/>
            <w:vAlign w:val="center"/>
            <w:hideMark/>
          </w:tcPr>
          <w:p w:rsidR="003F46C3" w:rsidRPr="00ED1F1E" w:rsidRDefault="000D0225">
            <w:pPr>
              <w:bidi w:val="0"/>
              <w:spacing w:before="0" w:after="0" w:line="240" w:lineRule="auto"/>
              <w:jc w:val="center"/>
              <w:rPr>
                <w:rFonts w:ascii="David" w:hAnsi="David"/>
                <w:b/>
                <w:bCs/>
                <w:color w:val="000000"/>
                <w:sz w:val="22"/>
                <w:szCs w:val="22"/>
                <w:rtl/>
              </w:rPr>
            </w:pPr>
            <w:r w:rsidRPr="00ED1F1E">
              <w:rPr>
                <w:rFonts w:ascii="David" w:hAnsi="David"/>
                <w:b/>
                <w:bCs/>
                <w:color w:val="000000"/>
                <w:sz w:val="22"/>
                <w:szCs w:val="22"/>
              </w:rPr>
              <w:t>441.4</w:t>
            </w:r>
          </w:p>
        </w:tc>
      </w:tr>
      <w:tr w:rsidR="00EE6D88" w:rsidRPr="008960B8" w:rsidTr="00D00A54">
        <w:trPr>
          <w:trHeight w:val="300"/>
        </w:trPr>
        <w:tc>
          <w:tcPr>
            <w:tcW w:w="4685" w:type="dxa"/>
            <w:tcBorders>
              <w:top w:val="nil"/>
              <w:left w:val="single" w:sz="4" w:space="0" w:color="auto"/>
              <w:bottom w:val="single" w:sz="4" w:space="0" w:color="auto"/>
              <w:right w:val="single" w:sz="4" w:space="0" w:color="auto"/>
            </w:tcBorders>
            <w:shd w:val="clear" w:color="auto" w:fill="auto"/>
            <w:noWrap/>
            <w:vAlign w:val="center"/>
            <w:hideMark/>
          </w:tcPr>
          <w:p w:rsidR="00EE6D88" w:rsidRPr="001F0EA1" w:rsidRDefault="00EE6D88" w:rsidP="00EE6D88">
            <w:pPr>
              <w:spacing w:before="0" w:after="0" w:line="240" w:lineRule="auto"/>
              <w:ind w:firstLineChars="200" w:firstLine="440"/>
              <w:jc w:val="left"/>
              <w:rPr>
                <w:rFonts w:ascii="Calibri" w:eastAsia="Times New Roman" w:hAnsi="Calibri"/>
                <w:color w:val="000000"/>
                <w:sz w:val="22"/>
                <w:szCs w:val="22"/>
                <w:rtl/>
              </w:rPr>
            </w:pPr>
            <w:bookmarkStart w:id="1" w:name="RANGE!E24"/>
            <w:r>
              <w:rPr>
                <w:rFonts w:ascii="Calibri" w:eastAsia="Times New Roman" w:hAnsi="Calibri" w:hint="cs"/>
                <w:color w:val="000000"/>
                <w:sz w:val="22"/>
                <w:szCs w:val="22"/>
                <w:rtl/>
              </w:rPr>
              <w:t>ה</w:t>
            </w:r>
            <w:r w:rsidRPr="001F0EA1">
              <w:rPr>
                <w:rFonts w:ascii="Calibri" w:eastAsia="Times New Roman" w:hAnsi="Calibri" w:hint="eastAsia"/>
                <w:color w:val="000000"/>
                <w:sz w:val="22"/>
                <w:szCs w:val="22"/>
                <w:rtl/>
              </w:rPr>
              <w:t>ביטחון</w:t>
            </w:r>
            <w:r w:rsidRPr="001F0EA1">
              <w:rPr>
                <w:rFonts w:ascii="Calibri" w:eastAsia="Times New Roman" w:hAnsi="Calibri"/>
                <w:color w:val="000000"/>
                <w:sz w:val="22"/>
                <w:szCs w:val="22"/>
                <w:rtl/>
              </w:rPr>
              <w:t xml:space="preserve"> </w:t>
            </w:r>
            <w:r w:rsidRPr="001F0EA1">
              <w:rPr>
                <w:rFonts w:ascii="Calibri" w:eastAsia="Times New Roman" w:hAnsi="Calibri" w:hint="eastAsia"/>
                <w:color w:val="000000"/>
                <w:sz w:val="22"/>
                <w:szCs w:val="22"/>
                <w:rtl/>
              </w:rPr>
              <w:t>ו</w:t>
            </w:r>
            <w:r>
              <w:rPr>
                <w:rFonts w:ascii="Calibri" w:eastAsia="Times New Roman" w:hAnsi="Calibri" w:hint="cs"/>
                <w:color w:val="000000"/>
                <w:sz w:val="22"/>
                <w:szCs w:val="22"/>
                <w:rtl/>
              </w:rPr>
              <w:t>ה</w:t>
            </w:r>
            <w:r w:rsidRPr="001F0EA1">
              <w:rPr>
                <w:rFonts w:ascii="Calibri" w:eastAsia="Times New Roman" w:hAnsi="Calibri" w:hint="eastAsia"/>
                <w:color w:val="000000"/>
                <w:sz w:val="22"/>
                <w:szCs w:val="22"/>
                <w:rtl/>
              </w:rPr>
              <w:t>סדר</w:t>
            </w:r>
            <w:r w:rsidRPr="001F0EA1">
              <w:rPr>
                <w:rFonts w:ascii="Calibri" w:eastAsia="Times New Roman" w:hAnsi="Calibri"/>
                <w:color w:val="000000"/>
                <w:sz w:val="22"/>
                <w:szCs w:val="22"/>
                <w:rtl/>
              </w:rPr>
              <w:t xml:space="preserve"> </w:t>
            </w:r>
            <w:r w:rsidRPr="001F0EA1">
              <w:rPr>
                <w:rFonts w:ascii="Calibri" w:eastAsia="Times New Roman" w:hAnsi="Calibri" w:hint="eastAsia"/>
                <w:color w:val="000000"/>
                <w:sz w:val="22"/>
                <w:szCs w:val="22"/>
                <w:rtl/>
              </w:rPr>
              <w:t>ציבורי</w:t>
            </w:r>
            <w:bookmarkEnd w:id="1"/>
          </w:p>
        </w:tc>
        <w:tc>
          <w:tcPr>
            <w:tcW w:w="1225" w:type="dxa"/>
            <w:tcBorders>
              <w:top w:val="nil"/>
              <w:left w:val="single" w:sz="4" w:space="0" w:color="auto"/>
              <w:bottom w:val="single" w:sz="4" w:space="0" w:color="auto"/>
              <w:right w:val="single" w:sz="4" w:space="0" w:color="auto"/>
            </w:tcBorders>
            <w:vAlign w:val="center"/>
          </w:tcPr>
          <w:p w:rsidR="00EE6D88" w:rsidRPr="00ED1F1E" w:rsidRDefault="00EE6D88" w:rsidP="00EE6D88">
            <w:pPr>
              <w:bidi w:val="0"/>
              <w:spacing w:before="0" w:after="0" w:line="240" w:lineRule="auto"/>
              <w:jc w:val="center"/>
              <w:rPr>
                <w:rFonts w:ascii="David" w:hAnsi="David"/>
                <w:color w:val="000000"/>
                <w:sz w:val="22"/>
                <w:szCs w:val="22"/>
                <w:highlight w:val="yellow"/>
              </w:rPr>
            </w:pPr>
            <w:r>
              <w:rPr>
                <w:rFonts w:ascii="David" w:hAnsi="David"/>
                <w:color w:val="000000"/>
                <w:sz w:val="22"/>
                <w:szCs w:val="22"/>
              </w:rPr>
              <w:t>0.2</w:t>
            </w:r>
          </w:p>
        </w:tc>
        <w:tc>
          <w:tcPr>
            <w:tcW w:w="1225" w:type="dxa"/>
            <w:tcBorders>
              <w:top w:val="nil"/>
              <w:left w:val="single" w:sz="4" w:space="0" w:color="auto"/>
              <w:bottom w:val="single" w:sz="4" w:space="0" w:color="auto"/>
              <w:right w:val="single" w:sz="4" w:space="0" w:color="auto"/>
            </w:tcBorders>
            <w:shd w:val="clear" w:color="auto" w:fill="auto"/>
            <w:noWrap/>
            <w:vAlign w:val="center"/>
            <w:hideMark/>
          </w:tcPr>
          <w:p w:rsidR="00EE6D88" w:rsidRPr="00ED1F1E" w:rsidRDefault="00EE6D88" w:rsidP="00EE6D88">
            <w:pPr>
              <w:bidi w:val="0"/>
              <w:spacing w:before="0" w:after="0" w:line="240" w:lineRule="auto"/>
              <w:jc w:val="center"/>
              <w:rPr>
                <w:rFonts w:ascii="Calibri" w:eastAsia="Times New Roman" w:hAnsi="Calibri"/>
                <w:color w:val="000000"/>
                <w:sz w:val="22"/>
                <w:szCs w:val="22"/>
                <w:highlight w:val="yellow"/>
                <w:rtl/>
              </w:rPr>
            </w:pPr>
            <w:r>
              <w:rPr>
                <w:rFonts w:ascii="David" w:hAnsi="David"/>
                <w:color w:val="000000"/>
                <w:sz w:val="22"/>
                <w:szCs w:val="22"/>
              </w:rPr>
              <w:t>1.0</w:t>
            </w:r>
          </w:p>
        </w:tc>
        <w:tc>
          <w:tcPr>
            <w:tcW w:w="1225" w:type="dxa"/>
            <w:tcBorders>
              <w:top w:val="nil"/>
              <w:left w:val="single" w:sz="4" w:space="0" w:color="auto"/>
              <w:bottom w:val="single" w:sz="4" w:space="0" w:color="auto"/>
              <w:right w:val="single" w:sz="4" w:space="0" w:color="auto"/>
            </w:tcBorders>
            <w:shd w:val="clear" w:color="auto" w:fill="auto"/>
            <w:noWrap/>
            <w:vAlign w:val="center"/>
            <w:hideMark/>
          </w:tcPr>
          <w:p w:rsidR="00EE6D88" w:rsidRPr="00ED1F1E" w:rsidRDefault="00EE6D88" w:rsidP="00EE6D88">
            <w:pPr>
              <w:bidi w:val="0"/>
              <w:spacing w:before="0" w:after="0" w:line="240" w:lineRule="auto"/>
              <w:jc w:val="center"/>
              <w:rPr>
                <w:rFonts w:ascii="Calibri" w:eastAsia="Times New Roman" w:hAnsi="Calibri"/>
                <w:color w:val="000000"/>
                <w:sz w:val="22"/>
                <w:szCs w:val="22"/>
                <w:highlight w:val="yellow"/>
              </w:rPr>
            </w:pPr>
            <w:r>
              <w:rPr>
                <w:rFonts w:ascii="David" w:hAnsi="David"/>
                <w:color w:val="000000"/>
                <w:sz w:val="22"/>
                <w:szCs w:val="22"/>
              </w:rPr>
              <w:t>0.6</w:t>
            </w:r>
          </w:p>
        </w:tc>
      </w:tr>
      <w:tr w:rsidR="00EE6D88" w:rsidRPr="008960B8" w:rsidTr="00D00A54">
        <w:trPr>
          <w:trHeight w:val="300"/>
        </w:trPr>
        <w:tc>
          <w:tcPr>
            <w:tcW w:w="4685" w:type="dxa"/>
            <w:tcBorders>
              <w:top w:val="nil"/>
              <w:left w:val="single" w:sz="4" w:space="0" w:color="auto"/>
              <w:bottom w:val="single" w:sz="4" w:space="0" w:color="auto"/>
              <w:right w:val="single" w:sz="4" w:space="0" w:color="auto"/>
            </w:tcBorders>
            <w:shd w:val="clear" w:color="auto" w:fill="auto"/>
            <w:noWrap/>
            <w:vAlign w:val="center"/>
            <w:hideMark/>
          </w:tcPr>
          <w:p w:rsidR="00EE6D88" w:rsidRPr="00644F86" w:rsidRDefault="00EE6D88" w:rsidP="00EE6D88">
            <w:pPr>
              <w:spacing w:before="0" w:after="0" w:line="240" w:lineRule="auto"/>
              <w:ind w:firstLineChars="200" w:firstLine="440"/>
              <w:jc w:val="left"/>
              <w:rPr>
                <w:rFonts w:ascii="Calibri" w:eastAsia="Times New Roman" w:hAnsi="Calibri"/>
                <w:color w:val="000000"/>
                <w:sz w:val="22"/>
                <w:szCs w:val="22"/>
                <w:rtl/>
              </w:rPr>
            </w:pPr>
            <w:r>
              <w:rPr>
                <w:rFonts w:ascii="Calibri" w:eastAsia="Times New Roman" w:hAnsi="Calibri" w:hint="cs"/>
                <w:color w:val="000000"/>
                <w:sz w:val="22"/>
                <w:szCs w:val="22"/>
                <w:rtl/>
              </w:rPr>
              <w:t>ה</w:t>
            </w:r>
            <w:r w:rsidRPr="00644F86">
              <w:rPr>
                <w:rFonts w:ascii="Calibri" w:eastAsia="Times New Roman" w:hAnsi="Calibri" w:hint="eastAsia"/>
                <w:color w:val="000000"/>
                <w:sz w:val="22"/>
                <w:szCs w:val="22"/>
                <w:rtl/>
              </w:rPr>
              <w:t>שירותים</w:t>
            </w:r>
            <w:r w:rsidRPr="00644F86">
              <w:rPr>
                <w:rFonts w:ascii="Calibri" w:eastAsia="Times New Roman" w:hAnsi="Calibri"/>
                <w:color w:val="000000"/>
                <w:sz w:val="22"/>
                <w:szCs w:val="22"/>
                <w:rtl/>
              </w:rPr>
              <w:t xml:space="preserve"> </w:t>
            </w:r>
            <w:r>
              <w:rPr>
                <w:rFonts w:ascii="Calibri" w:eastAsia="Times New Roman" w:hAnsi="Calibri" w:hint="cs"/>
                <w:color w:val="000000"/>
                <w:sz w:val="22"/>
                <w:szCs w:val="22"/>
                <w:rtl/>
              </w:rPr>
              <w:t>ה</w:t>
            </w:r>
            <w:r w:rsidRPr="00644F86">
              <w:rPr>
                <w:rFonts w:ascii="Calibri" w:eastAsia="Times New Roman" w:hAnsi="Calibri" w:hint="eastAsia"/>
                <w:color w:val="000000"/>
                <w:sz w:val="22"/>
                <w:szCs w:val="22"/>
                <w:rtl/>
              </w:rPr>
              <w:t>חברתיים</w:t>
            </w:r>
            <w:r>
              <w:rPr>
                <w:rFonts w:ascii="Calibri" w:eastAsia="Times New Roman" w:hAnsi="Calibri" w:hint="cs"/>
                <w:color w:val="000000"/>
                <w:sz w:val="22"/>
                <w:szCs w:val="22"/>
                <w:rtl/>
              </w:rPr>
              <w:t>*</w:t>
            </w:r>
          </w:p>
        </w:tc>
        <w:tc>
          <w:tcPr>
            <w:tcW w:w="1225" w:type="dxa"/>
            <w:tcBorders>
              <w:top w:val="nil"/>
              <w:left w:val="single" w:sz="4" w:space="0" w:color="auto"/>
              <w:bottom w:val="single" w:sz="4" w:space="0" w:color="auto"/>
              <w:right w:val="single" w:sz="4" w:space="0" w:color="auto"/>
            </w:tcBorders>
            <w:vAlign w:val="center"/>
          </w:tcPr>
          <w:p w:rsidR="00EE6D88" w:rsidRPr="00ED1F1E" w:rsidRDefault="00EE6D88" w:rsidP="00EE6D88">
            <w:pPr>
              <w:bidi w:val="0"/>
              <w:spacing w:before="0" w:after="0" w:line="240" w:lineRule="auto"/>
              <w:jc w:val="center"/>
              <w:rPr>
                <w:rFonts w:ascii="David" w:hAnsi="David"/>
                <w:color w:val="000000"/>
                <w:sz w:val="22"/>
                <w:szCs w:val="22"/>
                <w:highlight w:val="yellow"/>
              </w:rPr>
            </w:pPr>
            <w:r>
              <w:rPr>
                <w:rFonts w:ascii="David" w:hAnsi="David"/>
                <w:color w:val="000000"/>
                <w:sz w:val="22"/>
                <w:szCs w:val="22"/>
              </w:rPr>
              <w:t>2.3</w:t>
            </w:r>
          </w:p>
        </w:tc>
        <w:tc>
          <w:tcPr>
            <w:tcW w:w="1225" w:type="dxa"/>
            <w:tcBorders>
              <w:top w:val="nil"/>
              <w:left w:val="single" w:sz="4" w:space="0" w:color="auto"/>
              <w:bottom w:val="single" w:sz="4" w:space="0" w:color="auto"/>
              <w:right w:val="single" w:sz="4" w:space="0" w:color="auto"/>
            </w:tcBorders>
            <w:shd w:val="clear" w:color="auto" w:fill="auto"/>
            <w:noWrap/>
            <w:vAlign w:val="center"/>
            <w:hideMark/>
          </w:tcPr>
          <w:p w:rsidR="00EE6D88" w:rsidRPr="00ED1F1E" w:rsidRDefault="00EE6D88" w:rsidP="00EE6D88">
            <w:pPr>
              <w:bidi w:val="0"/>
              <w:spacing w:before="0" w:after="0" w:line="240" w:lineRule="auto"/>
              <w:jc w:val="center"/>
              <w:rPr>
                <w:rFonts w:ascii="Calibri" w:eastAsia="Times New Roman" w:hAnsi="Calibri"/>
                <w:color w:val="000000"/>
                <w:sz w:val="22"/>
                <w:szCs w:val="22"/>
                <w:highlight w:val="yellow"/>
                <w:rtl/>
              </w:rPr>
            </w:pPr>
            <w:r>
              <w:rPr>
                <w:rFonts w:ascii="David" w:hAnsi="David"/>
                <w:color w:val="000000"/>
                <w:sz w:val="22"/>
                <w:szCs w:val="22"/>
              </w:rPr>
              <w:t>2.1</w:t>
            </w:r>
          </w:p>
        </w:tc>
        <w:tc>
          <w:tcPr>
            <w:tcW w:w="1225" w:type="dxa"/>
            <w:tcBorders>
              <w:top w:val="nil"/>
              <w:left w:val="single" w:sz="4" w:space="0" w:color="auto"/>
              <w:bottom w:val="single" w:sz="4" w:space="0" w:color="auto"/>
              <w:right w:val="single" w:sz="4" w:space="0" w:color="auto"/>
            </w:tcBorders>
            <w:shd w:val="clear" w:color="auto" w:fill="auto"/>
            <w:noWrap/>
            <w:vAlign w:val="center"/>
            <w:hideMark/>
          </w:tcPr>
          <w:p w:rsidR="00EE6D88" w:rsidRPr="00ED1F1E" w:rsidRDefault="00EE6D88" w:rsidP="00EE6D88">
            <w:pPr>
              <w:bidi w:val="0"/>
              <w:spacing w:before="0" w:after="0" w:line="240" w:lineRule="auto"/>
              <w:jc w:val="center"/>
              <w:rPr>
                <w:rFonts w:ascii="Calibri" w:eastAsia="Times New Roman" w:hAnsi="Calibri"/>
                <w:color w:val="000000"/>
                <w:sz w:val="22"/>
                <w:szCs w:val="22"/>
                <w:highlight w:val="yellow"/>
                <w:rtl/>
              </w:rPr>
            </w:pPr>
            <w:r>
              <w:rPr>
                <w:rFonts w:ascii="David" w:hAnsi="David"/>
                <w:color w:val="000000"/>
                <w:sz w:val="22"/>
                <w:szCs w:val="22"/>
              </w:rPr>
              <w:t>5.9</w:t>
            </w:r>
          </w:p>
        </w:tc>
      </w:tr>
      <w:tr w:rsidR="00EE6D88" w:rsidRPr="008960B8" w:rsidTr="00D00A54">
        <w:trPr>
          <w:trHeight w:val="300"/>
        </w:trPr>
        <w:tc>
          <w:tcPr>
            <w:tcW w:w="4685" w:type="dxa"/>
            <w:tcBorders>
              <w:top w:val="nil"/>
              <w:left w:val="single" w:sz="4" w:space="0" w:color="auto"/>
              <w:bottom w:val="single" w:sz="4" w:space="0" w:color="auto"/>
              <w:right w:val="single" w:sz="4" w:space="0" w:color="auto"/>
            </w:tcBorders>
            <w:shd w:val="clear" w:color="auto" w:fill="auto"/>
            <w:noWrap/>
            <w:vAlign w:val="center"/>
            <w:hideMark/>
          </w:tcPr>
          <w:p w:rsidR="00EE6D88" w:rsidRPr="00644F86" w:rsidRDefault="00EE6D88" w:rsidP="00EE6D88">
            <w:pPr>
              <w:spacing w:before="0" w:after="0" w:line="240" w:lineRule="auto"/>
              <w:ind w:firstLineChars="200" w:firstLine="440"/>
              <w:jc w:val="left"/>
              <w:rPr>
                <w:rFonts w:ascii="Calibri" w:eastAsia="Times New Roman" w:hAnsi="Calibri"/>
                <w:color w:val="000000"/>
                <w:sz w:val="22"/>
                <w:szCs w:val="22"/>
                <w:rtl/>
              </w:rPr>
            </w:pPr>
            <w:r>
              <w:rPr>
                <w:rFonts w:ascii="Calibri" w:eastAsia="Times New Roman" w:hAnsi="Calibri" w:hint="cs"/>
                <w:color w:val="000000"/>
                <w:sz w:val="22"/>
                <w:szCs w:val="22"/>
                <w:rtl/>
              </w:rPr>
              <w:t>ה</w:t>
            </w:r>
            <w:r w:rsidRPr="00644F86">
              <w:rPr>
                <w:rFonts w:ascii="Calibri" w:eastAsia="Times New Roman" w:hAnsi="Calibri" w:hint="eastAsia"/>
                <w:color w:val="000000"/>
                <w:sz w:val="22"/>
                <w:szCs w:val="22"/>
                <w:rtl/>
              </w:rPr>
              <w:t>תשתיות</w:t>
            </w:r>
          </w:p>
        </w:tc>
        <w:tc>
          <w:tcPr>
            <w:tcW w:w="1225" w:type="dxa"/>
            <w:tcBorders>
              <w:top w:val="nil"/>
              <w:left w:val="single" w:sz="4" w:space="0" w:color="auto"/>
              <w:bottom w:val="single" w:sz="4" w:space="0" w:color="auto"/>
              <w:right w:val="single" w:sz="4" w:space="0" w:color="auto"/>
            </w:tcBorders>
            <w:vAlign w:val="center"/>
          </w:tcPr>
          <w:p w:rsidR="00EE6D88" w:rsidRPr="00ED1F1E" w:rsidRDefault="00EE6D88" w:rsidP="00EE6D88">
            <w:pPr>
              <w:bidi w:val="0"/>
              <w:spacing w:before="0" w:after="0" w:line="240" w:lineRule="auto"/>
              <w:jc w:val="center"/>
              <w:rPr>
                <w:rFonts w:ascii="David" w:hAnsi="David"/>
                <w:color w:val="000000"/>
                <w:sz w:val="22"/>
                <w:szCs w:val="22"/>
                <w:highlight w:val="yellow"/>
              </w:rPr>
            </w:pPr>
            <w:r>
              <w:rPr>
                <w:rFonts w:ascii="David" w:hAnsi="David"/>
                <w:color w:val="000000"/>
                <w:sz w:val="22"/>
                <w:szCs w:val="22"/>
              </w:rPr>
              <w:t>2.5</w:t>
            </w:r>
          </w:p>
        </w:tc>
        <w:tc>
          <w:tcPr>
            <w:tcW w:w="1225" w:type="dxa"/>
            <w:tcBorders>
              <w:top w:val="nil"/>
              <w:left w:val="single" w:sz="4" w:space="0" w:color="auto"/>
              <w:bottom w:val="single" w:sz="4" w:space="0" w:color="auto"/>
              <w:right w:val="single" w:sz="4" w:space="0" w:color="auto"/>
            </w:tcBorders>
            <w:shd w:val="clear" w:color="auto" w:fill="auto"/>
            <w:noWrap/>
            <w:vAlign w:val="center"/>
            <w:hideMark/>
          </w:tcPr>
          <w:p w:rsidR="00EE6D88" w:rsidRPr="00ED1F1E" w:rsidRDefault="00EE6D88" w:rsidP="00EE6D88">
            <w:pPr>
              <w:bidi w:val="0"/>
              <w:spacing w:before="0" w:after="0" w:line="240" w:lineRule="auto"/>
              <w:jc w:val="center"/>
              <w:rPr>
                <w:rFonts w:ascii="Calibri" w:eastAsia="Times New Roman" w:hAnsi="Calibri"/>
                <w:color w:val="000000"/>
                <w:sz w:val="22"/>
                <w:szCs w:val="22"/>
                <w:highlight w:val="yellow"/>
                <w:rtl/>
              </w:rPr>
            </w:pPr>
            <w:r>
              <w:rPr>
                <w:rFonts w:ascii="David" w:hAnsi="David"/>
                <w:color w:val="000000"/>
                <w:sz w:val="22"/>
                <w:szCs w:val="22"/>
              </w:rPr>
              <w:t>2.5</w:t>
            </w:r>
          </w:p>
        </w:tc>
        <w:tc>
          <w:tcPr>
            <w:tcW w:w="1225" w:type="dxa"/>
            <w:tcBorders>
              <w:top w:val="nil"/>
              <w:left w:val="single" w:sz="4" w:space="0" w:color="auto"/>
              <w:bottom w:val="single" w:sz="4" w:space="0" w:color="auto"/>
              <w:right w:val="single" w:sz="4" w:space="0" w:color="auto"/>
            </w:tcBorders>
            <w:shd w:val="clear" w:color="auto" w:fill="auto"/>
            <w:noWrap/>
            <w:vAlign w:val="center"/>
            <w:hideMark/>
          </w:tcPr>
          <w:p w:rsidR="00EE6D88" w:rsidRPr="00ED1F1E" w:rsidRDefault="00EE6D88" w:rsidP="00EE6D88">
            <w:pPr>
              <w:bidi w:val="0"/>
              <w:spacing w:before="0" w:after="0" w:line="240" w:lineRule="auto"/>
              <w:jc w:val="center"/>
              <w:rPr>
                <w:rFonts w:ascii="Calibri" w:eastAsia="Times New Roman" w:hAnsi="Calibri"/>
                <w:color w:val="000000"/>
                <w:sz w:val="22"/>
                <w:szCs w:val="22"/>
                <w:highlight w:val="yellow"/>
                <w:rtl/>
              </w:rPr>
            </w:pPr>
            <w:r>
              <w:rPr>
                <w:rFonts w:ascii="David" w:hAnsi="David"/>
                <w:color w:val="000000"/>
                <w:sz w:val="22"/>
                <w:szCs w:val="22"/>
              </w:rPr>
              <w:t>0.6</w:t>
            </w:r>
          </w:p>
        </w:tc>
      </w:tr>
      <w:tr w:rsidR="00EE6D88" w:rsidRPr="008960B8" w:rsidTr="00D00A54">
        <w:trPr>
          <w:trHeight w:val="300"/>
        </w:trPr>
        <w:tc>
          <w:tcPr>
            <w:tcW w:w="4685" w:type="dxa"/>
            <w:tcBorders>
              <w:top w:val="nil"/>
              <w:left w:val="single" w:sz="4" w:space="0" w:color="auto"/>
              <w:bottom w:val="single" w:sz="4" w:space="0" w:color="auto"/>
              <w:right w:val="single" w:sz="4" w:space="0" w:color="auto"/>
            </w:tcBorders>
            <w:shd w:val="clear" w:color="auto" w:fill="auto"/>
            <w:noWrap/>
            <w:vAlign w:val="center"/>
            <w:hideMark/>
          </w:tcPr>
          <w:p w:rsidR="00EE6D88" w:rsidRPr="00644F86" w:rsidRDefault="00EE6D88" w:rsidP="00EE6D88">
            <w:pPr>
              <w:spacing w:before="0" w:after="0" w:line="240" w:lineRule="auto"/>
              <w:ind w:firstLineChars="200" w:firstLine="440"/>
              <w:jc w:val="left"/>
              <w:rPr>
                <w:rFonts w:ascii="Calibri" w:eastAsia="Times New Roman" w:hAnsi="Calibri"/>
                <w:color w:val="000000"/>
                <w:sz w:val="22"/>
                <w:szCs w:val="22"/>
                <w:rtl/>
              </w:rPr>
            </w:pPr>
            <w:r w:rsidRPr="00644F86">
              <w:rPr>
                <w:rFonts w:ascii="Calibri" w:eastAsia="Times New Roman" w:hAnsi="Calibri" w:hint="eastAsia"/>
                <w:color w:val="000000"/>
                <w:sz w:val="22"/>
                <w:szCs w:val="22"/>
                <w:rtl/>
              </w:rPr>
              <w:t>משרדי</w:t>
            </w:r>
            <w:r w:rsidRPr="00644F86">
              <w:rPr>
                <w:rFonts w:ascii="Calibri" w:eastAsia="Times New Roman" w:hAnsi="Calibri"/>
                <w:color w:val="000000"/>
                <w:sz w:val="22"/>
                <w:szCs w:val="22"/>
                <w:rtl/>
              </w:rPr>
              <w:t xml:space="preserve"> </w:t>
            </w:r>
            <w:r>
              <w:rPr>
                <w:rFonts w:ascii="Calibri" w:eastAsia="Times New Roman" w:hAnsi="Calibri" w:hint="cs"/>
                <w:color w:val="000000"/>
                <w:sz w:val="22"/>
                <w:szCs w:val="22"/>
                <w:rtl/>
              </w:rPr>
              <w:t>ה</w:t>
            </w:r>
            <w:r w:rsidRPr="00644F86">
              <w:rPr>
                <w:rFonts w:ascii="Calibri" w:eastAsia="Times New Roman" w:hAnsi="Calibri" w:hint="eastAsia"/>
                <w:color w:val="000000"/>
                <w:sz w:val="22"/>
                <w:szCs w:val="22"/>
                <w:rtl/>
              </w:rPr>
              <w:t>מטה</w:t>
            </w:r>
          </w:p>
        </w:tc>
        <w:tc>
          <w:tcPr>
            <w:tcW w:w="1225" w:type="dxa"/>
            <w:tcBorders>
              <w:top w:val="nil"/>
              <w:left w:val="single" w:sz="4" w:space="0" w:color="auto"/>
              <w:bottom w:val="single" w:sz="4" w:space="0" w:color="auto"/>
              <w:right w:val="single" w:sz="4" w:space="0" w:color="auto"/>
            </w:tcBorders>
            <w:vAlign w:val="center"/>
          </w:tcPr>
          <w:p w:rsidR="00EE6D88" w:rsidRPr="00ED1F1E" w:rsidRDefault="00EE6D88" w:rsidP="00EE6D88">
            <w:pPr>
              <w:bidi w:val="0"/>
              <w:spacing w:before="0" w:after="0" w:line="240" w:lineRule="auto"/>
              <w:jc w:val="center"/>
              <w:rPr>
                <w:rFonts w:ascii="David" w:hAnsi="David"/>
                <w:color w:val="000000"/>
                <w:sz w:val="22"/>
                <w:szCs w:val="22"/>
                <w:highlight w:val="yellow"/>
              </w:rPr>
            </w:pPr>
            <w:r>
              <w:rPr>
                <w:rFonts w:ascii="David" w:hAnsi="David"/>
                <w:color w:val="000000"/>
                <w:sz w:val="22"/>
                <w:szCs w:val="22"/>
              </w:rPr>
              <w:t>0.2</w:t>
            </w:r>
          </w:p>
        </w:tc>
        <w:tc>
          <w:tcPr>
            <w:tcW w:w="1225" w:type="dxa"/>
            <w:tcBorders>
              <w:top w:val="nil"/>
              <w:left w:val="single" w:sz="4" w:space="0" w:color="auto"/>
              <w:bottom w:val="single" w:sz="4" w:space="0" w:color="auto"/>
              <w:right w:val="single" w:sz="4" w:space="0" w:color="auto"/>
            </w:tcBorders>
            <w:shd w:val="clear" w:color="auto" w:fill="auto"/>
            <w:noWrap/>
            <w:vAlign w:val="center"/>
            <w:hideMark/>
          </w:tcPr>
          <w:p w:rsidR="00EE6D88" w:rsidRPr="00ED1F1E" w:rsidRDefault="00EE6D88" w:rsidP="00EE6D88">
            <w:pPr>
              <w:bidi w:val="0"/>
              <w:spacing w:before="0" w:after="0" w:line="240" w:lineRule="auto"/>
              <w:jc w:val="center"/>
              <w:rPr>
                <w:rFonts w:ascii="Calibri" w:eastAsia="Times New Roman" w:hAnsi="Calibri"/>
                <w:color w:val="000000"/>
                <w:sz w:val="22"/>
                <w:szCs w:val="22"/>
                <w:highlight w:val="yellow"/>
              </w:rPr>
            </w:pPr>
            <w:r>
              <w:rPr>
                <w:rFonts w:ascii="David" w:hAnsi="David"/>
                <w:color w:val="000000"/>
                <w:sz w:val="22"/>
                <w:szCs w:val="22"/>
              </w:rPr>
              <w:t>0.0</w:t>
            </w:r>
          </w:p>
        </w:tc>
        <w:tc>
          <w:tcPr>
            <w:tcW w:w="1225" w:type="dxa"/>
            <w:tcBorders>
              <w:top w:val="nil"/>
              <w:left w:val="single" w:sz="4" w:space="0" w:color="auto"/>
              <w:bottom w:val="single" w:sz="4" w:space="0" w:color="auto"/>
              <w:right w:val="single" w:sz="4" w:space="0" w:color="auto"/>
            </w:tcBorders>
            <w:shd w:val="clear" w:color="auto" w:fill="auto"/>
            <w:noWrap/>
            <w:vAlign w:val="center"/>
            <w:hideMark/>
          </w:tcPr>
          <w:p w:rsidR="00EE6D88" w:rsidRPr="00ED1F1E" w:rsidRDefault="00EE6D88" w:rsidP="00EE6D88">
            <w:pPr>
              <w:bidi w:val="0"/>
              <w:spacing w:before="0" w:after="0" w:line="240" w:lineRule="auto"/>
              <w:jc w:val="center"/>
              <w:rPr>
                <w:rFonts w:ascii="Calibri" w:eastAsia="Times New Roman" w:hAnsi="Calibri"/>
                <w:color w:val="000000"/>
                <w:sz w:val="22"/>
                <w:szCs w:val="22"/>
                <w:highlight w:val="yellow"/>
                <w:rtl/>
              </w:rPr>
            </w:pPr>
            <w:r>
              <w:rPr>
                <w:rFonts w:ascii="David" w:hAnsi="David"/>
                <w:color w:val="000000"/>
                <w:sz w:val="22"/>
                <w:szCs w:val="22"/>
              </w:rPr>
              <w:t>-0.3</w:t>
            </w:r>
          </w:p>
        </w:tc>
      </w:tr>
      <w:tr w:rsidR="00EE6D88" w:rsidRPr="008960B8" w:rsidTr="00D00A54">
        <w:trPr>
          <w:trHeight w:val="300"/>
        </w:trPr>
        <w:tc>
          <w:tcPr>
            <w:tcW w:w="4685" w:type="dxa"/>
            <w:tcBorders>
              <w:top w:val="nil"/>
              <w:left w:val="single" w:sz="4" w:space="0" w:color="auto"/>
              <w:bottom w:val="single" w:sz="4" w:space="0" w:color="auto"/>
              <w:right w:val="single" w:sz="4" w:space="0" w:color="auto"/>
            </w:tcBorders>
            <w:shd w:val="clear" w:color="auto" w:fill="auto"/>
            <w:noWrap/>
            <w:vAlign w:val="center"/>
            <w:hideMark/>
          </w:tcPr>
          <w:p w:rsidR="00EE6D88" w:rsidRPr="00644F86" w:rsidRDefault="00EE6D88" w:rsidP="005971AC">
            <w:pPr>
              <w:spacing w:before="0" w:after="0" w:line="240" w:lineRule="auto"/>
              <w:ind w:firstLineChars="200" w:firstLine="440"/>
              <w:jc w:val="left"/>
              <w:rPr>
                <w:rFonts w:ascii="Calibri" w:eastAsia="Times New Roman" w:hAnsi="Calibri"/>
                <w:color w:val="000000"/>
                <w:sz w:val="22"/>
                <w:szCs w:val="22"/>
                <w:rtl/>
              </w:rPr>
            </w:pPr>
            <w:r w:rsidRPr="00644F86">
              <w:rPr>
                <w:rFonts w:ascii="Calibri" w:eastAsia="Times New Roman" w:hAnsi="Calibri" w:hint="eastAsia"/>
                <w:color w:val="000000"/>
                <w:sz w:val="22"/>
                <w:szCs w:val="22"/>
                <w:rtl/>
              </w:rPr>
              <w:t>ענפי</w:t>
            </w:r>
            <w:r w:rsidRPr="00644F86">
              <w:rPr>
                <w:rFonts w:ascii="Calibri" w:eastAsia="Times New Roman" w:hAnsi="Calibri"/>
                <w:color w:val="000000"/>
                <w:sz w:val="22"/>
                <w:szCs w:val="22"/>
                <w:rtl/>
              </w:rPr>
              <w:t xml:space="preserve"> </w:t>
            </w:r>
            <w:r w:rsidRPr="00644F86">
              <w:rPr>
                <w:rFonts w:ascii="Calibri" w:eastAsia="Times New Roman" w:hAnsi="Calibri" w:hint="eastAsia"/>
                <w:color w:val="000000"/>
                <w:sz w:val="22"/>
                <w:szCs w:val="22"/>
                <w:rtl/>
              </w:rPr>
              <w:t>המשק</w:t>
            </w:r>
            <w:r>
              <w:rPr>
                <w:rFonts w:ascii="Calibri" w:eastAsia="Times New Roman" w:hAnsi="Calibri" w:hint="cs"/>
                <w:color w:val="000000"/>
                <w:sz w:val="22"/>
                <w:szCs w:val="22"/>
                <w:rtl/>
              </w:rPr>
              <w:t xml:space="preserve"> והוצאות אחרות</w:t>
            </w:r>
          </w:p>
        </w:tc>
        <w:tc>
          <w:tcPr>
            <w:tcW w:w="1225" w:type="dxa"/>
            <w:tcBorders>
              <w:top w:val="nil"/>
              <w:left w:val="single" w:sz="4" w:space="0" w:color="auto"/>
              <w:bottom w:val="single" w:sz="4" w:space="0" w:color="auto"/>
              <w:right w:val="single" w:sz="4" w:space="0" w:color="auto"/>
            </w:tcBorders>
            <w:vAlign w:val="center"/>
          </w:tcPr>
          <w:p w:rsidR="00EE6D88" w:rsidRPr="00ED1F1E" w:rsidRDefault="00EE6D88" w:rsidP="00EE6D88">
            <w:pPr>
              <w:bidi w:val="0"/>
              <w:spacing w:before="0" w:after="0" w:line="240" w:lineRule="auto"/>
              <w:jc w:val="center"/>
              <w:rPr>
                <w:rFonts w:ascii="David" w:hAnsi="David"/>
                <w:color w:val="000000"/>
                <w:sz w:val="22"/>
                <w:szCs w:val="22"/>
                <w:highlight w:val="yellow"/>
              </w:rPr>
            </w:pPr>
            <w:r>
              <w:rPr>
                <w:rFonts w:ascii="David" w:hAnsi="David"/>
                <w:color w:val="000000"/>
                <w:sz w:val="22"/>
                <w:szCs w:val="22"/>
              </w:rPr>
              <w:t>0.3</w:t>
            </w:r>
          </w:p>
        </w:tc>
        <w:tc>
          <w:tcPr>
            <w:tcW w:w="1225" w:type="dxa"/>
            <w:tcBorders>
              <w:top w:val="nil"/>
              <w:left w:val="single" w:sz="4" w:space="0" w:color="auto"/>
              <w:bottom w:val="single" w:sz="4" w:space="0" w:color="auto"/>
              <w:right w:val="single" w:sz="4" w:space="0" w:color="auto"/>
            </w:tcBorders>
            <w:shd w:val="clear" w:color="auto" w:fill="auto"/>
            <w:noWrap/>
            <w:vAlign w:val="center"/>
            <w:hideMark/>
          </w:tcPr>
          <w:p w:rsidR="00EE6D88" w:rsidRPr="00ED1F1E" w:rsidRDefault="00EE6D88" w:rsidP="00EE6D88">
            <w:pPr>
              <w:bidi w:val="0"/>
              <w:spacing w:before="0" w:after="0" w:line="240" w:lineRule="auto"/>
              <w:jc w:val="center"/>
              <w:rPr>
                <w:rFonts w:ascii="Calibri" w:eastAsia="Times New Roman" w:hAnsi="Calibri"/>
                <w:color w:val="000000"/>
                <w:sz w:val="22"/>
                <w:szCs w:val="22"/>
                <w:highlight w:val="yellow"/>
                <w:rtl/>
              </w:rPr>
            </w:pPr>
            <w:r>
              <w:rPr>
                <w:rFonts w:ascii="David" w:hAnsi="David"/>
                <w:color w:val="000000"/>
                <w:sz w:val="22"/>
                <w:szCs w:val="22"/>
              </w:rPr>
              <w:t>1.5</w:t>
            </w:r>
          </w:p>
        </w:tc>
        <w:tc>
          <w:tcPr>
            <w:tcW w:w="1225" w:type="dxa"/>
            <w:tcBorders>
              <w:top w:val="nil"/>
              <w:left w:val="single" w:sz="4" w:space="0" w:color="auto"/>
              <w:bottom w:val="single" w:sz="4" w:space="0" w:color="auto"/>
              <w:right w:val="single" w:sz="4" w:space="0" w:color="auto"/>
            </w:tcBorders>
            <w:shd w:val="clear" w:color="auto" w:fill="auto"/>
            <w:noWrap/>
            <w:vAlign w:val="center"/>
            <w:hideMark/>
          </w:tcPr>
          <w:p w:rsidR="00EE6D88" w:rsidRPr="00ED1F1E" w:rsidRDefault="00EE6D88" w:rsidP="00EE6D88">
            <w:pPr>
              <w:bidi w:val="0"/>
              <w:spacing w:before="0" w:after="0" w:line="240" w:lineRule="auto"/>
              <w:jc w:val="center"/>
              <w:rPr>
                <w:rFonts w:ascii="Calibri" w:eastAsia="Times New Roman" w:hAnsi="Calibri"/>
                <w:color w:val="000000"/>
                <w:sz w:val="22"/>
                <w:szCs w:val="22"/>
                <w:highlight w:val="yellow"/>
                <w:rtl/>
              </w:rPr>
            </w:pPr>
            <w:r>
              <w:rPr>
                <w:rFonts w:ascii="David" w:hAnsi="David"/>
                <w:color w:val="000000"/>
                <w:sz w:val="22"/>
                <w:szCs w:val="22"/>
              </w:rPr>
              <w:t>0.6</w:t>
            </w:r>
          </w:p>
        </w:tc>
      </w:tr>
      <w:tr w:rsidR="00EE6D88" w:rsidRPr="008960B8" w:rsidTr="00D00A54">
        <w:trPr>
          <w:trHeight w:val="300"/>
        </w:trPr>
        <w:tc>
          <w:tcPr>
            <w:tcW w:w="4685" w:type="dxa"/>
            <w:tcBorders>
              <w:top w:val="nil"/>
              <w:left w:val="single" w:sz="4" w:space="0" w:color="auto"/>
              <w:bottom w:val="single" w:sz="4" w:space="0" w:color="auto"/>
              <w:right w:val="single" w:sz="4" w:space="0" w:color="auto"/>
            </w:tcBorders>
            <w:shd w:val="clear" w:color="auto" w:fill="auto"/>
            <w:noWrap/>
            <w:vAlign w:val="center"/>
            <w:hideMark/>
          </w:tcPr>
          <w:p w:rsidR="00EE6D88" w:rsidRPr="00644F86" w:rsidRDefault="00EE6D88" w:rsidP="00EE6D88">
            <w:pPr>
              <w:spacing w:before="0" w:after="0" w:line="240" w:lineRule="auto"/>
              <w:ind w:firstLineChars="200" w:firstLine="440"/>
              <w:jc w:val="left"/>
              <w:rPr>
                <w:rFonts w:ascii="Calibri" w:eastAsia="Times New Roman" w:hAnsi="Calibri"/>
                <w:color w:val="000000"/>
                <w:sz w:val="22"/>
                <w:szCs w:val="22"/>
                <w:rtl/>
              </w:rPr>
            </w:pPr>
            <w:r w:rsidRPr="00644F86">
              <w:rPr>
                <w:rFonts w:ascii="Calibri" w:eastAsia="Times New Roman" w:hAnsi="Calibri" w:hint="eastAsia"/>
                <w:color w:val="000000"/>
                <w:sz w:val="22"/>
                <w:szCs w:val="22"/>
                <w:rtl/>
              </w:rPr>
              <w:t>החזרי</w:t>
            </w:r>
            <w:r w:rsidRPr="00644F86">
              <w:rPr>
                <w:rFonts w:ascii="Calibri" w:eastAsia="Times New Roman" w:hAnsi="Calibri"/>
                <w:color w:val="000000"/>
                <w:sz w:val="22"/>
                <w:szCs w:val="22"/>
                <w:rtl/>
              </w:rPr>
              <w:t xml:space="preserve"> </w:t>
            </w:r>
            <w:r w:rsidRPr="00644F86">
              <w:rPr>
                <w:rFonts w:ascii="Calibri" w:eastAsia="Times New Roman" w:hAnsi="Calibri" w:hint="eastAsia"/>
                <w:color w:val="000000"/>
                <w:sz w:val="22"/>
                <w:szCs w:val="22"/>
                <w:rtl/>
              </w:rPr>
              <w:t>חוב</w:t>
            </w:r>
          </w:p>
        </w:tc>
        <w:tc>
          <w:tcPr>
            <w:tcW w:w="1225" w:type="dxa"/>
            <w:tcBorders>
              <w:top w:val="nil"/>
              <w:left w:val="single" w:sz="4" w:space="0" w:color="auto"/>
              <w:bottom w:val="single" w:sz="4" w:space="0" w:color="auto"/>
              <w:right w:val="single" w:sz="4" w:space="0" w:color="auto"/>
            </w:tcBorders>
            <w:vAlign w:val="center"/>
          </w:tcPr>
          <w:p w:rsidR="00EE6D88" w:rsidRPr="00ED1F1E" w:rsidRDefault="00EE6D88" w:rsidP="00EE6D88">
            <w:pPr>
              <w:bidi w:val="0"/>
              <w:spacing w:before="0" w:after="0" w:line="240" w:lineRule="auto"/>
              <w:jc w:val="center"/>
              <w:rPr>
                <w:rFonts w:ascii="David" w:hAnsi="David"/>
                <w:color w:val="000000"/>
                <w:sz w:val="22"/>
                <w:szCs w:val="22"/>
                <w:highlight w:val="yellow"/>
              </w:rPr>
            </w:pPr>
            <w:r>
              <w:rPr>
                <w:rFonts w:ascii="David" w:hAnsi="David"/>
                <w:color w:val="000000"/>
                <w:sz w:val="22"/>
                <w:szCs w:val="22"/>
              </w:rPr>
              <w:t>-0.1</w:t>
            </w:r>
          </w:p>
        </w:tc>
        <w:tc>
          <w:tcPr>
            <w:tcW w:w="1225" w:type="dxa"/>
            <w:tcBorders>
              <w:top w:val="nil"/>
              <w:left w:val="single" w:sz="4" w:space="0" w:color="auto"/>
              <w:bottom w:val="single" w:sz="4" w:space="0" w:color="auto"/>
              <w:right w:val="single" w:sz="4" w:space="0" w:color="auto"/>
            </w:tcBorders>
            <w:shd w:val="clear" w:color="auto" w:fill="auto"/>
            <w:noWrap/>
            <w:vAlign w:val="center"/>
            <w:hideMark/>
          </w:tcPr>
          <w:p w:rsidR="00EE6D88" w:rsidRPr="00ED1F1E" w:rsidRDefault="00EE6D88" w:rsidP="00EE6D88">
            <w:pPr>
              <w:bidi w:val="0"/>
              <w:spacing w:before="0" w:after="0" w:line="240" w:lineRule="auto"/>
              <w:jc w:val="center"/>
              <w:rPr>
                <w:rFonts w:ascii="Calibri" w:eastAsia="Times New Roman" w:hAnsi="Calibri"/>
                <w:color w:val="000000"/>
                <w:sz w:val="22"/>
                <w:szCs w:val="22"/>
                <w:highlight w:val="yellow"/>
                <w:rtl/>
              </w:rPr>
            </w:pPr>
            <w:r>
              <w:rPr>
                <w:rFonts w:ascii="David" w:hAnsi="David"/>
                <w:color w:val="000000"/>
                <w:sz w:val="22"/>
                <w:szCs w:val="22"/>
              </w:rPr>
              <w:t>0.7</w:t>
            </w:r>
          </w:p>
        </w:tc>
        <w:tc>
          <w:tcPr>
            <w:tcW w:w="1225" w:type="dxa"/>
            <w:tcBorders>
              <w:top w:val="nil"/>
              <w:left w:val="single" w:sz="4" w:space="0" w:color="auto"/>
              <w:bottom w:val="single" w:sz="4" w:space="0" w:color="auto"/>
              <w:right w:val="single" w:sz="4" w:space="0" w:color="auto"/>
            </w:tcBorders>
            <w:shd w:val="clear" w:color="auto" w:fill="auto"/>
            <w:noWrap/>
            <w:vAlign w:val="center"/>
            <w:hideMark/>
          </w:tcPr>
          <w:p w:rsidR="00EE6D88" w:rsidRPr="00ED1F1E" w:rsidRDefault="00EE6D88" w:rsidP="00EE6D88">
            <w:pPr>
              <w:bidi w:val="0"/>
              <w:spacing w:before="0" w:after="0" w:line="240" w:lineRule="auto"/>
              <w:jc w:val="center"/>
              <w:rPr>
                <w:rFonts w:ascii="Calibri" w:eastAsia="Times New Roman" w:hAnsi="Calibri"/>
                <w:color w:val="000000"/>
                <w:sz w:val="22"/>
                <w:szCs w:val="22"/>
                <w:highlight w:val="yellow"/>
              </w:rPr>
            </w:pPr>
            <w:r>
              <w:rPr>
                <w:rFonts w:ascii="David" w:hAnsi="David"/>
                <w:color w:val="000000"/>
                <w:sz w:val="22"/>
                <w:szCs w:val="22"/>
              </w:rPr>
              <w:t>1.4</w:t>
            </w:r>
          </w:p>
        </w:tc>
      </w:tr>
      <w:tr w:rsidR="00F97C5B" w:rsidRPr="008960B8" w:rsidTr="00D00A54">
        <w:trPr>
          <w:trHeight w:val="300"/>
        </w:trPr>
        <w:tc>
          <w:tcPr>
            <w:tcW w:w="4685" w:type="dxa"/>
            <w:tcBorders>
              <w:top w:val="nil"/>
              <w:left w:val="single" w:sz="4" w:space="0" w:color="auto"/>
              <w:bottom w:val="single" w:sz="4" w:space="0" w:color="auto"/>
              <w:right w:val="single" w:sz="4" w:space="0" w:color="auto"/>
            </w:tcBorders>
            <w:shd w:val="clear" w:color="000000" w:fill="8DB4E2"/>
            <w:noWrap/>
            <w:vAlign w:val="center"/>
            <w:hideMark/>
          </w:tcPr>
          <w:p w:rsidR="00F97C5B" w:rsidRPr="00644F86" w:rsidRDefault="00F97C5B" w:rsidP="00F97C5B">
            <w:pPr>
              <w:spacing w:before="0" w:after="0" w:line="240" w:lineRule="auto"/>
              <w:jc w:val="left"/>
              <w:rPr>
                <w:rFonts w:ascii="Calibri" w:eastAsia="Times New Roman" w:hAnsi="Calibri"/>
                <w:b/>
                <w:bCs/>
                <w:color w:val="000000"/>
                <w:sz w:val="22"/>
                <w:szCs w:val="22"/>
                <w:rtl/>
              </w:rPr>
            </w:pPr>
            <w:r w:rsidRPr="00644F86">
              <w:rPr>
                <w:rFonts w:ascii="Calibri" w:eastAsia="Times New Roman" w:hAnsi="Calibri" w:hint="eastAsia"/>
                <w:b/>
                <w:bCs/>
                <w:color w:val="000000"/>
                <w:sz w:val="22"/>
                <w:szCs w:val="22"/>
                <w:rtl/>
              </w:rPr>
              <w:t>סך</w:t>
            </w:r>
            <w:r w:rsidRPr="00644F86">
              <w:rPr>
                <w:rFonts w:ascii="Calibri" w:eastAsia="Times New Roman" w:hAnsi="Calibri"/>
                <w:b/>
                <w:bCs/>
                <w:color w:val="000000"/>
                <w:sz w:val="22"/>
                <w:szCs w:val="22"/>
                <w:rtl/>
              </w:rPr>
              <w:t xml:space="preserve"> </w:t>
            </w:r>
            <w:r w:rsidRPr="00644F86">
              <w:rPr>
                <w:rFonts w:ascii="Calibri" w:eastAsia="Times New Roman" w:hAnsi="Calibri" w:hint="eastAsia"/>
                <w:b/>
                <w:bCs/>
                <w:color w:val="000000"/>
                <w:sz w:val="22"/>
                <w:szCs w:val="22"/>
                <w:rtl/>
              </w:rPr>
              <w:t>שינוי</w:t>
            </w:r>
            <w:r w:rsidRPr="00644F86">
              <w:rPr>
                <w:rFonts w:ascii="Calibri" w:eastAsia="Times New Roman" w:hAnsi="Calibri"/>
                <w:b/>
                <w:bCs/>
                <w:color w:val="000000"/>
                <w:sz w:val="22"/>
                <w:szCs w:val="22"/>
                <w:rtl/>
              </w:rPr>
              <w:t xml:space="preserve"> </w:t>
            </w:r>
            <w:r w:rsidRPr="00644F86">
              <w:rPr>
                <w:rFonts w:ascii="Calibri" w:eastAsia="Times New Roman" w:hAnsi="Calibri" w:hint="eastAsia"/>
                <w:b/>
                <w:bCs/>
                <w:color w:val="000000"/>
                <w:sz w:val="22"/>
                <w:szCs w:val="22"/>
                <w:rtl/>
              </w:rPr>
              <w:t>בין</w:t>
            </w:r>
            <w:r w:rsidRPr="00644F86">
              <w:rPr>
                <w:rFonts w:ascii="Calibri" w:eastAsia="Times New Roman" w:hAnsi="Calibri"/>
                <w:b/>
                <w:bCs/>
                <w:color w:val="000000"/>
                <w:sz w:val="22"/>
                <w:szCs w:val="22"/>
                <w:rtl/>
              </w:rPr>
              <w:t xml:space="preserve"> </w:t>
            </w:r>
            <w:r w:rsidRPr="00644F86">
              <w:rPr>
                <w:rFonts w:ascii="Calibri" w:eastAsia="Times New Roman" w:hAnsi="Calibri" w:hint="eastAsia"/>
                <w:b/>
                <w:bCs/>
                <w:color w:val="000000"/>
                <w:sz w:val="22"/>
                <w:szCs w:val="22"/>
                <w:rtl/>
              </w:rPr>
              <w:t>פרסומים</w:t>
            </w:r>
            <w:r w:rsidRPr="00644F86">
              <w:rPr>
                <w:rFonts w:ascii="Calibri" w:eastAsia="Times New Roman" w:hAnsi="Calibri"/>
                <w:b/>
                <w:bCs/>
                <w:color w:val="000000"/>
                <w:sz w:val="22"/>
                <w:szCs w:val="22"/>
                <w:rtl/>
              </w:rPr>
              <w:t xml:space="preserve"> </w:t>
            </w:r>
            <w:r w:rsidRPr="00644F86">
              <w:rPr>
                <w:rFonts w:ascii="Calibri" w:eastAsia="Times New Roman" w:hAnsi="Calibri" w:hint="eastAsia"/>
                <w:b/>
                <w:bCs/>
                <w:color w:val="000000"/>
                <w:sz w:val="22"/>
                <w:szCs w:val="22"/>
                <w:rtl/>
              </w:rPr>
              <w:t>הנובע</w:t>
            </w:r>
            <w:r w:rsidRPr="00644F86">
              <w:rPr>
                <w:rFonts w:ascii="Calibri" w:eastAsia="Times New Roman" w:hAnsi="Calibri"/>
                <w:b/>
                <w:bCs/>
                <w:color w:val="000000"/>
                <w:sz w:val="22"/>
                <w:szCs w:val="22"/>
                <w:rtl/>
              </w:rPr>
              <w:t xml:space="preserve"> </w:t>
            </w:r>
            <w:r w:rsidRPr="00644F86">
              <w:rPr>
                <w:rFonts w:ascii="Calibri" w:eastAsia="Times New Roman" w:hAnsi="Calibri" w:hint="eastAsia"/>
                <w:b/>
                <w:bCs/>
                <w:color w:val="000000"/>
                <w:sz w:val="22"/>
                <w:szCs w:val="22"/>
                <w:rtl/>
              </w:rPr>
              <w:t>משינוי</w:t>
            </w:r>
            <w:r w:rsidRPr="00644F86">
              <w:rPr>
                <w:rFonts w:ascii="Calibri" w:eastAsia="Times New Roman" w:hAnsi="Calibri"/>
                <w:b/>
                <w:bCs/>
                <w:color w:val="000000"/>
                <w:sz w:val="22"/>
                <w:szCs w:val="22"/>
                <w:rtl/>
              </w:rPr>
              <w:t xml:space="preserve"> </w:t>
            </w:r>
            <w:r w:rsidRPr="00644F86">
              <w:rPr>
                <w:rFonts w:ascii="Calibri" w:eastAsia="Times New Roman" w:hAnsi="Calibri" w:hint="eastAsia"/>
                <w:b/>
                <w:bCs/>
                <w:color w:val="000000"/>
                <w:sz w:val="22"/>
                <w:szCs w:val="22"/>
                <w:rtl/>
              </w:rPr>
              <w:t>בהיקף</w:t>
            </w:r>
            <w:r w:rsidRPr="00644F86">
              <w:rPr>
                <w:rFonts w:ascii="Calibri" w:eastAsia="Times New Roman" w:hAnsi="Calibri"/>
                <w:b/>
                <w:bCs/>
                <w:color w:val="000000"/>
                <w:sz w:val="22"/>
                <w:szCs w:val="22"/>
                <w:rtl/>
              </w:rPr>
              <w:t xml:space="preserve"> </w:t>
            </w:r>
            <w:r w:rsidRPr="00644F86">
              <w:rPr>
                <w:rFonts w:ascii="Calibri" w:eastAsia="Times New Roman" w:hAnsi="Calibri" w:hint="eastAsia"/>
                <w:b/>
                <w:bCs/>
                <w:color w:val="000000"/>
                <w:sz w:val="22"/>
                <w:szCs w:val="22"/>
                <w:rtl/>
              </w:rPr>
              <w:t>ההוצאות</w:t>
            </w:r>
            <w:r>
              <w:rPr>
                <w:rFonts w:ascii="Calibri" w:eastAsia="Times New Roman" w:hAnsi="Calibri" w:hint="cs"/>
                <w:b/>
                <w:bCs/>
                <w:color w:val="000000"/>
                <w:sz w:val="22"/>
                <w:szCs w:val="22"/>
                <w:rtl/>
              </w:rPr>
              <w:t>**</w:t>
            </w:r>
          </w:p>
        </w:tc>
        <w:tc>
          <w:tcPr>
            <w:tcW w:w="1225" w:type="dxa"/>
            <w:tcBorders>
              <w:top w:val="nil"/>
              <w:left w:val="single" w:sz="4" w:space="0" w:color="auto"/>
              <w:bottom w:val="single" w:sz="4" w:space="0" w:color="auto"/>
              <w:right w:val="single" w:sz="4" w:space="0" w:color="auto"/>
            </w:tcBorders>
            <w:shd w:val="clear" w:color="000000" w:fill="8DB4E2"/>
            <w:vAlign w:val="center"/>
          </w:tcPr>
          <w:p w:rsidR="00F97C5B" w:rsidRPr="00A34826" w:rsidRDefault="00F97C5B">
            <w:pPr>
              <w:bidi w:val="0"/>
              <w:spacing w:before="0" w:after="0" w:line="240" w:lineRule="auto"/>
              <w:jc w:val="center"/>
              <w:rPr>
                <w:rFonts w:ascii="David" w:hAnsi="David"/>
                <w:b/>
                <w:bCs/>
                <w:color w:val="000000"/>
                <w:sz w:val="22"/>
                <w:szCs w:val="22"/>
              </w:rPr>
            </w:pPr>
            <w:r>
              <w:rPr>
                <w:rFonts w:ascii="David" w:hAnsi="David"/>
                <w:b/>
                <w:bCs/>
                <w:color w:val="000000"/>
                <w:sz w:val="22"/>
                <w:szCs w:val="22"/>
              </w:rPr>
              <w:t>5.4</w:t>
            </w:r>
          </w:p>
        </w:tc>
        <w:tc>
          <w:tcPr>
            <w:tcW w:w="1225" w:type="dxa"/>
            <w:tcBorders>
              <w:top w:val="nil"/>
              <w:left w:val="single" w:sz="4" w:space="0" w:color="auto"/>
              <w:bottom w:val="single" w:sz="4" w:space="0" w:color="auto"/>
              <w:right w:val="single" w:sz="4" w:space="0" w:color="auto"/>
            </w:tcBorders>
            <w:shd w:val="clear" w:color="000000" w:fill="8DB4E2"/>
            <w:noWrap/>
            <w:vAlign w:val="center"/>
            <w:hideMark/>
          </w:tcPr>
          <w:p w:rsidR="00F97C5B" w:rsidRPr="00A34826" w:rsidRDefault="00F97C5B">
            <w:pPr>
              <w:bidi w:val="0"/>
              <w:spacing w:before="0" w:after="0" w:line="240" w:lineRule="auto"/>
              <w:jc w:val="center"/>
              <w:rPr>
                <w:rFonts w:ascii="Calibri" w:eastAsia="Times New Roman" w:hAnsi="Calibri"/>
                <w:b/>
                <w:bCs/>
                <w:color w:val="000000"/>
                <w:sz w:val="22"/>
                <w:szCs w:val="22"/>
                <w:rtl/>
              </w:rPr>
            </w:pPr>
            <w:r>
              <w:rPr>
                <w:rFonts w:ascii="David" w:hAnsi="David"/>
                <w:b/>
                <w:bCs/>
                <w:color w:val="000000"/>
                <w:sz w:val="22"/>
                <w:szCs w:val="22"/>
              </w:rPr>
              <w:t>7.9</w:t>
            </w:r>
          </w:p>
        </w:tc>
        <w:tc>
          <w:tcPr>
            <w:tcW w:w="1225" w:type="dxa"/>
            <w:tcBorders>
              <w:top w:val="nil"/>
              <w:left w:val="single" w:sz="4" w:space="0" w:color="auto"/>
              <w:bottom w:val="single" w:sz="4" w:space="0" w:color="auto"/>
              <w:right w:val="single" w:sz="4" w:space="0" w:color="auto"/>
            </w:tcBorders>
            <w:shd w:val="clear" w:color="000000" w:fill="8DB4E2"/>
            <w:noWrap/>
            <w:vAlign w:val="center"/>
            <w:hideMark/>
          </w:tcPr>
          <w:p w:rsidR="00F97C5B" w:rsidRPr="00A34826" w:rsidRDefault="00F97C5B" w:rsidP="00F97C5B">
            <w:pPr>
              <w:bidi w:val="0"/>
              <w:spacing w:before="0" w:after="0" w:line="240" w:lineRule="auto"/>
              <w:jc w:val="center"/>
              <w:rPr>
                <w:rFonts w:ascii="Calibri" w:eastAsia="Times New Roman" w:hAnsi="Calibri"/>
                <w:b/>
                <w:bCs/>
                <w:color w:val="000000"/>
                <w:sz w:val="22"/>
                <w:szCs w:val="22"/>
                <w:rtl/>
              </w:rPr>
            </w:pPr>
            <w:r>
              <w:rPr>
                <w:rFonts w:ascii="David" w:hAnsi="David"/>
                <w:b/>
                <w:bCs/>
                <w:color w:val="000000"/>
                <w:sz w:val="22"/>
                <w:szCs w:val="22"/>
              </w:rPr>
              <w:t>8.8</w:t>
            </w:r>
          </w:p>
        </w:tc>
      </w:tr>
      <w:tr w:rsidR="00F97C5B" w:rsidRPr="008960B8" w:rsidTr="00ED1F1E">
        <w:trPr>
          <w:trHeight w:val="300"/>
        </w:trPr>
        <w:tc>
          <w:tcPr>
            <w:tcW w:w="4685" w:type="dxa"/>
            <w:tcBorders>
              <w:top w:val="nil"/>
              <w:left w:val="single" w:sz="4" w:space="0" w:color="auto"/>
              <w:bottom w:val="single" w:sz="4" w:space="0" w:color="auto"/>
              <w:right w:val="single" w:sz="4" w:space="0" w:color="auto"/>
            </w:tcBorders>
            <w:shd w:val="clear" w:color="000000" w:fill="B7DEE8"/>
            <w:noWrap/>
            <w:vAlign w:val="center"/>
            <w:hideMark/>
          </w:tcPr>
          <w:p w:rsidR="00F97C5B" w:rsidRPr="00644F86" w:rsidRDefault="00F97C5B" w:rsidP="00F97C5B">
            <w:pPr>
              <w:spacing w:before="0" w:after="0" w:line="240" w:lineRule="auto"/>
              <w:jc w:val="left"/>
              <w:rPr>
                <w:rFonts w:ascii="Calibri" w:eastAsia="Times New Roman" w:hAnsi="Calibri"/>
                <w:b/>
                <w:bCs/>
                <w:color w:val="000000"/>
                <w:sz w:val="22"/>
                <w:szCs w:val="22"/>
                <w:rtl/>
              </w:rPr>
            </w:pPr>
            <w:r w:rsidRPr="00644F86">
              <w:rPr>
                <w:rFonts w:ascii="Calibri" w:eastAsia="Times New Roman" w:hAnsi="Calibri" w:hint="eastAsia"/>
                <w:b/>
                <w:bCs/>
                <w:color w:val="000000"/>
                <w:sz w:val="22"/>
                <w:szCs w:val="22"/>
                <w:rtl/>
              </w:rPr>
              <w:t>סך</w:t>
            </w:r>
            <w:r w:rsidRPr="00644F86">
              <w:rPr>
                <w:rFonts w:ascii="Calibri" w:eastAsia="Times New Roman" w:hAnsi="Calibri"/>
                <w:b/>
                <w:bCs/>
                <w:color w:val="000000"/>
                <w:sz w:val="22"/>
                <w:szCs w:val="22"/>
                <w:rtl/>
              </w:rPr>
              <w:t xml:space="preserve"> </w:t>
            </w:r>
            <w:r w:rsidRPr="00644F86">
              <w:rPr>
                <w:rFonts w:ascii="Calibri" w:eastAsia="Times New Roman" w:hAnsi="Calibri" w:hint="eastAsia"/>
                <w:b/>
                <w:bCs/>
                <w:color w:val="000000"/>
                <w:sz w:val="22"/>
                <w:szCs w:val="22"/>
                <w:rtl/>
              </w:rPr>
              <w:t>ההוצאה</w:t>
            </w:r>
            <w:r w:rsidRPr="00644F86">
              <w:rPr>
                <w:rFonts w:ascii="Calibri" w:eastAsia="Times New Roman" w:hAnsi="Calibri"/>
                <w:b/>
                <w:bCs/>
                <w:color w:val="000000"/>
                <w:sz w:val="22"/>
                <w:szCs w:val="22"/>
                <w:rtl/>
              </w:rPr>
              <w:t xml:space="preserve"> </w:t>
            </w:r>
            <w:r w:rsidRPr="00644F86">
              <w:rPr>
                <w:rFonts w:ascii="Calibri" w:eastAsia="Times New Roman" w:hAnsi="Calibri" w:hint="eastAsia"/>
                <w:b/>
                <w:bCs/>
                <w:color w:val="000000"/>
                <w:sz w:val="22"/>
                <w:szCs w:val="22"/>
                <w:rtl/>
              </w:rPr>
              <w:t>הממשלתית</w:t>
            </w:r>
            <w:r w:rsidRPr="00644F86">
              <w:rPr>
                <w:rFonts w:ascii="Calibri" w:eastAsia="Times New Roman" w:hAnsi="Calibri"/>
                <w:b/>
                <w:bCs/>
                <w:color w:val="000000"/>
                <w:sz w:val="22"/>
                <w:szCs w:val="22"/>
                <w:rtl/>
              </w:rPr>
              <w:t xml:space="preserve"> </w:t>
            </w:r>
            <w:r w:rsidRPr="00644F86">
              <w:rPr>
                <w:rFonts w:ascii="Calibri" w:eastAsia="Times New Roman" w:hAnsi="Calibri" w:hint="eastAsia"/>
                <w:b/>
                <w:bCs/>
                <w:color w:val="000000"/>
                <w:sz w:val="22"/>
                <w:szCs w:val="22"/>
                <w:rtl/>
              </w:rPr>
              <w:t>בפרסום</w:t>
            </w:r>
            <w:r w:rsidRPr="00644F86">
              <w:rPr>
                <w:rFonts w:ascii="Calibri" w:eastAsia="Times New Roman" w:hAnsi="Calibri"/>
                <w:b/>
                <w:bCs/>
                <w:color w:val="000000"/>
                <w:sz w:val="22"/>
                <w:szCs w:val="22"/>
                <w:rtl/>
              </w:rPr>
              <w:t xml:space="preserve"> </w:t>
            </w:r>
            <w:r w:rsidRPr="00644F86">
              <w:rPr>
                <w:rFonts w:ascii="Calibri" w:eastAsia="Times New Roman" w:hAnsi="Calibri" w:hint="eastAsia"/>
                <w:b/>
                <w:bCs/>
                <w:color w:val="000000"/>
                <w:sz w:val="22"/>
                <w:szCs w:val="22"/>
                <w:rtl/>
              </w:rPr>
              <w:t>הנוכחי</w:t>
            </w:r>
            <w:r w:rsidRPr="00644F86">
              <w:rPr>
                <w:rFonts w:ascii="Calibri" w:eastAsia="Times New Roman" w:hAnsi="Calibri"/>
                <w:b/>
                <w:bCs/>
                <w:color w:val="000000"/>
                <w:sz w:val="22"/>
                <w:szCs w:val="22"/>
                <w:rtl/>
              </w:rPr>
              <w:t xml:space="preserve"> (</w:t>
            </w:r>
            <w:r>
              <w:rPr>
                <w:rFonts w:ascii="Calibri" w:eastAsia="Times New Roman" w:hAnsi="Calibri" w:hint="cs"/>
                <w:b/>
                <w:bCs/>
                <w:color w:val="000000"/>
                <w:sz w:val="22"/>
                <w:szCs w:val="22"/>
                <w:rtl/>
              </w:rPr>
              <w:t>פבר</w:t>
            </w:r>
            <w:r w:rsidRPr="00644F86">
              <w:rPr>
                <w:rFonts w:ascii="Calibri" w:eastAsia="Times New Roman" w:hAnsi="Calibri"/>
                <w:b/>
                <w:bCs/>
                <w:color w:val="000000"/>
                <w:sz w:val="22"/>
                <w:szCs w:val="22"/>
                <w:rtl/>
              </w:rPr>
              <w:t>' 201</w:t>
            </w:r>
            <w:r>
              <w:rPr>
                <w:rFonts w:ascii="Calibri" w:eastAsia="Times New Roman" w:hAnsi="Calibri" w:hint="cs"/>
                <w:b/>
                <w:bCs/>
                <w:color w:val="000000"/>
                <w:sz w:val="22"/>
                <w:szCs w:val="22"/>
                <w:rtl/>
              </w:rPr>
              <w:t>8</w:t>
            </w:r>
            <w:r w:rsidRPr="00644F86">
              <w:rPr>
                <w:rFonts w:ascii="Calibri" w:eastAsia="Times New Roman" w:hAnsi="Calibri"/>
                <w:b/>
                <w:bCs/>
                <w:color w:val="000000"/>
                <w:sz w:val="22"/>
                <w:szCs w:val="22"/>
                <w:rtl/>
              </w:rPr>
              <w:t>)</w:t>
            </w:r>
          </w:p>
        </w:tc>
        <w:tc>
          <w:tcPr>
            <w:tcW w:w="1225" w:type="dxa"/>
            <w:tcBorders>
              <w:top w:val="nil"/>
              <w:left w:val="single" w:sz="4" w:space="0" w:color="auto"/>
              <w:bottom w:val="single" w:sz="4" w:space="0" w:color="auto"/>
              <w:right w:val="single" w:sz="4" w:space="0" w:color="auto"/>
            </w:tcBorders>
            <w:shd w:val="clear" w:color="000000" w:fill="B7DEE8"/>
            <w:vAlign w:val="center"/>
          </w:tcPr>
          <w:p w:rsidR="00F97C5B" w:rsidRPr="00ED1F1E" w:rsidRDefault="00F97C5B" w:rsidP="00F97C5B">
            <w:pPr>
              <w:bidi w:val="0"/>
              <w:spacing w:before="0" w:after="0" w:line="240" w:lineRule="auto"/>
              <w:jc w:val="center"/>
              <w:rPr>
                <w:rFonts w:ascii="David" w:hAnsi="David"/>
                <w:b/>
                <w:bCs/>
                <w:color w:val="000000"/>
                <w:sz w:val="22"/>
                <w:szCs w:val="22"/>
                <w:highlight w:val="yellow"/>
              </w:rPr>
            </w:pPr>
            <w:r>
              <w:rPr>
                <w:rFonts w:ascii="David" w:hAnsi="David"/>
                <w:b/>
                <w:bCs/>
                <w:color w:val="000000"/>
                <w:sz w:val="22"/>
                <w:szCs w:val="22"/>
              </w:rPr>
              <w:t>417.4</w:t>
            </w:r>
          </w:p>
        </w:tc>
        <w:tc>
          <w:tcPr>
            <w:tcW w:w="1225" w:type="dxa"/>
            <w:tcBorders>
              <w:top w:val="nil"/>
              <w:left w:val="single" w:sz="4" w:space="0" w:color="auto"/>
              <w:bottom w:val="single" w:sz="4" w:space="0" w:color="auto"/>
              <w:right w:val="single" w:sz="4" w:space="0" w:color="auto"/>
            </w:tcBorders>
            <w:shd w:val="clear" w:color="000000" w:fill="B7DEE8"/>
            <w:noWrap/>
            <w:vAlign w:val="center"/>
          </w:tcPr>
          <w:p w:rsidR="00F97C5B" w:rsidRPr="00ED1F1E" w:rsidRDefault="00F97C5B" w:rsidP="00F97C5B">
            <w:pPr>
              <w:bidi w:val="0"/>
              <w:spacing w:before="0" w:after="0" w:line="240" w:lineRule="auto"/>
              <w:jc w:val="center"/>
              <w:rPr>
                <w:rFonts w:ascii="Calibri" w:eastAsia="Times New Roman" w:hAnsi="Calibri"/>
                <w:b/>
                <w:bCs/>
                <w:color w:val="000000"/>
                <w:sz w:val="22"/>
                <w:szCs w:val="22"/>
                <w:highlight w:val="yellow"/>
                <w:rtl/>
              </w:rPr>
            </w:pPr>
            <w:r>
              <w:rPr>
                <w:rFonts w:ascii="David" w:hAnsi="David"/>
                <w:b/>
                <w:bCs/>
                <w:color w:val="000000"/>
                <w:sz w:val="22"/>
                <w:szCs w:val="22"/>
              </w:rPr>
              <w:t>434.1</w:t>
            </w:r>
          </w:p>
        </w:tc>
        <w:tc>
          <w:tcPr>
            <w:tcW w:w="1225" w:type="dxa"/>
            <w:tcBorders>
              <w:top w:val="nil"/>
              <w:left w:val="single" w:sz="4" w:space="0" w:color="auto"/>
              <w:bottom w:val="single" w:sz="4" w:space="0" w:color="auto"/>
              <w:right w:val="single" w:sz="4" w:space="0" w:color="auto"/>
            </w:tcBorders>
            <w:shd w:val="clear" w:color="000000" w:fill="B7DEE8"/>
            <w:noWrap/>
            <w:vAlign w:val="center"/>
          </w:tcPr>
          <w:p w:rsidR="00F97C5B" w:rsidRPr="00ED1F1E" w:rsidRDefault="00F97C5B" w:rsidP="00F97C5B">
            <w:pPr>
              <w:bidi w:val="0"/>
              <w:spacing w:before="0" w:after="0" w:line="240" w:lineRule="auto"/>
              <w:jc w:val="center"/>
              <w:rPr>
                <w:rFonts w:ascii="Calibri" w:eastAsia="Times New Roman" w:hAnsi="Calibri"/>
                <w:b/>
                <w:bCs/>
                <w:color w:val="000000"/>
                <w:sz w:val="22"/>
                <w:szCs w:val="22"/>
                <w:highlight w:val="yellow"/>
                <w:rtl/>
              </w:rPr>
            </w:pPr>
            <w:r>
              <w:rPr>
                <w:rFonts w:ascii="David" w:hAnsi="David"/>
                <w:b/>
                <w:bCs/>
                <w:color w:val="000000"/>
                <w:sz w:val="22"/>
                <w:szCs w:val="22"/>
              </w:rPr>
              <w:t>450.2</w:t>
            </w:r>
          </w:p>
        </w:tc>
      </w:tr>
    </w:tbl>
    <w:p w:rsidR="00DC4053" w:rsidRDefault="00DC4053" w:rsidP="00DC4053">
      <w:pPr>
        <w:spacing w:before="0" w:after="0" w:line="240" w:lineRule="auto"/>
        <w:rPr>
          <w:rtl/>
        </w:rPr>
      </w:pPr>
      <w:r w:rsidRPr="009D736A">
        <w:rPr>
          <w:rtl/>
        </w:rPr>
        <w:t>*</w:t>
      </w:r>
      <w:r w:rsidRPr="009D736A">
        <w:rPr>
          <w:rFonts w:asciiTheme="minorHAnsi" w:eastAsiaTheme="minorEastAsia" w:cstheme="minorBidi"/>
          <w:color w:val="000000" w:themeColor="text1"/>
          <w:kern w:val="24"/>
          <w:sz w:val="28"/>
          <w:szCs w:val="28"/>
          <w:rtl/>
        </w:rPr>
        <w:t xml:space="preserve"> </w:t>
      </w:r>
      <w:r w:rsidRPr="009D736A">
        <w:rPr>
          <w:sz w:val="20"/>
          <w:szCs w:val="20"/>
          <w:rtl/>
        </w:rPr>
        <w:t>הבדלים בסכומים המצרפיים נובעים מעיגול ספרות</w:t>
      </w:r>
      <w:r w:rsidRPr="009D736A">
        <w:rPr>
          <w:rtl/>
        </w:rPr>
        <w:t>.</w:t>
      </w:r>
    </w:p>
    <w:p w:rsidR="00DC4053" w:rsidRPr="00E11AC6" w:rsidRDefault="00DC4053" w:rsidP="00DC4053">
      <w:pPr>
        <w:rPr>
          <w:rtl/>
        </w:rPr>
      </w:pPr>
    </w:p>
    <w:p w:rsidR="00DC4053" w:rsidRPr="00B8536C" w:rsidRDefault="00DC4053" w:rsidP="00DC4053">
      <w:pPr>
        <w:pStyle w:val="a7"/>
        <w:numPr>
          <w:ilvl w:val="0"/>
          <w:numId w:val="27"/>
        </w:numPr>
        <w:rPr>
          <w:b/>
          <w:bCs/>
          <w:rtl/>
        </w:rPr>
      </w:pPr>
      <w:r w:rsidRPr="00B8536C">
        <w:rPr>
          <w:rFonts w:hint="cs"/>
          <w:b/>
          <w:bCs/>
          <w:rtl/>
        </w:rPr>
        <w:t>הביטחון</w:t>
      </w:r>
      <w:r w:rsidRPr="00B8536C">
        <w:rPr>
          <w:b/>
          <w:bCs/>
          <w:rtl/>
        </w:rPr>
        <w:t xml:space="preserve"> והסדר הציבורי </w:t>
      </w:r>
    </w:p>
    <w:p w:rsidR="00DC4053" w:rsidRPr="00B8536C" w:rsidRDefault="00DC4053" w:rsidP="00DC4053">
      <w:pPr>
        <w:pStyle w:val="a7"/>
        <w:numPr>
          <w:ilvl w:val="0"/>
          <w:numId w:val="11"/>
        </w:numPr>
      </w:pPr>
      <w:r w:rsidRPr="00B8536C">
        <w:rPr>
          <w:rFonts w:hint="cs"/>
          <w:rtl/>
        </w:rPr>
        <w:t>קבוצת</w:t>
      </w:r>
      <w:r w:rsidRPr="00B8536C">
        <w:rPr>
          <w:rtl/>
        </w:rPr>
        <w:t xml:space="preserve"> המשרדים העוסקים בביטחון ובסדר הציבורי כוללת את משרד הביטחון, </w:t>
      </w:r>
      <w:r>
        <w:rPr>
          <w:rFonts w:hint="cs"/>
          <w:rtl/>
        </w:rPr>
        <w:t>ה</w:t>
      </w:r>
      <w:r w:rsidRPr="00B8536C">
        <w:rPr>
          <w:rtl/>
        </w:rPr>
        <w:t xml:space="preserve">משרד לביטחון הפנים וכן הוצאות ביטחוניות אחרות. בקבוצה זו לא נכללות ההוצאות התקציביות של </w:t>
      </w:r>
      <w:r w:rsidRPr="00B8536C">
        <w:rPr>
          <w:rFonts w:hint="cs"/>
          <w:rtl/>
        </w:rPr>
        <w:t>פרויקטי</w:t>
      </w:r>
      <w:r w:rsidRPr="00B8536C">
        <w:rPr>
          <w:rtl/>
        </w:rPr>
        <w:t xml:space="preserve"> צה"ל לנגב.</w:t>
      </w:r>
    </w:p>
    <w:p w:rsidR="00DC4053" w:rsidRPr="00B8536C" w:rsidRDefault="00DC4053" w:rsidP="00DC4053">
      <w:pPr>
        <w:pStyle w:val="a7"/>
        <w:numPr>
          <w:ilvl w:val="0"/>
          <w:numId w:val="11"/>
        </w:numPr>
      </w:pPr>
      <w:r w:rsidRPr="00B8536C">
        <w:rPr>
          <w:rFonts w:hint="cs"/>
          <w:rtl/>
        </w:rPr>
        <w:t>ההוצאה</w:t>
      </w:r>
      <w:r w:rsidRPr="00B8536C">
        <w:rPr>
          <w:rtl/>
        </w:rPr>
        <w:t xml:space="preserve"> </w:t>
      </w:r>
      <w:r w:rsidRPr="00B8536C">
        <w:rPr>
          <w:rFonts w:hint="cs"/>
          <w:rtl/>
        </w:rPr>
        <w:t>בתקציב</w:t>
      </w:r>
      <w:r w:rsidRPr="00B8536C">
        <w:rPr>
          <w:rtl/>
        </w:rPr>
        <w:t xml:space="preserve"> </w:t>
      </w:r>
      <w:r w:rsidRPr="00B8536C">
        <w:rPr>
          <w:rFonts w:hint="cs"/>
          <w:rtl/>
        </w:rPr>
        <w:t>המקורי</w:t>
      </w:r>
      <w:r w:rsidRPr="00B8536C">
        <w:rPr>
          <w:rtl/>
        </w:rPr>
        <w:t xml:space="preserve"> </w:t>
      </w:r>
      <w:r w:rsidRPr="00B8536C">
        <w:rPr>
          <w:rFonts w:hint="cs"/>
          <w:rtl/>
        </w:rPr>
        <w:t>לשנת</w:t>
      </w:r>
      <w:r w:rsidRPr="00B8536C">
        <w:rPr>
          <w:rtl/>
        </w:rPr>
        <w:t xml:space="preserve"> 20</w:t>
      </w:r>
      <w:r>
        <w:rPr>
          <w:rFonts w:hint="cs"/>
          <w:rtl/>
        </w:rPr>
        <w:t>19</w:t>
      </w:r>
      <w:r w:rsidRPr="00B8536C">
        <w:rPr>
          <w:rtl/>
        </w:rPr>
        <w:t xml:space="preserve"> </w:t>
      </w:r>
      <w:r w:rsidRPr="00B8536C">
        <w:rPr>
          <w:rFonts w:hint="cs"/>
          <w:rtl/>
        </w:rPr>
        <w:t>על</w:t>
      </w:r>
      <w:r w:rsidRPr="00B8536C">
        <w:rPr>
          <w:rtl/>
        </w:rPr>
        <w:t xml:space="preserve"> </w:t>
      </w:r>
      <w:r w:rsidRPr="00B8536C">
        <w:rPr>
          <w:rFonts w:hint="cs"/>
          <w:rtl/>
        </w:rPr>
        <w:t>אשכול</w:t>
      </w:r>
      <w:r w:rsidRPr="00B8536C">
        <w:rPr>
          <w:rtl/>
        </w:rPr>
        <w:t xml:space="preserve"> </w:t>
      </w:r>
      <w:r w:rsidRPr="00B8536C">
        <w:rPr>
          <w:rFonts w:hint="cs"/>
          <w:rtl/>
        </w:rPr>
        <w:t>הביטחון</w:t>
      </w:r>
      <w:r w:rsidRPr="00B8536C">
        <w:rPr>
          <w:rtl/>
        </w:rPr>
        <w:t xml:space="preserve"> </w:t>
      </w:r>
      <w:r w:rsidRPr="00B8536C">
        <w:rPr>
          <w:rFonts w:hint="cs"/>
          <w:rtl/>
        </w:rPr>
        <w:t>והסדר</w:t>
      </w:r>
      <w:r w:rsidRPr="00B8536C">
        <w:rPr>
          <w:rtl/>
        </w:rPr>
        <w:t xml:space="preserve"> </w:t>
      </w:r>
      <w:r w:rsidRPr="00B8536C">
        <w:rPr>
          <w:rFonts w:hint="cs"/>
          <w:rtl/>
        </w:rPr>
        <w:t>הציבורי</w:t>
      </w:r>
      <w:r w:rsidRPr="00B8536C">
        <w:rPr>
          <w:rtl/>
        </w:rPr>
        <w:t xml:space="preserve"> </w:t>
      </w:r>
      <w:r w:rsidRPr="00B8536C">
        <w:rPr>
          <w:rFonts w:hint="cs"/>
          <w:rtl/>
        </w:rPr>
        <w:t>עומדת</w:t>
      </w:r>
      <w:r w:rsidRPr="00B8536C">
        <w:rPr>
          <w:rtl/>
        </w:rPr>
        <w:t xml:space="preserve"> </w:t>
      </w:r>
      <w:r w:rsidRPr="00B8536C">
        <w:rPr>
          <w:rFonts w:hint="cs"/>
          <w:rtl/>
        </w:rPr>
        <w:t>על</w:t>
      </w:r>
      <w:r w:rsidRPr="00B8536C">
        <w:rPr>
          <w:rtl/>
        </w:rPr>
        <w:t xml:space="preserve"> </w:t>
      </w:r>
      <w:r w:rsidRPr="00B8536C">
        <w:rPr>
          <w:rFonts w:hint="cs"/>
          <w:rtl/>
        </w:rPr>
        <w:t>כ</w:t>
      </w:r>
      <w:r w:rsidRPr="00B8536C">
        <w:rPr>
          <w:rtl/>
        </w:rPr>
        <w:t>-8</w:t>
      </w:r>
      <w:r>
        <w:rPr>
          <w:rFonts w:hint="cs"/>
          <w:rtl/>
        </w:rPr>
        <w:t>7</w:t>
      </w:r>
      <w:r w:rsidRPr="00B8536C">
        <w:rPr>
          <w:rtl/>
        </w:rPr>
        <w:t>.3 מיליארד ש"ח המהווים כ-22.</w:t>
      </w:r>
      <w:r>
        <w:rPr>
          <w:rFonts w:hint="cs"/>
          <w:rtl/>
        </w:rPr>
        <w:t>0%</w:t>
      </w:r>
      <w:r w:rsidRPr="00B8536C">
        <w:rPr>
          <w:rtl/>
        </w:rPr>
        <w:t xml:space="preserve"> מסך ההוצאה.</w:t>
      </w:r>
    </w:p>
    <w:p w:rsidR="00DC4053" w:rsidRPr="00B8536C" w:rsidRDefault="00DC4053" w:rsidP="005971AC">
      <w:pPr>
        <w:pStyle w:val="a7"/>
        <w:numPr>
          <w:ilvl w:val="0"/>
          <w:numId w:val="11"/>
        </w:numPr>
        <w:rPr>
          <w:b/>
          <w:bCs/>
        </w:rPr>
      </w:pPr>
      <w:r w:rsidRPr="00B8536C">
        <w:rPr>
          <w:rFonts w:hint="cs"/>
          <w:rtl/>
        </w:rPr>
        <w:t>על</w:t>
      </w:r>
      <w:r w:rsidRPr="00B8536C">
        <w:rPr>
          <w:rtl/>
        </w:rPr>
        <w:t xml:space="preserve"> </w:t>
      </w:r>
      <w:r w:rsidRPr="00B8536C">
        <w:rPr>
          <w:rFonts w:hint="cs"/>
          <w:rtl/>
        </w:rPr>
        <w:t>פי</w:t>
      </w:r>
      <w:r w:rsidRPr="00B8536C">
        <w:rPr>
          <w:rtl/>
        </w:rPr>
        <w:t xml:space="preserve"> </w:t>
      </w:r>
      <w:r w:rsidRPr="00B8536C">
        <w:rPr>
          <w:rFonts w:hint="cs"/>
          <w:rtl/>
        </w:rPr>
        <w:t>היקף</w:t>
      </w:r>
      <w:r w:rsidRPr="00B8536C">
        <w:rPr>
          <w:rtl/>
        </w:rPr>
        <w:t xml:space="preserve"> </w:t>
      </w:r>
      <w:r w:rsidRPr="00B8536C">
        <w:rPr>
          <w:rFonts w:hint="cs"/>
          <w:rtl/>
        </w:rPr>
        <w:t>מחויבויות</w:t>
      </w:r>
      <w:r w:rsidRPr="00B8536C">
        <w:rPr>
          <w:rtl/>
        </w:rPr>
        <w:t xml:space="preserve"> </w:t>
      </w:r>
      <w:r w:rsidRPr="00B8536C">
        <w:rPr>
          <w:rFonts w:hint="cs"/>
          <w:rtl/>
        </w:rPr>
        <w:t>הממשלה</w:t>
      </w:r>
      <w:r w:rsidRPr="00B8536C">
        <w:rPr>
          <w:rtl/>
        </w:rPr>
        <w:t xml:space="preserve"> </w:t>
      </w:r>
      <w:r w:rsidRPr="00B8536C">
        <w:rPr>
          <w:rFonts w:hint="cs"/>
          <w:rtl/>
        </w:rPr>
        <w:t>הנוכחי</w:t>
      </w:r>
      <w:r w:rsidRPr="00B8536C">
        <w:rPr>
          <w:rtl/>
        </w:rPr>
        <w:t xml:space="preserve">, </w:t>
      </w:r>
      <w:r w:rsidRPr="00B8536C">
        <w:rPr>
          <w:rFonts w:hint="cs"/>
          <w:rtl/>
        </w:rPr>
        <w:t>בין</w:t>
      </w:r>
      <w:r w:rsidRPr="00B8536C">
        <w:rPr>
          <w:rtl/>
        </w:rPr>
        <w:t xml:space="preserve"> </w:t>
      </w:r>
      <w:r w:rsidRPr="00B8536C">
        <w:rPr>
          <w:rFonts w:hint="cs"/>
          <w:rtl/>
        </w:rPr>
        <w:t>השנים</w:t>
      </w:r>
      <w:r w:rsidRPr="00B8536C">
        <w:rPr>
          <w:rtl/>
        </w:rPr>
        <w:t xml:space="preserve"> </w:t>
      </w:r>
      <w:r>
        <w:rPr>
          <w:rFonts w:hint="cs"/>
          <w:rtl/>
        </w:rPr>
        <w:t>2019</w:t>
      </w:r>
      <w:r w:rsidRPr="00B8536C">
        <w:rPr>
          <w:rtl/>
        </w:rPr>
        <w:t xml:space="preserve"> עד 202</w:t>
      </w:r>
      <w:r>
        <w:rPr>
          <w:rFonts w:hint="cs"/>
          <w:rtl/>
        </w:rPr>
        <w:t>2</w:t>
      </w:r>
      <w:r w:rsidRPr="00B8536C">
        <w:rPr>
          <w:rtl/>
        </w:rPr>
        <w:t xml:space="preserve"> </w:t>
      </w:r>
      <w:r w:rsidRPr="00B8536C">
        <w:rPr>
          <w:rFonts w:hint="cs"/>
          <w:rtl/>
        </w:rPr>
        <w:t>צפויה</w:t>
      </w:r>
      <w:r w:rsidRPr="00B8536C">
        <w:rPr>
          <w:rtl/>
        </w:rPr>
        <w:t xml:space="preserve"> </w:t>
      </w:r>
      <w:r w:rsidRPr="00B8536C">
        <w:rPr>
          <w:rFonts w:hint="cs"/>
          <w:rtl/>
        </w:rPr>
        <w:t>ההוצאה</w:t>
      </w:r>
      <w:r w:rsidRPr="00B8536C">
        <w:rPr>
          <w:rtl/>
        </w:rPr>
        <w:t xml:space="preserve"> </w:t>
      </w:r>
      <w:r w:rsidRPr="00B8536C">
        <w:rPr>
          <w:rFonts w:hint="cs"/>
          <w:rtl/>
        </w:rPr>
        <w:t>על</w:t>
      </w:r>
      <w:r w:rsidRPr="00B8536C">
        <w:rPr>
          <w:rtl/>
        </w:rPr>
        <w:t xml:space="preserve"> </w:t>
      </w:r>
      <w:r w:rsidRPr="00586EFB">
        <w:rPr>
          <w:rFonts w:hint="eastAsia"/>
          <w:rtl/>
        </w:rPr>
        <w:t>הביטחון</w:t>
      </w:r>
      <w:r w:rsidRPr="00586EFB">
        <w:rPr>
          <w:rtl/>
        </w:rPr>
        <w:t xml:space="preserve"> </w:t>
      </w:r>
      <w:r w:rsidRPr="00586EFB">
        <w:rPr>
          <w:rFonts w:hint="eastAsia"/>
          <w:rtl/>
        </w:rPr>
        <w:t>והסדר</w:t>
      </w:r>
      <w:r w:rsidRPr="00586EFB">
        <w:rPr>
          <w:rtl/>
        </w:rPr>
        <w:t xml:space="preserve"> </w:t>
      </w:r>
      <w:r w:rsidRPr="00586EFB">
        <w:rPr>
          <w:rFonts w:hint="eastAsia"/>
          <w:rtl/>
        </w:rPr>
        <w:t>הציבורי</w:t>
      </w:r>
      <w:r w:rsidRPr="00586EFB">
        <w:rPr>
          <w:rtl/>
        </w:rPr>
        <w:t xml:space="preserve"> </w:t>
      </w:r>
      <w:r w:rsidRPr="00586EFB">
        <w:rPr>
          <w:rFonts w:hint="eastAsia"/>
          <w:rtl/>
        </w:rPr>
        <w:t>לגדול</w:t>
      </w:r>
      <w:r w:rsidRPr="00586EFB">
        <w:rPr>
          <w:rtl/>
        </w:rPr>
        <w:t xml:space="preserve"> </w:t>
      </w:r>
      <w:r w:rsidRPr="00586EFB">
        <w:rPr>
          <w:rFonts w:hint="eastAsia"/>
          <w:rtl/>
        </w:rPr>
        <w:t>בכ</w:t>
      </w:r>
      <w:r w:rsidRPr="00586EFB">
        <w:rPr>
          <w:rtl/>
        </w:rPr>
        <w:t>-</w:t>
      </w:r>
      <w:r>
        <w:rPr>
          <w:rFonts w:hint="cs"/>
          <w:rtl/>
        </w:rPr>
        <w:t>6.</w:t>
      </w:r>
      <w:r w:rsidR="00F57FF9">
        <w:rPr>
          <w:rFonts w:hint="cs"/>
          <w:rtl/>
        </w:rPr>
        <w:t>7</w:t>
      </w:r>
      <w:r w:rsidR="00F57FF9" w:rsidRPr="00586EFB">
        <w:rPr>
          <w:rtl/>
        </w:rPr>
        <w:t xml:space="preserve"> </w:t>
      </w:r>
      <w:r w:rsidRPr="00586EFB">
        <w:rPr>
          <w:rtl/>
        </w:rPr>
        <w:t>מיל</w:t>
      </w:r>
      <w:r w:rsidRPr="00586EFB">
        <w:rPr>
          <w:rFonts w:hint="eastAsia"/>
          <w:rtl/>
        </w:rPr>
        <w:t>יארד</w:t>
      </w:r>
      <w:r w:rsidRPr="00586EFB">
        <w:rPr>
          <w:rtl/>
        </w:rPr>
        <w:t xml:space="preserve"> </w:t>
      </w:r>
      <w:r w:rsidRPr="00586EFB">
        <w:rPr>
          <w:rFonts w:hint="eastAsia"/>
          <w:rtl/>
        </w:rPr>
        <w:t>ש</w:t>
      </w:r>
      <w:r w:rsidRPr="00586EFB">
        <w:rPr>
          <w:rtl/>
        </w:rPr>
        <w:t xml:space="preserve">"ח, </w:t>
      </w:r>
      <w:r w:rsidRPr="00586EFB">
        <w:rPr>
          <w:rFonts w:hint="eastAsia"/>
          <w:rtl/>
        </w:rPr>
        <w:t>כך</w:t>
      </w:r>
      <w:r w:rsidRPr="00586EFB">
        <w:rPr>
          <w:rtl/>
        </w:rPr>
        <w:t xml:space="preserve"> </w:t>
      </w:r>
      <w:r w:rsidRPr="00586EFB">
        <w:rPr>
          <w:rFonts w:hint="eastAsia"/>
          <w:rtl/>
        </w:rPr>
        <w:t>שבשנת</w:t>
      </w:r>
      <w:r w:rsidRPr="00586EFB">
        <w:rPr>
          <w:rtl/>
        </w:rPr>
        <w:t xml:space="preserve"> 202</w:t>
      </w:r>
      <w:r>
        <w:rPr>
          <w:rFonts w:hint="cs"/>
          <w:rtl/>
        </w:rPr>
        <w:t>2</w:t>
      </w:r>
      <w:r w:rsidRPr="00586EFB">
        <w:rPr>
          <w:rtl/>
        </w:rPr>
        <w:t xml:space="preserve"> </w:t>
      </w:r>
      <w:r w:rsidRPr="00586EFB">
        <w:rPr>
          <w:rFonts w:hint="eastAsia"/>
          <w:rtl/>
        </w:rPr>
        <w:t>היא</w:t>
      </w:r>
      <w:r w:rsidRPr="00586EFB">
        <w:rPr>
          <w:rtl/>
        </w:rPr>
        <w:t xml:space="preserve"> </w:t>
      </w:r>
      <w:r w:rsidRPr="00586EFB">
        <w:rPr>
          <w:rFonts w:hint="eastAsia"/>
          <w:rtl/>
        </w:rPr>
        <w:t>תעמוד</w:t>
      </w:r>
      <w:r w:rsidRPr="00586EFB">
        <w:rPr>
          <w:rtl/>
        </w:rPr>
        <w:t xml:space="preserve"> </w:t>
      </w:r>
      <w:r w:rsidRPr="00586EFB">
        <w:rPr>
          <w:rFonts w:hint="eastAsia"/>
          <w:rtl/>
        </w:rPr>
        <w:t>על</w:t>
      </w:r>
      <w:r w:rsidRPr="00586EFB">
        <w:rPr>
          <w:rtl/>
        </w:rPr>
        <w:t xml:space="preserve"> </w:t>
      </w:r>
      <w:r w:rsidRPr="00586EFB">
        <w:rPr>
          <w:rFonts w:hint="eastAsia"/>
          <w:rtl/>
        </w:rPr>
        <w:t>כ</w:t>
      </w:r>
      <w:r w:rsidRPr="00586EFB">
        <w:rPr>
          <w:rtl/>
        </w:rPr>
        <w:t>-</w:t>
      </w:r>
      <w:r w:rsidR="00F57FF9" w:rsidRPr="00141E73">
        <w:rPr>
          <w:rtl/>
        </w:rPr>
        <w:t>9</w:t>
      </w:r>
      <w:r w:rsidR="00F57FF9">
        <w:rPr>
          <w:rFonts w:hint="cs"/>
          <w:rtl/>
        </w:rPr>
        <w:t>4</w:t>
      </w:r>
      <w:r>
        <w:rPr>
          <w:rFonts w:hint="cs"/>
          <w:rtl/>
        </w:rPr>
        <w:t>.</w:t>
      </w:r>
      <w:r w:rsidR="00F57FF9">
        <w:rPr>
          <w:rFonts w:hint="cs"/>
          <w:rtl/>
        </w:rPr>
        <w:t>0</w:t>
      </w:r>
      <w:r w:rsidR="00F57FF9" w:rsidRPr="00586EFB">
        <w:rPr>
          <w:rtl/>
        </w:rPr>
        <w:t xml:space="preserve"> </w:t>
      </w:r>
      <w:r w:rsidRPr="00586EFB">
        <w:rPr>
          <w:rtl/>
        </w:rPr>
        <w:t xml:space="preserve">מיליארד </w:t>
      </w:r>
      <w:r w:rsidRPr="00586EFB">
        <w:rPr>
          <w:rFonts w:hint="eastAsia"/>
          <w:rtl/>
        </w:rPr>
        <w:t>ש</w:t>
      </w:r>
      <w:r w:rsidRPr="00586EFB">
        <w:rPr>
          <w:rtl/>
        </w:rPr>
        <w:t>"</w:t>
      </w:r>
      <w:r w:rsidRPr="00586EFB">
        <w:rPr>
          <w:rFonts w:hint="eastAsia"/>
          <w:rtl/>
        </w:rPr>
        <w:t>ח</w:t>
      </w:r>
      <w:r w:rsidRPr="00586EFB">
        <w:rPr>
          <w:rtl/>
        </w:rPr>
        <w:t>, אשר יהוו כ-</w:t>
      </w:r>
      <w:r w:rsidR="00F57FF9" w:rsidRPr="00141E73">
        <w:rPr>
          <w:rtl/>
        </w:rPr>
        <w:t>2</w:t>
      </w:r>
      <w:r w:rsidR="00F57FF9">
        <w:rPr>
          <w:rFonts w:hint="cs"/>
          <w:rtl/>
        </w:rPr>
        <w:t>0</w:t>
      </w:r>
      <w:r w:rsidRPr="00141E73">
        <w:rPr>
          <w:rtl/>
        </w:rPr>
        <w:t>.</w:t>
      </w:r>
      <w:r w:rsidR="00F57FF9">
        <w:rPr>
          <w:rFonts w:hint="cs"/>
          <w:rtl/>
        </w:rPr>
        <w:t>9</w:t>
      </w:r>
      <w:r>
        <w:rPr>
          <w:rFonts w:hint="cs"/>
          <w:rtl/>
        </w:rPr>
        <w:t>%</w:t>
      </w:r>
      <w:r w:rsidRPr="00586EFB">
        <w:rPr>
          <w:rtl/>
        </w:rPr>
        <w:t xml:space="preserve"> </w:t>
      </w:r>
      <w:r w:rsidRPr="00586EFB">
        <w:rPr>
          <w:rFonts w:hint="eastAsia"/>
          <w:rtl/>
        </w:rPr>
        <w:t>מסך</w:t>
      </w:r>
      <w:r w:rsidRPr="00586EFB">
        <w:rPr>
          <w:rtl/>
        </w:rPr>
        <w:t xml:space="preserve"> </w:t>
      </w:r>
      <w:r w:rsidRPr="00586EFB">
        <w:rPr>
          <w:rFonts w:hint="eastAsia"/>
          <w:rtl/>
        </w:rPr>
        <w:t>ההוצאה</w:t>
      </w:r>
      <w:r w:rsidRPr="00586EFB">
        <w:rPr>
          <w:rtl/>
        </w:rPr>
        <w:t xml:space="preserve"> </w:t>
      </w:r>
      <w:r w:rsidRPr="00586EFB">
        <w:rPr>
          <w:rFonts w:hint="eastAsia"/>
          <w:rtl/>
        </w:rPr>
        <w:t>הממשלתית</w:t>
      </w:r>
      <w:r w:rsidRPr="00586EFB">
        <w:rPr>
          <w:rtl/>
        </w:rPr>
        <w:t>.</w:t>
      </w:r>
      <w:r w:rsidRPr="00B8536C">
        <w:rPr>
          <w:b/>
          <w:bCs/>
          <w:rtl/>
        </w:rPr>
        <w:t xml:space="preserve"> </w:t>
      </w:r>
    </w:p>
    <w:p w:rsidR="00DC4053" w:rsidRPr="00403C8F" w:rsidRDefault="00DC4053" w:rsidP="00DC4053">
      <w:pPr>
        <w:tabs>
          <w:tab w:val="left" w:pos="283"/>
        </w:tabs>
        <w:suppressAutoHyphens/>
        <w:autoSpaceDE w:val="0"/>
        <w:autoSpaceDN w:val="0"/>
        <w:adjustRightInd w:val="0"/>
        <w:ind w:left="720"/>
        <w:contextualSpacing/>
        <w:textAlignment w:val="center"/>
        <w:rPr>
          <w:rFonts w:ascii="DBS-Torah"/>
        </w:rPr>
      </w:pPr>
      <w:r w:rsidRPr="00403C8F">
        <w:rPr>
          <w:rFonts w:ascii="DBS-Torah" w:hint="eastAsia"/>
          <w:rtl/>
        </w:rPr>
        <w:t>להלן</w:t>
      </w:r>
      <w:r w:rsidRPr="00403C8F">
        <w:rPr>
          <w:rFonts w:ascii="DBS-Torah"/>
          <w:rtl/>
        </w:rPr>
        <w:t xml:space="preserve"> </w:t>
      </w:r>
      <w:r w:rsidRPr="00403C8F">
        <w:rPr>
          <w:rFonts w:ascii="DBS-Torah" w:hint="eastAsia"/>
          <w:rtl/>
        </w:rPr>
        <w:t>ההנחות</w:t>
      </w:r>
      <w:r w:rsidRPr="00403C8F">
        <w:rPr>
          <w:rFonts w:ascii="DBS-Torah"/>
          <w:rtl/>
        </w:rPr>
        <w:t xml:space="preserve"> </w:t>
      </w:r>
      <w:r w:rsidRPr="00403C8F">
        <w:rPr>
          <w:rFonts w:ascii="DBS-Torah" w:hint="eastAsia"/>
          <w:rtl/>
        </w:rPr>
        <w:t>לגבי</w:t>
      </w:r>
      <w:r w:rsidRPr="00403C8F">
        <w:rPr>
          <w:rFonts w:ascii="DBS-Torah"/>
          <w:rtl/>
        </w:rPr>
        <w:t xml:space="preserve"> </w:t>
      </w:r>
      <w:r w:rsidRPr="00403C8F">
        <w:rPr>
          <w:rFonts w:ascii="DBS-Torah" w:hint="eastAsia"/>
          <w:rtl/>
        </w:rPr>
        <w:t>עיקרי</w:t>
      </w:r>
      <w:r w:rsidRPr="00403C8F">
        <w:rPr>
          <w:rFonts w:ascii="DBS-Torah"/>
          <w:rtl/>
        </w:rPr>
        <w:t xml:space="preserve"> </w:t>
      </w:r>
      <w:r w:rsidRPr="00403C8F">
        <w:rPr>
          <w:rFonts w:ascii="DBS-Torah" w:hint="eastAsia"/>
          <w:rtl/>
        </w:rPr>
        <w:t>השינויים</w:t>
      </w:r>
      <w:r w:rsidRPr="00403C8F">
        <w:rPr>
          <w:rFonts w:ascii="DBS-Torah"/>
          <w:rtl/>
        </w:rPr>
        <w:t xml:space="preserve"> </w:t>
      </w:r>
      <w:r w:rsidRPr="00403C8F">
        <w:rPr>
          <w:rFonts w:ascii="DBS-Torah" w:hint="eastAsia"/>
          <w:rtl/>
        </w:rPr>
        <w:t>הצפויים</w:t>
      </w:r>
      <w:r w:rsidRPr="00403C8F">
        <w:rPr>
          <w:rFonts w:ascii="DBS-Torah"/>
          <w:rtl/>
        </w:rPr>
        <w:t xml:space="preserve"> </w:t>
      </w:r>
      <w:r w:rsidRPr="00403C8F">
        <w:rPr>
          <w:rFonts w:ascii="DBS-Torah" w:hint="eastAsia"/>
          <w:rtl/>
        </w:rPr>
        <w:t>ברכיב</w:t>
      </w:r>
      <w:r w:rsidRPr="00403C8F">
        <w:rPr>
          <w:rFonts w:ascii="DBS-Torah"/>
          <w:rtl/>
        </w:rPr>
        <w:t xml:space="preserve"> </w:t>
      </w:r>
      <w:r w:rsidRPr="00403C8F">
        <w:rPr>
          <w:rFonts w:ascii="DBS-Torah" w:hint="eastAsia"/>
          <w:rtl/>
        </w:rPr>
        <w:t>הוצאה</w:t>
      </w:r>
      <w:r w:rsidRPr="00403C8F">
        <w:rPr>
          <w:rFonts w:ascii="DBS-Torah"/>
          <w:rtl/>
        </w:rPr>
        <w:t xml:space="preserve"> </w:t>
      </w:r>
      <w:r w:rsidRPr="00403C8F">
        <w:rPr>
          <w:rFonts w:ascii="DBS-Torah" w:hint="eastAsia"/>
          <w:rtl/>
        </w:rPr>
        <w:t>זה</w:t>
      </w:r>
      <w:r w:rsidRPr="00403C8F">
        <w:rPr>
          <w:rFonts w:ascii="DBS-Torah"/>
          <w:rtl/>
        </w:rPr>
        <w:t>:</w:t>
      </w:r>
    </w:p>
    <w:p w:rsidR="00DC4053" w:rsidRDefault="00DC4053" w:rsidP="00DC4053">
      <w:pPr>
        <w:numPr>
          <w:ilvl w:val="0"/>
          <w:numId w:val="11"/>
        </w:numPr>
        <w:tabs>
          <w:tab w:val="left" w:pos="340"/>
        </w:tabs>
        <w:suppressAutoHyphens/>
        <w:autoSpaceDE w:val="0"/>
        <w:autoSpaceDN w:val="0"/>
        <w:adjustRightInd w:val="0"/>
        <w:contextualSpacing/>
        <w:textAlignment w:val="center"/>
        <w:rPr>
          <w:rFonts w:ascii="DBS-Torah"/>
        </w:rPr>
      </w:pPr>
      <w:r w:rsidRPr="00B8536C">
        <w:rPr>
          <w:rFonts w:ascii="DBS-Torah" w:hint="cs"/>
          <w:b/>
          <w:bCs/>
          <w:rtl/>
        </w:rPr>
        <w:t>תקציב</w:t>
      </w:r>
      <w:r w:rsidRPr="00B8536C">
        <w:rPr>
          <w:rFonts w:ascii="DBS-Torah"/>
          <w:b/>
          <w:bCs/>
          <w:rtl/>
        </w:rPr>
        <w:t xml:space="preserve"> </w:t>
      </w:r>
      <w:r w:rsidRPr="00B8536C">
        <w:rPr>
          <w:rFonts w:ascii="DBS-Torah" w:hint="cs"/>
          <w:b/>
          <w:bCs/>
          <w:rtl/>
        </w:rPr>
        <w:t>משרד</w:t>
      </w:r>
      <w:r w:rsidRPr="00B8536C">
        <w:rPr>
          <w:rFonts w:ascii="DBS-Torah"/>
          <w:b/>
          <w:bCs/>
          <w:rtl/>
        </w:rPr>
        <w:t xml:space="preserve"> </w:t>
      </w:r>
      <w:r w:rsidRPr="00B8536C">
        <w:rPr>
          <w:rFonts w:ascii="DBS-Torah" w:hint="cs"/>
          <w:b/>
          <w:bCs/>
          <w:rtl/>
        </w:rPr>
        <w:t>הביטחון</w:t>
      </w:r>
      <w:r w:rsidRPr="00B8536C">
        <w:rPr>
          <w:rFonts w:ascii="DBS-Torah"/>
          <w:rtl/>
        </w:rPr>
        <w:t xml:space="preserve"> – ביום 24 בנובמבר 2015 </w:t>
      </w:r>
      <w:r w:rsidRPr="00B8536C">
        <w:rPr>
          <w:rFonts w:ascii="DBS-Torah" w:hint="cs"/>
          <w:rtl/>
        </w:rPr>
        <w:t>נחתם</w:t>
      </w:r>
      <w:r w:rsidRPr="00B8536C">
        <w:rPr>
          <w:rFonts w:ascii="DBS-Torah"/>
          <w:rtl/>
        </w:rPr>
        <w:t xml:space="preserve"> </w:t>
      </w:r>
      <w:r w:rsidRPr="00B8536C">
        <w:rPr>
          <w:rFonts w:ascii="DBS-Torah" w:hint="cs"/>
          <w:rtl/>
        </w:rPr>
        <w:t>סיכום</w:t>
      </w:r>
      <w:r w:rsidRPr="00B8536C">
        <w:rPr>
          <w:rFonts w:ascii="DBS-Torah"/>
          <w:rtl/>
        </w:rPr>
        <w:t xml:space="preserve"> </w:t>
      </w:r>
      <w:r w:rsidRPr="00B8536C">
        <w:rPr>
          <w:rFonts w:ascii="DBS-Torah" w:hint="cs"/>
          <w:rtl/>
        </w:rPr>
        <w:t>תקציבי</w:t>
      </w:r>
      <w:r w:rsidRPr="00B8536C">
        <w:rPr>
          <w:rFonts w:ascii="DBS-Torah"/>
          <w:rtl/>
        </w:rPr>
        <w:t xml:space="preserve"> </w:t>
      </w:r>
      <w:r w:rsidRPr="00B8536C">
        <w:rPr>
          <w:rFonts w:ascii="DBS-Torah" w:hint="cs"/>
          <w:rtl/>
        </w:rPr>
        <w:t>בין</w:t>
      </w:r>
      <w:r w:rsidRPr="00B8536C">
        <w:rPr>
          <w:rFonts w:ascii="DBS-Torah"/>
          <w:rtl/>
        </w:rPr>
        <w:t xml:space="preserve"> </w:t>
      </w:r>
      <w:r w:rsidRPr="00B8536C">
        <w:rPr>
          <w:rFonts w:ascii="DBS-Torah" w:hint="cs"/>
          <w:rtl/>
        </w:rPr>
        <w:t>משרד</w:t>
      </w:r>
      <w:r w:rsidRPr="00B8536C">
        <w:rPr>
          <w:rFonts w:ascii="DBS-Torah"/>
          <w:rtl/>
        </w:rPr>
        <w:t xml:space="preserve"> </w:t>
      </w:r>
      <w:r w:rsidRPr="00B8536C">
        <w:rPr>
          <w:rFonts w:ascii="DBS-Torah" w:hint="cs"/>
          <w:rtl/>
        </w:rPr>
        <w:t>האוצר</w:t>
      </w:r>
      <w:r w:rsidRPr="00B8536C">
        <w:rPr>
          <w:rFonts w:ascii="DBS-Torah"/>
          <w:rtl/>
        </w:rPr>
        <w:t xml:space="preserve"> </w:t>
      </w:r>
      <w:r w:rsidRPr="00B8536C">
        <w:rPr>
          <w:rFonts w:ascii="DBS-Torah" w:hint="cs"/>
          <w:rtl/>
        </w:rPr>
        <w:t>למשרד</w:t>
      </w:r>
      <w:r w:rsidRPr="00B8536C">
        <w:rPr>
          <w:rFonts w:ascii="DBS-Torah"/>
          <w:rtl/>
        </w:rPr>
        <w:t xml:space="preserve"> </w:t>
      </w:r>
      <w:r w:rsidRPr="00B8536C">
        <w:rPr>
          <w:rFonts w:ascii="DBS-Torah" w:hint="cs"/>
          <w:rtl/>
        </w:rPr>
        <w:t>הביטחון</w:t>
      </w:r>
      <w:r w:rsidRPr="00B8536C">
        <w:rPr>
          <w:rFonts w:ascii="DBS-Torah"/>
          <w:rtl/>
        </w:rPr>
        <w:t xml:space="preserve"> </w:t>
      </w:r>
      <w:r w:rsidRPr="00B8536C">
        <w:rPr>
          <w:rFonts w:ascii="DBS-Torah" w:hint="cs"/>
          <w:rtl/>
        </w:rPr>
        <w:t>לשנים</w:t>
      </w:r>
      <w:r w:rsidRPr="00B8536C">
        <w:rPr>
          <w:rFonts w:ascii="DBS-Torah"/>
          <w:rtl/>
        </w:rPr>
        <w:t xml:space="preserve"> 2015 </w:t>
      </w:r>
      <w:r w:rsidRPr="00B8536C">
        <w:rPr>
          <w:rFonts w:ascii="DBS-Torah" w:hint="cs"/>
          <w:rtl/>
        </w:rPr>
        <w:t>עד</w:t>
      </w:r>
      <w:r w:rsidRPr="00B8536C">
        <w:rPr>
          <w:rFonts w:ascii="DBS-Torah"/>
          <w:rtl/>
        </w:rPr>
        <w:t xml:space="preserve"> 2020, שבמסגרתו נקבע מתווה רב-שנתי לתקציב הביטחון תוך קביעת מנגנון הצמדה בגין התייקרויות, הגדרת נושאים אשר מוחרגים מגג תקציב הביטחון, תוספות ייעודיות בגין עמידה ביעדים ו</w:t>
      </w:r>
      <w:r w:rsidRPr="00B8536C">
        <w:rPr>
          <w:rFonts w:ascii="DBS-Torah" w:hint="cs"/>
          <w:rtl/>
        </w:rPr>
        <w:t>כן</w:t>
      </w:r>
      <w:r w:rsidRPr="00B8536C">
        <w:rPr>
          <w:rFonts w:ascii="DBS-Torah"/>
          <w:rtl/>
        </w:rPr>
        <w:t xml:space="preserve"> מנגנון שיפוי בגין החלטות ממשלה חדשות</w:t>
      </w:r>
      <w:r>
        <w:rPr>
          <w:rFonts w:ascii="DBS-Torah" w:hint="cs"/>
          <w:rtl/>
        </w:rPr>
        <w:t xml:space="preserve"> וסיכומים חדשים, במהלך שנות התקציב בהן חל הסיכום כאמור</w:t>
      </w:r>
      <w:r w:rsidRPr="00B8536C">
        <w:rPr>
          <w:rFonts w:ascii="DBS-Torah"/>
          <w:rtl/>
        </w:rPr>
        <w:t xml:space="preserve">. </w:t>
      </w:r>
    </w:p>
    <w:p w:rsidR="00DC4053" w:rsidRPr="00B8536C" w:rsidRDefault="00DC4053" w:rsidP="00DC4053">
      <w:pPr>
        <w:tabs>
          <w:tab w:val="left" w:pos="340"/>
        </w:tabs>
        <w:suppressAutoHyphens/>
        <w:autoSpaceDE w:val="0"/>
        <w:autoSpaceDN w:val="0"/>
        <w:adjustRightInd w:val="0"/>
        <w:ind w:left="720"/>
        <w:contextualSpacing/>
        <w:textAlignment w:val="center"/>
        <w:rPr>
          <w:rFonts w:ascii="DBS-Torah"/>
        </w:rPr>
      </w:pPr>
      <w:r>
        <w:rPr>
          <w:rFonts w:ascii="DBS-Torah" w:hint="cs"/>
          <w:rtl/>
        </w:rPr>
        <w:t xml:space="preserve">באשכול זה לא נכללות הוצאות בגין פרוייקטי בינוי ביטחוניים </w:t>
      </w:r>
      <w:r w:rsidRPr="00E6096E">
        <w:rPr>
          <w:rFonts w:ascii="DBS-Torah" w:hint="cs"/>
          <w:rtl/>
        </w:rPr>
        <w:t>המבוצע</w:t>
      </w:r>
      <w:r>
        <w:rPr>
          <w:rFonts w:ascii="DBS-Torah" w:hint="cs"/>
          <w:rtl/>
        </w:rPr>
        <w:t>ים</w:t>
      </w:r>
      <w:r w:rsidRPr="00E6096E">
        <w:rPr>
          <w:rFonts w:ascii="DBS-Torah" w:hint="cs"/>
          <w:rtl/>
        </w:rPr>
        <w:t xml:space="preserve"> בהתאם להחלטת </w:t>
      </w:r>
      <w:r>
        <w:rPr>
          <w:rFonts w:ascii="DBS-Torah" w:hint="cs"/>
          <w:rtl/>
        </w:rPr>
        <w:t>ה</w:t>
      </w:r>
      <w:r w:rsidRPr="00E6096E">
        <w:rPr>
          <w:rFonts w:ascii="DBS-Torah" w:hint="cs"/>
          <w:rtl/>
        </w:rPr>
        <w:t>ממשלה</w:t>
      </w:r>
      <w:r w:rsidR="00EE4D85">
        <w:rPr>
          <w:rFonts w:ascii="DBS-Torah" w:hint="cs"/>
          <w:rtl/>
        </w:rPr>
        <w:t xml:space="preserve"> מס'</w:t>
      </w:r>
      <w:r>
        <w:rPr>
          <w:rFonts w:ascii="DBS-Torah" w:hint="cs"/>
          <w:rtl/>
        </w:rPr>
        <w:t xml:space="preserve"> </w:t>
      </w:r>
      <w:r w:rsidRPr="00E6096E">
        <w:rPr>
          <w:rFonts w:ascii="DBS-Torah" w:hint="cs"/>
          <w:rtl/>
        </w:rPr>
        <w:t xml:space="preserve"> 2392 מחודש ינואר 2015</w:t>
      </w:r>
      <w:r>
        <w:rPr>
          <w:rFonts w:ascii="DBS-Torah" w:hint="cs"/>
          <w:rtl/>
        </w:rPr>
        <w:t xml:space="preserve"> ובהתאם להחלטת </w:t>
      </w:r>
      <w:r w:rsidR="00EE4D85">
        <w:rPr>
          <w:rFonts w:ascii="DBS-Torah" w:hint="cs"/>
          <w:rtl/>
        </w:rPr>
        <w:t>ה</w:t>
      </w:r>
      <w:r>
        <w:rPr>
          <w:rFonts w:ascii="DBS-Torah" w:hint="cs"/>
          <w:rtl/>
        </w:rPr>
        <w:t>ממשלה</w:t>
      </w:r>
      <w:r w:rsidR="00EE4D85">
        <w:rPr>
          <w:rFonts w:ascii="DBS-Torah" w:hint="cs"/>
          <w:rtl/>
        </w:rPr>
        <w:t xml:space="preserve"> מס'</w:t>
      </w:r>
      <w:r>
        <w:rPr>
          <w:rFonts w:ascii="DBS-Torah" w:hint="cs"/>
          <w:rtl/>
        </w:rPr>
        <w:t xml:space="preserve"> 3161 מחודש אפריל 2011 ומופיעים תחת אשכול הוצאה "משרדי המטה".</w:t>
      </w:r>
    </w:p>
    <w:p w:rsidR="00D83C45" w:rsidRPr="00ED1F1E" w:rsidRDefault="00DC4053" w:rsidP="002E10F7">
      <w:pPr>
        <w:pStyle w:val="a7"/>
        <w:numPr>
          <w:ilvl w:val="0"/>
          <w:numId w:val="11"/>
        </w:numPr>
        <w:tabs>
          <w:tab w:val="left" w:pos="340"/>
        </w:tabs>
        <w:suppressAutoHyphens/>
        <w:autoSpaceDE w:val="0"/>
        <w:autoSpaceDN w:val="0"/>
        <w:adjustRightInd w:val="0"/>
        <w:textAlignment w:val="center"/>
        <w:rPr>
          <w:rFonts w:ascii="DBS-Torah"/>
        </w:rPr>
      </w:pPr>
      <w:r w:rsidRPr="00E75F34">
        <w:rPr>
          <w:rFonts w:ascii="DBS-Torah" w:hint="cs"/>
          <w:b/>
          <w:bCs/>
          <w:rtl/>
        </w:rPr>
        <w:lastRenderedPageBreak/>
        <w:t>המשרד</w:t>
      </w:r>
      <w:r w:rsidRPr="00E75F34">
        <w:rPr>
          <w:rFonts w:ascii="DBS-Torah"/>
          <w:b/>
          <w:bCs/>
          <w:rtl/>
        </w:rPr>
        <w:t xml:space="preserve"> </w:t>
      </w:r>
      <w:r w:rsidRPr="00E75F34">
        <w:rPr>
          <w:rFonts w:ascii="DBS-Torah" w:hint="cs"/>
          <w:b/>
          <w:bCs/>
          <w:rtl/>
        </w:rPr>
        <w:t>לביטחון</w:t>
      </w:r>
      <w:r w:rsidRPr="00E75F34">
        <w:rPr>
          <w:rFonts w:ascii="DBS-Torah"/>
          <w:b/>
          <w:bCs/>
          <w:rtl/>
        </w:rPr>
        <w:t xml:space="preserve"> </w:t>
      </w:r>
      <w:r w:rsidRPr="00E75F34">
        <w:rPr>
          <w:rFonts w:ascii="DBS-Torah" w:hint="cs"/>
          <w:b/>
          <w:bCs/>
          <w:rtl/>
        </w:rPr>
        <w:t>הפנים</w:t>
      </w:r>
      <w:r w:rsidRPr="00E75F34">
        <w:rPr>
          <w:rFonts w:ascii="DBS-Torah"/>
          <w:rtl/>
        </w:rPr>
        <w:t xml:space="preserve"> </w:t>
      </w:r>
      <w:r w:rsidRPr="00E75F34">
        <w:rPr>
          <w:rFonts w:ascii="DBS-Torah" w:hint="eastAsia"/>
          <w:rtl/>
        </w:rPr>
        <w:t>–</w:t>
      </w:r>
      <w:r w:rsidRPr="00E75F34">
        <w:rPr>
          <w:rFonts w:ascii="DBS-Torah"/>
          <w:rtl/>
        </w:rPr>
        <w:t xml:space="preserve"> הגידול בתקציב המשרד לביטחון הפנים כ</w:t>
      </w:r>
      <w:r w:rsidRPr="00800CEE">
        <w:rPr>
          <w:rFonts w:ascii="DBS-Torah"/>
          <w:rtl/>
        </w:rPr>
        <w:t xml:space="preserve">ולל </w:t>
      </w:r>
      <w:r w:rsidR="002E10F7">
        <w:rPr>
          <w:rFonts w:ascii="DBS-Torah" w:hint="cs"/>
          <w:rtl/>
        </w:rPr>
        <w:t xml:space="preserve">את </w:t>
      </w:r>
      <w:r w:rsidR="002E10F7" w:rsidRPr="00800CEE">
        <w:rPr>
          <w:rFonts w:ascii="DBS-Torah" w:hint="cs"/>
          <w:rtl/>
        </w:rPr>
        <w:t>ת</w:t>
      </w:r>
      <w:r w:rsidR="002E10F7" w:rsidRPr="00800CEE">
        <w:rPr>
          <w:rFonts w:ascii="DBS-Torah"/>
          <w:rtl/>
        </w:rPr>
        <w:t>וספת שכר חלף תוספת "היעדר קביעות" למשרתי מערכת הביטחון</w:t>
      </w:r>
      <w:r w:rsidR="002E10F7">
        <w:rPr>
          <w:rFonts w:ascii="DBS-Torah" w:hint="cs"/>
          <w:rtl/>
        </w:rPr>
        <w:t>,</w:t>
      </w:r>
      <w:r w:rsidR="002E10F7" w:rsidRPr="00B8536C">
        <w:rPr>
          <w:rFonts w:ascii="DBS-Torah"/>
          <w:rtl/>
        </w:rPr>
        <w:t xml:space="preserve"> תגבור כוחות משטרת ישראל בירושלים ובמגזר הערבי, </w:t>
      </w:r>
      <w:r w:rsidR="002E10F7" w:rsidRPr="00586EFB">
        <w:rPr>
          <w:rFonts w:ascii="DBS-Torah" w:hint="eastAsia"/>
          <w:rtl/>
        </w:rPr>
        <w:t>ת</w:t>
      </w:r>
      <w:r w:rsidR="002E10F7">
        <w:rPr>
          <w:rFonts w:ascii="DBS-Torah" w:hint="cs"/>
          <w:rtl/>
        </w:rPr>
        <w:t>ו</w:t>
      </w:r>
      <w:r w:rsidR="002E10F7" w:rsidRPr="00586EFB">
        <w:rPr>
          <w:rFonts w:ascii="DBS-Torah" w:hint="eastAsia"/>
          <w:rtl/>
        </w:rPr>
        <w:t>כנית</w:t>
      </w:r>
      <w:r w:rsidR="002E10F7" w:rsidRPr="00586EFB">
        <w:rPr>
          <w:rFonts w:ascii="DBS-Torah"/>
          <w:rtl/>
        </w:rPr>
        <w:t xml:space="preserve"> </w:t>
      </w:r>
      <w:r w:rsidR="002E10F7" w:rsidRPr="00586EFB">
        <w:rPr>
          <w:rFonts w:ascii="DBS-Torah" w:hint="eastAsia"/>
          <w:rtl/>
        </w:rPr>
        <w:t>רב</w:t>
      </w:r>
      <w:r w:rsidR="002E10F7" w:rsidRPr="00586EFB">
        <w:rPr>
          <w:rFonts w:ascii="DBS-Torah"/>
          <w:rtl/>
        </w:rPr>
        <w:t xml:space="preserve">-שנתית </w:t>
      </w:r>
      <w:r w:rsidR="002E10F7">
        <w:rPr>
          <w:rFonts w:ascii="DBS-Torah" w:hint="cs"/>
          <w:rtl/>
        </w:rPr>
        <w:t xml:space="preserve">מתוכננת </w:t>
      </w:r>
      <w:r w:rsidR="002E10F7" w:rsidRPr="00586EFB">
        <w:rPr>
          <w:rFonts w:ascii="DBS-Torah" w:hint="eastAsia"/>
          <w:rtl/>
        </w:rPr>
        <w:t>לתגבור</w:t>
      </w:r>
      <w:r w:rsidR="002E10F7" w:rsidRPr="00586EFB">
        <w:rPr>
          <w:rFonts w:ascii="DBS-Torah"/>
          <w:rtl/>
        </w:rPr>
        <w:t xml:space="preserve"> </w:t>
      </w:r>
      <w:r w:rsidR="002E10F7" w:rsidRPr="00586EFB">
        <w:rPr>
          <w:rFonts w:ascii="DBS-Torah" w:hint="eastAsia"/>
          <w:rtl/>
        </w:rPr>
        <w:t>מערך</w:t>
      </w:r>
      <w:r w:rsidR="002E10F7" w:rsidRPr="00586EFB">
        <w:rPr>
          <w:rFonts w:ascii="DBS-Torah"/>
          <w:rtl/>
        </w:rPr>
        <w:t xml:space="preserve"> </w:t>
      </w:r>
      <w:r w:rsidR="002E10F7" w:rsidRPr="00586EFB">
        <w:rPr>
          <w:rFonts w:ascii="DBS-Torah" w:hint="eastAsia"/>
          <w:rtl/>
        </w:rPr>
        <w:t>הכבאות</w:t>
      </w:r>
      <w:r w:rsidR="002E10F7" w:rsidRPr="00586EFB">
        <w:rPr>
          <w:rFonts w:ascii="DBS-Torah"/>
          <w:rtl/>
        </w:rPr>
        <w:t xml:space="preserve">, </w:t>
      </w:r>
      <w:r w:rsidR="002E10F7">
        <w:rPr>
          <w:rFonts w:ascii="DBS-Torah" w:hint="cs"/>
          <w:rtl/>
        </w:rPr>
        <w:t xml:space="preserve">יישום מודל אבטחה מדלגת בגני ילדים, תוכנית המשטרה לחיזוק מרחב דוד ואגן העיר העתיקה, </w:t>
      </w:r>
      <w:r w:rsidR="00EE4D85">
        <w:rPr>
          <w:rFonts w:ascii="DBS-Torah" w:hint="cs"/>
          <w:rtl/>
        </w:rPr>
        <w:t xml:space="preserve">יישום </w:t>
      </w:r>
      <w:r w:rsidR="002E10F7" w:rsidRPr="00141E73">
        <w:rPr>
          <w:rFonts w:ascii="DBS-Torah" w:hint="eastAsia"/>
          <w:rtl/>
        </w:rPr>
        <w:t>פסק</w:t>
      </w:r>
      <w:r w:rsidR="002E10F7" w:rsidRPr="00141E73">
        <w:rPr>
          <w:rFonts w:ascii="DBS-Torah"/>
          <w:rtl/>
        </w:rPr>
        <w:t xml:space="preserve"> </w:t>
      </w:r>
      <w:r w:rsidR="002E10F7" w:rsidRPr="00141E73">
        <w:rPr>
          <w:rFonts w:ascii="DBS-Torah" w:hint="eastAsia"/>
          <w:rtl/>
        </w:rPr>
        <w:t>הדין</w:t>
      </w:r>
      <w:r w:rsidR="002E10F7" w:rsidRPr="00141E73">
        <w:rPr>
          <w:rFonts w:ascii="DBS-Torah"/>
          <w:rtl/>
        </w:rPr>
        <w:t xml:space="preserve"> </w:t>
      </w:r>
      <w:r w:rsidR="002E10F7" w:rsidRPr="00141E73">
        <w:rPr>
          <w:rFonts w:ascii="DBS-Torah" w:hint="eastAsia"/>
          <w:rtl/>
        </w:rPr>
        <w:t>בבג</w:t>
      </w:r>
      <w:r w:rsidR="002E10F7" w:rsidRPr="00141E73">
        <w:rPr>
          <w:rFonts w:ascii="DBS-Torah"/>
          <w:rtl/>
        </w:rPr>
        <w:t xml:space="preserve">"צ 1892/14 </w:t>
      </w:r>
      <w:r w:rsidR="002E10F7" w:rsidRPr="00141E73">
        <w:rPr>
          <w:rFonts w:ascii="DBS-Torah" w:hint="eastAsia"/>
          <w:rtl/>
        </w:rPr>
        <w:t>האגודה</w:t>
      </w:r>
      <w:r w:rsidR="002E10F7" w:rsidRPr="00141E73">
        <w:rPr>
          <w:rFonts w:ascii="DBS-Torah"/>
          <w:rtl/>
        </w:rPr>
        <w:t xml:space="preserve"> </w:t>
      </w:r>
      <w:r w:rsidR="002E10F7" w:rsidRPr="00141E73">
        <w:rPr>
          <w:rFonts w:ascii="DBS-Torah" w:hint="eastAsia"/>
          <w:rtl/>
        </w:rPr>
        <w:t>לזכויות</w:t>
      </w:r>
      <w:r w:rsidR="002E10F7" w:rsidRPr="00141E73">
        <w:rPr>
          <w:rFonts w:ascii="DBS-Torah"/>
          <w:rtl/>
        </w:rPr>
        <w:t xml:space="preserve"> </w:t>
      </w:r>
      <w:r w:rsidR="002E10F7" w:rsidRPr="00141E73">
        <w:rPr>
          <w:rFonts w:ascii="DBS-Torah" w:hint="eastAsia"/>
          <w:rtl/>
        </w:rPr>
        <w:t>האזרח</w:t>
      </w:r>
      <w:r w:rsidR="002E10F7" w:rsidRPr="00141E73">
        <w:rPr>
          <w:rFonts w:ascii="DBS-Torah"/>
          <w:rtl/>
        </w:rPr>
        <w:t xml:space="preserve"> </w:t>
      </w:r>
      <w:r w:rsidR="002E10F7" w:rsidRPr="00141E73">
        <w:rPr>
          <w:rFonts w:ascii="DBS-Torah" w:hint="eastAsia"/>
          <w:rtl/>
        </w:rPr>
        <w:t>נ</w:t>
      </w:r>
      <w:r w:rsidR="002E10F7" w:rsidRPr="00141E73">
        <w:rPr>
          <w:rFonts w:ascii="DBS-Torah"/>
          <w:rtl/>
        </w:rPr>
        <w:t xml:space="preserve">' </w:t>
      </w:r>
      <w:r w:rsidR="002E10F7" w:rsidRPr="00141E73">
        <w:rPr>
          <w:rFonts w:ascii="DBS-Torah" w:hint="eastAsia"/>
          <w:rtl/>
        </w:rPr>
        <w:t>השר</w:t>
      </w:r>
      <w:r w:rsidR="002E10F7" w:rsidRPr="00141E73">
        <w:rPr>
          <w:rFonts w:ascii="DBS-Torah"/>
          <w:rtl/>
        </w:rPr>
        <w:t xml:space="preserve"> </w:t>
      </w:r>
      <w:r w:rsidR="002E10F7" w:rsidRPr="00141E73">
        <w:rPr>
          <w:rFonts w:ascii="DBS-Torah" w:hint="eastAsia"/>
          <w:rtl/>
        </w:rPr>
        <w:t>לביטחון</w:t>
      </w:r>
      <w:r w:rsidR="002E10F7" w:rsidRPr="00141E73">
        <w:rPr>
          <w:rFonts w:ascii="DBS-Torah"/>
          <w:rtl/>
        </w:rPr>
        <w:t xml:space="preserve"> </w:t>
      </w:r>
      <w:r w:rsidR="002E10F7" w:rsidRPr="00141E73">
        <w:rPr>
          <w:rFonts w:ascii="DBS-Torah" w:hint="eastAsia"/>
          <w:rtl/>
        </w:rPr>
        <w:t>הפנים</w:t>
      </w:r>
      <w:r w:rsidR="002E10F7" w:rsidRPr="00141E73">
        <w:rPr>
          <w:rFonts w:ascii="Arial" w:hAnsi="Arial" w:cs="Arial"/>
          <w:b/>
          <w:bCs/>
          <w:sz w:val="21"/>
          <w:szCs w:val="21"/>
          <w:rtl/>
        </w:rPr>
        <w:t xml:space="preserve"> </w:t>
      </w:r>
      <w:r w:rsidR="002E10F7" w:rsidRPr="00141E73">
        <w:rPr>
          <w:rFonts w:ascii="DBS-Torah" w:hint="eastAsia"/>
          <w:rtl/>
        </w:rPr>
        <w:t>לעניין</w:t>
      </w:r>
      <w:r w:rsidR="002E10F7" w:rsidRPr="00141E73">
        <w:rPr>
          <w:rFonts w:ascii="DBS-Torah"/>
          <w:rtl/>
        </w:rPr>
        <w:t xml:space="preserve"> </w:t>
      </w:r>
      <w:r w:rsidR="002E10F7" w:rsidRPr="00141E73">
        <w:rPr>
          <w:rFonts w:ascii="DBS-Torah" w:hint="eastAsia"/>
          <w:rtl/>
        </w:rPr>
        <w:t>שטח</w:t>
      </w:r>
      <w:r w:rsidR="002E10F7" w:rsidRPr="00141E73">
        <w:rPr>
          <w:rFonts w:ascii="DBS-Torah"/>
          <w:rtl/>
        </w:rPr>
        <w:t xml:space="preserve"> </w:t>
      </w:r>
      <w:r w:rsidR="002E10F7" w:rsidRPr="00141E73">
        <w:rPr>
          <w:rFonts w:ascii="DBS-Torah" w:hint="eastAsia"/>
          <w:rtl/>
        </w:rPr>
        <w:t>מחיה</w:t>
      </w:r>
      <w:r w:rsidR="002E10F7" w:rsidRPr="00141E73">
        <w:rPr>
          <w:rFonts w:ascii="DBS-Torah"/>
          <w:rtl/>
        </w:rPr>
        <w:t xml:space="preserve"> </w:t>
      </w:r>
      <w:r w:rsidR="002E10F7" w:rsidRPr="00141E73">
        <w:rPr>
          <w:rFonts w:ascii="DBS-Torah" w:hint="eastAsia"/>
          <w:rtl/>
        </w:rPr>
        <w:t>מינימלי</w:t>
      </w:r>
      <w:r w:rsidR="002E10F7" w:rsidRPr="00141E73">
        <w:rPr>
          <w:rFonts w:ascii="DBS-Torah"/>
          <w:rtl/>
        </w:rPr>
        <w:t xml:space="preserve"> </w:t>
      </w:r>
      <w:r w:rsidR="002E10F7" w:rsidRPr="00141E73">
        <w:rPr>
          <w:rFonts w:ascii="DBS-Torah" w:hint="eastAsia"/>
          <w:rtl/>
        </w:rPr>
        <w:t>לאסירים</w:t>
      </w:r>
      <w:r w:rsidR="00EE4D85">
        <w:rPr>
          <w:rFonts w:ascii="DBS-Torah" w:hint="cs"/>
          <w:rtl/>
        </w:rPr>
        <w:t>, בשלב זה לפי המתווה שהוצג לממשלה, ואשר לא התקבל בבית המשפט העליון,</w:t>
      </w:r>
      <w:r w:rsidR="002E10F7" w:rsidRPr="00586EFB">
        <w:rPr>
          <w:rFonts w:ascii="DBS-Torah"/>
          <w:rtl/>
        </w:rPr>
        <w:t xml:space="preserve"> </w:t>
      </w:r>
      <w:r w:rsidR="002E10F7" w:rsidRPr="00586EFB">
        <w:rPr>
          <w:rFonts w:ascii="DBS-Torah" w:hint="eastAsia"/>
          <w:rtl/>
        </w:rPr>
        <w:t>וכן</w:t>
      </w:r>
      <w:r w:rsidR="002E10F7" w:rsidRPr="00586EFB">
        <w:rPr>
          <w:rFonts w:ascii="DBS-Torah"/>
          <w:rtl/>
        </w:rPr>
        <w:t xml:space="preserve"> </w:t>
      </w:r>
      <w:r w:rsidR="002E10F7" w:rsidRPr="00586EFB">
        <w:rPr>
          <w:rFonts w:ascii="DBS-Torah" w:hint="eastAsia"/>
          <w:rtl/>
        </w:rPr>
        <w:t>נושאים</w:t>
      </w:r>
      <w:r w:rsidR="002E10F7" w:rsidRPr="00586EFB">
        <w:rPr>
          <w:rFonts w:ascii="DBS-Torah"/>
          <w:rtl/>
        </w:rPr>
        <w:t xml:space="preserve"> </w:t>
      </w:r>
      <w:r w:rsidR="002E10F7" w:rsidRPr="00586EFB">
        <w:rPr>
          <w:rFonts w:ascii="DBS-Torah" w:hint="eastAsia"/>
          <w:rtl/>
        </w:rPr>
        <w:t>נוספים</w:t>
      </w:r>
      <w:r w:rsidR="002E10F7" w:rsidRPr="00586EFB">
        <w:rPr>
          <w:rFonts w:ascii="DBS-Torah"/>
          <w:rtl/>
        </w:rPr>
        <w:t xml:space="preserve">. </w:t>
      </w:r>
    </w:p>
    <w:p w:rsidR="00DC4053" w:rsidRPr="00B94448" w:rsidRDefault="00DC4053" w:rsidP="00DC4053">
      <w:pPr>
        <w:pStyle w:val="a7"/>
        <w:numPr>
          <w:ilvl w:val="0"/>
          <w:numId w:val="11"/>
        </w:numPr>
        <w:tabs>
          <w:tab w:val="left" w:pos="340"/>
        </w:tabs>
        <w:suppressAutoHyphens/>
        <w:autoSpaceDE w:val="0"/>
        <w:autoSpaceDN w:val="0"/>
        <w:adjustRightInd w:val="0"/>
        <w:textAlignment w:val="center"/>
        <w:rPr>
          <w:rFonts w:ascii="DBS-Torah"/>
        </w:rPr>
      </w:pPr>
      <w:r w:rsidRPr="00B94448">
        <w:rPr>
          <w:rFonts w:ascii="DBS-Torah" w:hint="cs"/>
          <w:rtl/>
        </w:rPr>
        <w:t>עוד נכללים</w:t>
      </w:r>
      <w:r>
        <w:rPr>
          <w:rFonts w:ascii="DBS-Torah" w:hint="cs"/>
          <w:rtl/>
        </w:rPr>
        <w:t xml:space="preserve"> בקבוצת משרדים זו העלויות הצפויות בגין גופים נוספים במערכת הביטחון. </w:t>
      </w:r>
    </w:p>
    <w:p w:rsidR="00DC4053" w:rsidRPr="00B8536C" w:rsidRDefault="00DC4053" w:rsidP="00DC4053">
      <w:pPr>
        <w:tabs>
          <w:tab w:val="left" w:pos="340"/>
        </w:tabs>
        <w:suppressAutoHyphens/>
        <w:autoSpaceDE w:val="0"/>
        <w:autoSpaceDN w:val="0"/>
        <w:adjustRightInd w:val="0"/>
        <w:ind w:left="360"/>
        <w:contextualSpacing/>
        <w:textAlignment w:val="center"/>
        <w:rPr>
          <w:rFonts w:ascii="DBS-Torah"/>
          <w:rtl/>
        </w:rPr>
      </w:pPr>
      <w:r w:rsidRPr="00B8536C">
        <w:rPr>
          <w:rFonts w:ascii="DBS-Torah"/>
          <w:b/>
          <w:bCs/>
          <w:rtl/>
        </w:rPr>
        <w:t xml:space="preserve"> ביחס לפרסום הקודם, השינוי העיקרי בקבוצת המשרדים הזו הוא:</w:t>
      </w:r>
    </w:p>
    <w:p w:rsidR="005F7FE6" w:rsidRPr="005F7FE6" w:rsidRDefault="00DC4053" w:rsidP="005971AC">
      <w:pPr>
        <w:pStyle w:val="a7"/>
        <w:numPr>
          <w:ilvl w:val="0"/>
          <w:numId w:val="28"/>
        </w:numPr>
        <w:tabs>
          <w:tab w:val="left" w:pos="340"/>
        </w:tabs>
        <w:suppressAutoHyphens/>
        <w:autoSpaceDE w:val="0"/>
        <w:autoSpaceDN w:val="0"/>
        <w:adjustRightInd w:val="0"/>
        <w:textAlignment w:val="center"/>
      </w:pPr>
      <w:r w:rsidRPr="001E1494">
        <w:rPr>
          <w:rFonts w:ascii="DBS-Torah" w:hint="eastAsia"/>
          <w:rtl/>
        </w:rPr>
        <w:t>ההוצאה</w:t>
      </w:r>
      <w:r w:rsidRPr="001E1494">
        <w:rPr>
          <w:rFonts w:ascii="DBS-Torah"/>
          <w:rtl/>
        </w:rPr>
        <w:t xml:space="preserve"> הצפויה </w:t>
      </w:r>
      <w:r w:rsidRPr="001E1494">
        <w:rPr>
          <w:rFonts w:ascii="DBS-Torah" w:hint="eastAsia"/>
          <w:rtl/>
        </w:rPr>
        <w:t>על</w:t>
      </w:r>
      <w:r w:rsidRPr="001E1494">
        <w:rPr>
          <w:rFonts w:ascii="DBS-Torah"/>
          <w:rtl/>
        </w:rPr>
        <w:t xml:space="preserve"> </w:t>
      </w:r>
      <w:r w:rsidRPr="001E1494">
        <w:rPr>
          <w:rFonts w:ascii="DBS-Torah" w:hint="eastAsia"/>
          <w:b/>
          <w:bCs/>
          <w:rtl/>
        </w:rPr>
        <w:t>תקציב</w:t>
      </w:r>
      <w:r w:rsidRPr="001E1494">
        <w:rPr>
          <w:rFonts w:ascii="DBS-Torah"/>
          <w:b/>
          <w:bCs/>
          <w:rtl/>
        </w:rPr>
        <w:t xml:space="preserve"> </w:t>
      </w:r>
      <w:r w:rsidRPr="001E1494">
        <w:rPr>
          <w:rFonts w:ascii="DBS-Torah" w:hint="eastAsia"/>
          <w:b/>
          <w:bCs/>
          <w:rtl/>
        </w:rPr>
        <w:t>מערכת</w:t>
      </w:r>
      <w:r w:rsidRPr="001E1494">
        <w:rPr>
          <w:rFonts w:ascii="DBS-Torah"/>
          <w:b/>
          <w:bCs/>
          <w:rtl/>
        </w:rPr>
        <w:t xml:space="preserve"> </w:t>
      </w:r>
      <w:r w:rsidRPr="001E1494">
        <w:rPr>
          <w:rFonts w:ascii="DBS-Torah" w:hint="eastAsia"/>
          <w:b/>
          <w:bCs/>
          <w:rtl/>
        </w:rPr>
        <w:t>הביטחון</w:t>
      </w:r>
      <w:r w:rsidRPr="001E1494">
        <w:rPr>
          <w:rFonts w:ascii="DBS-Torah"/>
          <w:rtl/>
        </w:rPr>
        <w:t xml:space="preserve"> </w:t>
      </w:r>
      <w:r w:rsidR="00335892">
        <w:rPr>
          <w:rFonts w:ascii="DBS-Torah" w:hint="cs"/>
          <w:rtl/>
        </w:rPr>
        <w:t xml:space="preserve">גדלה </w:t>
      </w:r>
      <w:r w:rsidR="0057081B">
        <w:rPr>
          <w:rFonts w:ascii="DBS-Torah" w:hint="cs"/>
          <w:rtl/>
        </w:rPr>
        <w:t>ב</w:t>
      </w:r>
      <w:r w:rsidRPr="001E1494">
        <w:rPr>
          <w:rFonts w:ascii="DBS-Torah"/>
          <w:rtl/>
        </w:rPr>
        <w:t>שנים</w:t>
      </w:r>
      <w:r w:rsidR="00335892">
        <w:rPr>
          <w:rFonts w:ascii="DBS-Torah" w:hint="cs"/>
          <w:rtl/>
        </w:rPr>
        <w:t xml:space="preserve"> 2020-2022</w:t>
      </w:r>
      <w:r w:rsidR="00335892">
        <w:rPr>
          <w:rFonts w:hint="cs"/>
          <w:rtl/>
        </w:rPr>
        <w:t xml:space="preserve"> </w:t>
      </w:r>
      <w:r w:rsidR="002B193F">
        <w:rPr>
          <w:rFonts w:hint="cs"/>
          <w:rtl/>
        </w:rPr>
        <w:t>ב</w:t>
      </w:r>
      <w:r w:rsidR="00F03E3E">
        <w:rPr>
          <w:rFonts w:hint="cs"/>
          <w:rtl/>
        </w:rPr>
        <w:t>כ</w:t>
      </w:r>
      <w:r w:rsidR="002B193F">
        <w:rPr>
          <w:rFonts w:hint="cs"/>
          <w:rtl/>
        </w:rPr>
        <w:t>-</w:t>
      </w:r>
      <w:r w:rsidR="00B228DF">
        <w:rPr>
          <w:rFonts w:hint="cs"/>
          <w:rtl/>
        </w:rPr>
        <w:t>0.2</w:t>
      </w:r>
      <w:r w:rsidR="0057081B">
        <w:rPr>
          <w:rFonts w:hint="cs"/>
          <w:rtl/>
        </w:rPr>
        <w:t xml:space="preserve"> מיליארד </w:t>
      </w:r>
      <w:r w:rsidR="002B193F">
        <w:rPr>
          <w:rFonts w:hint="cs"/>
          <w:rtl/>
        </w:rPr>
        <w:t>ש"ח</w:t>
      </w:r>
      <w:r w:rsidR="00EE4D85">
        <w:rPr>
          <w:rFonts w:hint="cs"/>
          <w:rtl/>
        </w:rPr>
        <w:t>,</w:t>
      </w:r>
      <w:r w:rsidR="002B193F">
        <w:rPr>
          <w:rFonts w:hint="cs"/>
          <w:rtl/>
        </w:rPr>
        <w:t xml:space="preserve"> </w:t>
      </w:r>
      <w:r w:rsidR="00EE4D85">
        <w:rPr>
          <w:rFonts w:hint="cs"/>
          <w:rtl/>
        </w:rPr>
        <w:t>ו</w:t>
      </w:r>
      <w:r w:rsidR="005F7FE6" w:rsidRPr="005F7FE6">
        <w:rPr>
          <w:rtl/>
        </w:rPr>
        <w:t>זאת</w:t>
      </w:r>
      <w:r w:rsidR="00EE4D85">
        <w:rPr>
          <w:rFonts w:hint="cs"/>
          <w:rtl/>
        </w:rPr>
        <w:t>,</w:t>
      </w:r>
      <w:r w:rsidR="005F7FE6" w:rsidRPr="005F7FE6">
        <w:rPr>
          <w:rtl/>
        </w:rPr>
        <w:t xml:space="preserve"> </w:t>
      </w:r>
      <w:r w:rsidR="002B193F">
        <w:rPr>
          <w:rFonts w:hint="cs"/>
          <w:rtl/>
        </w:rPr>
        <w:t>בין היתר</w:t>
      </w:r>
      <w:r w:rsidR="00EE4D85">
        <w:rPr>
          <w:rFonts w:hint="cs"/>
          <w:rtl/>
        </w:rPr>
        <w:t>,</w:t>
      </w:r>
      <w:r w:rsidR="005F7FE6" w:rsidRPr="005F7FE6">
        <w:rPr>
          <w:rtl/>
        </w:rPr>
        <w:t xml:space="preserve"> לאור עדכון המדדים החזויים לנתוני הלשכה המרכזית לסטטיסטיקה בפועל, בהתאם לסיכום התקציבי בין משרד הביטחון למשרד האוצר.</w:t>
      </w:r>
    </w:p>
    <w:p w:rsidR="002E10F7" w:rsidRPr="00ED1F1E" w:rsidRDefault="00DC4053" w:rsidP="00EE4D85">
      <w:pPr>
        <w:pStyle w:val="a7"/>
        <w:numPr>
          <w:ilvl w:val="0"/>
          <w:numId w:val="28"/>
        </w:numPr>
        <w:tabs>
          <w:tab w:val="left" w:pos="340"/>
        </w:tabs>
        <w:suppressAutoHyphens/>
        <w:autoSpaceDE w:val="0"/>
        <w:autoSpaceDN w:val="0"/>
        <w:adjustRightInd w:val="0"/>
        <w:textAlignment w:val="center"/>
        <w:rPr>
          <w:rFonts w:ascii="DBS-Torah"/>
          <w:rtl/>
        </w:rPr>
      </w:pPr>
      <w:r w:rsidRPr="001E1494">
        <w:rPr>
          <w:rFonts w:ascii="DBS-Torah" w:hint="eastAsia"/>
          <w:rtl/>
        </w:rPr>
        <w:t>ההוצאה</w:t>
      </w:r>
      <w:r w:rsidRPr="001E1494">
        <w:rPr>
          <w:rFonts w:ascii="DBS-Torah"/>
          <w:rtl/>
        </w:rPr>
        <w:t xml:space="preserve"> הצפויה על תקציב </w:t>
      </w:r>
      <w:r w:rsidRPr="001E1494">
        <w:rPr>
          <w:rFonts w:ascii="DBS-Torah" w:hint="eastAsia"/>
          <w:b/>
          <w:bCs/>
          <w:rtl/>
        </w:rPr>
        <w:t>המשרד</w:t>
      </w:r>
      <w:r w:rsidRPr="001E1494">
        <w:rPr>
          <w:rFonts w:ascii="DBS-Torah"/>
          <w:b/>
          <w:bCs/>
          <w:rtl/>
        </w:rPr>
        <w:t xml:space="preserve"> </w:t>
      </w:r>
      <w:r w:rsidRPr="001E1494">
        <w:rPr>
          <w:rFonts w:ascii="DBS-Torah" w:hint="eastAsia"/>
          <w:b/>
          <w:bCs/>
          <w:rtl/>
        </w:rPr>
        <w:t>לביטחון</w:t>
      </w:r>
      <w:r w:rsidRPr="001E1494">
        <w:rPr>
          <w:rFonts w:ascii="DBS-Torah"/>
          <w:b/>
          <w:bCs/>
          <w:rtl/>
        </w:rPr>
        <w:t xml:space="preserve"> </w:t>
      </w:r>
      <w:r>
        <w:rPr>
          <w:rFonts w:ascii="DBS-Torah" w:hint="cs"/>
          <w:b/>
          <w:bCs/>
          <w:rtl/>
        </w:rPr>
        <w:t>ה</w:t>
      </w:r>
      <w:r w:rsidRPr="001E1494">
        <w:rPr>
          <w:rFonts w:ascii="DBS-Torah" w:hint="eastAsia"/>
          <w:b/>
          <w:bCs/>
          <w:rtl/>
        </w:rPr>
        <w:t>פנים</w:t>
      </w:r>
      <w:r w:rsidRPr="001E1494">
        <w:rPr>
          <w:rFonts w:ascii="DBS-Torah"/>
          <w:rtl/>
        </w:rPr>
        <w:t xml:space="preserve"> גדלה בממוצע </w:t>
      </w:r>
      <w:r w:rsidRPr="001E1494">
        <w:rPr>
          <w:rFonts w:ascii="DBS-Torah" w:hint="cs"/>
          <w:rtl/>
        </w:rPr>
        <w:t>בכ</w:t>
      </w:r>
      <w:r w:rsidRPr="001E1494">
        <w:rPr>
          <w:rFonts w:ascii="DBS-Torah"/>
          <w:rtl/>
        </w:rPr>
        <w:t>-</w:t>
      </w:r>
      <w:r w:rsidR="0086781D">
        <w:rPr>
          <w:rFonts w:ascii="DBS-Torah" w:hint="cs"/>
          <w:rtl/>
        </w:rPr>
        <w:t xml:space="preserve">1 </w:t>
      </w:r>
      <w:r w:rsidRPr="001E1494">
        <w:rPr>
          <w:rFonts w:ascii="DBS-Torah" w:hint="cs"/>
          <w:rtl/>
        </w:rPr>
        <w:t>מיליארד</w:t>
      </w:r>
      <w:r w:rsidRPr="001E1494">
        <w:rPr>
          <w:rFonts w:ascii="DBS-Torah"/>
          <w:rtl/>
        </w:rPr>
        <w:t xml:space="preserve"> ש"ח בכל אחת מהשנים </w:t>
      </w:r>
      <w:r w:rsidR="0086781D">
        <w:rPr>
          <w:rFonts w:ascii="DBS-Torah" w:hint="cs"/>
          <w:rtl/>
        </w:rPr>
        <w:t>2020-2022,</w:t>
      </w:r>
      <w:r w:rsidRPr="001E1494">
        <w:rPr>
          <w:rFonts w:ascii="DBS-Torah"/>
          <w:rtl/>
        </w:rPr>
        <w:t xml:space="preserve"> </w:t>
      </w:r>
      <w:r w:rsidR="002B193F">
        <w:rPr>
          <w:rFonts w:ascii="DBS-Torah" w:hint="cs"/>
          <w:rtl/>
        </w:rPr>
        <w:t xml:space="preserve">בעיקר </w:t>
      </w:r>
      <w:r w:rsidRPr="001E1494">
        <w:rPr>
          <w:rFonts w:ascii="DBS-Torah" w:hint="eastAsia"/>
          <w:rtl/>
        </w:rPr>
        <w:t>כתוצא</w:t>
      </w:r>
      <w:r>
        <w:rPr>
          <w:rFonts w:ascii="DBS-Torah" w:hint="cs"/>
          <w:rtl/>
        </w:rPr>
        <w:t>ה</w:t>
      </w:r>
      <w:r w:rsidRPr="001E1494">
        <w:rPr>
          <w:rtl/>
        </w:rPr>
        <w:t xml:space="preserve"> </w:t>
      </w:r>
      <w:r w:rsidR="002E10F7">
        <w:rPr>
          <w:rFonts w:hint="cs"/>
          <w:rtl/>
        </w:rPr>
        <w:t>מ</w:t>
      </w:r>
      <w:r w:rsidR="0073187A">
        <w:rPr>
          <w:rFonts w:hint="cs"/>
          <w:rtl/>
        </w:rPr>
        <w:t xml:space="preserve">אישור </w:t>
      </w:r>
      <w:r w:rsidR="002E10F7" w:rsidRPr="00ED1F1E">
        <w:rPr>
          <w:rFonts w:ascii="DBS-Torah"/>
          <w:rtl/>
        </w:rPr>
        <w:t xml:space="preserve">תוספת שכר חלף תוספת "היעדר </w:t>
      </w:r>
      <w:r w:rsidR="0073187A">
        <w:rPr>
          <w:rFonts w:ascii="DBS-Torah" w:hint="cs"/>
          <w:rtl/>
        </w:rPr>
        <w:t>ביטחון תעסוקתי</w:t>
      </w:r>
      <w:r w:rsidR="002E10F7" w:rsidRPr="00ED1F1E">
        <w:rPr>
          <w:rFonts w:ascii="DBS-Torah"/>
          <w:rtl/>
        </w:rPr>
        <w:t xml:space="preserve">" למשרתי מערכת הביטחון </w:t>
      </w:r>
      <w:r w:rsidR="0073187A">
        <w:rPr>
          <w:rFonts w:ascii="DBS-Torah" w:hint="cs"/>
          <w:rtl/>
        </w:rPr>
        <w:t xml:space="preserve">בשיעור ממוצע של כ-7% </w:t>
      </w:r>
      <w:r w:rsidR="002E10F7" w:rsidRPr="00ED1F1E">
        <w:rPr>
          <w:rFonts w:ascii="DBS-Torah"/>
          <w:rtl/>
        </w:rPr>
        <w:t>שאושרה בהחלטת הממשלה</w:t>
      </w:r>
      <w:r w:rsidR="00EE4D85">
        <w:rPr>
          <w:rFonts w:ascii="DBS-Torah" w:hint="cs"/>
          <w:rtl/>
        </w:rPr>
        <w:t xml:space="preserve"> מס'</w:t>
      </w:r>
      <w:r w:rsidR="002E10F7" w:rsidRPr="00ED1F1E">
        <w:rPr>
          <w:rFonts w:ascii="DBS-Torah"/>
          <w:rtl/>
        </w:rPr>
        <w:t xml:space="preserve"> 4280 מיום </w:t>
      </w:r>
      <w:r w:rsidR="00EE4D85">
        <w:rPr>
          <w:rFonts w:ascii="DBS-Torah" w:hint="cs"/>
          <w:rtl/>
        </w:rPr>
        <w:t>18 בנובמבר 2018</w:t>
      </w:r>
      <w:r w:rsidR="002E10F7" w:rsidRPr="00ED1F1E">
        <w:rPr>
          <w:rFonts w:ascii="DBS-Torah"/>
          <w:rtl/>
        </w:rPr>
        <w:t>. התוספת משולמת לאנשי הקבע המובהק בצה"ל (מדרגת רס"ן ומעלה, למעט הרמטכ"ל) החל משנת 2006 ו-2007 בהתאם להסכמי שכר שנחתמו בין צה"ל ומשרד האוצר</w:t>
      </w:r>
      <w:r w:rsidR="00EE4D85">
        <w:rPr>
          <w:rFonts w:ascii="DBS-Torah" w:hint="cs"/>
          <w:rtl/>
        </w:rPr>
        <w:t>, וזאת בשכ</w:t>
      </w:r>
      <w:r w:rsidR="00E904B4">
        <w:rPr>
          <w:rFonts w:ascii="DBS-Torah" w:hint="cs"/>
          <w:rtl/>
        </w:rPr>
        <w:t>ר</w:t>
      </w:r>
      <w:r w:rsidR="00EE4D85">
        <w:rPr>
          <w:rFonts w:ascii="DBS-Torah" w:hint="cs"/>
          <w:rtl/>
        </w:rPr>
        <w:t>ם ובגמלתם</w:t>
      </w:r>
      <w:r w:rsidR="002E10F7" w:rsidRPr="00ED1F1E">
        <w:rPr>
          <w:rFonts w:ascii="DBS-Torah"/>
          <w:rtl/>
        </w:rPr>
        <w:t xml:space="preserve">. נציגי השוטרים, ונציגי </w:t>
      </w:r>
      <w:r w:rsidR="0073187A">
        <w:rPr>
          <w:rFonts w:ascii="DBS-Torah" w:hint="cs"/>
          <w:rtl/>
        </w:rPr>
        <w:t xml:space="preserve">אנשי השירותים </w:t>
      </w:r>
      <w:r w:rsidR="002E10F7" w:rsidRPr="00ED1F1E">
        <w:rPr>
          <w:rFonts w:ascii="DBS-Torah"/>
          <w:rtl/>
        </w:rPr>
        <w:t xml:space="preserve">ניהלו הליכים משפטיים על מנת לקבל את </w:t>
      </w:r>
      <w:r w:rsidR="0073187A">
        <w:rPr>
          <w:rFonts w:ascii="DBS-Torah" w:hint="cs"/>
          <w:rtl/>
        </w:rPr>
        <w:t>התוספת</w:t>
      </w:r>
      <w:r w:rsidR="002E10F7" w:rsidRPr="00ED1F1E">
        <w:rPr>
          <w:rFonts w:ascii="DBS-Torah"/>
          <w:rtl/>
        </w:rPr>
        <w:t>. לבסוף, החליטה הממשלה, כאמור, על תשלום תוספת השכר חלף התוספת שנקבעה בצה"ל</w:t>
      </w:r>
      <w:r w:rsidR="0073187A">
        <w:rPr>
          <w:rFonts w:ascii="DBS-Torah" w:hint="cs"/>
          <w:rtl/>
        </w:rPr>
        <w:t xml:space="preserve"> לשכרם ולגמלתם</w:t>
      </w:r>
      <w:r w:rsidR="002E10F7" w:rsidRPr="00ED1F1E">
        <w:rPr>
          <w:rFonts w:ascii="DBS-Torah"/>
          <w:rtl/>
        </w:rPr>
        <w:t>.</w:t>
      </w:r>
      <w:r w:rsidR="00185546">
        <w:rPr>
          <w:rFonts w:ascii="DBS-Torah" w:hint="cs"/>
          <w:rtl/>
        </w:rPr>
        <w:t xml:space="preserve"> תשלום התוספת מותנה בקיום התנאים המפורטים בהחלטת הממשלה לרבות קבלת הסכמתם</w:t>
      </w:r>
      <w:r w:rsidR="000219DC">
        <w:rPr>
          <w:rFonts w:ascii="DBS-Torah" w:hint="cs"/>
          <w:rtl/>
        </w:rPr>
        <w:t xml:space="preserve"> להסדר</w:t>
      </w:r>
      <w:r w:rsidR="00185546">
        <w:rPr>
          <w:rFonts w:ascii="DBS-Torah" w:hint="cs"/>
          <w:rtl/>
        </w:rPr>
        <w:t xml:space="preserve"> של 95% ממשרתי הביטחון</w:t>
      </w:r>
      <w:r w:rsidR="0060658F">
        <w:rPr>
          <w:rFonts w:ascii="DBS-Torah" w:hint="cs"/>
          <w:rtl/>
        </w:rPr>
        <w:t xml:space="preserve"> הרלוונטיים</w:t>
      </w:r>
      <w:r w:rsidR="00185546">
        <w:rPr>
          <w:rFonts w:ascii="DBS-Torah" w:hint="cs"/>
          <w:rtl/>
        </w:rPr>
        <w:t>.</w:t>
      </w:r>
    </w:p>
    <w:p w:rsidR="00DC4053" w:rsidRPr="009D14C0" w:rsidRDefault="00DC4053" w:rsidP="00DC4053">
      <w:pPr>
        <w:pStyle w:val="a7"/>
        <w:numPr>
          <w:ilvl w:val="0"/>
          <w:numId w:val="27"/>
        </w:numPr>
        <w:rPr>
          <w:b/>
          <w:bCs/>
        </w:rPr>
      </w:pPr>
      <w:r w:rsidRPr="009D14C0">
        <w:rPr>
          <w:rFonts w:hint="eastAsia"/>
          <w:b/>
          <w:bCs/>
          <w:rtl/>
        </w:rPr>
        <w:t>השירותים</w:t>
      </w:r>
      <w:r w:rsidRPr="009D14C0">
        <w:rPr>
          <w:b/>
          <w:bCs/>
          <w:rtl/>
        </w:rPr>
        <w:t xml:space="preserve"> החברתיים </w:t>
      </w:r>
    </w:p>
    <w:p w:rsidR="00DC4053" w:rsidRPr="00B8536C" w:rsidRDefault="00DC4053" w:rsidP="00DC4053">
      <w:pPr>
        <w:pStyle w:val="a7"/>
        <w:numPr>
          <w:ilvl w:val="0"/>
          <w:numId w:val="11"/>
        </w:numPr>
      </w:pPr>
      <w:r w:rsidRPr="009D14C0">
        <w:rPr>
          <w:rFonts w:hint="eastAsia"/>
          <w:rtl/>
        </w:rPr>
        <w:t>ההוצאה</w:t>
      </w:r>
      <w:r w:rsidRPr="009D14C0">
        <w:rPr>
          <w:rtl/>
        </w:rPr>
        <w:t xml:space="preserve"> לשירותים החברתיים כוללת את הוצאות משרד החינוך, לרבות מערכת ההשכלה הגבוהה, משרד הבריאות (בתוספת השתתפות בסל בריאות), משרד הרווחה, המשרד לקליטת העלייה, משרדי המדע התרבות והספורט והרשות לזכויות ניצולי השואה. </w:t>
      </w:r>
    </w:p>
    <w:p w:rsidR="00DC4053" w:rsidRPr="00B8536C" w:rsidRDefault="00DC4053" w:rsidP="00DC4053">
      <w:pPr>
        <w:pStyle w:val="a7"/>
        <w:numPr>
          <w:ilvl w:val="0"/>
          <w:numId w:val="11"/>
        </w:numPr>
      </w:pPr>
      <w:r w:rsidRPr="00B8536C">
        <w:rPr>
          <w:rFonts w:hint="cs"/>
          <w:rtl/>
        </w:rPr>
        <w:t>באשכול</w:t>
      </w:r>
      <w:r w:rsidRPr="00B8536C">
        <w:rPr>
          <w:rtl/>
        </w:rPr>
        <w:t xml:space="preserve"> זה לא נכללות הוצאות בגין שירותים חברתיים של משרדים אחרים</w:t>
      </w:r>
      <w:r>
        <w:rPr>
          <w:rFonts w:hint="cs"/>
          <w:rtl/>
        </w:rPr>
        <w:t>,</w:t>
      </w:r>
      <w:r w:rsidRPr="00B8536C">
        <w:rPr>
          <w:rtl/>
        </w:rPr>
        <w:t xml:space="preserve"> </w:t>
      </w:r>
      <w:r w:rsidRPr="00B8536C">
        <w:rPr>
          <w:rFonts w:hint="cs"/>
          <w:rtl/>
        </w:rPr>
        <w:t>כ</w:t>
      </w:r>
      <w:r>
        <w:rPr>
          <w:rFonts w:hint="cs"/>
          <w:rtl/>
        </w:rPr>
        <w:t>גון</w:t>
      </w:r>
      <w:r w:rsidR="00EE4D85">
        <w:rPr>
          <w:rFonts w:hint="cs"/>
          <w:rtl/>
        </w:rPr>
        <w:t xml:space="preserve">: </w:t>
      </w:r>
      <w:r>
        <w:rPr>
          <w:rFonts w:hint="cs"/>
          <w:rtl/>
        </w:rPr>
        <w:t>משרד ה</w:t>
      </w:r>
      <w:r w:rsidR="00EE4D85">
        <w:rPr>
          <w:rFonts w:hint="cs"/>
          <w:rtl/>
        </w:rPr>
        <w:t>בינוי וה</w:t>
      </w:r>
      <w:r w:rsidRPr="00B8536C">
        <w:rPr>
          <w:rtl/>
        </w:rPr>
        <w:t>שיכון. כמו כן, החלק בהוצאות על שירותים חברתיים, הממומן באמצעות מ</w:t>
      </w:r>
      <w:r>
        <w:rPr>
          <w:rFonts w:hint="cs"/>
          <w:rtl/>
        </w:rPr>
        <w:t>י</w:t>
      </w:r>
      <w:r w:rsidRPr="00B8536C">
        <w:rPr>
          <w:rtl/>
        </w:rPr>
        <w:t xml:space="preserve">סים ייעודים הנגבים ישירות מהציבור (מס בריאות וביטוח לאומי), אינו מופיע בתקציב המדינה, ולכן אינו נכלל באשכול זה. </w:t>
      </w:r>
    </w:p>
    <w:p w:rsidR="00DC4053" w:rsidRPr="00B8536C" w:rsidRDefault="00DC4053" w:rsidP="00DC4053">
      <w:pPr>
        <w:pStyle w:val="a7"/>
        <w:numPr>
          <w:ilvl w:val="0"/>
          <w:numId w:val="11"/>
        </w:numPr>
      </w:pPr>
      <w:r w:rsidRPr="00B8536C">
        <w:rPr>
          <w:rFonts w:hint="cs"/>
          <w:rtl/>
        </w:rPr>
        <w:t>ההוצאה</w:t>
      </w:r>
      <w:r w:rsidRPr="00B8536C">
        <w:rPr>
          <w:rtl/>
        </w:rPr>
        <w:t xml:space="preserve"> </w:t>
      </w:r>
      <w:r w:rsidRPr="00B8536C">
        <w:rPr>
          <w:rFonts w:hint="cs"/>
          <w:rtl/>
        </w:rPr>
        <w:t>בתקציב</w:t>
      </w:r>
      <w:r w:rsidRPr="00B8536C">
        <w:rPr>
          <w:rtl/>
        </w:rPr>
        <w:t xml:space="preserve"> </w:t>
      </w:r>
      <w:r w:rsidRPr="00B8536C">
        <w:rPr>
          <w:rFonts w:hint="cs"/>
          <w:rtl/>
        </w:rPr>
        <w:t>המקורי</w:t>
      </w:r>
      <w:r w:rsidRPr="00B8536C">
        <w:rPr>
          <w:rtl/>
        </w:rPr>
        <w:t xml:space="preserve"> </w:t>
      </w:r>
      <w:r w:rsidRPr="00B8536C">
        <w:rPr>
          <w:rFonts w:hint="cs"/>
          <w:rtl/>
        </w:rPr>
        <w:t>לשנת</w:t>
      </w:r>
      <w:r w:rsidRPr="00B8536C">
        <w:rPr>
          <w:rtl/>
        </w:rPr>
        <w:t xml:space="preserve"> </w:t>
      </w:r>
      <w:r>
        <w:rPr>
          <w:rFonts w:hint="cs"/>
          <w:rtl/>
        </w:rPr>
        <w:t>2019</w:t>
      </w:r>
      <w:r w:rsidRPr="00B8536C">
        <w:rPr>
          <w:rtl/>
        </w:rPr>
        <w:t xml:space="preserve"> </w:t>
      </w:r>
      <w:r w:rsidRPr="00B8536C">
        <w:rPr>
          <w:rFonts w:hint="cs"/>
          <w:rtl/>
        </w:rPr>
        <w:t>על</w:t>
      </w:r>
      <w:r w:rsidRPr="00B8536C">
        <w:rPr>
          <w:rtl/>
        </w:rPr>
        <w:t xml:space="preserve"> </w:t>
      </w:r>
      <w:r w:rsidRPr="00B8536C">
        <w:rPr>
          <w:rFonts w:hint="cs"/>
          <w:rtl/>
        </w:rPr>
        <w:t>אשכול</w:t>
      </w:r>
      <w:r w:rsidRPr="00B8536C">
        <w:rPr>
          <w:rtl/>
        </w:rPr>
        <w:t xml:space="preserve"> </w:t>
      </w:r>
      <w:r w:rsidRPr="00B8536C">
        <w:rPr>
          <w:rFonts w:hint="cs"/>
          <w:rtl/>
        </w:rPr>
        <w:t>השירותים</w:t>
      </w:r>
      <w:r w:rsidRPr="00B8536C">
        <w:rPr>
          <w:rtl/>
        </w:rPr>
        <w:t xml:space="preserve"> </w:t>
      </w:r>
      <w:r w:rsidRPr="00B8536C">
        <w:rPr>
          <w:rFonts w:hint="cs"/>
          <w:rtl/>
        </w:rPr>
        <w:t>החברתיים</w:t>
      </w:r>
      <w:r w:rsidRPr="00B8536C">
        <w:rPr>
          <w:rtl/>
        </w:rPr>
        <w:t xml:space="preserve"> </w:t>
      </w:r>
      <w:r w:rsidRPr="00B8536C">
        <w:rPr>
          <w:rFonts w:hint="cs"/>
          <w:rtl/>
        </w:rPr>
        <w:t>עומדת</w:t>
      </w:r>
      <w:r w:rsidRPr="00B8536C">
        <w:rPr>
          <w:rtl/>
        </w:rPr>
        <w:t xml:space="preserve"> </w:t>
      </w:r>
      <w:r w:rsidRPr="00B8536C">
        <w:rPr>
          <w:rFonts w:hint="cs"/>
          <w:rtl/>
        </w:rPr>
        <w:t>על</w:t>
      </w:r>
      <w:r w:rsidRPr="00B8536C">
        <w:rPr>
          <w:rtl/>
        </w:rPr>
        <w:t xml:space="preserve"> </w:t>
      </w:r>
      <w:r w:rsidRPr="00B8536C">
        <w:rPr>
          <w:rFonts w:hint="cs"/>
          <w:rtl/>
        </w:rPr>
        <w:t>כ</w:t>
      </w:r>
      <w:r w:rsidRPr="00B8536C">
        <w:rPr>
          <w:rtl/>
        </w:rPr>
        <w:t>-</w:t>
      </w:r>
      <w:r>
        <w:rPr>
          <w:rFonts w:hint="cs"/>
          <w:rtl/>
        </w:rPr>
        <w:t xml:space="preserve">177.8 </w:t>
      </w:r>
      <w:r w:rsidRPr="00B8536C">
        <w:rPr>
          <w:rFonts w:hint="cs"/>
          <w:rtl/>
        </w:rPr>
        <w:t>מיליארד</w:t>
      </w:r>
      <w:r w:rsidRPr="00B8536C">
        <w:rPr>
          <w:rtl/>
        </w:rPr>
        <w:t xml:space="preserve"> </w:t>
      </w:r>
      <w:r w:rsidRPr="00B8536C">
        <w:rPr>
          <w:rFonts w:hint="cs"/>
          <w:rtl/>
        </w:rPr>
        <w:t>ש</w:t>
      </w:r>
      <w:r w:rsidRPr="00B8536C">
        <w:rPr>
          <w:rtl/>
        </w:rPr>
        <w:t xml:space="preserve">"ח </w:t>
      </w:r>
      <w:r w:rsidRPr="00B8536C">
        <w:rPr>
          <w:rFonts w:hint="cs"/>
          <w:rtl/>
        </w:rPr>
        <w:t>המהווים</w:t>
      </w:r>
      <w:r w:rsidRPr="00B8536C">
        <w:rPr>
          <w:rtl/>
        </w:rPr>
        <w:t xml:space="preserve"> </w:t>
      </w:r>
      <w:r w:rsidRPr="00B8536C">
        <w:rPr>
          <w:rFonts w:hint="cs"/>
          <w:rtl/>
        </w:rPr>
        <w:t>כ</w:t>
      </w:r>
      <w:r w:rsidRPr="00B8536C">
        <w:rPr>
          <w:rtl/>
        </w:rPr>
        <w:t>-4</w:t>
      </w:r>
      <w:r>
        <w:rPr>
          <w:rFonts w:hint="cs"/>
          <w:rtl/>
        </w:rPr>
        <w:t>4</w:t>
      </w:r>
      <w:r w:rsidRPr="00B8536C">
        <w:rPr>
          <w:rtl/>
        </w:rPr>
        <w:t>.</w:t>
      </w:r>
      <w:r>
        <w:rPr>
          <w:rFonts w:hint="cs"/>
          <w:rtl/>
        </w:rPr>
        <w:t>7%</w:t>
      </w:r>
      <w:r w:rsidRPr="00B8536C">
        <w:rPr>
          <w:rtl/>
        </w:rPr>
        <w:t xml:space="preserve"> מסך ההוצאה.</w:t>
      </w:r>
    </w:p>
    <w:p w:rsidR="00DC4053" w:rsidRPr="00B8536C" w:rsidRDefault="00DC4053" w:rsidP="005971AC">
      <w:pPr>
        <w:pStyle w:val="a7"/>
        <w:numPr>
          <w:ilvl w:val="0"/>
          <w:numId w:val="11"/>
        </w:numPr>
        <w:rPr>
          <w:b/>
          <w:bCs/>
        </w:rPr>
      </w:pPr>
      <w:r w:rsidRPr="00B8536C">
        <w:rPr>
          <w:rFonts w:hint="cs"/>
          <w:rtl/>
        </w:rPr>
        <w:t>על</w:t>
      </w:r>
      <w:r w:rsidRPr="00B8536C">
        <w:rPr>
          <w:rtl/>
        </w:rPr>
        <w:t xml:space="preserve"> פי היקף </w:t>
      </w:r>
      <w:r w:rsidRPr="00586EFB">
        <w:rPr>
          <w:rtl/>
        </w:rPr>
        <w:t xml:space="preserve">מחויבויות הממשלה הנוכחי, בין השנים </w:t>
      </w:r>
      <w:r w:rsidR="00267024">
        <w:rPr>
          <w:rFonts w:hint="cs"/>
          <w:rtl/>
        </w:rPr>
        <w:t>2020</w:t>
      </w:r>
      <w:r w:rsidR="00267024" w:rsidRPr="00586EFB">
        <w:rPr>
          <w:rtl/>
        </w:rPr>
        <w:t xml:space="preserve"> </w:t>
      </w:r>
      <w:r w:rsidRPr="00586EFB">
        <w:rPr>
          <w:rFonts w:hint="eastAsia"/>
          <w:rtl/>
        </w:rPr>
        <w:t>עד</w:t>
      </w:r>
      <w:r w:rsidRPr="00586EFB">
        <w:rPr>
          <w:rtl/>
        </w:rPr>
        <w:t xml:space="preserve"> 20</w:t>
      </w:r>
      <w:r>
        <w:rPr>
          <w:rFonts w:hint="cs"/>
          <w:rtl/>
        </w:rPr>
        <w:t>22</w:t>
      </w:r>
      <w:r w:rsidRPr="00586EFB">
        <w:rPr>
          <w:rtl/>
        </w:rPr>
        <w:t xml:space="preserve"> צפויה ההוצאה על שירותים החברתיים לגדול בכ</w:t>
      </w:r>
      <w:r w:rsidR="008F1413" w:rsidRPr="00586EFB">
        <w:rPr>
          <w:rtl/>
        </w:rPr>
        <w:t>-</w:t>
      </w:r>
      <w:r w:rsidR="008F1413">
        <w:rPr>
          <w:rFonts w:hint="cs"/>
          <w:rtl/>
        </w:rPr>
        <w:t>22.3</w:t>
      </w:r>
      <w:r w:rsidR="008F1413" w:rsidRPr="00586EFB">
        <w:rPr>
          <w:rtl/>
        </w:rPr>
        <w:t xml:space="preserve"> </w:t>
      </w:r>
      <w:r w:rsidRPr="00586EFB">
        <w:rPr>
          <w:rFonts w:hint="eastAsia"/>
          <w:rtl/>
        </w:rPr>
        <w:t>מיליארד</w:t>
      </w:r>
      <w:r w:rsidRPr="00586EFB">
        <w:rPr>
          <w:rtl/>
        </w:rPr>
        <w:t xml:space="preserve"> </w:t>
      </w:r>
      <w:r w:rsidRPr="00586EFB">
        <w:rPr>
          <w:rFonts w:hint="eastAsia"/>
          <w:rtl/>
        </w:rPr>
        <w:t>ש</w:t>
      </w:r>
      <w:r w:rsidRPr="00586EFB">
        <w:rPr>
          <w:rtl/>
        </w:rPr>
        <w:t xml:space="preserve">"ח, </w:t>
      </w:r>
      <w:r w:rsidRPr="00586EFB">
        <w:rPr>
          <w:rFonts w:hint="eastAsia"/>
          <w:rtl/>
        </w:rPr>
        <w:t>כך</w:t>
      </w:r>
      <w:r w:rsidRPr="00586EFB">
        <w:rPr>
          <w:rtl/>
        </w:rPr>
        <w:t xml:space="preserve"> </w:t>
      </w:r>
      <w:r w:rsidRPr="00586EFB">
        <w:rPr>
          <w:rFonts w:hint="eastAsia"/>
          <w:rtl/>
        </w:rPr>
        <w:t>שבשנת</w:t>
      </w:r>
      <w:r w:rsidRPr="00586EFB">
        <w:rPr>
          <w:rtl/>
        </w:rPr>
        <w:t xml:space="preserve"> 202</w:t>
      </w:r>
      <w:r>
        <w:rPr>
          <w:rFonts w:hint="cs"/>
          <w:rtl/>
        </w:rPr>
        <w:t>2</w:t>
      </w:r>
      <w:r w:rsidRPr="00586EFB">
        <w:rPr>
          <w:rtl/>
        </w:rPr>
        <w:t xml:space="preserve"> </w:t>
      </w:r>
      <w:r w:rsidRPr="00586EFB">
        <w:rPr>
          <w:rFonts w:hint="eastAsia"/>
          <w:rtl/>
        </w:rPr>
        <w:t>היא</w:t>
      </w:r>
      <w:r w:rsidRPr="00586EFB">
        <w:rPr>
          <w:rtl/>
        </w:rPr>
        <w:t xml:space="preserve"> </w:t>
      </w:r>
      <w:r w:rsidRPr="00586EFB">
        <w:rPr>
          <w:rFonts w:hint="eastAsia"/>
          <w:rtl/>
        </w:rPr>
        <w:t>תעמוד</w:t>
      </w:r>
      <w:r w:rsidRPr="00586EFB">
        <w:rPr>
          <w:rtl/>
        </w:rPr>
        <w:t xml:space="preserve"> </w:t>
      </w:r>
      <w:r w:rsidRPr="00586EFB">
        <w:rPr>
          <w:rFonts w:hint="eastAsia"/>
          <w:rtl/>
        </w:rPr>
        <w:t>על</w:t>
      </w:r>
      <w:r w:rsidRPr="00586EFB">
        <w:rPr>
          <w:rtl/>
        </w:rPr>
        <w:t xml:space="preserve"> </w:t>
      </w:r>
      <w:r w:rsidRPr="00586EFB">
        <w:rPr>
          <w:rFonts w:hint="eastAsia"/>
          <w:rtl/>
        </w:rPr>
        <w:t>כ</w:t>
      </w:r>
      <w:r w:rsidR="008F1413" w:rsidRPr="00586EFB">
        <w:rPr>
          <w:rtl/>
        </w:rPr>
        <w:t>-</w:t>
      </w:r>
      <w:r w:rsidR="008F1413">
        <w:rPr>
          <w:rFonts w:hint="cs"/>
          <w:rtl/>
        </w:rPr>
        <w:t>211.5</w:t>
      </w:r>
      <w:r w:rsidR="008F1413" w:rsidRPr="00586EFB">
        <w:rPr>
          <w:rtl/>
        </w:rPr>
        <w:t xml:space="preserve"> </w:t>
      </w:r>
      <w:r w:rsidRPr="00586EFB">
        <w:rPr>
          <w:rFonts w:hint="eastAsia"/>
          <w:rtl/>
        </w:rPr>
        <w:t>מיליארד</w:t>
      </w:r>
      <w:r w:rsidRPr="00586EFB">
        <w:rPr>
          <w:rtl/>
        </w:rPr>
        <w:t xml:space="preserve"> </w:t>
      </w:r>
      <w:r w:rsidRPr="00586EFB">
        <w:rPr>
          <w:rFonts w:hint="eastAsia"/>
          <w:rtl/>
        </w:rPr>
        <w:t>ש</w:t>
      </w:r>
      <w:r w:rsidRPr="00586EFB">
        <w:rPr>
          <w:rtl/>
        </w:rPr>
        <w:t xml:space="preserve">"ח </w:t>
      </w:r>
      <w:r w:rsidRPr="00586EFB">
        <w:rPr>
          <w:rFonts w:hint="eastAsia"/>
          <w:rtl/>
        </w:rPr>
        <w:t>המהווים</w:t>
      </w:r>
      <w:r w:rsidRPr="00586EFB">
        <w:rPr>
          <w:rtl/>
        </w:rPr>
        <w:t xml:space="preserve"> </w:t>
      </w:r>
      <w:r w:rsidRPr="00586EFB">
        <w:rPr>
          <w:rFonts w:hint="eastAsia"/>
          <w:rtl/>
        </w:rPr>
        <w:t>כ</w:t>
      </w:r>
      <w:r w:rsidR="00891686">
        <w:rPr>
          <w:rFonts w:hint="cs"/>
          <w:rtl/>
        </w:rPr>
        <w:t>-47.0%</w:t>
      </w:r>
      <w:r w:rsidRPr="00586EFB">
        <w:rPr>
          <w:rtl/>
        </w:rPr>
        <w:t xml:space="preserve"> </w:t>
      </w:r>
      <w:r w:rsidRPr="00586EFB">
        <w:rPr>
          <w:rFonts w:hint="eastAsia"/>
          <w:rtl/>
        </w:rPr>
        <w:t>מסך</w:t>
      </w:r>
      <w:r w:rsidRPr="00586EFB">
        <w:rPr>
          <w:rtl/>
        </w:rPr>
        <w:t xml:space="preserve"> </w:t>
      </w:r>
      <w:r w:rsidRPr="00586EFB">
        <w:rPr>
          <w:rFonts w:hint="eastAsia"/>
          <w:rtl/>
        </w:rPr>
        <w:t>ההוצאה</w:t>
      </w:r>
      <w:r w:rsidRPr="00586EFB">
        <w:rPr>
          <w:rtl/>
        </w:rPr>
        <w:t xml:space="preserve"> </w:t>
      </w:r>
      <w:r w:rsidRPr="00586EFB">
        <w:rPr>
          <w:rFonts w:hint="eastAsia"/>
          <w:rtl/>
        </w:rPr>
        <w:t>הממשלתית</w:t>
      </w:r>
      <w:r w:rsidRPr="00586EFB">
        <w:rPr>
          <w:rtl/>
        </w:rPr>
        <w:t>.</w:t>
      </w:r>
      <w:r w:rsidRPr="00B8536C">
        <w:rPr>
          <w:b/>
          <w:bCs/>
          <w:rtl/>
        </w:rPr>
        <w:t xml:space="preserve"> </w:t>
      </w:r>
    </w:p>
    <w:p w:rsidR="00DC4053" w:rsidRPr="00403C8F" w:rsidRDefault="00DC4053" w:rsidP="00DC4053">
      <w:pPr>
        <w:tabs>
          <w:tab w:val="left" w:pos="283"/>
        </w:tabs>
        <w:suppressAutoHyphens/>
        <w:autoSpaceDE w:val="0"/>
        <w:autoSpaceDN w:val="0"/>
        <w:adjustRightInd w:val="0"/>
        <w:ind w:left="360"/>
        <w:contextualSpacing/>
        <w:textAlignment w:val="center"/>
        <w:rPr>
          <w:rFonts w:ascii="DBS-Torah"/>
        </w:rPr>
      </w:pPr>
      <w:r w:rsidRPr="00403C8F">
        <w:rPr>
          <w:rFonts w:ascii="DBS-Torah" w:hint="eastAsia"/>
          <w:rtl/>
        </w:rPr>
        <w:t>להלן</w:t>
      </w:r>
      <w:r w:rsidRPr="00403C8F">
        <w:rPr>
          <w:rFonts w:ascii="DBS-Torah"/>
          <w:rtl/>
        </w:rPr>
        <w:t xml:space="preserve"> </w:t>
      </w:r>
      <w:r w:rsidRPr="00403C8F">
        <w:rPr>
          <w:rFonts w:ascii="DBS-Torah" w:hint="eastAsia"/>
          <w:rtl/>
        </w:rPr>
        <w:t>ההנחות</w:t>
      </w:r>
      <w:r w:rsidRPr="00403C8F">
        <w:rPr>
          <w:rFonts w:ascii="DBS-Torah"/>
          <w:rtl/>
        </w:rPr>
        <w:t xml:space="preserve"> </w:t>
      </w:r>
      <w:r w:rsidRPr="00403C8F">
        <w:rPr>
          <w:rFonts w:ascii="DBS-Torah" w:hint="eastAsia"/>
          <w:rtl/>
        </w:rPr>
        <w:t>לגבי</w:t>
      </w:r>
      <w:r w:rsidRPr="00403C8F">
        <w:rPr>
          <w:rFonts w:ascii="DBS-Torah"/>
          <w:rtl/>
        </w:rPr>
        <w:t xml:space="preserve"> </w:t>
      </w:r>
      <w:r w:rsidRPr="00403C8F">
        <w:rPr>
          <w:rFonts w:ascii="DBS-Torah" w:hint="eastAsia"/>
          <w:rtl/>
        </w:rPr>
        <w:t>עיקרי</w:t>
      </w:r>
      <w:r w:rsidRPr="00403C8F">
        <w:rPr>
          <w:rFonts w:ascii="DBS-Torah"/>
          <w:rtl/>
        </w:rPr>
        <w:t xml:space="preserve"> </w:t>
      </w:r>
      <w:r w:rsidRPr="00403C8F">
        <w:rPr>
          <w:rFonts w:ascii="DBS-Torah" w:hint="eastAsia"/>
          <w:rtl/>
        </w:rPr>
        <w:t>השינויים</w:t>
      </w:r>
      <w:r w:rsidRPr="00403C8F">
        <w:rPr>
          <w:rFonts w:ascii="DBS-Torah"/>
          <w:rtl/>
        </w:rPr>
        <w:t xml:space="preserve"> </w:t>
      </w:r>
      <w:r w:rsidRPr="00403C8F">
        <w:rPr>
          <w:rFonts w:ascii="DBS-Torah" w:hint="eastAsia"/>
          <w:rtl/>
        </w:rPr>
        <w:t>הצפויים</w:t>
      </w:r>
      <w:r w:rsidRPr="00403C8F">
        <w:rPr>
          <w:rFonts w:ascii="DBS-Torah"/>
          <w:rtl/>
        </w:rPr>
        <w:t xml:space="preserve"> </w:t>
      </w:r>
      <w:r w:rsidRPr="00403C8F">
        <w:rPr>
          <w:rFonts w:ascii="DBS-Torah" w:hint="eastAsia"/>
          <w:rtl/>
        </w:rPr>
        <w:t>ברכיב</w:t>
      </w:r>
      <w:r w:rsidRPr="00403C8F">
        <w:rPr>
          <w:rFonts w:ascii="DBS-Torah"/>
          <w:rtl/>
        </w:rPr>
        <w:t xml:space="preserve"> </w:t>
      </w:r>
      <w:r w:rsidRPr="00403C8F">
        <w:rPr>
          <w:rFonts w:ascii="DBS-Torah" w:hint="eastAsia"/>
          <w:rtl/>
        </w:rPr>
        <w:t>הוצאה</w:t>
      </w:r>
      <w:r w:rsidRPr="00403C8F">
        <w:rPr>
          <w:rFonts w:ascii="DBS-Torah"/>
          <w:rtl/>
        </w:rPr>
        <w:t xml:space="preserve"> </w:t>
      </w:r>
      <w:r w:rsidRPr="00403C8F">
        <w:rPr>
          <w:rFonts w:ascii="DBS-Torah" w:hint="eastAsia"/>
          <w:rtl/>
        </w:rPr>
        <w:t>זה</w:t>
      </w:r>
      <w:r w:rsidRPr="00403C8F">
        <w:rPr>
          <w:rFonts w:ascii="DBS-Torah"/>
          <w:rtl/>
        </w:rPr>
        <w:t>:</w:t>
      </w:r>
    </w:p>
    <w:p w:rsidR="00DC4053" w:rsidRPr="00C147F8" w:rsidRDefault="00DC4053" w:rsidP="00DC4053">
      <w:pPr>
        <w:numPr>
          <w:ilvl w:val="0"/>
          <w:numId w:val="11"/>
        </w:numPr>
        <w:tabs>
          <w:tab w:val="left" w:pos="340"/>
        </w:tabs>
        <w:suppressAutoHyphens/>
        <w:autoSpaceDE w:val="0"/>
        <w:autoSpaceDN w:val="0"/>
        <w:adjustRightInd w:val="0"/>
        <w:contextualSpacing/>
        <w:textAlignment w:val="center"/>
        <w:rPr>
          <w:rFonts w:ascii="DBS-Torah"/>
        </w:rPr>
      </w:pPr>
      <w:r w:rsidRPr="00C147F8">
        <w:rPr>
          <w:rFonts w:ascii="DBS-Torah" w:hint="eastAsia"/>
          <w:b/>
          <w:bCs/>
          <w:rtl/>
        </w:rPr>
        <w:lastRenderedPageBreak/>
        <w:t>גידול</w:t>
      </w:r>
      <w:r w:rsidRPr="00C147F8">
        <w:rPr>
          <w:rFonts w:ascii="DBS-Torah"/>
          <w:b/>
          <w:bCs/>
          <w:rtl/>
        </w:rPr>
        <w:t xml:space="preserve"> </w:t>
      </w:r>
      <w:r w:rsidRPr="00C147F8">
        <w:rPr>
          <w:rFonts w:ascii="DBS-Torah" w:hint="eastAsia"/>
          <w:b/>
          <w:bCs/>
          <w:rtl/>
        </w:rPr>
        <w:t>טבעי</w:t>
      </w:r>
      <w:r w:rsidRPr="00C147F8">
        <w:rPr>
          <w:rFonts w:ascii="DBS-Torah"/>
          <w:b/>
          <w:bCs/>
          <w:rtl/>
        </w:rPr>
        <w:t xml:space="preserve"> </w:t>
      </w:r>
      <w:r w:rsidRPr="00C147F8">
        <w:rPr>
          <w:rFonts w:ascii="DBS-Torah" w:hint="eastAsia"/>
          <w:b/>
          <w:bCs/>
          <w:rtl/>
        </w:rPr>
        <w:t>במספר</w:t>
      </w:r>
      <w:r w:rsidRPr="00C147F8">
        <w:rPr>
          <w:rFonts w:ascii="DBS-Torah"/>
          <w:b/>
          <w:bCs/>
          <w:rtl/>
        </w:rPr>
        <w:t xml:space="preserve"> </w:t>
      </w:r>
      <w:r w:rsidRPr="00C147F8">
        <w:rPr>
          <w:rFonts w:ascii="DBS-Torah" w:hint="eastAsia"/>
          <w:b/>
          <w:bCs/>
          <w:rtl/>
        </w:rPr>
        <w:t>התלמידים</w:t>
      </w:r>
      <w:r w:rsidRPr="00C147F8">
        <w:rPr>
          <w:rFonts w:ascii="DBS-Torah"/>
          <w:b/>
          <w:bCs/>
          <w:rtl/>
        </w:rPr>
        <w:t xml:space="preserve"> </w:t>
      </w:r>
      <w:r w:rsidRPr="00C147F8">
        <w:rPr>
          <w:rFonts w:ascii="DBS-Torah" w:hint="eastAsia"/>
          <w:b/>
          <w:bCs/>
          <w:rtl/>
        </w:rPr>
        <w:t>במערכת</w:t>
      </w:r>
      <w:r w:rsidRPr="00C147F8">
        <w:rPr>
          <w:rFonts w:ascii="DBS-Torah"/>
          <w:b/>
          <w:bCs/>
          <w:rtl/>
        </w:rPr>
        <w:t xml:space="preserve"> </w:t>
      </w:r>
      <w:r w:rsidRPr="00C147F8">
        <w:rPr>
          <w:rFonts w:ascii="DBS-Torah" w:hint="eastAsia"/>
          <w:b/>
          <w:bCs/>
          <w:rtl/>
        </w:rPr>
        <w:t>החינוך</w:t>
      </w:r>
      <w:r>
        <w:rPr>
          <w:rFonts w:ascii="DBS-Torah" w:hint="cs"/>
          <w:rtl/>
        </w:rPr>
        <w:t xml:space="preserve"> </w:t>
      </w:r>
      <w:r>
        <w:rPr>
          <w:rFonts w:asciiTheme="minorHAnsi" w:hAnsiTheme="minorHAnsi" w:hint="eastAsia"/>
        </w:rPr>
        <w:t>–</w:t>
      </w:r>
      <w:r w:rsidRPr="00C147F8">
        <w:rPr>
          <w:rFonts w:ascii="DBS-Torah"/>
          <w:rtl/>
        </w:rPr>
        <w:t xml:space="preserve"> </w:t>
      </w:r>
      <w:r w:rsidRPr="00C147F8">
        <w:rPr>
          <w:rFonts w:ascii="DBS-Torah" w:hint="eastAsia"/>
          <w:rtl/>
        </w:rPr>
        <w:t>הגידול</w:t>
      </w:r>
      <w:r w:rsidRPr="00C147F8">
        <w:rPr>
          <w:rFonts w:ascii="DBS-Torah"/>
          <w:rtl/>
        </w:rPr>
        <w:t xml:space="preserve"> בתקציב משרד החינוך </w:t>
      </w:r>
      <w:r w:rsidRPr="00C147F8">
        <w:rPr>
          <w:rFonts w:ascii="DBS-Torah" w:hint="eastAsia"/>
          <w:rtl/>
        </w:rPr>
        <w:t>נובע</w:t>
      </w:r>
      <w:r w:rsidRPr="00C147F8">
        <w:rPr>
          <w:rFonts w:ascii="DBS-Torah"/>
          <w:rtl/>
        </w:rPr>
        <w:t xml:space="preserve">, בין היתר, </w:t>
      </w:r>
      <w:r w:rsidRPr="00C147F8">
        <w:rPr>
          <w:rFonts w:ascii="DBS-Torah" w:hint="eastAsia"/>
          <w:rtl/>
        </w:rPr>
        <w:t>ממענה</w:t>
      </w:r>
      <w:r w:rsidRPr="00C147F8">
        <w:rPr>
          <w:rFonts w:ascii="DBS-Torah"/>
          <w:rtl/>
        </w:rPr>
        <w:t xml:space="preserve"> לגידול במספר התלמידים בשנתון </w:t>
      </w:r>
      <w:r w:rsidRPr="00C147F8">
        <w:rPr>
          <w:rFonts w:ascii="DBS-Torah" w:hint="eastAsia"/>
          <w:rtl/>
        </w:rPr>
        <w:t>והצורך</w:t>
      </w:r>
      <w:r w:rsidRPr="00C147F8">
        <w:rPr>
          <w:rFonts w:ascii="DBS-Torah"/>
          <w:rtl/>
        </w:rPr>
        <w:t xml:space="preserve"> לספק שירות לכל תלמיד במערכת החינוך.</w:t>
      </w:r>
    </w:p>
    <w:p w:rsidR="00DC4053" w:rsidRDefault="00DC4053" w:rsidP="00DC4053">
      <w:pPr>
        <w:numPr>
          <w:ilvl w:val="0"/>
          <w:numId w:val="11"/>
        </w:numPr>
        <w:tabs>
          <w:tab w:val="left" w:pos="340"/>
        </w:tabs>
        <w:suppressAutoHyphens/>
        <w:autoSpaceDE w:val="0"/>
        <w:autoSpaceDN w:val="0"/>
        <w:adjustRightInd w:val="0"/>
        <w:contextualSpacing/>
        <w:textAlignment w:val="center"/>
        <w:rPr>
          <w:rFonts w:ascii="DBS-Torah"/>
        </w:rPr>
      </w:pPr>
      <w:r w:rsidRPr="00C147F8">
        <w:rPr>
          <w:rFonts w:ascii="DBS-Torah" w:hint="eastAsia"/>
          <w:b/>
          <w:bCs/>
          <w:rtl/>
        </w:rPr>
        <w:t>בינוי</w:t>
      </w:r>
      <w:r w:rsidRPr="00C147F8">
        <w:rPr>
          <w:rFonts w:ascii="DBS-Torah"/>
          <w:b/>
          <w:bCs/>
          <w:rtl/>
        </w:rPr>
        <w:t xml:space="preserve"> </w:t>
      </w:r>
      <w:r w:rsidRPr="00C147F8">
        <w:rPr>
          <w:rFonts w:ascii="DBS-Torah" w:hint="eastAsia"/>
          <w:b/>
          <w:bCs/>
          <w:rtl/>
        </w:rPr>
        <w:t>כיתות</w:t>
      </w:r>
      <w:r w:rsidRPr="00C147F8">
        <w:rPr>
          <w:rFonts w:ascii="DBS-Torah"/>
          <w:b/>
          <w:bCs/>
          <w:rtl/>
        </w:rPr>
        <w:t xml:space="preserve"> </w:t>
      </w:r>
      <w:r w:rsidRPr="00C147F8">
        <w:rPr>
          <w:rFonts w:ascii="DBS-Torah" w:hint="eastAsia"/>
          <w:b/>
          <w:bCs/>
          <w:rtl/>
        </w:rPr>
        <w:t>לימוד</w:t>
      </w:r>
      <w:r w:rsidRPr="00C147F8">
        <w:rPr>
          <w:rFonts w:ascii="DBS-Torah"/>
          <w:b/>
          <w:bCs/>
          <w:rtl/>
        </w:rPr>
        <w:t xml:space="preserve"> </w:t>
      </w:r>
      <w:r w:rsidRPr="00C147F8">
        <w:rPr>
          <w:rFonts w:ascii="DBS-Torah" w:hint="eastAsia"/>
          <w:b/>
          <w:bCs/>
          <w:rtl/>
        </w:rPr>
        <w:t>במערכת</w:t>
      </w:r>
      <w:r w:rsidRPr="00C147F8">
        <w:rPr>
          <w:rFonts w:ascii="DBS-Torah"/>
          <w:b/>
          <w:bCs/>
          <w:rtl/>
        </w:rPr>
        <w:t xml:space="preserve"> </w:t>
      </w:r>
      <w:r w:rsidRPr="00C147F8">
        <w:rPr>
          <w:rFonts w:ascii="DBS-Torah" w:hint="eastAsia"/>
          <w:b/>
          <w:bCs/>
          <w:rtl/>
        </w:rPr>
        <w:t>החינוך</w:t>
      </w:r>
      <w:r>
        <w:rPr>
          <w:rFonts w:ascii="DBS-Torah" w:hint="cs"/>
          <w:rtl/>
        </w:rPr>
        <w:t xml:space="preserve"> </w:t>
      </w:r>
      <w:r>
        <w:rPr>
          <w:rFonts w:asciiTheme="minorHAnsi" w:hAnsiTheme="minorHAnsi" w:hint="eastAsia"/>
        </w:rPr>
        <w:t>–</w:t>
      </w:r>
      <w:r w:rsidRPr="00C147F8">
        <w:rPr>
          <w:rFonts w:ascii="DBS-Torah"/>
          <w:rtl/>
        </w:rPr>
        <w:t xml:space="preserve"> ת</w:t>
      </w:r>
      <w:r>
        <w:rPr>
          <w:rFonts w:ascii="DBS-Torah" w:hint="cs"/>
          <w:rtl/>
        </w:rPr>
        <w:t>ו</w:t>
      </w:r>
      <w:r w:rsidRPr="00C147F8">
        <w:rPr>
          <w:rFonts w:ascii="DBS-Torah"/>
          <w:rtl/>
        </w:rPr>
        <w:t xml:space="preserve">כנית החומש לבינוי כיתות לימוד: כמענה לגידול הטבעי במערכת החינוך, לבנייה החדשה של יחידות הדיור ולהקטנת הצפיפות בכיתות הלימוד, בהחלטת </w:t>
      </w:r>
      <w:r w:rsidRPr="00C147F8">
        <w:rPr>
          <w:rFonts w:ascii="DBS-Torah" w:hint="eastAsia"/>
          <w:rtl/>
        </w:rPr>
        <w:t>ה</w:t>
      </w:r>
      <w:r w:rsidRPr="00C147F8">
        <w:rPr>
          <w:rFonts w:ascii="DBS-Torah"/>
          <w:rtl/>
        </w:rPr>
        <w:t>ממשלה</w:t>
      </w:r>
      <w:r w:rsidR="002C4195">
        <w:rPr>
          <w:rFonts w:ascii="DBS-Torah" w:hint="cs"/>
          <w:rtl/>
        </w:rPr>
        <w:t xml:space="preserve"> מס'</w:t>
      </w:r>
      <w:r w:rsidRPr="00C147F8">
        <w:rPr>
          <w:rFonts w:ascii="DBS-Torah"/>
          <w:rtl/>
        </w:rPr>
        <w:t xml:space="preserve">  1848 </w:t>
      </w:r>
      <w:r w:rsidRPr="00C147F8">
        <w:rPr>
          <w:rFonts w:ascii="DBS-Torah" w:hint="eastAsia"/>
          <w:rtl/>
        </w:rPr>
        <w:t>מיום</w:t>
      </w:r>
      <w:r w:rsidRPr="00C147F8">
        <w:rPr>
          <w:rFonts w:ascii="DBS-Torah"/>
          <w:rtl/>
        </w:rPr>
        <w:t xml:space="preserve"> 11 </w:t>
      </w:r>
      <w:r w:rsidRPr="00C147F8">
        <w:rPr>
          <w:rFonts w:ascii="DBS-Torah" w:hint="eastAsia"/>
          <w:rtl/>
        </w:rPr>
        <w:t>באוגוסט</w:t>
      </w:r>
      <w:r w:rsidRPr="00C147F8">
        <w:rPr>
          <w:rFonts w:ascii="DBS-Torah"/>
          <w:rtl/>
        </w:rPr>
        <w:t xml:space="preserve"> 2016 </w:t>
      </w:r>
      <w:r w:rsidRPr="00C147F8">
        <w:rPr>
          <w:rFonts w:ascii="DBS-Torah" w:hint="eastAsia"/>
          <w:rtl/>
        </w:rPr>
        <w:t>אישרה</w:t>
      </w:r>
      <w:r w:rsidRPr="00C147F8">
        <w:rPr>
          <w:rFonts w:ascii="DBS-Torah"/>
          <w:rtl/>
        </w:rPr>
        <w:t xml:space="preserve"> </w:t>
      </w:r>
      <w:r w:rsidRPr="00C147F8">
        <w:rPr>
          <w:rFonts w:ascii="DBS-Torah" w:hint="eastAsia"/>
          <w:rtl/>
        </w:rPr>
        <w:t>הממשלה</w:t>
      </w:r>
      <w:r w:rsidRPr="00C147F8">
        <w:rPr>
          <w:rFonts w:ascii="DBS-Torah"/>
          <w:rtl/>
        </w:rPr>
        <w:t xml:space="preserve"> ת</w:t>
      </w:r>
      <w:r>
        <w:rPr>
          <w:rFonts w:ascii="DBS-Torah" w:hint="cs"/>
          <w:rtl/>
        </w:rPr>
        <w:t>ו</w:t>
      </w:r>
      <w:r w:rsidRPr="00C147F8">
        <w:rPr>
          <w:rFonts w:ascii="DBS-Torah"/>
          <w:rtl/>
        </w:rPr>
        <w:t xml:space="preserve">כנית חומש מורחבת לבינוי כיתות לימוד לשנים 2017 עד 2021. </w:t>
      </w:r>
      <w:r w:rsidRPr="00C147F8">
        <w:rPr>
          <w:rFonts w:ascii="DBS-Torah" w:hint="eastAsia"/>
          <w:rtl/>
        </w:rPr>
        <w:t>במסגרת</w:t>
      </w:r>
      <w:r w:rsidRPr="00C147F8">
        <w:rPr>
          <w:rFonts w:ascii="DBS-Torah"/>
          <w:rtl/>
        </w:rPr>
        <w:t xml:space="preserve"> </w:t>
      </w:r>
      <w:r w:rsidRPr="00C147F8">
        <w:rPr>
          <w:rFonts w:ascii="DBS-Torah" w:hint="eastAsia"/>
          <w:rtl/>
        </w:rPr>
        <w:t>ת</w:t>
      </w:r>
      <w:r>
        <w:rPr>
          <w:rFonts w:ascii="DBS-Torah" w:hint="cs"/>
          <w:rtl/>
        </w:rPr>
        <w:t>ו</w:t>
      </w:r>
      <w:r w:rsidRPr="00C147F8">
        <w:rPr>
          <w:rFonts w:ascii="DBS-Torah" w:hint="eastAsia"/>
          <w:rtl/>
        </w:rPr>
        <w:t>כנית</w:t>
      </w:r>
      <w:r w:rsidRPr="00C147F8">
        <w:rPr>
          <w:rFonts w:ascii="DBS-Torah"/>
          <w:rtl/>
        </w:rPr>
        <w:t xml:space="preserve"> </w:t>
      </w:r>
      <w:r w:rsidRPr="00C147F8">
        <w:rPr>
          <w:rFonts w:ascii="DBS-Torah" w:hint="eastAsia"/>
          <w:rtl/>
        </w:rPr>
        <w:t>החומש</w:t>
      </w:r>
      <w:r w:rsidRPr="00C147F8">
        <w:rPr>
          <w:rFonts w:ascii="DBS-Torah"/>
          <w:rtl/>
        </w:rPr>
        <w:t xml:space="preserve"> </w:t>
      </w:r>
      <w:r w:rsidRPr="00C147F8">
        <w:rPr>
          <w:rFonts w:ascii="DBS-Torah" w:hint="eastAsia"/>
          <w:rtl/>
        </w:rPr>
        <w:t>האמורה</w:t>
      </w:r>
      <w:r w:rsidRPr="00C147F8">
        <w:rPr>
          <w:rFonts w:ascii="DBS-Torah"/>
          <w:rtl/>
        </w:rPr>
        <w:t xml:space="preserve">, בשנות </w:t>
      </w:r>
      <w:r w:rsidRPr="00C147F8">
        <w:rPr>
          <w:rFonts w:ascii="DBS-Torah" w:hint="eastAsia"/>
          <w:rtl/>
        </w:rPr>
        <w:t>התקציב</w:t>
      </w:r>
      <w:r w:rsidRPr="00C147F8">
        <w:rPr>
          <w:rFonts w:ascii="DBS-Torah"/>
          <w:rtl/>
        </w:rPr>
        <w:t xml:space="preserve"> 2021-2020, מתוכננות</w:t>
      </w:r>
      <w:r>
        <w:rPr>
          <w:rFonts w:ascii="DBS-Torah" w:hint="cs"/>
          <w:rtl/>
        </w:rPr>
        <w:t xml:space="preserve"> הקצאה תקציבית לכ-6,800 גנים וכיתות לימוד נוספים</w:t>
      </w:r>
      <w:r w:rsidR="002C4195">
        <w:rPr>
          <w:rFonts w:ascii="DBS-Torah" w:hint="cs"/>
          <w:rtl/>
        </w:rPr>
        <w:t>.</w:t>
      </w:r>
      <w:r w:rsidRPr="00B8536C">
        <w:rPr>
          <w:rFonts w:ascii="DBS-Torah"/>
          <w:rtl/>
        </w:rPr>
        <w:t xml:space="preserve"> </w:t>
      </w:r>
    </w:p>
    <w:p w:rsidR="00DC4053" w:rsidRPr="00093A72" w:rsidRDefault="00DC4053" w:rsidP="00DC4053">
      <w:pPr>
        <w:numPr>
          <w:ilvl w:val="0"/>
          <w:numId w:val="11"/>
        </w:numPr>
        <w:tabs>
          <w:tab w:val="left" w:pos="340"/>
        </w:tabs>
        <w:suppressAutoHyphens/>
        <w:autoSpaceDE w:val="0"/>
        <w:autoSpaceDN w:val="0"/>
        <w:adjustRightInd w:val="0"/>
        <w:contextualSpacing/>
        <w:textAlignment w:val="center"/>
        <w:rPr>
          <w:rFonts w:ascii="DBS-Torah"/>
          <w:rtl/>
        </w:rPr>
      </w:pPr>
      <w:r w:rsidRPr="00093A72">
        <w:rPr>
          <w:rFonts w:ascii="DBS-Torah" w:hint="eastAsia"/>
          <w:b/>
          <w:bCs/>
          <w:rtl/>
        </w:rPr>
        <w:t>גידול</w:t>
      </w:r>
      <w:r w:rsidRPr="00093A72">
        <w:rPr>
          <w:rFonts w:ascii="DBS-Torah"/>
          <w:b/>
          <w:bCs/>
          <w:rtl/>
        </w:rPr>
        <w:t xml:space="preserve"> </w:t>
      </w:r>
      <w:r w:rsidRPr="00093A72">
        <w:rPr>
          <w:rFonts w:ascii="DBS-Torah" w:hint="eastAsia"/>
          <w:b/>
          <w:bCs/>
          <w:rtl/>
        </w:rPr>
        <w:t>ריאלי</w:t>
      </w:r>
      <w:r w:rsidRPr="00093A72">
        <w:rPr>
          <w:rFonts w:ascii="DBS-Torah"/>
          <w:b/>
          <w:bCs/>
          <w:rtl/>
        </w:rPr>
        <w:t xml:space="preserve"> </w:t>
      </w:r>
      <w:r w:rsidRPr="00093A72">
        <w:rPr>
          <w:rFonts w:ascii="DBS-Torah" w:hint="eastAsia"/>
          <w:b/>
          <w:bCs/>
          <w:rtl/>
        </w:rPr>
        <w:t>בסל</w:t>
      </w:r>
      <w:r w:rsidRPr="00093A72">
        <w:rPr>
          <w:rFonts w:ascii="DBS-Torah"/>
          <w:b/>
          <w:bCs/>
          <w:rtl/>
        </w:rPr>
        <w:t xml:space="preserve"> </w:t>
      </w:r>
      <w:r w:rsidRPr="00093A72">
        <w:rPr>
          <w:rFonts w:ascii="DBS-Torah" w:hint="eastAsia"/>
          <w:b/>
          <w:bCs/>
          <w:rtl/>
        </w:rPr>
        <w:t>הבריאות</w:t>
      </w:r>
      <w:r>
        <w:rPr>
          <w:rFonts w:ascii="DBS-Torah" w:hint="cs"/>
          <w:b/>
          <w:bCs/>
          <w:rtl/>
        </w:rPr>
        <w:t xml:space="preserve"> </w:t>
      </w:r>
      <w:r>
        <w:rPr>
          <w:rFonts w:asciiTheme="minorHAnsi" w:hAnsiTheme="minorHAnsi" w:hint="eastAsia"/>
          <w:b/>
          <w:bCs/>
        </w:rPr>
        <w:t>–</w:t>
      </w:r>
      <w:r w:rsidRPr="00093A72">
        <w:rPr>
          <w:rFonts w:ascii="DBS-Torah"/>
          <w:rtl/>
        </w:rPr>
        <w:t xml:space="preserve"> במסגרת חוק ביטוח בריאות ממלכתי, </w:t>
      </w:r>
      <w:r w:rsidRPr="00093A72">
        <w:rPr>
          <w:rFonts w:ascii="DBS-Torah" w:hint="eastAsia"/>
          <w:rtl/>
        </w:rPr>
        <w:t>התשנ</w:t>
      </w:r>
      <w:r w:rsidRPr="00093A72">
        <w:rPr>
          <w:rFonts w:ascii="DBS-Torah"/>
          <w:rtl/>
        </w:rPr>
        <w:t>"ד-1994, אזרחי מדינת ישראל זכאים לקבל סל שירותי בריאות הממומן משלושה מקורות: תשלום מס בריאות, השלמת עלות הסל מתקציב המדינה והשתתפות עצמית נורמטיבית (6.45</w:t>
      </w:r>
      <w:r>
        <w:rPr>
          <w:rFonts w:ascii="DBS-Torah" w:hint="cs"/>
          <w:rtl/>
        </w:rPr>
        <w:t>%</w:t>
      </w:r>
      <w:r w:rsidRPr="00093A72">
        <w:rPr>
          <w:rFonts w:ascii="DBS-Torah"/>
          <w:rtl/>
        </w:rPr>
        <w:t xml:space="preserve">). סל הבריאות מקודם לפי פרמטרים קבועים של מחירים, דמוגרפיה וטכנולוגיות ולפי תוספות שנקבעו בהחלטות הממשלה. </w:t>
      </w:r>
    </w:p>
    <w:p w:rsidR="00DC4053" w:rsidRPr="00EC40A9" w:rsidRDefault="00DC4053" w:rsidP="00DC4053">
      <w:pPr>
        <w:numPr>
          <w:ilvl w:val="0"/>
          <w:numId w:val="11"/>
        </w:numPr>
        <w:tabs>
          <w:tab w:val="left" w:pos="340"/>
        </w:tabs>
        <w:suppressAutoHyphens/>
        <w:autoSpaceDE w:val="0"/>
        <w:autoSpaceDN w:val="0"/>
        <w:adjustRightInd w:val="0"/>
        <w:contextualSpacing/>
        <w:textAlignment w:val="center"/>
        <w:rPr>
          <w:rFonts w:ascii="DBS-Torah"/>
          <w:rtl/>
        </w:rPr>
      </w:pPr>
      <w:r w:rsidRPr="00EC40A9">
        <w:rPr>
          <w:rFonts w:ascii="DBS-Torah" w:hint="eastAsia"/>
          <w:b/>
          <w:bCs/>
          <w:rtl/>
        </w:rPr>
        <w:t>גידול</w:t>
      </w:r>
      <w:r w:rsidRPr="00EC40A9">
        <w:rPr>
          <w:rFonts w:ascii="DBS-Torah"/>
          <w:b/>
          <w:bCs/>
          <w:rtl/>
        </w:rPr>
        <w:t xml:space="preserve"> </w:t>
      </w:r>
      <w:r w:rsidRPr="00EC40A9">
        <w:rPr>
          <w:rFonts w:ascii="DBS-Torah" w:hint="eastAsia"/>
          <w:b/>
          <w:bCs/>
          <w:rtl/>
        </w:rPr>
        <w:t>בהשתתפות</w:t>
      </w:r>
      <w:r w:rsidRPr="00EC40A9">
        <w:rPr>
          <w:rFonts w:ascii="DBS-Torah"/>
          <w:b/>
          <w:bCs/>
          <w:rtl/>
        </w:rPr>
        <w:t xml:space="preserve"> </w:t>
      </w:r>
      <w:r w:rsidRPr="00EC40A9">
        <w:rPr>
          <w:rFonts w:ascii="DBS-Torah" w:hint="eastAsia"/>
          <w:b/>
          <w:bCs/>
          <w:rtl/>
        </w:rPr>
        <w:t>המדינה</w:t>
      </w:r>
      <w:r w:rsidRPr="00EC40A9">
        <w:rPr>
          <w:rFonts w:ascii="DBS-Torah"/>
          <w:b/>
          <w:bCs/>
          <w:rtl/>
        </w:rPr>
        <w:t xml:space="preserve"> </w:t>
      </w:r>
      <w:r w:rsidRPr="00EC40A9">
        <w:rPr>
          <w:rFonts w:ascii="DBS-Torah" w:hint="eastAsia"/>
          <w:b/>
          <w:bCs/>
          <w:rtl/>
        </w:rPr>
        <w:t>בגביית</w:t>
      </w:r>
      <w:r w:rsidRPr="00EC40A9">
        <w:rPr>
          <w:rFonts w:ascii="DBS-Torah"/>
          <w:b/>
          <w:bCs/>
          <w:rtl/>
        </w:rPr>
        <w:t xml:space="preserve"> </w:t>
      </w:r>
      <w:r w:rsidRPr="00EC40A9">
        <w:rPr>
          <w:rFonts w:ascii="DBS-Torah" w:hint="eastAsia"/>
          <w:b/>
          <w:bCs/>
          <w:rtl/>
        </w:rPr>
        <w:t>הביטוח</w:t>
      </w:r>
      <w:r w:rsidRPr="00EC40A9">
        <w:rPr>
          <w:rFonts w:ascii="DBS-Torah"/>
          <w:b/>
          <w:bCs/>
          <w:rtl/>
        </w:rPr>
        <w:t xml:space="preserve"> </w:t>
      </w:r>
      <w:r w:rsidRPr="00EC40A9">
        <w:rPr>
          <w:rFonts w:ascii="DBS-Torah" w:hint="eastAsia"/>
          <w:b/>
          <w:bCs/>
          <w:rtl/>
        </w:rPr>
        <w:t>הלאומי</w:t>
      </w:r>
      <w:r>
        <w:rPr>
          <w:rFonts w:ascii="DBS-Torah" w:hint="cs"/>
          <w:rtl/>
        </w:rPr>
        <w:t xml:space="preserve"> </w:t>
      </w:r>
      <w:r>
        <w:rPr>
          <w:rFonts w:asciiTheme="minorHAnsi" w:hAnsiTheme="minorHAnsi" w:hint="eastAsia"/>
        </w:rPr>
        <w:t>–</w:t>
      </w:r>
      <w:r w:rsidRPr="00EC40A9">
        <w:rPr>
          <w:rFonts w:ascii="DBS-Torah"/>
          <w:rtl/>
        </w:rPr>
        <w:t xml:space="preserve"> בשל הגידול במספר המועסקים במשק ובשכר הממוצע ולפי חוק הביטוח הלאומי [נוסח </w:t>
      </w:r>
      <w:r w:rsidRPr="00EC40A9">
        <w:rPr>
          <w:rFonts w:ascii="DBS-Torah" w:hint="eastAsia"/>
          <w:rtl/>
        </w:rPr>
        <w:t>משולב</w:t>
      </w:r>
      <w:r w:rsidRPr="00EC40A9">
        <w:rPr>
          <w:rFonts w:ascii="DBS-Torah"/>
          <w:rtl/>
        </w:rPr>
        <w:t xml:space="preserve">] </w:t>
      </w:r>
      <w:r w:rsidRPr="00EC40A9">
        <w:rPr>
          <w:rFonts w:ascii="DBS-Torah" w:hint="eastAsia"/>
          <w:rtl/>
        </w:rPr>
        <w:t>התשנ</w:t>
      </w:r>
      <w:r w:rsidRPr="00EC40A9">
        <w:rPr>
          <w:rFonts w:ascii="DBS-Torah"/>
          <w:rtl/>
        </w:rPr>
        <w:t xml:space="preserve">"ה-1995 (להלן </w:t>
      </w:r>
      <w:r w:rsidRPr="00EC40A9">
        <w:rPr>
          <w:rFonts w:ascii="DBS-Torah" w:hint="eastAsia"/>
          <w:rtl/>
        </w:rPr>
        <w:t>–</w:t>
      </w:r>
      <w:r w:rsidRPr="00EC40A9">
        <w:rPr>
          <w:rFonts w:ascii="DBS-Torah"/>
          <w:rtl/>
        </w:rPr>
        <w:t xml:space="preserve"> </w:t>
      </w:r>
      <w:r w:rsidRPr="00EC40A9">
        <w:rPr>
          <w:rFonts w:ascii="DBS-Torah" w:hint="eastAsia"/>
          <w:b/>
          <w:bCs/>
          <w:rtl/>
        </w:rPr>
        <w:t>חוק</w:t>
      </w:r>
      <w:r w:rsidRPr="00EC40A9">
        <w:rPr>
          <w:rFonts w:ascii="DBS-Torah"/>
          <w:b/>
          <w:bCs/>
          <w:rtl/>
        </w:rPr>
        <w:t xml:space="preserve"> </w:t>
      </w:r>
      <w:r w:rsidRPr="00EC40A9">
        <w:rPr>
          <w:rFonts w:ascii="DBS-Torah" w:hint="eastAsia"/>
          <w:b/>
          <w:bCs/>
          <w:rtl/>
        </w:rPr>
        <w:t>הביטוח</w:t>
      </w:r>
      <w:r w:rsidRPr="00EC40A9">
        <w:rPr>
          <w:rFonts w:ascii="DBS-Torah"/>
          <w:b/>
          <w:bCs/>
          <w:rtl/>
        </w:rPr>
        <w:t xml:space="preserve"> </w:t>
      </w:r>
      <w:r w:rsidRPr="00EC40A9">
        <w:rPr>
          <w:rFonts w:ascii="DBS-Torah" w:hint="eastAsia"/>
          <w:b/>
          <w:bCs/>
          <w:rtl/>
        </w:rPr>
        <w:t>הלאומי</w:t>
      </w:r>
      <w:r w:rsidRPr="00EC40A9">
        <w:rPr>
          <w:rFonts w:ascii="DBS-Torah"/>
          <w:rtl/>
        </w:rPr>
        <w:t xml:space="preserve">), </w:t>
      </w:r>
      <w:r w:rsidRPr="00EC40A9">
        <w:rPr>
          <w:rFonts w:ascii="DBS-Torah" w:hint="eastAsia"/>
          <w:rtl/>
        </w:rPr>
        <w:t>גדל</w:t>
      </w:r>
      <w:r w:rsidRPr="00EC40A9">
        <w:rPr>
          <w:rFonts w:ascii="DBS-Torah"/>
          <w:rtl/>
        </w:rPr>
        <w:t xml:space="preserve"> </w:t>
      </w:r>
      <w:r w:rsidRPr="00EC40A9">
        <w:rPr>
          <w:rFonts w:ascii="DBS-Torah" w:hint="eastAsia"/>
          <w:rtl/>
        </w:rPr>
        <w:t>סכום</w:t>
      </w:r>
      <w:r w:rsidRPr="00EC40A9">
        <w:rPr>
          <w:rFonts w:ascii="DBS-Torah"/>
          <w:rtl/>
        </w:rPr>
        <w:t xml:space="preserve"> </w:t>
      </w:r>
      <w:r w:rsidRPr="00EC40A9">
        <w:rPr>
          <w:rFonts w:ascii="DBS-Torah" w:hint="eastAsia"/>
          <w:rtl/>
        </w:rPr>
        <w:t>דמי</w:t>
      </w:r>
      <w:r w:rsidRPr="00EC40A9">
        <w:rPr>
          <w:rFonts w:ascii="DBS-Torah"/>
          <w:rtl/>
        </w:rPr>
        <w:t xml:space="preserve"> </w:t>
      </w:r>
      <w:r w:rsidRPr="00EC40A9">
        <w:rPr>
          <w:rFonts w:ascii="DBS-Torah" w:hint="eastAsia"/>
          <w:rtl/>
        </w:rPr>
        <w:t>הביטוח</w:t>
      </w:r>
      <w:r w:rsidRPr="00EC40A9">
        <w:rPr>
          <w:rFonts w:ascii="DBS-Torah"/>
          <w:rtl/>
        </w:rPr>
        <w:t xml:space="preserve"> </w:t>
      </w:r>
      <w:r w:rsidRPr="00EC40A9">
        <w:rPr>
          <w:rFonts w:ascii="DBS-Torah" w:hint="eastAsia"/>
          <w:rtl/>
        </w:rPr>
        <w:t>הלאומי</w:t>
      </w:r>
      <w:r w:rsidRPr="00EC40A9">
        <w:rPr>
          <w:rFonts w:ascii="DBS-Torah"/>
          <w:rtl/>
        </w:rPr>
        <w:t xml:space="preserve"> </w:t>
      </w:r>
      <w:r w:rsidRPr="00EC40A9">
        <w:rPr>
          <w:rFonts w:ascii="DBS-Torah" w:hint="eastAsia"/>
          <w:rtl/>
        </w:rPr>
        <w:t>שנגבה</w:t>
      </w:r>
      <w:r w:rsidRPr="00EC40A9">
        <w:rPr>
          <w:rFonts w:ascii="DBS-Torah"/>
          <w:rtl/>
        </w:rPr>
        <w:t xml:space="preserve"> </w:t>
      </w:r>
      <w:r w:rsidRPr="00EC40A9">
        <w:rPr>
          <w:rFonts w:ascii="DBS-Torah" w:hint="eastAsia"/>
          <w:rtl/>
        </w:rPr>
        <w:t>מהציבור</w:t>
      </w:r>
      <w:r w:rsidRPr="00EC40A9">
        <w:rPr>
          <w:rFonts w:ascii="DBS-Torah"/>
          <w:rtl/>
        </w:rPr>
        <w:t xml:space="preserve">. </w:t>
      </w:r>
      <w:r w:rsidRPr="00EC40A9">
        <w:rPr>
          <w:rFonts w:ascii="DBS-Torah" w:hint="eastAsia"/>
          <w:rtl/>
        </w:rPr>
        <w:t>לפי</w:t>
      </w:r>
      <w:r w:rsidRPr="00EC40A9">
        <w:rPr>
          <w:rFonts w:ascii="DBS-Torah"/>
          <w:rtl/>
        </w:rPr>
        <w:t xml:space="preserve"> </w:t>
      </w:r>
      <w:r w:rsidRPr="00EC40A9">
        <w:rPr>
          <w:rFonts w:ascii="DBS-Torah" w:hint="eastAsia"/>
          <w:rtl/>
        </w:rPr>
        <w:t>סעיף</w:t>
      </w:r>
      <w:r w:rsidRPr="00EC40A9">
        <w:rPr>
          <w:rFonts w:ascii="DBS-Torah"/>
          <w:rtl/>
        </w:rPr>
        <w:t xml:space="preserve"> 32 </w:t>
      </w:r>
      <w:r w:rsidRPr="00EC40A9">
        <w:rPr>
          <w:rFonts w:ascii="DBS-Torah" w:hint="eastAsia"/>
          <w:rtl/>
        </w:rPr>
        <w:t>לחוק</w:t>
      </w:r>
      <w:r w:rsidRPr="00EC40A9">
        <w:rPr>
          <w:rFonts w:ascii="DBS-Torah"/>
          <w:rtl/>
        </w:rPr>
        <w:t xml:space="preserve"> הביטוח הלאומי, אוצר המדינה משתתף בגבייה של הביטוח הלאומי, ובעקבות זאת צפוי גידול גם בהשתתפות המדינה. </w:t>
      </w:r>
    </w:p>
    <w:p w:rsidR="00DC4053" w:rsidRPr="00EC40A9" w:rsidRDefault="00DC4053" w:rsidP="00DC4053">
      <w:pPr>
        <w:numPr>
          <w:ilvl w:val="0"/>
          <w:numId w:val="11"/>
        </w:numPr>
        <w:tabs>
          <w:tab w:val="left" w:pos="340"/>
        </w:tabs>
        <w:suppressAutoHyphens/>
        <w:autoSpaceDE w:val="0"/>
        <w:autoSpaceDN w:val="0"/>
        <w:adjustRightInd w:val="0"/>
        <w:contextualSpacing/>
        <w:textAlignment w:val="center"/>
        <w:rPr>
          <w:rFonts w:ascii="DBS-Torah"/>
        </w:rPr>
      </w:pPr>
      <w:r w:rsidRPr="004F34C1">
        <w:rPr>
          <w:rFonts w:ascii="DBS-Torah" w:hint="eastAsia"/>
          <w:b/>
          <w:bCs/>
          <w:rtl/>
        </w:rPr>
        <w:t>גידול</w:t>
      </w:r>
      <w:r w:rsidRPr="004F34C1">
        <w:rPr>
          <w:rFonts w:ascii="DBS-Torah"/>
          <w:b/>
          <w:bCs/>
          <w:rtl/>
        </w:rPr>
        <w:t xml:space="preserve"> </w:t>
      </w:r>
      <w:r w:rsidRPr="004F34C1">
        <w:rPr>
          <w:rFonts w:ascii="DBS-Torah" w:hint="eastAsia"/>
          <w:b/>
          <w:bCs/>
          <w:rtl/>
        </w:rPr>
        <w:t>בקצבאות</w:t>
      </w:r>
      <w:r w:rsidRPr="004F34C1">
        <w:rPr>
          <w:rFonts w:ascii="DBS-Torah"/>
          <w:b/>
          <w:bCs/>
          <w:rtl/>
        </w:rPr>
        <w:t xml:space="preserve"> </w:t>
      </w:r>
      <w:r w:rsidRPr="004F34C1">
        <w:rPr>
          <w:rFonts w:ascii="DBS-Torah" w:hint="eastAsia"/>
          <w:b/>
          <w:bCs/>
          <w:rtl/>
        </w:rPr>
        <w:t>במימון</w:t>
      </w:r>
      <w:r w:rsidRPr="004F34C1">
        <w:rPr>
          <w:rFonts w:ascii="DBS-Torah"/>
          <w:b/>
          <w:bCs/>
          <w:rtl/>
        </w:rPr>
        <w:t xml:space="preserve"> </w:t>
      </w:r>
      <w:r w:rsidRPr="004F34C1">
        <w:rPr>
          <w:rFonts w:ascii="DBS-Torah" w:hint="eastAsia"/>
          <w:b/>
          <w:bCs/>
          <w:rtl/>
        </w:rPr>
        <w:t>אוצר</w:t>
      </w:r>
      <w:r w:rsidRPr="004F34C1">
        <w:rPr>
          <w:rFonts w:ascii="DBS-Torah"/>
          <w:b/>
          <w:bCs/>
          <w:rtl/>
        </w:rPr>
        <w:t xml:space="preserve"> </w:t>
      </w:r>
      <w:r w:rsidRPr="004F34C1">
        <w:rPr>
          <w:rFonts w:ascii="DBS-Torah" w:hint="eastAsia"/>
          <w:b/>
          <w:bCs/>
          <w:rtl/>
        </w:rPr>
        <w:t>המדינה</w:t>
      </w:r>
      <w:r w:rsidRPr="004F34C1">
        <w:rPr>
          <w:rFonts w:ascii="DBS-Torah"/>
          <w:b/>
          <w:bCs/>
          <w:rtl/>
        </w:rPr>
        <w:t xml:space="preserve"> </w:t>
      </w:r>
      <w:r w:rsidRPr="004F34C1">
        <w:rPr>
          <w:rFonts w:ascii="DBS-Torah" w:hint="eastAsia"/>
          <w:b/>
          <w:bCs/>
          <w:rtl/>
        </w:rPr>
        <w:t>והשתתפות</w:t>
      </w:r>
      <w:r w:rsidRPr="004F34C1">
        <w:rPr>
          <w:rFonts w:ascii="DBS-Torah"/>
          <w:b/>
          <w:bCs/>
          <w:rtl/>
        </w:rPr>
        <w:t xml:space="preserve"> </w:t>
      </w:r>
      <w:r w:rsidRPr="004F34C1">
        <w:rPr>
          <w:rFonts w:ascii="DBS-Torah" w:hint="eastAsia"/>
          <w:b/>
          <w:bCs/>
          <w:rtl/>
        </w:rPr>
        <w:t>במימון</w:t>
      </w:r>
      <w:r w:rsidRPr="004F34C1">
        <w:rPr>
          <w:rFonts w:ascii="DBS-Torah"/>
          <w:b/>
          <w:bCs/>
          <w:rtl/>
        </w:rPr>
        <w:t xml:space="preserve"> </w:t>
      </w:r>
      <w:r w:rsidRPr="004F34C1">
        <w:rPr>
          <w:rFonts w:ascii="DBS-Torah" w:hint="eastAsia"/>
          <w:b/>
          <w:bCs/>
          <w:rtl/>
        </w:rPr>
        <w:t>קצבאות</w:t>
      </w:r>
      <w:r w:rsidRPr="004F34C1">
        <w:rPr>
          <w:rFonts w:ascii="DBS-Torah"/>
          <w:b/>
          <w:bCs/>
          <w:rtl/>
        </w:rPr>
        <w:t xml:space="preserve"> </w:t>
      </w:r>
      <w:r w:rsidRPr="004F34C1">
        <w:rPr>
          <w:rFonts w:ascii="DBS-Torah" w:hint="eastAsia"/>
          <w:b/>
          <w:bCs/>
          <w:rtl/>
        </w:rPr>
        <w:t>לאוכלוסייה</w:t>
      </w:r>
      <w:r w:rsidRPr="004F34C1">
        <w:rPr>
          <w:rFonts w:ascii="DBS-Torah"/>
          <w:b/>
          <w:bCs/>
          <w:rtl/>
        </w:rPr>
        <w:t xml:space="preserve"> </w:t>
      </w:r>
      <w:r w:rsidRPr="004F34C1">
        <w:rPr>
          <w:rFonts w:ascii="DBS-Torah" w:hint="eastAsia"/>
          <w:b/>
          <w:bCs/>
          <w:rtl/>
        </w:rPr>
        <w:t>לא</w:t>
      </w:r>
      <w:r w:rsidRPr="004F34C1">
        <w:rPr>
          <w:rFonts w:ascii="DBS-Torah"/>
          <w:b/>
          <w:bCs/>
          <w:rtl/>
        </w:rPr>
        <w:t xml:space="preserve"> </w:t>
      </w:r>
      <w:r w:rsidRPr="004F34C1">
        <w:rPr>
          <w:rFonts w:ascii="DBS-Torah" w:hint="eastAsia"/>
          <w:b/>
          <w:bCs/>
          <w:rtl/>
        </w:rPr>
        <w:t>מבוטחת</w:t>
      </w:r>
      <w:r>
        <w:rPr>
          <w:rFonts w:ascii="DBS-Torah" w:hint="cs"/>
          <w:rtl/>
        </w:rPr>
        <w:t xml:space="preserve"> </w:t>
      </w:r>
      <w:r>
        <w:rPr>
          <w:rFonts w:asciiTheme="minorHAnsi" w:hAnsiTheme="minorHAnsi" w:hint="eastAsia"/>
        </w:rPr>
        <w:t>–</w:t>
      </w:r>
      <w:r w:rsidRPr="004F34C1">
        <w:rPr>
          <w:rFonts w:ascii="DBS-Torah"/>
          <w:rtl/>
        </w:rPr>
        <w:t xml:space="preserve"> אוצר המדינה משלם, באמצעות המוסד לביטוח לאומי, קצבאות המשולמות מתוקף חוקים והסכמים שונים שאינם </w:t>
      </w:r>
      <w:r w:rsidRPr="004F34C1">
        <w:rPr>
          <w:rFonts w:ascii="DBS-Torah" w:hint="eastAsia"/>
          <w:rtl/>
        </w:rPr>
        <w:t>במסגרת</w:t>
      </w:r>
      <w:r w:rsidRPr="004F34C1">
        <w:rPr>
          <w:rFonts w:ascii="DBS-Torah"/>
          <w:rtl/>
        </w:rPr>
        <w:t xml:space="preserve"> חוק הביטוח הלאומי. </w:t>
      </w:r>
      <w:r w:rsidRPr="004F34C1">
        <w:rPr>
          <w:rFonts w:ascii="DBS-Torah" w:hint="eastAsia"/>
          <w:rtl/>
        </w:rPr>
        <w:t>בהתאם</w:t>
      </w:r>
      <w:r w:rsidRPr="004F34C1">
        <w:rPr>
          <w:rFonts w:ascii="DBS-Torah"/>
          <w:rtl/>
        </w:rPr>
        <w:t xml:space="preserve">, הגידול בתקציב הביטוח הלאומי </w:t>
      </w:r>
      <w:r w:rsidRPr="004F34C1">
        <w:rPr>
          <w:rFonts w:ascii="DBS-Torah" w:hint="eastAsia"/>
          <w:rtl/>
        </w:rPr>
        <w:t>נובע</w:t>
      </w:r>
      <w:r w:rsidRPr="004F34C1">
        <w:rPr>
          <w:rFonts w:ascii="DBS-Torah"/>
          <w:rtl/>
        </w:rPr>
        <w:t xml:space="preserve">, </w:t>
      </w:r>
      <w:r w:rsidRPr="004F34C1">
        <w:rPr>
          <w:rFonts w:ascii="DBS-Torah" w:hint="eastAsia"/>
          <w:rtl/>
        </w:rPr>
        <w:t>בין</w:t>
      </w:r>
      <w:r w:rsidRPr="004F34C1">
        <w:rPr>
          <w:rFonts w:ascii="DBS-Torah"/>
          <w:rtl/>
        </w:rPr>
        <w:t xml:space="preserve"> </w:t>
      </w:r>
      <w:r w:rsidRPr="004F34C1">
        <w:rPr>
          <w:rFonts w:ascii="DBS-Torah" w:hint="eastAsia"/>
          <w:rtl/>
        </w:rPr>
        <w:t>היתר</w:t>
      </w:r>
      <w:r w:rsidRPr="004F34C1">
        <w:rPr>
          <w:rFonts w:ascii="DBS-Torah"/>
          <w:rtl/>
        </w:rPr>
        <w:t xml:space="preserve">, </w:t>
      </w:r>
      <w:r w:rsidRPr="004F34C1">
        <w:rPr>
          <w:rFonts w:ascii="DBS-Torah" w:hint="eastAsia"/>
          <w:rtl/>
        </w:rPr>
        <w:t>גם</w:t>
      </w:r>
      <w:r w:rsidRPr="004F34C1">
        <w:rPr>
          <w:rFonts w:ascii="DBS-Torah"/>
          <w:rtl/>
        </w:rPr>
        <w:t xml:space="preserve"> מגידול באוכלוסיית הזכאים לקצבאות אלו</w:t>
      </w:r>
      <w:r>
        <w:rPr>
          <w:rFonts w:ascii="DBS-Torah" w:hint="cs"/>
          <w:rtl/>
        </w:rPr>
        <w:t>.</w:t>
      </w:r>
    </w:p>
    <w:p w:rsidR="00DC4053" w:rsidRPr="0013772C" w:rsidRDefault="00DC4053" w:rsidP="00DC4053">
      <w:pPr>
        <w:numPr>
          <w:ilvl w:val="0"/>
          <w:numId w:val="11"/>
        </w:numPr>
        <w:tabs>
          <w:tab w:val="left" w:pos="340"/>
        </w:tabs>
        <w:suppressAutoHyphens/>
        <w:autoSpaceDE w:val="0"/>
        <w:autoSpaceDN w:val="0"/>
        <w:adjustRightInd w:val="0"/>
        <w:contextualSpacing/>
        <w:textAlignment w:val="center"/>
        <w:rPr>
          <w:rFonts w:ascii="DBS-Torah"/>
          <w:b/>
          <w:bCs/>
          <w:rtl/>
        </w:rPr>
      </w:pPr>
      <w:r w:rsidRPr="00591FFB">
        <w:rPr>
          <w:rFonts w:ascii="DBS-Torah" w:hint="cs"/>
          <w:b/>
          <w:bCs/>
          <w:rtl/>
        </w:rPr>
        <w:t>גידול</w:t>
      </w:r>
      <w:r w:rsidRPr="00591FFB">
        <w:rPr>
          <w:rFonts w:ascii="DBS-Torah"/>
          <w:b/>
          <w:bCs/>
          <w:rtl/>
        </w:rPr>
        <w:t xml:space="preserve"> </w:t>
      </w:r>
      <w:r w:rsidRPr="00591FFB">
        <w:rPr>
          <w:rFonts w:ascii="DBS-Torah" w:hint="cs"/>
          <w:b/>
          <w:bCs/>
          <w:rtl/>
        </w:rPr>
        <w:t>בתשלום</w:t>
      </w:r>
      <w:r w:rsidRPr="00591FFB">
        <w:rPr>
          <w:rFonts w:ascii="DBS-Torah"/>
          <w:b/>
          <w:bCs/>
          <w:rtl/>
        </w:rPr>
        <w:t xml:space="preserve"> תגמולים </w:t>
      </w:r>
      <w:r w:rsidRPr="00591FFB">
        <w:rPr>
          <w:rFonts w:ascii="DBS-Torah" w:hint="cs"/>
          <w:b/>
          <w:bCs/>
          <w:rtl/>
        </w:rPr>
        <w:t>לניצולי</w:t>
      </w:r>
      <w:r w:rsidRPr="00591FFB">
        <w:rPr>
          <w:rFonts w:ascii="DBS-Torah"/>
          <w:b/>
          <w:bCs/>
          <w:rtl/>
        </w:rPr>
        <w:t xml:space="preserve"> </w:t>
      </w:r>
      <w:r w:rsidRPr="00591FFB">
        <w:rPr>
          <w:rFonts w:ascii="DBS-Torah" w:hint="cs"/>
          <w:b/>
          <w:bCs/>
          <w:rtl/>
        </w:rPr>
        <w:t>ופליטי</w:t>
      </w:r>
      <w:r w:rsidRPr="00591FFB">
        <w:rPr>
          <w:rFonts w:ascii="DBS-Torah"/>
          <w:b/>
          <w:bCs/>
          <w:rtl/>
        </w:rPr>
        <w:t xml:space="preserve"> </w:t>
      </w:r>
      <w:r>
        <w:rPr>
          <w:rFonts w:ascii="DBS-Torah" w:hint="cs"/>
          <w:b/>
          <w:bCs/>
          <w:rtl/>
        </w:rPr>
        <w:t>ה</w:t>
      </w:r>
      <w:r w:rsidRPr="00591FFB">
        <w:rPr>
          <w:rFonts w:ascii="DBS-Torah" w:hint="cs"/>
          <w:b/>
          <w:bCs/>
          <w:rtl/>
        </w:rPr>
        <w:t>שואה</w:t>
      </w:r>
      <w:r w:rsidRPr="00591FFB">
        <w:rPr>
          <w:rFonts w:ascii="DBS-Torah"/>
          <w:b/>
          <w:bCs/>
          <w:rtl/>
        </w:rPr>
        <w:t xml:space="preserve"> </w:t>
      </w:r>
      <w:r w:rsidRPr="00591FFB">
        <w:rPr>
          <w:rFonts w:ascii="DBS-Torah" w:hint="cs"/>
          <w:b/>
          <w:bCs/>
          <w:rtl/>
        </w:rPr>
        <w:t>ובני</w:t>
      </w:r>
      <w:r w:rsidRPr="00591FFB">
        <w:rPr>
          <w:rFonts w:ascii="DBS-Torah"/>
          <w:b/>
          <w:bCs/>
          <w:rtl/>
        </w:rPr>
        <w:t xml:space="preserve"> </w:t>
      </w:r>
      <w:r w:rsidRPr="00591FFB">
        <w:rPr>
          <w:rFonts w:ascii="DBS-Torah" w:hint="cs"/>
          <w:b/>
          <w:bCs/>
          <w:rtl/>
        </w:rPr>
        <w:t>משפחותיהם</w:t>
      </w:r>
      <w:r>
        <w:rPr>
          <w:rFonts w:ascii="DBS-Torah" w:hint="cs"/>
          <w:b/>
          <w:bCs/>
          <w:rtl/>
        </w:rPr>
        <w:t xml:space="preserve"> </w:t>
      </w:r>
      <w:r>
        <w:rPr>
          <w:rFonts w:asciiTheme="minorHAnsi" w:hAnsiTheme="minorHAnsi" w:hint="eastAsia"/>
          <w:b/>
          <w:bCs/>
        </w:rPr>
        <w:t>–</w:t>
      </w:r>
      <w:r w:rsidRPr="0013772C">
        <w:rPr>
          <w:rFonts w:ascii="DBS-Torah"/>
          <w:b/>
          <w:bCs/>
          <w:rtl/>
        </w:rPr>
        <w:t xml:space="preserve"> </w:t>
      </w:r>
      <w:r w:rsidRPr="00591FFB">
        <w:rPr>
          <w:rFonts w:ascii="DBS-Torah"/>
          <w:rtl/>
        </w:rPr>
        <w:t>בשנים האחרונות התקבלו החלטות מנהליות</w:t>
      </w:r>
      <w:r w:rsidR="002C4195">
        <w:rPr>
          <w:rFonts w:ascii="DBS-Torah" w:hint="cs"/>
          <w:rtl/>
        </w:rPr>
        <w:t>, פסקי דין</w:t>
      </w:r>
      <w:r w:rsidRPr="00591FFB">
        <w:rPr>
          <w:rFonts w:ascii="DBS-Torah"/>
          <w:rtl/>
        </w:rPr>
        <w:t xml:space="preserve"> ותיקוני חוק</w:t>
      </w:r>
      <w:r w:rsidR="002C4195">
        <w:rPr>
          <w:rFonts w:ascii="DBS-Torah" w:hint="cs"/>
          <w:rtl/>
        </w:rPr>
        <w:t xml:space="preserve">, </w:t>
      </w:r>
      <w:r w:rsidRPr="00591FFB">
        <w:rPr>
          <w:rFonts w:ascii="DBS-Torah"/>
          <w:rtl/>
        </w:rPr>
        <w:t>אשר היטיבו עם אוכלוסיית ניצולי ופליטי השואה ו</w:t>
      </w:r>
      <w:r>
        <w:rPr>
          <w:rFonts w:ascii="DBS-Torah" w:hint="cs"/>
          <w:rtl/>
        </w:rPr>
        <w:t xml:space="preserve">עם </w:t>
      </w:r>
      <w:r w:rsidRPr="00591FFB">
        <w:rPr>
          <w:rFonts w:ascii="DBS-Torah"/>
          <w:rtl/>
        </w:rPr>
        <w:t xml:space="preserve">בני משפחותיהם. </w:t>
      </w:r>
      <w:r>
        <w:rPr>
          <w:rFonts w:ascii="DBS-Torah" w:hint="cs"/>
          <w:rtl/>
        </w:rPr>
        <w:t>בעקבות</w:t>
      </w:r>
      <w:r w:rsidRPr="00591FFB">
        <w:rPr>
          <w:rFonts w:ascii="DBS-Torah"/>
          <w:rtl/>
        </w:rPr>
        <w:t xml:space="preserve"> זאת חל גידול ניכר בהיקף האוכלוסיות הזכאיות לתגמולים </w:t>
      </w:r>
      <w:r>
        <w:rPr>
          <w:rFonts w:ascii="DBS-Torah" w:hint="cs"/>
          <w:rtl/>
        </w:rPr>
        <w:t>והטבות</w:t>
      </w:r>
      <w:r w:rsidRPr="00591FFB">
        <w:rPr>
          <w:rFonts w:ascii="DBS-Torah"/>
          <w:rtl/>
        </w:rPr>
        <w:t xml:space="preserve"> המשולמים על-ידי הרשות </w:t>
      </w:r>
      <w:r>
        <w:rPr>
          <w:rFonts w:ascii="DBS-Torah" w:hint="cs"/>
          <w:rtl/>
        </w:rPr>
        <w:t>לזכויות ניצולי השואה. הגידול בתקציב הרשות נובע, בין היתר,</w:t>
      </w:r>
      <w:r w:rsidRPr="00591FFB">
        <w:rPr>
          <w:rFonts w:ascii="DBS-Torah"/>
          <w:rtl/>
        </w:rPr>
        <w:t xml:space="preserve"> </w:t>
      </w:r>
      <w:r>
        <w:rPr>
          <w:rFonts w:ascii="DBS-Torah" w:hint="cs"/>
          <w:rtl/>
        </w:rPr>
        <w:t>מתהליך מיצוי זכויות ל</w:t>
      </w:r>
      <w:r w:rsidRPr="005731FF">
        <w:rPr>
          <w:rFonts w:ascii="DBS-Torah"/>
          <w:rtl/>
        </w:rPr>
        <w:t xml:space="preserve">אוכלוסיית הזכאים </w:t>
      </w:r>
      <w:r>
        <w:rPr>
          <w:rFonts w:ascii="DBS-Torah" w:hint="cs"/>
          <w:rtl/>
        </w:rPr>
        <w:t>ל</w:t>
      </w:r>
      <w:r w:rsidRPr="00591FFB">
        <w:rPr>
          <w:rFonts w:ascii="DBS-Torah"/>
          <w:rtl/>
        </w:rPr>
        <w:t xml:space="preserve">קצבאות </w:t>
      </w:r>
      <w:r>
        <w:rPr>
          <w:rFonts w:ascii="DBS-Torah" w:hint="cs"/>
          <w:rtl/>
        </w:rPr>
        <w:t>ו</w:t>
      </w:r>
      <w:r w:rsidRPr="00591FFB">
        <w:rPr>
          <w:rFonts w:ascii="DBS-Torah"/>
          <w:rtl/>
        </w:rPr>
        <w:t>מענקים ו</w:t>
      </w:r>
      <w:r>
        <w:rPr>
          <w:rFonts w:ascii="DBS-Torah" w:hint="cs"/>
          <w:rtl/>
        </w:rPr>
        <w:t xml:space="preserve">כן בעקבות הזדקנות אוכלוסיית ניצולי השואה, אשר מגדילה את הוצאת הרשות על תשלום תרופות, שעות סיעוד וטיפולים רפואיים. </w:t>
      </w:r>
    </w:p>
    <w:p w:rsidR="00DC4053" w:rsidRPr="00593C5F" w:rsidRDefault="00DC4053" w:rsidP="00DC4053">
      <w:pPr>
        <w:tabs>
          <w:tab w:val="left" w:pos="340"/>
        </w:tabs>
        <w:suppressAutoHyphens/>
        <w:autoSpaceDE w:val="0"/>
        <w:autoSpaceDN w:val="0"/>
        <w:adjustRightInd w:val="0"/>
        <w:ind w:left="360"/>
        <w:contextualSpacing/>
        <w:textAlignment w:val="center"/>
        <w:rPr>
          <w:rFonts w:ascii="DBS-Torah"/>
          <w:b/>
          <w:bCs/>
          <w:rtl/>
        </w:rPr>
      </w:pPr>
    </w:p>
    <w:p w:rsidR="00DC4053" w:rsidRPr="00593C5F" w:rsidRDefault="00DC4053" w:rsidP="00DC4053">
      <w:pPr>
        <w:tabs>
          <w:tab w:val="left" w:pos="340"/>
        </w:tabs>
        <w:suppressAutoHyphens/>
        <w:autoSpaceDE w:val="0"/>
        <w:autoSpaceDN w:val="0"/>
        <w:adjustRightInd w:val="0"/>
        <w:ind w:left="360"/>
        <w:contextualSpacing/>
        <w:textAlignment w:val="center"/>
        <w:rPr>
          <w:rFonts w:ascii="DBS-Torah"/>
          <w:b/>
          <w:bCs/>
          <w:rtl/>
        </w:rPr>
      </w:pPr>
      <w:r w:rsidRPr="00593C5F">
        <w:rPr>
          <w:rFonts w:ascii="DBS-Torah" w:hint="cs"/>
          <w:b/>
          <w:bCs/>
          <w:rtl/>
        </w:rPr>
        <w:t>ביחס</w:t>
      </w:r>
      <w:r w:rsidRPr="00593C5F">
        <w:rPr>
          <w:rFonts w:ascii="DBS-Torah"/>
          <w:b/>
          <w:bCs/>
          <w:rtl/>
        </w:rPr>
        <w:t xml:space="preserve"> </w:t>
      </w:r>
      <w:r w:rsidRPr="00593C5F">
        <w:rPr>
          <w:rFonts w:ascii="DBS-Torah" w:hint="cs"/>
          <w:b/>
          <w:bCs/>
          <w:rtl/>
        </w:rPr>
        <w:t>לפרסום</w:t>
      </w:r>
      <w:r w:rsidRPr="00593C5F">
        <w:rPr>
          <w:rFonts w:ascii="DBS-Torah"/>
          <w:b/>
          <w:bCs/>
          <w:rtl/>
        </w:rPr>
        <w:t xml:space="preserve"> </w:t>
      </w:r>
      <w:r w:rsidRPr="00593C5F">
        <w:rPr>
          <w:rFonts w:ascii="DBS-Torah" w:hint="cs"/>
          <w:b/>
          <w:bCs/>
          <w:rtl/>
        </w:rPr>
        <w:t>הקודם</w:t>
      </w:r>
      <w:r w:rsidRPr="00593C5F">
        <w:rPr>
          <w:rFonts w:ascii="DBS-Torah"/>
          <w:b/>
          <w:bCs/>
          <w:rtl/>
        </w:rPr>
        <w:t xml:space="preserve">, </w:t>
      </w:r>
      <w:r w:rsidRPr="00593C5F">
        <w:rPr>
          <w:rFonts w:ascii="DBS-Torah" w:hint="cs"/>
          <w:b/>
          <w:bCs/>
          <w:rtl/>
        </w:rPr>
        <w:t>עיקרי</w:t>
      </w:r>
      <w:r w:rsidRPr="00593C5F">
        <w:rPr>
          <w:rFonts w:ascii="DBS-Torah"/>
          <w:b/>
          <w:bCs/>
          <w:rtl/>
        </w:rPr>
        <w:t xml:space="preserve"> </w:t>
      </w:r>
      <w:r w:rsidRPr="00593C5F">
        <w:rPr>
          <w:rFonts w:ascii="DBS-Torah" w:hint="cs"/>
          <w:b/>
          <w:bCs/>
          <w:rtl/>
        </w:rPr>
        <w:t>השינויים</w:t>
      </w:r>
      <w:r w:rsidRPr="00593C5F">
        <w:rPr>
          <w:rFonts w:ascii="DBS-Torah"/>
          <w:b/>
          <w:bCs/>
          <w:rtl/>
        </w:rPr>
        <w:t xml:space="preserve"> </w:t>
      </w:r>
      <w:r w:rsidRPr="00593C5F">
        <w:rPr>
          <w:rFonts w:ascii="DBS-Torah" w:hint="cs"/>
          <w:b/>
          <w:bCs/>
          <w:rtl/>
        </w:rPr>
        <w:t>בקבוצת</w:t>
      </w:r>
      <w:r w:rsidRPr="00593C5F">
        <w:rPr>
          <w:rFonts w:ascii="DBS-Torah"/>
          <w:b/>
          <w:bCs/>
          <w:rtl/>
        </w:rPr>
        <w:t xml:space="preserve"> </w:t>
      </w:r>
      <w:r w:rsidRPr="00593C5F">
        <w:rPr>
          <w:rFonts w:ascii="DBS-Torah" w:hint="cs"/>
          <w:b/>
          <w:bCs/>
          <w:rtl/>
        </w:rPr>
        <w:t>המשרדים</w:t>
      </w:r>
      <w:r w:rsidRPr="00593C5F">
        <w:rPr>
          <w:rFonts w:ascii="DBS-Torah"/>
          <w:b/>
          <w:bCs/>
          <w:rtl/>
        </w:rPr>
        <w:t xml:space="preserve"> </w:t>
      </w:r>
      <w:r w:rsidRPr="00593C5F">
        <w:rPr>
          <w:rFonts w:ascii="DBS-Torah" w:hint="cs"/>
          <w:b/>
          <w:bCs/>
          <w:rtl/>
        </w:rPr>
        <w:t>הזו</w:t>
      </w:r>
      <w:r w:rsidRPr="00593C5F">
        <w:rPr>
          <w:rFonts w:ascii="DBS-Torah"/>
          <w:b/>
          <w:bCs/>
          <w:rtl/>
        </w:rPr>
        <w:t xml:space="preserve"> </w:t>
      </w:r>
      <w:r w:rsidRPr="00593C5F">
        <w:rPr>
          <w:rFonts w:ascii="DBS-Torah" w:hint="cs"/>
          <w:b/>
          <w:bCs/>
          <w:rtl/>
        </w:rPr>
        <w:t>הם</w:t>
      </w:r>
      <w:r w:rsidRPr="00593C5F">
        <w:rPr>
          <w:rFonts w:ascii="DBS-Torah"/>
          <w:b/>
          <w:bCs/>
          <w:rtl/>
        </w:rPr>
        <w:t>:</w:t>
      </w:r>
    </w:p>
    <w:p w:rsidR="00281940" w:rsidRPr="00281940" w:rsidRDefault="00281940" w:rsidP="003A4447">
      <w:pPr>
        <w:pStyle w:val="a7"/>
        <w:numPr>
          <w:ilvl w:val="0"/>
          <w:numId w:val="29"/>
        </w:numPr>
        <w:rPr>
          <w:rFonts w:ascii="DBS-Torah"/>
          <w:szCs w:val="26"/>
          <w:rtl/>
        </w:rPr>
      </w:pPr>
      <w:r w:rsidRPr="00281940">
        <w:rPr>
          <w:rFonts w:ascii="DBS-Torah" w:hint="eastAsia"/>
          <w:rtl/>
        </w:rPr>
        <w:t>ההוצאה</w:t>
      </w:r>
      <w:r w:rsidRPr="00281940">
        <w:rPr>
          <w:rFonts w:ascii="DBS-Torah"/>
          <w:rtl/>
        </w:rPr>
        <w:t xml:space="preserve"> הצפויה על </w:t>
      </w:r>
      <w:r w:rsidRPr="00281940">
        <w:rPr>
          <w:rFonts w:ascii="DBS-Torah" w:hint="eastAsia"/>
          <w:b/>
          <w:bCs/>
          <w:rtl/>
        </w:rPr>
        <w:t>תקציב</w:t>
      </w:r>
      <w:r w:rsidRPr="00281940">
        <w:rPr>
          <w:rFonts w:ascii="DBS-Torah"/>
          <w:b/>
          <w:bCs/>
          <w:rtl/>
        </w:rPr>
        <w:t xml:space="preserve"> </w:t>
      </w:r>
      <w:r w:rsidRPr="00281940">
        <w:rPr>
          <w:rFonts w:ascii="DBS-Torah" w:hint="eastAsia"/>
          <w:b/>
          <w:bCs/>
          <w:rtl/>
        </w:rPr>
        <w:t>הרשות</w:t>
      </w:r>
      <w:r w:rsidRPr="00281940">
        <w:rPr>
          <w:rFonts w:ascii="DBS-Torah"/>
          <w:b/>
          <w:bCs/>
          <w:rtl/>
        </w:rPr>
        <w:t xml:space="preserve"> </w:t>
      </w:r>
      <w:r w:rsidRPr="00281940">
        <w:rPr>
          <w:rFonts w:ascii="DBS-Torah" w:hint="eastAsia"/>
          <w:b/>
          <w:bCs/>
          <w:rtl/>
        </w:rPr>
        <w:t>לניצולי</w:t>
      </w:r>
      <w:r w:rsidRPr="00281940">
        <w:rPr>
          <w:rFonts w:ascii="DBS-Torah"/>
          <w:b/>
          <w:bCs/>
          <w:rtl/>
        </w:rPr>
        <w:t xml:space="preserve"> </w:t>
      </w:r>
      <w:r w:rsidRPr="00281940">
        <w:rPr>
          <w:rFonts w:ascii="DBS-Torah" w:hint="eastAsia"/>
          <w:b/>
          <w:bCs/>
          <w:rtl/>
        </w:rPr>
        <w:t>שואה</w:t>
      </w:r>
      <w:r w:rsidRPr="00281940">
        <w:rPr>
          <w:rFonts w:ascii="DBS-Torah"/>
          <w:rtl/>
        </w:rPr>
        <w:t xml:space="preserve"> גדלה</w:t>
      </w:r>
      <w:r w:rsidR="00CD255C">
        <w:rPr>
          <w:rFonts w:asciiTheme="minorHAnsi" w:hAnsiTheme="minorHAnsi" w:hint="cs"/>
          <w:rtl/>
        </w:rPr>
        <w:t xml:space="preserve"> בממוצע</w:t>
      </w:r>
      <w:r w:rsidRPr="00281940">
        <w:rPr>
          <w:rFonts w:asciiTheme="minorHAnsi" w:hAnsiTheme="minorHAnsi"/>
          <w:rtl/>
        </w:rPr>
        <w:t xml:space="preserve"> </w:t>
      </w:r>
      <w:r w:rsidRPr="00281940">
        <w:rPr>
          <w:rFonts w:ascii="DBS-Torah" w:hint="eastAsia"/>
          <w:rtl/>
        </w:rPr>
        <w:t>בכ</w:t>
      </w:r>
      <w:r w:rsidR="00834D70" w:rsidRPr="00281940">
        <w:rPr>
          <w:rFonts w:ascii="DBS-Torah" w:hint="cs"/>
          <w:rtl/>
        </w:rPr>
        <w:t>-</w:t>
      </w:r>
      <w:r w:rsidR="00834D70">
        <w:rPr>
          <w:rFonts w:ascii="DBS-Torah" w:hint="cs"/>
          <w:rtl/>
        </w:rPr>
        <w:t>0.</w:t>
      </w:r>
      <w:r w:rsidR="003D2F99">
        <w:rPr>
          <w:rFonts w:ascii="DBS-Torah" w:hint="cs"/>
          <w:rtl/>
        </w:rPr>
        <w:t>4</w:t>
      </w:r>
      <w:r w:rsidR="003D2F99" w:rsidRPr="00281940">
        <w:rPr>
          <w:rFonts w:asciiTheme="minorHAnsi" w:hAnsiTheme="minorHAnsi"/>
          <w:rtl/>
        </w:rPr>
        <w:t xml:space="preserve"> </w:t>
      </w:r>
      <w:r w:rsidRPr="00281940">
        <w:rPr>
          <w:rFonts w:asciiTheme="minorHAnsi" w:hAnsiTheme="minorHAnsi" w:hint="eastAsia"/>
          <w:rtl/>
        </w:rPr>
        <w:t>מיליארד</w:t>
      </w:r>
      <w:r w:rsidRPr="00281940">
        <w:rPr>
          <w:rFonts w:asciiTheme="minorHAnsi" w:hAnsiTheme="minorHAnsi"/>
          <w:rtl/>
        </w:rPr>
        <w:t xml:space="preserve"> </w:t>
      </w:r>
      <w:r w:rsidRPr="00281940">
        <w:rPr>
          <w:rFonts w:asciiTheme="minorHAnsi" w:hAnsiTheme="minorHAnsi" w:hint="eastAsia"/>
          <w:rtl/>
        </w:rPr>
        <w:t>ש</w:t>
      </w:r>
      <w:r w:rsidRPr="00281940">
        <w:rPr>
          <w:rFonts w:asciiTheme="minorHAnsi" w:hAnsiTheme="minorHAnsi"/>
          <w:rtl/>
        </w:rPr>
        <w:t>"</w:t>
      </w:r>
      <w:r w:rsidRPr="00281940">
        <w:rPr>
          <w:rFonts w:asciiTheme="minorHAnsi" w:hAnsiTheme="minorHAnsi" w:hint="eastAsia"/>
          <w:rtl/>
        </w:rPr>
        <w:t>ח</w:t>
      </w:r>
      <w:r w:rsidRPr="00281940">
        <w:rPr>
          <w:rFonts w:ascii="DBS-Torah"/>
          <w:rtl/>
        </w:rPr>
        <w:t xml:space="preserve"> </w:t>
      </w:r>
      <w:r w:rsidR="00DD6506">
        <w:rPr>
          <w:rFonts w:ascii="DBS-Torah" w:hint="cs"/>
          <w:rtl/>
        </w:rPr>
        <w:t>ב</w:t>
      </w:r>
      <w:r w:rsidR="005961AA">
        <w:rPr>
          <w:rFonts w:ascii="DBS-Torah" w:hint="cs"/>
          <w:rtl/>
        </w:rPr>
        <w:t xml:space="preserve">כל אחת מהשנים 2020-2022 </w:t>
      </w:r>
      <w:r w:rsidRPr="00281940">
        <w:rPr>
          <w:rFonts w:ascii="DBS-Torah"/>
          <w:rtl/>
        </w:rPr>
        <w:t>ב</w:t>
      </w:r>
      <w:r w:rsidRPr="00281940">
        <w:rPr>
          <w:rFonts w:ascii="DBS-Torah" w:hint="eastAsia"/>
          <w:rtl/>
        </w:rPr>
        <w:t>עיקר</w:t>
      </w:r>
      <w:r w:rsidRPr="00281940">
        <w:rPr>
          <w:rFonts w:ascii="DBS-Torah"/>
          <w:rtl/>
        </w:rPr>
        <w:t xml:space="preserve"> </w:t>
      </w:r>
      <w:r w:rsidRPr="00281940">
        <w:rPr>
          <w:rFonts w:ascii="DBS-Torah" w:hint="eastAsia"/>
          <w:rtl/>
        </w:rPr>
        <w:t>בגין</w:t>
      </w:r>
      <w:r w:rsidRPr="00281940">
        <w:rPr>
          <w:rFonts w:ascii="DBS-Torah"/>
          <w:rtl/>
        </w:rPr>
        <w:t xml:space="preserve"> </w:t>
      </w:r>
      <w:r w:rsidRPr="00281940">
        <w:rPr>
          <w:rFonts w:ascii="DBS-Torah" w:hint="eastAsia"/>
          <w:rtl/>
        </w:rPr>
        <w:t>עדכון</w:t>
      </w:r>
      <w:r w:rsidRPr="00281940">
        <w:rPr>
          <w:rFonts w:ascii="DBS-Torah"/>
          <w:rtl/>
        </w:rPr>
        <w:t xml:space="preserve"> </w:t>
      </w:r>
      <w:r w:rsidRPr="00281940">
        <w:rPr>
          <w:rFonts w:ascii="DBS-Torah" w:hint="eastAsia"/>
          <w:rtl/>
        </w:rPr>
        <w:t>תחזית</w:t>
      </w:r>
      <w:r w:rsidRPr="00281940">
        <w:rPr>
          <w:rFonts w:ascii="DBS-Torah"/>
          <w:rtl/>
        </w:rPr>
        <w:t xml:space="preserve"> </w:t>
      </w:r>
      <w:r w:rsidRPr="00281940">
        <w:rPr>
          <w:rFonts w:ascii="DBS-Torah" w:hint="eastAsia"/>
          <w:rtl/>
        </w:rPr>
        <w:t>היישום</w:t>
      </w:r>
      <w:r w:rsidRPr="00281940">
        <w:rPr>
          <w:rFonts w:ascii="DBS-Torah"/>
          <w:rtl/>
        </w:rPr>
        <w:t xml:space="preserve"> </w:t>
      </w:r>
      <w:r w:rsidRPr="00281940">
        <w:rPr>
          <w:rFonts w:ascii="DBS-Torah" w:hint="eastAsia"/>
          <w:rtl/>
        </w:rPr>
        <w:t>ש</w:t>
      </w:r>
      <w:r w:rsidRPr="00281940">
        <w:rPr>
          <w:rFonts w:ascii="DBS-Torah"/>
          <w:rtl/>
        </w:rPr>
        <w:t xml:space="preserve">ל </w:t>
      </w:r>
      <w:r w:rsidRPr="00281940">
        <w:rPr>
          <w:rFonts w:ascii="DBS-Torah" w:hint="eastAsia"/>
          <w:rtl/>
        </w:rPr>
        <w:t>מספר</w:t>
      </w:r>
      <w:r w:rsidRPr="00281940">
        <w:rPr>
          <w:rFonts w:ascii="DBS-Torah"/>
          <w:rtl/>
        </w:rPr>
        <w:t xml:space="preserve"> שינויי חקיקה</w:t>
      </w:r>
      <w:r w:rsidR="002C4195">
        <w:rPr>
          <w:rFonts w:ascii="DBS-Torah" w:hint="cs"/>
          <w:rtl/>
        </w:rPr>
        <w:t xml:space="preserve">, </w:t>
      </w:r>
      <w:r w:rsidR="002C4195">
        <w:rPr>
          <w:rFonts w:ascii="DBS-Torah" w:hint="cs"/>
          <w:rtl/>
        </w:rPr>
        <w:lastRenderedPageBreak/>
        <w:t>פסקי דין</w:t>
      </w:r>
      <w:r w:rsidRPr="00281940">
        <w:rPr>
          <w:rFonts w:ascii="DBS-Torah"/>
          <w:rtl/>
        </w:rPr>
        <w:t xml:space="preserve"> </w:t>
      </w:r>
      <w:r w:rsidRPr="00834D70">
        <w:rPr>
          <w:rFonts w:ascii="DBS-Torah"/>
          <w:rtl/>
        </w:rPr>
        <w:t xml:space="preserve">והחלטות מנהליות, </w:t>
      </w:r>
      <w:r w:rsidRPr="00834D70">
        <w:rPr>
          <w:rFonts w:ascii="DBS-Torah" w:hint="eastAsia"/>
          <w:rtl/>
        </w:rPr>
        <w:t>שבין</w:t>
      </w:r>
      <w:r w:rsidRPr="00834D70">
        <w:rPr>
          <w:rFonts w:ascii="DBS-Torah"/>
          <w:rtl/>
        </w:rPr>
        <w:t xml:space="preserve"> </w:t>
      </w:r>
      <w:r w:rsidRPr="00834D70">
        <w:rPr>
          <w:rFonts w:ascii="DBS-Torah" w:hint="eastAsia"/>
          <w:rtl/>
        </w:rPr>
        <w:t>היתר</w:t>
      </w:r>
      <w:r w:rsidRPr="00834D70">
        <w:rPr>
          <w:rFonts w:ascii="DBS-Torah"/>
          <w:rtl/>
        </w:rPr>
        <w:t xml:space="preserve">, </w:t>
      </w:r>
      <w:r w:rsidRPr="00834D70">
        <w:rPr>
          <w:rFonts w:ascii="DBS-Torah" w:hint="eastAsia"/>
          <w:rtl/>
        </w:rPr>
        <w:t>הביאו</w:t>
      </w:r>
      <w:r w:rsidRPr="00834D70">
        <w:rPr>
          <w:rFonts w:ascii="DBS-Torah"/>
          <w:rtl/>
        </w:rPr>
        <w:t xml:space="preserve"> </w:t>
      </w:r>
      <w:r w:rsidRPr="00834D70">
        <w:rPr>
          <w:rFonts w:ascii="DBS-Torah" w:hint="eastAsia"/>
          <w:rtl/>
        </w:rPr>
        <w:t>ל</w:t>
      </w:r>
      <w:r w:rsidRPr="00834D70">
        <w:rPr>
          <w:rFonts w:ascii="DBS-Torah"/>
          <w:rtl/>
        </w:rPr>
        <w:t>הגדלת אוכלוסיות הזכאיות לקצבה והגדלת האוכלוסיות הזכאיות למענק שנתי.</w:t>
      </w:r>
      <w:r w:rsidRPr="00A34826">
        <w:rPr>
          <w:rFonts w:ascii="DBS-Torah"/>
          <w:rtl/>
        </w:rPr>
        <w:t xml:space="preserve"> בנוסף, הגידול נובע מ</w:t>
      </w:r>
      <w:r w:rsidR="0085620E" w:rsidRPr="00A34826">
        <w:rPr>
          <w:rFonts w:ascii="DBS-Torah" w:hint="eastAsia"/>
          <w:rtl/>
        </w:rPr>
        <w:t>השפעת</w:t>
      </w:r>
      <w:r w:rsidR="0085620E" w:rsidRPr="00A34826">
        <w:rPr>
          <w:rFonts w:ascii="DBS-Torah"/>
          <w:rtl/>
        </w:rPr>
        <w:t xml:space="preserve"> </w:t>
      </w:r>
      <w:r w:rsidRPr="00A34826">
        <w:rPr>
          <w:rFonts w:ascii="DBS-Torah"/>
          <w:rtl/>
        </w:rPr>
        <w:t xml:space="preserve">יישום החלטת הממשלה 3661 מיום </w:t>
      </w:r>
      <w:r w:rsidRPr="00834D70">
        <w:rPr>
          <w:rtl/>
        </w:rPr>
        <w:t xml:space="preserve">11 במרץ 2018 שעניינה מיצוי זכויות, מינוי </w:t>
      </w:r>
      <w:r w:rsidRPr="00834D70">
        <w:rPr>
          <w:rFonts w:hint="eastAsia"/>
          <w:rtl/>
        </w:rPr>
        <w:t>מתכלל</w:t>
      </w:r>
      <w:r w:rsidRPr="00834D70">
        <w:rPr>
          <w:rtl/>
        </w:rPr>
        <w:t xml:space="preserve"> ושיפור המענים לניצולי שואה, </w:t>
      </w:r>
      <w:r w:rsidRPr="00834D70">
        <w:rPr>
          <w:rFonts w:hint="eastAsia"/>
          <w:rtl/>
        </w:rPr>
        <w:t>אשר</w:t>
      </w:r>
      <w:r w:rsidRPr="00834D70">
        <w:rPr>
          <w:rtl/>
        </w:rPr>
        <w:t xml:space="preserve"> במסגרתה הוחלט כי יוקם צוות בראשות סגן שר האוצר, </w:t>
      </w:r>
      <w:r w:rsidRPr="00834D70">
        <w:rPr>
          <w:rFonts w:hint="eastAsia"/>
          <w:rtl/>
        </w:rPr>
        <w:t>ש</w:t>
      </w:r>
      <w:r w:rsidRPr="00834D70">
        <w:rPr>
          <w:rtl/>
        </w:rPr>
        <w:t>יבצע פרויקט מיצוי זכויות בקרב כלל הזכאים להטבות מן הרשות לניצולי שואה, ובין קשישים העשויים להיות זכאים להטבות מהרשות על פי גילם וארץ מוצאם</w:t>
      </w:r>
      <w:r w:rsidR="00D67D4C">
        <w:rPr>
          <w:rFonts w:hint="cs"/>
          <w:rtl/>
        </w:rPr>
        <w:t>. כמו כן,</w:t>
      </w:r>
      <w:r w:rsidR="00E82804">
        <w:rPr>
          <w:rFonts w:hint="cs"/>
          <w:rtl/>
        </w:rPr>
        <w:t xml:space="preserve"> בעקבות </w:t>
      </w:r>
      <w:r w:rsidR="00C4306F">
        <w:rPr>
          <w:rFonts w:hint="cs"/>
          <w:rtl/>
        </w:rPr>
        <w:t xml:space="preserve">פסק דין חויבה המדינה לשלם </w:t>
      </w:r>
      <w:r w:rsidR="008D5A5B">
        <w:rPr>
          <w:rFonts w:hint="cs"/>
          <w:rtl/>
        </w:rPr>
        <w:t xml:space="preserve">גם לזכאי חוק ההטבות </w:t>
      </w:r>
      <w:r w:rsidR="00C4306F">
        <w:rPr>
          <w:rFonts w:hint="cs"/>
          <w:rtl/>
        </w:rPr>
        <w:t>ג</w:t>
      </w:r>
      <w:r w:rsidR="008D5A5B">
        <w:rPr>
          <w:rFonts w:hint="cs"/>
          <w:rtl/>
        </w:rPr>
        <w:t>מלה חודשית לאלמנות ואלמני ניצולי שואה. בנוסף, הוחלט על מתן מענק רבעוני לניצולי שואה הזכאים לרנטה מממשלת גרמניה (</w:t>
      </w:r>
      <w:r w:rsidR="008D5A5B">
        <w:rPr>
          <w:rFonts w:hint="cs"/>
        </w:rPr>
        <w:t>BEG</w:t>
      </w:r>
      <w:r w:rsidR="008D5A5B">
        <w:rPr>
          <w:rFonts w:hint="cs"/>
          <w:rtl/>
        </w:rPr>
        <w:t>).</w:t>
      </w:r>
    </w:p>
    <w:p w:rsidR="00F64696" w:rsidRDefault="00DC4053" w:rsidP="005971AC">
      <w:pPr>
        <w:pStyle w:val="a7"/>
        <w:numPr>
          <w:ilvl w:val="0"/>
          <w:numId w:val="29"/>
        </w:numPr>
        <w:rPr>
          <w:rFonts w:cs="FrankRuehl"/>
          <w:szCs w:val="26"/>
        </w:rPr>
      </w:pPr>
      <w:r w:rsidRPr="00591FFB">
        <w:rPr>
          <w:rFonts w:hint="eastAsia"/>
          <w:rtl/>
        </w:rPr>
        <w:t>ה</w:t>
      </w:r>
      <w:r w:rsidR="00F64696">
        <w:rPr>
          <w:rFonts w:hint="cs"/>
          <w:rtl/>
        </w:rPr>
        <w:t xml:space="preserve">הוצאה </w:t>
      </w:r>
      <w:r w:rsidR="00F64696" w:rsidRPr="0019222F">
        <w:rPr>
          <w:rFonts w:hint="eastAsia"/>
          <w:rtl/>
        </w:rPr>
        <w:t>הצפויה</w:t>
      </w:r>
      <w:r w:rsidR="00F64696" w:rsidRPr="0019222F">
        <w:rPr>
          <w:rtl/>
        </w:rPr>
        <w:t xml:space="preserve"> על </w:t>
      </w:r>
      <w:r w:rsidR="00F64696" w:rsidRPr="00A87558">
        <w:rPr>
          <w:b/>
          <w:bCs/>
          <w:rtl/>
        </w:rPr>
        <w:t xml:space="preserve">תקציב משרד </w:t>
      </w:r>
      <w:r w:rsidR="00F64696" w:rsidRPr="00A87558">
        <w:rPr>
          <w:rFonts w:hint="eastAsia"/>
          <w:b/>
          <w:bCs/>
          <w:rtl/>
        </w:rPr>
        <w:t>החינוך</w:t>
      </w:r>
      <w:r w:rsidR="00F64696" w:rsidRPr="0019222F">
        <w:rPr>
          <w:rtl/>
        </w:rPr>
        <w:t xml:space="preserve"> </w:t>
      </w:r>
      <w:r w:rsidR="00F64696" w:rsidRPr="0019222F">
        <w:rPr>
          <w:rFonts w:hint="eastAsia"/>
          <w:rtl/>
        </w:rPr>
        <w:t>גדלה</w:t>
      </w:r>
      <w:r w:rsidR="00F64696" w:rsidRPr="0019222F">
        <w:rPr>
          <w:rtl/>
        </w:rPr>
        <w:t xml:space="preserve"> </w:t>
      </w:r>
      <w:r w:rsidR="00F64696" w:rsidRPr="0019222F">
        <w:rPr>
          <w:rFonts w:hint="eastAsia"/>
          <w:rtl/>
        </w:rPr>
        <w:t>בממוצע</w:t>
      </w:r>
      <w:r w:rsidR="00F64696" w:rsidRPr="0019222F">
        <w:rPr>
          <w:rtl/>
        </w:rPr>
        <w:t xml:space="preserve"> </w:t>
      </w:r>
      <w:r w:rsidR="00F64696" w:rsidRPr="0019222F">
        <w:rPr>
          <w:rFonts w:hint="eastAsia"/>
          <w:rtl/>
        </w:rPr>
        <w:t>בכ</w:t>
      </w:r>
      <w:r w:rsidR="00FC0152">
        <w:rPr>
          <w:rFonts w:hint="cs"/>
          <w:rtl/>
        </w:rPr>
        <w:t>-</w:t>
      </w:r>
      <w:r w:rsidR="00727D9A">
        <w:rPr>
          <w:rFonts w:hint="cs"/>
          <w:rtl/>
        </w:rPr>
        <w:t>1</w:t>
      </w:r>
      <w:r w:rsidR="00FC0152" w:rsidRPr="0019222F">
        <w:rPr>
          <w:rtl/>
        </w:rPr>
        <w:t xml:space="preserve"> </w:t>
      </w:r>
      <w:r w:rsidR="00F64696" w:rsidRPr="0019222F">
        <w:rPr>
          <w:rtl/>
        </w:rPr>
        <w:t>מיליארד</w:t>
      </w:r>
      <w:r w:rsidR="00F64696">
        <w:rPr>
          <w:rFonts w:hint="cs"/>
          <w:rtl/>
        </w:rPr>
        <w:t xml:space="preserve"> ש"ח בכל אחת מהשנים 2020-2022</w:t>
      </w:r>
      <w:r w:rsidR="0019222F">
        <w:rPr>
          <w:rFonts w:hint="cs"/>
          <w:rtl/>
        </w:rPr>
        <w:t xml:space="preserve">, </w:t>
      </w:r>
      <w:r w:rsidR="00F64696">
        <w:rPr>
          <w:rFonts w:hint="cs"/>
          <w:rtl/>
        </w:rPr>
        <w:t>זאת בעקבות עדכון מודל הגידול הטבעי במערכת החינוך</w:t>
      </w:r>
      <w:r w:rsidR="00FB26A6">
        <w:rPr>
          <w:rFonts w:hint="cs"/>
          <w:rtl/>
        </w:rPr>
        <w:t>,</w:t>
      </w:r>
      <w:r w:rsidR="00F64696">
        <w:rPr>
          <w:rFonts w:hint="cs"/>
          <w:rtl/>
        </w:rPr>
        <w:t xml:space="preserve"> בדגש על החינוך המיוחד</w:t>
      </w:r>
      <w:r w:rsidR="00A87558">
        <w:rPr>
          <w:rFonts w:hint="cs"/>
          <w:rtl/>
        </w:rPr>
        <w:t xml:space="preserve">. עדכון זה הביא גם </w:t>
      </w:r>
      <w:r w:rsidR="00FB26A6">
        <w:rPr>
          <w:rFonts w:hint="cs"/>
          <w:rtl/>
        </w:rPr>
        <w:t>להגדל</w:t>
      </w:r>
      <w:r w:rsidR="00A87558">
        <w:rPr>
          <w:rFonts w:hint="cs"/>
          <w:rtl/>
        </w:rPr>
        <w:t>ה ניכרת ב</w:t>
      </w:r>
      <w:r w:rsidR="00FB26A6">
        <w:rPr>
          <w:rFonts w:hint="cs"/>
          <w:rtl/>
        </w:rPr>
        <w:t>מימון להסעות התלמידים ברשויות המקומיות</w:t>
      </w:r>
      <w:r w:rsidR="00F03D13">
        <w:rPr>
          <w:rFonts w:hint="cs"/>
          <w:rtl/>
        </w:rPr>
        <w:t>.</w:t>
      </w:r>
      <w:r w:rsidR="00FB26A6">
        <w:rPr>
          <w:rFonts w:hint="cs"/>
          <w:rtl/>
        </w:rPr>
        <w:t xml:space="preserve"> </w:t>
      </w:r>
      <w:r w:rsidR="00F03D13">
        <w:rPr>
          <w:rFonts w:hint="cs"/>
          <w:rtl/>
        </w:rPr>
        <w:t>נוסף על כך, נרשם גידול במספר התלמידים המשתתפים במסגרות הצהרונים המסובסדות על ידי משרד החינוך ו</w:t>
      </w:r>
      <w:r w:rsidR="00FB26A6">
        <w:rPr>
          <w:rFonts w:hint="cs"/>
          <w:rtl/>
        </w:rPr>
        <w:t>חלו שינויים בתחשיבי תזרים המזומנים לבינוי כיתות לימוד חדשות</w:t>
      </w:r>
      <w:r w:rsidR="00FB26A6">
        <w:t>.</w:t>
      </w:r>
      <w:r w:rsidR="00985463">
        <w:rPr>
          <w:rFonts w:cs="FrankRuehl" w:hint="cs"/>
          <w:szCs w:val="26"/>
          <w:rtl/>
        </w:rPr>
        <w:t xml:space="preserve"> </w:t>
      </w:r>
    </w:p>
    <w:p w:rsidR="00985463" w:rsidRPr="0019222F" w:rsidRDefault="00985463" w:rsidP="005971AC">
      <w:pPr>
        <w:pStyle w:val="a7"/>
        <w:numPr>
          <w:ilvl w:val="0"/>
          <w:numId w:val="29"/>
        </w:numPr>
        <w:rPr>
          <w:rFonts w:cs="FrankRuehl"/>
          <w:szCs w:val="26"/>
        </w:rPr>
      </w:pPr>
      <w:r>
        <w:rPr>
          <w:rtl/>
        </w:rPr>
        <w:t>בעקבות עתיר</w:t>
      </w:r>
      <w:r w:rsidR="005D6A7E">
        <w:rPr>
          <w:rFonts w:hint="cs"/>
          <w:rtl/>
        </w:rPr>
        <w:t xml:space="preserve">ה </w:t>
      </w:r>
      <w:r w:rsidR="00390A3C">
        <w:rPr>
          <w:rFonts w:hint="cs"/>
          <w:rtl/>
        </w:rPr>
        <w:t xml:space="preserve">שהוגשה </w:t>
      </w:r>
      <w:r w:rsidR="002C4195">
        <w:rPr>
          <w:rFonts w:hint="cs"/>
          <w:rtl/>
        </w:rPr>
        <w:t xml:space="preserve">לבית המשפט העליון </w:t>
      </w:r>
      <w:r w:rsidR="00390A3C">
        <w:rPr>
          <w:rFonts w:hint="cs"/>
          <w:rtl/>
        </w:rPr>
        <w:t>בתחילת 2018</w:t>
      </w:r>
      <w:r>
        <w:rPr>
          <w:rtl/>
        </w:rPr>
        <w:t xml:space="preserve"> התחייבה המדינה להחיל החל משנת הלימודים תש"פ רפורמת שכר במוסדות חינוך מיוחד המשתייכים לחינוך המוכר שאינו רשמי. החלת הרפורמה מחייבת תוספת תקציבית בשנת לימודים הנגזרת בעיקרה מתוספת שעות שבועיות ומגידול בערך השעה.</w:t>
      </w:r>
    </w:p>
    <w:p w:rsidR="00DC4053" w:rsidRDefault="00DC4053" w:rsidP="003A4447">
      <w:pPr>
        <w:pStyle w:val="a7"/>
        <w:numPr>
          <w:ilvl w:val="0"/>
          <w:numId w:val="29"/>
        </w:numPr>
      </w:pPr>
      <w:r w:rsidRPr="00F57EBC">
        <w:rPr>
          <w:rFonts w:hint="eastAsia"/>
          <w:rtl/>
        </w:rPr>
        <w:t>ההוצאה</w:t>
      </w:r>
      <w:r w:rsidRPr="00F57EBC">
        <w:rPr>
          <w:rtl/>
        </w:rPr>
        <w:t xml:space="preserve"> </w:t>
      </w:r>
      <w:r w:rsidR="00A236CD">
        <w:rPr>
          <w:rFonts w:hint="cs"/>
          <w:rtl/>
        </w:rPr>
        <w:t xml:space="preserve">הצפויה </w:t>
      </w:r>
      <w:r w:rsidRPr="00F57EBC">
        <w:rPr>
          <w:rtl/>
        </w:rPr>
        <w:t xml:space="preserve">על </w:t>
      </w:r>
      <w:r w:rsidRPr="00F57EBC">
        <w:rPr>
          <w:rFonts w:hint="eastAsia"/>
          <w:b/>
          <w:bCs/>
          <w:rtl/>
        </w:rPr>
        <w:t>תקציב</w:t>
      </w:r>
      <w:r w:rsidRPr="00F57EBC">
        <w:rPr>
          <w:b/>
          <w:bCs/>
          <w:rtl/>
        </w:rPr>
        <w:t xml:space="preserve"> משרד הבריאות </w:t>
      </w:r>
      <w:r w:rsidR="00A236CD">
        <w:rPr>
          <w:rFonts w:hint="cs"/>
          <w:rtl/>
        </w:rPr>
        <w:t>גדלה</w:t>
      </w:r>
      <w:r w:rsidR="002C4195">
        <w:rPr>
          <w:rFonts w:hint="cs"/>
          <w:rtl/>
        </w:rPr>
        <w:t>,</w:t>
      </w:r>
      <w:r w:rsidR="00A236CD">
        <w:rPr>
          <w:rFonts w:hint="cs"/>
          <w:rtl/>
        </w:rPr>
        <w:t xml:space="preserve"> </w:t>
      </w:r>
      <w:r w:rsidR="00995663">
        <w:rPr>
          <w:rFonts w:hint="cs"/>
          <w:rtl/>
        </w:rPr>
        <w:t>בין היתר</w:t>
      </w:r>
      <w:r w:rsidR="002C4195">
        <w:rPr>
          <w:rFonts w:hint="cs"/>
          <w:rtl/>
        </w:rPr>
        <w:t>,</w:t>
      </w:r>
      <w:r w:rsidR="00995663">
        <w:rPr>
          <w:rFonts w:hint="cs"/>
          <w:rtl/>
        </w:rPr>
        <w:t xml:space="preserve"> </w:t>
      </w:r>
      <w:r w:rsidRPr="00CC65BD">
        <w:rPr>
          <w:rFonts w:hint="cs"/>
          <w:rtl/>
        </w:rPr>
        <w:t>מ</w:t>
      </w:r>
      <w:r w:rsidRPr="00F57EBC">
        <w:rPr>
          <w:rtl/>
        </w:rPr>
        <w:t xml:space="preserve">שינויים בתחזיות </w:t>
      </w:r>
      <w:r w:rsidRPr="00F57EBC">
        <w:rPr>
          <w:rFonts w:hint="eastAsia"/>
          <w:rtl/>
        </w:rPr>
        <w:t>נתוני</w:t>
      </w:r>
      <w:r w:rsidRPr="00F57EBC">
        <w:rPr>
          <w:rtl/>
        </w:rPr>
        <w:t xml:space="preserve"> הלשכה המרכזית לסטטיסטיקה אודות מדדים רלוונטיים המשפיעים על היקף הוצאה</w:t>
      </w:r>
      <w:r w:rsidR="00FF616B">
        <w:rPr>
          <w:rFonts w:hint="cs"/>
          <w:rtl/>
        </w:rPr>
        <w:t>,</w:t>
      </w:r>
      <w:r w:rsidRPr="00F57EBC">
        <w:rPr>
          <w:rtl/>
        </w:rPr>
        <w:t xml:space="preserve"> </w:t>
      </w:r>
      <w:r w:rsidR="00995663">
        <w:rPr>
          <w:rFonts w:hint="cs"/>
          <w:rtl/>
        </w:rPr>
        <w:t>בגין תיקון שנעשה בתחזית "תוספת יוקר"</w:t>
      </w:r>
      <w:r w:rsidR="00FF616B">
        <w:rPr>
          <w:rFonts w:hint="cs"/>
          <w:rtl/>
        </w:rPr>
        <w:t xml:space="preserve"> ובשל עדכון תשלומים </w:t>
      </w:r>
      <w:r w:rsidR="00B72F6D">
        <w:rPr>
          <w:rFonts w:hint="cs"/>
          <w:rtl/>
        </w:rPr>
        <w:t>להסכמי הייצוב ל</w:t>
      </w:r>
      <w:r w:rsidR="00FF616B">
        <w:rPr>
          <w:rFonts w:hint="cs"/>
          <w:rtl/>
        </w:rPr>
        <w:t>קופות החולים</w:t>
      </w:r>
      <w:r>
        <w:rPr>
          <w:rFonts w:hint="cs"/>
          <w:rtl/>
        </w:rPr>
        <w:t>.</w:t>
      </w:r>
    </w:p>
    <w:p w:rsidR="0085620E" w:rsidRDefault="0085620E" w:rsidP="00A34826">
      <w:pPr>
        <w:pStyle w:val="a7"/>
        <w:numPr>
          <w:ilvl w:val="0"/>
          <w:numId w:val="29"/>
        </w:numPr>
      </w:pPr>
      <w:r>
        <w:rPr>
          <w:rFonts w:hint="cs"/>
          <w:rtl/>
        </w:rPr>
        <w:t xml:space="preserve">ההוצאה </w:t>
      </w:r>
      <w:r w:rsidR="00A236CD">
        <w:rPr>
          <w:rFonts w:hint="cs"/>
          <w:rtl/>
        </w:rPr>
        <w:t xml:space="preserve">הצפויה </w:t>
      </w:r>
      <w:r>
        <w:rPr>
          <w:rFonts w:hint="cs"/>
          <w:rtl/>
        </w:rPr>
        <w:t xml:space="preserve">על </w:t>
      </w:r>
      <w:r w:rsidRPr="00A34826">
        <w:rPr>
          <w:rFonts w:hint="eastAsia"/>
          <w:b/>
          <w:bCs/>
          <w:rtl/>
        </w:rPr>
        <w:t>השתתפות</w:t>
      </w:r>
      <w:r w:rsidRPr="00A34826">
        <w:rPr>
          <w:b/>
          <w:bCs/>
          <w:rtl/>
        </w:rPr>
        <w:t xml:space="preserve"> </w:t>
      </w:r>
      <w:r w:rsidRPr="00A34826">
        <w:rPr>
          <w:rFonts w:hint="eastAsia"/>
          <w:b/>
          <w:bCs/>
          <w:rtl/>
        </w:rPr>
        <w:t>המדינה</w:t>
      </w:r>
      <w:r w:rsidRPr="00A34826">
        <w:rPr>
          <w:b/>
          <w:bCs/>
          <w:rtl/>
        </w:rPr>
        <w:t xml:space="preserve"> </w:t>
      </w:r>
      <w:r w:rsidRPr="00A34826">
        <w:rPr>
          <w:rFonts w:hint="eastAsia"/>
          <w:b/>
          <w:bCs/>
          <w:rtl/>
        </w:rPr>
        <w:t>בגביית</w:t>
      </w:r>
      <w:r w:rsidRPr="00A34826">
        <w:rPr>
          <w:b/>
          <w:bCs/>
          <w:rtl/>
        </w:rPr>
        <w:t xml:space="preserve"> </w:t>
      </w:r>
      <w:r w:rsidRPr="00A34826">
        <w:rPr>
          <w:rFonts w:hint="eastAsia"/>
          <w:b/>
          <w:bCs/>
          <w:rtl/>
        </w:rPr>
        <w:t>הביטוח</w:t>
      </w:r>
      <w:r w:rsidRPr="00A34826">
        <w:rPr>
          <w:b/>
          <w:bCs/>
          <w:rtl/>
        </w:rPr>
        <w:t xml:space="preserve"> </w:t>
      </w:r>
      <w:r w:rsidRPr="00A34826">
        <w:rPr>
          <w:rFonts w:hint="eastAsia"/>
          <w:b/>
          <w:bCs/>
          <w:rtl/>
        </w:rPr>
        <w:t>הלאומי</w:t>
      </w:r>
      <w:r>
        <w:rPr>
          <w:rFonts w:hint="cs"/>
          <w:rtl/>
        </w:rPr>
        <w:t xml:space="preserve"> </w:t>
      </w:r>
      <w:r w:rsidR="00A236CD">
        <w:rPr>
          <w:rFonts w:hint="cs"/>
          <w:rtl/>
        </w:rPr>
        <w:t xml:space="preserve">גדלה </w:t>
      </w:r>
      <w:r>
        <w:rPr>
          <w:rFonts w:hint="cs"/>
          <w:rtl/>
        </w:rPr>
        <w:t xml:space="preserve">בשל </w:t>
      </w:r>
      <w:r w:rsidR="001B63B9">
        <w:rPr>
          <w:rFonts w:hint="cs"/>
          <w:rtl/>
        </w:rPr>
        <w:t xml:space="preserve">שינוי </w:t>
      </w:r>
      <w:r>
        <w:rPr>
          <w:rFonts w:hint="cs"/>
          <w:rtl/>
        </w:rPr>
        <w:t xml:space="preserve">גבוה מהחזוי </w:t>
      </w:r>
      <w:r w:rsidRPr="0085620E">
        <w:rPr>
          <w:rtl/>
        </w:rPr>
        <w:t>במספר המועסקים במשק ובשכר הממוצע</w:t>
      </w:r>
      <w:r>
        <w:rPr>
          <w:rFonts w:hint="cs"/>
          <w:rtl/>
        </w:rPr>
        <w:t xml:space="preserve"> שהביא לגידול ניכר ב</w:t>
      </w:r>
      <w:r w:rsidRPr="0085620E">
        <w:rPr>
          <w:rtl/>
        </w:rPr>
        <w:t xml:space="preserve">סכום דמי הביטוח הלאומי שנגבה מהציבור. </w:t>
      </w:r>
    </w:p>
    <w:p w:rsidR="00031863" w:rsidRPr="004A0077" w:rsidRDefault="00031863" w:rsidP="003A4447">
      <w:pPr>
        <w:pStyle w:val="a7"/>
        <w:numPr>
          <w:ilvl w:val="0"/>
          <w:numId w:val="29"/>
        </w:numPr>
      </w:pPr>
      <w:r>
        <w:rPr>
          <w:rFonts w:hint="cs"/>
          <w:rtl/>
        </w:rPr>
        <w:t>ההוצאה ה</w:t>
      </w:r>
      <w:r w:rsidR="00464313">
        <w:rPr>
          <w:rFonts w:hint="cs"/>
          <w:rtl/>
        </w:rPr>
        <w:t>צ</w:t>
      </w:r>
      <w:r>
        <w:rPr>
          <w:rFonts w:hint="cs"/>
          <w:rtl/>
        </w:rPr>
        <w:t xml:space="preserve">פויה על </w:t>
      </w:r>
      <w:r w:rsidRPr="00031863">
        <w:rPr>
          <w:rFonts w:hint="cs"/>
          <w:b/>
          <w:bCs/>
          <w:rtl/>
        </w:rPr>
        <w:t>תקציב משרד הרווחה</w:t>
      </w:r>
      <w:r>
        <w:rPr>
          <w:rFonts w:hint="cs"/>
          <w:b/>
          <w:bCs/>
          <w:rtl/>
        </w:rPr>
        <w:t xml:space="preserve"> </w:t>
      </w:r>
      <w:r>
        <w:rPr>
          <w:rFonts w:hint="cs"/>
          <w:rtl/>
        </w:rPr>
        <w:t>גדלה</w:t>
      </w:r>
      <w:r w:rsidR="004175E0">
        <w:rPr>
          <w:rFonts w:hint="cs"/>
          <w:rtl/>
        </w:rPr>
        <w:t xml:space="preserve"> בממוצע בכ-0.2 מיליארד ש"ח</w:t>
      </w:r>
      <w:r>
        <w:rPr>
          <w:rFonts w:hint="cs"/>
          <w:rtl/>
        </w:rPr>
        <w:t xml:space="preserve"> בשל </w:t>
      </w:r>
      <w:r w:rsidR="00A971FD">
        <w:rPr>
          <w:rFonts w:hint="cs"/>
          <w:rtl/>
        </w:rPr>
        <w:t xml:space="preserve">שינוי בתחזיות עלות </w:t>
      </w:r>
      <w:r w:rsidR="00A971FD" w:rsidRPr="00A971FD">
        <w:rPr>
          <w:rtl/>
        </w:rPr>
        <w:t xml:space="preserve">השירותים </w:t>
      </w:r>
      <w:r w:rsidR="00A971FD">
        <w:rPr>
          <w:rFonts w:hint="cs"/>
          <w:rtl/>
        </w:rPr>
        <w:t>ה</w:t>
      </w:r>
      <w:r w:rsidR="00A971FD" w:rsidRPr="00A971FD">
        <w:rPr>
          <w:rtl/>
        </w:rPr>
        <w:t xml:space="preserve">כוללים מסגרות לטיפול יומי ומסגרות חוץ ביתיות </w:t>
      </w:r>
      <w:r w:rsidR="00A971FD">
        <w:rPr>
          <w:rFonts w:hint="cs"/>
          <w:rtl/>
        </w:rPr>
        <w:t>ל</w:t>
      </w:r>
      <w:r w:rsidR="00A971FD" w:rsidRPr="00A971FD">
        <w:rPr>
          <w:rtl/>
        </w:rPr>
        <w:t>מגורים ו</w:t>
      </w:r>
      <w:r w:rsidR="00A971FD">
        <w:rPr>
          <w:rFonts w:hint="cs"/>
          <w:rtl/>
        </w:rPr>
        <w:t>ל</w:t>
      </w:r>
      <w:r w:rsidR="00A971FD" w:rsidRPr="00A971FD">
        <w:rPr>
          <w:rtl/>
        </w:rPr>
        <w:t>הלנה</w:t>
      </w:r>
      <w:r w:rsidR="00A971FD">
        <w:rPr>
          <w:rFonts w:hint="cs"/>
          <w:rtl/>
        </w:rPr>
        <w:t>. שירותים אלו ניתנים על ידי המשרד לאוכלוסיות הרווחה בהתאם לחובות המשרד ועל פי חוק.</w:t>
      </w:r>
      <w:r w:rsidR="00464313">
        <w:rPr>
          <w:rFonts w:hint="cs"/>
          <w:rtl/>
        </w:rPr>
        <w:t xml:space="preserve"> בשנים האחרונות חל גידול מהיר בהוצאה על מסגרות אלו. כך למשל</w:t>
      </w:r>
      <w:r w:rsidR="002C4195">
        <w:rPr>
          <w:rFonts w:hint="cs"/>
          <w:rtl/>
        </w:rPr>
        <w:t>,</w:t>
      </w:r>
      <w:r w:rsidR="00464313">
        <w:rPr>
          <w:rFonts w:hint="cs"/>
          <w:rtl/>
        </w:rPr>
        <w:t xml:space="preserve"> ההוצאה על החזקת אוטיסטים במסגרות חוץ ביתיות </w:t>
      </w:r>
      <w:r w:rsidR="005312BF">
        <w:rPr>
          <w:rFonts w:hint="cs"/>
          <w:rtl/>
        </w:rPr>
        <w:t>גדלה</w:t>
      </w:r>
      <w:r w:rsidR="00D62B24">
        <w:rPr>
          <w:rFonts w:hint="cs"/>
          <w:rtl/>
        </w:rPr>
        <w:t xml:space="preserve"> פי </w:t>
      </w:r>
      <w:r w:rsidR="000D1DED">
        <w:rPr>
          <w:rFonts w:hint="cs"/>
          <w:rtl/>
        </w:rPr>
        <w:t>1</w:t>
      </w:r>
      <w:r w:rsidR="00D62B24">
        <w:rPr>
          <w:rFonts w:hint="cs"/>
          <w:rtl/>
        </w:rPr>
        <w:t>.5</w:t>
      </w:r>
      <w:r w:rsidR="005312BF">
        <w:rPr>
          <w:rFonts w:hint="cs"/>
          <w:rtl/>
        </w:rPr>
        <w:t xml:space="preserve"> </w:t>
      </w:r>
      <w:r w:rsidR="00AE790E">
        <w:rPr>
          <w:rFonts w:hint="cs"/>
          <w:rtl/>
        </w:rPr>
        <w:t>ב-</w:t>
      </w:r>
      <w:r w:rsidR="000D1DED">
        <w:rPr>
          <w:rFonts w:hint="cs"/>
          <w:rtl/>
        </w:rPr>
        <w:t>3</w:t>
      </w:r>
      <w:r w:rsidR="00AE790E">
        <w:rPr>
          <w:rFonts w:hint="cs"/>
          <w:rtl/>
        </w:rPr>
        <w:t xml:space="preserve"> השנים האחרונות</w:t>
      </w:r>
      <w:r w:rsidR="0064148C">
        <w:rPr>
          <w:rFonts w:hint="cs"/>
          <w:rtl/>
        </w:rPr>
        <w:t>, נתון הגבוה מקצב הגידול ההיסטורי</w:t>
      </w:r>
      <w:r w:rsidR="00AE790E">
        <w:rPr>
          <w:rFonts w:hint="cs"/>
          <w:rtl/>
        </w:rPr>
        <w:t>.</w:t>
      </w:r>
    </w:p>
    <w:p w:rsidR="00DC4053" w:rsidRPr="005828E3" w:rsidRDefault="00DC4053" w:rsidP="00DC4053">
      <w:pPr>
        <w:pStyle w:val="a7"/>
        <w:numPr>
          <w:ilvl w:val="0"/>
          <w:numId w:val="27"/>
        </w:numPr>
        <w:rPr>
          <w:b/>
          <w:bCs/>
        </w:rPr>
      </w:pPr>
      <w:r w:rsidRPr="005828E3">
        <w:rPr>
          <w:rFonts w:hint="cs"/>
          <w:b/>
          <w:bCs/>
          <w:rtl/>
        </w:rPr>
        <w:t>תשתיות</w:t>
      </w:r>
      <w:r w:rsidRPr="005828E3">
        <w:rPr>
          <w:b/>
          <w:bCs/>
          <w:rtl/>
        </w:rPr>
        <w:t xml:space="preserve"> </w:t>
      </w:r>
    </w:p>
    <w:p w:rsidR="00DC4053" w:rsidRPr="005828E3" w:rsidRDefault="00DC4053" w:rsidP="00DC4053">
      <w:pPr>
        <w:pStyle w:val="a7"/>
        <w:numPr>
          <w:ilvl w:val="0"/>
          <w:numId w:val="11"/>
        </w:numPr>
        <w:rPr>
          <w:rFonts w:ascii="DBS-Torah"/>
        </w:rPr>
      </w:pPr>
      <w:r w:rsidRPr="005828E3">
        <w:rPr>
          <w:rFonts w:ascii="DBS-Torah" w:hint="cs"/>
          <w:rtl/>
        </w:rPr>
        <w:t>המשרדים</w:t>
      </w:r>
      <w:r w:rsidRPr="005828E3">
        <w:rPr>
          <w:rFonts w:ascii="DBS-Torah"/>
          <w:rtl/>
        </w:rPr>
        <w:t xml:space="preserve"> הנכללים באשכול התשתיות הם: משרד התשתיות הלאומיות האנרגיה והמים, משרד התחבורה והבטיחות בדרכים, הרשות הממשלתית למים וביוב ומשרד הבינוי והשיכון. </w:t>
      </w:r>
    </w:p>
    <w:p w:rsidR="00DC4053" w:rsidRPr="005828E3" w:rsidRDefault="00DC4053" w:rsidP="00DC4053">
      <w:pPr>
        <w:pStyle w:val="a7"/>
        <w:numPr>
          <w:ilvl w:val="0"/>
          <w:numId w:val="11"/>
        </w:numPr>
        <w:rPr>
          <w:rFonts w:ascii="DBS-Torah"/>
        </w:rPr>
      </w:pPr>
      <w:r w:rsidRPr="005828E3">
        <w:rPr>
          <w:rFonts w:ascii="DBS-Torah" w:hint="cs"/>
          <w:rtl/>
        </w:rPr>
        <w:lastRenderedPageBreak/>
        <w:t>ההוצאה</w:t>
      </w:r>
      <w:r w:rsidRPr="005828E3">
        <w:rPr>
          <w:rFonts w:ascii="DBS-Torah"/>
          <w:rtl/>
        </w:rPr>
        <w:t xml:space="preserve"> </w:t>
      </w:r>
      <w:r w:rsidRPr="005828E3">
        <w:rPr>
          <w:rFonts w:ascii="DBS-Torah" w:hint="cs"/>
          <w:rtl/>
        </w:rPr>
        <w:t>בתקציב</w:t>
      </w:r>
      <w:r w:rsidRPr="005828E3">
        <w:rPr>
          <w:rFonts w:ascii="DBS-Torah"/>
          <w:rtl/>
        </w:rPr>
        <w:t xml:space="preserve"> </w:t>
      </w:r>
      <w:r w:rsidRPr="005828E3">
        <w:rPr>
          <w:rFonts w:ascii="DBS-Torah" w:hint="cs"/>
          <w:rtl/>
        </w:rPr>
        <w:t>המקורי</w:t>
      </w:r>
      <w:r w:rsidRPr="005828E3">
        <w:rPr>
          <w:rFonts w:ascii="DBS-Torah"/>
          <w:rtl/>
        </w:rPr>
        <w:t xml:space="preserve"> </w:t>
      </w:r>
      <w:r w:rsidRPr="005828E3">
        <w:rPr>
          <w:rFonts w:ascii="DBS-Torah" w:hint="cs"/>
          <w:rtl/>
        </w:rPr>
        <w:t>לשנת</w:t>
      </w:r>
      <w:r w:rsidRPr="005828E3">
        <w:rPr>
          <w:rFonts w:ascii="DBS-Torah"/>
          <w:rtl/>
        </w:rPr>
        <w:t xml:space="preserve"> 20</w:t>
      </w:r>
      <w:r>
        <w:rPr>
          <w:rFonts w:ascii="DBS-Torah" w:hint="cs"/>
          <w:rtl/>
        </w:rPr>
        <w:t>19</w:t>
      </w:r>
      <w:r w:rsidRPr="005828E3">
        <w:rPr>
          <w:rFonts w:ascii="DBS-Torah"/>
          <w:rtl/>
        </w:rPr>
        <w:t xml:space="preserve"> </w:t>
      </w:r>
      <w:r w:rsidRPr="005828E3">
        <w:rPr>
          <w:rFonts w:ascii="DBS-Torah" w:hint="cs"/>
          <w:rtl/>
        </w:rPr>
        <w:t>על</w:t>
      </w:r>
      <w:r w:rsidRPr="005828E3">
        <w:rPr>
          <w:rFonts w:ascii="DBS-Torah"/>
          <w:rtl/>
        </w:rPr>
        <w:t xml:space="preserve"> </w:t>
      </w:r>
      <w:r w:rsidRPr="005828E3">
        <w:rPr>
          <w:rFonts w:ascii="DBS-Torah" w:hint="cs"/>
          <w:rtl/>
        </w:rPr>
        <w:t>אשכול</w:t>
      </w:r>
      <w:r w:rsidRPr="005828E3">
        <w:rPr>
          <w:rFonts w:ascii="DBS-Torah"/>
          <w:rtl/>
        </w:rPr>
        <w:t xml:space="preserve"> </w:t>
      </w:r>
      <w:r w:rsidRPr="005828E3">
        <w:rPr>
          <w:rFonts w:ascii="DBS-Torah" w:hint="cs"/>
          <w:rtl/>
        </w:rPr>
        <w:t>התשתיות</w:t>
      </w:r>
      <w:r w:rsidRPr="005828E3">
        <w:rPr>
          <w:rFonts w:ascii="DBS-Torah"/>
          <w:rtl/>
        </w:rPr>
        <w:t xml:space="preserve"> </w:t>
      </w:r>
      <w:r w:rsidRPr="005828E3">
        <w:rPr>
          <w:rFonts w:ascii="DBS-Torah" w:hint="cs"/>
          <w:rtl/>
        </w:rPr>
        <w:t>עומדת</w:t>
      </w:r>
      <w:r w:rsidRPr="005828E3">
        <w:rPr>
          <w:rFonts w:ascii="DBS-Torah"/>
          <w:rtl/>
        </w:rPr>
        <w:t xml:space="preserve"> </w:t>
      </w:r>
      <w:r w:rsidRPr="005828E3">
        <w:rPr>
          <w:rFonts w:ascii="DBS-Torah" w:hint="cs"/>
          <w:rtl/>
        </w:rPr>
        <w:t>על</w:t>
      </w:r>
      <w:r w:rsidRPr="005828E3">
        <w:rPr>
          <w:rFonts w:ascii="DBS-Torah"/>
          <w:rtl/>
        </w:rPr>
        <w:t xml:space="preserve"> </w:t>
      </w:r>
      <w:r w:rsidRPr="005828E3">
        <w:rPr>
          <w:rFonts w:ascii="DBS-Torah" w:hint="cs"/>
          <w:rtl/>
        </w:rPr>
        <w:t>כ</w:t>
      </w:r>
      <w:r w:rsidRPr="005828E3">
        <w:rPr>
          <w:rFonts w:ascii="DBS-Torah"/>
          <w:rtl/>
        </w:rPr>
        <w:t>-2</w:t>
      </w:r>
      <w:r>
        <w:rPr>
          <w:rFonts w:ascii="DBS-Torah" w:hint="cs"/>
          <w:rtl/>
        </w:rPr>
        <w:t>7.4</w:t>
      </w:r>
      <w:r w:rsidRPr="005828E3">
        <w:rPr>
          <w:rFonts w:ascii="DBS-Torah"/>
          <w:rtl/>
        </w:rPr>
        <w:t xml:space="preserve"> </w:t>
      </w:r>
      <w:r w:rsidRPr="005828E3">
        <w:rPr>
          <w:rFonts w:ascii="DBS-Torah" w:hint="cs"/>
          <w:rtl/>
        </w:rPr>
        <w:t>מיליארד</w:t>
      </w:r>
      <w:r w:rsidRPr="005828E3">
        <w:rPr>
          <w:rFonts w:ascii="DBS-Torah"/>
          <w:rtl/>
        </w:rPr>
        <w:t xml:space="preserve"> </w:t>
      </w:r>
      <w:r>
        <w:rPr>
          <w:rFonts w:ascii="DBS-Torah" w:hint="cs"/>
          <w:rtl/>
        </w:rPr>
        <w:t>ש</w:t>
      </w:r>
      <w:r>
        <w:rPr>
          <w:rFonts w:ascii="DBS-Torah"/>
          <w:rtl/>
        </w:rPr>
        <w:t>"</w:t>
      </w:r>
      <w:r>
        <w:rPr>
          <w:rFonts w:ascii="DBS-Torah" w:hint="cs"/>
          <w:rtl/>
        </w:rPr>
        <w:t>ח,</w:t>
      </w:r>
      <w:r w:rsidRPr="005828E3">
        <w:rPr>
          <w:rFonts w:ascii="DBS-Torah"/>
          <w:rtl/>
        </w:rPr>
        <w:t xml:space="preserve"> </w:t>
      </w:r>
      <w:r w:rsidRPr="005828E3">
        <w:rPr>
          <w:rFonts w:ascii="DBS-Torah" w:hint="cs"/>
          <w:rtl/>
        </w:rPr>
        <w:t>המהווים</w:t>
      </w:r>
      <w:r w:rsidRPr="005828E3">
        <w:rPr>
          <w:rFonts w:ascii="DBS-Torah"/>
          <w:rtl/>
        </w:rPr>
        <w:t xml:space="preserve"> </w:t>
      </w:r>
      <w:r w:rsidRPr="005828E3">
        <w:rPr>
          <w:rFonts w:ascii="DBS-Torah" w:hint="cs"/>
          <w:rtl/>
        </w:rPr>
        <w:t>כ</w:t>
      </w:r>
      <w:r w:rsidRPr="005828E3">
        <w:rPr>
          <w:rFonts w:ascii="DBS-Torah"/>
          <w:rtl/>
        </w:rPr>
        <w:t>-6.</w:t>
      </w:r>
      <w:r>
        <w:rPr>
          <w:rFonts w:ascii="DBS-Torah" w:hint="cs"/>
          <w:rtl/>
        </w:rPr>
        <w:t>9%</w:t>
      </w:r>
      <w:r w:rsidRPr="005828E3">
        <w:rPr>
          <w:rFonts w:ascii="DBS-Torah"/>
          <w:rtl/>
        </w:rPr>
        <w:t xml:space="preserve"> </w:t>
      </w:r>
      <w:r w:rsidRPr="005828E3">
        <w:rPr>
          <w:rFonts w:ascii="DBS-Torah" w:hint="cs"/>
          <w:rtl/>
        </w:rPr>
        <w:t>מסך</w:t>
      </w:r>
      <w:r w:rsidRPr="005828E3">
        <w:rPr>
          <w:rFonts w:ascii="DBS-Torah"/>
          <w:rtl/>
        </w:rPr>
        <w:t xml:space="preserve"> </w:t>
      </w:r>
      <w:r w:rsidRPr="005828E3">
        <w:rPr>
          <w:rFonts w:ascii="DBS-Torah" w:hint="cs"/>
          <w:rtl/>
        </w:rPr>
        <w:t>ההוצאה</w:t>
      </w:r>
      <w:r w:rsidRPr="005828E3">
        <w:rPr>
          <w:rFonts w:ascii="DBS-Torah"/>
          <w:rtl/>
        </w:rPr>
        <w:t>.</w:t>
      </w:r>
    </w:p>
    <w:p w:rsidR="00DC4053" w:rsidRPr="005828E3" w:rsidRDefault="00DC4053" w:rsidP="005971AC">
      <w:pPr>
        <w:pStyle w:val="a7"/>
        <w:numPr>
          <w:ilvl w:val="0"/>
          <w:numId w:val="11"/>
        </w:numPr>
        <w:rPr>
          <w:rFonts w:ascii="DBS-Torah"/>
        </w:rPr>
      </w:pPr>
      <w:r w:rsidRPr="005828E3">
        <w:rPr>
          <w:rFonts w:ascii="DBS-Torah" w:hint="cs"/>
          <w:rtl/>
        </w:rPr>
        <w:t>על</w:t>
      </w:r>
      <w:r w:rsidRPr="005828E3">
        <w:rPr>
          <w:rFonts w:ascii="DBS-Torah"/>
          <w:rtl/>
        </w:rPr>
        <w:t xml:space="preserve"> </w:t>
      </w:r>
      <w:r w:rsidRPr="005828E3">
        <w:rPr>
          <w:rFonts w:ascii="DBS-Torah" w:hint="cs"/>
          <w:rtl/>
        </w:rPr>
        <w:t>פי</w:t>
      </w:r>
      <w:r w:rsidRPr="005828E3">
        <w:rPr>
          <w:rFonts w:ascii="DBS-Torah"/>
          <w:rtl/>
        </w:rPr>
        <w:t xml:space="preserve"> </w:t>
      </w:r>
      <w:r w:rsidRPr="005828E3">
        <w:rPr>
          <w:rFonts w:ascii="DBS-Torah" w:hint="cs"/>
          <w:rtl/>
        </w:rPr>
        <w:t>היקף</w:t>
      </w:r>
      <w:r w:rsidRPr="005828E3">
        <w:rPr>
          <w:rFonts w:ascii="DBS-Torah"/>
          <w:rtl/>
        </w:rPr>
        <w:t xml:space="preserve"> </w:t>
      </w:r>
      <w:r w:rsidRPr="00782249">
        <w:rPr>
          <w:rFonts w:ascii="DBS-Torah" w:hint="eastAsia"/>
          <w:rtl/>
        </w:rPr>
        <w:t>מחויבויות</w:t>
      </w:r>
      <w:r w:rsidRPr="00782249">
        <w:rPr>
          <w:rFonts w:ascii="DBS-Torah"/>
          <w:rtl/>
        </w:rPr>
        <w:t xml:space="preserve"> </w:t>
      </w:r>
      <w:r w:rsidRPr="00782249">
        <w:rPr>
          <w:rFonts w:ascii="DBS-Torah" w:hint="eastAsia"/>
          <w:rtl/>
        </w:rPr>
        <w:t>הממשלה</w:t>
      </w:r>
      <w:r w:rsidRPr="00782249">
        <w:rPr>
          <w:rFonts w:ascii="DBS-Torah"/>
          <w:rtl/>
        </w:rPr>
        <w:t xml:space="preserve"> </w:t>
      </w:r>
      <w:r w:rsidRPr="00782249">
        <w:rPr>
          <w:rFonts w:ascii="DBS-Torah" w:hint="eastAsia"/>
          <w:rtl/>
        </w:rPr>
        <w:t>הנוכחי</w:t>
      </w:r>
      <w:r w:rsidRPr="00782249">
        <w:rPr>
          <w:rFonts w:ascii="DBS-Torah"/>
          <w:rtl/>
        </w:rPr>
        <w:t xml:space="preserve">, </w:t>
      </w:r>
      <w:r w:rsidRPr="00782249">
        <w:rPr>
          <w:rFonts w:ascii="DBS-Torah" w:hint="eastAsia"/>
          <w:rtl/>
        </w:rPr>
        <w:t>בין</w:t>
      </w:r>
      <w:r w:rsidRPr="00782249">
        <w:rPr>
          <w:rFonts w:ascii="DBS-Torah"/>
          <w:rtl/>
        </w:rPr>
        <w:t xml:space="preserve"> </w:t>
      </w:r>
      <w:r w:rsidRPr="00782249">
        <w:rPr>
          <w:rFonts w:ascii="DBS-Torah" w:hint="eastAsia"/>
          <w:rtl/>
        </w:rPr>
        <w:t>השנים</w:t>
      </w:r>
      <w:r w:rsidRPr="00782249">
        <w:rPr>
          <w:rFonts w:ascii="DBS-Torah"/>
          <w:rtl/>
        </w:rPr>
        <w:t xml:space="preserve"> 20</w:t>
      </w:r>
      <w:r>
        <w:rPr>
          <w:rFonts w:ascii="DBS-Torah" w:hint="cs"/>
          <w:rtl/>
        </w:rPr>
        <w:t>19</w:t>
      </w:r>
      <w:r w:rsidRPr="00782249">
        <w:rPr>
          <w:rFonts w:ascii="DBS-Torah"/>
          <w:rtl/>
        </w:rPr>
        <w:t xml:space="preserve"> עד 202</w:t>
      </w:r>
      <w:r>
        <w:rPr>
          <w:rFonts w:ascii="DBS-Torah" w:hint="cs"/>
          <w:rtl/>
        </w:rPr>
        <w:t>2</w:t>
      </w:r>
      <w:r w:rsidRPr="00782249">
        <w:rPr>
          <w:rFonts w:ascii="DBS-Torah"/>
          <w:rtl/>
        </w:rPr>
        <w:t xml:space="preserve"> </w:t>
      </w:r>
      <w:r w:rsidRPr="00782249">
        <w:rPr>
          <w:rFonts w:ascii="DBS-Torah" w:hint="eastAsia"/>
          <w:rtl/>
        </w:rPr>
        <w:t>צפויה</w:t>
      </w:r>
      <w:r w:rsidRPr="00782249">
        <w:rPr>
          <w:rFonts w:ascii="DBS-Torah"/>
          <w:rtl/>
        </w:rPr>
        <w:t xml:space="preserve"> </w:t>
      </w:r>
      <w:r w:rsidRPr="00782249">
        <w:rPr>
          <w:rFonts w:ascii="DBS-Torah" w:hint="eastAsia"/>
          <w:rtl/>
        </w:rPr>
        <w:t>ההוצאה</w:t>
      </w:r>
      <w:r w:rsidRPr="00782249">
        <w:rPr>
          <w:rFonts w:ascii="DBS-Torah"/>
          <w:rtl/>
        </w:rPr>
        <w:t xml:space="preserve"> </w:t>
      </w:r>
      <w:r w:rsidRPr="00782249">
        <w:rPr>
          <w:rFonts w:ascii="DBS-Torah" w:hint="eastAsia"/>
          <w:rtl/>
        </w:rPr>
        <w:t>על</w:t>
      </w:r>
      <w:r w:rsidRPr="00782249">
        <w:rPr>
          <w:rFonts w:ascii="DBS-Torah"/>
          <w:rtl/>
        </w:rPr>
        <w:t xml:space="preserve"> </w:t>
      </w:r>
      <w:r w:rsidRPr="00782249">
        <w:rPr>
          <w:rFonts w:ascii="DBS-Torah" w:hint="eastAsia"/>
          <w:rtl/>
        </w:rPr>
        <w:t>התשתיות</w:t>
      </w:r>
      <w:r w:rsidRPr="00782249">
        <w:rPr>
          <w:rFonts w:ascii="DBS-Torah"/>
          <w:rtl/>
        </w:rPr>
        <w:t xml:space="preserve"> </w:t>
      </w:r>
      <w:r w:rsidRPr="00782249">
        <w:rPr>
          <w:rFonts w:ascii="DBS-Torah" w:hint="eastAsia"/>
          <w:rtl/>
        </w:rPr>
        <w:t>לגדול</w:t>
      </w:r>
      <w:r w:rsidRPr="00782249">
        <w:rPr>
          <w:rFonts w:ascii="DBS-Torah"/>
          <w:rtl/>
        </w:rPr>
        <w:t xml:space="preserve"> </w:t>
      </w:r>
      <w:r w:rsidRPr="00782249">
        <w:rPr>
          <w:rFonts w:ascii="DBS-Torah" w:hint="eastAsia"/>
          <w:rtl/>
        </w:rPr>
        <w:t>בכ</w:t>
      </w:r>
      <w:r w:rsidRPr="00782249">
        <w:rPr>
          <w:rFonts w:ascii="DBS-Torah"/>
          <w:rtl/>
        </w:rPr>
        <w:t>-</w:t>
      </w:r>
      <w:r>
        <w:rPr>
          <w:rFonts w:ascii="DBS-Torah" w:hint="cs"/>
          <w:rtl/>
        </w:rPr>
        <w:t>3.</w:t>
      </w:r>
      <w:r w:rsidR="00607F1D">
        <w:rPr>
          <w:rFonts w:ascii="DBS-Torah" w:hint="cs"/>
          <w:rtl/>
        </w:rPr>
        <w:t>5</w:t>
      </w:r>
      <w:r w:rsidR="00607F1D" w:rsidRPr="00782249">
        <w:rPr>
          <w:rFonts w:ascii="DBS-Torah"/>
          <w:rtl/>
        </w:rPr>
        <w:t xml:space="preserve"> </w:t>
      </w:r>
      <w:r w:rsidRPr="00782249">
        <w:rPr>
          <w:rFonts w:ascii="DBS-Torah"/>
          <w:rtl/>
        </w:rPr>
        <w:t>מיליארד ש"ח, כך שבשנת 202</w:t>
      </w:r>
      <w:r>
        <w:rPr>
          <w:rFonts w:ascii="DBS-Torah" w:hint="cs"/>
          <w:rtl/>
        </w:rPr>
        <w:t>2</w:t>
      </w:r>
      <w:r w:rsidRPr="00782249">
        <w:rPr>
          <w:rFonts w:ascii="DBS-Torah"/>
          <w:rtl/>
        </w:rPr>
        <w:t xml:space="preserve"> היא תעמוד על כ-</w:t>
      </w:r>
      <w:r>
        <w:rPr>
          <w:rFonts w:ascii="DBS-Torah" w:hint="cs"/>
          <w:rtl/>
        </w:rPr>
        <w:t>30.</w:t>
      </w:r>
      <w:r w:rsidR="00607F1D">
        <w:rPr>
          <w:rFonts w:ascii="DBS-Torah" w:hint="cs"/>
          <w:rtl/>
        </w:rPr>
        <w:t xml:space="preserve">9 </w:t>
      </w:r>
      <w:r w:rsidRPr="00782249">
        <w:rPr>
          <w:rFonts w:ascii="DBS-Torah"/>
          <w:rtl/>
        </w:rPr>
        <w:t>מיליארד ש"ח המהווים כ-</w:t>
      </w:r>
      <w:r>
        <w:rPr>
          <w:rFonts w:ascii="DBS-Torah" w:hint="cs"/>
          <w:rtl/>
        </w:rPr>
        <w:t>6.9%</w:t>
      </w:r>
      <w:r w:rsidRPr="00782249">
        <w:rPr>
          <w:rFonts w:ascii="DBS-Torah"/>
          <w:rtl/>
        </w:rPr>
        <w:t xml:space="preserve"> מסך ההוצאה הממשלתית.</w:t>
      </w:r>
      <w:r w:rsidRPr="005828E3">
        <w:rPr>
          <w:rFonts w:ascii="DBS-Torah"/>
          <w:rtl/>
        </w:rPr>
        <w:t xml:space="preserve"> </w:t>
      </w:r>
    </w:p>
    <w:p w:rsidR="00B13107" w:rsidRDefault="00B13107" w:rsidP="00DC4053">
      <w:pPr>
        <w:tabs>
          <w:tab w:val="left" w:pos="283"/>
        </w:tabs>
        <w:suppressAutoHyphens/>
        <w:autoSpaceDE w:val="0"/>
        <w:autoSpaceDN w:val="0"/>
        <w:adjustRightInd w:val="0"/>
        <w:ind w:left="720"/>
        <w:contextualSpacing/>
        <w:textAlignment w:val="center"/>
        <w:rPr>
          <w:rFonts w:ascii="DBS-Torah"/>
          <w:rtl/>
        </w:rPr>
      </w:pPr>
    </w:p>
    <w:p w:rsidR="00DC4053" w:rsidRPr="00403C8F" w:rsidRDefault="00DC4053" w:rsidP="00DC4053">
      <w:pPr>
        <w:tabs>
          <w:tab w:val="left" w:pos="283"/>
        </w:tabs>
        <w:suppressAutoHyphens/>
        <w:autoSpaceDE w:val="0"/>
        <w:autoSpaceDN w:val="0"/>
        <w:adjustRightInd w:val="0"/>
        <w:ind w:left="720"/>
        <w:contextualSpacing/>
        <w:textAlignment w:val="center"/>
        <w:rPr>
          <w:rFonts w:ascii="DBS-Torah"/>
          <w:rtl/>
        </w:rPr>
      </w:pPr>
      <w:r w:rsidRPr="00403C8F">
        <w:rPr>
          <w:rFonts w:ascii="DBS-Torah" w:hint="eastAsia"/>
          <w:rtl/>
        </w:rPr>
        <w:t>להלן</w:t>
      </w:r>
      <w:r w:rsidRPr="00403C8F">
        <w:rPr>
          <w:rFonts w:ascii="DBS-Torah"/>
          <w:rtl/>
        </w:rPr>
        <w:t xml:space="preserve"> </w:t>
      </w:r>
      <w:r w:rsidRPr="00403C8F">
        <w:rPr>
          <w:rFonts w:ascii="DBS-Torah" w:hint="eastAsia"/>
          <w:rtl/>
        </w:rPr>
        <w:t>ההנחות</w:t>
      </w:r>
      <w:r w:rsidRPr="00403C8F">
        <w:rPr>
          <w:rFonts w:ascii="DBS-Torah"/>
          <w:rtl/>
        </w:rPr>
        <w:t xml:space="preserve"> </w:t>
      </w:r>
      <w:r w:rsidRPr="00403C8F">
        <w:rPr>
          <w:rFonts w:ascii="DBS-Torah" w:hint="eastAsia"/>
          <w:rtl/>
        </w:rPr>
        <w:t>לגבי</w:t>
      </w:r>
      <w:r w:rsidRPr="00403C8F">
        <w:rPr>
          <w:rFonts w:ascii="DBS-Torah"/>
          <w:rtl/>
        </w:rPr>
        <w:t xml:space="preserve"> </w:t>
      </w:r>
      <w:r w:rsidRPr="00403C8F">
        <w:rPr>
          <w:rFonts w:ascii="DBS-Torah" w:hint="eastAsia"/>
          <w:rtl/>
        </w:rPr>
        <w:t>עיקרי</w:t>
      </w:r>
      <w:r w:rsidRPr="00403C8F">
        <w:rPr>
          <w:rFonts w:ascii="DBS-Torah"/>
          <w:rtl/>
        </w:rPr>
        <w:t xml:space="preserve"> </w:t>
      </w:r>
      <w:r w:rsidRPr="00403C8F">
        <w:rPr>
          <w:rFonts w:ascii="DBS-Torah" w:hint="eastAsia"/>
          <w:rtl/>
        </w:rPr>
        <w:t>השינויים</w:t>
      </w:r>
      <w:r w:rsidRPr="00403C8F">
        <w:rPr>
          <w:rFonts w:ascii="DBS-Torah"/>
          <w:rtl/>
        </w:rPr>
        <w:t xml:space="preserve"> </w:t>
      </w:r>
      <w:r w:rsidRPr="00403C8F">
        <w:rPr>
          <w:rFonts w:ascii="DBS-Torah" w:hint="eastAsia"/>
          <w:rtl/>
        </w:rPr>
        <w:t>הצפויים</w:t>
      </w:r>
      <w:r w:rsidRPr="00403C8F">
        <w:rPr>
          <w:rFonts w:ascii="DBS-Torah"/>
          <w:rtl/>
        </w:rPr>
        <w:t xml:space="preserve"> </w:t>
      </w:r>
      <w:r w:rsidRPr="00403C8F">
        <w:rPr>
          <w:rFonts w:ascii="DBS-Torah" w:hint="eastAsia"/>
          <w:rtl/>
        </w:rPr>
        <w:t>ברכיב</w:t>
      </w:r>
      <w:r w:rsidRPr="00403C8F">
        <w:rPr>
          <w:rFonts w:ascii="DBS-Torah"/>
          <w:rtl/>
        </w:rPr>
        <w:t xml:space="preserve"> </w:t>
      </w:r>
      <w:r w:rsidRPr="00403C8F">
        <w:rPr>
          <w:rFonts w:ascii="DBS-Torah" w:hint="eastAsia"/>
          <w:rtl/>
        </w:rPr>
        <w:t>הוצאה</w:t>
      </w:r>
      <w:r w:rsidRPr="00403C8F">
        <w:rPr>
          <w:rFonts w:ascii="DBS-Torah"/>
          <w:rtl/>
        </w:rPr>
        <w:t xml:space="preserve"> </w:t>
      </w:r>
      <w:r w:rsidRPr="00403C8F">
        <w:rPr>
          <w:rFonts w:ascii="DBS-Torah" w:hint="eastAsia"/>
          <w:rtl/>
        </w:rPr>
        <w:t>זה</w:t>
      </w:r>
      <w:r w:rsidRPr="00403C8F">
        <w:rPr>
          <w:rFonts w:ascii="DBS-Torah"/>
          <w:rtl/>
        </w:rPr>
        <w:t>:</w:t>
      </w:r>
    </w:p>
    <w:p w:rsidR="00DC4053" w:rsidRPr="00E8585E" w:rsidRDefault="00DC4053" w:rsidP="005971AC">
      <w:pPr>
        <w:numPr>
          <w:ilvl w:val="0"/>
          <w:numId w:val="11"/>
        </w:numPr>
        <w:tabs>
          <w:tab w:val="left" w:pos="340"/>
        </w:tabs>
        <w:suppressAutoHyphens/>
        <w:autoSpaceDE w:val="0"/>
        <w:autoSpaceDN w:val="0"/>
        <w:adjustRightInd w:val="0"/>
        <w:contextualSpacing/>
        <w:textAlignment w:val="center"/>
        <w:rPr>
          <w:rFonts w:ascii="DBS-Torah"/>
        </w:rPr>
      </w:pPr>
      <w:r w:rsidRPr="00E8585E">
        <w:rPr>
          <w:rFonts w:ascii="DBS-Torah" w:hint="eastAsia"/>
          <w:b/>
          <w:bCs/>
          <w:rtl/>
        </w:rPr>
        <w:t>גידול</w:t>
      </w:r>
      <w:r w:rsidRPr="00E8585E">
        <w:rPr>
          <w:rFonts w:ascii="DBS-Torah"/>
          <w:b/>
          <w:bCs/>
          <w:rtl/>
        </w:rPr>
        <w:t xml:space="preserve"> </w:t>
      </w:r>
      <w:r w:rsidRPr="00E8585E">
        <w:rPr>
          <w:rFonts w:ascii="DBS-Torah" w:hint="eastAsia"/>
          <w:b/>
          <w:bCs/>
          <w:rtl/>
        </w:rPr>
        <w:t>בקצב</w:t>
      </w:r>
      <w:r w:rsidRPr="00E8585E">
        <w:rPr>
          <w:rFonts w:ascii="DBS-Torah"/>
          <w:b/>
          <w:bCs/>
          <w:rtl/>
        </w:rPr>
        <w:t xml:space="preserve"> </w:t>
      </w:r>
      <w:r w:rsidRPr="00E8585E">
        <w:rPr>
          <w:rFonts w:ascii="DBS-Torah" w:hint="eastAsia"/>
          <w:b/>
          <w:bCs/>
          <w:rtl/>
        </w:rPr>
        <w:t>הביצוע</w:t>
      </w:r>
      <w:r w:rsidRPr="00E8585E">
        <w:rPr>
          <w:rFonts w:ascii="DBS-Torah"/>
          <w:b/>
          <w:bCs/>
          <w:rtl/>
        </w:rPr>
        <w:t xml:space="preserve"> </w:t>
      </w:r>
      <w:r w:rsidRPr="00E8585E">
        <w:rPr>
          <w:rFonts w:ascii="DBS-Torah" w:hint="eastAsia"/>
          <w:b/>
          <w:bCs/>
          <w:rtl/>
        </w:rPr>
        <w:t>של</w:t>
      </w:r>
      <w:r w:rsidRPr="00E8585E">
        <w:rPr>
          <w:rFonts w:ascii="DBS-Torah"/>
          <w:b/>
          <w:bCs/>
          <w:rtl/>
        </w:rPr>
        <w:t xml:space="preserve"> </w:t>
      </w:r>
      <w:r w:rsidRPr="00E8585E">
        <w:rPr>
          <w:rFonts w:ascii="DBS-Torah" w:hint="eastAsia"/>
          <w:b/>
          <w:bCs/>
          <w:rtl/>
        </w:rPr>
        <w:t>פרויקטים</w:t>
      </w:r>
      <w:r w:rsidRPr="00E8585E">
        <w:rPr>
          <w:rFonts w:ascii="DBS-Torah"/>
          <w:b/>
          <w:bCs/>
          <w:rtl/>
        </w:rPr>
        <w:t xml:space="preserve"> </w:t>
      </w:r>
      <w:r w:rsidRPr="00E8585E">
        <w:rPr>
          <w:rFonts w:ascii="DBS-Torah" w:hint="eastAsia"/>
          <w:b/>
          <w:bCs/>
          <w:rtl/>
        </w:rPr>
        <w:t>להסעת</w:t>
      </w:r>
      <w:r w:rsidRPr="00E8585E">
        <w:rPr>
          <w:rFonts w:ascii="DBS-Torah"/>
          <w:b/>
          <w:bCs/>
          <w:rtl/>
        </w:rPr>
        <w:t xml:space="preserve"> </w:t>
      </w:r>
      <w:r w:rsidRPr="00E8585E">
        <w:rPr>
          <w:rFonts w:ascii="DBS-Torah" w:hint="eastAsia"/>
          <w:b/>
          <w:bCs/>
          <w:rtl/>
        </w:rPr>
        <w:t>המונים</w:t>
      </w:r>
      <w:r>
        <w:rPr>
          <w:rFonts w:ascii="DBS-Torah" w:hint="cs"/>
          <w:b/>
          <w:bCs/>
          <w:rtl/>
        </w:rPr>
        <w:t xml:space="preserve"> </w:t>
      </w:r>
      <w:r>
        <w:rPr>
          <w:rFonts w:asciiTheme="minorHAnsi" w:hAnsiTheme="minorHAnsi" w:hint="eastAsia"/>
          <w:b/>
          <w:bCs/>
        </w:rPr>
        <w:t>–</w:t>
      </w:r>
      <w:r w:rsidRPr="00E8585E">
        <w:rPr>
          <w:rFonts w:ascii="DBS-Torah"/>
          <w:b/>
          <w:bCs/>
          <w:rtl/>
        </w:rPr>
        <w:t xml:space="preserve"> </w:t>
      </w:r>
      <w:r w:rsidRPr="00E8585E">
        <w:rPr>
          <w:rFonts w:ascii="DBS-Torah"/>
          <w:rtl/>
        </w:rPr>
        <w:t xml:space="preserve">במהלך השנים </w:t>
      </w:r>
      <w:r w:rsidR="00AA2E48">
        <w:rPr>
          <w:rFonts w:ascii="DBS-Torah" w:hint="cs"/>
          <w:rtl/>
        </w:rPr>
        <w:t xml:space="preserve">2020-2022 </w:t>
      </w:r>
      <w:r w:rsidRPr="00E8585E">
        <w:rPr>
          <w:rFonts w:ascii="DBS-Torah"/>
          <w:rtl/>
        </w:rPr>
        <w:t xml:space="preserve">צפויים לצאת לביצוע מספר פרויקטים להסעת המונים שנקבעו בהחלטת הממשלה </w:t>
      </w:r>
      <w:r w:rsidR="00B34F8A">
        <w:rPr>
          <w:rFonts w:ascii="DBS-Torah" w:hint="cs"/>
          <w:rtl/>
        </w:rPr>
        <w:t>מס'</w:t>
      </w:r>
      <w:r w:rsidRPr="00E8585E">
        <w:rPr>
          <w:rFonts w:ascii="DBS-Torah"/>
          <w:rtl/>
        </w:rPr>
        <w:t xml:space="preserve"> 1838 מיום 11 באוגוסט 2016, שעניינה ת</w:t>
      </w:r>
      <w:r>
        <w:rPr>
          <w:rFonts w:ascii="DBS-Torah" w:hint="cs"/>
          <w:rtl/>
        </w:rPr>
        <w:t>ו</w:t>
      </w:r>
      <w:r w:rsidRPr="00E8585E">
        <w:rPr>
          <w:rFonts w:ascii="DBS-Torah"/>
          <w:rtl/>
        </w:rPr>
        <w:t>כנית השקעה רב</w:t>
      </w:r>
      <w:r>
        <w:rPr>
          <w:rFonts w:ascii="DBS-Torah" w:hint="cs"/>
          <w:rtl/>
        </w:rPr>
        <w:t>-</w:t>
      </w:r>
      <w:r w:rsidRPr="00E8585E">
        <w:rPr>
          <w:rFonts w:ascii="DBS-Torah"/>
          <w:rtl/>
        </w:rPr>
        <w:t xml:space="preserve">שנתית לפיתוח התחבורה הציבורית </w:t>
      </w:r>
      <w:r w:rsidRPr="00E8585E">
        <w:rPr>
          <w:rFonts w:ascii="DBS-Torah" w:hint="eastAsia"/>
          <w:rtl/>
        </w:rPr>
        <w:t>במטרופולינים</w:t>
      </w:r>
      <w:r w:rsidRPr="00E8585E">
        <w:rPr>
          <w:rFonts w:ascii="DBS-Torah"/>
          <w:rtl/>
        </w:rPr>
        <w:t>. בנוסף, יחלו קידומי זמינות ועבודות הנדסיות בקו הירוק ובקו הסגול במטרופולין דן ובקו הירוק</w:t>
      </w:r>
      <w:r>
        <w:rPr>
          <w:rFonts w:ascii="DBS-Torah" w:hint="cs"/>
          <w:rtl/>
        </w:rPr>
        <w:t xml:space="preserve"> </w:t>
      </w:r>
      <w:r w:rsidRPr="00E8585E">
        <w:rPr>
          <w:rFonts w:ascii="DBS-Torah"/>
          <w:rtl/>
        </w:rPr>
        <w:t xml:space="preserve">בירושלים ויחל ביצוע בפועל של הרחבת פרויקט המטרונית במטרופולין חיפה. בנוסף לאמור, קיים צפי להתחלת עבודות בפרויקט הרכבת הקלה </w:t>
      </w:r>
      <w:r w:rsidRPr="00E8585E">
        <w:rPr>
          <w:rFonts w:ascii="DBS-Torah" w:hint="eastAsia"/>
          <w:rtl/>
        </w:rPr>
        <w:t>שיחבר</w:t>
      </w:r>
      <w:r w:rsidRPr="00E8585E">
        <w:rPr>
          <w:rFonts w:ascii="DBS-Torah"/>
          <w:rtl/>
        </w:rPr>
        <w:t xml:space="preserve"> </w:t>
      </w:r>
      <w:r w:rsidRPr="00E8585E">
        <w:rPr>
          <w:rFonts w:ascii="DBS-Torah" w:hint="eastAsia"/>
          <w:rtl/>
        </w:rPr>
        <w:t>בין</w:t>
      </w:r>
      <w:r w:rsidRPr="00E8585E">
        <w:rPr>
          <w:rFonts w:ascii="DBS-Torah"/>
          <w:rtl/>
        </w:rPr>
        <w:t xml:space="preserve"> נצרת לחיפה. </w:t>
      </w:r>
    </w:p>
    <w:p w:rsidR="00DC4053" w:rsidRPr="00E8585E" w:rsidRDefault="00DC4053" w:rsidP="00907F9C">
      <w:pPr>
        <w:numPr>
          <w:ilvl w:val="0"/>
          <w:numId w:val="11"/>
        </w:numPr>
        <w:tabs>
          <w:tab w:val="left" w:pos="340"/>
        </w:tabs>
        <w:suppressAutoHyphens/>
        <w:autoSpaceDE w:val="0"/>
        <w:autoSpaceDN w:val="0"/>
        <w:adjustRightInd w:val="0"/>
        <w:contextualSpacing/>
        <w:textAlignment w:val="center"/>
        <w:rPr>
          <w:rFonts w:ascii="DBS-Torah"/>
          <w:rtl/>
        </w:rPr>
      </w:pPr>
      <w:r w:rsidRPr="00E8585E">
        <w:rPr>
          <w:rFonts w:ascii="DBS-Torah" w:hint="eastAsia"/>
          <w:b/>
          <w:bCs/>
          <w:rtl/>
        </w:rPr>
        <w:t>גידול</w:t>
      </w:r>
      <w:r w:rsidRPr="00E8585E">
        <w:rPr>
          <w:rFonts w:ascii="DBS-Torah"/>
          <w:b/>
          <w:bCs/>
          <w:rtl/>
        </w:rPr>
        <w:t xml:space="preserve"> </w:t>
      </w:r>
      <w:r w:rsidRPr="00E8585E">
        <w:rPr>
          <w:rFonts w:ascii="DBS-Torah" w:hint="eastAsia"/>
          <w:b/>
          <w:bCs/>
          <w:rtl/>
        </w:rPr>
        <w:t>במתן</w:t>
      </w:r>
      <w:r w:rsidRPr="00E8585E">
        <w:rPr>
          <w:rFonts w:ascii="DBS-Torah"/>
          <w:b/>
          <w:bCs/>
          <w:rtl/>
        </w:rPr>
        <w:t xml:space="preserve"> </w:t>
      </w:r>
      <w:r w:rsidRPr="00E8585E">
        <w:rPr>
          <w:rFonts w:ascii="DBS-Torah" w:hint="eastAsia"/>
          <w:b/>
          <w:bCs/>
          <w:rtl/>
        </w:rPr>
        <w:t>סובסידיה</w:t>
      </w:r>
      <w:r w:rsidRPr="00E8585E">
        <w:rPr>
          <w:rFonts w:ascii="DBS-Torah"/>
          <w:b/>
          <w:bCs/>
          <w:rtl/>
        </w:rPr>
        <w:t xml:space="preserve"> </w:t>
      </w:r>
      <w:r w:rsidRPr="00E8585E">
        <w:rPr>
          <w:rFonts w:ascii="DBS-Torah" w:hint="eastAsia"/>
          <w:b/>
          <w:bCs/>
          <w:rtl/>
        </w:rPr>
        <w:t>להפעלת</w:t>
      </w:r>
      <w:r w:rsidRPr="00E8585E">
        <w:rPr>
          <w:rFonts w:ascii="DBS-Torah"/>
          <w:b/>
          <w:bCs/>
          <w:rtl/>
        </w:rPr>
        <w:t xml:space="preserve"> </w:t>
      </w:r>
      <w:r w:rsidRPr="00E8585E">
        <w:rPr>
          <w:rFonts w:ascii="DBS-Torah" w:hint="eastAsia"/>
          <w:b/>
          <w:bCs/>
          <w:rtl/>
        </w:rPr>
        <w:t>התחבורה</w:t>
      </w:r>
      <w:r w:rsidRPr="00E8585E">
        <w:rPr>
          <w:rFonts w:ascii="DBS-Torah"/>
          <w:b/>
          <w:bCs/>
          <w:rtl/>
        </w:rPr>
        <w:t xml:space="preserve"> </w:t>
      </w:r>
      <w:r w:rsidRPr="00E8585E">
        <w:rPr>
          <w:rFonts w:ascii="DBS-Torah" w:hint="eastAsia"/>
          <w:b/>
          <w:bCs/>
          <w:rtl/>
        </w:rPr>
        <w:t>הציבורית</w:t>
      </w:r>
      <w:r>
        <w:rPr>
          <w:rFonts w:ascii="DBS-Torah" w:hint="cs"/>
          <w:b/>
          <w:bCs/>
          <w:rtl/>
        </w:rPr>
        <w:t xml:space="preserve"> </w:t>
      </w:r>
      <w:r>
        <w:rPr>
          <w:rFonts w:asciiTheme="minorHAnsi" w:hAnsiTheme="minorHAnsi" w:hint="eastAsia"/>
          <w:b/>
          <w:bCs/>
        </w:rPr>
        <w:t>–</w:t>
      </w:r>
      <w:r w:rsidRPr="00E8585E">
        <w:rPr>
          <w:rFonts w:ascii="DBS-Torah"/>
          <w:b/>
          <w:bCs/>
          <w:rtl/>
        </w:rPr>
        <w:t xml:space="preserve"> </w:t>
      </w:r>
      <w:r w:rsidRPr="00E8585E">
        <w:rPr>
          <w:rFonts w:ascii="DBS-Torah"/>
          <w:rtl/>
        </w:rPr>
        <w:t xml:space="preserve">במסגרת ההחלטות התקציביות הקיימות צפוי כי במהלך השנים </w:t>
      </w:r>
      <w:r w:rsidR="007E2C67">
        <w:rPr>
          <w:rFonts w:ascii="DBS-Torah" w:hint="cs"/>
          <w:rtl/>
        </w:rPr>
        <w:t>2020-2022</w:t>
      </w:r>
      <w:r>
        <w:rPr>
          <w:rFonts w:ascii="DBS-Torah" w:hint="cs"/>
          <w:rtl/>
        </w:rPr>
        <w:t xml:space="preserve"> </w:t>
      </w:r>
      <w:r w:rsidRPr="00E8585E">
        <w:rPr>
          <w:rFonts w:ascii="DBS-Torah"/>
          <w:rtl/>
        </w:rPr>
        <w:t xml:space="preserve">תגדל הסובסידיה להפעלת תחבורה ציבורית. </w:t>
      </w:r>
      <w:r w:rsidRPr="00E8585E">
        <w:rPr>
          <w:rFonts w:ascii="DBS-Torah" w:hint="eastAsia"/>
          <w:rtl/>
        </w:rPr>
        <w:t>הגידול</w:t>
      </w:r>
      <w:r w:rsidRPr="00E8585E">
        <w:rPr>
          <w:rFonts w:ascii="DBS-Torah"/>
          <w:rtl/>
        </w:rPr>
        <w:t xml:space="preserve"> </w:t>
      </w:r>
      <w:r w:rsidRPr="00E8585E">
        <w:rPr>
          <w:rFonts w:ascii="DBS-Torah" w:hint="eastAsia"/>
          <w:rtl/>
        </w:rPr>
        <w:t>בתקציב</w:t>
      </w:r>
      <w:r w:rsidRPr="00E8585E">
        <w:rPr>
          <w:rFonts w:ascii="DBS-Torah"/>
          <w:rtl/>
        </w:rPr>
        <w:t xml:space="preserve"> </w:t>
      </w:r>
      <w:r w:rsidRPr="00E8585E">
        <w:rPr>
          <w:rFonts w:ascii="DBS-Torah" w:hint="eastAsia"/>
          <w:rtl/>
        </w:rPr>
        <w:t>נועד</w:t>
      </w:r>
      <w:r w:rsidRPr="00E8585E">
        <w:rPr>
          <w:rFonts w:ascii="DBS-Torah"/>
          <w:rtl/>
        </w:rPr>
        <w:t xml:space="preserve"> </w:t>
      </w:r>
      <w:r w:rsidRPr="00E8585E">
        <w:rPr>
          <w:rFonts w:ascii="DBS-Torah" w:hint="eastAsia"/>
          <w:rtl/>
        </w:rPr>
        <w:t>להתמודד</w:t>
      </w:r>
      <w:r w:rsidRPr="00E8585E">
        <w:rPr>
          <w:rFonts w:ascii="DBS-Torah"/>
          <w:rtl/>
        </w:rPr>
        <w:t xml:space="preserve"> </w:t>
      </w:r>
      <w:r w:rsidRPr="00E8585E">
        <w:rPr>
          <w:rFonts w:ascii="DBS-Torah" w:hint="eastAsia"/>
          <w:rtl/>
        </w:rPr>
        <w:t>עם</w:t>
      </w:r>
      <w:r w:rsidRPr="00E8585E">
        <w:rPr>
          <w:rFonts w:ascii="DBS-Torah"/>
          <w:rtl/>
        </w:rPr>
        <w:t xml:space="preserve"> </w:t>
      </w:r>
      <w:r w:rsidRPr="00E8585E">
        <w:rPr>
          <w:rFonts w:ascii="DBS-Torah" w:hint="eastAsia"/>
          <w:rtl/>
        </w:rPr>
        <w:t>הגידול</w:t>
      </w:r>
      <w:r w:rsidRPr="00E8585E">
        <w:rPr>
          <w:rFonts w:ascii="DBS-Torah"/>
          <w:rtl/>
        </w:rPr>
        <w:t xml:space="preserve"> </w:t>
      </w:r>
      <w:r w:rsidRPr="00E8585E">
        <w:rPr>
          <w:rFonts w:ascii="DBS-Torah" w:hint="eastAsia"/>
          <w:rtl/>
        </w:rPr>
        <w:t>הטבעי</w:t>
      </w:r>
      <w:r w:rsidRPr="00E8585E">
        <w:rPr>
          <w:rFonts w:ascii="DBS-Torah"/>
          <w:rtl/>
        </w:rPr>
        <w:t xml:space="preserve"> </w:t>
      </w:r>
      <w:r w:rsidRPr="00E8585E">
        <w:rPr>
          <w:rFonts w:ascii="DBS-Torah" w:hint="eastAsia"/>
          <w:rtl/>
        </w:rPr>
        <w:t>באוכלוסייה</w:t>
      </w:r>
      <w:r w:rsidRPr="00E8585E">
        <w:rPr>
          <w:rFonts w:ascii="DBS-Torah"/>
          <w:rtl/>
        </w:rPr>
        <w:t xml:space="preserve">, </w:t>
      </w:r>
      <w:r w:rsidRPr="00E8585E">
        <w:rPr>
          <w:rFonts w:ascii="DBS-Torah" w:hint="eastAsia"/>
          <w:rtl/>
        </w:rPr>
        <w:t>לשפר</w:t>
      </w:r>
      <w:r w:rsidRPr="00E8585E">
        <w:rPr>
          <w:rFonts w:ascii="DBS-Torah"/>
          <w:rtl/>
        </w:rPr>
        <w:t xml:space="preserve"> </w:t>
      </w:r>
      <w:r w:rsidRPr="00E8585E">
        <w:rPr>
          <w:rFonts w:ascii="DBS-Torah" w:hint="eastAsia"/>
          <w:rtl/>
        </w:rPr>
        <w:t>את</w:t>
      </w:r>
      <w:r w:rsidRPr="00E8585E">
        <w:rPr>
          <w:rFonts w:ascii="DBS-Torah"/>
          <w:rtl/>
        </w:rPr>
        <w:t xml:space="preserve"> </w:t>
      </w:r>
      <w:r w:rsidRPr="00E8585E">
        <w:rPr>
          <w:rFonts w:ascii="DBS-Torah" w:hint="eastAsia"/>
          <w:rtl/>
        </w:rPr>
        <w:t>רמת</w:t>
      </w:r>
      <w:r w:rsidRPr="00E8585E">
        <w:rPr>
          <w:rFonts w:ascii="DBS-Torah"/>
          <w:rtl/>
        </w:rPr>
        <w:t xml:space="preserve"> </w:t>
      </w:r>
      <w:r w:rsidRPr="00E8585E">
        <w:rPr>
          <w:rFonts w:ascii="DBS-Torah" w:hint="eastAsia"/>
          <w:rtl/>
        </w:rPr>
        <w:t>השירות</w:t>
      </w:r>
      <w:r w:rsidRPr="00E8585E">
        <w:rPr>
          <w:rFonts w:ascii="DBS-Torah"/>
          <w:rtl/>
        </w:rPr>
        <w:t xml:space="preserve"> </w:t>
      </w:r>
      <w:r w:rsidRPr="00E8585E">
        <w:rPr>
          <w:rFonts w:ascii="DBS-Torah" w:hint="eastAsia"/>
          <w:rtl/>
        </w:rPr>
        <w:t>ולהפעיל</w:t>
      </w:r>
      <w:r w:rsidRPr="00E8585E">
        <w:rPr>
          <w:rFonts w:ascii="DBS-Torah"/>
          <w:rtl/>
        </w:rPr>
        <w:t xml:space="preserve"> </w:t>
      </w:r>
      <w:r w:rsidRPr="00E8585E">
        <w:rPr>
          <w:rFonts w:ascii="DBS-Torah" w:hint="eastAsia"/>
          <w:rtl/>
        </w:rPr>
        <w:t>קווי</w:t>
      </w:r>
      <w:r w:rsidRPr="00E8585E">
        <w:rPr>
          <w:rFonts w:ascii="DBS-Torah"/>
          <w:rtl/>
        </w:rPr>
        <w:t xml:space="preserve"> </w:t>
      </w:r>
      <w:r w:rsidRPr="00E8585E">
        <w:rPr>
          <w:rFonts w:ascii="DBS-Torah" w:hint="eastAsia"/>
          <w:rtl/>
        </w:rPr>
        <w:t>רכבת</w:t>
      </w:r>
      <w:r w:rsidRPr="00E8585E">
        <w:rPr>
          <w:rFonts w:ascii="DBS-Torah"/>
          <w:rtl/>
        </w:rPr>
        <w:t xml:space="preserve"> </w:t>
      </w:r>
      <w:r w:rsidRPr="00E8585E">
        <w:rPr>
          <w:rFonts w:ascii="DBS-Torah" w:hint="eastAsia"/>
          <w:rtl/>
        </w:rPr>
        <w:t>נוספים</w:t>
      </w:r>
      <w:r w:rsidRPr="00E8585E">
        <w:rPr>
          <w:rFonts w:ascii="DBS-Torah"/>
          <w:rtl/>
        </w:rPr>
        <w:t xml:space="preserve"> </w:t>
      </w:r>
      <w:r w:rsidRPr="00E8585E">
        <w:rPr>
          <w:rFonts w:ascii="DBS-Torah" w:hint="eastAsia"/>
          <w:rtl/>
        </w:rPr>
        <w:t>שהקמתם</w:t>
      </w:r>
      <w:r w:rsidRPr="00E8585E">
        <w:rPr>
          <w:rFonts w:ascii="DBS-Torah"/>
          <w:rtl/>
        </w:rPr>
        <w:t xml:space="preserve"> </w:t>
      </w:r>
      <w:r w:rsidRPr="00E8585E">
        <w:rPr>
          <w:rFonts w:ascii="DBS-Torah" w:hint="eastAsia"/>
          <w:rtl/>
        </w:rPr>
        <w:t>תסתיים</w:t>
      </w:r>
      <w:r w:rsidRPr="00E8585E">
        <w:rPr>
          <w:rFonts w:ascii="DBS-Torah"/>
          <w:rtl/>
        </w:rPr>
        <w:t xml:space="preserve"> </w:t>
      </w:r>
      <w:r w:rsidRPr="00E8585E">
        <w:rPr>
          <w:rFonts w:ascii="DBS-Torah" w:hint="eastAsia"/>
          <w:rtl/>
        </w:rPr>
        <w:t>בשנים</w:t>
      </w:r>
      <w:r w:rsidRPr="00E8585E">
        <w:rPr>
          <w:rFonts w:ascii="DBS-Torah"/>
          <w:rtl/>
        </w:rPr>
        <w:t xml:space="preserve"> </w:t>
      </w:r>
      <w:r w:rsidRPr="00E8585E">
        <w:rPr>
          <w:rFonts w:ascii="DBS-Torah" w:hint="eastAsia"/>
          <w:rtl/>
        </w:rPr>
        <w:t>הקרובות</w:t>
      </w:r>
      <w:r w:rsidRPr="00E8585E">
        <w:rPr>
          <w:rFonts w:ascii="DBS-Torah"/>
          <w:rtl/>
        </w:rPr>
        <w:t xml:space="preserve">, </w:t>
      </w:r>
      <w:r w:rsidRPr="00E8585E">
        <w:rPr>
          <w:rFonts w:ascii="DBS-Torah" w:hint="eastAsia"/>
          <w:rtl/>
        </w:rPr>
        <w:t>בהם</w:t>
      </w:r>
      <w:r w:rsidRPr="00E8585E">
        <w:rPr>
          <w:rFonts w:ascii="DBS-Torah"/>
          <w:rtl/>
        </w:rPr>
        <w:t xml:space="preserve"> </w:t>
      </w:r>
      <w:r w:rsidRPr="00E8585E">
        <w:rPr>
          <w:rFonts w:ascii="DBS-Torah" w:hint="eastAsia"/>
          <w:rtl/>
        </w:rPr>
        <w:t>המסילה</w:t>
      </w:r>
      <w:r w:rsidRPr="00E8585E">
        <w:rPr>
          <w:rFonts w:ascii="DBS-Torah"/>
          <w:rtl/>
        </w:rPr>
        <w:t xml:space="preserve"> </w:t>
      </w:r>
      <w:r w:rsidRPr="00E8585E">
        <w:rPr>
          <w:rFonts w:ascii="DBS-Torah" w:hint="eastAsia"/>
          <w:rtl/>
        </w:rPr>
        <w:t>מירושלים</w:t>
      </w:r>
      <w:r w:rsidRPr="00E8585E">
        <w:rPr>
          <w:rFonts w:ascii="DBS-Torah"/>
          <w:rtl/>
        </w:rPr>
        <w:t xml:space="preserve"> </w:t>
      </w:r>
      <w:r w:rsidRPr="00E8585E">
        <w:rPr>
          <w:rFonts w:ascii="DBS-Torah" w:hint="eastAsia"/>
          <w:rtl/>
        </w:rPr>
        <w:t>לת</w:t>
      </w:r>
      <w:r w:rsidRPr="00E8585E">
        <w:rPr>
          <w:rFonts w:ascii="DBS-Torah"/>
          <w:rtl/>
        </w:rPr>
        <w:t xml:space="preserve">"א </w:t>
      </w:r>
      <w:r>
        <w:rPr>
          <w:rFonts w:ascii="DBS-Torah" w:hint="cs"/>
          <w:rtl/>
        </w:rPr>
        <w:t>ו</w:t>
      </w:r>
      <w:r w:rsidRPr="00E8585E">
        <w:rPr>
          <w:rFonts w:ascii="DBS-Torah" w:hint="eastAsia"/>
          <w:rtl/>
        </w:rPr>
        <w:t>מסילת</w:t>
      </w:r>
      <w:r w:rsidRPr="00E8585E">
        <w:rPr>
          <w:rFonts w:ascii="DBS-Torah"/>
          <w:rtl/>
        </w:rPr>
        <w:t xml:space="preserve"> 531 </w:t>
      </w:r>
      <w:r w:rsidRPr="00E8585E">
        <w:rPr>
          <w:rFonts w:ascii="DBS-Torah" w:hint="eastAsia"/>
          <w:rtl/>
        </w:rPr>
        <w:t>שתחבר</w:t>
      </w:r>
      <w:r w:rsidRPr="00E8585E">
        <w:rPr>
          <w:rFonts w:ascii="DBS-Torah"/>
          <w:rtl/>
        </w:rPr>
        <w:t xml:space="preserve"> </w:t>
      </w:r>
      <w:r w:rsidRPr="00E8585E">
        <w:rPr>
          <w:rFonts w:ascii="DBS-Torah" w:hint="eastAsia"/>
          <w:rtl/>
        </w:rPr>
        <w:t>בין</w:t>
      </w:r>
      <w:r w:rsidRPr="00E8585E">
        <w:rPr>
          <w:rFonts w:ascii="DBS-Torah"/>
          <w:rtl/>
        </w:rPr>
        <w:t xml:space="preserve"> </w:t>
      </w:r>
      <w:r w:rsidRPr="00E8585E">
        <w:rPr>
          <w:rFonts w:ascii="DBS-Torah" w:hint="eastAsia"/>
          <w:rtl/>
        </w:rPr>
        <w:t>רעננה</w:t>
      </w:r>
      <w:r w:rsidRPr="00E8585E">
        <w:rPr>
          <w:rFonts w:ascii="DBS-Torah"/>
          <w:rtl/>
        </w:rPr>
        <w:t xml:space="preserve"> </w:t>
      </w:r>
      <w:r w:rsidRPr="00E8585E">
        <w:rPr>
          <w:rFonts w:ascii="DBS-Torah" w:hint="eastAsia"/>
          <w:rtl/>
        </w:rPr>
        <w:t>לקו</w:t>
      </w:r>
      <w:r w:rsidRPr="00E8585E">
        <w:rPr>
          <w:rFonts w:ascii="DBS-Torah"/>
          <w:rtl/>
        </w:rPr>
        <w:t xml:space="preserve"> </w:t>
      </w:r>
      <w:r w:rsidRPr="00E8585E">
        <w:rPr>
          <w:rFonts w:ascii="DBS-Torah" w:hint="eastAsia"/>
          <w:rtl/>
        </w:rPr>
        <w:t>החוף</w:t>
      </w:r>
      <w:r w:rsidRPr="00E8585E">
        <w:rPr>
          <w:rFonts w:ascii="DBS-Torah"/>
          <w:rtl/>
        </w:rPr>
        <w:t>.</w:t>
      </w:r>
    </w:p>
    <w:p w:rsidR="00DC4053" w:rsidRDefault="00793B0D" w:rsidP="00CD109F">
      <w:pPr>
        <w:numPr>
          <w:ilvl w:val="0"/>
          <w:numId w:val="11"/>
        </w:numPr>
        <w:tabs>
          <w:tab w:val="left" w:pos="340"/>
        </w:tabs>
        <w:suppressAutoHyphens/>
        <w:autoSpaceDE w:val="0"/>
        <w:autoSpaceDN w:val="0"/>
        <w:adjustRightInd w:val="0"/>
        <w:contextualSpacing/>
        <w:textAlignment w:val="center"/>
        <w:rPr>
          <w:rFonts w:ascii="DBS-Torah"/>
        </w:rPr>
      </w:pPr>
      <w:r>
        <w:rPr>
          <w:rFonts w:ascii="DBS-Torah" w:hint="cs"/>
          <w:b/>
          <w:bCs/>
          <w:rtl/>
        </w:rPr>
        <w:t xml:space="preserve">האצת </w:t>
      </w:r>
      <w:r w:rsidR="00DC4053" w:rsidRPr="00E8585E">
        <w:rPr>
          <w:rFonts w:ascii="DBS-Torah" w:hint="eastAsia"/>
          <w:b/>
          <w:bCs/>
          <w:rtl/>
        </w:rPr>
        <w:t>קצב</w:t>
      </w:r>
      <w:r w:rsidR="00DC4053" w:rsidRPr="00E8585E">
        <w:rPr>
          <w:rFonts w:ascii="DBS-Torah"/>
          <w:b/>
          <w:bCs/>
          <w:rtl/>
        </w:rPr>
        <w:t xml:space="preserve"> </w:t>
      </w:r>
      <w:r w:rsidR="00DC4053" w:rsidRPr="00E8585E">
        <w:rPr>
          <w:rFonts w:ascii="DBS-Torah" w:hint="eastAsia"/>
          <w:b/>
          <w:bCs/>
          <w:rtl/>
        </w:rPr>
        <w:t>הביצוע</w:t>
      </w:r>
      <w:r w:rsidR="00DC4053" w:rsidRPr="00E8585E">
        <w:rPr>
          <w:rFonts w:ascii="DBS-Torah"/>
          <w:b/>
          <w:bCs/>
          <w:rtl/>
        </w:rPr>
        <w:t xml:space="preserve"> </w:t>
      </w:r>
      <w:r w:rsidR="00DC4053" w:rsidRPr="00E8585E">
        <w:rPr>
          <w:rFonts w:ascii="DBS-Torah" w:hint="eastAsia"/>
          <w:b/>
          <w:bCs/>
          <w:rtl/>
        </w:rPr>
        <w:t>של</w:t>
      </w:r>
      <w:r w:rsidR="00DC4053" w:rsidRPr="00E8585E">
        <w:rPr>
          <w:rFonts w:ascii="DBS-Torah"/>
          <w:b/>
          <w:bCs/>
          <w:rtl/>
        </w:rPr>
        <w:t xml:space="preserve"> </w:t>
      </w:r>
      <w:r w:rsidR="00DC4053" w:rsidRPr="00E8585E">
        <w:rPr>
          <w:rFonts w:ascii="DBS-Torah" w:hint="eastAsia"/>
          <w:b/>
          <w:bCs/>
          <w:rtl/>
        </w:rPr>
        <w:t>פרוייקטי</w:t>
      </w:r>
      <w:r w:rsidR="00DC4053" w:rsidRPr="00E8585E">
        <w:rPr>
          <w:rFonts w:ascii="DBS-Torah"/>
          <w:b/>
          <w:bCs/>
          <w:rtl/>
        </w:rPr>
        <w:t xml:space="preserve"> </w:t>
      </w:r>
      <w:r w:rsidR="00DC4053" w:rsidRPr="00E8585E">
        <w:rPr>
          <w:rFonts w:ascii="DBS-Torah" w:hint="eastAsia"/>
          <w:b/>
          <w:bCs/>
          <w:rtl/>
        </w:rPr>
        <w:t>הרכבות</w:t>
      </w:r>
      <w:r w:rsidR="00DC4053" w:rsidRPr="00E8585E">
        <w:rPr>
          <w:rFonts w:ascii="DBS-Torah"/>
          <w:b/>
          <w:bCs/>
          <w:rtl/>
        </w:rPr>
        <w:t xml:space="preserve"> </w:t>
      </w:r>
      <w:r w:rsidR="00DC4053" w:rsidRPr="00E8585E">
        <w:rPr>
          <w:rFonts w:ascii="DBS-Torah" w:hint="eastAsia"/>
          <w:b/>
          <w:bCs/>
          <w:rtl/>
        </w:rPr>
        <w:t>הכבדות</w:t>
      </w:r>
      <w:r w:rsidR="00DC4053">
        <w:rPr>
          <w:rFonts w:ascii="DBS-Torah" w:hint="cs"/>
          <w:rtl/>
        </w:rPr>
        <w:t xml:space="preserve"> </w:t>
      </w:r>
      <w:r w:rsidR="00DC4053">
        <w:rPr>
          <w:rFonts w:asciiTheme="minorHAnsi" w:hAnsiTheme="minorHAnsi" w:hint="eastAsia"/>
        </w:rPr>
        <w:t>–</w:t>
      </w:r>
      <w:r w:rsidR="00DC4053" w:rsidRPr="00E8585E">
        <w:rPr>
          <w:rFonts w:ascii="DBS-Torah"/>
          <w:rtl/>
        </w:rPr>
        <w:t xml:space="preserve"> במהלך השנים</w:t>
      </w:r>
      <w:r w:rsidR="008B2478">
        <w:rPr>
          <w:rFonts w:ascii="DBS-Torah" w:hint="cs"/>
          <w:rtl/>
        </w:rPr>
        <w:t xml:space="preserve"> 2020-2022 </w:t>
      </w:r>
      <w:r w:rsidR="00DC4053" w:rsidRPr="00E8585E">
        <w:rPr>
          <w:rFonts w:ascii="DBS-Torah" w:hint="eastAsia"/>
          <w:rtl/>
        </w:rPr>
        <w:t>צפויים</w:t>
      </w:r>
      <w:r w:rsidR="00DC4053" w:rsidRPr="00E8585E">
        <w:rPr>
          <w:rFonts w:ascii="DBS-Torah"/>
          <w:rtl/>
        </w:rPr>
        <w:t xml:space="preserve"> </w:t>
      </w:r>
      <w:r w:rsidR="00DC4053" w:rsidRPr="00E8585E">
        <w:rPr>
          <w:rFonts w:ascii="DBS-Torah" w:hint="eastAsia"/>
          <w:rtl/>
        </w:rPr>
        <w:t>להגיע</w:t>
      </w:r>
      <w:r w:rsidR="00DC4053" w:rsidRPr="00E8585E">
        <w:rPr>
          <w:rFonts w:ascii="DBS-Torah"/>
          <w:rtl/>
        </w:rPr>
        <w:t xml:space="preserve"> </w:t>
      </w:r>
      <w:r w:rsidR="00DC4053" w:rsidRPr="00E8585E">
        <w:rPr>
          <w:rFonts w:ascii="DBS-Torah" w:hint="eastAsia"/>
          <w:rtl/>
        </w:rPr>
        <w:t>לשיאם</w:t>
      </w:r>
      <w:r w:rsidR="00DC4053" w:rsidRPr="00E8585E">
        <w:rPr>
          <w:rFonts w:ascii="DBS-Torah"/>
          <w:rtl/>
        </w:rPr>
        <w:t xml:space="preserve"> </w:t>
      </w:r>
      <w:r w:rsidR="00DC4053" w:rsidRPr="00E8585E">
        <w:rPr>
          <w:rFonts w:ascii="DBS-Torah" w:hint="eastAsia"/>
          <w:rtl/>
        </w:rPr>
        <w:t>מספר</w:t>
      </w:r>
      <w:r w:rsidR="00DC4053" w:rsidRPr="00E8585E">
        <w:rPr>
          <w:rFonts w:ascii="DBS-Torah"/>
          <w:rtl/>
        </w:rPr>
        <w:t xml:space="preserve"> פרויקטים עיקריים ברכבת ישראל, שנקבעו במסגרת </w:t>
      </w:r>
      <w:r w:rsidR="00DC4053" w:rsidRPr="00E8585E">
        <w:rPr>
          <w:rFonts w:ascii="DBS-Torah" w:hint="eastAsia"/>
          <w:rtl/>
        </w:rPr>
        <w:t>ת</w:t>
      </w:r>
      <w:r w:rsidR="00DC4053">
        <w:rPr>
          <w:rFonts w:ascii="DBS-Torah" w:hint="cs"/>
          <w:rtl/>
        </w:rPr>
        <w:t>ו</w:t>
      </w:r>
      <w:r w:rsidR="00DC4053" w:rsidRPr="00E8585E">
        <w:rPr>
          <w:rFonts w:ascii="DBS-Torah" w:hint="eastAsia"/>
          <w:rtl/>
        </w:rPr>
        <w:t>כנית</w:t>
      </w:r>
      <w:r w:rsidR="00DC4053" w:rsidRPr="00E8585E">
        <w:rPr>
          <w:rFonts w:ascii="DBS-Torah"/>
          <w:rtl/>
        </w:rPr>
        <w:t xml:space="preserve"> </w:t>
      </w:r>
      <w:r w:rsidR="00DC4053" w:rsidRPr="00E8585E">
        <w:rPr>
          <w:rFonts w:ascii="DBS-Torah" w:hint="eastAsia"/>
          <w:rtl/>
        </w:rPr>
        <w:t>הפיתוח</w:t>
      </w:r>
      <w:r w:rsidR="00DC4053" w:rsidRPr="00E8585E">
        <w:rPr>
          <w:rFonts w:ascii="DBS-Torah"/>
          <w:rtl/>
        </w:rPr>
        <w:t xml:space="preserve"> </w:t>
      </w:r>
      <w:r w:rsidR="00DC4053" w:rsidRPr="00E8585E">
        <w:rPr>
          <w:rFonts w:ascii="DBS-Torah" w:hint="eastAsia"/>
          <w:rtl/>
        </w:rPr>
        <w:t>המאושרת</w:t>
      </w:r>
      <w:r w:rsidR="00DC4053" w:rsidRPr="00E8585E">
        <w:rPr>
          <w:rFonts w:ascii="DBS-Torah"/>
          <w:rtl/>
        </w:rPr>
        <w:t xml:space="preserve"> </w:t>
      </w:r>
      <w:r w:rsidR="00DC4053" w:rsidRPr="00E8585E">
        <w:rPr>
          <w:rFonts w:ascii="DBS-Torah" w:hint="eastAsia"/>
          <w:rtl/>
        </w:rPr>
        <w:t>של</w:t>
      </w:r>
      <w:r w:rsidR="00DC4053" w:rsidRPr="00E8585E">
        <w:rPr>
          <w:rFonts w:ascii="DBS-Torah"/>
          <w:rtl/>
        </w:rPr>
        <w:t xml:space="preserve"> </w:t>
      </w:r>
      <w:r w:rsidR="00DC4053" w:rsidRPr="00E8585E">
        <w:rPr>
          <w:rFonts w:ascii="DBS-Torah" w:hint="eastAsia"/>
          <w:rtl/>
        </w:rPr>
        <w:t>הרכבת</w:t>
      </w:r>
      <w:r w:rsidR="00DC4053" w:rsidRPr="00E8585E">
        <w:rPr>
          <w:rFonts w:ascii="DBS-Torah"/>
          <w:rtl/>
        </w:rPr>
        <w:t xml:space="preserve">, </w:t>
      </w:r>
      <w:r w:rsidR="00DC4053" w:rsidRPr="00E8585E">
        <w:rPr>
          <w:rFonts w:ascii="DBS-Torah" w:hint="eastAsia"/>
          <w:rtl/>
        </w:rPr>
        <w:t>ביניהם</w:t>
      </w:r>
      <w:r w:rsidR="00DC4053" w:rsidRPr="00E8585E">
        <w:rPr>
          <w:rFonts w:ascii="DBS-Torah"/>
          <w:rtl/>
        </w:rPr>
        <w:t xml:space="preserve">: חשמול תשתיות הרכבת, רכש ציוד נייד חשמלי ושדרוג מערכת הבטיחות והאיתות. </w:t>
      </w:r>
    </w:p>
    <w:p w:rsidR="00DC4053" w:rsidRDefault="00DC4053" w:rsidP="00B008FD">
      <w:pPr>
        <w:numPr>
          <w:ilvl w:val="0"/>
          <w:numId w:val="11"/>
        </w:numPr>
        <w:tabs>
          <w:tab w:val="left" w:pos="340"/>
        </w:tabs>
        <w:suppressAutoHyphens/>
        <w:autoSpaceDE w:val="0"/>
        <w:autoSpaceDN w:val="0"/>
        <w:adjustRightInd w:val="0"/>
        <w:contextualSpacing/>
        <w:textAlignment w:val="center"/>
        <w:rPr>
          <w:rFonts w:ascii="DBS-Torah"/>
        </w:rPr>
      </w:pPr>
      <w:r w:rsidRPr="004A0077">
        <w:rPr>
          <w:rFonts w:ascii="DBS-Torah"/>
          <w:b/>
          <w:bCs/>
          <w:rtl/>
        </w:rPr>
        <w:t>השקעה ב</w:t>
      </w:r>
      <w:r>
        <w:rPr>
          <w:rFonts w:ascii="DBS-Torah" w:hint="cs"/>
          <w:b/>
          <w:bCs/>
          <w:rtl/>
        </w:rPr>
        <w:t>נתיבי תחבורה עם</w:t>
      </w:r>
      <w:r w:rsidRPr="004A0077">
        <w:rPr>
          <w:rFonts w:ascii="DBS-Torah"/>
          <w:b/>
          <w:bCs/>
          <w:rtl/>
        </w:rPr>
        <w:t xml:space="preserve"> העדפה לתחבורה ציבורית</w:t>
      </w:r>
      <w:r>
        <w:rPr>
          <w:rFonts w:ascii="DBS-Torah" w:hint="cs"/>
          <w:rtl/>
        </w:rPr>
        <w:t xml:space="preserve"> </w:t>
      </w:r>
      <w:r>
        <w:rPr>
          <w:rFonts w:asciiTheme="minorHAnsi" w:hAnsiTheme="minorHAnsi" w:hint="eastAsia"/>
        </w:rPr>
        <w:t>–</w:t>
      </w:r>
      <w:r w:rsidRPr="00DF5E43">
        <w:rPr>
          <w:rFonts w:ascii="DBS-Torah"/>
          <w:rtl/>
        </w:rPr>
        <w:t xml:space="preserve"> במהלך השנים </w:t>
      </w:r>
      <w:r w:rsidR="00051C12">
        <w:rPr>
          <w:rFonts w:ascii="DBS-Torah" w:hint="cs"/>
          <w:rtl/>
        </w:rPr>
        <w:t xml:space="preserve">2020-2022 </w:t>
      </w:r>
      <w:r w:rsidRPr="00DF5E43">
        <w:rPr>
          <w:rFonts w:ascii="DBS-Torah"/>
          <w:rtl/>
        </w:rPr>
        <w:t xml:space="preserve">צפויה </w:t>
      </w:r>
      <w:r>
        <w:rPr>
          <w:rFonts w:ascii="DBS-Torah" w:hint="cs"/>
          <w:rtl/>
        </w:rPr>
        <w:t xml:space="preserve">להימשך </w:t>
      </w:r>
      <w:r w:rsidRPr="00DF5E43">
        <w:rPr>
          <w:rFonts w:ascii="DBS-Torah"/>
          <w:rtl/>
        </w:rPr>
        <w:t xml:space="preserve">הסטה של </w:t>
      </w:r>
      <w:r>
        <w:rPr>
          <w:rFonts w:ascii="DBS-Torah" w:hint="cs"/>
          <w:rtl/>
        </w:rPr>
        <w:t>ה</w:t>
      </w:r>
      <w:r w:rsidRPr="00DF5E43">
        <w:rPr>
          <w:rFonts w:ascii="DBS-Torah"/>
          <w:rtl/>
        </w:rPr>
        <w:t xml:space="preserve">השקעות </w:t>
      </w:r>
      <w:r>
        <w:rPr>
          <w:rFonts w:ascii="DBS-Torah" w:hint="cs"/>
          <w:rtl/>
        </w:rPr>
        <w:t>בתקציב</w:t>
      </w:r>
      <w:r w:rsidRPr="00DF5E43">
        <w:rPr>
          <w:rFonts w:ascii="DBS-Torah"/>
          <w:rtl/>
        </w:rPr>
        <w:t xml:space="preserve"> </w:t>
      </w:r>
      <w:r>
        <w:rPr>
          <w:rFonts w:ascii="DBS-Torah" w:hint="cs"/>
          <w:rtl/>
        </w:rPr>
        <w:t>ל</w:t>
      </w:r>
      <w:r w:rsidRPr="00DF5E43">
        <w:rPr>
          <w:rFonts w:ascii="DBS-Torah"/>
          <w:rtl/>
        </w:rPr>
        <w:t>פיתוח כבישים, מהשקעה להוספת צירים ומחלפים לרכבים פרטיים אל השקעה ב</w:t>
      </w:r>
      <w:r>
        <w:rPr>
          <w:rFonts w:ascii="DBS-Torah" w:hint="cs"/>
          <w:rtl/>
        </w:rPr>
        <w:t>נתיבי</w:t>
      </w:r>
      <w:r w:rsidRPr="00DF5E43">
        <w:rPr>
          <w:rFonts w:ascii="DBS-Torah"/>
          <w:rtl/>
        </w:rPr>
        <w:t xml:space="preserve"> העדפה לתחבורה ציבורית. במסגרת זו יקודמו פרויקטי נתיבים מהירים במטרופולין תל אביב, רשת נתיבי תחבורה ציבורית בירושלים ונתיבי העדפה בכבישים ארציים </w:t>
      </w:r>
      <w:r>
        <w:rPr>
          <w:rFonts w:ascii="DBS-Torah" w:hint="cs"/>
          <w:rtl/>
        </w:rPr>
        <w:t>המאופיינים ב</w:t>
      </w:r>
      <w:r w:rsidRPr="00DF5E43">
        <w:rPr>
          <w:rFonts w:ascii="DBS-Torah"/>
          <w:rtl/>
        </w:rPr>
        <w:t>עומסי תנועה כבדים.</w:t>
      </w:r>
    </w:p>
    <w:p w:rsidR="00DC4053" w:rsidRPr="004A0077" w:rsidRDefault="00DC4053" w:rsidP="00DC4053">
      <w:pPr>
        <w:pStyle w:val="a7"/>
        <w:numPr>
          <w:ilvl w:val="0"/>
          <w:numId w:val="11"/>
        </w:numPr>
      </w:pPr>
      <w:r w:rsidRPr="004A0077">
        <w:rPr>
          <w:rFonts w:hint="cs"/>
          <w:b/>
          <w:bCs/>
          <w:rtl/>
        </w:rPr>
        <w:t>גידול</w:t>
      </w:r>
      <w:r w:rsidRPr="004A0077">
        <w:rPr>
          <w:b/>
          <w:bCs/>
          <w:rtl/>
        </w:rPr>
        <w:t xml:space="preserve"> </w:t>
      </w:r>
      <w:r w:rsidRPr="004A0077">
        <w:rPr>
          <w:rFonts w:hint="cs"/>
          <w:b/>
          <w:bCs/>
          <w:rtl/>
        </w:rPr>
        <w:t>בתקציבי</w:t>
      </w:r>
      <w:r w:rsidRPr="004A0077">
        <w:rPr>
          <w:b/>
          <w:bCs/>
          <w:rtl/>
        </w:rPr>
        <w:t xml:space="preserve"> </w:t>
      </w:r>
      <w:r w:rsidRPr="004A0077">
        <w:rPr>
          <w:rFonts w:hint="cs"/>
          <w:b/>
          <w:bCs/>
          <w:rtl/>
        </w:rPr>
        <w:t>הפיתוח</w:t>
      </w:r>
      <w:r w:rsidRPr="004A0077">
        <w:rPr>
          <w:b/>
          <w:bCs/>
          <w:rtl/>
        </w:rPr>
        <w:t xml:space="preserve"> </w:t>
      </w:r>
      <w:r w:rsidRPr="004A0077">
        <w:rPr>
          <w:rFonts w:hint="cs"/>
          <w:b/>
          <w:bCs/>
          <w:rtl/>
        </w:rPr>
        <w:t>של</w:t>
      </w:r>
      <w:r w:rsidRPr="004A0077">
        <w:rPr>
          <w:b/>
          <w:bCs/>
          <w:rtl/>
        </w:rPr>
        <w:t xml:space="preserve"> </w:t>
      </w:r>
      <w:r w:rsidRPr="004A0077">
        <w:rPr>
          <w:rFonts w:hint="cs"/>
          <w:b/>
          <w:bCs/>
          <w:rtl/>
        </w:rPr>
        <w:t>משרד</w:t>
      </w:r>
      <w:r w:rsidRPr="004A0077">
        <w:rPr>
          <w:b/>
          <w:bCs/>
          <w:rtl/>
        </w:rPr>
        <w:t xml:space="preserve"> </w:t>
      </w:r>
      <w:r w:rsidRPr="004A0077">
        <w:rPr>
          <w:rFonts w:hint="cs"/>
          <w:b/>
          <w:bCs/>
          <w:rtl/>
        </w:rPr>
        <w:t>הבינוי</w:t>
      </w:r>
      <w:r w:rsidRPr="004A0077">
        <w:rPr>
          <w:b/>
          <w:bCs/>
          <w:rtl/>
        </w:rPr>
        <w:t xml:space="preserve"> </w:t>
      </w:r>
      <w:r w:rsidRPr="004A0077">
        <w:rPr>
          <w:rFonts w:hint="cs"/>
          <w:b/>
          <w:bCs/>
          <w:rtl/>
        </w:rPr>
        <w:t>והשיכון</w:t>
      </w:r>
      <w:r>
        <w:rPr>
          <w:rFonts w:hint="cs"/>
          <w:rtl/>
        </w:rPr>
        <w:t xml:space="preserve"> </w:t>
      </w:r>
      <w:r>
        <w:rPr>
          <w:rFonts w:hint="eastAsia"/>
        </w:rPr>
        <w:t>–</w:t>
      </w:r>
      <w:r w:rsidRPr="004A0077">
        <w:rPr>
          <w:rtl/>
        </w:rPr>
        <w:t xml:space="preserve"> במסגרת מאמצי הממשלה להגדלת היצע הדיור, גדל היקף הפעילות המסובסדת של המשרד לפיתוח תשתיות ביישובי הפריפריה בהתאם להחלטות הממשלה בנושא. בנוסף, במסגרת יישום ת</w:t>
      </w:r>
      <w:r>
        <w:rPr>
          <w:rFonts w:hint="cs"/>
          <w:rtl/>
        </w:rPr>
        <w:t>ו</w:t>
      </w:r>
      <w:r w:rsidRPr="004A0077">
        <w:rPr>
          <w:rtl/>
        </w:rPr>
        <w:t>כנית מחיר למשתכן, גדל היקף סבסוד הפיתוח המוענק ביישובים שבהם ערך הקרקע אינו מאפשר מתן הנחה מספקת לת</w:t>
      </w:r>
      <w:r>
        <w:rPr>
          <w:rFonts w:hint="cs"/>
          <w:rtl/>
        </w:rPr>
        <w:t>ו</w:t>
      </w:r>
      <w:r w:rsidRPr="004A0077">
        <w:rPr>
          <w:rtl/>
        </w:rPr>
        <w:t xml:space="preserve">כנית. </w:t>
      </w:r>
    </w:p>
    <w:p w:rsidR="00DC4053" w:rsidRPr="005E1F3B" w:rsidRDefault="00DC4053" w:rsidP="00DC4053">
      <w:pPr>
        <w:numPr>
          <w:ilvl w:val="0"/>
          <w:numId w:val="11"/>
        </w:numPr>
        <w:tabs>
          <w:tab w:val="left" w:pos="340"/>
        </w:tabs>
        <w:suppressAutoHyphens/>
        <w:autoSpaceDE w:val="0"/>
        <w:autoSpaceDN w:val="0"/>
        <w:adjustRightInd w:val="0"/>
        <w:contextualSpacing/>
        <w:textAlignment w:val="center"/>
        <w:rPr>
          <w:rFonts w:ascii="DBS-Torah"/>
        </w:rPr>
      </w:pPr>
      <w:r w:rsidRPr="005E1F3B">
        <w:rPr>
          <w:rFonts w:ascii="DBS-Torah" w:hint="eastAsia"/>
          <w:b/>
          <w:bCs/>
          <w:rtl/>
        </w:rPr>
        <w:lastRenderedPageBreak/>
        <w:t>גידול</w:t>
      </w:r>
      <w:r w:rsidRPr="005E1F3B">
        <w:rPr>
          <w:rFonts w:ascii="DBS-Torah"/>
          <w:b/>
          <w:bCs/>
          <w:rtl/>
        </w:rPr>
        <w:t xml:space="preserve"> </w:t>
      </w:r>
      <w:r w:rsidRPr="005E1F3B">
        <w:rPr>
          <w:rFonts w:ascii="DBS-Torah" w:hint="eastAsia"/>
          <w:b/>
          <w:bCs/>
          <w:rtl/>
        </w:rPr>
        <w:t>בתקציב</w:t>
      </w:r>
      <w:r w:rsidRPr="005E1F3B">
        <w:rPr>
          <w:rFonts w:ascii="DBS-Torah"/>
          <w:b/>
          <w:bCs/>
          <w:rtl/>
        </w:rPr>
        <w:t xml:space="preserve"> </w:t>
      </w:r>
      <w:r w:rsidRPr="005E1F3B">
        <w:rPr>
          <w:rFonts w:ascii="DBS-Torah" w:hint="eastAsia"/>
          <w:b/>
          <w:bCs/>
          <w:rtl/>
        </w:rPr>
        <w:t>הסיוע</w:t>
      </w:r>
      <w:r w:rsidRPr="005E1F3B">
        <w:rPr>
          <w:rFonts w:ascii="DBS-Torah"/>
          <w:b/>
          <w:bCs/>
          <w:rtl/>
        </w:rPr>
        <w:t xml:space="preserve"> </w:t>
      </w:r>
      <w:r w:rsidRPr="005E1F3B">
        <w:rPr>
          <w:rFonts w:ascii="DBS-Torah" w:hint="eastAsia"/>
          <w:b/>
          <w:bCs/>
          <w:rtl/>
        </w:rPr>
        <w:t>של</w:t>
      </w:r>
      <w:r w:rsidRPr="005E1F3B">
        <w:rPr>
          <w:rFonts w:ascii="DBS-Torah"/>
          <w:b/>
          <w:bCs/>
          <w:rtl/>
        </w:rPr>
        <w:t xml:space="preserve"> </w:t>
      </w:r>
      <w:r w:rsidRPr="005E1F3B">
        <w:rPr>
          <w:rFonts w:ascii="DBS-Torah" w:hint="eastAsia"/>
          <w:b/>
          <w:bCs/>
          <w:rtl/>
        </w:rPr>
        <w:t>משרד</w:t>
      </w:r>
      <w:r w:rsidRPr="005E1F3B">
        <w:rPr>
          <w:rFonts w:ascii="DBS-Torah"/>
          <w:b/>
          <w:bCs/>
          <w:rtl/>
        </w:rPr>
        <w:t xml:space="preserve"> </w:t>
      </w:r>
      <w:r w:rsidRPr="005E1F3B">
        <w:rPr>
          <w:rFonts w:ascii="DBS-Torah" w:hint="eastAsia"/>
          <w:b/>
          <w:bCs/>
          <w:rtl/>
        </w:rPr>
        <w:t>הבינוי</w:t>
      </w:r>
      <w:r w:rsidRPr="005E1F3B">
        <w:rPr>
          <w:rFonts w:ascii="DBS-Torah"/>
          <w:b/>
          <w:bCs/>
          <w:rtl/>
        </w:rPr>
        <w:t xml:space="preserve"> </w:t>
      </w:r>
      <w:r w:rsidRPr="005E1F3B">
        <w:rPr>
          <w:rFonts w:ascii="DBS-Torah" w:hint="eastAsia"/>
          <w:b/>
          <w:bCs/>
          <w:rtl/>
        </w:rPr>
        <w:t>והשיכון</w:t>
      </w:r>
      <w:r>
        <w:rPr>
          <w:rFonts w:ascii="DBS-Torah" w:hint="cs"/>
          <w:rtl/>
        </w:rPr>
        <w:t xml:space="preserve"> </w:t>
      </w:r>
      <w:r>
        <w:rPr>
          <w:rFonts w:asciiTheme="minorHAnsi" w:hAnsiTheme="minorHAnsi" w:hint="eastAsia"/>
        </w:rPr>
        <w:t>–</w:t>
      </w:r>
      <w:r w:rsidRPr="005E1F3B">
        <w:rPr>
          <w:rFonts w:ascii="DBS-Torah"/>
          <w:rtl/>
        </w:rPr>
        <w:t xml:space="preserve"> במסגרת מאמצי הממשלה להגדלת היצע הדיור, וב</w:t>
      </w:r>
      <w:r>
        <w:rPr>
          <w:rFonts w:ascii="DBS-Torah" w:hint="cs"/>
          <w:rtl/>
        </w:rPr>
        <w:t>מיוחד</w:t>
      </w:r>
      <w:r w:rsidRPr="005E1F3B">
        <w:rPr>
          <w:rFonts w:ascii="DBS-Torah"/>
          <w:rtl/>
        </w:rPr>
        <w:t xml:space="preserve"> במסגרת ת</w:t>
      </w:r>
      <w:r>
        <w:rPr>
          <w:rFonts w:ascii="DBS-Torah" w:hint="cs"/>
          <w:rtl/>
        </w:rPr>
        <w:t>ו</w:t>
      </w:r>
      <w:r w:rsidRPr="005E1F3B">
        <w:rPr>
          <w:rFonts w:ascii="DBS-Torah"/>
          <w:rtl/>
        </w:rPr>
        <w:t xml:space="preserve">כנית מחיר למשתכן – </w:t>
      </w:r>
      <w:r>
        <w:rPr>
          <w:rFonts w:ascii="DBS-Torah" w:hint="cs"/>
          <w:rtl/>
        </w:rPr>
        <w:t>שבה</w:t>
      </w:r>
      <w:r w:rsidRPr="005E1F3B">
        <w:rPr>
          <w:rFonts w:ascii="DBS-Torah"/>
          <w:rtl/>
        </w:rPr>
        <w:t xml:space="preserve"> ניתנים מענקי רכישה, וכן </w:t>
      </w:r>
      <w:r>
        <w:rPr>
          <w:rFonts w:ascii="DBS-Torah" w:hint="cs"/>
          <w:rtl/>
        </w:rPr>
        <w:t>בשל</w:t>
      </w:r>
      <w:r w:rsidRPr="005E1F3B">
        <w:rPr>
          <w:rFonts w:ascii="DBS-Torah"/>
          <w:rtl/>
        </w:rPr>
        <w:t xml:space="preserve"> </w:t>
      </w:r>
      <w:r>
        <w:rPr>
          <w:rFonts w:ascii="DBS-Torah" w:hint="cs"/>
          <w:rtl/>
        </w:rPr>
        <w:t>ה</w:t>
      </w:r>
      <w:r w:rsidRPr="005E1F3B">
        <w:rPr>
          <w:rFonts w:ascii="DBS-Torah"/>
          <w:rtl/>
        </w:rPr>
        <w:t>גידול בקצב מימוש הסיוע בשכר דירה</w:t>
      </w:r>
      <w:r w:rsidRPr="00CC65BD">
        <w:rPr>
          <w:rFonts w:ascii="DBS-Torah"/>
          <w:rtl/>
        </w:rPr>
        <w:t xml:space="preserve"> </w:t>
      </w:r>
      <w:r w:rsidRPr="005E1F3B">
        <w:rPr>
          <w:rFonts w:ascii="DBS-Torah"/>
          <w:rtl/>
        </w:rPr>
        <w:t xml:space="preserve">בשנת </w:t>
      </w:r>
      <w:r w:rsidRPr="00CC65BD">
        <w:rPr>
          <w:rFonts w:ascii="DBS-Torah"/>
          <w:rtl/>
        </w:rPr>
        <w:t>2017</w:t>
      </w:r>
      <w:r w:rsidRPr="005E1F3B">
        <w:rPr>
          <w:rFonts w:ascii="DBS-Torah"/>
          <w:rtl/>
        </w:rPr>
        <w:t xml:space="preserve">, חל גידול בתקציבי הסיוע של המשרד. </w:t>
      </w:r>
    </w:p>
    <w:p w:rsidR="00DC4053" w:rsidRPr="005E1F3B" w:rsidRDefault="00DC4053" w:rsidP="00DC4053">
      <w:pPr>
        <w:tabs>
          <w:tab w:val="left" w:pos="340"/>
        </w:tabs>
        <w:suppressAutoHyphens/>
        <w:autoSpaceDE w:val="0"/>
        <w:autoSpaceDN w:val="0"/>
        <w:adjustRightInd w:val="0"/>
        <w:ind w:left="720"/>
        <w:contextualSpacing/>
        <w:textAlignment w:val="center"/>
        <w:rPr>
          <w:rFonts w:ascii="DBS-Torah"/>
          <w:b/>
          <w:bCs/>
          <w:rtl/>
        </w:rPr>
      </w:pPr>
    </w:p>
    <w:p w:rsidR="00DC4053" w:rsidRPr="00E8585E" w:rsidRDefault="00DC4053" w:rsidP="00DC4053">
      <w:pPr>
        <w:tabs>
          <w:tab w:val="left" w:pos="340"/>
        </w:tabs>
        <w:suppressAutoHyphens/>
        <w:autoSpaceDE w:val="0"/>
        <w:autoSpaceDN w:val="0"/>
        <w:adjustRightInd w:val="0"/>
        <w:ind w:left="720"/>
        <w:contextualSpacing/>
        <w:textAlignment w:val="center"/>
        <w:rPr>
          <w:rFonts w:ascii="DBS-Torah"/>
          <w:b/>
          <w:bCs/>
        </w:rPr>
      </w:pPr>
      <w:r w:rsidRPr="00E8585E">
        <w:rPr>
          <w:rFonts w:ascii="DBS-Torah" w:hint="eastAsia"/>
          <w:b/>
          <w:bCs/>
          <w:rtl/>
        </w:rPr>
        <w:t>ביחס</w:t>
      </w:r>
      <w:r w:rsidRPr="00E8585E">
        <w:rPr>
          <w:rFonts w:ascii="DBS-Torah"/>
          <w:b/>
          <w:bCs/>
          <w:rtl/>
        </w:rPr>
        <w:t xml:space="preserve"> </w:t>
      </w:r>
      <w:r w:rsidRPr="00E8585E">
        <w:rPr>
          <w:rFonts w:ascii="DBS-Torah" w:hint="eastAsia"/>
          <w:b/>
          <w:bCs/>
          <w:rtl/>
        </w:rPr>
        <w:t>לפרסום</w:t>
      </w:r>
      <w:r w:rsidRPr="00E8585E">
        <w:rPr>
          <w:rFonts w:ascii="DBS-Torah"/>
          <w:b/>
          <w:bCs/>
          <w:rtl/>
        </w:rPr>
        <w:t xml:space="preserve"> </w:t>
      </w:r>
      <w:r w:rsidRPr="00E8585E">
        <w:rPr>
          <w:rFonts w:ascii="DBS-Torah" w:hint="eastAsia"/>
          <w:b/>
          <w:bCs/>
          <w:rtl/>
        </w:rPr>
        <w:t>הקודם</w:t>
      </w:r>
      <w:r w:rsidRPr="00E8585E">
        <w:rPr>
          <w:rFonts w:ascii="DBS-Torah"/>
          <w:b/>
          <w:bCs/>
          <w:rtl/>
        </w:rPr>
        <w:t xml:space="preserve">, </w:t>
      </w:r>
      <w:r w:rsidRPr="00E8585E">
        <w:rPr>
          <w:rFonts w:ascii="DBS-Torah" w:hint="eastAsia"/>
          <w:b/>
          <w:bCs/>
          <w:rtl/>
        </w:rPr>
        <w:t>השינוי</w:t>
      </w:r>
      <w:r w:rsidRPr="00E8585E">
        <w:rPr>
          <w:rFonts w:ascii="DBS-Torah"/>
          <w:b/>
          <w:bCs/>
          <w:rtl/>
        </w:rPr>
        <w:t xml:space="preserve"> </w:t>
      </w:r>
      <w:r w:rsidRPr="00E8585E">
        <w:rPr>
          <w:rFonts w:ascii="DBS-Torah" w:hint="eastAsia"/>
          <w:b/>
          <w:bCs/>
          <w:rtl/>
        </w:rPr>
        <w:t>העיקרי</w:t>
      </w:r>
      <w:r w:rsidRPr="00E8585E">
        <w:rPr>
          <w:rFonts w:ascii="DBS-Torah"/>
          <w:b/>
          <w:bCs/>
          <w:rtl/>
        </w:rPr>
        <w:t xml:space="preserve"> </w:t>
      </w:r>
      <w:r w:rsidRPr="00E8585E">
        <w:rPr>
          <w:rFonts w:ascii="DBS-Torah" w:hint="eastAsia"/>
          <w:b/>
          <w:bCs/>
          <w:rtl/>
        </w:rPr>
        <w:t>בקבוצת</w:t>
      </w:r>
      <w:r w:rsidRPr="00E8585E">
        <w:rPr>
          <w:rFonts w:ascii="DBS-Torah"/>
          <w:b/>
          <w:bCs/>
          <w:rtl/>
        </w:rPr>
        <w:t xml:space="preserve"> </w:t>
      </w:r>
      <w:r w:rsidRPr="00E8585E">
        <w:rPr>
          <w:rFonts w:ascii="DBS-Torah" w:hint="eastAsia"/>
          <w:b/>
          <w:bCs/>
          <w:rtl/>
        </w:rPr>
        <w:t>משרדים</w:t>
      </w:r>
      <w:r w:rsidRPr="00E8585E">
        <w:rPr>
          <w:rFonts w:ascii="DBS-Torah"/>
          <w:b/>
          <w:bCs/>
          <w:rtl/>
        </w:rPr>
        <w:t xml:space="preserve"> </w:t>
      </w:r>
      <w:r w:rsidRPr="00E8585E">
        <w:rPr>
          <w:rFonts w:ascii="DBS-Torah" w:hint="eastAsia"/>
          <w:b/>
          <w:bCs/>
          <w:rtl/>
        </w:rPr>
        <w:t>זו</w:t>
      </w:r>
      <w:r w:rsidRPr="00E8585E">
        <w:rPr>
          <w:rFonts w:ascii="DBS-Torah"/>
          <w:b/>
          <w:bCs/>
          <w:rtl/>
        </w:rPr>
        <w:t xml:space="preserve"> </w:t>
      </w:r>
      <w:r w:rsidRPr="00E8585E">
        <w:rPr>
          <w:rFonts w:ascii="DBS-Torah" w:hint="eastAsia"/>
          <w:b/>
          <w:bCs/>
          <w:rtl/>
        </w:rPr>
        <w:t>הוא</w:t>
      </w:r>
      <w:r w:rsidRPr="00E8585E">
        <w:rPr>
          <w:rFonts w:ascii="DBS-Torah"/>
          <w:b/>
          <w:bCs/>
          <w:rtl/>
        </w:rPr>
        <w:t>:</w:t>
      </w:r>
    </w:p>
    <w:p w:rsidR="00087F01" w:rsidRDefault="00DC4053" w:rsidP="003A4447">
      <w:pPr>
        <w:pStyle w:val="a7"/>
        <w:numPr>
          <w:ilvl w:val="0"/>
          <w:numId w:val="11"/>
        </w:numPr>
      </w:pPr>
      <w:r w:rsidRPr="00E8585E">
        <w:rPr>
          <w:rFonts w:hint="eastAsia"/>
          <w:rtl/>
        </w:rPr>
        <w:t>ההוצאה</w:t>
      </w:r>
      <w:r>
        <w:rPr>
          <w:rFonts w:hint="cs"/>
          <w:rtl/>
        </w:rPr>
        <w:t xml:space="preserve"> הצפויה</w:t>
      </w:r>
      <w:r w:rsidRPr="00E8585E">
        <w:rPr>
          <w:rtl/>
        </w:rPr>
        <w:t xml:space="preserve"> על </w:t>
      </w:r>
      <w:r w:rsidRPr="007D035D">
        <w:rPr>
          <w:rFonts w:hint="eastAsia"/>
          <w:b/>
          <w:bCs/>
          <w:rtl/>
        </w:rPr>
        <w:t>תקציב</w:t>
      </w:r>
      <w:r w:rsidRPr="007D035D">
        <w:rPr>
          <w:b/>
          <w:bCs/>
          <w:rtl/>
        </w:rPr>
        <w:t xml:space="preserve"> </w:t>
      </w:r>
      <w:r w:rsidRPr="007D035D">
        <w:rPr>
          <w:rFonts w:hint="eastAsia"/>
          <w:b/>
          <w:bCs/>
          <w:rtl/>
        </w:rPr>
        <w:t>פיתוח</w:t>
      </w:r>
      <w:r w:rsidRPr="007D035D">
        <w:rPr>
          <w:b/>
          <w:bCs/>
          <w:rtl/>
        </w:rPr>
        <w:t xml:space="preserve"> </w:t>
      </w:r>
      <w:r w:rsidRPr="007D035D">
        <w:rPr>
          <w:rFonts w:hint="eastAsia"/>
          <w:b/>
          <w:bCs/>
          <w:rtl/>
        </w:rPr>
        <w:t>התחבורה</w:t>
      </w:r>
      <w:r w:rsidRPr="007D035D">
        <w:rPr>
          <w:b/>
          <w:bCs/>
          <w:rtl/>
        </w:rPr>
        <w:t xml:space="preserve"> </w:t>
      </w:r>
      <w:r w:rsidRPr="007D035D">
        <w:rPr>
          <w:rFonts w:hint="eastAsia"/>
          <w:b/>
          <w:bCs/>
          <w:rtl/>
        </w:rPr>
        <w:t>והתחבורה</w:t>
      </w:r>
      <w:r w:rsidRPr="007D035D">
        <w:rPr>
          <w:b/>
          <w:bCs/>
          <w:rtl/>
        </w:rPr>
        <w:t xml:space="preserve"> הציבורית </w:t>
      </w:r>
      <w:r w:rsidR="00274DB0">
        <w:rPr>
          <w:rFonts w:hint="cs"/>
          <w:rtl/>
        </w:rPr>
        <w:t xml:space="preserve">גדלה בממוצע </w:t>
      </w:r>
      <w:r w:rsidR="00793B0D" w:rsidRPr="00ED1F1E">
        <w:rPr>
          <w:rFonts w:hint="eastAsia"/>
          <w:rtl/>
        </w:rPr>
        <w:t>בכל</w:t>
      </w:r>
      <w:r w:rsidR="00793B0D" w:rsidRPr="00ED1F1E">
        <w:rPr>
          <w:rtl/>
        </w:rPr>
        <w:t xml:space="preserve"> </w:t>
      </w:r>
      <w:r w:rsidR="00793B0D" w:rsidRPr="00ED1F1E">
        <w:rPr>
          <w:rFonts w:hint="eastAsia"/>
          <w:rtl/>
        </w:rPr>
        <w:t>אחת</w:t>
      </w:r>
      <w:r w:rsidR="00793B0D" w:rsidRPr="00ED1F1E">
        <w:rPr>
          <w:rtl/>
        </w:rPr>
        <w:t xml:space="preserve"> </w:t>
      </w:r>
      <w:r w:rsidR="00793B0D" w:rsidRPr="00ED1F1E">
        <w:rPr>
          <w:rFonts w:hint="eastAsia"/>
          <w:rtl/>
        </w:rPr>
        <w:t>מהשנים</w:t>
      </w:r>
      <w:r w:rsidR="001B7554">
        <w:rPr>
          <w:rFonts w:hint="cs"/>
          <w:rtl/>
        </w:rPr>
        <w:t xml:space="preserve"> 2020-2022</w:t>
      </w:r>
      <w:r w:rsidR="00793B0D" w:rsidRPr="00ED1F1E">
        <w:rPr>
          <w:rtl/>
        </w:rPr>
        <w:t xml:space="preserve">, </w:t>
      </w:r>
      <w:r w:rsidR="00046FE6">
        <w:rPr>
          <w:rFonts w:hint="cs"/>
          <w:rtl/>
        </w:rPr>
        <w:t>ב-1.5 מיליארד ש"ח</w:t>
      </w:r>
      <w:r w:rsidR="002C4195">
        <w:rPr>
          <w:rFonts w:hint="cs"/>
          <w:rtl/>
        </w:rPr>
        <w:t>,</w:t>
      </w:r>
      <w:r w:rsidR="00046FE6">
        <w:rPr>
          <w:rFonts w:hint="cs"/>
          <w:rtl/>
        </w:rPr>
        <w:t xml:space="preserve"> </w:t>
      </w:r>
      <w:r w:rsidR="00793B0D" w:rsidRPr="00ED1F1E">
        <w:rPr>
          <w:rFonts w:hint="eastAsia"/>
          <w:rtl/>
        </w:rPr>
        <w:t>בין</w:t>
      </w:r>
      <w:r w:rsidR="00793B0D" w:rsidRPr="00ED1F1E">
        <w:rPr>
          <w:rtl/>
        </w:rPr>
        <w:t xml:space="preserve"> </w:t>
      </w:r>
      <w:r w:rsidR="00793B0D" w:rsidRPr="00ED1F1E">
        <w:rPr>
          <w:rFonts w:hint="eastAsia"/>
          <w:rtl/>
        </w:rPr>
        <w:t>היתר</w:t>
      </w:r>
      <w:r w:rsidR="002C4195">
        <w:rPr>
          <w:rFonts w:hint="cs"/>
          <w:rtl/>
        </w:rPr>
        <w:t>,</w:t>
      </w:r>
      <w:r w:rsidR="00793B0D" w:rsidRPr="00ED1F1E">
        <w:rPr>
          <w:rtl/>
        </w:rPr>
        <w:t xml:space="preserve"> </w:t>
      </w:r>
      <w:r w:rsidR="00793B0D" w:rsidRPr="00ED1F1E">
        <w:rPr>
          <w:rFonts w:hint="eastAsia"/>
          <w:rtl/>
        </w:rPr>
        <w:t>בעקבות</w:t>
      </w:r>
      <w:r w:rsidR="00793B0D" w:rsidRPr="00ED1F1E">
        <w:rPr>
          <w:rtl/>
        </w:rPr>
        <w:t xml:space="preserve"> </w:t>
      </w:r>
      <w:r w:rsidR="0082195B">
        <w:rPr>
          <w:rFonts w:hint="cs"/>
          <w:rtl/>
        </w:rPr>
        <w:t xml:space="preserve">שינויים בתזרים עקב </w:t>
      </w:r>
      <w:r w:rsidR="00793B0D" w:rsidRPr="00ED1F1E">
        <w:rPr>
          <w:rtl/>
        </w:rPr>
        <w:t xml:space="preserve">האצת ביצוע </w:t>
      </w:r>
      <w:r w:rsidR="002B193F">
        <w:rPr>
          <w:rFonts w:hint="cs"/>
          <w:rtl/>
        </w:rPr>
        <w:t xml:space="preserve">של כמה </w:t>
      </w:r>
      <w:r w:rsidR="0082195B">
        <w:rPr>
          <w:rFonts w:hint="cs"/>
          <w:rtl/>
        </w:rPr>
        <w:t>פרוייקטי</w:t>
      </w:r>
      <w:r w:rsidR="002B193F">
        <w:rPr>
          <w:rFonts w:hint="cs"/>
          <w:rtl/>
        </w:rPr>
        <w:t xml:space="preserve">ם רכבתיים ובניהם </w:t>
      </w:r>
      <w:r w:rsidR="00793B0D" w:rsidRPr="00ED1F1E">
        <w:rPr>
          <w:rtl/>
        </w:rPr>
        <w:t>"המסילה המזרחית"</w:t>
      </w:r>
      <w:r w:rsidR="00BE3FD1">
        <w:rPr>
          <w:rFonts w:hint="cs"/>
          <w:rtl/>
        </w:rPr>
        <w:t>,</w:t>
      </w:r>
      <w:r w:rsidR="00793B0D" w:rsidRPr="00ED1F1E">
        <w:rPr>
          <w:rtl/>
        </w:rPr>
        <w:t xml:space="preserve"> המסילה הרביעית באיילון</w:t>
      </w:r>
      <w:r w:rsidR="00BE3FD1">
        <w:rPr>
          <w:rFonts w:hint="cs"/>
          <w:rtl/>
        </w:rPr>
        <w:t xml:space="preserve"> והאיחור בפרויקט חשמול הרכבת</w:t>
      </w:r>
      <w:r w:rsidR="00793B0D" w:rsidRPr="00ED1F1E">
        <w:rPr>
          <w:rtl/>
        </w:rPr>
        <w:t xml:space="preserve">. </w:t>
      </w:r>
      <w:r w:rsidR="00087F01">
        <w:rPr>
          <w:rFonts w:hint="cs"/>
          <w:rtl/>
        </w:rPr>
        <w:t xml:space="preserve">האצת הביצוע התאפשרה </w:t>
      </w:r>
      <w:r w:rsidR="00793B0D" w:rsidRPr="00ED1F1E">
        <w:rPr>
          <w:rtl/>
        </w:rPr>
        <w:t xml:space="preserve">בין היתר בעקבות תיקונים במסגרת </w:t>
      </w:r>
      <w:r w:rsidR="00087F01">
        <w:rPr>
          <w:rFonts w:hint="cs"/>
          <w:rtl/>
        </w:rPr>
        <w:t xml:space="preserve">התכנית הכלכלית במסגרת </w:t>
      </w:r>
      <w:r w:rsidR="00940076">
        <w:rPr>
          <w:rFonts w:hint="cs"/>
          <w:rtl/>
        </w:rPr>
        <w:t xml:space="preserve">תקציב המדינה 2019 </w:t>
      </w:r>
      <w:r w:rsidR="00793B0D" w:rsidRPr="00ED1F1E">
        <w:rPr>
          <w:rFonts w:hint="eastAsia"/>
          <w:rtl/>
        </w:rPr>
        <w:t>ש</w:t>
      </w:r>
      <w:r w:rsidR="00087F01">
        <w:rPr>
          <w:rFonts w:hint="cs"/>
          <w:rtl/>
        </w:rPr>
        <w:t xml:space="preserve">יצרו </w:t>
      </w:r>
      <w:r w:rsidR="00793B0D" w:rsidRPr="00ED1F1E">
        <w:rPr>
          <w:rFonts w:hint="eastAsia"/>
          <w:rtl/>
        </w:rPr>
        <w:t>את</w:t>
      </w:r>
      <w:r w:rsidR="00793B0D" w:rsidRPr="00ED1F1E">
        <w:rPr>
          <w:rtl/>
        </w:rPr>
        <w:t xml:space="preserve"> </w:t>
      </w:r>
      <w:r w:rsidR="00793B0D" w:rsidRPr="00ED1F1E">
        <w:rPr>
          <w:rFonts w:hint="eastAsia"/>
          <w:rtl/>
        </w:rPr>
        <w:t>התנאים</w:t>
      </w:r>
      <w:r w:rsidR="00793B0D" w:rsidRPr="00ED1F1E">
        <w:rPr>
          <w:rtl/>
        </w:rPr>
        <w:t xml:space="preserve"> </w:t>
      </w:r>
      <w:r w:rsidR="00793B0D" w:rsidRPr="00ED1F1E">
        <w:rPr>
          <w:rFonts w:hint="eastAsia"/>
          <w:rtl/>
        </w:rPr>
        <w:t>לביצוע</w:t>
      </w:r>
      <w:r w:rsidR="00793B0D" w:rsidRPr="00ED1F1E">
        <w:rPr>
          <w:rtl/>
        </w:rPr>
        <w:t xml:space="preserve"> </w:t>
      </w:r>
      <w:r w:rsidR="00793B0D" w:rsidRPr="00ED1F1E">
        <w:rPr>
          <w:rFonts w:hint="eastAsia"/>
          <w:rtl/>
        </w:rPr>
        <w:t>הפרוייקט</w:t>
      </w:r>
      <w:r w:rsidR="00793B0D" w:rsidRPr="00ED1F1E">
        <w:rPr>
          <w:rtl/>
        </w:rPr>
        <w:t xml:space="preserve"> </w:t>
      </w:r>
      <w:r w:rsidR="00793B0D" w:rsidRPr="00ED1F1E">
        <w:rPr>
          <w:rFonts w:hint="eastAsia"/>
          <w:rtl/>
        </w:rPr>
        <w:t>בלוחות</w:t>
      </w:r>
      <w:r w:rsidR="00793B0D" w:rsidRPr="00ED1F1E">
        <w:rPr>
          <w:rtl/>
        </w:rPr>
        <w:t xml:space="preserve"> </w:t>
      </w:r>
      <w:r w:rsidR="00793B0D" w:rsidRPr="00ED1F1E">
        <w:rPr>
          <w:rFonts w:hint="eastAsia"/>
          <w:rtl/>
        </w:rPr>
        <w:t>הזמנים</w:t>
      </w:r>
      <w:r w:rsidR="00793B0D" w:rsidRPr="007D035D">
        <w:rPr>
          <w:rFonts w:hint="cs"/>
          <w:b/>
          <w:bCs/>
          <w:rtl/>
        </w:rPr>
        <w:t>.</w:t>
      </w:r>
      <w:r w:rsidR="00087F01">
        <w:rPr>
          <w:rFonts w:hint="cs"/>
          <w:rtl/>
        </w:rPr>
        <w:t xml:space="preserve"> פריסת המזומן בגין פרוייקט הרכבת הקלה "הקו הירוק" בגוש דן השתנתה אף היא בשל שינויים באסטרטגיית הביצוע. במסגרת השינויים הוחלט על הקדמת פרסום מכרז המנהור בתוואי. </w:t>
      </w:r>
      <w:r w:rsidR="00793B0D" w:rsidRPr="000F4B1B">
        <w:rPr>
          <w:rtl/>
        </w:rPr>
        <w:t>י</w:t>
      </w:r>
      <w:r w:rsidR="00793B0D" w:rsidRPr="00934A29">
        <w:rPr>
          <w:rtl/>
        </w:rPr>
        <w:t>צ</w:t>
      </w:r>
      <w:r w:rsidR="00793B0D" w:rsidRPr="000F4B1B">
        <w:rPr>
          <w:rFonts w:hint="cs"/>
          <w:rtl/>
        </w:rPr>
        <w:t>וי</w:t>
      </w:r>
      <w:r w:rsidR="00793B0D" w:rsidRPr="00934A29">
        <w:rPr>
          <w:rtl/>
        </w:rPr>
        <w:t xml:space="preserve">ן כי </w:t>
      </w:r>
      <w:r w:rsidR="00793B0D" w:rsidRPr="000F4B1B">
        <w:rPr>
          <w:rFonts w:hint="cs"/>
          <w:rtl/>
        </w:rPr>
        <w:t>התזרימים</w:t>
      </w:r>
      <w:r w:rsidR="00793B0D" w:rsidRPr="000F4B1B">
        <w:rPr>
          <w:rtl/>
        </w:rPr>
        <w:t xml:space="preserve"> </w:t>
      </w:r>
      <w:r w:rsidR="00793B0D" w:rsidRPr="00934A29">
        <w:rPr>
          <w:rtl/>
        </w:rPr>
        <w:t>ב</w:t>
      </w:r>
      <w:r w:rsidR="00793B0D" w:rsidRPr="000F4B1B">
        <w:rPr>
          <w:rFonts w:hint="cs"/>
          <w:rtl/>
        </w:rPr>
        <w:t>פרויקטי</w:t>
      </w:r>
      <w:r w:rsidR="00793B0D" w:rsidRPr="000F4B1B">
        <w:rPr>
          <w:rtl/>
        </w:rPr>
        <w:t xml:space="preserve"> </w:t>
      </w:r>
      <w:r w:rsidR="00793B0D" w:rsidRPr="000F4B1B">
        <w:rPr>
          <w:rFonts w:hint="cs"/>
          <w:rtl/>
        </w:rPr>
        <w:t>פיתוח</w:t>
      </w:r>
      <w:r w:rsidR="00793B0D" w:rsidRPr="000F4B1B">
        <w:rPr>
          <w:rtl/>
        </w:rPr>
        <w:t xml:space="preserve"> </w:t>
      </w:r>
      <w:r w:rsidR="00793B0D" w:rsidRPr="000F4B1B">
        <w:rPr>
          <w:rFonts w:hint="cs"/>
          <w:rtl/>
        </w:rPr>
        <w:t>בתחום</w:t>
      </w:r>
      <w:r w:rsidR="00793B0D" w:rsidRPr="000F4B1B">
        <w:rPr>
          <w:rtl/>
        </w:rPr>
        <w:t xml:space="preserve"> </w:t>
      </w:r>
      <w:r w:rsidR="00793B0D" w:rsidRPr="000F4B1B">
        <w:rPr>
          <w:rFonts w:hint="cs"/>
          <w:rtl/>
        </w:rPr>
        <w:t>הוצאה</w:t>
      </w:r>
      <w:r w:rsidR="00793B0D" w:rsidRPr="000F4B1B">
        <w:rPr>
          <w:rtl/>
        </w:rPr>
        <w:t xml:space="preserve"> </w:t>
      </w:r>
      <w:r w:rsidR="00793B0D" w:rsidRPr="000F4B1B">
        <w:rPr>
          <w:rFonts w:hint="cs"/>
          <w:rtl/>
        </w:rPr>
        <w:t>זה</w:t>
      </w:r>
      <w:r w:rsidR="00793B0D" w:rsidRPr="000F4B1B">
        <w:rPr>
          <w:rtl/>
        </w:rPr>
        <w:t xml:space="preserve"> </w:t>
      </w:r>
      <w:r w:rsidR="00793B0D" w:rsidRPr="000F4B1B">
        <w:rPr>
          <w:rFonts w:hint="cs"/>
          <w:rtl/>
        </w:rPr>
        <w:t>מ</w:t>
      </w:r>
      <w:r w:rsidR="00793B0D" w:rsidRPr="000F4B1B">
        <w:rPr>
          <w:rtl/>
        </w:rPr>
        <w:t>אופיי</w:t>
      </w:r>
      <w:r w:rsidR="00793B0D" w:rsidRPr="000F4B1B">
        <w:rPr>
          <w:rFonts w:hint="cs"/>
          <w:rtl/>
        </w:rPr>
        <w:t>נים</w:t>
      </w:r>
      <w:r w:rsidR="00793B0D" w:rsidRPr="00934A29">
        <w:rPr>
          <w:rtl/>
        </w:rPr>
        <w:t xml:space="preserve"> בתנודתיות רבה </w:t>
      </w:r>
      <w:r w:rsidR="00793B0D">
        <w:rPr>
          <w:rFonts w:hint="cs"/>
          <w:rtl/>
        </w:rPr>
        <w:t>ה</w:t>
      </w:r>
      <w:r w:rsidR="00793B0D" w:rsidRPr="00934A29">
        <w:rPr>
          <w:rtl/>
        </w:rPr>
        <w:t xml:space="preserve">נובעת ממשתנים </w:t>
      </w:r>
      <w:r w:rsidR="00793B0D" w:rsidRPr="00934A29">
        <w:rPr>
          <w:rFonts w:hint="eastAsia"/>
          <w:rtl/>
        </w:rPr>
        <w:t>רבים</w:t>
      </w:r>
      <w:r w:rsidR="00793B0D" w:rsidRPr="00934A29">
        <w:rPr>
          <w:rtl/>
        </w:rPr>
        <w:t>.</w:t>
      </w:r>
      <w:r w:rsidR="00DC0A6E">
        <w:rPr>
          <w:rFonts w:hint="cs"/>
          <w:rtl/>
        </w:rPr>
        <w:t xml:space="preserve"> </w:t>
      </w:r>
    </w:p>
    <w:p w:rsidR="007D035D" w:rsidRDefault="00B80BB1" w:rsidP="0000195F">
      <w:pPr>
        <w:pStyle w:val="a7"/>
        <w:numPr>
          <w:ilvl w:val="0"/>
          <w:numId w:val="11"/>
        </w:numPr>
      </w:pPr>
      <w:r>
        <w:rPr>
          <w:rFonts w:hint="cs"/>
          <w:rtl/>
        </w:rPr>
        <w:t>ההוצאה על הסובסידיה למפעילי התחבורה הציבורית גדלה בשל צמצום הסדר הסולר שאושר בפברואר 2018</w:t>
      </w:r>
      <w:r w:rsidR="00553A43">
        <w:rPr>
          <w:rFonts w:hint="cs"/>
          <w:rtl/>
        </w:rPr>
        <w:t xml:space="preserve"> במהלך דיוני תקציב המדינה לשנת 2019</w:t>
      </w:r>
      <w:r>
        <w:rPr>
          <w:rFonts w:hint="cs"/>
          <w:rtl/>
        </w:rPr>
        <w:t xml:space="preserve">. צמצום ההסדר הביא לגידול בהוצאה של המפעילים על תשלומי מסים שהיקפו לא נלקח בחשבון </w:t>
      </w:r>
      <w:r w:rsidR="0000195F">
        <w:rPr>
          <w:rFonts w:hint="cs"/>
          <w:rtl/>
        </w:rPr>
        <w:t>באופן מלא</w:t>
      </w:r>
      <w:r>
        <w:rPr>
          <w:rFonts w:hint="cs"/>
          <w:rtl/>
        </w:rPr>
        <w:t xml:space="preserve">. </w:t>
      </w:r>
    </w:p>
    <w:p w:rsidR="00C711B2" w:rsidRDefault="009940C5" w:rsidP="00272BD3">
      <w:pPr>
        <w:pStyle w:val="a7"/>
        <w:numPr>
          <w:ilvl w:val="0"/>
          <w:numId w:val="11"/>
        </w:numPr>
      </w:pPr>
      <w:r>
        <w:rPr>
          <w:rFonts w:hint="cs"/>
          <w:rtl/>
        </w:rPr>
        <w:t xml:space="preserve">ההוצאה </w:t>
      </w:r>
      <w:r w:rsidR="00274DB0">
        <w:rPr>
          <w:rFonts w:hint="cs"/>
          <w:rtl/>
        </w:rPr>
        <w:t xml:space="preserve">הצפויה </w:t>
      </w:r>
      <w:r>
        <w:rPr>
          <w:rFonts w:hint="cs"/>
          <w:rtl/>
        </w:rPr>
        <w:t xml:space="preserve">על </w:t>
      </w:r>
      <w:r w:rsidRPr="009940C5">
        <w:rPr>
          <w:rFonts w:hint="cs"/>
          <w:b/>
          <w:bCs/>
          <w:rtl/>
        </w:rPr>
        <w:t xml:space="preserve">תקציבי הפיתוח של </w:t>
      </w:r>
      <w:r w:rsidR="00B338A9">
        <w:rPr>
          <w:rFonts w:hint="cs"/>
          <w:b/>
          <w:bCs/>
          <w:rtl/>
        </w:rPr>
        <w:t xml:space="preserve">משרד השיכון </w:t>
      </w:r>
      <w:r w:rsidR="00274DB0" w:rsidRPr="00A34826">
        <w:rPr>
          <w:rFonts w:hint="eastAsia"/>
          <w:rtl/>
        </w:rPr>
        <w:t>גדלה</w:t>
      </w:r>
      <w:r w:rsidR="00274DB0" w:rsidRPr="00A34826">
        <w:rPr>
          <w:rtl/>
        </w:rPr>
        <w:t xml:space="preserve"> </w:t>
      </w:r>
      <w:r w:rsidR="00274DB0" w:rsidRPr="00A34826">
        <w:rPr>
          <w:rFonts w:hint="eastAsia"/>
          <w:rtl/>
        </w:rPr>
        <w:t>בממוצע</w:t>
      </w:r>
      <w:r w:rsidR="00274DB0">
        <w:rPr>
          <w:rFonts w:hint="cs"/>
          <w:b/>
          <w:bCs/>
          <w:rtl/>
        </w:rPr>
        <w:t xml:space="preserve"> </w:t>
      </w:r>
      <w:r>
        <w:rPr>
          <w:rFonts w:hint="cs"/>
          <w:rtl/>
        </w:rPr>
        <w:t>בכל אחת מהשנים 2020-2022 ב</w:t>
      </w:r>
      <w:r w:rsidR="00B338A9">
        <w:rPr>
          <w:rFonts w:hint="cs"/>
          <w:rtl/>
        </w:rPr>
        <w:t xml:space="preserve">-0.6 </w:t>
      </w:r>
      <w:r>
        <w:rPr>
          <w:rFonts w:hint="cs"/>
          <w:rtl/>
        </w:rPr>
        <w:t xml:space="preserve">מיליארדי ש"ח. </w:t>
      </w:r>
      <w:r w:rsidR="00F91713">
        <w:rPr>
          <w:rFonts w:hint="cs"/>
          <w:rtl/>
        </w:rPr>
        <w:t xml:space="preserve">הגידול מוסבר </w:t>
      </w:r>
      <w:r>
        <w:rPr>
          <w:rFonts w:hint="cs"/>
          <w:rtl/>
        </w:rPr>
        <w:t xml:space="preserve">בעיקר בעקבות </w:t>
      </w:r>
      <w:r w:rsidR="00F76A5F">
        <w:rPr>
          <w:rFonts w:hint="cs"/>
          <w:rtl/>
        </w:rPr>
        <w:t xml:space="preserve">שינוי </w:t>
      </w:r>
      <w:r>
        <w:rPr>
          <w:rFonts w:hint="cs"/>
          <w:rtl/>
        </w:rPr>
        <w:t xml:space="preserve">פריסת </w:t>
      </w:r>
      <w:r w:rsidR="00F76A5F">
        <w:rPr>
          <w:rFonts w:hint="cs"/>
          <w:rtl/>
        </w:rPr>
        <w:t xml:space="preserve">התזרים בגין תשלומי </w:t>
      </w:r>
      <w:r>
        <w:rPr>
          <w:rFonts w:hint="cs"/>
          <w:rtl/>
        </w:rPr>
        <w:t>המענקים וסבסוד</w:t>
      </w:r>
      <w:r w:rsidR="00E92DA4">
        <w:rPr>
          <w:rFonts w:hint="cs"/>
          <w:rtl/>
        </w:rPr>
        <w:t xml:space="preserve"> הוצאות</w:t>
      </w:r>
      <w:r>
        <w:rPr>
          <w:rFonts w:hint="cs"/>
          <w:rtl/>
        </w:rPr>
        <w:t xml:space="preserve"> הפיתוח </w:t>
      </w:r>
      <w:r w:rsidR="00F76A5F">
        <w:rPr>
          <w:rFonts w:hint="cs"/>
          <w:rtl/>
        </w:rPr>
        <w:t>בתכנית "מחיר למשתכן"</w:t>
      </w:r>
      <w:r w:rsidR="00F91713">
        <w:rPr>
          <w:rFonts w:hint="cs"/>
          <w:rtl/>
        </w:rPr>
        <w:t>.</w:t>
      </w:r>
      <w:r w:rsidR="00F76A5F">
        <w:rPr>
          <w:rFonts w:hint="cs"/>
          <w:rtl/>
        </w:rPr>
        <w:t xml:space="preserve"> </w:t>
      </w:r>
      <w:r w:rsidR="00F91713">
        <w:rPr>
          <w:rFonts w:hint="cs"/>
          <w:rtl/>
        </w:rPr>
        <w:t>זאת לאחר ש</w:t>
      </w:r>
      <w:r w:rsidR="00E92DA4">
        <w:rPr>
          <w:rFonts w:hint="cs"/>
          <w:rtl/>
        </w:rPr>
        <w:t xml:space="preserve">נתוני </w:t>
      </w:r>
      <w:r w:rsidR="00F76A5F">
        <w:rPr>
          <w:rFonts w:hint="cs"/>
          <w:rtl/>
        </w:rPr>
        <w:t xml:space="preserve">ביצוע </w:t>
      </w:r>
      <w:r w:rsidR="00E92DA4">
        <w:rPr>
          <w:rFonts w:hint="cs"/>
          <w:rtl/>
        </w:rPr>
        <w:t xml:space="preserve">המזומן </w:t>
      </w:r>
      <w:r w:rsidR="00F76A5F">
        <w:rPr>
          <w:rFonts w:hint="cs"/>
          <w:rtl/>
        </w:rPr>
        <w:t xml:space="preserve">בפועל </w:t>
      </w:r>
      <w:r w:rsidR="00F91713">
        <w:rPr>
          <w:rFonts w:hint="cs"/>
          <w:rtl/>
        </w:rPr>
        <w:t xml:space="preserve">העלו כי </w:t>
      </w:r>
      <w:r w:rsidR="00F76A5F">
        <w:rPr>
          <w:rFonts w:hint="cs"/>
          <w:rtl/>
        </w:rPr>
        <w:t xml:space="preserve">המענקים משולמים לאחר פרק זמן ארוך </w:t>
      </w:r>
      <w:r w:rsidR="00E92DA4">
        <w:rPr>
          <w:rFonts w:hint="cs"/>
          <w:rtl/>
        </w:rPr>
        <w:t>יותר מאשר הוערך בפריס</w:t>
      </w:r>
      <w:r w:rsidR="007D69F9">
        <w:rPr>
          <w:rFonts w:hint="cs"/>
          <w:rtl/>
        </w:rPr>
        <w:t>ה התזרימית</w:t>
      </w:r>
      <w:r w:rsidR="00E92DA4">
        <w:rPr>
          <w:rFonts w:hint="cs"/>
          <w:rtl/>
        </w:rPr>
        <w:t xml:space="preserve"> המקורית</w:t>
      </w:r>
      <w:r w:rsidR="00F76A5F">
        <w:rPr>
          <w:rFonts w:hint="cs"/>
          <w:rtl/>
        </w:rPr>
        <w:t xml:space="preserve">. </w:t>
      </w:r>
    </w:p>
    <w:p w:rsidR="00DC4053" w:rsidRPr="00FA4233" w:rsidRDefault="00DC4053" w:rsidP="005971AC">
      <w:pPr>
        <w:pStyle w:val="a7"/>
        <w:rPr>
          <w:rtl/>
        </w:rPr>
      </w:pPr>
    </w:p>
    <w:p w:rsidR="00DC4053" w:rsidRPr="00782249" w:rsidRDefault="00DC4053" w:rsidP="00DC4053">
      <w:pPr>
        <w:pStyle w:val="a7"/>
        <w:numPr>
          <w:ilvl w:val="0"/>
          <w:numId w:val="27"/>
        </w:numPr>
        <w:rPr>
          <w:b/>
          <w:bCs/>
        </w:rPr>
      </w:pPr>
      <w:r w:rsidRPr="00782249">
        <w:rPr>
          <w:rFonts w:hint="eastAsia"/>
          <w:b/>
          <w:bCs/>
          <w:rtl/>
        </w:rPr>
        <w:t>משרדי</w:t>
      </w:r>
      <w:r w:rsidRPr="00782249">
        <w:rPr>
          <w:b/>
          <w:bCs/>
          <w:rtl/>
        </w:rPr>
        <w:t xml:space="preserve"> המטה </w:t>
      </w:r>
    </w:p>
    <w:p w:rsidR="00DC4053" w:rsidRPr="00593C5F" w:rsidRDefault="00DC4053" w:rsidP="00DC4053">
      <w:pPr>
        <w:pStyle w:val="a7"/>
        <w:numPr>
          <w:ilvl w:val="0"/>
          <w:numId w:val="11"/>
        </w:numPr>
        <w:rPr>
          <w:rFonts w:ascii="DBS-Torah"/>
        </w:rPr>
      </w:pPr>
      <w:r w:rsidRPr="00782249">
        <w:rPr>
          <w:rFonts w:ascii="DBS-Torah" w:hint="eastAsia"/>
          <w:rtl/>
        </w:rPr>
        <w:t>קבוצת</w:t>
      </w:r>
      <w:r w:rsidRPr="00782249">
        <w:rPr>
          <w:rFonts w:ascii="DBS-Torah"/>
          <w:rtl/>
        </w:rPr>
        <w:t xml:space="preserve"> </w:t>
      </w:r>
      <w:r w:rsidRPr="00782249">
        <w:rPr>
          <w:rFonts w:ascii="DBS-Torah" w:hint="eastAsia"/>
          <w:rtl/>
        </w:rPr>
        <w:t>המשרדים</w:t>
      </w:r>
      <w:r w:rsidRPr="00782249">
        <w:rPr>
          <w:rFonts w:ascii="DBS-Torah"/>
          <w:rtl/>
        </w:rPr>
        <w:t xml:space="preserve"> </w:t>
      </w:r>
      <w:r w:rsidRPr="00782249">
        <w:rPr>
          <w:rFonts w:ascii="DBS-Torah" w:hint="eastAsia"/>
          <w:rtl/>
        </w:rPr>
        <w:t>המנהליים</w:t>
      </w:r>
      <w:r w:rsidRPr="00782249">
        <w:rPr>
          <w:rFonts w:ascii="DBS-Torah"/>
          <w:rtl/>
        </w:rPr>
        <w:t xml:space="preserve"> </w:t>
      </w:r>
      <w:r w:rsidRPr="00782249">
        <w:rPr>
          <w:rFonts w:ascii="DBS-Torah" w:hint="eastAsia"/>
          <w:rtl/>
        </w:rPr>
        <w:t>כוללת</w:t>
      </w:r>
      <w:r w:rsidRPr="00782249">
        <w:rPr>
          <w:rFonts w:ascii="DBS-Torah"/>
          <w:rtl/>
        </w:rPr>
        <w:t xml:space="preserve"> </w:t>
      </w:r>
      <w:r w:rsidRPr="00782249">
        <w:rPr>
          <w:rFonts w:ascii="DBS-Torah" w:hint="eastAsia"/>
          <w:rtl/>
        </w:rPr>
        <w:t>את</w:t>
      </w:r>
      <w:r w:rsidRPr="00782249">
        <w:rPr>
          <w:rFonts w:ascii="DBS-Torah"/>
          <w:rtl/>
        </w:rPr>
        <w:t xml:space="preserve"> </w:t>
      </w:r>
      <w:r w:rsidRPr="00782249">
        <w:rPr>
          <w:rFonts w:ascii="DBS-Torah" w:hint="eastAsia"/>
          <w:rtl/>
        </w:rPr>
        <w:t>המשרדים</w:t>
      </w:r>
      <w:r w:rsidRPr="00782249">
        <w:rPr>
          <w:rFonts w:ascii="DBS-Torah"/>
          <w:rtl/>
        </w:rPr>
        <w:t xml:space="preserve"> </w:t>
      </w:r>
      <w:r w:rsidRPr="00782249">
        <w:rPr>
          <w:rFonts w:ascii="DBS-Torah" w:hint="eastAsia"/>
          <w:rtl/>
        </w:rPr>
        <w:t>האלה</w:t>
      </w:r>
      <w:r w:rsidRPr="00782249">
        <w:rPr>
          <w:rFonts w:ascii="DBS-Torah"/>
          <w:rtl/>
        </w:rPr>
        <w:t xml:space="preserve">: </w:t>
      </w:r>
      <w:r w:rsidRPr="00782249">
        <w:rPr>
          <w:rFonts w:ascii="DBS-Torah" w:hint="eastAsia"/>
          <w:rtl/>
        </w:rPr>
        <w:t>משרד</w:t>
      </w:r>
      <w:r w:rsidRPr="00782249">
        <w:rPr>
          <w:rFonts w:ascii="DBS-Torah"/>
          <w:rtl/>
        </w:rPr>
        <w:t xml:space="preserve"> </w:t>
      </w:r>
      <w:r w:rsidRPr="00782249">
        <w:rPr>
          <w:rFonts w:ascii="DBS-Torah" w:hint="eastAsia"/>
          <w:rtl/>
        </w:rPr>
        <w:t>ראש</w:t>
      </w:r>
      <w:r w:rsidRPr="00782249">
        <w:rPr>
          <w:rFonts w:ascii="DBS-Torah"/>
          <w:rtl/>
        </w:rPr>
        <w:t xml:space="preserve"> </w:t>
      </w:r>
      <w:r w:rsidRPr="00782249">
        <w:rPr>
          <w:rFonts w:ascii="DBS-Torah" w:hint="eastAsia"/>
          <w:rtl/>
        </w:rPr>
        <w:t>הממשלה</w:t>
      </w:r>
      <w:r w:rsidRPr="00782249">
        <w:rPr>
          <w:rFonts w:ascii="DBS-Torah"/>
          <w:rtl/>
        </w:rPr>
        <w:t xml:space="preserve"> </w:t>
      </w:r>
      <w:r w:rsidRPr="00782249">
        <w:rPr>
          <w:rFonts w:ascii="DBS-Torah" w:hint="eastAsia"/>
          <w:rtl/>
        </w:rPr>
        <w:t>והמטה</w:t>
      </w:r>
      <w:r w:rsidRPr="00782249">
        <w:rPr>
          <w:rFonts w:ascii="DBS-Torah"/>
          <w:rtl/>
        </w:rPr>
        <w:t xml:space="preserve"> </w:t>
      </w:r>
      <w:r w:rsidRPr="00782249">
        <w:rPr>
          <w:rFonts w:ascii="DBS-Torah" w:hint="eastAsia"/>
          <w:rtl/>
        </w:rPr>
        <w:t>לביטחון</w:t>
      </w:r>
      <w:r w:rsidRPr="00782249">
        <w:rPr>
          <w:rFonts w:ascii="DBS-Torah"/>
          <w:rtl/>
        </w:rPr>
        <w:t xml:space="preserve"> </w:t>
      </w:r>
      <w:r w:rsidRPr="00782249">
        <w:rPr>
          <w:rFonts w:ascii="DBS-Torah" w:hint="eastAsia"/>
          <w:rtl/>
        </w:rPr>
        <w:t>לאומי</w:t>
      </w:r>
      <w:r w:rsidRPr="00782249">
        <w:rPr>
          <w:rFonts w:ascii="DBS-Torah"/>
          <w:rtl/>
        </w:rPr>
        <w:t xml:space="preserve">, </w:t>
      </w:r>
      <w:r w:rsidRPr="00782249">
        <w:rPr>
          <w:rFonts w:ascii="DBS-Torah" w:hint="eastAsia"/>
          <w:rtl/>
        </w:rPr>
        <w:t>משרד</w:t>
      </w:r>
      <w:r w:rsidRPr="00782249">
        <w:rPr>
          <w:rFonts w:ascii="DBS-Torah"/>
          <w:rtl/>
        </w:rPr>
        <w:t xml:space="preserve"> </w:t>
      </w:r>
      <w:r w:rsidRPr="00782249">
        <w:rPr>
          <w:rFonts w:ascii="DBS-Torah" w:hint="eastAsia"/>
          <w:rtl/>
        </w:rPr>
        <w:t>האוצר</w:t>
      </w:r>
      <w:r w:rsidRPr="00782249">
        <w:rPr>
          <w:rFonts w:ascii="DBS-Torah"/>
          <w:rtl/>
        </w:rPr>
        <w:t xml:space="preserve">, </w:t>
      </w:r>
      <w:r w:rsidRPr="00782249">
        <w:rPr>
          <w:rFonts w:ascii="DBS-Torah" w:hint="eastAsia"/>
          <w:rtl/>
        </w:rPr>
        <w:t>משרד</w:t>
      </w:r>
      <w:r w:rsidRPr="00593C5F">
        <w:rPr>
          <w:rFonts w:ascii="DBS-Torah"/>
          <w:rtl/>
        </w:rPr>
        <w:t xml:space="preserve"> </w:t>
      </w:r>
      <w:r w:rsidRPr="00593C5F">
        <w:rPr>
          <w:rFonts w:ascii="DBS-Torah" w:hint="cs"/>
          <w:rtl/>
        </w:rPr>
        <w:t>המשפטים</w:t>
      </w:r>
      <w:r w:rsidRPr="00593C5F">
        <w:rPr>
          <w:rFonts w:ascii="DBS-Torah"/>
          <w:rtl/>
        </w:rPr>
        <w:t xml:space="preserve">, </w:t>
      </w:r>
      <w:r w:rsidRPr="00593C5F">
        <w:rPr>
          <w:rFonts w:ascii="DBS-Torah" w:hint="cs"/>
          <w:rtl/>
        </w:rPr>
        <w:t>משרד</w:t>
      </w:r>
      <w:r w:rsidRPr="00593C5F">
        <w:rPr>
          <w:rFonts w:ascii="DBS-Torah"/>
          <w:rtl/>
        </w:rPr>
        <w:t xml:space="preserve"> </w:t>
      </w:r>
      <w:r w:rsidRPr="00593C5F">
        <w:rPr>
          <w:rFonts w:ascii="DBS-Torah" w:hint="cs"/>
          <w:rtl/>
        </w:rPr>
        <w:t>החוץ</w:t>
      </w:r>
      <w:r w:rsidRPr="00593C5F">
        <w:rPr>
          <w:rFonts w:ascii="DBS-Torah"/>
          <w:rtl/>
        </w:rPr>
        <w:t xml:space="preserve"> </w:t>
      </w:r>
      <w:r w:rsidRPr="00593C5F">
        <w:rPr>
          <w:rFonts w:ascii="DBS-Torah" w:hint="cs"/>
          <w:rtl/>
        </w:rPr>
        <w:t>ומשרד</w:t>
      </w:r>
      <w:r w:rsidRPr="00593C5F">
        <w:rPr>
          <w:rFonts w:ascii="DBS-Torah"/>
          <w:rtl/>
        </w:rPr>
        <w:t xml:space="preserve"> </w:t>
      </w:r>
      <w:r w:rsidRPr="00593C5F">
        <w:rPr>
          <w:rFonts w:ascii="DBS-Torah" w:hint="cs"/>
          <w:rtl/>
        </w:rPr>
        <w:t>הפנים</w:t>
      </w:r>
      <w:r w:rsidRPr="00593C5F">
        <w:rPr>
          <w:rFonts w:ascii="DBS-Torah"/>
          <w:rtl/>
        </w:rPr>
        <w:t xml:space="preserve"> </w:t>
      </w:r>
      <w:r w:rsidRPr="00593C5F">
        <w:rPr>
          <w:rFonts w:ascii="DBS-Torah" w:hint="cs"/>
          <w:rtl/>
        </w:rPr>
        <w:t>ורשות</w:t>
      </w:r>
      <w:r w:rsidRPr="00593C5F">
        <w:rPr>
          <w:rFonts w:ascii="DBS-Torah"/>
          <w:rtl/>
        </w:rPr>
        <w:t xml:space="preserve"> </w:t>
      </w:r>
      <w:r w:rsidRPr="00593C5F">
        <w:rPr>
          <w:rFonts w:ascii="DBS-Torah" w:hint="cs"/>
          <w:rtl/>
        </w:rPr>
        <w:t>האוכלוסין</w:t>
      </w:r>
      <w:r w:rsidRPr="00593C5F">
        <w:rPr>
          <w:rFonts w:ascii="DBS-Torah"/>
          <w:rtl/>
        </w:rPr>
        <w:t xml:space="preserve">, </w:t>
      </w:r>
      <w:r w:rsidRPr="00593C5F">
        <w:rPr>
          <w:rFonts w:ascii="DBS-Torah" w:hint="cs"/>
          <w:rtl/>
        </w:rPr>
        <w:t>ההגירה</w:t>
      </w:r>
      <w:r w:rsidRPr="00593C5F">
        <w:rPr>
          <w:rFonts w:ascii="DBS-Torah"/>
          <w:rtl/>
        </w:rPr>
        <w:t xml:space="preserve"> </w:t>
      </w:r>
      <w:r w:rsidRPr="00593C5F">
        <w:rPr>
          <w:rFonts w:ascii="DBS-Torah" w:hint="cs"/>
          <w:rtl/>
        </w:rPr>
        <w:t>ומעברי</w:t>
      </w:r>
      <w:r w:rsidRPr="00593C5F">
        <w:rPr>
          <w:rFonts w:ascii="DBS-Torah"/>
          <w:rtl/>
        </w:rPr>
        <w:t xml:space="preserve"> </w:t>
      </w:r>
      <w:r w:rsidRPr="00593C5F">
        <w:rPr>
          <w:rFonts w:ascii="DBS-Torah" w:hint="cs"/>
          <w:rtl/>
        </w:rPr>
        <w:t>גבול</w:t>
      </w:r>
      <w:r w:rsidRPr="00593C5F">
        <w:rPr>
          <w:rFonts w:ascii="DBS-Torah"/>
          <w:rtl/>
        </w:rPr>
        <w:t xml:space="preserve">. </w:t>
      </w:r>
      <w:r w:rsidRPr="00593C5F">
        <w:rPr>
          <w:rFonts w:ascii="DBS-Torah" w:hint="cs"/>
          <w:rtl/>
        </w:rPr>
        <w:t>באשכול</w:t>
      </w:r>
      <w:r w:rsidRPr="00593C5F">
        <w:rPr>
          <w:rFonts w:ascii="DBS-Torah"/>
          <w:rtl/>
        </w:rPr>
        <w:t xml:space="preserve"> </w:t>
      </w:r>
      <w:r w:rsidRPr="00593C5F">
        <w:rPr>
          <w:rFonts w:ascii="DBS-Torah" w:hint="cs"/>
          <w:rtl/>
        </w:rPr>
        <w:t>זה</w:t>
      </w:r>
      <w:r w:rsidRPr="00593C5F">
        <w:rPr>
          <w:rFonts w:ascii="DBS-Torah"/>
          <w:rtl/>
        </w:rPr>
        <w:t xml:space="preserve"> </w:t>
      </w:r>
      <w:r w:rsidRPr="00593C5F">
        <w:rPr>
          <w:rFonts w:ascii="DBS-Torah" w:hint="cs"/>
          <w:rtl/>
        </w:rPr>
        <w:t>נכללות</w:t>
      </w:r>
      <w:r w:rsidRPr="00593C5F">
        <w:rPr>
          <w:rFonts w:ascii="DBS-Torah"/>
          <w:rtl/>
        </w:rPr>
        <w:t xml:space="preserve"> </w:t>
      </w:r>
      <w:r w:rsidRPr="00593C5F">
        <w:rPr>
          <w:rFonts w:ascii="DBS-Torah" w:hint="cs"/>
          <w:rtl/>
        </w:rPr>
        <w:t>גם</w:t>
      </w:r>
      <w:r w:rsidRPr="00593C5F">
        <w:rPr>
          <w:rFonts w:ascii="DBS-Torah"/>
          <w:rtl/>
        </w:rPr>
        <w:t xml:space="preserve"> </w:t>
      </w:r>
      <w:r w:rsidRPr="00593C5F">
        <w:rPr>
          <w:rFonts w:ascii="DBS-Torah" w:hint="cs"/>
          <w:rtl/>
        </w:rPr>
        <w:t>הוצאות</w:t>
      </w:r>
      <w:r w:rsidRPr="00593C5F">
        <w:rPr>
          <w:rFonts w:ascii="DBS-Torah"/>
          <w:rtl/>
        </w:rPr>
        <w:t xml:space="preserve"> </w:t>
      </w:r>
      <w:r w:rsidRPr="00593C5F">
        <w:rPr>
          <w:rFonts w:ascii="DBS-Torah" w:hint="cs"/>
          <w:rtl/>
        </w:rPr>
        <w:t>ממשל</w:t>
      </w:r>
      <w:r>
        <w:rPr>
          <w:rFonts w:ascii="DBS-Torah" w:hint="cs"/>
          <w:rtl/>
        </w:rPr>
        <w:t>,</w:t>
      </w:r>
      <w:r w:rsidRPr="00593C5F">
        <w:rPr>
          <w:rFonts w:ascii="DBS-Torah"/>
          <w:rtl/>
        </w:rPr>
        <w:t xml:space="preserve"> </w:t>
      </w:r>
      <w:r w:rsidRPr="00593C5F">
        <w:rPr>
          <w:rFonts w:ascii="DBS-Torah" w:hint="cs"/>
          <w:rtl/>
        </w:rPr>
        <w:t>כדוגמת</w:t>
      </w:r>
      <w:r>
        <w:rPr>
          <w:rFonts w:ascii="DBS-Torah" w:hint="cs"/>
          <w:rtl/>
        </w:rPr>
        <w:t>:</w:t>
      </w:r>
      <w:r w:rsidRPr="00593C5F">
        <w:rPr>
          <w:rFonts w:ascii="DBS-Torah"/>
          <w:rtl/>
        </w:rPr>
        <w:t xml:space="preserve"> </w:t>
      </w:r>
      <w:r w:rsidRPr="00593C5F">
        <w:rPr>
          <w:rFonts w:ascii="DBS-Torah" w:hint="cs"/>
          <w:rtl/>
        </w:rPr>
        <w:t>העברות</w:t>
      </w:r>
      <w:r w:rsidRPr="00593C5F">
        <w:rPr>
          <w:rFonts w:ascii="DBS-Torah"/>
          <w:rtl/>
        </w:rPr>
        <w:t xml:space="preserve"> </w:t>
      </w:r>
      <w:r w:rsidRPr="00593C5F">
        <w:rPr>
          <w:rFonts w:ascii="DBS-Torah" w:hint="cs"/>
          <w:rtl/>
        </w:rPr>
        <w:t>לרשויות</w:t>
      </w:r>
      <w:r w:rsidRPr="00593C5F">
        <w:rPr>
          <w:rFonts w:ascii="DBS-Torah"/>
          <w:rtl/>
        </w:rPr>
        <w:t xml:space="preserve"> </w:t>
      </w:r>
      <w:r w:rsidRPr="00593C5F">
        <w:rPr>
          <w:rFonts w:ascii="DBS-Torah" w:hint="cs"/>
          <w:rtl/>
        </w:rPr>
        <w:t>מקומיות</w:t>
      </w:r>
      <w:r w:rsidRPr="00593C5F">
        <w:rPr>
          <w:rFonts w:ascii="DBS-Torah"/>
          <w:rtl/>
        </w:rPr>
        <w:t xml:space="preserve">, </w:t>
      </w:r>
      <w:r w:rsidRPr="00593C5F">
        <w:rPr>
          <w:rFonts w:ascii="DBS-Torah" w:hint="cs"/>
          <w:rtl/>
        </w:rPr>
        <w:t>תקציב</w:t>
      </w:r>
      <w:r w:rsidRPr="00593C5F">
        <w:rPr>
          <w:rFonts w:ascii="DBS-Torah"/>
          <w:rtl/>
        </w:rPr>
        <w:t xml:space="preserve"> </w:t>
      </w:r>
      <w:r w:rsidRPr="00593C5F">
        <w:rPr>
          <w:rFonts w:ascii="DBS-Torah" w:hint="cs"/>
          <w:rtl/>
        </w:rPr>
        <w:t>הכנסת</w:t>
      </w:r>
      <w:r w:rsidRPr="00593C5F">
        <w:rPr>
          <w:rFonts w:ascii="DBS-Torah"/>
          <w:rtl/>
        </w:rPr>
        <w:t xml:space="preserve">, </w:t>
      </w:r>
      <w:r w:rsidRPr="00593C5F">
        <w:rPr>
          <w:rFonts w:ascii="DBS-Torah" w:hint="cs"/>
          <w:rtl/>
        </w:rPr>
        <w:t>נשיא</w:t>
      </w:r>
      <w:r w:rsidRPr="00593C5F">
        <w:rPr>
          <w:rFonts w:ascii="DBS-Torah"/>
          <w:rtl/>
        </w:rPr>
        <w:t xml:space="preserve"> </w:t>
      </w:r>
      <w:r w:rsidRPr="00593C5F">
        <w:rPr>
          <w:rFonts w:ascii="DBS-Torah" w:hint="cs"/>
          <w:rtl/>
        </w:rPr>
        <w:t>המדינה</w:t>
      </w:r>
      <w:r w:rsidRPr="00593C5F">
        <w:rPr>
          <w:rFonts w:ascii="DBS-Torah"/>
          <w:rtl/>
        </w:rPr>
        <w:t xml:space="preserve">, </w:t>
      </w:r>
      <w:r w:rsidRPr="00593C5F">
        <w:rPr>
          <w:rFonts w:ascii="DBS-Torah" w:hint="cs"/>
          <w:rtl/>
        </w:rPr>
        <w:t>משרד</w:t>
      </w:r>
      <w:r w:rsidRPr="00593C5F">
        <w:rPr>
          <w:rFonts w:ascii="DBS-Torah"/>
          <w:rtl/>
        </w:rPr>
        <w:t xml:space="preserve"> </w:t>
      </w:r>
      <w:r w:rsidRPr="00593C5F">
        <w:rPr>
          <w:rFonts w:ascii="DBS-Torah" w:hint="cs"/>
          <w:rtl/>
        </w:rPr>
        <w:t>מבקר</w:t>
      </w:r>
      <w:r w:rsidRPr="00593C5F">
        <w:rPr>
          <w:rFonts w:ascii="DBS-Torah"/>
          <w:rtl/>
        </w:rPr>
        <w:t xml:space="preserve"> </w:t>
      </w:r>
      <w:r w:rsidRPr="00593C5F">
        <w:rPr>
          <w:rFonts w:ascii="DBS-Torah" w:hint="cs"/>
          <w:rtl/>
        </w:rPr>
        <w:t>המדינה</w:t>
      </w:r>
      <w:r w:rsidRPr="00593C5F">
        <w:rPr>
          <w:rFonts w:ascii="DBS-Torah"/>
          <w:rtl/>
        </w:rPr>
        <w:t xml:space="preserve"> </w:t>
      </w:r>
      <w:r w:rsidRPr="00593C5F">
        <w:rPr>
          <w:rFonts w:ascii="DBS-Torah" w:hint="cs"/>
          <w:rtl/>
        </w:rPr>
        <w:t>ומימון</w:t>
      </w:r>
      <w:r w:rsidRPr="00593C5F">
        <w:rPr>
          <w:rFonts w:ascii="DBS-Torah"/>
          <w:rtl/>
        </w:rPr>
        <w:t xml:space="preserve"> </w:t>
      </w:r>
      <w:r w:rsidRPr="00593C5F">
        <w:rPr>
          <w:rFonts w:ascii="DBS-Torah" w:hint="cs"/>
          <w:rtl/>
        </w:rPr>
        <w:t>מפלגות</w:t>
      </w:r>
      <w:r w:rsidRPr="00593C5F">
        <w:rPr>
          <w:rFonts w:ascii="DBS-Torah"/>
          <w:rtl/>
        </w:rPr>
        <w:t>.</w:t>
      </w:r>
    </w:p>
    <w:p w:rsidR="00DC4053" w:rsidRPr="00782249" w:rsidRDefault="00DC4053" w:rsidP="00DC4053">
      <w:pPr>
        <w:pStyle w:val="a7"/>
        <w:numPr>
          <w:ilvl w:val="0"/>
          <w:numId w:val="11"/>
        </w:numPr>
        <w:rPr>
          <w:rFonts w:ascii="DBS-Torah"/>
        </w:rPr>
      </w:pPr>
      <w:r w:rsidRPr="00593C5F">
        <w:rPr>
          <w:rFonts w:ascii="DBS-Torah" w:hint="cs"/>
          <w:rtl/>
        </w:rPr>
        <w:t>ההוצאה</w:t>
      </w:r>
      <w:r w:rsidRPr="00593C5F">
        <w:rPr>
          <w:rFonts w:ascii="DBS-Torah"/>
          <w:rtl/>
        </w:rPr>
        <w:t xml:space="preserve"> </w:t>
      </w:r>
      <w:r w:rsidRPr="00593C5F">
        <w:rPr>
          <w:rFonts w:ascii="DBS-Torah" w:hint="cs"/>
          <w:rtl/>
        </w:rPr>
        <w:t>בתקציב</w:t>
      </w:r>
      <w:r w:rsidRPr="00593C5F">
        <w:rPr>
          <w:rFonts w:ascii="DBS-Torah"/>
          <w:rtl/>
        </w:rPr>
        <w:t xml:space="preserve"> </w:t>
      </w:r>
      <w:r w:rsidRPr="00593C5F">
        <w:rPr>
          <w:rFonts w:ascii="DBS-Torah" w:hint="cs"/>
          <w:rtl/>
        </w:rPr>
        <w:t>המקורי</w:t>
      </w:r>
      <w:r w:rsidRPr="00593C5F">
        <w:rPr>
          <w:rFonts w:ascii="DBS-Torah"/>
          <w:rtl/>
        </w:rPr>
        <w:t xml:space="preserve"> </w:t>
      </w:r>
      <w:r w:rsidRPr="00593C5F">
        <w:rPr>
          <w:rFonts w:ascii="DBS-Torah" w:hint="cs"/>
          <w:rtl/>
        </w:rPr>
        <w:t>לשנת</w:t>
      </w:r>
      <w:r w:rsidRPr="00593C5F">
        <w:rPr>
          <w:rFonts w:ascii="DBS-Torah"/>
          <w:rtl/>
        </w:rPr>
        <w:t xml:space="preserve"> 20</w:t>
      </w:r>
      <w:r>
        <w:rPr>
          <w:rFonts w:ascii="DBS-Torah" w:hint="cs"/>
          <w:rtl/>
        </w:rPr>
        <w:t>19</w:t>
      </w:r>
      <w:r w:rsidRPr="00593C5F">
        <w:rPr>
          <w:rFonts w:ascii="DBS-Torah"/>
          <w:rtl/>
        </w:rPr>
        <w:t xml:space="preserve"> </w:t>
      </w:r>
      <w:r w:rsidRPr="00593C5F">
        <w:rPr>
          <w:rFonts w:ascii="DBS-Torah" w:hint="cs"/>
          <w:rtl/>
        </w:rPr>
        <w:t>על</w:t>
      </w:r>
      <w:r w:rsidRPr="00593C5F">
        <w:rPr>
          <w:rFonts w:ascii="DBS-Torah"/>
          <w:rtl/>
        </w:rPr>
        <w:t xml:space="preserve"> </w:t>
      </w:r>
      <w:r w:rsidRPr="00593C5F">
        <w:rPr>
          <w:rFonts w:ascii="DBS-Torah" w:hint="cs"/>
          <w:rtl/>
        </w:rPr>
        <w:t>אשכול</w:t>
      </w:r>
      <w:r w:rsidRPr="00593C5F">
        <w:rPr>
          <w:rFonts w:ascii="DBS-Torah"/>
          <w:rtl/>
        </w:rPr>
        <w:t xml:space="preserve"> </w:t>
      </w:r>
      <w:r w:rsidRPr="00593C5F">
        <w:rPr>
          <w:rFonts w:ascii="DBS-Torah" w:hint="cs"/>
          <w:rtl/>
        </w:rPr>
        <w:t>משרדי</w:t>
      </w:r>
      <w:r w:rsidRPr="00593C5F">
        <w:rPr>
          <w:rFonts w:ascii="DBS-Torah"/>
          <w:rtl/>
        </w:rPr>
        <w:t xml:space="preserve"> </w:t>
      </w:r>
      <w:r w:rsidRPr="00593C5F">
        <w:rPr>
          <w:rFonts w:ascii="DBS-Torah" w:hint="cs"/>
          <w:rtl/>
        </w:rPr>
        <w:t>המטה</w:t>
      </w:r>
      <w:r w:rsidRPr="00593C5F">
        <w:rPr>
          <w:rFonts w:ascii="DBS-Torah"/>
          <w:rtl/>
        </w:rPr>
        <w:t xml:space="preserve"> </w:t>
      </w:r>
      <w:r w:rsidRPr="00593C5F">
        <w:rPr>
          <w:rFonts w:ascii="DBS-Torah" w:hint="cs"/>
          <w:rtl/>
        </w:rPr>
        <w:t>עומדת</w:t>
      </w:r>
      <w:r w:rsidRPr="00593C5F">
        <w:rPr>
          <w:rFonts w:ascii="DBS-Torah"/>
          <w:rtl/>
        </w:rPr>
        <w:t xml:space="preserve"> </w:t>
      </w:r>
      <w:r w:rsidRPr="00593C5F">
        <w:rPr>
          <w:rFonts w:ascii="DBS-Torah" w:hint="cs"/>
          <w:rtl/>
        </w:rPr>
        <w:t>על</w:t>
      </w:r>
      <w:r w:rsidRPr="00593C5F">
        <w:rPr>
          <w:rFonts w:ascii="DBS-Torah"/>
          <w:rtl/>
        </w:rPr>
        <w:t xml:space="preserve"> </w:t>
      </w:r>
      <w:r w:rsidRPr="00593C5F">
        <w:rPr>
          <w:rFonts w:ascii="DBS-Torah" w:hint="cs"/>
          <w:rtl/>
        </w:rPr>
        <w:t>כ</w:t>
      </w:r>
      <w:r w:rsidRPr="00593C5F">
        <w:rPr>
          <w:rFonts w:ascii="DBS-Torah"/>
          <w:rtl/>
        </w:rPr>
        <w:t>-</w:t>
      </w:r>
      <w:r>
        <w:rPr>
          <w:rFonts w:ascii="DBS-Torah" w:hint="cs"/>
          <w:rtl/>
        </w:rPr>
        <w:t>20.6</w:t>
      </w:r>
      <w:r w:rsidRPr="00593C5F">
        <w:rPr>
          <w:rFonts w:ascii="DBS-Torah"/>
          <w:rtl/>
        </w:rPr>
        <w:t xml:space="preserve"> </w:t>
      </w:r>
      <w:r w:rsidRPr="00593C5F">
        <w:rPr>
          <w:rFonts w:ascii="DBS-Torah" w:hint="cs"/>
          <w:rtl/>
        </w:rPr>
        <w:t>מיליארד</w:t>
      </w:r>
      <w:r w:rsidRPr="00593C5F">
        <w:rPr>
          <w:rFonts w:ascii="DBS-Torah"/>
          <w:rtl/>
        </w:rPr>
        <w:t xml:space="preserve"> </w:t>
      </w:r>
      <w:r w:rsidRPr="00782249">
        <w:rPr>
          <w:rFonts w:ascii="DBS-Torah" w:hint="eastAsia"/>
          <w:rtl/>
        </w:rPr>
        <w:t>ש</w:t>
      </w:r>
      <w:r w:rsidRPr="00782249">
        <w:rPr>
          <w:rFonts w:ascii="DBS-Torah"/>
          <w:rtl/>
        </w:rPr>
        <w:t>"</w:t>
      </w:r>
      <w:r w:rsidRPr="00782249">
        <w:rPr>
          <w:rFonts w:ascii="DBS-Torah" w:hint="eastAsia"/>
          <w:rtl/>
        </w:rPr>
        <w:t>ח</w:t>
      </w:r>
      <w:r w:rsidRPr="00782249">
        <w:rPr>
          <w:rFonts w:ascii="DBS-Torah"/>
          <w:rtl/>
        </w:rPr>
        <w:t xml:space="preserve">, </w:t>
      </w:r>
      <w:r w:rsidRPr="00782249">
        <w:rPr>
          <w:rFonts w:ascii="DBS-Torah" w:hint="eastAsia"/>
          <w:rtl/>
        </w:rPr>
        <w:t>המהווים</w:t>
      </w:r>
      <w:r w:rsidRPr="00782249">
        <w:rPr>
          <w:rFonts w:ascii="DBS-Torah"/>
          <w:rtl/>
        </w:rPr>
        <w:t xml:space="preserve"> </w:t>
      </w:r>
      <w:r w:rsidRPr="00782249">
        <w:rPr>
          <w:rFonts w:ascii="DBS-Torah" w:hint="eastAsia"/>
          <w:rtl/>
        </w:rPr>
        <w:t>כ</w:t>
      </w:r>
      <w:r w:rsidRPr="00782249">
        <w:rPr>
          <w:rFonts w:ascii="DBS-Torah"/>
          <w:rtl/>
        </w:rPr>
        <w:t>-5</w:t>
      </w:r>
      <w:r>
        <w:rPr>
          <w:rFonts w:ascii="DBS-Torah" w:hint="cs"/>
          <w:rtl/>
        </w:rPr>
        <w:t>.2%</w:t>
      </w:r>
      <w:r w:rsidRPr="00782249">
        <w:rPr>
          <w:rFonts w:ascii="DBS-Torah"/>
          <w:rtl/>
        </w:rPr>
        <w:t xml:space="preserve"> </w:t>
      </w:r>
      <w:r w:rsidRPr="00782249">
        <w:rPr>
          <w:rFonts w:ascii="DBS-Torah" w:hint="eastAsia"/>
          <w:rtl/>
        </w:rPr>
        <w:t>מסך</w:t>
      </w:r>
      <w:r w:rsidRPr="00782249">
        <w:rPr>
          <w:rFonts w:ascii="DBS-Torah"/>
          <w:rtl/>
        </w:rPr>
        <w:t xml:space="preserve"> </w:t>
      </w:r>
      <w:r w:rsidRPr="00782249">
        <w:rPr>
          <w:rFonts w:ascii="DBS-Torah" w:hint="eastAsia"/>
          <w:rtl/>
        </w:rPr>
        <w:t>ההוצאה</w:t>
      </w:r>
      <w:r w:rsidRPr="00782249">
        <w:rPr>
          <w:rFonts w:ascii="DBS-Torah"/>
          <w:rtl/>
        </w:rPr>
        <w:t>.</w:t>
      </w:r>
    </w:p>
    <w:p w:rsidR="00DC4053" w:rsidRPr="00782249" w:rsidRDefault="00DC4053" w:rsidP="005971AC">
      <w:pPr>
        <w:pStyle w:val="a7"/>
        <w:numPr>
          <w:ilvl w:val="0"/>
          <w:numId w:val="11"/>
        </w:numPr>
        <w:rPr>
          <w:rFonts w:ascii="DBS-Torah"/>
        </w:rPr>
      </w:pPr>
      <w:r w:rsidRPr="00782249">
        <w:rPr>
          <w:rFonts w:ascii="DBS-Torah" w:hint="eastAsia"/>
          <w:rtl/>
        </w:rPr>
        <w:t>על</w:t>
      </w:r>
      <w:r w:rsidRPr="00782249">
        <w:rPr>
          <w:rFonts w:ascii="DBS-Torah"/>
          <w:rtl/>
        </w:rPr>
        <w:t xml:space="preserve"> </w:t>
      </w:r>
      <w:r w:rsidRPr="00782249">
        <w:rPr>
          <w:rFonts w:ascii="DBS-Torah" w:hint="eastAsia"/>
          <w:rtl/>
        </w:rPr>
        <w:t>פי</w:t>
      </w:r>
      <w:r w:rsidRPr="00782249">
        <w:rPr>
          <w:rFonts w:ascii="DBS-Torah"/>
          <w:rtl/>
        </w:rPr>
        <w:t xml:space="preserve"> </w:t>
      </w:r>
      <w:r w:rsidRPr="00782249">
        <w:rPr>
          <w:rFonts w:ascii="DBS-Torah" w:hint="eastAsia"/>
          <w:rtl/>
        </w:rPr>
        <w:t>היקף</w:t>
      </w:r>
      <w:r w:rsidRPr="00782249">
        <w:rPr>
          <w:rFonts w:ascii="DBS-Torah"/>
          <w:rtl/>
        </w:rPr>
        <w:t xml:space="preserve"> </w:t>
      </w:r>
      <w:r w:rsidRPr="00782249">
        <w:rPr>
          <w:rFonts w:ascii="DBS-Torah" w:hint="eastAsia"/>
          <w:rtl/>
        </w:rPr>
        <w:t>מחויבויות</w:t>
      </w:r>
      <w:r w:rsidRPr="00782249">
        <w:rPr>
          <w:rFonts w:ascii="DBS-Torah"/>
          <w:rtl/>
        </w:rPr>
        <w:t xml:space="preserve"> </w:t>
      </w:r>
      <w:r w:rsidRPr="00782249">
        <w:rPr>
          <w:rFonts w:ascii="DBS-Torah" w:hint="eastAsia"/>
          <w:rtl/>
        </w:rPr>
        <w:t>הממשלה</w:t>
      </w:r>
      <w:r w:rsidRPr="00782249">
        <w:rPr>
          <w:rFonts w:ascii="DBS-Torah"/>
          <w:rtl/>
        </w:rPr>
        <w:t xml:space="preserve"> </w:t>
      </w:r>
      <w:r w:rsidRPr="00782249">
        <w:rPr>
          <w:rFonts w:ascii="DBS-Torah" w:hint="eastAsia"/>
          <w:rtl/>
        </w:rPr>
        <w:t>הנוכחי</w:t>
      </w:r>
      <w:r w:rsidRPr="00782249">
        <w:rPr>
          <w:rFonts w:ascii="DBS-Torah"/>
          <w:rtl/>
        </w:rPr>
        <w:t xml:space="preserve">, </w:t>
      </w:r>
      <w:r w:rsidRPr="00782249">
        <w:rPr>
          <w:rFonts w:ascii="DBS-Torah" w:hint="eastAsia"/>
          <w:rtl/>
        </w:rPr>
        <w:t>במהלך</w:t>
      </w:r>
      <w:r w:rsidRPr="00782249">
        <w:rPr>
          <w:rFonts w:ascii="DBS-Torah"/>
          <w:rtl/>
        </w:rPr>
        <w:t xml:space="preserve"> </w:t>
      </w:r>
      <w:r w:rsidRPr="00782249">
        <w:rPr>
          <w:rFonts w:ascii="DBS-Torah" w:hint="eastAsia"/>
          <w:rtl/>
        </w:rPr>
        <w:t>השנים</w:t>
      </w:r>
      <w:r w:rsidRPr="00782249">
        <w:rPr>
          <w:rFonts w:ascii="DBS-Torah"/>
          <w:rtl/>
        </w:rPr>
        <w:t xml:space="preserve"> </w:t>
      </w:r>
      <w:r w:rsidR="00CF68BB">
        <w:rPr>
          <w:rFonts w:ascii="DBS-Torah" w:hint="cs"/>
          <w:rtl/>
        </w:rPr>
        <w:t>2020</w:t>
      </w:r>
      <w:r w:rsidR="00CF68BB" w:rsidRPr="00782249">
        <w:rPr>
          <w:rFonts w:ascii="DBS-Torah"/>
          <w:rtl/>
        </w:rPr>
        <w:t xml:space="preserve"> </w:t>
      </w:r>
      <w:r w:rsidRPr="00782249">
        <w:rPr>
          <w:rFonts w:ascii="DBS-Torah"/>
          <w:rtl/>
        </w:rPr>
        <w:t>עד 202</w:t>
      </w:r>
      <w:r>
        <w:rPr>
          <w:rFonts w:ascii="DBS-Torah" w:hint="cs"/>
          <w:rtl/>
        </w:rPr>
        <w:t>2</w:t>
      </w:r>
      <w:r w:rsidRPr="00782249">
        <w:rPr>
          <w:rFonts w:ascii="DBS-Torah"/>
          <w:rtl/>
        </w:rPr>
        <w:t xml:space="preserve">, </w:t>
      </w:r>
      <w:r w:rsidRPr="00782249">
        <w:rPr>
          <w:rFonts w:ascii="DBS-Torah" w:hint="eastAsia"/>
          <w:rtl/>
        </w:rPr>
        <w:t>צפויה</w:t>
      </w:r>
      <w:r w:rsidRPr="00782249">
        <w:rPr>
          <w:rFonts w:ascii="DBS-Torah"/>
          <w:rtl/>
        </w:rPr>
        <w:t xml:space="preserve"> </w:t>
      </w:r>
      <w:r w:rsidRPr="00782249">
        <w:rPr>
          <w:rFonts w:ascii="DBS-Torah" w:hint="eastAsia"/>
          <w:rtl/>
        </w:rPr>
        <w:t>ההוצאה</w:t>
      </w:r>
      <w:r w:rsidRPr="00782249">
        <w:rPr>
          <w:rFonts w:ascii="DBS-Torah"/>
          <w:rtl/>
        </w:rPr>
        <w:t xml:space="preserve"> </w:t>
      </w:r>
      <w:r w:rsidRPr="00782249">
        <w:rPr>
          <w:rFonts w:ascii="DBS-Torah" w:hint="eastAsia"/>
          <w:rtl/>
        </w:rPr>
        <w:t>על</w:t>
      </w:r>
      <w:r w:rsidRPr="00782249">
        <w:rPr>
          <w:rFonts w:ascii="DBS-Torah"/>
          <w:rtl/>
        </w:rPr>
        <w:t xml:space="preserve"> </w:t>
      </w:r>
      <w:r w:rsidRPr="00782249">
        <w:rPr>
          <w:rFonts w:ascii="DBS-Torah" w:hint="eastAsia"/>
          <w:rtl/>
        </w:rPr>
        <w:t>משרדי</w:t>
      </w:r>
      <w:r w:rsidRPr="00782249">
        <w:rPr>
          <w:rFonts w:ascii="DBS-Torah"/>
          <w:rtl/>
        </w:rPr>
        <w:t xml:space="preserve"> </w:t>
      </w:r>
      <w:r w:rsidRPr="00782249">
        <w:rPr>
          <w:rFonts w:ascii="DBS-Torah" w:hint="eastAsia"/>
          <w:rtl/>
        </w:rPr>
        <w:t>המטה</w:t>
      </w:r>
      <w:r w:rsidRPr="00782249">
        <w:rPr>
          <w:rFonts w:ascii="DBS-Torah"/>
          <w:rtl/>
        </w:rPr>
        <w:t xml:space="preserve"> </w:t>
      </w:r>
      <w:r w:rsidRPr="00BF7ACB">
        <w:rPr>
          <w:rFonts w:ascii="DBS-Torah"/>
          <w:rtl/>
        </w:rPr>
        <w:t>ל</w:t>
      </w:r>
      <w:r w:rsidR="00431597">
        <w:rPr>
          <w:rFonts w:ascii="DBS-Torah" w:hint="cs"/>
          <w:rtl/>
        </w:rPr>
        <w:t>קט</w:t>
      </w:r>
      <w:r w:rsidR="002C4195">
        <w:rPr>
          <w:rFonts w:ascii="DBS-Torah" w:hint="cs"/>
          <w:rtl/>
        </w:rPr>
        <w:t>ו</w:t>
      </w:r>
      <w:r w:rsidR="00431597">
        <w:rPr>
          <w:rFonts w:ascii="DBS-Torah" w:hint="cs"/>
          <w:rtl/>
        </w:rPr>
        <w:t>ן מעט</w:t>
      </w:r>
      <w:r w:rsidRPr="00782249">
        <w:rPr>
          <w:rFonts w:ascii="DBS-Torah"/>
          <w:rtl/>
        </w:rPr>
        <w:t>, כך שבשנת 202</w:t>
      </w:r>
      <w:r>
        <w:rPr>
          <w:rFonts w:ascii="DBS-Torah" w:hint="cs"/>
          <w:rtl/>
        </w:rPr>
        <w:t>2</w:t>
      </w:r>
      <w:r w:rsidRPr="00782249">
        <w:rPr>
          <w:rFonts w:ascii="DBS-Torah"/>
          <w:rtl/>
        </w:rPr>
        <w:t xml:space="preserve"> היא תעמוד על כ-</w:t>
      </w:r>
      <w:r w:rsidRPr="00141E73">
        <w:rPr>
          <w:rFonts w:ascii="DBS-Torah"/>
          <w:rtl/>
        </w:rPr>
        <w:t>20.</w:t>
      </w:r>
      <w:r w:rsidR="00431597">
        <w:rPr>
          <w:rFonts w:ascii="DBS-Torah" w:hint="cs"/>
          <w:rtl/>
        </w:rPr>
        <w:t>2</w:t>
      </w:r>
      <w:r w:rsidR="00431597" w:rsidRPr="00782249">
        <w:rPr>
          <w:rFonts w:ascii="DBS-Torah"/>
          <w:rtl/>
        </w:rPr>
        <w:t xml:space="preserve"> </w:t>
      </w:r>
      <w:r w:rsidRPr="00782249">
        <w:rPr>
          <w:rFonts w:ascii="DBS-Torah" w:hint="eastAsia"/>
          <w:rtl/>
        </w:rPr>
        <w:t>מיליארד</w:t>
      </w:r>
      <w:r w:rsidRPr="00782249">
        <w:rPr>
          <w:rFonts w:ascii="DBS-Torah"/>
          <w:rtl/>
        </w:rPr>
        <w:t xml:space="preserve"> </w:t>
      </w:r>
      <w:r w:rsidRPr="00782249">
        <w:rPr>
          <w:rFonts w:ascii="DBS-Torah" w:hint="eastAsia"/>
          <w:rtl/>
        </w:rPr>
        <w:t>ש</w:t>
      </w:r>
      <w:r w:rsidRPr="00782249">
        <w:rPr>
          <w:rFonts w:ascii="DBS-Torah"/>
          <w:rtl/>
        </w:rPr>
        <w:t xml:space="preserve">"ח, </w:t>
      </w:r>
      <w:r w:rsidRPr="00782249">
        <w:rPr>
          <w:rFonts w:ascii="DBS-Torah" w:hint="eastAsia"/>
          <w:rtl/>
        </w:rPr>
        <w:t>המהווים</w:t>
      </w:r>
      <w:r w:rsidRPr="00782249">
        <w:rPr>
          <w:rFonts w:ascii="DBS-Torah"/>
          <w:rtl/>
        </w:rPr>
        <w:t xml:space="preserve"> </w:t>
      </w:r>
      <w:r w:rsidRPr="00782249">
        <w:rPr>
          <w:rFonts w:ascii="DBS-Torah" w:hint="eastAsia"/>
          <w:rtl/>
        </w:rPr>
        <w:t>כ</w:t>
      </w:r>
      <w:r w:rsidRPr="00782249">
        <w:rPr>
          <w:rFonts w:ascii="DBS-Torah"/>
          <w:rtl/>
        </w:rPr>
        <w:t>-</w:t>
      </w:r>
      <w:r>
        <w:rPr>
          <w:rFonts w:ascii="DBS-Torah" w:hint="cs"/>
          <w:rtl/>
        </w:rPr>
        <w:t>4.</w:t>
      </w:r>
      <w:r w:rsidR="00431597">
        <w:rPr>
          <w:rFonts w:ascii="DBS-Torah" w:hint="cs"/>
          <w:rtl/>
        </w:rPr>
        <w:t>5</w:t>
      </w:r>
      <w:r>
        <w:rPr>
          <w:rFonts w:ascii="DBS-Torah" w:hint="cs"/>
          <w:rtl/>
        </w:rPr>
        <w:t>%</w:t>
      </w:r>
      <w:r w:rsidRPr="00782249">
        <w:rPr>
          <w:rFonts w:ascii="DBS-Torah"/>
          <w:rtl/>
        </w:rPr>
        <w:t xml:space="preserve"> מסך ההוצאה הממשלתית. </w:t>
      </w:r>
    </w:p>
    <w:p w:rsidR="00DC4053" w:rsidRPr="001E7F40" w:rsidRDefault="00DC4053" w:rsidP="00DC4053">
      <w:pPr>
        <w:pStyle w:val="a7"/>
        <w:tabs>
          <w:tab w:val="left" w:pos="340"/>
        </w:tabs>
        <w:suppressAutoHyphens/>
        <w:autoSpaceDE w:val="0"/>
        <w:autoSpaceDN w:val="0"/>
        <w:adjustRightInd w:val="0"/>
        <w:textAlignment w:val="center"/>
        <w:rPr>
          <w:rFonts w:ascii="DBS-Torah"/>
          <w:b/>
          <w:bCs/>
          <w:rtl/>
        </w:rPr>
      </w:pPr>
    </w:p>
    <w:p w:rsidR="00DC4053" w:rsidRPr="005A3476" w:rsidRDefault="00DC4053" w:rsidP="00DC4053">
      <w:pPr>
        <w:pStyle w:val="a7"/>
        <w:tabs>
          <w:tab w:val="left" w:pos="340"/>
        </w:tabs>
        <w:suppressAutoHyphens/>
        <w:autoSpaceDE w:val="0"/>
        <w:autoSpaceDN w:val="0"/>
        <w:adjustRightInd w:val="0"/>
        <w:textAlignment w:val="center"/>
        <w:rPr>
          <w:rFonts w:ascii="DBS-Torah"/>
          <w:b/>
          <w:bCs/>
          <w:rtl/>
        </w:rPr>
      </w:pPr>
      <w:r w:rsidRPr="005A3476">
        <w:rPr>
          <w:rFonts w:ascii="DBS-Torah" w:hint="cs"/>
          <w:b/>
          <w:bCs/>
          <w:rtl/>
        </w:rPr>
        <w:t>ביחס</w:t>
      </w:r>
      <w:r w:rsidRPr="005A3476">
        <w:rPr>
          <w:rFonts w:ascii="DBS-Torah"/>
          <w:b/>
          <w:bCs/>
          <w:rtl/>
        </w:rPr>
        <w:t xml:space="preserve"> </w:t>
      </w:r>
      <w:r w:rsidRPr="005A3476">
        <w:rPr>
          <w:rFonts w:ascii="DBS-Torah" w:hint="cs"/>
          <w:b/>
          <w:bCs/>
          <w:rtl/>
        </w:rPr>
        <w:t>לפרסום</w:t>
      </w:r>
      <w:r w:rsidRPr="005A3476">
        <w:rPr>
          <w:rFonts w:ascii="DBS-Torah"/>
          <w:b/>
          <w:bCs/>
          <w:rtl/>
        </w:rPr>
        <w:t xml:space="preserve"> </w:t>
      </w:r>
      <w:r w:rsidRPr="005A3476">
        <w:rPr>
          <w:rFonts w:ascii="DBS-Torah" w:hint="cs"/>
          <w:b/>
          <w:bCs/>
          <w:rtl/>
        </w:rPr>
        <w:t>הקודם</w:t>
      </w:r>
      <w:r w:rsidRPr="005A3476">
        <w:rPr>
          <w:rFonts w:ascii="DBS-Torah"/>
          <w:b/>
          <w:bCs/>
          <w:rtl/>
        </w:rPr>
        <w:t xml:space="preserve">, </w:t>
      </w:r>
      <w:r w:rsidRPr="005A3476">
        <w:rPr>
          <w:rFonts w:ascii="DBS-Torah" w:hint="cs"/>
          <w:b/>
          <w:bCs/>
          <w:rtl/>
        </w:rPr>
        <w:t>עיקרי</w:t>
      </w:r>
      <w:r w:rsidRPr="005A3476">
        <w:rPr>
          <w:rFonts w:ascii="DBS-Torah"/>
          <w:b/>
          <w:bCs/>
          <w:rtl/>
        </w:rPr>
        <w:t xml:space="preserve"> </w:t>
      </w:r>
      <w:r w:rsidRPr="005A3476">
        <w:rPr>
          <w:rFonts w:ascii="DBS-Torah" w:hint="cs"/>
          <w:b/>
          <w:bCs/>
          <w:rtl/>
        </w:rPr>
        <w:t>השינויים</w:t>
      </w:r>
      <w:r w:rsidRPr="005A3476">
        <w:rPr>
          <w:rFonts w:ascii="DBS-Torah"/>
          <w:b/>
          <w:bCs/>
          <w:rtl/>
        </w:rPr>
        <w:t xml:space="preserve"> </w:t>
      </w:r>
      <w:r w:rsidRPr="005A3476">
        <w:rPr>
          <w:rFonts w:ascii="DBS-Torah" w:hint="cs"/>
          <w:b/>
          <w:bCs/>
          <w:rtl/>
        </w:rPr>
        <w:t>בקבוצת</w:t>
      </w:r>
      <w:r w:rsidRPr="005A3476">
        <w:rPr>
          <w:rFonts w:ascii="DBS-Torah"/>
          <w:b/>
          <w:bCs/>
          <w:rtl/>
        </w:rPr>
        <w:t xml:space="preserve"> </w:t>
      </w:r>
      <w:r w:rsidRPr="005A3476">
        <w:rPr>
          <w:rFonts w:ascii="DBS-Torah" w:hint="cs"/>
          <w:b/>
          <w:bCs/>
          <w:rtl/>
        </w:rPr>
        <w:t>המשרדים</w:t>
      </w:r>
      <w:r w:rsidRPr="005A3476">
        <w:rPr>
          <w:rFonts w:ascii="DBS-Torah"/>
          <w:b/>
          <w:bCs/>
          <w:rtl/>
        </w:rPr>
        <w:t xml:space="preserve"> </w:t>
      </w:r>
      <w:r w:rsidRPr="005A3476">
        <w:rPr>
          <w:rFonts w:ascii="DBS-Torah" w:hint="cs"/>
          <w:b/>
          <w:bCs/>
          <w:rtl/>
        </w:rPr>
        <w:t>הזו</w:t>
      </w:r>
      <w:r w:rsidRPr="005A3476">
        <w:rPr>
          <w:rFonts w:ascii="DBS-Torah"/>
          <w:b/>
          <w:bCs/>
          <w:rtl/>
        </w:rPr>
        <w:t xml:space="preserve"> </w:t>
      </w:r>
      <w:r w:rsidRPr="005A3476">
        <w:rPr>
          <w:rFonts w:ascii="DBS-Torah" w:hint="cs"/>
          <w:b/>
          <w:bCs/>
          <w:rtl/>
        </w:rPr>
        <w:t>הם</w:t>
      </w:r>
      <w:r w:rsidRPr="005A3476">
        <w:rPr>
          <w:rFonts w:ascii="DBS-Torah"/>
          <w:b/>
          <w:bCs/>
          <w:rtl/>
        </w:rPr>
        <w:t>:</w:t>
      </w:r>
    </w:p>
    <w:p w:rsidR="00DC4053" w:rsidRPr="00E44CB6" w:rsidRDefault="00DC4053" w:rsidP="005971AC">
      <w:pPr>
        <w:pStyle w:val="a7"/>
        <w:numPr>
          <w:ilvl w:val="0"/>
          <w:numId w:val="11"/>
        </w:numPr>
        <w:tabs>
          <w:tab w:val="left" w:pos="340"/>
        </w:tabs>
        <w:suppressAutoHyphens/>
        <w:autoSpaceDE w:val="0"/>
        <w:autoSpaceDN w:val="0"/>
        <w:adjustRightInd w:val="0"/>
        <w:textAlignment w:val="center"/>
        <w:rPr>
          <w:rFonts w:ascii="DBS-Torah"/>
          <w:b/>
          <w:bCs/>
        </w:rPr>
      </w:pPr>
      <w:r w:rsidRPr="005A3476">
        <w:rPr>
          <w:rFonts w:ascii="DBS-Torah" w:hint="eastAsia"/>
          <w:rtl/>
        </w:rPr>
        <w:lastRenderedPageBreak/>
        <w:t>ההוצאה</w:t>
      </w:r>
      <w:r w:rsidRPr="005A3476">
        <w:rPr>
          <w:rFonts w:ascii="DBS-Torah"/>
          <w:rtl/>
        </w:rPr>
        <w:t xml:space="preserve"> הצפויה </w:t>
      </w:r>
      <w:r w:rsidRPr="005A3476">
        <w:rPr>
          <w:rFonts w:ascii="DBS-Torah" w:hint="eastAsia"/>
          <w:rtl/>
        </w:rPr>
        <w:t>על</w:t>
      </w:r>
      <w:r w:rsidRPr="005A3476">
        <w:rPr>
          <w:rFonts w:ascii="DBS-Torah"/>
          <w:rtl/>
        </w:rPr>
        <w:t xml:space="preserve"> </w:t>
      </w:r>
      <w:r w:rsidRPr="005A3476">
        <w:rPr>
          <w:rFonts w:ascii="DBS-Torah"/>
          <w:b/>
          <w:bCs/>
          <w:rtl/>
        </w:rPr>
        <w:t xml:space="preserve">תקציב </w:t>
      </w:r>
      <w:r w:rsidRPr="005A3476">
        <w:rPr>
          <w:rFonts w:ascii="DBS-Torah" w:hint="cs"/>
          <w:b/>
          <w:bCs/>
          <w:rtl/>
        </w:rPr>
        <w:t>משרד</w:t>
      </w:r>
      <w:r w:rsidRPr="005A3476">
        <w:rPr>
          <w:rFonts w:ascii="DBS-Torah"/>
          <w:b/>
          <w:bCs/>
          <w:rtl/>
        </w:rPr>
        <w:t xml:space="preserve"> </w:t>
      </w:r>
      <w:r w:rsidRPr="005A3476">
        <w:rPr>
          <w:rFonts w:ascii="DBS-Torah" w:hint="cs"/>
          <w:b/>
          <w:bCs/>
          <w:rtl/>
        </w:rPr>
        <w:t>הפנים</w:t>
      </w:r>
      <w:r w:rsidRPr="005A3476">
        <w:rPr>
          <w:rFonts w:ascii="DBS-Torah"/>
          <w:b/>
          <w:bCs/>
          <w:rtl/>
        </w:rPr>
        <w:t xml:space="preserve"> </w:t>
      </w:r>
      <w:r w:rsidRPr="005A3476">
        <w:rPr>
          <w:rFonts w:ascii="DBS-Torah" w:hint="cs"/>
          <w:b/>
          <w:bCs/>
          <w:rtl/>
        </w:rPr>
        <w:t>והרשויות</w:t>
      </w:r>
      <w:r w:rsidRPr="005A3476">
        <w:rPr>
          <w:rFonts w:ascii="DBS-Torah"/>
          <w:b/>
          <w:bCs/>
          <w:rtl/>
        </w:rPr>
        <w:t xml:space="preserve"> </w:t>
      </w:r>
      <w:r w:rsidRPr="005A3476">
        <w:rPr>
          <w:rFonts w:ascii="DBS-Torah" w:hint="cs"/>
          <w:b/>
          <w:bCs/>
          <w:rtl/>
        </w:rPr>
        <w:t>המקומיות</w:t>
      </w:r>
      <w:r w:rsidRPr="005A3476">
        <w:rPr>
          <w:rFonts w:ascii="DBS-Torah"/>
          <w:rtl/>
        </w:rPr>
        <w:t xml:space="preserve"> </w:t>
      </w:r>
      <w:r w:rsidRPr="005A3476">
        <w:rPr>
          <w:rFonts w:ascii="DBS-Torah" w:hint="cs"/>
          <w:rtl/>
        </w:rPr>
        <w:t>גדלה</w:t>
      </w:r>
      <w:r w:rsidRPr="005A3476">
        <w:rPr>
          <w:rFonts w:ascii="DBS-Torah"/>
          <w:rtl/>
        </w:rPr>
        <w:t xml:space="preserve"> </w:t>
      </w:r>
      <w:r w:rsidRPr="005A3476">
        <w:rPr>
          <w:rFonts w:ascii="DBS-Torah" w:hint="eastAsia"/>
          <w:rtl/>
        </w:rPr>
        <w:t>בממוצע</w:t>
      </w:r>
      <w:r w:rsidRPr="005A3476">
        <w:rPr>
          <w:rFonts w:ascii="DBS-Torah"/>
          <w:rtl/>
        </w:rPr>
        <w:t xml:space="preserve"> </w:t>
      </w:r>
      <w:r w:rsidRPr="005A3476">
        <w:rPr>
          <w:rFonts w:ascii="DBS-Torah" w:hint="eastAsia"/>
          <w:rtl/>
        </w:rPr>
        <w:t>בכ</w:t>
      </w:r>
      <w:r w:rsidR="006F670D" w:rsidRPr="005A3476">
        <w:rPr>
          <w:rFonts w:ascii="DBS-Torah"/>
          <w:rtl/>
        </w:rPr>
        <w:t>-</w:t>
      </w:r>
      <w:r w:rsidR="006F670D">
        <w:rPr>
          <w:rFonts w:ascii="DBS-Torah" w:hint="cs"/>
          <w:rtl/>
        </w:rPr>
        <w:t>0.2</w:t>
      </w:r>
      <w:r w:rsidR="006F670D" w:rsidRPr="005A3476">
        <w:rPr>
          <w:rFonts w:ascii="DBS-Torah"/>
          <w:rtl/>
        </w:rPr>
        <w:t xml:space="preserve"> </w:t>
      </w:r>
      <w:r w:rsidRPr="005A3476">
        <w:rPr>
          <w:rFonts w:ascii="DBS-Torah" w:hint="eastAsia"/>
          <w:rtl/>
        </w:rPr>
        <w:t>מיליארד</w:t>
      </w:r>
      <w:r w:rsidRPr="005A3476">
        <w:rPr>
          <w:rFonts w:ascii="DBS-Torah"/>
          <w:rtl/>
        </w:rPr>
        <w:t xml:space="preserve"> ש"ח ב</w:t>
      </w:r>
      <w:r w:rsidR="00745192">
        <w:rPr>
          <w:rFonts w:ascii="DBS-Torah" w:hint="cs"/>
          <w:rtl/>
        </w:rPr>
        <w:t>שנים 2020-2022</w:t>
      </w:r>
      <w:r w:rsidRPr="005A3476">
        <w:rPr>
          <w:rFonts w:ascii="DBS-Torah" w:hint="cs"/>
          <w:rtl/>
        </w:rPr>
        <w:t xml:space="preserve">. </w:t>
      </w:r>
      <w:r w:rsidR="002C4195">
        <w:rPr>
          <w:rFonts w:ascii="DBS-Torah" w:hint="cs"/>
          <w:rtl/>
        </w:rPr>
        <w:t xml:space="preserve">הגידול האמור, הוא, </w:t>
      </w:r>
      <w:r w:rsidR="001D5F05">
        <w:rPr>
          <w:rFonts w:ascii="DBS-Torah" w:hint="cs"/>
          <w:rtl/>
        </w:rPr>
        <w:t>בין היתר</w:t>
      </w:r>
      <w:r w:rsidR="002C4195">
        <w:rPr>
          <w:rFonts w:ascii="DBS-Torah" w:hint="cs"/>
          <w:rtl/>
        </w:rPr>
        <w:t>,</w:t>
      </w:r>
      <w:r w:rsidR="001D5F05">
        <w:rPr>
          <w:rFonts w:ascii="DBS-Torah" w:hint="cs"/>
          <w:rtl/>
        </w:rPr>
        <w:t xml:space="preserve"> בשל עדכון הנח</w:t>
      </w:r>
      <w:r w:rsidR="0079438E">
        <w:rPr>
          <w:rFonts w:ascii="DBS-Torah" w:hint="cs"/>
          <w:rtl/>
        </w:rPr>
        <w:t>ת העבודה</w:t>
      </w:r>
      <w:r w:rsidR="001D5F05">
        <w:rPr>
          <w:rFonts w:ascii="DBS-Torah" w:hint="cs"/>
          <w:rtl/>
        </w:rPr>
        <w:t xml:space="preserve"> ביחס לגודל </w:t>
      </w:r>
      <w:r w:rsidR="000A27AD">
        <w:rPr>
          <w:rFonts w:ascii="DBS-Torah" w:hint="cs"/>
          <w:rtl/>
        </w:rPr>
        <w:t xml:space="preserve">בשנים הקרובות של </w:t>
      </w:r>
      <w:r w:rsidR="001D5F05">
        <w:rPr>
          <w:rFonts w:ascii="DBS-Torah" w:hint="cs"/>
          <w:rtl/>
        </w:rPr>
        <w:t xml:space="preserve">"מענק הבירה" </w:t>
      </w:r>
      <w:r w:rsidR="000A27AD">
        <w:rPr>
          <w:rFonts w:ascii="DBS-Torah"/>
          <w:rtl/>
        </w:rPr>
        <w:t>–</w:t>
      </w:r>
      <w:r w:rsidR="000A27AD">
        <w:rPr>
          <w:rFonts w:ascii="DBS-Torah" w:hint="cs"/>
          <w:rtl/>
        </w:rPr>
        <w:t xml:space="preserve"> מענק איזון שנתי ייחודי שניתן לירושלים. זאת במטרה לשקף את היקף המענק כפי שניתן </w:t>
      </w:r>
      <w:r w:rsidR="001D5F05">
        <w:rPr>
          <w:rFonts w:ascii="DBS-Torah" w:hint="cs"/>
          <w:rtl/>
        </w:rPr>
        <w:t>בשנים האחרונות</w:t>
      </w:r>
      <w:r w:rsidR="00C90543">
        <w:rPr>
          <w:rFonts w:ascii="DBS-Torah" w:hint="cs"/>
          <w:b/>
          <w:bCs/>
          <w:rtl/>
        </w:rPr>
        <w:t>,</w:t>
      </w:r>
      <w:r w:rsidR="00C90543" w:rsidRPr="00FD7AB1">
        <w:rPr>
          <w:rFonts w:ascii="DBS-Torah"/>
          <w:rtl/>
        </w:rPr>
        <w:t xml:space="preserve"> וכן לאור הגידול בתקציב תמרוץ הדיור וקליטת תושבים הניתן לרשויות המקומיות.</w:t>
      </w:r>
    </w:p>
    <w:p w:rsidR="00DC4053" w:rsidRDefault="00DC4053" w:rsidP="00DC4053">
      <w:pPr>
        <w:pStyle w:val="a7"/>
        <w:tabs>
          <w:tab w:val="left" w:pos="340"/>
        </w:tabs>
        <w:suppressAutoHyphens/>
        <w:autoSpaceDE w:val="0"/>
        <w:autoSpaceDN w:val="0"/>
        <w:adjustRightInd w:val="0"/>
        <w:textAlignment w:val="center"/>
        <w:rPr>
          <w:rFonts w:ascii="DBS-Torah"/>
          <w:b/>
          <w:bCs/>
        </w:rPr>
      </w:pPr>
    </w:p>
    <w:p w:rsidR="00DC4053" w:rsidRPr="00E6096E" w:rsidRDefault="00DC4053" w:rsidP="00DC4053">
      <w:pPr>
        <w:pStyle w:val="a7"/>
        <w:numPr>
          <w:ilvl w:val="0"/>
          <w:numId w:val="27"/>
        </w:numPr>
        <w:rPr>
          <w:b/>
          <w:bCs/>
        </w:rPr>
      </w:pPr>
      <w:r w:rsidRPr="00E6096E">
        <w:rPr>
          <w:rFonts w:hint="cs"/>
          <w:b/>
          <w:bCs/>
          <w:rtl/>
        </w:rPr>
        <w:t>ענפי</w:t>
      </w:r>
      <w:r w:rsidRPr="00E6096E">
        <w:rPr>
          <w:b/>
          <w:bCs/>
          <w:rtl/>
        </w:rPr>
        <w:t xml:space="preserve"> המשק </w:t>
      </w:r>
      <w:r w:rsidR="00017A26">
        <w:rPr>
          <w:rFonts w:hint="cs"/>
          <w:b/>
          <w:bCs/>
          <w:rtl/>
        </w:rPr>
        <w:t>והוצאות אחרות</w:t>
      </w:r>
    </w:p>
    <w:p w:rsidR="00017A26" w:rsidRPr="00A34826" w:rsidRDefault="00DC4053" w:rsidP="005971AC">
      <w:pPr>
        <w:pStyle w:val="a7"/>
        <w:numPr>
          <w:ilvl w:val="0"/>
          <w:numId w:val="11"/>
        </w:numPr>
        <w:rPr>
          <w:rFonts w:ascii="DBS-Torah"/>
        </w:rPr>
      </w:pPr>
      <w:r w:rsidRPr="00E6096E">
        <w:rPr>
          <w:rFonts w:ascii="DBS-Torah" w:hint="cs"/>
          <w:rtl/>
        </w:rPr>
        <w:t>קבוצת</w:t>
      </w:r>
      <w:r w:rsidRPr="00E6096E">
        <w:rPr>
          <w:rFonts w:ascii="DBS-Torah"/>
          <w:rtl/>
        </w:rPr>
        <w:t xml:space="preserve"> </w:t>
      </w:r>
      <w:r w:rsidRPr="00E6096E">
        <w:rPr>
          <w:rFonts w:ascii="DBS-Torah" w:hint="cs"/>
          <w:rtl/>
        </w:rPr>
        <w:t>המשרדים</w:t>
      </w:r>
      <w:r w:rsidRPr="00E6096E">
        <w:rPr>
          <w:rFonts w:ascii="DBS-Torah"/>
          <w:rtl/>
        </w:rPr>
        <w:t xml:space="preserve"> </w:t>
      </w:r>
      <w:r w:rsidRPr="00E6096E">
        <w:rPr>
          <w:rFonts w:ascii="DBS-Torah" w:hint="cs"/>
          <w:rtl/>
        </w:rPr>
        <w:t>הנכללים</w:t>
      </w:r>
      <w:r w:rsidRPr="00E6096E">
        <w:rPr>
          <w:rFonts w:ascii="DBS-Torah"/>
          <w:rtl/>
        </w:rPr>
        <w:t xml:space="preserve"> </w:t>
      </w:r>
      <w:r w:rsidRPr="00E6096E">
        <w:rPr>
          <w:rFonts w:ascii="DBS-Torah" w:hint="cs"/>
          <w:rtl/>
        </w:rPr>
        <w:t>בענפי</w:t>
      </w:r>
      <w:r w:rsidRPr="00E6096E">
        <w:rPr>
          <w:rFonts w:ascii="DBS-Torah"/>
          <w:rtl/>
        </w:rPr>
        <w:t xml:space="preserve"> </w:t>
      </w:r>
      <w:r w:rsidRPr="00E6096E">
        <w:rPr>
          <w:rFonts w:ascii="DBS-Torah" w:hint="cs"/>
          <w:rtl/>
        </w:rPr>
        <w:t>המשק</w:t>
      </w:r>
      <w:r w:rsidRPr="00E6096E">
        <w:rPr>
          <w:rFonts w:ascii="DBS-Torah"/>
          <w:rtl/>
        </w:rPr>
        <w:t xml:space="preserve"> </w:t>
      </w:r>
      <w:r w:rsidRPr="00E6096E">
        <w:rPr>
          <w:rFonts w:ascii="DBS-Torah" w:hint="cs"/>
          <w:rtl/>
        </w:rPr>
        <w:t>כוללת</w:t>
      </w:r>
      <w:r w:rsidRPr="00E6096E">
        <w:rPr>
          <w:rFonts w:ascii="DBS-Torah"/>
          <w:rtl/>
        </w:rPr>
        <w:t xml:space="preserve"> </w:t>
      </w:r>
      <w:r w:rsidRPr="00E6096E">
        <w:rPr>
          <w:rFonts w:ascii="DBS-Torah" w:hint="cs"/>
          <w:rtl/>
        </w:rPr>
        <w:t>את</w:t>
      </w:r>
      <w:r w:rsidRPr="00E6096E">
        <w:rPr>
          <w:rFonts w:ascii="DBS-Torah"/>
          <w:rtl/>
        </w:rPr>
        <w:t xml:space="preserve"> </w:t>
      </w:r>
      <w:r w:rsidRPr="00E6096E">
        <w:rPr>
          <w:rFonts w:ascii="DBS-Torah" w:hint="cs"/>
          <w:rtl/>
        </w:rPr>
        <w:t>משרד</w:t>
      </w:r>
      <w:r w:rsidRPr="00E6096E">
        <w:rPr>
          <w:rFonts w:ascii="DBS-Torah"/>
          <w:rtl/>
        </w:rPr>
        <w:t xml:space="preserve"> </w:t>
      </w:r>
      <w:r w:rsidRPr="00E6096E">
        <w:rPr>
          <w:rFonts w:ascii="DBS-Torah" w:hint="cs"/>
          <w:rtl/>
        </w:rPr>
        <w:t>הכלכלה</w:t>
      </w:r>
      <w:r w:rsidRPr="00E6096E">
        <w:rPr>
          <w:rFonts w:ascii="DBS-Torah"/>
          <w:rtl/>
        </w:rPr>
        <w:t xml:space="preserve"> </w:t>
      </w:r>
      <w:r w:rsidRPr="00E6096E">
        <w:rPr>
          <w:rFonts w:ascii="DBS-Torah" w:hint="cs"/>
          <w:rtl/>
        </w:rPr>
        <w:t>והתעשייה</w:t>
      </w:r>
      <w:r w:rsidRPr="00E6096E">
        <w:rPr>
          <w:rFonts w:ascii="DBS-Torah"/>
          <w:rtl/>
        </w:rPr>
        <w:t xml:space="preserve">, </w:t>
      </w:r>
      <w:r w:rsidRPr="00E6096E">
        <w:rPr>
          <w:rFonts w:ascii="DBS-Torah" w:hint="cs"/>
          <w:rtl/>
        </w:rPr>
        <w:t>משרד</w:t>
      </w:r>
      <w:r w:rsidRPr="00E6096E">
        <w:rPr>
          <w:rFonts w:ascii="DBS-Torah"/>
          <w:rtl/>
        </w:rPr>
        <w:t xml:space="preserve"> </w:t>
      </w:r>
      <w:r w:rsidRPr="00E6096E">
        <w:rPr>
          <w:rFonts w:ascii="DBS-Torah" w:hint="cs"/>
          <w:rtl/>
        </w:rPr>
        <w:t>התיירות</w:t>
      </w:r>
      <w:r w:rsidRPr="00E6096E">
        <w:rPr>
          <w:rFonts w:ascii="DBS-Torah"/>
          <w:rtl/>
        </w:rPr>
        <w:t xml:space="preserve">, </w:t>
      </w:r>
      <w:r w:rsidRPr="00E6096E">
        <w:rPr>
          <w:rFonts w:ascii="DBS-Torah" w:hint="cs"/>
          <w:rtl/>
        </w:rPr>
        <w:t>משרד</w:t>
      </w:r>
      <w:r w:rsidRPr="00E6096E">
        <w:rPr>
          <w:rFonts w:ascii="DBS-Torah"/>
          <w:rtl/>
        </w:rPr>
        <w:t xml:space="preserve"> </w:t>
      </w:r>
      <w:r w:rsidRPr="00E6096E">
        <w:rPr>
          <w:rFonts w:ascii="DBS-Torah" w:hint="cs"/>
          <w:rtl/>
        </w:rPr>
        <w:t>החקלאות</w:t>
      </w:r>
      <w:r w:rsidRPr="00E6096E">
        <w:rPr>
          <w:rFonts w:ascii="DBS-Torah"/>
          <w:rtl/>
        </w:rPr>
        <w:t xml:space="preserve">, </w:t>
      </w:r>
      <w:r w:rsidRPr="00E6096E">
        <w:rPr>
          <w:rFonts w:ascii="DBS-Torah" w:hint="cs"/>
          <w:rtl/>
        </w:rPr>
        <w:t>המשרד</w:t>
      </w:r>
      <w:r w:rsidRPr="00E6096E">
        <w:rPr>
          <w:rFonts w:ascii="DBS-Torah"/>
          <w:rtl/>
        </w:rPr>
        <w:t xml:space="preserve"> </w:t>
      </w:r>
      <w:r w:rsidRPr="00E6096E">
        <w:rPr>
          <w:rFonts w:ascii="DBS-Torah" w:hint="cs"/>
          <w:rtl/>
        </w:rPr>
        <w:t>להגנת</w:t>
      </w:r>
      <w:r w:rsidRPr="00E6096E">
        <w:rPr>
          <w:rFonts w:ascii="DBS-Torah"/>
          <w:rtl/>
        </w:rPr>
        <w:t xml:space="preserve"> </w:t>
      </w:r>
      <w:r w:rsidRPr="00E6096E">
        <w:rPr>
          <w:rFonts w:ascii="DBS-Torah" w:hint="cs"/>
          <w:rtl/>
        </w:rPr>
        <w:t>סביבה</w:t>
      </w:r>
      <w:r w:rsidRPr="00E6096E">
        <w:rPr>
          <w:rFonts w:ascii="DBS-Torah"/>
          <w:rtl/>
        </w:rPr>
        <w:t xml:space="preserve"> </w:t>
      </w:r>
      <w:r w:rsidRPr="00E6096E">
        <w:rPr>
          <w:rFonts w:ascii="DBS-Torah" w:hint="cs"/>
          <w:rtl/>
        </w:rPr>
        <w:t>ומשרד</w:t>
      </w:r>
      <w:r w:rsidRPr="00E6096E">
        <w:rPr>
          <w:rFonts w:ascii="DBS-Torah"/>
          <w:rtl/>
        </w:rPr>
        <w:t xml:space="preserve"> </w:t>
      </w:r>
      <w:r w:rsidRPr="00E6096E">
        <w:rPr>
          <w:rFonts w:ascii="DBS-Torah" w:hint="cs"/>
          <w:rtl/>
        </w:rPr>
        <w:t>התקשורת</w:t>
      </w:r>
      <w:r w:rsidRPr="00E6096E">
        <w:rPr>
          <w:rFonts w:ascii="DBS-Torah"/>
          <w:rtl/>
        </w:rPr>
        <w:t>.</w:t>
      </w:r>
      <w:r w:rsidR="00017A26">
        <w:rPr>
          <w:rFonts w:ascii="DBS-Torah" w:hint="cs"/>
          <w:rtl/>
        </w:rPr>
        <w:t xml:space="preserve"> כמו כן</w:t>
      </w:r>
      <w:r w:rsidR="00BD239C">
        <w:rPr>
          <w:rFonts w:ascii="DBS-Torah" w:hint="cs"/>
          <w:rtl/>
        </w:rPr>
        <w:t>,</w:t>
      </w:r>
      <w:r w:rsidR="00017A26">
        <w:rPr>
          <w:rFonts w:ascii="DBS-Torah" w:hint="cs"/>
          <w:rtl/>
        </w:rPr>
        <w:t xml:space="preserve"> את </w:t>
      </w:r>
      <w:r w:rsidR="00017A26" w:rsidRPr="00A34826">
        <w:rPr>
          <w:rFonts w:ascii="DBS-Torah"/>
          <w:rtl/>
        </w:rPr>
        <w:t xml:space="preserve">ההוצאה על גמלאות ופיצויים, לרבות התשלום </w:t>
      </w:r>
      <w:r w:rsidR="00017A26" w:rsidRPr="00A34826">
        <w:rPr>
          <w:rFonts w:ascii="DBS-Torah" w:hint="eastAsia"/>
          <w:rtl/>
        </w:rPr>
        <w:t>ל</w:t>
      </w:r>
      <w:r w:rsidR="00017A26" w:rsidRPr="00A34826">
        <w:rPr>
          <w:rFonts w:ascii="DBS-Torah"/>
          <w:rtl/>
        </w:rPr>
        <w:t>קרנות ה</w:t>
      </w:r>
      <w:r w:rsidR="00017A26" w:rsidRPr="00A34826">
        <w:rPr>
          <w:rFonts w:ascii="DBS-Torah" w:hint="eastAsia"/>
          <w:rtl/>
        </w:rPr>
        <w:t>פנסיה</w:t>
      </w:r>
      <w:r w:rsidR="00017A26" w:rsidRPr="00A34826">
        <w:rPr>
          <w:rFonts w:ascii="DBS-Torah"/>
          <w:rtl/>
        </w:rPr>
        <w:t xml:space="preserve"> </w:t>
      </w:r>
      <w:r w:rsidR="00017A26" w:rsidRPr="00A34826">
        <w:rPr>
          <w:rFonts w:ascii="DBS-Torah" w:hint="eastAsia"/>
          <w:rtl/>
        </w:rPr>
        <w:t>ה</w:t>
      </w:r>
      <w:r w:rsidR="00017A26" w:rsidRPr="00A34826">
        <w:rPr>
          <w:rFonts w:ascii="DBS-Torah"/>
          <w:rtl/>
        </w:rPr>
        <w:t xml:space="preserve">וותיקות, הוצאות על רשויות פיקוח, רזרבה כללית וכן הוצאות אחרות. </w:t>
      </w:r>
    </w:p>
    <w:p w:rsidR="00DC4053" w:rsidRPr="00E6096E" w:rsidRDefault="00DC4053" w:rsidP="005971AC">
      <w:pPr>
        <w:pStyle w:val="a7"/>
        <w:numPr>
          <w:ilvl w:val="0"/>
          <w:numId w:val="11"/>
        </w:numPr>
        <w:rPr>
          <w:rFonts w:ascii="DBS-Torah"/>
        </w:rPr>
      </w:pPr>
      <w:r w:rsidRPr="00E6096E">
        <w:rPr>
          <w:rFonts w:ascii="DBS-Torah" w:hint="cs"/>
          <w:rtl/>
        </w:rPr>
        <w:t>ההוצאה</w:t>
      </w:r>
      <w:r w:rsidRPr="00E6096E">
        <w:rPr>
          <w:rFonts w:ascii="DBS-Torah"/>
          <w:rtl/>
        </w:rPr>
        <w:t xml:space="preserve"> </w:t>
      </w:r>
      <w:r w:rsidRPr="00E6096E">
        <w:rPr>
          <w:rFonts w:ascii="DBS-Torah" w:hint="cs"/>
          <w:rtl/>
        </w:rPr>
        <w:t>בתקציב</w:t>
      </w:r>
      <w:r w:rsidRPr="00E6096E">
        <w:rPr>
          <w:rFonts w:ascii="DBS-Torah"/>
          <w:rtl/>
        </w:rPr>
        <w:t xml:space="preserve"> </w:t>
      </w:r>
      <w:r w:rsidRPr="00E6096E">
        <w:rPr>
          <w:rFonts w:ascii="DBS-Torah" w:hint="cs"/>
          <w:rtl/>
        </w:rPr>
        <w:t>המקורי</w:t>
      </w:r>
      <w:r w:rsidRPr="00E6096E">
        <w:rPr>
          <w:rFonts w:ascii="DBS-Torah"/>
          <w:rtl/>
        </w:rPr>
        <w:t xml:space="preserve"> </w:t>
      </w:r>
      <w:r w:rsidRPr="00E6096E">
        <w:rPr>
          <w:rFonts w:ascii="DBS-Torah" w:hint="cs"/>
          <w:rtl/>
        </w:rPr>
        <w:t>לשנת</w:t>
      </w:r>
      <w:r w:rsidRPr="00E6096E">
        <w:rPr>
          <w:rFonts w:ascii="DBS-Torah"/>
          <w:rtl/>
        </w:rPr>
        <w:t xml:space="preserve"> 201</w:t>
      </w:r>
      <w:r>
        <w:rPr>
          <w:rFonts w:ascii="DBS-Torah" w:hint="cs"/>
          <w:rtl/>
        </w:rPr>
        <w:t>9</w:t>
      </w:r>
      <w:r w:rsidRPr="00E6096E">
        <w:rPr>
          <w:rFonts w:ascii="DBS-Torah"/>
          <w:rtl/>
        </w:rPr>
        <w:t xml:space="preserve"> </w:t>
      </w:r>
      <w:r w:rsidRPr="00E6096E">
        <w:rPr>
          <w:rFonts w:ascii="DBS-Torah" w:hint="cs"/>
          <w:rtl/>
        </w:rPr>
        <w:t>על</w:t>
      </w:r>
      <w:r w:rsidRPr="00E6096E">
        <w:rPr>
          <w:rFonts w:ascii="DBS-Torah"/>
          <w:rtl/>
        </w:rPr>
        <w:t xml:space="preserve"> </w:t>
      </w:r>
      <w:r w:rsidRPr="00E6096E">
        <w:rPr>
          <w:rFonts w:ascii="DBS-Torah" w:hint="cs"/>
          <w:rtl/>
        </w:rPr>
        <w:t>אשכול</w:t>
      </w:r>
      <w:r w:rsidRPr="00E6096E">
        <w:rPr>
          <w:rFonts w:ascii="DBS-Torah"/>
          <w:rtl/>
        </w:rPr>
        <w:t xml:space="preserve"> </w:t>
      </w:r>
      <w:r w:rsidRPr="00E6096E">
        <w:rPr>
          <w:rFonts w:ascii="DBS-Torah" w:hint="cs"/>
          <w:rtl/>
        </w:rPr>
        <w:t>ענפי</w:t>
      </w:r>
      <w:r w:rsidRPr="00E6096E">
        <w:rPr>
          <w:rFonts w:ascii="DBS-Torah"/>
          <w:rtl/>
        </w:rPr>
        <w:t xml:space="preserve"> </w:t>
      </w:r>
      <w:r w:rsidRPr="00E6096E">
        <w:rPr>
          <w:rFonts w:ascii="DBS-Torah" w:hint="cs"/>
          <w:rtl/>
        </w:rPr>
        <w:t>המשק</w:t>
      </w:r>
      <w:r w:rsidRPr="00E6096E">
        <w:rPr>
          <w:rFonts w:ascii="DBS-Torah"/>
          <w:rtl/>
        </w:rPr>
        <w:t xml:space="preserve"> </w:t>
      </w:r>
      <w:r w:rsidRPr="00E6096E">
        <w:rPr>
          <w:rFonts w:ascii="DBS-Torah" w:hint="cs"/>
          <w:rtl/>
        </w:rPr>
        <w:t>עומדת</w:t>
      </w:r>
      <w:r w:rsidRPr="00E6096E">
        <w:rPr>
          <w:rFonts w:ascii="DBS-Torah"/>
          <w:rtl/>
        </w:rPr>
        <w:t xml:space="preserve"> </w:t>
      </w:r>
      <w:r w:rsidRPr="00E6096E">
        <w:rPr>
          <w:rFonts w:ascii="DBS-Torah" w:hint="cs"/>
          <w:rtl/>
        </w:rPr>
        <w:t>על</w:t>
      </w:r>
      <w:r w:rsidRPr="00E6096E">
        <w:rPr>
          <w:rFonts w:ascii="DBS-Torah"/>
          <w:rtl/>
        </w:rPr>
        <w:t xml:space="preserve"> </w:t>
      </w:r>
      <w:r w:rsidRPr="00E6096E">
        <w:rPr>
          <w:rFonts w:ascii="DBS-Torah" w:hint="cs"/>
          <w:rtl/>
        </w:rPr>
        <w:t>כ</w:t>
      </w:r>
      <w:r w:rsidRPr="00E6096E">
        <w:rPr>
          <w:rFonts w:ascii="DBS-Torah"/>
          <w:rtl/>
        </w:rPr>
        <w:t>-</w:t>
      </w:r>
      <w:r w:rsidR="00BD239C">
        <w:rPr>
          <w:rFonts w:ascii="DBS-Torah" w:hint="cs"/>
          <w:rtl/>
        </w:rPr>
        <w:t>32.2</w:t>
      </w:r>
      <w:r w:rsidRPr="00E6096E">
        <w:rPr>
          <w:rFonts w:ascii="DBS-Torah"/>
          <w:rtl/>
        </w:rPr>
        <w:t xml:space="preserve"> </w:t>
      </w:r>
      <w:r w:rsidRPr="00E6096E">
        <w:rPr>
          <w:rFonts w:ascii="DBS-Torah" w:hint="cs"/>
          <w:rtl/>
        </w:rPr>
        <w:t>מיליארד</w:t>
      </w:r>
      <w:r w:rsidRPr="00E6096E">
        <w:rPr>
          <w:rFonts w:ascii="DBS-Torah"/>
          <w:rtl/>
        </w:rPr>
        <w:t xml:space="preserve"> </w:t>
      </w:r>
      <w:r>
        <w:rPr>
          <w:rFonts w:ascii="DBS-Torah" w:hint="cs"/>
          <w:rtl/>
        </w:rPr>
        <w:t>ש</w:t>
      </w:r>
      <w:r>
        <w:rPr>
          <w:rFonts w:ascii="DBS-Torah"/>
          <w:rtl/>
        </w:rPr>
        <w:t>"</w:t>
      </w:r>
      <w:r>
        <w:rPr>
          <w:rFonts w:ascii="DBS-Torah" w:hint="cs"/>
          <w:rtl/>
        </w:rPr>
        <w:t>ח,</w:t>
      </w:r>
      <w:r w:rsidRPr="00E6096E">
        <w:rPr>
          <w:rFonts w:ascii="DBS-Torah"/>
          <w:rtl/>
        </w:rPr>
        <w:t xml:space="preserve"> </w:t>
      </w:r>
      <w:r w:rsidRPr="00E6096E">
        <w:rPr>
          <w:rFonts w:ascii="DBS-Torah" w:hint="cs"/>
          <w:rtl/>
        </w:rPr>
        <w:t>המהווים</w:t>
      </w:r>
      <w:r w:rsidRPr="00E6096E">
        <w:rPr>
          <w:rFonts w:ascii="DBS-Torah"/>
          <w:rtl/>
        </w:rPr>
        <w:t xml:space="preserve"> </w:t>
      </w:r>
      <w:r w:rsidRPr="00E6096E">
        <w:rPr>
          <w:rFonts w:ascii="DBS-Torah" w:hint="cs"/>
          <w:rtl/>
        </w:rPr>
        <w:t>כ</w:t>
      </w:r>
      <w:r w:rsidRPr="00E6096E">
        <w:rPr>
          <w:rFonts w:ascii="DBS-Torah"/>
          <w:rtl/>
        </w:rPr>
        <w:t>-</w:t>
      </w:r>
      <w:r w:rsidR="00BD239C">
        <w:rPr>
          <w:rFonts w:ascii="DBS-Torah" w:hint="cs"/>
          <w:rtl/>
        </w:rPr>
        <w:t>7.7</w:t>
      </w:r>
      <w:r>
        <w:rPr>
          <w:rFonts w:ascii="DBS-Torah" w:hint="cs"/>
          <w:rtl/>
        </w:rPr>
        <w:t>%</w:t>
      </w:r>
      <w:r w:rsidRPr="00E6096E">
        <w:rPr>
          <w:rFonts w:ascii="DBS-Torah"/>
          <w:rtl/>
        </w:rPr>
        <w:t xml:space="preserve"> </w:t>
      </w:r>
      <w:r w:rsidRPr="00E6096E">
        <w:rPr>
          <w:rFonts w:ascii="DBS-Torah" w:hint="cs"/>
          <w:rtl/>
        </w:rPr>
        <w:t>מסך</w:t>
      </w:r>
      <w:r w:rsidRPr="00E6096E">
        <w:rPr>
          <w:rFonts w:ascii="DBS-Torah"/>
          <w:rtl/>
        </w:rPr>
        <w:t xml:space="preserve"> </w:t>
      </w:r>
      <w:r w:rsidRPr="00E6096E">
        <w:rPr>
          <w:rFonts w:ascii="DBS-Torah" w:hint="cs"/>
          <w:rtl/>
        </w:rPr>
        <w:t>ההוצאה</w:t>
      </w:r>
      <w:r w:rsidRPr="00E6096E">
        <w:rPr>
          <w:rFonts w:ascii="DBS-Torah"/>
          <w:rtl/>
        </w:rPr>
        <w:t>.</w:t>
      </w:r>
    </w:p>
    <w:p w:rsidR="00DC4053" w:rsidRPr="008B2932" w:rsidRDefault="00DC4053" w:rsidP="00A34826">
      <w:pPr>
        <w:pStyle w:val="a7"/>
        <w:numPr>
          <w:ilvl w:val="0"/>
          <w:numId w:val="11"/>
        </w:numPr>
        <w:rPr>
          <w:rFonts w:ascii="DBS-Torah"/>
        </w:rPr>
      </w:pPr>
      <w:r w:rsidRPr="00E6096E">
        <w:rPr>
          <w:rFonts w:ascii="DBS-Torah" w:hint="cs"/>
          <w:rtl/>
        </w:rPr>
        <w:t>על</w:t>
      </w:r>
      <w:r w:rsidRPr="00E6096E">
        <w:rPr>
          <w:rFonts w:ascii="DBS-Torah"/>
          <w:rtl/>
        </w:rPr>
        <w:t xml:space="preserve"> </w:t>
      </w:r>
      <w:r w:rsidRPr="00E6096E">
        <w:rPr>
          <w:rFonts w:ascii="DBS-Torah" w:hint="cs"/>
          <w:rtl/>
        </w:rPr>
        <w:t>פי</w:t>
      </w:r>
      <w:r w:rsidRPr="00E6096E">
        <w:rPr>
          <w:rFonts w:ascii="DBS-Torah"/>
          <w:rtl/>
        </w:rPr>
        <w:t xml:space="preserve"> </w:t>
      </w:r>
      <w:r w:rsidRPr="00E6096E">
        <w:rPr>
          <w:rFonts w:ascii="DBS-Torah" w:hint="cs"/>
          <w:rtl/>
        </w:rPr>
        <w:t>היקף</w:t>
      </w:r>
      <w:r w:rsidRPr="00E6096E">
        <w:rPr>
          <w:rFonts w:ascii="DBS-Torah"/>
          <w:rtl/>
        </w:rPr>
        <w:t xml:space="preserve"> </w:t>
      </w:r>
      <w:r w:rsidRPr="00782249">
        <w:rPr>
          <w:rFonts w:ascii="DBS-Torah" w:hint="eastAsia"/>
          <w:rtl/>
        </w:rPr>
        <w:t>מחויבויות</w:t>
      </w:r>
      <w:r w:rsidRPr="00782249">
        <w:rPr>
          <w:rFonts w:ascii="DBS-Torah"/>
          <w:rtl/>
        </w:rPr>
        <w:t xml:space="preserve"> </w:t>
      </w:r>
      <w:r w:rsidRPr="00782249">
        <w:rPr>
          <w:rFonts w:ascii="DBS-Torah" w:hint="eastAsia"/>
          <w:rtl/>
        </w:rPr>
        <w:t>הממשלה</w:t>
      </w:r>
      <w:r w:rsidRPr="00782249">
        <w:rPr>
          <w:rFonts w:ascii="DBS-Torah"/>
          <w:rtl/>
        </w:rPr>
        <w:t xml:space="preserve"> </w:t>
      </w:r>
      <w:r w:rsidRPr="00782249">
        <w:rPr>
          <w:rFonts w:ascii="DBS-Torah" w:hint="eastAsia"/>
          <w:rtl/>
        </w:rPr>
        <w:t>הנוכחי</w:t>
      </w:r>
      <w:r w:rsidRPr="00782249">
        <w:rPr>
          <w:rFonts w:ascii="DBS-Torah"/>
          <w:rtl/>
        </w:rPr>
        <w:t xml:space="preserve">, </w:t>
      </w:r>
      <w:r w:rsidRPr="00782249">
        <w:rPr>
          <w:rFonts w:ascii="DBS-Torah" w:hint="eastAsia"/>
          <w:rtl/>
        </w:rPr>
        <w:t>במהלך</w:t>
      </w:r>
      <w:r w:rsidRPr="00782249">
        <w:rPr>
          <w:rFonts w:ascii="DBS-Torah"/>
          <w:rtl/>
        </w:rPr>
        <w:t xml:space="preserve"> </w:t>
      </w:r>
      <w:r w:rsidRPr="00782249">
        <w:rPr>
          <w:rFonts w:ascii="DBS-Torah" w:hint="eastAsia"/>
          <w:rtl/>
        </w:rPr>
        <w:t>השנים</w:t>
      </w:r>
      <w:r w:rsidRPr="00782249">
        <w:rPr>
          <w:rFonts w:ascii="DBS-Torah"/>
          <w:rtl/>
        </w:rPr>
        <w:t xml:space="preserve"> 201</w:t>
      </w:r>
      <w:r>
        <w:rPr>
          <w:rFonts w:ascii="DBS-Torah" w:hint="cs"/>
          <w:rtl/>
        </w:rPr>
        <w:t>9</w:t>
      </w:r>
      <w:r w:rsidRPr="00782249">
        <w:rPr>
          <w:rFonts w:ascii="DBS-Torah"/>
          <w:rtl/>
        </w:rPr>
        <w:t xml:space="preserve"> עד 202</w:t>
      </w:r>
      <w:r>
        <w:rPr>
          <w:rFonts w:ascii="DBS-Torah" w:hint="cs"/>
          <w:rtl/>
        </w:rPr>
        <w:t>2</w:t>
      </w:r>
      <w:r w:rsidRPr="00782249">
        <w:rPr>
          <w:rFonts w:ascii="DBS-Torah"/>
          <w:rtl/>
        </w:rPr>
        <w:t xml:space="preserve">, </w:t>
      </w:r>
      <w:r w:rsidRPr="00782249">
        <w:rPr>
          <w:rFonts w:ascii="DBS-Torah" w:hint="eastAsia"/>
          <w:rtl/>
        </w:rPr>
        <w:t>צפויה</w:t>
      </w:r>
      <w:r w:rsidRPr="00782249">
        <w:rPr>
          <w:rFonts w:ascii="DBS-Torah"/>
          <w:rtl/>
        </w:rPr>
        <w:t xml:space="preserve"> </w:t>
      </w:r>
      <w:r w:rsidRPr="00782249">
        <w:rPr>
          <w:rFonts w:ascii="DBS-Torah" w:hint="eastAsia"/>
          <w:rtl/>
        </w:rPr>
        <w:t>ההוצאה</w:t>
      </w:r>
      <w:r w:rsidRPr="00782249">
        <w:rPr>
          <w:rFonts w:ascii="DBS-Torah"/>
          <w:rtl/>
        </w:rPr>
        <w:t xml:space="preserve"> </w:t>
      </w:r>
      <w:r w:rsidRPr="00782249">
        <w:rPr>
          <w:rFonts w:ascii="DBS-Torah" w:hint="eastAsia"/>
          <w:rtl/>
        </w:rPr>
        <w:t>על</w:t>
      </w:r>
      <w:r w:rsidRPr="00782249">
        <w:rPr>
          <w:rFonts w:ascii="DBS-Torah"/>
          <w:rtl/>
        </w:rPr>
        <w:t xml:space="preserve"> </w:t>
      </w:r>
      <w:r w:rsidRPr="00782249">
        <w:rPr>
          <w:rFonts w:ascii="DBS-Torah" w:hint="eastAsia"/>
          <w:rtl/>
        </w:rPr>
        <w:t>ענפי</w:t>
      </w:r>
      <w:r w:rsidRPr="00782249">
        <w:rPr>
          <w:rFonts w:ascii="DBS-Torah"/>
          <w:rtl/>
        </w:rPr>
        <w:t xml:space="preserve"> </w:t>
      </w:r>
      <w:r w:rsidRPr="00782249">
        <w:rPr>
          <w:rFonts w:ascii="DBS-Torah" w:hint="eastAsia"/>
          <w:rtl/>
        </w:rPr>
        <w:t>המשק</w:t>
      </w:r>
      <w:r w:rsidRPr="00782249">
        <w:rPr>
          <w:rFonts w:ascii="DBS-Torah"/>
          <w:rtl/>
        </w:rPr>
        <w:t xml:space="preserve"> </w:t>
      </w:r>
      <w:r w:rsidR="00BD239C">
        <w:rPr>
          <w:rFonts w:ascii="DBS-Torah" w:hint="cs"/>
          <w:rtl/>
        </w:rPr>
        <w:t>לגדול ב-0.8 מיליארד</w:t>
      </w:r>
      <w:r w:rsidR="00393986">
        <w:rPr>
          <w:rFonts w:ascii="DBS-Torah" w:hint="cs"/>
          <w:rtl/>
        </w:rPr>
        <w:t xml:space="preserve"> ש"ח</w:t>
      </w:r>
      <w:r w:rsidR="00BD239C">
        <w:rPr>
          <w:rFonts w:ascii="DBS-Torah" w:hint="cs"/>
          <w:rtl/>
        </w:rPr>
        <w:t xml:space="preserve">,  </w:t>
      </w:r>
      <w:r w:rsidRPr="00782249">
        <w:rPr>
          <w:rFonts w:ascii="DBS-Torah"/>
          <w:rtl/>
        </w:rPr>
        <w:t>כך שבשנת 202</w:t>
      </w:r>
      <w:r>
        <w:rPr>
          <w:rFonts w:ascii="DBS-Torah" w:hint="cs"/>
          <w:rtl/>
        </w:rPr>
        <w:t>2</w:t>
      </w:r>
      <w:r w:rsidRPr="00782249">
        <w:rPr>
          <w:rFonts w:ascii="DBS-Torah"/>
          <w:rtl/>
        </w:rPr>
        <w:t xml:space="preserve"> </w:t>
      </w:r>
      <w:r w:rsidRPr="00782249">
        <w:rPr>
          <w:rFonts w:ascii="DBS-Torah" w:hint="eastAsia"/>
          <w:rtl/>
        </w:rPr>
        <w:t>היא</w:t>
      </w:r>
      <w:r w:rsidRPr="00782249">
        <w:rPr>
          <w:rFonts w:ascii="DBS-Torah"/>
          <w:rtl/>
        </w:rPr>
        <w:t xml:space="preserve"> </w:t>
      </w:r>
      <w:r w:rsidRPr="00782249">
        <w:rPr>
          <w:rFonts w:ascii="DBS-Torah" w:hint="eastAsia"/>
          <w:rtl/>
        </w:rPr>
        <w:t>תעמוד</w:t>
      </w:r>
      <w:r w:rsidRPr="00782249">
        <w:rPr>
          <w:rFonts w:ascii="DBS-Torah"/>
          <w:rtl/>
        </w:rPr>
        <w:t xml:space="preserve"> </w:t>
      </w:r>
      <w:r w:rsidRPr="00782249">
        <w:rPr>
          <w:rFonts w:ascii="DBS-Torah" w:hint="eastAsia"/>
          <w:rtl/>
        </w:rPr>
        <w:t>על</w:t>
      </w:r>
      <w:r w:rsidRPr="00782249">
        <w:rPr>
          <w:rFonts w:ascii="DBS-Torah"/>
          <w:rtl/>
        </w:rPr>
        <w:t xml:space="preserve"> </w:t>
      </w:r>
      <w:r w:rsidRPr="00782249">
        <w:rPr>
          <w:rFonts w:ascii="DBS-Torah" w:hint="eastAsia"/>
          <w:rtl/>
        </w:rPr>
        <w:t>כ</w:t>
      </w:r>
      <w:r w:rsidRPr="00782249">
        <w:rPr>
          <w:rFonts w:ascii="DBS-Torah"/>
          <w:rtl/>
        </w:rPr>
        <w:t>-</w:t>
      </w:r>
      <w:r w:rsidR="00BD239C">
        <w:rPr>
          <w:rFonts w:ascii="DBS-Torah" w:hint="cs"/>
          <w:rtl/>
        </w:rPr>
        <w:t>33.0</w:t>
      </w:r>
      <w:r w:rsidRPr="00782249">
        <w:rPr>
          <w:rFonts w:ascii="DBS-Torah"/>
          <w:rtl/>
        </w:rPr>
        <w:t xml:space="preserve"> מיליארד </w:t>
      </w:r>
      <w:r w:rsidRPr="00782249">
        <w:rPr>
          <w:rFonts w:ascii="DBS-Torah" w:hint="eastAsia"/>
          <w:rtl/>
        </w:rPr>
        <w:t>ש</w:t>
      </w:r>
      <w:r w:rsidRPr="00782249">
        <w:rPr>
          <w:rFonts w:ascii="DBS-Torah"/>
          <w:rtl/>
        </w:rPr>
        <w:t>"</w:t>
      </w:r>
      <w:r w:rsidRPr="00782249">
        <w:rPr>
          <w:rFonts w:ascii="DBS-Torah" w:hint="eastAsia"/>
          <w:rtl/>
        </w:rPr>
        <w:t>ח</w:t>
      </w:r>
      <w:r w:rsidRPr="00782249">
        <w:rPr>
          <w:rFonts w:ascii="DBS-Torah"/>
          <w:rtl/>
        </w:rPr>
        <w:t xml:space="preserve">, המהווים </w:t>
      </w:r>
      <w:r w:rsidRPr="00782249">
        <w:rPr>
          <w:rFonts w:ascii="DBS-Torah" w:hint="eastAsia"/>
          <w:rtl/>
        </w:rPr>
        <w:t>כ</w:t>
      </w:r>
      <w:r w:rsidRPr="00782249">
        <w:rPr>
          <w:rFonts w:ascii="DBS-Torah"/>
          <w:rtl/>
        </w:rPr>
        <w:t>-</w:t>
      </w:r>
      <w:r w:rsidR="00BD239C">
        <w:rPr>
          <w:rFonts w:ascii="DBS-Torah" w:hint="cs"/>
          <w:rtl/>
        </w:rPr>
        <w:t>7</w:t>
      </w:r>
      <w:r>
        <w:rPr>
          <w:rFonts w:ascii="DBS-Torah" w:hint="cs"/>
          <w:rtl/>
        </w:rPr>
        <w:t>.</w:t>
      </w:r>
      <w:r w:rsidR="00BD239C">
        <w:rPr>
          <w:rFonts w:ascii="DBS-Torah" w:hint="cs"/>
          <w:rtl/>
        </w:rPr>
        <w:t>3</w:t>
      </w:r>
      <w:r>
        <w:rPr>
          <w:rFonts w:ascii="DBS-Torah" w:hint="cs"/>
          <w:rtl/>
        </w:rPr>
        <w:t>%</w:t>
      </w:r>
      <w:r w:rsidRPr="00782249">
        <w:rPr>
          <w:rFonts w:ascii="DBS-Torah"/>
          <w:rtl/>
        </w:rPr>
        <w:t xml:space="preserve"> מסך ההוצאה הממשלתית.</w:t>
      </w:r>
      <w:r w:rsidRPr="008B2932">
        <w:rPr>
          <w:rFonts w:ascii="DBS-Torah"/>
          <w:rtl/>
        </w:rPr>
        <w:t xml:space="preserve"> </w:t>
      </w:r>
    </w:p>
    <w:p w:rsidR="00BC3FCF" w:rsidRDefault="00BC3FCF" w:rsidP="00BC3FCF">
      <w:pPr>
        <w:tabs>
          <w:tab w:val="left" w:pos="283"/>
        </w:tabs>
        <w:suppressAutoHyphens/>
        <w:autoSpaceDE w:val="0"/>
        <w:autoSpaceDN w:val="0"/>
        <w:adjustRightInd w:val="0"/>
        <w:ind w:left="720"/>
        <w:contextualSpacing/>
        <w:textAlignment w:val="center"/>
        <w:rPr>
          <w:rFonts w:ascii="DBS-Torah"/>
          <w:rtl/>
        </w:rPr>
      </w:pPr>
    </w:p>
    <w:p w:rsidR="00BC3FCF" w:rsidRPr="00403C8F" w:rsidRDefault="00BC3FCF" w:rsidP="00BC3FCF">
      <w:pPr>
        <w:tabs>
          <w:tab w:val="left" w:pos="283"/>
        </w:tabs>
        <w:suppressAutoHyphens/>
        <w:autoSpaceDE w:val="0"/>
        <w:autoSpaceDN w:val="0"/>
        <w:adjustRightInd w:val="0"/>
        <w:ind w:left="720"/>
        <w:contextualSpacing/>
        <w:textAlignment w:val="center"/>
        <w:rPr>
          <w:rFonts w:ascii="DBS-Torah"/>
        </w:rPr>
      </w:pPr>
      <w:r w:rsidRPr="00403C8F">
        <w:rPr>
          <w:rFonts w:ascii="DBS-Torah" w:hint="eastAsia"/>
          <w:rtl/>
        </w:rPr>
        <w:t>להלן</w:t>
      </w:r>
      <w:r w:rsidRPr="00403C8F">
        <w:rPr>
          <w:rFonts w:ascii="DBS-Torah"/>
          <w:rtl/>
        </w:rPr>
        <w:t xml:space="preserve"> </w:t>
      </w:r>
      <w:r w:rsidRPr="00403C8F">
        <w:rPr>
          <w:rFonts w:ascii="DBS-Torah" w:hint="eastAsia"/>
          <w:rtl/>
        </w:rPr>
        <w:t>ההנחות</w:t>
      </w:r>
      <w:r w:rsidRPr="00403C8F">
        <w:rPr>
          <w:rFonts w:ascii="DBS-Torah"/>
          <w:rtl/>
        </w:rPr>
        <w:t xml:space="preserve"> </w:t>
      </w:r>
      <w:r w:rsidRPr="00403C8F">
        <w:rPr>
          <w:rFonts w:ascii="DBS-Torah" w:hint="eastAsia"/>
          <w:rtl/>
        </w:rPr>
        <w:t>לגבי</w:t>
      </w:r>
      <w:r w:rsidRPr="00403C8F">
        <w:rPr>
          <w:rFonts w:ascii="DBS-Torah"/>
          <w:rtl/>
        </w:rPr>
        <w:t xml:space="preserve"> </w:t>
      </w:r>
      <w:r w:rsidRPr="00403C8F">
        <w:rPr>
          <w:rFonts w:ascii="DBS-Torah" w:hint="eastAsia"/>
          <w:rtl/>
        </w:rPr>
        <w:t>עיקרי</w:t>
      </w:r>
      <w:r w:rsidRPr="00403C8F">
        <w:rPr>
          <w:rFonts w:ascii="DBS-Torah"/>
          <w:rtl/>
        </w:rPr>
        <w:t xml:space="preserve"> </w:t>
      </w:r>
      <w:r w:rsidRPr="00403C8F">
        <w:rPr>
          <w:rFonts w:ascii="DBS-Torah" w:hint="eastAsia"/>
          <w:rtl/>
        </w:rPr>
        <w:t>השינויים</w:t>
      </w:r>
      <w:r w:rsidRPr="00403C8F">
        <w:rPr>
          <w:rFonts w:ascii="DBS-Torah"/>
          <w:rtl/>
        </w:rPr>
        <w:t xml:space="preserve"> </w:t>
      </w:r>
      <w:r w:rsidRPr="00403C8F">
        <w:rPr>
          <w:rFonts w:ascii="DBS-Torah" w:hint="eastAsia"/>
          <w:rtl/>
        </w:rPr>
        <w:t>הצפויים</w:t>
      </w:r>
      <w:r w:rsidRPr="00403C8F">
        <w:rPr>
          <w:rFonts w:ascii="DBS-Torah"/>
          <w:rtl/>
        </w:rPr>
        <w:t xml:space="preserve"> </w:t>
      </w:r>
      <w:r w:rsidRPr="00403C8F">
        <w:rPr>
          <w:rFonts w:ascii="DBS-Torah" w:hint="eastAsia"/>
          <w:rtl/>
        </w:rPr>
        <w:t>ברכיב</w:t>
      </w:r>
      <w:r w:rsidRPr="00403C8F">
        <w:rPr>
          <w:rFonts w:ascii="DBS-Torah"/>
          <w:rtl/>
        </w:rPr>
        <w:t xml:space="preserve"> </w:t>
      </w:r>
      <w:r w:rsidRPr="00403C8F">
        <w:rPr>
          <w:rFonts w:ascii="DBS-Torah" w:hint="eastAsia"/>
          <w:rtl/>
        </w:rPr>
        <w:t>הוצאה</w:t>
      </w:r>
      <w:r w:rsidRPr="00403C8F">
        <w:rPr>
          <w:rFonts w:ascii="DBS-Torah"/>
          <w:rtl/>
        </w:rPr>
        <w:t xml:space="preserve"> </w:t>
      </w:r>
      <w:r w:rsidRPr="00403C8F">
        <w:rPr>
          <w:rFonts w:ascii="DBS-Torah" w:hint="eastAsia"/>
          <w:rtl/>
        </w:rPr>
        <w:t>זה</w:t>
      </w:r>
      <w:r w:rsidRPr="00403C8F">
        <w:rPr>
          <w:rFonts w:ascii="DBS-Torah"/>
          <w:rtl/>
        </w:rPr>
        <w:t>:</w:t>
      </w:r>
    </w:p>
    <w:p w:rsidR="00BC3FCF" w:rsidRPr="008B2932" w:rsidRDefault="00BC3FCF" w:rsidP="00BC3FCF">
      <w:pPr>
        <w:numPr>
          <w:ilvl w:val="0"/>
          <w:numId w:val="11"/>
        </w:numPr>
        <w:tabs>
          <w:tab w:val="left" w:pos="340"/>
        </w:tabs>
        <w:suppressAutoHyphens/>
        <w:autoSpaceDE w:val="0"/>
        <w:autoSpaceDN w:val="0"/>
        <w:adjustRightInd w:val="0"/>
        <w:contextualSpacing/>
        <w:textAlignment w:val="center"/>
        <w:rPr>
          <w:rFonts w:ascii="DBS-Torah"/>
          <w:rtl/>
        </w:rPr>
      </w:pPr>
      <w:r w:rsidRPr="008B2932">
        <w:rPr>
          <w:rFonts w:ascii="DBS-Torah" w:hint="cs"/>
          <w:b/>
          <w:bCs/>
          <w:rtl/>
        </w:rPr>
        <w:t>הסדר</w:t>
      </w:r>
      <w:r w:rsidRPr="008B2932">
        <w:rPr>
          <w:rFonts w:ascii="DBS-Torah"/>
          <w:b/>
          <w:bCs/>
          <w:rtl/>
        </w:rPr>
        <w:t xml:space="preserve"> </w:t>
      </w:r>
      <w:r w:rsidRPr="008B2932">
        <w:rPr>
          <w:rFonts w:ascii="DBS-Torah" w:hint="cs"/>
          <w:b/>
          <w:bCs/>
          <w:rtl/>
        </w:rPr>
        <w:t>תשלום</w:t>
      </w:r>
      <w:r w:rsidRPr="008B2932">
        <w:rPr>
          <w:rFonts w:ascii="DBS-Torah"/>
          <w:b/>
          <w:bCs/>
          <w:rtl/>
        </w:rPr>
        <w:t xml:space="preserve"> </w:t>
      </w:r>
      <w:r w:rsidRPr="008B2932">
        <w:rPr>
          <w:rFonts w:ascii="DBS-Torah" w:hint="cs"/>
          <w:b/>
          <w:bCs/>
          <w:rtl/>
        </w:rPr>
        <w:t>לקרנות</w:t>
      </w:r>
      <w:r w:rsidRPr="008B2932">
        <w:rPr>
          <w:rFonts w:ascii="DBS-Torah"/>
          <w:b/>
          <w:bCs/>
          <w:rtl/>
        </w:rPr>
        <w:t xml:space="preserve"> </w:t>
      </w:r>
      <w:r w:rsidRPr="008B2932">
        <w:rPr>
          <w:rFonts w:ascii="DBS-Torah" w:hint="cs"/>
          <w:b/>
          <w:bCs/>
          <w:rtl/>
        </w:rPr>
        <w:t>הפנסיה</w:t>
      </w:r>
      <w:r w:rsidRPr="008B2932">
        <w:rPr>
          <w:rFonts w:ascii="DBS-Torah"/>
          <w:b/>
          <w:bCs/>
          <w:rtl/>
        </w:rPr>
        <w:t xml:space="preserve"> </w:t>
      </w:r>
      <w:r w:rsidRPr="008B2932">
        <w:rPr>
          <w:rFonts w:ascii="DBS-Torah" w:hint="cs"/>
          <w:b/>
          <w:bCs/>
          <w:rtl/>
        </w:rPr>
        <w:t>הוותיקות</w:t>
      </w:r>
      <w:r>
        <w:rPr>
          <w:rFonts w:ascii="DBS-Torah" w:hint="cs"/>
          <w:rtl/>
        </w:rPr>
        <w:t xml:space="preserve"> </w:t>
      </w:r>
      <w:r>
        <w:rPr>
          <w:rFonts w:asciiTheme="minorHAnsi" w:hAnsiTheme="minorHAnsi" w:hint="eastAsia"/>
        </w:rPr>
        <w:t>–</w:t>
      </w:r>
      <w:r w:rsidRPr="008B2932">
        <w:rPr>
          <w:rFonts w:ascii="DBS-Torah"/>
          <w:rtl/>
        </w:rPr>
        <w:t xml:space="preserve"> </w:t>
      </w:r>
      <w:r w:rsidRPr="008B2932">
        <w:rPr>
          <w:rFonts w:ascii="DBS-Torah" w:hint="cs"/>
          <w:rtl/>
        </w:rPr>
        <w:t>היקף</w:t>
      </w:r>
      <w:r w:rsidRPr="008B2932">
        <w:rPr>
          <w:rFonts w:ascii="DBS-Torah"/>
          <w:rtl/>
        </w:rPr>
        <w:t xml:space="preserve"> ההוצאה החזויה להסדר התשלומים לקרנות הפנסיה הוותיקות הוא בהתאם ללוח סילוקין שקבעה הממונה על שוק ההון</w:t>
      </w:r>
      <w:r w:rsidR="002C4195">
        <w:rPr>
          <w:rFonts w:ascii="DBS-Torah" w:hint="cs"/>
          <w:rtl/>
        </w:rPr>
        <w:t>, ביטוח וחיסכון דאז</w:t>
      </w:r>
      <w:r w:rsidRPr="008B2932">
        <w:rPr>
          <w:rFonts w:ascii="DBS-Torah"/>
          <w:rtl/>
        </w:rPr>
        <w:t xml:space="preserve"> וכן בהתאם לעדכון נתוני תחזית הלשכה המרכזית לסטטיסטיקה אודות מדדים רל</w:t>
      </w:r>
      <w:r>
        <w:rPr>
          <w:rFonts w:ascii="DBS-Torah" w:hint="cs"/>
          <w:rtl/>
        </w:rPr>
        <w:t>וו</w:t>
      </w:r>
      <w:r w:rsidRPr="008B2932">
        <w:rPr>
          <w:rFonts w:ascii="DBS-Torah"/>
          <w:rtl/>
        </w:rPr>
        <w:t xml:space="preserve">נטיים. </w:t>
      </w:r>
    </w:p>
    <w:p w:rsidR="00DC4053" w:rsidRPr="001E7F40" w:rsidRDefault="00DC4053" w:rsidP="00DC4053">
      <w:pPr>
        <w:pStyle w:val="a7"/>
        <w:rPr>
          <w:rFonts w:ascii="DBS-Torah"/>
          <w:highlight w:val="green"/>
          <w:rtl/>
        </w:rPr>
      </w:pPr>
    </w:p>
    <w:p w:rsidR="00DC4053" w:rsidRPr="00593819" w:rsidRDefault="00DC4053" w:rsidP="00DC4053">
      <w:pPr>
        <w:ind w:left="360"/>
        <w:rPr>
          <w:rFonts w:ascii="DBS-Torah"/>
          <w:b/>
          <w:bCs/>
          <w:highlight w:val="green"/>
          <w:rtl/>
        </w:rPr>
      </w:pPr>
      <w:r w:rsidRPr="00593819">
        <w:rPr>
          <w:rFonts w:ascii="DBS-Torah"/>
          <w:b/>
          <w:bCs/>
          <w:rtl/>
        </w:rPr>
        <w:t>ביחס לפרסום הקודם, השינוי העיקרי בקבוצת משרדים זאת הוא:</w:t>
      </w:r>
    </w:p>
    <w:p w:rsidR="005C21E0" w:rsidRDefault="00DC4053" w:rsidP="0006519B">
      <w:pPr>
        <w:pStyle w:val="a7"/>
        <w:numPr>
          <w:ilvl w:val="0"/>
          <w:numId w:val="11"/>
        </w:numPr>
        <w:tabs>
          <w:tab w:val="left" w:pos="340"/>
        </w:tabs>
        <w:suppressAutoHyphens/>
        <w:autoSpaceDE w:val="0"/>
        <w:autoSpaceDN w:val="0"/>
        <w:adjustRightInd w:val="0"/>
        <w:textAlignment w:val="center"/>
        <w:rPr>
          <w:rFonts w:cs="FrankRuehl"/>
          <w:szCs w:val="26"/>
        </w:rPr>
      </w:pPr>
      <w:r w:rsidRPr="005367E9">
        <w:rPr>
          <w:rFonts w:ascii="DBS-Torah" w:hint="eastAsia"/>
          <w:rtl/>
        </w:rPr>
        <w:t>ההוצאה</w:t>
      </w:r>
      <w:r w:rsidRPr="005367E9">
        <w:rPr>
          <w:rFonts w:ascii="DBS-Torah"/>
          <w:rtl/>
        </w:rPr>
        <w:t xml:space="preserve"> הצפויה </w:t>
      </w:r>
      <w:r w:rsidRPr="005367E9">
        <w:rPr>
          <w:rFonts w:ascii="DBS-Torah" w:hint="eastAsia"/>
          <w:rtl/>
        </w:rPr>
        <w:t>על</w:t>
      </w:r>
      <w:r w:rsidRPr="005367E9">
        <w:rPr>
          <w:rFonts w:ascii="DBS-Torah"/>
          <w:rtl/>
        </w:rPr>
        <w:t xml:space="preserve"> </w:t>
      </w:r>
      <w:r w:rsidRPr="005367E9">
        <w:rPr>
          <w:rFonts w:ascii="DBS-Torah"/>
          <w:b/>
          <w:bCs/>
          <w:rtl/>
        </w:rPr>
        <w:t xml:space="preserve">תקציב </w:t>
      </w:r>
      <w:r w:rsidRPr="005367E9">
        <w:rPr>
          <w:rFonts w:ascii="DBS-Torah" w:hint="eastAsia"/>
          <w:b/>
          <w:bCs/>
          <w:rtl/>
        </w:rPr>
        <w:t>משרד</w:t>
      </w:r>
      <w:r w:rsidRPr="005367E9">
        <w:rPr>
          <w:rFonts w:ascii="DBS-Torah"/>
          <w:b/>
          <w:bCs/>
          <w:rtl/>
        </w:rPr>
        <w:t xml:space="preserve"> הכלכלה </w:t>
      </w:r>
      <w:r w:rsidRPr="005367E9">
        <w:rPr>
          <w:rFonts w:ascii="DBS-Torah" w:hint="eastAsia"/>
          <w:rtl/>
        </w:rPr>
        <w:t>גדלה</w:t>
      </w:r>
      <w:r w:rsidRPr="005367E9">
        <w:rPr>
          <w:rFonts w:ascii="DBS-Torah"/>
          <w:rtl/>
        </w:rPr>
        <w:t xml:space="preserve"> </w:t>
      </w:r>
      <w:r w:rsidRPr="005367E9">
        <w:rPr>
          <w:rFonts w:ascii="DBS-Torah" w:hint="eastAsia"/>
          <w:rtl/>
        </w:rPr>
        <w:t>בממוצע</w:t>
      </w:r>
      <w:r w:rsidRPr="005367E9">
        <w:rPr>
          <w:rFonts w:ascii="DBS-Torah"/>
          <w:rtl/>
        </w:rPr>
        <w:t xml:space="preserve"> </w:t>
      </w:r>
      <w:r w:rsidRPr="005367E9">
        <w:rPr>
          <w:rFonts w:ascii="DBS-Torah" w:hint="eastAsia"/>
          <w:rtl/>
        </w:rPr>
        <w:t>בכ</w:t>
      </w:r>
      <w:r w:rsidR="00745192">
        <w:rPr>
          <w:rFonts w:ascii="DBS-Torah" w:hint="cs"/>
          <w:rtl/>
        </w:rPr>
        <w:t>-</w:t>
      </w:r>
      <w:r w:rsidR="004963F2">
        <w:rPr>
          <w:rFonts w:ascii="DBS-Torah" w:hint="cs"/>
          <w:rtl/>
        </w:rPr>
        <w:t>0.2</w:t>
      </w:r>
      <w:r w:rsidR="00745192">
        <w:rPr>
          <w:rFonts w:ascii="DBS-Torah" w:hint="cs"/>
          <w:rtl/>
        </w:rPr>
        <w:t xml:space="preserve"> </w:t>
      </w:r>
      <w:r w:rsidRPr="005367E9">
        <w:rPr>
          <w:rFonts w:ascii="DBS-Torah" w:hint="eastAsia"/>
          <w:rtl/>
        </w:rPr>
        <w:t>מיליארד</w:t>
      </w:r>
      <w:r w:rsidRPr="005367E9">
        <w:rPr>
          <w:rFonts w:ascii="DBS-Torah"/>
          <w:rtl/>
        </w:rPr>
        <w:t xml:space="preserve"> ש"ח בכל אחת מהשנ</w:t>
      </w:r>
      <w:r w:rsidRPr="005367E9">
        <w:rPr>
          <w:rFonts w:ascii="DBS-Torah" w:hint="eastAsia"/>
          <w:rtl/>
        </w:rPr>
        <w:t>ים</w:t>
      </w:r>
      <w:r w:rsidRPr="005367E9">
        <w:rPr>
          <w:rFonts w:ascii="DBS-Torah"/>
          <w:rtl/>
        </w:rPr>
        <w:t xml:space="preserve"> </w:t>
      </w:r>
      <w:r w:rsidR="00745192">
        <w:rPr>
          <w:rFonts w:ascii="DBS-Torah" w:hint="cs"/>
          <w:rtl/>
        </w:rPr>
        <w:t>2020-2022</w:t>
      </w:r>
      <w:r w:rsidRPr="005367E9">
        <w:rPr>
          <w:rFonts w:ascii="DBS-Torah"/>
          <w:rtl/>
        </w:rPr>
        <w:t xml:space="preserve">. </w:t>
      </w:r>
      <w:r w:rsidRPr="005367E9">
        <w:rPr>
          <w:rFonts w:ascii="DBS-Torah" w:hint="eastAsia"/>
          <w:rtl/>
        </w:rPr>
        <w:t>זאת</w:t>
      </w:r>
      <w:r w:rsidRPr="005367E9">
        <w:rPr>
          <w:rFonts w:ascii="DBS-Torah"/>
          <w:rtl/>
        </w:rPr>
        <w:t xml:space="preserve"> בעיקר בעקבות </w:t>
      </w:r>
      <w:r w:rsidR="00745192">
        <w:rPr>
          <w:rFonts w:ascii="DBS-Torah" w:hint="cs"/>
          <w:rtl/>
        </w:rPr>
        <w:t xml:space="preserve">אישור מנהלת רשות ההשקעות, בתום בדיקה כלכלית מקיפה, תכנית השקעות בסך </w:t>
      </w:r>
      <w:r w:rsidR="00DF01ED">
        <w:rPr>
          <w:rFonts w:hint="cs"/>
          <w:rtl/>
        </w:rPr>
        <w:t>כ-18 מיליארד ש"ח בשנים 2020-2018. במסגרת ז</w:t>
      </w:r>
      <w:r w:rsidR="002C4195">
        <w:rPr>
          <w:rFonts w:hint="cs"/>
          <w:rtl/>
        </w:rPr>
        <w:t>ו</w:t>
      </w:r>
      <w:r w:rsidR="00745192">
        <w:rPr>
          <w:rFonts w:hint="cs"/>
          <w:rtl/>
        </w:rPr>
        <w:t xml:space="preserve">, </w:t>
      </w:r>
      <w:r w:rsidR="005C21E0">
        <w:rPr>
          <w:rFonts w:hint="cs"/>
          <w:rtl/>
        </w:rPr>
        <w:t xml:space="preserve">אושרה </w:t>
      </w:r>
      <w:r w:rsidR="00745192">
        <w:rPr>
          <w:rFonts w:hint="cs"/>
          <w:rtl/>
        </w:rPr>
        <w:t xml:space="preserve">בקשתה של החברה </w:t>
      </w:r>
      <w:r w:rsidR="00DF01ED">
        <w:rPr>
          <w:rFonts w:hint="cs"/>
          <w:rtl/>
        </w:rPr>
        <w:t>לקבלת הטבות במסגרת החוק לעידוד השקעות הון</w:t>
      </w:r>
      <w:r w:rsidR="005C21E0">
        <w:rPr>
          <w:rFonts w:hint="cs"/>
          <w:rtl/>
        </w:rPr>
        <w:t>. מקור תקציבי להוצאה זו אושר בהחלטת הממשלה</w:t>
      </w:r>
      <w:r w:rsidR="002C4195">
        <w:rPr>
          <w:rFonts w:hint="cs"/>
          <w:rtl/>
        </w:rPr>
        <w:t xml:space="preserve"> מס'</w:t>
      </w:r>
      <w:r w:rsidR="005C21E0">
        <w:rPr>
          <w:rFonts w:hint="cs"/>
          <w:rtl/>
        </w:rPr>
        <w:t xml:space="preserve"> </w:t>
      </w:r>
      <w:r w:rsidR="005C21E0" w:rsidRPr="002978E9">
        <w:rPr>
          <w:rFonts w:ascii="DBS-Torah"/>
          <w:rtl/>
        </w:rPr>
        <w:t xml:space="preserve">4280 מיום </w:t>
      </w:r>
      <w:r w:rsidR="002C4195">
        <w:rPr>
          <w:rFonts w:ascii="DBS-Torah" w:hint="cs"/>
          <w:rtl/>
        </w:rPr>
        <w:t>18 בנובמבר 2018</w:t>
      </w:r>
      <w:r w:rsidR="005C21E0">
        <w:rPr>
          <w:rFonts w:ascii="DBS-Torah" w:hint="cs"/>
          <w:rtl/>
        </w:rPr>
        <w:t>.</w:t>
      </w:r>
    </w:p>
    <w:p w:rsidR="00BC3FCF" w:rsidRPr="00A34826" w:rsidRDefault="00BC3FCF" w:rsidP="0006519B">
      <w:pPr>
        <w:pStyle w:val="a7"/>
        <w:numPr>
          <w:ilvl w:val="0"/>
          <w:numId w:val="11"/>
        </w:numPr>
        <w:tabs>
          <w:tab w:val="left" w:pos="340"/>
        </w:tabs>
        <w:suppressAutoHyphens/>
        <w:autoSpaceDE w:val="0"/>
        <w:autoSpaceDN w:val="0"/>
        <w:adjustRightInd w:val="0"/>
        <w:textAlignment w:val="center"/>
        <w:rPr>
          <w:rFonts w:ascii="DBS-Torah"/>
          <w:rtl/>
        </w:rPr>
      </w:pPr>
      <w:r>
        <w:rPr>
          <w:rFonts w:hint="cs"/>
          <w:rtl/>
        </w:rPr>
        <w:t xml:space="preserve">גידול </w:t>
      </w:r>
      <w:r w:rsidRPr="00985463">
        <w:rPr>
          <w:rFonts w:hint="cs"/>
          <w:b/>
          <w:bCs/>
          <w:rtl/>
        </w:rPr>
        <w:t>ב</w:t>
      </w:r>
      <w:r>
        <w:rPr>
          <w:rFonts w:hint="cs"/>
          <w:b/>
          <w:bCs/>
          <w:rtl/>
        </w:rPr>
        <w:t>תקציב ה</w:t>
      </w:r>
      <w:r w:rsidRPr="00985463">
        <w:rPr>
          <w:rFonts w:hint="cs"/>
          <w:b/>
          <w:bCs/>
          <w:rtl/>
        </w:rPr>
        <w:t>גמלאות ו</w:t>
      </w:r>
      <w:r>
        <w:rPr>
          <w:rFonts w:hint="cs"/>
          <w:b/>
          <w:bCs/>
          <w:rtl/>
        </w:rPr>
        <w:t>ה</w:t>
      </w:r>
      <w:r w:rsidRPr="00985463">
        <w:rPr>
          <w:rFonts w:hint="cs"/>
          <w:b/>
          <w:bCs/>
          <w:rtl/>
        </w:rPr>
        <w:t>פיצויים</w:t>
      </w:r>
      <w:r>
        <w:rPr>
          <w:rFonts w:hint="cs"/>
          <w:rtl/>
        </w:rPr>
        <w:t xml:space="preserve"> עקב אישור </w:t>
      </w:r>
      <w:r w:rsidRPr="002978E9">
        <w:rPr>
          <w:rFonts w:ascii="DBS-Torah"/>
          <w:rtl/>
        </w:rPr>
        <w:t xml:space="preserve">תוספת שכר חלף תוספת "היעדר </w:t>
      </w:r>
      <w:r>
        <w:rPr>
          <w:rFonts w:ascii="DBS-Torah" w:hint="cs"/>
          <w:rtl/>
        </w:rPr>
        <w:t>ביטחון תעסוקתי</w:t>
      </w:r>
      <w:r w:rsidRPr="002978E9">
        <w:rPr>
          <w:rFonts w:ascii="DBS-Torah"/>
          <w:rtl/>
        </w:rPr>
        <w:t xml:space="preserve">" </w:t>
      </w:r>
      <w:r>
        <w:rPr>
          <w:rFonts w:ascii="DBS-Torah" w:hint="cs"/>
          <w:rtl/>
        </w:rPr>
        <w:t>לגמלאי השירותים המיוחדים בהחלטה</w:t>
      </w:r>
      <w:r w:rsidR="0006519B">
        <w:rPr>
          <w:rFonts w:ascii="DBS-Torah" w:hint="cs"/>
          <w:rtl/>
        </w:rPr>
        <w:t xml:space="preserve"> מס'</w:t>
      </w:r>
      <w:r>
        <w:rPr>
          <w:rFonts w:ascii="DBS-Torah" w:hint="cs"/>
          <w:rtl/>
        </w:rPr>
        <w:t xml:space="preserve"> 4280 מיום </w:t>
      </w:r>
      <w:r w:rsidR="0006519B">
        <w:rPr>
          <w:rFonts w:ascii="DBS-Torah" w:hint="cs"/>
          <w:rtl/>
        </w:rPr>
        <w:t>18 בנובמבר 2018</w:t>
      </w:r>
      <w:r>
        <w:rPr>
          <w:rFonts w:ascii="DBS-Torah" w:hint="cs"/>
          <w:rtl/>
        </w:rPr>
        <w:t xml:space="preserve">. כאמור בסעיף 1 </w:t>
      </w:r>
      <w:r w:rsidR="00A236CD">
        <w:rPr>
          <w:rFonts w:ascii="DBS-Torah" w:hint="cs"/>
          <w:rtl/>
        </w:rPr>
        <w:t xml:space="preserve">במסמך זה </w:t>
      </w:r>
      <w:r>
        <w:rPr>
          <w:rFonts w:ascii="DBS-Torah" w:hint="cs"/>
          <w:rtl/>
        </w:rPr>
        <w:t xml:space="preserve">אנשי השירותים והשוטרים </w:t>
      </w:r>
      <w:r w:rsidRPr="002978E9">
        <w:rPr>
          <w:rFonts w:ascii="DBS-Torah"/>
          <w:rtl/>
        </w:rPr>
        <w:t xml:space="preserve">ניהלו הליכים משפטיים על מנת לקבל את </w:t>
      </w:r>
      <w:r>
        <w:rPr>
          <w:rFonts w:ascii="DBS-Torah" w:hint="cs"/>
          <w:rtl/>
        </w:rPr>
        <w:t>התוספת</w:t>
      </w:r>
      <w:r w:rsidRPr="002978E9">
        <w:rPr>
          <w:rFonts w:ascii="DBS-Torah"/>
          <w:rtl/>
        </w:rPr>
        <w:t xml:space="preserve"> </w:t>
      </w:r>
      <w:r>
        <w:rPr>
          <w:rFonts w:ascii="DBS-Torah" w:hint="cs"/>
          <w:rtl/>
        </w:rPr>
        <w:t>ו</w:t>
      </w:r>
      <w:r w:rsidRPr="002978E9">
        <w:rPr>
          <w:rFonts w:ascii="DBS-Torah"/>
          <w:rtl/>
        </w:rPr>
        <w:t>לבסוף, החליטה הממשלה</w:t>
      </w:r>
      <w:r>
        <w:rPr>
          <w:rFonts w:ascii="DBS-Torah" w:hint="cs"/>
          <w:rtl/>
        </w:rPr>
        <w:t xml:space="preserve"> </w:t>
      </w:r>
      <w:r w:rsidRPr="002978E9">
        <w:rPr>
          <w:rFonts w:ascii="DBS-Torah"/>
          <w:rtl/>
        </w:rPr>
        <w:t xml:space="preserve">על תשלום תוספת שכר </w:t>
      </w:r>
      <w:r>
        <w:rPr>
          <w:rFonts w:ascii="DBS-Torah" w:hint="cs"/>
          <w:rtl/>
        </w:rPr>
        <w:t xml:space="preserve">בגובה ממוצע של 7% </w:t>
      </w:r>
      <w:r w:rsidRPr="002978E9">
        <w:rPr>
          <w:rFonts w:ascii="DBS-Torah"/>
          <w:rtl/>
        </w:rPr>
        <w:t>חלף התוספת שנקבעה בצה"ל</w:t>
      </w:r>
      <w:r>
        <w:rPr>
          <w:rFonts w:asciiTheme="minorHAnsi" w:hAnsiTheme="minorHAnsi" w:hint="cs"/>
          <w:rtl/>
        </w:rPr>
        <w:t>.</w:t>
      </w:r>
    </w:p>
    <w:p w:rsidR="00DF01ED" w:rsidRPr="00ED1F1E" w:rsidRDefault="00DF01ED" w:rsidP="00ED1F1E">
      <w:pPr>
        <w:tabs>
          <w:tab w:val="left" w:pos="340"/>
        </w:tabs>
        <w:suppressAutoHyphens/>
        <w:autoSpaceDE w:val="0"/>
        <w:autoSpaceDN w:val="0"/>
        <w:adjustRightInd w:val="0"/>
        <w:textAlignment w:val="center"/>
        <w:rPr>
          <w:rFonts w:asciiTheme="minorHAnsi" w:hAnsiTheme="minorHAnsi"/>
          <w:b/>
          <w:bCs/>
          <w:rtl/>
        </w:rPr>
      </w:pPr>
    </w:p>
    <w:p w:rsidR="00DC4053" w:rsidRPr="008B2932" w:rsidRDefault="00DC4053" w:rsidP="00DC4053">
      <w:pPr>
        <w:pStyle w:val="a7"/>
        <w:numPr>
          <w:ilvl w:val="0"/>
          <w:numId w:val="27"/>
        </w:numPr>
        <w:rPr>
          <w:b/>
          <w:bCs/>
        </w:rPr>
      </w:pPr>
      <w:r w:rsidRPr="008B2932">
        <w:rPr>
          <w:rFonts w:hint="cs"/>
          <w:b/>
          <w:bCs/>
          <w:rtl/>
        </w:rPr>
        <w:lastRenderedPageBreak/>
        <w:t>החזרי</w:t>
      </w:r>
      <w:r w:rsidRPr="008B2932">
        <w:rPr>
          <w:b/>
          <w:bCs/>
          <w:rtl/>
        </w:rPr>
        <w:t xml:space="preserve"> חוב (ריבית וקרן </w:t>
      </w:r>
      <w:r w:rsidRPr="009D14C0">
        <w:rPr>
          <w:rFonts w:hint="eastAsia"/>
          <w:b/>
          <w:bCs/>
          <w:rtl/>
        </w:rPr>
        <w:t>הביטוח</w:t>
      </w:r>
      <w:r w:rsidRPr="009D14C0">
        <w:rPr>
          <w:b/>
          <w:bCs/>
          <w:rtl/>
        </w:rPr>
        <w:t xml:space="preserve"> </w:t>
      </w:r>
      <w:r w:rsidRPr="009D14C0">
        <w:rPr>
          <w:rFonts w:hint="eastAsia"/>
          <w:b/>
          <w:bCs/>
          <w:rtl/>
        </w:rPr>
        <w:t>הלאומי</w:t>
      </w:r>
      <w:r w:rsidRPr="008B2932">
        <w:rPr>
          <w:b/>
          <w:bCs/>
          <w:rtl/>
        </w:rPr>
        <w:t xml:space="preserve">) </w:t>
      </w:r>
    </w:p>
    <w:p w:rsidR="00DC4053" w:rsidRPr="008B2932" w:rsidRDefault="00DC4053" w:rsidP="00DC4053">
      <w:pPr>
        <w:pStyle w:val="a7"/>
        <w:numPr>
          <w:ilvl w:val="0"/>
          <w:numId w:val="11"/>
        </w:numPr>
      </w:pPr>
      <w:r w:rsidRPr="008B2932">
        <w:rPr>
          <w:rFonts w:hint="cs"/>
          <w:rtl/>
        </w:rPr>
        <w:t>ההוצאה</w:t>
      </w:r>
      <w:r w:rsidRPr="008B2932">
        <w:rPr>
          <w:rtl/>
        </w:rPr>
        <w:t xml:space="preserve"> </w:t>
      </w:r>
      <w:r w:rsidRPr="008B2932">
        <w:rPr>
          <w:rFonts w:hint="cs"/>
          <w:rtl/>
        </w:rPr>
        <w:t>באשכול</w:t>
      </w:r>
      <w:r w:rsidRPr="008B2932">
        <w:rPr>
          <w:rtl/>
        </w:rPr>
        <w:t xml:space="preserve"> </w:t>
      </w:r>
      <w:r w:rsidRPr="008B2932">
        <w:rPr>
          <w:rFonts w:hint="cs"/>
          <w:rtl/>
        </w:rPr>
        <w:t>זה</w:t>
      </w:r>
      <w:r w:rsidRPr="008B2932">
        <w:rPr>
          <w:rtl/>
        </w:rPr>
        <w:t xml:space="preserve"> </w:t>
      </w:r>
      <w:r w:rsidRPr="008B2932">
        <w:rPr>
          <w:rFonts w:hint="cs"/>
          <w:rtl/>
        </w:rPr>
        <w:t>כוללת</w:t>
      </w:r>
      <w:r w:rsidRPr="008B2932">
        <w:rPr>
          <w:rtl/>
        </w:rPr>
        <w:t xml:space="preserve"> </w:t>
      </w:r>
      <w:r w:rsidRPr="008B2932">
        <w:rPr>
          <w:rFonts w:hint="cs"/>
          <w:rtl/>
        </w:rPr>
        <w:t>את</w:t>
      </w:r>
      <w:r w:rsidRPr="008B2932">
        <w:rPr>
          <w:rtl/>
        </w:rPr>
        <w:t xml:space="preserve"> </w:t>
      </w:r>
      <w:r w:rsidRPr="008B2932">
        <w:rPr>
          <w:rFonts w:hint="cs"/>
          <w:rtl/>
        </w:rPr>
        <w:t>ההוצאה</w:t>
      </w:r>
      <w:r w:rsidRPr="008B2932">
        <w:rPr>
          <w:rtl/>
        </w:rPr>
        <w:t xml:space="preserve"> </w:t>
      </w:r>
      <w:r w:rsidRPr="008B2932">
        <w:rPr>
          <w:rFonts w:hint="cs"/>
          <w:rtl/>
        </w:rPr>
        <w:t>בגין</w:t>
      </w:r>
      <w:r w:rsidRPr="008B2932">
        <w:rPr>
          <w:rtl/>
        </w:rPr>
        <w:t xml:space="preserve"> </w:t>
      </w:r>
      <w:r w:rsidRPr="008B2932">
        <w:rPr>
          <w:rFonts w:hint="cs"/>
          <w:rtl/>
        </w:rPr>
        <w:t>תשלומי</w:t>
      </w:r>
      <w:r w:rsidRPr="008B2932">
        <w:rPr>
          <w:rtl/>
        </w:rPr>
        <w:t xml:space="preserve"> </w:t>
      </w:r>
      <w:r w:rsidRPr="008B2932">
        <w:rPr>
          <w:rFonts w:hint="cs"/>
          <w:rtl/>
        </w:rPr>
        <w:t>ריבית</w:t>
      </w:r>
      <w:r w:rsidRPr="008B2932">
        <w:rPr>
          <w:rtl/>
        </w:rPr>
        <w:t xml:space="preserve"> </w:t>
      </w:r>
      <w:r w:rsidRPr="008B2932">
        <w:rPr>
          <w:rFonts w:hint="cs"/>
          <w:rtl/>
        </w:rPr>
        <w:t>וכן</w:t>
      </w:r>
      <w:r w:rsidRPr="008B2932">
        <w:rPr>
          <w:rtl/>
        </w:rPr>
        <w:t xml:space="preserve"> </w:t>
      </w:r>
      <w:r w:rsidRPr="008B2932">
        <w:rPr>
          <w:rFonts w:hint="cs"/>
          <w:rtl/>
        </w:rPr>
        <w:t>בגין</w:t>
      </w:r>
      <w:r w:rsidRPr="008B2932">
        <w:rPr>
          <w:rtl/>
        </w:rPr>
        <w:t xml:space="preserve"> </w:t>
      </w:r>
      <w:r w:rsidRPr="008B2932">
        <w:rPr>
          <w:rFonts w:hint="cs"/>
          <w:rtl/>
        </w:rPr>
        <w:t>קרן</w:t>
      </w:r>
      <w:r w:rsidRPr="008B2932">
        <w:rPr>
          <w:rtl/>
        </w:rPr>
        <w:t xml:space="preserve"> </w:t>
      </w:r>
      <w:r w:rsidRPr="008B2932">
        <w:rPr>
          <w:rFonts w:hint="cs"/>
          <w:rtl/>
        </w:rPr>
        <w:t>ביטוח</w:t>
      </w:r>
      <w:r w:rsidRPr="008B2932">
        <w:rPr>
          <w:rtl/>
        </w:rPr>
        <w:t xml:space="preserve"> </w:t>
      </w:r>
      <w:r w:rsidRPr="008B2932">
        <w:rPr>
          <w:rFonts w:hint="cs"/>
          <w:rtl/>
        </w:rPr>
        <w:t>לאומי</w:t>
      </w:r>
      <w:r w:rsidRPr="008B2932">
        <w:rPr>
          <w:rtl/>
        </w:rPr>
        <w:t>.</w:t>
      </w:r>
    </w:p>
    <w:p w:rsidR="00DC4053" w:rsidRPr="008B2932" w:rsidRDefault="00DC4053" w:rsidP="00DC4053">
      <w:pPr>
        <w:pStyle w:val="a7"/>
        <w:numPr>
          <w:ilvl w:val="0"/>
          <w:numId w:val="11"/>
        </w:numPr>
        <w:rPr>
          <w:b/>
          <w:bCs/>
        </w:rPr>
      </w:pPr>
      <w:r w:rsidRPr="008B2932">
        <w:rPr>
          <w:rFonts w:hint="cs"/>
          <w:rtl/>
        </w:rPr>
        <w:t>ההוצאה</w:t>
      </w:r>
      <w:r w:rsidRPr="008B2932">
        <w:rPr>
          <w:rtl/>
        </w:rPr>
        <w:t xml:space="preserve"> בתקציב המקורי לשנת 201</w:t>
      </w:r>
      <w:r>
        <w:rPr>
          <w:rFonts w:hint="cs"/>
          <w:rtl/>
        </w:rPr>
        <w:t>9</w:t>
      </w:r>
      <w:r w:rsidRPr="008B2932">
        <w:rPr>
          <w:rtl/>
        </w:rPr>
        <w:t xml:space="preserve"> </w:t>
      </w:r>
      <w:r w:rsidRPr="008B2932">
        <w:rPr>
          <w:rFonts w:hint="cs"/>
          <w:rtl/>
        </w:rPr>
        <w:t>על</w:t>
      </w:r>
      <w:r w:rsidRPr="008B2932">
        <w:rPr>
          <w:rtl/>
        </w:rPr>
        <w:t xml:space="preserve"> </w:t>
      </w:r>
      <w:r w:rsidRPr="008B2932">
        <w:rPr>
          <w:rFonts w:hint="cs"/>
          <w:rtl/>
        </w:rPr>
        <w:t>אשכול</w:t>
      </w:r>
      <w:r w:rsidRPr="008B2932">
        <w:rPr>
          <w:rtl/>
        </w:rPr>
        <w:t xml:space="preserve"> </w:t>
      </w:r>
      <w:r w:rsidRPr="008B2932">
        <w:rPr>
          <w:rFonts w:hint="cs"/>
          <w:rtl/>
        </w:rPr>
        <w:t>החזרי</w:t>
      </w:r>
      <w:r w:rsidRPr="008B2932">
        <w:rPr>
          <w:rtl/>
        </w:rPr>
        <w:t xml:space="preserve"> </w:t>
      </w:r>
      <w:r w:rsidRPr="008B2932">
        <w:rPr>
          <w:rFonts w:hint="cs"/>
          <w:rtl/>
        </w:rPr>
        <w:t>חוב</w:t>
      </w:r>
      <w:r w:rsidRPr="008B2932">
        <w:rPr>
          <w:rtl/>
        </w:rPr>
        <w:t xml:space="preserve"> (ריבית </w:t>
      </w:r>
      <w:r w:rsidRPr="008B2932">
        <w:rPr>
          <w:rFonts w:hint="cs"/>
          <w:rtl/>
        </w:rPr>
        <w:t>וקרן</w:t>
      </w:r>
      <w:r w:rsidRPr="008B2932">
        <w:rPr>
          <w:rtl/>
        </w:rPr>
        <w:t xml:space="preserve"> </w:t>
      </w:r>
      <w:r w:rsidRPr="008B2932">
        <w:rPr>
          <w:rFonts w:hint="cs"/>
          <w:rtl/>
        </w:rPr>
        <w:t>בטל</w:t>
      </w:r>
      <w:r w:rsidRPr="008B2932">
        <w:rPr>
          <w:rtl/>
        </w:rPr>
        <w:t xml:space="preserve">"א) </w:t>
      </w:r>
      <w:r w:rsidRPr="008B2932">
        <w:rPr>
          <w:rFonts w:hint="cs"/>
          <w:rtl/>
        </w:rPr>
        <w:t>עומדת</w:t>
      </w:r>
      <w:r w:rsidRPr="008B2932">
        <w:rPr>
          <w:rtl/>
        </w:rPr>
        <w:t xml:space="preserve"> </w:t>
      </w:r>
      <w:r w:rsidRPr="008B2932">
        <w:rPr>
          <w:rFonts w:hint="cs"/>
          <w:rtl/>
        </w:rPr>
        <w:t>על</w:t>
      </w:r>
      <w:r w:rsidRPr="008B2932">
        <w:rPr>
          <w:rtl/>
        </w:rPr>
        <w:t xml:space="preserve"> 52.3 </w:t>
      </w:r>
      <w:r w:rsidRPr="008B2932">
        <w:rPr>
          <w:rFonts w:hint="cs"/>
          <w:rtl/>
        </w:rPr>
        <w:t>מיליארד</w:t>
      </w:r>
      <w:r w:rsidRPr="008B2932">
        <w:rPr>
          <w:rtl/>
        </w:rPr>
        <w:t xml:space="preserve"> </w:t>
      </w:r>
      <w:r>
        <w:rPr>
          <w:rFonts w:hint="cs"/>
          <w:rtl/>
        </w:rPr>
        <w:t>ש"ח,</w:t>
      </w:r>
      <w:r w:rsidRPr="008B2932">
        <w:rPr>
          <w:rtl/>
        </w:rPr>
        <w:t xml:space="preserve"> </w:t>
      </w:r>
      <w:r w:rsidRPr="008B2932">
        <w:rPr>
          <w:rFonts w:hint="cs"/>
          <w:rtl/>
        </w:rPr>
        <w:t>המהווים</w:t>
      </w:r>
      <w:r w:rsidRPr="008B2932">
        <w:rPr>
          <w:rtl/>
        </w:rPr>
        <w:t xml:space="preserve"> </w:t>
      </w:r>
      <w:r w:rsidRPr="008B2932">
        <w:rPr>
          <w:rFonts w:hint="cs"/>
          <w:rtl/>
        </w:rPr>
        <w:t>כ</w:t>
      </w:r>
      <w:r w:rsidRPr="008B2932">
        <w:rPr>
          <w:rtl/>
        </w:rPr>
        <w:t>-13.9</w:t>
      </w:r>
      <w:r>
        <w:rPr>
          <w:rFonts w:hint="cs"/>
          <w:rtl/>
        </w:rPr>
        <w:t>%</w:t>
      </w:r>
      <w:r w:rsidRPr="008B2932">
        <w:rPr>
          <w:rtl/>
        </w:rPr>
        <w:t xml:space="preserve"> </w:t>
      </w:r>
      <w:r w:rsidRPr="008B2932">
        <w:rPr>
          <w:rFonts w:hint="cs"/>
          <w:rtl/>
        </w:rPr>
        <w:t>סך</w:t>
      </w:r>
      <w:r w:rsidRPr="008B2932">
        <w:rPr>
          <w:rtl/>
        </w:rPr>
        <w:t xml:space="preserve"> </w:t>
      </w:r>
      <w:r w:rsidRPr="008B2932">
        <w:rPr>
          <w:rFonts w:hint="cs"/>
          <w:rtl/>
        </w:rPr>
        <w:t>ההוצאה</w:t>
      </w:r>
      <w:r w:rsidRPr="008B2932">
        <w:rPr>
          <w:rtl/>
        </w:rPr>
        <w:t>.</w:t>
      </w:r>
    </w:p>
    <w:p w:rsidR="00DC4053" w:rsidRPr="005367E9" w:rsidRDefault="00DC4053" w:rsidP="005971AC">
      <w:pPr>
        <w:pStyle w:val="a7"/>
        <w:numPr>
          <w:ilvl w:val="0"/>
          <w:numId w:val="11"/>
        </w:numPr>
        <w:rPr>
          <w:b/>
          <w:bCs/>
          <w:rtl/>
        </w:rPr>
      </w:pPr>
      <w:r w:rsidRPr="008B2932">
        <w:rPr>
          <w:rFonts w:hint="cs"/>
          <w:rtl/>
        </w:rPr>
        <w:t>על</w:t>
      </w:r>
      <w:r w:rsidRPr="008B2932">
        <w:rPr>
          <w:rtl/>
        </w:rPr>
        <w:t xml:space="preserve"> </w:t>
      </w:r>
      <w:r w:rsidRPr="008B2932">
        <w:rPr>
          <w:rFonts w:hint="cs"/>
          <w:rtl/>
        </w:rPr>
        <w:t>פי</w:t>
      </w:r>
      <w:r w:rsidRPr="008B2932">
        <w:rPr>
          <w:rtl/>
        </w:rPr>
        <w:t xml:space="preserve"> </w:t>
      </w:r>
      <w:r w:rsidRPr="008B2932">
        <w:rPr>
          <w:rFonts w:hint="cs"/>
          <w:rtl/>
        </w:rPr>
        <w:t>היקף</w:t>
      </w:r>
      <w:r w:rsidRPr="008B2932">
        <w:rPr>
          <w:rtl/>
        </w:rPr>
        <w:t xml:space="preserve"> </w:t>
      </w:r>
      <w:r w:rsidRPr="008B2932">
        <w:rPr>
          <w:rFonts w:hint="cs"/>
          <w:rtl/>
        </w:rPr>
        <w:t>מחויבויות</w:t>
      </w:r>
      <w:r w:rsidRPr="008B2932">
        <w:rPr>
          <w:rtl/>
        </w:rPr>
        <w:t xml:space="preserve"> </w:t>
      </w:r>
      <w:r w:rsidRPr="008B2932">
        <w:rPr>
          <w:rFonts w:hint="cs"/>
          <w:rtl/>
        </w:rPr>
        <w:t>הממשלה</w:t>
      </w:r>
      <w:r w:rsidRPr="008B2932">
        <w:rPr>
          <w:rtl/>
        </w:rPr>
        <w:t xml:space="preserve"> </w:t>
      </w:r>
      <w:r w:rsidRPr="008B2932">
        <w:rPr>
          <w:rFonts w:hint="cs"/>
          <w:rtl/>
        </w:rPr>
        <w:t>הנוכחי</w:t>
      </w:r>
      <w:r w:rsidRPr="008B2932">
        <w:rPr>
          <w:rtl/>
        </w:rPr>
        <w:t xml:space="preserve">, </w:t>
      </w:r>
      <w:r w:rsidRPr="008B2932">
        <w:rPr>
          <w:rFonts w:hint="cs"/>
          <w:rtl/>
        </w:rPr>
        <w:t>בין</w:t>
      </w:r>
      <w:r w:rsidRPr="008B2932">
        <w:rPr>
          <w:rtl/>
        </w:rPr>
        <w:t xml:space="preserve"> </w:t>
      </w:r>
      <w:r w:rsidRPr="008B2932">
        <w:rPr>
          <w:rFonts w:hint="cs"/>
          <w:rtl/>
        </w:rPr>
        <w:t>השנים</w:t>
      </w:r>
      <w:r w:rsidRPr="008B2932">
        <w:rPr>
          <w:rtl/>
        </w:rPr>
        <w:t xml:space="preserve"> </w:t>
      </w:r>
      <w:r>
        <w:rPr>
          <w:rFonts w:hint="cs"/>
          <w:rtl/>
        </w:rPr>
        <w:t>2019</w:t>
      </w:r>
      <w:r w:rsidRPr="008B2932">
        <w:rPr>
          <w:rtl/>
        </w:rPr>
        <w:t xml:space="preserve"> עד 202</w:t>
      </w:r>
      <w:r>
        <w:rPr>
          <w:rFonts w:hint="cs"/>
          <w:rtl/>
        </w:rPr>
        <w:t>2</w:t>
      </w:r>
      <w:r w:rsidRPr="008B2932">
        <w:rPr>
          <w:rtl/>
        </w:rPr>
        <w:t xml:space="preserve"> </w:t>
      </w:r>
      <w:r w:rsidRPr="008B2932">
        <w:rPr>
          <w:rFonts w:hint="cs"/>
          <w:rtl/>
        </w:rPr>
        <w:t>צפויה</w:t>
      </w:r>
      <w:r w:rsidRPr="008B2932">
        <w:rPr>
          <w:rtl/>
        </w:rPr>
        <w:t xml:space="preserve"> </w:t>
      </w:r>
      <w:r w:rsidRPr="008B2932">
        <w:rPr>
          <w:rFonts w:hint="cs"/>
          <w:rtl/>
        </w:rPr>
        <w:t>ההוצאה</w:t>
      </w:r>
      <w:r w:rsidRPr="008B2932">
        <w:rPr>
          <w:rtl/>
        </w:rPr>
        <w:t xml:space="preserve"> </w:t>
      </w:r>
      <w:r w:rsidRPr="008B2932">
        <w:rPr>
          <w:rFonts w:hint="cs"/>
          <w:rtl/>
        </w:rPr>
        <w:t>על</w:t>
      </w:r>
      <w:r w:rsidRPr="008B2932">
        <w:rPr>
          <w:rtl/>
        </w:rPr>
        <w:t xml:space="preserve"> </w:t>
      </w:r>
      <w:r w:rsidRPr="008B2932">
        <w:rPr>
          <w:rFonts w:hint="cs"/>
          <w:rtl/>
        </w:rPr>
        <w:t>החזרי</w:t>
      </w:r>
      <w:r w:rsidRPr="008B2932">
        <w:rPr>
          <w:rtl/>
        </w:rPr>
        <w:t xml:space="preserve"> </w:t>
      </w:r>
      <w:r w:rsidRPr="008B2932">
        <w:rPr>
          <w:rFonts w:hint="cs"/>
          <w:rtl/>
        </w:rPr>
        <w:t>חוב</w:t>
      </w:r>
      <w:r w:rsidRPr="008B2932">
        <w:rPr>
          <w:rtl/>
        </w:rPr>
        <w:t xml:space="preserve"> (</w:t>
      </w:r>
      <w:r w:rsidRPr="00861206">
        <w:rPr>
          <w:rtl/>
        </w:rPr>
        <w:t xml:space="preserve">ריבית </w:t>
      </w:r>
      <w:r w:rsidRPr="00861206">
        <w:rPr>
          <w:rFonts w:hint="eastAsia"/>
          <w:rtl/>
        </w:rPr>
        <w:t>וקרן</w:t>
      </w:r>
      <w:r w:rsidRPr="00861206">
        <w:rPr>
          <w:rtl/>
        </w:rPr>
        <w:t xml:space="preserve"> </w:t>
      </w:r>
      <w:r w:rsidRPr="00861206">
        <w:rPr>
          <w:rFonts w:hint="eastAsia"/>
          <w:rtl/>
        </w:rPr>
        <w:t>בטל</w:t>
      </w:r>
      <w:r w:rsidRPr="00861206">
        <w:rPr>
          <w:rtl/>
        </w:rPr>
        <w:t xml:space="preserve">"א) </w:t>
      </w:r>
      <w:r w:rsidRPr="00861206">
        <w:rPr>
          <w:rFonts w:hint="eastAsia"/>
          <w:rtl/>
        </w:rPr>
        <w:t>לגדול</w:t>
      </w:r>
      <w:r w:rsidRPr="00861206">
        <w:rPr>
          <w:rtl/>
        </w:rPr>
        <w:t xml:space="preserve"> בכ-</w:t>
      </w:r>
      <w:r w:rsidR="005D4131">
        <w:rPr>
          <w:rFonts w:hint="cs"/>
          <w:rtl/>
        </w:rPr>
        <w:t>8.3</w:t>
      </w:r>
      <w:r w:rsidRPr="00861206">
        <w:rPr>
          <w:rtl/>
        </w:rPr>
        <w:t xml:space="preserve"> </w:t>
      </w:r>
      <w:r w:rsidRPr="00861206">
        <w:rPr>
          <w:rFonts w:hint="eastAsia"/>
          <w:rtl/>
        </w:rPr>
        <w:t>מיליארד</w:t>
      </w:r>
      <w:r w:rsidRPr="00861206">
        <w:rPr>
          <w:rtl/>
        </w:rPr>
        <w:t xml:space="preserve"> </w:t>
      </w:r>
      <w:r w:rsidRPr="00861206">
        <w:rPr>
          <w:rFonts w:hint="eastAsia"/>
          <w:rtl/>
        </w:rPr>
        <w:t>ש</w:t>
      </w:r>
      <w:r w:rsidRPr="00861206">
        <w:rPr>
          <w:rtl/>
        </w:rPr>
        <w:t xml:space="preserve">"ח, </w:t>
      </w:r>
      <w:r w:rsidRPr="00861206">
        <w:rPr>
          <w:rFonts w:hint="eastAsia"/>
          <w:rtl/>
        </w:rPr>
        <w:t>כך</w:t>
      </w:r>
      <w:r w:rsidRPr="00861206">
        <w:rPr>
          <w:rtl/>
        </w:rPr>
        <w:t xml:space="preserve"> </w:t>
      </w:r>
      <w:r w:rsidRPr="00861206">
        <w:rPr>
          <w:rFonts w:hint="eastAsia"/>
          <w:rtl/>
        </w:rPr>
        <w:t>שבשנת</w:t>
      </w:r>
      <w:r w:rsidRPr="00861206">
        <w:rPr>
          <w:rtl/>
        </w:rPr>
        <w:t xml:space="preserve"> 202</w:t>
      </w:r>
      <w:r>
        <w:rPr>
          <w:rFonts w:hint="cs"/>
          <w:rtl/>
        </w:rPr>
        <w:t>2</w:t>
      </w:r>
      <w:r w:rsidRPr="00861206">
        <w:rPr>
          <w:rtl/>
        </w:rPr>
        <w:t xml:space="preserve"> </w:t>
      </w:r>
      <w:r w:rsidRPr="00861206">
        <w:rPr>
          <w:rFonts w:hint="eastAsia"/>
          <w:rtl/>
        </w:rPr>
        <w:t>היא</w:t>
      </w:r>
      <w:r w:rsidRPr="00861206">
        <w:rPr>
          <w:rtl/>
        </w:rPr>
        <w:t xml:space="preserve"> </w:t>
      </w:r>
      <w:r w:rsidRPr="00861206">
        <w:rPr>
          <w:rFonts w:hint="eastAsia"/>
          <w:rtl/>
        </w:rPr>
        <w:t>תעמוד</w:t>
      </w:r>
      <w:r w:rsidRPr="00861206">
        <w:rPr>
          <w:rtl/>
        </w:rPr>
        <w:t xml:space="preserve"> </w:t>
      </w:r>
      <w:r w:rsidRPr="00861206">
        <w:rPr>
          <w:rFonts w:hint="eastAsia"/>
          <w:rtl/>
        </w:rPr>
        <w:t>על</w:t>
      </w:r>
      <w:r w:rsidRPr="00861206">
        <w:rPr>
          <w:rtl/>
        </w:rPr>
        <w:t xml:space="preserve"> </w:t>
      </w:r>
      <w:r w:rsidRPr="00861206">
        <w:rPr>
          <w:rFonts w:hint="eastAsia"/>
          <w:rtl/>
        </w:rPr>
        <w:t>כ</w:t>
      </w:r>
      <w:r w:rsidRPr="00861206">
        <w:rPr>
          <w:rtl/>
        </w:rPr>
        <w:t>-</w:t>
      </w:r>
      <w:r w:rsidR="005D4131">
        <w:rPr>
          <w:rFonts w:hint="cs"/>
          <w:rtl/>
        </w:rPr>
        <w:t>60.6</w:t>
      </w:r>
      <w:r w:rsidRPr="00861206">
        <w:rPr>
          <w:rtl/>
        </w:rPr>
        <w:t xml:space="preserve"> </w:t>
      </w:r>
      <w:r w:rsidRPr="00861206">
        <w:rPr>
          <w:rFonts w:hint="eastAsia"/>
          <w:rtl/>
        </w:rPr>
        <w:t>מיליארד</w:t>
      </w:r>
      <w:r w:rsidRPr="00861206">
        <w:rPr>
          <w:rtl/>
        </w:rPr>
        <w:t xml:space="preserve"> </w:t>
      </w:r>
      <w:r w:rsidRPr="00861206">
        <w:rPr>
          <w:rFonts w:hint="eastAsia"/>
          <w:rtl/>
        </w:rPr>
        <w:t>ש</w:t>
      </w:r>
      <w:r w:rsidRPr="00861206">
        <w:rPr>
          <w:rtl/>
        </w:rPr>
        <w:t xml:space="preserve">"ח, </w:t>
      </w:r>
      <w:r w:rsidRPr="00861206">
        <w:rPr>
          <w:rFonts w:hint="eastAsia"/>
          <w:rtl/>
        </w:rPr>
        <w:t>אשר</w:t>
      </w:r>
      <w:r w:rsidRPr="00861206">
        <w:rPr>
          <w:rtl/>
        </w:rPr>
        <w:t xml:space="preserve"> </w:t>
      </w:r>
      <w:r w:rsidRPr="00861206">
        <w:rPr>
          <w:rFonts w:hint="eastAsia"/>
          <w:rtl/>
        </w:rPr>
        <w:t>יהוו</w:t>
      </w:r>
      <w:r w:rsidRPr="00861206">
        <w:rPr>
          <w:rtl/>
        </w:rPr>
        <w:t xml:space="preserve"> </w:t>
      </w:r>
      <w:r w:rsidRPr="00861206">
        <w:rPr>
          <w:rFonts w:hint="eastAsia"/>
          <w:rtl/>
        </w:rPr>
        <w:t>כ</w:t>
      </w:r>
      <w:r w:rsidRPr="00861206">
        <w:rPr>
          <w:rtl/>
        </w:rPr>
        <w:t>-</w:t>
      </w:r>
      <w:r w:rsidRPr="00141E73">
        <w:rPr>
          <w:rtl/>
        </w:rPr>
        <w:t>13</w:t>
      </w:r>
      <w:r>
        <w:rPr>
          <w:rFonts w:hint="cs"/>
          <w:rtl/>
        </w:rPr>
        <w:t>.</w:t>
      </w:r>
      <w:r w:rsidR="005D4131">
        <w:rPr>
          <w:rFonts w:hint="cs"/>
          <w:rtl/>
        </w:rPr>
        <w:t>5</w:t>
      </w:r>
      <w:r>
        <w:rPr>
          <w:rFonts w:hint="cs"/>
          <w:rtl/>
        </w:rPr>
        <w:t>%</w:t>
      </w:r>
      <w:r w:rsidRPr="00861206">
        <w:rPr>
          <w:rtl/>
        </w:rPr>
        <w:t xml:space="preserve"> מסך ההוצאה הממשלתית. </w:t>
      </w:r>
    </w:p>
    <w:p w:rsidR="00DC4053" w:rsidRPr="00403C8F" w:rsidRDefault="00DC4053" w:rsidP="00DC4053">
      <w:pPr>
        <w:tabs>
          <w:tab w:val="left" w:pos="283"/>
        </w:tabs>
        <w:suppressAutoHyphens/>
        <w:autoSpaceDE w:val="0"/>
        <w:autoSpaceDN w:val="0"/>
        <w:adjustRightInd w:val="0"/>
        <w:ind w:left="720"/>
        <w:contextualSpacing/>
        <w:textAlignment w:val="center"/>
        <w:rPr>
          <w:rFonts w:ascii="DBS-Torah"/>
        </w:rPr>
      </w:pPr>
      <w:r w:rsidRPr="00403C8F">
        <w:rPr>
          <w:rFonts w:ascii="DBS-Torah" w:hint="eastAsia"/>
          <w:rtl/>
        </w:rPr>
        <w:t>להלן</w:t>
      </w:r>
      <w:r w:rsidRPr="00403C8F">
        <w:rPr>
          <w:rFonts w:ascii="DBS-Torah"/>
          <w:rtl/>
        </w:rPr>
        <w:t xml:space="preserve"> </w:t>
      </w:r>
      <w:r w:rsidRPr="00403C8F">
        <w:rPr>
          <w:rFonts w:ascii="DBS-Torah" w:hint="eastAsia"/>
          <w:rtl/>
        </w:rPr>
        <w:t>ההנחות</w:t>
      </w:r>
      <w:r w:rsidRPr="00403C8F">
        <w:rPr>
          <w:rFonts w:ascii="DBS-Torah"/>
          <w:rtl/>
        </w:rPr>
        <w:t xml:space="preserve"> </w:t>
      </w:r>
      <w:r w:rsidRPr="00403C8F">
        <w:rPr>
          <w:rFonts w:ascii="DBS-Torah" w:hint="eastAsia"/>
          <w:rtl/>
        </w:rPr>
        <w:t>לגבי</w:t>
      </w:r>
      <w:r w:rsidRPr="00403C8F">
        <w:rPr>
          <w:rFonts w:ascii="DBS-Torah"/>
          <w:rtl/>
        </w:rPr>
        <w:t xml:space="preserve"> </w:t>
      </w:r>
      <w:r w:rsidRPr="00403C8F">
        <w:rPr>
          <w:rFonts w:ascii="DBS-Torah" w:hint="eastAsia"/>
          <w:rtl/>
        </w:rPr>
        <w:t>עיקרי</w:t>
      </w:r>
      <w:r w:rsidRPr="00403C8F">
        <w:rPr>
          <w:rFonts w:ascii="DBS-Torah"/>
          <w:rtl/>
        </w:rPr>
        <w:t xml:space="preserve"> </w:t>
      </w:r>
      <w:r w:rsidRPr="00403C8F">
        <w:rPr>
          <w:rFonts w:ascii="DBS-Torah" w:hint="eastAsia"/>
          <w:rtl/>
        </w:rPr>
        <w:t>השינויים</w:t>
      </w:r>
      <w:r w:rsidRPr="00403C8F">
        <w:rPr>
          <w:rFonts w:ascii="DBS-Torah"/>
          <w:rtl/>
        </w:rPr>
        <w:t xml:space="preserve"> </w:t>
      </w:r>
      <w:r w:rsidRPr="00403C8F">
        <w:rPr>
          <w:rFonts w:ascii="DBS-Torah" w:hint="eastAsia"/>
          <w:rtl/>
        </w:rPr>
        <w:t>הצפויים</w:t>
      </w:r>
      <w:r w:rsidRPr="00403C8F">
        <w:rPr>
          <w:rFonts w:ascii="DBS-Torah"/>
          <w:rtl/>
        </w:rPr>
        <w:t xml:space="preserve"> </w:t>
      </w:r>
      <w:r w:rsidRPr="00403C8F">
        <w:rPr>
          <w:rFonts w:ascii="DBS-Torah" w:hint="eastAsia"/>
          <w:rtl/>
        </w:rPr>
        <w:t>ברכיב</w:t>
      </w:r>
      <w:r w:rsidRPr="00403C8F">
        <w:rPr>
          <w:rFonts w:ascii="DBS-Torah"/>
          <w:rtl/>
        </w:rPr>
        <w:t xml:space="preserve"> </w:t>
      </w:r>
      <w:r w:rsidRPr="00403C8F">
        <w:rPr>
          <w:rFonts w:ascii="DBS-Torah" w:hint="eastAsia"/>
          <w:rtl/>
        </w:rPr>
        <w:t>הוצאה</w:t>
      </w:r>
      <w:r w:rsidRPr="00403C8F">
        <w:rPr>
          <w:rFonts w:ascii="DBS-Torah"/>
          <w:rtl/>
        </w:rPr>
        <w:t xml:space="preserve"> </w:t>
      </w:r>
      <w:r w:rsidRPr="00403C8F">
        <w:rPr>
          <w:rFonts w:ascii="DBS-Torah" w:hint="eastAsia"/>
          <w:rtl/>
        </w:rPr>
        <w:t>זה</w:t>
      </w:r>
      <w:r w:rsidRPr="00403C8F">
        <w:rPr>
          <w:rFonts w:ascii="DBS-Torah"/>
          <w:rtl/>
        </w:rPr>
        <w:t>:</w:t>
      </w:r>
    </w:p>
    <w:p w:rsidR="00DC4053" w:rsidRPr="008B2932" w:rsidRDefault="00DC4053" w:rsidP="00DC4053">
      <w:pPr>
        <w:numPr>
          <w:ilvl w:val="0"/>
          <w:numId w:val="11"/>
        </w:numPr>
        <w:tabs>
          <w:tab w:val="left" w:pos="340"/>
        </w:tabs>
        <w:suppressAutoHyphens/>
        <w:autoSpaceDE w:val="0"/>
        <w:autoSpaceDN w:val="0"/>
        <w:adjustRightInd w:val="0"/>
        <w:contextualSpacing/>
        <w:textAlignment w:val="center"/>
        <w:rPr>
          <w:rFonts w:ascii="DBS-Torah"/>
          <w:rtl/>
        </w:rPr>
      </w:pPr>
      <w:r w:rsidRPr="008B2932">
        <w:rPr>
          <w:rFonts w:ascii="DBS-Torah" w:hint="cs"/>
          <w:b/>
          <w:bCs/>
          <w:rtl/>
        </w:rPr>
        <w:t>גידול</w:t>
      </w:r>
      <w:r w:rsidRPr="008B2932">
        <w:rPr>
          <w:rFonts w:ascii="DBS-Torah"/>
          <w:b/>
          <w:bCs/>
          <w:rtl/>
        </w:rPr>
        <w:t xml:space="preserve"> </w:t>
      </w:r>
      <w:r w:rsidRPr="008B2932">
        <w:rPr>
          <w:rFonts w:ascii="DBS-Torah" w:hint="cs"/>
          <w:b/>
          <w:bCs/>
          <w:rtl/>
        </w:rPr>
        <w:t>צפוי</w:t>
      </w:r>
      <w:r w:rsidRPr="008B2932">
        <w:rPr>
          <w:rFonts w:ascii="DBS-Torah"/>
          <w:b/>
          <w:bCs/>
          <w:rtl/>
        </w:rPr>
        <w:t xml:space="preserve"> </w:t>
      </w:r>
      <w:r w:rsidRPr="008B2932">
        <w:rPr>
          <w:rFonts w:ascii="DBS-Torah" w:hint="cs"/>
          <w:b/>
          <w:bCs/>
          <w:rtl/>
        </w:rPr>
        <w:t>בתשלומי</w:t>
      </w:r>
      <w:r w:rsidRPr="008B2932">
        <w:rPr>
          <w:rFonts w:ascii="DBS-Torah"/>
          <w:b/>
          <w:bCs/>
          <w:rtl/>
        </w:rPr>
        <w:t xml:space="preserve"> </w:t>
      </w:r>
      <w:r w:rsidRPr="008B2932">
        <w:rPr>
          <w:rFonts w:ascii="DBS-Torah" w:hint="cs"/>
          <w:b/>
          <w:bCs/>
          <w:rtl/>
        </w:rPr>
        <w:t>הריבית</w:t>
      </w:r>
      <w:r>
        <w:rPr>
          <w:rFonts w:ascii="DBS-Torah" w:hint="cs"/>
          <w:rtl/>
        </w:rPr>
        <w:t xml:space="preserve"> </w:t>
      </w:r>
      <w:r>
        <w:rPr>
          <w:rFonts w:asciiTheme="minorHAnsi" w:hAnsiTheme="minorHAnsi" w:hint="eastAsia"/>
        </w:rPr>
        <w:t>–</w:t>
      </w:r>
      <w:r w:rsidRPr="008B2932">
        <w:rPr>
          <w:rFonts w:ascii="DBS-Torah"/>
          <w:rtl/>
        </w:rPr>
        <w:t xml:space="preserve"> על פי התחזיות המקרו-כלכליות הנוכחיות ונוכח הגירעון המותר של הממשלה בשנים הבאות, צפוי גידול </w:t>
      </w:r>
      <w:r w:rsidRPr="008B2932">
        <w:rPr>
          <w:rFonts w:ascii="DBS-Torah" w:hint="cs"/>
          <w:rtl/>
        </w:rPr>
        <w:t>נומינלי</w:t>
      </w:r>
      <w:r w:rsidRPr="008B2932">
        <w:rPr>
          <w:rFonts w:ascii="DBS-Torah"/>
          <w:rtl/>
        </w:rPr>
        <w:t xml:space="preserve"> בתשלומי הריבית </w:t>
      </w:r>
      <w:r w:rsidRPr="008B2932">
        <w:rPr>
          <w:rFonts w:hint="cs"/>
          <w:rtl/>
        </w:rPr>
        <w:t>בשנים</w:t>
      </w:r>
      <w:r w:rsidRPr="008B2932">
        <w:rPr>
          <w:rtl/>
        </w:rPr>
        <w:t xml:space="preserve"> </w:t>
      </w:r>
      <w:r w:rsidRPr="008B2932">
        <w:rPr>
          <w:rFonts w:hint="cs"/>
          <w:rtl/>
        </w:rPr>
        <w:t>הקרובות</w:t>
      </w:r>
      <w:r w:rsidRPr="008B2932">
        <w:rPr>
          <w:rFonts w:ascii="DBS-Torah"/>
          <w:rtl/>
        </w:rPr>
        <w:t xml:space="preserve">. </w:t>
      </w:r>
    </w:p>
    <w:p w:rsidR="00DC4053" w:rsidRPr="008B2932" w:rsidRDefault="00DC4053" w:rsidP="00DC4053">
      <w:pPr>
        <w:numPr>
          <w:ilvl w:val="0"/>
          <w:numId w:val="11"/>
        </w:numPr>
        <w:tabs>
          <w:tab w:val="left" w:pos="340"/>
        </w:tabs>
        <w:suppressAutoHyphens/>
        <w:autoSpaceDE w:val="0"/>
        <w:autoSpaceDN w:val="0"/>
        <w:adjustRightInd w:val="0"/>
        <w:contextualSpacing/>
        <w:textAlignment w:val="center"/>
        <w:rPr>
          <w:rFonts w:ascii="DBS-Torah"/>
        </w:rPr>
      </w:pPr>
      <w:r w:rsidRPr="008B2932">
        <w:rPr>
          <w:rFonts w:ascii="DBS-Torah" w:hint="cs"/>
          <w:b/>
          <w:bCs/>
          <w:rtl/>
        </w:rPr>
        <w:t>גידול</w:t>
      </w:r>
      <w:r w:rsidRPr="008B2932">
        <w:rPr>
          <w:rFonts w:ascii="DBS-Torah"/>
          <w:b/>
          <w:bCs/>
          <w:rtl/>
        </w:rPr>
        <w:t xml:space="preserve"> </w:t>
      </w:r>
      <w:r w:rsidRPr="008B2932">
        <w:rPr>
          <w:rFonts w:ascii="DBS-Torah" w:hint="cs"/>
          <w:b/>
          <w:bCs/>
          <w:rtl/>
        </w:rPr>
        <w:t>בלוח</w:t>
      </w:r>
      <w:r w:rsidRPr="008B2932">
        <w:rPr>
          <w:rFonts w:ascii="DBS-Torah"/>
          <w:b/>
          <w:bCs/>
          <w:rtl/>
        </w:rPr>
        <w:t xml:space="preserve"> </w:t>
      </w:r>
      <w:r w:rsidRPr="008B2932">
        <w:rPr>
          <w:rFonts w:ascii="DBS-Torah" w:hint="cs"/>
          <w:b/>
          <w:bCs/>
          <w:rtl/>
        </w:rPr>
        <w:t>הסילוקין</w:t>
      </w:r>
      <w:r w:rsidRPr="008B2932">
        <w:rPr>
          <w:rFonts w:ascii="DBS-Torah"/>
          <w:b/>
          <w:bCs/>
          <w:rtl/>
        </w:rPr>
        <w:t xml:space="preserve"> </w:t>
      </w:r>
      <w:r w:rsidRPr="008B2932">
        <w:rPr>
          <w:rFonts w:ascii="DBS-Torah" w:hint="cs"/>
          <w:b/>
          <w:bCs/>
          <w:rtl/>
        </w:rPr>
        <w:t>של</w:t>
      </w:r>
      <w:r w:rsidRPr="008B2932">
        <w:rPr>
          <w:rFonts w:ascii="DBS-Torah"/>
          <w:b/>
          <w:bCs/>
          <w:rtl/>
        </w:rPr>
        <w:t xml:space="preserve"> </w:t>
      </w:r>
      <w:r w:rsidRPr="008B2932">
        <w:rPr>
          <w:rFonts w:ascii="DBS-Torah" w:hint="cs"/>
          <w:b/>
          <w:bCs/>
          <w:rtl/>
        </w:rPr>
        <w:t>החזר</w:t>
      </w:r>
      <w:r w:rsidRPr="008B2932">
        <w:rPr>
          <w:rFonts w:ascii="DBS-Torah"/>
          <w:b/>
          <w:bCs/>
          <w:rtl/>
        </w:rPr>
        <w:t xml:space="preserve"> </w:t>
      </w:r>
      <w:r w:rsidRPr="008B2932">
        <w:rPr>
          <w:rFonts w:ascii="DBS-Torah" w:hint="cs"/>
          <w:b/>
          <w:bCs/>
          <w:rtl/>
        </w:rPr>
        <w:t>חוב</w:t>
      </w:r>
      <w:r w:rsidRPr="008B2932">
        <w:rPr>
          <w:rFonts w:ascii="DBS-Torah"/>
          <w:b/>
          <w:bCs/>
          <w:rtl/>
        </w:rPr>
        <w:t xml:space="preserve"> </w:t>
      </w:r>
      <w:r w:rsidRPr="008B2932">
        <w:rPr>
          <w:rFonts w:ascii="DBS-Torah" w:hint="cs"/>
          <w:b/>
          <w:bCs/>
          <w:rtl/>
        </w:rPr>
        <w:t>המדינה</w:t>
      </w:r>
      <w:r w:rsidRPr="008B2932">
        <w:rPr>
          <w:rFonts w:ascii="DBS-Torah"/>
          <w:b/>
          <w:bCs/>
          <w:rtl/>
        </w:rPr>
        <w:t xml:space="preserve"> </w:t>
      </w:r>
      <w:r w:rsidRPr="008B2932">
        <w:rPr>
          <w:rFonts w:ascii="DBS-Torah" w:hint="cs"/>
          <w:b/>
          <w:bCs/>
          <w:rtl/>
        </w:rPr>
        <w:t>למוסד</w:t>
      </w:r>
      <w:r w:rsidRPr="008B2932">
        <w:rPr>
          <w:rFonts w:ascii="DBS-Torah"/>
          <w:b/>
          <w:bCs/>
          <w:rtl/>
        </w:rPr>
        <w:t xml:space="preserve"> </w:t>
      </w:r>
      <w:r w:rsidRPr="008B2932">
        <w:rPr>
          <w:rFonts w:ascii="DBS-Torah" w:hint="cs"/>
          <w:b/>
          <w:bCs/>
          <w:rtl/>
        </w:rPr>
        <w:t>לביטוח</w:t>
      </w:r>
      <w:r w:rsidRPr="008B2932">
        <w:rPr>
          <w:rFonts w:ascii="DBS-Torah"/>
          <w:b/>
          <w:bCs/>
          <w:rtl/>
        </w:rPr>
        <w:t xml:space="preserve"> </w:t>
      </w:r>
      <w:r w:rsidRPr="008B2932">
        <w:rPr>
          <w:rFonts w:ascii="DBS-Torah" w:hint="cs"/>
          <w:b/>
          <w:bCs/>
          <w:rtl/>
        </w:rPr>
        <w:t>הלאומי</w:t>
      </w:r>
      <w:r>
        <w:rPr>
          <w:rFonts w:ascii="DBS-Torah" w:hint="cs"/>
          <w:rtl/>
        </w:rPr>
        <w:t xml:space="preserve"> </w:t>
      </w:r>
      <w:r>
        <w:rPr>
          <w:rFonts w:asciiTheme="minorHAnsi" w:hAnsiTheme="minorHAnsi" w:hint="eastAsia"/>
        </w:rPr>
        <w:t>–</w:t>
      </w:r>
      <w:r w:rsidRPr="008B2932">
        <w:rPr>
          <w:rFonts w:ascii="DBS-Torah"/>
          <w:rtl/>
        </w:rPr>
        <w:t xml:space="preserve"> על פי לוח הסילוקין הקיים, צפוי בשנים הבאות גידול </w:t>
      </w:r>
      <w:r>
        <w:rPr>
          <w:rFonts w:ascii="DBS-Torah" w:hint="cs"/>
          <w:rtl/>
        </w:rPr>
        <w:t xml:space="preserve">נומינלי </w:t>
      </w:r>
      <w:r w:rsidRPr="008B2932">
        <w:rPr>
          <w:rFonts w:ascii="DBS-Torah"/>
          <w:rtl/>
        </w:rPr>
        <w:t xml:space="preserve">בהחזר החוב של המדינה למוסד לבטוח הלאומי. </w:t>
      </w:r>
    </w:p>
    <w:p w:rsidR="00DC4053" w:rsidRPr="00DF75D9" w:rsidRDefault="00DC4053" w:rsidP="00DC4053">
      <w:pPr>
        <w:tabs>
          <w:tab w:val="left" w:pos="340"/>
        </w:tabs>
        <w:suppressAutoHyphens/>
        <w:autoSpaceDE w:val="0"/>
        <w:autoSpaceDN w:val="0"/>
        <w:adjustRightInd w:val="0"/>
        <w:ind w:left="360"/>
        <w:contextualSpacing/>
        <w:textAlignment w:val="center"/>
        <w:rPr>
          <w:rFonts w:ascii="DBS-Torah"/>
          <w:b/>
          <w:bCs/>
          <w:rtl/>
        </w:rPr>
      </w:pPr>
    </w:p>
    <w:p w:rsidR="00DC4053" w:rsidRPr="005A7897" w:rsidRDefault="00DC4053" w:rsidP="00DC4053">
      <w:pPr>
        <w:tabs>
          <w:tab w:val="left" w:pos="340"/>
        </w:tabs>
        <w:suppressAutoHyphens/>
        <w:autoSpaceDE w:val="0"/>
        <w:autoSpaceDN w:val="0"/>
        <w:adjustRightInd w:val="0"/>
        <w:ind w:left="360"/>
        <w:contextualSpacing/>
        <w:textAlignment w:val="center"/>
        <w:rPr>
          <w:rFonts w:ascii="DBS-Torah"/>
          <w:rtl/>
        </w:rPr>
      </w:pPr>
      <w:r w:rsidRPr="005A7897">
        <w:rPr>
          <w:rFonts w:ascii="DBS-Torah" w:hint="eastAsia"/>
          <w:b/>
          <w:bCs/>
          <w:rtl/>
        </w:rPr>
        <w:t>ביחס</w:t>
      </w:r>
      <w:r w:rsidRPr="005A7897">
        <w:rPr>
          <w:rFonts w:ascii="DBS-Torah"/>
          <w:b/>
          <w:bCs/>
          <w:rtl/>
        </w:rPr>
        <w:t xml:space="preserve"> לפרסום הקודם, עיקרי השינויים באשכול זה </w:t>
      </w:r>
      <w:r w:rsidRPr="005A7897">
        <w:rPr>
          <w:rFonts w:ascii="DBS-Torah" w:hint="eastAsia"/>
          <w:b/>
          <w:bCs/>
          <w:rtl/>
        </w:rPr>
        <w:t>הם</w:t>
      </w:r>
      <w:r w:rsidRPr="005A7897">
        <w:rPr>
          <w:rFonts w:ascii="DBS-Torah"/>
          <w:rtl/>
        </w:rPr>
        <w:t>:</w:t>
      </w:r>
    </w:p>
    <w:p w:rsidR="00DC4053" w:rsidRPr="005A7897" w:rsidRDefault="00DC4053" w:rsidP="003A4447">
      <w:pPr>
        <w:pStyle w:val="a7"/>
        <w:numPr>
          <w:ilvl w:val="0"/>
          <w:numId w:val="11"/>
        </w:numPr>
        <w:tabs>
          <w:tab w:val="left" w:pos="340"/>
        </w:tabs>
        <w:suppressAutoHyphens/>
        <w:autoSpaceDE w:val="0"/>
        <w:autoSpaceDN w:val="0"/>
        <w:adjustRightInd w:val="0"/>
        <w:textAlignment w:val="center"/>
        <w:rPr>
          <w:rFonts w:ascii="DBS-Torah"/>
        </w:rPr>
      </w:pPr>
      <w:r w:rsidRPr="005A7897">
        <w:rPr>
          <w:rFonts w:ascii="DBS-Torah" w:hint="eastAsia"/>
          <w:rtl/>
        </w:rPr>
        <w:t>ההוצאה</w:t>
      </w:r>
      <w:r w:rsidRPr="005A7897">
        <w:rPr>
          <w:rFonts w:ascii="DBS-Torah"/>
          <w:rtl/>
        </w:rPr>
        <w:t xml:space="preserve"> הצפויה על </w:t>
      </w:r>
      <w:r w:rsidRPr="005A7897">
        <w:rPr>
          <w:rFonts w:ascii="DBS-Torah" w:hint="eastAsia"/>
          <w:b/>
          <w:bCs/>
          <w:rtl/>
        </w:rPr>
        <w:t>תשלומי</w:t>
      </w:r>
      <w:r w:rsidRPr="005A7897">
        <w:rPr>
          <w:rFonts w:ascii="DBS-Torah"/>
          <w:b/>
          <w:bCs/>
          <w:rtl/>
        </w:rPr>
        <w:t xml:space="preserve"> ריבית ועמלות ועל החזר </w:t>
      </w:r>
      <w:r w:rsidRPr="005A7897">
        <w:rPr>
          <w:rFonts w:ascii="DBS-Torah" w:hint="eastAsia"/>
          <w:b/>
          <w:bCs/>
          <w:rtl/>
        </w:rPr>
        <w:t>חוב</w:t>
      </w:r>
      <w:r w:rsidRPr="005A7897">
        <w:rPr>
          <w:rFonts w:ascii="DBS-Torah"/>
          <w:b/>
          <w:bCs/>
          <w:rtl/>
        </w:rPr>
        <w:t xml:space="preserve"> ל</w:t>
      </w:r>
      <w:r w:rsidRPr="005A7897">
        <w:rPr>
          <w:rFonts w:ascii="DBS-Torah" w:hint="eastAsia"/>
          <w:b/>
          <w:bCs/>
          <w:rtl/>
        </w:rPr>
        <w:t>מוסד</w:t>
      </w:r>
      <w:r w:rsidRPr="005A7897">
        <w:rPr>
          <w:rFonts w:ascii="DBS-Torah"/>
          <w:b/>
          <w:bCs/>
          <w:rtl/>
        </w:rPr>
        <w:t xml:space="preserve"> </w:t>
      </w:r>
      <w:r w:rsidRPr="005A7897">
        <w:rPr>
          <w:rFonts w:ascii="DBS-Torah" w:hint="eastAsia"/>
          <w:b/>
          <w:bCs/>
          <w:rtl/>
        </w:rPr>
        <w:t>לביטוח</w:t>
      </w:r>
      <w:r w:rsidRPr="005A7897">
        <w:rPr>
          <w:rFonts w:ascii="DBS-Torah"/>
          <w:b/>
          <w:bCs/>
          <w:rtl/>
        </w:rPr>
        <w:t xml:space="preserve"> </w:t>
      </w:r>
      <w:r w:rsidRPr="005A7897">
        <w:rPr>
          <w:rFonts w:ascii="DBS-Torah" w:hint="eastAsia"/>
          <w:b/>
          <w:bCs/>
          <w:rtl/>
        </w:rPr>
        <w:t>הלאומי</w:t>
      </w:r>
      <w:r w:rsidRPr="005A7897">
        <w:rPr>
          <w:rFonts w:ascii="DBS-Torah"/>
          <w:rtl/>
        </w:rPr>
        <w:t xml:space="preserve"> </w:t>
      </w:r>
      <w:r w:rsidR="00127C36">
        <w:rPr>
          <w:rFonts w:ascii="DBS-Torah" w:hint="cs"/>
          <w:rtl/>
        </w:rPr>
        <w:t>גדלה בשנת 2021 ב-0.7 מיליארד ש"ח וב-2022 ב-1.4 מיליארד ש"ח עקב שינויים בגורמי שוק ו</w:t>
      </w:r>
      <w:r w:rsidR="00CC1139">
        <w:rPr>
          <w:rFonts w:ascii="DBS-Torah" w:hint="cs"/>
          <w:rtl/>
        </w:rPr>
        <w:t xml:space="preserve">בשל </w:t>
      </w:r>
      <w:r w:rsidR="00A51910">
        <w:rPr>
          <w:rFonts w:ascii="DBS-Torah" w:hint="cs"/>
          <w:rtl/>
        </w:rPr>
        <w:t xml:space="preserve">עדכון </w:t>
      </w:r>
      <w:r w:rsidR="00127C36">
        <w:rPr>
          <w:rFonts w:ascii="DBS-Torah" w:hint="cs"/>
          <w:rtl/>
        </w:rPr>
        <w:t>תוואי הריבית הצפוי</w:t>
      </w:r>
      <w:r w:rsidRPr="005A7897">
        <w:rPr>
          <w:rFonts w:ascii="DBS-Torah"/>
          <w:rtl/>
        </w:rPr>
        <w:t xml:space="preserve">. </w:t>
      </w:r>
    </w:p>
    <w:p w:rsidR="00DC4053" w:rsidRPr="008B2932" w:rsidRDefault="00DC4053" w:rsidP="00A34826">
      <w:pPr>
        <w:tabs>
          <w:tab w:val="left" w:pos="340"/>
        </w:tabs>
        <w:suppressAutoHyphens/>
        <w:autoSpaceDE w:val="0"/>
        <w:autoSpaceDN w:val="0"/>
        <w:adjustRightInd w:val="0"/>
        <w:contextualSpacing/>
        <w:jc w:val="left"/>
        <w:textAlignment w:val="center"/>
        <w:rPr>
          <w:rFonts w:ascii="DBS-Torah"/>
          <w:highlight w:val="green"/>
          <w:rtl/>
        </w:rPr>
      </w:pPr>
    </w:p>
    <w:p w:rsidR="00DC4053" w:rsidRPr="00F0574A" w:rsidRDefault="00DC4053" w:rsidP="005B2F52">
      <w:pPr>
        <w:bidi w:val="0"/>
        <w:contextualSpacing/>
        <w:jc w:val="right"/>
        <w:rPr>
          <w:b/>
          <w:bCs/>
        </w:rPr>
      </w:pPr>
      <w:r w:rsidRPr="00F0574A">
        <w:rPr>
          <w:rFonts w:hint="eastAsia"/>
          <w:b/>
          <w:bCs/>
          <w:rtl/>
        </w:rPr>
        <w:t>הוצאות</w:t>
      </w:r>
      <w:r w:rsidRPr="00F0574A">
        <w:rPr>
          <w:b/>
          <w:bCs/>
          <w:rtl/>
        </w:rPr>
        <w:t xml:space="preserve"> </w:t>
      </w:r>
      <w:r w:rsidRPr="00F0574A">
        <w:rPr>
          <w:rFonts w:hint="eastAsia"/>
          <w:b/>
          <w:bCs/>
          <w:rtl/>
        </w:rPr>
        <w:t>שלא</w:t>
      </w:r>
      <w:r w:rsidRPr="00F0574A">
        <w:rPr>
          <w:b/>
          <w:bCs/>
          <w:rtl/>
        </w:rPr>
        <w:t xml:space="preserve"> </w:t>
      </w:r>
      <w:r w:rsidRPr="00F0574A">
        <w:rPr>
          <w:rFonts w:hint="eastAsia"/>
          <w:b/>
          <w:bCs/>
          <w:rtl/>
        </w:rPr>
        <w:t>נלקחו</w:t>
      </w:r>
      <w:r w:rsidRPr="00F0574A">
        <w:rPr>
          <w:b/>
          <w:bCs/>
          <w:rtl/>
        </w:rPr>
        <w:t xml:space="preserve"> </w:t>
      </w:r>
      <w:r w:rsidRPr="00F0574A">
        <w:rPr>
          <w:rFonts w:hint="eastAsia"/>
          <w:b/>
          <w:bCs/>
          <w:rtl/>
        </w:rPr>
        <w:t>בחישוב</w:t>
      </w:r>
      <w:r w:rsidRPr="00F0574A">
        <w:rPr>
          <w:b/>
          <w:bCs/>
          <w:rtl/>
        </w:rPr>
        <w:t xml:space="preserve"> </w:t>
      </w:r>
      <w:r w:rsidRPr="00F0574A">
        <w:rPr>
          <w:rFonts w:hint="eastAsia"/>
          <w:b/>
          <w:bCs/>
          <w:rtl/>
        </w:rPr>
        <w:t>היקף</w:t>
      </w:r>
      <w:r w:rsidRPr="00F0574A">
        <w:rPr>
          <w:b/>
          <w:bCs/>
          <w:rtl/>
        </w:rPr>
        <w:t xml:space="preserve"> </w:t>
      </w:r>
      <w:r w:rsidRPr="00F0574A">
        <w:rPr>
          <w:rFonts w:hint="eastAsia"/>
          <w:b/>
          <w:bCs/>
          <w:rtl/>
        </w:rPr>
        <w:t>הוצאות</w:t>
      </w:r>
      <w:r w:rsidRPr="00F0574A">
        <w:rPr>
          <w:b/>
          <w:bCs/>
          <w:rtl/>
        </w:rPr>
        <w:t xml:space="preserve"> </w:t>
      </w:r>
      <w:r w:rsidRPr="00F0574A">
        <w:rPr>
          <w:rFonts w:hint="eastAsia"/>
          <w:b/>
          <w:bCs/>
          <w:rtl/>
        </w:rPr>
        <w:t>הממשלה</w:t>
      </w:r>
      <w:r w:rsidRPr="00F0574A">
        <w:rPr>
          <w:b/>
          <w:bCs/>
          <w:rtl/>
        </w:rPr>
        <w:t xml:space="preserve"> </w:t>
      </w:r>
      <w:r w:rsidRPr="00F0574A">
        <w:rPr>
          <w:rFonts w:hint="eastAsia"/>
          <w:b/>
          <w:bCs/>
          <w:rtl/>
        </w:rPr>
        <w:t>בשנים</w:t>
      </w:r>
      <w:r w:rsidRPr="00F0574A">
        <w:rPr>
          <w:b/>
          <w:bCs/>
          <w:rtl/>
        </w:rPr>
        <w:t xml:space="preserve"> 2</w:t>
      </w:r>
      <w:r>
        <w:rPr>
          <w:rFonts w:hint="cs"/>
          <w:b/>
          <w:bCs/>
          <w:rtl/>
        </w:rPr>
        <w:t>020</w:t>
      </w:r>
      <w:r w:rsidRPr="00F0574A">
        <w:rPr>
          <w:b/>
          <w:bCs/>
          <w:rtl/>
        </w:rPr>
        <w:t xml:space="preserve"> </w:t>
      </w:r>
      <w:r w:rsidRPr="00F0574A">
        <w:rPr>
          <w:rFonts w:hint="eastAsia"/>
          <w:b/>
          <w:bCs/>
          <w:rtl/>
        </w:rPr>
        <w:t>ואילך</w:t>
      </w:r>
    </w:p>
    <w:p w:rsidR="00DF01ED" w:rsidRDefault="00DC4053" w:rsidP="0006519B">
      <w:pPr>
        <w:contextualSpacing/>
        <w:rPr>
          <w:rtl/>
        </w:rPr>
      </w:pPr>
      <w:r w:rsidRPr="00F0574A">
        <w:rPr>
          <w:rFonts w:hint="eastAsia"/>
          <w:rtl/>
        </w:rPr>
        <w:t>היקף</w:t>
      </w:r>
      <w:r w:rsidRPr="00F0574A">
        <w:rPr>
          <w:rtl/>
        </w:rPr>
        <w:t xml:space="preserve"> </w:t>
      </w:r>
      <w:r w:rsidRPr="00F0574A">
        <w:rPr>
          <w:rFonts w:hint="eastAsia"/>
          <w:rtl/>
        </w:rPr>
        <w:t>הוצאות</w:t>
      </w:r>
      <w:r w:rsidRPr="00F0574A">
        <w:rPr>
          <w:rtl/>
        </w:rPr>
        <w:t xml:space="preserve"> </w:t>
      </w:r>
      <w:r w:rsidRPr="00F0574A">
        <w:rPr>
          <w:rFonts w:hint="eastAsia"/>
          <w:rtl/>
        </w:rPr>
        <w:t>הממשלה</w:t>
      </w:r>
      <w:r w:rsidRPr="00F0574A">
        <w:rPr>
          <w:rtl/>
        </w:rPr>
        <w:t xml:space="preserve"> המובא במסמך זה עבור </w:t>
      </w:r>
      <w:r w:rsidRPr="00F0574A">
        <w:rPr>
          <w:rFonts w:hint="eastAsia"/>
          <w:rtl/>
        </w:rPr>
        <w:t>השנים</w:t>
      </w:r>
      <w:r w:rsidRPr="00F0574A">
        <w:rPr>
          <w:rtl/>
        </w:rPr>
        <w:t xml:space="preserve"> 20</w:t>
      </w:r>
      <w:r>
        <w:rPr>
          <w:rFonts w:hint="cs"/>
          <w:rtl/>
        </w:rPr>
        <w:t>20</w:t>
      </w:r>
      <w:r w:rsidRPr="00F0574A">
        <w:rPr>
          <w:rtl/>
        </w:rPr>
        <w:t xml:space="preserve"> </w:t>
      </w:r>
      <w:r w:rsidRPr="00F0574A">
        <w:rPr>
          <w:rFonts w:hint="eastAsia"/>
          <w:rtl/>
        </w:rPr>
        <w:t>עד</w:t>
      </w:r>
      <w:r w:rsidRPr="00F0574A">
        <w:rPr>
          <w:rtl/>
        </w:rPr>
        <w:t xml:space="preserve"> 202</w:t>
      </w:r>
      <w:r>
        <w:rPr>
          <w:rFonts w:hint="cs"/>
          <w:rtl/>
        </w:rPr>
        <w:t>2</w:t>
      </w:r>
      <w:r w:rsidRPr="00F0574A">
        <w:rPr>
          <w:rtl/>
        </w:rPr>
        <w:t xml:space="preserve"> מהווה את היקף המחויבויות הידועות נכון למועד הפרסום. </w:t>
      </w:r>
      <w:r w:rsidRPr="00F0574A">
        <w:rPr>
          <w:rFonts w:hint="eastAsia"/>
          <w:rtl/>
        </w:rPr>
        <w:t>עקב</w:t>
      </w:r>
      <w:r w:rsidRPr="00F0574A">
        <w:rPr>
          <w:rtl/>
        </w:rPr>
        <w:t xml:space="preserve"> </w:t>
      </w:r>
      <w:r w:rsidRPr="00F0574A">
        <w:rPr>
          <w:rFonts w:hint="eastAsia"/>
          <w:rtl/>
        </w:rPr>
        <w:t>הוראות</w:t>
      </w:r>
      <w:r w:rsidRPr="00F0574A">
        <w:rPr>
          <w:rtl/>
        </w:rPr>
        <w:t xml:space="preserve"> </w:t>
      </w:r>
      <w:r w:rsidRPr="00F0574A">
        <w:rPr>
          <w:rFonts w:hint="eastAsia"/>
          <w:rtl/>
        </w:rPr>
        <w:t>סעיף</w:t>
      </w:r>
      <w:r w:rsidRPr="00F0574A">
        <w:rPr>
          <w:rtl/>
        </w:rPr>
        <w:t xml:space="preserve"> 40א </w:t>
      </w:r>
      <w:r w:rsidRPr="00F0574A">
        <w:rPr>
          <w:rFonts w:hint="eastAsia"/>
          <w:rtl/>
        </w:rPr>
        <w:t>לחוק</w:t>
      </w:r>
      <w:r w:rsidRPr="00F0574A">
        <w:rPr>
          <w:rtl/>
        </w:rPr>
        <w:t xml:space="preserve"> </w:t>
      </w:r>
      <w:r w:rsidRPr="00F0574A">
        <w:rPr>
          <w:rFonts w:hint="eastAsia"/>
          <w:rtl/>
        </w:rPr>
        <w:t>חלות</w:t>
      </w:r>
      <w:r w:rsidRPr="00F0574A">
        <w:rPr>
          <w:rtl/>
        </w:rPr>
        <w:t xml:space="preserve"> </w:t>
      </w:r>
      <w:r w:rsidRPr="00F0574A">
        <w:rPr>
          <w:rFonts w:hint="eastAsia"/>
          <w:rtl/>
        </w:rPr>
        <w:t>על</w:t>
      </w:r>
      <w:r w:rsidRPr="00F0574A">
        <w:rPr>
          <w:rtl/>
        </w:rPr>
        <w:t xml:space="preserve"> </w:t>
      </w:r>
      <w:r w:rsidRPr="00F0574A">
        <w:rPr>
          <w:rFonts w:hint="eastAsia"/>
          <w:rtl/>
        </w:rPr>
        <w:t>הממשלה</w:t>
      </w:r>
      <w:r w:rsidRPr="00F0574A">
        <w:rPr>
          <w:rtl/>
        </w:rPr>
        <w:t xml:space="preserve"> </w:t>
      </w:r>
      <w:r w:rsidRPr="00F0574A">
        <w:rPr>
          <w:rFonts w:hint="eastAsia"/>
          <w:rtl/>
        </w:rPr>
        <w:t>מגבלות</w:t>
      </w:r>
      <w:r w:rsidRPr="00F0574A">
        <w:rPr>
          <w:rtl/>
        </w:rPr>
        <w:t xml:space="preserve"> לקבל החלטות רב-שנתיות חדשות, שביצוען כרוך בחריגה מהמ</w:t>
      </w:r>
      <w:r w:rsidRPr="00F0574A">
        <w:rPr>
          <w:rFonts w:hint="eastAsia"/>
          <w:rtl/>
        </w:rPr>
        <w:t>סגרות</w:t>
      </w:r>
      <w:r w:rsidRPr="00F0574A">
        <w:rPr>
          <w:rtl/>
        </w:rPr>
        <w:t xml:space="preserve"> </w:t>
      </w:r>
      <w:r w:rsidRPr="00F0574A">
        <w:rPr>
          <w:rFonts w:hint="eastAsia"/>
          <w:rtl/>
        </w:rPr>
        <w:t>הפיסקאליות</w:t>
      </w:r>
      <w:r w:rsidRPr="00F0574A">
        <w:rPr>
          <w:rtl/>
        </w:rPr>
        <w:t xml:space="preserve"> </w:t>
      </w:r>
      <w:r w:rsidRPr="00F0574A">
        <w:rPr>
          <w:rFonts w:hint="eastAsia"/>
          <w:rtl/>
        </w:rPr>
        <w:t>הרב</w:t>
      </w:r>
      <w:r w:rsidRPr="00F0574A">
        <w:rPr>
          <w:rtl/>
        </w:rPr>
        <w:t>-שנתי</w:t>
      </w:r>
      <w:r w:rsidRPr="00F0574A">
        <w:rPr>
          <w:rFonts w:hint="eastAsia"/>
          <w:rtl/>
        </w:rPr>
        <w:t>ות</w:t>
      </w:r>
      <w:r w:rsidR="00E904B4">
        <w:rPr>
          <w:rFonts w:hint="cs"/>
          <w:rtl/>
        </w:rPr>
        <w:t xml:space="preserve"> </w:t>
      </w:r>
      <w:r w:rsidRPr="00F0574A">
        <w:rPr>
          <w:rFonts w:hint="eastAsia"/>
          <w:rtl/>
        </w:rPr>
        <w:t>הקבועות</w:t>
      </w:r>
      <w:r w:rsidRPr="00F0574A">
        <w:rPr>
          <w:rtl/>
        </w:rPr>
        <w:t xml:space="preserve"> </w:t>
      </w:r>
      <w:r w:rsidRPr="00F0574A">
        <w:rPr>
          <w:rFonts w:hint="eastAsia"/>
          <w:rtl/>
        </w:rPr>
        <w:t>בחוק</w:t>
      </w:r>
      <w:r w:rsidR="0006519B">
        <w:rPr>
          <w:rFonts w:hint="cs"/>
          <w:rtl/>
        </w:rPr>
        <w:t xml:space="preserve"> המסגרות</w:t>
      </w:r>
      <w:r w:rsidRPr="00F0574A">
        <w:rPr>
          <w:rtl/>
        </w:rPr>
        <w:t xml:space="preserve">. </w:t>
      </w:r>
      <w:r w:rsidRPr="00F0574A">
        <w:rPr>
          <w:rFonts w:hint="eastAsia"/>
          <w:rtl/>
        </w:rPr>
        <w:t>משכך</w:t>
      </w:r>
      <w:r w:rsidRPr="00F0574A">
        <w:rPr>
          <w:rtl/>
        </w:rPr>
        <w:t xml:space="preserve">, </w:t>
      </w:r>
      <w:r w:rsidRPr="00F0574A">
        <w:rPr>
          <w:rFonts w:hint="eastAsia"/>
          <w:rtl/>
        </w:rPr>
        <w:t>הממשלה</w:t>
      </w:r>
      <w:r w:rsidRPr="00F0574A">
        <w:rPr>
          <w:rtl/>
        </w:rPr>
        <w:t xml:space="preserve"> </w:t>
      </w:r>
      <w:r w:rsidRPr="00F0574A">
        <w:rPr>
          <w:rFonts w:hint="eastAsia"/>
          <w:rtl/>
        </w:rPr>
        <w:t>נוטה</w:t>
      </w:r>
      <w:r w:rsidRPr="00F0574A">
        <w:rPr>
          <w:rtl/>
        </w:rPr>
        <w:t xml:space="preserve"> </w:t>
      </w:r>
      <w:r w:rsidRPr="00F0574A">
        <w:rPr>
          <w:rFonts w:hint="eastAsia"/>
          <w:rtl/>
        </w:rPr>
        <w:t>לקבל</w:t>
      </w:r>
      <w:r w:rsidRPr="00F0574A">
        <w:rPr>
          <w:rtl/>
        </w:rPr>
        <w:t xml:space="preserve"> החלטות בעלות תוקף מחייב רק לשנות כספים שלגביהן קיים חוק תקציב מאושר. בהתאם</w:t>
      </w:r>
      <w:r>
        <w:rPr>
          <w:rFonts w:hint="cs"/>
          <w:rtl/>
        </w:rPr>
        <w:t xml:space="preserve"> לכך</w:t>
      </w:r>
      <w:r w:rsidRPr="00F0574A">
        <w:rPr>
          <w:rtl/>
        </w:rPr>
        <w:t xml:space="preserve">, לא נלקחות בחישוב זה הוצאות </w:t>
      </w:r>
      <w:r w:rsidRPr="00F0574A">
        <w:rPr>
          <w:rFonts w:hint="eastAsia"/>
          <w:rtl/>
        </w:rPr>
        <w:t>מסוימות</w:t>
      </w:r>
      <w:r w:rsidRPr="00F0574A">
        <w:rPr>
          <w:rtl/>
        </w:rPr>
        <w:t xml:space="preserve"> אשר התקבלה לגביהן החלטה בעלת תוקף מחייב לשנ</w:t>
      </w:r>
      <w:r w:rsidR="0006519B">
        <w:rPr>
          <w:rFonts w:hint="cs"/>
          <w:rtl/>
        </w:rPr>
        <w:t>ת</w:t>
      </w:r>
      <w:r w:rsidRPr="00F0574A">
        <w:rPr>
          <w:rtl/>
        </w:rPr>
        <w:t xml:space="preserve"> </w:t>
      </w:r>
      <w:r>
        <w:rPr>
          <w:rFonts w:hint="cs"/>
          <w:rtl/>
        </w:rPr>
        <w:t>2019</w:t>
      </w:r>
      <w:r w:rsidRPr="00F0574A">
        <w:rPr>
          <w:rtl/>
        </w:rPr>
        <w:t xml:space="preserve"> בלבד</w:t>
      </w:r>
      <w:r w:rsidR="00D710DE">
        <w:rPr>
          <w:rFonts w:hint="cs"/>
          <w:rtl/>
        </w:rPr>
        <w:t>.</w:t>
      </w:r>
    </w:p>
    <w:p w:rsidR="006C1734" w:rsidRDefault="006C1734" w:rsidP="00DF01ED">
      <w:pPr>
        <w:contextualSpacing/>
        <w:rPr>
          <w:rtl/>
        </w:rPr>
      </w:pPr>
    </w:p>
    <w:p w:rsidR="00DC4053" w:rsidRDefault="00D710DE" w:rsidP="002F5FF6">
      <w:pPr>
        <w:contextualSpacing/>
        <w:rPr>
          <w:rtl/>
        </w:rPr>
      </w:pPr>
      <w:r>
        <w:rPr>
          <w:rFonts w:hint="cs"/>
          <w:rtl/>
        </w:rPr>
        <w:t>ההחלטות כוללות ס</w:t>
      </w:r>
      <w:r w:rsidR="00DC4053" w:rsidRPr="00141E73">
        <w:rPr>
          <w:rtl/>
        </w:rPr>
        <w:t>בסוד מסגרות לימודיות נוספות בשעות אחר הצהריים (צהרונים)</w:t>
      </w:r>
      <w:r w:rsidR="00DC4053">
        <w:rPr>
          <w:rFonts w:hint="cs"/>
          <w:rtl/>
        </w:rPr>
        <w:t>, (</w:t>
      </w:r>
      <w:r w:rsidR="00DC4053" w:rsidRPr="00030778">
        <w:rPr>
          <w:rtl/>
        </w:rPr>
        <w:t xml:space="preserve">בהתאם להחלטת </w:t>
      </w:r>
      <w:r w:rsidR="00DC4053" w:rsidRPr="00030778">
        <w:rPr>
          <w:rFonts w:hint="cs"/>
          <w:rtl/>
        </w:rPr>
        <w:t>ה</w:t>
      </w:r>
      <w:r w:rsidR="00DC4053" w:rsidRPr="00030778">
        <w:rPr>
          <w:rtl/>
        </w:rPr>
        <w:t xml:space="preserve">ממשלה </w:t>
      </w:r>
      <w:r w:rsidR="0006519B">
        <w:rPr>
          <w:rFonts w:hint="cs"/>
          <w:rtl/>
        </w:rPr>
        <w:t>מס'</w:t>
      </w:r>
      <w:r w:rsidR="00DC4053" w:rsidRPr="00030778">
        <w:rPr>
          <w:rtl/>
        </w:rPr>
        <w:t xml:space="preserve"> </w:t>
      </w:r>
      <w:r w:rsidR="00DC4053" w:rsidRPr="00030778">
        <w:rPr>
          <w:rFonts w:hint="cs"/>
          <w:rtl/>
        </w:rPr>
        <w:t>3377</w:t>
      </w:r>
      <w:r w:rsidR="00DC4053" w:rsidRPr="00030778">
        <w:rPr>
          <w:rtl/>
        </w:rPr>
        <w:t xml:space="preserve"> מיום 11 </w:t>
      </w:r>
      <w:r w:rsidR="00DC4053" w:rsidRPr="00030778">
        <w:rPr>
          <w:rFonts w:hint="eastAsia"/>
          <w:rtl/>
        </w:rPr>
        <w:t>בינואר</w:t>
      </w:r>
      <w:r w:rsidR="00DC4053" w:rsidRPr="00030778">
        <w:rPr>
          <w:rtl/>
        </w:rPr>
        <w:t xml:space="preserve"> 2018</w:t>
      </w:r>
      <w:r w:rsidR="00DC4053" w:rsidRPr="00030778">
        <w:rPr>
          <w:rFonts w:hint="cs"/>
          <w:rtl/>
        </w:rPr>
        <w:t>)</w:t>
      </w:r>
      <w:r w:rsidR="00DC4053" w:rsidRPr="00141E73">
        <w:rPr>
          <w:rtl/>
        </w:rPr>
        <w:t xml:space="preserve">, </w:t>
      </w:r>
      <w:r w:rsidR="00DC4053">
        <w:rPr>
          <w:rFonts w:hint="cs"/>
          <w:rtl/>
        </w:rPr>
        <w:t>תוכנית בתי הספר של החגים (חופשות לימוד), הגדלת ההכנסה הפנויה של הורים ועובדים באמצעות הרחבת מענק עבודה (</w:t>
      </w:r>
      <w:r w:rsidR="00DC4053" w:rsidRPr="00030778">
        <w:rPr>
          <w:rtl/>
        </w:rPr>
        <w:t>בהתאם להחלטת הממשלה</w:t>
      </w:r>
      <w:r w:rsidR="0006519B">
        <w:rPr>
          <w:rFonts w:hint="cs"/>
          <w:rtl/>
        </w:rPr>
        <w:t xml:space="preserve"> מס' </w:t>
      </w:r>
      <w:r w:rsidR="00113C77">
        <w:rPr>
          <w:rFonts w:hint="cs"/>
          <w:rtl/>
        </w:rPr>
        <w:t xml:space="preserve"> </w:t>
      </w:r>
      <w:r w:rsidR="00DC4053" w:rsidRPr="00030778">
        <w:rPr>
          <w:rtl/>
        </w:rPr>
        <w:t>33</w:t>
      </w:r>
      <w:r w:rsidR="00DC4053" w:rsidRPr="00030778">
        <w:rPr>
          <w:rFonts w:hint="cs"/>
          <w:rtl/>
        </w:rPr>
        <w:t>83</w:t>
      </w:r>
      <w:r w:rsidR="00DC4053" w:rsidRPr="00030778">
        <w:rPr>
          <w:rtl/>
        </w:rPr>
        <w:t xml:space="preserve"> מיום 11 בינואר 2018</w:t>
      </w:r>
      <w:r w:rsidR="00DC4053">
        <w:rPr>
          <w:rFonts w:hint="cs"/>
          <w:rtl/>
        </w:rPr>
        <w:t xml:space="preserve">), </w:t>
      </w:r>
      <w:r w:rsidR="00DC4053" w:rsidRPr="00141E73">
        <w:rPr>
          <w:rFonts w:hint="eastAsia"/>
          <w:rtl/>
        </w:rPr>
        <w:t>הארכת</w:t>
      </w:r>
      <w:r w:rsidR="00DC4053" w:rsidRPr="00141E73">
        <w:rPr>
          <w:rtl/>
        </w:rPr>
        <w:t xml:space="preserve"> </w:t>
      </w:r>
      <w:r w:rsidR="00DC4053" w:rsidRPr="00141E73">
        <w:rPr>
          <w:rFonts w:hint="eastAsia"/>
          <w:rtl/>
        </w:rPr>
        <w:t>ת</w:t>
      </w:r>
      <w:r w:rsidR="00DC4053">
        <w:rPr>
          <w:rFonts w:hint="cs"/>
          <w:rtl/>
        </w:rPr>
        <w:t>ו</w:t>
      </w:r>
      <w:r w:rsidR="00DC4053" w:rsidRPr="00141E73">
        <w:rPr>
          <w:rFonts w:hint="eastAsia"/>
          <w:rtl/>
        </w:rPr>
        <w:t>כנית</w:t>
      </w:r>
      <w:r w:rsidR="00DC4053" w:rsidRPr="00141E73">
        <w:rPr>
          <w:rtl/>
        </w:rPr>
        <w:t xml:space="preserve"> </w:t>
      </w:r>
      <w:r w:rsidR="00DC4053" w:rsidRPr="00141E73">
        <w:rPr>
          <w:rFonts w:hint="eastAsia"/>
          <w:rtl/>
        </w:rPr>
        <w:t>מחיר</w:t>
      </w:r>
      <w:r w:rsidR="00DC4053" w:rsidRPr="00141E73">
        <w:rPr>
          <w:rtl/>
        </w:rPr>
        <w:t xml:space="preserve"> </w:t>
      </w:r>
      <w:r w:rsidR="00DC4053" w:rsidRPr="00141E73">
        <w:rPr>
          <w:rFonts w:hint="eastAsia"/>
          <w:rtl/>
        </w:rPr>
        <w:t>למשתכן</w:t>
      </w:r>
      <w:r w:rsidR="00164B8A">
        <w:rPr>
          <w:rFonts w:hint="cs"/>
          <w:rtl/>
        </w:rPr>
        <w:t xml:space="preserve"> מעבר לשנת 2019</w:t>
      </w:r>
      <w:r w:rsidR="000319B1">
        <w:rPr>
          <w:rFonts w:hint="cs"/>
          <w:rtl/>
        </w:rPr>
        <w:t xml:space="preserve">, </w:t>
      </w:r>
      <w:r w:rsidR="000319B1">
        <w:rPr>
          <w:rtl/>
        </w:rPr>
        <w:t xml:space="preserve">הגדלת השתתפות אוצר </w:t>
      </w:r>
      <w:r w:rsidR="000319B1">
        <w:rPr>
          <w:rFonts w:hint="cs"/>
          <w:rtl/>
        </w:rPr>
        <w:t xml:space="preserve">המדינה </w:t>
      </w:r>
      <w:r w:rsidR="000319B1">
        <w:rPr>
          <w:rtl/>
        </w:rPr>
        <w:t>במוסד לביטוח הלאומי</w:t>
      </w:r>
      <w:r w:rsidR="000319B1">
        <w:rPr>
          <w:rFonts w:hint="cs"/>
          <w:rtl/>
        </w:rPr>
        <w:t xml:space="preserve"> עבור מימון תוספת </w:t>
      </w:r>
      <w:r w:rsidR="000319B1">
        <w:rPr>
          <w:rtl/>
        </w:rPr>
        <w:t xml:space="preserve">לקצבאות הנכות </w:t>
      </w:r>
      <w:r w:rsidR="000319B1">
        <w:rPr>
          <w:rFonts w:hint="cs"/>
          <w:rtl/>
        </w:rPr>
        <w:t>לפי החלטה הממשלה</w:t>
      </w:r>
      <w:r w:rsidR="0006519B">
        <w:rPr>
          <w:rFonts w:hint="cs"/>
          <w:rtl/>
        </w:rPr>
        <w:t xml:space="preserve"> מס'</w:t>
      </w:r>
      <w:r w:rsidR="000319B1">
        <w:rPr>
          <w:rFonts w:hint="cs"/>
          <w:rtl/>
        </w:rPr>
        <w:t xml:space="preserve"> 3413 מיום 11 בינואר 2018</w:t>
      </w:r>
      <w:r w:rsidR="00072867">
        <w:rPr>
          <w:rFonts w:hint="cs"/>
          <w:rtl/>
        </w:rPr>
        <w:t xml:space="preserve"> וחוק הביטוח הלאומי (תיקון</w:t>
      </w:r>
      <w:r w:rsidR="00BF1C15">
        <w:rPr>
          <w:rFonts w:hint="cs"/>
          <w:rtl/>
        </w:rPr>
        <w:t xml:space="preserve"> מס'</w:t>
      </w:r>
      <w:r w:rsidR="00072867">
        <w:rPr>
          <w:rFonts w:hint="cs"/>
          <w:rtl/>
        </w:rPr>
        <w:t xml:space="preserve"> 200)</w:t>
      </w:r>
      <w:r w:rsidR="000319B1">
        <w:rPr>
          <w:rFonts w:hint="cs"/>
          <w:rtl/>
        </w:rPr>
        <w:t xml:space="preserve"> </w:t>
      </w:r>
      <w:r w:rsidR="00DC4053" w:rsidRPr="00F0574A">
        <w:rPr>
          <w:rtl/>
        </w:rPr>
        <w:t xml:space="preserve">וכן </w:t>
      </w:r>
      <w:r w:rsidR="00DC4053" w:rsidRPr="00F0574A">
        <w:rPr>
          <w:rFonts w:hint="eastAsia"/>
          <w:rtl/>
        </w:rPr>
        <w:t>הסכמים</w:t>
      </w:r>
      <w:r w:rsidR="00DC4053" w:rsidRPr="00F0574A">
        <w:rPr>
          <w:rtl/>
        </w:rPr>
        <w:t xml:space="preserve"> </w:t>
      </w:r>
      <w:r w:rsidR="00DC4053" w:rsidRPr="00141E73">
        <w:rPr>
          <w:rFonts w:hint="eastAsia"/>
          <w:rtl/>
        </w:rPr>
        <w:t>פוליטיים</w:t>
      </w:r>
      <w:r w:rsidR="00DC4053" w:rsidRPr="00141E73">
        <w:rPr>
          <w:rtl/>
        </w:rPr>
        <w:t xml:space="preserve"> </w:t>
      </w:r>
      <w:r w:rsidR="00DC4053" w:rsidRPr="00141E73">
        <w:rPr>
          <w:rFonts w:hint="eastAsia"/>
          <w:rtl/>
        </w:rPr>
        <w:t>בעלי</w:t>
      </w:r>
      <w:r w:rsidR="00DC4053" w:rsidRPr="00141E73">
        <w:rPr>
          <w:rtl/>
        </w:rPr>
        <w:t xml:space="preserve"> </w:t>
      </w:r>
      <w:r w:rsidR="00DC4053" w:rsidRPr="00141E73">
        <w:rPr>
          <w:rFonts w:hint="eastAsia"/>
          <w:rtl/>
        </w:rPr>
        <w:t>משמעות</w:t>
      </w:r>
      <w:r w:rsidR="00DC4053" w:rsidRPr="00141E73">
        <w:rPr>
          <w:rtl/>
        </w:rPr>
        <w:t xml:space="preserve"> </w:t>
      </w:r>
      <w:r w:rsidR="00DC4053" w:rsidRPr="00141E73">
        <w:rPr>
          <w:rFonts w:hint="eastAsia"/>
          <w:rtl/>
        </w:rPr>
        <w:t>תקציבית</w:t>
      </w:r>
      <w:r w:rsidR="00DC4053">
        <w:rPr>
          <w:rFonts w:hint="cs"/>
          <w:rtl/>
        </w:rPr>
        <w:t xml:space="preserve"> </w:t>
      </w:r>
      <w:r w:rsidR="00DC4053" w:rsidRPr="00030778">
        <w:rPr>
          <w:rFonts w:hint="cs"/>
          <w:rtl/>
        </w:rPr>
        <w:t>(</w:t>
      </w:r>
      <w:r w:rsidR="00DC4053" w:rsidRPr="00030778">
        <w:rPr>
          <w:rtl/>
        </w:rPr>
        <w:t>בהתאם להחלטת הממשלה</w:t>
      </w:r>
      <w:r w:rsidR="0006519B">
        <w:rPr>
          <w:rFonts w:hint="cs"/>
          <w:rtl/>
        </w:rPr>
        <w:t xml:space="preserve"> מס'</w:t>
      </w:r>
      <w:r w:rsidR="00565C0C">
        <w:rPr>
          <w:rFonts w:hint="cs"/>
          <w:rtl/>
        </w:rPr>
        <w:t xml:space="preserve"> </w:t>
      </w:r>
      <w:r w:rsidR="00DC4053" w:rsidRPr="00030778">
        <w:rPr>
          <w:rtl/>
        </w:rPr>
        <w:t>33</w:t>
      </w:r>
      <w:r w:rsidR="00DC4053" w:rsidRPr="00030778">
        <w:rPr>
          <w:rFonts w:hint="cs"/>
          <w:rtl/>
        </w:rPr>
        <w:t>9</w:t>
      </w:r>
      <w:r w:rsidR="00DC4053" w:rsidRPr="00030778">
        <w:rPr>
          <w:rtl/>
        </w:rPr>
        <w:t>3 מיום 11 בינואר 2018</w:t>
      </w:r>
      <w:r w:rsidR="00DC4053">
        <w:rPr>
          <w:rFonts w:hint="cs"/>
          <w:rtl/>
        </w:rPr>
        <w:t>.</w:t>
      </w:r>
      <w:r w:rsidR="00DC4053" w:rsidRPr="00F0574A">
        <w:rPr>
          <w:rtl/>
        </w:rPr>
        <w:t xml:space="preserve"> </w:t>
      </w:r>
      <w:r w:rsidR="00DC4053" w:rsidRPr="008B2932">
        <w:rPr>
          <w:rFonts w:hint="cs"/>
          <w:rtl/>
        </w:rPr>
        <w:t>נכון</w:t>
      </w:r>
      <w:r w:rsidR="00DC4053" w:rsidRPr="008B2932">
        <w:rPr>
          <w:rtl/>
        </w:rPr>
        <w:t xml:space="preserve"> להיום, היקף </w:t>
      </w:r>
      <w:r w:rsidR="00DC4053" w:rsidRPr="008B2932">
        <w:rPr>
          <w:rFonts w:hint="cs"/>
          <w:rtl/>
        </w:rPr>
        <w:t>מחויבויות</w:t>
      </w:r>
      <w:r w:rsidR="00DC4053" w:rsidRPr="008B2932">
        <w:rPr>
          <w:rtl/>
        </w:rPr>
        <w:t xml:space="preserve"> אל</w:t>
      </w:r>
      <w:r w:rsidR="00DC4053" w:rsidRPr="008B2932">
        <w:rPr>
          <w:rFonts w:hint="cs"/>
          <w:rtl/>
        </w:rPr>
        <w:t>ו</w:t>
      </w:r>
      <w:r w:rsidR="00DC4053" w:rsidRPr="008B2932">
        <w:rPr>
          <w:rtl/>
        </w:rPr>
        <w:t xml:space="preserve"> </w:t>
      </w:r>
      <w:r w:rsidR="00DC4053" w:rsidRPr="008B2932">
        <w:rPr>
          <w:rFonts w:hint="cs"/>
          <w:rtl/>
        </w:rPr>
        <w:t>נאמד</w:t>
      </w:r>
      <w:r w:rsidR="00DC4053" w:rsidRPr="008B2932">
        <w:rPr>
          <w:rtl/>
        </w:rPr>
        <w:t xml:space="preserve"> </w:t>
      </w:r>
      <w:r w:rsidR="00DC4053" w:rsidRPr="001305CF">
        <w:rPr>
          <w:rFonts w:hint="cs"/>
          <w:rtl/>
        </w:rPr>
        <w:t>בסך</w:t>
      </w:r>
      <w:r w:rsidR="00DC4053" w:rsidRPr="001305CF">
        <w:rPr>
          <w:rtl/>
        </w:rPr>
        <w:t xml:space="preserve"> של כ-</w:t>
      </w:r>
      <w:r w:rsidR="00072867">
        <w:rPr>
          <w:rFonts w:hint="cs"/>
          <w:rtl/>
        </w:rPr>
        <w:t>5</w:t>
      </w:r>
      <w:r w:rsidR="00DC4053" w:rsidRPr="001305CF">
        <w:rPr>
          <w:rtl/>
        </w:rPr>
        <w:t xml:space="preserve">.5 עד </w:t>
      </w:r>
      <w:r w:rsidR="00DC4053" w:rsidRPr="001305CF">
        <w:rPr>
          <w:rFonts w:hint="cs"/>
          <w:rtl/>
        </w:rPr>
        <w:t>כ-</w:t>
      </w:r>
      <w:r w:rsidR="00072867">
        <w:rPr>
          <w:rFonts w:hint="cs"/>
          <w:rtl/>
        </w:rPr>
        <w:t>6</w:t>
      </w:r>
      <w:r w:rsidR="00072867" w:rsidRPr="001305CF">
        <w:rPr>
          <w:rFonts w:hint="cs"/>
          <w:rtl/>
        </w:rPr>
        <w:t xml:space="preserve"> </w:t>
      </w:r>
      <w:r w:rsidR="00DC4053" w:rsidRPr="001305CF">
        <w:rPr>
          <w:rtl/>
        </w:rPr>
        <w:t>מיליארד</w:t>
      </w:r>
      <w:r w:rsidR="00DC4053" w:rsidRPr="008B2932">
        <w:rPr>
          <w:rtl/>
        </w:rPr>
        <w:t xml:space="preserve"> </w:t>
      </w:r>
      <w:r w:rsidR="00DC4053" w:rsidRPr="008B2932">
        <w:rPr>
          <w:rFonts w:hint="cs"/>
          <w:rtl/>
        </w:rPr>
        <w:t>ש</w:t>
      </w:r>
      <w:r w:rsidR="00DC4053" w:rsidRPr="008B2932">
        <w:rPr>
          <w:rtl/>
        </w:rPr>
        <w:t xml:space="preserve">"ח </w:t>
      </w:r>
      <w:r w:rsidR="00DC4053" w:rsidRPr="008B2932">
        <w:rPr>
          <w:rFonts w:hint="cs"/>
          <w:rtl/>
        </w:rPr>
        <w:t>בשנה</w:t>
      </w:r>
      <w:r w:rsidR="00DC4053" w:rsidRPr="008B2932">
        <w:rPr>
          <w:rtl/>
        </w:rPr>
        <w:t>.</w:t>
      </w:r>
    </w:p>
    <w:p w:rsidR="005B2F52" w:rsidRDefault="005B2F52" w:rsidP="00533E5A">
      <w:pPr>
        <w:contextualSpacing/>
        <w:rPr>
          <w:rtl/>
        </w:rPr>
      </w:pPr>
    </w:p>
    <w:p w:rsidR="005B2F52" w:rsidRDefault="005B2F52" w:rsidP="002C1814">
      <w:pPr>
        <w:contextualSpacing/>
        <w:rPr>
          <w:rFonts w:ascii="DBS-Torah"/>
          <w:rtl/>
        </w:rPr>
      </w:pPr>
      <w:r>
        <w:rPr>
          <w:rtl/>
        </w:rPr>
        <w:lastRenderedPageBreak/>
        <w:t>בהתאם להחלטת הממשלה</w:t>
      </w:r>
      <w:r w:rsidR="0006519B">
        <w:rPr>
          <w:rFonts w:hint="cs"/>
          <w:rtl/>
        </w:rPr>
        <w:t xml:space="preserve"> מס'</w:t>
      </w:r>
      <w:r>
        <w:rPr>
          <w:rtl/>
        </w:rPr>
        <w:t xml:space="preserve"> 3398 מיום 11 בינואר 2018 שעניינה התאמת מבנה הממשלה, </w:t>
      </w:r>
      <w:r>
        <w:rPr>
          <w:rFonts w:hint="cs"/>
          <w:rtl/>
        </w:rPr>
        <w:t xml:space="preserve">החל מיום כינונה </w:t>
      </w:r>
      <w:r>
        <w:rPr>
          <w:rtl/>
        </w:rPr>
        <w:t>של הממשלה הבאה, מספר משרדי הממשלה יצומצם ל-17 משרדים, לעומת 29 משרדים בממשלה הנוכחית</w:t>
      </w:r>
      <w:r>
        <w:rPr>
          <w:rFonts w:ascii="DBS-Torah" w:hint="cs"/>
          <w:rtl/>
        </w:rPr>
        <w:t xml:space="preserve">. החיסכון התקציבי מהחלטה זו עומד על 300 מלש"ח </w:t>
      </w:r>
      <w:r w:rsidR="002C1814">
        <w:rPr>
          <w:rFonts w:ascii="DBS-Torah" w:hint="cs"/>
          <w:rtl/>
        </w:rPr>
        <w:t>בשנת התקציב 2020, 600 מלש"ח בשנת 2021 ו</w:t>
      </w:r>
      <w:r w:rsidR="00EE6ACF">
        <w:rPr>
          <w:rFonts w:ascii="DBS-Torah" w:hint="cs"/>
          <w:rtl/>
        </w:rPr>
        <w:t>-800 מלש"ח ב-2022.</w:t>
      </w:r>
    </w:p>
    <w:p w:rsidR="00113C77" w:rsidRDefault="00113C77" w:rsidP="002C1814">
      <w:pPr>
        <w:contextualSpacing/>
        <w:rPr>
          <w:rFonts w:ascii="DBS-Torah"/>
          <w:rtl/>
        </w:rPr>
      </w:pPr>
    </w:p>
    <w:p w:rsidR="00030C41" w:rsidRDefault="00030C41" w:rsidP="00EE01C6">
      <w:pPr>
        <w:contextualSpacing/>
        <w:rPr>
          <w:b/>
          <w:bCs/>
          <w:rtl/>
        </w:rPr>
      </w:pPr>
      <w:r w:rsidRPr="00ED1F1E">
        <w:rPr>
          <w:rFonts w:hint="eastAsia"/>
          <w:b/>
          <w:bCs/>
          <w:rtl/>
        </w:rPr>
        <w:t>נושאים</w:t>
      </w:r>
      <w:r w:rsidRPr="00ED1F1E">
        <w:rPr>
          <w:b/>
          <w:bCs/>
          <w:rtl/>
        </w:rPr>
        <w:t xml:space="preserve"> אשר </w:t>
      </w:r>
      <w:r w:rsidRPr="00ED1F1E">
        <w:rPr>
          <w:rFonts w:hint="eastAsia"/>
          <w:b/>
          <w:bCs/>
          <w:rtl/>
        </w:rPr>
        <w:t>קיימת</w:t>
      </w:r>
      <w:r w:rsidRPr="00ED1F1E">
        <w:rPr>
          <w:b/>
          <w:bCs/>
          <w:rtl/>
        </w:rPr>
        <w:t xml:space="preserve"> </w:t>
      </w:r>
      <w:r w:rsidRPr="00ED1F1E">
        <w:rPr>
          <w:rFonts w:hint="eastAsia"/>
          <w:b/>
          <w:bCs/>
          <w:rtl/>
        </w:rPr>
        <w:t>בגינם</w:t>
      </w:r>
      <w:r w:rsidRPr="00ED1F1E">
        <w:rPr>
          <w:b/>
          <w:bCs/>
          <w:rtl/>
        </w:rPr>
        <w:t xml:space="preserve"> </w:t>
      </w:r>
      <w:r w:rsidRPr="00ED1F1E">
        <w:rPr>
          <w:rFonts w:hint="eastAsia"/>
          <w:b/>
          <w:bCs/>
          <w:rtl/>
        </w:rPr>
        <w:t>אי</w:t>
      </w:r>
      <w:r w:rsidRPr="00ED1F1E">
        <w:rPr>
          <w:b/>
          <w:bCs/>
          <w:rtl/>
        </w:rPr>
        <w:t xml:space="preserve"> </w:t>
      </w:r>
      <w:r w:rsidRPr="00ED1F1E">
        <w:rPr>
          <w:rFonts w:hint="eastAsia"/>
          <w:b/>
          <w:bCs/>
          <w:rtl/>
        </w:rPr>
        <w:t>ודאות</w:t>
      </w:r>
      <w:r w:rsidRPr="00ED1F1E">
        <w:rPr>
          <w:b/>
          <w:bCs/>
          <w:rtl/>
        </w:rPr>
        <w:t xml:space="preserve"> </w:t>
      </w:r>
      <w:r w:rsidRPr="00ED1F1E">
        <w:rPr>
          <w:rFonts w:hint="eastAsia"/>
          <w:b/>
          <w:bCs/>
          <w:rtl/>
        </w:rPr>
        <w:t>בשנים</w:t>
      </w:r>
      <w:r w:rsidRPr="00ED1F1E">
        <w:rPr>
          <w:b/>
          <w:bCs/>
          <w:rtl/>
        </w:rPr>
        <w:t xml:space="preserve"> 2019 </w:t>
      </w:r>
      <w:r w:rsidRPr="00ED1F1E">
        <w:rPr>
          <w:rFonts w:hint="eastAsia"/>
          <w:b/>
          <w:bCs/>
          <w:rtl/>
        </w:rPr>
        <w:t>ואילך</w:t>
      </w:r>
      <w:r w:rsidRPr="00ED1F1E">
        <w:rPr>
          <w:b/>
          <w:bCs/>
          <w:rtl/>
        </w:rPr>
        <w:t>:</w:t>
      </w:r>
    </w:p>
    <w:p w:rsidR="00030C41" w:rsidRPr="00C24A89" w:rsidRDefault="00030C41" w:rsidP="004C43A4">
      <w:pPr>
        <w:rPr>
          <w:rtl/>
        </w:rPr>
      </w:pPr>
      <w:r w:rsidRPr="00C24A89">
        <w:rPr>
          <w:rtl/>
        </w:rPr>
        <w:t>ב</w:t>
      </w:r>
      <w:r w:rsidR="0006519B">
        <w:rPr>
          <w:rFonts w:hint="cs"/>
          <w:rtl/>
        </w:rPr>
        <w:t>יום</w:t>
      </w:r>
      <w:r w:rsidRPr="00C24A89">
        <w:rPr>
          <w:rtl/>
        </w:rPr>
        <w:t xml:space="preserve"> 6 בספטמבר 2018 הודיע מנכ"ל הביטוח הלאומי על הסדרה מחדש של השקעות עודפי המוסד לביטוח לאומי, ועל כוונה לבטל את ההסדר הקיים בדבר השקעת עודפי המוסד באגרות חוב מיועדות של מדינת ישראל. </w:t>
      </w:r>
      <w:r w:rsidR="002F1EB6">
        <w:rPr>
          <w:rFonts w:hint="cs"/>
          <w:rtl/>
        </w:rPr>
        <w:t xml:space="preserve">לביטול ההסכם </w:t>
      </w:r>
      <w:r w:rsidRPr="00C24A89">
        <w:rPr>
          <w:rtl/>
        </w:rPr>
        <w:t xml:space="preserve">השלכות מאקרו כלכליות משמעותיות </w:t>
      </w:r>
      <w:r w:rsidRPr="0026036C">
        <w:rPr>
          <w:rtl/>
        </w:rPr>
        <w:t xml:space="preserve">על מדינת ישראל. </w:t>
      </w:r>
      <w:r w:rsidR="005F5C04">
        <w:rPr>
          <w:rFonts w:hint="cs"/>
          <w:rtl/>
        </w:rPr>
        <w:t>ה</w:t>
      </w:r>
      <w:r w:rsidRPr="0026036C">
        <w:rPr>
          <w:rtl/>
        </w:rPr>
        <w:t xml:space="preserve">ביטול </w:t>
      </w:r>
      <w:r w:rsidR="00895D6B" w:rsidRPr="0026036C">
        <w:rPr>
          <w:rFonts w:hint="eastAsia"/>
          <w:rtl/>
        </w:rPr>
        <w:t>כשלעצמו</w:t>
      </w:r>
      <w:r w:rsidR="00895D6B" w:rsidRPr="0026036C">
        <w:rPr>
          <w:rtl/>
        </w:rPr>
        <w:t xml:space="preserve"> </w:t>
      </w:r>
      <w:r w:rsidRPr="0026036C">
        <w:rPr>
          <w:rtl/>
        </w:rPr>
        <w:t>יוביל להגדלת הגירעון ב</w:t>
      </w:r>
      <w:r w:rsidR="0021430F">
        <w:rPr>
          <w:rFonts w:hint="cs"/>
          <w:rtl/>
        </w:rPr>
        <w:t>בסיס התקציב</w:t>
      </w:r>
      <w:r w:rsidR="00A06C1B">
        <w:rPr>
          <w:rFonts w:hint="cs"/>
          <w:rtl/>
        </w:rPr>
        <w:t xml:space="preserve"> </w:t>
      </w:r>
      <w:r w:rsidR="0021430F">
        <w:rPr>
          <w:rFonts w:hint="cs"/>
          <w:rtl/>
        </w:rPr>
        <w:t>ב-1.7%</w:t>
      </w:r>
      <w:r w:rsidRPr="0026036C">
        <w:rPr>
          <w:rtl/>
        </w:rPr>
        <w:t xml:space="preserve">. חריגה מהיעד בחוק </w:t>
      </w:r>
      <w:r w:rsidR="0006519B">
        <w:rPr>
          <w:rFonts w:hint="cs"/>
          <w:rtl/>
        </w:rPr>
        <w:t>המסגרות</w:t>
      </w:r>
      <w:r w:rsidRPr="00C24A89">
        <w:rPr>
          <w:rtl/>
        </w:rPr>
        <w:t>, תוביל לגידול משמעותי ביחס החוב-תוצר ומשכך להרעה בדירוג האשראי של המדינה וביכולתה לגייס חוב בריבית נמוכה. המשמעות היא הגדלת נתח הוצאות הריבית בתקציב המדינה על חשבון שאר השירותים הניתנים לאזרח, ופגיעה באיתנותה הפיננסית של המדינה. נוסף על כך, ידרשו תיקוני חקיקה בחוק תקציב 2019 ובחוק ה</w:t>
      </w:r>
      <w:r w:rsidR="0006519B">
        <w:rPr>
          <w:rFonts w:hint="cs"/>
          <w:rtl/>
        </w:rPr>
        <w:t>מסגרות</w:t>
      </w:r>
      <w:r w:rsidRPr="00C24A89">
        <w:rPr>
          <w:rtl/>
        </w:rPr>
        <w:t>.</w:t>
      </w:r>
      <w:r w:rsidR="003C00DF">
        <w:rPr>
          <w:rFonts w:hint="cs"/>
          <w:rtl/>
        </w:rPr>
        <w:t xml:space="preserve"> </w:t>
      </w:r>
      <w:r w:rsidR="0006519B">
        <w:rPr>
          <w:rFonts w:hint="cs"/>
          <w:rtl/>
        </w:rPr>
        <w:t xml:space="preserve">ביום 6 בינואר 2019 הודיע מנכ"ל המוסד לביטוח לאומי על ביטול הודעתו האמורה וכי ההסכם בעינו עומד בכפוף למתן </w:t>
      </w:r>
      <w:r w:rsidR="00E904B4">
        <w:rPr>
          <w:rFonts w:hint="cs"/>
          <w:rtl/>
        </w:rPr>
        <w:t xml:space="preserve">אפשרות </w:t>
      </w:r>
      <w:r w:rsidR="0006519B">
        <w:rPr>
          <w:rFonts w:hint="cs"/>
          <w:rtl/>
        </w:rPr>
        <w:t xml:space="preserve">נוספת להודיע על ביטולו בשנת 2019. </w:t>
      </w:r>
      <w:r w:rsidR="003C00DF">
        <w:rPr>
          <w:rFonts w:hint="cs"/>
          <w:rtl/>
        </w:rPr>
        <w:t xml:space="preserve">המספרים המופיעים בדו"ח זה, מניחים </w:t>
      </w:r>
      <w:r w:rsidR="001810F9">
        <w:rPr>
          <w:rFonts w:hint="cs"/>
          <w:rtl/>
        </w:rPr>
        <w:t xml:space="preserve">כי </w:t>
      </w:r>
      <w:r w:rsidR="004C43A4">
        <w:rPr>
          <w:rFonts w:hint="cs"/>
          <w:rtl/>
        </w:rPr>
        <w:t>ההסכם בעינו עומד ו</w:t>
      </w:r>
      <w:r w:rsidR="001810F9">
        <w:rPr>
          <w:rFonts w:hint="cs"/>
          <w:rtl/>
        </w:rPr>
        <w:t>לא יחול שינוי באופן רישום עודפי המוסד לביטוח לאומי, בשנים 2019 ואילך.</w:t>
      </w:r>
    </w:p>
    <w:p w:rsidR="00F015FF" w:rsidRDefault="00F015FF" w:rsidP="004C43A4">
      <w:pPr>
        <w:contextualSpacing/>
        <w:rPr>
          <w:rFonts w:ascii="DBS-Torah"/>
          <w:rtl/>
        </w:rPr>
      </w:pPr>
      <w:r>
        <w:rPr>
          <w:rFonts w:ascii="DBS-Torah" w:hint="cs"/>
          <w:rtl/>
        </w:rPr>
        <w:t>הצעת חוק ההתייעלות הכלכלית (תיקוני חקיקה להשגת יעדי התקציב לשנת התקציב 2019) התעש"ח-2018, עוסקת בהפחתת שיפוי המוסד לביטוח לאומי (שיבוב). בהתאם להחלטת הממשלה</w:t>
      </w:r>
      <w:r w:rsidR="004C43A4">
        <w:rPr>
          <w:rFonts w:ascii="DBS-Torah" w:hint="cs"/>
          <w:rtl/>
        </w:rPr>
        <w:t xml:space="preserve"> מס'</w:t>
      </w:r>
      <w:r>
        <w:rPr>
          <w:rFonts w:ascii="DBS-Torah" w:hint="cs"/>
          <w:rtl/>
        </w:rPr>
        <w:t xml:space="preserve"> 3666 מיום</w:t>
      </w:r>
      <w:r w:rsidR="004C43A4">
        <w:rPr>
          <w:rFonts w:ascii="DBS-Torah" w:hint="cs"/>
          <w:rtl/>
        </w:rPr>
        <w:t xml:space="preserve"> 11 במרץ 2018 </w:t>
      </w:r>
      <w:r>
        <w:rPr>
          <w:rFonts w:ascii="DBS-Torah" w:hint="cs"/>
          <w:rtl/>
        </w:rPr>
        <w:t>אושרה הפחתה רוחבית בגובה מיליארד ש"ח ככל שנושא זה לא ייושם.</w:t>
      </w:r>
      <w:r w:rsidR="00C97BC7">
        <w:rPr>
          <w:rFonts w:ascii="DBS-Torah" w:hint="cs"/>
          <w:rtl/>
        </w:rPr>
        <w:t xml:space="preserve"> יצוין כי טרם הושלם המהלך האמור ובהתאם גם </w:t>
      </w:r>
      <w:r w:rsidR="002F5FF6">
        <w:rPr>
          <w:rFonts w:ascii="DBS-Torah" w:hint="cs"/>
          <w:rtl/>
        </w:rPr>
        <w:t xml:space="preserve">טרם </w:t>
      </w:r>
      <w:r w:rsidR="00C97BC7">
        <w:rPr>
          <w:rFonts w:ascii="DBS-Torah" w:hint="cs"/>
          <w:rtl/>
        </w:rPr>
        <w:t xml:space="preserve">בוצעה הפחתה. </w:t>
      </w:r>
    </w:p>
    <w:p w:rsidR="000D1DED" w:rsidRDefault="000D1DED" w:rsidP="00DF01ED">
      <w:pPr>
        <w:contextualSpacing/>
        <w:rPr>
          <w:rFonts w:ascii="DBS-Torah"/>
          <w:rtl/>
        </w:rPr>
      </w:pPr>
    </w:p>
    <w:p w:rsidR="00907F9C" w:rsidRDefault="00296295" w:rsidP="005971AC">
      <w:pPr>
        <w:contextualSpacing/>
        <w:rPr>
          <w:rFonts w:ascii="DBS-Torah"/>
          <w:rtl/>
        </w:rPr>
      </w:pPr>
      <w:r>
        <w:rPr>
          <w:rFonts w:hint="cs"/>
          <w:rtl/>
        </w:rPr>
        <w:t xml:space="preserve">בנוסף, </w:t>
      </w:r>
      <w:r w:rsidR="001D083F">
        <w:rPr>
          <w:rtl/>
        </w:rPr>
        <w:t>בנוגע לפרוייקט ביטחוני מסו</w:t>
      </w:r>
      <w:r>
        <w:rPr>
          <w:rtl/>
        </w:rPr>
        <w:t xml:space="preserve">ים, אשר במקור תוכנן להיות ממומן ממקור תקציבי חיצוני, </w:t>
      </w:r>
      <w:r w:rsidR="00EB0510">
        <w:rPr>
          <w:rFonts w:hint="cs"/>
          <w:rtl/>
        </w:rPr>
        <w:t>ההנחה היא</w:t>
      </w:r>
      <w:r>
        <w:rPr>
          <w:rtl/>
        </w:rPr>
        <w:t xml:space="preserve"> כי בשנת 2019 רובו ימומן מתקציב מערכת הביטחון</w:t>
      </w:r>
      <w:r w:rsidR="00895D6B">
        <w:rPr>
          <w:rFonts w:hint="cs"/>
          <w:rtl/>
        </w:rPr>
        <w:t xml:space="preserve"> כפי </w:t>
      </w:r>
      <w:r w:rsidR="0026036C">
        <w:rPr>
          <w:rFonts w:hint="cs"/>
          <w:rtl/>
        </w:rPr>
        <w:t>שהוצג לממשלה ביום ב-6 ביוני 2018</w:t>
      </w:r>
      <w:r>
        <w:t>.</w:t>
      </w:r>
    </w:p>
    <w:p w:rsidR="00BE4EE4" w:rsidRDefault="00BE4EE4" w:rsidP="00BE4EE4">
      <w:pPr>
        <w:contextualSpacing/>
        <w:rPr>
          <w:rFonts w:ascii="DBS-Torah"/>
          <w:rtl/>
        </w:rPr>
      </w:pPr>
    </w:p>
    <w:p w:rsidR="00BE4EE4" w:rsidRPr="0073187A" w:rsidRDefault="00BE4EE4" w:rsidP="00BE4EE4">
      <w:pPr>
        <w:contextualSpacing/>
        <w:rPr>
          <w:rFonts w:ascii="DBS-Torah"/>
        </w:rPr>
      </w:pPr>
      <w:r>
        <w:rPr>
          <w:rFonts w:ascii="DBS-Torah" w:hint="cs"/>
          <w:rtl/>
        </w:rPr>
        <w:t>יתר על כן, סיכונים תקציביים נוספים הרלוונטים נוגעים לעתירות ותהליכים משפטיים בערכאות השונות הנמצאים בשלבי הכרעה מתקדמים ועשויים להביא לעלויות של מיליארדי ש"ח.</w:t>
      </w:r>
    </w:p>
    <w:p w:rsidR="00DF01ED" w:rsidRPr="00BE4EE4" w:rsidRDefault="00DF01ED" w:rsidP="00DC4053">
      <w:pPr>
        <w:tabs>
          <w:tab w:val="left" w:pos="340"/>
        </w:tabs>
        <w:suppressAutoHyphens/>
        <w:autoSpaceDE w:val="0"/>
        <w:autoSpaceDN w:val="0"/>
        <w:adjustRightInd w:val="0"/>
        <w:ind w:left="720"/>
        <w:contextualSpacing/>
        <w:textAlignment w:val="center"/>
        <w:rPr>
          <w:rFonts w:ascii="DBS-Torah"/>
          <w:b/>
          <w:bCs/>
          <w:rtl/>
        </w:rPr>
      </w:pPr>
    </w:p>
    <w:p w:rsidR="00DC4053" w:rsidRDefault="00DC4053" w:rsidP="005E73C9">
      <w:pPr>
        <w:contextualSpacing/>
        <w:rPr>
          <w:rFonts w:ascii="DBS-Torah"/>
          <w:rtl/>
        </w:rPr>
      </w:pPr>
      <w:r w:rsidRPr="008B2932">
        <w:rPr>
          <w:rFonts w:ascii="DBS-Torah" w:hint="cs"/>
          <w:b/>
          <w:bCs/>
          <w:rtl/>
        </w:rPr>
        <w:t>רזרבת</w:t>
      </w:r>
      <w:r w:rsidRPr="008B2932">
        <w:rPr>
          <w:rFonts w:ascii="DBS-Torah"/>
          <w:b/>
          <w:bCs/>
          <w:rtl/>
        </w:rPr>
        <w:t xml:space="preserve"> </w:t>
      </w:r>
      <w:r w:rsidRPr="008B2932">
        <w:rPr>
          <w:rFonts w:ascii="DBS-Torah" w:hint="cs"/>
          <w:b/>
          <w:bCs/>
          <w:rtl/>
        </w:rPr>
        <w:t>התאמות</w:t>
      </w:r>
      <w:r w:rsidRPr="008B2932">
        <w:rPr>
          <w:rFonts w:ascii="DBS-Torah"/>
          <w:b/>
          <w:bCs/>
          <w:rtl/>
        </w:rPr>
        <w:t xml:space="preserve"> </w:t>
      </w:r>
      <w:r w:rsidRPr="008B2932">
        <w:rPr>
          <w:rFonts w:ascii="DBS-Torah" w:hint="cs"/>
          <w:b/>
          <w:bCs/>
          <w:rtl/>
        </w:rPr>
        <w:t>לתקציב</w:t>
      </w:r>
      <w:r w:rsidRPr="008B2932">
        <w:rPr>
          <w:rFonts w:ascii="DBS-Torah"/>
          <w:b/>
          <w:bCs/>
          <w:rtl/>
        </w:rPr>
        <w:t xml:space="preserve"> </w:t>
      </w:r>
      <w:r>
        <w:rPr>
          <w:rFonts w:ascii="DBS-Torah" w:hint="cs"/>
          <w:b/>
          <w:bCs/>
          <w:rtl/>
        </w:rPr>
        <w:t>2019</w:t>
      </w:r>
      <w:r>
        <w:rPr>
          <w:rFonts w:ascii="DBS-Torah" w:hint="cs"/>
          <w:rtl/>
        </w:rPr>
        <w:t xml:space="preserve"> </w:t>
      </w:r>
      <w:r>
        <w:rPr>
          <w:rFonts w:asciiTheme="minorHAnsi" w:hAnsiTheme="minorHAnsi" w:hint="eastAsia"/>
        </w:rPr>
        <w:t>–</w:t>
      </w:r>
      <w:r w:rsidRPr="008B2932">
        <w:rPr>
          <w:rFonts w:ascii="DBS-Torah"/>
          <w:rtl/>
        </w:rPr>
        <w:t xml:space="preserve"> </w:t>
      </w:r>
      <w:r w:rsidRPr="005E75D5">
        <w:rPr>
          <w:rFonts w:ascii="DBS-Torah"/>
          <w:rtl/>
        </w:rPr>
        <w:t>לנוכח המועד שנקבע לאישור תקציב המדינה</w:t>
      </w:r>
      <w:r w:rsidR="002F5FF6">
        <w:rPr>
          <w:rFonts w:ascii="DBS-Torah"/>
          <w:rtl/>
        </w:rPr>
        <w:t xml:space="preserve"> לשנת הכספים 2019</w:t>
      </w:r>
      <w:r w:rsidR="002F5FF6">
        <w:rPr>
          <w:rFonts w:ascii="DBS-Torah" w:hint="cs"/>
          <w:rtl/>
        </w:rPr>
        <w:t xml:space="preserve"> </w:t>
      </w:r>
      <w:r w:rsidRPr="005E75D5">
        <w:rPr>
          <w:rFonts w:ascii="DBS-Torah"/>
          <w:rtl/>
        </w:rPr>
        <w:t xml:space="preserve">ובשל הפער בין שלב התכנון של התקציב לביצועו, לשם שמירה על </w:t>
      </w:r>
      <w:r>
        <w:rPr>
          <w:rFonts w:ascii="DBS-Torah" w:hint="cs"/>
          <w:rtl/>
        </w:rPr>
        <w:t>מסגרות התקציב</w:t>
      </w:r>
      <w:r w:rsidR="002F5FF6">
        <w:rPr>
          <w:rFonts w:ascii="DBS-Torah"/>
          <w:rtl/>
        </w:rPr>
        <w:t xml:space="preserve"> בשנ</w:t>
      </w:r>
      <w:r w:rsidR="002F5FF6">
        <w:rPr>
          <w:rFonts w:ascii="DBS-Torah" w:hint="cs"/>
          <w:rtl/>
        </w:rPr>
        <w:t xml:space="preserve">ה זו </w:t>
      </w:r>
      <w:r>
        <w:rPr>
          <w:rFonts w:ascii="DBS-Torah" w:hint="cs"/>
          <w:rtl/>
        </w:rPr>
        <w:t xml:space="preserve">ובהתאם להחלטת </w:t>
      </w:r>
      <w:r w:rsidR="006A04BF">
        <w:rPr>
          <w:rFonts w:ascii="DBS-Torah" w:hint="cs"/>
          <w:rtl/>
        </w:rPr>
        <w:t>ה</w:t>
      </w:r>
      <w:r>
        <w:rPr>
          <w:rFonts w:ascii="DBS-Torah" w:hint="cs"/>
          <w:rtl/>
        </w:rPr>
        <w:t xml:space="preserve">ממשלה </w:t>
      </w:r>
      <w:r w:rsidR="006A04BF">
        <w:rPr>
          <w:rFonts w:ascii="DBS-Torah" w:hint="cs"/>
          <w:rtl/>
        </w:rPr>
        <w:t>מס'</w:t>
      </w:r>
      <w:r>
        <w:rPr>
          <w:rFonts w:ascii="DBS-Torah" w:hint="cs"/>
          <w:rtl/>
        </w:rPr>
        <w:t xml:space="preserve"> 3409 מיום 11 בינואר 2018, הצעת התקציב לשנה זו כוללת תקציב התאמות בסך של 1.5 מיליארד ש"ח</w:t>
      </w:r>
      <w:r w:rsidR="00EE7093">
        <w:rPr>
          <w:rFonts w:ascii="DBS-Torah" w:hint="cs"/>
          <w:rtl/>
        </w:rPr>
        <w:t>, שלאור המצב המוצ</w:t>
      </w:r>
      <w:r w:rsidR="001E3F5A">
        <w:rPr>
          <w:rFonts w:ascii="DBS-Torah" w:hint="cs"/>
          <w:rtl/>
        </w:rPr>
        <w:t>ג</w:t>
      </w:r>
      <w:r w:rsidR="00EE7093">
        <w:rPr>
          <w:rFonts w:ascii="DBS-Torah" w:hint="cs"/>
          <w:rtl/>
        </w:rPr>
        <w:t xml:space="preserve"> בעדכון זה יועבר לכיסוי </w:t>
      </w:r>
      <w:r w:rsidR="003B55D7">
        <w:rPr>
          <w:rFonts w:ascii="DBS-Torah" w:hint="cs"/>
          <w:rtl/>
        </w:rPr>
        <w:t>הגרעון החזוי.</w:t>
      </w:r>
    </w:p>
    <w:p w:rsidR="0073187A" w:rsidRDefault="0073187A" w:rsidP="00DC4053">
      <w:pPr>
        <w:contextualSpacing/>
        <w:rPr>
          <w:rFonts w:ascii="DBS-Torah"/>
          <w:rtl/>
        </w:rPr>
      </w:pPr>
    </w:p>
    <w:p w:rsidR="00DC4053" w:rsidRDefault="00DC4053" w:rsidP="00DC4053">
      <w:pPr>
        <w:spacing w:before="200" w:after="200" w:line="276" w:lineRule="auto"/>
        <w:rPr>
          <w:b/>
          <w:bCs/>
          <w:rtl/>
        </w:rPr>
      </w:pPr>
      <w:r>
        <w:rPr>
          <w:b/>
          <w:bCs/>
          <w:rtl/>
        </w:rPr>
        <w:br w:type="page"/>
      </w:r>
    </w:p>
    <w:p w:rsidR="005970AB" w:rsidRDefault="005970AB" w:rsidP="005970AB">
      <w:pPr>
        <w:spacing w:before="200" w:after="200" w:line="276" w:lineRule="auto"/>
        <w:jc w:val="left"/>
        <w:rPr>
          <w:rFonts w:ascii="DBS-Torah"/>
        </w:rPr>
      </w:pPr>
      <w:r>
        <w:rPr>
          <w:b/>
          <w:bCs/>
          <w:rtl/>
        </w:rPr>
        <w:lastRenderedPageBreak/>
        <w:t>תחזיות לסביבה מקרו כלכלית, הכנסות המדינה ופירוט הסיכונים</w:t>
      </w:r>
    </w:p>
    <w:p w:rsidR="005970AB" w:rsidRDefault="005970AB" w:rsidP="005970AB">
      <w:pPr>
        <w:rPr>
          <w:rFonts w:eastAsia="Calibri"/>
          <w:rtl/>
        </w:rPr>
      </w:pPr>
      <w:r>
        <w:rPr>
          <w:rFonts w:eastAsia="Calibri"/>
          <w:rtl/>
        </w:rPr>
        <w:t xml:space="preserve">פרק זה מעדכן את התחזיות המקרו-כלכליות ותחזית הכנסות המדינה. בהמשך הפרק תוצג בקצרה המתודולוגיה לעריכת התחזית, עדכון התחזית לגבי סביבה מקרו כלכלית וכן תחזיות להכנסות ממסים, אגרות והכנסות אחרות. בנוסף, יפורטו בקצרה ההתפתחויות בשנים 2017 ו-2018 והרקע לעדכון. </w:t>
      </w:r>
    </w:p>
    <w:p w:rsidR="005970AB" w:rsidRDefault="005970AB" w:rsidP="005970AB">
      <w:pPr>
        <w:tabs>
          <w:tab w:val="left" w:pos="5272"/>
          <w:tab w:val="left" w:pos="5322"/>
          <w:tab w:val="right" w:pos="8306"/>
        </w:tabs>
        <w:spacing w:before="200" w:after="200"/>
        <w:rPr>
          <w:rtl/>
        </w:rPr>
      </w:pPr>
      <w:r>
        <w:rPr>
          <w:rFonts w:eastAsia="Calibri"/>
          <w:rtl/>
        </w:rPr>
        <w:t>התחזיות הקודמות לטווח הבינוני פורסמו במסגרת תכנית התקציב התלת-שנתית לשנים 2020 עד 2022 בחודש יוני 2018 וכן במסגרת תקציב לשנת 2019. מאז שנת 2016 כל העדכונים בתחזיות מפורסמות באופן שוטף באתר משרד האוצר</w:t>
      </w:r>
      <w:r>
        <w:rPr>
          <w:rFonts w:eastAsia="Calibri"/>
          <w:vertAlign w:val="superscript"/>
          <w:rtl/>
        </w:rPr>
        <w:footnoteReference w:id="3"/>
      </w:r>
      <w:r>
        <w:rPr>
          <w:rFonts w:eastAsia="Calibri"/>
          <w:rtl/>
        </w:rPr>
        <w:t>.</w:t>
      </w:r>
      <w:r>
        <w:rPr>
          <w:rtl/>
        </w:rPr>
        <w:t xml:space="preserve"> במהלך תהליך עדכון התחזית נערכה התייעצות עם אגפי האוצר השונים, נציגי בנק ישראל וכן מומחים מהמגזר הפרטי במסגרת תהליך תחזית הקונצנזוס</w:t>
      </w:r>
      <w:r w:rsidR="006A04BF">
        <w:rPr>
          <w:rFonts w:hint="cs"/>
          <w:rtl/>
        </w:rPr>
        <w:t>, והכל בהתאם לנוהל במשרד האוצר שהוצא בעניין זה</w:t>
      </w:r>
      <w:r>
        <w:rPr>
          <w:rtl/>
        </w:rPr>
        <w:t>. התייעצויות אלו מהוות חלק מבני בתהליך ומסייעות להתמודד עם אי-הוודאות הנגזרת מאופק החיזוי הארוך.</w:t>
      </w:r>
    </w:p>
    <w:p w:rsidR="005970AB" w:rsidRDefault="005970AB" w:rsidP="005970AB">
      <w:pPr>
        <w:tabs>
          <w:tab w:val="left" w:pos="5272"/>
          <w:tab w:val="left" w:pos="5322"/>
          <w:tab w:val="right" w:pos="8306"/>
        </w:tabs>
        <w:spacing w:before="200" w:after="200"/>
        <w:contextualSpacing/>
        <w:rPr>
          <w:b/>
          <w:bCs/>
          <w:rtl/>
        </w:rPr>
      </w:pPr>
      <w:r>
        <w:rPr>
          <w:b/>
          <w:bCs/>
          <w:rtl/>
        </w:rPr>
        <w:t>מתודולוגיית חיזוי והנחות לתחזית הגבייה</w:t>
      </w:r>
    </w:p>
    <w:p w:rsidR="005970AB" w:rsidRDefault="005970AB" w:rsidP="005970AB">
      <w:pPr>
        <w:tabs>
          <w:tab w:val="left" w:pos="5272"/>
          <w:tab w:val="left" w:pos="5322"/>
          <w:tab w:val="right" w:pos="8306"/>
        </w:tabs>
        <w:spacing w:before="200" w:after="200"/>
        <w:contextualSpacing/>
        <w:rPr>
          <w:rtl/>
        </w:rPr>
      </w:pPr>
      <w:r>
        <w:rPr>
          <w:rtl/>
        </w:rPr>
        <w:t>בשל אופק התחזית הרחוק, הצפי להכנסות הממשלה לשנים 2018 עד 2022 נערך בשני שלבים כדלקמן:</w:t>
      </w:r>
    </w:p>
    <w:p w:rsidR="005970AB" w:rsidRDefault="005970AB" w:rsidP="005970AB">
      <w:pPr>
        <w:numPr>
          <w:ilvl w:val="0"/>
          <w:numId w:val="39"/>
        </w:numPr>
        <w:tabs>
          <w:tab w:val="left" w:pos="5272"/>
          <w:tab w:val="left" w:pos="5322"/>
          <w:tab w:val="right" w:pos="8306"/>
        </w:tabs>
        <w:spacing w:before="200" w:after="200"/>
        <w:contextualSpacing/>
        <w:rPr>
          <w:rtl/>
        </w:rPr>
      </w:pPr>
      <w:r>
        <w:rPr>
          <w:rtl/>
        </w:rPr>
        <w:t xml:space="preserve">התחזית לשנת 2019 בוצעה באמצעות מודל אקונומטרי הקושר בין הכנסות המדינה למגוון משתנים כלכליים (כגון: צמיחה, תעסוקה, שערי חליפין ומחירים). </w:t>
      </w:r>
    </w:p>
    <w:p w:rsidR="005970AB" w:rsidRDefault="005970AB" w:rsidP="005970AB">
      <w:pPr>
        <w:numPr>
          <w:ilvl w:val="0"/>
          <w:numId w:val="39"/>
        </w:numPr>
        <w:contextualSpacing/>
        <w:rPr>
          <w:b/>
          <w:bCs/>
          <w:sz w:val="28"/>
          <w:szCs w:val="28"/>
        </w:rPr>
      </w:pPr>
      <w:r>
        <w:rPr>
          <w:rtl/>
        </w:rPr>
        <w:t>התחזית לשנים 2020 עד 2022 מבוססת על תרחיש מרכזי המשקף את פוטנציאל הצמיחה של המשק בטווח הבינוני והנחות אחרות ביחס לקצב גידול המחירים ומצרפי שוק העבודה, תוך הנחה לגבי גמישות נורמטיבית של ההכנסות ממסים וההכנסות האחרות.</w:t>
      </w:r>
    </w:p>
    <w:p w:rsidR="005970AB" w:rsidRDefault="005970AB" w:rsidP="005970AB">
      <w:pPr>
        <w:tabs>
          <w:tab w:val="left" w:pos="5272"/>
          <w:tab w:val="left" w:pos="5322"/>
          <w:tab w:val="right" w:pos="8306"/>
        </w:tabs>
        <w:spacing w:before="200" w:after="200"/>
        <w:contextualSpacing/>
        <w:rPr>
          <w:rtl/>
        </w:rPr>
      </w:pPr>
    </w:p>
    <w:p w:rsidR="005970AB" w:rsidRDefault="005970AB" w:rsidP="005970AB">
      <w:pPr>
        <w:tabs>
          <w:tab w:val="left" w:pos="5272"/>
          <w:tab w:val="left" w:pos="5322"/>
          <w:tab w:val="right" w:pos="8306"/>
        </w:tabs>
        <w:spacing w:before="200" w:after="200"/>
        <w:contextualSpacing/>
        <w:rPr>
          <w:b/>
          <w:bCs/>
          <w:rtl/>
        </w:rPr>
      </w:pPr>
      <w:r>
        <w:rPr>
          <w:b/>
          <w:bCs/>
          <w:sz w:val="28"/>
          <w:szCs w:val="28"/>
          <w:rtl/>
        </w:rPr>
        <w:t xml:space="preserve">תחזית הצמיחה </w:t>
      </w:r>
    </w:p>
    <w:p w:rsidR="005970AB" w:rsidRDefault="005970AB" w:rsidP="005970AB">
      <w:pPr>
        <w:tabs>
          <w:tab w:val="left" w:pos="5272"/>
          <w:tab w:val="left" w:pos="5322"/>
          <w:tab w:val="right" w:pos="8306"/>
        </w:tabs>
        <w:spacing w:before="200" w:after="200"/>
        <w:contextualSpacing/>
        <w:rPr>
          <w:b/>
          <w:bCs/>
          <w:rtl/>
        </w:rPr>
      </w:pPr>
      <w:r>
        <w:rPr>
          <w:b/>
          <w:bCs/>
          <w:rtl/>
        </w:rPr>
        <w:t>מגמות כלכליות</w:t>
      </w:r>
    </w:p>
    <w:p w:rsidR="005970AB" w:rsidRDefault="005970AB" w:rsidP="005970AB">
      <w:pPr>
        <w:tabs>
          <w:tab w:val="left" w:pos="5272"/>
          <w:tab w:val="left" w:pos="5322"/>
          <w:tab w:val="right" w:pos="8306"/>
        </w:tabs>
        <w:spacing w:before="200" w:after="200"/>
        <w:contextualSpacing/>
        <w:rPr>
          <w:rtl/>
        </w:rPr>
      </w:pPr>
      <w:r>
        <w:rPr>
          <w:rtl/>
        </w:rPr>
        <w:t xml:space="preserve">מאז עריכת התחזית הקודמת (יוני 2018) חלה החלשות הדרגתית בקצבי הצמיחה בישראל ובעולם תוך חידוד הסיכונים להמשך הצמיחה בשנה הקרובה. זאת לאחר שבשנת 2017 נרשם בישראל קצב צמיחה של 3.5% (מעט גבוה ביחס לפוטנציאל) וברבעון הראשון של שנת 2018 עמד קצב הצמיחה על רמה גבוהה של 4.6%. </w:t>
      </w:r>
    </w:p>
    <w:p w:rsidR="006A04BF" w:rsidRDefault="006A04BF" w:rsidP="005970AB">
      <w:pPr>
        <w:tabs>
          <w:tab w:val="left" w:pos="5272"/>
          <w:tab w:val="left" w:pos="5322"/>
          <w:tab w:val="right" w:pos="8306"/>
        </w:tabs>
        <w:spacing w:before="200" w:after="200"/>
        <w:contextualSpacing/>
        <w:rPr>
          <w:rtl/>
        </w:rPr>
      </w:pPr>
    </w:p>
    <w:p w:rsidR="005970AB" w:rsidRDefault="005970AB" w:rsidP="005970AB">
      <w:pPr>
        <w:tabs>
          <w:tab w:val="left" w:pos="5272"/>
          <w:tab w:val="left" w:pos="5322"/>
          <w:tab w:val="right" w:pos="8306"/>
        </w:tabs>
        <w:spacing w:before="200" w:after="200"/>
        <w:contextualSpacing/>
        <w:rPr>
          <w:rtl/>
        </w:rPr>
      </w:pPr>
      <w:r>
        <w:rPr>
          <w:rtl/>
        </w:rPr>
        <w:t xml:space="preserve">החל מהרבעון השני של שנת 2018 מסתמן שינוי מגמה ונרשמו שיעורי צמיחה חלשים משמעותית מאלה של הרבעונים המקבילים אשתקד, 1.2% ברבעון השני (בהשוואה ל-3.7% ב-2017) ו-2.3% ברבעון השלישי (בהשוואה ל-4.7%). הירידה בקצב הצמיחה משקפת בעיקר את ההתכווצות בהיקף ההשקעות וכן גידול איטי בצריכה הפרטית. </w:t>
      </w:r>
    </w:p>
    <w:p w:rsidR="005970AB" w:rsidRDefault="005970AB" w:rsidP="005970AB">
      <w:pPr>
        <w:tabs>
          <w:tab w:val="left" w:pos="5272"/>
          <w:tab w:val="left" w:pos="5322"/>
          <w:tab w:val="right" w:pos="8306"/>
        </w:tabs>
        <w:spacing w:before="200" w:after="200"/>
        <w:contextualSpacing/>
        <w:rPr>
          <w:rtl/>
        </w:rPr>
      </w:pPr>
    </w:p>
    <w:p w:rsidR="005970AB" w:rsidRDefault="005970AB" w:rsidP="005970AB">
      <w:pPr>
        <w:tabs>
          <w:tab w:val="left" w:pos="5272"/>
          <w:tab w:val="left" w:pos="5322"/>
          <w:tab w:val="right" w:pos="8306"/>
        </w:tabs>
        <w:spacing w:before="200" w:after="200"/>
        <w:contextualSpacing/>
        <w:rPr>
          <w:rtl/>
        </w:rPr>
      </w:pPr>
    </w:p>
    <w:p w:rsidR="005970AB" w:rsidRDefault="005970AB" w:rsidP="005970AB">
      <w:pPr>
        <w:tabs>
          <w:tab w:val="left" w:pos="5272"/>
          <w:tab w:val="left" w:pos="5322"/>
          <w:tab w:val="right" w:pos="8306"/>
        </w:tabs>
        <w:spacing w:before="200" w:after="200"/>
        <w:contextualSpacing/>
        <w:rPr>
          <w:rtl/>
        </w:rPr>
      </w:pPr>
    </w:p>
    <w:p w:rsidR="005970AB" w:rsidRDefault="005970AB" w:rsidP="005970AB">
      <w:pPr>
        <w:tabs>
          <w:tab w:val="left" w:pos="5272"/>
          <w:tab w:val="left" w:pos="5322"/>
          <w:tab w:val="right" w:pos="8306"/>
        </w:tabs>
        <w:spacing w:before="200" w:after="200"/>
        <w:contextualSpacing/>
        <w:rPr>
          <w:rtl/>
        </w:rPr>
      </w:pPr>
    </w:p>
    <w:p w:rsidR="005970AB" w:rsidRDefault="005970AB" w:rsidP="005970AB">
      <w:pPr>
        <w:tabs>
          <w:tab w:val="left" w:pos="5272"/>
          <w:tab w:val="left" w:pos="5322"/>
          <w:tab w:val="right" w:pos="8306"/>
        </w:tabs>
        <w:spacing w:before="200" w:after="200"/>
        <w:contextualSpacing/>
        <w:rPr>
          <w:rtl/>
        </w:rPr>
      </w:pPr>
    </w:p>
    <w:p w:rsidR="005970AB" w:rsidRDefault="005970AB" w:rsidP="005970AB">
      <w:pPr>
        <w:tabs>
          <w:tab w:val="left" w:pos="5272"/>
          <w:tab w:val="left" w:pos="5322"/>
          <w:tab w:val="right" w:pos="8306"/>
        </w:tabs>
        <w:spacing w:before="200" w:after="200"/>
        <w:contextualSpacing/>
        <w:jc w:val="center"/>
        <w:rPr>
          <w:noProof/>
          <w:rtl/>
        </w:rPr>
      </w:pPr>
      <w:r>
        <w:rPr>
          <w:b/>
          <w:bCs/>
          <w:rtl/>
        </w:rPr>
        <w:t>קצב הצמיחה בשנים 1999 עד 2018</w:t>
      </w:r>
    </w:p>
    <w:p w:rsidR="005970AB" w:rsidRDefault="005970AB" w:rsidP="005970AB">
      <w:pPr>
        <w:tabs>
          <w:tab w:val="left" w:pos="5272"/>
          <w:tab w:val="left" w:pos="5322"/>
          <w:tab w:val="right" w:pos="8306"/>
        </w:tabs>
        <w:spacing w:before="200" w:after="200"/>
        <w:contextualSpacing/>
        <w:jc w:val="center"/>
        <w:rPr>
          <w:rtl/>
        </w:rPr>
      </w:pPr>
      <w:r>
        <w:rPr>
          <w:noProof/>
        </w:rPr>
        <w:drawing>
          <wp:inline distT="0" distB="0" distL="0" distR="0" wp14:anchorId="44D3A2D8" wp14:editId="061B23FF">
            <wp:extent cx="5295900" cy="2800350"/>
            <wp:effectExtent l="0" t="0" r="0" b="0"/>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970AB" w:rsidRDefault="005970AB" w:rsidP="005970AB">
      <w:pPr>
        <w:tabs>
          <w:tab w:val="left" w:pos="5272"/>
          <w:tab w:val="left" w:pos="5322"/>
          <w:tab w:val="right" w:pos="8306"/>
        </w:tabs>
        <w:spacing w:before="200" w:after="200"/>
        <w:contextualSpacing/>
        <w:rPr>
          <w:sz w:val="22"/>
          <w:szCs w:val="22"/>
          <w:rtl/>
        </w:rPr>
      </w:pPr>
      <w:r>
        <w:rPr>
          <w:sz w:val="22"/>
          <w:szCs w:val="22"/>
          <w:rtl/>
        </w:rPr>
        <w:t>מקור: למ"ס. הנתון לשנת 2018 הוא תחזית הלמ"ס.</w:t>
      </w:r>
    </w:p>
    <w:p w:rsidR="005970AB" w:rsidRDefault="005970AB" w:rsidP="005970AB">
      <w:pPr>
        <w:tabs>
          <w:tab w:val="left" w:pos="5272"/>
          <w:tab w:val="left" w:pos="5322"/>
          <w:tab w:val="right" w:pos="8306"/>
        </w:tabs>
        <w:spacing w:before="200" w:after="200"/>
        <w:contextualSpacing/>
        <w:rPr>
          <w:highlight w:val="blue"/>
        </w:rPr>
      </w:pPr>
    </w:p>
    <w:p w:rsidR="005970AB" w:rsidRDefault="005970AB" w:rsidP="005970AB">
      <w:pPr>
        <w:tabs>
          <w:tab w:val="left" w:pos="5272"/>
          <w:tab w:val="left" w:pos="5322"/>
          <w:tab w:val="right" w:pos="8306"/>
        </w:tabs>
        <w:spacing w:before="200" w:after="200"/>
        <w:contextualSpacing/>
        <w:rPr>
          <w:rtl/>
        </w:rPr>
      </w:pPr>
      <w:r>
        <w:rPr>
          <w:rtl/>
        </w:rPr>
        <w:t xml:space="preserve">הצמיחה המהירה בשנים האחרונות נשענה במידה רבה על גידול </w:t>
      </w:r>
      <w:r>
        <w:rPr>
          <w:b/>
          <w:bCs/>
          <w:rtl/>
        </w:rPr>
        <w:t>בצריכה הפרטית</w:t>
      </w:r>
      <w:r>
        <w:rPr>
          <w:rtl/>
        </w:rPr>
        <w:t>, ומשזו נחלשה במהלך הרבעונים השני והשלישי של שנת 2018 פחת גם קצב הצמיחה. יצוין כי ההתרחבות בצריכה הפרטית ברבעון הראשון של השנה התבססה</w:t>
      </w:r>
      <w:r w:rsidR="006A04BF">
        <w:rPr>
          <w:rFonts w:hint="cs"/>
          <w:rtl/>
        </w:rPr>
        <w:t>,</w:t>
      </w:r>
      <w:r>
        <w:rPr>
          <w:rtl/>
        </w:rPr>
        <w:t xml:space="preserve"> בין היתר</w:t>
      </w:r>
      <w:r w:rsidR="006A04BF">
        <w:rPr>
          <w:rFonts w:hint="cs"/>
          <w:rtl/>
        </w:rPr>
        <w:t>,</w:t>
      </w:r>
      <w:r>
        <w:rPr>
          <w:rtl/>
        </w:rPr>
        <w:t xml:space="preserve"> על יבוא מוצרי בני קיימא, ובעיקר מכוניות (ראה תרשים להלן). היות שהיקף היבוא של כלי רכב ששימש לחישוב נתוני התוצר ברבעון הראשון היה גבוה בהשוואה להיקף המסירות בפועל, יתכן שהירידה בצריכה הפרטית ברבעונים השני והשלישי מגלמת בין היתר קיזוז לכך. בחישוב שנתי, מסירות כלי הרכב צפויות להיות דומות לשנים קודמות (לאחר התאמות, ראו תרשים הבא). סוגיה זו תרמה גם לגידול בהיקף </w:t>
      </w:r>
      <w:r>
        <w:rPr>
          <w:b/>
          <w:bCs/>
          <w:rtl/>
        </w:rPr>
        <w:t>ההשקעות</w:t>
      </w:r>
      <w:r>
        <w:rPr>
          <w:rtl/>
        </w:rPr>
        <w:t xml:space="preserve"> ברבעון הראשון (שכוללות גם את רכבי הליסינג) ולהיחלשות בסעיף זה במהלך הרבעונים הבאים. </w:t>
      </w:r>
    </w:p>
    <w:p w:rsidR="005970AB" w:rsidRDefault="005970AB" w:rsidP="005970AB">
      <w:pPr>
        <w:tabs>
          <w:tab w:val="left" w:pos="5272"/>
          <w:tab w:val="left" w:pos="5322"/>
          <w:tab w:val="right" w:pos="8306"/>
        </w:tabs>
        <w:spacing w:before="200" w:after="200"/>
        <w:contextualSpacing/>
        <w:rPr>
          <w:rtl/>
        </w:rPr>
      </w:pPr>
    </w:p>
    <w:p w:rsidR="005970AB" w:rsidRDefault="005970AB" w:rsidP="005970AB">
      <w:pPr>
        <w:bidi w:val="0"/>
        <w:spacing w:before="200" w:after="200" w:line="276" w:lineRule="auto"/>
      </w:pPr>
      <w:r>
        <w:rPr>
          <w:rtl/>
        </w:rPr>
        <w:br w:type="page"/>
      </w:r>
    </w:p>
    <w:p w:rsidR="005970AB" w:rsidRDefault="005970AB" w:rsidP="005970AB">
      <w:pPr>
        <w:tabs>
          <w:tab w:val="left" w:pos="5272"/>
          <w:tab w:val="left" w:pos="5322"/>
          <w:tab w:val="right" w:pos="8306"/>
        </w:tabs>
        <w:spacing w:before="200" w:after="200"/>
        <w:contextualSpacing/>
        <w:jc w:val="center"/>
        <w:rPr>
          <w:b/>
          <w:bCs/>
        </w:rPr>
      </w:pPr>
      <w:r>
        <w:rPr>
          <w:b/>
          <w:bCs/>
          <w:rtl/>
        </w:rPr>
        <w:lastRenderedPageBreak/>
        <w:t>יבוא ומסירות כלי רכב בין השנים 2015-2018</w:t>
      </w:r>
    </w:p>
    <w:p w:rsidR="005970AB" w:rsidRDefault="005970AB" w:rsidP="005970AB">
      <w:pPr>
        <w:tabs>
          <w:tab w:val="left" w:pos="5272"/>
          <w:tab w:val="left" w:pos="5322"/>
          <w:tab w:val="right" w:pos="8306"/>
        </w:tabs>
        <w:spacing w:before="200" w:after="200"/>
        <w:contextualSpacing/>
        <w:jc w:val="center"/>
        <w:rPr>
          <w:rtl/>
        </w:rPr>
      </w:pPr>
      <w:r>
        <w:rPr>
          <w:rtl/>
        </w:rPr>
        <w:t>(אלפי כלי רכב)</w:t>
      </w:r>
    </w:p>
    <w:p w:rsidR="005970AB" w:rsidRDefault="005970AB" w:rsidP="005970AB">
      <w:pPr>
        <w:tabs>
          <w:tab w:val="left" w:pos="5272"/>
          <w:tab w:val="left" w:pos="5322"/>
          <w:tab w:val="right" w:pos="8306"/>
        </w:tabs>
        <w:spacing w:before="0" w:after="200"/>
        <w:contextualSpacing/>
        <w:jc w:val="center"/>
        <w:rPr>
          <w:rtl/>
        </w:rPr>
      </w:pPr>
      <w:r>
        <w:rPr>
          <w:noProof/>
          <w:rtl/>
        </w:rPr>
        <mc:AlternateContent>
          <mc:Choice Requires="wps">
            <w:drawing>
              <wp:anchor distT="0" distB="0" distL="114300" distR="114300" simplePos="0" relativeHeight="251663360" behindDoc="0" locked="0" layoutInCell="1" allowOverlap="1" wp14:anchorId="5A4093D9" wp14:editId="7A74DE18">
                <wp:simplePos x="0" y="0"/>
                <wp:positionH relativeFrom="column">
                  <wp:posOffset>1863090</wp:posOffset>
                </wp:positionH>
                <wp:positionV relativeFrom="paragraph">
                  <wp:posOffset>501015</wp:posOffset>
                </wp:positionV>
                <wp:extent cx="2540" cy="243840"/>
                <wp:effectExtent l="76200" t="0" r="73660" b="60960"/>
                <wp:wrapNone/>
                <wp:docPr id="25" name="Straight Arrow Connector 25"/>
                <wp:cNvGraphicFramePr/>
                <a:graphic xmlns:a="http://schemas.openxmlformats.org/drawingml/2006/main">
                  <a:graphicData uri="http://schemas.microsoft.com/office/word/2010/wordprocessingShape">
                    <wps:wsp>
                      <wps:cNvCnPr/>
                      <wps:spPr>
                        <a:xfrm flipH="1">
                          <a:off x="0" y="0"/>
                          <a:ext cx="2540" cy="2438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1196B2DA" id="_x0000_t32" coordsize="21600,21600" o:spt="32" o:oned="t" path="m,l21600,21600e" filled="f">
                <v:path arrowok="t" fillok="f" o:connecttype="none"/>
                <o:lock v:ext="edit" shapetype="t"/>
              </v:shapetype>
              <v:shape id="Straight Arrow Connector 25" o:spid="_x0000_s1026" type="#_x0000_t32" style="position:absolute;left:0;text-align:left;margin-left:146.7pt;margin-top:39.45pt;width:.2pt;height:19.2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" strokecolor="black [3040]">
                <v:stroke endarrow="block"/>
              </v:shape>
            </w:pict>
          </mc:Fallback>
        </mc:AlternateContent>
      </w:r>
      <w:r>
        <w:rPr>
          <w:noProof/>
          <w:rtl/>
        </w:rPr>
        <mc:AlternateContent>
          <mc:Choice Requires="wps">
            <w:drawing>
              <wp:anchor distT="45720" distB="45720" distL="114300" distR="114300" simplePos="0" relativeHeight="251664384" behindDoc="0" locked="0" layoutInCell="1" allowOverlap="1" wp14:anchorId="70793EFE" wp14:editId="76729546">
                <wp:simplePos x="0" y="0"/>
                <wp:positionH relativeFrom="margin">
                  <wp:posOffset>1630045</wp:posOffset>
                </wp:positionH>
                <wp:positionV relativeFrom="paragraph">
                  <wp:posOffset>10160</wp:posOffset>
                </wp:positionV>
                <wp:extent cx="2788285" cy="465455"/>
                <wp:effectExtent l="0" t="0" r="12065" b="1079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7650" cy="465455"/>
                        </a:xfrm>
                        <a:prstGeom prst="rect">
                          <a:avLst/>
                        </a:prstGeom>
                        <a:solidFill>
                          <a:srgbClr val="FFFFFF"/>
                        </a:solidFill>
                        <a:ln w="9525">
                          <a:solidFill>
                            <a:srgbClr val="000000"/>
                          </a:solidFill>
                          <a:miter lim="800000"/>
                          <a:headEnd/>
                          <a:tailEnd/>
                        </a:ln>
                      </wps:spPr>
                      <wps:txbx>
                        <w:txbxContent>
                          <w:p w:rsidR="003B55D7" w:rsidRDefault="003B55D7" w:rsidP="005970AB">
                            <w:pPr>
                              <w:tabs>
                                <w:tab w:val="left" w:pos="5272"/>
                                <w:tab w:val="left" w:pos="5322"/>
                                <w:tab w:val="right" w:pos="8306"/>
                              </w:tabs>
                              <w:rPr>
                                <w:sz w:val="18"/>
                                <w:szCs w:val="18"/>
                              </w:rPr>
                            </w:pPr>
                            <w:r>
                              <w:rPr>
                                <w:sz w:val="18"/>
                                <w:szCs w:val="18"/>
                                <w:rtl/>
                              </w:rPr>
                              <w:t>עדכון נוסחת מיסוי ירוק בינואר 2017 גרם להסטה והקדמת יבוא כלי רכב בדצמבר 2016 על חשבון הרבעון הראשון של 2017. השטחים המקווקוים מייצגים את התיקון לכך.</w:t>
                            </w:r>
                          </w:p>
                          <w:p w:rsidR="003B55D7" w:rsidRDefault="003B55D7" w:rsidP="005970AB">
                            <w:pPr>
                              <w:rPr>
                                <w:sz w:val="18"/>
                                <w:szCs w:val="20"/>
                                <w:rt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793EFE" id="_x0000_t202" coordsize="21600,21600" o:spt="202" path="m,l,21600r21600,l21600,xe">
                <v:stroke joinstyle="miter"/>
                <v:path gradientshapeok="t" o:connecttype="rect"/>
              </v:shapetype>
              <v:shape id="Text Box 24" o:spid="_x0000_s1026" type="#_x0000_t202" style="position:absolute;left:0;text-align:left;margin-left:128.35pt;margin-top:.8pt;width:219.55pt;height:36.6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">
                <v:textbox>
                  <w:txbxContent>
                    <w:p w:rsidR="003B55D7" w:rsidRDefault="003B55D7" w:rsidP="005970AB">
                      <w:pPr>
                        <w:tabs>
                          <w:tab w:val="left" w:pos="5272"/>
                          <w:tab w:val="left" w:pos="5322"/>
                          <w:tab w:val="right" w:pos="8306"/>
                        </w:tabs>
                        <w:rPr>
                          <w:sz w:val="18"/>
                          <w:szCs w:val="18"/>
                        </w:rPr>
                      </w:pPr>
                      <w:r>
                        <w:rPr>
                          <w:sz w:val="18"/>
                          <w:szCs w:val="18"/>
                          <w:rtl/>
                        </w:rPr>
                        <w:t>עדכון נוסחת מיסוי ירוק בינואר 2017 גרם להסטה והקדמת יבוא כלי רכב בדצמבר 2016 על חשבון הרבעון הראשון של 2017. השטחים המקווקוים מייצגים את התיקון לכך.</w:t>
                      </w:r>
                    </w:p>
                    <w:p w:rsidR="003B55D7" w:rsidRDefault="003B55D7" w:rsidP="005970AB">
                      <w:pPr>
                        <w:rPr>
                          <w:sz w:val="18"/>
                          <w:szCs w:val="20"/>
                          <w:rtl/>
                        </w:rPr>
                      </w:pPr>
                    </w:p>
                  </w:txbxContent>
                </v:textbox>
                <w10:wrap anchorx="margin"/>
              </v:shape>
            </w:pict>
          </mc:Fallback>
        </mc:AlternateContent>
      </w:r>
      <w:r>
        <w:rPr>
          <w:noProof/>
          <w:rtl/>
        </w:rPr>
        <mc:AlternateContent>
          <mc:Choice Requires="wps">
            <w:drawing>
              <wp:anchor distT="0" distB="0" distL="114300" distR="114300" simplePos="0" relativeHeight="251665408" behindDoc="0" locked="0" layoutInCell="1" allowOverlap="1" wp14:anchorId="24D59A23" wp14:editId="3187065C">
                <wp:simplePos x="0" y="0"/>
                <wp:positionH relativeFrom="column">
                  <wp:posOffset>1456690</wp:posOffset>
                </wp:positionH>
                <wp:positionV relativeFrom="paragraph">
                  <wp:posOffset>331470</wp:posOffset>
                </wp:positionV>
                <wp:extent cx="161925" cy="85725"/>
                <wp:effectExtent l="38100" t="0" r="28575" b="47625"/>
                <wp:wrapNone/>
                <wp:docPr id="23" name="Straight Arrow Connector 23"/>
                <wp:cNvGraphicFramePr/>
                <a:graphic xmlns:a="http://schemas.openxmlformats.org/drawingml/2006/main">
                  <a:graphicData uri="http://schemas.microsoft.com/office/word/2010/wordprocessingShape">
                    <wps:wsp>
                      <wps:cNvCnPr/>
                      <wps:spPr>
                        <a:xfrm flipH="1">
                          <a:off x="0" y="0"/>
                          <a:ext cx="161925" cy="857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6EFF793" id="Straight Arrow Connector 23" o:spid="_x0000_s1026" type="#_x0000_t32" style="position:absolute;left:0;text-align:left;margin-left:114.7pt;margin-top:26.1pt;width:12.75pt;height:6.7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" strokecolor="black [3040]">
                <v:stroke endarrow="block"/>
              </v:shape>
            </w:pict>
          </mc:Fallback>
        </mc:AlternateContent>
      </w:r>
      <w:r>
        <w:rPr>
          <w:noProof/>
        </w:rPr>
        <w:drawing>
          <wp:inline distT="0" distB="0" distL="0" distR="0" wp14:anchorId="240BC281" wp14:editId="7231827C">
            <wp:extent cx="4581525" cy="2752725"/>
            <wp:effectExtent l="0" t="0" r="9525" b="9525"/>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970AB" w:rsidRDefault="005970AB" w:rsidP="005970AB">
      <w:pPr>
        <w:tabs>
          <w:tab w:val="left" w:pos="5272"/>
          <w:tab w:val="left" w:pos="5322"/>
          <w:tab w:val="right" w:pos="8306"/>
        </w:tabs>
        <w:spacing w:before="200" w:after="200"/>
        <w:rPr>
          <w:rtl/>
        </w:rPr>
      </w:pPr>
      <w:r>
        <w:rPr>
          <w:rtl/>
        </w:rPr>
        <w:t>* הערכה. מקור: רשות המיסים, איגוד יבואני הרכב, עיבודי אגף הכלכלן הראשי</w:t>
      </w:r>
    </w:p>
    <w:p w:rsidR="005970AB" w:rsidRDefault="005970AB" w:rsidP="005970AB">
      <w:pPr>
        <w:tabs>
          <w:tab w:val="left" w:pos="5272"/>
          <w:tab w:val="left" w:pos="5322"/>
          <w:tab w:val="right" w:pos="8306"/>
        </w:tabs>
        <w:spacing w:before="200" w:after="200"/>
        <w:contextualSpacing/>
        <w:rPr>
          <w:rtl/>
        </w:rPr>
      </w:pPr>
    </w:p>
    <w:p w:rsidR="005970AB" w:rsidRDefault="005970AB" w:rsidP="005970AB">
      <w:pPr>
        <w:tabs>
          <w:tab w:val="left" w:pos="5272"/>
          <w:tab w:val="left" w:pos="5322"/>
          <w:tab w:val="right" w:pos="8306"/>
        </w:tabs>
        <w:spacing w:before="200" w:after="200"/>
        <w:contextualSpacing/>
        <w:rPr>
          <w:rtl/>
        </w:rPr>
      </w:pPr>
      <w:r>
        <w:rPr>
          <w:rtl/>
        </w:rPr>
        <w:t xml:space="preserve">במקביל, </w:t>
      </w:r>
      <w:r>
        <w:rPr>
          <w:b/>
          <w:bCs/>
          <w:rtl/>
        </w:rPr>
        <w:t>ההשקעות</w:t>
      </w:r>
      <w:r>
        <w:rPr>
          <w:rtl/>
        </w:rPr>
        <w:t xml:space="preserve"> במהלך שנת 2018 הושפעו מהעלייה המחודשת בהשקעה בתשתית הגז במסגרת החיבור של שדות נוספים לתשתית ההולכה בישראל. השקעות אלו צפויות להימשך גם בשנה הקרובה. ברבעונים השני והשלישי של שנת 2018 חל שינוי מגמה שלילי בהיקף ההשקעות שחלקו נבע כאמור מהחלשות ביבוא כלי רכב (ליסינג), מירידה בהשקעות במכונות וציוד (למעט ענף הכרייה והחציבה) ומירידה בהיקפי הבניה למגורים. </w:t>
      </w:r>
    </w:p>
    <w:p w:rsidR="005970AB" w:rsidRDefault="005970AB" w:rsidP="005970AB">
      <w:pPr>
        <w:tabs>
          <w:tab w:val="left" w:pos="5272"/>
          <w:tab w:val="left" w:pos="5322"/>
          <w:tab w:val="right" w:pos="8306"/>
        </w:tabs>
        <w:spacing w:before="200" w:after="200"/>
        <w:contextualSpacing/>
        <w:rPr>
          <w:rtl/>
        </w:rPr>
      </w:pPr>
    </w:p>
    <w:p w:rsidR="005970AB" w:rsidRDefault="005970AB" w:rsidP="005970AB">
      <w:pPr>
        <w:tabs>
          <w:tab w:val="left" w:pos="5272"/>
          <w:tab w:val="left" w:pos="5322"/>
          <w:tab w:val="right" w:pos="8306"/>
        </w:tabs>
        <w:spacing w:before="200" w:after="200"/>
        <w:ind w:left="720"/>
        <w:contextualSpacing/>
        <w:jc w:val="center"/>
        <w:rPr>
          <w:b/>
          <w:bCs/>
          <w:rtl/>
        </w:rPr>
      </w:pPr>
      <w:r>
        <w:rPr>
          <w:b/>
          <w:bCs/>
          <w:rtl/>
        </w:rPr>
        <w:t>השקעה במכונות וציוד בענף כריה וחציבה (בעיקר תשתית הגז)</w:t>
      </w:r>
    </w:p>
    <w:p w:rsidR="005970AB" w:rsidRDefault="005970AB" w:rsidP="005970AB">
      <w:pPr>
        <w:tabs>
          <w:tab w:val="left" w:pos="5272"/>
          <w:tab w:val="left" w:pos="5322"/>
          <w:tab w:val="right" w:pos="8306"/>
        </w:tabs>
        <w:spacing w:before="200" w:after="200"/>
        <w:ind w:left="720"/>
        <w:contextualSpacing/>
        <w:jc w:val="center"/>
      </w:pPr>
      <w:r>
        <w:rPr>
          <w:rtl/>
        </w:rPr>
        <w:t>(ממוצע נע, מיליוני ₪ לרבעון, במחירים קבועים)</w:t>
      </w:r>
    </w:p>
    <w:p w:rsidR="005970AB" w:rsidRDefault="005970AB" w:rsidP="005970AB">
      <w:pPr>
        <w:tabs>
          <w:tab w:val="left" w:pos="5272"/>
          <w:tab w:val="left" w:pos="5322"/>
          <w:tab w:val="right" w:pos="8306"/>
        </w:tabs>
        <w:spacing w:before="200" w:after="200"/>
        <w:contextualSpacing/>
        <w:jc w:val="center"/>
        <w:rPr>
          <w:rtl/>
        </w:rPr>
      </w:pPr>
      <w:r>
        <w:rPr>
          <w:noProof/>
        </w:rPr>
        <w:drawing>
          <wp:inline distT="0" distB="0" distL="0" distR="0" wp14:anchorId="47465FC8" wp14:editId="71D54755">
            <wp:extent cx="4314825" cy="2766349"/>
            <wp:effectExtent l="0" t="0" r="9525" b="1524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970AB" w:rsidRDefault="005970AB" w:rsidP="005970AB">
      <w:pPr>
        <w:tabs>
          <w:tab w:val="left" w:pos="5272"/>
          <w:tab w:val="left" w:pos="5322"/>
          <w:tab w:val="right" w:pos="8306"/>
        </w:tabs>
        <w:spacing w:before="200" w:after="200"/>
        <w:contextualSpacing/>
        <w:rPr>
          <w:rtl/>
        </w:rPr>
      </w:pPr>
      <w:r>
        <w:rPr>
          <w:rtl/>
        </w:rPr>
        <w:t>מקור: למ"ס, עיבודי אגף הכלכלן הראשי</w:t>
      </w:r>
    </w:p>
    <w:p w:rsidR="006A04BF" w:rsidRDefault="006A04BF" w:rsidP="005970AB">
      <w:pPr>
        <w:tabs>
          <w:tab w:val="left" w:pos="5272"/>
          <w:tab w:val="left" w:pos="5322"/>
          <w:tab w:val="right" w:pos="8306"/>
        </w:tabs>
        <w:spacing w:before="200" w:after="200"/>
        <w:contextualSpacing/>
        <w:rPr>
          <w:b/>
          <w:bCs/>
          <w:rtl/>
        </w:rPr>
      </w:pPr>
    </w:p>
    <w:p w:rsidR="005970AB" w:rsidRDefault="005970AB" w:rsidP="005970AB">
      <w:pPr>
        <w:tabs>
          <w:tab w:val="left" w:pos="5272"/>
          <w:tab w:val="left" w:pos="5322"/>
          <w:tab w:val="right" w:pos="8306"/>
        </w:tabs>
        <w:spacing w:before="200" w:after="200"/>
        <w:contextualSpacing/>
        <w:rPr>
          <w:rtl/>
        </w:rPr>
      </w:pPr>
      <w:r>
        <w:rPr>
          <w:b/>
          <w:bCs/>
          <w:rtl/>
        </w:rPr>
        <w:t>הצריכה הציבורית</w:t>
      </w:r>
      <w:r>
        <w:rPr>
          <w:rtl/>
        </w:rPr>
        <w:t xml:space="preserve"> גדלה במהלך שנת 2018, לאור גידול בצריכה הביטחונית ובצריכה האזרחית. הצריכה האזרחית התאפיינה בעלייה הן בסעיף ההוצאות על עבודה והן בסעיף הרכש הממשלתי.</w:t>
      </w:r>
    </w:p>
    <w:p w:rsidR="005970AB" w:rsidRDefault="005970AB" w:rsidP="005970AB">
      <w:pPr>
        <w:tabs>
          <w:tab w:val="left" w:pos="5272"/>
          <w:tab w:val="left" w:pos="5322"/>
          <w:tab w:val="right" w:pos="8306"/>
        </w:tabs>
        <w:spacing w:before="200" w:after="200"/>
        <w:contextualSpacing/>
      </w:pPr>
    </w:p>
    <w:p w:rsidR="005970AB" w:rsidRDefault="005970AB" w:rsidP="005970AB">
      <w:pPr>
        <w:tabs>
          <w:tab w:val="left" w:pos="5272"/>
          <w:tab w:val="left" w:pos="5322"/>
          <w:tab w:val="right" w:pos="8306"/>
        </w:tabs>
        <w:spacing w:before="200" w:after="200"/>
        <w:contextualSpacing/>
        <w:rPr>
          <w:rtl/>
        </w:rPr>
      </w:pPr>
      <w:r>
        <w:rPr>
          <w:rtl/>
        </w:rPr>
        <w:t xml:space="preserve">לבסוף, לאורך השנה נמשך השיפור בהיקף </w:t>
      </w:r>
      <w:r>
        <w:rPr>
          <w:b/>
          <w:bCs/>
          <w:rtl/>
        </w:rPr>
        <w:t>היצוא</w:t>
      </w:r>
      <w:r>
        <w:rPr>
          <w:rtl/>
        </w:rPr>
        <w:t>, בעיקר בזכות המשך הגידול ביצוא השירותים (המשקף במידה רבה את פעילות ענפי ההי</w:t>
      </w:r>
      <w:r w:rsidR="002F5FF6">
        <w:rPr>
          <w:rFonts w:hint="cs"/>
          <w:rtl/>
        </w:rPr>
        <w:t>י</w:t>
      </w:r>
      <w:r>
        <w:rPr>
          <w:rtl/>
        </w:rPr>
        <w:t xml:space="preserve">-טק). בתחילת שנת 2018 נמשכה מגמת הגידול ביצוא הסחורות שהחלה במחצית השנייה של שנת 2017, אולם המגמה החיובית נעצרה בהמשך השנה. </w:t>
      </w:r>
    </w:p>
    <w:p w:rsidR="005970AB" w:rsidRDefault="005970AB" w:rsidP="005970AB">
      <w:pPr>
        <w:tabs>
          <w:tab w:val="left" w:pos="5272"/>
          <w:tab w:val="left" w:pos="5322"/>
          <w:tab w:val="right" w:pos="8306"/>
        </w:tabs>
        <w:spacing w:before="200" w:after="200"/>
        <w:contextualSpacing/>
        <w:rPr>
          <w:rtl/>
        </w:rPr>
      </w:pPr>
    </w:p>
    <w:p w:rsidR="005970AB" w:rsidRDefault="005970AB" w:rsidP="005970AB">
      <w:pPr>
        <w:tabs>
          <w:tab w:val="left" w:pos="5272"/>
          <w:tab w:val="left" w:pos="5322"/>
          <w:tab w:val="right" w:pos="8306"/>
        </w:tabs>
        <w:spacing w:before="200" w:after="200"/>
        <w:contextualSpacing/>
        <w:rPr>
          <w:rtl/>
        </w:rPr>
      </w:pPr>
      <w:r>
        <w:rPr>
          <w:rtl/>
        </w:rPr>
        <w:t xml:space="preserve">במקביל, </w:t>
      </w:r>
      <w:r>
        <w:rPr>
          <w:b/>
          <w:bCs/>
          <w:rtl/>
        </w:rPr>
        <w:t>שוק העבודה</w:t>
      </w:r>
      <w:r>
        <w:rPr>
          <w:rtl/>
        </w:rPr>
        <w:t xml:space="preserve"> נמצא קרוב לתעסוקה מלאה (טווח קצר</w:t>
      </w:r>
      <w:r>
        <w:rPr>
          <w:vertAlign w:val="superscript"/>
          <w:rtl/>
        </w:rPr>
        <w:footnoteReference w:id="4"/>
      </w:r>
      <w:r>
        <w:rPr>
          <w:rtl/>
        </w:rPr>
        <w:t xml:space="preserve">) אך בחודשים האחרונים מסתמנת חולשה ביצירת משרות חדשות. בתוך כך, נמשכה הירידה בשיעור האבטלה לצד ירידה מסוימת בשיעור ההשתתפות, כאשר לצד צמצום במספר המשרות בענף הבינוי נרשמת התרחבות בתעסוקה בשירותים הציבוריים. עצירת הגידול בשיעור ההשתתפות עלולה להוות סימן אזהרה לגבי השפעת השינוי בתמהיל כוח העבודה על שוק העבודה העתידי. לאור זאת, ישנה חשיבות רבה להימנע מפגיעה בתמריצים להצטרפות לשוק העבודה. </w:t>
      </w:r>
    </w:p>
    <w:p w:rsidR="005970AB" w:rsidRDefault="005970AB" w:rsidP="005970AB">
      <w:pPr>
        <w:tabs>
          <w:tab w:val="left" w:pos="5272"/>
          <w:tab w:val="left" w:pos="5322"/>
          <w:tab w:val="right" w:pos="8306"/>
        </w:tabs>
        <w:spacing w:before="200" w:after="200"/>
        <w:contextualSpacing/>
        <w:rPr>
          <w:rtl/>
        </w:rPr>
      </w:pPr>
    </w:p>
    <w:p w:rsidR="005970AB" w:rsidRDefault="005970AB" w:rsidP="005970AB">
      <w:pPr>
        <w:tabs>
          <w:tab w:val="left" w:pos="5272"/>
          <w:tab w:val="left" w:pos="5322"/>
          <w:tab w:val="right" w:pos="8306"/>
        </w:tabs>
        <w:spacing w:before="200" w:after="200"/>
        <w:contextualSpacing/>
        <w:jc w:val="center"/>
        <w:rPr>
          <w:b/>
          <w:bCs/>
          <w:rtl/>
        </w:rPr>
      </w:pPr>
      <w:r>
        <w:rPr>
          <w:b/>
          <w:bCs/>
          <w:rtl/>
        </w:rPr>
        <w:t>שיעור ההשתתפות ושיעור האבטלה (גילאי 15 ומעלה)</w:t>
      </w:r>
    </w:p>
    <w:p w:rsidR="005970AB" w:rsidRDefault="005970AB" w:rsidP="005970AB">
      <w:pPr>
        <w:tabs>
          <w:tab w:val="left" w:pos="5272"/>
          <w:tab w:val="left" w:pos="5322"/>
          <w:tab w:val="right" w:pos="8306"/>
        </w:tabs>
        <w:spacing w:before="200" w:after="200"/>
        <w:contextualSpacing/>
        <w:rPr>
          <w:rtl/>
        </w:rPr>
      </w:pPr>
      <w:r>
        <w:rPr>
          <w:noProof/>
        </w:rPr>
        <w:drawing>
          <wp:inline distT="0" distB="0" distL="0" distR="0" wp14:anchorId="04F0EADB" wp14:editId="296E78A6">
            <wp:extent cx="5295900" cy="2733675"/>
            <wp:effectExtent l="0" t="0" r="0" b="9525"/>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970AB" w:rsidRDefault="005970AB" w:rsidP="005970AB">
      <w:pPr>
        <w:tabs>
          <w:tab w:val="left" w:pos="5272"/>
          <w:tab w:val="left" w:pos="5322"/>
          <w:tab w:val="right" w:pos="8306"/>
        </w:tabs>
        <w:spacing w:before="200" w:after="200"/>
        <w:contextualSpacing/>
        <w:rPr>
          <w:rtl/>
        </w:rPr>
      </w:pPr>
      <w:r>
        <w:rPr>
          <w:rtl/>
        </w:rPr>
        <w:t>*  ממוצע חודשים ינואר – נובמבר. מקור: למ"ס</w:t>
      </w:r>
    </w:p>
    <w:p w:rsidR="005970AB" w:rsidRDefault="005970AB" w:rsidP="005970AB">
      <w:pPr>
        <w:tabs>
          <w:tab w:val="left" w:pos="5272"/>
          <w:tab w:val="left" w:pos="5322"/>
          <w:tab w:val="right" w:pos="8306"/>
        </w:tabs>
        <w:spacing w:before="200" w:after="200"/>
        <w:contextualSpacing/>
        <w:rPr>
          <w:rtl/>
        </w:rPr>
      </w:pPr>
    </w:p>
    <w:p w:rsidR="005970AB" w:rsidRDefault="005970AB" w:rsidP="005970AB">
      <w:pPr>
        <w:tabs>
          <w:tab w:val="left" w:pos="5272"/>
          <w:tab w:val="left" w:pos="5322"/>
          <w:tab w:val="right" w:pos="8306"/>
        </w:tabs>
        <w:spacing w:before="200" w:after="200"/>
        <w:contextualSpacing/>
        <w:rPr>
          <w:rtl/>
        </w:rPr>
      </w:pPr>
      <w:r>
        <w:rPr>
          <w:rtl/>
        </w:rPr>
        <w:t>השכר המשיך לעלות בקצב מהיר מאז שנת 2014, וזאת מעבר לקצב גידול בפריון העבודה. הגידול בשכר בשנים האחרונות התמקד בבעלי השכר הנמוך (בעקבות העלאת שכר המינימום) ובמועסקים בענפי ההי</w:t>
      </w:r>
      <w:r w:rsidR="002F5FF6">
        <w:rPr>
          <w:rFonts w:hint="cs"/>
          <w:rtl/>
        </w:rPr>
        <w:t>י</w:t>
      </w:r>
      <w:r>
        <w:rPr>
          <w:rtl/>
        </w:rPr>
        <w:t>-טק (עקב מחסור בכוח אדם מיומן), אך גם בשאר הענפים נרשמו עליות שכר משמעותיות. עליות השכר נמשכו גם במהלך שנת 2018, בין השאר</w:t>
      </w:r>
      <w:r w:rsidR="006A04BF">
        <w:rPr>
          <w:rFonts w:hint="cs"/>
          <w:rtl/>
        </w:rPr>
        <w:t>,</w:t>
      </w:r>
      <w:r>
        <w:rPr>
          <w:rtl/>
        </w:rPr>
        <w:t xml:space="preserve"> על רקע יישום הפעימה האחרונה בעליית שכר המינימום והמצאות המשק בתעסוקה מלאה. העלייה בשכר המינימום לרמה גבוהה ביחס למרבית מדינות ה-</w:t>
      </w:r>
      <w:r>
        <w:t>OECD</w:t>
      </w:r>
      <w:r>
        <w:rPr>
          <w:rtl/>
        </w:rPr>
        <w:t xml:space="preserve"> </w:t>
      </w:r>
      <w:r>
        <w:rPr>
          <w:rFonts w:hint="cs"/>
          <w:rtl/>
        </w:rPr>
        <w:t xml:space="preserve">לא התבטאה עד כה בעלייה ניכרת בשיעור האבטלה. מחקר לגבי </w:t>
      </w:r>
      <w:r>
        <w:rPr>
          <w:rFonts w:hint="cs"/>
          <w:rtl/>
        </w:rPr>
        <w:lastRenderedPageBreak/>
        <w:t>העלאת השכר הקודמת (2006-2008) העלה כי הפגיעה בתעסוקה בעקבות העלאה של שכר המינימום ניכרת בעת מיתון כלכלי ולא בסמיכות למועד ההעלאה.</w:t>
      </w:r>
    </w:p>
    <w:p w:rsidR="005970AB" w:rsidRDefault="005970AB" w:rsidP="005970AB">
      <w:pPr>
        <w:tabs>
          <w:tab w:val="left" w:pos="5272"/>
          <w:tab w:val="left" w:pos="5322"/>
          <w:tab w:val="right" w:pos="8306"/>
        </w:tabs>
        <w:spacing w:before="200" w:after="200"/>
        <w:contextualSpacing/>
        <w:rPr>
          <w:rtl/>
        </w:rPr>
      </w:pPr>
    </w:p>
    <w:p w:rsidR="005970AB" w:rsidRDefault="005970AB" w:rsidP="005970AB">
      <w:pPr>
        <w:tabs>
          <w:tab w:val="left" w:pos="5272"/>
          <w:tab w:val="left" w:pos="5322"/>
          <w:tab w:val="right" w:pos="8306"/>
        </w:tabs>
        <w:spacing w:before="200" w:after="200"/>
        <w:contextualSpacing/>
        <w:jc w:val="center"/>
        <w:rPr>
          <w:rtl/>
        </w:rPr>
      </w:pPr>
      <w:r>
        <w:rPr>
          <w:b/>
          <w:bCs/>
          <w:rtl/>
        </w:rPr>
        <w:t>שיעור שינוי בשכר ובמשרות בין השנים 2018-2014</w:t>
      </w:r>
    </w:p>
    <w:p w:rsidR="005970AB" w:rsidRDefault="005970AB" w:rsidP="005970AB">
      <w:pPr>
        <w:tabs>
          <w:tab w:val="left" w:pos="5272"/>
          <w:tab w:val="left" w:pos="5322"/>
          <w:tab w:val="right" w:pos="8306"/>
        </w:tabs>
        <w:spacing w:before="200" w:after="200"/>
        <w:contextualSpacing/>
        <w:jc w:val="center"/>
      </w:pPr>
      <w:r>
        <w:rPr>
          <w:rtl/>
        </w:rPr>
        <w:t>(רבעון אל מול רבעון מקביל אשתקד)</w:t>
      </w:r>
    </w:p>
    <w:p w:rsidR="005970AB" w:rsidRDefault="005970AB" w:rsidP="005970AB">
      <w:pPr>
        <w:tabs>
          <w:tab w:val="left" w:pos="5272"/>
          <w:tab w:val="left" w:pos="5322"/>
          <w:tab w:val="right" w:pos="8306"/>
        </w:tabs>
        <w:spacing w:before="200" w:after="200"/>
        <w:contextualSpacing/>
        <w:rPr>
          <w:rtl/>
        </w:rPr>
      </w:pPr>
      <w:r>
        <w:rPr>
          <w:noProof/>
        </w:rPr>
        <w:drawing>
          <wp:inline distT="0" distB="0" distL="0" distR="0" wp14:anchorId="0E174EC6" wp14:editId="2F35CCEF">
            <wp:extent cx="5200650" cy="3257550"/>
            <wp:effectExtent l="0" t="0" r="0" b="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970AB" w:rsidRDefault="005970AB" w:rsidP="005970AB">
      <w:pPr>
        <w:tabs>
          <w:tab w:val="left" w:pos="5272"/>
          <w:tab w:val="left" w:pos="5322"/>
          <w:tab w:val="right" w:pos="8306"/>
        </w:tabs>
        <w:spacing w:before="200" w:after="200"/>
        <w:contextualSpacing/>
        <w:rPr>
          <w:rtl/>
        </w:rPr>
      </w:pPr>
      <w:r>
        <w:rPr>
          <w:rtl/>
        </w:rPr>
        <w:t>מקור: בנק ישראל</w:t>
      </w:r>
    </w:p>
    <w:p w:rsidR="005970AB" w:rsidRDefault="005970AB" w:rsidP="005970AB">
      <w:pPr>
        <w:tabs>
          <w:tab w:val="left" w:pos="5272"/>
          <w:tab w:val="left" w:pos="5322"/>
          <w:tab w:val="right" w:pos="8306"/>
        </w:tabs>
        <w:spacing w:before="200" w:after="200"/>
        <w:contextualSpacing/>
        <w:rPr>
          <w:rtl/>
        </w:rPr>
      </w:pPr>
    </w:p>
    <w:p w:rsidR="005970AB" w:rsidRDefault="005970AB" w:rsidP="005970AB">
      <w:pPr>
        <w:tabs>
          <w:tab w:val="left" w:pos="5272"/>
          <w:tab w:val="left" w:pos="5322"/>
          <w:tab w:val="right" w:pos="8306"/>
        </w:tabs>
        <w:spacing w:before="200" w:after="200"/>
        <w:contextualSpacing/>
        <w:rPr>
          <w:b/>
          <w:bCs/>
          <w:rtl/>
        </w:rPr>
      </w:pPr>
      <w:r>
        <w:rPr>
          <w:rtl/>
        </w:rPr>
        <w:t xml:space="preserve">בחודש נובמבר עמד </w:t>
      </w:r>
      <w:r>
        <w:rPr>
          <w:b/>
          <w:bCs/>
          <w:rtl/>
        </w:rPr>
        <w:t>קצב האינפלציה</w:t>
      </w:r>
      <w:r>
        <w:rPr>
          <w:rtl/>
        </w:rPr>
        <w:t xml:space="preserve"> על 1.2%, לאחר שבמהלך השנה נכנס לטווח היעד לראשונה מזה חמש שנים. על-פי התחזית, קצב האינפלציה צפוי להישאר בטווח התחתון של היעד במהלך השנה הקרובה. לצד העלאת הריבית בחודש נובמבר, הדבר יוכל להקל על נגיד בנק ישראל הנכנס להימנע מהעלאות ריבית בחודשים הקרובים. </w:t>
      </w:r>
    </w:p>
    <w:p w:rsidR="006A04BF" w:rsidRDefault="006A04BF" w:rsidP="005970AB">
      <w:pPr>
        <w:tabs>
          <w:tab w:val="left" w:pos="5272"/>
          <w:tab w:val="left" w:pos="5322"/>
          <w:tab w:val="right" w:pos="8306"/>
        </w:tabs>
        <w:spacing w:before="200" w:after="200"/>
        <w:contextualSpacing/>
        <w:rPr>
          <w:b/>
          <w:bCs/>
          <w:rtl/>
        </w:rPr>
      </w:pPr>
    </w:p>
    <w:p w:rsidR="005970AB" w:rsidRDefault="005970AB" w:rsidP="005970AB">
      <w:pPr>
        <w:tabs>
          <w:tab w:val="left" w:pos="5272"/>
          <w:tab w:val="left" w:pos="5322"/>
          <w:tab w:val="right" w:pos="8306"/>
        </w:tabs>
        <w:spacing w:before="200" w:after="200"/>
        <w:contextualSpacing/>
        <w:rPr>
          <w:rFonts w:ascii="David" w:hAnsi="David"/>
          <w:rtl/>
        </w:rPr>
      </w:pPr>
      <w:r>
        <w:rPr>
          <w:b/>
          <w:bCs/>
          <w:rtl/>
        </w:rPr>
        <w:t>בשוק ההון</w:t>
      </w:r>
      <w:r>
        <w:rPr>
          <w:rtl/>
        </w:rPr>
        <w:t xml:space="preserve"> מדדי המניות רשמו ירידות קלות בסיכום שנתי, לאחר שברבעון האחרון של השנה חלו ירידות משמעותיות מרמת שיא קודם לכן. לאחר שסיים גם את שנת 2017 עם תשואות שליליות, מדד ת"א 125 הציג מתחילת השנה ועד סוף דצמבר ירידה של כ-2%, בהשוואה לירידה של כ-4% במדד הנאסד"ק באותה התקופה. </w:t>
      </w:r>
      <w:r>
        <w:rPr>
          <w:rFonts w:ascii="David" w:hAnsi="David"/>
          <w:rtl/>
        </w:rPr>
        <w:t>המשך ירידות בשווקים בעולם, ובפרט בבורסות ניו יורק, עלול להשפיע לרעה על תעשיית ההון סיכון בישראל ולהפחית את זרם ההשקעות לענפי הטכנולוגיה העילית בישראל.</w:t>
      </w:r>
    </w:p>
    <w:p w:rsidR="006A04BF" w:rsidRDefault="006A04BF" w:rsidP="005970AB">
      <w:pPr>
        <w:tabs>
          <w:tab w:val="left" w:pos="5272"/>
          <w:tab w:val="left" w:pos="5322"/>
          <w:tab w:val="right" w:pos="8306"/>
        </w:tabs>
        <w:spacing w:before="200" w:after="200"/>
        <w:contextualSpacing/>
        <w:rPr>
          <w:rFonts w:ascii="David" w:hAnsi="David"/>
          <w:b/>
          <w:bCs/>
          <w:rtl/>
        </w:rPr>
      </w:pPr>
    </w:p>
    <w:p w:rsidR="005970AB" w:rsidRDefault="005970AB" w:rsidP="00ED0839">
      <w:pPr>
        <w:tabs>
          <w:tab w:val="left" w:pos="5272"/>
          <w:tab w:val="left" w:pos="5322"/>
          <w:tab w:val="right" w:pos="8306"/>
        </w:tabs>
        <w:spacing w:before="200" w:after="200"/>
        <w:contextualSpacing/>
        <w:rPr>
          <w:rFonts w:ascii="David" w:hAnsi="David"/>
          <w:rtl/>
        </w:rPr>
      </w:pPr>
      <w:r>
        <w:rPr>
          <w:rFonts w:ascii="David" w:hAnsi="David"/>
          <w:b/>
          <w:bCs/>
          <w:rtl/>
        </w:rPr>
        <w:t>בעולם</w:t>
      </w:r>
      <w:r>
        <w:rPr>
          <w:rFonts w:ascii="David" w:hAnsi="David"/>
          <w:rtl/>
        </w:rPr>
        <w:t>, מסתמן כי 2018 הייתה שנת השיא במגמת הגידול בצמיחה. התחזיות לצמיחה העולמית עודכנו כלפי מטה תוך הדגשת הסיכונים הגוברים. ארגון ה-</w:t>
      </w:r>
      <w:r>
        <w:rPr>
          <w:rFonts w:ascii="David" w:hAnsi="David"/>
        </w:rPr>
        <w:t>OECD</w:t>
      </w:r>
      <w:r>
        <w:rPr>
          <w:rFonts w:ascii="David" w:hAnsi="David"/>
          <w:rtl/>
        </w:rPr>
        <w:t xml:space="preserve"> צופה צמיחה עולמית בשיעור של כ-3.7% בשנת 2018, בהשוואה ל-3.6% ב-2017, אולם התחזיות לשנים 2019-2020 </w:t>
      </w:r>
      <w:r w:rsidR="00ED0839">
        <w:rPr>
          <w:rFonts w:ascii="David" w:hAnsi="David" w:hint="cs"/>
          <w:rtl/>
        </w:rPr>
        <w:t xml:space="preserve">משקפות </w:t>
      </w:r>
      <w:r>
        <w:rPr>
          <w:rFonts w:ascii="David" w:hAnsi="David"/>
          <w:rtl/>
        </w:rPr>
        <w:t xml:space="preserve">נסיגה מסוימת בצמיחה, לרמה של כ-3.5%. הגידול המרשים בהיקף הסחר העולמי בשנת 2017 התמתן ב-2018, בצל התפתחות מלחמות הסחר (ראו הרחבה בהמשך המסמך). עליית המכסים, </w:t>
      </w:r>
      <w:r>
        <w:rPr>
          <w:rFonts w:ascii="David" w:hAnsi="David"/>
          <w:rtl/>
        </w:rPr>
        <w:lastRenderedPageBreak/>
        <w:t>לצד העלייה במחירי הנפט עד חודש אוקטובר (המגמה במחירי הנפט התהפכה מאז), העלו את האינפלציה ברבות מן הכלכלות. הפעילות הכלכלית בעולם עדיין נמצאת בשלב ההתאוששות במסגרת מחזור העסקים הארוך שנמשך מאז המשבר הגלובאלי בשנת 2008. על אף ההבנות הזמניות שהושגו לאחרונה בין ארצות הברית וסין, נראה כי ההסתברות להמשך או אף להחרפת מלחמות הסחר אינה זניחה. לצד זאת, סיכונים גלובליים ומקומיים משמעותיים נוספים מהווים איום על התחזיות המוצגות במסמך זה, והם יפורטו בסופו.</w:t>
      </w:r>
    </w:p>
    <w:p w:rsidR="005970AB" w:rsidRDefault="005970AB" w:rsidP="005970AB">
      <w:pPr>
        <w:tabs>
          <w:tab w:val="left" w:pos="5272"/>
          <w:tab w:val="left" w:pos="5322"/>
          <w:tab w:val="right" w:pos="8306"/>
        </w:tabs>
        <w:spacing w:before="200" w:after="200"/>
        <w:contextualSpacing/>
        <w:rPr>
          <w:rtl/>
        </w:rPr>
      </w:pPr>
    </w:p>
    <w:p w:rsidR="005970AB" w:rsidRDefault="005970AB" w:rsidP="005970AB">
      <w:pPr>
        <w:tabs>
          <w:tab w:val="left" w:pos="5272"/>
          <w:tab w:val="left" w:pos="5322"/>
          <w:tab w:val="right" w:pos="8306"/>
        </w:tabs>
        <w:spacing w:before="200" w:after="200"/>
        <w:contextualSpacing/>
        <w:rPr>
          <w:b/>
          <w:bCs/>
          <w:rtl/>
        </w:rPr>
      </w:pPr>
      <w:r>
        <w:rPr>
          <w:b/>
          <w:bCs/>
          <w:rtl/>
        </w:rPr>
        <w:t>עדכון תחזיות מקרו כלכליות</w:t>
      </w:r>
    </w:p>
    <w:p w:rsidR="005970AB" w:rsidRDefault="005970AB" w:rsidP="005970AB">
      <w:pPr>
        <w:tabs>
          <w:tab w:val="left" w:pos="5272"/>
          <w:tab w:val="left" w:pos="5322"/>
          <w:tab w:val="right" w:pos="8306"/>
        </w:tabs>
        <w:spacing w:before="200" w:after="200"/>
        <w:contextualSpacing/>
        <w:rPr>
          <w:rtl/>
        </w:rPr>
      </w:pPr>
      <w:r>
        <w:rPr>
          <w:rtl/>
        </w:rPr>
        <w:t xml:space="preserve">כאמור לעיל, התחזית המקרו-כלכלית המוצגת בחלק זה נבנתה בשני שלבים. בשלב הראשון, בוצעה תחזית אקונומטרית לשנת 2019 ובהמשך מוצגים אומדנים לשנים 2020 עד 2022 המבוססים על תרחיש הבסיס ומניחים גמישויות נורמטיביות ביחס לאינדיקטורים כלכליים עיקריים. </w:t>
      </w:r>
    </w:p>
    <w:p w:rsidR="006A04BF" w:rsidRDefault="006A04BF" w:rsidP="005970AB">
      <w:pPr>
        <w:spacing w:before="200" w:after="200"/>
        <w:contextualSpacing/>
        <w:rPr>
          <w:rtl/>
        </w:rPr>
      </w:pPr>
    </w:p>
    <w:p w:rsidR="005970AB" w:rsidRDefault="005970AB" w:rsidP="005970AB">
      <w:pPr>
        <w:spacing w:before="200" w:after="200"/>
        <w:contextualSpacing/>
        <w:rPr>
          <w:rtl/>
        </w:rPr>
      </w:pPr>
      <w:r>
        <w:rPr>
          <w:rtl/>
        </w:rPr>
        <w:t xml:space="preserve">כל המודלים </w:t>
      </w:r>
      <w:r w:rsidR="006A04BF">
        <w:rPr>
          <w:rFonts w:hint="cs"/>
          <w:rtl/>
        </w:rPr>
        <w:t>ש</w:t>
      </w:r>
      <w:r>
        <w:rPr>
          <w:rtl/>
        </w:rPr>
        <w:t xml:space="preserve">בהם נעשה שימוש לצורך ביצוע התחזית, הן לטווח הקצר והן לטווח הבינוני משתמשים במאגר נתונים משותף, בהנחות דומות ומתבססים על צפי אחיד לסביבת המקרו, תוך שינויים והתאמות במקרים של הרעה משמעותית במצב הביטחוני, שינויים דרמטיים בסביבה הכלכלית המקומית או ברמה העולמית ובמקרים של שינויי חקיקה שהיו ידועים במועד ביצוע התחזית. הצפי להכנסות המובא בסעיף זה מניח כי מדיניות המס היא בהתאם לצעדים ידועים נכון למועד כתיבת המסמך. </w:t>
      </w:r>
    </w:p>
    <w:p w:rsidR="005970AB" w:rsidRDefault="005970AB" w:rsidP="005970AB">
      <w:pPr>
        <w:spacing w:before="200" w:after="200"/>
        <w:contextualSpacing/>
        <w:rPr>
          <w:rtl/>
        </w:rPr>
      </w:pPr>
    </w:p>
    <w:p w:rsidR="005970AB" w:rsidRDefault="005970AB" w:rsidP="005970AB">
      <w:pPr>
        <w:spacing w:before="200" w:after="360"/>
        <w:contextualSpacing/>
        <w:rPr>
          <w:rtl/>
        </w:rPr>
      </w:pPr>
      <w:r>
        <w:rPr>
          <w:rtl/>
        </w:rPr>
        <w:t>להלן התחזיות המקרו-כלכליות המרכזיות, עדכניות בהשוואה לתכנית התלת-שנתית לשנים 2020 עד 2022 שפורסמה בחודש יוני 2018 ולהערכות בתקציב לשנת 2019</w:t>
      </w:r>
      <w:r>
        <w:rPr>
          <w:rStyle w:val="ab"/>
          <w:rtl/>
        </w:rPr>
        <w:footnoteReference w:id="5"/>
      </w:r>
      <w:r>
        <w:rPr>
          <w:rtl/>
        </w:rPr>
        <w:t>:</w:t>
      </w:r>
    </w:p>
    <w:p w:rsidR="005970AB" w:rsidRDefault="005970AB" w:rsidP="005970AB">
      <w:pPr>
        <w:bidi w:val="0"/>
        <w:spacing w:before="200" w:after="200" w:line="276" w:lineRule="auto"/>
        <w:rPr>
          <w:b/>
          <w:bCs/>
          <w:rtl/>
        </w:rPr>
      </w:pPr>
    </w:p>
    <w:p w:rsidR="005970AB" w:rsidRDefault="005970AB" w:rsidP="005970AB">
      <w:pPr>
        <w:spacing w:before="200" w:after="360"/>
        <w:contextualSpacing/>
        <w:jc w:val="center"/>
        <w:rPr>
          <w:b/>
          <w:bCs/>
          <w:rtl/>
        </w:rPr>
      </w:pPr>
      <w:r>
        <w:rPr>
          <w:b/>
          <w:bCs/>
          <w:rtl/>
        </w:rPr>
        <w:t>קצב צמיחת התוצר הריאלי ומרכיביו</w:t>
      </w:r>
    </w:p>
    <w:tbl>
      <w:tblPr>
        <w:tblStyle w:val="LightList-Accent112"/>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887"/>
        <w:gridCol w:w="1119"/>
        <w:gridCol w:w="1124"/>
        <w:gridCol w:w="892"/>
        <w:gridCol w:w="1091"/>
        <w:gridCol w:w="965"/>
      </w:tblGrid>
      <w:tr w:rsidR="005970AB" w:rsidTr="005970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Borders>
              <w:top w:val="single" w:sz="4" w:space="0" w:color="auto"/>
              <w:left w:val="single" w:sz="4" w:space="0" w:color="auto"/>
              <w:bottom w:val="single" w:sz="4" w:space="0" w:color="auto"/>
              <w:right w:val="single" w:sz="4" w:space="0" w:color="auto"/>
            </w:tcBorders>
          </w:tcPr>
          <w:p w:rsidR="005970AB" w:rsidRDefault="005970AB">
            <w:pPr>
              <w:spacing w:before="200" w:after="360"/>
              <w:contextualSpacing/>
              <w:jc w:val="center"/>
              <w:rPr>
                <w:b w:val="0"/>
                <w:bCs w:val="0"/>
                <w:rtl/>
              </w:rPr>
            </w:pPr>
          </w:p>
        </w:tc>
        <w:tc>
          <w:tcPr>
            <w:tcW w:w="887"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tl/>
              </w:rPr>
            </w:pPr>
            <w:r>
              <w:rPr>
                <w:b w:val="0"/>
                <w:bCs w:val="0"/>
                <w:color w:val="FFFFFF" w:themeColor="background1"/>
                <w:rtl/>
              </w:rPr>
              <w:t>2018</w:t>
            </w:r>
            <w:r>
              <w:rPr>
                <w:b w:val="0"/>
                <w:bCs w:val="0"/>
                <w:color w:val="FFFFFF" w:themeColor="background1"/>
              </w:rPr>
              <w:br/>
            </w:r>
            <w:r>
              <w:rPr>
                <w:b w:val="0"/>
                <w:bCs w:val="0"/>
                <w:color w:val="FFFFFF" w:themeColor="background1"/>
                <w:rtl/>
              </w:rPr>
              <w:t>תקציב*</w:t>
            </w:r>
          </w:p>
        </w:tc>
        <w:tc>
          <w:tcPr>
            <w:tcW w:w="1119"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tl/>
              </w:rPr>
            </w:pPr>
            <w:r>
              <w:rPr>
                <w:b w:val="0"/>
                <w:bCs w:val="0"/>
                <w:color w:val="FFFFFF" w:themeColor="background1"/>
                <w:rtl/>
              </w:rPr>
              <w:t>2018 נומרטור יוני</w:t>
            </w:r>
          </w:p>
        </w:tc>
        <w:tc>
          <w:tcPr>
            <w:tcW w:w="1124"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b w:val="0"/>
                <w:bCs w:val="0"/>
                <w:color w:val="FFFFFF" w:themeColor="background1"/>
                <w:rtl/>
              </w:rPr>
              <w:t>2018</w:t>
            </w:r>
            <w:r>
              <w:rPr>
                <w:b w:val="0"/>
                <w:bCs w:val="0"/>
                <w:color w:val="FFFFFF" w:themeColor="background1"/>
              </w:rPr>
              <w:br/>
            </w:r>
            <w:r>
              <w:rPr>
                <w:b w:val="0"/>
                <w:bCs w:val="0"/>
                <w:color w:val="FFFFFF" w:themeColor="background1"/>
                <w:rtl/>
              </w:rPr>
              <w:t>אומדן ראשון למ"ס</w:t>
            </w:r>
          </w:p>
        </w:tc>
        <w:tc>
          <w:tcPr>
            <w:tcW w:w="892"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b w:val="0"/>
                <w:bCs w:val="0"/>
                <w:color w:val="FFFFFF" w:themeColor="background1"/>
                <w:rtl/>
              </w:rPr>
              <w:t>2019</w:t>
            </w:r>
            <w:r>
              <w:rPr>
                <w:b w:val="0"/>
                <w:bCs w:val="0"/>
                <w:color w:val="FFFFFF" w:themeColor="background1"/>
              </w:rPr>
              <w:br/>
            </w:r>
            <w:r>
              <w:rPr>
                <w:b w:val="0"/>
                <w:bCs w:val="0"/>
                <w:color w:val="FFFFFF" w:themeColor="background1"/>
                <w:rtl/>
              </w:rPr>
              <w:t>תקציב*</w:t>
            </w:r>
          </w:p>
        </w:tc>
        <w:tc>
          <w:tcPr>
            <w:tcW w:w="1091"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tl/>
              </w:rPr>
            </w:pPr>
            <w:r>
              <w:rPr>
                <w:b w:val="0"/>
                <w:bCs w:val="0"/>
                <w:color w:val="FFFFFF" w:themeColor="background1"/>
                <w:rtl/>
              </w:rPr>
              <w:t>2019 נומרטור יוני</w:t>
            </w:r>
          </w:p>
        </w:tc>
        <w:tc>
          <w:tcPr>
            <w:tcW w:w="965"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b w:val="0"/>
                <w:bCs w:val="0"/>
                <w:color w:val="FFFFFF" w:themeColor="background1"/>
                <w:rtl/>
              </w:rPr>
              <w:t>2019</w:t>
            </w:r>
            <w:r>
              <w:rPr>
                <w:b w:val="0"/>
                <w:bCs w:val="0"/>
                <w:color w:val="FFFFFF" w:themeColor="background1"/>
              </w:rPr>
              <w:br/>
            </w:r>
            <w:r>
              <w:rPr>
                <w:b w:val="0"/>
                <w:bCs w:val="0"/>
                <w:color w:val="FFFFFF" w:themeColor="background1"/>
                <w:rtl/>
              </w:rPr>
              <w:t>עדכון נוכחי</w:t>
            </w:r>
          </w:p>
        </w:tc>
      </w:tr>
      <w:tr w:rsidR="005970AB" w:rsidTr="005970AB">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197" w:type="dxa"/>
            <w:tcBorders>
              <w:right w:val="single" w:sz="4" w:space="0" w:color="auto"/>
            </w:tcBorders>
            <w:vAlign w:val="center"/>
            <w:hideMark/>
          </w:tcPr>
          <w:p w:rsidR="005970AB" w:rsidRDefault="005970AB">
            <w:pPr>
              <w:jc w:val="center"/>
              <w:rPr>
                <w:b w:val="0"/>
                <w:bCs w:val="0"/>
              </w:rPr>
            </w:pPr>
            <w:r>
              <w:rPr>
                <w:rtl/>
              </w:rPr>
              <w:t>תמ"ג</w:t>
            </w:r>
          </w:p>
        </w:tc>
        <w:tc>
          <w:tcPr>
            <w:tcW w:w="887"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pPr>
            <w:r>
              <w:rPr>
                <w:rtl/>
              </w:rPr>
              <w:t>3.2%</w:t>
            </w:r>
          </w:p>
        </w:tc>
        <w:tc>
          <w:tcPr>
            <w:tcW w:w="1119"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tl/>
              </w:rPr>
            </w:pPr>
            <w:r>
              <w:rPr>
                <w:rtl/>
              </w:rPr>
              <w:t>3.5%</w:t>
            </w:r>
          </w:p>
        </w:tc>
        <w:tc>
          <w:tcPr>
            <w:tcW w:w="1124"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b/>
                <w:bCs/>
              </w:rPr>
            </w:pPr>
            <w:r>
              <w:rPr>
                <w:b/>
                <w:bCs/>
                <w:rtl/>
              </w:rPr>
              <w:t>3.2%</w:t>
            </w:r>
          </w:p>
        </w:tc>
        <w:tc>
          <w:tcPr>
            <w:tcW w:w="892"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pPr>
            <w:r>
              <w:rPr>
                <w:rtl/>
              </w:rPr>
              <w:t>3.1%</w:t>
            </w:r>
          </w:p>
        </w:tc>
        <w:tc>
          <w:tcPr>
            <w:tcW w:w="1091"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tl/>
              </w:rPr>
            </w:pPr>
            <w:r>
              <w:rPr>
                <w:rtl/>
              </w:rPr>
              <w:t>3.4%</w:t>
            </w:r>
          </w:p>
        </w:tc>
        <w:tc>
          <w:tcPr>
            <w:tcW w:w="965" w:type="dxa"/>
            <w:tcBorders>
              <w:lef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b/>
                <w:bCs/>
              </w:rPr>
            </w:pPr>
            <w:r>
              <w:rPr>
                <w:b/>
                <w:bCs/>
                <w:rtl/>
              </w:rPr>
              <w:t>3.1%</w:t>
            </w:r>
          </w:p>
        </w:tc>
      </w:tr>
      <w:tr w:rsidR="005970AB" w:rsidTr="005970AB">
        <w:trPr>
          <w:trHeight w:val="432"/>
        </w:trPr>
        <w:tc>
          <w:tcPr>
            <w:cnfStyle w:val="001000000000" w:firstRow="0" w:lastRow="0" w:firstColumn="1" w:lastColumn="0" w:oddVBand="0" w:evenVBand="0" w:oddHBand="0" w:evenHBand="0" w:firstRowFirstColumn="0" w:firstRowLastColumn="0" w:lastRowFirstColumn="0" w:lastRowLastColumn="0"/>
            <w:tcW w:w="1197"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rPr>
                <w:b w:val="0"/>
                <w:bCs w:val="0"/>
              </w:rPr>
            </w:pPr>
            <w:r>
              <w:rPr>
                <w:b w:val="0"/>
                <w:bCs w:val="0"/>
                <w:rtl/>
              </w:rPr>
              <w:t>צריכה פרטית</w:t>
            </w:r>
          </w:p>
        </w:tc>
        <w:tc>
          <w:tcPr>
            <w:tcW w:w="887"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pPr>
            <w:r>
              <w:rPr>
                <w:rtl/>
              </w:rPr>
              <w:t>3.6%</w:t>
            </w:r>
          </w:p>
        </w:tc>
        <w:tc>
          <w:tcPr>
            <w:tcW w:w="1119"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tl/>
              </w:rPr>
            </w:pPr>
            <w:r>
              <w:rPr>
                <w:rtl/>
              </w:rPr>
              <w:t>4.2%</w:t>
            </w:r>
          </w:p>
        </w:tc>
        <w:tc>
          <w:tcPr>
            <w:tcW w:w="1124"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b/>
                <w:bCs/>
              </w:rPr>
            </w:pPr>
            <w:r>
              <w:rPr>
                <w:b/>
                <w:bCs/>
                <w:rtl/>
              </w:rPr>
              <w:t>4.1%</w:t>
            </w:r>
          </w:p>
        </w:tc>
        <w:tc>
          <w:tcPr>
            <w:tcW w:w="892"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pPr>
            <w:r>
              <w:rPr>
                <w:rtl/>
              </w:rPr>
              <w:t>3.4%</w:t>
            </w:r>
          </w:p>
        </w:tc>
        <w:tc>
          <w:tcPr>
            <w:tcW w:w="1091"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tl/>
              </w:rPr>
            </w:pPr>
            <w:r>
              <w:rPr>
                <w:rtl/>
              </w:rPr>
              <w:t>3.3%</w:t>
            </w:r>
          </w:p>
        </w:tc>
        <w:tc>
          <w:tcPr>
            <w:tcW w:w="965"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b/>
                <w:bCs/>
              </w:rPr>
            </w:pPr>
            <w:r>
              <w:rPr>
                <w:b/>
                <w:bCs/>
                <w:rtl/>
              </w:rPr>
              <w:t>3.0%</w:t>
            </w:r>
          </w:p>
        </w:tc>
      </w:tr>
      <w:tr w:rsidR="005970AB" w:rsidTr="005970AB">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197" w:type="dxa"/>
            <w:tcBorders>
              <w:right w:val="single" w:sz="4" w:space="0" w:color="auto"/>
            </w:tcBorders>
            <w:vAlign w:val="center"/>
            <w:hideMark/>
          </w:tcPr>
          <w:p w:rsidR="005970AB" w:rsidRDefault="005970AB">
            <w:pPr>
              <w:jc w:val="center"/>
              <w:rPr>
                <w:b w:val="0"/>
                <w:bCs w:val="0"/>
              </w:rPr>
            </w:pPr>
            <w:r>
              <w:rPr>
                <w:b w:val="0"/>
                <w:bCs w:val="0"/>
                <w:rtl/>
              </w:rPr>
              <w:t>צריכה ציבורית</w:t>
            </w:r>
          </w:p>
        </w:tc>
        <w:tc>
          <w:tcPr>
            <w:tcW w:w="887"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pPr>
            <w:r>
              <w:rPr>
                <w:rtl/>
              </w:rPr>
              <w:t>3.4%</w:t>
            </w:r>
          </w:p>
        </w:tc>
        <w:tc>
          <w:tcPr>
            <w:tcW w:w="1119"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tl/>
              </w:rPr>
            </w:pPr>
            <w:r>
              <w:rPr>
                <w:rtl/>
              </w:rPr>
              <w:t>3.1%</w:t>
            </w:r>
          </w:p>
        </w:tc>
        <w:tc>
          <w:tcPr>
            <w:tcW w:w="1124"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b/>
                <w:bCs/>
              </w:rPr>
            </w:pPr>
            <w:r>
              <w:rPr>
                <w:b/>
                <w:bCs/>
                <w:rtl/>
              </w:rPr>
              <w:t>4.0%</w:t>
            </w:r>
          </w:p>
        </w:tc>
        <w:tc>
          <w:tcPr>
            <w:tcW w:w="892"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pPr>
            <w:r>
              <w:rPr>
                <w:rtl/>
              </w:rPr>
              <w:t>4.3%</w:t>
            </w:r>
          </w:p>
        </w:tc>
        <w:tc>
          <w:tcPr>
            <w:tcW w:w="1091"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tl/>
              </w:rPr>
            </w:pPr>
            <w:r>
              <w:rPr>
                <w:rtl/>
              </w:rPr>
              <w:t>4.4%</w:t>
            </w:r>
          </w:p>
        </w:tc>
        <w:tc>
          <w:tcPr>
            <w:tcW w:w="965" w:type="dxa"/>
            <w:tcBorders>
              <w:lef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b/>
                <w:bCs/>
                <w:rtl/>
              </w:rPr>
            </w:pPr>
            <w:r>
              <w:rPr>
                <w:b/>
                <w:bCs/>
                <w:rtl/>
              </w:rPr>
              <w:t>3.7%</w:t>
            </w:r>
          </w:p>
        </w:tc>
      </w:tr>
      <w:tr w:rsidR="005970AB" w:rsidTr="005970AB">
        <w:trPr>
          <w:trHeight w:val="432"/>
        </w:trPr>
        <w:tc>
          <w:tcPr>
            <w:cnfStyle w:val="001000000000" w:firstRow="0" w:lastRow="0" w:firstColumn="1" w:lastColumn="0" w:oddVBand="0" w:evenVBand="0" w:oddHBand="0" w:evenHBand="0" w:firstRowFirstColumn="0" w:firstRowLastColumn="0" w:lastRowFirstColumn="0" w:lastRowLastColumn="0"/>
            <w:tcW w:w="1197"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rPr>
                <w:b w:val="0"/>
                <w:bCs w:val="0"/>
              </w:rPr>
            </w:pPr>
            <w:r>
              <w:rPr>
                <w:b w:val="0"/>
                <w:bCs w:val="0"/>
                <w:rtl/>
              </w:rPr>
              <w:lastRenderedPageBreak/>
              <w:t>השקעה בנכסים קבועים</w:t>
            </w:r>
          </w:p>
        </w:tc>
        <w:tc>
          <w:tcPr>
            <w:tcW w:w="887"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pPr>
            <w:r>
              <w:rPr>
                <w:rtl/>
              </w:rPr>
              <w:t>2.0%</w:t>
            </w:r>
          </w:p>
        </w:tc>
        <w:tc>
          <w:tcPr>
            <w:tcW w:w="1119"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tl/>
              </w:rPr>
            </w:pPr>
            <w:r>
              <w:rPr>
                <w:rtl/>
              </w:rPr>
              <w:t>4.3%</w:t>
            </w:r>
          </w:p>
        </w:tc>
        <w:tc>
          <w:tcPr>
            <w:tcW w:w="1124"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b/>
                <w:bCs/>
              </w:rPr>
            </w:pPr>
            <w:r>
              <w:rPr>
                <w:b/>
                <w:bCs/>
                <w:rtl/>
              </w:rPr>
              <w:t>2.7%</w:t>
            </w:r>
          </w:p>
        </w:tc>
        <w:tc>
          <w:tcPr>
            <w:tcW w:w="892"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pPr>
            <w:r>
              <w:rPr>
                <w:rtl/>
              </w:rPr>
              <w:t>2.5%</w:t>
            </w:r>
          </w:p>
        </w:tc>
        <w:tc>
          <w:tcPr>
            <w:tcW w:w="1091"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tl/>
              </w:rPr>
            </w:pPr>
            <w:r>
              <w:rPr>
                <w:rtl/>
              </w:rPr>
              <w:t>3.3%</w:t>
            </w:r>
          </w:p>
        </w:tc>
        <w:tc>
          <w:tcPr>
            <w:tcW w:w="965"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b/>
                <w:bCs/>
                <w:rtl/>
              </w:rPr>
            </w:pPr>
            <w:r>
              <w:rPr>
                <w:b/>
                <w:bCs/>
                <w:rtl/>
              </w:rPr>
              <w:t>0.4%</w:t>
            </w:r>
          </w:p>
        </w:tc>
      </w:tr>
      <w:tr w:rsidR="005970AB" w:rsidTr="005970AB">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197" w:type="dxa"/>
            <w:tcBorders>
              <w:right w:val="single" w:sz="4" w:space="0" w:color="auto"/>
            </w:tcBorders>
            <w:vAlign w:val="center"/>
            <w:hideMark/>
          </w:tcPr>
          <w:p w:rsidR="005970AB" w:rsidRDefault="005970AB">
            <w:pPr>
              <w:jc w:val="center"/>
              <w:rPr>
                <w:b w:val="0"/>
                <w:bCs w:val="0"/>
              </w:rPr>
            </w:pPr>
            <w:r>
              <w:rPr>
                <w:b w:val="0"/>
                <w:bCs w:val="0"/>
                <w:rtl/>
              </w:rPr>
              <w:t>יצוא</w:t>
            </w:r>
          </w:p>
        </w:tc>
        <w:tc>
          <w:tcPr>
            <w:tcW w:w="887"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pPr>
            <w:r>
              <w:rPr>
                <w:rtl/>
              </w:rPr>
              <w:t>4.8%</w:t>
            </w:r>
          </w:p>
        </w:tc>
        <w:tc>
          <w:tcPr>
            <w:tcW w:w="1119"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tl/>
              </w:rPr>
            </w:pPr>
            <w:r>
              <w:rPr>
                <w:rtl/>
              </w:rPr>
              <w:t>6.4%</w:t>
            </w:r>
          </w:p>
        </w:tc>
        <w:tc>
          <w:tcPr>
            <w:tcW w:w="1124"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b/>
                <w:bCs/>
              </w:rPr>
            </w:pPr>
            <w:r>
              <w:rPr>
                <w:b/>
                <w:bCs/>
                <w:rtl/>
              </w:rPr>
              <w:t>4.0%</w:t>
            </w:r>
          </w:p>
        </w:tc>
        <w:tc>
          <w:tcPr>
            <w:tcW w:w="892"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pPr>
            <w:r>
              <w:rPr>
                <w:rtl/>
              </w:rPr>
              <w:t>4.1%</w:t>
            </w:r>
          </w:p>
        </w:tc>
        <w:tc>
          <w:tcPr>
            <w:tcW w:w="1091"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tl/>
              </w:rPr>
            </w:pPr>
            <w:r>
              <w:rPr>
                <w:rtl/>
              </w:rPr>
              <w:t>4.6%</w:t>
            </w:r>
          </w:p>
        </w:tc>
        <w:tc>
          <w:tcPr>
            <w:tcW w:w="965" w:type="dxa"/>
            <w:tcBorders>
              <w:lef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b/>
                <w:bCs/>
              </w:rPr>
            </w:pPr>
            <w:r>
              <w:rPr>
                <w:b/>
                <w:bCs/>
                <w:rtl/>
              </w:rPr>
              <w:t>3.7%</w:t>
            </w:r>
          </w:p>
        </w:tc>
      </w:tr>
      <w:tr w:rsidR="005970AB" w:rsidTr="005970AB">
        <w:trPr>
          <w:trHeight w:val="432"/>
        </w:trPr>
        <w:tc>
          <w:tcPr>
            <w:cnfStyle w:val="001000000000" w:firstRow="0" w:lastRow="0" w:firstColumn="1" w:lastColumn="0" w:oddVBand="0" w:evenVBand="0" w:oddHBand="0" w:evenHBand="0" w:firstRowFirstColumn="0" w:firstRowLastColumn="0" w:lastRowFirstColumn="0" w:lastRowLastColumn="0"/>
            <w:tcW w:w="1197"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rPr>
                <w:b w:val="0"/>
                <w:bCs w:val="0"/>
              </w:rPr>
            </w:pPr>
            <w:r>
              <w:rPr>
                <w:b w:val="0"/>
                <w:bCs w:val="0"/>
                <w:rtl/>
              </w:rPr>
              <w:t>יבוא</w:t>
            </w:r>
          </w:p>
        </w:tc>
        <w:tc>
          <w:tcPr>
            <w:tcW w:w="887"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pPr>
            <w:r>
              <w:rPr>
                <w:rtl/>
              </w:rPr>
              <w:t>4.6%</w:t>
            </w:r>
          </w:p>
        </w:tc>
        <w:tc>
          <w:tcPr>
            <w:tcW w:w="1119"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tl/>
              </w:rPr>
            </w:pPr>
            <w:r>
              <w:rPr>
                <w:rtl/>
              </w:rPr>
              <w:t>8.1%</w:t>
            </w:r>
          </w:p>
        </w:tc>
        <w:tc>
          <w:tcPr>
            <w:tcW w:w="1124"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b/>
                <w:bCs/>
              </w:rPr>
            </w:pPr>
            <w:r>
              <w:rPr>
                <w:b/>
                <w:bCs/>
                <w:rtl/>
              </w:rPr>
              <w:t>7.6%</w:t>
            </w:r>
          </w:p>
        </w:tc>
        <w:tc>
          <w:tcPr>
            <w:tcW w:w="892"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tl/>
              </w:rPr>
            </w:pPr>
            <w:r>
              <w:rPr>
                <w:rtl/>
              </w:rPr>
              <w:t>5.1%</w:t>
            </w:r>
          </w:p>
        </w:tc>
        <w:tc>
          <w:tcPr>
            <w:tcW w:w="1091"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tl/>
              </w:rPr>
            </w:pPr>
            <w:r>
              <w:rPr>
                <w:rtl/>
              </w:rPr>
              <w:t>5.3%</w:t>
            </w:r>
          </w:p>
        </w:tc>
        <w:tc>
          <w:tcPr>
            <w:tcW w:w="965"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b/>
                <w:bCs/>
              </w:rPr>
            </w:pPr>
            <w:r>
              <w:rPr>
                <w:b/>
                <w:bCs/>
                <w:rtl/>
              </w:rPr>
              <w:t>2.4%</w:t>
            </w:r>
          </w:p>
        </w:tc>
      </w:tr>
    </w:tbl>
    <w:p w:rsidR="005970AB" w:rsidRDefault="005970AB" w:rsidP="005970AB">
      <w:pPr>
        <w:spacing w:before="200" w:after="360"/>
        <w:contextualSpacing/>
      </w:pPr>
      <w:r>
        <w:rPr>
          <w:rtl/>
        </w:rPr>
        <w:t xml:space="preserve">* תחזיות לשנים 2019-2018 כפי שנכללו בתקציב לשנת 2019. </w:t>
      </w:r>
    </w:p>
    <w:p w:rsidR="005970AB" w:rsidRDefault="005970AB" w:rsidP="005970AB">
      <w:pPr>
        <w:spacing w:before="200" w:after="360"/>
        <w:contextualSpacing/>
        <w:rPr>
          <w:b/>
          <w:bCs/>
          <w:rtl/>
        </w:rPr>
      </w:pPr>
    </w:p>
    <w:p w:rsidR="005970AB" w:rsidRDefault="005970AB" w:rsidP="005970AB">
      <w:pPr>
        <w:spacing w:before="200" w:after="360"/>
        <w:contextualSpacing/>
        <w:rPr>
          <w:b/>
          <w:bCs/>
          <w:rtl/>
        </w:rPr>
      </w:pPr>
    </w:p>
    <w:p w:rsidR="005970AB" w:rsidRDefault="005970AB" w:rsidP="005970AB">
      <w:pPr>
        <w:spacing w:before="200" w:after="360"/>
        <w:contextualSpacing/>
        <w:rPr>
          <w:b/>
          <w:bCs/>
          <w:rtl/>
        </w:rPr>
      </w:pPr>
    </w:p>
    <w:p w:rsidR="005970AB" w:rsidRDefault="005970AB" w:rsidP="005970AB">
      <w:pPr>
        <w:spacing w:before="200" w:after="360"/>
        <w:contextualSpacing/>
        <w:jc w:val="center"/>
        <w:rPr>
          <w:b/>
          <w:bCs/>
          <w:rtl/>
        </w:rPr>
      </w:pPr>
      <w:r>
        <w:rPr>
          <w:b/>
          <w:bCs/>
          <w:rtl/>
        </w:rPr>
        <w:t>מדד המחירים</w:t>
      </w:r>
    </w:p>
    <w:tbl>
      <w:tblPr>
        <w:tblStyle w:val="LightList-Accent112"/>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822"/>
        <w:gridCol w:w="1101"/>
        <w:gridCol w:w="1047"/>
        <w:gridCol w:w="941"/>
        <w:gridCol w:w="1101"/>
        <w:gridCol w:w="1047"/>
      </w:tblGrid>
      <w:tr w:rsidR="005970AB" w:rsidTr="005970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3" w:type="dxa"/>
            <w:tcBorders>
              <w:top w:val="single" w:sz="4" w:space="0" w:color="auto"/>
              <w:left w:val="single" w:sz="4" w:space="0" w:color="auto"/>
              <w:bottom w:val="single" w:sz="4" w:space="0" w:color="auto"/>
              <w:right w:val="single" w:sz="4" w:space="0" w:color="auto"/>
            </w:tcBorders>
          </w:tcPr>
          <w:p w:rsidR="005970AB" w:rsidRDefault="005970AB">
            <w:pPr>
              <w:spacing w:before="200" w:after="360"/>
              <w:contextualSpacing/>
              <w:jc w:val="center"/>
              <w:rPr>
                <w:b w:val="0"/>
                <w:bCs w:val="0"/>
                <w:rtl/>
              </w:rPr>
            </w:pPr>
          </w:p>
        </w:tc>
        <w:tc>
          <w:tcPr>
            <w:tcW w:w="822"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rPr>
                <w:color w:val="FFFFFF" w:themeColor="background1"/>
                <w:rtl/>
              </w:rPr>
            </w:pPr>
            <w:r>
              <w:rPr>
                <w:color w:val="FFFFFF" w:themeColor="background1"/>
                <w:rtl/>
              </w:rPr>
              <w:t>2018</w:t>
            </w:r>
            <w:r>
              <w:rPr>
                <w:color w:val="FFFFFF" w:themeColor="background1"/>
              </w:rPr>
              <w:br/>
            </w:r>
            <w:r>
              <w:rPr>
                <w:color w:val="FFFFFF" w:themeColor="background1"/>
                <w:rtl/>
              </w:rPr>
              <w:t>תקציב</w:t>
            </w:r>
          </w:p>
        </w:tc>
        <w:tc>
          <w:tcPr>
            <w:tcW w:w="1101"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rPr>
                <w:color w:val="FFFFFF" w:themeColor="background1"/>
                <w:rtl/>
              </w:rPr>
            </w:pPr>
            <w:r>
              <w:rPr>
                <w:color w:val="FFFFFF" w:themeColor="background1"/>
                <w:rtl/>
              </w:rPr>
              <w:t>2018 נומרטור יוני</w:t>
            </w:r>
          </w:p>
        </w:tc>
        <w:tc>
          <w:tcPr>
            <w:tcW w:w="1047"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tl/>
              </w:rPr>
              <w:t>2018</w:t>
            </w:r>
            <w:r>
              <w:rPr>
                <w:color w:val="FFFFFF" w:themeColor="background1"/>
              </w:rPr>
              <w:br/>
            </w:r>
            <w:r>
              <w:rPr>
                <w:color w:val="FFFFFF" w:themeColor="background1"/>
                <w:rtl/>
              </w:rPr>
              <w:t>עדכון</w:t>
            </w:r>
          </w:p>
        </w:tc>
        <w:tc>
          <w:tcPr>
            <w:tcW w:w="941"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tl/>
              </w:rPr>
              <w:t>2019</w:t>
            </w:r>
            <w:r>
              <w:rPr>
                <w:color w:val="FFFFFF" w:themeColor="background1"/>
              </w:rPr>
              <w:br/>
            </w:r>
            <w:r>
              <w:rPr>
                <w:color w:val="FFFFFF" w:themeColor="background1"/>
                <w:rtl/>
              </w:rPr>
              <w:t>תקציב</w:t>
            </w:r>
          </w:p>
        </w:tc>
        <w:tc>
          <w:tcPr>
            <w:tcW w:w="1101"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rPr>
                <w:color w:val="FFFFFF" w:themeColor="background1"/>
                <w:rtl/>
              </w:rPr>
            </w:pPr>
            <w:r>
              <w:rPr>
                <w:color w:val="FFFFFF" w:themeColor="background1"/>
                <w:rtl/>
              </w:rPr>
              <w:t>2019 נומרטור יוני</w:t>
            </w:r>
          </w:p>
        </w:tc>
        <w:tc>
          <w:tcPr>
            <w:tcW w:w="1047"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tl/>
              </w:rPr>
              <w:t>2019</w:t>
            </w:r>
            <w:r>
              <w:rPr>
                <w:color w:val="FFFFFF" w:themeColor="background1"/>
              </w:rPr>
              <w:br/>
            </w:r>
            <w:r>
              <w:rPr>
                <w:color w:val="FFFFFF" w:themeColor="background1"/>
                <w:rtl/>
              </w:rPr>
              <w:t>עדכון</w:t>
            </w:r>
          </w:p>
        </w:tc>
      </w:tr>
      <w:tr w:rsidR="005970AB" w:rsidTr="00597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3" w:type="dxa"/>
            <w:tcBorders>
              <w:right w:val="single" w:sz="4" w:space="0" w:color="auto"/>
            </w:tcBorders>
            <w:vAlign w:val="center"/>
            <w:hideMark/>
          </w:tcPr>
          <w:p w:rsidR="005970AB" w:rsidRDefault="005970AB">
            <w:pPr>
              <w:jc w:val="center"/>
              <w:rPr>
                <w:b w:val="0"/>
                <w:bCs w:val="0"/>
              </w:rPr>
            </w:pPr>
            <w:r>
              <w:rPr>
                <w:rtl/>
              </w:rPr>
              <w:t>ממוצע לעומת ממוצע השנה הקודמת</w:t>
            </w:r>
          </w:p>
        </w:tc>
        <w:tc>
          <w:tcPr>
            <w:tcW w:w="822"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pPr>
            <w:r>
              <w:rPr>
                <w:rtl/>
              </w:rPr>
              <w:t>0.7%</w:t>
            </w:r>
          </w:p>
        </w:tc>
        <w:tc>
          <w:tcPr>
            <w:tcW w:w="1101"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tl/>
              </w:rPr>
            </w:pPr>
            <w:r>
              <w:rPr>
                <w:rtl/>
              </w:rPr>
              <w:t>0.6%</w:t>
            </w:r>
          </w:p>
        </w:tc>
        <w:tc>
          <w:tcPr>
            <w:tcW w:w="1047"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b/>
                <w:bCs/>
              </w:rPr>
            </w:pPr>
            <w:r>
              <w:rPr>
                <w:b/>
                <w:bCs/>
                <w:rtl/>
              </w:rPr>
              <w:t>0.8%</w:t>
            </w:r>
          </w:p>
        </w:tc>
        <w:tc>
          <w:tcPr>
            <w:tcW w:w="941"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pPr>
            <w:r>
              <w:rPr>
                <w:rtl/>
              </w:rPr>
              <w:t>1.1%</w:t>
            </w:r>
          </w:p>
        </w:tc>
        <w:tc>
          <w:tcPr>
            <w:tcW w:w="1101"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tl/>
              </w:rPr>
            </w:pPr>
            <w:r>
              <w:rPr>
                <w:rtl/>
              </w:rPr>
              <w:t>1.1%</w:t>
            </w:r>
          </w:p>
        </w:tc>
        <w:tc>
          <w:tcPr>
            <w:tcW w:w="1047" w:type="dxa"/>
            <w:tcBorders>
              <w:lef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b/>
                <w:bCs/>
              </w:rPr>
            </w:pPr>
            <w:r>
              <w:rPr>
                <w:b/>
                <w:bCs/>
                <w:rtl/>
              </w:rPr>
              <w:t>1.2%</w:t>
            </w:r>
          </w:p>
        </w:tc>
      </w:tr>
    </w:tbl>
    <w:p w:rsidR="005970AB" w:rsidRDefault="005970AB" w:rsidP="005970AB">
      <w:pPr>
        <w:spacing w:before="200" w:after="360"/>
        <w:contextualSpacing/>
        <w:rPr>
          <w:b/>
          <w:bCs/>
        </w:rPr>
      </w:pPr>
    </w:p>
    <w:p w:rsidR="005970AB" w:rsidRDefault="005970AB" w:rsidP="005970AB">
      <w:pPr>
        <w:tabs>
          <w:tab w:val="left" w:pos="5272"/>
          <w:tab w:val="left" w:pos="5322"/>
          <w:tab w:val="right" w:pos="8306"/>
        </w:tabs>
        <w:spacing w:before="200" w:after="200"/>
        <w:rPr>
          <w:rtl/>
        </w:rPr>
      </w:pPr>
      <w:r>
        <w:rPr>
          <w:rtl/>
        </w:rPr>
        <w:t>על פי אומדן ראשוני של הלמ"ס (שעודנו בגדר תחזית)</w:t>
      </w:r>
      <w:r>
        <w:rPr>
          <w:b/>
          <w:bCs/>
          <w:rtl/>
        </w:rPr>
        <w:t xml:space="preserve"> קצב הצמיחה</w:t>
      </w:r>
      <w:r>
        <w:rPr>
          <w:rtl/>
        </w:rPr>
        <w:t xml:space="preserve"> בשנת 2018 עמד על 3.2% וזאת כאמור בעיקר לאור החלשות ביבוא כלי רכב (ליסינג), ירידה בהשקעות במכונות וציוד (למעט בענף הכרייה והחציבה) וירידה בהיקפי הבניה למגורים</w:t>
      </w:r>
      <w:r>
        <w:rPr>
          <w:rStyle w:val="ab"/>
          <w:rtl/>
        </w:rPr>
        <w:footnoteReference w:id="6"/>
      </w:r>
      <w:r>
        <w:rPr>
          <w:rtl/>
        </w:rPr>
        <w:t>. על פי תחזית אגף הכלכלן הראשי, קצב הצמיחה בשנת 2019 יעמוד על 3.1%. בתוך כך, תחזית הגידול</w:t>
      </w:r>
      <w:r>
        <w:rPr>
          <w:b/>
          <w:bCs/>
          <w:rtl/>
        </w:rPr>
        <w:t xml:space="preserve"> בצריכה הפרטית</w:t>
      </w:r>
      <w:r>
        <w:rPr>
          <w:rtl/>
        </w:rPr>
        <w:t xml:space="preserve"> בשנת 2019 התמתנה מעט, בשל האטה מסוימת ביצירת משרות בשוק העבודה וירידות בשוקי ההון (המשפיעות בין השאר על הלכי הרוח של הצרכנים). למרות שאנו לא צופים עלייה מהירה של הריבית, גם עלייה הדרגתית עשויה להפחית את התצרוכת לאור הגידול בתשלומי הריבית של משקי הבית שנטלו הלוואות לדיור או רכישות אחרות. </w:t>
      </w:r>
    </w:p>
    <w:p w:rsidR="005970AB" w:rsidRDefault="005970AB" w:rsidP="005970AB">
      <w:pPr>
        <w:tabs>
          <w:tab w:val="left" w:pos="5272"/>
          <w:tab w:val="left" w:pos="5322"/>
          <w:tab w:val="right" w:pos="8306"/>
        </w:tabs>
        <w:spacing w:before="200" w:after="200"/>
        <w:rPr>
          <w:rtl/>
        </w:rPr>
      </w:pPr>
      <w:r>
        <w:rPr>
          <w:rtl/>
        </w:rPr>
        <w:t xml:space="preserve">במקביל התעדכנה תחזית הגידול </w:t>
      </w:r>
      <w:r>
        <w:rPr>
          <w:b/>
          <w:bCs/>
          <w:rtl/>
        </w:rPr>
        <w:t>בצריכה הציבורית</w:t>
      </w:r>
      <w:r>
        <w:rPr>
          <w:rtl/>
        </w:rPr>
        <w:t xml:space="preserve"> כלפי מטה, לאחר שבשנת 2018 חל גידול בהוצאות הממשלה ולאור התמתנות הצפויה בגיוסי כוח אדם למגזר הציבורי לאחר שנתיים של גידול מהיר. גם תחזית הגידול </w:t>
      </w:r>
      <w:r>
        <w:rPr>
          <w:b/>
          <w:bCs/>
          <w:rtl/>
        </w:rPr>
        <w:t>ביצוא</w:t>
      </w:r>
      <w:r>
        <w:rPr>
          <w:rtl/>
        </w:rPr>
        <w:t xml:space="preserve"> עודכנה כלפי מטה, על רקע היחלשות בביקושים הגלובליים הצפויים (כפי שבאים לידי ביטוי בסחר העולמי) המשפיעים על יצוא הסחורות. יצוא השירותים צפוי להמשיך ולהוביל את הצמיחה ברכיב זה, למרות שעלול להיות מושפע בהדרגה מירידות במדד הנאסד"ק. המדד מתואם עם פעילות חברות הה</w:t>
      </w:r>
      <w:r w:rsidR="002F5FF6">
        <w:rPr>
          <w:rFonts w:hint="cs"/>
          <w:rtl/>
        </w:rPr>
        <w:t>י</w:t>
      </w:r>
      <w:r>
        <w:rPr>
          <w:rtl/>
        </w:rPr>
        <w:t xml:space="preserve">י-טק בישראל ועם היצע המימון לקרנות ההון סיכון המשקיעות כאן. לגבי רכיב הייצוא קיימים סיכונים רבים, גם לחיוב וגם לשלילה, המפורטים </w:t>
      </w:r>
      <w:r>
        <w:rPr>
          <w:rtl/>
        </w:rPr>
        <w:lastRenderedPageBreak/>
        <w:t xml:space="preserve">בסוף המסמך. בתחום </w:t>
      </w:r>
      <w:r>
        <w:rPr>
          <w:b/>
          <w:bCs/>
          <w:rtl/>
        </w:rPr>
        <w:t>ההשקעות</w:t>
      </w:r>
      <w:r>
        <w:rPr>
          <w:rtl/>
        </w:rPr>
        <w:t xml:space="preserve"> בשנת 2019 צפויה החלשות נוספת, לאחר שכבר בשנת 2018 נרשמה צמיחה איטית יחסית בתחום זה. בתוך כך</w:t>
      </w:r>
      <w:r w:rsidR="00ED0839">
        <w:rPr>
          <w:rFonts w:hint="cs"/>
          <w:rtl/>
        </w:rPr>
        <w:t>,</w:t>
      </w:r>
      <w:r>
        <w:rPr>
          <w:rtl/>
        </w:rPr>
        <w:t xml:space="preserve"> תימשך חולשה בבנייה והתפתחויות בשוק העבודה יקרינו על הביקושים לרכבי הליסינג. מנגד</w:t>
      </w:r>
      <w:r w:rsidR="00ED0839">
        <w:rPr>
          <w:rFonts w:hint="cs"/>
          <w:rtl/>
        </w:rPr>
        <w:t>,</w:t>
      </w:r>
      <w:r>
        <w:rPr>
          <w:rtl/>
        </w:rPr>
        <w:t xml:space="preserve"> צפוי המשך השקעות בתחום הגז, כפי שתואר בתחילת המסמך וכן השקעות של חברה אסטרטגית לאחר שבמהלך שנת 2018 ניתן כתב אישור לכך. </w:t>
      </w:r>
    </w:p>
    <w:p w:rsidR="005970AB" w:rsidRDefault="005970AB" w:rsidP="005970AB">
      <w:pPr>
        <w:spacing w:before="200" w:after="360"/>
        <w:contextualSpacing/>
        <w:rPr>
          <w:b/>
          <w:bCs/>
          <w:rtl/>
        </w:rPr>
      </w:pPr>
    </w:p>
    <w:p w:rsidR="005970AB" w:rsidRDefault="005970AB" w:rsidP="005970AB">
      <w:pPr>
        <w:spacing w:before="200" w:after="360"/>
        <w:contextualSpacing/>
        <w:rPr>
          <w:b/>
          <w:bCs/>
          <w:rtl/>
        </w:rPr>
      </w:pPr>
    </w:p>
    <w:p w:rsidR="005970AB" w:rsidRDefault="005970AB" w:rsidP="005970AB">
      <w:pPr>
        <w:spacing w:before="200" w:after="360"/>
        <w:contextualSpacing/>
        <w:rPr>
          <w:b/>
          <w:bCs/>
          <w:rtl/>
        </w:rPr>
      </w:pPr>
    </w:p>
    <w:p w:rsidR="005970AB" w:rsidRDefault="005970AB" w:rsidP="005970AB">
      <w:pPr>
        <w:spacing w:before="200" w:after="360"/>
        <w:contextualSpacing/>
        <w:jc w:val="center"/>
        <w:rPr>
          <w:b/>
          <w:bCs/>
          <w:rtl/>
        </w:rPr>
      </w:pPr>
      <w:r>
        <w:rPr>
          <w:b/>
          <w:bCs/>
          <w:rtl/>
        </w:rPr>
        <w:t>שוק העבודה</w:t>
      </w:r>
    </w:p>
    <w:tbl>
      <w:tblPr>
        <w:tblStyle w:val="LightList-Accent112"/>
        <w:bidiVisual/>
        <w:tblW w:w="0" w:type="auto"/>
        <w:tblLook w:val="04A0" w:firstRow="1" w:lastRow="0" w:firstColumn="1" w:lastColumn="0" w:noHBand="0" w:noVBand="1"/>
      </w:tblPr>
      <w:tblGrid>
        <w:gridCol w:w="1690"/>
        <w:gridCol w:w="801"/>
        <w:gridCol w:w="1073"/>
        <w:gridCol w:w="1055"/>
        <w:gridCol w:w="888"/>
        <w:gridCol w:w="1067"/>
        <w:gridCol w:w="1248"/>
      </w:tblGrid>
      <w:tr w:rsidR="005970AB" w:rsidTr="005970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0" w:type="dxa"/>
            <w:tcBorders>
              <w:top w:val="single" w:sz="4" w:space="0" w:color="auto"/>
              <w:left w:val="single" w:sz="4" w:space="0" w:color="auto"/>
              <w:bottom w:val="single" w:sz="4" w:space="0" w:color="auto"/>
              <w:right w:val="single" w:sz="4" w:space="0" w:color="auto"/>
            </w:tcBorders>
          </w:tcPr>
          <w:p w:rsidR="005970AB" w:rsidRDefault="005970AB">
            <w:pPr>
              <w:spacing w:before="200" w:after="360"/>
              <w:contextualSpacing/>
              <w:jc w:val="center"/>
              <w:rPr>
                <w:rFonts w:ascii="David" w:hAnsi="David"/>
                <w:b w:val="0"/>
                <w:bCs w:val="0"/>
                <w:rtl/>
              </w:rPr>
            </w:pPr>
          </w:p>
        </w:tc>
        <w:tc>
          <w:tcPr>
            <w:tcW w:w="614"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rPr>
                <w:rFonts w:ascii="David" w:hAnsi="David"/>
                <w:color w:val="FFFFFF" w:themeColor="background1"/>
                <w:rtl/>
              </w:rPr>
            </w:pPr>
            <w:r>
              <w:rPr>
                <w:rFonts w:ascii="David" w:hAnsi="David"/>
                <w:color w:val="FFFFFF" w:themeColor="background1"/>
                <w:rtl/>
              </w:rPr>
              <w:t>2018</w:t>
            </w:r>
            <w:r>
              <w:rPr>
                <w:rFonts w:ascii="David" w:hAnsi="David"/>
                <w:color w:val="FFFFFF" w:themeColor="background1"/>
              </w:rPr>
              <w:br/>
            </w:r>
            <w:r>
              <w:rPr>
                <w:rFonts w:ascii="David" w:hAnsi="David"/>
                <w:color w:val="FFFFFF" w:themeColor="background1"/>
                <w:rtl/>
              </w:rPr>
              <w:t>תקציב</w:t>
            </w:r>
          </w:p>
        </w:tc>
        <w:tc>
          <w:tcPr>
            <w:tcW w:w="1073"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rPr>
                <w:rFonts w:ascii="David" w:hAnsi="David"/>
                <w:color w:val="FFFFFF" w:themeColor="background1"/>
                <w:rtl/>
              </w:rPr>
            </w:pPr>
            <w:r>
              <w:rPr>
                <w:color w:val="FFFFFF" w:themeColor="background1"/>
                <w:rtl/>
              </w:rPr>
              <w:t>2018 נומרטור יוני</w:t>
            </w:r>
          </w:p>
        </w:tc>
        <w:tc>
          <w:tcPr>
            <w:tcW w:w="1055"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rPr>
                <w:rFonts w:ascii="David" w:hAnsi="David"/>
                <w:color w:val="FFFFFF" w:themeColor="background1"/>
              </w:rPr>
            </w:pPr>
            <w:r>
              <w:rPr>
                <w:rFonts w:ascii="David" w:hAnsi="David"/>
                <w:color w:val="FFFFFF" w:themeColor="background1"/>
                <w:rtl/>
              </w:rPr>
              <w:t>2018</w:t>
            </w:r>
            <w:r>
              <w:rPr>
                <w:rFonts w:ascii="David" w:hAnsi="David"/>
                <w:color w:val="FFFFFF" w:themeColor="background1"/>
              </w:rPr>
              <w:br/>
            </w:r>
            <w:r>
              <w:rPr>
                <w:rFonts w:ascii="David" w:hAnsi="David"/>
                <w:color w:val="FFFFFF" w:themeColor="background1"/>
                <w:rtl/>
              </w:rPr>
              <w:t>עדכון</w:t>
            </w:r>
          </w:p>
        </w:tc>
        <w:tc>
          <w:tcPr>
            <w:tcW w:w="888"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rPr>
                <w:rFonts w:ascii="David" w:hAnsi="David"/>
                <w:color w:val="FFFFFF" w:themeColor="background1"/>
              </w:rPr>
            </w:pPr>
            <w:r>
              <w:rPr>
                <w:rFonts w:ascii="David" w:hAnsi="David"/>
                <w:color w:val="FFFFFF" w:themeColor="background1"/>
                <w:rtl/>
              </w:rPr>
              <w:t>2019</w:t>
            </w:r>
            <w:r>
              <w:rPr>
                <w:rFonts w:ascii="David" w:hAnsi="David"/>
                <w:color w:val="FFFFFF" w:themeColor="background1"/>
              </w:rPr>
              <w:br/>
            </w:r>
            <w:r>
              <w:rPr>
                <w:rFonts w:ascii="David" w:hAnsi="David"/>
                <w:color w:val="FFFFFF" w:themeColor="background1"/>
                <w:rtl/>
              </w:rPr>
              <w:t>תקציב</w:t>
            </w:r>
          </w:p>
        </w:tc>
        <w:tc>
          <w:tcPr>
            <w:tcW w:w="1067"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rPr>
                <w:rFonts w:ascii="David" w:hAnsi="David"/>
                <w:color w:val="FFFFFF" w:themeColor="background1"/>
                <w:rtl/>
              </w:rPr>
            </w:pPr>
            <w:r>
              <w:rPr>
                <w:color w:val="FFFFFF" w:themeColor="background1"/>
                <w:rtl/>
              </w:rPr>
              <w:t>2019 נומרטור יוני</w:t>
            </w:r>
          </w:p>
        </w:tc>
        <w:tc>
          <w:tcPr>
            <w:tcW w:w="1248"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rPr>
                <w:rFonts w:ascii="David" w:hAnsi="David"/>
                <w:color w:val="FFFFFF" w:themeColor="background1"/>
              </w:rPr>
            </w:pPr>
            <w:r>
              <w:rPr>
                <w:rFonts w:ascii="David" w:hAnsi="David"/>
                <w:color w:val="FFFFFF" w:themeColor="background1"/>
                <w:rtl/>
              </w:rPr>
              <w:t>2019</w:t>
            </w:r>
            <w:r>
              <w:rPr>
                <w:rFonts w:ascii="David" w:hAnsi="David"/>
                <w:color w:val="FFFFFF" w:themeColor="background1"/>
              </w:rPr>
              <w:br/>
            </w:r>
            <w:r>
              <w:rPr>
                <w:rFonts w:ascii="David" w:hAnsi="David"/>
                <w:color w:val="FFFFFF" w:themeColor="background1"/>
                <w:rtl/>
              </w:rPr>
              <w:t>עדכון</w:t>
            </w:r>
          </w:p>
        </w:tc>
      </w:tr>
      <w:tr w:rsidR="005970AB" w:rsidTr="00597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0" w:type="dxa"/>
            <w:tcBorders>
              <w:top w:val="single" w:sz="4" w:space="0" w:color="auto"/>
              <w:left w:val="single" w:sz="4" w:space="0" w:color="auto"/>
              <w:bottom w:val="single" w:sz="4" w:space="0" w:color="auto"/>
              <w:right w:val="single" w:sz="4" w:space="0" w:color="auto"/>
            </w:tcBorders>
          </w:tcPr>
          <w:p w:rsidR="005970AB" w:rsidRDefault="005970AB">
            <w:pPr>
              <w:spacing w:before="200" w:after="360"/>
              <w:contextualSpacing/>
              <w:jc w:val="center"/>
              <w:rPr>
                <w:rFonts w:ascii="David" w:hAnsi="David"/>
                <w:u w:val="single"/>
              </w:rPr>
            </w:pPr>
          </w:p>
        </w:tc>
        <w:tc>
          <w:tcPr>
            <w:tcW w:w="5945" w:type="dxa"/>
            <w:gridSpan w:val="6"/>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000000100000" w:firstRow="0" w:lastRow="0" w:firstColumn="0" w:lastColumn="0" w:oddVBand="0" w:evenVBand="0" w:oddHBand="1" w:evenHBand="0" w:firstRowFirstColumn="0" w:firstRowLastColumn="0" w:lastRowFirstColumn="0" w:lastRowLastColumn="0"/>
              <w:rPr>
                <w:rFonts w:ascii="David" w:hAnsi="David"/>
                <w:b/>
                <w:bCs/>
                <w:u w:val="single"/>
                <w:rtl/>
              </w:rPr>
            </w:pPr>
            <w:r>
              <w:rPr>
                <w:rFonts w:ascii="David" w:hAnsi="David"/>
                <w:u w:val="single"/>
                <w:rtl/>
              </w:rPr>
              <w:t>שכר</w:t>
            </w:r>
          </w:p>
        </w:tc>
      </w:tr>
      <w:tr w:rsidR="005970AB" w:rsidTr="005970AB">
        <w:tc>
          <w:tcPr>
            <w:cnfStyle w:val="001000000000" w:firstRow="0" w:lastRow="0" w:firstColumn="1" w:lastColumn="0" w:oddVBand="0" w:evenVBand="0" w:oddHBand="0" w:evenHBand="0" w:firstRowFirstColumn="0" w:firstRowLastColumn="0" w:lastRowFirstColumn="0" w:lastRowLastColumn="0"/>
            <w:tcW w:w="1690"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rPr>
                <w:rFonts w:ascii="David" w:hAnsi="David"/>
                <w:b w:val="0"/>
                <w:bCs w:val="0"/>
                <w:rtl/>
              </w:rPr>
            </w:pPr>
            <w:r>
              <w:rPr>
                <w:rFonts w:ascii="David" w:hAnsi="David"/>
                <w:b w:val="0"/>
                <w:bCs w:val="0"/>
                <w:rtl/>
              </w:rPr>
              <w:t>שינוי שנתי במחירים קבועים (באחוזים)</w:t>
            </w:r>
          </w:p>
        </w:tc>
        <w:tc>
          <w:tcPr>
            <w:tcW w:w="614"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000000" w:firstRow="0" w:lastRow="0" w:firstColumn="0" w:lastColumn="0" w:oddVBand="0" w:evenVBand="0" w:oddHBand="0" w:evenHBand="0" w:firstRowFirstColumn="0" w:firstRowLastColumn="0" w:lastRowFirstColumn="0" w:lastRowLastColumn="0"/>
              <w:rPr>
                <w:rFonts w:ascii="David" w:hAnsi="David"/>
              </w:rPr>
            </w:pPr>
            <w:r>
              <w:rPr>
                <w:rFonts w:ascii="David" w:hAnsi="David"/>
                <w:rtl/>
              </w:rPr>
              <w:t>1.9%</w:t>
            </w:r>
          </w:p>
        </w:tc>
        <w:tc>
          <w:tcPr>
            <w:tcW w:w="1073"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1.9%</w:t>
            </w:r>
          </w:p>
        </w:tc>
        <w:tc>
          <w:tcPr>
            <w:tcW w:w="1055"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000000" w:firstRow="0" w:lastRow="0" w:firstColumn="0" w:lastColumn="0" w:oddVBand="0" w:evenVBand="0" w:oddHBand="0" w:evenHBand="0" w:firstRowFirstColumn="0" w:firstRowLastColumn="0" w:lastRowFirstColumn="0" w:lastRowLastColumn="0"/>
              <w:rPr>
                <w:rFonts w:ascii="David" w:hAnsi="David"/>
                <w:b/>
                <w:bCs/>
              </w:rPr>
            </w:pPr>
            <w:r>
              <w:rPr>
                <w:rFonts w:ascii="David" w:hAnsi="David"/>
                <w:b/>
                <w:bCs/>
                <w:rtl/>
              </w:rPr>
              <w:t>2.6%</w:t>
            </w:r>
          </w:p>
        </w:tc>
        <w:tc>
          <w:tcPr>
            <w:tcW w:w="888"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000000" w:firstRow="0" w:lastRow="0" w:firstColumn="0" w:lastColumn="0" w:oddVBand="0" w:evenVBand="0" w:oddHBand="0" w:evenHBand="0" w:firstRowFirstColumn="0" w:firstRowLastColumn="0" w:lastRowFirstColumn="0" w:lastRowLastColumn="0"/>
              <w:rPr>
                <w:rFonts w:ascii="David" w:hAnsi="David"/>
              </w:rPr>
            </w:pPr>
            <w:r>
              <w:rPr>
                <w:rFonts w:ascii="David" w:hAnsi="David"/>
                <w:rtl/>
              </w:rPr>
              <w:t>1.0%</w:t>
            </w:r>
          </w:p>
        </w:tc>
        <w:tc>
          <w:tcPr>
            <w:tcW w:w="1067"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1.4%</w:t>
            </w:r>
          </w:p>
        </w:tc>
        <w:tc>
          <w:tcPr>
            <w:tcW w:w="1248"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000000" w:firstRow="0" w:lastRow="0" w:firstColumn="0" w:lastColumn="0" w:oddVBand="0" w:evenVBand="0" w:oddHBand="0" w:evenHBand="0" w:firstRowFirstColumn="0" w:firstRowLastColumn="0" w:lastRowFirstColumn="0" w:lastRowLastColumn="0"/>
              <w:rPr>
                <w:rFonts w:ascii="David" w:hAnsi="David"/>
                <w:b/>
                <w:bCs/>
              </w:rPr>
            </w:pPr>
            <w:r>
              <w:rPr>
                <w:rFonts w:ascii="David" w:hAnsi="David"/>
                <w:b/>
                <w:bCs/>
                <w:rtl/>
              </w:rPr>
              <w:t>1.3%</w:t>
            </w:r>
          </w:p>
        </w:tc>
      </w:tr>
      <w:tr w:rsidR="005970AB" w:rsidTr="00597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0" w:type="dxa"/>
            <w:tcBorders>
              <w:top w:val="single" w:sz="4" w:space="0" w:color="auto"/>
              <w:left w:val="single" w:sz="4" w:space="0" w:color="auto"/>
              <w:bottom w:val="single" w:sz="4" w:space="0" w:color="auto"/>
              <w:right w:val="single" w:sz="4" w:space="0" w:color="auto"/>
            </w:tcBorders>
            <w:vAlign w:val="center"/>
          </w:tcPr>
          <w:p w:rsidR="005970AB" w:rsidRDefault="005970AB">
            <w:pPr>
              <w:spacing w:before="200" w:after="360"/>
              <w:contextualSpacing/>
              <w:jc w:val="center"/>
              <w:rPr>
                <w:rFonts w:ascii="David" w:hAnsi="David"/>
                <w:b w:val="0"/>
                <w:bCs w:val="0"/>
                <w:u w:val="single"/>
              </w:rPr>
            </w:pPr>
          </w:p>
        </w:tc>
        <w:tc>
          <w:tcPr>
            <w:tcW w:w="5945" w:type="dxa"/>
            <w:gridSpan w:val="6"/>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100000" w:firstRow="0" w:lastRow="0" w:firstColumn="0" w:lastColumn="0" w:oddVBand="0" w:evenVBand="0" w:oddHBand="1" w:evenHBand="0" w:firstRowFirstColumn="0" w:firstRowLastColumn="0" w:lastRowFirstColumn="0" w:lastRowLastColumn="0"/>
              <w:rPr>
                <w:rFonts w:ascii="David" w:hAnsi="David"/>
                <w:b/>
                <w:bCs/>
                <w:u w:val="single"/>
                <w:rtl/>
              </w:rPr>
            </w:pPr>
            <w:r>
              <w:rPr>
                <w:rFonts w:ascii="David" w:hAnsi="David"/>
                <w:u w:val="single"/>
                <w:rtl/>
              </w:rPr>
              <w:t>מועסקים</w:t>
            </w:r>
          </w:p>
        </w:tc>
      </w:tr>
      <w:tr w:rsidR="005970AB" w:rsidTr="005970AB">
        <w:tc>
          <w:tcPr>
            <w:cnfStyle w:val="001000000000" w:firstRow="0" w:lastRow="0" w:firstColumn="1" w:lastColumn="0" w:oddVBand="0" w:evenVBand="0" w:oddHBand="0" w:evenHBand="0" w:firstRowFirstColumn="0" w:firstRowLastColumn="0" w:lastRowFirstColumn="0" w:lastRowLastColumn="0"/>
            <w:tcW w:w="1690"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rPr>
                <w:rFonts w:ascii="David" w:hAnsi="David"/>
                <w:b w:val="0"/>
                <w:bCs w:val="0"/>
                <w:rtl/>
              </w:rPr>
            </w:pPr>
            <w:r>
              <w:rPr>
                <w:rFonts w:ascii="David" w:hAnsi="David"/>
                <w:b w:val="0"/>
                <w:bCs w:val="0"/>
                <w:rtl/>
              </w:rPr>
              <w:t>שינוי שנתי במספר המועסקים (באחוזים)</w:t>
            </w:r>
            <w:r>
              <w:rPr>
                <w:rFonts w:ascii="Arial" w:hAnsi="Arial" w:cs="Arial"/>
                <w:b w:val="0"/>
                <w:bCs w:val="0"/>
              </w:rPr>
              <w:t>​</w:t>
            </w:r>
          </w:p>
        </w:tc>
        <w:tc>
          <w:tcPr>
            <w:tcW w:w="614"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000000" w:firstRow="0" w:lastRow="0" w:firstColumn="0" w:lastColumn="0" w:oddVBand="0" w:evenVBand="0" w:oddHBand="0" w:evenHBand="0" w:firstRowFirstColumn="0" w:firstRowLastColumn="0" w:lastRowFirstColumn="0" w:lastRowLastColumn="0"/>
              <w:rPr>
                <w:rFonts w:ascii="David" w:hAnsi="David"/>
              </w:rPr>
            </w:pPr>
            <w:r>
              <w:rPr>
                <w:rFonts w:ascii="David" w:hAnsi="David"/>
                <w:rtl/>
              </w:rPr>
              <w:t>2.1%</w:t>
            </w:r>
          </w:p>
        </w:tc>
        <w:tc>
          <w:tcPr>
            <w:tcW w:w="1073"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000000" w:firstRow="0" w:lastRow="0" w:firstColumn="0" w:lastColumn="0" w:oddVBand="0" w:evenVBand="0" w:oddHBand="0" w:evenHBand="0" w:firstRowFirstColumn="0" w:firstRowLastColumn="0" w:lastRowFirstColumn="0" w:lastRowLastColumn="0"/>
              <w:rPr>
                <w:rFonts w:ascii="David" w:hAnsi="David"/>
                <w:highlight w:val="yellow"/>
                <w:rtl/>
              </w:rPr>
            </w:pPr>
            <w:r>
              <w:rPr>
                <w:rFonts w:ascii="David" w:hAnsi="David"/>
                <w:rtl/>
              </w:rPr>
              <w:t>2.1%</w:t>
            </w:r>
          </w:p>
        </w:tc>
        <w:tc>
          <w:tcPr>
            <w:tcW w:w="1055"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000000" w:firstRow="0" w:lastRow="0" w:firstColumn="0" w:lastColumn="0" w:oddVBand="0" w:evenVBand="0" w:oddHBand="0" w:evenHBand="0" w:firstRowFirstColumn="0" w:firstRowLastColumn="0" w:lastRowFirstColumn="0" w:lastRowLastColumn="0"/>
              <w:rPr>
                <w:rFonts w:ascii="David" w:hAnsi="David"/>
                <w:b/>
                <w:bCs/>
              </w:rPr>
            </w:pPr>
            <w:r>
              <w:rPr>
                <w:rFonts w:ascii="David" w:hAnsi="David"/>
                <w:b/>
                <w:bCs/>
                <w:rtl/>
              </w:rPr>
              <w:t>2.3%</w:t>
            </w:r>
          </w:p>
        </w:tc>
        <w:tc>
          <w:tcPr>
            <w:tcW w:w="888"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000000" w:firstRow="0" w:lastRow="0" w:firstColumn="0" w:lastColumn="0" w:oddVBand="0" w:evenVBand="0" w:oddHBand="0" w:evenHBand="0" w:firstRowFirstColumn="0" w:firstRowLastColumn="0" w:lastRowFirstColumn="0" w:lastRowLastColumn="0"/>
              <w:rPr>
                <w:rFonts w:ascii="David" w:hAnsi="David"/>
              </w:rPr>
            </w:pPr>
            <w:r>
              <w:rPr>
                <w:rFonts w:ascii="David" w:hAnsi="David"/>
                <w:rtl/>
              </w:rPr>
              <w:t>1.9%</w:t>
            </w:r>
          </w:p>
        </w:tc>
        <w:tc>
          <w:tcPr>
            <w:tcW w:w="1067"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2.2%</w:t>
            </w:r>
          </w:p>
        </w:tc>
        <w:tc>
          <w:tcPr>
            <w:tcW w:w="1248"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000000" w:firstRow="0" w:lastRow="0" w:firstColumn="0" w:lastColumn="0" w:oddVBand="0" w:evenVBand="0" w:oddHBand="0" w:evenHBand="0" w:firstRowFirstColumn="0" w:firstRowLastColumn="0" w:lastRowFirstColumn="0" w:lastRowLastColumn="0"/>
              <w:rPr>
                <w:rFonts w:ascii="David" w:hAnsi="David"/>
                <w:b/>
                <w:bCs/>
              </w:rPr>
            </w:pPr>
            <w:r>
              <w:rPr>
                <w:rFonts w:ascii="David" w:hAnsi="David"/>
                <w:b/>
                <w:bCs/>
                <w:rtl/>
              </w:rPr>
              <w:t>1.8%</w:t>
            </w:r>
          </w:p>
        </w:tc>
      </w:tr>
      <w:tr w:rsidR="005970AB" w:rsidTr="00597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0"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rPr>
                <w:rFonts w:ascii="David" w:hAnsi="David"/>
                <w:b w:val="0"/>
                <w:bCs w:val="0"/>
              </w:rPr>
            </w:pPr>
            <w:r>
              <w:rPr>
                <w:rFonts w:ascii="David" w:hAnsi="David"/>
                <w:b w:val="0"/>
                <w:bCs w:val="0"/>
                <w:rtl/>
              </w:rPr>
              <w:t>שיעור אבטלה (באחוזים)</w:t>
            </w:r>
          </w:p>
        </w:tc>
        <w:tc>
          <w:tcPr>
            <w:tcW w:w="614"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3.9%</w:t>
            </w:r>
          </w:p>
        </w:tc>
        <w:tc>
          <w:tcPr>
            <w:tcW w:w="1073"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100000" w:firstRow="0" w:lastRow="0" w:firstColumn="0" w:lastColumn="0" w:oddVBand="0" w:evenVBand="0" w:oddHBand="1" w:evenHBand="0" w:firstRowFirstColumn="0" w:firstRowLastColumn="0" w:lastRowFirstColumn="0" w:lastRowLastColumn="0"/>
              <w:rPr>
                <w:rFonts w:ascii="David" w:hAnsi="David"/>
                <w:highlight w:val="yellow"/>
                <w:rtl/>
              </w:rPr>
            </w:pPr>
            <w:r>
              <w:rPr>
                <w:rFonts w:ascii="David" w:hAnsi="David"/>
                <w:rtl/>
              </w:rPr>
              <w:t>3.7%</w:t>
            </w:r>
          </w:p>
        </w:tc>
        <w:tc>
          <w:tcPr>
            <w:tcW w:w="1055"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100000" w:firstRow="0" w:lastRow="0" w:firstColumn="0" w:lastColumn="0" w:oddVBand="0" w:evenVBand="0" w:oddHBand="1" w:evenHBand="0" w:firstRowFirstColumn="0" w:firstRowLastColumn="0" w:lastRowFirstColumn="0" w:lastRowLastColumn="0"/>
              <w:rPr>
                <w:rFonts w:ascii="David" w:hAnsi="David"/>
                <w:b/>
                <w:bCs/>
              </w:rPr>
            </w:pPr>
            <w:r>
              <w:rPr>
                <w:rFonts w:ascii="David" w:hAnsi="David"/>
                <w:b/>
                <w:bCs/>
                <w:rtl/>
              </w:rPr>
              <w:t>3.9%</w:t>
            </w:r>
          </w:p>
        </w:tc>
        <w:tc>
          <w:tcPr>
            <w:tcW w:w="888"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100000" w:firstRow="0" w:lastRow="0" w:firstColumn="0" w:lastColumn="0" w:oddVBand="0" w:evenVBand="0" w:oddHBand="1" w:evenHBand="0" w:firstRowFirstColumn="0" w:firstRowLastColumn="0" w:lastRowFirstColumn="0" w:lastRowLastColumn="0"/>
              <w:rPr>
                <w:rFonts w:ascii="David" w:hAnsi="David"/>
              </w:rPr>
            </w:pPr>
            <w:r>
              <w:rPr>
                <w:rFonts w:ascii="David" w:hAnsi="David"/>
                <w:rtl/>
              </w:rPr>
              <w:t>3.9%</w:t>
            </w:r>
          </w:p>
        </w:tc>
        <w:tc>
          <w:tcPr>
            <w:tcW w:w="1067"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3.5%</w:t>
            </w:r>
          </w:p>
        </w:tc>
        <w:tc>
          <w:tcPr>
            <w:tcW w:w="1248"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100000" w:firstRow="0" w:lastRow="0" w:firstColumn="0" w:lastColumn="0" w:oddVBand="0" w:evenVBand="0" w:oddHBand="1" w:evenHBand="0" w:firstRowFirstColumn="0" w:firstRowLastColumn="0" w:lastRowFirstColumn="0" w:lastRowLastColumn="0"/>
              <w:rPr>
                <w:rFonts w:ascii="David" w:hAnsi="David"/>
                <w:b/>
                <w:bCs/>
              </w:rPr>
            </w:pPr>
            <w:r>
              <w:rPr>
                <w:rFonts w:ascii="David" w:hAnsi="David"/>
                <w:b/>
                <w:bCs/>
                <w:rtl/>
              </w:rPr>
              <w:t>4.0%</w:t>
            </w:r>
          </w:p>
        </w:tc>
      </w:tr>
      <w:tr w:rsidR="005970AB" w:rsidTr="005970AB">
        <w:tc>
          <w:tcPr>
            <w:cnfStyle w:val="001000000000" w:firstRow="0" w:lastRow="0" w:firstColumn="1" w:lastColumn="0" w:oddVBand="0" w:evenVBand="0" w:oddHBand="0" w:evenHBand="0" w:firstRowFirstColumn="0" w:firstRowLastColumn="0" w:lastRowFirstColumn="0" w:lastRowLastColumn="0"/>
            <w:tcW w:w="1690"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rPr>
                <w:rFonts w:ascii="David" w:hAnsi="David"/>
                <w:b w:val="0"/>
                <w:bCs w:val="0"/>
              </w:rPr>
            </w:pPr>
            <w:r>
              <w:rPr>
                <w:rFonts w:ascii="David" w:hAnsi="David"/>
                <w:b w:val="0"/>
                <w:bCs w:val="0"/>
                <w:rtl/>
              </w:rPr>
              <w:t>שיעור ההשתתפות (באחוזים)</w:t>
            </w:r>
          </w:p>
        </w:tc>
        <w:tc>
          <w:tcPr>
            <w:tcW w:w="614"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000000" w:firstRow="0" w:lastRow="0" w:firstColumn="0" w:lastColumn="0" w:oddVBand="0" w:evenVBand="0" w:oddHBand="0" w:evenHBand="0" w:firstRowFirstColumn="0" w:firstRowLastColumn="0" w:lastRowFirstColumn="0" w:lastRowLastColumn="0"/>
              <w:rPr>
                <w:rFonts w:ascii="David" w:hAnsi="David"/>
              </w:rPr>
            </w:pPr>
            <w:r>
              <w:rPr>
                <w:rFonts w:ascii="David" w:hAnsi="David"/>
                <w:rtl/>
              </w:rPr>
              <w:t>64.0%</w:t>
            </w:r>
          </w:p>
        </w:tc>
        <w:tc>
          <w:tcPr>
            <w:tcW w:w="1073"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63.8%</w:t>
            </w:r>
          </w:p>
        </w:tc>
        <w:tc>
          <w:tcPr>
            <w:tcW w:w="1055"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000000" w:firstRow="0" w:lastRow="0" w:firstColumn="0" w:lastColumn="0" w:oddVBand="0" w:evenVBand="0" w:oddHBand="0" w:evenHBand="0" w:firstRowFirstColumn="0" w:firstRowLastColumn="0" w:lastRowFirstColumn="0" w:lastRowLastColumn="0"/>
              <w:rPr>
                <w:rFonts w:ascii="David" w:hAnsi="David"/>
                <w:b/>
                <w:bCs/>
              </w:rPr>
            </w:pPr>
            <w:r>
              <w:rPr>
                <w:rFonts w:ascii="David" w:hAnsi="David"/>
                <w:b/>
                <w:bCs/>
                <w:rtl/>
              </w:rPr>
              <w:t>63.9%</w:t>
            </w:r>
          </w:p>
        </w:tc>
        <w:tc>
          <w:tcPr>
            <w:tcW w:w="888"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000000" w:firstRow="0" w:lastRow="0" w:firstColumn="0" w:lastColumn="0" w:oddVBand="0" w:evenVBand="0" w:oddHBand="0" w:evenHBand="0" w:firstRowFirstColumn="0" w:firstRowLastColumn="0" w:lastRowFirstColumn="0" w:lastRowLastColumn="0"/>
              <w:rPr>
                <w:rFonts w:ascii="David" w:hAnsi="David"/>
              </w:rPr>
            </w:pPr>
            <w:r>
              <w:rPr>
                <w:rFonts w:ascii="David" w:hAnsi="David"/>
                <w:rtl/>
              </w:rPr>
              <w:t>64.0%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63.8%</w:t>
            </w:r>
          </w:p>
        </w:tc>
        <w:tc>
          <w:tcPr>
            <w:tcW w:w="1248"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cnfStyle w:val="000000000000" w:firstRow="0" w:lastRow="0" w:firstColumn="0" w:lastColumn="0" w:oddVBand="0" w:evenVBand="0" w:oddHBand="0" w:evenHBand="0" w:firstRowFirstColumn="0" w:firstRowLastColumn="0" w:lastRowFirstColumn="0" w:lastRowLastColumn="0"/>
              <w:rPr>
                <w:rFonts w:ascii="David" w:hAnsi="David"/>
                <w:b/>
                <w:bCs/>
              </w:rPr>
            </w:pPr>
            <w:r>
              <w:rPr>
                <w:rFonts w:ascii="David" w:hAnsi="David"/>
                <w:b/>
                <w:bCs/>
                <w:rtl/>
              </w:rPr>
              <w:t>63.9%</w:t>
            </w:r>
          </w:p>
        </w:tc>
      </w:tr>
    </w:tbl>
    <w:p w:rsidR="005970AB" w:rsidRDefault="005970AB" w:rsidP="005970AB">
      <w:pPr>
        <w:spacing w:before="200" w:after="360"/>
        <w:contextualSpacing/>
        <w:rPr>
          <w:b/>
          <w:bCs/>
        </w:rPr>
      </w:pPr>
    </w:p>
    <w:p w:rsidR="005970AB" w:rsidRDefault="005970AB" w:rsidP="005970AB">
      <w:pPr>
        <w:tabs>
          <w:tab w:val="left" w:pos="5272"/>
          <w:tab w:val="left" w:pos="5322"/>
          <w:tab w:val="right" w:pos="8306"/>
        </w:tabs>
        <w:spacing w:before="200" w:after="200"/>
        <w:rPr>
          <w:rtl/>
        </w:rPr>
      </w:pPr>
      <w:r>
        <w:rPr>
          <w:b/>
          <w:bCs/>
          <w:rtl/>
        </w:rPr>
        <w:t>בשוק העבודה</w:t>
      </w:r>
      <w:r>
        <w:rPr>
          <w:rtl/>
        </w:rPr>
        <w:t>, בעוד הנתונים נותרו חיוביים בעיקרם ניכרת חולשה ביצירת המשרות, בדגש על התעסוקה במגזר העסקי. במקביל, התחזית מניחה כי תתמתן מגמת הגידול המהיר של התעסוקה במגזר הציבורי (לאחר שזו גדלה בשיעורים גבוהים בשנים האחרונות). כתוצאה מכך, תחזית לשיעור האבטלה ל-2018 ו-2019 עודכנה מעט כלפי מעלה. השכר הריאלי עלה ב-2018 בקצב גבוה מהתחזיות, אולם התחזית ל-2019 צופה גידול נמוך יותר, בדומה לתחזיות קודמות. בהקשר לכך, בשנת 2018 הסתיימה עליית שכר המינימום שהחלה בשנת 2016 ותרמה להערכתנו להאצת הגידול בשכר במשק.</w:t>
      </w:r>
    </w:p>
    <w:p w:rsidR="005970AB" w:rsidRDefault="005970AB" w:rsidP="005970AB">
      <w:pPr>
        <w:spacing w:before="200" w:after="360"/>
        <w:contextualSpacing/>
        <w:rPr>
          <w:b/>
          <w:bCs/>
          <w:rtl/>
        </w:rPr>
      </w:pPr>
    </w:p>
    <w:p w:rsidR="005970AB" w:rsidRDefault="005970AB" w:rsidP="005970AB">
      <w:pPr>
        <w:tabs>
          <w:tab w:val="left" w:pos="5272"/>
          <w:tab w:val="left" w:pos="5322"/>
          <w:tab w:val="right" w:pos="8306"/>
        </w:tabs>
        <w:spacing w:before="200" w:after="200"/>
        <w:rPr>
          <w:rtl/>
        </w:rPr>
      </w:pPr>
      <w:r>
        <w:rPr>
          <w:rtl/>
        </w:rPr>
        <w:t>להלן תחזית הצמיחה העדכנית של משרד האוצר לשנים לשנת  2019 (לאחר שהלמ"ס פרסמה אומדן ראשון לשנת 2018), בהשוואה לתחזית הצמיחה של בנק ישראל, קרן המטבע הבינלאומית וארגון ה-</w:t>
      </w:r>
      <w:r>
        <w:t>OECD</w:t>
      </w:r>
      <w:r>
        <w:rPr>
          <w:rStyle w:val="ab"/>
          <w:rtl/>
        </w:rPr>
        <w:footnoteReference w:id="7"/>
      </w:r>
      <w:r>
        <w:rPr>
          <w:rtl/>
        </w:rPr>
        <w:t>:</w:t>
      </w:r>
    </w:p>
    <w:tbl>
      <w:tblPr>
        <w:tblStyle w:val="3-112"/>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1311"/>
        <w:gridCol w:w="1312"/>
      </w:tblGrid>
      <w:tr w:rsidR="005970AB" w:rsidTr="005970AB">
        <w:trPr>
          <w:cnfStyle w:val="100000000000" w:firstRow="1" w:lastRow="0" w:firstColumn="0" w:lastColumn="0" w:oddVBand="0" w:evenVBand="0" w:oddHBand="0" w:evenHBand="0" w:firstRowFirstColumn="0" w:firstRowLastColumn="0" w:lastRowFirstColumn="0" w:lastRowLastColumn="0"/>
          <w:trHeight w:val="480"/>
          <w:jc w:val="center"/>
        </w:trPr>
        <w:tc>
          <w:tcPr>
            <w:cnfStyle w:val="001000000100" w:firstRow="0" w:lastRow="0" w:firstColumn="1" w:lastColumn="0" w:oddVBand="0" w:evenVBand="0" w:oddHBand="0" w:evenHBand="0" w:firstRowFirstColumn="1" w:firstRowLastColumn="0" w:lastRowFirstColumn="0" w:lastRowLastColumn="0"/>
            <w:tcW w:w="2324" w:type="dxa"/>
            <w:tcBorders>
              <w:top w:val="single" w:sz="4" w:space="0" w:color="auto"/>
              <w:left w:val="single" w:sz="4" w:space="0" w:color="auto"/>
            </w:tcBorders>
            <w:vAlign w:val="bottom"/>
          </w:tcPr>
          <w:p w:rsidR="005970AB" w:rsidRDefault="005970AB">
            <w:pPr>
              <w:jc w:val="center"/>
              <w:rPr>
                <w:rFonts w:ascii="David" w:hAnsi="David"/>
                <w:rtl/>
              </w:rPr>
            </w:pPr>
          </w:p>
        </w:tc>
        <w:tc>
          <w:tcPr>
            <w:tcW w:w="1311" w:type="dxa"/>
            <w:tcBorders>
              <w:top w:val="single" w:sz="4" w:space="0" w:color="auto"/>
              <w:left w:val="single" w:sz="4" w:space="0" w:color="auto"/>
              <w:bottom w:val="single" w:sz="4" w:space="0" w:color="auto"/>
              <w:right w:val="single" w:sz="4" w:space="0" w:color="auto"/>
            </w:tcBorders>
            <w:vAlign w:val="bottom"/>
            <w:hideMark/>
          </w:tcPr>
          <w:p w:rsidR="005970AB" w:rsidRDefault="005970AB">
            <w:pPr>
              <w:jc w:val="center"/>
              <w:cnfStyle w:val="100000000000" w:firstRow="1" w:lastRow="0" w:firstColumn="0" w:lastColumn="0" w:oddVBand="0" w:evenVBand="0" w:oddHBand="0" w:evenHBand="0" w:firstRowFirstColumn="0" w:firstRowLastColumn="0" w:lastRowFirstColumn="0" w:lastRowLastColumn="0"/>
              <w:rPr>
                <w:rFonts w:ascii="David" w:hAnsi="David"/>
                <w:rtl/>
              </w:rPr>
            </w:pPr>
            <w:r>
              <w:rPr>
                <w:rFonts w:ascii="David" w:hAnsi="David"/>
                <w:rtl/>
              </w:rPr>
              <w:t>2018</w:t>
            </w:r>
          </w:p>
        </w:tc>
        <w:tc>
          <w:tcPr>
            <w:tcW w:w="1312" w:type="dxa"/>
            <w:tcBorders>
              <w:top w:val="single" w:sz="4" w:space="0" w:color="auto"/>
              <w:left w:val="single" w:sz="4" w:space="0" w:color="auto"/>
              <w:bottom w:val="single" w:sz="4" w:space="0" w:color="auto"/>
              <w:right w:val="single" w:sz="4" w:space="0" w:color="auto"/>
            </w:tcBorders>
            <w:vAlign w:val="bottom"/>
            <w:hideMark/>
          </w:tcPr>
          <w:p w:rsidR="005970AB" w:rsidRDefault="005970AB">
            <w:pPr>
              <w:jc w:val="center"/>
              <w:cnfStyle w:val="100000000000" w:firstRow="1" w:lastRow="0" w:firstColumn="0" w:lastColumn="0" w:oddVBand="0" w:evenVBand="0" w:oddHBand="0" w:evenHBand="0" w:firstRowFirstColumn="0" w:firstRowLastColumn="0" w:lastRowFirstColumn="0" w:lastRowLastColumn="0"/>
              <w:rPr>
                <w:rFonts w:ascii="David" w:hAnsi="David"/>
                <w:rtl/>
              </w:rPr>
            </w:pPr>
            <w:r>
              <w:rPr>
                <w:rFonts w:ascii="David" w:hAnsi="David"/>
                <w:rtl/>
              </w:rPr>
              <w:t>2019</w:t>
            </w:r>
          </w:p>
        </w:tc>
      </w:tr>
      <w:tr w:rsidR="005970AB" w:rsidTr="005970AB">
        <w:trPr>
          <w:cnfStyle w:val="000000100000" w:firstRow="0" w:lastRow="0" w:firstColumn="0" w:lastColumn="0" w:oddVBand="0" w:evenVBand="0" w:oddHBand="1" w:evenHBand="0" w:firstRowFirstColumn="0" w:firstRowLastColumn="0" w:lastRowFirstColumn="0" w:lastRowLastColumn="0"/>
          <w:trHeight w:val="480"/>
          <w:jc w:val="center"/>
        </w:trPr>
        <w:tc>
          <w:tcPr>
            <w:cnfStyle w:val="001000000000" w:firstRow="0" w:lastRow="0" w:firstColumn="1" w:lastColumn="0" w:oddVBand="0" w:evenVBand="0" w:oddHBand="0" w:evenHBand="0" w:firstRowFirstColumn="0" w:firstRowLastColumn="0" w:lastRowFirstColumn="0" w:lastRowLastColumn="0"/>
            <w:tcW w:w="2324" w:type="dxa"/>
            <w:tcBorders>
              <w:left w:val="single" w:sz="4" w:space="0" w:color="auto"/>
            </w:tcBorders>
            <w:vAlign w:val="center"/>
            <w:hideMark/>
          </w:tcPr>
          <w:p w:rsidR="005970AB" w:rsidRDefault="005970AB">
            <w:pPr>
              <w:jc w:val="center"/>
              <w:rPr>
                <w:rFonts w:ascii="David" w:hAnsi="David"/>
                <w:rtl/>
              </w:rPr>
            </w:pPr>
            <w:r>
              <w:rPr>
                <w:rFonts w:ascii="David" w:hAnsi="David"/>
                <w:rtl/>
              </w:rPr>
              <w:t>משרד האוצר</w:t>
            </w:r>
          </w:p>
        </w:tc>
        <w:tc>
          <w:tcPr>
            <w:tcW w:w="1311"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3.2</w:t>
            </w:r>
          </w:p>
        </w:tc>
        <w:tc>
          <w:tcPr>
            <w:tcW w:w="1312"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3.1</w:t>
            </w:r>
          </w:p>
        </w:tc>
      </w:tr>
      <w:tr w:rsidR="005970AB" w:rsidTr="005970AB">
        <w:trPr>
          <w:trHeight w:val="480"/>
          <w:jc w:val="center"/>
        </w:trPr>
        <w:tc>
          <w:tcPr>
            <w:cnfStyle w:val="001000000000" w:firstRow="0" w:lastRow="0" w:firstColumn="1" w:lastColumn="0" w:oddVBand="0" w:evenVBand="0" w:oddHBand="0" w:evenHBand="0" w:firstRowFirstColumn="0" w:firstRowLastColumn="0" w:lastRowFirstColumn="0" w:lastRowLastColumn="0"/>
            <w:tcW w:w="2324" w:type="dxa"/>
            <w:tcBorders>
              <w:top w:val="single" w:sz="4" w:space="0" w:color="auto"/>
              <w:left w:val="single" w:sz="4" w:space="0" w:color="auto"/>
              <w:bottom w:val="single" w:sz="4" w:space="0" w:color="auto"/>
            </w:tcBorders>
            <w:vAlign w:val="center"/>
            <w:hideMark/>
          </w:tcPr>
          <w:p w:rsidR="005970AB" w:rsidRDefault="005970AB">
            <w:pPr>
              <w:jc w:val="center"/>
              <w:rPr>
                <w:rFonts w:ascii="David" w:hAnsi="David"/>
                <w:rtl/>
              </w:rPr>
            </w:pPr>
            <w:r>
              <w:rPr>
                <w:rFonts w:ascii="David" w:hAnsi="David"/>
                <w:rtl/>
              </w:rPr>
              <w:t>בנק ישראל</w:t>
            </w:r>
          </w:p>
        </w:tc>
        <w:tc>
          <w:tcPr>
            <w:tcW w:w="13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3.2</w:t>
            </w:r>
          </w:p>
        </w:tc>
        <w:tc>
          <w:tcPr>
            <w:tcW w:w="13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3.6</w:t>
            </w:r>
          </w:p>
        </w:tc>
      </w:tr>
      <w:tr w:rsidR="005970AB" w:rsidTr="005970AB">
        <w:trPr>
          <w:cnfStyle w:val="000000100000" w:firstRow="0" w:lastRow="0" w:firstColumn="0" w:lastColumn="0" w:oddVBand="0" w:evenVBand="0" w:oddHBand="1" w:evenHBand="0" w:firstRowFirstColumn="0" w:firstRowLastColumn="0" w:lastRowFirstColumn="0" w:lastRowLastColumn="0"/>
          <w:trHeight w:val="480"/>
          <w:jc w:val="center"/>
        </w:trPr>
        <w:tc>
          <w:tcPr>
            <w:cnfStyle w:val="001000000000" w:firstRow="0" w:lastRow="0" w:firstColumn="1" w:lastColumn="0" w:oddVBand="0" w:evenVBand="0" w:oddHBand="0" w:evenHBand="0" w:firstRowFirstColumn="0" w:firstRowLastColumn="0" w:lastRowFirstColumn="0" w:lastRowLastColumn="0"/>
            <w:tcW w:w="2324" w:type="dxa"/>
            <w:tcBorders>
              <w:left w:val="single" w:sz="4" w:space="0" w:color="auto"/>
            </w:tcBorders>
            <w:vAlign w:val="center"/>
            <w:hideMark/>
          </w:tcPr>
          <w:p w:rsidR="005970AB" w:rsidRDefault="005970AB">
            <w:pPr>
              <w:jc w:val="center"/>
              <w:rPr>
                <w:rFonts w:ascii="David" w:hAnsi="David"/>
                <w:rtl/>
              </w:rPr>
            </w:pPr>
            <w:r>
              <w:rPr>
                <w:rFonts w:ascii="David" w:hAnsi="David"/>
                <w:rtl/>
              </w:rPr>
              <w:t xml:space="preserve">קרן המטבע </w:t>
            </w:r>
          </w:p>
        </w:tc>
        <w:tc>
          <w:tcPr>
            <w:tcW w:w="1311" w:type="dxa"/>
            <w:tcBorders>
              <w:left w:val="single" w:sz="4" w:space="0" w:color="auto"/>
              <w:right w:val="single" w:sz="4" w:space="0" w:color="auto"/>
            </w:tcBorders>
            <w:shd w:val="clear" w:color="auto" w:fill="FFFFFF" w:themeFill="background1"/>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3.6</w:t>
            </w:r>
          </w:p>
        </w:tc>
        <w:tc>
          <w:tcPr>
            <w:tcW w:w="1312" w:type="dxa"/>
            <w:tcBorders>
              <w:left w:val="single" w:sz="4" w:space="0" w:color="auto"/>
              <w:right w:val="single" w:sz="4" w:space="0" w:color="auto"/>
            </w:tcBorders>
            <w:shd w:val="clear" w:color="auto" w:fill="FFFFFF" w:themeFill="background1"/>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3.5</w:t>
            </w:r>
          </w:p>
        </w:tc>
      </w:tr>
      <w:tr w:rsidR="005970AB" w:rsidTr="005970AB">
        <w:trPr>
          <w:trHeight w:val="480"/>
          <w:jc w:val="center"/>
        </w:trPr>
        <w:tc>
          <w:tcPr>
            <w:cnfStyle w:val="001000000000" w:firstRow="0" w:lastRow="0" w:firstColumn="1" w:lastColumn="0" w:oddVBand="0" w:evenVBand="0" w:oddHBand="0" w:evenHBand="0" w:firstRowFirstColumn="0" w:firstRowLastColumn="0" w:lastRowFirstColumn="0" w:lastRowLastColumn="0"/>
            <w:tcW w:w="2324" w:type="dxa"/>
            <w:tcBorders>
              <w:top w:val="single" w:sz="4" w:space="0" w:color="auto"/>
              <w:left w:val="single" w:sz="4" w:space="0" w:color="auto"/>
              <w:bottom w:val="single" w:sz="4" w:space="0" w:color="auto"/>
            </w:tcBorders>
            <w:vAlign w:val="center"/>
            <w:hideMark/>
          </w:tcPr>
          <w:p w:rsidR="005970AB" w:rsidRDefault="005970AB">
            <w:pPr>
              <w:jc w:val="center"/>
              <w:rPr>
                <w:rFonts w:ascii="David" w:hAnsi="David"/>
                <w:rtl/>
              </w:rPr>
            </w:pPr>
            <w:r>
              <w:rPr>
                <w:rFonts w:ascii="David" w:hAnsi="David"/>
              </w:rPr>
              <w:t>OECD</w:t>
            </w:r>
          </w:p>
        </w:tc>
        <w:tc>
          <w:tcPr>
            <w:tcW w:w="1311"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3.5</w:t>
            </w:r>
          </w:p>
        </w:tc>
      </w:tr>
    </w:tbl>
    <w:p w:rsidR="005970AB" w:rsidRDefault="005970AB" w:rsidP="005970AB">
      <w:pPr>
        <w:spacing w:before="200" w:after="360"/>
        <w:contextualSpacing/>
        <w:rPr>
          <w:b/>
          <w:bCs/>
          <w:rtl/>
        </w:rPr>
      </w:pPr>
    </w:p>
    <w:p w:rsidR="005970AB" w:rsidRDefault="005970AB" w:rsidP="005970AB">
      <w:pPr>
        <w:spacing w:before="200" w:after="360"/>
        <w:contextualSpacing/>
        <w:rPr>
          <w:b/>
          <w:bCs/>
          <w:rtl/>
        </w:rPr>
      </w:pPr>
      <w:r>
        <w:rPr>
          <w:b/>
          <w:bCs/>
          <w:rtl/>
        </w:rPr>
        <w:t xml:space="preserve">הנחות מרכזיות בתחזיות המקרו לטווח הבינוני: </w:t>
      </w:r>
      <w:r>
        <w:rPr>
          <w:b/>
          <w:bCs/>
          <w:rtl/>
        </w:rPr>
        <w:tab/>
      </w:r>
    </w:p>
    <w:tbl>
      <w:tblPr>
        <w:tblStyle w:val="LightList-Accent112"/>
        <w:bidiVisual/>
        <w:tblW w:w="6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662"/>
        <w:gridCol w:w="1663"/>
        <w:gridCol w:w="1663"/>
        <w:gridCol w:w="1663"/>
      </w:tblGrid>
      <w:tr w:rsidR="005970AB" w:rsidTr="005970AB">
        <w:trPr>
          <w:cnfStyle w:val="100000000000" w:firstRow="1" w:lastRow="0" w:firstColumn="0" w:lastColumn="0" w:oddVBand="0" w:evenVBand="0" w:oddHBand="0" w:evenHBand="0" w:firstRowFirstColumn="0" w:firstRowLastColumn="0" w:lastRowFirstColumn="0" w:lastRowLastColumn="0"/>
          <w:trHeight w:val="477"/>
          <w:jc w:val="center"/>
        </w:trPr>
        <w:tc>
          <w:tcPr>
            <w:tcW w:w="1662" w:type="dxa"/>
            <w:tcBorders>
              <w:top w:val="single" w:sz="4" w:space="0" w:color="auto"/>
              <w:left w:val="single" w:sz="4" w:space="0" w:color="auto"/>
              <w:bottom w:val="single" w:sz="4" w:space="0" w:color="auto"/>
              <w:right w:val="single" w:sz="4" w:space="0" w:color="auto"/>
            </w:tcBorders>
            <w:vAlign w:val="center"/>
            <w:hideMark/>
          </w:tcPr>
          <w:p w:rsidR="005970AB" w:rsidRDefault="005970AB">
            <w:pPr>
              <w:rPr>
                <w:b w:val="0"/>
                <w:bCs w:val="0"/>
                <w:rtl/>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rPr>
                <w:color w:val="FFFFFF" w:themeColor="background1"/>
              </w:rPr>
            </w:pPr>
            <w:r>
              <w:rPr>
                <w:color w:val="FFFFFF" w:themeColor="background1"/>
                <w:rtl/>
              </w:rPr>
              <w:t>צמיחה</w:t>
            </w:r>
          </w:p>
        </w:tc>
        <w:tc>
          <w:tcPr>
            <w:tcW w:w="1663"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rPr>
                <w:color w:val="FFFFFF" w:themeColor="background1"/>
              </w:rPr>
            </w:pPr>
            <w:r>
              <w:rPr>
                <w:color w:val="FFFFFF" w:themeColor="background1"/>
                <w:rtl/>
              </w:rPr>
              <w:t>מחירי התוצר</w:t>
            </w:r>
          </w:p>
        </w:tc>
        <w:tc>
          <w:tcPr>
            <w:tcW w:w="1663" w:type="dxa"/>
            <w:tcBorders>
              <w:top w:val="single" w:sz="4" w:space="0" w:color="auto"/>
              <w:left w:val="single" w:sz="4" w:space="0" w:color="auto"/>
              <w:bottom w:val="single" w:sz="4" w:space="0" w:color="auto"/>
              <w:right w:val="single" w:sz="4" w:space="0" w:color="auto"/>
            </w:tcBorders>
            <w:vAlign w:val="center"/>
            <w:hideMark/>
          </w:tcPr>
          <w:p w:rsidR="005970AB" w:rsidRDefault="005970AB">
            <w:pPr>
              <w:spacing w:before="200" w:after="360"/>
              <w:contextualSpacing/>
              <w:jc w:val="center"/>
              <w:rPr>
                <w:color w:val="FFFFFF" w:themeColor="background1"/>
              </w:rPr>
            </w:pPr>
            <w:r>
              <w:rPr>
                <w:color w:val="FFFFFF" w:themeColor="background1"/>
                <w:rtl/>
              </w:rPr>
              <w:t>אינפלציה</w:t>
            </w:r>
          </w:p>
        </w:tc>
      </w:tr>
      <w:tr w:rsidR="005970AB" w:rsidTr="005970AB">
        <w:trPr>
          <w:cnfStyle w:val="000000100000" w:firstRow="0" w:lastRow="0" w:firstColumn="0" w:lastColumn="0" w:oddVBand="0" w:evenVBand="0" w:oddHBand="1" w:evenHBand="0" w:firstRowFirstColumn="0" w:firstRowLastColumn="0" w:lastRowFirstColumn="0" w:lastRowLastColumn="0"/>
          <w:trHeight w:val="484"/>
          <w:jc w:val="center"/>
        </w:trPr>
        <w:tc>
          <w:tcPr>
            <w:tcW w:w="1662"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pPr>
            <w:r>
              <w:rPr>
                <w:rtl/>
              </w:rPr>
              <w:t>2020 (תרחיש)</w:t>
            </w:r>
          </w:p>
        </w:tc>
        <w:tc>
          <w:tcPr>
            <w:tcW w:w="1663"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rPr>
                <w:rFonts w:ascii="David" w:hAnsi="David"/>
                <w:rtl/>
              </w:rPr>
            </w:pPr>
            <w:r>
              <w:rPr>
                <w:rFonts w:ascii="David" w:hAnsi="David"/>
              </w:rPr>
              <w:t>3.1%</w:t>
            </w:r>
          </w:p>
        </w:tc>
        <w:tc>
          <w:tcPr>
            <w:tcW w:w="1663"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rPr>
                <w:rFonts w:ascii="David" w:hAnsi="David"/>
                <w:rtl/>
              </w:rPr>
            </w:pPr>
            <w:r>
              <w:rPr>
                <w:rFonts w:ascii="David" w:hAnsi="David"/>
              </w:rPr>
              <w:t>1.3%</w:t>
            </w:r>
          </w:p>
        </w:tc>
        <w:tc>
          <w:tcPr>
            <w:tcW w:w="1663"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rPr>
                <w:rFonts w:ascii="David" w:hAnsi="David"/>
                <w:rtl/>
              </w:rPr>
            </w:pPr>
            <w:r>
              <w:rPr>
                <w:rFonts w:ascii="David" w:hAnsi="David"/>
              </w:rPr>
              <w:t>1.3%</w:t>
            </w:r>
          </w:p>
        </w:tc>
      </w:tr>
      <w:tr w:rsidR="005970AB" w:rsidTr="005970AB">
        <w:trPr>
          <w:trHeight w:val="520"/>
          <w:jc w:val="center"/>
        </w:trPr>
        <w:tc>
          <w:tcPr>
            <w:tcW w:w="1662"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rPr>
                <w:highlight w:val="yellow"/>
                <w:rtl/>
              </w:rPr>
            </w:pPr>
            <w:r>
              <w:rPr>
                <w:rtl/>
              </w:rPr>
              <w:t>2021 (תרחיש)</w:t>
            </w:r>
          </w:p>
        </w:tc>
        <w:tc>
          <w:tcPr>
            <w:tcW w:w="1663"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rPr>
                <w:rFonts w:ascii="David" w:hAnsi="David"/>
                <w:highlight w:val="yellow"/>
                <w:rtl/>
              </w:rPr>
            </w:pPr>
            <w:r>
              <w:rPr>
                <w:rFonts w:ascii="David" w:hAnsi="David"/>
              </w:rPr>
              <w:t>3.0%</w:t>
            </w:r>
          </w:p>
        </w:tc>
        <w:tc>
          <w:tcPr>
            <w:tcW w:w="1663"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rPr>
                <w:rFonts w:ascii="David" w:hAnsi="David"/>
                <w:highlight w:val="yellow"/>
                <w:rtl/>
              </w:rPr>
            </w:pPr>
            <w:r>
              <w:rPr>
                <w:rFonts w:ascii="David" w:hAnsi="David"/>
              </w:rPr>
              <w:t>1.6%</w:t>
            </w:r>
          </w:p>
        </w:tc>
        <w:tc>
          <w:tcPr>
            <w:tcW w:w="1663"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rPr>
                <w:rFonts w:ascii="David" w:hAnsi="David"/>
                <w:highlight w:val="yellow"/>
                <w:rtl/>
              </w:rPr>
            </w:pPr>
            <w:r>
              <w:rPr>
                <w:rFonts w:ascii="David" w:hAnsi="David"/>
              </w:rPr>
              <w:t>1.6%</w:t>
            </w:r>
          </w:p>
        </w:tc>
      </w:tr>
      <w:tr w:rsidR="005970AB" w:rsidTr="005970AB">
        <w:trPr>
          <w:cnfStyle w:val="000000100000" w:firstRow="0" w:lastRow="0" w:firstColumn="0" w:lastColumn="0" w:oddVBand="0" w:evenVBand="0" w:oddHBand="1" w:evenHBand="0" w:firstRowFirstColumn="0" w:firstRowLastColumn="0" w:lastRowFirstColumn="0" w:lastRowLastColumn="0"/>
          <w:trHeight w:val="520"/>
          <w:jc w:val="center"/>
        </w:trPr>
        <w:tc>
          <w:tcPr>
            <w:tcW w:w="1662"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rPr>
                <w:highlight w:val="yellow"/>
                <w:rtl/>
              </w:rPr>
            </w:pPr>
            <w:r>
              <w:rPr>
                <w:rtl/>
              </w:rPr>
              <w:t>2022 (תרחיש)</w:t>
            </w:r>
          </w:p>
        </w:tc>
        <w:tc>
          <w:tcPr>
            <w:tcW w:w="1663"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rPr>
                <w:rFonts w:ascii="David" w:hAnsi="David"/>
                <w:rtl/>
              </w:rPr>
            </w:pPr>
            <w:r>
              <w:rPr>
                <w:rFonts w:ascii="David" w:hAnsi="David"/>
              </w:rPr>
              <w:t>2.9%</w:t>
            </w:r>
          </w:p>
        </w:tc>
        <w:tc>
          <w:tcPr>
            <w:tcW w:w="1663"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rPr>
                <w:rFonts w:ascii="David" w:hAnsi="David"/>
                <w:rtl/>
              </w:rPr>
            </w:pPr>
            <w:r>
              <w:rPr>
                <w:rFonts w:ascii="David" w:hAnsi="David"/>
              </w:rPr>
              <w:t>2.0%</w:t>
            </w:r>
          </w:p>
        </w:tc>
        <w:tc>
          <w:tcPr>
            <w:tcW w:w="1663"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rPr>
                <w:rFonts w:ascii="David" w:hAnsi="David"/>
                <w:rtl/>
              </w:rPr>
            </w:pPr>
            <w:r>
              <w:rPr>
                <w:rFonts w:ascii="David" w:hAnsi="David"/>
              </w:rPr>
              <w:t>2.0%</w:t>
            </w:r>
          </w:p>
        </w:tc>
      </w:tr>
    </w:tbl>
    <w:p w:rsidR="005970AB" w:rsidRDefault="005970AB" w:rsidP="005970AB">
      <w:pPr>
        <w:tabs>
          <w:tab w:val="left" w:pos="5272"/>
          <w:tab w:val="left" w:pos="5322"/>
          <w:tab w:val="right" w:pos="8306"/>
        </w:tabs>
        <w:spacing w:before="200" w:after="200"/>
        <w:rPr>
          <w:rtl/>
        </w:rPr>
      </w:pPr>
    </w:p>
    <w:p w:rsidR="005970AB" w:rsidRDefault="005970AB" w:rsidP="005970AB">
      <w:pPr>
        <w:tabs>
          <w:tab w:val="left" w:pos="5272"/>
          <w:tab w:val="left" w:pos="5322"/>
          <w:tab w:val="right" w:pos="8306"/>
        </w:tabs>
        <w:spacing w:before="200" w:after="200"/>
        <w:rPr>
          <w:rtl/>
        </w:rPr>
      </w:pPr>
      <w:r>
        <w:rPr>
          <w:rtl/>
        </w:rPr>
        <w:t xml:space="preserve">תחזית ההכנסות מבוססת על תרחיש מקרו-כלכלי מרכזי, לפיו קצב הצמיחה יהיה בסביבות ה-3%, שהוא פוטנציאל צמיחת המשק בטווח הבינוני-קצר. עם זאת, בתקופת התכנית התלת-שנתית תחילת הפקת הגז משדות נוספים צפויה לתרום לצמיחה בשנים 2022-2020. בשלב הראשון התרומה לתוצר תהיה מוגבלת על ידי הביקוש המקומי ויצוא למדינה שכנה, אשר אינם גדולים דיים בכדי לקלוט את מלוא פוטנציאל ההפקה של שדות תמר, לוויתן וכריש יחדיו. הערכה לגבי תרומת הפקת הגז נכללת בתרחיש הבסיס לצמיחה בשנים אלו. יצוא הגז בהיקף נרחב, אשר יחל ככול הנראה מעבר לאופק התכנית התלת-שנתית, צפוי להביא לתרומה נוספת לצמיחה במועד תחילתו. מנגד, לאחר כעשור של צמיחה מהירה בעולם ובישראל גוברים הסיכונים להמשך הצמיחה בקצב הנוכחי. </w:t>
      </w:r>
    </w:p>
    <w:p w:rsidR="005970AB" w:rsidRDefault="005970AB" w:rsidP="005970AB">
      <w:pPr>
        <w:tabs>
          <w:tab w:val="left" w:pos="5272"/>
          <w:tab w:val="left" w:pos="5322"/>
          <w:tab w:val="right" w:pos="8306"/>
        </w:tabs>
        <w:spacing w:before="200" w:after="200"/>
        <w:rPr>
          <w:rtl/>
        </w:rPr>
      </w:pPr>
      <w:r>
        <w:rPr>
          <w:rtl/>
        </w:rPr>
        <w:t xml:space="preserve">בתחום האינפלציה ההנחה היא שבטווח הבינוני-ארוך, בנק ישראל יפעל לכנס את קצב האינפלציה למרכז היעד הממשלתי  (1 עד 3 אחוזים). חשוב לציין כי רק לאחרונה נכנסה האינפלציה בחישוב שנתי לטווח התחתון של יעד האינפלציה, בפעם הראשונה מאז שנת 2014. ההנחה בתרחיש הבסיס </w:t>
      </w:r>
      <w:r>
        <w:rPr>
          <w:rtl/>
        </w:rPr>
        <w:lastRenderedPageBreak/>
        <w:t>כי קצב האינפלציה יתכנס למרכז היעד לקראת סוף תקופת התכנית התלת-שנתית (2022). מחירי התוצר יושפעו מהתפתחויות בשער החליפין, שכר ומחירי הסחורות המיובאות.</w:t>
      </w:r>
    </w:p>
    <w:p w:rsidR="005970AB" w:rsidRDefault="005970AB" w:rsidP="005970AB">
      <w:pPr>
        <w:rPr>
          <w:b/>
          <w:bCs/>
        </w:rPr>
      </w:pPr>
    </w:p>
    <w:p w:rsidR="005970AB" w:rsidRDefault="005970AB" w:rsidP="005970AB">
      <w:pPr>
        <w:rPr>
          <w:b/>
          <w:bCs/>
          <w:rtl/>
        </w:rPr>
      </w:pPr>
      <w:r>
        <w:rPr>
          <w:b/>
          <w:bCs/>
          <w:rtl/>
        </w:rPr>
        <w:t>מגמות בהכנסות הממשלה בשנת 2018</w:t>
      </w:r>
    </w:p>
    <w:p w:rsidR="005970AB" w:rsidRDefault="005970AB" w:rsidP="005970AB">
      <w:pPr>
        <w:rPr>
          <w:rtl/>
        </w:rPr>
      </w:pPr>
      <w:r>
        <w:rPr>
          <w:rtl/>
        </w:rPr>
        <w:t>בשנת 2018 הסתכמו הכנסות המדינה ממסים ואגרות ב-306.3 מיליארד ש"ח, בניכוי הכנסות חד פעמיות במהלך 2017</w:t>
      </w:r>
      <w:r>
        <w:rPr>
          <w:rStyle w:val="ab"/>
          <w:rtl/>
        </w:rPr>
        <w:footnoteReference w:id="8"/>
      </w:r>
      <w:r>
        <w:rPr>
          <w:rtl/>
        </w:rPr>
        <w:t xml:space="preserve"> והשפעת הורדות מסים</w:t>
      </w:r>
      <w:r>
        <w:rPr>
          <w:rStyle w:val="ab"/>
          <w:rtl/>
        </w:rPr>
        <w:footnoteReference w:id="9"/>
      </w:r>
      <w:r>
        <w:rPr>
          <w:rtl/>
        </w:rPr>
        <w:t xml:space="preserve"> על הגבייה במהלך 2018. מדובר בעליה ריאלית של 3.5% לעומת התקופה המקבילה אשתקד. בתוך כך, ההכנסות ממסים ישירים עלו ב-3.6% וההכנסות ממסים עקיפים עלו ב-3.3%. קצב העלייה בהכנסות התמתן לאחר הרבעון הראשון של השנה, ובסיכום השנה היה נמוך ביחס לקצב הגידול בשנים האחרונות. </w:t>
      </w:r>
    </w:p>
    <w:p w:rsidR="005970AB" w:rsidRDefault="005970AB" w:rsidP="005970AB">
      <w:pPr>
        <w:bidi w:val="0"/>
        <w:spacing w:before="200" w:after="200" w:line="276" w:lineRule="auto"/>
        <w:rPr>
          <w:b/>
          <w:bCs/>
        </w:rPr>
      </w:pPr>
    </w:p>
    <w:p w:rsidR="005970AB" w:rsidRDefault="005970AB" w:rsidP="005970AB">
      <w:pPr>
        <w:jc w:val="center"/>
        <w:rPr>
          <w:b/>
          <w:bCs/>
          <w:rtl/>
        </w:rPr>
      </w:pPr>
      <w:r>
        <w:rPr>
          <w:b/>
          <w:bCs/>
          <w:rtl/>
        </w:rPr>
        <w:t>הכנסות ממסים ואגרות בשנים 2017 ו-2018</w:t>
      </w:r>
    </w:p>
    <w:p w:rsidR="005970AB" w:rsidRDefault="005970AB" w:rsidP="005970AB">
      <w:pPr>
        <w:tabs>
          <w:tab w:val="left" w:pos="5272"/>
          <w:tab w:val="left" w:pos="5322"/>
          <w:tab w:val="right" w:pos="8306"/>
        </w:tabs>
        <w:jc w:val="center"/>
        <w:rPr>
          <w:rtl/>
        </w:rPr>
      </w:pPr>
      <w:r>
        <w:rPr>
          <w:rtl/>
        </w:rPr>
        <w:t>(במיליארדי ש"ח)</w:t>
      </w:r>
    </w:p>
    <w:tbl>
      <w:tblPr>
        <w:tblStyle w:val="-120"/>
        <w:tblpPr w:leftFromText="180" w:rightFromText="180" w:vertAnchor="text" w:horzAnchor="margin" w:tblpXSpec="center" w:tblpY="130"/>
        <w:bidiVisual/>
        <w:tblW w:w="7091" w:type="dxa"/>
        <w:tblLook w:val="04A0" w:firstRow="1" w:lastRow="0" w:firstColumn="1" w:lastColumn="0" w:noHBand="0" w:noVBand="1"/>
      </w:tblPr>
      <w:tblGrid>
        <w:gridCol w:w="1840"/>
        <w:gridCol w:w="1860"/>
        <w:gridCol w:w="1842"/>
        <w:gridCol w:w="1549"/>
      </w:tblGrid>
      <w:tr w:rsidR="005970AB" w:rsidTr="005970A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40" w:type="dxa"/>
            <w:tcBorders>
              <w:top w:val="single" w:sz="8" w:space="0" w:color="4F81BD"/>
              <w:left w:val="single" w:sz="8" w:space="0" w:color="4F81BD"/>
              <w:bottom w:val="nil"/>
              <w:right w:val="nil"/>
            </w:tcBorders>
            <w:noWrap/>
            <w:hideMark/>
          </w:tcPr>
          <w:p w:rsidR="005970AB" w:rsidRDefault="005970AB">
            <w:pPr>
              <w:rPr>
                <w:rtl/>
              </w:rPr>
            </w:pPr>
          </w:p>
        </w:tc>
        <w:tc>
          <w:tcPr>
            <w:tcW w:w="1860" w:type="dxa"/>
            <w:tcBorders>
              <w:top w:val="single" w:sz="8" w:space="0" w:color="4F81BD"/>
              <w:left w:val="nil"/>
              <w:bottom w:val="nil"/>
              <w:right w:val="nil"/>
            </w:tcBorders>
            <w:noWrap/>
            <w:hideMark/>
          </w:tcPr>
          <w:p w:rsidR="005970AB" w:rsidRDefault="005970AB">
            <w:pPr>
              <w:bidi w:val="0"/>
              <w:jc w:val="center"/>
              <w:cnfStyle w:val="100000000000" w:firstRow="1" w:lastRow="0" w:firstColumn="0" w:lastColumn="0" w:oddVBand="0" w:evenVBand="0" w:oddHBand="0" w:evenHBand="0" w:firstRowFirstColumn="0" w:firstRowLastColumn="0" w:lastRowFirstColumn="0" w:lastRowLastColumn="0"/>
              <w:rPr>
                <w:rFonts w:ascii="David" w:hAnsi="David"/>
              </w:rPr>
            </w:pPr>
            <w:r>
              <w:rPr>
                <w:rFonts w:ascii="David" w:hAnsi="David"/>
                <w:rtl/>
              </w:rPr>
              <w:t>2017</w:t>
            </w:r>
          </w:p>
        </w:tc>
        <w:tc>
          <w:tcPr>
            <w:tcW w:w="1842" w:type="dxa"/>
            <w:tcBorders>
              <w:top w:val="single" w:sz="8" w:space="0" w:color="4F81BD"/>
              <w:left w:val="nil"/>
              <w:bottom w:val="nil"/>
              <w:right w:val="nil"/>
            </w:tcBorders>
            <w:noWrap/>
            <w:hideMark/>
          </w:tcPr>
          <w:p w:rsidR="005970AB" w:rsidRDefault="005970AB">
            <w:pPr>
              <w:bidi w:val="0"/>
              <w:jc w:val="center"/>
              <w:cnfStyle w:val="100000000000" w:firstRow="1" w:lastRow="0" w:firstColumn="0" w:lastColumn="0" w:oddVBand="0" w:evenVBand="0" w:oddHBand="0" w:evenHBand="0" w:firstRowFirstColumn="0" w:firstRowLastColumn="0" w:lastRowFirstColumn="0" w:lastRowLastColumn="0"/>
              <w:rPr>
                <w:rFonts w:ascii="David" w:hAnsi="David"/>
                <w:rtl/>
              </w:rPr>
            </w:pPr>
            <w:r>
              <w:rPr>
                <w:rFonts w:ascii="David" w:hAnsi="David"/>
                <w:rtl/>
              </w:rPr>
              <w:t>2018</w:t>
            </w:r>
          </w:p>
        </w:tc>
        <w:tc>
          <w:tcPr>
            <w:tcW w:w="1549" w:type="dxa"/>
            <w:tcBorders>
              <w:top w:val="single" w:sz="8" w:space="0" w:color="4F81BD"/>
              <w:left w:val="nil"/>
              <w:bottom w:val="nil"/>
              <w:right w:val="single" w:sz="8" w:space="0" w:color="4F81BD"/>
            </w:tcBorders>
            <w:noWrap/>
            <w:hideMark/>
          </w:tcPr>
          <w:p w:rsidR="005970AB" w:rsidRDefault="005970AB">
            <w:pPr>
              <w:jc w:val="center"/>
              <w:cnfStyle w:val="100000000000" w:firstRow="1" w:lastRow="0" w:firstColumn="0" w:lastColumn="0" w:oddVBand="0" w:evenVBand="0" w:oddHBand="0" w:evenHBand="0" w:firstRowFirstColumn="0" w:firstRowLastColumn="0" w:lastRowFirstColumn="0" w:lastRowLastColumn="0"/>
              <w:rPr>
                <w:rFonts w:ascii="David" w:hAnsi="David"/>
              </w:rPr>
            </w:pPr>
            <w:r>
              <w:rPr>
                <w:rFonts w:ascii="David" w:hAnsi="David"/>
                <w:rtl/>
              </w:rPr>
              <w:t>שיעור שינוי</w:t>
            </w:r>
            <w:r>
              <w:rPr>
                <w:rFonts w:ascii="David" w:hAnsi="David"/>
                <w:rtl/>
              </w:rPr>
              <w:br/>
              <w:t xml:space="preserve">ריאלי </w:t>
            </w:r>
          </w:p>
        </w:tc>
      </w:tr>
      <w:tr w:rsidR="005970AB" w:rsidTr="005970A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7091" w:type="dxa"/>
            <w:gridSpan w:val="4"/>
            <w:noWrap/>
            <w:hideMark/>
          </w:tcPr>
          <w:p w:rsidR="005970AB" w:rsidRDefault="005970AB">
            <w:pPr>
              <w:jc w:val="center"/>
              <w:rPr>
                <w:rFonts w:ascii="David" w:hAnsi="David"/>
              </w:rPr>
            </w:pPr>
            <w:r>
              <w:rPr>
                <w:rFonts w:ascii="David" w:hAnsi="David"/>
                <w:b w:val="0"/>
                <w:bCs w:val="0"/>
                <w:color w:val="000000"/>
                <w:rtl/>
              </w:rPr>
              <w:t>הכנסות בפועל</w:t>
            </w:r>
          </w:p>
        </w:tc>
      </w:tr>
      <w:tr w:rsidR="005970AB" w:rsidTr="005970AB">
        <w:trPr>
          <w:trHeight w:val="285"/>
        </w:trPr>
        <w:tc>
          <w:tcPr>
            <w:cnfStyle w:val="001000000000" w:firstRow="0" w:lastRow="0" w:firstColumn="1" w:lastColumn="0" w:oddVBand="0" w:evenVBand="0" w:oddHBand="0" w:evenHBand="0" w:firstRowFirstColumn="0" w:firstRowLastColumn="0" w:lastRowFirstColumn="0" w:lastRowLastColumn="0"/>
            <w:tcW w:w="1840" w:type="dxa"/>
            <w:tcBorders>
              <w:top w:val="nil"/>
              <w:left w:val="single" w:sz="8" w:space="0" w:color="4F81BD"/>
              <w:bottom w:val="nil"/>
              <w:right w:val="nil"/>
            </w:tcBorders>
            <w:noWrap/>
            <w:hideMark/>
          </w:tcPr>
          <w:p w:rsidR="005970AB" w:rsidRDefault="005970AB">
            <w:pPr>
              <w:rPr>
                <w:rFonts w:ascii="David" w:hAnsi="David"/>
                <w:b w:val="0"/>
                <w:bCs w:val="0"/>
                <w:color w:val="000000"/>
                <w:rtl/>
              </w:rPr>
            </w:pPr>
            <w:r>
              <w:rPr>
                <w:rFonts w:ascii="David" w:hAnsi="David"/>
                <w:b w:val="0"/>
                <w:bCs w:val="0"/>
                <w:color w:val="000000"/>
                <w:rtl/>
              </w:rPr>
              <w:t>מסים ישירים</w:t>
            </w:r>
          </w:p>
        </w:tc>
        <w:tc>
          <w:tcPr>
            <w:tcW w:w="1860" w:type="dxa"/>
            <w:tcBorders>
              <w:top w:val="nil"/>
              <w:left w:val="nil"/>
              <w:bottom w:val="nil"/>
              <w:right w:val="nil"/>
            </w:tcBorders>
            <w:noWrap/>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168.3</w:t>
            </w:r>
          </w:p>
        </w:tc>
        <w:tc>
          <w:tcPr>
            <w:tcW w:w="1842" w:type="dxa"/>
            <w:tcBorders>
              <w:top w:val="nil"/>
              <w:left w:val="nil"/>
              <w:bottom w:val="nil"/>
              <w:right w:val="nil"/>
            </w:tcBorders>
            <w:noWrap/>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162.0</w:t>
            </w:r>
          </w:p>
        </w:tc>
        <w:tc>
          <w:tcPr>
            <w:tcW w:w="1549" w:type="dxa"/>
            <w:tcBorders>
              <w:top w:val="nil"/>
              <w:left w:val="nil"/>
              <w:bottom w:val="nil"/>
              <w:right w:val="single" w:sz="8" w:space="0" w:color="4F81BD"/>
            </w:tcBorders>
            <w:noWrap/>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rPr>
            </w:pPr>
          </w:p>
        </w:tc>
      </w:tr>
      <w:tr w:rsidR="005970AB" w:rsidTr="005970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40" w:type="dxa"/>
            <w:tcBorders>
              <w:right w:val="nil"/>
            </w:tcBorders>
            <w:noWrap/>
            <w:hideMark/>
          </w:tcPr>
          <w:p w:rsidR="005970AB" w:rsidRDefault="005970AB">
            <w:pPr>
              <w:rPr>
                <w:rFonts w:ascii="David" w:hAnsi="David"/>
                <w:b w:val="0"/>
                <w:bCs w:val="0"/>
                <w:color w:val="000000"/>
                <w:rtl/>
              </w:rPr>
            </w:pPr>
            <w:r>
              <w:rPr>
                <w:rFonts w:ascii="David" w:hAnsi="David"/>
                <w:b w:val="0"/>
                <w:bCs w:val="0"/>
                <w:color w:val="000000"/>
                <w:rtl/>
              </w:rPr>
              <w:t>מסים עקיפים</w:t>
            </w:r>
          </w:p>
        </w:tc>
        <w:tc>
          <w:tcPr>
            <w:tcW w:w="1860" w:type="dxa"/>
            <w:tcBorders>
              <w:left w:val="nil"/>
              <w:right w:val="nil"/>
            </w:tcBorders>
            <w:noWrap/>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132.0</w:t>
            </w:r>
          </w:p>
        </w:tc>
        <w:tc>
          <w:tcPr>
            <w:tcW w:w="1842" w:type="dxa"/>
            <w:tcBorders>
              <w:left w:val="nil"/>
              <w:right w:val="nil"/>
            </w:tcBorders>
            <w:noWrap/>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rPr>
            </w:pPr>
            <w:r>
              <w:rPr>
                <w:rFonts w:ascii="David" w:hAnsi="David"/>
                <w:rtl/>
              </w:rPr>
              <w:t>137.7</w:t>
            </w:r>
          </w:p>
        </w:tc>
        <w:tc>
          <w:tcPr>
            <w:tcW w:w="1549" w:type="dxa"/>
            <w:tcBorders>
              <w:left w:val="nil"/>
            </w:tcBorders>
            <w:noWrap/>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rPr>
            </w:pPr>
          </w:p>
        </w:tc>
      </w:tr>
      <w:tr w:rsidR="005970AB" w:rsidTr="005970AB">
        <w:trPr>
          <w:trHeight w:val="300"/>
        </w:trPr>
        <w:tc>
          <w:tcPr>
            <w:cnfStyle w:val="001000000000" w:firstRow="0" w:lastRow="0" w:firstColumn="1" w:lastColumn="0" w:oddVBand="0" w:evenVBand="0" w:oddHBand="0" w:evenHBand="0" w:firstRowFirstColumn="0" w:firstRowLastColumn="0" w:lastRowFirstColumn="0" w:lastRowLastColumn="0"/>
            <w:tcW w:w="1840" w:type="dxa"/>
            <w:tcBorders>
              <w:top w:val="nil"/>
              <w:left w:val="single" w:sz="8" w:space="0" w:color="4F81BD"/>
              <w:bottom w:val="nil"/>
              <w:right w:val="nil"/>
            </w:tcBorders>
            <w:noWrap/>
            <w:hideMark/>
          </w:tcPr>
          <w:p w:rsidR="005970AB" w:rsidRDefault="005970AB">
            <w:pPr>
              <w:rPr>
                <w:rFonts w:ascii="David" w:hAnsi="David"/>
                <w:b w:val="0"/>
                <w:bCs w:val="0"/>
                <w:color w:val="000000"/>
              </w:rPr>
            </w:pPr>
            <w:r>
              <w:rPr>
                <w:rFonts w:ascii="David" w:hAnsi="David"/>
                <w:b w:val="0"/>
                <w:bCs w:val="0"/>
                <w:color w:val="000000"/>
                <w:rtl/>
              </w:rPr>
              <w:t>אגרות</w:t>
            </w:r>
          </w:p>
        </w:tc>
        <w:tc>
          <w:tcPr>
            <w:tcW w:w="1860" w:type="dxa"/>
            <w:tcBorders>
              <w:top w:val="nil"/>
              <w:left w:val="nil"/>
              <w:bottom w:val="nil"/>
              <w:right w:val="nil"/>
            </w:tcBorders>
            <w:noWrap/>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6.4</w:t>
            </w:r>
          </w:p>
        </w:tc>
        <w:tc>
          <w:tcPr>
            <w:tcW w:w="1842" w:type="dxa"/>
            <w:tcBorders>
              <w:top w:val="nil"/>
              <w:left w:val="nil"/>
              <w:bottom w:val="nil"/>
              <w:right w:val="nil"/>
            </w:tcBorders>
            <w:noWrap/>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rPr>
            </w:pPr>
            <w:r>
              <w:rPr>
                <w:rFonts w:ascii="David" w:hAnsi="David"/>
                <w:rtl/>
              </w:rPr>
              <w:t>6.6</w:t>
            </w:r>
          </w:p>
        </w:tc>
        <w:tc>
          <w:tcPr>
            <w:tcW w:w="1549" w:type="dxa"/>
            <w:tcBorders>
              <w:top w:val="nil"/>
              <w:left w:val="nil"/>
              <w:bottom w:val="nil"/>
              <w:right w:val="single" w:sz="8" w:space="0" w:color="4F81BD"/>
            </w:tcBorders>
            <w:noWrap/>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rtl/>
              </w:rPr>
            </w:pPr>
          </w:p>
        </w:tc>
      </w:tr>
      <w:tr w:rsidR="005970AB" w:rsidTr="005970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40" w:type="dxa"/>
            <w:tcBorders>
              <w:right w:val="nil"/>
            </w:tcBorders>
            <w:noWrap/>
            <w:hideMark/>
          </w:tcPr>
          <w:p w:rsidR="005970AB" w:rsidRDefault="005970AB">
            <w:pPr>
              <w:rPr>
                <w:rFonts w:ascii="David" w:hAnsi="David"/>
                <w:b w:val="0"/>
                <w:bCs w:val="0"/>
                <w:color w:val="000000"/>
              </w:rPr>
            </w:pPr>
            <w:r>
              <w:rPr>
                <w:rFonts w:ascii="David" w:hAnsi="David"/>
                <w:b w:val="0"/>
                <w:bCs w:val="0"/>
                <w:color w:val="000000"/>
                <w:rtl/>
              </w:rPr>
              <w:t>סה"כ</w:t>
            </w:r>
          </w:p>
        </w:tc>
        <w:tc>
          <w:tcPr>
            <w:tcW w:w="1860" w:type="dxa"/>
            <w:tcBorders>
              <w:left w:val="nil"/>
              <w:right w:val="nil"/>
            </w:tcBorders>
            <w:noWrap/>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306.7</w:t>
            </w:r>
          </w:p>
        </w:tc>
        <w:tc>
          <w:tcPr>
            <w:tcW w:w="1842" w:type="dxa"/>
            <w:tcBorders>
              <w:left w:val="nil"/>
              <w:right w:val="nil"/>
            </w:tcBorders>
            <w:noWrap/>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rPr>
            </w:pPr>
            <w:r>
              <w:rPr>
                <w:rFonts w:ascii="David" w:hAnsi="David"/>
                <w:rtl/>
              </w:rPr>
              <w:t>306.3</w:t>
            </w:r>
          </w:p>
        </w:tc>
        <w:tc>
          <w:tcPr>
            <w:tcW w:w="1549" w:type="dxa"/>
            <w:tcBorders>
              <w:left w:val="nil"/>
            </w:tcBorders>
            <w:noWrap/>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rPr>
            </w:pPr>
          </w:p>
        </w:tc>
      </w:tr>
      <w:tr w:rsidR="005970AB" w:rsidTr="005970AB">
        <w:trPr>
          <w:trHeight w:val="300"/>
        </w:trPr>
        <w:tc>
          <w:tcPr>
            <w:cnfStyle w:val="001000000000" w:firstRow="0" w:lastRow="0" w:firstColumn="1" w:lastColumn="0" w:oddVBand="0" w:evenVBand="0" w:oddHBand="0" w:evenHBand="0" w:firstRowFirstColumn="0" w:firstRowLastColumn="0" w:lastRowFirstColumn="0" w:lastRowLastColumn="0"/>
            <w:tcW w:w="7091" w:type="dxa"/>
            <w:gridSpan w:val="4"/>
            <w:tcBorders>
              <w:top w:val="nil"/>
              <w:left w:val="single" w:sz="8" w:space="0" w:color="4F81BD"/>
              <w:bottom w:val="nil"/>
              <w:right w:val="single" w:sz="8" w:space="0" w:color="4F81BD"/>
            </w:tcBorders>
            <w:noWrap/>
            <w:hideMark/>
          </w:tcPr>
          <w:p w:rsidR="005970AB" w:rsidRDefault="005970AB">
            <w:pPr>
              <w:jc w:val="center"/>
              <w:rPr>
                <w:rFonts w:ascii="David" w:hAnsi="David"/>
              </w:rPr>
            </w:pPr>
            <w:r>
              <w:rPr>
                <w:rFonts w:ascii="David" w:hAnsi="David"/>
                <w:b w:val="0"/>
                <w:bCs w:val="0"/>
                <w:color w:val="000000"/>
                <w:rtl/>
              </w:rPr>
              <w:t>מתואם להכנסות חד פעמיות ושינויי חקיקה</w:t>
            </w:r>
          </w:p>
        </w:tc>
      </w:tr>
      <w:tr w:rsidR="005970AB" w:rsidTr="005970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40" w:type="dxa"/>
            <w:tcBorders>
              <w:right w:val="nil"/>
            </w:tcBorders>
            <w:noWrap/>
            <w:hideMark/>
          </w:tcPr>
          <w:p w:rsidR="005970AB" w:rsidRDefault="005970AB">
            <w:pPr>
              <w:rPr>
                <w:rFonts w:ascii="David" w:hAnsi="David"/>
                <w:color w:val="000000"/>
              </w:rPr>
            </w:pPr>
            <w:r>
              <w:rPr>
                <w:rFonts w:ascii="David" w:hAnsi="David"/>
                <w:b w:val="0"/>
                <w:bCs w:val="0"/>
                <w:color w:val="000000"/>
                <w:rtl/>
              </w:rPr>
              <w:t>מסים ישירים</w:t>
            </w:r>
          </w:p>
        </w:tc>
        <w:tc>
          <w:tcPr>
            <w:tcW w:w="1860" w:type="dxa"/>
            <w:tcBorders>
              <w:left w:val="nil"/>
              <w:right w:val="nil"/>
            </w:tcBorders>
            <w:noWrap/>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tl/>
              </w:rPr>
              <w:t>156.0</w:t>
            </w:r>
          </w:p>
        </w:tc>
        <w:tc>
          <w:tcPr>
            <w:tcW w:w="1842" w:type="dxa"/>
            <w:tcBorders>
              <w:left w:val="nil"/>
              <w:right w:val="nil"/>
            </w:tcBorders>
            <w:noWrap/>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163.0</w:t>
            </w:r>
          </w:p>
        </w:tc>
        <w:tc>
          <w:tcPr>
            <w:tcW w:w="1549" w:type="dxa"/>
            <w:tcBorders>
              <w:left w:val="nil"/>
            </w:tcBorders>
            <w:noWrap/>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3.6%</w:t>
            </w:r>
          </w:p>
        </w:tc>
      </w:tr>
      <w:tr w:rsidR="005970AB" w:rsidTr="005970AB">
        <w:trPr>
          <w:trHeight w:val="300"/>
        </w:trPr>
        <w:tc>
          <w:tcPr>
            <w:cnfStyle w:val="001000000000" w:firstRow="0" w:lastRow="0" w:firstColumn="1" w:lastColumn="0" w:oddVBand="0" w:evenVBand="0" w:oddHBand="0" w:evenHBand="0" w:firstRowFirstColumn="0" w:firstRowLastColumn="0" w:lastRowFirstColumn="0" w:lastRowLastColumn="0"/>
            <w:tcW w:w="1840" w:type="dxa"/>
            <w:tcBorders>
              <w:top w:val="nil"/>
              <w:left w:val="single" w:sz="8" w:space="0" w:color="4F81BD"/>
              <w:bottom w:val="nil"/>
              <w:right w:val="nil"/>
            </w:tcBorders>
            <w:noWrap/>
            <w:hideMark/>
          </w:tcPr>
          <w:p w:rsidR="005970AB" w:rsidRDefault="005970AB">
            <w:pPr>
              <w:rPr>
                <w:rFonts w:ascii="David" w:hAnsi="David"/>
                <w:color w:val="000000"/>
              </w:rPr>
            </w:pPr>
            <w:r>
              <w:rPr>
                <w:rFonts w:ascii="David" w:hAnsi="David"/>
                <w:b w:val="0"/>
                <w:bCs w:val="0"/>
                <w:color w:val="000000"/>
                <w:rtl/>
              </w:rPr>
              <w:t>מסים עקיפים</w:t>
            </w:r>
          </w:p>
        </w:tc>
        <w:tc>
          <w:tcPr>
            <w:tcW w:w="1860" w:type="dxa"/>
            <w:tcBorders>
              <w:top w:val="nil"/>
              <w:left w:val="nil"/>
              <w:bottom w:val="nil"/>
              <w:right w:val="nil"/>
            </w:tcBorders>
            <w:noWrap/>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tl/>
              </w:rPr>
              <w:t>133.0</w:t>
            </w:r>
          </w:p>
        </w:tc>
        <w:tc>
          <w:tcPr>
            <w:tcW w:w="1842" w:type="dxa"/>
            <w:tcBorders>
              <w:top w:val="nil"/>
              <w:left w:val="nil"/>
              <w:bottom w:val="nil"/>
              <w:right w:val="nil"/>
            </w:tcBorders>
            <w:noWrap/>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138.5</w:t>
            </w:r>
          </w:p>
        </w:tc>
        <w:tc>
          <w:tcPr>
            <w:tcW w:w="1549" w:type="dxa"/>
            <w:tcBorders>
              <w:top w:val="nil"/>
              <w:left w:val="nil"/>
              <w:bottom w:val="nil"/>
              <w:right w:val="single" w:sz="8" w:space="0" w:color="4F81BD"/>
            </w:tcBorders>
            <w:noWrap/>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3.3%</w:t>
            </w:r>
          </w:p>
        </w:tc>
      </w:tr>
      <w:tr w:rsidR="005970AB" w:rsidTr="005970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40" w:type="dxa"/>
            <w:tcBorders>
              <w:right w:val="nil"/>
            </w:tcBorders>
            <w:noWrap/>
            <w:hideMark/>
          </w:tcPr>
          <w:p w:rsidR="005970AB" w:rsidRDefault="005970AB">
            <w:pPr>
              <w:rPr>
                <w:rFonts w:ascii="David" w:hAnsi="David"/>
                <w:color w:val="000000"/>
              </w:rPr>
            </w:pPr>
            <w:r>
              <w:rPr>
                <w:rFonts w:ascii="David" w:hAnsi="David"/>
                <w:b w:val="0"/>
                <w:bCs w:val="0"/>
                <w:color w:val="000000"/>
                <w:rtl/>
              </w:rPr>
              <w:t>אגרות</w:t>
            </w:r>
          </w:p>
        </w:tc>
        <w:tc>
          <w:tcPr>
            <w:tcW w:w="1860" w:type="dxa"/>
            <w:tcBorders>
              <w:left w:val="nil"/>
              <w:right w:val="nil"/>
            </w:tcBorders>
            <w:noWrap/>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tl/>
              </w:rPr>
              <w:t>6.4</w:t>
            </w:r>
          </w:p>
        </w:tc>
        <w:tc>
          <w:tcPr>
            <w:tcW w:w="1842" w:type="dxa"/>
            <w:tcBorders>
              <w:left w:val="nil"/>
              <w:right w:val="nil"/>
            </w:tcBorders>
            <w:noWrap/>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6.6</w:t>
            </w:r>
          </w:p>
        </w:tc>
        <w:tc>
          <w:tcPr>
            <w:tcW w:w="1549" w:type="dxa"/>
            <w:tcBorders>
              <w:left w:val="nil"/>
            </w:tcBorders>
            <w:noWrap/>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2.9%</w:t>
            </w:r>
          </w:p>
        </w:tc>
      </w:tr>
      <w:tr w:rsidR="005970AB" w:rsidTr="005970AB">
        <w:trPr>
          <w:trHeight w:val="300"/>
        </w:trPr>
        <w:tc>
          <w:tcPr>
            <w:cnfStyle w:val="001000000000" w:firstRow="0" w:lastRow="0" w:firstColumn="1" w:lastColumn="0" w:oddVBand="0" w:evenVBand="0" w:oddHBand="0" w:evenHBand="0" w:firstRowFirstColumn="0" w:firstRowLastColumn="0" w:lastRowFirstColumn="0" w:lastRowLastColumn="0"/>
            <w:tcW w:w="1840" w:type="dxa"/>
            <w:tcBorders>
              <w:top w:val="nil"/>
              <w:left w:val="single" w:sz="8" w:space="0" w:color="4F81BD"/>
              <w:bottom w:val="single" w:sz="8" w:space="0" w:color="4F81BD"/>
              <w:right w:val="nil"/>
            </w:tcBorders>
            <w:noWrap/>
            <w:hideMark/>
          </w:tcPr>
          <w:p w:rsidR="005970AB" w:rsidRDefault="005970AB">
            <w:pPr>
              <w:rPr>
                <w:rFonts w:ascii="David" w:hAnsi="David"/>
                <w:color w:val="000000"/>
              </w:rPr>
            </w:pPr>
            <w:r>
              <w:rPr>
                <w:rFonts w:ascii="David" w:hAnsi="David"/>
                <w:b w:val="0"/>
                <w:bCs w:val="0"/>
                <w:color w:val="000000"/>
                <w:rtl/>
              </w:rPr>
              <w:t>סה"כ</w:t>
            </w:r>
          </w:p>
        </w:tc>
        <w:tc>
          <w:tcPr>
            <w:tcW w:w="1860" w:type="dxa"/>
            <w:tcBorders>
              <w:top w:val="nil"/>
              <w:left w:val="nil"/>
              <w:bottom w:val="single" w:sz="8" w:space="0" w:color="4F81BD"/>
              <w:right w:val="nil"/>
            </w:tcBorders>
            <w:noWrap/>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tl/>
              </w:rPr>
              <w:t>295.4</w:t>
            </w:r>
          </w:p>
        </w:tc>
        <w:tc>
          <w:tcPr>
            <w:tcW w:w="1842" w:type="dxa"/>
            <w:tcBorders>
              <w:top w:val="nil"/>
              <w:left w:val="nil"/>
              <w:bottom w:val="single" w:sz="8" w:space="0" w:color="4F81BD"/>
              <w:right w:val="nil"/>
            </w:tcBorders>
            <w:noWrap/>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308.1</w:t>
            </w:r>
          </w:p>
        </w:tc>
        <w:tc>
          <w:tcPr>
            <w:tcW w:w="1549" w:type="dxa"/>
            <w:tcBorders>
              <w:top w:val="nil"/>
              <w:left w:val="nil"/>
              <w:bottom w:val="single" w:sz="8" w:space="0" w:color="4F81BD"/>
              <w:right w:val="single" w:sz="8" w:space="0" w:color="4F81BD"/>
            </w:tcBorders>
            <w:noWrap/>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3.5%</w:t>
            </w:r>
          </w:p>
        </w:tc>
      </w:tr>
    </w:tbl>
    <w:p w:rsidR="005970AB" w:rsidRDefault="005970AB" w:rsidP="005970AB">
      <w:pPr>
        <w:bidi w:val="0"/>
        <w:rPr>
          <w:b/>
          <w:bCs/>
        </w:rPr>
      </w:pPr>
    </w:p>
    <w:p w:rsidR="005970AB" w:rsidRDefault="005970AB" w:rsidP="005970AB">
      <w:pPr>
        <w:bidi w:val="0"/>
        <w:rPr>
          <w:b/>
          <w:bCs/>
          <w:rtl/>
        </w:rPr>
      </w:pPr>
    </w:p>
    <w:p w:rsidR="005970AB" w:rsidRDefault="005970AB" w:rsidP="005970AB">
      <w:pPr>
        <w:bidi w:val="0"/>
        <w:rPr>
          <w:b/>
          <w:bCs/>
          <w:rtl/>
        </w:rPr>
      </w:pPr>
    </w:p>
    <w:p w:rsidR="005970AB" w:rsidRDefault="005970AB" w:rsidP="005970AB">
      <w:pPr>
        <w:bidi w:val="0"/>
        <w:rPr>
          <w:b/>
          <w:bCs/>
          <w:rtl/>
        </w:rPr>
      </w:pPr>
    </w:p>
    <w:p w:rsidR="005970AB" w:rsidRDefault="005970AB" w:rsidP="005970AB">
      <w:pPr>
        <w:bidi w:val="0"/>
        <w:rPr>
          <w:b/>
          <w:bCs/>
          <w:rtl/>
        </w:rPr>
      </w:pPr>
    </w:p>
    <w:p w:rsidR="005970AB" w:rsidRDefault="005970AB" w:rsidP="005970AB">
      <w:pPr>
        <w:bidi w:val="0"/>
        <w:rPr>
          <w:b/>
          <w:bCs/>
          <w:rtl/>
        </w:rPr>
      </w:pPr>
    </w:p>
    <w:p w:rsidR="005970AB" w:rsidRDefault="005970AB" w:rsidP="005970AB">
      <w:pPr>
        <w:bidi w:val="0"/>
        <w:rPr>
          <w:b/>
          <w:bCs/>
          <w:rtl/>
        </w:rPr>
      </w:pPr>
    </w:p>
    <w:p w:rsidR="005970AB" w:rsidRDefault="005970AB" w:rsidP="005970AB">
      <w:pPr>
        <w:bidi w:val="0"/>
        <w:rPr>
          <w:b/>
          <w:bCs/>
          <w:rtl/>
        </w:rPr>
      </w:pPr>
    </w:p>
    <w:p w:rsidR="005970AB" w:rsidRDefault="005970AB" w:rsidP="005970AB">
      <w:pPr>
        <w:bidi w:val="0"/>
        <w:rPr>
          <w:b/>
          <w:bCs/>
          <w:rtl/>
        </w:rPr>
      </w:pPr>
    </w:p>
    <w:p w:rsidR="005970AB" w:rsidRDefault="005970AB" w:rsidP="005970AB">
      <w:pPr>
        <w:bidi w:val="0"/>
        <w:rPr>
          <w:b/>
          <w:bCs/>
          <w:rtl/>
        </w:rPr>
      </w:pPr>
    </w:p>
    <w:p w:rsidR="005970AB" w:rsidRDefault="005970AB" w:rsidP="005970AB">
      <w:pPr>
        <w:bidi w:val="0"/>
        <w:jc w:val="center"/>
        <w:rPr>
          <w:b/>
          <w:bCs/>
          <w:rtl/>
        </w:rPr>
      </w:pPr>
    </w:p>
    <w:p w:rsidR="005970AB" w:rsidRDefault="00E05676" w:rsidP="005970AB">
      <w:pPr>
        <w:rPr>
          <w:sz w:val="22"/>
          <w:szCs w:val="22"/>
          <w:rtl/>
        </w:rPr>
      </w:pPr>
      <w:r>
        <w:rPr>
          <w:rFonts w:hint="cs"/>
          <w:sz w:val="22"/>
          <w:szCs w:val="22"/>
          <w:rtl/>
        </w:rPr>
        <w:t xml:space="preserve"> </w:t>
      </w:r>
    </w:p>
    <w:p w:rsidR="005970AB" w:rsidRDefault="005970AB" w:rsidP="005970AB">
      <w:pPr>
        <w:bidi w:val="0"/>
        <w:spacing w:before="200" w:after="200" w:line="276" w:lineRule="auto"/>
        <w:rPr>
          <w:b/>
          <w:bCs/>
          <w:rtl/>
        </w:rPr>
      </w:pPr>
    </w:p>
    <w:p w:rsidR="005970AB" w:rsidRDefault="005970AB" w:rsidP="005970AB">
      <w:pPr>
        <w:jc w:val="center"/>
        <w:rPr>
          <w:b/>
          <w:bCs/>
        </w:rPr>
      </w:pPr>
      <w:r>
        <w:rPr>
          <w:b/>
          <w:bCs/>
          <w:rtl/>
        </w:rPr>
        <w:lastRenderedPageBreak/>
        <w:t>הכנסות המדינה ממסים בשנים 2015 עד 2018</w:t>
      </w:r>
    </w:p>
    <w:p w:rsidR="005970AB" w:rsidRDefault="005970AB" w:rsidP="005970AB">
      <w:pPr>
        <w:jc w:val="center"/>
        <w:rPr>
          <w:rFonts w:ascii="David" w:hAnsi="David"/>
          <w:b/>
          <w:bCs/>
          <w:noProof/>
          <w:rtl/>
        </w:rPr>
      </w:pPr>
      <w:r>
        <w:rPr>
          <w:rtl/>
        </w:rPr>
        <w:t xml:space="preserve">(שיעור שינוי ריאלי, לעומת התקופה המקבילה אשתקד, בניכוי הכנסות חד פעמיות) </w:t>
      </w:r>
    </w:p>
    <w:p w:rsidR="005970AB" w:rsidRDefault="005970AB" w:rsidP="005970AB">
      <w:pPr>
        <w:jc w:val="center"/>
        <w:rPr>
          <w:b/>
          <w:bCs/>
          <w:rtl/>
        </w:rPr>
      </w:pPr>
      <w:r>
        <w:rPr>
          <w:b/>
          <w:bCs/>
          <w:noProof/>
        </w:rPr>
        <w:drawing>
          <wp:inline distT="0" distB="0" distL="0" distR="0" wp14:anchorId="3E03BFD8" wp14:editId="30E3A533">
            <wp:extent cx="5295900" cy="2857500"/>
            <wp:effectExtent l="0" t="0" r="0"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970AB" w:rsidRDefault="005970AB" w:rsidP="005970AB">
      <w:pPr>
        <w:rPr>
          <w:sz w:val="22"/>
          <w:szCs w:val="22"/>
        </w:rPr>
      </w:pPr>
      <w:r>
        <w:rPr>
          <w:sz w:val="22"/>
          <w:szCs w:val="22"/>
          <w:rtl/>
        </w:rPr>
        <w:t>מקור: אגף הכלכלן הראשי</w:t>
      </w:r>
    </w:p>
    <w:p w:rsidR="005970AB" w:rsidRDefault="005970AB" w:rsidP="005970AB">
      <w:pPr>
        <w:rPr>
          <w:rtl/>
        </w:rPr>
      </w:pPr>
    </w:p>
    <w:p w:rsidR="005970AB" w:rsidRDefault="005970AB" w:rsidP="005970AB">
      <w:pPr>
        <w:rPr>
          <w:rtl/>
        </w:rPr>
      </w:pPr>
      <w:r>
        <w:rPr>
          <w:rtl/>
        </w:rPr>
        <w:t>בסעיף</w:t>
      </w:r>
      <w:r>
        <w:rPr>
          <w:b/>
          <w:bCs/>
          <w:rtl/>
        </w:rPr>
        <w:t xml:space="preserve"> מסים ישירים</w:t>
      </w:r>
      <w:r>
        <w:rPr>
          <w:rtl/>
        </w:rPr>
        <w:t xml:space="preserve">, נרשמה ירידה בגבייה ברכיב עצמאיים ובעלי חברות, המשקפת להערכתנו את הירידה בהכנסות בגין מכירת חברות. יש לציין כי בשנת 2018 לא התקבלו הכנסות משמעותיות בגין רווחי הון ממכירת חברות, בניגוד למצופה על סמך ניסיון השנים האחרונות ועל אף מספר החברות הישראליות שנמכרו בשנה זו. </w:t>
      </w:r>
    </w:p>
    <w:p w:rsidR="005970AB" w:rsidRDefault="005970AB" w:rsidP="005970AB">
      <w:pPr>
        <w:rPr>
          <w:rtl/>
        </w:rPr>
      </w:pPr>
      <w:r>
        <w:rPr>
          <w:rtl/>
        </w:rPr>
        <w:t xml:space="preserve">כמו כן, ההכנסות ברכיב הדיבידנד נמוכות מהצפוי, כולל הערכת הקיזוז לפגיעה בהיקף הכנסות עתידיות כתוצאה ממבצע דיבידנד שנערך בשנת 2017. בנוסף לכך, נרשמה חולשה בהכנסות ממיסי נדל"ן. ההכנסות מניכויים משכר המשיכו לעלות, בהתאם להתפתחויות בשוק העבודה (עליה נומינלית של 5% לעומת התקופה המקבילה אשתקד). </w:t>
      </w:r>
    </w:p>
    <w:p w:rsidR="005970AB" w:rsidRDefault="005970AB" w:rsidP="005970AB">
      <w:pPr>
        <w:rPr>
          <w:rtl/>
        </w:rPr>
      </w:pPr>
    </w:p>
    <w:p w:rsidR="00E05676" w:rsidRDefault="00E05676" w:rsidP="005970AB">
      <w:pPr>
        <w:rPr>
          <w:rtl/>
        </w:rPr>
      </w:pPr>
    </w:p>
    <w:p w:rsidR="00E05676" w:rsidRDefault="00E05676" w:rsidP="005970AB">
      <w:pPr>
        <w:rPr>
          <w:rtl/>
        </w:rPr>
      </w:pPr>
    </w:p>
    <w:p w:rsidR="005970AB" w:rsidRDefault="005970AB" w:rsidP="005970AB">
      <w:pPr>
        <w:rPr>
          <w:rtl/>
        </w:rPr>
      </w:pPr>
    </w:p>
    <w:p w:rsidR="005970AB" w:rsidRDefault="005970AB" w:rsidP="005970AB">
      <w:pPr>
        <w:rPr>
          <w:rtl/>
        </w:rPr>
      </w:pPr>
    </w:p>
    <w:p w:rsidR="005970AB" w:rsidRDefault="005970AB" w:rsidP="005970AB">
      <w:pPr>
        <w:rPr>
          <w:rtl/>
        </w:rPr>
      </w:pPr>
    </w:p>
    <w:p w:rsidR="005970AB" w:rsidRDefault="005970AB" w:rsidP="005970AB">
      <w:pPr>
        <w:rPr>
          <w:rtl/>
        </w:rPr>
      </w:pPr>
    </w:p>
    <w:p w:rsidR="005970AB" w:rsidRDefault="005970AB" w:rsidP="005970AB">
      <w:pPr>
        <w:rPr>
          <w:rtl/>
        </w:rPr>
      </w:pPr>
    </w:p>
    <w:p w:rsidR="005970AB" w:rsidRDefault="005970AB" w:rsidP="005970AB">
      <w:pPr>
        <w:rPr>
          <w:rtl/>
        </w:rPr>
      </w:pPr>
    </w:p>
    <w:p w:rsidR="005970AB" w:rsidRDefault="005970AB" w:rsidP="005970AB">
      <w:pPr>
        <w:rPr>
          <w:b/>
          <w:bCs/>
          <w:rtl/>
        </w:rPr>
      </w:pPr>
      <w:r>
        <w:rPr>
          <w:b/>
          <w:bCs/>
          <w:rtl/>
        </w:rPr>
        <w:lastRenderedPageBreak/>
        <w:t>גביית מסים ישירים לפי רכיבים, 2018</w:t>
      </w:r>
    </w:p>
    <w:p w:rsidR="005970AB" w:rsidRDefault="005970AB" w:rsidP="005970AB">
      <w:pPr>
        <w:rPr>
          <w:rtl/>
        </w:rPr>
      </w:pPr>
      <w:r>
        <w:rPr>
          <w:rtl/>
        </w:rPr>
        <w:t>(ללא התאמות ובמחירים שוטפים)</w:t>
      </w:r>
    </w:p>
    <w:p w:rsidR="005970AB" w:rsidRDefault="005970AB" w:rsidP="005970AB">
      <w:pPr>
        <w:rPr>
          <w:b/>
          <w:bCs/>
          <w:rtl/>
        </w:rPr>
      </w:pPr>
      <w:r>
        <w:rPr>
          <w:b/>
          <w:bCs/>
          <w:noProof/>
        </w:rPr>
        <w:drawing>
          <wp:inline distT="0" distB="0" distL="0" distR="0" wp14:anchorId="2845664D" wp14:editId="09726A79">
            <wp:extent cx="4838700" cy="234315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970AB" w:rsidRDefault="005970AB" w:rsidP="005970AB">
      <w:pPr>
        <w:rPr>
          <w:sz w:val="22"/>
          <w:szCs w:val="22"/>
          <w:rtl/>
        </w:rPr>
      </w:pPr>
      <w:r>
        <w:rPr>
          <w:sz w:val="22"/>
          <w:szCs w:val="22"/>
          <w:rtl/>
        </w:rPr>
        <w:t>מקור: רשות המסים, עיבודי אגף הכלכלן הראשי</w:t>
      </w:r>
    </w:p>
    <w:p w:rsidR="005970AB" w:rsidRDefault="005970AB" w:rsidP="005970AB">
      <w:pPr>
        <w:rPr>
          <w:rtl/>
        </w:rPr>
      </w:pPr>
    </w:p>
    <w:p w:rsidR="005970AB" w:rsidRDefault="005970AB" w:rsidP="005970AB">
      <w:pPr>
        <w:rPr>
          <w:rtl/>
        </w:rPr>
      </w:pPr>
      <w:r>
        <w:rPr>
          <w:rtl/>
        </w:rPr>
        <w:t xml:space="preserve">בסעיף </w:t>
      </w:r>
      <w:r>
        <w:rPr>
          <w:b/>
          <w:bCs/>
          <w:rtl/>
        </w:rPr>
        <w:t>מסים עקיפים</w:t>
      </w:r>
      <w:r>
        <w:rPr>
          <w:rtl/>
        </w:rPr>
        <w:t xml:space="preserve">, הגביה ברכיב מע"מ הינה נורמטיבית ותואמת את הגידול בצריכה פרטית שוטפת. עם זאת, החל מהרבעון השני של 2018 חל שינוי בתמהיל הצריכה: בעוד שהצריכה השוטפת ממשיכה להתרחב, רכישות בני קיימא (עתירות מיסוי) רשמו ירידה. במקביל, נרשמה חולשה במיסי ייבוא ומס דלק. בהקשר לבלו דלק, קיימת סוגיה של מעבר משימוש בסולר (עליו הוטל מס משמעותי) לשימוש בממסים. לאור זאת, בתקציב 2019 נכלל צעד של העלאת מיסוי על ממסים. לפי שעה, צעד זה טרם מומש, ובעקבות כך רשות המסים העריכה אובדן הכנסות תוספתי משמעותי ברכיב זה, בשנת 2018 ואילך. ההכנסות ממס קניה הושפעו מהאטה בקצב גידול רכישת מכוניות ומשינוי תמהיל לטובת רכב היברידי עליו מוטל מס בשיעור מופחת. </w:t>
      </w:r>
    </w:p>
    <w:p w:rsidR="005970AB" w:rsidRDefault="005970AB" w:rsidP="005970AB">
      <w:pPr>
        <w:bidi w:val="0"/>
        <w:spacing w:before="200" w:after="200" w:line="276" w:lineRule="auto"/>
        <w:rPr>
          <w:b/>
          <w:bCs/>
        </w:rPr>
      </w:pPr>
      <w:r>
        <w:rPr>
          <w:b/>
          <w:bCs/>
          <w:rtl/>
        </w:rPr>
        <w:br w:type="page"/>
      </w:r>
    </w:p>
    <w:p w:rsidR="005970AB" w:rsidRDefault="005970AB" w:rsidP="005970AB">
      <w:pPr>
        <w:rPr>
          <w:b/>
          <w:bCs/>
        </w:rPr>
      </w:pPr>
      <w:r>
        <w:rPr>
          <w:b/>
          <w:bCs/>
          <w:rtl/>
        </w:rPr>
        <w:lastRenderedPageBreak/>
        <w:t xml:space="preserve">גביית מסים עקיפים לפי רכיבים, 2018 </w:t>
      </w:r>
    </w:p>
    <w:p w:rsidR="005970AB" w:rsidRDefault="005970AB" w:rsidP="005970AB">
      <w:pPr>
        <w:rPr>
          <w:b/>
          <w:bCs/>
          <w:rtl/>
        </w:rPr>
      </w:pPr>
      <w:r>
        <w:rPr>
          <w:b/>
          <w:bCs/>
          <w:noProof/>
        </w:rPr>
        <w:drawing>
          <wp:inline distT="0" distB="0" distL="0" distR="0" wp14:anchorId="056B56EA" wp14:editId="01F1EFE8">
            <wp:extent cx="4838700" cy="2028825"/>
            <wp:effectExtent l="0" t="0" r="0" b="9525"/>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970AB" w:rsidRDefault="005970AB" w:rsidP="005970AB">
      <w:pPr>
        <w:rPr>
          <w:sz w:val="22"/>
          <w:szCs w:val="22"/>
          <w:rtl/>
        </w:rPr>
      </w:pPr>
      <w:r>
        <w:rPr>
          <w:sz w:val="22"/>
          <w:szCs w:val="22"/>
          <w:rtl/>
        </w:rPr>
        <w:t>מקור: רשות המסים, עיבודי אגף הכלכלן הראשי</w:t>
      </w:r>
    </w:p>
    <w:p w:rsidR="005970AB" w:rsidRDefault="005970AB" w:rsidP="005970AB">
      <w:pPr>
        <w:rPr>
          <w:rtl/>
        </w:rPr>
      </w:pPr>
    </w:p>
    <w:p w:rsidR="005970AB" w:rsidRDefault="005970AB" w:rsidP="005970AB">
      <w:pPr>
        <w:rPr>
          <w:rtl/>
        </w:rPr>
      </w:pPr>
      <w:r>
        <w:rPr>
          <w:rtl/>
        </w:rPr>
        <w:t xml:space="preserve">בסעיף </w:t>
      </w:r>
      <w:r>
        <w:rPr>
          <w:b/>
          <w:bCs/>
          <w:rtl/>
        </w:rPr>
        <w:t xml:space="preserve">הכנסות אחרות </w:t>
      </w:r>
      <w:r>
        <w:rPr>
          <w:rtl/>
        </w:rPr>
        <w:t>התקבולים במהלך שנת 2018 תאמו את דפוסי הגבייה בשנים האחרונות. הרכיב המשמעותי ביותר בסעיף של הכנסות אחרות מהווה השקעות מהמוסד לביטוח הלאומי. ביחס לשנת 2017 ההכנסות ברכיב זה גדלו בשנת 2018 ב-8.3% לאור שוק העבודה שנמצא בתעסוקה מלאה לצד הכנסות בעלות אופי חד-פעמי (כגון</w:t>
      </w:r>
      <w:r w:rsidR="006A04BF">
        <w:rPr>
          <w:rFonts w:hint="cs"/>
          <w:rtl/>
        </w:rPr>
        <w:t>:</w:t>
      </w:r>
      <w:r>
        <w:rPr>
          <w:rtl/>
        </w:rPr>
        <w:t xml:space="preserve"> ניצול חלקי של קצבאות חדשות). תת-סעיף יתר ההכנסות האחרות הכולל את הדיווידנדים והתמלוגים מחברות ממשלתיות גדל בשנת 2018 ב-6.7% בעיקר עקב שינוי מתודולוגי רישומי וכן תשלום בהיקף משמעותי שהתקבל מחברה ביטחונית. בנוסף, חל גידול ברכיב של מע"מ יבוא ביטחוני.</w:t>
      </w:r>
    </w:p>
    <w:p w:rsidR="005970AB" w:rsidRDefault="005970AB" w:rsidP="005970AB">
      <w:pPr>
        <w:jc w:val="center"/>
        <w:rPr>
          <w:rFonts w:ascii="David" w:hAnsi="David"/>
          <w:b/>
          <w:bCs/>
          <w:rtl/>
        </w:rPr>
      </w:pPr>
    </w:p>
    <w:p w:rsidR="005970AB" w:rsidRDefault="005970AB" w:rsidP="005970AB">
      <w:pPr>
        <w:jc w:val="center"/>
        <w:rPr>
          <w:rFonts w:ascii="David" w:hAnsi="David"/>
          <w:b/>
          <w:bCs/>
          <w:highlight w:val="yellow"/>
          <w:rtl/>
        </w:rPr>
      </w:pPr>
      <w:r>
        <w:rPr>
          <w:rFonts w:ascii="David" w:hAnsi="David"/>
          <w:b/>
          <w:bCs/>
          <w:rtl/>
        </w:rPr>
        <w:t>תחזית הכנסות אחרות לעומת ביצוע בפועל, 2018</w:t>
      </w:r>
    </w:p>
    <w:p w:rsidR="005970AB" w:rsidRDefault="005970AB" w:rsidP="005970AB">
      <w:pPr>
        <w:jc w:val="center"/>
        <w:rPr>
          <w:rFonts w:ascii="David" w:hAnsi="David"/>
          <w:b/>
          <w:bCs/>
          <w:highlight w:val="yellow"/>
          <w:rtl/>
        </w:rPr>
      </w:pPr>
      <w:r>
        <w:rPr>
          <w:noProof/>
        </w:rPr>
        <w:drawing>
          <wp:inline distT="0" distB="0" distL="0" distR="0" wp14:anchorId="398D40CB" wp14:editId="7AFB7759">
            <wp:extent cx="5295900" cy="2705100"/>
            <wp:effectExtent l="0" t="0" r="0" b="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970AB" w:rsidRDefault="005970AB" w:rsidP="005970AB">
      <w:pPr>
        <w:rPr>
          <w:rFonts w:ascii="David" w:hAnsi="David"/>
          <w:rtl/>
        </w:rPr>
      </w:pPr>
      <w:r>
        <w:rPr>
          <w:sz w:val="22"/>
          <w:szCs w:val="22"/>
          <w:rtl/>
        </w:rPr>
        <w:t>מקור: חשב כללי, עיבודי אגף הכלכלן הראשי</w:t>
      </w:r>
    </w:p>
    <w:p w:rsidR="005970AB" w:rsidRDefault="005970AB" w:rsidP="005970AB">
      <w:pPr>
        <w:rPr>
          <w:b/>
          <w:bCs/>
          <w:rtl/>
        </w:rPr>
      </w:pPr>
    </w:p>
    <w:p w:rsidR="005970AB" w:rsidRDefault="005970AB" w:rsidP="005970AB">
      <w:pPr>
        <w:rPr>
          <w:b/>
          <w:bCs/>
          <w:rtl/>
        </w:rPr>
      </w:pPr>
      <w:r>
        <w:rPr>
          <w:b/>
          <w:bCs/>
          <w:rtl/>
        </w:rPr>
        <w:lastRenderedPageBreak/>
        <w:t>הכנסות בפועל בשנת 2018 לעומת תחזית התקציב</w:t>
      </w:r>
    </w:p>
    <w:p w:rsidR="005970AB" w:rsidRDefault="005970AB" w:rsidP="005970AB">
      <w:pPr>
        <w:rPr>
          <w:rtl/>
        </w:rPr>
      </w:pPr>
      <w:r>
        <w:rPr>
          <w:rtl/>
        </w:rPr>
        <w:t xml:space="preserve">ההכנסות ממסים בשנת 2018 הסתכמו ב-306.3 מיליארד ₪, נמוך ב-0.9 מיליארד ₪ (0.3%) לעומת התחזית שבתקציב המקורי לשנים 2018-2017, ונמוך ב-1.3 מיליארד ₪ (0.4%) מתחזית התקציב לשנת 2019. לאחר התייחסות לשינויי החקיקה בין מועדי התחזית, הפער משקף בעיקר את החולשה בגביית המסים הישירים, כפי שפורט לעיל. </w:t>
      </w:r>
    </w:p>
    <w:p w:rsidR="005970AB" w:rsidRDefault="005970AB" w:rsidP="005970AB">
      <w:pPr>
        <w:rPr>
          <w:rtl/>
        </w:rPr>
      </w:pPr>
      <w:r>
        <w:rPr>
          <w:rtl/>
        </w:rPr>
        <w:t xml:space="preserve">במקביל, בשנת 2018 נרשם עודף בהכנסות אחרות, לאור דיווידנד שהתקבל מחברה ביטחונית וכן הכנסות חריגות ממע"מ ייבוא בטחוני. </w:t>
      </w:r>
    </w:p>
    <w:p w:rsidR="005970AB" w:rsidRDefault="005970AB" w:rsidP="005970AB">
      <w:pPr>
        <w:rPr>
          <w:rtl/>
        </w:rPr>
      </w:pPr>
      <w:r>
        <w:rPr>
          <w:rtl/>
        </w:rPr>
        <w:t xml:space="preserve">בסך הכל, לעומת התקציב המקורי, נרשם עודף מזערי בהכנסות המדינה בשיעור של 0.2%. לעומת תחזית עדכנית יותר שנכללה בתקציב 2019 הגביה בפועל דומה מאוד לתחזית. </w:t>
      </w:r>
    </w:p>
    <w:p w:rsidR="005970AB" w:rsidRDefault="005970AB" w:rsidP="005970AB">
      <w:pPr>
        <w:jc w:val="center"/>
        <w:rPr>
          <w:b/>
          <w:bCs/>
          <w:rtl/>
        </w:rPr>
      </w:pPr>
      <w:r>
        <w:rPr>
          <w:b/>
          <w:bCs/>
          <w:rtl/>
        </w:rPr>
        <w:t>תחזית ההכנסות לשנת 2018 בהשוואה להכנסות בפועל (מיליארדי ₪)</w:t>
      </w:r>
    </w:p>
    <w:tbl>
      <w:tblPr>
        <w:tblStyle w:val="3-12"/>
        <w:bidiVisual/>
        <w:tblW w:w="8160" w:type="dxa"/>
        <w:tblInd w:w="5" w:type="dxa"/>
        <w:tblLook w:val="04A0" w:firstRow="1" w:lastRow="0" w:firstColumn="1" w:lastColumn="0" w:noHBand="0" w:noVBand="1"/>
      </w:tblPr>
      <w:tblGrid>
        <w:gridCol w:w="3413"/>
        <w:gridCol w:w="1582"/>
        <w:gridCol w:w="1582"/>
        <w:gridCol w:w="1583"/>
      </w:tblGrid>
      <w:tr w:rsidR="005970AB" w:rsidTr="005970AB">
        <w:trPr>
          <w:cnfStyle w:val="100000000000" w:firstRow="1" w:lastRow="0" w:firstColumn="0" w:lastColumn="0" w:oddVBand="0" w:evenVBand="0" w:oddHBand="0" w:evenHBand="0" w:firstRowFirstColumn="0" w:firstRowLastColumn="0" w:lastRowFirstColumn="0" w:lastRowLastColumn="0"/>
          <w:trHeight w:val="817"/>
        </w:trPr>
        <w:tc>
          <w:tcPr>
            <w:cnfStyle w:val="001000000100" w:firstRow="0" w:lastRow="0" w:firstColumn="1" w:lastColumn="0" w:oddVBand="0" w:evenVBand="0" w:oddHBand="0" w:evenHBand="0" w:firstRowFirstColumn="1" w:firstRowLastColumn="0" w:lastRowFirstColumn="0" w:lastRowLastColumn="0"/>
            <w:tcW w:w="3413" w:type="dxa"/>
            <w:tcBorders>
              <w:top w:val="single" w:sz="4" w:space="0" w:color="4F81BD" w:themeColor="accent1"/>
              <w:left w:val="single" w:sz="4" w:space="0" w:color="4F81BD" w:themeColor="accent1"/>
            </w:tcBorders>
            <w:vAlign w:val="center"/>
            <w:hideMark/>
          </w:tcPr>
          <w:p w:rsidR="005970AB" w:rsidRDefault="005970AB">
            <w:pPr>
              <w:rPr>
                <w:rFonts w:ascii="David" w:hAnsi="David"/>
                <w:b w:val="0"/>
                <w:bCs w:val="0"/>
                <w:rtl/>
              </w:rPr>
            </w:pPr>
            <w:r>
              <w:rPr>
                <w:rFonts w:ascii="David" w:hAnsi="David"/>
                <w:b w:val="0"/>
                <w:bCs w:val="0"/>
                <w:rtl/>
              </w:rPr>
              <w:t>מועד פרסום התחזית:</w:t>
            </w:r>
          </w:p>
        </w:tc>
        <w:tc>
          <w:tcPr>
            <w:tcW w:w="1582" w:type="dxa"/>
            <w:tcBorders>
              <w:top w:val="single" w:sz="4" w:space="0" w:color="4F81BD" w:themeColor="accent1"/>
              <w:left w:val="nil"/>
              <w:bottom w:val="nil"/>
              <w:right w:val="nil"/>
            </w:tcBorders>
            <w:vAlign w:val="center"/>
            <w:hideMark/>
          </w:tcPr>
          <w:p w:rsidR="005970AB" w:rsidRDefault="005970AB">
            <w:pPr>
              <w:cnfStyle w:val="100000000000" w:firstRow="1" w:lastRow="0" w:firstColumn="0" w:lastColumn="0" w:oddVBand="0" w:evenVBand="0" w:oddHBand="0" w:evenHBand="0" w:firstRowFirstColumn="0" w:firstRowLastColumn="0" w:lastRowFirstColumn="0" w:lastRowLastColumn="0"/>
              <w:rPr>
                <w:rFonts w:ascii="David" w:hAnsi="David"/>
                <w:b w:val="0"/>
                <w:bCs w:val="0"/>
                <w:rtl/>
              </w:rPr>
            </w:pPr>
            <w:r>
              <w:rPr>
                <w:rFonts w:ascii="David" w:hAnsi="David"/>
                <w:b w:val="0"/>
                <w:bCs w:val="0"/>
                <w:rtl/>
              </w:rPr>
              <w:t>תקציב</w:t>
            </w:r>
            <w:r>
              <w:rPr>
                <w:rFonts w:ascii="David" w:hAnsi="David"/>
                <w:b w:val="0"/>
                <w:bCs w:val="0"/>
                <w:rtl/>
              </w:rPr>
              <w:br/>
              <w:t xml:space="preserve"> 2018-2017 </w:t>
            </w:r>
          </w:p>
        </w:tc>
        <w:tc>
          <w:tcPr>
            <w:tcW w:w="1582" w:type="dxa"/>
            <w:tcBorders>
              <w:top w:val="single" w:sz="4" w:space="0" w:color="4F81BD" w:themeColor="accent1"/>
              <w:left w:val="nil"/>
              <w:bottom w:val="nil"/>
              <w:right w:val="nil"/>
            </w:tcBorders>
            <w:vAlign w:val="center"/>
            <w:hideMark/>
          </w:tcPr>
          <w:p w:rsidR="005970AB" w:rsidRDefault="005970AB">
            <w:pPr>
              <w:cnfStyle w:val="100000000000" w:firstRow="1" w:lastRow="0" w:firstColumn="0" w:lastColumn="0" w:oddVBand="0" w:evenVBand="0" w:oddHBand="0" w:evenHBand="0" w:firstRowFirstColumn="0" w:firstRowLastColumn="0" w:lastRowFirstColumn="0" w:lastRowLastColumn="0"/>
              <w:rPr>
                <w:rFonts w:ascii="David" w:hAnsi="David"/>
                <w:b w:val="0"/>
                <w:bCs w:val="0"/>
                <w:rtl/>
              </w:rPr>
            </w:pPr>
            <w:r>
              <w:rPr>
                <w:rFonts w:ascii="David" w:eastAsia="Calibri" w:hAnsi="David"/>
                <w:b w:val="0"/>
                <w:bCs w:val="0"/>
                <w:rtl/>
              </w:rPr>
              <w:t>תקציב 2019</w:t>
            </w:r>
          </w:p>
        </w:tc>
        <w:tc>
          <w:tcPr>
            <w:tcW w:w="1583" w:type="dxa"/>
            <w:tcBorders>
              <w:top w:val="single" w:sz="4" w:space="0" w:color="4F81BD" w:themeColor="accent1"/>
              <w:left w:val="nil"/>
              <w:bottom w:val="nil"/>
              <w:right w:val="single" w:sz="4" w:space="0" w:color="4F81BD" w:themeColor="accent1"/>
            </w:tcBorders>
            <w:vAlign w:val="center"/>
            <w:hideMark/>
          </w:tcPr>
          <w:p w:rsidR="005970AB" w:rsidRDefault="005970AB">
            <w:pPr>
              <w:cnfStyle w:val="100000000000" w:firstRow="1" w:lastRow="0" w:firstColumn="0" w:lastColumn="0" w:oddVBand="0" w:evenVBand="0" w:oddHBand="0" w:evenHBand="0" w:firstRowFirstColumn="0" w:firstRowLastColumn="0" w:lastRowFirstColumn="0" w:lastRowLastColumn="0"/>
              <w:rPr>
                <w:rFonts w:ascii="David" w:hAnsi="David"/>
                <w:b w:val="0"/>
                <w:bCs w:val="0"/>
                <w:rtl/>
              </w:rPr>
            </w:pPr>
            <w:r>
              <w:rPr>
                <w:rFonts w:ascii="David" w:hAnsi="David"/>
                <w:b w:val="0"/>
                <w:bCs w:val="0"/>
                <w:rtl/>
              </w:rPr>
              <w:t>2018</w:t>
            </w:r>
            <w:r>
              <w:rPr>
                <w:rFonts w:ascii="David" w:hAnsi="David"/>
                <w:b w:val="0"/>
                <w:bCs w:val="0"/>
              </w:rPr>
              <w:t xml:space="preserve"> </w:t>
            </w:r>
            <w:r>
              <w:rPr>
                <w:rFonts w:ascii="David" w:hAnsi="David"/>
                <w:b w:val="0"/>
                <w:bCs w:val="0"/>
                <w:rtl/>
              </w:rPr>
              <w:t xml:space="preserve"> בפועל</w:t>
            </w:r>
          </w:p>
        </w:tc>
      </w:tr>
      <w:tr w:rsidR="005970AB" w:rsidTr="005970AB">
        <w:trPr>
          <w:cnfStyle w:val="000000100000" w:firstRow="0" w:lastRow="0" w:firstColumn="0" w:lastColumn="0" w:oddVBand="0" w:evenVBand="0" w:oddHBand="1" w:evenHBand="0" w:firstRowFirstColumn="0" w:firstRowLastColumn="0" w:lastRowFirstColumn="0" w:lastRowLastColumn="0"/>
          <w:trHeight w:val="404"/>
        </w:trPr>
        <w:tc>
          <w:tcPr>
            <w:cnfStyle w:val="001000000000" w:firstRow="0" w:lastRow="0" w:firstColumn="1" w:lastColumn="0" w:oddVBand="0" w:evenVBand="0" w:oddHBand="0" w:evenHBand="0" w:firstRowFirstColumn="0" w:firstRowLastColumn="0" w:lastRowFirstColumn="0" w:lastRowLastColumn="0"/>
            <w:tcW w:w="3413" w:type="dxa"/>
            <w:tcBorders>
              <w:left w:val="single" w:sz="4" w:space="0" w:color="4F81BD" w:themeColor="accent1"/>
            </w:tcBorders>
            <w:hideMark/>
          </w:tcPr>
          <w:p w:rsidR="005970AB" w:rsidRDefault="005970AB">
            <w:pPr>
              <w:rPr>
                <w:rFonts w:ascii="David" w:hAnsi="David"/>
                <w:b w:val="0"/>
                <w:bCs w:val="0"/>
                <w:rtl/>
              </w:rPr>
            </w:pPr>
            <w:r>
              <w:rPr>
                <w:rFonts w:ascii="David" w:hAnsi="David"/>
                <w:b w:val="0"/>
                <w:bCs w:val="0"/>
                <w:rtl/>
              </w:rPr>
              <w:t>הכנסות ממסים ואגרות</w:t>
            </w:r>
          </w:p>
        </w:tc>
        <w:tc>
          <w:tcPr>
            <w:tcW w:w="1582"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307.2</w:t>
            </w:r>
          </w:p>
        </w:tc>
        <w:tc>
          <w:tcPr>
            <w:tcW w:w="1582"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eastAsia="Calibri" w:hAnsi="David"/>
                <w:rtl/>
              </w:rPr>
              <w:t>307.6</w:t>
            </w:r>
          </w:p>
        </w:tc>
        <w:tc>
          <w:tcPr>
            <w:tcW w:w="1583" w:type="dxa"/>
            <w:tcBorders>
              <w:left w:val="nil"/>
              <w:right w:val="single" w:sz="4" w:space="0" w:color="4F81BD" w:themeColor="accent1"/>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Pr>
              <w:t>306.3</w:t>
            </w:r>
          </w:p>
        </w:tc>
      </w:tr>
      <w:tr w:rsidR="005970AB" w:rsidTr="005970AB">
        <w:trPr>
          <w:trHeight w:val="440"/>
        </w:trPr>
        <w:tc>
          <w:tcPr>
            <w:cnfStyle w:val="001000000000" w:firstRow="0" w:lastRow="0" w:firstColumn="1" w:lastColumn="0" w:oddVBand="0" w:evenVBand="0" w:oddHBand="0" w:evenHBand="0" w:firstRowFirstColumn="0" w:firstRowLastColumn="0" w:lastRowFirstColumn="0" w:lastRowLastColumn="0"/>
            <w:tcW w:w="3413" w:type="dxa"/>
            <w:tcBorders>
              <w:top w:val="nil"/>
              <w:left w:val="single" w:sz="4" w:space="0" w:color="4F81BD" w:themeColor="accent1"/>
              <w:bottom w:val="nil"/>
            </w:tcBorders>
            <w:hideMark/>
          </w:tcPr>
          <w:p w:rsidR="005970AB" w:rsidRDefault="005970AB">
            <w:pPr>
              <w:rPr>
                <w:rFonts w:ascii="David" w:hAnsi="David"/>
                <w:b w:val="0"/>
                <w:bCs w:val="0"/>
              </w:rPr>
            </w:pPr>
            <w:r>
              <w:rPr>
                <w:rFonts w:ascii="David" w:hAnsi="David"/>
                <w:b w:val="0"/>
                <w:bCs w:val="0"/>
                <w:rtl/>
              </w:rPr>
              <w:t>מזה</w:t>
            </w:r>
            <w:r>
              <w:rPr>
                <w:rFonts w:ascii="David" w:hAnsi="David"/>
                <w:b w:val="0"/>
                <w:bCs w:val="0"/>
              </w:rPr>
              <w:t>:</w:t>
            </w:r>
          </w:p>
        </w:tc>
        <w:tc>
          <w:tcPr>
            <w:tcW w:w="1582" w:type="dxa"/>
            <w:tcBorders>
              <w:top w:val="nil"/>
              <w:left w:val="nil"/>
              <w:bottom w:val="nil"/>
              <w:right w:val="nil"/>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Pr>
              <w:t> </w:t>
            </w:r>
          </w:p>
        </w:tc>
        <w:tc>
          <w:tcPr>
            <w:tcW w:w="1582" w:type="dxa"/>
            <w:tcBorders>
              <w:top w:val="nil"/>
              <w:left w:val="nil"/>
              <w:bottom w:val="nil"/>
              <w:right w:val="nil"/>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p>
        </w:tc>
        <w:tc>
          <w:tcPr>
            <w:tcW w:w="1583" w:type="dxa"/>
            <w:tcBorders>
              <w:top w:val="nil"/>
              <w:left w:val="nil"/>
              <w:bottom w:val="nil"/>
              <w:right w:val="single" w:sz="4" w:space="0" w:color="4F81BD" w:themeColor="accent1"/>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Pr>
            </w:pPr>
            <w:r>
              <w:rPr>
                <w:rFonts w:ascii="David" w:hAnsi="David"/>
              </w:rPr>
              <w:t> </w:t>
            </w:r>
          </w:p>
        </w:tc>
      </w:tr>
      <w:tr w:rsidR="005970AB" w:rsidTr="005970AB">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3413" w:type="dxa"/>
            <w:tcBorders>
              <w:left w:val="single" w:sz="4" w:space="0" w:color="4F81BD" w:themeColor="accent1"/>
            </w:tcBorders>
            <w:hideMark/>
          </w:tcPr>
          <w:p w:rsidR="005970AB" w:rsidRDefault="005970AB">
            <w:pPr>
              <w:rPr>
                <w:rFonts w:ascii="David" w:hAnsi="David"/>
                <w:b w:val="0"/>
                <w:bCs w:val="0"/>
                <w:rtl/>
              </w:rPr>
            </w:pPr>
            <w:r>
              <w:rPr>
                <w:rFonts w:ascii="David" w:hAnsi="David"/>
                <w:b w:val="0"/>
                <w:bCs w:val="0"/>
              </w:rPr>
              <w:t xml:space="preserve"> </w:t>
            </w:r>
            <w:r>
              <w:rPr>
                <w:rFonts w:ascii="David" w:hAnsi="David"/>
                <w:b w:val="0"/>
                <w:bCs w:val="0"/>
                <w:rtl/>
              </w:rPr>
              <w:t>מסים ישירים</w:t>
            </w:r>
          </w:p>
        </w:tc>
        <w:tc>
          <w:tcPr>
            <w:tcW w:w="1582"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157.8</w:t>
            </w:r>
          </w:p>
        </w:tc>
        <w:tc>
          <w:tcPr>
            <w:tcW w:w="1582"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eastAsia="Calibri" w:hAnsi="David"/>
                <w:rtl/>
              </w:rPr>
              <w:t>163.6</w:t>
            </w:r>
          </w:p>
        </w:tc>
        <w:tc>
          <w:tcPr>
            <w:tcW w:w="1583" w:type="dxa"/>
            <w:tcBorders>
              <w:left w:val="nil"/>
              <w:right w:val="single" w:sz="4" w:space="0" w:color="4F81BD" w:themeColor="accent1"/>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Pr>
              <w:t>162.0</w:t>
            </w:r>
          </w:p>
        </w:tc>
      </w:tr>
      <w:tr w:rsidR="005970AB" w:rsidTr="005970AB">
        <w:trPr>
          <w:trHeight w:val="389"/>
        </w:trPr>
        <w:tc>
          <w:tcPr>
            <w:cnfStyle w:val="001000000000" w:firstRow="0" w:lastRow="0" w:firstColumn="1" w:lastColumn="0" w:oddVBand="0" w:evenVBand="0" w:oddHBand="0" w:evenHBand="0" w:firstRowFirstColumn="0" w:firstRowLastColumn="0" w:lastRowFirstColumn="0" w:lastRowLastColumn="0"/>
            <w:tcW w:w="3413" w:type="dxa"/>
            <w:tcBorders>
              <w:top w:val="nil"/>
              <w:left w:val="single" w:sz="4" w:space="0" w:color="4F81BD" w:themeColor="accent1"/>
              <w:bottom w:val="nil"/>
            </w:tcBorders>
            <w:hideMark/>
          </w:tcPr>
          <w:p w:rsidR="005970AB" w:rsidRDefault="005970AB">
            <w:pPr>
              <w:rPr>
                <w:rFonts w:ascii="David" w:hAnsi="David"/>
                <w:b w:val="0"/>
                <w:bCs w:val="0"/>
                <w:rtl/>
              </w:rPr>
            </w:pPr>
            <w:r>
              <w:rPr>
                <w:rFonts w:ascii="David" w:hAnsi="David"/>
                <w:b w:val="0"/>
                <w:bCs w:val="0"/>
              </w:rPr>
              <w:t xml:space="preserve"> </w:t>
            </w:r>
            <w:r>
              <w:rPr>
                <w:rFonts w:ascii="David" w:hAnsi="David"/>
                <w:b w:val="0"/>
                <w:bCs w:val="0"/>
                <w:rtl/>
              </w:rPr>
              <w:t>מסים עקיפים</w:t>
            </w:r>
          </w:p>
        </w:tc>
        <w:tc>
          <w:tcPr>
            <w:tcW w:w="1582" w:type="dxa"/>
            <w:tcBorders>
              <w:top w:val="nil"/>
              <w:left w:val="nil"/>
              <w:bottom w:val="nil"/>
              <w:right w:val="nil"/>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141.9</w:t>
            </w:r>
          </w:p>
        </w:tc>
        <w:tc>
          <w:tcPr>
            <w:tcW w:w="1582" w:type="dxa"/>
            <w:tcBorders>
              <w:top w:val="nil"/>
              <w:left w:val="nil"/>
              <w:bottom w:val="nil"/>
              <w:right w:val="nil"/>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eastAsia="Calibri" w:hAnsi="David"/>
                <w:rtl/>
              </w:rPr>
              <w:t>137.5</w:t>
            </w:r>
          </w:p>
        </w:tc>
        <w:tc>
          <w:tcPr>
            <w:tcW w:w="1583" w:type="dxa"/>
            <w:tcBorders>
              <w:top w:val="nil"/>
              <w:left w:val="nil"/>
              <w:bottom w:val="nil"/>
              <w:right w:val="single" w:sz="4" w:space="0" w:color="4F81BD" w:themeColor="accent1"/>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Pr>
              <w:t>137.7</w:t>
            </w:r>
          </w:p>
        </w:tc>
      </w:tr>
      <w:tr w:rsidR="005970AB" w:rsidTr="005970AB">
        <w:trPr>
          <w:cnfStyle w:val="000000100000" w:firstRow="0" w:lastRow="0" w:firstColumn="0" w:lastColumn="0" w:oddVBand="0" w:evenVBand="0" w:oddHBand="1" w:evenHBand="0" w:firstRowFirstColumn="0" w:firstRowLastColumn="0" w:lastRowFirstColumn="0" w:lastRowLastColumn="0"/>
          <w:trHeight w:val="299"/>
        </w:trPr>
        <w:tc>
          <w:tcPr>
            <w:cnfStyle w:val="001000000000" w:firstRow="0" w:lastRow="0" w:firstColumn="1" w:lastColumn="0" w:oddVBand="0" w:evenVBand="0" w:oddHBand="0" w:evenHBand="0" w:firstRowFirstColumn="0" w:firstRowLastColumn="0" w:lastRowFirstColumn="0" w:lastRowLastColumn="0"/>
            <w:tcW w:w="3413" w:type="dxa"/>
            <w:tcBorders>
              <w:left w:val="single" w:sz="4" w:space="0" w:color="4F81BD" w:themeColor="accent1"/>
            </w:tcBorders>
            <w:hideMark/>
          </w:tcPr>
          <w:p w:rsidR="005970AB" w:rsidRDefault="005970AB">
            <w:pPr>
              <w:rPr>
                <w:rFonts w:ascii="David" w:hAnsi="David"/>
                <w:b w:val="0"/>
                <w:bCs w:val="0"/>
                <w:rtl/>
              </w:rPr>
            </w:pPr>
            <w:r>
              <w:rPr>
                <w:rFonts w:ascii="David" w:hAnsi="David"/>
                <w:b w:val="0"/>
                <w:bCs w:val="0"/>
              </w:rPr>
              <w:t xml:space="preserve"> </w:t>
            </w:r>
            <w:r>
              <w:rPr>
                <w:rFonts w:ascii="David" w:hAnsi="David"/>
                <w:b w:val="0"/>
                <w:bCs w:val="0"/>
                <w:rtl/>
              </w:rPr>
              <w:t>אגרות</w:t>
            </w:r>
          </w:p>
        </w:tc>
        <w:tc>
          <w:tcPr>
            <w:tcW w:w="1582"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7.5</w:t>
            </w:r>
          </w:p>
        </w:tc>
        <w:tc>
          <w:tcPr>
            <w:tcW w:w="1582"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eastAsia="Calibri" w:hAnsi="David"/>
                <w:rtl/>
              </w:rPr>
              <w:t>6.5</w:t>
            </w:r>
          </w:p>
        </w:tc>
        <w:tc>
          <w:tcPr>
            <w:tcW w:w="1583" w:type="dxa"/>
            <w:tcBorders>
              <w:left w:val="nil"/>
              <w:right w:val="single" w:sz="4" w:space="0" w:color="4F81BD" w:themeColor="accent1"/>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6.6</w:t>
            </w:r>
          </w:p>
        </w:tc>
      </w:tr>
      <w:tr w:rsidR="005970AB" w:rsidTr="005970AB">
        <w:trPr>
          <w:trHeight w:val="507"/>
        </w:trPr>
        <w:tc>
          <w:tcPr>
            <w:cnfStyle w:val="001000000000" w:firstRow="0" w:lastRow="0" w:firstColumn="1" w:lastColumn="0" w:oddVBand="0" w:evenVBand="0" w:oddHBand="0" w:evenHBand="0" w:firstRowFirstColumn="0" w:firstRowLastColumn="0" w:lastRowFirstColumn="0" w:lastRowLastColumn="0"/>
            <w:tcW w:w="3413" w:type="dxa"/>
            <w:tcBorders>
              <w:top w:val="nil"/>
              <w:left w:val="single" w:sz="4" w:space="0" w:color="4F81BD" w:themeColor="accent1"/>
              <w:bottom w:val="nil"/>
            </w:tcBorders>
            <w:hideMark/>
          </w:tcPr>
          <w:p w:rsidR="005970AB" w:rsidRDefault="005970AB">
            <w:pPr>
              <w:rPr>
                <w:rFonts w:ascii="David" w:hAnsi="David"/>
                <w:b w:val="0"/>
                <w:bCs w:val="0"/>
                <w:rtl/>
              </w:rPr>
            </w:pPr>
            <w:r>
              <w:rPr>
                <w:rFonts w:ascii="David" w:hAnsi="David"/>
                <w:b w:val="0"/>
                <w:bCs w:val="0"/>
                <w:rtl/>
              </w:rPr>
              <w:t>סך הכנסות אחרות</w:t>
            </w:r>
          </w:p>
        </w:tc>
        <w:tc>
          <w:tcPr>
            <w:tcW w:w="1582" w:type="dxa"/>
            <w:tcBorders>
              <w:top w:val="nil"/>
              <w:left w:val="nil"/>
              <w:bottom w:val="nil"/>
              <w:right w:val="nil"/>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30.6</w:t>
            </w:r>
          </w:p>
        </w:tc>
        <w:tc>
          <w:tcPr>
            <w:tcW w:w="1582" w:type="dxa"/>
            <w:tcBorders>
              <w:top w:val="nil"/>
              <w:left w:val="nil"/>
              <w:bottom w:val="nil"/>
              <w:right w:val="nil"/>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eastAsia="Calibri" w:hAnsi="David"/>
                <w:rtl/>
              </w:rPr>
              <w:t>31.1</w:t>
            </w:r>
          </w:p>
        </w:tc>
        <w:tc>
          <w:tcPr>
            <w:tcW w:w="1583" w:type="dxa"/>
            <w:tcBorders>
              <w:top w:val="nil"/>
              <w:left w:val="nil"/>
              <w:bottom w:val="nil"/>
              <w:right w:val="single" w:sz="4" w:space="0" w:color="4F81BD" w:themeColor="accent1"/>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Pr>
              <w:t>32.3</w:t>
            </w:r>
          </w:p>
        </w:tc>
      </w:tr>
      <w:tr w:rsidR="005970AB" w:rsidTr="005970AB">
        <w:trPr>
          <w:cnfStyle w:val="000000100000" w:firstRow="0" w:lastRow="0" w:firstColumn="0" w:lastColumn="0" w:oddVBand="0" w:evenVBand="0" w:oddHBand="1"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3413" w:type="dxa"/>
            <w:tcBorders>
              <w:left w:val="single" w:sz="4" w:space="0" w:color="4F81BD" w:themeColor="accent1"/>
            </w:tcBorders>
            <w:hideMark/>
          </w:tcPr>
          <w:p w:rsidR="005970AB" w:rsidRDefault="005970AB">
            <w:pPr>
              <w:rPr>
                <w:rFonts w:ascii="David" w:hAnsi="David"/>
                <w:rtl/>
              </w:rPr>
            </w:pPr>
            <w:r>
              <w:rPr>
                <w:rFonts w:ascii="David" w:hAnsi="David"/>
                <w:rtl/>
              </w:rPr>
              <w:t xml:space="preserve">סך ההכנסות </w:t>
            </w:r>
          </w:p>
        </w:tc>
        <w:tc>
          <w:tcPr>
            <w:tcW w:w="1582"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b/>
                <w:bCs/>
                <w:rtl/>
              </w:rPr>
            </w:pPr>
            <w:r>
              <w:rPr>
                <w:rFonts w:ascii="David" w:hAnsi="David"/>
                <w:b/>
                <w:bCs/>
                <w:rtl/>
              </w:rPr>
              <w:t>337.8</w:t>
            </w:r>
          </w:p>
        </w:tc>
        <w:tc>
          <w:tcPr>
            <w:tcW w:w="1582"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b/>
                <w:bCs/>
                <w:rtl/>
              </w:rPr>
            </w:pPr>
            <w:r>
              <w:rPr>
                <w:rFonts w:ascii="David" w:eastAsia="Calibri" w:hAnsi="David"/>
                <w:b/>
                <w:bCs/>
                <w:rtl/>
              </w:rPr>
              <w:t>338.7</w:t>
            </w:r>
          </w:p>
        </w:tc>
        <w:tc>
          <w:tcPr>
            <w:tcW w:w="1583" w:type="dxa"/>
            <w:tcBorders>
              <w:left w:val="nil"/>
              <w:right w:val="single" w:sz="4" w:space="0" w:color="4F81BD" w:themeColor="accent1"/>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b/>
                <w:bCs/>
                <w:rtl/>
              </w:rPr>
            </w:pPr>
            <w:r>
              <w:rPr>
                <w:rFonts w:ascii="David" w:hAnsi="David"/>
                <w:b/>
                <w:bCs/>
                <w:rtl/>
              </w:rPr>
              <w:t>338.6</w:t>
            </w:r>
          </w:p>
        </w:tc>
      </w:tr>
    </w:tbl>
    <w:p w:rsidR="005970AB" w:rsidRDefault="005970AB" w:rsidP="005970AB">
      <w:pPr>
        <w:rPr>
          <w:rtl/>
        </w:rPr>
      </w:pPr>
    </w:p>
    <w:p w:rsidR="005970AB" w:rsidRDefault="005970AB" w:rsidP="005970AB">
      <w:pPr>
        <w:rPr>
          <w:b/>
          <w:bCs/>
          <w:rtl/>
        </w:rPr>
      </w:pPr>
      <w:r>
        <w:rPr>
          <w:b/>
          <w:bCs/>
          <w:rtl/>
        </w:rPr>
        <w:t>השפעת צעדי מדיניות על התחזיות לשנים 2020 עד 2022</w:t>
      </w:r>
    </w:p>
    <w:p w:rsidR="005970AB" w:rsidRDefault="005970AB" w:rsidP="00AF030A">
      <w:pPr>
        <w:rPr>
          <w:rtl/>
        </w:rPr>
      </w:pPr>
      <w:r>
        <w:rPr>
          <w:rtl/>
        </w:rPr>
        <w:t>רוב צעדי המדיניות אשר נכללו בספר התקציב משפיעים על בסיס המס, ולכן ישפיעו על תחזית ההכנסות לשנים הבאות. שינוי עיתוי ההפרשה לקרן מס רכוש הוא צעד זמני ואינו נכלל בתחזית משנת 2021 ואילך. ישנם צעדים משמעותיי</w:t>
      </w:r>
      <w:r w:rsidR="00AF030A">
        <w:rPr>
          <w:rtl/>
        </w:rPr>
        <w:t>ם שנכללו בתקציב 2019 ולא מומשו</w:t>
      </w:r>
      <w:r w:rsidR="00AF030A">
        <w:rPr>
          <w:rFonts w:hint="cs"/>
          <w:rtl/>
        </w:rPr>
        <w:t xml:space="preserve"> המסתכמים ב-</w:t>
      </w:r>
      <w:r>
        <w:rPr>
          <w:rtl/>
        </w:rPr>
        <w:t>2.9 מיליארד ₪ מתחזית ההכנסות ממסים ו-1.8 מיליארד ₪ מתחזית ההכנסות האחרות.</w:t>
      </w:r>
    </w:p>
    <w:p w:rsidR="005970AB" w:rsidRDefault="005970AB" w:rsidP="005970AB">
      <w:pPr>
        <w:rPr>
          <w:rtl/>
        </w:rPr>
      </w:pPr>
    </w:p>
    <w:p w:rsidR="005970AB" w:rsidRDefault="005970AB" w:rsidP="005970AB">
      <w:pPr>
        <w:rPr>
          <w:rtl/>
        </w:rPr>
      </w:pPr>
    </w:p>
    <w:p w:rsidR="005970AB" w:rsidRDefault="005970AB" w:rsidP="005970AB">
      <w:pPr>
        <w:rPr>
          <w:rtl/>
        </w:rPr>
      </w:pPr>
    </w:p>
    <w:p w:rsidR="005970AB" w:rsidRDefault="005970AB" w:rsidP="005970AB">
      <w:pPr>
        <w:rPr>
          <w:rtl/>
        </w:rPr>
      </w:pPr>
    </w:p>
    <w:p w:rsidR="005970AB" w:rsidRDefault="005970AB" w:rsidP="005970AB">
      <w:pPr>
        <w:rPr>
          <w:b/>
          <w:bCs/>
          <w:rtl/>
        </w:rPr>
      </w:pPr>
      <w:r>
        <w:rPr>
          <w:b/>
          <w:bCs/>
          <w:rtl/>
        </w:rPr>
        <w:lastRenderedPageBreak/>
        <w:t>שינויי חקיקה והתאמות להכנסות ממסים לשנת 2019</w:t>
      </w:r>
    </w:p>
    <w:tbl>
      <w:tblPr>
        <w:tblStyle w:val="3-11"/>
        <w:bidiVisual/>
        <w:tblW w:w="8130" w:type="dxa"/>
        <w:tblInd w:w="15" w:type="dxa"/>
        <w:tblLook w:val="04A0" w:firstRow="1" w:lastRow="0" w:firstColumn="1" w:lastColumn="0" w:noHBand="0" w:noVBand="1"/>
      </w:tblPr>
      <w:tblGrid>
        <w:gridCol w:w="3474"/>
        <w:gridCol w:w="1552"/>
        <w:gridCol w:w="1552"/>
        <w:gridCol w:w="1552"/>
      </w:tblGrid>
      <w:tr w:rsidR="005970AB" w:rsidTr="005970AB">
        <w:trPr>
          <w:cnfStyle w:val="100000000000" w:firstRow="1" w:lastRow="0" w:firstColumn="0" w:lastColumn="0" w:oddVBand="0" w:evenVBand="0" w:oddHBand="0" w:evenHBand="0" w:firstRowFirstColumn="0" w:firstRowLastColumn="0" w:lastRowFirstColumn="0" w:lastRowLastColumn="0"/>
          <w:trHeight w:val="827"/>
        </w:trPr>
        <w:tc>
          <w:tcPr>
            <w:cnfStyle w:val="001000000100" w:firstRow="0" w:lastRow="0" w:firstColumn="1" w:lastColumn="0" w:oddVBand="0" w:evenVBand="0" w:oddHBand="0" w:evenHBand="0" w:firstRowFirstColumn="1" w:firstRowLastColumn="0" w:lastRowFirstColumn="0" w:lastRowLastColumn="0"/>
            <w:tcW w:w="3474" w:type="dxa"/>
            <w:tcBorders>
              <w:top w:val="single" w:sz="4" w:space="0" w:color="4F81BD" w:themeColor="accent1"/>
              <w:left w:val="single" w:sz="4" w:space="0" w:color="4F81BD" w:themeColor="accent1"/>
            </w:tcBorders>
            <w:hideMark/>
          </w:tcPr>
          <w:p w:rsidR="005970AB" w:rsidRDefault="005970AB">
            <w:pPr>
              <w:rPr>
                <w:b w:val="0"/>
                <w:bCs w:val="0"/>
                <w:rtl/>
              </w:rPr>
            </w:pPr>
          </w:p>
        </w:tc>
        <w:tc>
          <w:tcPr>
            <w:tcW w:w="1552" w:type="dxa"/>
            <w:tcBorders>
              <w:top w:val="single" w:sz="4" w:space="0" w:color="4F81BD" w:themeColor="accent1"/>
              <w:left w:val="nil"/>
              <w:bottom w:val="nil"/>
              <w:right w:val="nil"/>
            </w:tcBorders>
            <w:hideMark/>
          </w:tcPr>
          <w:p w:rsidR="005970AB" w:rsidRDefault="005970AB">
            <w:pPr>
              <w:cnfStyle w:val="100000000000" w:firstRow="1" w:lastRow="0" w:firstColumn="0" w:lastColumn="0" w:oddVBand="0" w:evenVBand="0" w:oddHBand="0" w:evenHBand="0" w:firstRowFirstColumn="0" w:firstRowLastColumn="0" w:lastRowFirstColumn="0" w:lastRowLastColumn="0"/>
              <w:rPr>
                <w:rFonts w:ascii="David" w:hAnsi="David"/>
                <w:b w:val="0"/>
                <w:bCs w:val="0"/>
              </w:rPr>
            </w:pPr>
            <w:r>
              <w:rPr>
                <w:rFonts w:ascii="David" w:hAnsi="David"/>
                <w:b w:val="0"/>
                <w:bCs w:val="0"/>
                <w:rtl/>
              </w:rPr>
              <w:t>תקציב 2019</w:t>
            </w:r>
          </w:p>
        </w:tc>
        <w:tc>
          <w:tcPr>
            <w:tcW w:w="1552" w:type="dxa"/>
            <w:tcBorders>
              <w:top w:val="single" w:sz="4" w:space="0" w:color="4F81BD" w:themeColor="accent1"/>
              <w:left w:val="nil"/>
              <w:bottom w:val="nil"/>
              <w:right w:val="nil"/>
            </w:tcBorders>
            <w:hideMark/>
          </w:tcPr>
          <w:p w:rsidR="005970AB" w:rsidRDefault="005970AB">
            <w:pPr>
              <w:cnfStyle w:val="100000000000" w:firstRow="1" w:lastRow="0" w:firstColumn="0" w:lastColumn="0" w:oddVBand="0" w:evenVBand="0" w:oddHBand="0" w:evenHBand="0" w:firstRowFirstColumn="0" w:firstRowLastColumn="0" w:lastRowFirstColumn="0" w:lastRowLastColumn="0"/>
              <w:rPr>
                <w:rFonts w:ascii="David" w:hAnsi="David"/>
                <w:b w:val="0"/>
                <w:bCs w:val="0"/>
              </w:rPr>
            </w:pPr>
            <w:r>
              <w:rPr>
                <w:rFonts w:ascii="David" w:hAnsi="David"/>
                <w:b w:val="0"/>
                <w:bCs w:val="0"/>
                <w:rtl/>
              </w:rPr>
              <w:t>עדכון</w:t>
            </w:r>
          </w:p>
        </w:tc>
        <w:tc>
          <w:tcPr>
            <w:tcW w:w="1552" w:type="dxa"/>
            <w:tcBorders>
              <w:top w:val="single" w:sz="4" w:space="0" w:color="4F81BD" w:themeColor="accent1"/>
              <w:left w:val="nil"/>
              <w:bottom w:val="nil"/>
              <w:right w:val="single" w:sz="4" w:space="0" w:color="4F81BD" w:themeColor="accent1"/>
            </w:tcBorders>
            <w:hideMark/>
          </w:tcPr>
          <w:p w:rsidR="005970AB" w:rsidRDefault="005970AB">
            <w:pPr>
              <w:cnfStyle w:val="100000000000" w:firstRow="1" w:lastRow="0" w:firstColumn="0" w:lastColumn="0" w:oddVBand="0" w:evenVBand="0" w:oddHBand="0" w:evenHBand="0" w:firstRowFirstColumn="0" w:firstRowLastColumn="0" w:lastRowFirstColumn="0" w:lastRowLastColumn="0"/>
              <w:rPr>
                <w:rFonts w:ascii="David" w:hAnsi="David"/>
                <w:b w:val="0"/>
                <w:bCs w:val="0"/>
                <w:rtl/>
              </w:rPr>
            </w:pPr>
            <w:r>
              <w:rPr>
                <w:rFonts w:ascii="David" w:hAnsi="David"/>
                <w:b w:val="0"/>
                <w:bCs w:val="0"/>
                <w:rtl/>
              </w:rPr>
              <w:t>פער</w:t>
            </w:r>
          </w:p>
        </w:tc>
      </w:tr>
      <w:tr w:rsidR="005970AB" w:rsidTr="005970AB">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3474" w:type="dxa"/>
            <w:tcBorders>
              <w:left w:val="single" w:sz="4" w:space="0" w:color="4F81BD" w:themeColor="accent1"/>
            </w:tcBorders>
            <w:hideMark/>
          </w:tcPr>
          <w:p w:rsidR="005970AB" w:rsidRDefault="005970AB">
            <w:pPr>
              <w:rPr>
                <w:rFonts w:ascii="David" w:hAnsi="David"/>
                <w:b w:val="0"/>
                <w:bCs w:val="0"/>
                <w:rtl/>
              </w:rPr>
            </w:pPr>
            <w:r>
              <w:rPr>
                <w:rFonts w:ascii="David" w:hAnsi="David"/>
                <w:b w:val="0"/>
                <w:bCs w:val="0"/>
                <w:rtl/>
              </w:rPr>
              <w:t>צמצום השימוש במזומן</w:t>
            </w:r>
          </w:p>
        </w:tc>
        <w:tc>
          <w:tcPr>
            <w:tcW w:w="1552"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Pr>
            </w:pPr>
            <w:r>
              <w:rPr>
                <w:rFonts w:ascii="David" w:hAnsi="David"/>
              </w:rPr>
              <w:t>0.53</w:t>
            </w:r>
          </w:p>
        </w:tc>
        <w:tc>
          <w:tcPr>
            <w:tcW w:w="1552"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Pr>
              <w:t>0.27</w:t>
            </w:r>
          </w:p>
        </w:tc>
        <w:tc>
          <w:tcPr>
            <w:tcW w:w="1552" w:type="dxa"/>
            <w:tcBorders>
              <w:left w:val="nil"/>
              <w:right w:val="single" w:sz="4" w:space="0" w:color="4F81BD" w:themeColor="accent1"/>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Pr>
              <w:t>-0.27</w:t>
            </w:r>
          </w:p>
        </w:tc>
      </w:tr>
      <w:tr w:rsidR="005970AB" w:rsidTr="005970AB">
        <w:trPr>
          <w:trHeight w:val="414"/>
        </w:trPr>
        <w:tc>
          <w:tcPr>
            <w:cnfStyle w:val="001000000000" w:firstRow="0" w:lastRow="0" w:firstColumn="1" w:lastColumn="0" w:oddVBand="0" w:evenVBand="0" w:oddHBand="0" w:evenHBand="0" w:firstRowFirstColumn="0" w:firstRowLastColumn="0" w:lastRowFirstColumn="0" w:lastRowLastColumn="0"/>
            <w:tcW w:w="3474" w:type="dxa"/>
            <w:tcBorders>
              <w:top w:val="nil"/>
              <w:left w:val="single" w:sz="4" w:space="0" w:color="4F81BD" w:themeColor="accent1"/>
              <w:bottom w:val="nil"/>
            </w:tcBorders>
            <w:hideMark/>
          </w:tcPr>
          <w:p w:rsidR="005970AB" w:rsidRDefault="005970AB">
            <w:pPr>
              <w:rPr>
                <w:rFonts w:ascii="David" w:hAnsi="David"/>
                <w:b w:val="0"/>
                <w:bCs w:val="0"/>
                <w:rtl/>
              </w:rPr>
            </w:pPr>
            <w:r>
              <w:rPr>
                <w:rFonts w:ascii="David" w:hAnsi="David"/>
                <w:b w:val="0"/>
                <w:bCs w:val="0"/>
                <w:rtl/>
              </w:rPr>
              <w:t>העלאת הבלו על פחם</w:t>
            </w:r>
            <w:r>
              <w:rPr>
                <w:rStyle w:val="ab"/>
                <w:rFonts w:ascii="David" w:hAnsi="David"/>
                <w:b w:val="0"/>
                <w:bCs w:val="0"/>
                <w:rtl/>
              </w:rPr>
              <w:footnoteReference w:id="10"/>
            </w:r>
          </w:p>
        </w:tc>
        <w:tc>
          <w:tcPr>
            <w:tcW w:w="1552" w:type="dxa"/>
            <w:tcBorders>
              <w:top w:val="nil"/>
              <w:left w:val="nil"/>
              <w:bottom w:val="nil"/>
              <w:right w:val="nil"/>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Pr>
              <w:t>0.5</w:t>
            </w:r>
          </w:p>
        </w:tc>
        <w:tc>
          <w:tcPr>
            <w:tcW w:w="1552" w:type="dxa"/>
            <w:tcBorders>
              <w:top w:val="nil"/>
              <w:left w:val="nil"/>
              <w:bottom w:val="nil"/>
              <w:right w:val="nil"/>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Pr>
              <w:t>0.5</w:t>
            </w:r>
          </w:p>
        </w:tc>
        <w:tc>
          <w:tcPr>
            <w:tcW w:w="1552" w:type="dxa"/>
            <w:tcBorders>
              <w:top w:val="nil"/>
              <w:left w:val="nil"/>
              <w:bottom w:val="nil"/>
              <w:right w:val="single" w:sz="4" w:space="0" w:color="4F81BD" w:themeColor="accent1"/>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מחייב מציאת מקור חלופי</w:t>
            </w:r>
          </w:p>
        </w:tc>
      </w:tr>
      <w:tr w:rsidR="005970AB" w:rsidTr="005970A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474" w:type="dxa"/>
            <w:tcBorders>
              <w:left w:val="single" w:sz="4" w:space="0" w:color="4F81BD" w:themeColor="accent1"/>
            </w:tcBorders>
            <w:hideMark/>
          </w:tcPr>
          <w:p w:rsidR="005970AB" w:rsidRDefault="005970AB">
            <w:pPr>
              <w:rPr>
                <w:rFonts w:ascii="David" w:hAnsi="David"/>
                <w:b w:val="0"/>
                <w:bCs w:val="0"/>
                <w:rtl/>
              </w:rPr>
            </w:pPr>
            <w:r>
              <w:rPr>
                <w:rFonts w:ascii="David" w:hAnsi="David"/>
                <w:b w:val="0"/>
                <w:bCs w:val="0"/>
                <w:rtl/>
              </w:rPr>
              <w:t>צמצום הסדר סולר</w:t>
            </w:r>
          </w:p>
        </w:tc>
        <w:tc>
          <w:tcPr>
            <w:tcW w:w="1552"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Pr>
              <w:t>0.1</w:t>
            </w:r>
          </w:p>
        </w:tc>
        <w:tc>
          <w:tcPr>
            <w:tcW w:w="1552"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0.07</w:t>
            </w:r>
          </w:p>
        </w:tc>
        <w:tc>
          <w:tcPr>
            <w:tcW w:w="1552" w:type="dxa"/>
            <w:tcBorders>
              <w:left w:val="nil"/>
              <w:right w:val="single" w:sz="4" w:space="0" w:color="4F81BD" w:themeColor="accent1"/>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Pr>
              <w:t>-0.03</w:t>
            </w:r>
          </w:p>
        </w:tc>
      </w:tr>
      <w:tr w:rsidR="005970AB" w:rsidTr="005970AB">
        <w:trPr>
          <w:trHeight w:val="414"/>
        </w:trPr>
        <w:tc>
          <w:tcPr>
            <w:cnfStyle w:val="001000000000" w:firstRow="0" w:lastRow="0" w:firstColumn="1" w:lastColumn="0" w:oddVBand="0" w:evenVBand="0" w:oddHBand="0" w:evenHBand="0" w:firstRowFirstColumn="0" w:firstRowLastColumn="0" w:lastRowFirstColumn="0" w:lastRowLastColumn="0"/>
            <w:tcW w:w="3474" w:type="dxa"/>
            <w:tcBorders>
              <w:top w:val="nil"/>
              <w:left w:val="single" w:sz="4" w:space="0" w:color="4F81BD" w:themeColor="accent1"/>
              <w:bottom w:val="nil"/>
            </w:tcBorders>
            <w:hideMark/>
          </w:tcPr>
          <w:p w:rsidR="005970AB" w:rsidRDefault="005970AB">
            <w:pPr>
              <w:rPr>
                <w:rFonts w:ascii="David" w:hAnsi="David"/>
                <w:b w:val="0"/>
                <w:bCs w:val="0"/>
                <w:rtl/>
              </w:rPr>
            </w:pPr>
            <w:r>
              <w:rPr>
                <w:rFonts w:ascii="David" w:hAnsi="David"/>
                <w:b w:val="0"/>
                <w:bCs w:val="0"/>
                <w:rtl/>
              </w:rPr>
              <w:t>העלאת בלו על פטקוק</w:t>
            </w:r>
          </w:p>
        </w:tc>
        <w:tc>
          <w:tcPr>
            <w:tcW w:w="1552" w:type="dxa"/>
            <w:tcBorders>
              <w:top w:val="nil"/>
              <w:left w:val="nil"/>
              <w:bottom w:val="nil"/>
              <w:right w:val="nil"/>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Pr>
              <w:t>0.04</w:t>
            </w:r>
          </w:p>
        </w:tc>
        <w:tc>
          <w:tcPr>
            <w:tcW w:w="1552" w:type="dxa"/>
            <w:tcBorders>
              <w:top w:val="nil"/>
              <w:left w:val="nil"/>
              <w:bottom w:val="nil"/>
              <w:right w:val="nil"/>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Pr>
              <w:t>0</w:t>
            </w:r>
          </w:p>
        </w:tc>
        <w:tc>
          <w:tcPr>
            <w:tcW w:w="1552" w:type="dxa"/>
            <w:tcBorders>
              <w:top w:val="nil"/>
              <w:left w:val="nil"/>
              <w:bottom w:val="nil"/>
              <w:right w:val="single" w:sz="4" w:space="0" w:color="4F81BD" w:themeColor="accent1"/>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Pr>
              <w:t>-0.04</w:t>
            </w:r>
          </w:p>
        </w:tc>
      </w:tr>
      <w:tr w:rsidR="005970AB" w:rsidTr="005970AB">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3474" w:type="dxa"/>
            <w:tcBorders>
              <w:left w:val="single" w:sz="4" w:space="0" w:color="4F81BD" w:themeColor="accent1"/>
            </w:tcBorders>
            <w:hideMark/>
          </w:tcPr>
          <w:p w:rsidR="005970AB" w:rsidRDefault="005970AB">
            <w:pPr>
              <w:rPr>
                <w:rFonts w:ascii="David" w:hAnsi="David"/>
                <w:b w:val="0"/>
                <w:bCs w:val="0"/>
                <w:rtl/>
              </w:rPr>
            </w:pPr>
            <w:r>
              <w:rPr>
                <w:rFonts w:ascii="David" w:hAnsi="David"/>
                <w:b w:val="0"/>
                <w:bCs w:val="0"/>
                <w:rtl/>
              </w:rPr>
              <w:t>הפחתת תקרת פטור מס על הימורים</w:t>
            </w:r>
          </w:p>
        </w:tc>
        <w:tc>
          <w:tcPr>
            <w:tcW w:w="1552"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Pr>
              <w:t>0.1</w:t>
            </w:r>
          </w:p>
        </w:tc>
        <w:tc>
          <w:tcPr>
            <w:tcW w:w="1552"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Pr>
              <w:t>0.1</w:t>
            </w:r>
          </w:p>
        </w:tc>
        <w:tc>
          <w:tcPr>
            <w:tcW w:w="1552" w:type="dxa"/>
            <w:tcBorders>
              <w:left w:val="nil"/>
              <w:right w:val="single" w:sz="4" w:space="0" w:color="4F81BD" w:themeColor="accent1"/>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Pr>
              <w:t>0</w:t>
            </w:r>
          </w:p>
        </w:tc>
      </w:tr>
      <w:tr w:rsidR="005970AB" w:rsidTr="005970AB">
        <w:trPr>
          <w:trHeight w:val="414"/>
        </w:trPr>
        <w:tc>
          <w:tcPr>
            <w:cnfStyle w:val="001000000000" w:firstRow="0" w:lastRow="0" w:firstColumn="1" w:lastColumn="0" w:oddVBand="0" w:evenVBand="0" w:oddHBand="0" w:evenHBand="0" w:firstRowFirstColumn="0" w:firstRowLastColumn="0" w:lastRowFirstColumn="0" w:lastRowLastColumn="0"/>
            <w:tcW w:w="3474" w:type="dxa"/>
            <w:tcBorders>
              <w:top w:val="nil"/>
              <w:left w:val="single" w:sz="4" w:space="0" w:color="4F81BD" w:themeColor="accent1"/>
              <w:bottom w:val="nil"/>
            </w:tcBorders>
            <w:hideMark/>
          </w:tcPr>
          <w:p w:rsidR="005970AB" w:rsidRDefault="005970AB">
            <w:pPr>
              <w:rPr>
                <w:rFonts w:ascii="David" w:hAnsi="David"/>
                <w:b w:val="0"/>
                <w:bCs w:val="0"/>
                <w:rtl/>
              </w:rPr>
            </w:pPr>
            <w:r>
              <w:rPr>
                <w:rFonts w:ascii="David" w:hAnsi="David"/>
                <w:b w:val="0"/>
                <w:bCs w:val="0"/>
                <w:rtl/>
              </w:rPr>
              <w:t>מיסוי קק"ל</w:t>
            </w:r>
          </w:p>
        </w:tc>
        <w:tc>
          <w:tcPr>
            <w:tcW w:w="1552" w:type="dxa"/>
            <w:tcBorders>
              <w:top w:val="nil"/>
              <w:left w:val="nil"/>
              <w:bottom w:val="nil"/>
              <w:right w:val="nil"/>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Pr>
              <w:t>0.1</w:t>
            </w:r>
          </w:p>
        </w:tc>
        <w:tc>
          <w:tcPr>
            <w:tcW w:w="1552" w:type="dxa"/>
            <w:tcBorders>
              <w:top w:val="nil"/>
              <w:left w:val="nil"/>
              <w:bottom w:val="nil"/>
              <w:right w:val="nil"/>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Pr>
              <w:t>0</w:t>
            </w:r>
          </w:p>
        </w:tc>
        <w:tc>
          <w:tcPr>
            <w:tcW w:w="1552" w:type="dxa"/>
            <w:tcBorders>
              <w:top w:val="nil"/>
              <w:left w:val="nil"/>
              <w:bottom w:val="nil"/>
              <w:right w:val="single" w:sz="4" w:space="0" w:color="4F81BD" w:themeColor="accent1"/>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Pr>
              <w:t>-0.1</w:t>
            </w:r>
          </w:p>
        </w:tc>
      </w:tr>
      <w:tr w:rsidR="005970AB" w:rsidTr="005970AB">
        <w:trPr>
          <w:cnfStyle w:val="000000100000" w:firstRow="0" w:lastRow="0" w:firstColumn="0" w:lastColumn="0" w:oddVBand="0" w:evenVBand="0" w:oddHBand="1" w:evenHBand="0"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3474" w:type="dxa"/>
            <w:tcBorders>
              <w:left w:val="single" w:sz="4" w:space="0" w:color="4F81BD" w:themeColor="accent1"/>
            </w:tcBorders>
            <w:hideMark/>
          </w:tcPr>
          <w:p w:rsidR="005970AB" w:rsidRDefault="005970AB">
            <w:pPr>
              <w:rPr>
                <w:rFonts w:ascii="David" w:hAnsi="David"/>
                <w:b w:val="0"/>
                <w:bCs w:val="0"/>
                <w:rtl/>
              </w:rPr>
            </w:pPr>
            <w:r>
              <w:rPr>
                <w:rFonts w:ascii="David" w:hAnsi="David"/>
                <w:b w:val="0"/>
                <w:bCs w:val="0"/>
                <w:rtl/>
              </w:rPr>
              <w:t>העלאת בלו על חומרים ממיסים</w:t>
            </w:r>
          </w:p>
        </w:tc>
        <w:tc>
          <w:tcPr>
            <w:tcW w:w="1552"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Pr>
              <w:t>0.15</w:t>
            </w:r>
          </w:p>
        </w:tc>
        <w:tc>
          <w:tcPr>
            <w:tcW w:w="1552" w:type="dxa"/>
            <w:tcBorders>
              <w:left w:val="nil"/>
              <w:right w:val="nil"/>
            </w:tcBorders>
            <w:hideMark/>
          </w:tcPr>
          <w:p w:rsidR="005970AB" w:rsidRDefault="005970AB" w:rsidP="005E73C9">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0.3</w:t>
            </w:r>
            <w:r w:rsidR="00993504">
              <w:rPr>
                <w:rFonts w:ascii="David" w:hAnsi="David" w:hint="cs"/>
                <w:rtl/>
              </w:rPr>
              <w:t>-</w:t>
            </w:r>
          </w:p>
        </w:tc>
        <w:tc>
          <w:tcPr>
            <w:tcW w:w="1552" w:type="dxa"/>
            <w:tcBorders>
              <w:left w:val="nil"/>
              <w:right w:val="single" w:sz="4" w:space="0" w:color="4F81BD" w:themeColor="accent1"/>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0.45-</w:t>
            </w:r>
          </w:p>
        </w:tc>
      </w:tr>
      <w:tr w:rsidR="005970AB" w:rsidTr="005970AB">
        <w:trPr>
          <w:trHeight w:val="414"/>
        </w:trPr>
        <w:tc>
          <w:tcPr>
            <w:cnfStyle w:val="001000000000" w:firstRow="0" w:lastRow="0" w:firstColumn="1" w:lastColumn="0" w:oddVBand="0" w:evenVBand="0" w:oddHBand="0" w:evenHBand="0" w:firstRowFirstColumn="0" w:firstRowLastColumn="0" w:lastRowFirstColumn="0" w:lastRowLastColumn="0"/>
            <w:tcW w:w="3474" w:type="dxa"/>
            <w:tcBorders>
              <w:top w:val="nil"/>
              <w:left w:val="single" w:sz="4" w:space="0" w:color="4F81BD" w:themeColor="accent1"/>
              <w:bottom w:val="nil"/>
            </w:tcBorders>
            <w:hideMark/>
          </w:tcPr>
          <w:p w:rsidR="005970AB" w:rsidRDefault="005970AB">
            <w:pPr>
              <w:rPr>
                <w:rFonts w:ascii="David" w:hAnsi="David"/>
                <w:b w:val="0"/>
                <w:bCs w:val="0"/>
                <w:rtl/>
              </w:rPr>
            </w:pPr>
            <w:r>
              <w:rPr>
                <w:rFonts w:ascii="David" w:hAnsi="David"/>
                <w:b w:val="0"/>
                <w:bCs w:val="0"/>
                <w:rtl/>
              </w:rPr>
              <w:t>הקדמת הפרשות למס רכוש</w:t>
            </w:r>
          </w:p>
        </w:tc>
        <w:tc>
          <w:tcPr>
            <w:tcW w:w="1552" w:type="dxa"/>
            <w:tcBorders>
              <w:top w:val="nil"/>
              <w:left w:val="nil"/>
              <w:bottom w:val="nil"/>
              <w:right w:val="nil"/>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Pr>
              <w:t>1.6</w:t>
            </w:r>
          </w:p>
        </w:tc>
        <w:tc>
          <w:tcPr>
            <w:tcW w:w="1552" w:type="dxa"/>
            <w:tcBorders>
              <w:top w:val="nil"/>
              <w:left w:val="nil"/>
              <w:bottom w:val="nil"/>
              <w:right w:val="nil"/>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Pr>
              <w:t>1.6</w:t>
            </w:r>
          </w:p>
        </w:tc>
        <w:tc>
          <w:tcPr>
            <w:tcW w:w="1552" w:type="dxa"/>
            <w:tcBorders>
              <w:top w:val="nil"/>
              <w:left w:val="nil"/>
              <w:bottom w:val="nil"/>
              <w:right w:val="single" w:sz="4" w:space="0" w:color="4F81BD" w:themeColor="accent1"/>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p>
        </w:tc>
      </w:tr>
      <w:tr w:rsidR="005970AB" w:rsidTr="005970AB">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3474" w:type="dxa"/>
            <w:tcBorders>
              <w:left w:val="single" w:sz="4" w:space="0" w:color="4F81BD" w:themeColor="accent1"/>
            </w:tcBorders>
            <w:hideMark/>
          </w:tcPr>
          <w:p w:rsidR="005970AB" w:rsidRDefault="005970AB">
            <w:pPr>
              <w:rPr>
                <w:rFonts w:ascii="David" w:hAnsi="David"/>
                <w:b w:val="0"/>
                <w:bCs w:val="0"/>
              </w:rPr>
            </w:pPr>
            <w:r>
              <w:rPr>
                <w:rFonts w:ascii="David" w:hAnsi="David"/>
                <w:b w:val="0"/>
                <w:bCs w:val="0"/>
                <w:rtl/>
              </w:rPr>
              <w:t xml:space="preserve">תוספות נקודות זיכוי להורים </w:t>
            </w:r>
          </w:p>
        </w:tc>
        <w:tc>
          <w:tcPr>
            <w:tcW w:w="1552"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Pr>
            </w:pPr>
            <w:r>
              <w:rPr>
                <w:rFonts w:ascii="David" w:hAnsi="David"/>
              </w:rPr>
              <w:t>-1.7</w:t>
            </w:r>
          </w:p>
        </w:tc>
        <w:tc>
          <w:tcPr>
            <w:tcW w:w="1552"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Pr>
              <w:t>-1.7</w:t>
            </w:r>
          </w:p>
        </w:tc>
        <w:tc>
          <w:tcPr>
            <w:tcW w:w="1552" w:type="dxa"/>
            <w:tcBorders>
              <w:left w:val="nil"/>
              <w:right w:val="single" w:sz="4" w:space="0" w:color="4F81BD" w:themeColor="accent1"/>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p>
        </w:tc>
      </w:tr>
      <w:tr w:rsidR="005970AB" w:rsidTr="005970AB">
        <w:trPr>
          <w:trHeight w:val="414"/>
        </w:trPr>
        <w:tc>
          <w:tcPr>
            <w:cnfStyle w:val="001000000000" w:firstRow="0" w:lastRow="0" w:firstColumn="1" w:lastColumn="0" w:oddVBand="0" w:evenVBand="0" w:oddHBand="0" w:evenHBand="0" w:firstRowFirstColumn="0" w:firstRowLastColumn="0" w:lastRowFirstColumn="0" w:lastRowLastColumn="0"/>
            <w:tcW w:w="3474" w:type="dxa"/>
            <w:tcBorders>
              <w:top w:val="nil"/>
              <w:left w:val="single" w:sz="4" w:space="0" w:color="4F81BD" w:themeColor="accent1"/>
              <w:bottom w:val="nil"/>
            </w:tcBorders>
            <w:hideMark/>
          </w:tcPr>
          <w:p w:rsidR="005970AB" w:rsidRDefault="005970AB">
            <w:pPr>
              <w:rPr>
                <w:rFonts w:ascii="David" w:hAnsi="David"/>
                <w:b w:val="0"/>
                <w:bCs w:val="0"/>
              </w:rPr>
            </w:pPr>
            <w:r>
              <w:rPr>
                <w:rFonts w:ascii="David" w:hAnsi="David"/>
                <w:b w:val="0"/>
                <w:bCs w:val="0"/>
                <w:rtl/>
              </w:rPr>
              <w:t xml:space="preserve">הפחתת מכסים אפריל 17 </w:t>
            </w:r>
          </w:p>
        </w:tc>
        <w:tc>
          <w:tcPr>
            <w:tcW w:w="1552" w:type="dxa"/>
            <w:tcBorders>
              <w:top w:val="nil"/>
              <w:left w:val="nil"/>
              <w:bottom w:val="nil"/>
              <w:right w:val="nil"/>
            </w:tcBorders>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Pr>
            </w:pPr>
          </w:p>
        </w:tc>
        <w:tc>
          <w:tcPr>
            <w:tcW w:w="1552" w:type="dxa"/>
            <w:tcBorders>
              <w:top w:val="nil"/>
              <w:left w:val="nil"/>
              <w:bottom w:val="nil"/>
              <w:right w:val="nil"/>
            </w:tcBorders>
            <w:hideMark/>
          </w:tcPr>
          <w:p w:rsidR="005970AB" w:rsidRDefault="005970AB" w:rsidP="005E73C9">
            <w:pP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0.6</w:t>
            </w:r>
            <w:r w:rsidR="00993504">
              <w:rPr>
                <w:rFonts w:ascii="David" w:hAnsi="David" w:hint="cs"/>
                <w:rtl/>
              </w:rPr>
              <w:t>-</w:t>
            </w:r>
          </w:p>
        </w:tc>
        <w:tc>
          <w:tcPr>
            <w:tcW w:w="1552" w:type="dxa"/>
            <w:tcBorders>
              <w:top w:val="nil"/>
              <w:left w:val="nil"/>
              <w:bottom w:val="nil"/>
              <w:right w:val="single" w:sz="4" w:space="0" w:color="4F81BD" w:themeColor="accent1"/>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0.6-</w:t>
            </w:r>
          </w:p>
        </w:tc>
      </w:tr>
      <w:tr w:rsidR="005970AB" w:rsidTr="005970AB">
        <w:trPr>
          <w:cnfStyle w:val="000000100000" w:firstRow="0" w:lastRow="0" w:firstColumn="0" w:lastColumn="0" w:oddVBand="0" w:evenVBand="0" w:oddHBand="1" w:evenHBand="0" w:firstRowFirstColumn="0" w:firstRowLastColumn="0" w:lastRowFirstColumn="0" w:lastRowLastColumn="0"/>
          <w:trHeight w:val="45"/>
        </w:trPr>
        <w:tc>
          <w:tcPr>
            <w:cnfStyle w:val="001000000000" w:firstRow="0" w:lastRow="0" w:firstColumn="1" w:lastColumn="0" w:oddVBand="0" w:evenVBand="0" w:oddHBand="0" w:evenHBand="0" w:firstRowFirstColumn="0" w:firstRowLastColumn="0" w:lastRowFirstColumn="0" w:lastRowLastColumn="0"/>
            <w:tcW w:w="3474" w:type="dxa"/>
            <w:tcBorders>
              <w:left w:val="single" w:sz="4" w:space="0" w:color="4F81BD" w:themeColor="accent1"/>
            </w:tcBorders>
            <w:hideMark/>
          </w:tcPr>
          <w:p w:rsidR="005970AB" w:rsidRDefault="005970AB">
            <w:pPr>
              <w:rPr>
                <w:rFonts w:ascii="David" w:hAnsi="David"/>
                <w:b w:val="0"/>
                <w:bCs w:val="0"/>
                <w:rtl/>
              </w:rPr>
            </w:pPr>
            <w:r>
              <w:rPr>
                <w:rFonts w:ascii="David" w:hAnsi="David"/>
                <w:b w:val="0"/>
                <w:bCs w:val="0"/>
                <w:rtl/>
              </w:rPr>
              <w:t>הפחתת מכסים דצמבר 17</w:t>
            </w:r>
          </w:p>
        </w:tc>
        <w:tc>
          <w:tcPr>
            <w:tcW w:w="1552" w:type="dxa"/>
            <w:tcBorders>
              <w:left w:val="nil"/>
              <w:right w:val="nil"/>
            </w:tcBorders>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Pr>
            </w:pPr>
          </w:p>
        </w:tc>
        <w:tc>
          <w:tcPr>
            <w:tcW w:w="1552"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Pr>
              <w:t>-0.8</w:t>
            </w:r>
          </w:p>
        </w:tc>
        <w:tc>
          <w:tcPr>
            <w:tcW w:w="1552" w:type="dxa"/>
            <w:tcBorders>
              <w:left w:val="nil"/>
              <w:right w:val="single" w:sz="4" w:space="0" w:color="4F81BD" w:themeColor="accent1"/>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ascii="David" w:hAnsi="David"/>
                <w:rtl/>
              </w:rPr>
            </w:pPr>
            <w:r>
              <w:rPr>
                <w:rFonts w:ascii="David" w:hAnsi="David"/>
                <w:rtl/>
              </w:rPr>
              <w:t>0.8-</w:t>
            </w:r>
          </w:p>
        </w:tc>
      </w:tr>
      <w:tr w:rsidR="005970AB" w:rsidTr="005970AB">
        <w:trPr>
          <w:trHeight w:val="45"/>
        </w:trPr>
        <w:tc>
          <w:tcPr>
            <w:cnfStyle w:val="001000000000" w:firstRow="0" w:lastRow="0" w:firstColumn="1" w:lastColumn="0" w:oddVBand="0" w:evenVBand="0" w:oddHBand="0" w:evenHBand="0" w:firstRowFirstColumn="0" w:firstRowLastColumn="0" w:lastRowFirstColumn="0" w:lastRowLastColumn="0"/>
            <w:tcW w:w="3474" w:type="dxa"/>
            <w:tcBorders>
              <w:top w:val="nil"/>
              <w:left w:val="single" w:sz="4" w:space="0" w:color="4F81BD" w:themeColor="accent1"/>
              <w:bottom w:val="single" w:sz="4" w:space="0" w:color="4F81BD" w:themeColor="accent1"/>
            </w:tcBorders>
            <w:hideMark/>
          </w:tcPr>
          <w:p w:rsidR="005970AB" w:rsidRDefault="005970AB">
            <w:pPr>
              <w:rPr>
                <w:rFonts w:ascii="David" w:hAnsi="David"/>
                <w:b w:val="0"/>
                <w:bCs w:val="0"/>
                <w:rtl/>
              </w:rPr>
            </w:pPr>
            <w:r>
              <w:rPr>
                <w:rFonts w:ascii="David" w:hAnsi="David"/>
                <w:b w:val="0"/>
                <w:bCs w:val="0"/>
                <w:rtl/>
              </w:rPr>
              <w:t>דחיית מיסוי ירוק + היברידי</w:t>
            </w:r>
          </w:p>
        </w:tc>
        <w:tc>
          <w:tcPr>
            <w:tcW w:w="1552" w:type="dxa"/>
            <w:tcBorders>
              <w:top w:val="nil"/>
              <w:left w:val="nil"/>
              <w:bottom w:val="single" w:sz="4" w:space="0" w:color="4F81BD" w:themeColor="accent1"/>
              <w:right w:val="nil"/>
            </w:tcBorders>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tl/>
              </w:rPr>
            </w:pPr>
          </w:p>
        </w:tc>
        <w:tc>
          <w:tcPr>
            <w:tcW w:w="1552" w:type="dxa"/>
            <w:tcBorders>
              <w:top w:val="nil"/>
              <w:left w:val="nil"/>
              <w:bottom w:val="single" w:sz="4" w:space="0" w:color="4F81BD" w:themeColor="accent1"/>
              <w:right w:val="nil"/>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Pr>
            </w:pPr>
            <w:r>
              <w:rPr>
                <w:rFonts w:ascii="David" w:hAnsi="David"/>
                <w:rtl/>
              </w:rPr>
              <w:t>0.6-</w:t>
            </w:r>
          </w:p>
        </w:tc>
        <w:tc>
          <w:tcPr>
            <w:tcW w:w="1552" w:type="dxa"/>
            <w:tcBorders>
              <w:top w:val="nil"/>
              <w:left w:val="nil"/>
              <w:bottom w:val="single" w:sz="4" w:space="0" w:color="4F81BD" w:themeColor="accent1"/>
              <w:right w:val="single" w:sz="4" w:space="0" w:color="4F81BD" w:themeColor="accent1"/>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ascii="David" w:hAnsi="David"/>
              </w:rPr>
            </w:pPr>
            <w:r>
              <w:rPr>
                <w:rFonts w:ascii="David" w:hAnsi="David"/>
                <w:rtl/>
              </w:rPr>
              <w:t>0.6-</w:t>
            </w:r>
          </w:p>
        </w:tc>
      </w:tr>
    </w:tbl>
    <w:p w:rsidR="005970AB" w:rsidRDefault="005970AB" w:rsidP="005970AB">
      <w:pPr>
        <w:rPr>
          <w:sz w:val="22"/>
          <w:szCs w:val="22"/>
          <w:rtl/>
        </w:rPr>
      </w:pPr>
      <w:r>
        <w:rPr>
          <w:sz w:val="22"/>
          <w:szCs w:val="22"/>
          <w:rtl/>
        </w:rPr>
        <w:t>מקור: הערכות שהתקבלו מגורמי מקצוע רלוונטיים במשרד האוצר</w:t>
      </w:r>
    </w:p>
    <w:p w:rsidR="005970AB" w:rsidRDefault="005970AB" w:rsidP="005970AB">
      <w:pPr>
        <w:rPr>
          <w:b/>
          <w:bCs/>
          <w:rtl/>
        </w:rPr>
      </w:pPr>
    </w:p>
    <w:p w:rsidR="005970AB" w:rsidRDefault="005970AB" w:rsidP="005970AB">
      <w:pPr>
        <w:bidi w:val="0"/>
        <w:spacing w:before="200" w:after="200" w:line="276" w:lineRule="auto"/>
        <w:rPr>
          <w:b/>
          <w:bCs/>
        </w:rPr>
      </w:pPr>
      <w:r>
        <w:rPr>
          <w:b/>
          <w:bCs/>
          <w:rtl/>
        </w:rPr>
        <w:br w:type="page"/>
      </w:r>
    </w:p>
    <w:p w:rsidR="005970AB" w:rsidRDefault="005970AB" w:rsidP="005970AB">
      <w:pPr>
        <w:rPr>
          <w:b/>
          <w:bCs/>
          <w:rtl/>
        </w:rPr>
      </w:pPr>
      <w:r>
        <w:rPr>
          <w:b/>
          <w:bCs/>
          <w:rtl/>
        </w:rPr>
        <w:lastRenderedPageBreak/>
        <w:t>עדכון תחזית ההכנסות לשנת 2019</w:t>
      </w:r>
    </w:p>
    <w:p w:rsidR="005970AB" w:rsidRDefault="005970AB" w:rsidP="005970AB">
      <w:pPr>
        <w:rPr>
          <w:rtl/>
        </w:rPr>
      </w:pPr>
      <w:r>
        <w:rPr>
          <w:rtl/>
        </w:rPr>
        <w:t xml:space="preserve">העדכון כלפי מטה </w:t>
      </w:r>
      <w:r>
        <w:rPr>
          <w:b/>
          <w:bCs/>
          <w:rtl/>
        </w:rPr>
        <w:t>בתחזית ההכנסות ממסים בשנת 2019</w:t>
      </w:r>
      <w:r>
        <w:rPr>
          <w:rtl/>
        </w:rPr>
        <w:t xml:space="preserve"> מסתכם ב-4.7 מיליארד ש"ח. תחזית ההכנסות ממסים ישירים עודכנה כלפי מטה ב-3.5 מיליארד ₪. העדכון משקף הרעה מסוימת בשוק העבודה, בדגש על יצירת משרות, ירידות חריפות בשווקי ההון בשלהי 2018, וזאת לצד החלשות בתוואי הגביה במהלך שנת 2018, כאמור. תחזית ההכנסות ממסים עקיפים עודכנה כלפי מטה ב-1.7 מיליארד ₪, בעיקר לאור ביטול צעדים בתקציב 2019 המקורי שנועדו להעלות את ההכנסות בסעיף זה, לצד התמתנות החזויה בגידול הצריכה הפרטית.</w:t>
      </w:r>
    </w:p>
    <w:p w:rsidR="005970AB" w:rsidRDefault="005970AB" w:rsidP="005970AB">
      <w:pPr>
        <w:rPr>
          <w:rtl/>
        </w:rPr>
      </w:pPr>
      <w:r>
        <w:rPr>
          <w:rtl/>
        </w:rPr>
        <w:t xml:space="preserve">בהקשר לתחזית זו, התקבלה התייחסות של רשות המסים, שמעריכה כי ההכנסות תהיינה נמוכות יותר, בעיקר לאור התייחסות שונה לגבייה בגין שומות בהיקף חריג. </w:t>
      </w:r>
    </w:p>
    <w:p w:rsidR="005970AB" w:rsidRDefault="005970AB" w:rsidP="005970AB">
      <w:pPr>
        <w:rPr>
          <w:rFonts w:ascii="David" w:hAnsi="David"/>
          <w:rtl/>
        </w:rPr>
      </w:pPr>
      <w:r>
        <w:rPr>
          <w:rFonts w:ascii="David" w:hAnsi="David"/>
          <w:rtl/>
        </w:rPr>
        <w:t xml:space="preserve">תחזית </w:t>
      </w:r>
      <w:r>
        <w:rPr>
          <w:rFonts w:ascii="David" w:hAnsi="David"/>
          <w:b/>
          <w:bCs/>
          <w:rtl/>
        </w:rPr>
        <w:t>ההכנסות האחרות לשנת 2019</w:t>
      </w:r>
      <w:r>
        <w:rPr>
          <w:rFonts w:ascii="David" w:hAnsi="David"/>
          <w:rtl/>
        </w:rPr>
        <w:t xml:space="preserve"> עומדת על 31.8 מיליארד ₪, עדכון כלפי מטה בסך 1.8 מיליארד ₪. העדכון נובע מצעדי המדיניות (ביטול צעדים וביצוע חלקי בהשוואה לאלו שנכללו בתקציב לשנת 2019).</w:t>
      </w:r>
    </w:p>
    <w:p w:rsidR="005970AB" w:rsidRDefault="005970AB" w:rsidP="005970AB">
      <w:pPr>
        <w:rPr>
          <w:b/>
          <w:bCs/>
          <w:rtl/>
        </w:rPr>
      </w:pPr>
    </w:p>
    <w:p w:rsidR="005970AB" w:rsidRDefault="005970AB" w:rsidP="005970AB">
      <w:pPr>
        <w:rPr>
          <w:b/>
          <w:bCs/>
          <w:rtl/>
        </w:rPr>
      </w:pPr>
      <w:r>
        <w:rPr>
          <w:b/>
          <w:bCs/>
          <w:rtl/>
        </w:rPr>
        <w:t>צעדים בתחום הכנסות אחרות</w:t>
      </w:r>
    </w:p>
    <w:tbl>
      <w:tblPr>
        <w:tblStyle w:val="-120"/>
        <w:bidiVisual/>
        <w:tblW w:w="0" w:type="auto"/>
        <w:tblLook w:val="04A0" w:firstRow="1" w:lastRow="0" w:firstColumn="1" w:lastColumn="0" w:noHBand="0" w:noVBand="1"/>
      </w:tblPr>
      <w:tblGrid>
        <w:gridCol w:w="4055"/>
        <w:gridCol w:w="1416"/>
        <w:gridCol w:w="1415"/>
        <w:gridCol w:w="1400"/>
      </w:tblGrid>
      <w:tr w:rsidR="005970AB" w:rsidTr="005970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59" w:type="dxa"/>
            <w:tcBorders>
              <w:top w:val="single" w:sz="8" w:space="0" w:color="4F81BD"/>
              <w:left w:val="single" w:sz="8" w:space="0" w:color="4F81BD"/>
              <w:bottom w:val="nil"/>
              <w:right w:val="nil"/>
            </w:tcBorders>
            <w:hideMark/>
          </w:tcPr>
          <w:p w:rsidR="005970AB" w:rsidRDefault="005970AB">
            <w:pPr>
              <w:rPr>
                <w:rFonts w:eastAsiaTheme="minorHAnsi"/>
                <w:rtl/>
              </w:rPr>
            </w:pPr>
            <w:r>
              <w:rPr>
                <w:rFonts w:eastAsiaTheme="minorHAnsi"/>
                <w:rtl/>
              </w:rPr>
              <w:t>צעדי ההתאמה</w:t>
            </w:r>
          </w:p>
        </w:tc>
        <w:tc>
          <w:tcPr>
            <w:tcW w:w="4234" w:type="dxa"/>
            <w:gridSpan w:val="3"/>
            <w:tcBorders>
              <w:top w:val="single" w:sz="8" w:space="0" w:color="4F81BD"/>
              <w:left w:val="nil"/>
              <w:bottom w:val="nil"/>
              <w:right w:val="single" w:sz="8" w:space="0" w:color="4F81BD"/>
            </w:tcBorders>
            <w:hideMark/>
          </w:tcPr>
          <w:p w:rsidR="005970AB" w:rsidRDefault="005970AB">
            <w:pPr>
              <w:jc w:val="center"/>
              <w:cnfStyle w:val="100000000000" w:firstRow="1" w:lastRow="0" w:firstColumn="0" w:lastColumn="0" w:oddVBand="0" w:evenVBand="0" w:oddHBand="0" w:evenHBand="0" w:firstRowFirstColumn="0" w:firstRowLastColumn="0" w:lastRowFirstColumn="0" w:lastRowLastColumn="0"/>
              <w:rPr>
                <w:rFonts w:eastAsiaTheme="minorHAnsi"/>
                <w:rtl/>
              </w:rPr>
            </w:pPr>
            <w:r>
              <w:rPr>
                <w:rFonts w:eastAsiaTheme="minorHAnsi"/>
                <w:rtl/>
              </w:rPr>
              <w:t>אומדן במיליארדי ₪</w:t>
            </w:r>
          </w:p>
        </w:tc>
      </w:tr>
      <w:tr w:rsidR="005970AB" w:rsidTr="00597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59" w:type="dxa"/>
            <w:tcBorders>
              <w:right w:val="nil"/>
            </w:tcBorders>
          </w:tcPr>
          <w:p w:rsidR="005970AB" w:rsidRDefault="005970AB">
            <w:pPr>
              <w:rPr>
                <w:rFonts w:eastAsiaTheme="minorHAnsi"/>
                <w:b w:val="0"/>
                <w:bCs w:val="0"/>
                <w:rtl/>
              </w:rPr>
            </w:pPr>
          </w:p>
        </w:tc>
        <w:tc>
          <w:tcPr>
            <w:tcW w:w="1417"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eastAsiaTheme="minorHAnsi"/>
                <w:rtl/>
              </w:rPr>
            </w:pPr>
            <w:r>
              <w:rPr>
                <w:rFonts w:eastAsiaTheme="minorHAnsi"/>
                <w:rtl/>
              </w:rPr>
              <w:t>תקציב 2019</w:t>
            </w:r>
          </w:p>
        </w:tc>
        <w:tc>
          <w:tcPr>
            <w:tcW w:w="1416" w:type="dxa"/>
            <w:tcBorders>
              <w:left w:val="nil"/>
              <w:right w:val="nil"/>
            </w:tcBorders>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eastAsiaTheme="minorHAnsi"/>
                <w:rtl/>
              </w:rPr>
            </w:pPr>
            <w:r>
              <w:rPr>
                <w:rFonts w:eastAsiaTheme="minorHAnsi"/>
                <w:rtl/>
              </w:rPr>
              <w:t>עדכון נוכחי</w:t>
            </w:r>
          </w:p>
        </w:tc>
        <w:tc>
          <w:tcPr>
            <w:tcW w:w="1401" w:type="dxa"/>
            <w:tcBorders>
              <w:left w:val="nil"/>
            </w:tcBorders>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eastAsiaTheme="minorHAnsi"/>
                <w:rtl/>
              </w:rPr>
            </w:pPr>
            <w:r>
              <w:rPr>
                <w:rFonts w:eastAsiaTheme="minorHAnsi"/>
                <w:rtl/>
              </w:rPr>
              <w:t>פער</w:t>
            </w:r>
          </w:p>
        </w:tc>
      </w:tr>
      <w:tr w:rsidR="005970AB" w:rsidTr="005970AB">
        <w:tc>
          <w:tcPr>
            <w:cnfStyle w:val="001000000000" w:firstRow="0" w:lastRow="0" w:firstColumn="1" w:lastColumn="0" w:oddVBand="0" w:evenVBand="0" w:oddHBand="0" w:evenHBand="0" w:firstRowFirstColumn="0" w:firstRowLastColumn="0" w:lastRowFirstColumn="0" w:lastRowLastColumn="0"/>
            <w:tcW w:w="4059" w:type="dxa"/>
            <w:tcBorders>
              <w:top w:val="nil"/>
              <w:left w:val="single" w:sz="8" w:space="0" w:color="4F81BD"/>
              <w:bottom w:val="nil"/>
              <w:right w:val="nil"/>
            </w:tcBorders>
            <w:hideMark/>
          </w:tcPr>
          <w:p w:rsidR="005970AB" w:rsidRDefault="005970AB">
            <w:pPr>
              <w:rPr>
                <w:rFonts w:eastAsiaTheme="minorHAnsi"/>
                <w:b w:val="0"/>
                <w:bCs w:val="0"/>
                <w:rtl/>
              </w:rPr>
            </w:pPr>
            <w:r>
              <w:rPr>
                <w:rFonts w:eastAsiaTheme="minorHAnsi"/>
                <w:b w:val="0"/>
                <w:bCs w:val="0"/>
                <w:rtl/>
              </w:rPr>
              <w:t>תמלוגים וגביית דיבידנד</w:t>
            </w:r>
          </w:p>
        </w:tc>
        <w:tc>
          <w:tcPr>
            <w:tcW w:w="1417" w:type="dxa"/>
            <w:tcBorders>
              <w:top w:val="nil"/>
              <w:left w:val="nil"/>
              <w:bottom w:val="nil"/>
              <w:right w:val="nil"/>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eastAsiaTheme="minorHAnsi"/>
                <w:rtl/>
              </w:rPr>
            </w:pPr>
            <w:r>
              <w:rPr>
                <w:rFonts w:eastAsiaTheme="minorHAnsi"/>
                <w:rtl/>
              </w:rPr>
              <w:t>2.2</w:t>
            </w:r>
          </w:p>
        </w:tc>
        <w:tc>
          <w:tcPr>
            <w:tcW w:w="1416" w:type="dxa"/>
            <w:tcBorders>
              <w:top w:val="nil"/>
              <w:left w:val="nil"/>
              <w:bottom w:val="nil"/>
              <w:right w:val="nil"/>
            </w:tcBorders>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eastAsiaTheme="minorHAnsi"/>
                <w:rtl/>
              </w:rPr>
            </w:pPr>
            <w:r>
              <w:rPr>
                <w:rFonts w:eastAsiaTheme="minorHAnsi"/>
                <w:rtl/>
              </w:rPr>
              <w:t>1.7</w:t>
            </w:r>
          </w:p>
        </w:tc>
        <w:tc>
          <w:tcPr>
            <w:tcW w:w="1401" w:type="dxa"/>
            <w:tcBorders>
              <w:top w:val="nil"/>
              <w:left w:val="nil"/>
              <w:bottom w:val="nil"/>
              <w:right w:val="single" w:sz="8" w:space="0" w:color="4F81BD"/>
            </w:tcBorders>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eastAsiaTheme="minorHAnsi"/>
                <w:rtl/>
              </w:rPr>
            </w:pPr>
            <w:r>
              <w:rPr>
                <w:rFonts w:eastAsiaTheme="minorHAnsi"/>
                <w:rtl/>
              </w:rPr>
              <w:t>0.5-</w:t>
            </w:r>
          </w:p>
        </w:tc>
      </w:tr>
      <w:tr w:rsidR="005970AB" w:rsidTr="00597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59" w:type="dxa"/>
            <w:tcBorders>
              <w:right w:val="nil"/>
            </w:tcBorders>
            <w:hideMark/>
          </w:tcPr>
          <w:p w:rsidR="005970AB" w:rsidRDefault="005970AB">
            <w:pPr>
              <w:rPr>
                <w:rFonts w:eastAsiaTheme="minorHAnsi"/>
                <w:b w:val="0"/>
                <w:bCs w:val="0"/>
                <w:rtl/>
              </w:rPr>
            </w:pPr>
            <w:r>
              <w:rPr>
                <w:rFonts w:eastAsiaTheme="minorHAnsi"/>
                <w:b w:val="0"/>
                <w:bCs w:val="0"/>
                <w:rtl/>
              </w:rPr>
              <w:t>המועצה להסדר הימורים בספורט</w:t>
            </w:r>
          </w:p>
        </w:tc>
        <w:tc>
          <w:tcPr>
            <w:tcW w:w="1417"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eastAsiaTheme="minorHAnsi"/>
                <w:rtl/>
              </w:rPr>
            </w:pPr>
            <w:r>
              <w:rPr>
                <w:rFonts w:eastAsiaTheme="minorHAnsi"/>
                <w:rtl/>
              </w:rPr>
              <w:t>0.6</w:t>
            </w:r>
          </w:p>
        </w:tc>
        <w:tc>
          <w:tcPr>
            <w:tcW w:w="1416" w:type="dxa"/>
            <w:tcBorders>
              <w:left w:val="nil"/>
              <w:right w:val="nil"/>
            </w:tcBorders>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eastAsiaTheme="minorHAnsi"/>
                <w:rtl/>
              </w:rPr>
            </w:pPr>
            <w:r>
              <w:rPr>
                <w:rFonts w:eastAsiaTheme="minorHAnsi"/>
                <w:rtl/>
              </w:rPr>
              <w:t>0.6</w:t>
            </w:r>
          </w:p>
        </w:tc>
        <w:tc>
          <w:tcPr>
            <w:tcW w:w="1401" w:type="dxa"/>
            <w:tcBorders>
              <w:left w:val="nil"/>
            </w:tcBorders>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eastAsiaTheme="minorHAnsi"/>
                <w:rtl/>
              </w:rPr>
            </w:pPr>
          </w:p>
        </w:tc>
      </w:tr>
      <w:tr w:rsidR="005970AB" w:rsidTr="005970AB">
        <w:trPr>
          <w:trHeight w:val="159"/>
        </w:trPr>
        <w:tc>
          <w:tcPr>
            <w:cnfStyle w:val="001000000000" w:firstRow="0" w:lastRow="0" w:firstColumn="1" w:lastColumn="0" w:oddVBand="0" w:evenVBand="0" w:oddHBand="0" w:evenHBand="0" w:firstRowFirstColumn="0" w:firstRowLastColumn="0" w:lastRowFirstColumn="0" w:lastRowLastColumn="0"/>
            <w:tcW w:w="4059" w:type="dxa"/>
            <w:tcBorders>
              <w:top w:val="nil"/>
              <w:left w:val="single" w:sz="8" w:space="0" w:color="4F81BD"/>
              <w:bottom w:val="nil"/>
              <w:right w:val="nil"/>
            </w:tcBorders>
            <w:hideMark/>
          </w:tcPr>
          <w:p w:rsidR="005970AB" w:rsidRDefault="005970AB">
            <w:pPr>
              <w:rPr>
                <w:rFonts w:eastAsiaTheme="minorHAnsi"/>
                <w:b w:val="0"/>
                <w:bCs w:val="0"/>
                <w:rtl/>
              </w:rPr>
            </w:pPr>
            <w:r>
              <w:rPr>
                <w:rFonts w:eastAsiaTheme="minorHAnsi"/>
                <w:b w:val="0"/>
                <w:bCs w:val="0"/>
                <w:rtl/>
              </w:rPr>
              <w:t>הכנסות ממכירת חברה</w:t>
            </w:r>
          </w:p>
        </w:tc>
        <w:tc>
          <w:tcPr>
            <w:tcW w:w="1417" w:type="dxa"/>
            <w:tcBorders>
              <w:top w:val="nil"/>
              <w:left w:val="nil"/>
              <w:bottom w:val="nil"/>
              <w:right w:val="nil"/>
            </w:tcBorders>
            <w:hideMark/>
          </w:tcPr>
          <w:p w:rsidR="005970AB" w:rsidRDefault="005970AB">
            <w:pPr>
              <w:cnfStyle w:val="000000000000" w:firstRow="0" w:lastRow="0" w:firstColumn="0" w:lastColumn="0" w:oddVBand="0" w:evenVBand="0" w:oddHBand="0" w:evenHBand="0" w:firstRowFirstColumn="0" w:firstRowLastColumn="0" w:lastRowFirstColumn="0" w:lastRowLastColumn="0"/>
              <w:rPr>
                <w:rFonts w:eastAsiaTheme="minorHAnsi"/>
                <w:rtl/>
              </w:rPr>
            </w:pPr>
            <w:r>
              <w:rPr>
                <w:rFonts w:eastAsiaTheme="minorHAnsi"/>
                <w:rtl/>
              </w:rPr>
              <w:t>0.3</w:t>
            </w:r>
          </w:p>
        </w:tc>
        <w:tc>
          <w:tcPr>
            <w:tcW w:w="1416" w:type="dxa"/>
            <w:tcBorders>
              <w:top w:val="nil"/>
              <w:left w:val="nil"/>
              <w:bottom w:val="nil"/>
              <w:right w:val="nil"/>
            </w:tcBorders>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eastAsiaTheme="minorHAnsi"/>
                <w:rtl/>
              </w:rPr>
            </w:pPr>
            <w:r>
              <w:rPr>
                <w:rFonts w:eastAsiaTheme="minorHAnsi"/>
                <w:rtl/>
              </w:rPr>
              <w:t>0</w:t>
            </w:r>
          </w:p>
        </w:tc>
        <w:tc>
          <w:tcPr>
            <w:tcW w:w="1401" w:type="dxa"/>
            <w:tcBorders>
              <w:top w:val="nil"/>
              <w:left w:val="nil"/>
              <w:bottom w:val="nil"/>
              <w:right w:val="single" w:sz="8" w:space="0" w:color="4F81BD"/>
            </w:tcBorders>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eastAsiaTheme="minorHAnsi"/>
                <w:rtl/>
              </w:rPr>
            </w:pPr>
            <w:r>
              <w:rPr>
                <w:rFonts w:eastAsiaTheme="minorHAnsi"/>
                <w:rtl/>
              </w:rPr>
              <w:t>0.3-</w:t>
            </w:r>
          </w:p>
        </w:tc>
      </w:tr>
      <w:tr w:rsidR="005970AB" w:rsidTr="005970AB">
        <w:trPr>
          <w:cnfStyle w:val="000000100000" w:firstRow="0" w:lastRow="0" w:firstColumn="0" w:lastColumn="0" w:oddVBand="0" w:evenVBand="0" w:oddHBand="1"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4059" w:type="dxa"/>
            <w:tcBorders>
              <w:right w:val="nil"/>
            </w:tcBorders>
            <w:hideMark/>
          </w:tcPr>
          <w:p w:rsidR="005970AB" w:rsidRDefault="005970AB">
            <w:pPr>
              <w:rPr>
                <w:rFonts w:eastAsiaTheme="minorHAnsi"/>
                <w:b w:val="0"/>
                <w:bCs w:val="0"/>
                <w:rtl/>
              </w:rPr>
            </w:pPr>
            <w:r>
              <w:rPr>
                <w:rFonts w:eastAsiaTheme="minorHAnsi"/>
                <w:b w:val="0"/>
                <w:bCs w:val="0"/>
                <w:rtl/>
              </w:rPr>
              <w:t xml:space="preserve">שיבוב חברות ביטוח </w:t>
            </w:r>
          </w:p>
        </w:tc>
        <w:tc>
          <w:tcPr>
            <w:tcW w:w="1417" w:type="dxa"/>
            <w:tcBorders>
              <w:left w:val="nil"/>
              <w:right w:val="nil"/>
            </w:tcBorders>
            <w:hideMark/>
          </w:tcPr>
          <w:p w:rsidR="005970AB" w:rsidRDefault="005970AB">
            <w:pPr>
              <w:cnfStyle w:val="000000100000" w:firstRow="0" w:lastRow="0" w:firstColumn="0" w:lastColumn="0" w:oddVBand="0" w:evenVBand="0" w:oddHBand="1" w:evenHBand="0" w:firstRowFirstColumn="0" w:firstRowLastColumn="0" w:lastRowFirstColumn="0" w:lastRowLastColumn="0"/>
              <w:rPr>
                <w:rFonts w:eastAsiaTheme="minorHAnsi"/>
                <w:rtl/>
              </w:rPr>
            </w:pPr>
            <w:r>
              <w:rPr>
                <w:rFonts w:eastAsiaTheme="minorHAnsi"/>
                <w:rtl/>
              </w:rPr>
              <w:t>0</w:t>
            </w:r>
          </w:p>
        </w:tc>
        <w:tc>
          <w:tcPr>
            <w:tcW w:w="1416" w:type="dxa"/>
            <w:tcBorders>
              <w:left w:val="nil"/>
              <w:right w:val="nil"/>
            </w:tcBorders>
            <w:hideMark/>
          </w:tcPr>
          <w:p w:rsidR="005970AB" w:rsidRDefault="005970AB" w:rsidP="005E73C9">
            <w:pPr>
              <w:jc w:val="center"/>
              <w:cnfStyle w:val="000000100000" w:firstRow="0" w:lastRow="0" w:firstColumn="0" w:lastColumn="0" w:oddVBand="0" w:evenVBand="0" w:oddHBand="1" w:evenHBand="0" w:firstRowFirstColumn="0" w:firstRowLastColumn="0" w:lastRowFirstColumn="0" w:lastRowLastColumn="0"/>
              <w:rPr>
                <w:rFonts w:eastAsiaTheme="minorHAnsi"/>
                <w:rtl/>
              </w:rPr>
            </w:pPr>
            <w:r>
              <w:rPr>
                <w:rFonts w:eastAsiaTheme="minorHAnsi"/>
                <w:rtl/>
              </w:rPr>
              <w:t>1</w:t>
            </w:r>
            <w:r w:rsidR="00993504">
              <w:rPr>
                <w:rFonts w:eastAsiaTheme="minorHAnsi" w:hint="cs"/>
                <w:rtl/>
              </w:rPr>
              <w:t>-</w:t>
            </w:r>
          </w:p>
        </w:tc>
        <w:tc>
          <w:tcPr>
            <w:tcW w:w="1401" w:type="dxa"/>
            <w:tcBorders>
              <w:left w:val="nil"/>
            </w:tcBorders>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eastAsiaTheme="minorHAnsi"/>
                <w:rtl/>
              </w:rPr>
            </w:pPr>
            <w:r>
              <w:rPr>
                <w:rFonts w:eastAsiaTheme="minorHAnsi"/>
                <w:rtl/>
              </w:rPr>
              <w:t>1-</w:t>
            </w:r>
          </w:p>
        </w:tc>
      </w:tr>
    </w:tbl>
    <w:p w:rsidR="005970AB" w:rsidRDefault="005970AB" w:rsidP="005970AB">
      <w:pPr>
        <w:rPr>
          <w:rtl/>
        </w:rPr>
      </w:pPr>
    </w:p>
    <w:p w:rsidR="005970AB" w:rsidRDefault="005970AB" w:rsidP="005970AB">
      <w:pPr>
        <w:rPr>
          <w:rtl/>
        </w:rPr>
      </w:pPr>
    </w:p>
    <w:p w:rsidR="005970AB" w:rsidRDefault="005970AB" w:rsidP="005970AB">
      <w:pPr>
        <w:rPr>
          <w:rtl/>
        </w:rPr>
      </w:pPr>
    </w:p>
    <w:p w:rsidR="005970AB" w:rsidRDefault="005970AB" w:rsidP="005970AB">
      <w:pPr>
        <w:rPr>
          <w:rtl/>
        </w:rPr>
      </w:pPr>
    </w:p>
    <w:p w:rsidR="005970AB" w:rsidRDefault="005970AB" w:rsidP="005970AB">
      <w:pPr>
        <w:rPr>
          <w:rtl/>
        </w:rPr>
      </w:pPr>
    </w:p>
    <w:p w:rsidR="005970AB" w:rsidRDefault="005970AB" w:rsidP="005970AB">
      <w:pPr>
        <w:rPr>
          <w:rtl/>
        </w:rPr>
      </w:pPr>
    </w:p>
    <w:p w:rsidR="005970AB" w:rsidRDefault="005970AB" w:rsidP="005970AB">
      <w:pPr>
        <w:rPr>
          <w:rtl/>
        </w:rPr>
      </w:pPr>
    </w:p>
    <w:p w:rsidR="005970AB" w:rsidRDefault="005970AB" w:rsidP="005970AB">
      <w:pPr>
        <w:rPr>
          <w:rtl/>
        </w:rPr>
      </w:pPr>
    </w:p>
    <w:p w:rsidR="005970AB" w:rsidRDefault="005970AB" w:rsidP="005970AB">
      <w:pPr>
        <w:rPr>
          <w:rtl/>
        </w:rPr>
      </w:pPr>
    </w:p>
    <w:p w:rsidR="005970AB" w:rsidRDefault="005970AB" w:rsidP="005970AB">
      <w:pPr>
        <w:rPr>
          <w:rtl/>
        </w:rPr>
      </w:pPr>
      <w:r>
        <w:rPr>
          <w:rtl/>
        </w:rPr>
        <w:lastRenderedPageBreak/>
        <w:t>לסיכום, להלן עדכון תחזית ההכנסות ממסים והכנסות אחרות לשנת 2019 וגביה בפועל בהשוואה לתחזית התקציב בשנת 2018:</w:t>
      </w:r>
    </w:p>
    <w:p w:rsidR="005970AB" w:rsidRDefault="005970AB" w:rsidP="005970AB">
      <w:pPr>
        <w:jc w:val="center"/>
        <w:rPr>
          <w:b/>
          <w:bCs/>
          <w:rtl/>
        </w:rPr>
      </w:pPr>
      <w:r>
        <w:rPr>
          <w:b/>
          <w:bCs/>
          <w:rtl/>
        </w:rPr>
        <w:t>עדכון לתחזית הכנסות המדינה לשנים 2018 ו-2019</w:t>
      </w:r>
    </w:p>
    <w:tbl>
      <w:tblPr>
        <w:tblStyle w:val="-120"/>
        <w:bidiVisual/>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1490"/>
        <w:gridCol w:w="1491"/>
        <w:gridCol w:w="1490"/>
        <w:gridCol w:w="1491"/>
      </w:tblGrid>
      <w:tr w:rsidR="005970AB" w:rsidTr="005970AB">
        <w:trPr>
          <w:cnfStyle w:val="100000000000" w:firstRow="1" w:lastRow="0" w:firstColumn="0" w:lastColumn="0" w:oddVBand="0" w:evenVBand="0" w:oddHBand="0"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2544" w:type="dxa"/>
            <w:tcBorders>
              <w:top w:val="single" w:sz="4" w:space="0" w:color="auto"/>
              <w:left w:val="single" w:sz="4" w:space="0" w:color="auto"/>
              <w:bottom w:val="single" w:sz="4" w:space="0" w:color="auto"/>
              <w:right w:val="single" w:sz="4" w:space="0" w:color="auto"/>
            </w:tcBorders>
            <w:vAlign w:val="center"/>
            <w:hideMark/>
          </w:tcPr>
          <w:p w:rsidR="005970AB" w:rsidRDefault="005970AB">
            <w:pPr>
              <w:rPr>
                <w:sz w:val="22"/>
                <w:szCs w:val="22"/>
                <w:rtl/>
              </w:rPr>
            </w:pPr>
            <w:r>
              <w:rPr>
                <w:sz w:val="22"/>
                <w:szCs w:val="22"/>
                <w:rtl/>
              </w:rPr>
              <w:t>שנת תקציב רלבנטית:</w:t>
            </w:r>
          </w:p>
          <w:p w:rsidR="005970AB" w:rsidRDefault="005970AB">
            <w:pPr>
              <w:rPr>
                <w:sz w:val="22"/>
                <w:szCs w:val="22"/>
                <w:rtl/>
              </w:rPr>
            </w:pPr>
            <w:r>
              <w:rPr>
                <w:sz w:val="22"/>
                <w:szCs w:val="22"/>
                <w:rtl/>
              </w:rPr>
              <w:t>מועד התחזית:</w:t>
            </w:r>
          </w:p>
        </w:tc>
        <w:tc>
          <w:tcPr>
            <w:tcW w:w="1490"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pPr>
            <w:r>
              <w:rPr>
                <w:rtl/>
              </w:rPr>
              <w:t>2018</w:t>
            </w:r>
            <w:r>
              <w:br/>
            </w:r>
            <w:r>
              <w:rPr>
                <w:rtl/>
              </w:rPr>
              <w:t xml:space="preserve">תקציב מקורי </w:t>
            </w:r>
          </w:p>
        </w:tc>
        <w:tc>
          <w:tcPr>
            <w:tcW w:w="1491"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pPr>
            <w:r>
              <w:rPr>
                <w:rtl/>
              </w:rPr>
              <w:t>2018</w:t>
            </w:r>
            <w:r>
              <w:br/>
            </w:r>
            <w:r>
              <w:rPr>
                <w:rtl/>
              </w:rPr>
              <w:t>בפועל</w:t>
            </w:r>
          </w:p>
        </w:tc>
        <w:tc>
          <w:tcPr>
            <w:tcW w:w="1490"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pPr>
            <w:r>
              <w:rPr>
                <w:rtl/>
              </w:rPr>
              <w:t>2019</w:t>
            </w:r>
            <w:r>
              <w:br/>
            </w:r>
            <w:r>
              <w:rPr>
                <w:rtl/>
              </w:rPr>
              <w:t>תקציב</w:t>
            </w:r>
          </w:p>
        </w:tc>
        <w:tc>
          <w:tcPr>
            <w:tcW w:w="1491" w:type="dxa"/>
            <w:tcBorders>
              <w:top w:val="single" w:sz="4" w:space="0" w:color="auto"/>
              <w:left w:val="single" w:sz="4" w:space="0" w:color="auto"/>
              <w:bottom w:val="single" w:sz="4" w:space="0" w:color="auto"/>
              <w:right w:val="single" w:sz="4" w:space="0" w:color="auto"/>
            </w:tcBorders>
            <w:hideMark/>
          </w:tcPr>
          <w:p w:rsidR="005970AB" w:rsidRDefault="005970AB">
            <w:pPr>
              <w:spacing w:before="200" w:after="360"/>
              <w:contextualSpacing/>
              <w:jc w:val="center"/>
              <w:cnfStyle w:val="100000000000" w:firstRow="1" w:lastRow="0" w:firstColumn="0" w:lastColumn="0" w:oddVBand="0" w:evenVBand="0" w:oddHBand="0" w:evenHBand="0" w:firstRowFirstColumn="0" w:firstRowLastColumn="0" w:lastRowFirstColumn="0" w:lastRowLastColumn="0"/>
            </w:pPr>
            <w:r>
              <w:rPr>
                <w:rtl/>
              </w:rPr>
              <w:t>2019</w:t>
            </w:r>
            <w:r>
              <w:br/>
            </w:r>
            <w:r>
              <w:rPr>
                <w:rtl/>
              </w:rPr>
              <w:t>עדכון</w:t>
            </w:r>
          </w:p>
        </w:tc>
      </w:tr>
      <w:tr w:rsidR="005970AB" w:rsidTr="005970AB">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544" w:type="dxa"/>
            <w:tcBorders>
              <w:top w:val="single" w:sz="4" w:space="0" w:color="auto"/>
              <w:left w:val="single" w:sz="4" w:space="0" w:color="auto"/>
              <w:bottom w:val="single" w:sz="4" w:space="0" w:color="auto"/>
              <w:right w:val="single" w:sz="4" w:space="0" w:color="auto"/>
            </w:tcBorders>
            <w:vAlign w:val="center"/>
            <w:hideMark/>
          </w:tcPr>
          <w:p w:rsidR="005970AB" w:rsidRDefault="005970AB">
            <w:pPr>
              <w:rPr>
                <w:sz w:val="22"/>
                <w:szCs w:val="22"/>
              </w:rPr>
            </w:pPr>
            <w:r>
              <w:rPr>
                <w:sz w:val="22"/>
                <w:szCs w:val="22"/>
                <w:rtl/>
              </w:rPr>
              <w:t>הכנסות ממסים ואגרות</w:t>
            </w:r>
          </w:p>
        </w:tc>
        <w:tc>
          <w:tcPr>
            <w:tcW w:w="1490"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b/>
                <w:bCs/>
                <w:rtl/>
              </w:rPr>
            </w:pPr>
            <w:r>
              <w:rPr>
                <w:b/>
                <w:bCs/>
                <w:rtl/>
              </w:rPr>
              <w:t xml:space="preserve"> 307.2</w:t>
            </w:r>
          </w:p>
        </w:tc>
        <w:tc>
          <w:tcPr>
            <w:tcW w:w="1491"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b/>
                <w:bCs/>
              </w:rPr>
            </w:pPr>
            <w:r>
              <w:rPr>
                <w:b/>
                <w:bCs/>
                <w:rtl/>
              </w:rPr>
              <w:t>306.3</w:t>
            </w:r>
          </w:p>
        </w:tc>
        <w:tc>
          <w:tcPr>
            <w:tcW w:w="1490"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b/>
                <w:bCs/>
              </w:rPr>
            </w:pPr>
            <w:r>
              <w:rPr>
                <w:b/>
                <w:bCs/>
                <w:rtl/>
              </w:rPr>
              <w:t>323.1</w:t>
            </w:r>
          </w:p>
        </w:tc>
        <w:tc>
          <w:tcPr>
            <w:tcW w:w="1491"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b/>
                <w:bCs/>
                <w:highlight w:val="yellow"/>
              </w:rPr>
            </w:pPr>
            <w:r>
              <w:rPr>
                <w:b/>
                <w:bCs/>
                <w:rtl/>
              </w:rPr>
              <w:t>318.4</w:t>
            </w:r>
          </w:p>
        </w:tc>
      </w:tr>
      <w:tr w:rsidR="005970AB" w:rsidTr="005970AB">
        <w:trPr>
          <w:trHeight w:val="360"/>
        </w:trPr>
        <w:tc>
          <w:tcPr>
            <w:cnfStyle w:val="001000000000" w:firstRow="0" w:lastRow="0" w:firstColumn="1" w:lastColumn="0" w:oddVBand="0" w:evenVBand="0" w:oddHBand="0" w:evenHBand="0" w:firstRowFirstColumn="0" w:firstRowLastColumn="0" w:lastRowFirstColumn="0" w:lastRowLastColumn="0"/>
            <w:tcW w:w="2544" w:type="dxa"/>
            <w:tcBorders>
              <w:top w:val="single" w:sz="4" w:space="0" w:color="auto"/>
              <w:left w:val="single" w:sz="4" w:space="0" w:color="auto"/>
              <w:bottom w:val="single" w:sz="4" w:space="0" w:color="auto"/>
              <w:right w:val="single" w:sz="4" w:space="0" w:color="auto"/>
            </w:tcBorders>
            <w:vAlign w:val="center"/>
            <w:hideMark/>
          </w:tcPr>
          <w:p w:rsidR="005970AB" w:rsidRDefault="005970AB">
            <w:pPr>
              <w:rPr>
                <w:sz w:val="22"/>
                <w:szCs w:val="22"/>
              </w:rPr>
            </w:pPr>
            <w:r>
              <w:rPr>
                <w:sz w:val="22"/>
                <w:szCs w:val="22"/>
                <w:rtl/>
              </w:rPr>
              <w:t>מזה</w:t>
            </w:r>
            <w:r>
              <w:rPr>
                <w:sz w:val="22"/>
                <w:szCs w:val="22"/>
              </w:rPr>
              <w:t>:</w:t>
            </w:r>
          </w:p>
        </w:tc>
        <w:tc>
          <w:tcPr>
            <w:tcW w:w="1490" w:type="dxa"/>
            <w:tcBorders>
              <w:top w:val="single" w:sz="4" w:space="0" w:color="auto"/>
              <w:left w:val="single" w:sz="4" w:space="0" w:color="auto"/>
              <w:bottom w:val="single" w:sz="4" w:space="0" w:color="auto"/>
              <w:right w:val="single" w:sz="4" w:space="0" w:color="auto"/>
            </w:tcBorders>
            <w:vAlign w:val="center"/>
          </w:tcPr>
          <w:p w:rsidR="005970AB" w:rsidRDefault="005970AB">
            <w:pPr>
              <w:jc w:val="center"/>
              <w:cnfStyle w:val="000000000000" w:firstRow="0" w:lastRow="0" w:firstColumn="0" w:lastColumn="0" w:oddVBand="0" w:evenVBand="0" w:oddHBand="0" w:evenHBand="0" w:firstRowFirstColumn="0" w:firstRowLastColumn="0" w:lastRowFirstColumn="0" w:lastRowLastColumn="0"/>
            </w:pPr>
          </w:p>
        </w:tc>
        <w:tc>
          <w:tcPr>
            <w:tcW w:w="1491" w:type="dxa"/>
            <w:tcBorders>
              <w:top w:val="single" w:sz="4" w:space="0" w:color="auto"/>
              <w:left w:val="single" w:sz="4" w:space="0" w:color="auto"/>
              <w:bottom w:val="single" w:sz="4" w:space="0" w:color="auto"/>
              <w:right w:val="single" w:sz="4" w:space="0" w:color="auto"/>
            </w:tcBorders>
            <w:vAlign w:val="center"/>
          </w:tcPr>
          <w:p w:rsidR="005970AB" w:rsidRDefault="005970AB">
            <w:pPr>
              <w:jc w:val="center"/>
              <w:cnfStyle w:val="000000000000" w:firstRow="0" w:lastRow="0" w:firstColumn="0" w:lastColumn="0" w:oddVBand="0" w:evenVBand="0" w:oddHBand="0" w:evenHBand="0" w:firstRowFirstColumn="0" w:firstRowLastColumn="0" w:lastRowFirstColumn="0" w:lastRowLastColumn="0"/>
            </w:pPr>
          </w:p>
        </w:tc>
        <w:tc>
          <w:tcPr>
            <w:tcW w:w="1490" w:type="dxa"/>
            <w:tcBorders>
              <w:top w:val="single" w:sz="4" w:space="0" w:color="auto"/>
              <w:left w:val="single" w:sz="4" w:space="0" w:color="auto"/>
              <w:bottom w:val="single" w:sz="4" w:space="0" w:color="auto"/>
              <w:right w:val="single" w:sz="4" w:space="0" w:color="auto"/>
            </w:tcBorders>
            <w:vAlign w:val="center"/>
          </w:tcPr>
          <w:p w:rsidR="005970AB" w:rsidRDefault="005970AB">
            <w:pPr>
              <w:jc w:val="center"/>
              <w:cnfStyle w:val="000000000000" w:firstRow="0" w:lastRow="0" w:firstColumn="0" w:lastColumn="0" w:oddVBand="0" w:evenVBand="0" w:oddHBand="0" w:evenHBand="0" w:firstRowFirstColumn="0" w:firstRowLastColumn="0" w:lastRowFirstColumn="0" w:lastRowLastColumn="0"/>
            </w:pPr>
          </w:p>
        </w:tc>
        <w:tc>
          <w:tcPr>
            <w:tcW w:w="1491" w:type="dxa"/>
            <w:tcBorders>
              <w:top w:val="single" w:sz="4" w:space="0" w:color="auto"/>
              <w:left w:val="single" w:sz="4" w:space="0" w:color="auto"/>
              <w:bottom w:val="single" w:sz="4" w:space="0" w:color="auto"/>
              <w:right w:val="single" w:sz="4" w:space="0" w:color="auto"/>
            </w:tcBorders>
            <w:vAlign w:val="center"/>
          </w:tcPr>
          <w:p w:rsidR="005970AB" w:rsidRDefault="005970AB">
            <w:pPr>
              <w:jc w:val="center"/>
              <w:cnfStyle w:val="000000000000" w:firstRow="0" w:lastRow="0" w:firstColumn="0" w:lastColumn="0" w:oddVBand="0" w:evenVBand="0" w:oddHBand="0" w:evenHBand="0" w:firstRowFirstColumn="0" w:firstRowLastColumn="0" w:lastRowFirstColumn="0" w:lastRowLastColumn="0"/>
            </w:pPr>
          </w:p>
        </w:tc>
      </w:tr>
      <w:tr w:rsidR="005970AB" w:rsidTr="005970AB">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544" w:type="dxa"/>
            <w:tcBorders>
              <w:top w:val="single" w:sz="4" w:space="0" w:color="auto"/>
              <w:left w:val="single" w:sz="4" w:space="0" w:color="auto"/>
              <w:bottom w:val="single" w:sz="4" w:space="0" w:color="auto"/>
              <w:right w:val="single" w:sz="4" w:space="0" w:color="auto"/>
            </w:tcBorders>
            <w:vAlign w:val="center"/>
            <w:hideMark/>
          </w:tcPr>
          <w:p w:rsidR="005970AB" w:rsidRDefault="005970AB">
            <w:pPr>
              <w:rPr>
                <w:b w:val="0"/>
                <w:bCs w:val="0"/>
                <w:sz w:val="22"/>
                <w:szCs w:val="22"/>
              </w:rPr>
            </w:pPr>
            <w:r>
              <w:rPr>
                <w:b w:val="0"/>
                <w:bCs w:val="0"/>
                <w:sz w:val="22"/>
                <w:szCs w:val="22"/>
                <w:rtl/>
              </w:rPr>
              <w:t xml:space="preserve"> </w:t>
            </w:r>
            <w:r>
              <w:rPr>
                <w:rFonts w:hint="cs"/>
                <w:b w:val="0"/>
                <w:bCs w:val="0"/>
                <w:sz w:val="22"/>
                <w:szCs w:val="22"/>
                <w:rtl/>
              </w:rPr>
              <w:t>מסים ישירים</w:t>
            </w:r>
          </w:p>
        </w:tc>
        <w:tc>
          <w:tcPr>
            <w:tcW w:w="1490"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pPr>
            <w:r>
              <w:rPr>
                <w:rtl/>
              </w:rPr>
              <w:t>157.8</w:t>
            </w:r>
          </w:p>
        </w:tc>
        <w:tc>
          <w:tcPr>
            <w:tcW w:w="1491"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pPr>
            <w:r>
              <w:rPr>
                <w:rtl/>
              </w:rPr>
              <w:t>162.0</w:t>
            </w:r>
          </w:p>
        </w:tc>
        <w:tc>
          <w:tcPr>
            <w:tcW w:w="1490"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pPr>
            <w:r>
              <w:rPr>
                <w:rtl/>
              </w:rPr>
              <w:t>171.9</w:t>
            </w:r>
          </w:p>
        </w:tc>
        <w:tc>
          <w:tcPr>
            <w:tcW w:w="1491"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pPr>
            <w:r>
              <w:rPr>
                <w:rtl/>
              </w:rPr>
              <w:t>168.4</w:t>
            </w:r>
          </w:p>
        </w:tc>
      </w:tr>
      <w:tr w:rsidR="005970AB" w:rsidTr="005970AB">
        <w:trPr>
          <w:trHeight w:val="360"/>
        </w:trPr>
        <w:tc>
          <w:tcPr>
            <w:cnfStyle w:val="001000000000" w:firstRow="0" w:lastRow="0" w:firstColumn="1" w:lastColumn="0" w:oddVBand="0" w:evenVBand="0" w:oddHBand="0" w:evenHBand="0" w:firstRowFirstColumn="0" w:firstRowLastColumn="0" w:lastRowFirstColumn="0" w:lastRowLastColumn="0"/>
            <w:tcW w:w="2544" w:type="dxa"/>
            <w:tcBorders>
              <w:top w:val="single" w:sz="4" w:space="0" w:color="auto"/>
              <w:left w:val="single" w:sz="4" w:space="0" w:color="auto"/>
              <w:bottom w:val="single" w:sz="4" w:space="0" w:color="auto"/>
              <w:right w:val="single" w:sz="4" w:space="0" w:color="auto"/>
            </w:tcBorders>
            <w:vAlign w:val="center"/>
            <w:hideMark/>
          </w:tcPr>
          <w:p w:rsidR="005970AB" w:rsidRDefault="005970AB">
            <w:pPr>
              <w:rPr>
                <w:b w:val="0"/>
                <w:bCs w:val="0"/>
                <w:sz w:val="22"/>
                <w:szCs w:val="22"/>
              </w:rPr>
            </w:pPr>
            <w:r>
              <w:rPr>
                <w:b w:val="0"/>
                <w:bCs w:val="0"/>
                <w:sz w:val="22"/>
                <w:szCs w:val="22"/>
                <w:rtl/>
              </w:rPr>
              <w:t xml:space="preserve"> </w:t>
            </w:r>
            <w:r>
              <w:rPr>
                <w:rFonts w:hint="cs"/>
                <w:b w:val="0"/>
                <w:bCs w:val="0"/>
                <w:sz w:val="22"/>
                <w:szCs w:val="22"/>
                <w:rtl/>
              </w:rPr>
              <w:t>מסים עקיפים</w:t>
            </w:r>
          </w:p>
        </w:tc>
        <w:tc>
          <w:tcPr>
            <w:tcW w:w="1490"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pPr>
            <w:r>
              <w:rPr>
                <w:rtl/>
              </w:rPr>
              <w:t>141.9</w:t>
            </w:r>
          </w:p>
        </w:tc>
        <w:tc>
          <w:tcPr>
            <w:tcW w:w="1491"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pPr>
            <w:r>
              <w:rPr>
                <w:rtl/>
              </w:rPr>
              <w:t>137.7</w:t>
            </w:r>
          </w:p>
        </w:tc>
        <w:tc>
          <w:tcPr>
            <w:tcW w:w="1490"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pPr>
            <w:r>
              <w:rPr>
                <w:rtl/>
              </w:rPr>
              <w:t>144.6</w:t>
            </w:r>
          </w:p>
        </w:tc>
        <w:tc>
          <w:tcPr>
            <w:tcW w:w="1491"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pPr>
            <w:r>
              <w:rPr>
                <w:rtl/>
              </w:rPr>
              <w:t>142.9</w:t>
            </w:r>
          </w:p>
        </w:tc>
      </w:tr>
      <w:tr w:rsidR="005970AB" w:rsidTr="005970AB">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544" w:type="dxa"/>
            <w:tcBorders>
              <w:top w:val="single" w:sz="4" w:space="0" w:color="auto"/>
              <w:left w:val="single" w:sz="4" w:space="0" w:color="auto"/>
              <w:bottom w:val="single" w:sz="4" w:space="0" w:color="auto"/>
              <w:right w:val="single" w:sz="4" w:space="0" w:color="auto"/>
            </w:tcBorders>
            <w:vAlign w:val="center"/>
            <w:hideMark/>
          </w:tcPr>
          <w:p w:rsidR="005970AB" w:rsidRDefault="005970AB">
            <w:pPr>
              <w:rPr>
                <w:b w:val="0"/>
                <w:bCs w:val="0"/>
                <w:sz w:val="22"/>
                <w:szCs w:val="22"/>
              </w:rPr>
            </w:pPr>
            <w:r>
              <w:rPr>
                <w:b w:val="0"/>
                <w:bCs w:val="0"/>
                <w:sz w:val="22"/>
                <w:szCs w:val="22"/>
                <w:rtl/>
              </w:rPr>
              <w:t xml:space="preserve"> </w:t>
            </w:r>
            <w:r>
              <w:rPr>
                <w:rFonts w:hint="cs"/>
                <w:b w:val="0"/>
                <w:bCs w:val="0"/>
                <w:sz w:val="22"/>
                <w:szCs w:val="22"/>
                <w:rtl/>
              </w:rPr>
              <w:t>אגרות</w:t>
            </w:r>
          </w:p>
        </w:tc>
        <w:tc>
          <w:tcPr>
            <w:tcW w:w="1490"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pPr>
            <w:r>
              <w:rPr>
                <w:rtl/>
              </w:rPr>
              <w:t>7.5</w:t>
            </w:r>
          </w:p>
        </w:tc>
        <w:tc>
          <w:tcPr>
            <w:tcW w:w="1491"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pPr>
            <w:r>
              <w:rPr>
                <w:rtl/>
              </w:rPr>
              <w:t>6.6</w:t>
            </w:r>
          </w:p>
        </w:tc>
        <w:tc>
          <w:tcPr>
            <w:tcW w:w="1490"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pPr>
            <w:r>
              <w:rPr>
                <w:rtl/>
              </w:rPr>
              <w:t>6.7</w:t>
            </w:r>
          </w:p>
        </w:tc>
        <w:tc>
          <w:tcPr>
            <w:tcW w:w="1491"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pPr>
            <w:r>
              <w:rPr>
                <w:rtl/>
              </w:rPr>
              <w:t>7.1</w:t>
            </w:r>
          </w:p>
        </w:tc>
      </w:tr>
      <w:tr w:rsidR="005970AB" w:rsidTr="005970AB">
        <w:trPr>
          <w:trHeight w:val="360"/>
        </w:trPr>
        <w:tc>
          <w:tcPr>
            <w:cnfStyle w:val="001000000000" w:firstRow="0" w:lastRow="0" w:firstColumn="1" w:lastColumn="0" w:oddVBand="0" w:evenVBand="0" w:oddHBand="0" w:evenHBand="0" w:firstRowFirstColumn="0" w:firstRowLastColumn="0" w:lastRowFirstColumn="0" w:lastRowLastColumn="0"/>
            <w:tcW w:w="2544" w:type="dxa"/>
            <w:tcBorders>
              <w:top w:val="single" w:sz="4" w:space="0" w:color="auto"/>
              <w:left w:val="single" w:sz="4" w:space="0" w:color="auto"/>
              <w:bottom w:val="single" w:sz="4" w:space="0" w:color="auto"/>
              <w:right w:val="single" w:sz="4" w:space="0" w:color="auto"/>
            </w:tcBorders>
            <w:vAlign w:val="center"/>
            <w:hideMark/>
          </w:tcPr>
          <w:p w:rsidR="005970AB" w:rsidRDefault="005970AB">
            <w:pPr>
              <w:rPr>
                <w:sz w:val="22"/>
                <w:szCs w:val="22"/>
              </w:rPr>
            </w:pPr>
            <w:r>
              <w:rPr>
                <w:sz w:val="22"/>
                <w:szCs w:val="22"/>
                <w:rtl/>
              </w:rPr>
              <w:t>סך הכנסות אחרות</w:t>
            </w:r>
          </w:p>
        </w:tc>
        <w:tc>
          <w:tcPr>
            <w:tcW w:w="1490"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b/>
                <w:bCs/>
                <w:rtl/>
              </w:rPr>
            </w:pPr>
            <w:r>
              <w:rPr>
                <w:b/>
                <w:bCs/>
                <w:rtl/>
              </w:rPr>
              <w:t>30.6</w:t>
            </w:r>
          </w:p>
        </w:tc>
        <w:tc>
          <w:tcPr>
            <w:tcW w:w="1491"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b/>
                <w:bCs/>
                <w:rtl/>
              </w:rPr>
            </w:pPr>
            <w:r>
              <w:rPr>
                <w:b/>
                <w:bCs/>
                <w:rtl/>
              </w:rPr>
              <w:t>32.3</w:t>
            </w:r>
          </w:p>
        </w:tc>
        <w:tc>
          <w:tcPr>
            <w:tcW w:w="1490"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b/>
                <w:bCs/>
                <w:rtl/>
              </w:rPr>
            </w:pPr>
            <w:r>
              <w:rPr>
                <w:b/>
                <w:bCs/>
                <w:rtl/>
              </w:rPr>
              <w:t>33.6</w:t>
            </w:r>
          </w:p>
        </w:tc>
        <w:tc>
          <w:tcPr>
            <w:tcW w:w="1491" w:type="dxa"/>
            <w:tcBorders>
              <w:top w:val="single" w:sz="4" w:space="0" w:color="auto"/>
              <w:left w:val="single" w:sz="4" w:space="0" w:color="auto"/>
              <w:bottom w:val="single" w:sz="4" w:space="0" w:color="auto"/>
              <w:right w:val="single" w:sz="4" w:space="0" w:color="auto"/>
            </w:tcBorders>
            <w:vAlign w:val="center"/>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b/>
                <w:bCs/>
                <w:rtl/>
              </w:rPr>
            </w:pPr>
            <w:r>
              <w:rPr>
                <w:b/>
                <w:bCs/>
                <w:rtl/>
              </w:rPr>
              <w:t>31.8</w:t>
            </w:r>
          </w:p>
        </w:tc>
      </w:tr>
      <w:tr w:rsidR="005970AB" w:rsidTr="005970AB">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544" w:type="dxa"/>
            <w:tcBorders>
              <w:right w:val="single" w:sz="4" w:space="0" w:color="auto"/>
            </w:tcBorders>
            <w:vAlign w:val="center"/>
            <w:hideMark/>
          </w:tcPr>
          <w:p w:rsidR="005970AB" w:rsidRDefault="005970AB">
            <w:pPr>
              <w:rPr>
                <w:sz w:val="22"/>
                <w:szCs w:val="22"/>
                <w:rtl/>
              </w:rPr>
            </w:pPr>
            <w:r>
              <w:rPr>
                <w:sz w:val="22"/>
                <w:szCs w:val="22"/>
                <w:rtl/>
              </w:rPr>
              <w:t xml:space="preserve">סך ההכנסות </w:t>
            </w:r>
          </w:p>
        </w:tc>
        <w:tc>
          <w:tcPr>
            <w:tcW w:w="1490"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b/>
                <w:bCs/>
                <w:rtl/>
              </w:rPr>
            </w:pPr>
            <w:r>
              <w:rPr>
                <w:b/>
                <w:bCs/>
                <w:rtl/>
              </w:rPr>
              <w:t>337.8</w:t>
            </w:r>
          </w:p>
        </w:tc>
        <w:tc>
          <w:tcPr>
            <w:tcW w:w="1491"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b/>
                <w:bCs/>
                <w:rtl/>
              </w:rPr>
            </w:pPr>
            <w:r>
              <w:rPr>
                <w:b/>
                <w:bCs/>
                <w:rtl/>
              </w:rPr>
              <w:t>338.6</w:t>
            </w:r>
          </w:p>
        </w:tc>
        <w:tc>
          <w:tcPr>
            <w:tcW w:w="1490" w:type="dxa"/>
            <w:tcBorders>
              <w:left w:val="single" w:sz="4" w:space="0" w:color="auto"/>
              <w:righ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b/>
                <w:bCs/>
              </w:rPr>
            </w:pPr>
            <w:r>
              <w:rPr>
                <w:b/>
                <w:bCs/>
                <w:rtl/>
              </w:rPr>
              <w:t>356.7</w:t>
            </w:r>
          </w:p>
        </w:tc>
        <w:tc>
          <w:tcPr>
            <w:tcW w:w="1491" w:type="dxa"/>
            <w:tcBorders>
              <w:left w:val="single" w:sz="4" w:space="0" w:color="auto"/>
            </w:tcBorders>
            <w:vAlign w:val="center"/>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b/>
                <w:bCs/>
                <w:rtl/>
              </w:rPr>
            </w:pPr>
            <w:r>
              <w:rPr>
                <w:b/>
                <w:bCs/>
                <w:rtl/>
              </w:rPr>
              <w:t>350.2</w:t>
            </w:r>
          </w:p>
        </w:tc>
      </w:tr>
    </w:tbl>
    <w:p w:rsidR="005970AB" w:rsidRDefault="005970AB" w:rsidP="005970AB">
      <w:pPr>
        <w:spacing w:before="200" w:after="200"/>
        <w:rPr>
          <w:sz w:val="22"/>
          <w:szCs w:val="22"/>
          <w:rtl/>
        </w:rPr>
      </w:pPr>
    </w:p>
    <w:p w:rsidR="005970AB" w:rsidRDefault="005970AB" w:rsidP="005970AB">
      <w:pPr>
        <w:spacing w:before="200" w:after="200"/>
        <w:rPr>
          <w:b/>
          <w:bCs/>
          <w:rtl/>
        </w:rPr>
      </w:pPr>
      <w:r>
        <w:rPr>
          <w:b/>
          <w:bCs/>
          <w:rtl/>
        </w:rPr>
        <w:t>עדכון לגבי השנים 2020 עד 2022</w:t>
      </w:r>
    </w:p>
    <w:p w:rsidR="005970AB" w:rsidRDefault="005970AB" w:rsidP="00FC3ADE">
      <w:pPr>
        <w:rPr>
          <w:rtl/>
        </w:rPr>
      </w:pPr>
      <w:r>
        <w:rPr>
          <w:rtl/>
        </w:rPr>
        <w:t xml:space="preserve">עדכון תחזית ההכנסות לטווח בינוני מושפע מעדכון תחזית הגבייה לשנת 2019 המהווה את שנת הבסיס לסימולציה. בתוך כך, גובה ההכנסות הושפע משינוים קלים בקצבי הצמיחה ושינויי המחירים בשנים הרלוונטיות. </w:t>
      </w:r>
      <w:r>
        <w:rPr>
          <w:rFonts w:ascii="David" w:hAnsi="David"/>
          <w:rtl/>
        </w:rPr>
        <w:t xml:space="preserve">תחזית הכנסות אחרות עודכנה כלפי מעלה על רקע המשך עלייה צפויה במגמת האינפלציה. </w:t>
      </w:r>
      <w:r>
        <w:rPr>
          <w:rtl/>
        </w:rPr>
        <w:t>במקביל, תחזיות אלו מניחות כי כל צעדי המדיניות אשר אושרו בתקציב לשנת 2019 (ונותרו בתוקף בעדכון הנוכחי) יישארו בתוקף גם בשנים</w:t>
      </w:r>
      <w:r w:rsidR="005E73C9">
        <w:rPr>
          <w:rFonts w:hint="cs"/>
          <w:rtl/>
        </w:rPr>
        <w:t xml:space="preserve"> 2020-2022</w:t>
      </w:r>
      <w:r w:rsidR="005E73C9">
        <w:rPr>
          <w:rStyle w:val="ab"/>
          <w:rtl/>
        </w:rPr>
        <w:footnoteReference w:id="11"/>
      </w:r>
      <w:r>
        <w:rPr>
          <w:rtl/>
        </w:rPr>
        <w:t xml:space="preserve">. </w:t>
      </w:r>
    </w:p>
    <w:p w:rsidR="005970AB" w:rsidRDefault="005970AB" w:rsidP="005970AB">
      <w:pPr>
        <w:rPr>
          <w:rtl/>
        </w:rPr>
      </w:pPr>
    </w:p>
    <w:p w:rsidR="005970AB" w:rsidRDefault="005970AB" w:rsidP="005970AB">
      <w:pPr>
        <w:rPr>
          <w:rtl/>
        </w:rPr>
      </w:pPr>
    </w:p>
    <w:p w:rsidR="005970AB" w:rsidRDefault="005970AB" w:rsidP="005970AB">
      <w:pPr>
        <w:rPr>
          <w:rtl/>
        </w:rPr>
      </w:pPr>
    </w:p>
    <w:p w:rsidR="005970AB" w:rsidRDefault="005970AB" w:rsidP="005970AB">
      <w:pPr>
        <w:rPr>
          <w:rtl/>
        </w:rPr>
      </w:pPr>
    </w:p>
    <w:p w:rsidR="005970AB" w:rsidRDefault="005970AB" w:rsidP="005970AB">
      <w:pPr>
        <w:rPr>
          <w:rtl/>
        </w:rPr>
      </w:pPr>
    </w:p>
    <w:p w:rsidR="005970AB" w:rsidRDefault="005970AB" w:rsidP="005970AB">
      <w:pPr>
        <w:rPr>
          <w:rtl/>
        </w:rPr>
      </w:pPr>
    </w:p>
    <w:p w:rsidR="005970AB" w:rsidRDefault="005970AB" w:rsidP="005970AB">
      <w:pPr>
        <w:rPr>
          <w:rtl/>
        </w:rPr>
      </w:pPr>
    </w:p>
    <w:p w:rsidR="005970AB" w:rsidRDefault="005970AB" w:rsidP="005970AB">
      <w:pPr>
        <w:rPr>
          <w:rtl/>
        </w:rPr>
      </w:pPr>
    </w:p>
    <w:p w:rsidR="005970AB" w:rsidRDefault="005970AB" w:rsidP="005970AB">
      <w:pPr>
        <w:rPr>
          <w:rtl/>
        </w:rPr>
      </w:pPr>
    </w:p>
    <w:p w:rsidR="005970AB" w:rsidRDefault="005970AB" w:rsidP="005970AB">
      <w:pPr>
        <w:tabs>
          <w:tab w:val="left" w:pos="5272"/>
          <w:tab w:val="left" w:pos="5322"/>
          <w:tab w:val="right" w:pos="8306"/>
        </w:tabs>
        <w:spacing w:before="200" w:after="200"/>
        <w:contextualSpacing/>
        <w:jc w:val="center"/>
        <w:rPr>
          <w:b/>
          <w:bCs/>
          <w:rtl/>
        </w:rPr>
      </w:pPr>
      <w:r>
        <w:rPr>
          <w:b/>
          <w:bCs/>
          <w:rtl/>
        </w:rPr>
        <w:t>הגבייה הצפויה בטווח הבינוני-ארוך, כולל יישום צעדי מדיניות ושינויי חקיקה</w:t>
      </w:r>
    </w:p>
    <w:p w:rsidR="005970AB" w:rsidRDefault="005970AB" w:rsidP="005970AB">
      <w:pPr>
        <w:tabs>
          <w:tab w:val="left" w:pos="5272"/>
          <w:tab w:val="left" w:pos="5322"/>
          <w:tab w:val="right" w:pos="8306"/>
        </w:tabs>
        <w:jc w:val="center"/>
        <w:rPr>
          <w:rtl/>
        </w:rPr>
      </w:pPr>
      <w:r>
        <w:rPr>
          <w:b/>
          <w:bCs/>
          <w:rtl/>
        </w:rPr>
        <w:t xml:space="preserve"> </w:t>
      </w:r>
      <w:r>
        <w:rPr>
          <w:rtl/>
        </w:rPr>
        <w:t>(מיליארדי ש"ח)</w:t>
      </w:r>
    </w:p>
    <w:p w:rsidR="005970AB" w:rsidRDefault="005970AB" w:rsidP="005970AB">
      <w:pPr>
        <w:tabs>
          <w:tab w:val="left" w:pos="5272"/>
          <w:tab w:val="left" w:pos="5322"/>
          <w:tab w:val="right" w:pos="8306"/>
        </w:tabs>
        <w:jc w:val="center"/>
        <w:rPr>
          <w:rtl/>
        </w:rPr>
      </w:pPr>
    </w:p>
    <w:tbl>
      <w:tblPr>
        <w:tblStyle w:val="-120"/>
        <w:bidiVisual/>
        <w:tblW w:w="8071" w:type="dxa"/>
        <w:tblLook w:val="04A0" w:firstRow="1" w:lastRow="0" w:firstColumn="1" w:lastColumn="0" w:noHBand="0" w:noVBand="1"/>
      </w:tblPr>
      <w:tblGrid>
        <w:gridCol w:w="1559"/>
        <w:gridCol w:w="1085"/>
        <w:gridCol w:w="1085"/>
        <w:gridCol w:w="1086"/>
        <w:gridCol w:w="1085"/>
        <w:gridCol w:w="1085"/>
        <w:gridCol w:w="1086"/>
      </w:tblGrid>
      <w:tr w:rsidR="005970AB" w:rsidTr="005970AB">
        <w:trPr>
          <w:cnfStyle w:val="100000000000" w:firstRow="1" w:lastRow="0" w:firstColumn="0" w:lastColumn="0" w:oddVBand="0" w:evenVBand="0" w:oddHBand="0" w:evenHBand="0" w:firstRowFirstColumn="0" w:firstRowLastColumn="0" w:lastRowFirstColumn="0" w:lastRowLastColumn="0"/>
          <w:trHeight w:val="353"/>
        </w:trPr>
        <w:tc>
          <w:tcPr>
            <w:cnfStyle w:val="001000000000" w:firstRow="0" w:lastRow="0" w:firstColumn="1" w:lastColumn="0" w:oddVBand="0" w:evenVBand="0" w:oddHBand="0" w:evenHBand="0" w:firstRowFirstColumn="0" w:firstRowLastColumn="0" w:lastRowFirstColumn="0" w:lastRowLastColumn="0"/>
            <w:tcW w:w="1559" w:type="dxa"/>
            <w:tcBorders>
              <w:top w:val="single" w:sz="8" w:space="0" w:color="4F81BD"/>
              <w:left w:val="single" w:sz="8" w:space="0" w:color="4F81BD"/>
              <w:bottom w:val="nil"/>
              <w:right w:val="nil"/>
            </w:tcBorders>
            <w:hideMark/>
          </w:tcPr>
          <w:p w:rsidR="005970AB" w:rsidRDefault="005970AB">
            <w:pPr>
              <w:rPr>
                <w:sz w:val="22"/>
                <w:szCs w:val="22"/>
                <w:rtl/>
              </w:rPr>
            </w:pPr>
            <w:r>
              <w:rPr>
                <w:sz w:val="22"/>
                <w:szCs w:val="22"/>
                <w:rtl/>
              </w:rPr>
              <w:t> שנת תקציב רלבנטית:</w:t>
            </w:r>
          </w:p>
        </w:tc>
        <w:tc>
          <w:tcPr>
            <w:tcW w:w="2170" w:type="dxa"/>
            <w:gridSpan w:val="2"/>
            <w:tcBorders>
              <w:top w:val="single" w:sz="8" w:space="0" w:color="4F81BD"/>
              <w:left w:val="nil"/>
              <w:bottom w:val="nil"/>
              <w:right w:val="nil"/>
            </w:tcBorders>
            <w:hideMark/>
          </w:tcPr>
          <w:p w:rsidR="005970AB" w:rsidRDefault="005970AB">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tl/>
              </w:rPr>
              <w:t>2020</w:t>
            </w:r>
          </w:p>
          <w:p w:rsidR="005970AB" w:rsidRDefault="005970AB">
            <w:pPr>
              <w:jc w:val="center"/>
              <w:cnfStyle w:val="100000000000" w:firstRow="1" w:lastRow="0" w:firstColumn="0" w:lastColumn="0" w:oddVBand="0" w:evenVBand="0" w:oddHBand="0" w:evenHBand="0" w:firstRowFirstColumn="0" w:firstRowLastColumn="0" w:lastRowFirstColumn="0" w:lastRowLastColumn="0"/>
              <w:rPr>
                <w:sz w:val="22"/>
                <w:szCs w:val="22"/>
                <w:rtl/>
              </w:rPr>
            </w:pPr>
            <w:r>
              <w:rPr>
                <w:sz w:val="22"/>
                <w:szCs w:val="22"/>
                <w:rtl/>
              </w:rPr>
              <w:t>תחזית</w:t>
            </w:r>
          </w:p>
        </w:tc>
        <w:tc>
          <w:tcPr>
            <w:tcW w:w="2171" w:type="dxa"/>
            <w:gridSpan w:val="2"/>
            <w:tcBorders>
              <w:top w:val="single" w:sz="8" w:space="0" w:color="4F81BD"/>
              <w:left w:val="nil"/>
              <w:bottom w:val="nil"/>
              <w:right w:val="nil"/>
            </w:tcBorders>
            <w:hideMark/>
          </w:tcPr>
          <w:p w:rsidR="005970AB" w:rsidRDefault="005970AB">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tl/>
              </w:rPr>
              <w:t>2021</w:t>
            </w:r>
          </w:p>
          <w:p w:rsidR="005970AB" w:rsidRDefault="005970AB">
            <w:pPr>
              <w:jc w:val="center"/>
              <w:cnfStyle w:val="100000000000" w:firstRow="1" w:lastRow="0" w:firstColumn="0" w:lastColumn="0" w:oddVBand="0" w:evenVBand="0" w:oddHBand="0" w:evenHBand="0" w:firstRowFirstColumn="0" w:firstRowLastColumn="0" w:lastRowFirstColumn="0" w:lastRowLastColumn="0"/>
              <w:rPr>
                <w:sz w:val="22"/>
                <w:szCs w:val="22"/>
                <w:rtl/>
              </w:rPr>
            </w:pPr>
            <w:r>
              <w:rPr>
                <w:sz w:val="22"/>
                <w:szCs w:val="22"/>
                <w:rtl/>
              </w:rPr>
              <w:t>תחזית</w:t>
            </w:r>
          </w:p>
        </w:tc>
        <w:tc>
          <w:tcPr>
            <w:tcW w:w="2171" w:type="dxa"/>
            <w:gridSpan w:val="2"/>
            <w:tcBorders>
              <w:top w:val="single" w:sz="8" w:space="0" w:color="4F81BD"/>
              <w:left w:val="nil"/>
              <w:bottom w:val="nil"/>
              <w:right w:val="single" w:sz="8" w:space="0" w:color="4F81BD"/>
            </w:tcBorders>
            <w:hideMark/>
          </w:tcPr>
          <w:p w:rsidR="005970AB" w:rsidRDefault="005970AB">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tl/>
              </w:rPr>
              <w:t>2022</w:t>
            </w:r>
          </w:p>
          <w:p w:rsidR="005970AB" w:rsidRDefault="005970AB">
            <w:pPr>
              <w:jc w:val="center"/>
              <w:cnfStyle w:val="100000000000" w:firstRow="1" w:lastRow="0" w:firstColumn="0" w:lastColumn="0" w:oddVBand="0" w:evenVBand="0" w:oddHBand="0" w:evenHBand="0" w:firstRowFirstColumn="0" w:firstRowLastColumn="0" w:lastRowFirstColumn="0" w:lastRowLastColumn="0"/>
              <w:rPr>
                <w:sz w:val="22"/>
                <w:szCs w:val="22"/>
                <w:rtl/>
              </w:rPr>
            </w:pPr>
            <w:r>
              <w:rPr>
                <w:sz w:val="22"/>
                <w:szCs w:val="22"/>
                <w:rtl/>
              </w:rPr>
              <w:t>תחזית</w:t>
            </w:r>
          </w:p>
        </w:tc>
      </w:tr>
      <w:tr w:rsidR="005970AB" w:rsidTr="005970AB">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559" w:type="dxa"/>
            <w:tcBorders>
              <w:right w:val="nil"/>
            </w:tcBorders>
            <w:hideMark/>
          </w:tcPr>
          <w:p w:rsidR="005970AB" w:rsidRDefault="005970AB">
            <w:pPr>
              <w:rPr>
                <w:rFonts w:ascii="David" w:hAnsi="David"/>
                <w:b w:val="0"/>
                <w:bCs w:val="0"/>
                <w:sz w:val="22"/>
                <w:szCs w:val="22"/>
                <w:rtl/>
              </w:rPr>
            </w:pPr>
            <w:r>
              <w:rPr>
                <w:rFonts w:ascii="David" w:hAnsi="David"/>
                <w:b w:val="0"/>
                <w:bCs w:val="0"/>
                <w:sz w:val="22"/>
                <w:szCs w:val="22"/>
                <w:rtl/>
              </w:rPr>
              <w:t>מועד פרסום</w:t>
            </w:r>
          </w:p>
        </w:tc>
        <w:tc>
          <w:tcPr>
            <w:tcW w:w="1085" w:type="dxa"/>
            <w:tcBorders>
              <w:left w:val="nil"/>
              <w:right w:val="nil"/>
            </w:tcBorders>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sz w:val="22"/>
                <w:szCs w:val="22"/>
              </w:rPr>
            </w:pPr>
            <w:r>
              <w:rPr>
                <w:sz w:val="22"/>
                <w:szCs w:val="22"/>
                <w:rtl/>
              </w:rPr>
              <w:t>תקציב</w:t>
            </w:r>
            <w:r>
              <w:rPr>
                <w:rFonts w:ascii="David" w:hAnsi="David"/>
                <w:sz w:val="22"/>
                <w:szCs w:val="22"/>
                <w:rtl/>
              </w:rPr>
              <w:t xml:space="preserve"> 2019</w:t>
            </w:r>
          </w:p>
        </w:tc>
        <w:tc>
          <w:tcPr>
            <w:tcW w:w="1085" w:type="dxa"/>
            <w:tcBorders>
              <w:left w:val="nil"/>
              <w:right w:val="nil"/>
            </w:tcBorders>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sz w:val="22"/>
                <w:szCs w:val="22"/>
                <w:rtl/>
              </w:rPr>
            </w:pPr>
            <w:r>
              <w:rPr>
                <w:sz w:val="22"/>
                <w:szCs w:val="22"/>
                <w:rtl/>
              </w:rPr>
              <w:t>עדכון</w:t>
            </w:r>
            <w:r>
              <w:rPr>
                <w:rFonts w:ascii="David" w:hAnsi="David"/>
                <w:sz w:val="22"/>
                <w:szCs w:val="22"/>
                <w:rtl/>
              </w:rPr>
              <w:t xml:space="preserve"> נוכחי</w:t>
            </w:r>
          </w:p>
        </w:tc>
        <w:tc>
          <w:tcPr>
            <w:tcW w:w="1086" w:type="dxa"/>
            <w:tcBorders>
              <w:left w:val="nil"/>
              <w:right w:val="nil"/>
            </w:tcBorders>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sz w:val="22"/>
                <w:szCs w:val="22"/>
              </w:rPr>
            </w:pPr>
            <w:r>
              <w:rPr>
                <w:sz w:val="22"/>
                <w:szCs w:val="22"/>
                <w:rtl/>
              </w:rPr>
              <w:t>תקציב</w:t>
            </w:r>
            <w:r>
              <w:rPr>
                <w:rFonts w:ascii="David" w:hAnsi="David"/>
                <w:sz w:val="22"/>
                <w:szCs w:val="22"/>
                <w:rtl/>
              </w:rPr>
              <w:t xml:space="preserve"> 2019</w:t>
            </w:r>
          </w:p>
        </w:tc>
        <w:tc>
          <w:tcPr>
            <w:tcW w:w="1085" w:type="dxa"/>
            <w:tcBorders>
              <w:left w:val="nil"/>
              <w:right w:val="nil"/>
            </w:tcBorders>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sz w:val="22"/>
                <w:szCs w:val="22"/>
              </w:rPr>
            </w:pPr>
            <w:r>
              <w:rPr>
                <w:sz w:val="22"/>
                <w:szCs w:val="22"/>
                <w:rtl/>
              </w:rPr>
              <w:t>עדכון</w:t>
            </w:r>
          </w:p>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sz w:val="22"/>
                <w:szCs w:val="22"/>
                <w:rtl/>
              </w:rPr>
            </w:pPr>
            <w:r>
              <w:rPr>
                <w:rFonts w:ascii="David" w:hAnsi="David"/>
                <w:sz w:val="22"/>
                <w:szCs w:val="22"/>
                <w:rtl/>
              </w:rPr>
              <w:t>נוכחי</w:t>
            </w:r>
          </w:p>
        </w:tc>
        <w:tc>
          <w:tcPr>
            <w:tcW w:w="1085" w:type="dxa"/>
            <w:tcBorders>
              <w:left w:val="nil"/>
              <w:right w:val="nil"/>
            </w:tcBorders>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sz w:val="22"/>
                <w:szCs w:val="22"/>
              </w:rPr>
            </w:pPr>
            <w:r>
              <w:rPr>
                <w:sz w:val="22"/>
                <w:szCs w:val="22"/>
                <w:rtl/>
              </w:rPr>
              <w:t>תקציב</w:t>
            </w:r>
            <w:r>
              <w:rPr>
                <w:rFonts w:ascii="David" w:hAnsi="David"/>
                <w:sz w:val="22"/>
                <w:szCs w:val="22"/>
                <w:rtl/>
              </w:rPr>
              <w:t xml:space="preserve"> 2019</w:t>
            </w:r>
          </w:p>
        </w:tc>
        <w:tc>
          <w:tcPr>
            <w:tcW w:w="1086" w:type="dxa"/>
            <w:tcBorders>
              <w:left w:val="nil"/>
            </w:tcBorders>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sz w:val="22"/>
                <w:szCs w:val="22"/>
              </w:rPr>
            </w:pPr>
            <w:r>
              <w:rPr>
                <w:sz w:val="22"/>
                <w:szCs w:val="22"/>
                <w:rtl/>
              </w:rPr>
              <w:t>עדכון</w:t>
            </w:r>
          </w:p>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sz w:val="22"/>
                <w:szCs w:val="22"/>
                <w:rtl/>
              </w:rPr>
            </w:pPr>
            <w:r>
              <w:rPr>
                <w:rFonts w:ascii="David" w:hAnsi="David"/>
                <w:sz w:val="22"/>
                <w:szCs w:val="22"/>
                <w:rtl/>
              </w:rPr>
              <w:t>נוכחי</w:t>
            </w:r>
          </w:p>
        </w:tc>
      </w:tr>
      <w:tr w:rsidR="005970AB" w:rsidTr="005970AB">
        <w:trPr>
          <w:trHeight w:val="360"/>
        </w:trPr>
        <w:tc>
          <w:tcPr>
            <w:cnfStyle w:val="001000000000" w:firstRow="0" w:lastRow="0" w:firstColumn="1" w:lastColumn="0" w:oddVBand="0" w:evenVBand="0" w:oddHBand="0" w:evenHBand="0" w:firstRowFirstColumn="0" w:firstRowLastColumn="0" w:lastRowFirstColumn="0" w:lastRowLastColumn="0"/>
            <w:tcW w:w="1559" w:type="dxa"/>
            <w:tcBorders>
              <w:top w:val="nil"/>
              <w:left w:val="single" w:sz="8" w:space="0" w:color="4F81BD"/>
              <w:bottom w:val="nil"/>
              <w:right w:val="nil"/>
            </w:tcBorders>
            <w:hideMark/>
          </w:tcPr>
          <w:p w:rsidR="005970AB" w:rsidRDefault="005970AB">
            <w:pPr>
              <w:rPr>
                <w:rFonts w:ascii="David" w:hAnsi="David"/>
                <w:b w:val="0"/>
                <w:bCs w:val="0"/>
                <w:sz w:val="22"/>
                <w:szCs w:val="22"/>
              </w:rPr>
            </w:pPr>
            <w:r>
              <w:rPr>
                <w:rFonts w:ascii="David" w:hAnsi="David"/>
                <w:b w:val="0"/>
                <w:bCs w:val="0"/>
                <w:sz w:val="22"/>
                <w:szCs w:val="22"/>
                <w:rtl/>
              </w:rPr>
              <w:t>הכנסות ממסים</w:t>
            </w:r>
            <w:r w:rsidR="00FD7AB1">
              <w:rPr>
                <w:rFonts w:ascii="David" w:hAnsi="David" w:hint="cs"/>
                <w:b w:val="0"/>
                <w:bCs w:val="0"/>
                <w:sz w:val="22"/>
                <w:szCs w:val="22"/>
                <w:rtl/>
              </w:rPr>
              <w:t>*</w:t>
            </w:r>
          </w:p>
        </w:tc>
        <w:tc>
          <w:tcPr>
            <w:tcW w:w="1085" w:type="dxa"/>
            <w:tcBorders>
              <w:top w:val="nil"/>
              <w:left w:val="nil"/>
              <w:bottom w:val="nil"/>
              <w:right w:val="nil"/>
            </w:tcBorders>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sz w:val="22"/>
                <w:szCs w:val="22"/>
                <w:rtl/>
              </w:rPr>
            </w:pPr>
            <w:r>
              <w:rPr>
                <w:rFonts w:ascii="David" w:hAnsi="David"/>
                <w:sz w:val="22"/>
                <w:szCs w:val="22"/>
                <w:rtl/>
              </w:rPr>
              <w:t>338.7</w:t>
            </w:r>
          </w:p>
        </w:tc>
        <w:tc>
          <w:tcPr>
            <w:tcW w:w="1085" w:type="dxa"/>
            <w:tcBorders>
              <w:top w:val="nil"/>
              <w:left w:val="nil"/>
              <w:bottom w:val="nil"/>
              <w:right w:val="nil"/>
            </w:tcBorders>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sz w:val="22"/>
                <w:szCs w:val="22"/>
                <w:rtl/>
              </w:rPr>
            </w:pPr>
            <w:r>
              <w:rPr>
                <w:rFonts w:ascii="David" w:hAnsi="David"/>
                <w:sz w:val="22"/>
                <w:szCs w:val="22"/>
                <w:rtl/>
              </w:rPr>
              <w:t>333.3</w:t>
            </w:r>
          </w:p>
        </w:tc>
        <w:tc>
          <w:tcPr>
            <w:tcW w:w="1086" w:type="dxa"/>
            <w:tcBorders>
              <w:top w:val="nil"/>
              <w:left w:val="nil"/>
              <w:bottom w:val="nil"/>
              <w:right w:val="nil"/>
            </w:tcBorders>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sz w:val="22"/>
                <w:szCs w:val="22"/>
                <w:rtl/>
              </w:rPr>
            </w:pPr>
            <w:r>
              <w:rPr>
                <w:rFonts w:ascii="David" w:hAnsi="David"/>
                <w:sz w:val="22"/>
                <w:szCs w:val="22"/>
                <w:rtl/>
              </w:rPr>
              <w:t>352.4</w:t>
            </w:r>
          </w:p>
        </w:tc>
        <w:tc>
          <w:tcPr>
            <w:tcW w:w="1085" w:type="dxa"/>
            <w:tcBorders>
              <w:top w:val="nil"/>
              <w:left w:val="nil"/>
              <w:bottom w:val="nil"/>
              <w:right w:val="nil"/>
            </w:tcBorders>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sz w:val="22"/>
                <w:szCs w:val="22"/>
                <w:rtl/>
              </w:rPr>
            </w:pPr>
            <w:r>
              <w:rPr>
                <w:sz w:val="22"/>
                <w:szCs w:val="22"/>
                <w:rtl/>
              </w:rPr>
              <w:t>349.2</w:t>
            </w:r>
          </w:p>
        </w:tc>
        <w:tc>
          <w:tcPr>
            <w:tcW w:w="1085" w:type="dxa"/>
            <w:tcBorders>
              <w:top w:val="nil"/>
              <w:left w:val="nil"/>
              <w:bottom w:val="nil"/>
              <w:right w:val="nil"/>
            </w:tcBorders>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sz w:val="22"/>
                <w:szCs w:val="22"/>
                <w:rtl/>
              </w:rPr>
            </w:pPr>
            <w:r>
              <w:rPr>
                <w:sz w:val="22"/>
                <w:szCs w:val="22"/>
                <w:rtl/>
              </w:rPr>
              <w:t>368.3</w:t>
            </w:r>
          </w:p>
        </w:tc>
        <w:tc>
          <w:tcPr>
            <w:tcW w:w="1086" w:type="dxa"/>
            <w:tcBorders>
              <w:top w:val="nil"/>
              <w:left w:val="nil"/>
              <w:bottom w:val="nil"/>
              <w:right w:val="single" w:sz="8" w:space="0" w:color="4F81BD"/>
            </w:tcBorders>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sz w:val="22"/>
                <w:szCs w:val="22"/>
                <w:rtl/>
              </w:rPr>
            </w:pPr>
            <w:r>
              <w:rPr>
                <w:sz w:val="22"/>
                <w:szCs w:val="22"/>
                <w:rtl/>
              </w:rPr>
              <w:t>366.3</w:t>
            </w:r>
          </w:p>
        </w:tc>
      </w:tr>
      <w:tr w:rsidR="005970AB" w:rsidTr="005970AB">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559" w:type="dxa"/>
            <w:tcBorders>
              <w:right w:val="nil"/>
            </w:tcBorders>
            <w:hideMark/>
          </w:tcPr>
          <w:p w:rsidR="005970AB" w:rsidRDefault="005970AB">
            <w:pPr>
              <w:rPr>
                <w:rFonts w:ascii="David" w:hAnsi="David"/>
                <w:b w:val="0"/>
                <w:bCs w:val="0"/>
                <w:sz w:val="22"/>
                <w:szCs w:val="22"/>
                <w:rtl/>
              </w:rPr>
            </w:pPr>
            <w:r>
              <w:rPr>
                <w:rFonts w:ascii="David" w:hAnsi="David"/>
                <w:b w:val="0"/>
                <w:bCs w:val="0"/>
                <w:sz w:val="22"/>
                <w:szCs w:val="22"/>
                <w:rtl/>
              </w:rPr>
              <w:t>הכנסות אחרות</w:t>
            </w:r>
          </w:p>
        </w:tc>
        <w:tc>
          <w:tcPr>
            <w:tcW w:w="1085" w:type="dxa"/>
            <w:tcBorders>
              <w:left w:val="nil"/>
              <w:right w:val="nil"/>
            </w:tcBorders>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sz w:val="22"/>
                <w:szCs w:val="22"/>
              </w:rPr>
            </w:pPr>
            <w:r>
              <w:rPr>
                <w:rFonts w:ascii="David" w:hAnsi="David"/>
                <w:sz w:val="22"/>
                <w:szCs w:val="22"/>
                <w:rtl/>
              </w:rPr>
              <w:t>29.9</w:t>
            </w:r>
          </w:p>
        </w:tc>
        <w:tc>
          <w:tcPr>
            <w:tcW w:w="1085" w:type="dxa"/>
            <w:tcBorders>
              <w:left w:val="nil"/>
              <w:right w:val="nil"/>
            </w:tcBorders>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sz w:val="22"/>
                <w:szCs w:val="22"/>
                <w:rtl/>
              </w:rPr>
            </w:pPr>
            <w:r>
              <w:rPr>
                <w:rFonts w:ascii="David" w:hAnsi="David"/>
                <w:sz w:val="22"/>
                <w:szCs w:val="22"/>
              </w:rPr>
              <w:t>30.9</w:t>
            </w:r>
          </w:p>
        </w:tc>
        <w:tc>
          <w:tcPr>
            <w:tcW w:w="1086" w:type="dxa"/>
            <w:tcBorders>
              <w:left w:val="nil"/>
              <w:right w:val="nil"/>
            </w:tcBorders>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rFonts w:ascii="David" w:hAnsi="David"/>
                <w:sz w:val="22"/>
                <w:szCs w:val="22"/>
                <w:rtl/>
              </w:rPr>
            </w:pPr>
            <w:r>
              <w:rPr>
                <w:rFonts w:ascii="David" w:hAnsi="David"/>
                <w:sz w:val="22"/>
                <w:szCs w:val="22"/>
                <w:rtl/>
              </w:rPr>
              <w:t>30.5</w:t>
            </w:r>
          </w:p>
        </w:tc>
        <w:tc>
          <w:tcPr>
            <w:tcW w:w="1085" w:type="dxa"/>
            <w:tcBorders>
              <w:left w:val="nil"/>
              <w:right w:val="nil"/>
            </w:tcBorders>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sz w:val="22"/>
                <w:szCs w:val="22"/>
                <w:rtl/>
              </w:rPr>
            </w:pPr>
            <w:r>
              <w:rPr>
                <w:sz w:val="22"/>
                <w:szCs w:val="22"/>
                <w:rtl/>
              </w:rPr>
              <w:t>31.4</w:t>
            </w:r>
          </w:p>
        </w:tc>
        <w:tc>
          <w:tcPr>
            <w:tcW w:w="1085" w:type="dxa"/>
            <w:tcBorders>
              <w:left w:val="nil"/>
              <w:right w:val="nil"/>
            </w:tcBorders>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sz w:val="22"/>
                <w:szCs w:val="22"/>
                <w:rtl/>
              </w:rPr>
            </w:pPr>
            <w:r>
              <w:rPr>
                <w:sz w:val="22"/>
                <w:szCs w:val="22"/>
                <w:rtl/>
              </w:rPr>
              <w:t>30.7</w:t>
            </w:r>
          </w:p>
        </w:tc>
        <w:tc>
          <w:tcPr>
            <w:tcW w:w="1086" w:type="dxa"/>
            <w:tcBorders>
              <w:left w:val="nil"/>
            </w:tcBorders>
            <w:hideMark/>
          </w:tcPr>
          <w:p w:rsidR="005970AB" w:rsidRDefault="005970AB">
            <w:pPr>
              <w:jc w:val="center"/>
              <w:cnfStyle w:val="000000100000" w:firstRow="0" w:lastRow="0" w:firstColumn="0" w:lastColumn="0" w:oddVBand="0" w:evenVBand="0" w:oddHBand="1" w:evenHBand="0" w:firstRowFirstColumn="0" w:firstRowLastColumn="0" w:lastRowFirstColumn="0" w:lastRowLastColumn="0"/>
              <w:rPr>
                <w:sz w:val="22"/>
                <w:szCs w:val="22"/>
                <w:rtl/>
              </w:rPr>
            </w:pPr>
            <w:r>
              <w:rPr>
                <w:sz w:val="22"/>
                <w:szCs w:val="22"/>
                <w:rtl/>
              </w:rPr>
              <w:t>31.7</w:t>
            </w:r>
          </w:p>
        </w:tc>
      </w:tr>
      <w:tr w:rsidR="005970AB" w:rsidTr="005970AB">
        <w:trPr>
          <w:trHeight w:val="360"/>
        </w:trPr>
        <w:tc>
          <w:tcPr>
            <w:cnfStyle w:val="001000000000" w:firstRow="0" w:lastRow="0" w:firstColumn="1" w:lastColumn="0" w:oddVBand="0" w:evenVBand="0" w:oddHBand="0" w:evenHBand="0" w:firstRowFirstColumn="0" w:firstRowLastColumn="0" w:lastRowFirstColumn="0" w:lastRowLastColumn="0"/>
            <w:tcW w:w="1559" w:type="dxa"/>
            <w:tcBorders>
              <w:top w:val="nil"/>
              <w:left w:val="single" w:sz="8" w:space="0" w:color="4F81BD"/>
              <w:bottom w:val="single" w:sz="8" w:space="0" w:color="4F81BD"/>
              <w:right w:val="nil"/>
            </w:tcBorders>
            <w:hideMark/>
          </w:tcPr>
          <w:p w:rsidR="005970AB" w:rsidRDefault="005970AB">
            <w:pPr>
              <w:rPr>
                <w:rFonts w:ascii="David" w:hAnsi="David"/>
                <w:sz w:val="22"/>
                <w:szCs w:val="22"/>
                <w:rtl/>
              </w:rPr>
            </w:pPr>
            <w:r>
              <w:rPr>
                <w:rFonts w:ascii="David" w:hAnsi="David"/>
                <w:sz w:val="22"/>
                <w:szCs w:val="22"/>
                <w:rtl/>
              </w:rPr>
              <w:t>סך ההכנסות</w:t>
            </w:r>
          </w:p>
        </w:tc>
        <w:tc>
          <w:tcPr>
            <w:tcW w:w="1085" w:type="dxa"/>
            <w:tcBorders>
              <w:top w:val="nil"/>
              <w:left w:val="nil"/>
              <w:bottom w:val="single" w:sz="8" w:space="0" w:color="4F81BD"/>
              <w:right w:val="nil"/>
            </w:tcBorders>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b/>
                <w:bCs/>
                <w:sz w:val="22"/>
                <w:szCs w:val="22"/>
              </w:rPr>
            </w:pPr>
            <w:r>
              <w:rPr>
                <w:rFonts w:ascii="David" w:hAnsi="David"/>
                <w:b/>
                <w:bCs/>
                <w:sz w:val="22"/>
                <w:szCs w:val="22"/>
                <w:rtl/>
              </w:rPr>
              <w:t>368.6</w:t>
            </w:r>
          </w:p>
        </w:tc>
        <w:tc>
          <w:tcPr>
            <w:tcW w:w="1085" w:type="dxa"/>
            <w:tcBorders>
              <w:top w:val="nil"/>
              <w:left w:val="nil"/>
              <w:bottom w:val="single" w:sz="8" w:space="0" w:color="4F81BD"/>
              <w:right w:val="nil"/>
            </w:tcBorders>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b/>
                <w:bCs/>
                <w:sz w:val="22"/>
                <w:szCs w:val="22"/>
                <w:rtl/>
              </w:rPr>
            </w:pPr>
            <w:r>
              <w:rPr>
                <w:rFonts w:ascii="David" w:hAnsi="David"/>
                <w:b/>
                <w:bCs/>
                <w:sz w:val="22"/>
                <w:szCs w:val="22"/>
                <w:rtl/>
              </w:rPr>
              <w:t>364.2</w:t>
            </w:r>
          </w:p>
        </w:tc>
        <w:tc>
          <w:tcPr>
            <w:tcW w:w="1086" w:type="dxa"/>
            <w:tcBorders>
              <w:top w:val="nil"/>
              <w:left w:val="nil"/>
              <w:bottom w:val="single" w:sz="8" w:space="0" w:color="4F81BD"/>
              <w:right w:val="nil"/>
            </w:tcBorders>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rFonts w:ascii="David" w:hAnsi="David"/>
                <w:b/>
                <w:bCs/>
                <w:sz w:val="22"/>
                <w:szCs w:val="22"/>
                <w:rtl/>
              </w:rPr>
            </w:pPr>
            <w:r>
              <w:rPr>
                <w:rFonts w:ascii="David" w:hAnsi="David"/>
                <w:b/>
                <w:bCs/>
                <w:sz w:val="22"/>
                <w:szCs w:val="22"/>
                <w:rtl/>
              </w:rPr>
              <w:t>382.9</w:t>
            </w:r>
          </w:p>
        </w:tc>
        <w:tc>
          <w:tcPr>
            <w:tcW w:w="1085" w:type="dxa"/>
            <w:tcBorders>
              <w:top w:val="nil"/>
              <w:left w:val="nil"/>
              <w:bottom w:val="single" w:sz="8" w:space="0" w:color="4F81BD"/>
              <w:right w:val="nil"/>
            </w:tcBorders>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b/>
                <w:bCs/>
                <w:sz w:val="22"/>
                <w:szCs w:val="22"/>
                <w:rtl/>
              </w:rPr>
            </w:pPr>
            <w:r>
              <w:rPr>
                <w:b/>
                <w:bCs/>
                <w:sz w:val="22"/>
                <w:szCs w:val="22"/>
                <w:rtl/>
              </w:rPr>
              <w:t>380.6</w:t>
            </w:r>
          </w:p>
        </w:tc>
        <w:tc>
          <w:tcPr>
            <w:tcW w:w="1085" w:type="dxa"/>
            <w:tcBorders>
              <w:top w:val="nil"/>
              <w:left w:val="nil"/>
              <w:bottom w:val="single" w:sz="8" w:space="0" w:color="4F81BD"/>
              <w:right w:val="nil"/>
            </w:tcBorders>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b/>
                <w:bCs/>
                <w:sz w:val="22"/>
                <w:szCs w:val="22"/>
                <w:rtl/>
              </w:rPr>
            </w:pPr>
            <w:r>
              <w:rPr>
                <w:b/>
                <w:bCs/>
                <w:sz w:val="22"/>
                <w:szCs w:val="22"/>
                <w:rtl/>
              </w:rPr>
              <w:t>399.0</w:t>
            </w:r>
          </w:p>
        </w:tc>
        <w:tc>
          <w:tcPr>
            <w:tcW w:w="1086" w:type="dxa"/>
            <w:tcBorders>
              <w:top w:val="nil"/>
              <w:left w:val="nil"/>
              <w:bottom w:val="single" w:sz="8" w:space="0" w:color="4F81BD"/>
              <w:right w:val="single" w:sz="8" w:space="0" w:color="4F81BD"/>
            </w:tcBorders>
            <w:hideMark/>
          </w:tcPr>
          <w:p w:rsidR="005970AB" w:rsidRDefault="005970AB">
            <w:pPr>
              <w:jc w:val="center"/>
              <w:cnfStyle w:val="000000000000" w:firstRow="0" w:lastRow="0" w:firstColumn="0" w:lastColumn="0" w:oddVBand="0" w:evenVBand="0" w:oddHBand="0" w:evenHBand="0" w:firstRowFirstColumn="0" w:firstRowLastColumn="0" w:lastRowFirstColumn="0" w:lastRowLastColumn="0"/>
              <w:rPr>
                <w:b/>
                <w:bCs/>
                <w:sz w:val="22"/>
                <w:szCs w:val="22"/>
                <w:rtl/>
              </w:rPr>
            </w:pPr>
            <w:r>
              <w:rPr>
                <w:b/>
                <w:bCs/>
                <w:sz w:val="22"/>
                <w:szCs w:val="22"/>
                <w:rtl/>
              </w:rPr>
              <w:t>398.0</w:t>
            </w:r>
          </w:p>
        </w:tc>
      </w:tr>
    </w:tbl>
    <w:p w:rsidR="005970AB" w:rsidRPr="00FD7AB1" w:rsidRDefault="00965415" w:rsidP="00965415">
      <w:pPr>
        <w:tabs>
          <w:tab w:val="left" w:pos="5272"/>
          <w:tab w:val="left" w:pos="5322"/>
          <w:tab w:val="right" w:pos="8306"/>
        </w:tabs>
        <w:jc w:val="left"/>
        <w:rPr>
          <w:rtl/>
        </w:rPr>
      </w:pPr>
      <w:r>
        <w:rPr>
          <w:rFonts w:hint="cs"/>
          <w:rtl/>
        </w:rPr>
        <w:t xml:space="preserve">* </w:t>
      </w:r>
      <w:r w:rsidR="00FD7AB1" w:rsidRPr="00FD7AB1">
        <w:rPr>
          <w:rFonts w:hint="cs"/>
          <w:rtl/>
        </w:rPr>
        <w:t>התרחיש המרכזי מניח כי הפחתות המכסים מאפריל ודצמבר 17 יוארכו. במידה ולא (המצב החוקי הקיים), ההכנסות יגדלו ב 1.4 מילארד בש"ח.</w:t>
      </w:r>
    </w:p>
    <w:p w:rsidR="005970AB" w:rsidRDefault="005970AB" w:rsidP="005970AB">
      <w:pPr>
        <w:jc w:val="center"/>
        <w:rPr>
          <w:b/>
          <w:bCs/>
          <w:rtl/>
        </w:rPr>
      </w:pPr>
      <w:r>
        <w:rPr>
          <w:b/>
          <w:bCs/>
          <w:rtl/>
        </w:rPr>
        <w:t>נטל המס ותקבולי הכנסות אחרות בשנים 2017-2000 ותחזית לשנים 2018–2022</w:t>
      </w:r>
    </w:p>
    <w:p w:rsidR="005970AB" w:rsidRDefault="005970AB" w:rsidP="005970AB">
      <w:pPr>
        <w:jc w:val="center"/>
        <w:rPr>
          <w:rtl/>
        </w:rPr>
      </w:pPr>
      <w:r>
        <w:rPr>
          <w:rtl/>
        </w:rPr>
        <w:t>(הכנסות המדינה כשיעור מהתוצר)</w:t>
      </w:r>
    </w:p>
    <w:p w:rsidR="005970AB" w:rsidRDefault="005970AB" w:rsidP="005970AB">
      <w:pPr>
        <w:tabs>
          <w:tab w:val="left" w:pos="5272"/>
          <w:tab w:val="left" w:pos="5322"/>
          <w:tab w:val="right" w:pos="8306"/>
        </w:tabs>
        <w:spacing w:before="200" w:after="200"/>
        <w:contextualSpacing/>
        <w:rPr>
          <w:rtl/>
        </w:rPr>
      </w:pPr>
      <w:r>
        <w:rPr>
          <w:noProof/>
        </w:rPr>
        <w:drawing>
          <wp:inline distT="0" distB="0" distL="0" distR="0" wp14:anchorId="1C1E8CBE" wp14:editId="5B0A0ECB">
            <wp:extent cx="5276850" cy="2390775"/>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970AB" w:rsidRDefault="005970AB" w:rsidP="005970AB">
      <w:pPr>
        <w:tabs>
          <w:tab w:val="left" w:pos="5272"/>
          <w:tab w:val="left" w:pos="5322"/>
          <w:tab w:val="right" w:pos="8306"/>
        </w:tabs>
        <w:spacing w:before="200" w:after="200"/>
        <w:contextualSpacing/>
        <w:rPr>
          <w:sz w:val="22"/>
          <w:szCs w:val="22"/>
          <w:rtl/>
        </w:rPr>
      </w:pPr>
      <w:r>
        <w:rPr>
          <w:sz w:val="22"/>
          <w:szCs w:val="22"/>
          <w:rtl/>
        </w:rPr>
        <w:t xml:space="preserve">*תחזית </w:t>
      </w:r>
    </w:p>
    <w:p w:rsidR="005970AB" w:rsidRDefault="005970AB" w:rsidP="005970AB">
      <w:pPr>
        <w:rPr>
          <w:rtl/>
        </w:rPr>
      </w:pPr>
    </w:p>
    <w:p w:rsidR="005970AB" w:rsidRDefault="005970AB" w:rsidP="005970AB">
      <w:pPr>
        <w:rPr>
          <w:rFonts w:ascii="David" w:hAnsi="David"/>
          <w:rtl/>
        </w:rPr>
      </w:pPr>
    </w:p>
    <w:p w:rsidR="005970AB" w:rsidRDefault="005970AB" w:rsidP="005970AB">
      <w:pPr>
        <w:rPr>
          <w:rtl/>
        </w:rPr>
      </w:pPr>
    </w:p>
    <w:p w:rsidR="005970AB" w:rsidRDefault="005970AB" w:rsidP="005970AB">
      <w:pPr>
        <w:rPr>
          <w:b/>
          <w:bCs/>
          <w:sz w:val="28"/>
          <w:szCs w:val="28"/>
        </w:rPr>
      </w:pPr>
      <w:r>
        <w:rPr>
          <w:b/>
          <w:bCs/>
          <w:sz w:val="28"/>
          <w:szCs w:val="28"/>
          <w:rtl/>
        </w:rPr>
        <w:t>סיכונים לתחזית ותרחישים אלטרנטיביים</w:t>
      </w:r>
    </w:p>
    <w:p w:rsidR="005970AB" w:rsidRDefault="005970AB" w:rsidP="005970AB">
      <w:pPr>
        <w:rPr>
          <w:b/>
          <w:bCs/>
          <w:rtl/>
        </w:rPr>
      </w:pPr>
      <w:r>
        <w:rPr>
          <w:b/>
          <w:bCs/>
          <w:rtl/>
        </w:rPr>
        <w:lastRenderedPageBreak/>
        <w:t>סיכונים לסביבת המקרו</w:t>
      </w:r>
    </w:p>
    <w:p w:rsidR="005970AB" w:rsidRDefault="005970AB" w:rsidP="005970AB">
      <w:pPr>
        <w:spacing w:after="160"/>
        <w:rPr>
          <w:rFonts w:asciiTheme="minorHAnsi" w:eastAsiaTheme="minorEastAsia" w:hAnsiTheme="minorHAnsi"/>
          <w:rtl/>
        </w:rPr>
      </w:pPr>
      <w:r>
        <w:rPr>
          <w:rFonts w:asciiTheme="minorHAnsi" w:eastAsiaTheme="minorEastAsia" w:hAnsiTheme="minorHAnsi"/>
          <w:rtl/>
        </w:rPr>
        <w:t>התחזיות המוצגות במסמך זה נשענות על תרחיש של יציבות במערכות הכלכליות המקומית והגלובלית, ללא משברים משמעותיים באף אחת מהזירות. התחזיות אף מתבססות על שורת הנחות שהפרת כל אחת מהן עשויה להניב תוצאות שונות מאלה שנחזו, במיוחד ככל שטווח התחזיות גדל. להלן יוצגו מספר גורמים העלולים להביא לסטייה מהתחזיות, מרביתם סיכונים שעלולים לפגוע בקצב הצמיחה.</w:t>
      </w:r>
    </w:p>
    <w:p w:rsidR="005970AB" w:rsidRDefault="005970AB" w:rsidP="005970AB">
      <w:pPr>
        <w:spacing w:after="160"/>
        <w:rPr>
          <w:rFonts w:asciiTheme="minorHAnsi" w:eastAsiaTheme="minorEastAsia" w:hAnsiTheme="minorHAnsi"/>
          <w:rtl/>
        </w:rPr>
      </w:pPr>
      <w:r>
        <w:rPr>
          <w:rFonts w:asciiTheme="minorHAnsi" w:eastAsiaTheme="minorEastAsia" w:hAnsiTheme="minorHAnsi"/>
          <w:b/>
          <w:bCs/>
          <w:rtl/>
        </w:rPr>
        <w:t>בסביבה הגלובלית</w:t>
      </w:r>
      <w:r>
        <w:rPr>
          <w:rFonts w:asciiTheme="minorHAnsi" w:eastAsiaTheme="minorEastAsia" w:hAnsiTheme="minorHAnsi"/>
          <w:rtl/>
        </w:rPr>
        <w:t xml:space="preserve"> אפשר להצביע על מספר איומים מרכזיים לתחזית. מלחמות הסחר הביאו להאטה בצמיחה העולמית ובהיקף הסחר העולמי כבר ב-2018, מגמה שעלולה להחריף. המדיניות המוניטרית המרחיבה של הבנקים המרכזיים בארה"ב ובאירופה מגיעה אל קצה במהלך שעלול להאט את קצב הצמיחה. במקביל, מתרבים האינדיקטורים להאטה בשווקים המתעוררים ובחלק ממדינות אירופה, כאשר יציאת בריטניה מהאיחוד האירופי מאיימת לערער את כלכלתו (ואת כלכלתה). בשנה החולפת התגברו שלל איומים גאופוליטיים שעלולים להתפתח למשבר של ממש. </w:t>
      </w:r>
      <w:r>
        <w:rPr>
          <w:rFonts w:asciiTheme="minorHAnsi" w:eastAsiaTheme="minorEastAsia" w:hAnsiTheme="minorHAnsi"/>
          <w:b/>
          <w:bCs/>
          <w:rtl/>
        </w:rPr>
        <w:t>בכלכלה המקומית</w:t>
      </w:r>
      <w:r>
        <w:rPr>
          <w:rFonts w:asciiTheme="minorHAnsi" w:eastAsiaTheme="minorEastAsia" w:hAnsiTheme="minorHAnsi"/>
          <w:rtl/>
        </w:rPr>
        <w:t xml:space="preserve"> ניתן למנות את חוסר הוודאות עקב הקדמת הבחירות ואת האיומים הביטחוניים בתור סיכונים לתחזית. מנגד, עלייה ביצוא הסחורות, השקעות בקנה מידה גדול ומכירת חברות עשויות להוות סיכונים בצד החיובי. </w:t>
      </w:r>
    </w:p>
    <w:p w:rsidR="005970AB" w:rsidRDefault="005970AB" w:rsidP="005970AB">
      <w:pPr>
        <w:spacing w:after="160"/>
        <w:rPr>
          <w:rFonts w:asciiTheme="minorHAnsi" w:eastAsiaTheme="minorEastAsia" w:hAnsiTheme="minorHAnsi"/>
          <w:rtl/>
        </w:rPr>
      </w:pPr>
      <w:r>
        <w:rPr>
          <w:rFonts w:asciiTheme="minorHAnsi" w:eastAsiaTheme="minorEastAsia" w:hAnsiTheme="minorHAnsi"/>
          <w:rtl/>
        </w:rPr>
        <w:t>להלן נציג חלק מהסיכונים בהרחבה:</w:t>
      </w:r>
    </w:p>
    <w:p w:rsidR="005970AB" w:rsidRDefault="005970AB" w:rsidP="005970AB">
      <w:pPr>
        <w:spacing w:before="300"/>
        <w:outlineLvl w:val="3"/>
        <w:rPr>
          <w:rFonts w:asciiTheme="minorHAnsi" w:eastAsiaTheme="minorEastAsia" w:hAnsiTheme="minorHAnsi"/>
          <w:b/>
          <w:bCs/>
          <w:caps/>
          <w:spacing w:val="10"/>
          <w:rtl/>
        </w:rPr>
      </w:pPr>
      <w:r>
        <w:rPr>
          <w:rFonts w:asciiTheme="minorHAnsi" w:eastAsiaTheme="minorEastAsia" w:hAnsiTheme="minorHAnsi"/>
          <w:b/>
          <w:bCs/>
          <w:caps/>
          <w:spacing w:val="10"/>
          <w:rtl/>
        </w:rPr>
        <w:t>נסיגה ממדיניות ההרחבה המוניטרית והפיסקאלית</w:t>
      </w:r>
    </w:p>
    <w:p w:rsidR="005970AB" w:rsidRDefault="005970AB" w:rsidP="005970AB">
      <w:pPr>
        <w:spacing w:after="160"/>
        <w:rPr>
          <w:rFonts w:asciiTheme="minorHAnsi" w:eastAsiaTheme="minorEastAsia" w:hAnsiTheme="minorHAnsi"/>
          <w:rtl/>
        </w:rPr>
      </w:pPr>
      <w:r>
        <w:rPr>
          <w:rFonts w:asciiTheme="minorHAnsi" w:eastAsiaTheme="minorEastAsia" w:hAnsiTheme="minorHAnsi"/>
          <w:rtl/>
        </w:rPr>
        <w:t>מדיניות ההרחבה המוניטרית של הפד האמריקאי הסתיימה ושל ה-</w:t>
      </w:r>
      <w:r>
        <w:rPr>
          <w:rFonts w:asciiTheme="minorHAnsi" w:eastAsiaTheme="minorEastAsia" w:hAnsiTheme="minorHAnsi"/>
        </w:rPr>
        <w:t>ECB</w:t>
      </w:r>
      <w:r>
        <w:rPr>
          <w:rFonts w:asciiTheme="minorHAnsi" w:eastAsiaTheme="minorEastAsia" w:hAnsiTheme="minorHAnsi"/>
          <w:rtl/>
        </w:rPr>
        <w:t xml:space="preserve"> מתקרבת למיצוי, ולאחר כעשור של מדיניות מרחיבה מסתמן כי הבנקים המרכזיים מצמצמים את מעורבותם בשווקים. אם תחול עלייה באינפלציה הדבר יקשה על הבנקים המרכזיים להימנע מהעלאות ריביות, המצויות במגמת עלייה בתום תקופה ארוכה של סביבת ריבית אפסית. לכך אפשר להוסיף את צעדי הריסון הפיסקאלי שנוקטות מרבית הכלכלות המפותחות, אשר עלולים אף הם להעיב על קצב הצמיחה בטווח הקצר.</w:t>
      </w:r>
    </w:p>
    <w:p w:rsidR="005970AB" w:rsidRDefault="005970AB" w:rsidP="005970AB">
      <w:pPr>
        <w:spacing w:before="300"/>
        <w:outlineLvl w:val="3"/>
        <w:rPr>
          <w:rFonts w:asciiTheme="minorHAnsi" w:eastAsiaTheme="minorEastAsia" w:hAnsiTheme="minorHAnsi"/>
          <w:b/>
          <w:bCs/>
          <w:caps/>
          <w:spacing w:val="10"/>
          <w:rtl/>
        </w:rPr>
      </w:pPr>
      <w:r>
        <w:rPr>
          <w:rFonts w:asciiTheme="minorHAnsi" w:eastAsiaTheme="minorEastAsia" w:hAnsiTheme="minorHAnsi"/>
          <w:b/>
          <w:bCs/>
          <w:caps/>
          <w:spacing w:val="10"/>
          <w:rtl/>
        </w:rPr>
        <w:t>מלחמות סחר</w:t>
      </w:r>
    </w:p>
    <w:p w:rsidR="005970AB" w:rsidRDefault="005970AB" w:rsidP="005970AB">
      <w:pPr>
        <w:spacing w:after="160"/>
        <w:rPr>
          <w:rFonts w:asciiTheme="minorHAnsi" w:eastAsiaTheme="minorEastAsia" w:hAnsiTheme="minorHAnsi"/>
          <w:rtl/>
        </w:rPr>
      </w:pPr>
      <w:r>
        <w:rPr>
          <w:rFonts w:asciiTheme="minorHAnsi" w:eastAsiaTheme="minorEastAsia" w:hAnsiTheme="minorHAnsi"/>
          <w:rtl/>
        </w:rPr>
        <w:t>האיום של מלחמת הסחר פחת בחודשים האחרונים. בשלב הראשון נוצר איום לביטול של הסכמי סחר רבים וחשש להעלאת מכסים ופגיעה משמעותית בסחר העולמי. בהמשך התמקד העימות ביחסי הסחר בין ארה"ב לסין. מלחמות הסחר הביאו כבר לירידה מסוימת בהשקעות ולהאטה מתונה בסחר העולמי, כאשר במקביל חברות רבות ממתינות להחלטות הצדדים ומשהות את תכניות הפיתוח שלהן. ההשלכות של המתיחות בתחום הסחר העולמי עלולות להחריף וגלי ההדף של מלחמות הסחר העולמיות עלולים להיות מורגשים גם בכלכלה הישראלית.</w:t>
      </w:r>
    </w:p>
    <w:p w:rsidR="005970AB" w:rsidRDefault="005970AB" w:rsidP="005970AB">
      <w:pPr>
        <w:spacing w:before="300"/>
        <w:outlineLvl w:val="3"/>
        <w:rPr>
          <w:rFonts w:asciiTheme="minorHAnsi" w:eastAsiaTheme="minorEastAsia" w:hAnsiTheme="minorHAnsi"/>
          <w:b/>
          <w:bCs/>
          <w:caps/>
          <w:spacing w:val="10"/>
          <w:rtl/>
        </w:rPr>
      </w:pPr>
      <w:r>
        <w:rPr>
          <w:rFonts w:asciiTheme="minorHAnsi" w:eastAsiaTheme="minorEastAsia" w:hAnsiTheme="minorHAnsi"/>
          <w:b/>
          <w:bCs/>
          <w:caps/>
          <w:spacing w:val="10"/>
          <w:rtl/>
        </w:rPr>
        <w:t>האטה בשווקים המתעוררים</w:t>
      </w:r>
    </w:p>
    <w:p w:rsidR="005970AB" w:rsidRDefault="005970AB" w:rsidP="005970AB">
      <w:pPr>
        <w:spacing w:after="160"/>
        <w:rPr>
          <w:rFonts w:asciiTheme="minorHAnsi" w:eastAsiaTheme="minorEastAsia" w:hAnsiTheme="minorHAnsi"/>
          <w:rtl/>
        </w:rPr>
      </w:pPr>
      <w:r>
        <w:rPr>
          <w:rFonts w:asciiTheme="minorHAnsi" w:eastAsiaTheme="minorEastAsia" w:hAnsiTheme="minorHAnsi"/>
          <w:rtl/>
        </w:rPr>
        <w:t>הכלכלות במדינות המתפתחות פגיעות במיוחד לשינויים באקלים הכלכלי העולמי. כבר ב-2018 ניכרו בהן סימני האטה, בין היתר</w:t>
      </w:r>
      <w:r w:rsidR="005C749F">
        <w:rPr>
          <w:rFonts w:asciiTheme="minorHAnsi" w:eastAsiaTheme="minorEastAsia" w:hAnsiTheme="minorHAnsi" w:hint="cs"/>
          <w:rtl/>
        </w:rPr>
        <w:t>,</w:t>
      </w:r>
      <w:r>
        <w:rPr>
          <w:rFonts w:asciiTheme="minorHAnsi" w:eastAsiaTheme="minorEastAsia" w:hAnsiTheme="minorHAnsi"/>
          <w:rtl/>
        </w:rPr>
        <w:t xml:space="preserve"> בעקבות עלייה במחירי הנפט ופיחות במטבעות המקומיים. גורמים אלה, לצד מלחמות הסחר ועליות המכסים, מביאים ללחצים אינפלציוניים, אשר עלולים </w:t>
      </w:r>
      <w:r>
        <w:rPr>
          <w:rFonts w:asciiTheme="minorHAnsi" w:eastAsiaTheme="minorEastAsia" w:hAnsiTheme="minorHAnsi"/>
          <w:rtl/>
        </w:rPr>
        <w:lastRenderedPageBreak/>
        <w:t xml:space="preserve">להתווסף למגמת העלייה בריבית בארה"ב ולעודד את הבנקים המרכזיים בשווקים המתעוררים להעלות ריביות, באופן שישפיע על הצמיחה המקומית. המדינות הפגיעות ביותר הן כאלה בעלות הוצאות ממשלתיות גדולות, גירעון משמעותי, רזרבות מט"ח מצומצמות וחוב גדול במטבע חוץ. </w:t>
      </w:r>
    </w:p>
    <w:p w:rsidR="005970AB" w:rsidRDefault="005970AB" w:rsidP="005970AB">
      <w:pPr>
        <w:spacing w:before="300"/>
        <w:outlineLvl w:val="3"/>
        <w:rPr>
          <w:rFonts w:asciiTheme="minorHAnsi" w:eastAsiaTheme="minorEastAsia" w:hAnsiTheme="minorHAnsi"/>
          <w:b/>
          <w:bCs/>
          <w:caps/>
          <w:spacing w:val="10"/>
        </w:rPr>
      </w:pPr>
      <w:r>
        <w:rPr>
          <w:rFonts w:asciiTheme="minorHAnsi" w:eastAsiaTheme="minorEastAsia" w:hAnsiTheme="minorHAnsi"/>
          <w:b/>
          <w:bCs/>
          <w:caps/>
          <w:spacing w:val="10"/>
          <w:rtl/>
        </w:rPr>
        <w:t>האטה בארה"ב</w:t>
      </w:r>
    </w:p>
    <w:p w:rsidR="005970AB" w:rsidRDefault="005970AB" w:rsidP="005970AB">
      <w:pPr>
        <w:spacing w:after="160"/>
        <w:rPr>
          <w:rFonts w:asciiTheme="minorHAnsi" w:eastAsiaTheme="minorEastAsia" w:hAnsiTheme="minorHAnsi"/>
          <w:rtl/>
        </w:rPr>
      </w:pPr>
      <w:r>
        <w:rPr>
          <w:rFonts w:asciiTheme="minorHAnsi" w:eastAsiaTheme="minorEastAsia" w:hAnsiTheme="minorHAnsi"/>
          <w:rtl/>
        </w:rPr>
        <w:t>מאז היציאה ממשבר הסאב פריים נהנית הכלכלה האמריקאית משגשוג, עם צמיחה מרשימה ואחוזי אבטלה נמוכים. ואולם, מספר גורמים עלולים להאט ואף להפוך מגמה זו, כאשר תחזיות ה-</w:t>
      </w:r>
      <w:r>
        <w:rPr>
          <w:rFonts w:asciiTheme="minorHAnsi" w:eastAsiaTheme="minorEastAsia" w:hAnsiTheme="minorHAnsi"/>
        </w:rPr>
        <w:t>OECD</w:t>
      </w:r>
      <w:r>
        <w:rPr>
          <w:rFonts w:asciiTheme="minorHAnsi" w:eastAsiaTheme="minorEastAsia" w:hAnsiTheme="minorHAnsi"/>
          <w:rtl/>
        </w:rPr>
        <w:t xml:space="preserve"> מדברות על ירידה בצמיחת המשק האמריקאי מ-2.9% ב-2018 ל-2.7% ו-2.1% בשנתיים הבאות. הסיכונים נובעים מהגידול הצפוי בגרעון הפיסקאלי, קשיי יישום מדיניות הממשל מול הקונגרס וחוסר הוודאות לגבי תוואי הריבית.   </w:t>
      </w:r>
    </w:p>
    <w:p w:rsidR="005970AB" w:rsidRDefault="005970AB" w:rsidP="005970AB">
      <w:pPr>
        <w:spacing w:before="300"/>
        <w:outlineLvl w:val="3"/>
        <w:rPr>
          <w:rFonts w:asciiTheme="minorHAnsi" w:eastAsiaTheme="minorEastAsia" w:hAnsiTheme="minorHAnsi"/>
          <w:b/>
          <w:bCs/>
          <w:caps/>
          <w:spacing w:val="10"/>
          <w:rtl/>
        </w:rPr>
      </w:pPr>
      <w:r>
        <w:rPr>
          <w:rFonts w:asciiTheme="minorHAnsi" w:eastAsiaTheme="minorEastAsia" w:hAnsiTheme="minorHAnsi"/>
          <w:b/>
          <w:bCs/>
          <w:caps/>
          <w:spacing w:val="10"/>
          <w:rtl/>
        </w:rPr>
        <w:t>הברקזיט</w:t>
      </w:r>
    </w:p>
    <w:p w:rsidR="005970AB" w:rsidRDefault="005970AB" w:rsidP="005970AB">
      <w:pPr>
        <w:spacing w:after="160"/>
        <w:rPr>
          <w:rFonts w:asciiTheme="minorHAnsi" w:eastAsiaTheme="minorEastAsia" w:hAnsiTheme="minorHAnsi"/>
          <w:rtl/>
        </w:rPr>
      </w:pPr>
      <w:r>
        <w:rPr>
          <w:rFonts w:asciiTheme="minorHAnsi" w:eastAsiaTheme="minorEastAsia" w:hAnsiTheme="minorHAnsi"/>
          <w:rtl/>
        </w:rPr>
        <w:t xml:space="preserve">עזיבת בריטניה את האיחוד האירופי אושרה במשאל עם ביוני 2016 ותאריך היעד לעזיבה נקבע למרץ 2019, אולם נכון לדצמבר 2018 טרם נחתם הסכם בין המדינה והאיחוד המסדיר את התהליך.  זאת לאור הקושי בגיוס רוב בפרלמנט הבריטי לאישור ההסכם. מבין כל התרחישים האפשריים, עזיבה ללא הסכם היא בעלת ההשלכות הפוטנציאליות החמורות ביותר על כלכלת בריטניה והאיחוד האירופי כאחד. </w:t>
      </w:r>
    </w:p>
    <w:p w:rsidR="005970AB" w:rsidRDefault="005970AB" w:rsidP="005970AB">
      <w:pPr>
        <w:spacing w:before="300"/>
        <w:outlineLvl w:val="3"/>
        <w:rPr>
          <w:rFonts w:asciiTheme="minorHAnsi" w:eastAsiaTheme="minorEastAsia" w:hAnsiTheme="minorHAnsi"/>
          <w:b/>
          <w:bCs/>
          <w:caps/>
          <w:spacing w:val="10"/>
          <w:rtl/>
        </w:rPr>
      </w:pPr>
      <w:r>
        <w:rPr>
          <w:rFonts w:asciiTheme="minorHAnsi" w:eastAsiaTheme="minorEastAsia" w:hAnsiTheme="minorHAnsi"/>
          <w:b/>
          <w:bCs/>
          <w:caps/>
          <w:spacing w:val="10"/>
          <w:rtl/>
        </w:rPr>
        <w:t>האטה באירופה</w:t>
      </w:r>
    </w:p>
    <w:p w:rsidR="005970AB" w:rsidRDefault="005970AB" w:rsidP="005970AB">
      <w:pPr>
        <w:spacing w:after="160"/>
        <w:rPr>
          <w:rFonts w:asciiTheme="minorHAnsi" w:eastAsiaTheme="minorEastAsia" w:hAnsiTheme="minorHAnsi"/>
          <w:rtl/>
        </w:rPr>
      </w:pPr>
      <w:r>
        <w:rPr>
          <w:rFonts w:asciiTheme="minorHAnsi" w:eastAsiaTheme="minorEastAsia" w:hAnsiTheme="minorHAnsi"/>
          <w:rtl/>
        </w:rPr>
        <w:t>מגמת הצמיחה בגוש היורו צפויה להימשך בשנים הקרובות, אולם בקצב איטי מבעבר ותוך פערים בין הכלכלות החזקות למדינות הפריפריה. בפרט, כלכלת איטליה נראית כפגיעה ביותר בנקודת הזמן הנוכחית. הכלכלה השלישית בגודלה באיחוד האירופי (לאחר פרישת בריטניה) סובלת מאחוזי אבטלה דו ספרתיים, צמיחה נמוכה ביחד למדינות גוש האירו ויחס חוב תוצר של כ-131%. ככלל, ההאטה בצמיחה צפויה להביא גם להאטה בירידה באבטלה, שהיא עודנה גבוהה ועומדת על 8.4% נכון לסוף 2018.</w:t>
      </w:r>
    </w:p>
    <w:p w:rsidR="005970AB" w:rsidRDefault="005970AB" w:rsidP="005970AB">
      <w:pPr>
        <w:spacing w:before="300"/>
        <w:outlineLvl w:val="3"/>
        <w:rPr>
          <w:rFonts w:asciiTheme="minorHAnsi" w:eastAsiaTheme="minorEastAsia" w:hAnsiTheme="minorHAnsi"/>
          <w:b/>
          <w:bCs/>
          <w:caps/>
          <w:spacing w:val="10"/>
          <w:rtl/>
        </w:rPr>
      </w:pPr>
      <w:r>
        <w:rPr>
          <w:rFonts w:asciiTheme="minorHAnsi" w:eastAsiaTheme="minorEastAsia" w:hAnsiTheme="minorHAnsi"/>
          <w:b/>
          <w:bCs/>
          <w:caps/>
          <w:spacing w:val="10"/>
          <w:rtl/>
        </w:rPr>
        <w:t>סיכונים גאופוליטיים</w:t>
      </w:r>
    </w:p>
    <w:p w:rsidR="005970AB" w:rsidRDefault="005970AB" w:rsidP="005970AB">
      <w:pPr>
        <w:spacing w:after="160"/>
        <w:rPr>
          <w:rFonts w:asciiTheme="minorHAnsi" w:eastAsiaTheme="minorEastAsia" w:hAnsiTheme="minorHAnsi"/>
          <w:rtl/>
        </w:rPr>
      </w:pPr>
      <w:r>
        <w:rPr>
          <w:rFonts w:asciiTheme="minorHAnsi" w:eastAsiaTheme="minorEastAsia" w:hAnsiTheme="minorHAnsi"/>
          <w:rtl/>
        </w:rPr>
        <w:t>בפתח שנת 2019, כמה מוקדים של אי יציבות מרכזים את עיקר תשומת הלב העולמית. חידוש הסנקציות האמריקאיות נגד איראן פגע קשות בכלכלת המדינה. ארה"ב נהנית מתמיכה חלקית של המעצמות בצעד זה ולכן משטר הסנקציות פחות אפקטיבי מבעבר. איראן היא יצרנית הנפט החמישית בגודלה בעולם, והשנייה בעולם בגודל עתודות הגז הטבעי, כך שמידת האפקטיביות של הסנקציות המוטלות עליה היא בעלת השפעה לא מבוטלת על מחירי האנרגיה בעולם. בנוסף, איראן נמצאת בעימות מול יצואנית הנפט הגדולה בעולם, סעודיה. העימות בין שתי המעצמות האזוריות מתנהל באופן עקיף לכל רוחבו של המזרח התיכון, אולם זליגה של אחד מעימותי המשנה בתימן, עיראק או סוריה עלולה להצית קונפליקט אזורי נרחב בהרבה ובתרחיש קיצון אף לגרור אותן למעורבות ישירה בעימותים. מתיחות נוספת שוררת בין רוסיה לשכנותיה, והיא מתנקזת בתקופה הנוכחית להתרחשויות באוקראינה.</w:t>
      </w:r>
    </w:p>
    <w:p w:rsidR="005970AB" w:rsidRDefault="005970AB" w:rsidP="005970AB">
      <w:pPr>
        <w:spacing w:after="160"/>
        <w:rPr>
          <w:rFonts w:asciiTheme="minorHAnsi" w:eastAsiaTheme="minorEastAsia" w:hAnsiTheme="minorHAnsi"/>
        </w:rPr>
      </w:pPr>
      <w:r>
        <w:rPr>
          <w:rFonts w:asciiTheme="minorHAnsi" w:eastAsiaTheme="minorEastAsia" w:hAnsiTheme="minorHAnsi"/>
          <w:rtl/>
        </w:rPr>
        <w:t xml:space="preserve">כאמור, גם </w:t>
      </w:r>
      <w:r>
        <w:rPr>
          <w:rFonts w:asciiTheme="minorHAnsi" w:eastAsiaTheme="minorEastAsia" w:hAnsiTheme="minorHAnsi"/>
          <w:b/>
          <w:bCs/>
          <w:rtl/>
        </w:rPr>
        <w:t>בכלכלה המקומית</w:t>
      </w:r>
      <w:r>
        <w:rPr>
          <w:rFonts w:asciiTheme="minorHAnsi" w:eastAsiaTheme="minorEastAsia" w:hAnsiTheme="minorHAnsi"/>
          <w:rtl/>
        </w:rPr>
        <w:t xml:space="preserve"> אפשר למנות כמה גורמים שעשויים להביא לסטייה מהתחזיות.</w:t>
      </w:r>
    </w:p>
    <w:p w:rsidR="005970AB" w:rsidRDefault="005970AB" w:rsidP="005970AB">
      <w:pPr>
        <w:spacing w:before="300"/>
        <w:outlineLvl w:val="3"/>
        <w:rPr>
          <w:rFonts w:asciiTheme="minorHAnsi" w:eastAsiaTheme="minorEastAsia" w:hAnsiTheme="minorHAnsi"/>
          <w:rtl/>
        </w:rPr>
      </w:pPr>
      <w:r>
        <w:rPr>
          <w:rFonts w:asciiTheme="minorHAnsi" w:eastAsiaTheme="minorEastAsia" w:hAnsiTheme="minorHAnsi"/>
          <w:caps/>
          <w:spacing w:val="10"/>
          <w:rtl/>
        </w:rPr>
        <w:lastRenderedPageBreak/>
        <w:t>בין</w:t>
      </w:r>
      <w:r>
        <w:rPr>
          <w:rFonts w:asciiTheme="minorHAnsi" w:eastAsiaTheme="minorEastAsia" w:hAnsiTheme="minorHAnsi"/>
          <w:b/>
          <w:bCs/>
          <w:caps/>
          <w:spacing w:val="10"/>
          <w:rtl/>
        </w:rPr>
        <w:t xml:space="preserve"> הסיכונים לפגיעה בפעילות הכלכלית </w:t>
      </w:r>
      <w:r>
        <w:rPr>
          <w:rFonts w:asciiTheme="minorHAnsi" w:eastAsiaTheme="minorEastAsia" w:hAnsiTheme="minorHAnsi"/>
          <w:caps/>
          <w:spacing w:val="10"/>
          <w:rtl/>
        </w:rPr>
        <w:t xml:space="preserve">ניתן למנות את </w:t>
      </w:r>
      <w:r>
        <w:rPr>
          <w:rFonts w:asciiTheme="minorHAnsi" w:eastAsiaTheme="minorEastAsia" w:hAnsiTheme="minorHAnsi"/>
          <w:rtl/>
        </w:rPr>
        <w:t xml:space="preserve">הפוטנציאל לעימות מול חמאס, חיזבאללה או התגברות האירועים הביטחוניים בתוך ישראל, וכן </w:t>
      </w:r>
      <w:r>
        <w:rPr>
          <w:rFonts w:asciiTheme="minorHAnsi" w:eastAsiaTheme="minorEastAsia" w:hAnsiTheme="minorHAnsi"/>
          <w:caps/>
          <w:spacing w:val="10"/>
          <w:rtl/>
        </w:rPr>
        <w:t>את חוסר הוודאות לאור הקדמת הבחירות</w:t>
      </w:r>
      <w:r>
        <w:rPr>
          <w:rFonts w:asciiTheme="minorHAnsi" w:eastAsiaTheme="minorEastAsia" w:hAnsiTheme="minorHAnsi"/>
          <w:rtl/>
        </w:rPr>
        <w:t xml:space="preserve">. </w:t>
      </w:r>
      <w:r>
        <w:rPr>
          <w:rFonts w:asciiTheme="minorHAnsi" w:eastAsiaTheme="minorEastAsia" w:hAnsiTheme="minorHAnsi"/>
          <w:caps/>
          <w:spacing w:val="10"/>
          <w:rtl/>
        </w:rPr>
        <w:t>מבחינת</w:t>
      </w:r>
      <w:r>
        <w:rPr>
          <w:rFonts w:asciiTheme="minorHAnsi" w:eastAsiaTheme="minorEastAsia" w:hAnsiTheme="minorHAnsi"/>
          <w:b/>
          <w:bCs/>
          <w:caps/>
          <w:spacing w:val="10"/>
          <w:rtl/>
        </w:rPr>
        <w:t xml:space="preserve"> סיכונים בצד החיובי</w:t>
      </w:r>
      <w:r>
        <w:rPr>
          <w:rFonts w:asciiTheme="minorHAnsi" w:eastAsiaTheme="minorEastAsia" w:hAnsiTheme="minorHAnsi"/>
          <w:caps/>
          <w:spacing w:val="10"/>
          <w:rtl/>
        </w:rPr>
        <w:t xml:space="preserve">, </w:t>
      </w:r>
      <w:r>
        <w:rPr>
          <w:rFonts w:asciiTheme="minorHAnsi" w:eastAsiaTheme="minorEastAsia" w:hAnsiTheme="minorHAnsi"/>
          <w:rtl/>
        </w:rPr>
        <w:t>כבשנים קודמות, ייתכנו רכישות של חברות ישראליות בהיקפים משמעותיים בידי חברות זרות, גידול בייצוא הסחורות כתוצאה מהבשלת ומימוש השקעות, ובטווח ארוך יותר תחילת ייצוא הגז.</w:t>
      </w:r>
    </w:p>
    <w:p w:rsidR="005970AB" w:rsidRDefault="005970AB" w:rsidP="005970AB">
      <w:pPr>
        <w:rPr>
          <w:b/>
          <w:bCs/>
          <w:color w:val="FF0000"/>
          <w:sz w:val="28"/>
          <w:szCs w:val="28"/>
          <w:highlight w:val="yellow"/>
          <w:rtl/>
        </w:rPr>
      </w:pPr>
    </w:p>
    <w:p w:rsidR="005970AB" w:rsidRDefault="005970AB" w:rsidP="005970AB">
      <w:pPr>
        <w:rPr>
          <w:b/>
          <w:bCs/>
          <w:sz w:val="28"/>
          <w:szCs w:val="28"/>
          <w:rtl/>
        </w:rPr>
      </w:pPr>
      <w:r>
        <w:rPr>
          <w:b/>
          <w:bCs/>
          <w:sz w:val="28"/>
          <w:szCs w:val="28"/>
          <w:rtl/>
        </w:rPr>
        <w:t xml:space="preserve">תרחיש אלטרנטיבי לתחזית ההכנסות בעקבות הסיכונים </w:t>
      </w:r>
    </w:p>
    <w:p w:rsidR="005970AB" w:rsidRDefault="005970AB" w:rsidP="005970AB">
      <w:pPr>
        <w:rPr>
          <w:rtl/>
        </w:rPr>
      </w:pPr>
      <w:r>
        <w:rPr>
          <w:rtl/>
        </w:rPr>
        <w:t xml:space="preserve">התחזיות המוצגות במסמך זה מתארות תרחיש ללא משברים משמעותיים, גלובליים או מקומיים. בנוסף התחזיות מבוססות על מערכת מקיפה של הנחות לגבי הפעילות הכלכלית המקומית ולגבי הסביבה הגלובאלית. בהתאם לכך, אי-התממשותן של ההנחות (בחלקן או בכללן) עלולה להוביל לסטייה מהתחזית המקורית. בעוד שקביעה זו נכונה תמיד כאשר עוסקים בחיזוי העתיד לבוא, היא הופכת נכונה ומשמעותית יותר ככל שטווח התחזית רחוק יותר ומסתמן שינוי מגמה בקצב הצמיחה. </w:t>
      </w:r>
    </w:p>
    <w:p w:rsidR="005970AB" w:rsidRDefault="005970AB" w:rsidP="005970AB">
      <w:pPr>
        <w:rPr>
          <w:rtl/>
        </w:rPr>
      </w:pPr>
      <w:r>
        <w:rPr>
          <w:rtl/>
        </w:rPr>
        <w:t>בשלב זה, ניתן למנות מספר סיכונים לתחזית בעלי השפעה משמעותית על התממשותו של התרחיש המרכזי. הסיכונים המקומיים כוללים, בצד השלילי (</w:t>
      </w:r>
      <w:r>
        <w:t>down-side risks</w:t>
      </w:r>
      <w:r>
        <w:rPr>
          <w:rtl/>
        </w:rPr>
        <w:t xml:space="preserve">), מתייחסים לאפשרות שהגבייה בפועל תהייה נמוכה מהתחזית): העמקת המשבר בשוק ההון, פגיעה בקצב הצמיחה והחלשות בשוק העבודה. החמרה בעוצמת האירועים הביטחוניים עלולה להיות בעלת השפעה על ענפים מסוימים במשק. </w:t>
      </w:r>
    </w:p>
    <w:p w:rsidR="005970AB" w:rsidRDefault="005970AB" w:rsidP="005970AB">
      <w:pPr>
        <w:rPr>
          <w:b/>
          <w:bCs/>
          <w:rtl/>
        </w:rPr>
      </w:pPr>
      <w:r>
        <w:rPr>
          <w:rtl/>
        </w:rPr>
        <w:t xml:space="preserve">בסביבה הגלובאלית, קיימים מספר סיכונים פוטנציאליים משמעותיים. ראשית, חוסר וודאות לגבי תוואי העלאת הריבית בארה"ב ובהמשך במדינות נוספות, בדגש על צמצום הרחבה מוניטרית בגוש האירו. לכך עשויה להיות השפעה שלילית על הצמיחה העולמית ועל </w:t>
      </w:r>
      <w:r>
        <w:rPr>
          <w:b/>
          <w:bCs/>
          <w:rtl/>
        </w:rPr>
        <w:t>התמחור בשווקי ההון</w:t>
      </w:r>
      <w:r>
        <w:rPr>
          <w:rtl/>
        </w:rPr>
        <w:t>. להתפתחויות כלכליות גלובליות ובפרט לפעילות בארה"ב, עשויות להיות השלכות מהותיות על הכלכלה הישראלית. הירידות החדות בשווקי ההון כבר השפיעו על תוואי הגביה בשנת 2018</w:t>
      </w:r>
      <w:r>
        <w:rPr>
          <w:b/>
          <w:bCs/>
          <w:rtl/>
        </w:rPr>
        <w:t xml:space="preserve">. על פי מודל האגף, המשך ירידות (ירידה ממוצעת של 8% במדדי שוק ההון בישראל ובעולם) יגרע כ-2 מיליארד ₪ מהכנסות המדינה ממסים ישירים בשנת 2019. </w:t>
      </w:r>
    </w:p>
    <w:p w:rsidR="005970AB" w:rsidRDefault="005970AB" w:rsidP="005970AB">
      <w:pPr>
        <w:rPr>
          <w:b/>
          <w:bCs/>
          <w:rtl/>
        </w:rPr>
      </w:pPr>
      <w:r>
        <w:rPr>
          <w:rtl/>
        </w:rPr>
        <w:t xml:space="preserve">שנית, האטה בצמיחה הגלובלית עשויה לפגוע בהשקעות, יצוא ודרך שוק העבודה גם בצריכה הפרטית. </w:t>
      </w:r>
      <w:r>
        <w:rPr>
          <w:b/>
          <w:bCs/>
          <w:rtl/>
        </w:rPr>
        <w:t>ירידה בקצב הצמיחה לטווח של 2-2.5% תגרע מהכנסות בגין הצריכה הפרטית כ-2.5 מיליארד ₪ בשנת 2019.</w:t>
      </w:r>
    </w:p>
    <w:p w:rsidR="005970AB" w:rsidRDefault="005970AB" w:rsidP="005970AB">
      <w:pPr>
        <w:rPr>
          <w:b/>
          <w:bCs/>
          <w:rtl/>
        </w:rPr>
      </w:pPr>
      <w:r>
        <w:rPr>
          <w:rtl/>
        </w:rPr>
        <w:t>בנוסף, הירידה בקצב הצמיחה, בשילוב עם התייקרות עלות העבודה</w:t>
      </w:r>
      <w:r>
        <w:rPr>
          <w:b/>
          <w:bCs/>
          <w:rtl/>
        </w:rPr>
        <w:t xml:space="preserve"> עלולות להוביל להאטה בגידול בתעסוקה ובשכר, עלולה להוביל לאובדן הכנסות של כ-2.3 מיליארד ₪ בשנת 2019.</w:t>
      </w:r>
    </w:p>
    <w:p w:rsidR="005970AB" w:rsidRDefault="005970AB" w:rsidP="005970AB">
      <w:pPr>
        <w:rPr>
          <w:rtl/>
        </w:rPr>
      </w:pPr>
      <w:r>
        <w:rPr>
          <w:rtl/>
        </w:rPr>
        <w:t xml:space="preserve">סיכון נוסף להכנסות המדינה נובע מחוסר ודאות לגבי המשך ההשקעות של המוסד לביטוח הלאומי המועברות למשרד האוצר. התחזית הנוכחית איננה מניחה שינוי באופן העברת הכספים. במידה וסיכון זה יתממש, משמעותו הפסד הכנסות בקנה מידה רחב בהיקף של כ-1.7 אחוזי תוצר. </w:t>
      </w:r>
    </w:p>
    <w:p w:rsidR="00A546B4" w:rsidRPr="00DC4053" w:rsidRDefault="00A546B4" w:rsidP="00E05676">
      <w:pPr>
        <w:tabs>
          <w:tab w:val="center" w:pos="4153"/>
        </w:tabs>
        <w:jc w:val="left"/>
        <w:rPr>
          <w:rtl/>
        </w:rPr>
      </w:pPr>
    </w:p>
    <w:sectPr w:rsidR="00A546B4" w:rsidRPr="00DC4053" w:rsidSect="00183785">
      <w:headerReference w:type="even" r:id="rId19"/>
      <w:headerReference w:type="default" r:id="rId20"/>
      <w:footerReference w:type="even" r:id="rId21"/>
      <w:footerReference w:type="default" r:id="rId22"/>
      <w:headerReference w:type="first" r:id="rId23"/>
      <w:footerReference w:type="first" r:id="rId24"/>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0E03" w:rsidRDefault="00AC0E03" w:rsidP="00C11DDF">
      <w:pPr>
        <w:spacing w:before="0" w:after="0" w:line="240" w:lineRule="auto"/>
      </w:pPr>
      <w:r>
        <w:separator/>
      </w:r>
    </w:p>
  </w:endnote>
  <w:endnote w:type="continuationSeparator" w:id="0">
    <w:p w:rsidR="00AC0E03" w:rsidRDefault="00AC0E03" w:rsidP="00C11DDF">
      <w:pPr>
        <w:spacing w:before="0" w:after="0" w:line="240" w:lineRule="auto"/>
      </w:pPr>
      <w:r>
        <w:continuationSeparator/>
      </w:r>
    </w:p>
  </w:endnote>
  <w:endnote w:type="continuationNotice" w:id="1">
    <w:p w:rsidR="00AC0E03" w:rsidRDefault="00AC0E0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avid">
    <w:altName w:val="Malgun Gothic Semilight"/>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BS-Torah">
    <w:altName w:val="Times New Roman"/>
    <w:charset w:val="B1"/>
    <w:family w:val="auto"/>
    <w:pitch w:val="variable"/>
    <w:sig w:usb0="00000800" w:usb1="00000000" w:usb2="00000000" w:usb3="00000000" w:csb0="00000020" w:csb1="00000000"/>
  </w:font>
  <w:font w:name="David Transparent">
    <w:altName w:val="Malgun Gothic Semilight"/>
    <w:panose1 w:val="020E0502060401010101"/>
    <w:charset w:val="00"/>
    <w:family w:val="swiss"/>
    <w:pitch w:val="variable"/>
    <w:sig w:usb0="00000803" w:usb1="00000000" w:usb2="00000000" w:usb3="00000000" w:csb0="00000021"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789" w:rsidRDefault="002D2789">
    <w:pPr>
      <w:pStyle w:val="af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580201344"/>
      <w:docPartObj>
        <w:docPartGallery w:val="Page Numbers (Bottom of Page)"/>
        <w:docPartUnique/>
      </w:docPartObj>
    </w:sdtPr>
    <w:sdtEndPr/>
    <w:sdtContent>
      <w:p w:rsidR="002D2789" w:rsidRDefault="002D2789">
        <w:pPr>
          <w:pStyle w:val="af5"/>
          <w:jc w:val="center"/>
          <w:rPr>
            <w:rtl/>
            <w:cs/>
          </w:rPr>
        </w:pPr>
        <w:r>
          <w:fldChar w:fldCharType="begin"/>
        </w:r>
        <w:r>
          <w:rPr>
            <w:rtl/>
            <w:cs/>
          </w:rPr>
          <w:instrText>PAGE   \* MERGEFORMAT</w:instrText>
        </w:r>
        <w:r>
          <w:fldChar w:fldCharType="separate"/>
        </w:r>
        <w:r w:rsidR="00FE4914" w:rsidRPr="00FE4914">
          <w:rPr>
            <w:noProof/>
            <w:rtl/>
            <w:lang w:val="he-IL"/>
          </w:rPr>
          <w:t>1</w:t>
        </w:r>
        <w:r>
          <w:fldChar w:fldCharType="end"/>
        </w:r>
      </w:p>
    </w:sdtContent>
  </w:sdt>
  <w:p w:rsidR="002D2789" w:rsidRDefault="002D2789">
    <w:pPr>
      <w:pStyle w:val="af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789" w:rsidRDefault="002D2789">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0E03" w:rsidRDefault="00AC0E03" w:rsidP="00C11DDF">
      <w:pPr>
        <w:spacing w:before="0" w:after="0" w:line="240" w:lineRule="auto"/>
      </w:pPr>
      <w:r>
        <w:separator/>
      </w:r>
    </w:p>
  </w:footnote>
  <w:footnote w:type="continuationSeparator" w:id="0">
    <w:p w:rsidR="00AC0E03" w:rsidRDefault="00AC0E03" w:rsidP="00C11DDF">
      <w:pPr>
        <w:spacing w:before="0" w:after="0" w:line="240" w:lineRule="auto"/>
      </w:pPr>
      <w:r>
        <w:continuationSeparator/>
      </w:r>
    </w:p>
  </w:footnote>
  <w:footnote w:type="continuationNotice" w:id="1">
    <w:p w:rsidR="00AC0E03" w:rsidRDefault="00AC0E03">
      <w:pPr>
        <w:spacing w:before="0" w:after="0" w:line="240" w:lineRule="auto"/>
      </w:pPr>
    </w:p>
  </w:footnote>
  <w:footnote w:id="2">
    <w:p w:rsidR="003B55D7" w:rsidRPr="001A1B5B" w:rsidRDefault="003B55D7" w:rsidP="00DC4053">
      <w:pPr>
        <w:pStyle w:val="a9"/>
        <w:rPr>
          <w:rFonts w:cs="David"/>
          <w:rtl/>
        </w:rPr>
      </w:pPr>
      <w:r>
        <w:rPr>
          <w:rStyle w:val="ab"/>
        </w:rPr>
        <w:footnoteRef/>
      </w:r>
      <w:r>
        <w:rPr>
          <w:rtl/>
        </w:rPr>
        <w:t xml:space="preserve"> </w:t>
      </w:r>
      <w:r>
        <w:rPr>
          <w:rFonts w:cs="David" w:hint="cs"/>
          <w:rtl/>
        </w:rPr>
        <w:t xml:space="preserve">מקור: </w:t>
      </w:r>
      <w:r w:rsidRPr="006E552A">
        <w:t>IMF article IV 2016, OECD economic survey Israel 2016</w:t>
      </w:r>
      <w:r>
        <w:rPr>
          <w:rFonts w:hint="cs"/>
          <w:rtl/>
        </w:rPr>
        <w:t>.</w:t>
      </w:r>
    </w:p>
  </w:footnote>
  <w:footnote w:id="3">
    <w:p w:rsidR="003B55D7" w:rsidRDefault="003B55D7" w:rsidP="005970AB">
      <w:pPr>
        <w:pStyle w:val="a9"/>
        <w:rPr>
          <w:rtl/>
        </w:rPr>
      </w:pPr>
      <w:r>
        <w:rPr>
          <w:rStyle w:val="ab"/>
        </w:rPr>
        <w:footnoteRef/>
      </w:r>
      <w:r>
        <w:rPr>
          <w:rFonts w:hint="cs"/>
          <w:rtl/>
        </w:rPr>
        <w:t xml:space="preserve"> הקישור לעמוד התחזיות: </w:t>
      </w:r>
      <w:hyperlink r:id="rId1" w:history="1">
        <w:r>
          <w:rPr>
            <w:rStyle w:val="Hyperlink"/>
          </w:rPr>
          <w:t>http://mof.gov.il/ChiefEcon/Pages/DevelopmentAndIncomeForecast.aspx</w:t>
        </w:r>
      </w:hyperlink>
    </w:p>
    <w:p w:rsidR="003B55D7" w:rsidRDefault="003B55D7" w:rsidP="005970AB">
      <w:pPr>
        <w:pStyle w:val="a9"/>
        <w:rPr>
          <w:rtl/>
        </w:rPr>
      </w:pPr>
    </w:p>
  </w:footnote>
  <w:footnote w:id="4">
    <w:p w:rsidR="003B55D7" w:rsidRDefault="003B55D7" w:rsidP="005970AB">
      <w:pPr>
        <w:pStyle w:val="a9"/>
        <w:rPr>
          <w:rFonts w:ascii="David" w:hAnsi="David" w:cs="David"/>
          <w:sz w:val="22"/>
          <w:szCs w:val="22"/>
        </w:rPr>
      </w:pPr>
      <w:r>
        <w:rPr>
          <w:rStyle w:val="ab"/>
          <w:rFonts w:ascii="David" w:hAnsi="David"/>
          <w:sz w:val="22"/>
          <w:szCs w:val="22"/>
        </w:rPr>
        <w:footnoteRef/>
      </w:r>
      <w:r>
        <w:rPr>
          <w:rFonts w:ascii="David" w:hAnsi="David" w:cs="David"/>
          <w:sz w:val="22"/>
          <w:szCs w:val="22"/>
          <w:rtl/>
        </w:rPr>
        <w:t xml:space="preserve"> </w:t>
      </w:r>
      <w:r>
        <w:rPr>
          <w:rFonts w:ascii="David" w:hAnsi="David" w:cs="David" w:hint="cs"/>
          <w:sz w:val="22"/>
          <w:szCs w:val="22"/>
          <w:rtl/>
        </w:rPr>
        <w:t xml:space="preserve">ההגדרה "תעסוקה מלאה" אינה כוללת התייחסויות למי שלא מחפשים עבודה באופן פעיל. </w:t>
      </w:r>
    </w:p>
  </w:footnote>
  <w:footnote w:id="5">
    <w:p w:rsidR="003B55D7" w:rsidRDefault="003B55D7" w:rsidP="005970AB">
      <w:pPr>
        <w:pStyle w:val="a9"/>
        <w:rPr>
          <w:rtl/>
        </w:rPr>
      </w:pPr>
      <w:r>
        <w:rPr>
          <w:rStyle w:val="ab"/>
        </w:rPr>
        <w:footnoteRef/>
      </w:r>
      <w:r>
        <w:rPr>
          <w:rFonts w:hint="cs"/>
          <w:rtl/>
        </w:rPr>
        <w:t xml:space="preserve"> </w:t>
      </w:r>
      <w:hyperlink r:id="rId2" w:history="1">
        <w:r>
          <w:rPr>
            <w:rStyle w:val="Hyperlink"/>
          </w:rPr>
          <w:t>https://mof.gov.il/BudgetSite/statebudget/BUDGET2019/Documents/BudgetMain_1.pdf</w:t>
        </w:r>
      </w:hyperlink>
    </w:p>
  </w:footnote>
  <w:footnote w:id="6">
    <w:p w:rsidR="003B55D7" w:rsidRDefault="003B55D7" w:rsidP="005970AB">
      <w:pPr>
        <w:pStyle w:val="a9"/>
        <w:rPr>
          <w:rFonts w:ascii="David" w:hAnsi="David" w:cs="David"/>
          <w:sz w:val="22"/>
          <w:szCs w:val="22"/>
          <w:rtl/>
        </w:rPr>
      </w:pPr>
      <w:r>
        <w:rPr>
          <w:rStyle w:val="ab"/>
          <w:rFonts w:ascii="David" w:hAnsi="David"/>
          <w:sz w:val="22"/>
          <w:szCs w:val="22"/>
        </w:rPr>
        <w:footnoteRef/>
      </w:r>
      <w:r>
        <w:rPr>
          <w:rFonts w:ascii="David" w:hAnsi="David" w:cs="David"/>
          <w:sz w:val="22"/>
          <w:szCs w:val="22"/>
          <w:rtl/>
        </w:rPr>
        <w:t xml:space="preserve"> יצוין כי הלמ"ס פרסמה בתאריך 31.12.2018 תחזית לצמיחת המשק בשנת 2018 בשיעור של 3.2%. </w:t>
      </w:r>
    </w:p>
  </w:footnote>
  <w:footnote w:id="7">
    <w:p w:rsidR="003B55D7" w:rsidRDefault="003B55D7" w:rsidP="005970AB">
      <w:pPr>
        <w:pStyle w:val="a9"/>
        <w:rPr>
          <w:rFonts w:ascii="David" w:hAnsi="David" w:cs="David"/>
          <w:rtl/>
        </w:rPr>
      </w:pPr>
      <w:r>
        <w:rPr>
          <w:rStyle w:val="ab"/>
          <w:rFonts w:ascii="David" w:hAnsi="David"/>
        </w:rPr>
        <w:footnoteRef/>
      </w:r>
      <w:r>
        <w:rPr>
          <w:rFonts w:ascii="David" w:hAnsi="David" w:cs="David"/>
          <w:rtl/>
        </w:rPr>
        <w:t xml:space="preserve"> תחזית הצמיחה של משרד האוצר היא היחידה עד כה שלוקחת בחשבון את העדכון האחרון של הלמ"ס לגבי הרבעון השלישי. בנק ישראל צפוי לעדכן את תחזיתו במהלך השבועות הקרובים.</w:t>
      </w:r>
    </w:p>
  </w:footnote>
  <w:footnote w:id="8">
    <w:p w:rsidR="003B55D7" w:rsidRDefault="003B55D7" w:rsidP="005970AB">
      <w:pPr>
        <w:pStyle w:val="a9"/>
        <w:rPr>
          <w:rFonts w:ascii="David" w:hAnsi="David" w:cs="David"/>
          <w:rtl/>
        </w:rPr>
      </w:pPr>
      <w:r>
        <w:rPr>
          <w:rStyle w:val="ab"/>
        </w:rPr>
        <w:footnoteRef/>
      </w:r>
      <w:r>
        <w:rPr>
          <w:rFonts w:hint="cs"/>
          <w:rtl/>
        </w:rPr>
        <w:t xml:space="preserve"> </w:t>
      </w:r>
      <w:r>
        <w:rPr>
          <w:rFonts w:ascii="David" w:hAnsi="David" w:cs="David"/>
          <w:rtl/>
        </w:rPr>
        <w:t>במהלך שנת 2017 התקבלו הכנסות חד פעמיות בהיקף חריג בעקבות מבצע דיבידנד, ובנוסף לכך סכום חריג עבור רווחי הון ממכירת חברות.</w:t>
      </w:r>
    </w:p>
  </w:footnote>
  <w:footnote w:id="9">
    <w:p w:rsidR="003B55D7" w:rsidRDefault="003B55D7" w:rsidP="005970AB">
      <w:pPr>
        <w:pStyle w:val="a9"/>
        <w:rPr>
          <w:rFonts w:ascii="David" w:hAnsi="David" w:cs="David"/>
          <w:rtl/>
        </w:rPr>
      </w:pPr>
      <w:r>
        <w:rPr>
          <w:rStyle w:val="ab"/>
        </w:rPr>
        <w:footnoteRef/>
      </w:r>
      <w:r>
        <w:rPr>
          <w:rFonts w:hint="cs"/>
          <w:rtl/>
        </w:rPr>
        <w:t xml:space="preserve"> </w:t>
      </w:r>
      <w:r>
        <w:rPr>
          <w:rFonts w:ascii="David" w:hAnsi="David" w:cs="David"/>
          <w:rtl/>
        </w:rPr>
        <w:t xml:space="preserve">בדצמבר 2017 הוחלט על תוכנית "נטו הוזלות" במסים עקיפים, בסכום כולל של 0.8 מיליארד ₪. בסעיף מסים ישירים, בשנת 2018 חלה הורדה של שיעור מס חברות, צעד שעלותו כמיליארד ₪. </w:t>
      </w:r>
    </w:p>
  </w:footnote>
  <w:footnote w:id="10">
    <w:p w:rsidR="003B55D7" w:rsidRDefault="003B55D7" w:rsidP="00E05676">
      <w:pPr>
        <w:pStyle w:val="a9"/>
        <w:jc w:val="both"/>
        <w:rPr>
          <w:rFonts w:ascii="David" w:hAnsi="David" w:cs="David"/>
        </w:rPr>
      </w:pPr>
      <w:r>
        <w:rPr>
          <w:rStyle w:val="ab"/>
          <w:rFonts w:ascii="David" w:hAnsi="David"/>
        </w:rPr>
        <w:footnoteRef/>
      </w:r>
      <w:r>
        <w:rPr>
          <w:rFonts w:ascii="David" w:hAnsi="David" w:cs="David"/>
          <w:rtl/>
        </w:rPr>
        <w:t xml:space="preserve"> </w:t>
      </w:r>
      <w:r w:rsidRPr="00E05676">
        <w:rPr>
          <w:rFonts w:ascii="David" w:hAnsi="David" w:cs="David" w:hint="eastAsia"/>
          <w:rtl/>
        </w:rPr>
        <w:t>בהתאם</w:t>
      </w:r>
      <w:r w:rsidRPr="00E05676">
        <w:rPr>
          <w:rFonts w:ascii="David" w:hAnsi="David" w:cs="David"/>
          <w:rtl/>
        </w:rPr>
        <w:t xml:space="preserve"> להוראות סעיף 40 ו-40א לחוק </w:t>
      </w:r>
      <w:r w:rsidRPr="006A04BF">
        <w:rPr>
          <w:rFonts w:ascii="David" w:hAnsi="David" w:cs="David" w:hint="eastAsia"/>
          <w:rtl/>
        </w:rPr>
        <w:t>לא</w:t>
      </w:r>
      <w:r w:rsidRPr="006A04BF">
        <w:rPr>
          <w:rFonts w:ascii="David" w:hAnsi="David" w:cs="David"/>
          <w:rtl/>
        </w:rPr>
        <w:t xml:space="preserve"> ניתן לבטל את העלאת הבלו על פחם (בכדי לצמצם את התייקרות תעריף החשמל) ללא מציאת </w:t>
      </w:r>
      <w:r w:rsidRPr="00E05676">
        <w:rPr>
          <w:rFonts w:ascii="David" w:hAnsi="David" w:cs="David" w:hint="eastAsia"/>
          <w:rtl/>
        </w:rPr>
        <w:t>פעולה</w:t>
      </w:r>
      <w:r w:rsidRPr="00E05676">
        <w:rPr>
          <w:rFonts w:ascii="David" w:hAnsi="David" w:cs="David"/>
          <w:rtl/>
        </w:rPr>
        <w:t xml:space="preserve"> </w:t>
      </w:r>
      <w:r w:rsidRPr="00E05676">
        <w:rPr>
          <w:rFonts w:ascii="David" w:hAnsi="David" w:cs="David" w:hint="eastAsia"/>
          <w:rtl/>
        </w:rPr>
        <w:t>מאזנת</w:t>
      </w:r>
      <w:r w:rsidRPr="00E05676">
        <w:rPr>
          <w:rFonts w:ascii="David" w:hAnsi="David" w:cs="David"/>
          <w:rtl/>
        </w:rPr>
        <w:t xml:space="preserve"> </w:t>
      </w:r>
      <w:r w:rsidRPr="00E05676">
        <w:rPr>
          <w:rFonts w:ascii="David" w:hAnsi="David" w:cs="David" w:hint="eastAsia"/>
          <w:rtl/>
        </w:rPr>
        <w:t>כאמור</w:t>
      </w:r>
      <w:r w:rsidRPr="00E05676">
        <w:rPr>
          <w:rFonts w:ascii="David" w:hAnsi="David" w:cs="David"/>
          <w:rtl/>
        </w:rPr>
        <w:t xml:space="preserve"> </w:t>
      </w:r>
      <w:r w:rsidRPr="00E05676">
        <w:rPr>
          <w:rFonts w:ascii="David" w:hAnsi="David" w:cs="David" w:hint="eastAsia"/>
          <w:rtl/>
        </w:rPr>
        <w:t>באותם</w:t>
      </w:r>
      <w:r w:rsidRPr="00E05676">
        <w:rPr>
          <w:rFonts w:ascii="David" w:hAnsi="David" w:cs="David"/>
          <w:rtl/>
        </w:rPr>
        <w:t xml:space="preserve"> </w:t>
      </w:r>
      <w:r w:rsidRPr="00E05676">
        <w:rPr>
          <w:rFonts w:ascii="David" w:hAnsi="David" w:cs="David" w:hint="eastAsia"/>
          <w:rtl/>
        </w:rPr>
        <w:t>סעיפים</w:t>
      </w:r>
      <w:r w:rsidRPr="006A04BF">
        <w:rPr>
          <w:rFonts w:ascii="David" w:hAnsi="David" w:cs="David"/>
          <w:rtl/>
        </w:rPr>
        <w:t xml:space="preserve">. </w:t>
      </w:r>
      <w:r>
        <w:rPr>
          <w:rFonts w:ascii="David" w:hAnsi="David" w:cs="David" w:hint="cs"/>
          <w:rtl/>
        </w:rPr>
        <w:t>בכל מקרה, השפעתו על</w:t>
      </w:r>
      <w:r w:rsidRPr="006A04BF">
        <w:rPr>
          <w:rFonts w:ascii="David" w:hAnsi="David" w:cs="David"/>
          <w:rtl/>
        </w:rPr>
        <w:t xml:space="preserve"> תחזית ההכנסות לשנים 2019 ואילך </w:t>
      </w:r>
      <w:r>
        <w:rPr>
          <w:rFonts w:ascii="David" w:hAnsi="David" w:cs="David" w:hint="cs"/>
          <w:rtl/>
        </w:rPr>
        <w:t>נאמדת בסכום של כ</w:t>
      </w:r>
      <w:r w:rsidRPr="006A04BF">
        <w:rPr>
          <w:rFonts w:ascii="David" w:hAnsi="David" w:cs="David" w:hint="eastAsia"/>
          <w:rtl/>
        </w:rPr>
        <w:t>חצי</w:t>
      </w:r>
      <w:r w:rsidRPr="006A04BF">
        <w:rPr>
          <w:rFonts w:ascii="David" w:hAnsi="David" w:cs="David"/>
          <w:rtl/>
        </w:rPr>
        <w:t xml:space="preserve"> </w:t>
      </w:r>
      <w:r w:rsidRPr="006A04BF">
        <w:rPr>
          <w:rFonts w:ascii="David" w:hAnsi="David" w:cs="David" w:hint="eastAsia"/>
          <w:rtl/>
        </w:rPr>
        <w:t>מיליארד</w:t>
      </w:r>
      <w:r w:rsidRPr="006A04BF">
        <w:rPr>
          <w:rFonts w:ascii="David" w:hAnsi="David" w:cs="David"/>
          <w:rtl/>
        </w:rPr>
        <w:t xml:space="preserve"> </w:t>
      </w:r>
      <w:r w:rsidRPr="006A04BF">
        <w:rPr>
          <w:rFonts w:ascii="David" w:hAnsi="David" w:cs="David" w:hint="eastAsia"/>
          <w:rtl/>
        </w:rPr>
        <w:t>₪</w:t>
      </w:r>
      <w:r w:rsidRPr="006A04BF">
        <w:rPr>
          <w:rFonts w:ascii="David" w:hAnsi="David" w:cs="David"/>
          <w:rtl/>
        </w:rPr>
        <w:t>.</w:t>
      </w:r>
    </w:p>
  </w:footnote>
  <w:footnote w:id="11">
    <w:p w:rsidR="005E73C9" w:rsidRDefault="005E73C9" w:rsidP="005E73C9">
      <w:pPr>
        <w:pStyle w:val="a9"/>
        <w:rPr>
          <w:rtl/>
        </w:rPr>
      </w:pPr>
      <w:r>
        <w:rPr>
          <w:rStyle w:val="ab"/>
        </w:rPr>
        <w:footnoteRef/>
      </w:r>
      <w:r>
        <w:rPr>
          <w:rtl/>
        </w:rPr>
        <w:t xml:space="preserve"> </w:t>
      </w:r>
      <w:r>
        <w:rPr>
          <w:rFonts w:hint="cs"/>
          <w:rtl/>
        </w:rPr>
        <w:t>פרט להפחתות המכסים באפריל ובדצמבר 17.</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789" w:rsidRDefault="002D2789">
    <w:pPr>
      <w:pStyle w:val="af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ADE" w:rsidRPr="00FD7AB1" w:rsidRDefault="00687A25" w:rsidP="00FD7AB1">
    <w:pPr>
      <w:pStyle w:val="af3"/>
      <w:jc w:val="right"/>
      <w:rPr>
        <w:b/>
        <w:bCs/>
        <w:u w:val="single"/>
      </w:rPr>
    </w:pPr>
    <w:r>
      <w:rPr>
        <w:rFonts w:hint="cs"/>
        <w:b/>
        <w:bCs/>
        <w:u w:val="single"/>
        <w:rtl/>
      </w:rPr>
      <w:t>*</w:t>
    </w:r>
    <w:r w:rsidR="00C90543">
      <w:rPr>
        <w:rFonts w:hint="cs"/>
        <w:b/>
        <w:bCs/>
        <w:u w:val="single"/>
        <w:rtl/>
      </w:rPr>
      <w: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789" w:rsidRDefault="002D2789">
    <w:pPr>
      <w:pStyle w:val="af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30FA"/>
    <w:multiLevelType w:val="hybridMultilevel"/>
    <w:tmpl w:val="39F02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B4665"/>
    <w:multiLevelType w:val="hybridMultilevel"/>
    <w:tmpl w:val="8870A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7334C"/>
    <w:multiLevelType w:val="hybridMultilevel"/>
    <w:tmpl w:val="3CDA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F3CB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B82797"/>
    <w:multiLevelType w:val="multilevel"/>
    <w:tmpl w:val="CB2CFB36"/>
    <w:numStyleLink w:val="-"/>
  </w:abstractNum>
  <w:abstractNum w:abstractNumId="5" w15:restartNumberingAfterBreak="0">
    <w:nsid w:val="10D27BB1"/>
    <w:multiLevelType w:val="hybridMultilevel"/>
    <w:tmpl w:val="3432E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87F5A"/>
    <w:multiLevelType w:val="multilevel"/>
    <w:tmpl w:val="2C7611E6"/>
    <w:styleLink w:val="-0"/>
    <w:lvl w:ilvl="0">
      <w:start w:val="1"/>
      <w:numFmt w:val="decimal"/>
      <w:lvlRestart w:val="0"/>
      <w:lvlText w:val="%1 ."/>
      <w:lvlJc w:val="left"/>
      <w:pPr>
        <w:tabs>
          <w:tab w:val="num" w:pos="397"/>
        </w:tabs>
        <w:ind w:left="397" w:hanging="397"/>
      </w:pPr>
    </w:lvl>
    <w:lvl w:ilvl="1">
      <w:start w:val="1"/>
      <w:numFmt w:val="hebrew1"/>
      <w:lvlText w:val="%2."/>
      <w:lvlJc w:val="left"/>
      <w:pPr>
        <w:tabs>
          <w:tab w:val="num" w:pos="794"/>
        </w:tabs>
        <w:ind w:left="794" w:hanging="397"/>
      </w:pPr>
    </w:lvl>
    <w:lvl w:ilvl="2">
      <w:start w:val="1"/>
      <w:numFmt w:val="decimal"/>
      <w:lvlText w:val="%3)"/>
      <w:lvlJc w:val="left"/>
      <w:pPr>
        <w:tabs>
          <w:tab w:val="num" w:pos="1247"/>
        </w:tabs>
        <w:ind w:left="1247" w:hanging="453"/>
      </w:pPr>
    </w:lvl>
    <w:lvl w:ilvl="3">
      <w:start w:val="1"/>
      <w:numFmt w:val="hebrew1"/>
      <w:lvlText w:val="%4)"/>
      <w:lvlJc w:val="left"/>
      <w:pPr>
        <w:tabs>
          <w:tab w:val="num" w:pos="1701"/>
        </w:tabs>
        <w:ind w:left="1701" w:hanging="454"/>
      </w:pPr>
    </w:lvl>
    <w:lvl w:ilvl="4">
      <w:start w:val="1"/>
      <w:numFmt w:val="decimal"/>
      <w:lvlText w:val="(%5)"/>
      <w:lvlJc w:val="left"/>
      <w:pPr>
        <w:tabs>
          <w:tab w:val="num" w:pos="2211"/>
        </w:tabs>
        <w:ind w:left="2211" w:hanging="510"/>
      </w:pPr>
    </w:lvl>
    <w:lvl w:ilvl="5">
      <w:start w:val="1"/>
      <w:numFmt w:val="hebrew1"/>
      <w:lvlText w:val="(%6)"/>
      <w:lvlJc w:val="left"/>
      <w:pPr>
        <w:tabs>
          <w:tab w:val="num" w:pos="2721"/>
        </w:tabs>
        <w:ind w:left="2721" w:hanging="510"/>
      </w:pPr>
    </w:lvl>
    <w:lvl w:ilvl="6">
      <w:start w:val="1"/>
      <w:numFmt w:val="upperLetter"/>
      <w:lvlText w:val="%7."/>
      <w:lvlJc w:val="left"/>
      <w:pPr>
        <w:tabs>
          <w:tab w:val="num" w:pos="3118"/>
        </w:tabs>
        <w:ind w:left="3118" w:hanging="397"/>
      </w:pPr>
    </w:lvl>
    <w:lvl w:ilvl="7">
      <w:start w:val="1"/>
      <w:numFmt w:val="lowerLetter"/>
      <w:lvlText w:val="%8."/>
      <w:lvlJc w:val="left"/>
      <w:pPr>
        <w:tabs>
          <w:tab w:val="num" w:pos="3685"/>
        </w:tabs>
        <w:ind w:left="3685" w:hanging="567"/>
      </w:pPr>
    </w:lvl>
    <w:lvl w:ilvl="8">
      <w:start w:val="1"/>
      <w:numFmt w:val="lowerRoman"/>
      <w:lvlText w:val="%9."/>
      <w:lvlJc w:val="left"/>
      <w:pPr>
        <w:tabs>
          <w:tab w:val="num" w:pos="4252"/>
        </w:tabs>
        <w:ind w:left="4252" w:hanging="567"/>
      </w:pPr>
    </w:lvl>
  </w:abstractNum>
  <w:abstractNum w:abstractNumId="7" w15:restartNumberingAfterBreak="0">
    <w:nsid w:val="13DB6890"/>
    <w:multiLevelType w:val="hybridMultilevel"/>
    <w:tmpl w:val="4BE27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240D29"/>
    <w:multiLevelType w:val="hybridMultilevel"/>
    <w:tmpl w:val="39723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C35BE5"/>
    <w:multiLevelType w:val="hybridMultilevel"/>
    <w:tmpl w:val="F0DEF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AE0745"/>
    <w:multiLevelType w:val="hybridMultilevel"/>
    <w:tmpl w:val="3C68B1E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CEA6CE7"/>
    <w:multiLevelType w:val="hybridMultilevel"/>
    <w:tmpl w:val="D092F2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970A3"/>
    <w:multiLevelType w:val="hybridMultilevel"/>
    <w:tmpl w:val="906AA526"/>
    <w:lvl w:ilvl="0" w:tplc="E04422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435CE7"/>
    <w:multiLevelType w:val="hybridMultilevel"/>
    <w:tmpl w:val="9934C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690D37"/>
    <w:multiLevelType w:val="multilevel"/>
    <w:tmpl w:val="2C7611E6"/>
    <w:numStyleLink w:val="-0"/>
  </w:abstractNum>
  <w:abstractNum w:abstractNumId="15" w15:restartNumberingAfterBreak="0">
    <w:nsid w:val="248F43A9"/>
    <w:multiLevelType w:val="multilevel"/>
    <w:tmpl w:val="0C021516"/>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7F2F0F"/>
    <w:multiLevelType w:val="hybridMultilevel"/>
    <w:tmpl w:val="41F0E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E44F9"/>
    <w:multiLevelType w:val="hybridMultilevel"/>
    <w:tmpl w:val="9D28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2A31BE"/>
    <w:multiLevelType w:val="hybridMultilevel"/>
    <w:tmpl w:val="9C2E1B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1837049"/>
    <w:multiLevelType w:val="hybridMultilevel"/>
    <w:tmpl w:val="4E7EAD5C"/>
    <w:lvl w:ilvl="0" w:tplc="C09E1078">
      <w:start w:val="9"/>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400E2"/>
    <w:multiLevelType w:val="hybridMultilevel"/>
    <w:tmpl w:val="041C0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317420"/>
    <w:multiLevelType w:val="hybridMultilevel"/>
    <w:tmpl w:val="8C10B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7D4CEE"/>
    <w:multiLevelType w:val="multilevel"/>
    <w:tmpl w:val="2C7611E6"/>
    <w:numStyleLink w:val="-0"/>
  </w:abstractNum>
  <w:abstractNum w:abstractNumId="23" w15:restartNumberingAfterBreak="0">
    <w:nsid w:val="52C63965"/>
    <w:multiLevelType w:val="multilevel"/>
    <w:tmpl w:val="CB2CFB36"/>
    <w:numStyleLink w:val="-"/>
  </w:abstractNum>
  <w:abstractNum w:abstractNumId="24" w15:restartNumberingAfterBreak="0">
    <w:nsid w:val="5374541D"/>
    <w:multiLevelType w:val="hybridMultilevel"/>
    <w:tmpl w:val="E862B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5434F"/>
    <w:multiLevelType w:val="hybridMultilevel"/>
    <w:tmpl w:val="BE405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2D00DD"/>
    <w:multiLevelType w:val="multilevel"/>
    <w:tmpl w:val="CB2CFB36"/>
    <w:styleLink w:val="-"/>
    <w:lvl w:ilvl="0">
      <w:start w:val="1"/>
      <w:numFmt w:val="decimal"/>
      <w:lvlRestart w:val="0"/>
      <w:lvlText w:val="%1."/>
      <w:lvlJc w:val="left"/>
      <w:pPr>
        <w:tabs>
          <w:tab w:val="num" w:pos="357"/>
        </w:tabs>
        <w:ind w:left="357" w:hanging="357"/>
      </w:pPr>
    </w:lvl>
    <w:lvl w:ilvl="1">
      <w:start w:val="1"/>
      <w:numFmt w:val="decimal"/>
      <w:lvlText w:val="%1.%2."/>
      <w:lvlJc w:val="left"/>
      <w:pPr>
        <w:tabs>
          <w:tab w:val="num" w:pos="794"/>
        </w:tabs>
        <w:ind w:left="794" w:hanging="437"/>
      </w:pPr>
    </w:lvl>
    <w:lvl w:ilvl="2">
      <w:start w:val="1"/>
      <w:numFmt w:val="decimal"/>
      <w:lvlText w:val="%1.%2.%3."/>
      <w:lvlJc w:val="left"/>
      <w:pPr>
        <w:tabs>
          <w:tab w:val="num" w:pos="1440"/>
        </w:tabs>
        <w:ind w:left="1225" w:hanging="505"/>
      </w:pPr>
    </w:lvl>
    <w:lvl w:ilvl="3">
      <w:start w:val="1"/>
      <w:numFmt w:val="decimal"/>
      <w:lvlText w:val="%1.%2.%3.%4."/>
      <w:lvlJc w:val="left"/>
      <w:pPr>
        <w:tabs>
          <w:tab w:val="num" w:pos="1797"/>
        </w:tabs>
        <w:ind w:left="1729" w:hanging="652"/>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27" w15:restartNumberingAfterBreak="0">
    <w:nsid w:val="60875CE3"/>
    <w:multiLevelType w:val="hybridMultilevel"/>
    <w:tmpl w:val="C5E0E0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48055E9"/>
    <w:multiLevelType w:val="multilevel"/>
    <w:tmpl w:val="AB3482D6"/>
    <w:lvl w:ilvl="0">
      <w:start w:val="1"/>
      <w:numFmt w:val="decimal"/>
      <w:lvlRestart w:val="0"/>
      <w:lvlText w:val="%1 ."/>
      <w:lvlJc w:val="left"/>
      <w:pPr>
        <w:tabs>
          <w:tab w:val="num" w:pos="397"/>
        </w:tabs>
        <w:ind w:left="397" w:hanging="397"/>
      </w:pPr>
    </w:lvl>
    <w:lvl w:ilvl="1">
      <w:start w:val="1"/>
      <w:numFmt w:val="hebrew1"/>
      <w:lvlText w:val="%2."/>
      <w:lvlJc w:val="left"/>
      <w:pPr>
        <w:tabs>
          <w:tab w:val="num" w:pos="794"/>
        </w:tabs>
        <w:ind w:left="794" w:hanging="397"/>
      </w:pPr>
    </w:lvl>
    <w:lvl w:ilvl="2">
      <w:start w:val="1"/>
      <w:numFmt w:val="decimal"/>
      <w:lvlText w:val="%3)"/>
      <w:lvlJc w:val="left"/>
      <w:pPr>
        <w:tabs>
          <w:tab w:val="num" w:pos="1247"/>
        </w:tabs>
        <w:ind w:left="1247" w:hanging="453"/>
      </w:pPr>
    </w:lvl>
    <w:lvl w:ilvl="3">
      <w:start w:val="1"/>
      <w:numFmt w:val="hebrew1"/>
      <w:lvlText w:val="%4)"/>
      <w:lvlJc w:val="left"/>
      <w:pPr>
        <w:tabs>
          <w:tab w:val="num" w:pos="1701"/>
        </w:tabs>
        <w:ind w:left="1701" w:hanging="454"/>
      </w:pPr>
    </w:lvl>
    <w:lvl w:ilvl="4">
      <w:start w:val="1"/>
      <w:numFmt w:val="decimal"/>
      <w:lvlText w:val="(%5)"/>
      <w:lvlJc w:val="left"/>
      <w:pPr>
        <w:tabs>
          <w:tab w:val="num" w:pos="2211"/>
        </w:tabs>
        <w:ind w:left="2211" w:hanging="510"/>
      </w:pPr>
    </w:lvl>
    <w:lvl w:ilvl="5">
      <w:start w:val="1"/>
      <w:numFmt w:val="hebrew1"/>
      <w:lvlText w:val="(%6)"/>
      <w:lvlJc w:val="left"/>
      <w:pPr>
        <w:tabs>
          <w:tab w:val="num" w:pos="2721"/>
        </w:tabs>
        <w:ind w:left="2721" w:hanging="510"/>
      </w:pPr>
    </w:lvl>
    <w:lvl w:ilvl="6">
      <w:start w:val="1"/>
      <w:numFmt w:val="upperLetter"/>
      <w:lvlText w:val="%7."/>
      <w:lvlJc w:val="left"/>
      <w:pPr>
        <w:tabs>
          <w:tab w:val="num" w:pos="3118"/>
        </w:tabs>
        <w:ind w:left="3118" w:hanging="397"/>
      </w:pPr>
    </w:lvl>
    <w:lvl w:ilvl="7">
      <w:start w:val="1"/>
      <w:numFmt w:val="lowerLetter"/>
      <w:lvlText w:val="%8."/>
      <w:lvlJc w:val="left"/>
      <w:pPr>
        <w:tabs>
          <w:tab w:val="num" w:pos="3685"/>
        </w:tabs>
        <w:ind w:left="3685" w:hanging="567"/>
      </w:pPr>
    </w:lvl>
    <w:lvl w:ilvl="8">
      <w:start w:val="1"/>
      <w:numFmt w:val="lowerRoman"/>
      <w:lvlText w:val="%9."/>
      <w:lvlJc w:val="left"/>
      <w:pPr>
        <w:tabs>
          <w:tab w:val="num" w:pos="4252"/>
        </w:tabs>
        <w:ind w:left="4252" w:hanging="567"/>
      </w:pPr>
    </w:lvl>
  </w:abstractNum>
  <w:abstractNum w:abstractNumId="29" w15:restartNumberingAfterBreak="0">
    <w:nsid w:val="69CE61E2"/>
    <w:multiLevelType w:val="hybridMultilevel"/>
    <w:tmpl w:val="F16C5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B71603"/>
    <w:multiLevelType w:val="hybridMultilevel"/>
    <w:tmpl w:val="7028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40738"/>
    <w:multiLevelType w:val="hybridMultilevel"/>
    <w:tmpl w:val="4BA682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2810645"/>
    <w:multiLevelType w:val="hybridMultilevel"/>
    <w:tmpl w:val="C9F20238"/>
    <w:lvl w:ilvl="0" w:tplc="43BCF788">
      <w:start w:val="9"/>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9B2D6A"/>
    <w:multiLevelType w:val="hybridMultilevel"/>
    <w:tmpl w:val="EBFE3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5461FB"/>
    <w:multiLevelType w:val="hybridMultilevel"/>
    <w:tmpl w:val="6232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FE3C0A"/>
    <w:multiLevelType w:val="hybridMultilevel"/>
    <w:tmpl w:val="19BCA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6"/>
  </w:num>
  <w:num w:numId="3">
    <w:abstractNumId w:val="6"/>
  </w:num>
  <w:num w:numId="4">
    <w:abstractNumId w:val="8"/>
  </w:num>
  <w:num w:numId="5">
    <w:abstractNumId w:val="4"/>
  </w:num>
  <w:num w:numId="6">
    <w:abstractNumId w:val="22"/>
  </w:num>
  <w:num w:numId="7">
    <w:abstractNumId w:val="23"/>
  </w:num>
  <w:num w:numId="8">
    <w:abstractNumId w:val="11"/>
  </w:num>
  <w:num w:numId="9">
    <w:abstractNumId w:val="25"/>
  </w:num>
  <w:num w:numId="10">
    <w:abstractNumId w:val="15"/>
  </w:num>
  <w:num w:numId="11">
    <w:abstractNumId w:val="1"/>
  </w:num>
  <w:num w:numId="12">
    <w:abstractNumId w:val="20"/>
  </w:num>
  <w:num w:numId="13">
    <w:abstractNumId w:val="30"/>
  </w:num>
  <w:num w:numId="14">
    <w:abstractNumId w:val="21"/>
  </w:num>
  <w:num w:numId="15">
    <w:abstractNumId w:val="7"/>
  </w:num>
  <w:num w:numId="16">
    <w:abstractNumId w:val="16"/>
  </w:num>
  <w:num w:numId="17">
    <w:abstractNumId w:val="35"/>
  </w:num>
  <w:num w:numId="18">
    <w:abstractNumId w:val="10"/>
  </w:num>
  <w:num w:numId="19">
    <w:abstractNumId w:val="5"/>
  </w:num>
  <w:num w:numId="20">
    <w:abstractNumId w:val="17"/>
  </w:num>
  <w:num w:numId="21">
    <w:abstractNumId w:val="3"/>
  </w:num>
  <w:num w:numId="22">
    <w:abstractNumId w:val="28"/>
  </w:num>
  <w:num w:numId="23">
    <w:abstractNumId w:val="1"/>
  </w:num>
  <w:num w:numId="24">
    <w:abstractNumId w:val="1"/>
  </w:num>
  <w:num w:numId="25">
    <w:abstractNumId w:val="2"/>
  </w:num>
  <w:num w:numId="26">
    <w:abstractNumId w:val="31"/>
  </w:num>
  <w:num w:numId="27">
    <w:abstractNumId w:val="24"/>
  </w:num>
  <w:num w:numId="28">
    <w:abstractNumId w:val="0"/>
  </w:num>
  <w:num w:numId="29">
    <w:abstractNumId w:val="13"/>
  </w:num>
  <w:num w:numId="30">
    <w:abstractNumId w:val="33"/>
  </w:num>
  <w:num w:numId="31">
    <w:abstractNumId w:val="29"/>
  </w:num>
  <w:num w:numId="32">
    <w:abstractNumId w:val="34"/>
  </w:num>
  <w:num w:numId="33">
    <w:abstractNumId w:val="9"/>
  </w:num>
  <w:num w:numId="34">
    <w:abstractNumId w:val="32"/>
  </w:num>
  <w:num w:numId="35">
    <w:abstractNumId w:val="19"/>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n-US"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4F4"/>
    <w:rsid w:val="0000195F"/>
    <w:rsid w:val="00003287"/>
    <w:rsid w:val="00003D5C"/>
    <w:rsid w:val="00004112"/>
    <w:rsid w:val="000060A2"/>
    <w:rsid w:val="00010AD7"/>
    <w:rsid w:val="0001257D"/>
    <w:rsid w:val="00012D79"/>
    <w:rsid w:val="00013E1A"/>
    <w:rsid w:val="00013FD2"/>
    <w:rsid w:val="00014182"/>
    <w:rsid w:val="00015F56"/>
    <w:rsid w:val="00016578"/>
    <w:rsid w:val="00016AC3"/>
    <w:rsid w:val="000171A9"/>
    <w:rsid w:val="00017A26"/>
    <w:rsid w:val="00017C56"/>
    <w:rsid w:val="000208AE"/>
    <w:rsid w:val="00020E95"/>
    <w:rsid w:val="000219DC"/>
    <w:rsid w:val="000249E3"/>
    <w:rsid w:val="00025F35"/>
    <w:rsid w:val="000302F0"/>
    <w:rsid w:val="00030778"/>
    <w:rsid w:val="00030C41"/>
    <w:rsid w:val="00031863"/>
    <w:rsid w:val="000319B1"/>
    <w:rsid w:val="000341CC"/>
    <w:rsid w:val="0003461B"/>
    <w:rsid w:val="000363D6"/>
    <w:rsid w:val="00037022"/>
    <w:rsid w:val="00040805"/>
    <w:rsid w:val="0004299A"/>
    <w:rsid w:val="00042AAB"/>
    <w:rsid w:val="00043ECC"/>
    <w:rsid w:val="00044C8B"/>
    <w:rsid w:val="00045817"/>
    <w:rsid w:val="00045EE1"/>
    <w:rsid w:val="00046194"/>
    <w:rsid w:val="00046FE6"/>
    <w:rsid w:val="00047C97"/>
    <w:rsid w:val="00051C12"/>
    <w:rsid w:val="000520B7"/>
    <w:rsid w:val="00052FD3"/>
    <w:rsid w:val="0005361A"/>
    <w:rsid w:val="0005517A"/>
    <w:rsid w:val="000568CE"/>
    <w:rsid w:val="00056C13"/>
    <w:rsid w:val="00057589"/>
    <w:rsid w:val="00061761"/>
    <w:rsid w:val="0006217A"/>
    <w:rsid w:val="00062C76"/>
    <w:rsid w:val="00063634"/>
    <w:rsid w:val="000644FE"/>
    <w:rsid w:val="0006519B"/>
    <w:rsid w:val="00066383"/>
    <w:rsid w:val="0006639D"/>
    <w:rsid w:val="00067E61"/>
    <w:rsid w:val="0007093A"/>
    <w:rsid w:val="00072867"/>
    <w:rsid w:val="00072FC2"/>
    <w:rsid w:val="000734D5"/>
    <w:rsid w:val="00073AC7"/>
    <w:rsid w:val="000742DB"/>
    <w:rsid w:val="000760E2"/>
    <w:rsid w:val="00076E8D"/>
    <w:rsid w:val="00077A14"/>
    <w:rsid w:val="00077E87"/>
    <w:rsid w:val="0008015A"/>
    <w:rsid w:val="00080EAA"/>
    <w:rsid w:val="00082298"/>
    <w:rsid w:val="0008266F"/>
    <w:rsid w:val="000830AA"/>
    <w:rsid w:val="00084B75"/>
    <w:rsid w:val="000857A3"/>
    <w:rsid w:val="00087F01"/>
    <w:rsid w:val="000927A1"/>
    <w:rsid w:val="0009292C"/>
    <w:rsid w:val="00093A72"/>
    <w:rsid w:val="00093B9D"/>
    <w:rsid w:val="000977E4"/>
    <w:rsid w:val="00097E5F"/>
    <w:rsid w:val="000A245A"/>
    <w:rsid w:val="000A26F6"/>
    <w:rsid w:val="000A27AD"/>
    <w:rsid w:val="000A3F2B"/>
    <w:rsid w:val="000A49E4"/>
    <w:rsid w:val="000A4D6F"/>
    <w:rsid w:val="000B1F8E"/>
    <w:rsid w:val="000B1FC1"/>
    <w:rsid w:val="000B2281"/>
    <w:rsid w:val="000B3651"/>
    <w:rsid w:val="000B4170"/>
    <w:rsid w:val="000B542B"/>
    <w:rsid w:val="000B6677"/>
    <w:rsid w:val="000C04AE"/>
    <w:rsid w:val="000C08A3"/>
    <w:rsid w:val="000C3537"/>
    <w:rsid w:val="000C358D"/>
    <w:rsid w:val="000C5086"/>
    <w:rsid w:val="000D0225"/>
    <w:rsid w:val="000D1DED"/>
    <w:rsid w:val="000D351C"/>
    <w:rsid w:val="000D7FA3"/>
    <w:rsid w:val="000E499A"/>
    <w:rsid w:val="000E5B67"/>
    <w:rsid w:val="000E5CD9"/>
    <w:rsid w:val="000E6098"/>
    <w:rsid w:val="000E632C"/>
    <w:rsid w:val="000E64A5"/>
    <w:rsid w:val="000E6D06"/>
    <w:rsid w:val="000E7082"/>
    <w:rsid w:val="000E7D4B"/>
    <w:rsid w:val="000F1244"/>
    <w:rsid w:val="000F1384"/>
    <w:rsid w:val="000F168B"/>
    <w:rsid w:val="000F2932"/>
    <w:rsid w:val="000F4B1B"/>
    <w:rsid w:val="000F4CC8"/>
    <w:rsid w:val="000F7410"/>
    <w:rsid w:val="001029B9"/>
    <w:rsid w:val="0010326C"/>
    <w:rsid w:val="00103366"/>
    <w:rsid w:val="0010459C"/>
    <w:rsid w:val="00107433"/>
    <w:rsid w:val="00111613"/>
    <w:rsid w:val="0011174E"/>
    <w:rsid w:val="00111FB7"/>
    <w:rsid w:val="00112C1D"/>
    <w:rsid w:val="00113C77"/>
    <w:rsid w:val="00115128"/>
    <w:rsid w:val="001161D2"/>
    <w:rsid w:val="00121F31"/>
    <w:rsid w:val="001225D7"/>
    <w:rsid w:val="0012340E"/>
    <w:rsid w:val="00124261"/>
    <w:rsid w:val="00127B21"/>
    <w:rsid w:val="00127C36"/>
    <w:rsid w:val="00127DAB"/>
    <w:rsid w:val="001305CF"/>
    <w:rsid w:val="001309BD"/>
    <w:rsid w:val="00130E64"/>
    <w:rsid w:val="00130F52"/>
    <w:rsid w:val="001310EC"/>
    <w:rsid w:val="00131674"/>
    <w:rsid w:val="00131EE6"/>
    <w:rsid w:val="001336EB"/>
    <w:rsid w:val="00135F11"/>
    <w:rsid w:val="00135F71"/>
    <w:rsid w:val="00136A3E"/>
    <w:rsid w:val="00136BC5"/>
    <w:rsid w:val="00136C24"/>
    <w:rsid w:val="0013772C"/>
    <w:rsid w:val="00140328"/>
    <w:rsid w:val="00141DEE"/>
    <w:rsid w:val="00141E4E"/>
    <w:rsid w:val="00141E73"/>
    <w:rsid w:val="001428A6"/>
    <w:rsid w:val="0014331C"/>
    <w:rsid w:val="00144EA5"/>
    <w:rsid w:val="00145ABF"/>
    <w:rsid w:val="001477DF"/>
    <w:rsid w:val="00150C24"/>
    <w:rsid w:val="00151606"/>
    <w:rsid w:val="001524C4"/>
    <w:rsid w:val="00153A9C"/>
    <w:rsid w:val="00153FB8"/>
    <w:rsid w:val="00153FF5"/>
    <w:rsid w:val="00154CCC"/>
    <w:rsid w:val="00154F0C"/>
    <w:rsid w:val="00160F7E"/>
    <w:rsid w:val="001610F3"/>
    <w:rsid w:val="001611C6"/>
    <w:rsid w:val="0016178A"/>
    <w:rsid w:val="00161869"/>
    <w:rsid w:val="0016273C"/>
    <w:rsid w:val="00164768"/>
    <w:rsid w:val="00164B30"/>
    <w:rsid w:val="00164B8A"/>
    <w:rsid w:val="00165800"/>
    <w:rsid w:val="001702D3"/>
    <w:rsid w:val="001704B9"/>
    <w:rsid w:val="00170C90"/>
    <w:rsid w:val="00171A00"/>
    <w:rsid w:val="00172C4F"/>
    <w:rsid w:val="00173C29"/>
    <w:rsid w:val="00174D1F"/>
    <w:rsid w:val="0017564A"/>
    <w:rsid w:val="00175CFF"/>
    <w:rsid w:val="00177465"/>
    <w:rsid w:val="00177BFC"/>
    <w:rsid w:val="00177C9B"/>
    <w:rsid w:val="001810F9"/>
    <w:rsid w:val="0018125B"/>
    <w:rsid w:val="00182075"/>
    <w:rsid w:val="0018292D"/>
    <w:rsid w:val="00182E59"/>
    <w:rsid w:val="00183785"/>
    <w:rsid w:val="00185546"/>
    <w:rsid w:val="0019222F"/>
    <w:rsid w:val="00193330"/>
    <w:rsid w:val="001933D4"/>
    <w:rsid w:val="0019343C"/>
    <w:rsid w:val="00195D7A"/>
    <w:rsid w:val="001A11EE"/>
    <w:rsid w:val="001A1B5B"/>
    <w:rsid w:val="001A346B"/>
    <w:rsid w:val="001A5C4B"/>
    <w:rsid w:val="001A6253"/>
    <w:rsid w:val="001A6D82"/>
    <w:rsid w:val="001A7C40"/>
    <w:rsid w:val="001A7C42"/>
    <w:rsid w:val="001B0A96"/>
    <w:rsid w:val="001B0E88"/>
    <w:rsid w:val="001B33C4"/>
    <w:rsid w:val="001B3C3D"/>
    <w:rsid w:val="001B63B9"/>
    <w:rsid w:val="001B684E"/>
    <w:rsid w:val="001B70FB"/>
    <w:rsid w:val="001B7554"/>
    <w:rsid w:val="001B75A3"/>
    <w:rsid w:val="001C1345"/>
    <w:rsid w:val="001C41A3"/>
    <w:rsid w:val="001C44EF"/>
    <w:rsid w:val="001C4F6D"/>
    <w:rsid w:val="001C63D8"/>
    <w:rsid w:val="001D083F"/>
    <w:rsid w:val="001D0D04"/>
    <w:rsid w:val="001D0D6D"/>
    <w:rsid w:val="001D1A7A"/>
    <w:rsid w:val="001D1BBB"/>
    <w:rsid w:val="001D3DDD"/>
    <w:rsid w:val="001D55DD"/>
    <w:rsid w:val="001D5F05"/>
    <w:rsid w:val="001E0270"/>
    <w:rsid w:val="001E0505"/>
    <w:rsid w:val="001E0D1F"/>
    <w:rsid w:val="001E1126"/>
    <w:rsid w:val="001E1494"/>
    <w:rsid w:val="001E14B8"/>
    <w:rsid w:val="001E3F5A"/>
    <w:rsid w:val="001E548A"/>
    <w:rsid w:val="001E5DDE"/>
    <w:rsid w:val="001E7498"/>
    <w:rsid w:val="001E7F40"/>
    <w:rsid w:val="001F0EA1"/>
    <w:rsid w:val="001F332E"/>
    <w:rsid w:val="001F7D80"/>
    <w:rsid w:val="001F7F00"/>
    <w:rsid w:val="001F7F41"/>
    <w:rsid w:val="00204733"/>
    <w:rsid w:val="00205437"/>
    <w:rsid w:val="002100F2"/>
    <w:rsid w:val="00211061"/>
    <w:rsid w:val="0021430F"/>
    <w:rsid w:val="00216079"/>
    <w:rsid w:val="00216237"/>
    <w:rsid w:val="00217864"/>
    <w:rsid w:val="0022315F"/>
    <w:rsid w:val="00223B49"/>
    <w:rsid w:val="00224CC7"/>
    <w:rsid w:val="00225616"/>
    <w:rsid w:val="00226F77"/>
    <w:rsid w:val="00231318"/>
    <w:rsid w:val="002349FD"/>
    <w:rsid w:val="002358D0"/>
    <w:rsid w:val="00235A9A"/>
    <w:rsid w:val="00235B62"/>
    <w:rsid w:val="00236E3B"/>
    <w:rsid w:val="0023736A"/>
    <w:rsid w:val="0023776C"/>
    <w:rsid w:val="002410AE"/>
    <w:rsid w:val="002421F9"/>
    <w:rsid w:val="00242959"/>
    <w:rsid w:val="00242E56"/>
    <w:rsid w:val="00244A79"/>
    <w:rsid w:val="0024663E"/>
    <w:rsid w:val="00252E8E"/>
    <w:rsid w:val="00255CFD"/>
    <w:rsid w:val="002577BE"/>
    <w:rsid w:val="0026036C"/>
    <w:rsid w:val="002605B5"/>
    <w:rsid w:val="00260716"/>
    <w:rsid w:val="00262819"/>
    <w:rsid w:val="00264091"/>
    <w:rsid w:val="002666BB"/>
    <w:rsid w:val="002668DB"/>
    <w:rsid w:val="00267024"/>
    <w:rsid w:val="0027156D"/>
    <w:rsid w:val="00272BD3"/>
    <w:rsid w:val="002747D2"/>
    <w:rsid w:val="00274DB0"/>
    <w:rsid w:val="00275887"/>
    <w:rsid w:val="00280CF4"/>
    <w:rsid w:val="00281940"/>
    <w:rsid w:val="00282D68"/>
    <w:rsid w:val="0028338B"/>
    <w:rsid w:val="00283908"/>
    <w:rsid w:val="00284A30"/>
    <w:rsid w:val="00286B8C"/>
    <w:rsid w:val="00287942"/>
    <w:rsid w:val="00287B2E"/>
    <w:rsid w:val="00292067"/>
    <w:rsid w:val="002961FA"/>
    <w:rsid w:val="00296295"/>
    <w:rsid w:val="002972FA"/>
    <w:rsid w:val="002A2E18"/>
    <w:rsid w:val="002A418F"/>
    <w:rsid w:val="002A5094"/>
    <w:rsid w:val="002A54A3"/>
    <w:rsid w:val="002A65A4"/>
    <w:rsid w:val="002A65F2"/>
    <w:rsid w:val="002A6B89"/>
    <w:rsid w:val="002A7FEA"/>
    <w:rsid w:val="002B0B3A"/>
    <w:rsid w:val="002B1515"/>
    <w:rsid w:val="002B193F"/>
    <w:rsid w:val="002B40D2"/>
    <w:rsid w:val="002B617C"/>
    <w:rsid w:val="002B6353"/>
    <w:rsid w:val="002C100E"/>
    <w:rsid w:val="002C1814"/>
    <w:rsid w:val="002C4195"/>
    <w:rsid w:val="002C430F"/>
    <w:rsid w:val="002C53F7"/>
    <w:rsid w:val="002C57FC"/>
    <w:rsid w:val="002C6D60"/>
    <w:rsid w:val="002D00E9"/>
    <w:rsid w:val="002D2789"/>
    <w:rsid w:val="002D3108"/>
    <w:rsid w:val="002D4F9E"/>
    <w:rsid w:val="002D64E1"/>
    <w:rsid w:val="002E10F7"/>
    <w:rsid w:val="002E2EA0"/>
    <w:rsid w:val="002E30C8"/>
    <w:rsid w:val="002E38F4"/>
    <w:rsid w:val="002E3EAA"/>
    <w:rsid w:val="002E4970"/>
    <w:rsid w:val="002E775B"/>
    <w:rsid w:val="002E7B23"/>
    <w:rsid w:val="002F0752"/>
    <w:rsid w:val="002F197C"/>
    <w:rsid w:val="002F1EB6"/>
    <w:rsid w:val="002F202A"/>
    <w:rsid w:val="002F44DA"/>
    <w:rsid w:val="002F5FF6"/>
    <w:rsid w:val="002F6CB6"/>
    <w:rsid w:val="002F6D17"/>
    <w:rsid w:val="002F7234"/>
    <w:rsid w:val="00300D48"/>
    <w:rsid w:val="003021C3"/>
    <w:rsid w:val="00302253"/>
    <w:rsid w:val="00302EE7"/>
    <w:rsid w:val="003032A3"/>
    <w:rsid w:val="00303E8A"/>
    <w:rsid w:val="00304000"/>
    <w:rsid w:val="00304AF9"/>
    <w:rsid w:val="00305452"/>
    <w:rsid w:val="00315C7E"/>
    <w:rsid w:val="00316113"/>
    <w:rsid w:val="0032098B"/>
    <w:rsid w:val="003222BC"/>
    <w:rsid w:val="00322F01"/>
    <w:rsid w:val="00324B7C"/>
    <w:rsid w:val="00325E01"/>
    <w:rsid w:val="003269DB"/>
    <w:rsid w:val="00327ED9"/>
    <w:rsid w:val="003300E4"/>
    <w:rsid w:val="00330300"/>
    <w:rsid w:val="003334FE"/>
    <w:rsid w:val="00335892"/>
    <w:rsid w:val="003369B7"/>
    <w:rsid w:val="0034072A"/>
    <w:rsid w:val="00340FD3"/>
    <w:rsid w:val="00341B7F"/>
    <w:rsid w:val="003449D0"/>
    <w:rsid w:val="00345501"/>
    <w:rsid w:val="00345F49"/>
    <w:rsid w:val="00346636"/>
    <w:rsid w:val="003469E5"/>
    <w:rsid w:val="0035028D"/>
    <w:rsid w:val="00351F1E"/>
    <w:rsid w:val="0035341E"/>
    <w:rsid w:val="00361114"/>
    <w:rsid w:val="00362D7E"/>
    <w:rsid w:val="003655DC"/>
    <w:rsid w:val="00365A54"/>
    <w:rsid w:val="00372A0F"/>
    <w:rsid w:val="003732CE"/>
    <w:rsid w:val="003735AE"/>
    <w:rsid w:val="003755C5"/>
    <w:rsid w:val="00380E27"/>
    <w:rsid w:val="00381B20"/>
    <w:rsid w:val="00383DFE"/>
    <w:rsid w:val="003840FE"/>
    <w:rsid w:val="00384935"/>
    <w:rsid w:val="00385D65"/>
    <w:rsid w:val="003864AB"/>
    <w:rsid w:val="0038767B"/>
    <w:rsid w:val="00387EE2"/>
    <w:rsid w:val="00390A3C"/>
    <w:rsid w:val="003927B7"/>
    <w:rsid w:val="00392D35"/>
    <w:rsid w:val="00393986"/>
    <w:rsid w:val="00393C6A"/>
    <w:rsid w:val="003948AB"/>
    <w:rsid w:val="00396B4B"/>
    <w:rsid w:val="0039775C"/>
    <w:rsid w:val="003A1D7A"/>
    <w:rsid w:val="003A1EA5"/>
    <w:rsid w:val="003A3969"/>
    <w:rsid w:val="003A4208"/>
    <w:rsid w:val="003A4447"/>
    <w:rsid w:val="003A776E"/>
    <w:rsid w:val="003A7CA5"/>
    <w:rsid w:val="003B091D"/>
    <w:rsid w:val="003B0D47"/>
    <w:rsid w:val="003B0EAE"/>
    <w:rsid w:val="003B1296"/>
    <w:rsid w:val="003B15AE"/>
    <w:rsid w:val="003B2D81"/>
    <w:rsid w:val="003B405F"/>
    <w:rsid w:val="003B55D7"/>
    <w:rsid w:val="003C00DF"/>
    <w:rsid w:val="003C02BA"/>
    <w:rsid w:val="003C0454"/>
    <w:rsid w:val="003C0F8D"/>
    <w:rsid w:val="003C31EF"/>
    <w:rsid w:val="003C3A5C"/>
    <w:rsid w:val="003C3E43"/>
    <w:rsid w:val="003C4E42"/>
    <w:rsid w:val="003C6386"/>
    <w:rsid w:val="003D17C2"/>
    <w:rsid w:val="003D2F99"/>
    <w:rsid w:val="003D4BB3"/>
    <w:rsid w:val="003D624A"/>
    <w:rsid w:val="003D6383"/>
    <w:rsid w:val="003E1197"/>
    <w:rsid w:val="003E1AA3"/>
    <w:rsid w:val="003E275D"/>
    <w:rsid w:val="003E29A1"/>
    <w:rsid w:val="003E3967"/>
    <w:rsid w:val="003E3D35"/>
    <w:rsid w:val="003E3F1A"/>
    <w:rsid w:val="003E461C"/>
    <w:rsid w:val="003E4992"/>
    <w:rsid w:val="003E58EE"/>
    <w:rsid w:val="003F1396"/>
    <w:rsid w:val="003F46C3"/>
    <w:rsid w:val="003F5A0B"/>
    <w:rsid w:val="003F5B8F"/>
    <w:rsid w:val="0040055E"/>
    <w:rsid w:val="00401579"/>
    <w:rsid w:val="00403769"/>
    <w:rsid w:val="0040622D"/>
    <w:rsid w:val="00406C35"/>
    <w:rsid w:val="00407C2B"/>
    <w:rsid w:val="0041300E"/>
    <w:rsid w:val="0041358A"/>
    <w:rsid w:val="00415476"/>
    <w:rsid w:val="0041728D"/>
    <w:rsid w:val="004175E0"/>
    <w:rsid w:val="00423D6A"/>
    <w:rsid w:val="0042614C"/>
    <w:rsid w:val="0042665D"/>
    <w:rsid w:val="00426E0E"/>
    <w:rsid w:val="00427D3E"/>
    <w:rsid w:val="004313DB"/>
    <w:rsid w:val="00431597"/>
    <w:rsid w:val="00431C4E"/>
    <w:rsid w:val="0043208E"/>
    <w:rsid w:val="004323EF"/>
    <w:rsid w:val="0043256F"/>
    <w:rsid w:val="0043526C"/>
    <w:rsid w:val="004373AC"/>
    <w:rsid w:val="00440424"/>
    <w:rsid w:val="004410DE"/>
    <w:rsid w:val="00441E29"/>
    <w:rsid w:val="004432D3"/>
    <w:rsid w:val="00444AA1"/>
    <w:rsid w:val="00445E4B"/>
    <w:rsid w:val="004464EF"/>
    <w:rsid w:val="0044663B"/>
    <w:rsid w:val="004471C3"/>
    <w:rsid w:val="0044762C"/>
    <w:rsid w:val="00447F39"/>
    <w:rsid w:val="0045005B"/>
    <w:rsid w:val="0045098B"/>
    <w:rsid w:val="00451F2E"/>
    <w:rsid w:val="00452339"/>
    <w:rsid w:val="004523EB"/>
    <w:rsid w:val="00452CE3"/>
    <w:rsid w:val="00452D7A"/>
    <w:rsid w:val="00455146"/>
    <w:rsid w:val="004579FE"/>
    <w:rsid w:val="00463E57"/>
    <w:rsid w:val="00464313"/>
    <w:rsid w:val="00464BA3"/>
    <w:rsid w:val="00464FFC"/>
    <w:rsid w:val="00465E46"/>
    <w:rsid w:val="004664A5"/>
    <w:rsid w:val="00467B44"/>
    <w:rsid w:val="004700B7"/>
    <w:rsid w:val="004711E6"/>
    <w:rsid w:val="0047234E"/>
    <w:rsid w:val="00474C3B"/>
    <w:rsid w:val="00474DF7"/>
    <w:rsid w:val="004753A0"/>
    <w:rsid w:val="004769BF"/>
    <w:rsid w:val="00477B92"/>
    <w:rsid w:val="0048250C"/>
    <w:rsid w:val="00484D48"/>
    <w:rsid w:val="00485827"/>
    <w:rsid w:val="00486D0E"/>
    <w:rsid w:val="00486D76"/>
    <w:rsid w:val="00487A4F"/>
    <w:rsid w:val="00487BBB"/>
    <w:rsid w:val="00491838"/>
    <w:rsid w:val="004926A8"/>
    <w:rsid w:val="004933FE"/>
    <w:rsid w:val="004936A8"/>
    <w:rsid w:val="004963F2"/>
    <w:rsid w:val="004965DA"/>
    <w:rsid w:val="00496E0D"/>
    <w:rsid w:val="00497F70"/>
    <w:rsid w:val="004A0077"/>
    <w:rsid w:val="004A1552"/>
    <w:rsid w:val="004A29C1"/>
    <w:rsid w:val="004A69CA"/>
    <w:rsid w:val="004B04FD"/>
    <w:rsid w:val="004B3BC5"/>
    <w:rsid w:val="004B5B1A"/>
    <w:rsid w:val="004B740C"/>
    <w:rsid w:val="004C0CFB"/>
    <w:rsid w:val="004C127D"/>
    <w:rsid w:val="004C1F01"/>
    <w:rsid w:val="004C2FCC"/>
    <w:rsid w:val="004C3EAA"/>
    <w:rsid w:val="004C43A4"/>
    <w:rsid w:val="004C5538"/>
    <w:rsid w:val="004C5EAE"/>
    <w:rsid w:val="004C66AE"/>
    <w:rsid w:val="004C6BAD"/>
    <w:rsid w:val="004C7887"/>
    <w:rsid w:val="004D0F0E"/>
    <w:rsid w:val="004D412D"/>
    <w:rsid w:val="004D41A8"/>
    <w:rsid w:val="004D45A8"/>
    <w:rsid w:val="004D647C"/>
    <w:rsid w:val="004D65A1"/>
    <w:rsid w:val="004D6B8B"/>
    <w:rsid w:val="004D7FAF"/>
    <w:rsid w:val="004E24EB"/>
    <w:rsid w:val="004E2B29"/>
    <w:rsid w:val="004E479D"/>
    <w:rsid w:val="004E51B3"/>
    <w:rsid w:val="004E7520"/>
    <w:rsid w:val="004F1A9C"/>
    <w:rsid w:val="004F2D0A"/>
    <w:rsid w:val="004F34C1"/>
    <w:rsid w:val="004F3773"/>
    <w:rsid w:val="004F3E88"/>
    <w:rsid w:val="004F43B8"/>
    <w:rsid w:val="004F4D3F"/>
    <w:rsid w:val="004F606B"/>
    <w:rsid w:val="00500CA4"/>
    <w:rsid w:val="00501BEA"/>
    <w:rsid w:val="005028F9"/>
    <w:rsid w:val="00504CA3"/>
    <w:rsid w:val="005057DD"/>
    <w:rsid w:val="00505D36"/>
    <w:rsid w:val="005105B4"/>
    <w:rsid w:val="005131F8"/>
    <w:rsid w:val="00513428"/>
    <w:rsid w:val="00515321"/>
    <w:rsid w:val="00515E5C"/>
    <w:rsid w:val="00515F39"/>
    <w:rsid w:val="0052095E"/>
    <w:rsid w:val="005211CA"/>
    <w:rsid w:val="005260B4"/>
    <w:rsid w:val="005300F0"/>
    <w:rsid w:val="005312BF"/>
    <w:rsid w:val="00531FD7"/>
    <w:rsid w:val="00533E5A"/>
    <w:rsid w:val="00534452"/>
    <w:rsid w:val="005367BF"/>
    <w:rsid w:val="005367E9"/>
    <w:rsid w:val="005371D8"/>
    <w:rsid w:val="00540929"/>
    <w:rsid w:val="00541A57"/>
    <w:rsid w:val="005422FE"/>
    <w:rsid w:val="00543E10"/>
    <w:rsid w:val="00544F5D"/>
    <w:rsid w:val="00547CAE"/>
    <w:rsid w:val="00551C21"/>
    <w:rsid w:val="00553A43"/>
    <w:rsid w:val="00553C9B"/>
    <w:rsid w:val="00553D83"/>
    <w:rsid w:val="0055436F"/>
    <w:rsid w:val="005545D8"/>
    <w:rsid w:val="0055500D"/>
    <w:rsid w:val="00556BE2"/>
    <w:rsid w:val="005577E5"/>
    <w:rsid w:val="00562B4F"/>
    <w:rsid w:val="005641A5"/>
    <w:rsid w:val="0056564B"/>
    <w:rsid w:val="00565C0C"/>
    <w:rsid w:val="0056697E"/>
    <w:rsid w:val="00567A5A"/>
    <w:rsid w:val="0057081B"/>
    <w:rsid w:val="005725D4"/>
    <w:rsid w:val="005729EC"/>
    <w:rsid w:val="005731FF"/>
    <w:rsid w:val="0057357E"/>
    <w:rsid w:val="005749F0"/>
    <w:rsid w:val="00576A78"/>
    <w:rsid w:val="00577A49"/>
    <w:rsid w:val="005828E3"/>
    <w:rsid w:val="00586EFB"/>
    <w:rsid w:val="00591FFB"/>
    <w:rsid w:val="00593819"/>
    <w:rsid w:val="00593C5F"/>
    <w:rsid w:val="00594FBE"/>
    <w:rsid w:val="005953BD"/>
    <w:rsid w:val="00595CAD"/>
    <w:rsid w:val="005961AA"/>
    <w:rsid w:val="0059688A"/>
    <w:rsid w:val="005970AB"/>
    <w:rsid w:val="005971AC"/>
    <w:rsid w:val="005A0642"/>
    <w:rsid w:val="005A114A"/>
    <w:rsid w:val="005A3476"/>
    <w:rsid w:val="005A4673"/>
    <w:rsid w:val="005A6212"/>
    <w:rsid w:val="005A655C"/>
    <w:rsid w:val="005A7897"/>
    <w:rsid w:val="005A7ED5"/>
    <w:rsid w:val="005B0564"/>
    <w:rsid w:val="005B0DD2"/>
    <w:rsid w:val="005B1904"/>
    <w:rsid w:val="005B2F52"/>
    <w:rsid w:val="005B5BE6"/>
    <w:rsid w:val="005B5D55"/>
    <w:rsid w:val="005C0D0B"/>
    <w:rsid w:val="005C165D"/>
    <w:rsid w:val="005C19B8"/>
    <w:rsid w:val="005C21E0"/>
    <w:rsid w:val="005C3042"/>
    <w:rsid w:val="005C3131"/>
    <w:rsid w:val="005C3D3E"/>
    <w:rsid w:val="005C4CE6"/>
    <w:rsid w:val="005C66E5"/>
    <w:rsid w:val="005C6CEE"/>
    <w:rsid w:val="005C7292"/>
    <w:rsid w:val="005C749F"/>
    <w:rsid w:val="005D0D41"/>
    <w:rsid w:val="005D2D13"/>
    <w:rsid w:val="005D3AB1"/>
    <w:rsid w:val="005D4131"/>
    <w:rsid w:val="005D42E4"/>
    <w:rsid w:val="005D6A7E"/>
    <w:rsid w:val="005D7797"/>
    <w:rsid w:val="005D79EF"/>
    <w:rsid w:val="005E1F3B"/>
    <w:rsid w:val="005E2E94"/>
    <w:rsid w:val="005E33FD"/>
    <w:rsid w:val="005E34FB"/>
    <w:rsid w:val="005E3B58"/>
    <w:rsid w:val="005E4665"/>
    <w:rsid w:val="005E73C9"/>
    <w:rsid w:val="005E75D5"/>
    <w:rsid w:val="005F3824"/>
    <w:rsid w:val="005F4C83"/>
    <w:rsid w:val="005F539F"/>
    <w:rsid w:val="005F56F5"/>
    <w:rsid w:val="005F5C04"/>
    <w:rsid w:val="005F7FE6"/>
    <w:rsid w:val="00600471"/>
    <w:rsid w:val="00600BFA"/>
    <w:rsid w:val="00600F1F"/>
    <w:rsid w:val="00602637"/>
    <w:rsid w:val="00602DAD"/>
    <w:rsid w:val="006037C9"/>
    <w:rsid w:val="006061E0"/>
    <w:rsid w:val="0060658F"/>
    <w:rsid w:val="00607F1D"/>
    <w:rsid w:val="006109B2"/>
    <w:rsid w:val="006124E0"/>
    <w:rsid w:val="00612AE2"/>
    <w:rsid w:val="0061353B"/>
    <w:rsid w:val="00616FFC"/>
    <w:rsid w:val="006214C9"/>
    <w:rsid w:val="00622546"/>
    <w:rsid w:val="00623082"/>
    <w:rsid w:val="006241A4"/>
    <w:rsid w:val="00624A31"/>
    <w:rsid w:val="00627588"/>
    <w:rsid w:val="006309B0"/>
    <w:rsid w:val="006315BF"/>
    <w:rsid w:val="00632A5D"/>
    <w:rsid w:val="00634B90"/>
    <w:rsid w:val="00636F85"/>
    <w:rsid w:val="006404AD"/>
    <w:rsid w:val="0064148C"/>
    <w:rsid w:val="00641E86"/>
    <w:rsid w:val="00642E35"/>
    <w:rsid w:val="00644F86"/>
    <w:rsid w:val="0064755E"/>
    <w:rsid w:val="006505AB"/>
    <w:rsid w:val="00650C04"/>
    <w:rsid w:val="00651422"/>
    <w:rsid w:val="0065282E"/>
    <w:rsid w:val="006617A3"/>
    <w:rsid w:val="00661C6A"/>
    <w:rsid w:val="006642C9"/>
    <w:rsid w:val="00665724"/>
    <w:rsid w:val="0066664E"/>
    <w:rsid w:val="00674375"/>
    <w:rsid w:val="006750CC"/>
    <w:rsid w:val="00680652"/>
    <w:rsid w:val="00683ACC"/>
    <w:rsid w:val="00683E7D"/>
    <w:rsid w:val="006844A6"/>
    <w:rsid w:val="0068552D"/>
    <w:rsid w:val="00687251"/>
    <w:rsid w:val="00687A25"/>
    <w:rsid w:val="0069115D"/>
    <w:rsid w:val="00691D44"/>
    <w:rsid w:val="00692C69"/>
    <w:rsid w:val="006947BB"/>
    <w:rsid w:val="006952CA"/>
    <w:rsid w:val="00696A9B"/>
    <w:rsid w:val="00697C81"/>
    <w:rsid w:val="006A04BF"/>
    <w:rsid w:val="006A13C9"/>
    <w:rsid w:val="006A2503"/>
    <w:rsid w:val="006A5446"/>
    <w:rsid w:val="006A5DB6"/>
    <w:rsid w:val="006B0A09"/>
    <w:rsid w:val="006B168E"/>
    <w:rsid w:val="006B2239"/>
    <w:rsid w:val="006B24A5"/>
    <w:rsid w:val="006B352E"/>
    <w:rsid w:val="006B3A62"/>
    <w:rsid w:val="006B5718"/>
    <w:rsid w:val="006B6856"/>
    <w:rsid w:val="006C1734"/>
    <w:rsid w:val="006C2DAD"/>
    <w:rsid w:val="006C43E3"/>
    <w:rsid w:val="006C457E"/>
    <w:rsid w:val="006C4C57"/>
    <w:rsid w:val="006C4F98"/>
    <w:rsid w:val="006C55AF"/>
    <w:rsid w:val="006C57FA"/>
    <w:rsid w:val="006C781F"/>
    <w:rsid w:val="006C7876"/>
    <w:rsid w:val="006D0744"/>
    <w:rsid w:val="006D299C"/>
    <w:rsid w:val="006D3C4B"/>
    <w:rsid w:val="006D43C2"/>
    <w:rsid w:val="006D4B38"/>
    <w:rsid w:val="006D52D9"/>
    <w:rsid w:val="006D5BE2"/>
    <w:rsid w:val="006D62E2"/>
    <w:rsid w:val="006D63C4"/>
    <w:rsid w:val="006D686D"/>
    <w:rsid w:val="006D7181"/>
    <w:rsid w:val="006E00D8"/>
    <w:rsid w:val="006E095C"/>
    <w:rsid w:val="006E1CE4"/>
    <w:rsid w:val="006E5942"/>
    <w:rsid w:val="006F0E21"/>
    <w:rsid w:val="006F2B27"/>
    <w:rsid w:val="006F670D"/>
    <w:rsid w:val="007032AC"/>
    <w:rsid w:val="00705C71"/>
    <w:rsid w:val="00705C9C"/>
    <w:rsid w:val="00706164"/>
    <w:rsid w:val="007078F7"/>
    <w:rsid w:val="007108F5"/>
    <w:rsid w:val="00710A8A"/>
    <w:rsid w:val="00714613"/>
    <w:rsid w:val="00714C5E"/>
    <w:rsid w:val="007150F8"/>
    <w:rsid w:val="00715F67"/>
    <w:rsid w:val="00716AC3"/>
    <w:rsid w:val="0071721D"/>
    <w:rsid w:val="0072705D"/>
    <w:rsid w:val="00727D9A"/>
    <w:rsid w:val="0073062A"/>
    <w:rsid w:val="0073187A"/>
    <w:rsid w:val="00731D00"/>
    <w:rsid w:val="00733ACE"/>
    <w:rsid w:val="00735D55"/>
    <w:rsid w:val="00736002"/>
    <w:rsid w:val="00736F63"/>
    <w:rsid w:val="007413A1"/>
    <w:rsid w:val="007432C5"/>
    <w:rsid w:val="00743313"/>
    <w:rsid w:val="00743847"/>
    <w:rsid w:val="00743F08"/>
    <w:rsid w:val="007450F5"/>
    <w:rsid w:val="00745192"/>
    <w:rsid w:val="00745AD2"/>
    <w:rsid w:val="00745E76"/>
    <w:rsid w:val="00750E9F"/>
    <w:rsid w:val="00751B50"/>
    <w:rsid w:val="007523E0"/>
    <w:rsid w:val="007528F1"/>
    <w:rsid w:val="007532DD"/>
    <w:rsid w:val="00755FDF"/>
    <w:rsid w:val="007569E4"/>
    <w:rsid w:val="00757313"/>
    <w:rsid w:val="00757879"/>
    <w:rsid w:val="007611DA"/>
    <w:rsid w:val="007613B8"/>
    <w:rsid w:val="00761C5E"/>
    <w:rsid w:val="00765C06"/>
    <w:rsid w:val="00771600"/>
    <w:rsid w:val="007742A6"/>
    <w:rsid w:val="00775C12"/>
    <w:rsid w:val="00776A04"/>
    <w:rsid w:val="00776D11"/>
    <w:rsid w:val="00782249"/>
    <w:rsid w:val="007837E4"/>
    <w:rsid w:val="00783CC8"/>
    <w:rsid w:val="00783FBC"/>
    <w:rsid w:val="00785A0F"/>
    <w:rsid w:val="0079156C"/>
    <w:rsid w:val="00791A94"/>
    <w:rsid w:val="00793B0D"/>
    <w:rsid w:val="00793E5C"/>
    <w:rsid w:val="0079438E"/>
    <w:rsid w:val="007944D9"/>
    <w:rsid w:val="00795F11"/>
    <w:rsid w:val="007A0D77"/>
    <w:rsid w:val="007A1F0D"/>
    <w:rsid w:val="007A373A"/>
    <w:rsid w:val="007A71DF"/>
    <w:rsid w:val="007B0452"/>
    <w:rsid w:val="007B08D0"/>
    <w:rsid w:val="007B123C"/>
    <w:rsid w:val="007B15F1"/>
    <w:rsid w:val="007B2268"/>
    <w:rsid w:val="007B33CD"/>
    <w:rsid w:val="007B64AB"/>
    <w:rsid w:val="007C2746"/>
    <w:rsid w:val="007C2843"/>
    <w:rsid w:val="007C481C"/>
    <w:rsid w:val="007C6103"/>
    <w:rsid w:val="007C6EFB"/>
    <w:rsid w:val="007D035D"/>
    <w:rsid w:val="007D1A6C"/>
    <w:rsid w:val="007D33CD"/>
    <w:rsid w:val="007D4118"/>
    <w:rsid w:val="007D57FF"/>
    <w:rsid w:val="007D69F9"/>
    <w:rsid w:val="007D6CA9"/>
    <w:rsid w:val="007E098E"/>
    <w:rsid w:val="007E0A16"/>
    <w:rsid w:val="007E2692"/>
    <w:rsid w:val="007E2C67"/>
    <w:rsid w:val="007E4070"/>
    <w:rsid w:val="007E4A09"/>
    <w:rsid w:val="007E696E"/>
    <w:rsid w:val="007F2B74"/>
    <w:rsid w:val="007F557F"/>
    <w:rsid w:val="00800253"/>
    <w:rsid w:val="00800CEE"/>
    <w:rsid w:val="0080160A"/>
    <w:rsid w:val="008048AD"/>
    <w:rsid w:val="00804F71"/>
    <w:rsid w:val="00805F3C"/>
    <w:rsid w:val="00807778"/>
    <w:rsid w:val="008106F8"/>
    <w:rsid w:val="008131FD"/>
    <w:rsid w:val="00814FD2"/>
    <w:rsid w:val="00817111"/>
    <w:rsid w:val="0082195B"/>
    <w:rsid w:val="00821FAD"/>
    <w:rsid w:val="00822305"/>
    <w:rsid w:val="00822F03"/>
    <w:rsid w:val="008249DF"/>
    <w:rsid w:val="008254D4"/>
    <w:rsid w:val="0082739B"/>
    <w:rsid w:val="008273BC"/>
    <w:rsid w:val="00827566"/>
    <w:rsid w:val="00830187"/>
    <w:rsid w:val="0083079F"/>
    <w:rsid w:val="00832810"/>
    <w:rsid w:val="00834D70"/>
    <w:rsid w:val="00835AA3"/>
    <w:rsid w:val="00841475"/>
    <w:rsid w:val="00841576"/>
    <w:rsid w:val="008422A7"/>
    <w:rsid w:val="00842FB3"/>
    <w:rsid w:val="0084658C"/>
    <w:rsid w:val="008509E0"/>
    <w:rsid w:val="00853F99"/>
    <w:rsid w:val="008549EB"/>
    <w:rsid w:val="0085620E"/>
    <w:rsid w:val="008565EC"/>
    <w:rsid w:val="00856FCF"/>
    <w:rsid w:val="00861206"/>
    <w:rsid w:val="008624B1"/>
    <w:rsid w:val="008624E1"/>
    <w:rsid w:val="00863F92"/>
    <w:rsid w:val="00864BDE"/>
    <w:rsid w:val="00864DB3"/>
    <w:rsid w:val="00866D3E"/>
    <w:rsid w:val="0086781D"/>
    <w:rsid w:val="00867AE5"/>
    <w:rsid w:val="00870B67"/>
    <w:rsid w:val="00870D8A"/>
    <w:rsid w:val="00872A03"/>
    <w:rsid w:val="00874F44"/>
    <w:rsid w:val="00875543"/>
    <w:rsid w:val="008851E8"/>
    <w:rsid w:val="0088570B"/>
    <w:rsid w:val="00887AD0"/>
    <w:rsid w:val="008900D2"/>
    <w:rsid w:val="0089055D"/>
    <w:rsid w:val="00891686"/>
    <w:rsid w:val="008925C0"/>
    <w:rsid w:val="00895D6B"/>
    <w:rsid w:val="008960B8"/>
    <w:rsid w:val="008969B8"/>
    <w:rsid w:val="008A0111"/>
    <w:rsid w:val="008B09AB"/>
    <w:rsid w:val="008B2478"/>
    <w:rsid w:val="008B2595"/>
    <w:rsid w:val="008B2932"/>
    <w:rsid w:val="008B2B39"/>
    <w:rsid w:val="008B2C91"/>
    <w:rsid w:val="008B2E1E"/>
    <w:rsid w:val="008B39D7"/>
    <w:rsid w:val="008B627F"/>
    <w:rsid w:val="008B6939"/>
    <w:rsid w:val="008B76D1"/>
    <w:rsid w:val="008B7EB8"/>
    <w:rsid w:val="008C191C"/>
    <w:rsid w:val="008C19C3"/>
    <w:rsid w:val="008C2276"/>
    <w:rsid w:val="008C5D5F"/>
    <w:rsid w:val="008C788A"/>
    <w:rsid w:val="008C7DEC"/>
    <w:rsid w:val="008D11F5"/>
    <w:rsid w:val="008D15C8"/>
    <w:rsid w:val="008D5A5B"/>
    <w:rsid w:val="008D60B2"/>
    <w:rsid w:val="008D63B3"/>
    <w:rsid w:val="008D76DA"/>
    <w:rsid w:val="008D7F8E"/>
    <w:rsid w:val="008E06A2"/>
    <w:rsid w:val="008E0892"/>
    <w:rsid w:val="008E1A84"/>
    <w:rsid w:val="008E1F9B"/>
    <w:rsid w:val="008E2BE3"/>
    <w:rsid w:val="008E570B"/>
    <w:rsid w:val="008E5908"/>
    <w:rsid w:val="008E75C8"/>
    <w:rsid w:val="008E77BE"/>
    <w:rsid w:val="008F1413"/>
    <w:rsid w:val="008F18EC"/>
    <w:rsid w:val="008F1E30"/>
    <w:rsid w:val="008F2ABD"/>
    <w:rsid w:val="008F2B9E"/>
    <w:rsid w:val="008F4315"/>
    <w:rsid w:val="008F5FEF"/>
    <w:rsid w:val="00901F5E"/>
    <w:rsid w:val="0090573F"/>
    <w:rsid w:val="00906776"/>
    <w:rsid w:val="0090761A"/>
    <w:rsid w:val="00907F9C"/>
    <w:rsid w:val="009103ED"/>
    <w:rsid w:val="00910BC9"/>
    <w:rsid w:val="00915BBD"/>
    <w:rsid w:val="00915C9A"/>
    <w:rsid w:val="00916148"/>
    <w:rsid w:val="00921559"/>
    <w:rsid w:val="00922ED6"/>
    <w:rsid w:val="00931A0D"/>
    <w:rsid w:val="009322D1"/>
    <w:rsid w:val="00933F31"/>
    <w:rsid w:val="00934A29"/>
    <w:rsid w:val="00935E81"/>
    <w:rsid w:val="00940076"/>
    <w:rsid w:val="00942E9E"/>
    <w:rsid w:val="009437FF"/>
    <w:rsid w:val="00943845"/>
    <w:rsid w:val="00943DB6"/>
    <w:rsid w:val="009450B9"/>
    <w:rsid w:val="0094714A"/>
    <w:rsid w:val="0095190D"/>
    <w:rsid w:val="00951C81"/>
    <w:rsid w:val="00953A39"/>
    <w:rsid w:val="00953F55"/>
    <w:rsid w:val="00954124"/>
    <w:rsid w:val="009555AD"/>
    <w:rsid w:val="00955AE2"/>
    <w:rsid w:val="00955D4F"/>
    <w:rsid w:val="0095710C"/>
    <w:rsid w:val="009571CB"/>
    <w:rsid w:val="00957A75"/>
    <w:rsid w:val="00957E26"/>
    <w:rsid w:val="009606F7"/>
    <w:rsid w:val="0096112D"/>
    <w:rsid w:val="009617C8"/>
    <w:rsid w:val="009652D3"/>
    <w:rsid w:val="00965415"/>
    <w:rsid w:val="009656BB"/>
    <w:rsid w:val="00966CB3"/>
    <w:rsid w:val="00966ED9"/>
    <w:rsid w:val="0096767D"/>
    <w:rsid w:val="009710C3"/>
    <w:rsid w:val="009712D5"/>
    <w:rsid w:val="009743A8"/>
    <w:rsid w:val="00975F63"/>
    <w:rsid w:val="009761A5"/>
    <w:rsid w:val="00981842"/>
    <w:rsid w:val="009827C9"/>
    <w:rsid w:val="00985463"/>
    <w:rsid w:val="00985C21"/>
    <w:rsid w:val="00986444"/>
    <w:rsid w:val="0099026F"/>
    <w:rsid w:val="00990A24"/>
    <w:rsid w:val="009915E8"/>
    <w:rsid w:val="00993504"/>
    <w:rsid w:val="009940C5"/>
    <w:rsid w:val="00995663"/>
    <w:rsid w:val="00996750"/>
    <w:rsid w:val="00996F1E"/>
    <w:rsid w:val="009970DA"/>
    <w:rsid w:val="009A7411"/>
    <w:rsid w:val="009B299E"/>
    <w:rsid w:val="009B4DC8"/>
    <w:rsid w:val="009B541D"/>
    <w:rsid w:val="009B5809"/>
    <w:rsid w:val="009B64FE"/>
    <w:rsid w:val="009B699B"/>
    <w:rsid w:val="009C11C1"/>
    <w:rsid w:val="009C3D53"/>
    <w:rsid w:val="009C41C0"/>
    <w:rsid w:val="009C57D4"/>
    <w:rsid w:val="009C65A3"/>
    <w:rsid w:val="009D14C0"/>
    <w:rsid w:val="009D1579"/>
    <w:rsid w:val="009D3BFF"/>
    <w:rsid w:val="009D465D"/>
    <w:rsid w:val="009D736A"/>
    <w:rsid w:val="009D7444"/>
    <w:rsid w:val="009E01ED"/>
    <w:rsid w:val="009E3871"/>
    <w:rsid w:val="009E52B5"/>
    <w:rsid w:val="009E576A"/>
    <w:rsid w:val="009E679C"/>
    <w:rsid w:val="009E6FBD"/>
    <w:rsid w:val="009F3177"/>
    <w:rsid w:val="009F3415"/>
    <w:rsid w:val="009F3E7D"/>
    <w:rsid w:val="009F409B"/>
    <w:rsid w:val="009F46A3"/>
    <w:rsid w:val="009F76E7"/>
    <w:rsid w:val="009F7F7A"/>
    <w:rsid w:val="00A0232E"/>
    <w:rsid w:val="00A02957"/>
    <w:rsid w:val="00A0404E"/>
    <w:rsid w:val="00A05913"/>
    <w:rsid w:val="00A06C1B"/>
    <w:rsid w:val="00A07619"/>
    <w:rsid w:val="00A0797E"/>
    <w:rsid w:val="00A11B8F"/>
    <w:rsid w:val="00A12109"/>
    <w:rsid w:val="00A129EB"/>
    <w:rsid w:val="00A15876"/>
    <w:rsid w:val="00A15D5D"/>
    <w:rsid w:val="00A161B4"/>
    <w:rsid w:val="00A16545"/>
    <w:rsid w:val="00A16FEB"/>
    <w:rsid w:val="00A17FE0"/>
    <w:rsid w:val="00A236CD"/>
    <w:rsid w:val="00A25A77"/>
    <w:rsid w:val="00A3057C"/>
    <w:rsid w:val="00A30921"/>
    <w:rsid w:val="00A3159E"/>
    <w:rsid w:val="00A3332B"/>
    <w:rsid w:val="00A34826"/>
    <w:rsid w:val="00A40C4C"/>
    <w:rsid w:val="00A42CE9"/>
    <w:rsid w:val="00A44F2C"/>
    <w:rsid w:val="00A46356"/>
    <w:rsid w:val="00A47004"/>
    <w:rsid w:val="00A507E9"/>
    <w:rsid w:val="00A51910"/>
    <w:rsid w:val="00A535B4"/>
    <w:rsid w:val="00A546B4"/>
    <w:rsid w:val="00A54E82"/>
    <w:rsid w:val="00A5751E"/>
    <w:rsid w:val="00A60738"/>
    <w:rsid w:val="00A60851"/>
    <w:rsid w:val="00A60CB1"/>
    <w:rsid w:val="00A60E09"/>
    <w:rsid w:val="00A61946"/>
    <w:rsid w:val="00A61C24"/>
    <w:rsid w:val="00A62E8F"/>
    <w:rsid w:val="00A64272"/>
    <w:rsid w:val="00A64E7B"/>
    <w:rsid w:val="00A66D33"/>
    <w:rsid w:val="00A67A4F"/>
    <w:rsid w:val="00A67B12"/>
    <w:rsid w:val="00A71B38"/>
    <w:rsid w:val="00A72501"/>
    <w:rsid w:val="00A7291B"/>
    <w:rsid w:val="00A7396A"/>
    <w:rsid w:val="00A73972"/>
    <w:rsid w:val="00A73DE3"/>
    <w:rsid w:val="00A73E21"/>
    <w:rsid w:val="00A740CB"/>
    <w:rsid w:val="00A751AF"/>
    <w:rsid w:val="00A7782B"/>
    <w:rsid w:val="00A778D2"/>
    <w:rsid w:val="00A80773"/>
    <w:rsid w:val="00A81892"/>
    <w:rsid w:val="00A82673"/>
    <w:rsid w:val="00A842E3"/>
    <w:rsid w:val="00A84333"/>
    <w:rsid w:val="00A84658"/>
    <w:rsid w:val="00A8734E"/>
    <w:rsid w:val="00A87558"/>
    <w:rsid w:val="00A90863"/>
    <w:rsid w:val="00A9088C"/>
    <w:rsid w:val="00A953F2"/>
    <w:rsid w:val="00A97032"/>
    <w:rsid w:val="00A971FD"/>
    <w:rsid w:val="00AA1F1A"/>
    <w:rsid w:val="00AA2E48"/>
    <w:rsid w:val="00AA4752"/>
    <w:rsid w:val="00AA6B05"/>
    <w:rsid w:val="00AA7484"/>
    <w:rsid w:val="00AB21B3"/>
    <w:rsid w:val="00AB370B"/>
    <w:rsid w:val="00AB4AE1"/>
    <w:rsid w:val="00AB53A8"/>
    <w:rsid w:val="00AB54F4"/>
    <w:rsid w:val="00AB5D4C"/>
    <w:rsid w:val="00AB5D74"/>
    <w:rsid w:val="00AB7F91"/>
    <w:rsid w:val="00AC0E03"/>
    <w:rsid w:val="00AC1ECD"/>
    <w:rsid w:val="00AC2CDA"/>
    <w:rsid w:val="00AC4DB1"/>
    <w:rsid w:val="00AC51BD"/>
    <w:rsid w:val="00AC5A40"/>
    <w:rsid w:val="00AC5D60"/>
    <w:rsid w:val="00AC6147"/>
    <w:rsid w:val="00AD0167"/>
    <w:rsid w:val="00AD0D4D"/>
    <w:rsid w:val="00AD1374"/>
    <w:rsid w:val="00AD1FDA"/>
    <w:rsid w:val="00AD340B"/>
    <w:rsid w:val="00AD40C1"/>
    <w:rsid w:val="00AD48E3"/>
    <w:rsid w:val="00AD4C4A"/>
    <w:rsid w:val="00AD6FCA"/>
    <w:rsid w:val="00AE1651"/>
    <w:rsid w:val="00AE4508"/>
    <w:rsid w:val="00AE4B8A"/>
    <w:rsid w:val="00AE69DB"/>
    <w:rsid w:val="00AE790E"/>
    <w:rsid w:val="00AE7B3F"/>
    <w:rsid w:val="00AF030A"/>
    <w:rsid w:val="00AF1C47"/>
    <w:rsid w:val="00AF2274"/>
    <w:rsid w:val="00AF35BC"/>
    <w:rsid w:val="00AF5C8D"/>
    <w:rsid w:val="00AF5D0E"/>
    <w:rsid w:val="00B008FD"/>
    <w:rsid w:val="00B00AE4"/>
    <w:rsid w:val="00B0248E"/>
    <w:rsid w:val="00B03E2B"/>
    <w:rsid w:val="00B041F7"/>
    <w:rsid w:val="00B06983"/>
    <w:rsid w:val="00B11085"/>
    <w:rsid w:val="00B110A1"/>
    <w:rsid w:val="00B12B02"/>
    <w:rsid w:val="00B1308E"/>
    <w:rsid w:val="00B13107"/>
    <w:rsid w:val="00B14A65"/>
    <w:rsid w:val="00B15B0B"/>
    <w:rsid w:val="00B15B3B"/>
    <w:rsid w:val="00B16B2F"/>
    <w:rsid w:val="00B17142"/>
    <w:rsid w:val="00B17396"/>
    <w:rsid w:val="00B17668"/>
    <w:rsid w:val="00B17FFC"/>
    <w:rsid w:val="00B2255F"/>
    <w:rsid w:val="00B228DF"/>
    <w:rsid w:val="00B235CB"/>
    <w:rsid w:val="00B2401E"/>
    <w:rsid w:val="00B26104"/>
    <w:rsid w:val="00B2637A"/>
    <w:rsid w:val="00B3048D"/>
    <w:rsid w:val="00B311D4"/>
    <w:rsid w:val="00B319E9"/>
    <w:rsid w:val="00B32218"/>
    <w:rsid w:val="00B33442"/>
    <w:rsid w:val="00B338A9"/>
    <w:rsid w:val="00B34F8A"/>
    <w:rsid w:val="00B35852"/>
    <w:rsid w:val="00B35E86"/>
    <w:rsid w:val="00B35E94"/>
    <w:rsid w:val="00B40C6B"/>
    <w:rsid w:val="00B414EE"/>
    <w:rsid w:val="00B429D7"/>
    <w:rsid w:val="00B44F79"/>
    <w:rsid w:val="00B50B86"/>
    <w:rsid w:val="00B5126B"/>
    <w:rsid w:val="00B5160D"/>
    <w:rsid w:val="00B53542"/>
    <w:rsid w:val="00B540D5"/>
    <w:rsid w:val="00B5615D"/>
    <w:rsid w:val="00B57550"/>
    <w:rsid w:val="00B57705"/>
    <w:rsid w:val="00B60EE6"/>
    <w:rsid w:val="00B61F0F"/>
    <w:rsid w:val="00B64E52"/>
    <w:rsid w:val="00B654BF"/>
    <w:rsid w:val="00B66EA0"/>
    <w:rsid w:val="00B67385"/>
    <w:rsid w:val="00B67EA4"/>
    <w:rsid w:val="00B72C31"/>
    <w:rsid w:val="00B72F6D"/>
    <w:rsid w:val="00B738B5"/>
    <w:rsid w:val="00B7515E"/>
    <w:rsid w:val="00B75491"/>
    <w:rsid w:val="00B77BF2"/>
    <w:rsid w:val="00B80BB1"/>
    <w:rsid w:val="00B82136"/>
    <w:rsid w:val="00B82F62"/>
    <w:rsid w:val="00B842D8"/>
    <w:rsid w:val="00B8536C"/>
    <w:rsid w:val="00B86C44"/>
    <w:rsid w:val="00B873B2"/>
    <w:rsid w:val="00B90742"/>
    <w:rsid w:val="00B91A27"/>
    <w:rsid w:val="00B93390"/>
    <w:rsid w:val="00B9372B"/>
    <w:rsid w:val="00B93A25"/>
    <w:rsid w:val="00B93CE0"/>
    <w:rsid w:val="00B942F6"/>
    <w:rsid w:val="00B94448"/>
    <w:rsid w:val="00B95507"/>
    <w:rsid w:val="00BA0901"/>
    <w:rsid w:val="00BA3A90"/>
    <w:rsid w:val="00BA4FF8"/>
    <w:rsid w:val="00BA6E56"/>
    <w:rsid w:val="00BA71E8"/>
    <w:rsid w:val="00BA78C9"/>
    <w:rsid w:val="00BB0C7B"/>
    <w:rsid w:val="00BB14D7"/>
    <w:rsid w:val="00BB2F75"/>
    <w:rsid w:val="00BB33C6"/>
    <w:rsid w:val="00BB3779"/>
    <w:rsid w:val="00BB393A"/>
    <w:rsid w:val="00BB7FC2"/>
    <w:rsid w:val="00BC0E15"/>
    <w:rsid w:val="00BC1D05"/>
    <w:rsid w:val="00BC2449"/>
    <w:rsid w:val="00BC3FCF"/>
    <w:rsid w:val="00BC5224"/>
    <w:rsid w:val="00BC5CA5"/>
    <w:rsid w:val="00BD239C"/>
    <w:rsid w:val="00BD518B"/>
    <w:rsid w:val="00BD67E7"/>
    <w:rsid w:val="00BE3FD1"/>
    <w:rsid w:val="00BE4940"/>
    <w:rsid w:val="00BE4EE4"/>
    <w:rsid w:val="00BE5B8F"/>
    <w:rsid w:val="00BF0085"/>
    <w:rsid w:val="00BF0450"/>
    <w:rsid w:val="00BF16C9"/>
    <w:rsid w:val="00BF1C15"/>
    <w:rsid w:val="00BF57E1"/>
    <w:rsid w:val="00BF74B4"/>
    <w:rsid w:val="00BF7ACB"/>
    <w:rsid w:val="00BF7C95"/>
    <w:rsid w:val="00BF7CE2"/>
    <w:rsid w:val="00C01906"/>
    <w:rsid w:val="00C0331B"/>
    <w:rsid w:val="00C0483D"/>
    <w:rsid w:val="00C04B21"/>
    <w:rsid w:val="00C05D5A"/>
    <w:rsid w:val="00C069E4"/>
    <w:rsid w:val="00C06BCD"/>
    <w:rsid w:val="00C079A9"/>
    <w:rsid w:val="00C11DDF"/>
    <w:rsid w:val="00C13D36"/>
    <w:rsid w:val="00C147F8"/>
    <w:rsid w:val="00C171DC"/>
    <w:rsid w:val="00C177DD"/>
    <w:rsid w:val="00C17C64"/>
    <w:rsid w:val="00C226C6"/>
    <w:rsid w:val="00C2283A"/>
    <w:rsid w:val="00C23755"/>
    <w:rsid w:val="00C24A89"/>
    <w:rsid w:val="00C24F43"/>
    <w:rsid w:val="00C25085"/>
    <w:rsid w:val="00C269F5"/>
    <w:rsid w:val="00C26B1F"/>
    <w:rsid w:val="00C26C3F"/>
    <w:rsid w:val="00C27AC8"/>
    <w:rsid w:val="00C3096F"/>
    <w:rsid w:val="00C30E23"/>
    <w:rsid w:val="00C31305"/>
    <w:rsid w:val="00C33709"/>
    <w:rsid w:val="00C37F33"/>
    <w:rsid w:val="00C4172A"/>
    <w:rsid w:val="00C41A2C"/>
    <w:rsid w:val="00C4265E"/>
    <w:rsid w:val="00C42A4E"/>
    <w:rsid w:val="00C4306F"/>
    <w:rsid w:val="00C43CF8"/>
    <w:rsid w:val="00C4438B"/>
    <w:rsid w:val="00C44CDE"/>
    <w:rsid w:val="00C465EC"/>
    <w:rsid w:val="00C46DF8"/>
    <w:rsid w:val="00C50A63"/>
    <w:rsid w:val="00C518AF"/>
    <w:rsid w:val="00C521B6"/>
    <w:rsid w:val="00C52D7C"/>
    <w:rsid w:val="00C54AF7"/>
    <w:rsid w:val="00C55850"/>
    <w:rsid w:val="00C57001"/>
    <w:rsid w:val="00C57128"/>
    <w:rsid w:val="00C57654"/>
    <w:rsid w:val="00C669E6"/>
    <w:rsid w:val="00C66B09"/>
    <w:rsid w:val="00C711B2"/>
    <w:rsid w:val="00C7247F"/>
    <w:rsid w:val="00C74D00"/>
    <w:rsid w:val="00C7790F"/>
    <w:rsid w:val="00C8104C"/>
    <w:rsid w:val="00C81378"/>
    <w:rsid w:val="00C849C9"/>
    <w:rsid w:val="00C84ABA"/>
    <w:rsid w:val="00C851FA"/>
    <w:rsid w:val="00C86B25"/>
    <w:rsid w:val="00C87831"/>
    <w:rsid w:val="00C87E59"/>
    <w:rsid w:val="00C901B3"/>
    <w:rsid w:val="00C90543"/>
    <w:rsid w:val="00C9349A"/>
    <w:rsid w:val="00C944CC"/>
    <w:rsid w:val="00C94C21"/>
    <w:rsid w:val="00C951A0"/>
    <w:rsid w:val="00C96270"/>
    <w:rsid w:val="00C964FC"/>
    <w:rsid w:val="00C97BC7"/>
    <w:rsid w:val="00CA2E23"/>
    <w:rsid w:val="00CA496E"/>
    <w:rsid w:val="00CA54B9"/>
    <w:rsid w:val="00CA602A"/>
    <w:rsid w:val="00CA6060"/>
    <w:rsid w:val="00CA61AF"/>
    <w:rsid w:val="00CA6EBB"/>
    <w:rsid w:val="00CA6F81"/>
    <w:rsid w:val="00CB0403"/>
    <w:rsid w:val="00CB04DD"/>
    <w:rsid w:val="00CB40A4"/>
    <w:rsid w:val="00CB4760"/>
    <w:rsid w:val="00CB651C"/>
    <w:rsid w:val="00CC0CD6"/>
    <w:rsid w:val="00CC1139"/>
    <w:rsid w:val="00CC31FC"/>
    <w:rsid w:val="00CC3450"/>
    <w:rsid w:val="00CC356E"/>
    <w:rsid w:val="00CC5FC5"/>
    <w:rsid w:val="00CC618B"/>
    <w:rsid w:val="00CC65BD"/>
    <w:rsid w:val="00CD07CF"/>
    <w:rsid w:val="00CD109F"/>
    <w:rsid w:val="00CD255C"/>
    <w:rsid w:val="00CD28B7"/>
    <w:rsid w:val="00CD524B"/>
    <w:rsid w:val="00CD6DB8"/>
    <w:rsid w:val="00CD7075"/>
    <w:rsid w:val="00CD7159"/>
    <w:rsid w:val="00CD7A58"/>
    <w:rsid w:val="00CE0517"/>
    <w:rsid w:val="00CE28A7"/>
    <w:rsid w:val="00CE3A06"/>
    <w:rsid w:val="00CE5E9D"/>
    <w:rsid w:val="00CE73E3"/>
    <w:rsid w:val="00CE747E"/>
    <w:rsid w:val="00CE766F"/>
    <w:rsid w:val="00CF0E20"/>
    <w:rsid w:val="00CF143C"/>
    <w:rsid w:val="00CF14B5"/>
    <w:rsid w:val="00CF44BB"/>
    <w:rsid w:val="00CF4DB8"/>
    <w:rsid w:val="00CF4F17"/>
    <w:rsid w:val="00CF4F6A"/>
    <w:rsid w:val="00CF68BB"/>
    <w:rsid w:val="00CF7269"/>
    <w:rsid w:val="00D00A54"/>
    <w:rsid w:val="00D00D72"/>
    <w:rsid w:val="00D03B04"/>
    <w:rsid w:val="00D072E1"/>
    <w:rsid w:val="00D1075B"/>
    <w:rsid w:val="00D10E3F"/>
    <w:rsid w:val="00D110CB"/>
    <w:rsid w:val="00D11758"/>
    <w:rsid w:val="00D123C7"/>
    <w:rsid w:val="00D13099"/>
    <w:rsid w:val="00D137A7"/>
    <w:rsid w:val="00D14383"/>
    <w:rsid w:val="00D170D7"/>
    <w:rsid w:val="00D1771F"/>
    <w:rsid w:val="00D17AE3"/>
    <w:rsid w:val="00D20E51"/>
    <w:rsid w:val="00D22EAF"/>
    <w:rsid w:val="00D267DA"/>
    <w:rsid w:val="00D32937"/>
    <w:rsid w:val="00D329A4"/>
    <w:rsid w:val="00D33733"/>
    <w:rsid w:val="00D337F4"/>
    <w:rsid w:val="00D33979"/>
    <w:rsid w:val="00D36666"/>
    <w:rsid w:val="00D44DD0"/>
    <w:rsid w:val="00D4706E"/>
    <w:rsid w:val="00D51836"/>
    <w:rsid w:val="00D5263B"/>
    <w:rsid w:val="00D57249"/>
    <w:rsid w:val="00D573F6"/>
    <w:rsid w:val="00D6212C"/>
    <w:rsid w:val="00D62B24"/>
    <w:rsid w:val="00D62B80"/>
    <w:rsid w:val="00D63F4D"/>
    <w:rsid w:val="00D65817"/>
    <w:rsid w:val="00D6592F"/>
    <w:rsid w:val="00D66453"/>
    <w:rsid w:val="00D66932"/>
    <w:rsid w:val="00D670B4"/>
    <w:rsid w:val="00D67D4C"/>
    <w:rsid w:val="00D7001D"/>
    <w:rsid w:val="00D70911"/>
    <w:rsid w:val="00D710DE"/>
    <w:rsid w:val="00D71871"/>
    <w:rsid w:val="00D72435"/>
    <w:rsid w:val="00D72E1E"/>
    <w:rsid w:val="00D731DA"/>
    <w:rsid w:val="00D7568D"/>
    <w:rsid w:val="00D77D38"/>
    <w:rsid w:val="00D80669"/>
    <w:rsid w:val="00D80B1B"/>
    <w:rsid w:val="00D823EF"/>
    <w:rsid w:val="00D83C45"/>
    <w:rsid w:val="00D90E0F"/>
    <w:rsid w:val="00D9128D"/>
    <w:rsid w:val="00D969C1"/>
    <w:rsid w:val="00D976D0"/>
    <w:rsid w:val="00DA016B"/>
    <w:rsid w:val="00DA1DF7"/>
    <w:rsid w:val="00DA7B5C"/>
    <w:rsid w:val="00DB043A"/>
    <w:rsid w:val="00DB05FF"/>
    <w:rsid w:val="00DB0B8C"/>
    <w:rsid w:val="00DB1FFE"/>
    <w:rsid w:val="00DB48C0"/>
    <w:rsid w:val="00DB5891"/>
    <w:rsid w:val="00DB6F01"/>
    <w:rsid w:val="00DB78CA"/>
    <w:rsid w:val="00DB7E2D"/>
    <w:rsid w:val="00DC0A6E"/>
    <w:rsid w:val="00DC0EF3"/>
    <w:rsid w:val="00DC23E0"/>
    <w:rsid w:val="00DC31F3"/>
    <w:rsid w:val="00DC4053"/>
    <w:rsid w:val="00DC40EE"/>
    <w:rsid w:val="00DC510C"/>
    <w:rsid w:val="00DC5944"/>
    <w:rsid w:val="00DD277D"/>
    <w:rsid w:val="00DD2EBC"/>
    <w:rsid w:val="00DD31F1"/>
    <w:rsid w:val="00DD31FA"/>
    <w:rsid w:val="00DD4228"/>
    <w:rsid w:val="00DD5320"/>
    <w:rsid w:val="00DD6506"/>
    <w:rsid w:val="00DD7491"/>
    <w:rsid w:val="00DE069A"/>
    <w:rsid w:val="00DE14A7"/>
    <w:rsid w:val="00DE34ED"/>
    <w:rsid w:val="00DE5301"/>
    <w:rsid w:val="00DE5646"/>
    <w:rsid w:val="00DE63FB"/>
    <w:rsid w:val="00DE774A"/>
    <w:rsid w:val="00DE7CC8"/>
    <w:rsid w:val="00DF01ED"/>
    <w:rsid w:val="00DF0FFB"/>
    <w:rsid w:val="00DF176A"/>
    <w:rsid w:val="00DF44CB"/>
    <w:rsid w:val="00DF5884"/>
    <w:rsid w:val="00DF5E43"/>
    <w:rsid w:val="00DF6BC5"/>
    <w:rsid w:val="00DF73FF"/>
    <w:rsid w:val="00DF75D9"/>
    <w:rsid w:val="00E00B25"/>
    <w:rsid w:val="00E015EB"/>
    <w:rsid w:val="00E03BD1"/>
    <w:rsid w:val="00E05676"/>
    <w:rsid w:val="00E0663D"/>
    <w:rsid w:val="00E07448"/>
    <w:rsid w:val="00E07B75"/>
    <w:rsid w:val="00E105C9"/>
    <w:rsid w:val="00E11AC6"/>
    <w:rsid w:val="00E15C2F"/>
    <w:rsid w:val="00E175A7"/>
    <w:rsid w:val="00E214F4"/>
    <w:rsid w:val="00E217CB"/>
    <w:rsid w:val="00E22045"/>
    <w:rsid w:val="00E22C24"/>
    <w:rsid w:val="00E25C34"/>
    <w:rsid w:val="00E26DAD"/>
    <w:rsid w:val="00E279A3"/>
    <w:rsid w:val="00E31110"/>
    <w:rsid w:val="00E326A2"/>
    <w:rsid w:val="00E3275E"/>
    <w:rsid w:val="00E337A7"/>
    <w:rsid w:val="00E342BC"/>
    <w:rsid w:val="00E36A3E"/>
    <w:rsid w:val="00E371AD"/>
    <w:rsid w:val="00E375BF"/>
    <w:rsid w:val="00E376E8"/>
    <w:rsid w:val="00E41AE8"/>
    <w:rsid w:val="00E41B31"/>
    <w:rsid w:val="00E42C58"/>
    <w:rsid w:val="00E44CB6"/>
    <w:rsid w:val="00E45C1A"/>
    <w:rsid w:val="00E45EB9"/>
    <w:rsid w:val="00E466AE"/>
    <w:rsid w:val="00E466BA"/>
    <w:rsid w:val="00E46A32"/>
    <w:rsid w:val="00E47C7E"/>
    <w:rsid w:val="00E53ED1"/>
    <w:rsid w:val="00E56588"/>
    <w:rsid w:val="00E56F37"/>
    <w:rsid w:val="00E6033B"/>
    <w:rsid w:val="00E6096E"/>
    <w:rsid w:val="00E60C89"/>
    <w:rsid w:val="00E66690"/>
    <w:rsid w:val="00E66BED"/>
    <w:rsid w:val="00E70412"/>
    <w:rsid w:val="00E73C25"/>
    <w:rsid w:val="00E74194"/>
    <w:rsid w:val="00E74F9E"/>
    <w:rsid w:val="00E75F34"/>
    <w:rsid w:val="00E76734"/>
    <w:rsid w:val="00E82804"/>
    <w:rsid w:val="00E831D3"/>
    <w:rsid w:val="00E833B5"/>
    <w:rsid w:val="00E84193"/>
    <w:rsid w:val="00E8501F"/>
    <w:rsid w:val="00E854AE"/>
    <w:rsid w:val="00E8585E"/>
    <w:rsid w:val="00E86D12"/>
    <w:rsid w:val="00E904B4"/>
    <w:rsid w:val="00E91968"/>
    <w:rsid w:val="00E92DA4"/>
    <w:rsid w:val="00E93A7E"/>
    <w:rsid w:val="00E93F15"/>
    <w:rsid w:val="00E95EEF"/>
    <w:rsid w:val="00E96B20"/>
    <w:rsid w:val="00EA0DBC"/>
    <w:rsid w:val="00EA19B9"/>
    <w:rsid w:val="00EA24BB"/>
    <w:rsid w:val="00EA2501"/>
    <w:rsid w:val="00EA3C15"/>
    <w:rsid w:val="00EA6369"/>
    <w:rsid w:val="00EA6729"/>
    <w:rsid w:val="00EB0510"/>
    <w:rsid w:val="00EB24A2"/>
    <w:rsid w:val="00EC0838"/>
    <w:rsid w:val="00EC303E"/>
    <w:rsid w:val="00EC3640"/>
    <w:rsid w:val="00EC3A6D"/>
    <w:rsid w:val="00EC40A9"/>
    <w:rsid w:val="00EC6A40"/>
    <w:rsid w:val="00EC6E06"/>
    <w:rsid w:val="00ED0839"/>
    <w:rsid w:val="00ED1F1E"/>
    <w:rsid w:val="00ED53C7"/>
    <w:rsid w:val="00ED7601"/>
    <w:rsid w:val="00EE01C6"/>
    <w:rsid w:val="00EE157C"/>
    <w:rsid w:val="00EE2523"/>
    <w:rsid w:val="00EE4D85"/>
    <w:rsid w:val="00EE4F09"/>
    <w:rsid w:val="00EE5637"/>
    <w:rsid w:val="00EE6ACF"/>
    <w:rsid w:val="00EE6D88"/>
    <w:rsid w:val="00EE7093"/>
    <w:rsid w:val="00EE72AF"/>
    <w:rsid w:val="00EF02DB"/>
    <w:rsid w:val="00EF1F7B"/>
    <w:rsid w:val="00EF4082"/>
    <w:rsid w:val="00EF411D"/>
    <w:rsid w:val="00EF596A"/>
    <w:rsid w:val="00EF59DF"/>
    <w:rsid w:val="00EF68A0"/>
    <w:rsid w:val="00EF71D7"/>
    <w:rsid w:val="00EF78B6"/>
    <w:rsid w:val="00F0003E"/>
    <w:rsid w:val="00F00BDA"/>
    <w:rsid w:val="00F00D41"/>
    <w:rsid w:val="00F015FF"/>
    <w:rsid w:val="00F03D13"/>
    <w:rsid w:val="00F03E3E"/>
    <w:rsid w:val="00F0574A"/>
    <w:rsid w:val="00F0592A"/>
    <w:rsid w:val="00F059E0"/>
    <w:rsid w:val="00F06472"/>
    <w:rsid w:val="00F06FC6"/>
    <w:rsid w:val="00F1154A"/>
    <w:rsid w:val="00F12CA6"/>
    <w:rsid w:val="00F15E75"/>
    <w:rsid w:val="00F16AA5"/>
    <w:rsid w:val="00F170B5"/>
    <w:rsid w:val="00F20AF8"/>
    <w:rsid w:val="00F21429"/>
    <w:rsid w:val="00F220E8"/>
    <w:rsid w:val="00F226D9"/>
    <w:rsid w:val="00F2422E"/>
    <w:rsid w:val="00F2593F"/>
    <w:rsid w:val="00F25ABF"/>
    <w:rsid w:val="00F27271"/>
    <w:rsid w:val="00F30B98"/>
    <w:rsid w:val="00F313D9"/>
    <w:rsid w:val="00F32221"/>
    <w:rsid w:val="00F33E7D"/>
    <w:rsid w:val="00F43ACA"/>
    <w:rsid w:val="00F44472"/>
    <w:rsid w:val="00F458DA"/>
    <w:rsid w:val="00F509E4"/>
    <w:rsid w:val="00F514E5"/>
    <w:rsid w:val="00F520D6"/>
    <w:rsid w:val="00F52471"/>
    <w:rsid w:val="00F535B3"/>
    <w:rsid w:val="00F53789"/>
    <w:rsid w:val="00F57EBC"/>
    <w:rsid w:val="00F57FF9"/>
    <w:rsid w:val="00F6019A"/>
    <w:rsid w:val="00F607D3"/>
    <w:rsid w:val="00F60894"/>
    <w:rsid w:val="00F62970"/>
    <w:rsid w:val="00F62BED"/>
    <w:rsid w:val="00F64696"/>
    <w:rsid w:val="00F66B31"/>
    <w:rsid w:val="00F67AA1"/>
    <w:rsid w:val="00F71463"/>
    <w:rsid w:val="00F72B86"/>
    <w:rsid w:val="00F734EB"/>
    <w:rsid w:val="00F73540"/>
    <w:rsid w:val="00F74EF7"/>
    <w:rsid w:val="00F75126"/>
    <w:rsid w:val="00F7599B"/>
    <w:rsid w:val="00F76A5F"/>
    <w:rsid w:val="00F772F1"/>
    <w:rsid w:val="00F775AF"/>
    <w:rsid w:val="00F801A2"/>
    <w:rsid w:val="00F80B97"/>
    <w:rsid w:val="00F80DA7"/>
    <w:rsid w:val="00F81046"/>
    <w:rsid w:val="00F81C50"/>
    <w:rsid w:val="00F84333"/>
    <w:rsid w:val="00F84E0B"/>
    <w:rsid w:val="00F90CD4"/>
    <w:rsid w:val="00F91713"/>
    <w:rsid w:val="00F92EE2"/>
    <w:rsid w:val="00F934EE"/>
    <w:rsid w:val="00F93B6C"/>
    <w:rsid w:val="00F95EF0"/>
    <w:rsid w:val="00F975CB"/>
    <w:rsid w:val="00F97C1C"/>
    <w:rsid w:val="00F97C5B"/>
    <w:rsid w:val="00F97EB7"/>
    <w:rsid w:val="00FA1343"/>
    <w:rsid w:val="00FA5F24"/>
    <w:rsid w:val="00FA73E3"/>
    <w:rsid w:val="00FB009B"/>
    <w:rsid w:val="00FB00AB"/>
    <w:rsid w:val="00FB26A6"/>
    <w:rsid w:val="00FB2B04"/>
    <w:rsid w:val="00FB3EA4"/>
    <w:rsid w:val="00FB5A5D"/>
    <w:rsid w:val="00FB6CD8"/>
    <w:rsid w:val="00FC0152"/>
    <w:rsid w:val="00FC2743"/>
    <w:rsid w:val="00FC2F1B"/>
    <w:rsid w:val="00FC3ADE"/>
    <w:rsid w:val="00FC43BC"/>
    <w:rsid w:val="00FD00F6"/>
    <w:rsid w:val="00FD022D"/>
    <w:rsid w:val="00FD0705"/>
    <w:rsid w:val="00FD0B3F"/>
    <w:rsid w:val="00FD0CE5"/>
    <w:rsid w:val="00FD25B3"/>
    <w:rsid w:val="00FD3D66"/>
    <w:rsid w:val="00FD4FB1"/>
    <w:rsid w:val="00FD7AB1"/>
    <w:rsid w:val="00FE3193"/>
    <w:rsid w:val="00FE3B1C"/>
    <w:rsid w:val="00FE3F33"/>
    <w:rsid w:val="00FE4914"/>
    <w:rsid w:val="00FE4C6E"/>
    <w:rsid w:val="00FE572C"/>
    <w:rsid w:val="00FE6630"/>
    <w:rsid w:val="00FE6BFC"/>
    <w:rsid w:val="00FE752A"/>
    <w:rsid w:val="00FF01E1"/>
    <w:rsid w:val="00FF1CD3"/>
    <w:rsid w:val="00FF616B"/>
    <w:rsid w:val="00FF68E4"/>
    <w:rsid w:val="00FF6E0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24D96A-7558-4F01-AF8D-69B7B290C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56E"/>
    <w:pPr>
      <w:bidi/>
      <w:spacing w:before="120" w:after="120" w:line="360" w:lineRule="auto"/>
      <w:jc w:val="both"/>
    </w:pPr>
    <w:rPr>
      <w:rFonts w:ascii="Times New Roman" w:hAnsi="Times New Roman" w:cs="David"/>
      <w:sz w:val="24"/>
      <w:szCs w:val="24"/>
    </w:rPr>
  </w:style>
  <w:style w:type="paragraph" w:styleId="1">
    <w:name w:val="heading 1"/>
    <w:basedOn w:val="a"/>
    <w:next w:val="a"/>
    <w:link w:val="10"/>
    <w:uiPriority w:val="9"/>
    <w:qFormat/>
    <w:rsid w:val="003A1D7A"/>
    <w:pPr>
      <w:widowControl w:val="0"/>
      <w:spacing w:after="0"/>
      <w:outlineLvl w:val="0"/>
    </w:pPr>
    <w:rPr>
      <w:b/>
      <w:bCs/>
      <w:caps/>
      <w:spacing w:val="15"/>
      <w:sz w:val="36"/>
      <w:szCs w:val="36"/>
    </w:rPr>
  </w:style>
  <w:style w:type="paragraph" w:styleId="2">
    <w:name w:val="heading 2"/>
    <w:basedOn w:val="a"/>
    <w:next w:val="a"/>
    <w:link w:val="20"/>
    <w:uiPriority w:val="9"/>
    <w:unhideWhenUsed/>
    <w:qFormat/>
    <w:rsid w:val="003A1D7A"/>
    <w:pPr>
      <w:widowControl w:val="0"/>
      <w:spacing w:after="0"/>
      <w:outlineLvl w:val="1"/>
    </w:pPr>
    <w:rPr>
      <w:b/>
      <w:bCs/>
      <w:caps/>
      <w:spacing w:val="15"/>
      <w:sz w:val="32"/>
      <w:szCs w:val="32"/>
    </w:rPr>
  </w:style>
  <w:style w:type="paragraph" w:styleId="3">
    <w:name w:val="heading 3"/>
    <w:basedOn w:val="a"/>
    <w:next w:val="a"/>
    <w:link w:val="30"/>
    <w:uiPriority w:val="9"/>
    <w:unhideWhenUsed/>
    <w:qFormat/>
    <w:rsid w:val="001611C6"/>
    <w:pPr>
      <w:widowControl w:val="0"/>
      <w:bidi w:val="0"/>
      <w:spacing w:before="300" w:after="0"/>
      <w:outlineLvl w:val="2"/>
    </w:pPr>
    <w:rPr>
      <w:bCs/>
      <w:caps/>
      <w:spacing w:val="15"/>
      <w:sz w:val="28"/>
      <w:szCs w:val="28"/>
    </w:rPr>
  </w:style>
  <w:style w:type="paragraph" w:styleId="4">
    <w:name w:val="heading 4"/>
    <w:basedOn w:val="a"/>
    <w:next w:val="a"/>
    <w:link w:val="40"/>
    <w:uiPriority w:val="9"/>
    <w:unhideWhenUsed/>
    <w:qFormat/>
    <w:rsid w:val="003A1D7A"/>
    <w:pPr>
      <w:bidi w:val="0"/>
      <w:spacing w:before="300" w:after="0"/>
      <w:outlineLvl w:val="3"/>
    </w:pPr>
    <w:rPr>
      <w:b/>
      <w:bCs/>
      <w:caps/>
      <w:spacing w:val="10"/>
    </w:rPr>
  </w:style>
  <w:style w:type="paragraph" w:styleId="5">
    <w:name w:val="heading 5"/>
    <w:basedOn w:val="a"/>
    <w:next w:val="a"/>
    <w:link w:val="50"/>
    <w:uiPriority w:val="9"/>
    <w:unhideWhenUsed/>
    <w:qFormat/>
    <w:rsid w:val="003A1D7A"/>
    <w:pPr>
      <w:widowControl w:val="0"/>
      <w:bidi w:val="0"/>
      <w:spacing w:before="300" w:after="0"/>
      <w:outlineLvl w:val="4"/>
    </w:pPr>
    <w:rPr>
      <w:b/>
      <w:bCs/>
      <w:caps/>
      <w:spacing w:val="10"/>
    </w:rPr>
  </w:style>
  <w:style w:type="paragraph" w:styleId="6">
    <w:name w:val="heading 6"/>
    <w:basedOn w:val="a"/>
    <w:next w:val="a"/>
    <w:link w:val="60"/>
    <w:uiPriority w:val="9"/>
    <w:unhideWhenUsed/>
    <w:qFormat/>
    <w:rsid w:val="00066383"/>
    <w:pPr>
      <w:widowControl w:val="0"/>
      <w:bidi w:val="0"/>
      <w:spacing w:before="300" w:after="0"/>
      <w:outlineLvl w:val="5"/>
    </w:pPr>
    <w:rPr>
      <w:b/>
      <w:bCs/>
      <w:caps/>
      <w:spacing w:val="10"/>
    </w:rPr>
  </w:style>
  <w:style w:type="paragraph" w:styleId="7">
    <w:name w:val="heading 7"/>
    <w:basedOn w:val="a"/>
    <w:next w:val="a"/>
    <w:link w:val="70"/>
    <w:uiPriority w:val="9"/>
    <w:unhideWhenUsed/>
    <w:qFormat/>
    <w:rsid w:val="003A1D7A"/>
    <w:pPr>
      <w:widowControl w:val="0"/>
      <w:bidi w:val="0"/>
      <w:spacing w:before="300" w:after="0"/>
      <w:outlineLvl w:val="6"/>
    </w:pPr>
    <w:rPr>
      <w:b/>
      <w:bCs/>
      <w:caps/>
      <w:spacing w:val="10"/>
    </w:rPr>
  </w:style>
  <w:style w:type="paragraph" w:styleId="8">
    <w:name w:val="heading 8"/>
    <w:basedOn w:val="a"/>
    <w:next w:val="a"/>
    <w:link w:val="80"/>
    <w:uiPriority w:val="9"/>
    <w:semiHidden/>
    <w:unhideWhenUsed/>
    <w:qFormat/>
    <w:rsid w:val="00014182"/>
    <w:pPr>
      <w:bidi w:val="0"/>
      <w:spacing w:before="300" w:after="0"/>
      <w:outlineLvl w:val="7"/>
    </w:pPr>
    <w:rPr>
      <w:caps/>
      <w:spacing w:val="10"/>
      <w:sz w:val="18"/>
      <w:szCs w:val="18"/>
    </w:rPr>
  </w:style>
  <w:style w:type="paragraph" w:styleId="9">
    <w:name w:val="heading 9"/>
    <w:basedOn w:val="a"/>
    <w:next w:val="a"/>
    <w:link w:val="90"/>
    <w:uiPriority w:val="9"/>
    <w:semiHidden/>
    <w:unhideWhenUsed/>
    <w:qFormat/>
    <w:rsid w:val="00014182"/>
    <w:pPr>
      <w:bidi w:val="0"/>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3A1D7A"/>
    <w:rPr>
      <w:rFonts w:ascii="Times New Roman" w:hAnsi="Times New Roman" w:cs="David"/>
      <w:b/>
      <w:bCs/>
      <w:caps/>
      <w:spacing w:val="15"/>
      <w:sz w:val="36"/>
      <w:szCs w:val="36"/>
    </w:rPr>
  </w:style>
  <w:style w:type="paragraph" w:styleId="a3">
    <w:name w:val="Quote"/>
    <w:basedOn w:val="a"/>
    <w:next w:val="a"/>
    <w:link w:val="a4"/>
    <w:uiPriority w:val="29"/>
    <w:qFormat/>
    <w:rsid w:val="003A1D7A"/>
    <w:pPr>
      <w:widowControl w:val="0"/>
      <w:ind w:left="567" w:right="567"/>
    </w:pPr>
    <w:rPr>
      <w:i/>
      <w:iCs/>
    </w:rPr>
  </w:style>
  <w:style w:type="character" w:customStyle="1" w:styleId="a4">
    <w:name w:val="ציטוט תו"/>
    <w:basedOn w:val="a0"/>
    <w:link w:val="a3"/>
    <w:uiPriority w:val="29"/>
    <w:rsid w:val="003A1D7A"/>
    <w:rPr>
      <w:rFonts w:ascii="Times New Roman" w:hAnsi="Times New Roman" w:cs="David"/>
      <w:i/>
      <w:iCs/>
      <w:sz w:val="24"/>
      <w:szCs w:val="24"/>
    </w:rPr>
  </w:style>
  <w:style w:type="character" w:customStyle="1" w:styleId="20">
    <w:name w:val="כותרת 2 תו"/>
    <w:basedOn w:val="a0"/>
    <w:link w:val="2"/>
    <w:uiPriority w:val="9"/>
    <w:rsid w:val="003A1D7A"/>
    <w:rPr>
      <w:rFonts w:ascii="Times New Roman" w:hAnsi="Times New Roman" w:cs="David"/>
      <w:b/>
      <w:bCs/>
      <w:caps/>
      <w:spacing w:val="15"/>
      <w:sz w:val="32"/>
      <w:szCs w:val="32"/>
    </w:rPr>
  </w:style>
  <w:style w:type="character" w:customStyle="1" w:styleId="30">
    <w:name w:val="כותרת 3 תו"/>
    <w:basedOn w:val="a0"/>
    <w:link w:val="3"/>
    <w:uiPriority w:val="9"/>
    <w:rsid w:val="001611C6"/>
    <w:rPr>
      <w:rFonts w:ascii="Times New Roman" w:hAnsi="Times New Roman" w:cs="David"/>
      <w:bCs/>
      <w:caps/>
      <w:spacing w:val="15"/>
      <w:sz w:val="28"/>
      <w:szCs w:val="28"/>
    </w:rPr>
  </w:style>
  <w:style w:type="character" w:customStyle="1" w:styleId="40">
    <w:name w:val="כותרת 4 תו"/>
    <w:basedOn w:val="a0"/>
    <w:link w:val="4"/>
    <w:uiPriority w:val="9"/>
    <w:rsid w:val="003A1D7A"/>
    <w:rPr>
      <w:rFonts w:ascii="Times New Roman" w:hAnsi="Times New Roman" w:cs="David"/>
      <w:b/>
      <w:bCs/>
      <w:caps/>
      <w:spacing w:val="10"/>
      <w:sz w:val="24"/>
      <w:szCs w:val="24"/>
    </w:rPr>
  </w:style>
  <w:style w:type="character" w:customStyle="1" w:styleId="50">
    <w:name w:val="כותרת 5 תו"/>
    <w:basedOn w:val="a0"/>
    <w:link w:val="5"/>
    <w:uiPriority w:val="9"/>
    <w:rsid w:val="003A1D7A"/>
    <w:rPr>
      <w:rFonts w:ascii="Times New Roman" w:hAnsi="Times New Roman" w:cs="David"/>
      <w:b/>
      <w:bCs/>
      <w:caps/>
      <w:spacing w:val="10"/>
      <w:sz w:val="24"/>
      <w:szCs w:val="24"/>
    </w:rPr>
  </w:style>
  <w:style w:type="character" w:customStyle="1" w:styleId="60">
    <w:name w:val="כותרת 6 תו"/>
    <w:basedOn w:val="a0"/>
    <w:link w:val="6"/>
    <w:uiPriority w:val="9"/>
    <w:rsid w:val="00066383"/>
    <w:rPr>
      <w:rFonts w:ascii="Times New Roman" w:hAnsi="Times New Roman" w:cs="David"/>
      <w:b/>
      <w:bCs/>
      <w:caps/>
      <w:spacing w:val="10"/>
      <w:sz w:val="24"/>
      <w:szCs w:val="24"/>
    </w:rPr>
  </w:style>
  <w:style w:type="character" w:customStyle="1" w:styleId="70">
    <w:name w:val="כותרת 7 תו"/>
    <w:basedOn w:val="a0"/>
    <w:link w:val="7"/>
    <w:uiPriority w:val="9"/>
    <w:rsid w:val="003A1D7A"/>
    <w:rPr>
      <w:rFonts w:ascii="Times New Roman" w:hAnsi="Times New Roman" w:cs="David"/>
      <w:b/>
      <w:bCs/>
      <w:caps/>
      <w:spacing w:val="10"/>
      <w:sz w:val="24"/>
      <w:szCs w:val="24"/>
    </w:rPr>
  </w:style>
  <w:style w:type="character" w:customStyle="1" w:styleId="80">
    <w:name w:val="כותרת 8 תו"/>
    <w:basedOn w:val="a0"/>
    <w:link w:val="8"/>
    <w:uiPriority w:val="9"/>
    <w:semiHidden/>
    <w:rsid w:val="00014182"/>
    <w:rPr>
      <w:caps/>
      <w:spacing w:val="10"/>
      <w:sz w:val="18"/>
      <w:szCs w:val="18"/>
    </w:rPr>
  </w:style>
  <w:style w:type="character" w:customStyle="1" w:styleId="90">
    <w:name w:val="כותרת 9 תו"/>
    <w:basedOn w:val="a0"/>
    <w:link w:val="9"/>
    <w:uiPriority w:val="9"/>
    <w:semiHidden/>
    <w:rsid w:val="00014182"/>
    <w:rPr>
      <w:i/>
      <w:caps/>
      <w:spacing w:val="10"/>
      <w:sz w:val="18"/>
      <w:szCs w:val="18"/>
    </w:rPr>
  </w:style>
  <w:style w:type="paragraph" w:styleId="a5">
    <w:name w:val="caption"/>
    <w:basedOn w:val="a"/>
    <w:next w:val="a"/>
    <w:uiPriority w:val="35"/>
    <w:semiHidden/>
    <w:unhideWhenUsed/>
    <w:qFormat/>
    <w:rsid w:val="00014182"/>
    <w:pPr>
      <w:bidi w:val="0"/>
    </w:pPr>
    <w:rPr>
      <w:b/>
      <w:bCs/>
      <w:color w:val="365F91" w:themeColor="accent1" w:themeShade="BF"/>
      <w:sz w:val="16"/>
      <w:szCs w:val="16"/>
    </w:rPr>
  </w:style>
  <w:style w:type="paragraph" w:styleId="a6">
    <w:name w:val="TOC Heading"/>
    <w:basedOn w:val="1"/>
    <w:next w:val="a"/>
    <w:uiPriority w:val="39"/>
    <w:semiHidden/>
    <w:unhideWhenUsed/>
    <w:qFormat/>
    <w:rsid w:val="00014182"/>
    <w:pPr>
      <w:bidi w:val="0"/>
      <w:outlineLvl w:val="9"/>
    </w:pPr>
    <w:rPr>
      <w:lang w:bidi="en-US"/>
    </w:rPr>
  </w:style>
  <w:style w:type="paragraph" w:styleId="TOC3">
    <w:name w:val="toc 3"/>
    <w:basedOn w:val="a"/>
    <w:next w:val="a"/>
    <w:autoRedefine/>
    <w:uiPriority w:val="39"/>
    <w:unhideWhenUsed/>
    <w:rsid w:val="00600BFA"/>
    <w:pPr>
      <w:widowControl w:val="0"/>
      <w:tabs>
        <w:tab w:val="right" w:leader="dot" w:pos="8296"/>
      </w:tabs>
      <w:spacing w:before="100" w:after="100" w:line="240" w:lineRule="auto"/>
      <w:ind w:left="482"/>
    </w:pPr>
  </w:style>
  <w:style w:type="paragraph" w:styleId="TOC1">
    <w:name w:val="toc 1"/>
    <w:basedOn w:val="a"/>
    <w:next w:val="a"/>
    <w:autoRedefine/>
    <w:uiPriority w:val="39"/>
    <w:unhideWhenUsed/>
    <w:rsid w:val="00600BFA"/>
    <w:pPr>
      <w:widowControl w:val="0"/>
      <w:tabs>
        <w:tab w:val="right" w:leader="dot" w:pos="8296"/>
      </w:tabs>
      <w:spacing w:before="100" w:after="100" w:line="240" w:lineRule="auto"/>
    </w:pPr>
  </w:style>
  <w:style w:type="paragraph" w:styleId="TOC2">
    <w:name w:val="toc 2"/>
    <w:basedOn w:val="a"/>
    <w:next w:val="a"/>
    <w:autoRedefine/>
    <w:uiPriority w:val="39"/>
    <w:unhideWhenUsed/>
    <w:rsid w:val="00600BFA"/>
    <w:pPr>
      <w:widowControl w:val="0"/>
      <w:tabs>
        <w:tab w:val="right" w:leader="dot" w:pos="8296"/>
      </w:tabs>
      <w:spacing w:before="100" w:after="100" w:line="240" w:lineRule="auto"/>
      <w:ind w:left="238"/>
    </w:pPr>
  </w:style>
  <w:style w:type="paragraph" w:styleId="TOC7">
    <w:name w:val="toc 7"/>
    <w:basedOn w:val="a"/>
    <w:next w:val="a"/>
    <w:autoRedefine/>
    <w:uiPriority w:val="39"/>
    <w:unhideWhenUsed/>
    <w:rsid w:val="00600BFA"/>
    <w:pPr>
      <w:widowControl w:val="0"/>
      <w:tabs>
        <w:tab w:val="right" w:leader="dot" w:pos="8296"/>
      </w:tabs>
      <w:spacing w:before="100" w:after="100" w:line="240" w:lineRule="auto"/>
      <w:ind w:left="1440"/>
    </w:pPr>
  </w:style>
  <w:style w:type="paragraph" w:styleId="TOC6">
    <w:name w:val="toc 6"/>
    <w:basedOn w:val="a"/>
    <w:next w:val="a"/>
    <w:autoRedefine/>
    <w:uiPriority w:val="39"/>
    <w:unhideWhenUsed/>
    <w:rsid w:val="00600BFA"/>
    <w:pPr>
      <w:widowControl w:val="0"/>
      <w:tabs>
        <w:tab w:val="right" w:leader="dot" w:pos="8296"/>
      </w:tabs>
      <w:spacing w:before="100" w:after="100" w:line="240" w:lineRule="auto"/>
      <w:ind w:left="1202"/>
      <w:contextualSpacing/>
    </w:pPr>
  </w:style>
  <w:style w:type="paragraph" w:styleId="TOC5">
    <w:name w:val="toc 5"/>
    <w:basedOn w:val="a"/>
    <w:next w:val="a"/>
    <w:autoRedefine/>
    <w:uiPriority w:val="39"/>
    <w:unhideWhenUsed/>
    <w:rsid w:val="00600BFA"/>
    <w:pPr>
      <w:widowControl w:val="0"/>
      <w:tabs>
        <w:tab w:val="right" w:leader="dot" w:pos="8296"/>
      </w:tabs>
      <w:spacing w:before="100" w:after="100" w:line="240" w:lineRule="auto"/>
      <w:ind w:left="958"/>
    </w:pPr>
  </w:style>
  <w:style w:type="paragraph" w:styleId="TOC4">
    <w:name w:val="toc 4"/>
    <w:basedOn w:val="a"/>
    <w:next w:val="a"/>
    <w:autoRedefine/>
    <w:uiPriority w:val="39"/>
    <w:unhideWhenUsed/>
    <w:rsid w:val="00600BFA"/>
    <w:pPr>
      <w:widowControl w:val="0"/>
      <w:spacing w:before="100" w:after="100" w:line="240" w:lineRule="auto"/>
      <w:ind w:left="720"/>
    </w:pPr>
  </w:style>
  <w:style w:type="paragraph" w:styleId="a7">
    <w:name w:val="List Paragraph"/>
    <w:basedOn w:val="a"/>
    <w:uiPriority w:val="34"/>
    <w:qFormat/>
    <w:rsid w:val="00FE3193"/>
    <w:pPr>
      <w:ind w:left="720"/>
      <w:contextualSpacing/>
    </w:pPr>
  </w:style>
  <w:style w:type="numbering" w:customStyle="1" w:styleId="-">
    <w:name w:val="משרד האוצר - מדורג"/>
    <w:uiPriority w:val="99"/>
    <w:rsid w:val="00FE3193"/>
    <w:pPr>
      <w:numPr>
        <w:numId w:val="2"/>
      </w:numPr>
    </w:pPr>
  </w:style>
  <w:style w:type="numbering" w:customStyle="1" w:styleId="-0">
    <w:name w:val="משרד האוצר - מדורג קצר"/>
    <w:uiPriority w:val="99"/>
    <w:rsid w:val="00FE3193"/>
    <w:pPr>
      <w:numPr>
        <w:numId w:val="3"/>
      </w:numPr>
    </w:pPr>
  </w:style>
  <w:style w:type="table" w:styleId="a8">
    <w:name w:val="Table Grid"/>
    <w:basedOn w:val="a1"/>
    <w:uiPriority w:val="59"/>
    <w:rsid w:val="0024663E"/>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basedOn w:val="a"/>
    <w:link w:val="aa"/>
    <w:uiPriority w:val="99"/>
    <w:unhideWhenUsed/>
    <w:rsid w:val="00C11DDF"/>
    <w:pPr>
      <w:spacing w:before="0" w:after="0" w:line="240" w:lineRule="auto"/>
      <w:jc w:val="left"/>
    </w:pPr>
    <w:rPr>
      <w:rFonts w:eastAsia="Times New Roman" w:cs="FrankRuehl"/>
      <w:sz w:val="20"/>
      <w:szCs w:val="20"/>
      <w:lang w:eastAsia="he-IL"/>
    </w:rPr>
  </w:style>
  <w:style w:type="character" w:customStyle="1" w:styleId="aa">
    <w:name w:val="טקסט הערת שוליים תו"/>
    <w:basedOn w:val="a0"/>
    <w:link w:val="a9"/>
    <w:uiPriority w:val="99"/>
    <w:rsid w:val="00C11DDF"/>
    <w:rPr>
      <w:rFonts w:ascii="Times New Roman" w:eastAsia="Times New Roman" w:hAnsi="Times New Roman" w:cs="FrankRuehl"/>
      <w:sz w:val="20"/>
      <w:szCs w:val="20"/>
      <w:lang w:eastAsia="he-IL"/>
    </w:rPr>
  </w:style>
  <w:style w:type="character" w:styleId="ab">
    <w:name w:val="footnote reference"/>
    <w:basedOn w:val="a0"/>
    <w:uiPriority w:val="99"/>
    <w:unhideWhenUsed/>
    <w:rsid w:val="00C11DDF"/>
    <w:rPr>
      <w:vertAlign w:val="superscript"/>
    </w:rPr>
  </w:style>
  <w:style w:type="table" w:styleId="-1">
    <w:name w:val="Light Grid Accent 1"/>
    <w:basedOn w:val="a1"/>
    <w:uiPriority w:val="62"/>
    <w:rsid w:val="00C11DDF"/>
    <w:pPr>
      <w:spacing w:before="0" w:after="0" w:line="240" w:lineRule="auto"/>
    </w:p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ac">
    <w:name w:val="Balloon Text"/>
    <w:basedOn w:val="a"/>
    <w:link w:val="ad"/>
    <w:uiPriority w:val="99"/>
    <w:semiHidden/>
    <w:unhideWhenUsed/>
    <w:rsid w:val="00C11DDF"/>
    <w:pPr>
      <w:spacing w:before="0" w:after="0" w:line="240" w:lineRule="auto"/>
    </w:pPr>
    <w:rPr>
      <w:rFonts w:ascii="Tahoma" w:hAnsi="Tahoma" w:cs="Tahoma"/>
      <w:sz w:val="16"/>
      <w:szCs w:val="16"/>
    </w:rPr>
  </w:style>
  <w:style w:type="character" w:customStyle="1" w:styleId="ad">
    <w:name w:val="טקסט בלונים תו"/>
    <w:basedOn w:val="a0"/>
    <w:link w:val="ac"/>
    <w:uiPriority w:val="99"/>
    <w:semiHidden/>
    <w:rsid w:val="00C11DDF"/>
    <w:rPr>
      <w:rFonts w:ascii="Tahoma" w:hAnsi="Tahoma" w:cs="Tahoma"/>
      <w:sz w:val="16"/>
      <w:szCs w:val="16"/>
    </w:rPr>
  </w:style>
  <w:style w:type="character" w:styleId="ae">
    <w:name w:val="annotation reference"/>
    <w:basedOn w:val="a0"/>
    <w:uiPriority w:val="99"/>
    <w:semiHidden/>
    <w:unhideWhenUsed/>
    <w:rsid w:val="00231318"/>
    <w:rPr>
      <w:sz w:val="16"/>
      <w:szCs w:val="16"/>
    </w:rPr>
  </w:style>
  <w:style w:type="paragraph" w:styleId="af">
    <w:name w:val="annotation text"/>
    <w:basedOn w:val="a"/>
    <w:link w:val="af0"/>
    <w:uiPriority w:val="99"/>
    <w:semiHidden/>
    <w:unhideWhenUsed/>
    <w:rsid w:val="00231318"/>
    <w:pPr>
      <w:spacing w:line="240" w:lineRule="auto"/>
    </w:pPr>
    <w:rPr>
      <w:sz w:val="20"/>
      <w:szCs w:val="20"/>
    </w:rPr>
  </w:style>
  <w:style w:type="character" w:customStyle="1" w:styleId="af0">
    <w:name w:val="טקסט הערה תו"/>
    <w:basedOn w:val="a0"/>
    <w:link w:val="af"/>
    <w:uiPriority w:val="99"/>
    <w:semiHidden/>
    <w:rsid w:val="00231318"/>
    <w:rPr>
      <w:rFonts w:ascii="Times New Roman" w:hAnsi="Times New Roman" w:cs="David"/>
      <w:sz w:val="20"/>
      <w:szCs w:val="20"/>
    </w:rPr>
  </w:style>
  <w:style w:type="paragraph" w:styleId="af1">
    <w:name w:val="annotation subject"/>
    <w:basedOn w:val="af"/>
    <w:next w:val="af"/>
    <w:link w:val="af2"/>
    <w:uiPriority w:val="99"/>
    <w:semiHidden/>
    <w:unhideWhenUsed/>
    <w:rsid w:val="00231318"/>
    <w:rPr>
      <w:b/>
      <w:bCs/>
    </w:rPr>
  </w:style>
  <w:style w:type="character" w:customStyle="1" w:styleId="af2">
    <w:name w:val="נושא הערה תו"/>
    <w:basedOn w:val="af0"/>
    <w:link w:val="af1"/>
    <w:uiPriority w:val="99"/>
    <w:semiHidden/>
    <w:rsid w:val="00231318"/>
    <w:rPr>
      <w:rFonts w:ascii="Times New Roman" w:hAnsi="Times New Roman" w:cs="David"/>
      <w:b/>
      <w:bCs/>
      <w:sz w:val="20"/>
      <w:szCs w:val="20"/>
    </w:rPr>
  </w:style>
  <w:style w:type="table" w:styleId="-10">
    <w:name w:val="Light List Accent 1"/>
    <w:basedOn w:val="a1"/>
    <w:uiPriority w:val="61"/>
    <w:rsid w:val="00822F03"/>
    <w:pPr>
      <w:spacing w:before="0"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af3">
    <w:name w:val="header"/>
    <w:basedOn w:val="a"/>
    <w:link w:val="af4"/>
    <w:uiPriority w:val="99"/>
    <w:unhideWhenUsed/>
    <w:rsid w:val="00901F5E"/>
    <w:pPr>
      <w:tabs>
        <w:tab w:val="center" w:pos="4153"/>
        <w:tab w:val="right" w:pos="8306"/>
      </w:tabs>
      <w:spacing w:before="0" w:after="0" w:line="240" w:lineRule="auto"/>
    </w:pPr>
  </w:style>
  <w:style w:type="character" w:customStyle="1" w:styleId="af4">
    <w:name w:val="כותרת עליונה תו"/>
    <w:basedOn w:val="a0"/>
    <w:link w:val="af3"/>
    <w:uiPriority w:val="99"/>
    <w:rsid w:val="00901F5E"/>
    <w:rPr>
      <w:rFonts w:ascii="Times New Roman" w:hAnsi="Times New Roman" w:cs="David"/>
      <w:sz w:val="24"/>
      <w:szCs w:val="24"/>
    </w:rPr>
  </w:style>
  <w:style w:type="paragraph" w:styleId="af5">
    <w:name w:val="footer"/>
    <w:basedOn w:val="a"/>
    <w:link w:val="af6"/>
    <w:uiPriority w:val="99"/>
    <w:unhideWhenUsed/>
    <w:rsid w:val="00901F5E"/>
    <w:pPr>
      <w:tabs>
        <w:tab w:val="center" w:pos="4153"/>
        <w:tab w:val="right" w:pos="8306"/>
      </w:tabs>
      <w:spacing w:before="0" w:after="0" w:line="240" w:lineRule="auto"/>
    </w:pPr>
  </w:style>
  <w:style w:type="character" w:customStyle="1" w:styleId="af6">
    <w:name w:val="כותרת תחתונה תו"/>
    <w:basedOn w:val="a0"/>
    <w:link w:val="af5"/>
    <w:uiPriority w:val="99"/>
    <w:rsid w:val="00901F5E"/>
    <w:rPr>
      <w:rFonts w:ascii="Times New Roman" w:hAnsi="Times New Roman" w:cs="David"/>
      <w:sz w:val="24"/>
      <w:szCs w:val="24"/>
    </w:rPr>
  </w:style>
  <w:style w:type="table" w:styleId="af7">
    <w:name w:val="Light List"/>
    <w:basedOn w:val="a1"/>
    <w:uiPriority w:val="61"/>
    <w:rsid w:val="0043526C"/>
    <w:pPr>
      <w:spacing w:before="0"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f8">
    <w:name w:val="Revision"/>
    <w:hidden/>
    <w:uiPriority w:val="99"/>
    <w:semiHidden/>
    <w:rsid w:val="001225D7"/>
    <w:pPr>
      <w:spacing w:before="0" w:after="0" w:line="240" w:lineRule="auto"/>
    </w:pPr>
    <w:rPr>
      <w:rFonts w:ascii="Times New Roman" w:hAnsi="Times New Roman" w:cs="David"/>
      <w:sz w:val="24"/>
      <w:szCs w:val="24"/>
    </w:rPr>
  </w:style>
  <w:style w:type="table" w:customStyle="1" w:styleId="-11">
    <w:name w:val="רשימה בהירה - הדגשה 11"/>
    <w:basedOn w:val="a1"/>
    <w:next w:val="-10"/>
    <w:uiPriority w:val="61"/>
    <w:rsid w:val="0064755E"/>
    <w:pPr>
      <w:spacing w:before="0"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NormalWeb">
    <w:name w:val="Normal (Web)"/>
    <w:basedOn w:val="a"/>
    <w:uiPriority w:val="99"/>
    <w:unhideWhenUsed/>
    <w:rsid w:val="00E84193"/>
    <w:pPr>
      <w:bidi w:val="0"/>
      <w:spacing w:before="100" w:beforeAutospacing="1" w:after="100" w:afterAutospacing="1" w:line="240" w:lineRule="auto"/>
      <w:jc w:val="left"/>
    </w:pPr>
    <w:rPr>
      <w:rFonts w:eastAsia="Times New Roman" w:cs="Times New Roman"/>
    </w:rPr>
  </w:style>
  <w:style w:type="paragraph" w:customStyle="1" w:styleId="HeadHatzaotHok">
    <w:name w:val="Head HatzaotHok"/>
    <w:basedOn w:val="a"/>
    <w:link w:val="HeadHatzaotHok0"/>
    <w:rsid w:val="00F95EF0"/>
    <w:pPr>
      <w:keepNext/>
      <w:keepLines/>
      <w:widowControl w:val="0"/>
      <w:autoSpaceDE w:val="0"/>
      <w:autoSpaceDN w:val="0"/>
      <w:adjustRightInd w:val="0"/>
      <w:snapToGrid w:val="0"/>
      <w:spacing w:before="240" w:after="0"/>
      <w:jc w:val="center"/>
      <w:textAlignment w:val="center"/>
    </w:pPr>
    <w:rPr>
      <w:rFonts w:ascii="Arial" w:eastAsia="Times New Roman" w:hAnsi="Arial"/>
      <w:b/>
      <w:bCs/>
      <w:color w:val="000000"/>
      <w:sz w:val="20"/>
      <w:szCs w:val="26"/>
      <w:lang w:eastAsia="ja-JP"/>
    </w:rPr>
  </w:style>
  <w:style w:type="character" w:customStyle="1" w:styleId="HeadHatzaotHok0">
    <w:name w:val="Head HatzaotHok תו"/>
    <w:link w:val="HeadHatzaotHok"/>
    <w:locked/>
    <w:rsid w:val="00F95EF0"/>
    <w:rPr>
      <w:rFonts w:ascii="Arial" w:eastAsia="Times New Roman" w:hAnsi="Arial" w:cs="David"/>
      <w:b/>
      <w:bCs/>
      <w:color w:val="000000"/>
      <w:sz w:val="20"/>
      <w:szCs w:val="26"/>
      <w:lang w:eastAsia="ja-JP"/>
    </w:rPr>
  </w:style>
  <w:style w:type="character" w:customStyle="1" w:styleId="11">
    <w:name w:val="סגנון1 תו"/>
    <w:link w:val="12"/>
    <w:locked/>
    <w:rsid w:val="00FD0B3F"/>
    <w:rPr>
      <w:rFonts w:ascii="Times New Roman" w:eastAsia="Times New Roman" w:hAnsi="Times New Roman" w:cs="David"/>
      <w:sz w:val="24"/>
      <w:szCs w:val="24"/>
    </w:rPr>
  </w:style>
  <w:style w:type="paragraph" w:customStyle="1" w:styleId="12">
    <w:name w:val="סגנון1"/>
    <w:basedOn w:val="a"/>
    <w:link w:val="11"/>
    <w:qFormat/>
    <w:rsid w:val="00FD0B3F"/>
    <w:pPr>
      <w:spacing w:before="0" w:after="0"/>
    </w:pPr>
    <w:rPr>
      <w:rFonts w:eastAsia="Times New Roman"/>
    </w:rPr>
  </w:style>
  <w:style w:type="table" w:customStyle="1" w:styleId="LightList-Accent11">
    <w:name w:val="Light List - Accent 11"/>
    <w:basedOn w:val="a1"/>
    <w:next w:val="-10"/>
    <w:uiPriority w:val="61"/>
    <w:rsid w:val="00FD0B3F"/>
    <w:pPr>
      <w:spacing w:before="0"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3-11">
    <w:name w:val="טבלת רשימה 3 - הדגשה 11"/>
    <w:basedOn w:val="a1"/>
    <w:uiPriority w:val="48"/>
    <w:rsid w:val="008B2B39"/>
    <w:pPr>
      <w:spacing w:before="0"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Hyperlink">
    <w:name w:val="Hyperlink"/>
    <w:basedOn w:val="a0"/>
    <w:uiPriority w:val="99"/>
    <w:unhideWhenUsed/>
    <w:rsid w:val="001B70FB"/>
    <w:rPr>
      <w:color w:val="0000FF" w:themeColor="hyperlink"/>
      <w:u w:val="single"/>
    </w:rPr>
  </w:style>
  <w:style w:type="paragraph" w:customStyle="1" w:styleId="af9">
    <w:name w:val="טקסט רץ (בתוך הפרקים)"/>
    <w:basedOn w:val="a"/>
    <w:next w:val="a"/>
    <w:uiPriority w:val="99"/>
    <w:rsid w:val="00160F7E"/>
    <w:pPr>
      <w:suppressAutoHyphens/>
      <w:autoSpaceDE w:val="0"/>
      <w:autoSpaceDN w:val="0"/>
      <w:adjustRightInd w:val="0"/>
      <w:spacing w:before="0" w:after="113" w:line="320" w:lineRule="atLeast"/>
      <w:textAlignment w:val="center"/>
    </w:pPr>
    <w:rPr>
      <w:rFonts w:ascii="DBS-Torah" w:hAnsiTheme="minorHAnsi" w:cs="DBS-Torah"/>
      <w:color w:val="000000"/>
      <w:sz w:val="22"/>
      <w:szCs w:val="22"/>
    </w:rPr>
  </w:style>
  <w:style w:type="paragraph" w:customStyle="1" w:styleId="K2">
    <w:name w:val="K2 (בתוך הפרקים)"/>
    <w:basedOn w:val="a"/>
    <w:next w:val="a"/>
    <w:uiPriority w:val="99"/>
    <w:rsid w:val="00160F7E"/>
    <w:pPr>
      <w:suppressAutoHyphens/>
      <w:autoSpaceDE w:val="0"/>
      <w:autoSpaceDN w:val="0"/>
      <w:adjustRightInd w:val="0"/>
      <w:spacing w:before="113" w:after="57" w:line="280" w:lineRule="atLeast"/>
      <w:textAlignment w:val="center"/>
    </w:pPr>
    <w:rPr>
      <w:rFonts w:ascii="David Transparent" w:hAnsiTheme="minorHAnsi" w:cs="David Transparent"/>
      <w:b/>
      <w:bCs/>
      <w:color w:val="000000"/>
      <w:sz w:val="28"/>
      <w:szCs w:val="28"/>
    </w:rPr>
  </w:style>
  <w:style w:type="paragraph" w:customStyle="1" w:styleId="-2">
    <w:name w:val="כותרת טבלה - כחול מבוא (בתוך הפרקים)"/>
    <w:basedOn w:val="a"/>
    <w:next w:val="a"/>
    <w:uiPriority w:val="99"/>
    <w:rsid w:val="00160F7E"/>
    <w:pPr>
      <w:pBdr>
        <w:top w:val="single" w:sz="6" w:space="22" w:color="1E89E0"/>
      </w:pBdr>
      <w:suppressAutoHyphens/>
      <w:autoSpaceDE w:val="0"/>
      <w:autoSpaceDN w:val="0"/>
      <w:adjustRightInd w:val="0"/>
      <w:spacing w:before="454" w:after="113" w:line="200" w:lineRule="atLeast"/>
      <w:jc w:val="left"/>
      <w:textAlignment w:val="center"/>
    </w:pPr>
    <w:rPr>
      <w:rFonts w:ascii="DBS-Torah" w:hAnsiTheme="minorHAnsi" w:cs="DBS-Torah"/>
      <w:color w:val="000000"/>
      <w:sz w:val="28"/>
      <w:szCs w:val="28"/>
      <w:u w:color="1E89E0"/>
    </w:rPr>
  </w:style>
  <w:style w:type="paragraph" w:customStyle="1" w:styleId="afa">
    <w:name w:val="תת כותרת בתוך טבלה (בתוך הפרקים)"/>
    <w:basedOn w:val="a"/>
    <w:next w:val="a"/>
    <w:uiPriority w:val="99"/>
    <w:rsid w:val="00160F7E"/>
    <w:pPr>
      <w:suppressAutoHyphens/>
      <w:autoSpaceDE w:val="0"/>
      <w:autoSpaceDN w:val="0"/>
      <w:adjustRightInd w:val="0"/>
      <w:spacing w:before="0" w:after="0" w:line="200" w:lineRule="atLeast"/>
      <w:textAlignment w:val="center"/>
    </w:pPr>
    <w:rPr>
      <w:rFonts w:ascii="DBS-Torah" w:hAnsiTheme="minorHAnsi" w:cs="DBS-Torah"/>
      <w:color w:val="000000"/>
    </w:rPr>
  </w:style>
  <w:style w:type="character" w:styleId="FollowedHyperlink">
    <w:name w:val="FollowedHyperlink"/>
    <w:basedOn w:val="a0"/>
    <w:uiPriority w:val="99"/>
    <w:semiHidden/>
    <w:unhideWhenUsed/>
    <w:rsid w:val="008C2276"/>
    <w:rPr>
      <w:color w:val="800080" w:themeColor="followedHyperlink"/>
      <w:u w:val="single"/>
    </w:rPr>
  </w:style>
  <w:style w:type="character" w:styleId="afb">
    <w:name w:val="page number"/>
    <w:basedOn w:val="a0"/>
    <w:rsid w:val="00113C77"/>
  </w:style>
  <w:style w:type="table" w:customStyle="1" w:styleId="13">
    <w:name w:val="טבלת רשת1"/>
    <w:basedOn w:val="a1"/>
    <w:rsid w:val="00113C77"/>
    <w:pPr>
      <w:bidi/>
      <w:spacing w:before="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113C77"/>
  </w:style>
  <w:style w:type="numbering" w:customStyle="1" w:styleId="-12">
    <w:name w:val="משרד האוצר - מדורג1"/>
    <w:uiPriority w:val="99"/>
    <w:rsid w:val="00113C77"/>
  </w:style>
  <w:style w:type="numbering" w:customStyle="1" w:styleId="-13">
    <w:name w:val="משרד האוצר - מדורג קצר1"/>
    <w:uiPriority w:val="99"/>
    <w:rsid w:val="00113C77"/>
  </w:style>
  <w:style w:type="table" w:customStyle="1" w:styleId="TableGrid1">
    <w:name w:val="Table Grid1"/>
    <w:basedOn w:val="a1"/>
    <w:next w:val="a8"/>
    <w:uiPriority w:val="59"/>
    <w:rsid w:val="00113C7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13C77"/>
  </w:style>
  <w:style w:type="numbering" w:customStyle="1" w:styleId="-20">
    <w:name w:val="משרד האוצר - מדורג2"/>
    <w:uiPriority w:val="99"/>
    <w:rsid w:val="00113C77"/>
  </w:style>
  <w:style w:type="numbering" w:customStyle="1" w:styleId="-21">
    <w:name w:val="משרד האוצר - מדורג קצר2"/>
    <w:uiPriority w:val="99"/>
    <w:rsid w:val="00113C77"/>
  </w:style>
  <w:style w:type="table" w:customStyle="1" w:styleId="TableGrid2">
    <w:name w:val="Table Grid2"/>
    <w:basedOn w:val="a1"/>
    <w:next w:val="a8"/>
    <w:uiPriority w:val="59"/>
    <w:rsid w:val="00113C7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a1"/>
    <w:next w:val="-1"/>
    <w:uiPriority w:val="62"/>
    <w:rsid w:val="00113C77"/>
    <w:pPr>
      <w:spacing w:before="0" w:after="0" w:line="240" w:lineRule="auto"/>
    </w:p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List-Accent12">
    <w:name w:val="Light List - Accent 12"/>
    <w:basedOn w:val="a1"/>
    <w:next w:val="-10"/>
    <w:uiPriority w:val="61"/>
    <w:rsid w:val="00113C77"/>
    <w:pPr>
      <w:spacing w:before="0"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a1"/>
    <w:next w:val="af7"/>
    <w:uiPriority w:val="61"/>
    <w:rsid w:val="00113C77"/>
    <w:pPr>
      <w:spacing w:before="0"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11">
    <w:name w:val="רשימה בהירה - הדגשה 111"/>
    <w:basedOn w:val="a1"/>
    <w:next w:val="-10"/>
    <w:uiPriority w:val="61"/>
    <w:rsid w:val="00113C77"/>
    <w:pPr>
      <w:spacing w:before="0"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11">
    <w:name w:val="Light List - Accent 111"/>
    <w:basedOn w:val="a1"/>
    <w:next w:val="-10"/>
    <w:uiPriority w:val="61"/>
    <w:rsid w:val="00113C77"/>
    <w:pPr>
      <w:spacing w:before="0"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3-111">
    <w:name w:val="טבלת רשימה 3 - הדגשה 111"/>
    <w:basedOn w:val="a1"/>
    <w:uiPriority w:val="48"/>
    <w:rsid w:val="00113C77"/>
    <w:pPr>
      <w:spacing w:before="0"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14">
    <w:name w:val="ללא רשימה1"/>
    <w:next w:val="a2"/>
    <w:uiPriority w:val="99"/>
    <w:semiHidden/>
    <w:unhideWhenUsed/>
    <w:rsid w:val="00113C77"/>
  </w:style>
  <w:style w:type="numbering" w:customStyle="1" w:styleId="-3">
    <w:name w:val="משרד האוצר - מדורג3"/>
    <w:uiPriority w:val="99"/>
    <w:rsid w:val="00113C77"/>
  </w:style>
  <w:style w:type="numbering" w:customStyle="1" w:styleId="-30">
    <w:name w:val="משרד האוצר - מדורג קצר3"/>
    <w:uiPriority w:val="99"/>
    <w:rsid w:val="00113C77"/>
  </w:style>
  <w:style w:type="table" w:customStyle="1" w:styleId="15">
    <w:name w:val="רשת טבלה1"/>
    <w:basedOn w:val="a1"/>
    <w:next w:val="a8"/>
    <w:uiPriority w:val="59"/>
    <w:rsid w:val="00113C7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רשת בהירה - הדגשה 11"/>
    <w:basedOn w:val="a1"/>
    <w:next w:val="-1"/>
    <w:uiPriority w:val="62"/>
    <w:rsid w:val="00113C77"/>
    <w:pPr>
      <w:spacing w:before="0" w:after="0" w:line="240" w:lineRule="auto"/>
    </w:p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120">
    <w:name w:val="רשימה בהירה - הדגשה 12"/>
    <w:basedOn w:val="a1"/>
    <w:next w:val="-10"/>
    <w:uiPriority w:val="61"/>
    <w:rsid w:val="00113C77"/>
    <w:pPr>
      <w:spacing w:before="0"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6">
    <w:name w:val="רשימה בהירה1"/>
    <w:basedOn w:val="a1"/>
    <w:next w:val="af7"/>
    <w:uiPriority w:val="61"/>
    <w:rsid w:val="00113C77"/>
    <w:pPr>
      <w:spacing w:before="0"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12">
    <w:name w:val="רשימה בהירה - הדגשה 112"/>
    <w:basedOn w:val="a1"/>
    <w:next w:val="-10"/>
    <w:uiPriority w:val="61"/>
    <w:rsid w:val="00113C77"/>
    <w:pPr>
      <w:spacing w:before="0"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12">
    <w:name w:val="Light List - Accent 112"/>
    <w:basedOn w:val="a1"/>
    <w:next w:val="-10"/>
    <w:uiPriority w:val="61"/>
    <w:rsid w:val="00113C77"/>
    <w:pPr>
      <w:spacing w:before="0"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3-112">
    <w:name w:val="טבלת רשימה 3 - הדגשה 112"/>
    <w:basedOn w:val="a1"/>
    <w:uiPriority w:val="48"/>
    <w:rsid w:val="00113C77"/>
    <w:pPr>
      <w:spacing w:before="0"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3-12">
    <w:name w:val="טבלת רשימה 3 - הדגשה 12"/>
    <w:basedOn w:val="a1"/>
    <w:uiPriority w:val="48"/>
    <w:rsid w:val="005970AB"/>
    <w:pPr>
      <w:spacing w:after="0" w:line="240" w:lineRule="auto"/>
    </w:p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621">
      <w:bodyDiv w:val="1"/>
      <w:marLeft w:val="0"/>
      <w:marRight w:val="0"/>
      <w:marTop w:val="0"/>
      <w:marBottom w:val="0"/>
      <w:divBdr>
        <w:top w:val="none" w:sz="0" w:space="0" w:color="auto"/>
        <w:left w:val="none" w:sz="0" w:space="0" w:color="auto"/>
        <w:bottom w:val="none" w:sz="0" w:space="0" w:color="auto"/>
        <w:right w:val="none" w:sz="0" w:space="0" w:color="auto"/>
      </w:divBdr>
    </w:div>
    <w:div w:id="1972974">
      <w:bodyDiv w:val="1"/>
      <w:marLeft w:val="0"/>
      <w:marRight w:val="0"/>
      <w:marTop w:val="0"/>
      <w:marBottom w:val="0"/>
      <w:divBdr>
        <w:top w:val="none" w:sz="0" w:space="0" w:color="auto"/>
        <w:left w:val="none" w:sz="0" w:space="0" w:color="auto"/>
        <w:bottom w:val="none" w:sz="0" w:space="0" w:color="auto"/>
        <w:right w:val="none" w:sz="0" w:space="0" w:color="auto"/>
      </w:divBdr>
    </w:div>
    <w:div w:id="2825711">
      <w:bodyDiv w:val="1"/>
      <w:marLeft w:val="0"/>
      <w:marRight w:val="0"/>
      <w:marTop w:val="0"/>
      <w:marBottom w:val="0"/>
      <w:divBdr>
        <w:top w:val="none" w:sz="0" w:space="0" w:color="auto"/>
        <w:left w:val="none" w:sz="0" w:space="0" w:color="auto"/>
        <w:bottom w:val="none" w:sz="0" w:space="0" w:color="auto"/>
        <w:right w:val="none" w:sz="0" w:space="0" w:color="auto"/>
      </w:divBdr>
    </w:div>
    <w:div w:id="3098367">
      <w:bodyDiv w:val="1"/>
      <w:marLeft w:val="0"/>
      <w:marRight w:val="0"/>
      <w:marTop w:val="0"/>
      <w:marBottom w:val="0"/>
      <w:divBdr>
        <w:top w:val="none" w:sz="0" w:space="0" w:color="auto"/>
        <w:left w:val="none" w:sz="0" w:space="0" w:color="auto"/>
        <w:bottom w:val="none" w:sz="0" w:space="0" w:color="auto"/>
        <w:right w:val="none" w:sz="0" w:space="0" w:color="auto"/>
      </w:divBdr>
    </w:div>
    <w:div w:id="5332890">
      <w:bodyDiv w:val="1"/>
      <w:marLeft w:val="0"/>
      <w:marRight w:val="0"/>
      <w:marTop w:val="0"/>
      <w:marBottom w:val="0"/>
      <w:divBdr>
        <w:top w:val="none" w:sz="0" w:space="0" w:color="auto"/>
        <w:left w:val="none" w:sz="0" w:space="0" w:color="auto"/>
        <w:bottom w:val="none" w:sz="0" w:space="0" w:color="auto"/>
        <w:right w:val="none" w:sz="0" w:space="0" w:color="auto"/>
      </w:divBdr>
    </w:div>
    <w:div w:id="7607096">
      <w:bodyDiv w:val="1"/>
      <w:marLeft w:val="0"/>
      <w:marRight w:val="0"/>
      <w:marTop w:val="0"/>
      <w:marBottom w:val="0"/>
      <w:divBdr>
        <w:top w:val="none" w:sz="0" w:space="0" w:color="auto"/>
        <w:left w:val="none" w:sz="0" w:space="0" w:color="auto"/>
        <w:bottom w:val="none" w:sz="0" w:space="0" w:color="auto"/>
        <w:right w:val="none" w:sz="0" w:space="0" w:color="auto"/>
      </w:divBdr>
    </w:div>
    <w:div w:id="9917021">
      <w:bodyDiv w:val="1"/>
      <w:marLeft w:val="0"/>
      <w:marRight w:val="0"/>
      <w:marTop w:val="0"/>
      <w:marBottom w:val="0"/>
      <w:divBdr>
        <w:top w:val="none" w:sz="0" w:space="0" w:color="auto"/>
        <w:left w:val="none" w:sz="0" w:space="0" w:color="auto"/>
        <w:bottom w:val="none" w:sz="0" w:space="0" w:color="auto"/>
        <w:right w:val="none" w:sz="0" w:space="0" w:color="auto"/>
      </w:divBdr>
    </w:div>
    <w:div w:id="18431381">
      <w:bodyDiv w:val="1"/>
      <w:marLeft w:val="0"/>
      <w:marRight w:val="0"/>
      <w:marTop w:val="0"/>
      <w:marBottom w:val="0"/>
      <w:divBdr>
        <w:top w:val="none" w:sz="0" w:space="0" w:color="auto"/>
        <w:left w:val="none" w:sz="0" w:space="0" w:color="auto"/>
        <w:bottom w:val="none" w:sz="0" w:space="0" w:color="auto"/>
        <w:right w:val="none" w:sz="0" w:space="0" w:color="auto"/>
      </w:divBdr>
    </w:div>
    <w:div w:id="20672354">
      <w:bodyDiv w:val="1"/>
      <w:marLeft w:val="0"/>
      <w:marRight w:val="0"/>
      <w:marTop w:val="0"/>
      <w:marBottom w:val="0"/>
      <w:divBdr>
        <w:top w:val="none" w:sz="0" w:space="0" w:color="auto"/>
        <w:left w:val="none" w:sz="0" w:space="0" w:color="auto"/>
        <w:bottom w:val="none" w:sz="0" w:space="0" w:color="auto"/>
        <w:right w:val="none" w:sz="0" w:space="0" w:color="auto"/>
      </w:divBdr>
    </w:div>
    <w:div w:id="24646821">
      <w:bodyDiv w:val="1"/>
      <w:marLeft w:val="0"/>
      <w:marRight w:val="0"/>
      <w:marTop w:val="0"/>
      <w:marBottom w:val="0"/>
      <w:divBdr>
        <w:top w:val="none" w:sz="0" w:space="0" w:color="auto"/>
        <w:left w:val="none" w:sz="0" w:space="0" w:color="auto"/>
        <w:bottom w:val="none" w:sz="0" w:space="0" w:color="auto"/>
        <w:right w:val="none" w:sz="0" w:space="0" w:color="auto"/>
      </w:divBdr>
    </w:div>
    <w:div w:id="27412172">
      <w:bodyDiv w:val="1"/>
      <w:marLeft w:val="0"/>
      <w:marRight w:val="0"/>
      <w:marTop w:val="0"/>
      <w:marBottom w:val="0"/>
      <w:divBdr>
        <w:top w:val="none" w:sz="0" w:space="0" w:color="auto"/>
        <w:left w:val="none" w:sz="0" w:space="0" w:color="auto"/>
        <w:bottom w:val="none" w:sz="0" w:space="0" w:color="auto"/>
        <w:right w:val="none" w:sz="0" w:space="0" w:color="auto"/>
      </w:divBdr>
    </w:div>
    <w:div w:id="27805878">
      <w:bodyDiv w:val="1"/>
      <w:marLeft w:val="0"/>
      <w:marRight w:val="0"/>
      <w:marTop w:val="0"/>
      <w:marBottom w:val="0"/>
      <w:divBdr>
        <w:top w:val="none" w:sz="0" w:space="0" w:color="auto"/>
        <w:left w:val="none" w:sz="0" w:space="0" w:color="auto"/>
        <w:bottom w:val="none" w:sz="0" w:space="0" w:color="auto"/>
        <w:right w:val="none" w:sz="0" w:space="0" w:color="auto"/>
      </w:divBdr>
    </w:div>
    <w:div w:id="28335321">
      <w:bodyDiv w:val="1"/>
      <w:marLeft w:val="0"/>
      <w:marRight w:val="0"/>
      <w:marTop w:val="0"/>
      <w:marBottom w:val="0"/>
      <w:divBdr>
        <w:top w:val="none" w:sz="0" w:space="0" w:color="auto"/>
        <w:left w:val="none" w:sz="0" w:space="0" w:color="auto"/>
        <w:bottom w:val="none" w:sz="0" w:space="0" w:color="auto"/>
        <w:right w:val="none" w:sz="0" w:space="0" w:color="auto"/>
      </w:divBdr>
    </w:div>
    <w:div w:id="28409632">
      <w:bodyDiv w:val="1"/>
      <w:marLeft w:val="0"/>
      <w:marRight w:val="0"/>
      <w:marTop w:val="0"/>
      <w:marBottom w:val="0"/>
      <w:divBdr>
        <w:top w:val="none" w:sz="0" w:space="0" w:color="auto"/>
        <w:left w:val="none" w:sz="0" w:space="0" w:color="auto"/>
        <w:bottom w:val="none" w:sz="0" w:space="0" w:color="auto"/>
        <w:right w:val="none" w:sz="0" w:space="0" w:color="auto"/>
      </w:divBdr>
    </w:div>
    <w:div w:id="28796719">
      <w:bodyDiv w:val="1"/>
      <w:marLeft w:val="0"/>
      <w:marRight w:val="0"/>
      <w:marTop w:val="0"/>
      <w:marBottom w:val="0"/>
      <w:divBdr>
        <w:top w:val="none" w:sz="0" w:space="0" w:color="auto"/>
        <w:left w:val="none" w:sz="0" w:space="0" w:color="auto"/>
        <w:bottom w:val="none" w:sz="0" w:space="0" w:color="auto"/>
        <w:right w:val="none" w:sz="0" w:space="0" w:color="auto"/>
      </w:divBdr>
    </w:div>
    <w:div w:id="36516501">
      <w:bodyDiv w:val="1"/>
      <w:marLeft w:val="0"/>
      <w:marRight w:val="0"/>
      <w:marTop w:val="0"/>
      <w:marBottom w:val="0"/>
      <w:divBdr>
        <w:top w:val="none" w:sz="0" w:space="0" w:color="auto"/>
        <w:left w:val="none" w:sz="0" w:space="0" w:color="auto"/>
        <w:bottom w:val="none" w:sz="0" w:space="0" w:color="auto"/>
        <w:right w:val="none" w:sz="0" w:space="0" w:color="auto"/>
      </w:divBdr>
    </w:div>
    <w:div w:id="37366451">
      <w:bodyDiv w:val="1"/>
      <w:marLeft w:val="0"/>
      <w:marRight w:val="0"/>
      <w:marTop w:val="0"/>
      <w:marBottom w:val="0"/>
      <w:divBdr>
        <w:top w:val="none" w:sz="0" w:space="0" w:color="auto"/>
        <w:left w:val="none" w:sz="0" w:space="0" w:color="auto"/>
        <w:bottom w:val="none" w:sz="0" w:space="0" w:color="auto"/>
        <w:right w:val="none" w:sz="0" w:space="0" w:color="auto"/>
      </w:divBdr>
    </w:div>
    <w:div w:id="38363166">
      <w:bodyDiv w:val="1"/>
      <w:marLeft w:val="0"/>
      <w:marRight w:val="0"/>
      <w:marTop w:val="0"/>
      <w:marBottom w:val="0"/>
      <w:divBdr>
        <w:top w:val="none" w:sz="0" w:space="0" w:color="auto"/>
        <w:left w:val="none" w:sz="0" w:space="0" w:color="auto"/>
        <w:bottom w:val="none" w:sz="0" w:space="0" w:color="auto"/>
        <w:right w:val="none" w:sz="0" w:space="0" w:color="auto"/>
      </w:divBdr>
    </w:div>
    <w:div w:id="42365845">
      <w:bodyDiv w:val="1"/>
      <w:marLeft w:val="0"/>
      <w:marRight w:val="0"/>
      <w:marTop w:val="0"/>
      <w:marBottom w:val="0"/>
      <w:divBdr>
        <w:top w:val="none" w:sz="0" w:space="0" w:color="auto"/>
        <w:left w:val="none" w:sz="0" w:space="0" w:color="auto"/>
        <w:bottom w:val="none" w:sz="0" w:space="0" w:color="auto"/>
        <w:right w:val="none" w:sz="0" w:space="0" w:color="auto"/>
      </w:divBdr>
    </w:div>
    <w:div w:id="42951781">
      <w:bodyDiv w:val="1"/>
      <w:marLeft w:val="0"/>
      <w:marRight w:val="0"/>
      <w:marTop w:val="0"/>
      <w:marBottom w:val="0"/>
      <w:divBdr>
        <w:top w:val="none" w:sz="0" w:space="0" w:color="auto"/>
        <w:left w:val="none" w:sz="0" w:space="0" w:color="auto"/>
        <w:bottom w:val="none" w:sz="0" w:space="0" w:color="auto"/>
        <w:right w:val="none" w:sz="0" w:space="0" w:color="auto"/>
      </w:divBdr>
    </w:div>
    <w:div w:id="45417728">
      <w:bodyDiv w:val="1"/>
      <w:marLeft w:val="0"/>
      <w:marRight w:val="0"/>
      <w:marTop w:val="0"/>
      <w:marBottom w:val="0"/>
      <w:divBdr>
        <w:top w:val="none" w:sz="0" w:space="0" w:color="auto"/>
        <w:left w:val="none" w:sz="0" w:space="0" w:color="auto"/>
        <w:bottom w:val="none" w:sz="0" w:space="0" w:color="auto"/>
        <w:right w:val="none" w:sz="0" w:space="0" w:color="auto"/>
      </w:divBdr>
    </w:div>
    <w:div w:id="45836886">
      <w:bodyDiv w:val="1"/>
      <w:marLeft w:val="0"/>
      <w:marRight w:val="0"/>
      <w:marTop w:val="0"/>
      <w:marBottom w:val="0"/>
      <w:divBdr>
        <w:top w:val="none" w:sz="0" w:space="0" w:color="auto"/>
        <w:left w:val="none" w:sz="0" w:space="0" w:color="auto"/>
        <w:bottom w:val="none" w:sz="0" w:space="0" w:color="auto"/>
        <w:right w:val="none" w:sz="0" w:space="0" w:color="auto"/>
      </w:divBdr>
    </w:div>
    <w:div w:id="46925530">
      <w:bodyDiv w:val="1"/>
      <w:marLeft w:val="0"/>
      <w:marRight w:val="0"/>
      <w:marTop w:val="0"/>
      <w:marBottom w:val="0"/>
      <w:divBdr>
        <w:top w:val="none" w:sz="0" w:space="0" w:color="auto"/>
        <w:left w:val="none" w:sz="0" w:space="0" w:color="auto"/>
        <w:bottom w:val="none" w:sz="0" w:space="0" w:color="auto"/>
        <w:right w:val="none" w:sz="0" w:space="0" w:color="auto"/>
      </w:divBdr>
    </w:div>
    <w:div w:id="47803497">
      <w:bodyDiv w:val="1"/>
      <w:marLeft w:val="0"/>
      <w:marRight w:val="0"/>
      <w:marTop w:val="0"/>
      <w:marBottom w:val="0"/>
      <w:divBdr>
        <w:top w:val="none" w:sz="0" w:space="0" w:color="auto"/>
        <w:left w:val="none" w:sz="0" w:space="0" w:color="auto"/>
        <w:bottom w:val="none" w:sz="0" w:space="0" w:color="auto"/>
        <w:right w:val="none" w:sz="0" w:space="0" w:color="auto"/>
      </w:divBdr>
    </w:div>
    <w:div w:id="48383576">
      <w:bodyDiv w:val="1"/>
      <w:marLeft w:val="0"/>
      <w:marRight w:val="0"/>
      <w:marTop w:val="0"/>
      <w:marBottom w:val="0"/>
      <w:divBdr>
        <w:top w:val="none" w:sz="0" w:space="0" w:color="auto"/>
        <w:left w:val="none" w:sz="0" w:space="0" w:color="auto"/>
        <w:bottom w:val="none" w:sz="0" w:space="0" w:color="auto"/>
        <w:right w:val="none" w:sz="0" w:space="0" w:color="auto"/>
      </w:divBdr>
    </w:div>
    <w:div w:id="50230784">
      <w:bodyDiv w:val="1"/>
      <w:marLeft w:val="0"/>
      <w:marRight w:val="0"/>
      <w:marTop w:val="0"/>
      <w:marBottom w:val="0"/>
      <w:divBdr>
        <w:top w:val="none" w:sz="0" w:space="0" w:color="auto"/>
        <w:left w:val="none" w:sz="0" w:space="0" w:color="auto"/>
        <w:bottom w:val="none" w:sz="0" w:space="0" w:color="auto"/>
        <w:right w:val="none" w:sz="0" w:space="0" w:color="auto"/>
      </w:divBdr>
    </w:div>
    <w:div w:id="54940769">
      <w:bodyDiv w:val="1"/>
      <w:marLeft w:val="0"/>
      <w:marRight w:val="0"/>
      <w:marTop w:val="0"/>
      <w:marBottom w:val="0"/>
      <w:divBdr>
        <w:top w:val="none" w:sz="0" w:space="0" w:color="auto"/>
        <w:left w:val="none" w:sz="0" w:space="0" w:color="auto"/>
        <w:bottom w:val="none" w:sz="0" w:space="0" w:color="auto"/>
        <w:right w:val="none" w:sz="0" w:space="0" w:color="auto"/>
      </w:divBdr>
    </w:div>
    <w:div w:id="64840557">
      <w:bodyDiv w:val="1"/>
      <w:marLeft w:val="0"/>
      <w:marRight w:val="0"/>
      <w:marTop w:val="0"/>
      <w:marBottom w:val="0"/>
      <w:divBdr>
        <w:top w:val="none" w:sz="0" w:space="0" w:color="auto"/>
        <w:left w:val="none" w:sz="0" w:space="0" w:color="auto"/>
        <w:bottom w:val="none" w:sz="0" w:space="0" w:color="auto"/>
        <w:right w:val="none" w:sz="0" w:space="0" w:color="auto"/>
      </w:divBdr>
    </w:div>
    <w:div w:id="68163329">
      <w:bodyDiv w:val="1"/>
      <w:marLeft w:val="0"/>
      <w:marRight w:val="0"/>
      <w:marTop w:val="0"/>
      <w:marBottom w:val="0"/>
      <w:divBdr>
        <w:top w:val="none" w:sz="0" w:space="0" w:color="auto"/>
        <w:left w:val="none" w:sz="0" w:space="0" w:color="auto"/>
        <w:bottom w:val="none" w:sz="0" w:space="0" w:color="auto"/>
        <w:right w:val="none" w:sz="0" w:space="0" w:color="auto"/>
      </w:divBdr>
    </w:div>
    <w:div w:id="74405434">
      <w:bodyDiv w:val="1"/>
      <w:marLeft w:val="0"/>
      <w:marRight w:val="0"/>
      <w:marTop w:val="0"/>
      <w:marBottom w:val="0"/>
      <w:divBdr>
        <w:top w:val="none" w:sz="0" w:space="0" w:color="auto"/>
        <w:left w:val="none" w:sz="0" w:space="0" w:color="auto"/>
        <w:bottom w:val="none" w:sz="0" w:space="0" w:color="auto"/>
        <w:right w:val="none" w:sz="0" w:space="0" w:color="auto"/>
      </w:divBdr>
    </w:div>
    <w:div w:id="76025088">
      <w:bodyDiv w:val="1"/>
      <w:marLeft w:val="0"/>
      <w:marRight w:val="0"/>
      <w:marTop w:val="0"/>
      <w:marBottom w:val="0"/>
      <w:divBdr>
        <w:top w:val="none" w:sz="0" w:space="0" w:color="auto"/>
        <w:left w:val="none" w:sz="0" w:space="0" w:color="auto"/>
        <w:bottom w:val="none" w:sz="0" w:space="0" w:color="auto"/>
        <w:right w:val="none" w:sz="0" w:space="0" w:color="auto"/>
      </w:divBdr>
    </w:div>
    <w:div w:id="84307829">
      <w:bodyDiv w:val="1"/>
      <w:marLeft w:val="0"/>
      <w:marRight w:val="0"/>
      <w:marTop w:val="0"/>
      <w:marBottom w:val="0"/>
      <w:divBdr>
        <w:top w:val="none" w:sz="0" w:space="0" w:color="auto"/>
        <w:left w:val="none" w:sz="0" w:space="0" w:color="auto"/>
        <w:bottom w:val="none" w:sz="0" w:space="0" w:color="auto"/>
        <w:right w:val="none" w:sz="0" w:space="0" w:color="auto"/>
      </w:divBdr>
    </w:div>
    <w:div w:id="85347809">
      <w:bodyDiv w:val="1"/>
      <w:marLeft w:val="0"/>
      <w:marRight w:val="0"/>
      <w:marTop w:val="0"/>
      <w:marBottom w:val="0"/>
      <w:divBdr>
        <w:top w:val="none" w:sz="0" w:space="0" w:color="auto"/>
        <w:left w:val="none" w:sz="0" w:space="0" w:color="auto"/>
        <w:bottom w:val="none" w:sz="0" w:space="0" w:color="auto"/>
        <w:right w:val="none" w:sz="0" w:space="0" w:color="auto"/>
      </w:divBdr>
    </w:div>
    <w:div w:id="88553257">
      <w:bodyDiv w:val="1"/>
      <w:marLeft w:val="0"/>
      <w:marRight w:val="0"/>
      <w:marTop w:val="0"/>
      <w:marBottom w:val="0"/>
      <w:divBdr>
        <w:top w:val="none" w:sz="0" w:space="0" w:color="auto"/>
        <w:left w:val="none" w:sz="0" w:space="0" w:color="auto"/>
        <w:bottom w:val="none" w:sz="0" w:space="0" w:color="auto"/>
        <w:right w:val="none" w:sz="0" w:space="0" w:color="auto"/>
      </w:divBdr>
    </w:div>
    <w:div w:id="89816085">
      <w:bodyDiv w:val="1"/>
      <w:marLeft w:val="0"/>
      <w:marRight w:val="0"/>
      <w:marTop w:val="0"/>
      <w:marBottom w:val="0"/>
      <w:divBdr>
        <w:top w:val="none" w:sz="0" w:space="0" w:color="auto"/>
        <w:left w:val="none" w:sz="0" w:space="0" w:color="auto"/>
        <w:bottom w:val="none" w:sz="0" w:space="0" w:color="auto"/>
        <w:right w:val="none" w:sz="0" w:space="0" w:color="auto"/>
      </w:divBdr>
    </w:div>
    <w:div w:id="90244626">
      <w:bodyDiv w:val="1"/>
      <w:marLeft w:val="0"/>
      <w:marRight w:val="0"/>
      <w:marTop w:val="0"/>
      <w:marBottom w:val="0"/>
      <w:divBdr>
        <w:top w:val="none" w:sz="0" w:space="0" w:color="auto"/>
        <w:left w:val="none" w:sz="0" w:space="0" w:color="auto"/>
        <w:bottom w:val="none" w:sz="0" w:space="0" w:color="auto"/>
        <w:right w:val="none" w:sz="0" w:space="0" w:color="auto"/>
      </w:divBdr>
    </w:div>
    <w:div w:id="93785968">
      <w:bodyDiv w:val="1"/>
      <w:marLeft w:val="0"/>
      <w:marRight w:val="0"/>
      <w:marTop w:val="0"/>
      <w:marBottom w:val="0"/>
      <w:divBdr>
        <w:top w:val="none" w:sz="0" w:space="0" w:color="auto"/>
        <w:left w:val="none" w:sz="0" w:space="0" w:color="auto"/>
        <w:bottom w:val="none" w:sz="0" w:space="0" w:color="auto"/>
        <w:right w:val="none" w:sz="0" w:space="0" w:color="auto"/>
      </w:divBdr>
    </w:div>
    <w:div w:id="94714600">
      <w:bodyDiv w:val="1"/>
      <w:marLeft w:val="0"/>
      <w:marRight w:val="0"/>
      <w:marTop w:val="0"/>
      <w:marBottom w:val="0"/>
      <w:divBdr>
        <w:top w:val="none" w:sz="0" w:space="0" w:color="auto"/>
        <w:left w:val="none" w:sz="0" w:space="0" w:color="auto"/>
        <w:bottom w:val="none" w:sz="0" w:space="0" w:color="auto"/>
        <w:right w:val="none" w:sz="0" w:space="0" w:color="auto"/>
      </w:divBdr>
    </w:div>
    <w:div w:id="96876587">
      <w:bodyDiv w:val="1"/>
      <w:marLeft w:val="0"/>
      <w:marRight w:val="0"/>
      <w:marTop w:val="0"/>
      <w:marBottom w:val="0"/>
      <w:divBdr>
        <w:top w:val="none" w:sz="0" w:space="0" w:color="auto"/>
        <w:left w:val="none" w:sz="0" w:space="0" w:color="auto"/>
        <w:bottom w:val="none" w:sz="0" w:space="0" w:color="auto"/>
        <w:right w:val="none" w:sz="0" w:space="0" w:color="auto"/>
      </w:divBdr>
    </w:div>
    <w:div w:id="100031460">
      <w:bodyDiv w:val="1"/>
      <w:marLeft w:val="0"/>
      <w:marRight w:val="0"/>
      <w:marTop w:val="0"/>
      <w:marBottom w:val="0"/>
      <w:divBdr>
        <w:top w:val="none" w:sz="0" w:space="0" w:color="auto"/>
        <w:left w:val="none" w:sz="0" w:space="0" w:color="auto"/>
        <w:bottom w:val="none" w:sz="0" w:space="0" w:color="auto"/>
        <w:right w:val="none" w:sz="0" w:space="0" w:color="auto"/>
      </w:divBdr>
    </w:div>
    <w:div w:id="101268141">
      <w:bodyDiv w:val="1"/>
      <w:marLeft w:val="0"/>
      <w:marRight w:val="0"/>
      <w:marTop w:val="0"/>
      <w:marBottom w:val="0"/>
      <w:divBdr>
        <w:top w:val="none" w:sz="0" w:space="0" w:color="auto"/>
        <w:left w:val="none" w:sz="0" w:space="0" w:color="auto"/>
        <w:bottom w:val="none" w:sz="0" w:space="0" w:color="auto"/>
        <w:right w:val="none" w:sz="0" w:space="0" w:color="auto"/>
      </w:divBdr>
    </w:div>
    <w:div w:id="108548340">
      <w:bodyDiv w:val="1"/>
      <w:marLeft w:val="0"/>
      <w:marRight w:val="0"/>
      <w:marTop w:val="0"/>
      <w:marBottom w:val="0"/>
      <w:divBdr>
        <w:top w:val="none" w:sz="0" w:space="0" w:color="auto"/>
        <w:left w:val="none" w:sz="0" w:space="0" w:color="auto"/>
        <w:bottom w:val="none" w:sz="0" w:space="0" w:color="auto"/>
        <w:right w:val="none" w:sz="0" w:space="0" w:color="auto"/>
      </w:divBdr>
    </w:div>
    <w:div w:id="116802419">
      <w:bodyDiv w:val="1"/>
      <w:marLeft w:val="0"/>
      <w:marRight w:val="0"/>
      <w:marTop w:val="0"/>
      <w:marBottom w:val="0"/>
      <w:divBdr>
        <w:top w:val="none" w:sz="0" w:space="0" w:color="auto"/>
        <w:left w:val="none" w:sz="0" w:space="0" w:color="auto"/>
        <w:bottom w:val="none" w:sz="0" w:space="0" w:color="auto"/>
        <w:right w:val="none" w:sz="0" w:space="0" w:color="auto"/>
      </w:divBdr>
    </w:div>
    <w:div w:id="117264214">
      <w:bodyDiv w:val="1"/>
      <w:marLeft w:val="0"/>
      <w:marRight w:val="0"/>
      <w:marTop w:val="0"/>
      <w:marBottom w:val="0"/>
      <w:divBdr>
        <w:top w:val="none" w:sz="0" w:space="0" w:color="auto"/>
        <w:left w:val="none" w:sz="0" w:space="0" w:color="auto"/>
        <w:bottom w:val="none" w:sz="0" w:space="0" w:color="auto"/>
        <w:right w:val="none" w:sz="0" w:space="0" w:color="auto"/>
      </w:divBdr>
    </w:div>
    <w:div w:id="119494633">
      <w:bodyDiv w:val="1"/>
      <w:marLeft w:val="0"/>
      <w:marRight w:val="0"/>
      <w:marTop w:val="0"/>
      <w:marBottom w:val="0"/>
      <w:divBdr>
        <w:top w:val="none" w:sz="0" w:space="0" w:color="auto"/>
        <w:left w:val="none" w:sz="0" w:space="0" w:color="auto"/>
        <w:bottom w:val="none" w:sz="0" w:space="0" w:color="auto"/>
        <w:right w:val="none" w:sz="0" w:space="0" w:color="auto"/>
      </w:divBdr>
    </w:div>
    <w:div w:id="122816829">
      <w:bodyDiv w:val="1"/>
      <w:marLeft w:val="0"/>
      <w:marRight w:val="0"/>
      <w:marTop w:val="0"/>
      <w:marBottom w:val="0"/>
      <w:divBdr>
        <w:top w:val="none" w:sz="0" w:space="0" w:color="auto"/>
        <w:left w:val="none" w:sz="0" w:space="0" w:color="auto"/>
        <w:bottom w:val="none" w:sz="0" w:space="0" w:color="auto"/>
        <w:right w:val="none" w:sz="0" w:space="0" w:color="auto"/>
      </w:divBdr>
    </w:div>
    <w:div w:id="138770520">
      <w:bodyDiv w:val="1"/>
      <w:marLeft w:val="0"/>
      <w:marRight w:val="0"/>
      <w:marTop w:val="0"/>
      <w:marBottom w:val="0"/>
      <w:divBdr>
        <w:top w:val="none" w:sz="0" w:space="0" w:color="auto"/>
        <w:left w:val="none" w:sz="0" w:space="0" w:color="auto"/>
        <w:bottom w:val="none" w:sz="0" w:space="0" w:color="auto"/>
        <w:right w:val="none" w:sz="0" w:space="0" w:color="auto"/>
      </w:divBdr>
    </w:div>
    <w:div w:id="140737388">
      <w:bodyDiv w:val="1"/>
      <w:marLeft w:val="0"/>
      <w:marRight w:val="0"/>
      <w:marTop w:val="0"/>
      <w:marBottom w:val="0"/>
      <w:divBdr>
        <w:top w:val="none" w:sz="0" w:space="0" w:color="auto"/>
        <w:left w:val="none" w:sz="0" w:space="0" w:color="auto"/>
        <w:bottom w:val="none" w:sz="0" w:space="0" w:color="auto"/>
        <w:right w:val="none" w:sz="0" w:space="0" w:color="auto"/>
      </w:divBdr>
    </w:div>
    <w:div w:id="141510679">
      <w:bodyDiv w:val="1"/>
      <w:marLeft w:val="0"/>
      <w:marRight w:val="0"/>
      <w:marTop w:val="0"/>
      <w:marBottom w:val="0"/>
      <w:divBdr>
        <w:top w:val="none" w:sz="0" w:space="0" w:color="auto"/>
        <w:left w:val="none" w:sz="0" w:space="0" w:color="auto"/>
        <w:bottom w:val="none" w:sz="0" w:space="0" w:color="auto"/>
        <w:right w:val="none" w:sz="0" w:space="0" w:color="auto"/>
      </w:divBdr>
    </w:div>
    <w:div w:id="143350822">
      <w:bodyDiv w:val="1"/>
      <w:marLeft w:val="0"/>
      <w:marRight w:val="0"/>
      <w:marTop w:val="0"/>
      <w:marBottom w:val="0"/>
      <w:divBdr>
        <w:top w:val="none" w:sz="0" w:space="0" w:color="auto"/>
        <w:left w:val="none" w:sz="0" w:space="0" w:color="auto"/>
        <w:bottom w:val="none" w:sz="0" w:space="0" w:color="auto"/>
        <w:right w:val="none" w:sz="0" w:space="0" w:color="auto"/>
      </w:divBdr>
    </w:div>
    <w:div w:id="154032787">
      <w:bodyDiv w:val="1"/>
      <w:marLeft w:val="0"/>
      <w:marRight w:val="0"/>
      <w:marTop w:val="0"/>
      <w:marBottom w:val="0"/>
      <w:divBdr>
        <w:top w:val="none" w:sz="0" w:space="0" w:color="auto"/>
        <w:left w:val="none" w:sz="0" w:space="0" w:color="auto"/>
        <w:bottom w:val="none" w:sz="0" w:space="0" w:color="auto"/>
        <w:right w:val="none" w:sz="0" w:space="0" w:color="auto"/>
      </w:divBdr>
    </w:div>
    <w:div w:id="158276813">
      <w:bodyDiv w:val="1"/>
      <w:marLeft w:val="0"/>
      <w:marRight w:val="0"/>
      <w:marTop w:val="0"/>
      <w:marBottom w:val="0"/>
      <w:divBdr>
        <w:top w:val="none" w:sz="0" w:space="0" w:color="auto"/>
        <w:left w:val="none" w:sz="0" w:space="0" w:color="auto"/>
        <w:bottom w:val="none" w:sz="0" w:space="0" w:color="auto"/>
        <w:right w:val="none" w:sz="0" w:space="0" w:color="auto"/>
      </w:divBdr>
    </w:div>
    <w:div w:id="160127560">
      <w:bodyDiv w:val="1"/>
      <w:marLeft w:val="0"/>
      <w:marRight w:val="0"/>
      <w:marTop w:val="0"/>
      <w:marBottom w:val="0"/>
      <w:divBdr>
        <w:top w:val="none" w:sz="0" w:space="0" w:color="auto"/>
        <w:left w:val="none" w:sz="0" w:space="0" w:color="auto"/>
        <w:bottom w:val="none" w:sz="0" w:space="0" w:color="auto"/>
        <w:right w:val="none" w:sz="0" w:space="0" w:color="auto"/>
      </w:divBdr>
    </w:div>
    <w:div w:id="161052382">
      <w:bodyDiv w:val="1"/>
      <w:marLeft w:val="0"/>
      <w:marRight w:val="0"/>
      <w:marTop w:val="0"/>
      <w:marBottom w:val="0"/>
      <w:divBdr>
        <w:top w:val="none" w:sz="0" w:space="0" w:color="auto"/>
        <w:left w:val="none" w:sz="0" w:space="0" w:color="auto"/>
        <w:bottom w:val="none" w:sz="0" w:space="0" w:color="auto"/>
        <w:right w:val="none" w:sz="0" w:space="0" w:color="auto"/>
      </w:divBdr>
    </w:div>
    <w:div w:id="168757358">
      <w:bodyDiv w:val="1"/>
      <w:marLeft w:val="0"/>
      <w:marRight w:val="0"/>
      <w:marTop w:val="0"/>
      <w:marBottom w:val="0"/>
      <w:divBdr>
        <w:top w:val="none" w:sz="0" w:space="0" w:color="auto"/>
        <w:left w:val="none" w:sz="0" w:space="0" w:color="auto"/>
        <w:bottom w:val="none" w:sz="0" w:space="0" w:color="auto"/>
        <w:right w:val="none" w:sz="0" w:space="0" w:color="auto"/>
      </w:divBdr>
    </w:div>
    <w:div w:id="176385250">
      <w:bodyDiv w:val="1"/>
      <w:marLeft w:val="0"/>
      <w:marRight w:val="0"/>
      <w:marTop w:val="0"/>
      <w:marBottom w:val="0"/>
      <w:divBdr>
        <w:top w:val="none" w:sz="0" w:space="0" w:color="auto"/>
        <w:left w:val="none" w:sz="0" w:space="0" w:color="auto"/>
        <w:bottom w:val="none" w:sz="0" w:space="0" w:color="auto"/>
        <w:right w:val="none" w:sz="0" w:space="0" w:color="auto"/>
      </w:divBdr>
    </w:div>
    <w:div w:id="178547536">
      <w:bodyDiv w:val="1"/>
      <w:marLeft w:val="0"/>
      <w:marRight w:val="0"/>
      <w:marTop w:val="0"/>
      <w:marBottom w:val="0"/>
      <w:divBdr>
        <w:top w:val="none" w:sz="0" w:space="0" w:color="auto"/>
        <w:left w:val="none" w:sz="0" w:space="0" w:color="auto"/>
        <w:bottom w:val="none" w:sz="0" w:space="0" w:color="auto"/>
        <w:right w:val="none" w:sz="0" w:space="0" w:color="auto"/>
      </w:divBdr>
    </w:div>
    <w:div w:id="180316235">
      <w:bodyDiv w:val="1"/>
      <w:marLeft w:val="0"/>
      <w:marRight w:val="0"/>
      <w:marTop w:val="0"/>
      <w:marBottom w:val="0"/>
      <w:divBdr>
        <w:top w:val="none" w:sz="0" w:space="0" w:color="auto"/>
        <w:left w:val="none" w:sz="0" w:space="0" w:color="auto"/>
        <w:bottom w:val="none" w:sz="0" w:space="0" w:color="auto"/>
        <w:right w:val="none" w:sz="0" w:space="0" w:color="auto"/>
      </w:divBdr>
    </w:div>
    <w:div w:id="181020924">
      <w:bodyDiv w:val="1"/>
      <w:marLeft w:val="0"/>
      <w:marRight w:val="0"/>
      <w:marTop w:val="0"/>
      <w:marBottom w:val="0"/>
      <w:divBdr>
        <w:top w:val="none" w:sz="0" w:space="0" w:color="auto"/>
        <w:left w:val="none" w:sz="0" w:space="0" w:color="auto"/>
        <w:bottom w:val="none" w:sz="0" w:space="0" w:color="auto"/>
        <w:right w:val="none" w:sz="0" w:space="0" w:color="auto"/>
      </w:divBdr>
    </w:div>
    <w:div w:id="184104188">
      <w:bodyDiv w:val="1"/>
      <w:marLeft w:val="0"/>
      <w:marRight w:val="0"/>
      <w:marTop w:val="0"/>
      <w:marBottom w:val="0"/>
      <w:divBdr>
        <w:top w:val="none" w:sz="0" w:space="0" w:color="auto"/>
        <w:left w:val="none" w:sz="0" w:space="0" w:color="auto"/>
        <w:bottom w:val="none" w:sz="0" w:space="0" w:color="auto"/>
        <w:right w:val="none" w:sz="0" w:space="0" w:color="auto"/>
      </w:divBdr>
    </w:div>
    <w:div w:id="186721468">
      <w:bodyDiv w:val="1"/>
      <w:marLeft w:val="0"/>
      <w:marRight w:val="0"/>
      <w:marTop w:val="0"/>
      <w:marBottom w:val="0"/>
      <w:divBdr>
        <w:top w:val="none" w:sz="0" w:space="0" w:color="auto"/>
        <w:left w:val="none" w:sz="0" w:space="0" w:color="auto"/>
        <w:bottom w:val="none" w:sz="0" w:space="0" w:color="auto"/>
        <w:right w:val="none" w:sz="0" w:space="0" w:color="auto"/>
      </w:divBdr>
    </w:div>
    <w:div w:id="189031886">
      <w:bodyDiv w:val="1"/>
      <w:marLeft w:val="0"/>
      <w:marRight w:val="0"/>
      <w:marTop w:val="0"/>
      <w:marBottom w:val="0"/>
      <w:divBdr>
        <w:top w:val="none" w:sz="0" w:space="0" w:color="auto"/>
        <w:left w:val="none" w:sz="0" w:space="0" w:color="auto"/>
        <w:bottom w:val="none" w:sz="0" w:space="0" w:color="auto"/>
        <w:right w:val="none" w:sz="0" w:space="0" w:color="auto"/>
      </w:divBdr>
    </w:div>
    <w:div w:id="190611423">
      <w:bodyDiv w:val="1"/>
      <w:marLeft w:val="0"/>
      <w:marRight w:val="0"/>
      <w:marTop w:val="0"/>
      <w:marBottom w:val="0"/>
      <w:divBdr>
        <w:top w:val="none" w:sz="0" w:space="0" w:color="auto"/>
        <w:left w:val="none" w:sz="0" w:space="0" w:color="auto"/>
        <w:bottom w:val="none" w:sz="0" w:space="0" w:color="auto"/>
        <w:right w:val="none" w:sz="0" w:space="0" w:color="auto"/>
      </w:divBdr>
    </w:div>
    <w:div w:id="190726273">
      <w:bodyDiv w:val="1"/>
      <w:marLeft w:val="0"/>
      <w:marRight w:val="0"/>
      <w:marTop w:val="0"/>
      <w:marBottom w:val="0"/>
      <w:divBdr>
        <w:top w:val="none" w:sz="0" w:space="0" w:color="auto"/>
        <w:left w:val="none" w:sz="0" w:space="0" w:color="auto"/>
        <w:bottom w:val="none" w:sz="0" w:space="0" w:color="auto"/>
        <w:right w:val="none" w:sz="0" w:space="0" w:color="auto"/>
      </w:divBdr>
    </w:div>
    <w:div w:id="195198189">
      <w:bodyDiv w:val="1"/>
      <w:marLeft w:val="0"/>
      <w:marRight w:val="0"/>
      <w:marTop w:val="0"/>
      <w:marBottom w:val="0"/>
      <w:divBdr>
        <w:top w:val="none" w:sz="0" w:space="0" w:color="auto"/>
        <w:left w:val="none" w:sz="0" w:space="0" w:color="auto"/>
        <w:bottom w:val="none" w:sz="0" w:space="0" w:color="auto"/>
        <w:right w:val="none" w:sz="0" w:space="0" w:color="auto"/>
      </w:divBdr>
    </w:div>
    <w:div w:id="201947044">
      <w:bodyDiv w:val="1"/>
      <w:marLeft w:val="0"/>
      <w:marRight w:val="0"/>
      <w:marTop w:val="0"/>
      <w:marBottom w:val="0"/>
      <w:divBdr>
        <w:top w:val="none" w:sz="0" w:space="0" w:color="auto"/>
        <w:left w:val="none" w:sz="0" w:space="0" w:color="auto"/>
        <w:bottom w:val="none" w:sz="0" w:space="0" w:color="auto"/>
        <w:right w:val="none" w:sz="0" w:space="0" w:color="auto"/>
      </w:divBdr>
    </w:div>
    <w:div w:id="202711917">
      <w:bodyDiv w:val="1"/>
      <w:marLeft w:val="0"/>
      <w:marRight w:val="0"/>
      <w:marTop w:val="0"/>
      <w:marBottom w:val="0"/>
      <w:divBdr>
        <w:top w:val="none" w:sz="0" w:space="0" w:color="auto"/>
        <w:left w:val="none" w:sz="0" w:space="0" w:color="auto"/>
        <w:bottom w:val="none" w:sz="0" w:space="0" w:color="auto"/>
        <w:right w:val="none" w:sz="0" w:space="0" w:color="auto"/>
      </w:divBdr>
    </w:div>
    <w:div w:id="205532050">
      <w:bodyDiv w:val="1"/>
      <w:marLeft w:val="0"/>
      <w:marRight w:val="0"/>
      <w:marTop w:val="0"/>
      <w:marBottom w:val="0"/>
      <w:divBdr>
        <w:top w:val="none" w:sz="0" w:space="0" w:color="auto"/>
        <w:left w:val="none" w:sz="0" w:space="0" w:color="auto"/>
        <w:bottom w:val="none" w:sz="0" w:space="0" w:color="auto"/>
        <w:right w:val="none" w:sz="0" w:space="0" w:color="auto"/>
      </w:divBdr>
    </w:div>
    <w:div w:id="213202804">
      <w:bodyDiv w:val="1"/>
      <w:marLeft w:val="0"/>
      <w:marRight w:val="0"/>
      <w:marTop w:val="0"/>
      <w:marBottom w:val="0"/>
      <w:divBdr>
        <w:top w:val="none" w:sz="0" w:space="0" w:color="auto"/>
        <w:left w:val="none" w:sz="0" w:space="0" w:color="auto"/>
        <w:bottom w:val="none" w:sz="0" w:space="0" w:color="auto"/>
        <w:right w:val="none" w:sz="0" w:space="0" w:color="auto"/>
      </w:divBdr>
    </w:div>
    <w:div w:id="214393730">
      <w:bodyDiv w:val="1"/>
      <w:marLeft w:val="0"/>
      <w:marRight w:val="0"/>
      <w:marTop w:val="0"/>
      <w:marBottom w:val="0"/>
      <w:divBdr>
        <w:top w:val="none" w:sz="0" w:space="0" w:color="auto"/>
        <w:left w:val="none" w:sz="0" w:space="0" w:color="auto"/>
        <w:bottom w:val="none" w:sz="0" w:space="0" w:color="auto"/>
        <w:right w:val="none" w:sz="0" w:space="0" w:color="auto"/>
      </w:divBdr>
    </w:div>
    <w:div w:id="215438108">
      <w:bodyDiv w:val="1"/>
      <w:marLeft w:val="0"/>
      <w:marRight w:val="0"/>
      <w:marTop w:val="0"/>
      <w:marBottom w:val="0"/>
      <w:divBdr>
        <w:top w:val="none" w:sz="0" w:space="0" w:color="auto"/>
        <w:left w:val="none" w:sz="0" w:space="0" w:color="auto"/>
        <w:bottom w:val="none" w:sz="0" w:space="0" w:color="auto"/>
        <w:right w:val="none" w:sz="0" w:space="0" w:color="auto"/>
      </w:divBdr>
    </w:div>
    <w:div w:id="218784952">
      <w:bodyDiv w:val="1"/>
      <w:marLeft w:val="0"/>
      <w:marRight w:val="0"/>
      <w:marTop w:val="0"/>
      <w:marBottom w:val="0"/>
      <w:divBdr>
        <w:top w:val="none" w:sz="0" w:space="0" w:color="auto"/>
        <w:left w:val="none" w:sz="0" w:space="0" w:color="auto"/>
        <w:bottom w:val="none" w:sz="0" w:space="0" w:color="auto"/>
        <w:right w:val="none" w:sz="0" w:space="0" w:color="auto"/>
      </w:divBdr>
    </w:div>
    <w:div w:id="222259764">
      <w:bodyDiv w:val="1"/>
      <w:marLeft w:val="0"/>
      <w:marRight w:val="0"/>
      <w:marTop w:val="0"/>
      <w:marBottom w:val="0"/>
      <w:divBdr>
        <w:top w:val="none" w:sz="0" w:space="0" w:color="auto"/>
        <w:left w:val="none" w:sz="0" w:space="0" w:color="auto"/>
        <w:bottom w:val="none" w:sz="0" w:space="0" w:color="auto"/>
        <w:right w:val="none" w:sz="0" w:space="0" w:color="auto"/>
      </w:divBdr>
    </w:div>
    <w:div w:id="223681545">
      <w:bodyDiv w:val="1"/>
      <w:marLeft w:val="0"/>
      <w:marRight w:val="0"/>
      <w:marTop w:val="0"/>
      <w:marBottom w:val="0"/>
      <w:divBdr>
        <w:top w:val="none" w:sz="0" w:space="0" w:color="auto"/>
        <w:left w:val="none" w:sz="0" w:space="0" w:color="auto"/>
        <w:bottom w:val="none" w:sz="0" w:space="0" w:color="auto"/>
        <w:right w:val="none" w:sz="0" w:space="0" w:color="auto"/>
      </w:divBdr>
    </w:div>
    <w:div w:id="231354716">
      <w:bodyDiv w:val="1"/>
      <w:marLeft w:val="0"/>
      <w:marRight w:val="0"/>
      <w:marTop w:val="0"/>
      <w:marBottom w:val="0"/>
      <w:divBdr>
        <w:top w:val="none" w:sz="0" w:space="0" w:color="auto"/>
        <w:left w:val="none" w:sz="0" w:space="0" w:color="auto"/>
        <w:bottom w:val="none" w:sz="0" w:space="0" w:color="auto"/>
        <w:right w:val="none" w:sz="0" w:space="0" w:color="auto"/>
      </w:divBdr>
    </w:div>
    <w:div w:id="233399523">
      <w:bodyDiv w:val="1"/>
      <w:marLeft w:val="0"/>
      <w:marRight w:val="0"/>
      <w:marTop w:val="0"/>
      <w:marBottom w:val="0"/>
      <w:divBdr>
        <w:top w:val="none" w:sz="0" w:space="0" w:color="auto"/>
        <w:left w:val="none" w:sz="0" w:space="0" w:color="auto"/>
        <w:bottom w:val="none" w:sz="0" w:space="0" w:color="auto"/>
        <w:right w:val="none" w:sz="0" w:space="0" w:color="auto"/>
      </w:divBdr>
    </w:div>
    <w:div w:id="237130407">
      <w:bodyDiv w:val="1"/>
      <w:marLeft w:val="0"/>
      <w:marRight w:val="0"/>
      <w:marTop w:val="0"/>
      <w:marBottom w:val="0"/>
      <w:divBdr>
        <w:top w:val="none" w:sz="0" w:space="0" w:color="auto"/>
        <w:left w:val="none" w:sz="0" w:space="0" w:color="auto"/>
        <w:bottom w:val="none" w:sz="0" w:space="0" w:color="auto"/>
        <w:right w:val="none" w:sz="0" w:space="0" w:color="auto"/>
      </w:divBdr>
    </w:div>
    <w:div w:id="239796737">
      <w:bodyDiv w:val="1"/>
      <w:marLeft w:val="0"/>
      <w:marRight w:val="0"/>
      <w:marTop w:val="0"/>
      <w:marBottom w:val="0"/>
      <w:divBdr>
        <w:top w:val="none" w:sz="0" w:space="0" w:color="auto"/>
        <w:left w:val="none" w:sz="0" w:space="0" w:color="auto"/>
        <w:bottom w:val="none" w:sz="0" w:space="0" w:color="auto"/>
        <w:right w:val="none" w:sz="0" w:space="0" w:color="auto"/>
      </w:divBdr>
    </w:div>
    <w:div w:id="244001533">
      <w:bodyDiv w:val="1"/>
      <w:marLeft w:val="0"/>
      <w:marRight w:val="0"/>
      <w:marTop w:val="0"/>
      <w:marBottom w:val="0"/>
      <w:divBdr>
        <w:top w:val="none" w:sz="0" w:space="0" w:color="auto"/>
        <w:left w:val="none" w:sz="0" w:space="0" w:color="auto"/>
        <w:bottom w:val="none" w:sz="0" w:space="0" w:color="auto"/>
        <w:right w:val="none" w:sz="0" w:space="0" w:color="auto"/>
      </w:divBdr>
    </w:div>
    <w:div w:id="244612149">
      <w:bodyDiv w:val="1"/>
      <w:marLeft w:val="0"/>
      <w:marRight w:val="0"/>
      <w:marTop w:val="0"/>
      <w:marBottom w:val="0"/>
      <w:divBdr>
        <w:top w:val="none" w:sz="0" w:space="0" w:color="auto"/>
        <w:left w:val="none" w:sz="0" w:space="0" w:color="auto"/>
        <w:bottom w:val="none" w:sz="0" w:space="0" w:color="auto"/>
        <w:right w:val="none" w:sz="0" w:space="0" w:color="auto"/>
      </w:divBdr>
    </w:div>
    <w:div w:id="244922645">
      <w:bodyDiv w:val="1"/>
      <w:marLeft w:val="0"/>
      <w:marRight w:val="0"/>
      <w:marTop w:val="0"/>
      <w:marBottom w:val="0"/>
      <w:divBdr>
        <w:top w:val="none" w:sz="0" w:space="0" w:color="auto"/>
        <w:left w:val="none" w:sz="0" w:space="0" w:color="auto"/>
        <w:bottom w:val="none" w:sz="0" w:space="0" w:color="auto"/>
        <w:right w:val="none" w:sz="0" w:space="0" w:color="auto"/>
      </w:divBdr>
    </w:div>
    <w:div w:id="245388727">
      <w:bodyDiv w:val="1"/>
      <w:marLeft w:val="0"/>
      <w:marRight w:val="0"/>
      <w:marTop w:val="0"/>
      <w:marBottom w:val="0"/>
      <w:divBdr>
        <w:top w:val="none" w:sz="0" w:space="0" w:color="auto"/>
        <w:left w:val="none" w:sz="0" w:space="0" w:color="auto"/>
        <w:bottom w:val="none" w:sz="0" w:space="0" w:color="auto"/>
        <w:right w:val="none" w:sz="0" w:space="0" w:color="auto"/>
      </w:divBdr>
    </w:div>
    <w:div w:id="248320717">
      <w:bodyDiv w:val="1"/>
      <w:marLeft w:val="0"/>
      <w:marRight w:val="0"/>
      <w:marTop w:val="0"/>
      <w:marBottom w:val="0"/>
      <w:divBdr>
        <w:top w:val="none" w:sz="0" w:space="0" w:color="auto"/>
        <w:left w:val="none" w:sz="0" w:space="0" w:color="auto"/>
        <w:bottom w:val="none" w:sz="0" w:space="0" w:color="auto"/>
        <w:right w:val="none" w:sz="0" w:space="0" w:color="auto"/>
      </w:divBdr>
    </w:div>
    <w:div w:id="251815645">
      <w:bodyDiv w:val="1"/>
      <w:marLeft w:val="0"/>
      <w:marRight w:val="0"/>
      <w:marTop w:val="0"/>
      <w:marBottom w:val="0"/>
      <w:divBdr>
        <w:top w:val="none" w:sz="0" w:space="0" w:color="auto"/>
        <w:left w:val="none" w:sz="0" w:space="0" w:color="auto"/>
        <w:bottom w:val="none" w:sz="0" w:space="0" w:color="auto"/>
        <w:right w:val="none" w:sz="0" w:space="0" w:color="auto"/>
      </w:divBdr>
    </w:div>
    <w:div w:id="251940696">
      <w:bodyDiv w:val="1"/>
      <w:marLeft w:val="0"/>
      <w:marRight w:val="0"/>
      <w:marTop w:val="0"/>
      <w:marBottom w:val="0"/>
      <w:divBdr>
        <w:top w:val="none" w:sz="0" w:space="0" w:color="auto"/>
        <w:left w:val="none" w:sz="0" w:space="0" w:color="auto"/>
        <w:bottom w:val="none" w:sz="0" w:space="0" w:color="auto"/>
        <w:right w:val="none" w:sz="0" w:space="0" w:color="auto"/>
      </w:divBdr>
    </w:div>
    <w:div w:id="254483606">
      <w:bodyDiv w:val="1"/>
      <w:marLeft w:val="0"/>
      <w:marRight w:val="0"/>
      <w:marTop w:val="0"/>
      <w:marBottom w:val="0"/>
      <w:divBdr>
        <w:top w:val="none" w:sz="0" w:space="0" w:color="auto"/>
        <w:left w:val="none" w:sz="0" w:space="0" w:color="auto"/>
        <w:bottom w:val="none" w:sz="0" w:space="0" w:color="auto"/>
        <w:right w:val="none" w:sz="0" w:space="0" w:color="auto"/>
      </w:divBdr>
    </w:div>
    <w:div w:id="256444053">
      <w:bodyDiv w:val="1"/>
      <w:marLeft w:val="0"/>
      <w:marRight w:val="0"/>
      <w:marTop w:val="0"/>
      <w:marBottom w:val="0"/>
      <w:divBdr>
        <w:top w:val="none" w:sz="0" w:space="0" w:color="auto"/>
        <w:left w:val="none" w:sz="0" w:space="0" w:color="auto"/>
        <w:bottom w:val="none" w:sz="0" w:space="0" w:color="auto"/>
        <w:right w:val="none" w:sz="0" w:space="0" w:color="auto"/>
      </w:divBdr>
    </w:div>
    <w:div w:id="260916400">
      <w:bodyDiv w:val="1"/>
      <w:marLeft w:val="0"/>
      <w:marRight w:val="0"/>
      <w:marTop w:val="0"/>
      <w:marBottom w:val="0"/>
      <w:divBdr>
        <w:top w:val="none" w:sz="0" w:space="0" w:color="auto"/>
        <w:left w:val="none" w:sz="0" w:space="0" w:color="auto"/>
        <w:bottom w:val="none" w:sz="0" w:space="0" w:color="auto"/>
        <w:right w:val="none" w:sz="0" w:space="0" w:color="auto"/>
      </w:divBdr>
    </w:div>
    <w:div w:id="266892827">
      <w:bodyDiv w:val="1"/>
      <w:marLeft w:val="0"/>
      <w:marRight w:val="0"/>
      <w:marTop w:val="0"/>
      <w:marBottom w:val="0"/>
      <w:divBdr>
        <w:top w:val="none" w:sz="0" w:space="0" w:color="auto"/>
        <w:left w:val="none" w:sz="0" w:space="0" w:color="auto"/>
        <w:bottom w:val="none" w:sz="0" w:space="0" w:color="auto"/>
        <w:right w:val="none" w:sz="0" w:space="0" w:color="auto"/>
      </w:divBdr>
    </w:div>
    <w:div w:id="269510380">
      <w:bodyDiv w:val="1"/>
      <w:marLeft w:val="0"/>
      <w:marRight w:val="0"/>
      <w:marTop w:val="0"/>
      <w:marBottom w:val="0"/>
      <w:divBdr>
        <w:top w:val="none" w:sz="0" w:space="0" w:color="auto"/>
        <w:left w:val="none" w:sz="0" w:space="0" w:color="auto"/>
        <w:bottom w:val="none" w:sz="0" w:space="0" w:color="auto"/>
        <w:right w:val="none" w:sz="0" w:space="0" w:color="auto"/>
      </w:divBdr>
    </w:div>
    <w:div w:id="269746543">
      <w:bodyDiv w:val="1"/>
      <w:marLeft w:val="0"/>
      <w:marRight w:val="0"/>
      <w:marTop w:val="0"/>
      <w:marBottom w:val="0"/>
      <w:divBdr>
        <w:top w:val="none" w:sz="0" w:space="0" w:color="auto"/>
        <w:left w:val="none" w:sz="0" w:space="0" w:color="auto"/>
        <w:bottom w:val="none" w:sz="0" w:space="0" w:color="auto"/>
        <w:right w:val="none" w:sz="0" w:space="0" w:color="auto"/>
      </w:divBdr>
    </w:div>
    <w:div w:id="285040277">
      <w:bodyDiv w:val="1"/>
      <w:marLeft w:val="0"/>
      <w:marRight w:val="0"/>
      <w:marTop w:val="0"/>
      <w:marBottom w:val="0"/>
      <w:divBdr>
        <w:top w:val="none" w:sz="0" w:space="0" w:color="auto"/>
        <w:left w:val="none" w:sz="0" w:space="0" w:color="auto"/>
        <w:bottom w:val="none" w:sz="0" w:space="0" w:color="auto"/>
        <w:right w:val="none" w:sz="0" w:space="0" w:color="auto"/>
      </w:divBdr>
    </w:div>
    <w:div w:id="297995011">
      <w:bodyDiv w:val="1"/>
      <w:marLeft w:val="0"/>
      <w:marRight w:val="0"/>
      <w:marTop w:val="0"/>
      <w:marBottom w:val="0"/>
      <w:divBdr>
        <w:top w:val="none" w:sz="0" w:space="0" w:color="auto"/>
        <w:left w:val="none" w:sz="0" w:space="0" w:color="auto"/>
        <w:bottom w:val="none" w:sz="0" w:space="0" w:color="auto"/>
        <w:right w:val="none" w:sz="0" w:space="0" w:color="auto"/>
      </w:divBdr>
    </w:div>
    <w:div w:id="299387404">
      <w:bodyDiv w:val="1"/>
      <w:marLeft w:val="0"/>
      <w:marRight w:val="0"/>
      <w:marTop w:val="0"/>
      <w:marBottom w:val="0"/>
      <w:divBdr>
        <w:top w:val="none" w:sz="0" w:space="0" w:color="auto"/>
        <w:left w:val="none" w:sz="0" w:space="0" w:color="auto"/>
        <w:bottom w:val="none" w:sz="0" w:space="0" w:color="auto"/>
        <w:right w:val="none" w:sz="0" w:space="0" w:color="auto"/>
      </w:divBdr>
    </w:div>
    <w:div w:id="302466882">
      <w:bodyDiv w:val="1"/>
      <w:marLeft w:val="0"/>
      <w:marRight w:val="0"/>
      <w:marTop w:val="0"/>
      <w:marBottom w:val="0"/>
      <w:divBdr>
        <w:top w:val="none" w:sz="0" w:space="0" w:color="auto"/>
        <w:left w:val="none" w:sz="0" w:space="0" w:color="auto"/>
        <w:bottom w:val="none" w:sz="0" w:space="0" w:color="auto"/>
        <w:right w:val="none" w:sz="0" w:space="0" w:color="auto"/>
      </w:divBdr>
    </w:div>
    <w:div w:id="303002671">
      <w:bodyDiv w:val="1"/>
      <w:marLeft w:val="0"/>
      <w:marRight w:val="0"/>
      <w:marTop w:val="0"/>
      <w:marBottom w:val="0"/>
      <w:divBdr>
        <w:top w:val="none" w:sz="0" w:space="0" w:color="auto"/>
        <w:left w:val="none" w:sz="0" w:space="0" w:color="auto"/>
        <w:bottom w:val="none" w:sz="0" w:space="0" w:color="auto"/>
        <w:right w:val="none" w:sz="0" w:space="0" w:color="auto"/>
      </w:divBdr>
    </w:div>
    <w:div w:id="304050609">
      <w:bodyDiv w:val="1"/>
      <w:marLeft w:val="0"/>
      <w:marRight w:val="0"/>
      <w:marTop w:val="0"/>
      <w:marBottom w:val="0"/>
      <w:divBdr>
        <w:top w:val="none" w:sz="0" w:space="0" w:color="auto"/>
        <w:left w:val="none" w:sz="0" w:space="0" w:color="auto"/>
        <w:bottom w:val="none" w:sz="0" w:space="0" w:color="auto"/>
        <w:right w:val="none" w:sz="0" w:space="0" w:color="auto"/>
      </w:divBdr>
    </w:div>
    <w:div w:id="311451888">
      <w:bodyDiv w:val="1"/>
      <w:marLeft w:val="0"/>
      <w:marRight w:val="0"/>
      <w:marTop w:val="0"/>
      <w:marBottom w:val="0"/>
      <w:divBdr>
        <w:top w:val="none" w:sz="0" w:space="0" w:color="auto"/>
        <w:left w:val="none" w:sz="0" w:space="0" w:color="auto"/>
        <w:bottom w:val="none" w:sz="0" w:space="0" w:color="auto"/>
        <w:right w:val="none" w:sz="0" w:space="0" w:color="auto"/>
      </w:divBdr>
    </w:div>
    <w:div w:id="312291796">
      <w:bodyDiv w:val="1"/>
      <w:marLeft w:val="0"/>
      <w:marRight w:val="0"/>
      <w:marTop w:val="0"/>
      <w:marBottom w:val="0"/>
      <w:divBdr>
        <w:top w:val="none" w:sz="0" w:space="0" w:color="auto"/>
        <w:left w:val="none" w:sz="0" w:space="0" w:color="auto"/>
        <w:bottom w:val="none" w:sz="0" w:space="0" w:color="auto"/>
        <w:right w:val="none" w:sz="0" w:space="0" w:color="auto"/>
      </w:divBdr>
    </w:div>
    <w:div w:id="318658004">
      <w:bodyDiv w:val="1"/>
      <w:marLeft w:val="0"/>
      <w:marRight w:val="0"/>
      <w:marTop w:val="0"/>
      <w:marBottom w:val="0"/>
      <w:divBdr>
        <w:top w:val="none" w:sz="0" w:space="0" w:color="auto"/>
        <w:left w:val="none" w:sz="0" w:space="0" w:color="auto"/>
        <w:bottom w:val="none" w:sz="0" w:space="0" w:color="auto"/>
        <w:right w:val="none" w:sz="0" w:space="0" w:color="auto"/>
      </w:divBdr>
    </w:div>
    <w:div w:id="320160264">
      <w:bodyDiv w:val="1"/>
      <w:marLeft w:val="0"/>
      <w:marRight w:val="0"/>
      <w:marTop w:val="0"/>
      <w:marBottom w:val="0"/>
      <w:divBdr>
        <w:top w:val="none" w:sz="0" w:space="0" w:color="auto"/>
        <w:left w:val="none" w:sz="0" w:space="0" w:color="auto"/>
        <w:bottom w:val="none" w:sz="0" w:space="0" w:color="auto"/>
        <w:right w:val="none" w:sz="0" w:space="0" w:color="auto"/>
      </w:divBdr>
    </w:div>
    <w:div w:id="326129305">
      <w:bodyDiv w:val="1"/>
      <w:marLeft w:val="0"/>
      <w:marRight w:val="0"/>
      <w:marTop w:val="0"/>
      <w:marBottom w:val="0"/>
      <w:divBdr>
        <w:top w:val="none" w:sz="0" w:space="0" w:color="auto"/>
        <w:left w:val="none" w:sz="0" w:space="0" w:color="auto"/>
        <w:bottom w:val="none" w:sz="0" w:space="0" w:color="auto"/>
        <w:right w:val="none" w:sz="0" w:space="0" w:color="auto"/>
      </w:divBdr>
    </w:div>
    <w:div w:id="326204385">
      <w:bodyDiv w:val="1"/>
      <w:marLeft w:val="0"/>
      <w:marRight w:val="0"/>
      <w:marTop w:val="0"/>
      <w:marBottom w:val="0"/>
      <w:divBdr>
        <w:top w:val="none" w:sz="0" w:space="0" w:color="auto"/>
        <w:left w:val="none" w:sz="0" w:space="0" w:color="auto"/>
        <w:bottom w:val="none" w:sz="0" w:space="0" w:color="auto"/>
        <w:right w:val="none" w:sz="0" w:space="0" w:color="auto"/>
      </w:divBdr>
    </w:div>
    <w:div w:id="334303996">
      <w:bodyDiv w:val="1"/>
      <w:marLeft w:val="0"/>
      <w:marRight w:val="0"/>
      <w:marTop w:val="0"/>
      <w:marBottom w:val="0"/>
      <w:divBdr>
        <w:top w:val="none" w:sz="0" w:space="0" w:color="auto"/>
        <w:left w:val="none" w:sz="0" w:space="0" w:color="auto"/>
        <w:bottom w:val="none" w:sz="0" w:space="0" w:color="auto"/>
        <w:right w:val="none" w:sz="0" w:space="0" w:color="auto"/>
      </w:divBdr>
    </w:div>
    <w:div w:id="336231696">
      <w:bodyDiv w:val="1"/>
      <w:marLeft w:val="0"/>
      <w:marRight w:val="0"/>
      <w:marTop w:val="0"/>
      <w:marBottom w:val="0"/>
      <w:divBdr>
        <w:top w:val="none" w:sz="0" w:space="0" w:color="auto"/>
        <w:left w:val="none" w:sz="0" w:space="0" w:color="auto"/>
        <w:bottom w:val="none" w:sz="0" w:space="0" w:color="auto"/>
        <w:right w:val="none" w:sz="0" w:space="0" w:color="auto"/>
      </w:divBdr>
    </w:div>
    <w:div w:id="338125385">
      <w:bodyDiv w:val="1"/>
      <w:marLeft w:val="0"/>
      <w:marRight w:val="0"/>
      <w:marTop w:val="0"/>
      <w:marBottom w:val="0"/>
      <w:divBdr>
        <w:top w:val="none" w:sz="0" w:space="0" w:color="auto"/>
        <w:left w:val="none" w:sz="0" w:space="0" w:color="auto"/>
        <w:bottom w:val="none" w:sz="0" w:space="0" w:color="auto"/>
        <w:right w:val="none" w:sz="0" w:space="0" w:color="auto"/>
      </w:divBdr>
    </w:div>
    <w:div w:id="338505116">
      <w:bodyDiv w:val="1"/>
      <w:marLeft w:val="0"/>
      <w:marRight w:val="0"/>
      <w:marTop w:val="0"/>
      <w:marBottom w:val="0"/>
      <w:divBdr>
        <w:top w:val="none" w:sz="0" w:space="0" w:color="auto"/>
        <w:left w:val="none" w:sz="0" w:space="0" w:color="auto"/>
        <w:bottom w:val="none" w:sz="0" w:space="0" w:color="auto"/>
        <w:right w:val="none" w:sz="0" w:space="0" w:color="auto"/>
      </w:divBdr>
    </w:div>
    <w:div w:id="338507013">
      <w:bodyDiv w:val="1"/>
      <w:marLeft w:val="0"/>
      <w:marRight w:val="0"/>
      <w:marTop w:val="0"/>
      <w:marBottom w:val="0"/>
      <w:divBdr>
        <w:top w:val="none" w:sz="0" w:space="0" w:color="auto"/>
        <w:left w:val="none" w:sz="0" w:space="0" w:color="auto"/>
        <w:bottom w:val="none" w:sz="0" w:space="0" w:color="auto"/>
        <w:right w:val="none" w:sz="0" w:space="0" w:color="auto"/>
      </w:divBdr>
    </w:div>
    <w:div w:id="339966592">
      <w:bodyDiv w:val="1"/>
      <w:marLeft w:val="0"/>
      <w:marRight w:val="0"/>
      <w:marTop w:val="0"/>
      <w:marBottom w:val="0"/>
      <w:divBdr>
        <w:top w:val="none" w:sz="0" w:space="0" w:color="auto"/>
        <w:left w:val="none" w:sz="0" w:space="0" w:color="auto"/>
        <w:bottom w:val="none" w:sz="0" w:space="0" w:color="auto"/>
        <w:right w:val="none" w:sz="0" w:space="0" w:color="auto"/>
      </w:divBdr>
    </w:div>
    <w:div w:id="341057242">
      <w:bodyDiv w:val="1"/>
      <w:marLeft w:val="0"/>
      <w:marRight w:val="0"/>
      <w:marTop w:val="0"/>
      <w:marBottom w:val="0"/>
      <w:divBdr>
        <w:top w:val="none" w:sz="0" w:space="0" w:color="auto"/>
        <w:left w:val="none" w:sz="0" w:space="0" w:color="auto"/>
        <w:bottom w:val="none" w:sz="0" w:space="0" w:color="auto"/>
        <w:right w:val="none" w:sz="0" w:space="0" w:color="auto"/>
      </w:divBdr>
    </w:div>
    <w:div w:id="341397250">
      <w:bodyDiv w:val="1"/>
      <w:marLeft w:val="0"/>
      <w:marRight w:val="0"/>
      <w:marTop w:val="0"/>
      <w:marBottom w:val="0"/>
      <w:divBdr>
        <w:top w:val="none" w:sz="0" w:space="0" w:color="auto"/>
        <w:left w:val="none" w:sz="0" w:space="0" w:color="auto"/>
        <w:bottom w:val="none" w:sz="0" w:space="0" w:color="auto"/>
        <w:right w:val="none" w:sz="0" w:space="0" w:color="auto"/>
      </w:divBdr>
    </w:div>
    <w:div w:id="342900974">
      <w:bodyDiv w:val="1"/>
      <w:marLeft w:val="0"/>
      <w:marRight w:val="0"/>
      <w:marTop w:val="0"/>
      <w:marBottom w:val="0"/>
      <w:divBdr>
        <w:top w:val="none" w:sz="0" w:space="0" w:color="auto"/>
        <w:left w:val="none" w:sz="0" w:space="0" w:color="auto"/>
        <w:bottom w:val="none" w:sz="0" w:space="0" w:color="auto"/>
        <w:right w:val="none" w:sz="0" w:space="0" w:color="auto"/>
      </w:divBdr>
    </w:div>
    <w:div w:id="344327883">
      <w:bodyDiv w:val="1"/>
      <w:marLeft w:val="0"/>
      <w:marRight w:val="0"/>
      <w:marTop w:val="0"/>
      <w:marBottom w:val="0"/>
      <w:divBdr>
        <w:top w:val="none" w:sz="0" w:space="0" w:color="auto"/>
        <w:left w:val="none" w:sz="0" w:space="0" w:color="auto"/>
        <w:bottom w:val="none" w:sz="0" w:space="0" w:color="auto"/>
        <w:right w:val="none" w:sz="0" w:space="0" w:color="auto"/>
      </w:divBdr>
    </w:div>
    <w:div w:id="363941470">
      <w:bodyDiv w:val="1"/>
      <w:marLeft w:val="0"/>
      <w:marRight w:val="0"/>
      <w:marTop w:val="0"/>
      <w:marBottom w:val="0"/>
      <w:divBdr>
        <w:top w:val="none" w:sz="0" w:space="0" w:color="auto"/>
        <w:left w:val="none" w:sz="0" w:space="0" w:color="auto"/>
        <w:bottom w:val="none" w:sz="0" w:space="0" w:color="auto"/>
        <w:right w:val="none" w:sz="0" w:space="0" w:color="auto"/>
      </w:divBdr>
    </w:div>
    <w:div w:id="364990502">
      <w:bodyDiv w:val="1"/>
      <w:marLeft w:val="0"/>
      <w:marRight w:val="0"/>
      <w:marTop w:val="0"/>
      <w:marBottom w:val="0"/>
      <w:divBdr>
        <w:top w:val="none" w:sz="0" w:space="0" w:color="auto"/>
        <w:left w:val="none" w:sz="0" w:space="0" w:color="auto"/>
        <w:bottom w:val="none" w:sz="0" w:space="0" w:color="auto"/>
        <w:right w:val="none" w:sz="0" w:space="0" w:color="auto"/>
      </w:divBdr>
    </w:div>
    <w:div w:id="365369063">
      <w:bodyDiv w:val="1"/>
      <w:marLeft w:val="0"/>
      <w:marRight w:val="0"/>
      <w:marTop w:val="0"/>
      <w:marBottom w:val="0"/>
      <w:divBdr>
        <w:top w:val="none" w:sz="0" w:space="0" w:color="auto"/>
        <w:left w:val="none" w:sz="0" w:space="0" w:color="auto"/>
        <w:bottom w:val="none" w:sz="0" w:space="0" w:color="auto"/>
        <w:right w:val="none" w:sz="0" w:space="0" w:color="auto"/>
      </w:divBdr>
    </w:div>
    <w:div w:id="367803611">
      <w:bodyDiv w:val="1"/>
      <w:marLeft w:val="0"/>
      <w:marRight w:val="0"/>
      <w:marTop w:val="0"/>
      <w:marBottom w:val="0"/>
      <w:divBdr>
        <w:top w:val="none" w:sz="0" w:space="0" w:color="auto"/>
        <w:left w:val="none" w:sz="0" w:space="0" w:color="auto"/>
        <w:bottom w:val="none" w:sz="0" w:space="0" w:color="auto"/>
        <w:right w:val="none" w:sz="0" w:space="0" w:color="auto"/>
      </w:divBdr>
    </w:div>
    <w:div w:id="368452981">
      <w:bodyDiv w:val="1"/>
      <w:marLeft w:val="0"/>
      <w:marRight w:val="0"/>
      <w:marTop w:val="0"/>
      <w:marBottom w:val="0"/>
      <w:divBdr>
        <w:top w:val="none" w:sz="0" w:space="0" w:color="auto"/>
        <w:left w:val="none" w:sz="0" w:space="0" w:color="auto"/>
        <w:bottom w:val="none" w:sz="0" w:space="0" w:color="auto"/>
        <w:right w:val="none" w:sz="0" w:space="0" w:color="auto"/>
      </w:divBdr>
    </w:div>
    <w:div w:id="371341955">
      <w:bodyDiv w:val="1"/>
      <w:marLeft w:val="0"/>
      <w:marRight w:val="0"/>
      <w:marTop w:val="0"/>
      <w:marBottom w:val="0"/>
      <w:divBdr>
        <w:top w:val="none" w:sz="0" w:space="0" w:color="auto"/>
        <w:left w:val="none" w:sz="0" w:space="0" w:color="auto"/>
        <w:bottom w:val="none" w:sz="0" w:space="0" w:color="auto"/>
        <w:right w:val="none" w:sz="0" w:space="0" w:color="auto"/>
      </w:divBdr>
    </w:div>
    <w:div w:id="373383995">
      <w:bodyDiv w:val="1"/>
      <w:marLeft w:val="0"/>
      <w:marRight w:val="0"/>
      <w:marTop w:val="0"/>
      <w:marBottom w:val="0"/>
      <w:divBdr>
        <w:top w:val="none" w:sz="0" w:space="0" w:color="auto"/>
        <w:left w:val="none" w:sz="0" w:space="0" w:color="auto"/>
        <w:bottom w:val="none" w:sz="0" w:space="0" w:color="auto"/>
        <w:right w:val="none" w:sz="0" w:space="0" w:color="auto"/>
      </w:divBdr>
    </w:div>
    <w:div w:id="375085863">
      <w:bodyDiv w:val="1"/>
      <w:marLeft w:val="0"/>
      <w:marRight w:val="0"/>
      <w:marTop w:val="0"/>
      <w:marBottom w:val="0"/>
      <w:divBdr>
        <w:top w:val="none" w:sz="0" w:space="0" w:color="auto"/>
        <w:left w:val="none" w:sz="0" w:space="0" w:color="auto"/>
        <w:bottom w:val="none" w:sz="0" w:space="0" w:color="auto"/>
        <w:right w:val="none" w:sz="0" w:space="0" w:color="auto"/>
      </w:divBdr>
    </w:div>
    <w:div w:id="380056221">
      <w:bodyDiv w:val="1"/>
      <w:marLeft w:val="0"/>
      <w:marRight w:val="0"/>
      <w:marTop w:val="0"/>
      <w:marBottom w:val="0"/>
      <w:divBdr>
        <w:top w:val="none" w:sz="0" w:space="0" w:color="auto"/>
        <w:left w:val="none" w:sz="0" w:space="0" w:color="auto"/>
        <w:bottom w:val="none" w:sz="0" w:space="0" w:color="auto"/>
        <w:right w:val="none" w:sz="0" w:space="0" w:color="auto"/>
      </w:divBdr>
    </w:div>
    <w:div w:id="381633653">
      <w:bodyDiv w:val="1"/>
      <w:marLeft w:val="0"/>
      <w:marRight w:val="0"/>
      <w:marTop w:val="0"/>
      <w:marBottom w:val="0"/>
      <w:divBdr>
        <w:top w:val="none" w:sz="0" w:space="0" w:color="auto"/>
        <w:left w:val="none" w:sz="0" w:space="0" w:color="auto"/>
        <w:bottom w:val="none" w:sz="0" w:space="0" w:color="auto"/>
        <w:right w:val="none" w:sz="0" w:space="0" w:color="auto"/>
      </w:divBdr>
    </w:div>
    <w:div w:id="388772431">
      <w:bodyDiv w:val="1"/>
      <w:marLeft w:val="0"/>
      <w:marRight w:val="0"/>
      <w:marTop w:val="0"/>
      <w:marBottom w:val="0"/>
      <w:divBdr>
        <w:top w:val="none" w:sz="0" w:space="0" w:color="auto"/>
        <w:left w:val="none" w:sz="0" w:space="0" w:color="auto"/>
        <w:bottom w:val="none" w:sz="0" w:space="0" w:color="auto"/>
        <w:right w:val="none" w:sz="0" w:space="0" w:color="auto"/>
      </w:divBdr>
    </w:div>
    <w:div w:id="392048830">
      <w:bodyDiv w:val="1"/>
      <w:marLeft w:val="0"/>
      <w:marRight w:val="0"/>
      <w:marTop w:val="0"/>
      <w:marBottom w:val="0"/>
      <w:divBdr>
        <w:top w:val="none" w:sz="0" w:space="0" w:color="auto"/>
        <w:left w:val="none" w:sz="0" w:space="0" w:color="auto"/>
        <w:bottom w:val="none" w:sz="0" w:space="0" w:color="auto"/>
        <w:right w:val="none" w:sz="0" w:space="0" w:color="auto"/>
      </w:divBdr>
    </w:div>
    <w:div w:id="395981333">
      <w:bodyDiv w:val="1"/>
      <w:marLeft w:val="0"/>
      <w:marRight w:val="0"/>
      <w:marTop w:val="0"/>
      <w:marBottom w:val="0"/>
      <w:divBdr>
        <w:top w:val="none" w:sz="0" w:space="0" w:color="auto"/>
        <w:left w:val="none" w:sz="0" w:space="0" w:color="auto"/>
        <w:bottom w:val="none" w:sz="0" w:space="0" w:color="auto"/>
        <w:right w:val="none" w:sz="0" w:space="0" w:color="auto"/>
      </w:divBdr>
    </w:div>
    <w:div w:id="396368095">
      <w:bodyDiv w:val="1"/>
      <w:marLeft w:val="0"/>
      <w:marRight w:val="0"/>
      <w:marTop w:val="0"/>
      <w:marBottom w:val="0"/>
      <w:divBdr>
        <w:top w:val="none" w:sz="0" w:space="0" w:color="auto"/>
        <w:left w:val="none" w:sz="0" w:space="0" w:color="auto"/>
        <w:bottom w:val="none" w:sz="0" w:space="0" w:color="auto"/>
        <w:right w:val="none" w:sz="0" w:space="0" w:color="auto"/>
      </w:divBdr>
    </w:div>
    <w:div w:id="399447233">
      <w:bodyDiv w:val="1"/>
      <w:marLeft w:val="0"/>
      <w:marRight w:val="0"/>
      <w:marTop w:val="0"/>
      <w:marBottom w:val="0"/>
      <w:divBdr>
        <w:top w:val="none" w:sz="0" w:space="0" w:color="auto"/>
        <w:left w:val="none" w:sz="0" w:space="0" w:color="auto"/>
        <w:bottom w:val="none" w:sz="0" w:space="0" w:color="auto"/>
        <w:right w:val="none" w:sz="0" w:space="0" w:color="auto"/>
      </w:divBdr>
    </w:div>
    <w:div w:id="399524789">
      <w:bodyDiv w:val="1"/>
      <w:marLeft w:val="0"/>
      <w:marRight w:val="0"/>
      <w:marTop w:val="0"/>
      <w:marBottom w:val="0"/>
      <w:divBdr>
        <w:top w:val="none" w:sz="0" w:space="0" w:color="auto"/>
        <w:left w:val="none" w:sz="0" w:space="0" w:color="auto"/>
        <w:bottom w:val="none" w:sz="0" w:space="0" w:color="auto"/>
        <w:right w:val="none" w:sz="0" w:space="0" w:color="auto"/>
      </w:divBdr>
    </w:div>
    <w:div w:id="403383327">
      <w:bodyDiv w:val="1"/>
      <w:marLeft w:val="0"/>
      <w:marRight w:val="0"/>
      <w:marTop w:val="0"/>
      <w:marBottom w:val="0"/>
      <w:divBdr>
        <w:top w:val="none" w:sz="0" w:space="0" w:color="auto"/>
        <w:left w:val="none" w:sz="0" w:space="0" w:color="auto"/>
        <w:bottom w:val="none" w:sz="0" w:space="0" w:color="auto"/>
        <w:right w:val="none" w:sz="0" w:space="0" w:color="auto"/>
      </w:divBdr>
    </w:div>
    <w:div w:id="409158245">
      <w:bodyDiv w:val="1"/>
      <w:marLeft w:val="0"/>
      <w:marRight w:val="0"/>
      <w:marTop w:val="0"/>
      <w:marBottom w:val="0"/>
      <w:divBdr>
        <w:top w:val="none" w:sz="0" w:space="0" w:color="auto"/>
        <w:left w:val="none" w:sz="0" w:space="0" w:color="auto"/>
        <w:bottom w:val="none" w:sz="0" w:space="0" w:color="auto"/>
        <w:right w:val="none" w:sz="0" w:space="0" w:color="auto"/>
      </w:divBdr>
    </w:div>
    <w:div w:id="411704336">
      <w:bodyDiv w:val="1"/>
      <w:marLeft w:val="0"/>
      <w:marRight w:val="0"/>
      <w:marTop w:val="0"/>
      <w:marBottom w:val="0"/>
      <w:divBdr>
        <w:top w:val="none" w:sz="0" w:space="0" w:color="auto"/>
        <w:left w:val="none" w:sz="0" w:space="0" w:color="auto"/>
        <w:bottom w:val="none" w:sz="0" w:space="0" w:color="auto"/>
        <w:right w:val="none" w:sz="0" w:space="0" w:color="auto"/>
      </w:divBdr>
    </w:div>
    <w:div w:id="418873186">
      <w:bodyDiv w:val="1"/>
      <w:marLeft w:val="0"/>
      <w:marRight w:val="0"/>
      <w:marTop w:val="0"/>
      <w:marBottom w:val="0"/>
      <w:divBdr>
        <w:top w:val="none" w:sz="0" w:space="0" w:color="auto"/>
        <w:left w:val="none" w:sz="0" w:space="0" w:color="auto"/>
        <w:bottom w:val="none" w:sz="0" w:space="0" w:color="auto"/>
        <w:right w:val="none" w:sz="0" w:space="0" w:color="auto"/>
      </w:divBdr>
    </w:div>
    <w:div w:id="422800615">
      <w:bodyDiv w:val="1"/>
      <w:marLeft w:val="0"/>
      <w:marRight w:val="0"/>
      <w:marTop w:val="0"/>
      <w:marBottom w:val="0"/>
      <w:divBdr>
        <w:top w:val="none" w:sz="0" w:space="0" w:color="auto"/>
        <w:left w:val="none" w:sz="0" w:space="0" w:color="auto"/>
        <w:bottom w:val="none" w:sz="0" w:space="0" w:color="auto"/>
        <w:right w:val="none" w:sz="0" w:space="0" w:color="auto"/>
      </w:divBdr>
    </w:div>
    <w:div w:id="425083086">
      <w:bodyDiv w:val="1"/>
      <w:marLeft w:val="0"/>
      <w:marRight w:val="0"/>
      <w:marTop w:val="0"/>
      <w:marBottom w:val="0"/>
      <w:divBdr>
        <w:top w:val="none" w:sz="0" w:space="0" w:color="auto"/>
        <w:left w:val="none" w:sz="0" w:space="0" w:color="auto"/>
        <w:bottom w:val="none" w:sz="0" w:space="0" w:color="auto"/>
        <w:right w:val="none" w:sz="0" w:space="0" w:color="auto"/>
      </w:divBdr>
    </w:div>
    <w:div w:id="431320620">
      <w:bodyDiv w:val="1"/>
      <w:marLeft w:val="0"/>
      <w:marRight w:val="0"/>
      <w:marTop w:val="0"/>
      <w:marBottom w:val="0"/>
      <w:divBdr>
        <w:top w:val="none" w:sz="0" w:space="0" w:color="auto"/>
        <w:left w:val="none" w:sz="0" w:space="0" w:color="auto"/>
        <w:bottom w:val="none" w:sz="0" w:space="0" w:color="auto"/>
        <w:right w:val="none" w:sz="0" w:space="0" w:color="auto"/>
      </w:divBdr>
    </w:div>
    <w:div w:id="431902298">
      <w:bodyDiv w:val="1"/>
      <w:marLeft w:val="0"/>
      <w:marRight w:val="0"/>
      <w:marTop w:val="0"/>
      <w:marBottom w:val="0"/>
      <w:divBdr>
        <w:top w:val="none" w:sz="0" w:space="0" w:color="auto"/>
        <w:left w:val="none" w:sz="0" w:space="0" w:color="auto"/>
        <w:bottom w:val="none" w:sz="0" w:space="0" w:color="auto"/>
        <w:right w:val="none" w:sz="0" w:space="0" w:color="auto"/>
      </w:divBdr>
    </w:div>
    <w:div w:id="439230370">
      <w:bodyDiv w:val="1"/>
      <w:marLeft w:val="0"/>
      <w:marRight w:val="0"/>
      <w:marTop w:val="0"/>
      <w:marBottom w:val="0"/>
      <w:divBdr>
        <w:top w:val="none" w:sz="0" w:space="0" w:color="auto"/>
        <w:left w:val="none" w:sz="0" w:space="0" w:color="auto"/>
        <w:bottom w:val="none" w:sz="0" w:space="0" w:color="auto"/>
        <w:right w:val="none" w:sz="0" w:space="0" w:color="auto"/>
      </w:divBdr>
    </w:div>
    <w:div w:id="440033039">
      <w:bodyDiv w:val="1"/>
      <w:marLeft w:val="0"/>
      <w:marRight w:val="0"/>
      <w:marTop w:val="0"/>
      <w:marBottom w:val="0"/>
      <w:divBdr>
        <w:top w:val="none" w:sz="0" w:space="0" w:color="auto"/>
        <w:left w:val="none" w:sz="0" w:space="0" w:color="auto"/>
        <w:bottom w:val="none" w:sz="0" w:space="0" w:color="auto"/>
        <w:right w:val="none" w:sz="0" w:space="0" w:color="auto"/>
      </w:divBdr>
    </w:div>
    <w:div w:id="443964252">
      <w:bodyDiv w:val="1"/>
      <w:marLeft w:val="0"/>
      <w:marRight w:val="0"/>
      <w:marTop w:val="0"/>
      <w:marBottom w:val="0"/>
      <w:divBdr>
        <w:top w:val="none" w:sz="0" w:space="0" w:color="auto"/>
        <w:left w:val="none" w:sz="0" w:space="0" w:color="auto"/>
        <w:bottom w:val="none" w:sz="0" w:space="0" w:color="auto"/>
        <w:right w:val="none" w:sz="0" w:space="0" w:color="auto"/>
      </w:divBdr>
    </w:div>
    <w:div w:id="448820696">
      <w:bodyDiv w:val="1"/>
      <w:marLeft w:val="0"/>
      <w:marRight w:val="0"/>
      <w:marTop w:val="0"/>
      <w:marBottom w:val="0"/>
      <w:divBdr>
        <w:top w:val="none" w:sz="0" w:space="0" w:color="auto"/>
        <w:left w:val="none" w:sz="0" w:space="0" w:color="auto"/>
        <w:bottom w:val="none" w:sz="0" w:space="0" w:color="auto"/>
        <w:right w:val="none" w:sz="0" w:space="0" w:color="auto"/>
      </w:divBdr>
    </w:div>
    <w:div w:id="449667581">
      <w:bodyDiv w:val="1"/>
      <w:marLeft w:val="0"/>
      <w:marRight w:val="0"/>
      <w:marTop w:val="0"/>
      <w:marBottom w:val="0"/>
      <w:divBdr>
        <w:top w:val="none" w:sz="0" w:space="0" w:color="auto"/>
        <w:left w:val="none" w:sz="0" w:space="0" w:color="auto"/>
        <w:bottom w:val="none" w:sz="0" w:space="0" w:color="auto"/>
        <w:right w:val="none" w:sz="0" w:space="0" w:color="auto"/>
      </w:divBdr>
    </w:div>
    <w:div w:id="453519977">
      <w:bodyDiv w:val="1"/>
      <w:marLeft w:val="0"/>
      <w:marRight w:val="0"/>
      <w:marTop w:val="0"/>
      <w:marBottom w:val="0"/>
      <w:divBdr>
        <w:top w:val="none" w:sz="0" w:space="0" w:color="auto"/>
        <w:left w:val="none" w:sz="0" w:space="0" w:color="auto"/>
        <w:bottom w:val="none" w:sz="0" w:space="0" w:color="auto"/>
        <w:right w:val="none" w:sz="0" w:space="0" w:color="auto"/>
      </w:divBdr>
    </w:div>
    <w:div w:id="455831377">
      <w:bodyDiv w:val="1"/>
      <w:marLeft w:val="0"/>
      <w:marRight w:val="0"/>
      <w:marTop w:val="0"/>
      <w:marBottom w:val="0"/>
      <w:divBdr>
        <w:top w:val="none" w:sz="0" w:space="0" w:color="auto"/>
        <w:left w:val="none" w:sz="0" w:space="0" w:color="auto"/>
        <w:bottom w:val="none" w:sz="0" w:space="0" w:color="auto"/>
        <w:right w:val="none" w:sz="0" w:space="0" w:color="auto"/>
      </w:divBdr>
    </w:div>
    <w:div w:id="456607651">
      <w:bodyDiv w:val="1"/>
      <w:marLeft w:val="0"/>
      <w:marRight w:val="0"/>
      <w:marTop w:val="0"/>
      <w:marBottom w:val="0"/>
      <w:divBdr>
        <w:top w:val="none" w:sz="0" w:space="0" w:color="auto"/>
        <w:left w:val="none" w:sz="0" w:space="0" w:color="auto"/>
        <w:bottom w:val="none" w:sz="0" w:space="0" w:color="auto"/>
        <w:right w:val="none" w:sz="0" w:space="0" w:color="auto"/>
      </w:divBdr>
    </w:div>
    <w:div w:id="456679714">
      <w:bodyDiv w:val="1"/>
      <w:marLeft w:val="0"/>
      <w:marRight w:val="0"/>
      <w:marTop w:val="0"/>
      <w:marBottom w:val="0"/>
      <w:divBdr>
        <w:top w:val="none" w:sz="0" w:space="0" w:color="auto"/>
        <w:left w:val="none" w:sz="0" w:space="0" w:color="auto"/>
        <w:bottom w:val="none" w:sz="0" w:space="0" w:color="auto"/>
        <w:right w:val="none" w:sz="0" w:space="0" w:color="auto"/>
      </w:divBdr>
    </w:div>
    <w:div w:id="461122719">
      <w:bodyDiv w:val="1"/>
      <w:marLeft w:val="0"/>
      <w:marRight w:val="0"/>
      <w:marTop w:val="0"/>
      <w:marBottom w:val="0"/>
      <w:divBdr>
        <w:top w:val="none" w:sz="0" w:space="0" w:color="auto"/>
        <w:left w:val="none" w:sz="0" w:space="0" w:color="auto"/>
        <w:bottom w:val="none" w:sz="0" w:space="0" w:color="auto"/>
        <w:right w:val="none" w:sz="0" w:space="0" w:color="auto"/>
      </w:divBdr>
    </w:div>
    <w:div w:id="473064847">
      <w:bodyDiv w:val="1"/>
      <w:marLeft w:val="0"/>
      <w:marRight w:val="0"/>
      <w:marTop w:val="0"/>
      <w:marBottom w:val="0"/>
      <w:divBdr>
        <w:top w:val="none" w:sz="0" w:space="0" w:color="auto"/>
        <w:left w:val="none" w:sz="0" w:space="0" w:color="auto"/>
        <w:bottom w:val="none" w:sz="0" w:space="0" w:color="auto"/>
        <w:right w:val="none" w:sz="0" w:space="0" w:color="auto"/>
      </w:divBdr>
    </w:div>
    <w:div w:id="475610558">
      <w:bodyDiv w:val="1"/>
      <w:marLeft w:val="0"/>
      <w:marRight w:val="0"/>
      <w:marTop w:val="0"/>
      <w:marBottom w:val="0"/>
      <w:divBdr>
        <w:top w:val="none" w:sz="0" w:space="0" w:color="auto"/>
        <w:left w:val="none" w:sz="0" w:space="0" w:color="auto"/>
        <w:bottom w:val="none" w:sz="0" w:space="0" w:color="auto"/>
        <w:right w:val="none" w:sz="0" w:space="0" w:color="auto"/>
      </w:divBdr>
    </w:div>
    <w:div w:id="487863932">
      <w:bodyDiv w:val="1"/>
      <w:marLeft w:val="0"/>
      <w:marRight w:val="0"/>
      <w:marTop w:val="0"/>
      <w:marBottom w:val="0"/>
      <w:divBdr>
        <w:top w:val="none" w:sz="0" w:space="0" w:color="auto"/>
        <w:left w:val="none" w:sz="0" w:space="0" w:color="auto"/>
        <w:bottom w:val="none" w:sz="0" w:space="0" w:color="auto"/>
        <w:right w:val="none" w:sz="0" w:space="0" w:color="auto"/>
      </w:divBdr>
    </w:div>
    <w:div w:id="488444161">
      <w:bodyDiv w:val="1"/>
      <w:marLeft w:val="0"/>
      <w:marRight w:val="0"/>
      <w:marTop w:val="0"/>
      <w:marBottom w:val="0"/>
      <w:divBdr>
        <w:top w:val="none" w:sz="0" w:space="0" w:color="auto"/>
        <w:left w:val="none" w:sz="0" w:space="0" w:color="auto"/>
        <w:bottom w:val="none" w:sz="0" w:space="0" w:color="auto"/>
        <w:right w:val="none" w:sz="0" w:space="0" w:color="auto"/>
      </w:divBdr>
    </w:div>
    <w:div w:id="490173486">
      <w:bodyDiv w:val="1"/>
      <w:marLeft w:val="0"/>
      <w:marRight w:val="0"/>
      <w:marTop w:val="0"/>
      <w:marBottom w:val="0"/>
      <w:divBdr>
        <w:top w:val="none" w:sz="0" w:space="0" w:color="auto"/>
        <w:left w:val="none" w:sz="0" w:space="0" w:color="auto"/>
        <w:bottom w:val="none" w:sz="0" w:space="0" w:color="auto"/>
        <w:right w:val="none" w:sz="0" w:space="0" w:color="auto"/>
      </w:divBdr>
    </w:div>
    <w:div w:id="502477477">
      <w:bodyDiv w:val="1"/>
      <w:marLeft w:val="0"/>
      <w:marRight w:val="0"/>
      <w:marTop w:val="0"/>
      <w:marBottom w:val="0"/>
      <w:divBdr>
        <w:top w:val="none" w:sz="0" w:space="0" w:color="auto"/>
        <w:left w:val="none" w:sz="0" w:space="0" w:color="auto"/>
        <w:bottom w:val="none" w:sz="0" w:space="0" w:color="auto"/>
        <w:right w:val="none" w:sz="0" w:space="0" w:color="auto"/>
      </w:divBdr>
    </w:div>
    <w:div w:id="503278961">
      <w:bodyDiv w:val="1"/>
      <w:marLeft w:val="0"/>
      <w:marRight w:val="0"/>
      <w:marTop w:val="0"/>
      <w:marBottom w:val="0"/>
      <w:divBdr>
        <w:top w:val="none" w:sz="0" w:space="0" w:color="auto"/>
        <w:left w:val="none" w:sz="0" w:space="0" w:color="auto"/>
        <w:bottom w:val="none" w:sz="0" w:space="0" w:color="auto"/>
        <w:right w:val="none" w:sz="0" w:space="0" w:color="auto"/>
      </w:divBdr>
    </w:div>
    <w:div w:id="504128445">
      <w:bodyDiv w:val="1"/>
      <w:marLeft w:val="0"/>
      <w:marRight w:val="0"/>
      <w:marTop w:val="0"/>
      <w:marBottom w:val="0"/>
      <w:divBdr>
        <w:top w:val="none" w:sz="0" w:space="0" w:color="auto"/>
        <w:left w:val="none" w:sz="0" w:space="0" w:color="auto"/>
        <w:bottom w:val="none" w:sz="0" w:space="0" w:color="auto"/>
        <w:right w:val="none" w:sz="0" w:space="0" w:color="auto"/>
      </w:divBdr>
    </w:div>
    <w:div w:id="504319559">
      <w:bodyDiv w:val="1"/>
      <w:marLeft w:val="0"/>
      <w:marRight w:val="0"/>
      <w:marTop w:val="0"/>
      <w:marBottom w:val="0"/>
      <w:divBdr>
        <w:top w:val="none" w:sz="0" w:space="0" w:color="auto"/>
        <w:left w:val="none" w:sz="0" w:space="0" w:color="auto"/>
        <w:bottom w:val="none" w:sz="0" w:space="0" w:color="auto"/>
        <w:right w:val="none" w:sz="0" w:space="0" w:color="auto"/>
      </w:divBdr>
    </w:div>
    <w:div w:id="506212671">
      <w:bodyDiv w:val="1"/>
      <w:marLeft w:val="0"/>
      <w:marRight w:val="0"/>
      <w:marTop w:val="0"/>
      <w:marBottom w:val="0"/>
      <w:divBdr>
        <w:top w:val="none" w:sz="0" w:space="0" w:color="auto"/>
        <w:left w:val="none" w:sz="0" w:space="0" w:color="auto"/>
        <w:bottom w:val="none" w:sz="0" w:space="0" w:color="auto"/>
        <w:right w:val="none" w:sz="0" w:space="0" w:color="auto"/>
      </w:divBdr>
    </w:div>
    <w:div w:id="508372373">
      <w:bodyDiv w:val="1"/>
      <w:marLeft w:val="0"/>
      <w:marRight w:val="0"/>
      <w:marTop w:val="0"/>
      <w:marBottom w:val="0"/>
      <w:divBdr>
        <w:top w:val="none" w:sz="0" w:space="0" w:color="auto"/>
        <w:left w:val="none" w:sz="0" w:space="0" w:color="auto"/>
        <w:bottom w:val="none" w:sz="0" w:space="0" w:color="auto"/>
        <w:right w:val="none" w:sz="0" w:space="0" w:color="auto"/>
      </w:divBdr>
    </w:div>
    <w:div w:id="509221977">
      <w:bodyDiv w:val="1"/>
      <w:marLeft w:val="0"/>
      <w:marRight w:val="0"/>
      <w:marTop w:val="0"/>
      <w:marBottom w:val="0"/>
      <w:divBdr>
        <w:top w:val="none" w:sz="0" w:space="0" w:color="auto"/>
        <w:left w:val="none" w:sz="0" w:space="0" w:color="auto"/>
        <w:bottom w:val="none" w:sz="0" w:space="0" w:color="auto"/>
        <w:right w:val="none" w:sz="0" w:space="0" w:color="auto"/>
      </w:divBdr>
    </w:div>
    <w:div w:id="509494058">
      <w:bodyDiv w:val="1"/>
      <w:marLeft w:val="0"/>
      <w:marRight w:val="0"/>
      <w:marTop w:val="0"/>
      <w:marBottom w:val="0"/>
      <w:divBdr>
        <w:top w:val="none" w:sz="0" w:space="0" w:color="auto"/>
        <w:left w:val="none" w:sz="0" w:space="0" w:color="auto"/>
        <w:bottom w:val="none" w:sz="0" w:space="0" w:color="auto"/>
        <w:right w:val="none" w:sz="0" w:space="0" w:color="auto"/>
      </w:divBdr>
    </w:div>
    <w:div w:id="515074352">
      <w:bodyDiv w:val="1"/>
      <w:marLeft w:val="0"/>
      <w:marRight w:val="0"/>
      <w:marTop w:val="0"/>
      <w:marBottom w:val="0"/>
      <w:divBdr>
        <w:top w:val="none" w:sz="0" w:space="0" w:color="auto"/>
        <w:left w:val="none" w:sz="0" w:space="0" w:color="auto"/>
        <w:bottom w:val="none" w:sz="0" w:space="0" w:color="auto"/>
        <w:right w:val="none" w:sz="0" w:space="0" w:color="auto"/>
      </w:divBdr>
    </w:div>
    <w:div w:id="517430197">
      <w:bodyDiv w:val="1"/>
      <w:marLeft w:val="0"/>
      <w:marRight w:val="0"/>
      <w:marTop w:val="0"/>
      <w:marBottom w:val="0"/>
      <w:divBdr>
        <w:top w:val="none" w:sz="0" w:space="0" w:color="auto"/>
        <w:left w:val="none" w:sz="0" w:space="0" w:color="auto"/>
        <w:bottom w:val="none" w:sz="0" w:space="0" w:color="auto"/>
        <w:right w:val="none" w:sz="0" w:space="0" w:color="auto"/>
      </w:divBdr>
    </w:div>
    <w:div w:id="520630394">
      <w:bodyDiv w:val="1"/>
      <w:marLeft w:val="0"/>
      <w:marRight w:val="0"/>
      <w:marTop w:val="0"/>
      <w:marBottom w:val="0"/>
      <w:divBdr>
        <w:top w:val="none" w:sz="0" w:space="0" w:color="auto"/>
        <w:left w:val="none" w:sz="0" w:space="0" w:color="auto"/>
        <w:bottom w:val="none" w:sz="0" w:space="0" w:color="auto"/>
        <w:right w:val="none" w:sz="0" w:space="0" w:color="auto"/>
      </w:divBdr>
    </w:div>
    <w:div w:id="523206604">
      <w:bodyDiv w:val="1"/>
      <w:marLeft w:val="0"/>
      <w:marRight w:val="0"/>
      <w:marTop w:val="0"/>
      <w:marBottom w:val="0"/>
      <w:divBdr>
        <w:top w:val="none" w:sz="0" w:space="0" w:color="auto"/>
        <w:left w:val="none" w:sz="0" w:space="0" w:color="auto"/>
        <w:bottom w:val="none" w:sz="0" w:space="0" w:color="auto"/>
        <w:right w:val="none" w:sz="0" w:space="0" w:color="auto"/>
      </w:divBdr>
    </w:div>
    <w:div w:id="523909174">
      <w:bodyDiv w:val="1"/>
      <w:marLeft w:val="0"/>
      <w:marRight w:val="0"/>
      <w:marTop w:val="0"/>
      <w:marBottom w:val="0"/>
      <w:divBdr>
        <w:top w:val="none" w:sz="0" w:space="0" w:color="auto"/>
        <w:left w:val="none" w:sz="0" w:space="0" w:color="auto"/>
        <w:bottom w:val="none" w:sz="0" w:space="0" w:color="auto"/>
        <w:right w:val="none" w:sz="0" w:space="0" w:color="auto"/>
      </w:divBdr>
    </w:div>
    <w:div w:id="526069898">
      <w:bodyDiv w:val="1"/>
      <w:marLeft w:val="0"/>
      <w:marRight w:val="0"/>
      <w:marTop w:val="0"/>
      <w:marBottom w:val="0"/>
      <w:divBdr>
        <w:top w:val="none" w:sz="0" w:space="0" w:color="auto"/>
        <w:left w:val="none" w:sz="0" w:space="0" w:color="auto"/>
        <w:bottom w:val="none" w:sz="0" w:space="0" w:color="auto"/>
        <w:right w:val="none" w:sz="0" w:space="0" w:color="auto"/>
      </w:divBdr>
    </w:div>
    <w:div w:id="527377021">
      <w:bodyDiv w:val="1"/>
      <w:marLeft w:val="0"/>
      <w:marRight w:val="0"/>
      <w:marTop w:val="0"/>
      <w:marBottom w:val="0"/>
      <w:divBdr>
        <w:top w:val="none" w:sz="0" w:space="0" w:color="auto"/>
        <w:left w:val="none" w:sz="0" w:space="0" w:color="auto"/>
        <w:bottom w:val="none" w:sz="0" w:space="0" w:color="auto"/>
        <w:right w:val="none" w:sz="0" w:space="0" w:color="auto"/>
      </w:divBdr>
    </w:div>
    <w:div w:id="534385447">
      <w:bodyDiv w:val="1"/>
      <w:marLeft w:val="0"/>
      <w:marRight w:val="0"/>
      <w:marTop w:val="0"/>
      <w:marBottom w:val="0"/>
      <w:divBdr>
        <w:top w:val="none" w:sz="0" w:space="0" w:color="auto"/>
        <w:left w:val="none" w:sz="0" w:space="0" w:color="auto"/>
        <w:bottom w:val="none" w:sz="0" w:space="0" w:color="auto"/>
        <w:right w:val="none" w:sz="0" w:space="0" w:color="auto"/>
      </w:divBdr>
    </w:div>
    <w:div w:id="534732529">
      <w:bodyDiv w:val="1"/>
      <w:marLeft w:val="0"/>
      <w:marRight w:val="0"/>
      <w:marTop w:val="0"/>
      <w:marBottom w:val="0"/>
      <w:divBdr>
        <w:top w:val="none" w:sz="0" w:space="0" w:color="auto"/>
        <w:left w:val="none" w:sz="0" w:space="0" w:color="auto"/>
        <w:bottom w:val="none" w:sz="0" w:space="0" w:color="auto"/>
        <w:right w:val="none" w:sz="0" w:space="0" w:color="auto"/>
      </w:divBdr>
    </w:div>
    <w:div w:id="539898801">
      <w:bodyDiv w:val="1"/>
      <w:marLeft w:val="0"/>
      <w:marRight w:val="0"/>
      <w:marTop w:val="0"/>
      <w:marBottom w:val="0"/>
      <w:divBdr>
        <w:top w:val="none" w:sz="0" w:space="0" w:color="auto"/>
        <w:left w:val="none" w:sz="0" w:space="0" w:color="auto"/>
        <w:bottom w:val="none" w:sz="0" w:space="0" w:color="auto"/>
        <w:right w:val="none" w:sz="0" w:space="0" w:color="auto"/>
      </w:divBdr>
    </w:div>
    <w:div w:id="544416374">
      <w:bodyDiv w:val="1"/>
      <w:marLeft w:val="0"/>
      <w:marRight w:val="0"/>
      <w:marTop w:val="0"/>
      <w:marBottom w:val="0"/>
      <w:divBdr>
        <w:top w:val="none" w:sz="0" w:space="0" w:color="auto"/>
        <w:left w:val="none" w:sz="0" w:space="0" w:color="auto"/>
        <w:bottom w:val="none" w:sz="0" w:space="0" w:color="auto"/>
        <w:right w:val="none" w:sz="0" w:space="0" w:color="auto"/>
      </w:divBdr>
    </w:div>
    <w:div w:id="547450438">
      <w:bodyDiv w:val="1"/>
      <w:marLeft w:val="0"/>
      <w:marRight w:val="0"/>
      <w:marTop w:val="0"/>
      <w:marBottom w:val="0"/>
      <w:divBdr>
        <w:top w:val="none" w:sz="0" w:space="0" w:color="auto"/>
        <w:left w:val="none" w:sz="0" w:space="0" w:color="auto"/>
        <w:bottom w:val="none" w:sz="0" w:space="0" w:color="auto"/>
        <w:right w:val="none" w:sz="0" w:space="0" w:color="auto"/>
      </w:divBdr>
    </w:div>
    <w:div w:id="551238179">
      <w:bodyDiv w:val="1"/>
      <w:marLeft w:val="0"/>
      <w:marRight w:val="0"/>
      <w:marTop w:val="0"/>
      <w:marBottom w:val="0"/>
      <w:divBdr>
        <w:top w:val="none" w:sz="0" w:space="0" w:color="auto"/>
        <w:left w:val="none" w:sz="0" w:space="0" w:color="auto"/>
        <w:bottom w:val="none" w:sz="0" w:space="0" w:color="auto"/>
        <w:right w:val="none" w:sz="0" w:space="0" w:color="auto"/>
      </w:divBdr>
    </w:div>
    <w:div w:id="557009441">
      <w:bodyDiv w:val="1"/>
      <w:marLeft w:val="0"/>
      <w:marRight w:val="0"/>
      <w:marTop w:val="0"/>
      <w:marBottom w:val="0"/>
      <w:divBdr>
        <w:top w:val="none" w:sz="0" w:space="0" w:color="auto"/>
        <w:left w:val="none" w:sz="0" w:space="0" w:color="auto"/>
        <w:bottom w:val="none" w:sz="0" w:space="0" w:color="auto"/>
        <w:right w:val="none" w:sz="0" w:space="0" w:color="auto"/>
      </w:divBdr>
    </w:div>
    <w:div w:id="558445199">
      <w:bodyDiv w:val="1"/>
      <w:marLeft w:val="0"/>
      <w:marRight w:val="0"/>
      <w:marTop w:val="0"/>
      <w:marBottom w:val="0"/>
      <w:divBdr>
        <w:top w:val="none" w:sz="0" w:space="0" w:color="auto"/>
        <w:left w:val="none" w:sz="0" w:space="0" w:color="auto"/>
        <w:bottom w:val="none" w:sz="0" w:space="0" w:color="auto"/>
        <w:right w:val="none" w:sz="0" w:space="0" w:color="auto"/>
      </w:divBdr>
    </w:div>
    <w:div w:id="564337282">
      <w:bodyDiv w:val="1"/>
      <w:marLeft w:val="0"/>
      <w:marRight w:val="0"/>
      <w:marTop w:val="0"/>
      <w:marBottom w:val="0"/>
      <w:divBdr>
        <w:top w:val="none" w:sz="0" w:space="0" w:color="auto"/>
        <w:left w:val="none" w:sz="0" w:space="0" w:color="auto"/>
        <w:bottom w:val="none" w:sz="0" w:space="0" w:color="auto"/>
        <w:right w:val="none" w:sz="0" w:space="0" w:color="auto"/>
      </w:divBdr>
    </w:div>
    <w:div w:id="581179326">
      <w:bodyDiv w:val="1"/>
      <w:marLeft w:val="0"/>
      <w:marRight w:val="0"/>
      <w:marTop w:val="0"/>
      <w:marBottom w:val="0"/>
      <w:divBdr>
        <w:top w:val="none" w:sz="0" w:space="0" w:color="auto"/>
        <w:left w:val="none" w:sz="0" w:space="0" w:color="auto"/>
        <w:bottom w:val="none" w:sz="0" w:space="0" w:color="auto"/>
        <w:right w:val="none" w:sz="0" w:space="0" w:color="auto"/>
      </w:divBdr>
    </w:div>
    <w:div w:id="582374442">
      <w:bodyDiv w:val="1"/>
      <w:marLeft w:val="0"/>
      <w:marRight w:val="0"/>
      <w:marTop w:val="0"/>
      <w:marBottom w:val="0"/>
      <w:divBdr>
        <w:top w:val="none" w:sz="0" w:space="0" w:color="auto"/>
        <w:left w:val="none" w:sz="0" w:space="0" w:color="auto"/>
        <w:bottom w:val="none" w:sz="0" w:space="0" w:color="auto"/>
        <w:right w:val="none" w:sz="0" w:space="0" w:color="auto"/>
      </w:divBdr>
    </w:div>
    <w:div w:id="582446504">
      <w:bodyDiv w:val="1"/>
      <w:marLeft w:val="0"/>
      <w:marRight w:val="0"/>
      <w:marTop w:val="0"/>
      <w:marBottom w:val="0"/>
      <w:divBdr>
        <w:top w:val="none" w:sz="0" w:space="0" w:color="auto"/>
        <w:left w:val="none" w:sz="0" w:space="0" w:color="auto"/>
        <w:bottom w:val="none" w:sz="0" w:space="0" w:color="auto"/>
        <w:right w:val="none" w:sz="0" w:space="0" w:color="auto"/>
      </w:divBdr>
    </w:div>
    <w:div w:id="586381386">
      <w:bodyDiv w:val="1"/>
      <w:marLeft w:val="0"/>
      <w:marRight w:val="0"/>
      <w:marTop w:val="0"/>
      <w:marBottom w:val="0"/>
      <w:divBdr>
        <w:top w:val="none" w:sz="0" w:space="0" w:color="auto"/>
        <w:left w:val="none" w:sz="0" w:space="0" w:color="auto"/>
        <w:bottom w:val="none" w:sz="0" w:space="0" w:color="auto"/>
        <w:right w:val="none" w:sz="0" w:space="0" w:color="auto"/>
      </w:divBdr>
    </w:div>
    <w:div w:id="587735375">
      <w:bodyDiv w:val="1"/>
      <w:marLeft w:val="0"/>
      <w:marRight w:val="0"/>
      <w:marTop w:val="0"/>
      <w:marBottom w:val="0"/>
      <w:divBdr>
        <w:top w:val="none" w:sz="0" w:space="0" w:color="auto"/>
        <w:left w:val="none" w:sz="0" w:space="0" w:color="auto"/>
        <w:bottom w:val="none" w:sz="0" w:space="0" w:color="auto"/>
        <w:right w:val="none" w:sz="0" w:space="0" w:color="auto"/>
      </w:divBdr>
    </w:div>
    <w:div w:id="592475194">
      <w:bodyDiv w:val="1"/>
      <w:marLeft w:val="0"/>
      <w:marRight w:val="0"/>
      <w:marTop w:val="0"/>
      <w:marBottom w:val="0"/>
      <w:divBdr>
        <w:top w:val="none" w:sz="0" w:space="0" w:color="auto"/>
        <w:left w:val="none" w:sz="0" w:space="0" w:color="auto"/>
        <w:bottom w:val="none" w:sz="0" w:space="0" w:color="auto"/>
        <w:right w:val="none" w:sz="0" w:space="0" w:color="auto"/>
      </w:divBdr>
    </w:div>
    <w:div w:id="594284789">
      <w:bodyDiv w:val="1"/>
      <w:marLeft w:val="0"/>
      <w:marRight w:val="0"/>
      <w:marTop w:val="0"/>
      <w:marBottom w:val="0"/>
      <w:divBdr>
        <w:top w:val="none" w:sz="0" w:space="0" w:color="auto"/>
        <w:left w:val="none" w:sz="0" w:space="0" w:color="auto"/>
        <w:bottom w:val="none" w:sz="0" w:space="0" w:color="auto"/>
        <w:right w:val="none" w:sz="0" w:space="0" w:color="auto"/>
      </w:divBdr>
    </w:div>
    <w:div w:id="594292021">
      <w:bodyDiv w:val="1"/>
      <w:marLeft w:val="0"/>
      <w:marRight w:val="0"/>
      <w:marTop w:val="0"/>
      <w:marBottom w:val="0"/>
      <w:divBdr>
        <w:top w:val="none" w:sz="0" w:space="0" w:color="auto"/>
        <w:left w:val="none" w:sz="0" w:space="0" w:color="auto"/>
        <w:bottom w:val="none" w:sz="0" w:space="0" w:color="auto"/>
        <w:right w:val="none" w:sz="0" w:space="0" w:color="auto"/>
      </w:divBdr>
    </w:div>
    <w:div w:id="598878041">
      <w:bodyDiv w:val="1"/>
      <w:marLeft w:val="0"/>
      <w:marRight w:val="0"/>
      <w:marTop w:val="0"/>
      <w:marBottom w:val="0"/>
      <w:divBdr>
        <w:top w:val="none" w:sz="0" w:space="0" w:color="auto"/>
        <w:left w:val="none" w:sz="0" w:space="0" w:color="auto"/>
        <w:bottom w:val="none" w:sz="0" w:space="0" w:color="auto"/>
        <w:right w:val="none" w:sz="0" w:space="0" w:color="auto"/>
      </w:divBdr>
    </w:div>
    <w:div w:id="599487761">
      <w:bodyDiv w:val="1"/>
      <w:marLeft w:val="0"/>
      <w:marRight w:val="0"/>
      <w:marTop w:val="0"/>
      <w:marBottom w:val="0"/>
      <w:divBdr>
        <w:top w:val="none" w:sz="0" w:space="0" w:color="auto"/>
        <w:left w:val="none" w:sz="0" w:space="0" w:color="auto"/>
        <w:bottom w:val="none" w:sz="0" w:space="0" w:color="auto"/>
        <w:right w:val="none" w:sz="0" w:space="0" w:color="auto"/>
      </w:divBdr>
    </w:div>
    <w:div w:id="601887481">
      <w:bodyDiv w:val="1"/>
      <w:marLeft w:val="0"/>
      <w:marRight w:val="0"/>
      <w:marTop w:val="0"/>
      <w:marBottom w:val="0"/>
      <w:divBdr>
        <w:top w:val="none" w:sz="0" w:space="0" w:color="auto"/>
        <w:left w:val="none" w:sz="0" w:space="0" w:color="auto"/>
        <w:bottom w:val="none" w:sz="0" w:space="0" w:color="auto"/>
        <w:right w:val="none" w:sz="0" w:space="0" w:color="auto"/>
      </w:divBdr>
    </w:div>
    <w:div w:id="603073025">
      <w:bodyDiv w:val="1"/>
      <w:marLeft w:val="0"/>
      <w:marRight w:val="0"/>
      <w:marTop w:val="0"/>
      <w:marBottom w:val="0"/>
      <w:divBdr>
        <w:top w:val="none" w:sz="0" w:space="0" w:color="auto"/>
        <w:left w:val="none" w:sz="0" w:space="0" w:color="auto"/>
        <w:bottom w:val="none" w:sz="0" w:space="0" w:color="auto"/>
        <w:right w:val="none" w:sz="0" w:space="0" w:color="auto"/>
      </w:divBdr>
    </w:div>
    <w:div w:id="608857471">
      <w:bodyDiv w:val="1"/>
      <w:marLeft w:val="0"/>
      <w:marRight w:val="0"/>
      <w:marTop w:val="0"/>
      <w:marBottom w:val="0"/>
      <w:divBdr>
        <w:top w:val="none" w:sz="0" w:space="0" w:color="auto"/>
        <w:left w:val="none" w:sz="0" w:space="0" w:color="auto"/>
        <w:bottom w:val="none" w:sz="0" w:space="0" w:color="auto"/>
        <w:right w:val="none" w:sz="0" w:space="0" w:color="auto"/>
      </w:divBdr>
    </w:div>
    <w:div w:id="617302832">
      <w:bodyDiv w:val="1"/>
      <w:marLeft w:val="0"/>
      <w:marRight w:val="0"/>
      <w:marTop w:val="0"/>
      <w:marBottom w:val="0"/>
      <w:divBdr>
        <w:top w:val="none" w:sz="0" w:space="0" w:color="auto"/>
        <w:left w:val="none" w:sz="0" w:space="0" w:color="auto"/>
        <w:bottom w:val="none" w:sz="0" w:space="0" w:color="auto"/>
        <w:right w:val="none" w:sz="0" w:space="0" w:color="auto"/>
      </w:divBdr>
    </w:div>
    <w:div w:id="619848559">
      <w:bodyDiv w:val="1"/>
      <w:marLeft w:val="0"/>
      <w:marRight w:val="0"/>
      <w:marTop w:val="0"/>
      <w:marBottom w:val="0"/>
      <w:divBdr>
        <w:top w:val="none" w:sz="0" w:space="0" w:color="auto"/>
        <w:left w:val="none" w:sz="0" w:space="0" w:color="auto"/>
        <w:bottom w:val="none" w:sz="0" w:space="0" w:color="auto"/>
        <w:right w:val="none" w:sz="0" w:space="0" w:color="auto"/>
      </w:divBdr>
    </w:div>
    <w:div w:id="621422198">
      <w:bodyDiv w:val="1"/>
      <w:marLeft w:val="0"/>
      <w:marRight w:val="0"/>
      <w:marTop w:val="0"/>
      <w:marBottom w:val="0"/>
      <w:divBdr>
        <w:top w:val="none" w:sz="0" w:space="0" w:color="auto"/>
        <w:left w:val="none" w:sz="0" w:space="0" w:color="auto"/>
        <w:bottom w:val="none" w:sz="0" w:space="0" w:color="auto"/>
        <w:right w:val="none" w:sz="0" w:space="0" w:color="auto"/>
      </w:divBdr>
    </w:div>
    <w:div w:id="625159596">
      <w:bodyDiv w:val="1"/>
      <w:marLeft w:val="0"/>
      <w:marRight w:val="0"/>
      <w:marTop w:val="0"/>
      <w:marBottom w:val="0"/>
      <w:divBdr>
        <w:top w:val="none" w:sz="0" w:space="0" w:color="auto"/>
        <w:left w:val="none" w:sz="0" w:space="0" w:color="auto"/>
        <w:bottom w:val="none" w:sz="0" w:space="0" w:color="auto"/>
        <w:right w:val="none" w:sz="0" w:space="0" w:color="auto"/>
      </w:divBdr>
    </w:div>
    <w:div w:id="625427975">
      <w:bodyDiv w:val="1"/>
      <w:marLeft w:val="0"/>
      <w:marRight w:val="0"/>
      <w:marTop w:val="0"/>
      <w:marBottom w:val="0"/>
      <w:divBdr>
        <w:top w:val="none" w:sz="0" w:space="0" w:color="auto"/>
        <w:left w:val="none" w:sz="0" w:space="0" w:color="auto"/>
        <w:bottom w:val="none" w:sz="0" w:space="0" w:color="auto"/>
        <w:right w:val="none" w:sz="0" w:space="0" w:color="auto"/>
      </w:divBdr>
    </w:div>
    <w:div w:id="626203885">
      <w:bodyDiv w:val="1"/>
      <w:marLeft w:val="0"/>
      <w:marRight w:val="0"/>
      <w:marTop w:val="0"/>
      <w:marBottom w:val="0"/>
      <w:divBdr>
        <w:top w:val="none" w:sz="0" w:space="0" w:color="auto"/>
        <w:left w:val="none" w:sz="0" w:space="0" w:color="auto"/>
        <w:bottom w:val="none" w:sz="0" w:space="0" w:color="auto"/>
        <w:right w:val="none" w:sz="0" w:space="0" w:color="auto"/>
      </w:divBdr>
    </w:div>
    <w:div w:id="628123238">
      <w:bodyDiv w:val="1"/>
      <w:marLeft w:val="0"/>
      <w:marRight w:val="0"/>
      <w:marTop w:val="0"/>
      <w:marBottom w:val="0"/>
      <w:divBdr>
        <w:top w:val="none" w:sz="0" w:space="0" w:color="auto"/>
        <w:left w:val="none" w:sz="0" w:space="0" w:color="auto"/>
        <w:bottom w:val="none" w:sz="0" w:space="0" w:color="auto"/>
        <w:right w:val="none" w:sz="0" w:space="0" w:color="auto"/>
      </w:divBdr>
    </w:div>
    <w:div w:id="630407371">
      <w:bodyDiv w:val="1"/>
      <w:marLeft w:val="0"/>
      <w:marRight w:val="0"/>
      <w:marTop w:val="0"/>
      <w:marBottom w:val="0"/>
      <w:divBdr>
        <w:top w:val="none" w:sz="0" w:space="0" w:color="auto"/>
        <w:left w:val="none" w:sz="0" w:space="0" w:color="auto"/>
        <w:bottom w:val="none" w:sz="0" w:space="0" w:color="auto"/>
        <w:right w:val="none" w:sz="0" w:space="0" w:color="auto"/>
      </w:divBdr>
    </w:div>
    <w:div w:id="632712771">
      <w:bodyDiv w:val="1"/>
      <w:marLeft w:val="0"/>
      <w:marRight w:val="0"/>
      <w:marTop w:val="0"/>
      <w:marBottom w:val="0"/>
      <w:divBdr>
        <w:top w:val="none" w:sz="0" w:space="0" w:color="auto"/>
        <w:left w:val="none" w:sz="0" w:space="0" w:color="auto"/>
        <w:bottom w:val="none" w:sz="0" w:space="0" w:color="auto"/>
        <w:right w:val="none" w:sz="0" w:space="0" w:color="auto"/>
      </w:divBdr>
    </w:div>
    <w:div w:id="637496836">
      <w:bodyDiv w:val="1"/>
      <w:marLeft w:val="0"/>
      <w:marRight w:val="0"/>
      <w:marTop w:val="0"/>
      <w:marBottom w:val="0"/>
      <w:divBdr>
        <w:top w:val="none" w:sz="0" w:space="0" w:color="auto"/>
        <w:left w:val="none" w:sz="0" w:space="0" w:color="auto"/>
        <w:bottom w:val="none" w:sz="0" w:space="0" w:color="auto"/>
        <w:right w:val="none" w:sz="0" w:space="0" w:color="auto"/>
      </w:divBdr>
    </w:div>
    <w:div w:id="638457695">
      <w:bodyDiv w:val="1"/>
      <w:marLeft w:val="0"/>
      <w:marRight w:val="0"/>
      <w:marTop w:val="0"/>
      <w:marBottom w:val="0"/>
      <w:divBdr>
        <w:top w:val="none" w:sz="0" w:space="0" w:color="auto"/>
        <w:left w:val="none" w:sz="0" w:space="0" w:color="auto"/>
        <w:bottom w:val="none" w:sz="0" w:space="0" w:color="auto"/>
        <w:right w:val="none" w:sz="0" w:space="0" w:color="auto"/>
      </w:divBdr>
    </w:div>
    <w:div w:id="638804639">
      <w:bodyDiv w:val="1"/>
      <w:marLeft w:val="0"/>
      <w:marRight w:val="0"/>
      <w:marTop w:val="0"/>
      <w:marBottom w:val="0"/>
      <w:divBdr>
        <w:top w:val="none" w:sz="0" w:space="0" w:color="auto"/>
        <w:left w:val="none" w:sz="0" w:space="0" w:color="auto"/>
        <w:bottom w:val="none" w:sz="0" w:space="0" w:color="auto"/>
        <w:right w:val="none" w:sz="0" w:space="0" w:color="auto"/>
      </w:divBdr>
    </w:div>
    <w:div w:id="641153113">
      <w:bodyDiv w:val="1"/>
      <w:marLeft w:val="0"/>
      <w:marRight w:val="0"/>
      <w:marTop w:val="0"/>
      <w:marBottom w:val="0"/>
      <w:divBdr>
        <w:top w:val="none" w:sz="0" w:space="0" w:color="auto"/>
        <w:left w:val="none" w:sz="0" w:space="0" w:color="auto"/>
        <w:bottom w:val="none" w:sz="0" w:space="0" w:color="auto"/>
        <w:right w:val="none" w:sz="0" w:space="0" w:color="auto"/>
      </w:divBdr>
    </w:div>
    <w:div w:id="647980658">
      <w:bodyDiv w:val="1"/>
      <w:marLeft w:val="0"/>
      <w:marRight w:val="0"/>
      <w:marTop w:val="0"/>
      <w:marBottom w:val="0"/>
      <w:divBdr>
        <w:top w:val="none" w:sz="0" w:space="0" w:color="auto"/>
        <w:left w:val="none" w:sz="0" w:space="0" w:color="auto"/>
        <w:bottom w:val="none" w:sz="0" w:space="0" w:color="auto"/>
        <w:right w:val="none" w:sz="0" w:space="0" w:color="auto"/>
      </w:divBdr>
    </w:div>
    <w:div w:id="649797085">
      <w:bodyDiv w:val="1"/>
      <w:marLeft w:val="0"/>
      <w:marRight w:val="0"/>
      <w:marTop w:val="0"/>
      <w:marBottom w:val="0"/>
      <w:divBdr>
        <w:top w:val="none" w:sz="0" w:space="0" w:color="auto"/>
        <w:left w:val="none" w:sz="0" w:space="0" w:color="auto"/>
        <w:bottom w:val="none" w:sz="0" w:space="0" w:color="auto"/>
        <w:right w:val="none" w:sz="0" w:space="0" w:color="auto"/>
      </w:divBdr>
    </w:div>
    <w:div w:id="656765322">
      <w:bodyDiv w:val="1"/>
      <w:marLeft w:val="0"/>
      <w:marRight w:val="0"/>
      <w:marTop w:val="0"/>
      <w:marBottom w:val="0"/>
      <w:divBdr>
        <w:top w:val="none" w:sz="0" w:space="0" w:color="auto"/>
        <w:left w:val="none" w:sz="0" w:space="0" w:color="auto"/>
        <w:bottom w:val="none" w:sz="0" w:space="0" w:color="auto"/>
        <w:right w:val="none" w:sz="0" w:space="0" w:color="auto"/>
      </w:divBdr>
    </w:div>
    <w:div w:id="665982579">
      <w:bodyDiv w:val="1"/>
      <w:marLeft w:val="0"/>
      <w:marRight w:val="0"/>
      <w:marTop w:val="0"/>
      <w:marBottom w:val="0"/>
      <w:divBdr>
        <w:top w:val="none" w:sz="0" w:space="0" w:color="auto"/>
        <w:left w:val="none" w:sz="0" w:space="0" w:color="auto"/>
        <w:bottom w:val="none" w:sz="0" w:space="0" w:color="auto"/>
        <w:right w:val="none" w:sz="0" w:space="0" w:color="auto"/>
      </w:divBdr>
    </w:div>
    <w:div w:id="667951341">
      <w:bodyDiv w:val="1"/>
      <w:marLeft w:val="0"/>
      <w:marRight w:val="0"/>
      <w:marTop w:val="0"/>
      <w:marBottom w:val="0"/>
      <w:divBdr>
        <w:top w:val="none" w:sz="0" w:space="0" w:color="auto"/>
        <w:left w:val="none" w:sz="0" w:space="0" w:color="auto"/>
        <w:bottom w:val="none" w:sz="0" w:space="0" w:color="auto"/>
        <w:right w:val="none" w:sz="0" w:space="0" w:color="auto"/>
      </w:divBdr>
    </w:div>
    <w:div w:id="669914674">
      <w:bodyDiv w:val="1"/>
      <w:marLeft w:val="0"/>
      <w:marRight w:val="0"/>
      <w:marTop w:val="0"/>
      <w:marBottom w:val="0"/>
      <w:divBdr>
        <w:top w:val="none" w:sz="0" w:space="0" w:color="auto"/>
        <w:left w:val="none" w:sz="0" w:space="0" w:color="auto"/>
        <w:bottom w:val="none" w:sz="0" w:space="0" w:color="auto"/>
        <w:right w:val="none" w:sz="0" w:space="0" w:color="auto"/>
      </w:divBdr>
    </w:div>
    <w:div w:id="674768837">
      <w:bodyDiv w:val="1"/>
      <w:marLeft w:val="0"/>
      <w:marRight w:val="0"/>
      <w:marTop w:val="0"/>
      <w:marBottom w:val="0"/>
      <w:divBdr>
        <w:top w:val="none" w:sz="0" w:space="0" w:color="auto"/>
        <w:left w:val="none" w:sz="0" w:space="0" w:color="auto"/>
        <w:bottom w:val="none" w:sz="0" w:space="0" w:color="auto"/>
        <w:right w:val="none" w:sz="0" w:space="0" w:color="auto"/>
      </w:divBdr>
    </w:div>
    <w:div w:id="676082874">
      <w:bodyDiv w:val="1"/>
      <w:marLeft w:val="0"/>
      <w:marRight w:val="0"/>
      <w:marTop w:val="0"/>
      <w:marBottom w:val="0"/>
      <w:divBdr>
        <w:top w:val="none" w:sz="0" w:space="0" w:color="auto"/>
        <w:left w:val="none" w:sz="0" w:space="0" w:color="auto"/>
        <w:bottom w:val="none" w:sz="0" w:space="0" w:color="auto"/>
        <w:right w:val="none" w:sz="0" w:space="0" w:color="auto"/>
      </w:divBdr>
    </w:div>
    <w:div w:id="676231886">
      <w:bodyDiv w:val="1"/>
      <w:marLeft w:val="0"/>
      <w:marRight w:val="0"/>
      <w:marTop w:val="0"/>
      <w:marBottom w:val="0"/>
      <w:divBdr>
        <w:top w:val="none" w:sz="0" w:space="0" w:color="auto"/>
        <w:left w:val="none" w:sz="0" w:space="0" w:color="auto"/>
        <w:bottom w:val="none" w:sz="0" w:space="0" w:color="auto"/>
        <w:right w:val="none" w:sz="0" w:space="0" w:color="auto"/>
      </w:divBdr>
    </w:div>
    <w:div w:id="683170348">
      <w:bodyDiv w:val="1"/>
      <w:marLeft w:val="0"/>
      <w:marRight w:val="0"/>
      <w:marTop w:val="0"/>
      <w:marBottom w:val="0"/>
      <w:divBdr>
        <w:top w:val="none" w:sz="0" w:space="0" w:color="auto"/>
        <w:left w:val="none" w:sz="0" w:space="0" w:color="auto"/>
        <w:bottom w:val="none" w:sz="0" w:space="0" w:color="auto"/>
        <w:right w:val="none" w:sz="0" w:space="0" w:color="auto"/>
      </w:divBdr>
    </w:div>
    <w:div w:id="686298370">
      <w:bodyDiv w:val="1"/>
      <w:marLeft w:val="0"/>
      <w:marRight w:val="0"/>
      <w:marTop w:val="0"/>
      <w:marBottom w:val="0"/>
      <w:divBdr>
        <w:top w:val="none" w:sz="0" w:space="0" w:color="auto"/>
        <w:left w:val="none" w:sz="0" w:space="0" w:color="auto"/>
        <w:bottom w:val="none" w:sz="0" w:space="0" w:color="auto"/>
        <w:right w:val="none" w:sz="0" w:space="0" w:color="auto"/>
      </w:divBdr>
    </w:div>
    <w:div w:id="688406681">
      <w:bodyDiv w:val="1"/>
      <w:marLeft w:val="0"/>
      <w:marRight w:val="0"/>
      <w:marTop w:val="0"/>
      <w:marBottom w:val="0"/>
      <w:divBdr>
        <w:top w:val="none" w:sz="0" w:space="0" w:color="auto"/>
        <w:left w:val="none" w:sz="0" w:space="0" w:color="auto"/>
        <w:bottom w:val="none" w:sz="0" w:space="0" w:color="auto"/>
        <w:right w:val="none" w:sz="0" w:space="0" w:color="auto"/>
      </w:divBdr>
    </w:div>
    <w:div w:id="693574054">
      <w:bodyDiv w:val="1"/>
      <w:marLeft w:val="0"/>
      <w:marRight w:val="0"/>
      <w:marTop w:val="0"/>
      <w:marBottom w:val="0"/>
      <w:divBdr>
        <w:top w:val="none" w:sz="0" w:space="0" w:color="auto"/>
        <w:left w:val="none" w:sz="0" w:space="0" w:color="auto"/>
        <w:bottom w:val="none" w:sz="0" w:space="0" w:color="auto"/>
        <w:right w:val="none" w:sz="0" w:space="0" w:color="auto"/>
      </w:divBdr>
    </w:div>
    <w:div w:id="694577151">
      <w:bodyDiv w:val="1"/>
      <w:marLeft w:val="0"/>
      <w:marRight w:val="0"/>
      <w:marTop w:val="0"/>
      <w:marBottom w:val="0"/>
      <w:divBdr>
        <w:top w:val="none" w:sz="0" w:space="0" w:color="auto"/>
        <w:left w:val="none" w:sz="0" w:space="0" w:color="auto"/>
        <w:bottom w:val="none" w:sz="0" w:space="0" w:color="auto"/>
        <w:right w:val="none" w:sz="0" w:space="0" w:color="auto"/>
      </w:divBdr>
    </w:div>
    <w:div w:id="695737383">
      <w:bodyDiv w:val="1"/>
      <w:marLeft w:val="0"/>
      <w:marRight w:val="0"/>
      <w:marTop w:val="0"/>
      <w:marBottom w:val="0"/>
      <w:divBdr>
        <w:top w:val="none" w:sz="0" w:space="0" w:color="auto"/>
        <w:left w:val="none" w:sz="0" w:space="0" w:color="auto"/>
        <w:bottom w:val="none" w:sz="0" w:space="0" w:color="auto"/>
        <w:right w:val="none" w:sz="0" w:space="0" w:color="auto"/>
      </w:divBdr>
    </w:div>
    <w:div w:id="696350275">
      <w:bodyDiv w:val="1"/>
      <w:marLeft w:val="0"/>
      <w:marRight w:val="0"/>
      <w:marTop w:val="0"/>
      <w:marBottom w:val="0"/>
      <w:divBdr>
        <w:top w:val="none" w:sz="0" w:space="0" w:color="auto"/>
        <w:left w:val="none" w:sz="0" w:space="0" w:color="auto"/>
        <w:bottom w:val="none" w:sz="0" w:space="0" w:color="auto"/>
        <w:right w:val="none" w:sz="0" w:space="0" w:color="auto"/>
      </w:divBdr>
    </w:div>
    <w:div w:id="706442729">
      <w:bodyDiv w:val="1"/>
      <w:marLeft w:val="0"/>
      <w:marRight w:val="0"/>
      <w:marTop w:val="0"/>
      <w:marBottom w:val="0"/>
      <w:divBdr>
        <w:top w:val="none" w:sz="0" w:space="0" w:color="auto"/>
        <w:left w:val="none" w:sz="0" w:space="0" w:color="auto"/>
        <w:bottom w:val="none" w:sz="0" w:space="0" w:color="auto"/>
        <w:right w:val="none" w:sz="0" w:space="0" w:color="auto"/>
      </w:divBdr>
    </w:div>
    <w:div w:id="707266439">
      <w:bodyDiv w:val="1"/>
      <w:marLeft w:val="0"/>
      <w:marRight w:val="0"/>
      <w:marTop w:val="0"/>
      <w:marBottom w:val="0"/>
      <w:divBdr>
        <w:top w:val="none" w:sz="0" w:space="0" w:color="auto"/>
        <w:left w:val="none" w:sz="0" w:space="0" w:color="auto"/>
        <w:bottom w:val="none" w:sz="0" w:space="0" w:color="auto"/>
        <w:right w:val="none" w:sz="0" w:space="0" w:color="auto"/>
      </w:divBdr>
    </w:div>
    <w:div w:id="707684750">
      <w:bodyDiv w:val="1"/>
      <w:marLeft w:val="0"/>
      <w:marRight w:val="0"/>
      <w:marTop w:val="0"/>
      <w:marBottom w:val="0"/>
      <w:divBdr>
        <w:top w:val="none" w:sz="0" w:space="0" w:color="auto"/>
        <w:left w:val="none" w:sz="0" w:space="0" w:color="auto"/>
        <w:bottom w:val="none" w:sz="0" w:space="0" w:color="auto"/>
        <w:right w:val="none" w:sz="0" w:space="0" w:color="auto"/>
      </w:divBdr>
    </w:div>
    <w:div w:id="712998232">
      <w:bodyDiv w:val="1"/>
      <w:marLeft w:val="0"/>
      <w:marRight w:val="0"/>
      <w:marTop w:val="0"/>
      <w:marBottom w:val="0"/>
      <w:divBdr>
        <w:top w:val="none" w:sz="0" w:space="0" w:color="auto"/>
        <w:left w:val="none" w:sz="0" w:space="0" w:color="auto"/>
        <w:bottom w:val="none" w:sz="0" w:space="0" w:color="auto"/>
        <w:right w:val="none" w:sz="0" w:space="0" w:color="auto"/>
      </w:divBdr>
    </w:div>
    <w:div w:id="713114133">
      <w:bodyDiv w:val="1"/>
      <w:marLeft w:val="0"/>
      <w:marRight w:val="0"/>
      <w:marTop w:val="0"/>
      <w:marBottom w:val="0"/>
      <w:divBdr>
        <w:top w:val="none" w:sz="0" w:space="0" w:color="auto"/>
        <w:left w:val="none" w:sz="0" w:space="0" w:color="auto"/>
        <w:bottom w:val="none" w:sz="0" w:space="0" w:color="auto"/>
        <w:right w:val="none" w:sz="0" w:space="0" w:color="auto"/>
      </w:divBdr>
    </w:div>
    <w:div w:id="718826090">
      <w:bodyDiv w:val="1"/>
      <w:marLeft w:val="0"/>
      <w:marRight w:val="0"/>
      <w:marTop w:val="0"/>
      <w:marBottom w:val="0"/>
      <w:divBdr>
        <w:top w:val="none" w:sz="0" w:space="0" w:color="auto"/>
        <w:left w:val="none" w:sz="0" w:space="0" w:color="auto"/>
        <w:bottom w:val="none" w:sz="0" w:space="0" w:color="auto"/>
        <w:right w:val="none" w:sz="0" w:space="0" w:color="auto"/>
      </w:divBdr>
    </w:div>
    <w:div w:id="720252511">
      <w:bodyDiv w:val="1"/>
      <w:marLeft w:val="0"/>
      <w:marRight w:val="0"/>
      <w:marTop w:val="0"/>
      <w:marBottom w:val="0"/>
      <w:divBdr>
        <w:top w:val="none" w:sz="0" w:space="0" w:color="auto"/>
        <w:left w:val="none" w:sz="0" w:space="0" w:color="auto"/>
        <w:bottom w:val="none" w:sz="0" w:space="0" w:color="auto"/>
        <w:right w:val="none" w:sz="0" w:space="0" w:color="auto"/>
      </w:divBdr>
    </w:div>
    <w:div w:id="722481758">
      <w:bodyDiv w:val="1"/>
      <w:marLeft w:val="0"/>
      <w:marRight w:val="0"/>
      <w:marTop w:val="0"/>
      <w:marBottom w:val="0"/>
      <w:divBdr>
        <w:top w:val="none" w:sz="0" w:space="0" w:color="auto"/>
        <w:left w:val="none" w:sz="0" w:space="0" w:color="auto"/>
        <w:bottom w:val="none" w:sz="0" w:space="0" w:color="auto"/>
        <w:right w:val="none" w:sz="0" w:space="0" w:color="auto"/>
      </w:divBdr>
    </w:div>
    <w:div w:id="728650504">
      <w:bodyDiv w:val="1"/>
      <w:marLeft w:val="0"/>
      <w:marRight w:val="0"/>
      <w:marTop w:val="0"/>
      <w:marBottom w:val="0"/>
      <w:divBdr>
        <w:top w:val="none" w:sz="0" w:space="0" w:color="auto"/>
        <w:left w:val="none" w:sz="0" w:space="0" w:color="auto"/>
        <w:bottom w:val="none" w:sz="0" w:space="0" w:color="auto"/>
        <w:right w:val="none" w:sz="0" w:space="0" w:color="auto"/>
      </w:divBdr>
    </w:div>
    <w:div w:id="729691733">
      <w:bodyDiv w:val="1"/>
      <w:marLeft w:val="0"/>
      <w:marRight w:val="0"/>
      <w:marTop w:val="0"/>
      <w:marBottom w:val="0"/>
      <w:divBdr>
        <w:top w:val="none" w:sz="0" w:space="0" w:color="auto"/>
        <w:left w:val="none" w:sz="0" w:space="0" w:color="auto"/>
        <w:bottom w:val="none" w:sz="0" w:space="0" w:color="auto"/>
        <w:right w:val="none" w:sz="0" w:space="0" w:color="auto"/>
      </w:divBdr>
    </w:div>
    <w:div w:id="731807184">
      <w:bodyDiv w:val="1"/>
      <w:marLeft w:val="0"/>
      <w:marRight w:val="0"/>
      <w:marTop w:val="0"/>
      <w:marBottom w:val="0"/>
      <w:divBdr>
        <w:top w:val="none" w:sz="0" w:space="0" w:color="auto"/>
        <w:left w:val="none" w:sz="0" w:space="0" w:color="auto"/>
        <w:bottom w:val="none" w:sz="0" w:space="0" w:color="auto"/>
        <w:right w:val="none" w:sz="0" w:space="0" w:color="auto"/>
      </w:divBdr>
    </w:div>
    <w:div w:id="733431518">
      <w:bodyDiv w:val="1"/>
      <w:marLeft w:val="0"/>
      <w:marRight w:val="0"/>
      <w:marTop w:val="0"/>
      <w:marBottom w:val="0"/>
      <w:divBdr>
        <w:top w:val="none" w:sz="0" w:space="0" w:color="auto"/>
        <w:left w:val="none" w:sz="0" w:space="0" w:color="auto"/>
        <w:bottom w:val="none" w:sz="0" w:space="0" w:color="auto"/>
        <w:right w:val="none" w:sz="0" w:space="0" w:color="auto"/>
      </w:divBdr>
    </w:div>
    <w:div w:id="735207548">
      <w:bodyDiv w:val="1"/>
      <w:marLeft w:val="0"/>
      <w:marRight w:val="0"/>
      <w:marTop w:val="0"/>
      <w:marBottom w:val="0"/>
      <w:divBdr>
        <w:top w:val="none" w:sz="0" w:space="0" w:color="auto"/>
        <w:left w:val="none" w:sz="0" w:space="0" w:color="auto"/>
        <w:bottom w:val="none" w:sz="0" w:space="0" w:color="auto"/>
        <w:right w:val="none" w:sz="0" w:space="0" w:color="auto"/>
      </w:divBdr>
    </w:div>
    <w:div w:id="737485572">
      <w:bodyDiv w:val="1"/>
      <w:marLeft w:val="0"/>
      <w:marRight w:val="0"/>
      <w:marTop w:val="0"/>
      <w:marBottom w:val="0"/>
      <w:divBdr>
        <w:top w:val="none" w:sz="0" w:space="0" w:color="auto"/>
        <w:left w:val="none" w:sz="0" w:space="0" w:color="auto"/>
        <w:bottom w:val="none" w:sz="0" w:space="0" w:color="auto"/>
        <w:right w:val="none" w:sz="0" w:space="0" w:color="auto"/>
      </w:divBdr>
    </w:div>
    <w:div w:id="739015614">
      <w:bodyDiv w:val="1"/>
      <w:marLeft w:val="0"/>
      <w:marRight w:val="0"/>
      <w:marTop w:val="0"/>
      <w:marBottom w:val="0"/>
      <w:divBdr>
        <w:top w:val="none" w:sz="0" w:space="0" w:color="auto"/>
        <w:left w:val="none" w:sz="0" w:space="0" w:color="auto"/>
        <w:bottom w:val="none" w:sz="0" w:space="0" w:color="auto"/>
        <w:right w:val="none" w:sz="0" w:space="0" w:color="auto"/>
      </w:divBdr>
    </w:div>
    <w:div w:id="741676992">
      <w:bodyDiv w:val="1"/>
      <w:marLeft w:val="0"/>
      <w:marRight w:val="0"/>
      <w:marTop w:val="0"/>
      <w:marBottom w:val="0"/>
      <w:divBdr>
        <w:top w:val="none" w:sz="0" w:space="0" w:color="auto"/>
        <w:left w:val="none" w:sz="0" w:space="0" w:color="auto"/>
        <w:bottom w:val="none" w:sz="0" w:space="0" w:color="auto"/>
        <w:right w:val="none" w:sz="0" w:space="0" w:color="auto"/>
      </w:divBdr>
    </w:div>
    <w:div w:id="742490065">
      <w:bodyDiv w:val="1"/>
      <w:marLeft w:val="0"/>
      <w:marRight w:val="0"/>
      <w:marTop w:val="0"/>
      <w:marBottom w:val="0"/>
      <w:divBdr>
        <w:top w:val="none" w:sz="0" w:space="0" w:color="auto"/>
        <w:left w:val="none" w:sz="0" w:space="0" w:color="auto"/>
        <w:bottom w:val="none" w:sz="0" w:space="0" w:color="auto"/>
        <w:right w:val="none" w:sz="0" w:space="0" w:color="auto"/>
      </w:divBdr>
    </w:div>
    <w:div w:id="744257039">
      <w:bodyDiv w:val="1"/>
      <w:marLeft w:val="0"/>
      <w:marRight w:val="0"/>
      <w:marTop w:val="0"/>
      <w:marBottom w:val="0"/>
      <w:divBdr>
        <w:top w:val="none" w:sz="0" w:space="0" w:color="auto"/>
        <w:left w:val="none" w:sz="0" w:space="0" w:color="auto"/>
        <w:bottom w:val="none" w:sz="0" w:space="0" w:color="auto"/>
        <w:right w:val="none" w:sz="0" w:space="0" w:color="auto"/>
      </w:divBdr>
    </w:div>
    <w:div w:id="750272162">
      <w:bodyDiv w:val="1"/>
      <w:marLeft w:val="0"/>
      <w:marRight w:val="0"/>
      <w:marTop w:val="0"/>
      <w:marBottom w:val="0"/>
      <w:divBdr>
        <w:top w:val="none" w:sz="0" w:space="0" w:color="auto"/>
        <w:left w:val="none" w:sz="0" w:space="0" w:color="auto"/>
        <w:bottom w:val="none" w:sz="0" w:space="0" w:color="auto"/>
        <w:right w:val="none" w:sz="0" w:space="0" w:color="auto"/>
      </w:divBdr>
    </w:div>
    <w:div w:id="752355474">
      <w:bodyDiv w:val="1"/>
      <w:marLeft w:val="0"/>
      <w:marRight w:val="0"/>
      <w:marTop w:val="0"/>
      <w:marBottom w:val="0"/>
      <w:divBdr>
        <w:top w:val="none" w:sz="0" w:space="0" w:color="auto"/>
        <w:left w:val="none" w:sz="0" w:space="0" w:color="auto"/>
        <w:bottom w:val="none" w:sz="0" w:space="0" w:color="auto"/>
        <w:right w:val="none" w:sz="0" w:space="0" w:color="auto"/>
      </w:divBdr>
    </w:div>
    <w:div w:id="755706384">
      <w:bodyDiv w:val="1"/>
      <w:marLeft w:val="0"/>
      <w:marRight w:val="0"/>
      <w:marTop w:val="0"/>
      <w:marBottom w:val="0"/>
      <w:divBdr>
        <w:top w:val="none" w:sz="0" w:space="0" w:color="auto"/>
        <w:left w:val="none" w:sz="0" w:space="0" w:color="auto"/>
        <w:bottom w:val="none" w:sz="0" w:space="0" w:color="auto"/>
        <w:right w:val="none" w:sz="0" w:space="0" w:color="auto"/>
      </w:divBdr>
    </w:div>
    <w:div w:id="757755925">
      <w:bodyDiv w:val="1"/>
      <w:marLeft w:val="0"/>
      <w:marRight w:val="0"/>
      <w:marTop w:val="0"/>
      <w:marBottom w:val="0"/>
      <w:divBdr>
        <w:top w:val="none" w:sz="0" w:space="0" w:color="auto"/>
        <w:left w:val="none" w:sz="0" w:space="0" w:color="auto"/>
        <w:bottom w:val="none" w:sz="0" w:space="0" w:color="auto"/>
        <w:right w:val="none" w:sz="0" w:space="0" w:color="auto"/>
      </w:divBdr>
    </w:div>
    <w:div w:id="761679845">
      <w:bodyDiv w:val="1"/>
      <w:marLeft w:val="0"/>
      <w:marRight w:val="0"/>
      <w:marTop w:val="0"/>
      <w:marBottom w:val="0"/>
      <w:divBdr>
        <w:top w:val="none" w:sz="0" w:space="0" w:color="auto"/>
        <w:left w:val="none" w:sz="0" w:space="0" w:color="auto"/>
        <w:bottom w:val="none" w:sz="0" w:space="0" w:color="auto"/>
        <w:right w:val="none" w:sz="0" w:space="0" w:color="auto"/>
      </w:divBdr>
    </w:div>
    <w:div w:id="763956369">
      <w:bodyDiv w:val="1"/>
      <w:marLeft w:val="0"/>
      <w:marRight w:val="0"/>
      <w:marTop w:val="0"/>
      <w:marBottom w:val="0"/>
      <w:divBdr>
        <w:top w:val="none" w:sz="0" w:space="0" w:color="auto"/>
        <w:left w:val="none" w:sz="0" w:space="0" w:color="auto"/>
        <w:bottom w:val="none" w:sz="0" w:space="0" w:color="auto"/>
        <w:right w:val="none" w:sz="0" w:space="0" w:color="auto"/>
      </w:divBdr>
    </w:div>
    <w:div w:id="765544526">
      <w:bodyDiv w:val="1"/>
      <w:marLeft w:val="0"/>
      <w:marRight w:val="0"/>
      <w:marTop w:val="0"/>
      <w:marBottom w:val="0"/>
      <w:divBdr>
        <w:top w:val="none" w:sz="0" w:space="0" w:color="auto"/>
        <w:left w:val="none" w:sz="0" w:space="0" w:color="auto"/>
        <w:bottom w:val="none" w:sz="0" w:space="0" w:color="auto"/>
        <w:right w:val="none" w:sz="0" w:space="0" w:color="auto"/>
      </w:divBdr>
    </w:div>
    <w:div w:id="773328470">
      <w:bodyDiv w:val="1"/>
      <w:marLeft w:val="0"/>
      <w:marRight w:val="0"/>
      <w:marTop w:val="0"/>
      <w:marBottom w:val="0"/>
      <w:divBdr>
        <w:top w:val="none" w:sz="0" w:space="0" w:color="auto"/>
        <w:left w:val="none" w:sz="0" w:space="0" w:color="auto"/>
        <w:bottom w:val="none" w:sz="0" w:space="0" w:color="auto"/>
        <w:right w:val="none" w:sz="0" w:space="0" w:color="auto"/>
      </w:divBdr>
    </w:div>
    <w:div w:id="775246061">
      <w:bodyDiv w:val="1"/>
      <w:marLeft w:val="0"/>
      <w:marRight w:val="0"/>
      <w:marTop w:val="0"/>
      <w:marBottom w:val="0"/>
      <w:divBdr>
        <w:top w:val="none" w:sz="0" w:space="0" w:color="auto"/>
        <w:left w:val="none" w:sz="0" w:space="0" w:color="auto"/>
        <w:bottom w:val="none" w:sz="0" w:space="0" w:color="auto"/>
        <w:right w:val="none" w:sz="0" w:space="0" w:color="auto"/>
      </w:divBdr>
    </w:div>
    <w:div w:id="778257709">
      <w:bodyDiv w:val="1"/>
      <w:marLeft w:val="0"/>
      <w:marRight w:val="0"/>
      <w:marTop w:val="0"/>
      <w:marBottom w:val="0"/>
      <w:divBdr>
        <w:top w:val="none" w:sz="0" w:space="0" w:color="auto"/>
        <w:left w:val="none" w:sz="0" w:space="0" w:color="auto"/>
        <w:bottom w:val="none" w:sz="0" w:space="0" w:color="auto"/>
        <w:right w:val="none" w:sz="0" w:space="0" w:color="auto"/>
      </w:divBdr>
    </w:div>
    <w:div w:id="786122005">
      <w:bodyDiv w:val="1"/>
      <w:marLeft w:val="0"/>
      <w:marRight w:val="0"/>
      <w:marTop w:val="0"/>
      <w:marBottom w:val="0"/>
      <w:divBdr>
        <w:top w:val="none" w:sz="0" w:space="0" w:color="auto"/>
        <w:left w:val="none" w:sz="0" w:space="0" w:color="auto"/>
        <w:bottom w:val="none" w:sz="0" w:space="0" w:color="auto"/>
        <w:right w:val="none" w:sz="0" w:space="0" w:color="auto"/>
      </w:divBdr>
    </w:div>
    <w:div w:id="787166932">
      <w:bodyDiv w:val="1"/>
      <w:marLeft w:val="0"/>
      <w:marRight w:val="0"/>
      <w:marTop w:val="0"/>
      <w:marBottom w:val="0"/>
      <w:divBdr>
        <w:top w:val="none" w:sz="0" w:space="0" w:color="auto"/>
        <w:left w:val="none" w:sz="0" w:space="0" w:color="auto"/>
        <w:bottom w:val="none" w:sz="0" w:space="0" w:color="auto"/>
        <w:right w:val="none" w:sz="0" w:space="0" w:color="auto"/>
      </w:divBdr>
    </w:div>
    <w:div w:id="792754317">
      <w:bodyDiv w:val="1"/>
      <w:marLeft w:val="0"/>
      <w:marRight w:val="0"/>
      <w:marTop w:val="0"/>
      <w:marBottom w:val="0"/>
      <w:divBdr>
        <w:top w:val="none" w:sz="0" w:space="0" w:color="auto"/>
        <w:left w:val="none" w:sz="0" w:space="0" w:color="auto"/>
        <w:bottom w:val="none" w:sz="0" w:space="0" w:color="auto"/>
        <w:right w:val="none" w:sz="0" w:space="0" w:color="auto"/>
      </w:divBdr>
    </w:div>
    <w:div w:id="795875134">
      <w:bodyDiv w:val="1"/>
      <w:marLeft w:val="0"/>
      <w:marRight w:val="0"/>
      <w:marTop w:val="0"/>
      <w:marBottom w:val="0"/>
      <w:divBdr>
        <w:top w:val="none" w:sz="0" w:space="0" w:color="auto"/>
        <w:left w:val="none" w:sz="0" w:space="0" w:color="auto"/>
        <w:bottom w:val="none" w:sz="0" w:space="0" w:color="auto"/>
        <w:right w:val="none" w:sz="0" w:space="0" w:color="auto"/>
      </w:divBdr>
    </w:div>
    <w:div w:id="800925506">
      <w:bodyDiv w:val="1"/>
      <w:marLeft w:val="0"/>
      <w:marRight w:val="0"/>
      <w:marTop w:val="0"/>
      <w:marBottom w:val="0"/>
      <w:divBdr>
        <w:top w:val="none" w:sz="0" w:space="0" w:color="auto"/>
        <w:left w:val="none" w:sz="0" w:space="0" w:color="auto"/>
        <w:bottom w:val="none" w:sz="0" w:space="0" w:color="auto"/>
        <w:right w:val="none" w:sz="0" w:space="0" w:color="auto"/>
      </w:divBdr>
    </w:div>
    <w:div w:id="803154257">
      <w:bodyDiv w:val="1"/>
      <w:marLeft w:val="0"/>
      <w:marRight w:val="0"/>
      <w:marTop w:val="0"/>
      <w:marBottom w:val="0"/>
      <w:divBdr>
        <w:top w:val="none" w:sz="0" w:space="0" w:color="auto"/>
        <w:left w:val="none" w:sz="0" w:space="0" w:color="auto"/>
        <w:bottom w:val="none" w:sz="0" w:space="0" w:color="auto"/>
        <w:right w:val="none" w:sz="0" w:space="0" w:color="auto"/>
      </w:divBdr>
    </w:div>
    <w:div w:id="807475400">
      <w:bodyDiv w:val="1"/>
      <w:marLeft w:val="0"/>
      <w:marRight w:val="0"/>
      <w:marTop w:val="0"/>
      <w:marBottom w:val="0"/>
      <w:divBdr>
        <w:top w:val="none" w:sz="0" w:space="0" w:color="auto"/>
        <w:left w:val="none" w:sz="0" w:space="0" w:color="auto"/>
        <w:bottom w:val="none" w:sz="0" w:space="0" w:color="auto"/>
        <w:right w:val="none" w:sz="0" w:space="0" w:color="auto"/>
      </w:divBdr>
    </w:div>
    <w:div w:id="808863171">
      <w:bodyDiv w:val="1"/>
      <w:marLeft w:val="0"/>
      <w:marRight w:val="0"/>
      <w:marTop w:val="0"/>
      <w:marBottom w:val="0"/>
      <w:divBdr>
        <w:top w:val="none" w:sz="0" w:space="0" w:color="auto"/>
        <w:left w:val="none" w:sz="0" w:space="0" w:color="auto"/>
        <w:bottom w:val="none" w:sz="0" w:space="0" w:color="auto"/>
        <w:right w:val="none" w:sz="0" w:space="0" w:color="auto"/>
      </w:divBdr>
    </w:div>
    <w:div w:id="809981886">
      <w:bodyDiv w:val="1"/>
      <w:marLeft w:val="0"/>
      <w:marRight w:val="0"/>
      <w:marTop w:val="0"/>
      <w:marBottom w:val="0"/>
      <w:divBdr>
        <w:top w:val="none" w:sz="0" w:space="0" w:color="auto"/>
        <w:left w:val="none" w:sz="0" w:space="0" w:color="auto"/>
        <w:bottom w:val="none" w:sz="0" w:space="0" w:color="auto"/>
        <w:right w:val="none" w:sz="0" w:space="0" w:color="auto"/>
      </w:divBdr>
    </w:div>
    <w:div w:id="817697115">
      <w:bodyDiv w:val="1"/>
      <w:marLeft w:val="0"/>
      <w:marRight w:val="0"/>
      <w:marTop w:val="0"/>
      <w:marBottom w:val="0"/>
      <w:divBdr>
        <w:top w:val="none" w:sz="0" w:space="0" w:color="auto"/>
        <w:left w:val="none" w:sz="0" w:space="0" w:color="auto"/>
        <w:bottom w:val="none" w:sz="0" w:space="0" w:color="auto"/>
        <w:right w:val="none" w:sz="0" w:space="0" w:color="auto"/>
      </w:divBdr>
    </w:div>
    <w:div w:id="818887051">
      <w:bodyDiv w:val="1"/>
      <w:marLeft w:val="0"/>
      <w:marRight w:val="0"/>
      <w:marTop w:val="0"/>
      <w:marBottom w:val="0"/>
      <w:divBdr>
        <w:top w:val="none" w:sz="0" w:space="0" w:color="auto"/>
        <w:left w:val="none" w:sz="0" w:space="0" w:color="auto"/>
        <w:bottom w:val="none" w:sz="0" w:space="0" w:color="auto"/>
        <w:right w:val="none" w:sz="0" w:space="0" w:color="auto"/>
      </w:divBdr>
    </w:div>
    <w:div w:id="818888411">
      <w:bodyDiv w:val="1"/>
      <w:marLeft w:val="0"/>
      <w:marRight w:val="0"/>
      <w:marTop w:val="0"/>
      <w:marBottom w:val="0"/>
      <w:divBdr>
        <w:top w:val="none" w:sz="0" w:space="0" w:color="auto"/>
        <w:left w:val="none" w:sz="0" w:space="0" w:color="auto"/>
        <w:bottom w:val="none" w:sz="0" w:space="0" w:color="auto"/>
        <w:right w:val="none" w:sz="0" w:space="0" w:color="auto"/>
      </w:divBdr>
    </w:div>
    <w:div w:id="820854081">
      <w:bodyDiv w:val="1"/>
      <w:marLeft w:val="0"/>
      <w:marRight w:val="0"/>
      <w:marTop w:val="0"/>
      <w:marBottom w:val="0"/>
      <w:divBdr>
        <w:top w:val="none" w:sz="0" w:space="0" w:color="auto"/>
        <w:left w:val="none" w:sz="0" w:space="0" w:color="auto"/>
        <w:bottom w:val="none" w:sz="0" w:space="0" w:color="auto"/>
        <w:right w:val="none" w:sz="0" w:space="0" w:color="auto"/>
      </w:divBdr>
    </w:div>
    <w:div w:id="824706453">
      <w:bodyDiv w:val="1"/>
      <w:marLeft w:val="0"/>
      <w:marRight w:val="0"/>
      <w:marTop w:val="0"/>
      <w:marBottom w:val="0"/>
      <w:divBdr>
        <w:top w:val="none" w:sz="0" w:space="0" w:color="auto"/>
        <w:left w:val="none" w:sz="0" w:space="0" w:color="auto"/>
        <w:bottom w:val="none" w:sz="0" w:space="0" w:color="auto"/>
        <w:right w:val="none" w:sz="0" w:space="0" w:color="auto"/>
      </w:divBdr>
    </w:div>
    <w:div w:id="828130116">
      <w:bodyDiv w:val="1"/>
      <w:marLeft w:val="0"/>
      <w:marRight w:val="0"/>
      <w:marTop w:val="0"/>
      <w:marBottom w:val="0"/>
      <w:divBdr>
        <w:top w:val="none" w:sz="0" w:space="0" w:color="auto"/>
        <w:left w:val="none" w:sz="0" w:space="0" w:color="auto"/>
        <w:bottom w:val="none" w:sz="0" w:space="0" w:color="auto"/>
        <w:right w:val="none" w:sz="0" w:space="0" w:color="auto"/>
      </w:divBdr>
    </w:div>
    <w:div w:id="832723546">
      <w:bodyDiv w:val="1"/>
      <w:marLeft w:val="0"/>
      <w:marRight w:val="0"/>
      <w:marTop w:val="0"/>
      <w:marBottom w:val="0"/>
      <w:divBdr>
        <w:top w:val="none" w:sz="0" w:space="0" w:color="auto"/>
        <w:left w:val="none" w:sz="0" w:space="0" w:color="auto"/>
        <w:bottom w:val="none" w:sz="0" w:space="0" w:color="auto"/>
        <w:right w:val="none" w:sz="0" w:space="0" w:color="auto"/>
      </w:divBdr>
    </w:div>
    <w:div w:id="837767721">
      <w:bodyDiv w:val="1"/>
      <w:marLeft w:val="0"/>
      <w:marRight w:val="0"/>
      <w:marTop w:val="0"/>
      <w:marBottom w:val="0"/>
      <w:divBdr>
        <w:top w:val="none" w:sz="0" w:space="0" w:color="auto"/>
        <w:left w:val="none" w:sz="0" w:space="0" w:color="auto"/>
        <w:bottom w:val="none" w:sz="0" w:space="0" w:color="auto"/>
        <w:right w:val="none" w:sz="0" w:space="0" w:color="auto"/>
      </w:divBdr>
    </w:div>
    <w:div w:id="838933595">
      <w:bodyDiv w:val="1"/>
      <w:marLeft w:val="0"/>
      <w:marRight w:val="0"/>
      <w:marTop w:val="0"/>
      <w:marBottom w:val="0"/>
      <w:divBdr>
        <w:top w:val="none" w:sz="0" w:space="0" w:color="auto"/>
        <w:left w:val="none" w:sz="0" w:space="0" w:color="auto"/>
        <w:bottom w:val="none" w:sz="0" w:space="0" w:color="auto"/>
        <w:right w:val="none" w:sz="0" w:space="0" w:color="auto"/>
      </w:divBdr>
    </w:div>
    <w:div w:id="840389902">
      <w:bodyDiv w:val="1"/>
      <w:marLeft w:val="0"/>
      <w:marRight w:val="0"/>
      <w:marTop w:val="0"/>
      <w:marBottom w:val="0"/>
      <w:divBdr>
        <w:top w:val="none" w:sz="0" w:space="0" w:color="auto"/>
        <w:left w:val="none" w:sz="0" w:space="0" w:color="auto"/>
        <w:bottom w:val="none" w:sz="0" w:space="0" w:color="auto"/>
        <w:right w:val="none" w:sz="0" w:space="0" w:color="auto"/>
      </w:divBdr>
    </w:div>
    <w:div w:id="842739016">
      <w:bodyDiv w:val="1"/>
      <w:marLeft w:val="0"/>
      <w:marRight w:val="0"/>
      <w:marTop w:val="0"/>
      <w:marBottom w:val="0"/>
      <w:divBdr>
        <w:top w:val="none" w:sz="0" w:space="0" w:color="auto"/>
        <w:left w:val="none" w:sz="0" w:space="0" w:color="auto"/>
        <w:bottom w:val="none" w:sz="0" w:space="0" w:color="auto"/>
        <w:right w:val="none" w:sz="0" w:space="0" w:color="auto"/>
      </w:divBdr>
    </w:div>
    <w:div w:id="845482734">
      <w:bodyDiv w:val="1"/>
      <w:marLeft w:val="0"/>
      <w:marRight w:val="0"/>
      <w:marTop w:val="0"/>
      <w:marBottom w:val="0"/>
      <w:divBdr>
        <w:top w:val="none" w:sz="0" w:space="0" w:color="auto"/>
        <w:left w:val="none" w:sz="0" w:space="0" w:color="auto"/>
        <w:bottom w:val="none" w:sz="0" w:space="0" w:color="auto"/>
        <w:right w:val="none" w:sz="0" w:space="0" w:color="auto"/>
      </w:divBdr>
    </w:div>
    <w:div w:id="849024196">
      <w:bodyDiv w:val="1"/>
      <w:marLeft w:val="0"/>
      <w:marRight w:val="0"/>
      <w:marTop w:val="0"/>
      <w:marBottom w:val="0"/>
      <w:divBdr>
        <w:top w:val="none" w:sz="0" w:space="0" w:color="auto"/>
        <w:left w:val="none" w:sz="0" w:space="0" w:color="auto"/>
        <w:bottom w:val="none" w:sz="0" w:space="0" w:color="auto"/>
        <w:right w:val="none" w:sz="0" w:space="0" w:color="auto"/>
      </w:divBdr>
    </w:div>
    <w:div w:id="850218528">
      <w:bodyDiv w:val="1"/>
      <w:marLeft w:val="0"/>
      <w:marRight w:val="0"/>
      <w:marTop w:val="0"/>
      <w:marBottom w:val="0"/>
      <w:divBdr>
        <w:top w:val="none" w:sz="0" w:space="0" w:color="auto"/>
        <w:left w:val="none" w:sz="0" w:space="0" w:color="auto"/>
        <w:bottom w:val="none" w:sz="0" w:space="0" w:color="auto"/>
        <w:right w:val="none" w:sz="0" w:space="0" w:color="auto"/>
      </w:divBdr>
    </w:div>
    <w:div w:id="857042530">
      <w:bodyDiv w:val="1"/>
      <w:marLeft w:val="0"/>
      <w:marRight w:val="0"/>
      <w:marTop w:val="0"/>
      <w:marBottom w:val="0"/>
      <w:divBdr>
        <w:top w:val="none" w:sz="0" w:space="0" w:color="auto"/>
        <w:left w:val="none" w:sz="0" w:space="0" w:color="auto"/>
        <w:bottom w:val="none" w:sz="0" w:space="0" w:color="auto"/>
        <w:right w:val="none" w:sz="0" w:space="0" w:color="auto"/>
      </w:divBdr>
    </w:div>
    <w:div w:id="857816488">
      <w:bodyDiv w:val="1"/>
      <w:marLeft w:val="0"/>
      <w:marRight w:val="0"/>
      <w:marTop w:val="0"/>
      <w:marBottom w:val="0"/>
      <w:divBdr>
        <w:top w:val="none" w:sz="0" w:space="0" w:color="auto"/>
        <w:left w:val="none" w:sz="0" w:space="0" w:color="auto"/>
        <w:bottom w:val="none" w:sz="0" w:space="0" w:color="auto"/>
        <w:right w:val="none" w:sz="0" w:space="0" w:color="auto"/>
      </w:divBdr>
    </w:div>
    <w:div w:id="869876022">
      <w:bodyDiv w:val="1"/>
      <w:marLeft w:val="0"/>
      <w:marRight w:val="0"/>
      <w:marTop w:val="0"/>
      <w:marBottom w:val="0"/>
      <w:divBdr>
        <w:top w:val="none" w:sz="0" w:space="0" w:color="auto"/>
        <w:left w:val="none" w:sz="0" w:space="0" w:color="auto"/>
        <w:bottom w:val="none" w:sz="0" w:space="0" w:color="auto"/>
        <w:right w:val="none" w:sz="0" w:space="0" w:color="auto"/>
      </w:divBdr>
    </w:div>
    <w:div w:id="870653894">
      <w:bodyDiv w:val="1"/>
      <w:marLeft w:val="0"/>
      <w:marRight w:val="0"/>
      <w:marTop w:val="0"/>
      <w:marBottom w:val="0"/>
      <w:divBdr>
        <w:top w:val="none" w:sz="0" w:space="0" w:color="auto"/>
        <w:left w:val="none" w:sz="0" w:space="0" w:color="auto"/>
        <w:bottom w:val="none" w:sz="0" w:space="0" w:color="auto"/>
        <w:right w:val="none" w:sz="0" w:space="0" w:color="auto"/>
      </w:divBdr>
    </w:div>
    <w:div w:id="877741769">
      <w:bodyDiv w:val="1"/>
      <w:marLeft w:val="0"/>
      <w:marRight w:val="0"/>
      <w:marTop w:val="0"/>
      <w:marBottom w:val="0"/>
      <w:divBdr>
        <w:top w:val="none" w:sz="0" w:space="0" w:color="auto"/>
        <w:left w:val="none" w:sz="0" w:space="0" w:color="auto"/>
        <w:bottom w:val="none" w:sz="0" w:space="0" w:color="auto"/>
        <w:right w:val="none" w:sz="0" w:space="0" w:color="auto"/>
      </w:divBdr>
    </w:div>
    <w:div w:id="882399588">
      <w:bodyDiv w:val="1"/>
      <w:marLeft w:val="0"/>
      <w:marRight w:val="0"/>
      <w:marTop w:val="0"/>
      <w:marBottom w:val="0"/>
      <w:divBdr>
        <w:top w:val="none" w:sz="0" w:space="0" w:color="auto"/>
        <w:left w:val="none" w:sz="0" w:space="0" w:color="auto"/>
        <w:bottom w:val="none" w:sz="0" w:space="0" w:color="auto"/>
        <w:right w:val="none" w:sz="0" w:space="0" w:color="auto"/>
      </w:divBdr>
    </w:div>
    <w:div w:id="883756929">
      <w:bodyDiv w:val="1"/>
      <w:marLeft w:val="0"/>
      <w:marRight w:val="0"/>
      <w:marTop w:val="0"/>
      <w:marBottom w:val="0"/>
      <w:divBdr>
        <w:top w:val="none" w:sz="0" w:space="0" w:color="auto"/>
        <w:left w:val="none" w:sz="0" w:space="0" w:color="auto"/>
        <w:bottom w:val="none" w:sz="0" w:space="0" w:color="auto"/>
        <w:right w:val="none" w:sz="0" w:space="0" w:color="auto"/>
      </w:divBdr>
    </w:div>
    <w:div w:id="887180641">
      <w:bodyDiv w:val="1"/>
      <w:marLeft w:val="0"/>
      <w:marRight w:val="0"/>
      <w:marTop w:val="0"/>
      <w:marBottom w:val="0"/>
      <w:divBdr>
        <w:top w:val="none" w:sz="0" w:space="0" w:color="auto"/>
        <w:left w:val="none" w:sz="0" w:space="0" w:color="auto"/>
        <w:bottom w:val="none" w:sz="0" w:space="0" w:color="auto"/>
        <w:right w:val="none" w:sz="0" w:space="0" w:color="auto"/>
      </w:divBdr>
    </w:div>
    <w:div w:id="890262407">
      <w:bodyDiv w:val="1"/>
      <w:marLeft w:val="0"/>
      <w:marRight w:val="0"/>
      <w:marTop w:val="0"/>
      <w:marBottom w:val="0"/>
      <w:divBdr>
        <w:top w:val="none" w:sz="0" w:space="0" w:color="auto"/>
        <w:left w:val="none" w:sz="0" w:space="0" w:color="auto"/>
        <w:bottom w:val="none" w:sz="0" w:space="0" w:color="auto"/>
        <w:right w:val="none" w:sz="0" w:space="0" w:color="auto"/>
      </w:divBdr>
    </w:div>
    <w:div w:id="896629836">
      <w:bodyDiv w:val="1"/>
      <w:marLeft w:val="0"/>
      <w:marRight w:val="0"/>
      <w:marTop w:val="0"/>
      <w:marBottom w:val="0"/>
      <w:divBdr>
        <w:top w:val="none" w:sz="0" w:space="0" w:color="auto"/>
        <w:left w:val="none" w:sz="0" w:space="0" w:color="auto"/>
        <w:bottom w:val="none" w:sz="0" w:space="0" w:color="auto"/>
        <w:right w:val="none" w:sz="0" w:space="0" w:color="auto"/>
      </w:divBdr>
    </w:div>
    <w:div w:id="900487055">
      <w:bodyDiv w:val="1"/>
      <w:marLeft w:val="0"/>
      <w:marRight w:val="0"/>
      <w:marTop w:val="0"/>
      <w:marBottom w:val="0"/>
      <w:divBdr>
        <w:top w:val="none" w:sz="0" w:space="0" w:color="auto"/>
        <w:left w:val="none" w:sz="0" w:space="0" w:color="auto"/>
        <w:bottom w:val="none" w:sz="0" w:space="0" w:color="auto"/>
        <w:right w:val="none" w:sz="0" w:space="0" w:color="auto"/>
      </w:divBdr>
    </w:div>
    <w:div w:id="904805349">
      <w:bodyDiv w:val="1"/>
      <w:marLeft w:val="0"/>
      <w:marRight w:val="0"/>
      <w:marTop w:val="0"/>
      <w:marBottom w:val="0"/>
      <w:divBdr>
        <w:top w:val="none" w:sz="0" w:space="0" w:color="auto"/>
        <w:left w:val="none" w:sz="0" w:space="0" w:color="auto"/>
        <w:bottom w:val="none" w:sz="0" w:space="0" w:color="auto"/>
        <w:right w:val="none" w:sz="0" w:space="0" w:color="auto"/>
      </w:divBdr>
    </w:div>
    <w:div w:id="906183141">
      <w:bodyDiv w:val="1"/>
      <w:marLeft w:val="0"/>
      <w:marRight w:val="0"/>
      <w:marTop w:val="0"/>
      <w:marBottom w:val="0"/>
      <w:divBdr>
        <w:top w:val="none" w:sz="0" w:space="0" w:color="auto"/>
        <w:left w:val="none" w:sz="0" w:space="0" w:color="auto"/>
        <w:bottom w:val="none" w:sz="0" w:space="0" w:color="auto"/>
        <w:right w:val="none" w:sz="0" w:space="0" w:color="auto"/>
      </w:divBdr>
    </w:div>
    <w:div w:id="912206735">
      <w:bodyDiv w:val="1"/>
      <w:marLeft w:val="0"/>
      <w:marRight w:val="0"/>
      <w:marTop w:val="0"/>
      <w:marBottom w:val="0"/>
      <w:divBdr>
        <w:top w:val="none" w:sz="0" w:space="0" w:color="auto"/>
        <w:left w:val="none" w:sz="0" w:space="0" w:color="auto"/>
        <w:bottom w:val="none" w:sz="0" w:space="0" w:color="auto"/>
        <w:right w:val="none" w:sz="0" w:space="0" w:color="auto"/>
      </w:divBdr>
    </w:div>
    <w:div w:id="913196806">
      <w:bodyDiv w:val="1"/>
      <w:marLeft w:val="0"/>
      <w:marRight w:val="0"/>
      <w:marTop w:val="0"/>
      <w:marBottom w:val="0"/>
      <w:divBdr>
        <w:top w:val="none" w:sz="0" w:space="0" w:color="auto"/>
        <w:left w:val="none" w:sz="0" w:space="0" w:color="auto"/>
        <w:bottom w:val="none" w:sz="0" w:space="0" w:color="auto"/>
        <w:right w:val="none" w:sz="0" w:space="0" w:color="auto"/>
      </w:divBdr>
    </w:div>
    <w:div w:id="918056569">
      <w:bodyDiv w:val="1"/>
      <w:marLeft w:val="0"/>
      <w:marRight w:val="0"/>
      <w:marTop w:val="0"/>
      <w:marBottom w:val="0"/>
      <w:divBdr>
        <w:top w:val="none" w:sz="0" w:space="0" w:color="auto"/>
        <w:left w:val="none" w:sz="0" w:space="0" w:color="auto"/>
        <w:bottom w:val="none" w:sz="0" w:space="0" w:color="auto"/>
        <w:right w:val="none" w:sz="0" w:space="0" w:color="auto"/>
      </w:divBdr>
    </w:div>
    <w:div w:id="920335230">
      <w:bodyDiv w:val="1"/>
      <w:marLeft w:val="0"/>
      <w:marRight w:val="0"/>
      <w:marTop w:val="0"/>
      <w:marBottom w:val="0"/>
      <w:divBdr>
        <w:top w:val="none" w:sz="0" w:space="0" w:color="auto"/>
        <w:left w:val="none" w:sz="0" w:space="0" w:color="auto"/>
        <w:bottom w:val="none" w:sz="0" w:space="0" w:color="auto"/>
        <w:right w:val="none" w:sz="0" w:space="0" w:color="auto"/>
      </w:divBdr>
    </w:div>
    <w:div w:id="923878695">
      <w:bodyDiv w:val="1"/>
      <w:marLeft w:val="0"/>
      <w:marRight w:val="0"/>
      <w:marTop w:val="0"/>
      <w:marBottom w:val="0"/>
      <w:divBdr>
        <w:top w:val="none" w:sz="0" w:space="0" w:color="auto"/>
        <w:left w:val="none" w:sz="0" w:space="0" w:color="auto"/>
        <w:bottom w:val="none" w:sz="0" w:space="0" w:color="auto"/>
        <w:right w:val="none" w:sz="0" w:space="0" w:color="auto"/>
      </w:divBdr>
    </w:div>
    <w:div w:id="925118547">
      <w:bodyDiv w:val="1"/>
      <w:marLeft w:val="0"/>
      <w:marRight w:val="0"/>
      <w:marTop w:val="0"/>
      <w:marBottom w:val="0"/>
      <w:divBdr>
        <w:top w:val="none" w:sz="0" w:space="0" w:color="auto"/>
        <w:left w:val="none" w:sz="0" w:space="0" w:color="auto"/>
        <w:bottom w:val="none" w:sz="0" w:space="0" w:color="auto"/>
        <w:right w:val="none" w:sz="0" w:space="0" w:color="auto"/>
      </w:divBdr>
    </w:div>
    <w:div w:id="938442529">
      <w:bodyDiv w:val="1"/>
      <w:marLeft w:val="0"/>
      <w:marRight w:val="0"/>
      <w:marTop w:val="0"/>
      <w:marBottom w:val="0"/>
      <w:divBdr>
        <w:top w:val="none" w:sz="0" w:space="0" w:color="auto"/>
        <w:left w:val="none" w:sz="0" w:space="0" w:color="auto"/>
        <w:bottom w:val="none" w:sz="0" w:space="0" w:color="auto"/>
        <w:right w:val="none" w:sz="0" w:space="0" w:color="auto"/>
      </w:divBdr>
    </w:div>
    <w:div w:id="938560183">
      <w:bodyDiv w:val="1"/>
      <w:marLeft w:val="0"/>
      <w:marRight w:val="0"/>
      <w:marTop w:val="0"/>
      <w:marBottom w:val="0"/>
      <w:divBdr>
        <w:top w:val="none" w:sz="0" w:space="0" w:color="auto"/>
        <w:left w:val="none" w:sz="0" w:space="0" w:color="auto"/>
        <w:bottom w:val="none" w:sz="0" w:space="0" w:color="auto"/>
        <w:right w:val="none" w:sz="0" w:space="0" w:color="auto"/>
      </w:divBdr>
    </w:div>
    <w:div w:id="947927447">
      <w:bodyDiv w:val="1"/>
      <w:marLeft w:val="0"/>
      <w:marRight w:val="0"/>
      <w:marTop w:val="0"/>
      <w:marBottom w:val="0"/>
      <w:divBdr>
        <w:top w:val="none" w:sz="0" w:space="0" w:color="auto"/>
        <w:left w:val="none" w:sz="0" w:space="0" w:color="auto"/>
        <w:bottom w:val="none" w:sz="0" w:space="0" w:color="auto"/>
        <w:right w:val="none" w:sz="0" w:space="0" w:color="auto"/>
      </w:divBdr>
    </w:div>
    <w:div w:id="949358828">
      <w:bodyDiv w:val="1"/>
      <w:marLeft w:val="0"/>
      <w:marRight w:val="0"/>
      <w:marTop w:val="0"/>
      <w:marBottom w:val="0"/>
      <w:divBdr>
        <w:top w:val="none" w:sz="0" w:space="0" w:color="auto"/>
        <w:left w:val="none" w:sz="0" w:space="0" w:color="auto"/>
        <w:bottom w:val="none" w:sz="0" w:space="0" w:color="auto"/>
        <w:right w:val="none" w:sz="0" w:space="0" w:color="auto"/>
      </w:divBdr>
    </w:div>
    <w:div w:id="952519600">
      <w:bodyDiv w:val="1"/>
      <w:marLeft w:val="0"/>
      <w:marRight w:val="0"/>
      <w:marTop w:val="0"/>
      <w:marBottom w:val="0"/>
      <w:divBdr>
        <w:top w:val="none" w:sz="0" w:space="0" w:color="auto"/>
        <w:left w:val="none" w:sz="0" w:space="0" w:color="auto"/>
        <w:bottom w:val="none" w:sz="0" w:space="0" w:color="auto"/>
        <w:right w:val="none" w:sz="0" w:space="0" w:color="auto"/>
      </w:divBdr>
    </w:div>
    <w:div w:id="957446510">
      <w:bodyDiv w:val="1"/>
      <w:marLeft w:val="0"/>
      <w:marRight w:val="0"/>
      <w:marTop w:val="0"/>
      <w:marBottom w:val="0"/>
      <w:divBdr>
        <w:top w:val="none" w:sz="0" w:space="0" w:color="auto"/>
        <w:left w:val="none" w:sz="0" w:space="0" w:color="auto"/>
        <w:bottom w:val="none" w:sz="0" w:space="0" w:color="auto"/>
        <w:right w:val="none" w:sz="0" w:space="0" w:color="auto"/>
      </w:divBdr>
    </w:div>
    <w:div w:id="962926148">
      <w:bodyDiv w:val="1"/>
      <w:marLeft w:val="0"/>
      <w:marRight w:val="0"/>
      <w:marTop w:val="0"/>
      <w:marBottom w:val="0"/>
      <w:divBdr>
        <w:top w:val="none" w:sz="0" w:space="0" w:color="auto"/>
        <w:left w:val="none" w:sz="0" w:space="0" w:color="auto"/>
        <w:bottom w:val="none" w:sz="0" w:space="0" w:color="auto"/>
        <w:right w:val="none" w:sz="0" w:space="0" w:color="auto"/>
      </w:divBdr>
    </w:div>
    <w:div w:id="964390499">
      <w:bodyDiv w:val="1"/>
      <w:marLeft w:val="0"/>
      <w:marRight w:val="0"/>
      <w:marTop w:val="0"/>
      <w:marBottom w:val="0"/>
      <w:divBdr>
        <w:top w:val="none" w:sz="0" w:space="0" w:color="auto"/>
        <w:left w:val="none" w:sz="0" w:space="0" w:color="auto"/>
        <w:bottom w:val="none" w:sz="0" w:space="0" w:color="auto"/>
        <w:right w:val="none" w:sz="0" w:space="0" w:color="auto"/>
      </w:divBdr>
    </w:div>
    <w:div w:id="967396751">
      <w:bodyDiv w:val="1"/>
      <w:marLeft w:val="0"/>
      <w:marRight w:val="0"/>
      <w:marTop w:val="0"/>
      <w:marBottom w:val="0"/>
      <w:divBdr>
        <w:top w:val="none" w:sz="0" w:space="0" w:color="auto"/>
        <w:left w:val="none" w:sz="0" w:space="0" w:color="auto"/>
        <w:bottom w:val="none" w:sz="0" w:space="0" w:color="auto"/>
        <w:right w:val="none" w:sz="0" w:space="0" w:color="auto"/>
      </w:divBdr>
    </w:div>
    <w:div w:id="967737071">
      <w:bodyDiv w:val="1"/>
      <w:marLeft w:val="0"/>
      <w:marRight w:val="0"/>
      <w:marTop w:val="0"/>
      <w:marBottom w:val="0"/>
      <w:divBdr>
        <w:top w:val="none" w:sz="0" w:space="0" w:color="auto"/>
        <w:left w:val="none" w:sz="0" w:space="0" w:color="auto"/>
        <w:bottom w:val="none" w:sz="0" w:space="0" w:color="auto"/>
        <w:right w:val="none" w:sz="0" w:space="0" w:color="auto"/>
      </w:divBdr>
    </w:div>
    <w:div w:id="968514341">
      <w:bodyDiv w:val="1"/>
      <w:marLeft w:val="0"/>
      <w:marRight w:val="0"/>
      <w:marTop w:val="0"/>
      <w:marBottom w:val="0"/>
      <w:divBdr>
        <w:top w:val="none" w:sz="0" w:space="0" w:color="auto"/>
        <w:left w:val="none" w:sz="0" w:space="0" w:color="auto"/>
        <w:bottom w:val="none" w:sz="0" w:space="0" w:color="auto"/>
        <w:right w:val="none" w:sz="0" w:space="0" w:color="auto"/>
      </w:divBdr>
    </w:div>
    <w:div w:id="971255345">
      <w:bodyDiv w:val="1"/>
      <w:marLeft w:val="0"/>
      <w:marRight w:val="0"/>
      <w:marTop w:val="0"/>
      <w:marBottom w:val="0"/>
      <w:divBdr>
        <w:top w:val="none" w:sz="0" w:space="0" w:color="auto"/>
        <w:left w:val="none" w:sz="0" w:space="0" w:color="auto"/>
        <w:bottom w:val="none" w:sz="0" w:space="0" w:color="auto"/>
        <w:right w:val="none" w:sz="0" w:space="0" w:color="auto"/>
      </w:divBdr>
    </w:div>
    <w:div w:id="978268841">
      <w:bodyDiv w:val="1"/>
      <w:marLeft w:val="0"/>
      <w:marRight w:val="0"/>
      <w:marTop w:val="0"/>
      <w:marBottom w:val="0"/>
      <w:divBdr>
        <w:top w:val="none" w:sz="0" w:space="0" w:color="auto"/>
        <w:left w:val="none" w:sz="0" w:space="0" w:color="auto"/>
        <w:bottom w:val="none" w:sz="0" w:space="0" w:color="auto"/>
        <w:right w:val="none" w:sz="0" w:space="0" w:color="auto"/>
      </w:divBdr>
    </w:div>
    <w:div w:id="978340350">
      <w:bodyDiv w:val="1"/>
      <w:marLeft w:val="0"/>
      <w:marRight w:val="0"/>
      <w:marTop w:val="0"/>
      <w:marBottom w:val="0"/>
      <w:divBdr>
        <w:top w:val="none" w:sz="0" w:space="0" w:color="auto"/>
        <w:left w:val="none" w:sz="0" w:space="0" w:color="auto"/>
        <w:bottom w:val="none" w:sz="0" w:space="0" w:color="auto"/>
        <w:right w:val="none" w:sz="0" w:space="0" w:color="auto"/>
      </w:divBdr>
    </w:div>
    <w:div w:id="979767160">
      <w:bodyDiv w:val="1"/>
      <w:marLeft w:val="0"/>
      <w:marRight w:val="0"/>
      <w:marTop w:val="0"/>
      <w:marBottom w:val="0"/>
      <w:divBdr>
        <w:top w:val="none" w:sz="0" w:space="0" w:color="auto"/>
        <w:left w:val="none" w:sz="0" w:space="0" w:color="auto"/>
        <w:bottom w:val="none" w:sz="0" w:space="0" w:color="auto"/>
        <w:right w:val="none" w:sz="0" w:space="0" w:color="auto"/>
      </w:divBdr>
    </w:div>
    <w:div w:id="981547431">
      <w:bodyDiv w:val="1"/>
      <w:marLeft w:val="0"/>
      <w:marRight w:val="0"/>
      <w:marTop w:val="0"/>
      <w:marBottom w:val="0"/>
      <w:divBdr>
        <w:top w:val="none" w:sz="0" w:space="0" w:color="auto"/>
        <w:left w:val="none" w:sz="0" w:space="0" w:color="auto"/>
        <w:bottom w:val="none" w:sz="0" w:space="0" w:color="auto"/>
        <w:right w:val="none" w:sz="0" w:space="0" w:color="auto"/>
      </w:divBdr>
    </w:div>
    <w:div w:id="982319321">
      <w:bodyDiv w:val="1"/>
      <w:marLeft w:val="0"/>
      <w:marRight w:val="0"/>
      <w:marTop w:val="0"/>
      <w:marBottom w:val="0"/>
      <w:divBdr>
        <w:top w:val="none" w:sz="0" w:space="0" w:color="auto"/>
        <w:left w:val="none" w:sz="0" w:space="0" w:color="auto"/>
        <w:bottom w:val="none" w:sz="0" w:space="0" w:color="auto"/>
        <w:right w:val="none" w:sz="0" w:space="0" w:color="auto"/>
      </w:divBdr>
    </w:div>
    <w:div w:id="988444168">
      <w:bodyDiv w:val="1"/>
      <w:marLeft w:val="0"/>
      <w:marRight w:val="0"/>
      <w:marTop w:val="0"/>
      <w:marBottom w:val="0"/>
      <w:divBdr>
        <w:top w:val="none" w:sz="0" w:space="0" w:color="auto"/>
        <w:left w:val="none" w:sz="0" w:space="0" w:color="auto"/>
        <w:bottom w:val="none" w:sz="0" w:space="0" w:color="auto"/>
        <w:right w:val="none" w:sz="0" w:space="0" w:color="auto"/>
      </w:divBdr>
    </w:div>
    <w:div w:id="992415705">
      <w:bodyDiv w:val="1"/>
      <w:marLeft w:val="0"/>
      <w:marRight w:val="0"/>
      <w:marTop w:val="0"/>
      <w:marBottom w:val="0"/>
      <w:divBdr>
        <w:top w:val="none" w:sz="0" w:space="0" w:color="auto"/>
        <w:left w:val="none" w:sz="0" w:space="0" w:color="auto"/>
        <w:bottom w:val="none" w:sz="0" w:space="0" w:color="auto"/>
        <w:right w:val="none" w:sz="0" w:space="0" w:color="auto"/>
      </w:divBdr>
    </w:div>
    <w:div w:id="993337381">
      <w:bodyDiv w:val="1"/>
      <w:marLeft w:val="0"/>
      <w:marRight w:val="0"/>
      <w:marTop w:val="0"/>
      <w:marBottom w:val="0"/>
      <w:divBdr>
        <w:top w:val="none" w:sz="0" w:space="0" w:color="auto"/>
        <w:left w:val="none" w:sz="0" w:space="0" w:color="auto"/>
        <w:bottom w:val="none" w:sz="0" w:space="0" w:color="auto"/>
        <w:right w:val="none" w:sz="0" w:space="0" w:color="auto"/>
      </w:divBdr>
    </w:div>
    <w:div w:id="993798843">
      <w:bodyDiv w:val="1"/>
      <w:marLeft w:val="0"/>
      <w:marRight w:val="0"/>
      <w:marTop w:val="0"/>
      <w:marBottom w:val="0"/>
      <w:divBdr>
        <w:top w:val="none" w:sz="0" w:space="0" w:color="auto"/>
        <w:left w:val="none" w:sz="0" w:space="0" w:color="auto"/>
        <w:bottom w:val="none" w:sz="0" w:space="0" w:color="auto"/>
        <w:right w:val="none" w:sz="0" w:space="0" w:color="auto"/>
      </w:divBdr>
    </w:div>
    <w:div w:id="995378181">
      <w:bodyDiv w:val="1"/>
      <w:marLeft w:val="0"/>
      <w:marRight w:val="0"/>
      <w:marTop w:val="0"/>
      <w:marBottom w:val="0"/>
      <w:divBdr>
        <w:top w:val="none" w:sz="0" w:space="0" w:color="auto"/>
        <w:left w:val="none" w:sz="0" w:space="0" w:color="auto"/>
        <w:bottom w:val="none" w:sz="0" w:space="0" w:color="auto"/>
        <w:right w:val="none" w:sz="0" w:space="0" w:color="auto"/>
      </w:divBdr>
    </w:div>
    <w:div w:id="1002125671">
      <w:bodyDiv w:val="1"/>
      <w:marLeft w:val="0"/>
      <w:marRight w:val="0"/>
      <w:marTop w:val="0"/>
      <w:marBottom w:val="0"/>
      <w:divBdr>
        <w:top w:val="none" w:sz="0" w:space="0" w:color="auto"/>
        <w:left w:val="none" w:sz="0" w:space="0" w:color="auto"/>
        <w:bottom w:val="none" w:sz="0" w:space="0" w:color="auto"/>
        <w:right w:val="none" w:sz="0" w:space="0" w:color="auto"/>
      </w:divBdr>
    </w:div>
    <w:div w:id="1002127348">
      <w:bodyDiv w:val="1"/>
      <w:marLeft w:val="0"/>
      <w:marRight w:val="0"/>
      <w:marTop w:val="0"/>
      <w:marBottom w:val="0"/>
      <w:divBdr>
        <w:top w:val="none" w:sz="0" w:space="0" w:color="auto"/>
        <w:left w:val="none" w:sz="0" w:space="0" w:color="auto"/>
        <w:bottom w:val="none" w:sz="0" w:space="0" w:color="auto"/>
        <w:right w:val="none" w:sz="0" w:space="0" w:color="auto"/>
      </w:divBdr>
    </w:div>
    <w:div w:id="1014457655">
      <w:bodyDiv w:val="1"/>
      <w:marLeft w:val="0"/>
      <w:marRight w:val="0"/>
      <w:marTop w:val="0"/>
      <w:marBottom w:val="0"/>
      <w:divBdr>
        <w:top w:val="none" w:sz="0" w:space="0" w:color="auto"/>
        <w:left w:val="none" w:sz="0" w:space="0" w:color="auto"/>
        <w:bottom w:val="none" w:sz="0" w:space="0" w:color="auto"/>
        <w:right w:val="none" w:sz="0" w:space="0" w:color="auto"/>
      </w:divBdr>
    </w:div>
    <w:div w:id="1015619473">
      <w:bodyDiv w:val="1"/>
      <w:marLeft w:val="0"/>
      <w:marRight w:val="0"/>
      <w:marTop w:val="0"/>
      <w:marBottom w:val="0"/>
      <w:divBdr>
        <w:top w:val="none" w:sz="0" w:space="0" w:color="auto"/>
        <w:left w:val="none" w:sz="0" w:space="0" w:color="auto"/>
        <w:bottom w:val="none" w:sz="0" w:space="0" w:color="auto"/>
        <w:right w:val="none" w:sz="0" w:space="0" w:color="auto"/>
      </w:divBdr>
    </w:div>
    <w:div w:id="1028875959">
      <w:bodyDiv w:val="1"/>
      <w:marLeft w:val="0"/>
      <w:marRight w:val="0"/>
      <w:marTop w:val="0"/>
      <w:marBottom w:val="0"/>
      <w:divBdr>
        <w:top w:val="none" w:sz="0" w:space="0" w:color="auto"/>
        <w:left w:val="none" w:sz="0" w:space="0" w:color="auto"/>
        <w:bottom w:val="none" w:sz="0" w:space="0" w:color="auto"/>
        <w:right w:val="none" w:sz="0" w:space="0" w:color="auto"/>
      </w:divBdr>
    </w:div>
    <w:div w:id="1034309133">
      <w:bodyDiv w:val="1"/>
      <w:marLeft w:val="0"/>
      <w:marRight w:val="0"/>
      <w:marTop w:val="0"/>
      <w:marBottom w:val="0"/>
      <w:divBdr>
        <w:top w:val="none" w:sz="0" w:space="0" w:color="auto"/>
        <w:left w:val="none" w:sz="0" w:space="0" w:color="auto"/>
        <w:bottom w:val="none" w:sz="0" w:space="0" w:color="auto"/>
        <w:right w:val="none" w:sz="0" w:space="0" w:color="auto"/>
      </w:divBdr>
    </w:div>
    <w:div w:id="1035735673">
      <w:bodyDiv w:val="1"/>
      <w:marLeft w:val="0"/>
      <w:marRight w:val="0"/>
      <w:marTop w:val="0"/>
      <w:marBottom w:val="0"/>
      <w:divBdr>
        <w:top w:val="none" w:sz="0" w:space="0" w:color="auto"/>
        <w:left w:val="none" w:sz="0" w:space="0" w:color="auto"/>
        <w:bottom w:val="none" w:sz="0" w:space="0" w:color="auto"/>
        <w:right w:val="none" w:sz="0" w:space="0" w:color="auto"/>
      </w:divBdr>
    </w:div>
    <w:div w:id="1039284905">
      <w:bodyDiv w:val="1"/>
      <w:marLeft w:val="0"/>
      <w:marRight w:val="0"/>
      <w:marTop w:val="0"/>
      <w:marBottom w:val="0"/>
      <w:divBdr>
        <w:top w:val="none" w:sz="0" w:space="0" w:color="auto"/>
        <w:left w:val="none" w:sz="0" w:space="0" w:color="auto"/>
        <w:bottom w:val="none" w:sz="0" w:space="0" w:color="auto"/>
        <w:right w:val="none" w:sz="0" w:space="0" w:color="auto"/>
      </w:divBdr>
    </w:div>
    <w:div w:id="1041980591">
      <w:bodyDiv w:val="1"/>
      <w:marLeft w:val="0"/>
      <w:marRight w:val="0"/>
      <w:marTop w:val="0"/>
      <w:marBottom w:val="0"/>
      <w:divBdr>
        <w:top w:val="none" w:sz="0" w:space="0" w:color="auto"/>
        <w:left w:val="none" w:sz="0" w:space="0" w:color="auto"/>
        <w:bottom w:val="none" w:sz="0" w:space="0" w:color="auto"/>
        <w:right w:val="none" w:sz="0" w:space="0" w:color="auto"/>
      </w:divBdr>
    </w:div>
    <w:div w:id="1046300078">
      <w:bodyDiv w:val="1"/>
      <w:marLeft w:val="0"/>
      <w:marRight w:val="0"/>
      <w:marTop w:val="0"/>
      <w:marBottom w:val="0"/>
      <w:divBdr>
        <w:top w:val="none" w:sz="0" w:space="0" w:color="auto"/>
        <w:left w:val="none" w:sz="0" w:space="0" w:color="auto"/>
        <w:bottom w:val="none" w:sz="0" w:space="0" w:color="auto"/>
        <w:right w:val="none" w:sz="0" w:space="0" w:color="auto"/>
      </w:divBdr>
    </w:div>
    <w:div w:id="1046636863">
      <w:bodyDiv w:val="1"/>
      <w:marLeft w:val="0"/>
      <w:marRight w:val="0"/>
      <w:marTop w:val="0"/>
      <w:marBottom w:val="0"/>
      <w:divBdr>
        <w:top w:val="none" w:sz="0" w:space="0" w:color="auto"/>
        <w:left w:val="none" w:sz="0" w:space="0" w:color="auto"/>
        <w:bottom w:val="none" w:sz="0" w:space="0" w:color="auto"/>
        <w:right w:val="none" w:sz="0" w:space="0" w:color="auto"/>
      </w:divBdr>
    </w:div>
    <w:div w:id="1056197877">
      <w:bodyDiv w:val="1"/>
      <w:marLeft w:val="0"/>
      <w:marRight w:val="0"/>
      <w:marTop w:val="0"/>
      <w:marBottom w:val="0"/>
      <w:divBdr>
        <w:top w:val="none" w:sz="0" w:space="0" w:color="auto"/>
        <w:left w:val="none" w:sz="0" w:space="0" w:color="auto"/>
        <w:bottom w:val="none" w:sz="0" w:space="0" w:color="auto"/>
        <w:right w:val="none" w:sz="0" w:space="0" w:color="auto"/>
      </w:divBdr>
    </w:div>
    <w:div w:id="1058473352">
      <w:bodyDiv w:val="1"/>
      <w:marLeft w:val="0"/>
      <w:marRight w:val="0"/>
      <w:marTop w:val="0"/>
      <w:marBottom w:val="0"/>
      <w:divBdr>
        <w:top w:val="none" w:sz="0" w:space="0" w:color="auto"/>
        <w:left w:val="none" w:sz="0" w:space="0" w:color="auto"/>
        <w:bottom w:val="none" w:sz="0" w:space="0" w:color="auto"/>
        <w:right w:val="none" w:sz="0" w:space="0" w:color="auto"/>
      </w:divBdr>
    </w:div>
    <w:div w:id="1066492187">
      <w:bodyDiv w:val="1"/>
      <w:marLeft w:val="0"/>
      <w:marRight w:val="0"/>
      <w:marTop w:val="0"/>
      <w:marBottom w:val="0"/>
      <w:divBdr>
        <w:top w:val="none" w:sz="0" w:space="0" w:color="auto"/>
        <w:left w:val="none" w:sz="0" w:space="0" w:color="auto"/>
        <w:bottom w:val="none" w:sz="0" w:space="0" w:color="auto"/>
        <w:right w:val="none" w:sz="0" w:space="0" w:color="auto"/>
      </w:divBdr>
    </w:div>
    <w:div w:id="1071848305">
      <w:bodyDiv w:val="1"/>
      <w:marLeft w:val="0"/>
      <w:marRight w:val="0"/>
      <w:marTop w:val="0"/>
      <w:marBottom w:val="0"/>
      <w:divBdr>
        <w:top w:val="none" w:sz="0" w:space="0" w:color="auto"/>
        <w:left w:val="none" w:sz="0" w:space="0" w:color="auto"/>
        <w:bottom w:val="none" w:sz="0" w:space="0" w:color="auto"/>
        <w:right w:val="none" w:sz="0" w:space="0" w:color="auto"/>
      </w:divBdr>
    </w:div>
    <w:div w:id="1073547899">
      <w:bodyDiv w:val="1"/>
      <w:marLeft w:val="0"/>
      <w:marRight w:val="0"/>
      <w:marTop w:val="0"/>
      <w:marBottom w:val="0"/>
      <w:divBdr>
        <w:top w:val="none" w:sz="0" w:space="0" w:color="auto"/>
        <w:left w:val="none" w:sz="0" w:space="0" w:color="auto"/>
        <w:bottom w:val="none" w:sz="0" w:space="0" w:color="auto"/>
        <w:right w:val="none" w:sz="0" w:space="0" w:color="auto"/>
      </w:divBdr>
    </w:div>
    <w:div w:id="1076056003">
      <w:bodyDiv w:val="1"/>
      <w:marLeft w:val="0"/>
      <w:marRight w:val="0"/>
      <w:marTop w:val="0"/>
      <w:marBottom w:val="0"/>
      <w:divBdr>
        <w:top w:val="none" w:sz="0" w:space="0" w:color="auto"/>
        <w:left w:val="none" w:sz="0" w:space="0" w:color="auto"/>
        <w:bottom w:val="none" w:sz="0" w:space="0" w:color="auto"/>
        <w:right w:val="none" w:sz="0" w:space="0" w:color="auto"/>
      </w:divBdr>
    </w:div>
    <w:div w:id="1077704727">
      <w:bodyDiv w:val="1"/>
      <w:marLeft w:val="0"/>
      <w:marRight w:val="0"/>
      <w:marTop w:val="0"/>
      <w:marBottom w:val="0"/>
      <w:divBdr>
        <w:top w:val="none" w:sz="0" w:space="0" w:color="auto"/>
        <w:left w:val="none" w:sz="0" w:space="0" w:color="auto"/>
        <w:bottom w:val="none" w:sz="0" w:space="0" w:color="auto"/>
        <w:right w:val="none" w:sz="0" w:space="0" w:color="auto"/>
      </w:divBdr>
    </w:div>
    <w:div w:id="1079326737">
      <w:bodyDiv w:val="1"/>
      <w:marLeft w:val="0"/>
      <w:marRight w:val="0"/>
      <w:marTop w:val="0"/>
      <w:marBottom w:val="0"/>
      <w:divBdr>
        <w:top w:val="none" w:sz="0" w:space="0" w:color="auto"/>
        <w:left w:val="none" w:sz="0" w:space="0" w:color="auto"/>
        <w:bottom w:val="none" w:sz="0" w:space="0" w:color="auto"/>
        <w:right w:val="none" w:sz="0" w:space="0" w:color="auto"/>
      </w:divBdr>
    </w:div>
    <w:div w:id="1085762320">
      <w:bodyDiv w:val="1"/>
      <w:marLeft w:val="0"/>
      <w:marRight w:val="0"/>
      <w:marTop w:val="0"/>
      <w:marBottom w:val="0"/>
      <w:divBdr>
        <w:top w:val="none" w:sz="0" w:space="0" w:color="auto"/>
        <w:left w:val="none" w:sz="0" w:space="0" w:color="auto"/>
        <w:bottom w:val="none" w:sz="0" w:space="0" w:color="auto"/>
        <w:right w:val="none" w:sz="0" w:space="0" w:color="auto"/>
      </w:divBdr>
    </w:div>
    <w:div w:id="1093011506">
      <w:bodyDiv w:val="1"/>
      <w:marLeft w:val="0"/>
      <w:marRight w:val="0"/>
      <w:marTop w:val="0"/>
      <w:marBottom w:val="0"/>
      <w:divBdr>
        <w:top w:val="none" w:sz="0" w:space="0" w:color="auto"/>
        <w:left w:val="none" w:sz="0" w:space="0" w:color="auto"/>
        <w:bottom w:val="none" w:sz="0" w:space="0" w:color="auto"/>
        <w:right w:val="none" w:sz="0" w:space="0" w:color="auto"/>
      </w:divBdr>
    </w:div>
    <w:div w:id="1093085685">
      <w:bodyDiv w:val="1"/>
      <w:marLeft w:val="0"/>
      <w:marRight w:val="0"/>
      <w:marTop w:val="0"/>
      <w:marBottom w:val="0"/>
      <w:divBdr>
        <w:top w:val="none" w:sz="0" w:space="0" w:color="auto"/>
        <w:left w:val="none" w:sz="0" w:space="0" w:color="auto"/>
        <w:bottom w:val="none" w:sz="0" w:space="0" w:color="auto"/>
        <w:right w:val="none" w:sz="0" w:space="0" w:color="auto"/>
      </w:divBdr>
    </w:div>
    <w:div w:id="1098408317">
      <w:bodyDiv w:val="1"/>
      <w:marLeft w:val="0"/>
      <w:marRight w:val="0"/>
      <w:marTop w:val="0"/>
      <w:marBottom w:val="0"/>
      <w:divBdr>
        <w:top w:val="none" w:sz="0" w:space="0" w:color="auto"/>
        <w:left w:val="none" w:sz="0" w:space="0" w:color="auto"/>
        <w:bottom w:val="none" w:sz="0" w:space="0" w:color="auto"/>
        <w:right w:val="none" w:sz="0" w:space="0" w:color="auto"/>
      </w:divBdr>
    </w:div>
    <w:div w:id="1099135457">
      <w:bodyDiv w:val="1"/>
      <w:marLeft w:val="0"/>
      <w:marRight w:val="0"/>
      <w:marTop w:val="0"/>
      <w:marBottom w:val="0"/>
      <w:divBdr>
        <w:top w:val="none" w:sz="0" w:space="0" w:color="auto"/>
        <w:left w:val="none" w:sz="0" w:space="0" w:color="auto"/>
        <w:bottom w:val="none" w:sz="0" w:space="0" w:color="auto"/>
        <w:right w:val="none" w:sz="0" w:space="0" w:color="auto"/>
      </w:divBdr>
    </w:div>
    <w:div w:id="1101412557">
      <w:bodyDiv w:val="1"/>
      <w:marLeft w:val="0"/>
      <w:marRight w:val="0"/>
      <w:marTop w:val="0"/>
      <w:marBottom w:val="0"/>
      <w:divBdr>
        <w:top w:val="none" w:sz="0" w:space="0" w:color="auto"/>
        <w:left w:val="none" w:sz="0" w:space="0" w:color="auto"/>
        <w:bottom w:val="none" w:sz="0" w:space="0" w:color="auto"/>
        <w:right w:val="none" w:sz="0" w:space="0" w:color="auto"/>
      </w:divBdr>
    </w:div>
    <w:div w:id="1101486476">
      <w:bodyDiv w:val="1"/>
      <w:marLeft w:val="0"/>
      <w:marRight w:val="0"/>
      <w:marTop w:val="0"/>
      <w:marBottom w:val="0"/>
      <w:divBdr>
        <w:top w:val="none" w:sz="0" w:space="0" w:color="auto"/>
        <w:left w:val="none" w:sz="0" w:space="0" w:color="auto"/>
        <w:bottom w:val="none" w:sz="0" w:space="0" w:color="auto"/>
        <w:right w:val="none" w:sz="0" w:space="0" w:color="auto"/>
      </w:divBdr>
    </w:div>
    <w:div w:id="1103066685">
      <w:bodyDiv w:val="1"/>
      <w:marLeft w:val="0"/>
      <w:marRight w:val="0"/>
      <w:marTop w:val="0"/>
      <w:marBottom w:val="0"/>
      <w:divBdr>
        <w:top w:val="none" w:sz="0" w:space="0" w:color="auto"/>
        <w:left w:val="none" w:sz="0" w:space="0" w:color="auto"/>
        <w:bottom w:val="none" w:sz="0" w:space="0" w:color="auto"/>
        <w:right w:val="none" w:sz="0" w:space="0" w:color="auto"/>
      </w:divBdr>
    </w:div>
    <w:div w:id="1103573169">
      <w:bodyDiv w:val="1"/>
      <w:marLeft w:val="0"/>
      <w:marRight w:val="0"/>
      <w:marTop w:val="0"/>
      <w:marBottom w:val="0"/>
      <w:divBdr>
        <w:top w:val="none" w:sz="0" w:space="0" w:color="auto"/>
        <w:left w:val="none" w:sz="0" w:space="0" w:color="auto"/>
        <w:bottom w:val="none" w:sz="0" w:space="0" w:color="auto"/>
        <w:right w:val="none" w:sz="0" w:space="0" w:color="auto"/>
      </w:divBdr>
    </w:div>
    <w:div w:id="1103694429">
      <w:bodyDiv w:val="1"/>
      <w:marLeft w:val="0"/>
      <w:marRight w:val="0"/>
      <w:marTop w:val="0"/>
      <w:marBottom w:val="0"/>
      <w:divBdr>
        <w:top w:val="none" w:sz="0" w:space="0" w:color="auto"/>
        <w:left w:val="none" w:sz="0" w:space="0" w:color="auto"/>
        <w:bottom w:val="none" w:sz="0" w:space="0" w:color="auto"/>
        <w:right w:val="none" w:sz="0" w:space="0" w:color="auto"/>
      </w:divBdr>
    </w:div>
    <w:div w:id="1103916418">
      <w:bodyDiv w:val="1"/>
      <w:marLeft w:val="0"/>
      <w:marRight w:val="0"/>
      <w:marTop w:val="0"/>
      <w:marBottom w:val="0"/>
      <w:divBdr>
        <w:top w:val="none" w:sz="0" w:space="0" w:color="auto"/>
        <w:left w:val="none" w:sz="0" w:space="0" w:color="auto"/>
        <w:bottom w:val="none" w:sz="0" w:space="0" w:color="auto"/>
        <w:right w:val="none" w:sz="0" w:space="0" w:color="auto"/>
      </w:divBdr>
    </w:div>
    <w:div w:id="1109399603">
      <w:bodyDiv w:val="1"/>
      <w:marLeft w:val="0"/>
      <w:marRight w:val="0"/>
      <w:marTop w:val="0"/>
      <w:marBottom w:val="0"/>
      <w:divBdr>
        <w:top w:val="none" w:sz="0" w:space="0" w:color="auto"/>
        <w:left w:val="none" w:sz="0" w:space="0" w:color="auto"/>
        <w:bottom w:val="none" w:sz="0" w:space="0" w:color="auto"/>
        <w:right w:val="none" w:sz="0" w:space="0" w:color="auto"/>
      </w:divBdr>
    </w:div>
    <w:div w:id="1114011731">
      <w:bodyDiv w:val="1"/>
      <w:marLeft w:val="0"/>
      <w:marRight w:val="0"/>
      <w:marTop w:val="0"/>
      <w:marBottom w:val="0"/>
      <w:divBdr>
        <w:top w:val="none" w:sz="0" w:space="0" w:color="auto"/>
        <w:left w:val="none" w:sz="0" w:space="0" w:color="auto"/>
        <w:bottom w:val="none" w:sz="0" w:space="0" w:color="auto"/>
        <w:right w:val="none" w:sz="0" w:space="0" w:color="auto"/>
      </w:divBdr>
    </w:div>
    <w:div w:id="1114983383">
      <w:bodyDiv w:val="1"/>
      <w:marLeft w:val="0"/>
      <w:marRight w:val="0"/>
      <w:marTop w:val="0"/>
      <w:marBottom w:val="0"/>
      <w:divBdr>
        <w:top w:val="none" w:sz="0" w:space="0" w:color="auto"/>
        <w:left w:val="none" w:sz="0" w:space="0" w:color="auto"/>
        <w:bottom w:val="none" w:sz="0" w:space="0" w:color="auto"/>
        <w:right w:val="none" w:sz="0" w:space="0" w:color="auto"/>
      </w:divBdr>
    </w:div>
    <w:div w:id="1116145506">
      <w:bodyDiv w:val="1"/>
      <w:marLeft w:val="0"/>
      <w:marRight w:val="0"/>
      <w:marTop w:val="0"/>
      <w:marBottom w:val="0"/>
      <w:divBdr>
        <w:top w:val="none" w:sz="0" w:space="0" w:color="auto"/>
        <w:left w:val="none" w:sz="0" w:space="0" w:color="auto"/>
        <w:bottom w:val="none" w:sz="0" w:space="0" w:color="auto"/>
        <w:right w:val="none" w:sz="0" w:space="0" w:color="auto"/>
      </w:divBdr>
    </w:div>
    <w:div w:id="1123038902">
      <w:bodyDiv w:val="1"/>
      <w:marLeft w:val="0"/>
      <w:marRight w:val="0"/>
      <w:marTop w:val="0"/>
      <w:marBottom w:val="0"/>
      <w:divBdr>
        <w:top w:val="none" w:sz="0" w:space="0" w:color="auto"/>
        <w:left w:val="none" w:sz="0" w:space="0" w:color="auto"/>
        <w:bottom w:val="none" w:sz="0" w:space="0" w:color="auto"/>
        <w:right w:val="none" w:sz="0" w:space="0" w:color="auto"/>
      </w:divBdr>
    </w:div>
    <w:div w:id="1123231249">
      <w:bodyDiv w:val="1"/>
      <w:marLeft w:val="0"/>
      <w:marRight w:val="0"/>
      <w:marTop w:val="0"/>
      <w:marBottom w:val="0"/>
      <w:divBdr>
        <w:top w:val="none" w:sz="0" w:space="0" w:color="auto"/>
        <w:left w:val="none" w:sz="0" w:space="0" w:color="auto"/>
        <w:bottom w:val="none" w:sz="0" w:space="0" w:color="auto"/>
        <w:right w:val="none" w:sz="0" w:space="0" w:color="auto"/>
      </w:divBdr>
    </w:div>
    <w:div w:id="1131169363">
      <w:bodyDiv w:val="1"/>
      <w:marLeft w:val="0"/>
      <w:marRight w:val="0"/>
      <w:marTop w:val="0"/>
      <w:marBottom w:val="0"/>
      <w:divBdr>
        <w:top w:val="none" w:sz="0" w:space="0" w:color="auto"/>
        <w:left w:val="none" w:sz="0" w:space="0" w:color="auto"/>
        <w:bottom w:val="none" w:sz="0" w:space="0" w:color="auto"/>
        <w:right w:val="none" w:sz="0" w:space="0" w:color="auto"/>
      </w:divBdr>
    </w:div>
    <w:div w:id="1135026793">
      <w:bodyDiv w:val="1"/>
      <w:marLeft w:val="0"/>
      <w:marRight w:val="0"/>
      <w:marTop w:val="0"/>
      <w:marBottom w:val="0"/>
      <w:divBdr>
        <w:top w:val="none" w:sz="0" w:space="0" w:color="auto"/>
        <w:left w:val="none" w:sz="0" w:space="0" w:color="auto"/>
        <w:bottom w:val="none" w:sz="0" w:space="0" w:color="auto"/>
        <w:right w:val="none" w:sz="0" w:space="0" w:color="auto"/>
      </w:divBdr>
    </w:div>
    <w:div w:id="1135875467">
      <w:bodyDiv w:val="1"/>
      <w:marLeft w:val="0"/>
      <w:marRight w:val="0"/>
      <w:marTop w:val="0"/>
      <w:marBottom w:val="0"/>
      <w:divBdr>
        <w:top w:val="none" w:sz="0" w:space="0" w:color="auto"/>
        <w:left w:val="none" w:sz="0" w:space="0" w:color="auto"/>
        <w:bottom w:val="none" w:sz="0" w:space="0" w:color="auto"/>
        <w:right w:val="none" w:sz="0" w:space="0" w:color="auto"/>
      </w:divBdr>
    </w:div>
    <w:div w:id="1137186779">
      <w:bodyDiv w:val="1"/>
      <w:marLeft w:val="0"/>
      <w:marRight w:val="0"/>
      <w:marTop w:val="0"/>
      <w:marBottom w:val="0"/>
      <w:divBdr>
        <w:top w:val="none" w:sz="0" w:space="0" w:color="auto"/>
        <w:left w:val="none" w:sz="0" w:space="0" w:color="auto"/>
        <w:bottom w:val="none" w:sz="0" w:space="0" w:color="auto"/>
        <w:right w:val="none" w:sz="0" w:space="0" w:color="auto"/>
      </w:divBdr>
    </w:div>
    <w:div w:id="1139610434">
      <w:bodyDiv w:val="1"/>
      <w:marLeft w:val="0"/>
      <w:marRight w:val="0"/>
      <w:marTop w:val="0"/>
      <w:marBottom w:val="0"/>
      <w:divBdr>
        <w:top w:val="none" w:sz="0" w:space="0" w:color="auto"/>
        <w:left w:val="none" w:sz="0" w:space="0" w:color="auto"/>
        <w:bottom w:val="none" w:sz="0" w:space="0" w:color="auto"/>
        <w:right w:val="none" w:sz="0" w:space="0" w:color="auto"/>
      </w:divBdr>
    </w:div>
    <w:div w:id="1141266782">
      <w:bodyDiv w:val="1"/>
      <w:marLeft w:val="0"/>
      <w:marRight w:val="0"/>
      <w:marTop w:val="0"/>
      <w:marBottom w:val="0"/>
      <w:divBdr>
        <w:top w:val="none" w:sz="0" w:space="0" w:color="auto"/>
        <w:left w:val="none" w:sz="0" w:space="0" w:color="auto"/>
        <w:bottom w:val="none" w:sz="0" w:space="0" w:color="auto"/>
        <w:right w:val="none" w:sz="0" w:space="0" w:color="auto"/>
      </w:divBdr>
    </w:div>
    <w:div w:id="1143501805">
      <w:bodyDiv w:val="1"/>
      <w:marLeft w:val="0"/>
      <w:marRight w:val="0"/>
      <w:marTop w:val="0"/>
      <w:marBottom w:val="0"/>
      <w:divBdr>
        <w:top w:val="none" w:sz="0" w:space="0" w:color="auto"/>
        <w:left w:val="none" w:sz="0" w:space="0" w:color="auto"/>
        <w:bottom w:val="none" w:sz="0" w:space="0" w:color="auto"/>
        <w:right w:val="none" w:sz="0" w:space="0" w:color="auto"/>
      </w:divBdr>
    </w:div>
    <w:div w:id="1151604340">
      <w:bodyDiv w:val="1"/>
      <w:marLeft w:val="0"/>
      <w:marRight w:val="0"/>
      <w:marTop w:val="0"/>
      <w:marBottom w:val="0"/>
      <w:divBdr>
        <w:top w:val="none" w:sz="0" w:space="0" w:color="auto"/>
        <w:left w:val="none" w:sz="0" w:space="0" w:color="auto"/>
        <w:bottom w:val="none" w:sz="0" w:space="0" w:color="auto"/>
        <w:right w:val="none" w:sz="0" w:space="0" w:color="auto"/>
      </w:divBdr>
    </w:div>
    <w:div w:id="1152672284">
      <w:bodyDiv w:val="1"/>
      <w:marLeft w:val="0"/>
      <w:marRight w:val="0"/>
      <w:marTop w:val="0"/>
      <w:marBottom w:val="0"/>
      <w:divBdr>
        <w:top w:val="none" w:sz="0" w:space="0" w:color="auto"/>
        <w:left w:val="none" w:sz="0" w:space="0" w:color="auto"/>
        <w:bottom w:val="none" w:sz="0" w:space="0" w:color="auto"/>
        <w:right w:val="none" w:sz="0" w:space="0" w:color="auto"/>
      </w:divBdr>
    </w:div>
    <w:div w:id="1153713161">
      <w:bodyDiv w:val="1"/>
      <w:marLeft w:val="0"/>
      <w:marRight w:val="0"/>
      <w:marTop w:val="0"/>
      <w:marBottom w:val="0"/>
      <w:divBdr>
        <w:top w:val="none" w:sz="0" w:space="0" w:color="auto"/>
        <w:left w:val="none" w:sz="0" w:space="0" w:color="auto"/>
        <w:bottom w:val="none" w:sz="0" w:space="0" w:color="auto"/>
        <w:right w:val="none" w:sz="0" w:space="0" w:color="auto"/>
      </w:divBdr>
    </w:div>
    <w:div w:id="1154565825">
      <w:bodyDiv w:val="1"/>
      <w:marLeft w:val="0"/>
      <w:marRight w:val="0"/>
      <w:marTop w:val="0"/>
      <w:marBottom w:val="0"/>
      <w:divBdr>
        <w:top w:val="none" w:sz="0" w:space="0" w:color="auto"/>
        <w:left w:val="none" w:sz="0" w:space="0" w:color="auto"/>
        <w:bottom w:val="none" w:sz="0" w:space="0" w:color="auto"/>
        <w:right w:val="none" w:sz="0" w:space="0" w:color="auto"/>
      </w:divBdr>
    </w:div>
    <w:div w:id="1155074505">
      <w:bodyDiv w:val="1"/>
      <w:marLeft w:val="0"/>
      <w:marRight w:val="0"/>
      <w:marTop w:val="0"/>
      <w:marBottom w:val="0"/>
      <w:divBdr>
        <w:top w:val="none" w:sz="0" w:space="0" w:color="auto"/>
        <w:left w:val="none" w:sz="0" w:space="0" w:color="auto"/>
        <w:bottom w:val="none" w:sz="0" w:space="0" w:color="auto"/>
        <w:right w:val="none" w:sz="0" w:space="0" w:color="auto"/>
      </w:divBdr>
    </w:div>
    <w:div w:id="1159226850">
      <w:bodyDiv w:val="1"/>
      <w:marLeft w:val="0"/>
      <w:marRight w:val="0"/>
      <w:marTop w:val="0"/>
      <w:marBottom w:val="0"/>
      <w:divBdr>
        <w:top w:val="none" w:sz="0" w:space="0" w:color="auto"/>
        <w:left w:val="none" w:sz="0" w:space="0" w:color="auto"/>
        <w:bottom w:val="none" w:sz="0" w:space="0" w:color="auto"/>
        <w:right w:val="none" w:sz="0" w:space="0" w:color="auto"/>
      </w:divBdr>
    </w:div>
    <w:div w:id="1160197920">
      <w:bodyDiv w:val="1"/>
      <w:marLeft w:val="0"/>
      <w:marRight w:val="0"/>
      <w:marTop w:val="0"/>
      <w:marBottom w:val="0"/>
      <w:divBdr>
        <w:top w:val="none" w:sz="0" w:space="0" w:color="auto"/>
        <w:left w:val="none" w:sz="0" w:space="0" w:color="auto"/>
        <w:bottom w:val="none" w:sz="0" w:space="0" w:color="auto"/>
        <w:right w:val="none" w:sz="0" w:space="0" w:color="auto"/>
      </w:divBdr>
    </w:div>
    <w:div w:id="1162162400">
      <w:bodyDiv w:val="1"/>
      <w:marLeft w:val="0"/>
      <w:marRight w:val="0"/>
      <w:marTop w:val="0"/>
      <w:marBottom w:val="0"/>
      <w:divBdr>
        <w:top w:val="none" w:sz="0" w:space="0" w:color="auto"/>
        <w:left w:val="none" w:sz="0" w:space="0" w:color="auto"/>
        <w:bottom w:val="none" w:sz="0" w:space="0" w:color="auto"/>
        <w:right w:val="none" w:sz="0" w:space="0" w:color="auto"/>
      </w:divBdr>
    </w:div>
    <w:div w:id="1162234476">
      <w:bodyDiv w:val="1"/>
      <w:marLeft w:val="0"/>
      <w:marRight w:val="0"/>
      <w:marTop w:val="0"/>
      <w:marBottom w:val="0"/>
      <w:divBdr>
        <w:top w:val="none" w:sz="0" w:space="0" w:color="auto"/>
        <w:left w:val="none" w:sz="0" w:space="0" w:color="auto"/>
        <w:bottom w:val="none" w:sz="0" w:space="0" w:color="auto"/>
        <w:right w:val="none" w:sz="0" w:space="0" w:color="auto"/>
      </w:divBdr>
    </w:div>
    <w:div w:id="1167331128">
      <w:bodyDiv w:val="1"/>
      <w:marLeft w:val="0"/>
      <w:marRight w:val="0"/>
      <w:marTop w:val="0"/>
      <w:marBottom w:val="0"/>
      <w:divBdr>
        <w:top w:val="none" w:sz="0" w:space="0" w:color="auto"/>
        <w:left w:val="none" w:sz="0" w:space="0" w:color="auto"/>
        <w:bottom w:val="none" w:sz="0" w:space="0" w:color="auto"/>
        <w:right w:val="none" w:sz="0" w:space="0" w:color="auto"/>
      </w:divBdr>
    </w:div>
    <w:div w:id="1167524611">
      <w:bodyDiv w:val="1"/>
      <w:marLeft w:val="0"/>
      <w:marRight w:val="0"/>
      <w:marTop w:val="0"/>
      <w:marBottom w:val="0"/>
      <w:divBdr>
        <w:top w:val="none" w:sz="0" w:space="0" w:color="auto"/>
        <w:left w:val="none" w:sz="0" w:space="0" w:color="auto"/>
        <w:bottom w:val="none" w:sz="0" w:space="0" w:color="auto"/>
        <w:right w:val="none" w:sz="0" w:space="0" w:color="auto"/>
      </w:divBdr>
    </w:div>
    <w:div w:id="1168590836">
      <w:bodyDiv w:val="1"/>
      <w:marLeft w:val="0"/>
      <w:marRight w:val="0"/>
      <w:marTop w:val="0"/>
      <w:marBottom w:val="0"/>
      <w:divBdr>
        <w:top w:val="none" w:sz="0" w:space="0" w:color="auto"/>
        <w:left w:val="none" w:sz="0" w:space="0" w:color="auto"/>
        <w:bottom w:val="none" w:sz="0" w:space="0" w:color="auto"/>
        <w:right w:val="none" w:sz="0" w:space="0" w:color="auto"/>
      </w:divBdr>
    </w:div>
    <w:div w:id="1171600367">
      <w:bodyDiv w:val="1"/>
      <w:marLeft w:val="0"/>
      <w:marRight w:val="0"/>
      <w:marTop w:val="0"/>
      <w:marBottom w:val="0"/>
      <w:divBdr>
        <w:top w:val="none" w:sz="0" w:space="0" w:color="auto"/>
        <w:left w:val="none" w:sz="0" w:space="0" w:color="auto"/>
        <w:bottom w:val="none" w:sz="0" w:space="0" w:color="auto"/>
        <w:right w:val="none" w:sz="0" w:space="0" w:color="auto"/>
      </w:divBdr>
    </w:div>
    <w:div w:id="1176924786">
      <w:bodyDiv w:val="1"/>
      <w:marLeft w:val="0"/>
      <w:marRight w:val="0"/>
      <w:marTop w:val="0"/>
      <w:marBottom w:val="0"/>
      <w:divBdr>
        <w:top w:val="none" w:sz="0" w:space="0" w:color="auto"/>
        <w:left w:val="none" w:sz="0" w:space="0" w:color="auto"/>
        <w:bottom w:val="none" w:sz="0" w:space="0" w:color="auto"/>
        <w:right w:val="none" w:sz="0" w:space="0" w:color="auto"/>
      </w:divBdr>
    </w:div>
    <w:div w:id="1180587497">
      <w:bodyDiv w:val="1"/>
      <w:marLeft w:val="0"/>
      <w:marRight w:val="0"/>
      <w:marTop w:val="0"/>
      <w:marBottom w:val="0"/>
      <w:divBdr>
        <w:top w:val="none" w:sz="0" w:space="0" w:color="auto"/>
        <w:left w:val="none" w:sz="0" w:space="0" w:color="auto"/>
        <w:bottom w:val="none" w:sz="0" w:space="0" w:color="auto"/>
        <w:right w:val="none" w:sz="0" w:space="0" w:color="auto"/>
      </w:divBdr>
    </w:div>
    <w:div w:id="1182934429">
      <w:bodyDiv w:val="1"/>
      <w:marLeft w:val="0"/>
      <w:marRight w:val="0"/>
      <w:marTop w:val="0"/>
      <w:marBottom w:val="0"/>
      <w:divBdr>
        <w:top w:val="none" w:sz="0" w:space="0" w:color="auto"/>
        <w:left w:val="none" w:sz="0" w:space="0" w:color="auto"/>
        <w:bottom w:val="none" w:sz="0" w:space="0" w:color="auto"/>
        <w:right w:val="none" w:sz="0" w:space="0" w:color="auto"/>
      </w:divBdr>
    </w:div>
    <w:div w:id="1184706216">
      <w:bodyDiv w:val="1"/>
      <w:marLeft w:val="0"/>
      <w:marRight w:val="0"/>
      <w:marTop w:val="0"/>
      <w:marBottom w:val="0"/>
      <w:divBdr>
        <w:top w:val="none" w:sz="0" w:space="0" w:color="auto"/>
        <w:left w:val="none" w:sz="0" w:space="0" w:color="auto"/>
        <w:bottom w:val="none" w:sz="0" w:space="0" w:color="auto"/>
        <w:right w:val="none" w:sz="0" w:space="0" w:color="auto"/>
      </w:divBdr>
    </w:div>
    <w:div w:id="1196892969">
      <w:bodyDiv w:val="1"/>
      <w:marLeft w:val="0"/>
      <w:marRight w:val="0"/>
      <w:marTop w:val="0"/>
      <w:marBottom w:val="0"/>
      <w:divBdr>
        <w:top w:val="none" w:sz="0" w:space="0" w:color="auto"/>
        <w:left w:val="none" w:sz="0" w:space="0" w:color="auto"/>
        <w:bottom w:val="none" w:sz="0" w:space="0" w:color="auto"/>
        <w:right w:val="none" w:sz="0" w:space="0" w:color="auto"/>
      </w:divBdr>
    </w:div>
    <w:div w:id="1203595893">
      <w:bodyDiv w:val="1"/>
      <w:marLeft w:val="0"/>
      <w:marRight w:val="0"/>
      <w:marTop w:val="0"/>
      <w:marBottom w:val="0"/>
      <w:divBdr>
        <w:top w:val="none" w:sz="0" w:space="0" w:color="auto"/>
        <w:left w:val="none" w:sz="0" w:space="0" w:color="auto"/>
        <w:bottom w:val="none" w:sz="0" w:space="0" w:color="auto"/>
        <w:right w:val="none" w:sz="0" w:space="0" w:color="auto"/>
      </w:divBdr>
    </w:div>
    <w:div w:id="1204948241">
      <w:bodyDiv w:val="1"/>
      <w:marLeft w:val="0"/>
      <w:marRight w:val="0"/>
      <w:marTop w:val="0"/>
      <w:marBottom w:val="0"/>
      <w:divBdr>
        <w:top w:val="none" w:sz="0" w:space="0" w:color="auto"/>
        <w:left w:val="none" w:sz="0" w:space="0" w:color="auto"/>
        <w:bottom w:val="none" w:sz="0" w:space="0" w:color="auto"/>
        <w:right w:val="none" w:sz="0" w:space="0" w:color="auto"/>
      </w:divBdr>
    </w:div>
    <w:div w:id="1207765894">
      <w:bodyDiv w:val="1"/>
      <w:marLeft w:val="0"/>
      <w:marRight w:val="0"/>
      <w:marTop w:val="0"/>
      <w:marBottom w:val="0"/>
      <w:divBdr>
        <w:top w:val="none" w:sz="0" w:space="0" w:color="auto"/>
        <w:left w:val="none" w:sz="0" w:space="0" w:color="auto"/>
        <w:bottom w:val="none" w:sz="0" w:space="0" w:color="auto"/>
        <w:right w:val="none" w:sz="0" w:space="0" w:color="auto"/>
      </w:divBdr>
    </w:div>
    <w:div w:id="1208909666">
      <w:bodyDiv w:val="1"/>
      <w:marLeft w:val="0"/>
      <w:marRight w:val="0"/>
      <w:marTop w:val="0"/>
      <w:marBottom w:val="0"/>
      <w:divBdr>
        <w:top w:val="none" w:sz="0" w:space="0" w:color="auto"/>
        <w:left w:val="none" w:sz="0" w:space="0" w:color="auto"/>
        <w:bottom w:val="none" w:sz="0" w:space="0" w:color="auto"/>
        <w:right w:val="none" w:sz="0" w:space="0" w:color="auto"/>
      </w:divBdr>
    </w:div>
    <w:div w:id="1209106160">
      <w:bodyDiv w:val="1"/>
      <w:marLeft w:val="0"/>
      <w:marRight w:val="0"/>
      <w:marTop w:val="0"/>
      <w:marBottom w:val="0"/>
      <w:divBdr>
        <w:top w:val="none" w:sz="0" w:space="0" w:color="auto"/>
        <w:left w:val="none" w:sz="0" w:space="0" w:color="auto"/>
        <w:bottom w:val="none" w:sz="0" w:space="0" w:color="auto"/>
        <w:right w:val="none" w:sz="0" w:space="0" w:color="auto"/>
      </w:divBdr>
    </w:div>
    <w:div w:id="1210653600">
      <w:bodyDiv w:val="1"/>
      <w:marLeft w:val="0"/>
      <w:marRight w:val="0"/>
      <w:marTop w:val="0"/>
      <w:marBottom w:val="0"/>
      <w:divBdr>
        <w:top w:val="none" w:sz="0" w:space="0" w:color="auto"/>
        <w:left w:val="none" w:sz="0" w:space="0" w:color="auto"/>
        <w:bottom w:val="none" w:sz="0" w:space="0" w:color="auto"/>
        <w:right w:val="none" w:sz="0" w:space="0" w:color="auto"/>
      </w:divBdr>
    </w:div>
    <w:div w:id="1212883227">
      <w:bodyDiv w:val="1"/>
      <w:marLeft w:val="0"/>
      <w:marRight w:val="0"/>
      <w:marTop w:val="0"/>
      <w:marBottom w:val="0"/>
      <w:divBdr>
        <w:top w:val="none" w:sz="0" w:space="0" w:color="auto"/>
        <w:left w:val="none" w:sz="0" w:space="0" w:color="auto"/>
        <w:bottom w:val="none" w:sz="0" w:space="0" w:color="auto"/>
        <w:right w:val="none" w:sz="0" w:space="0" w:color="auto"/>
      </w:divBdr>
    </w:div>
    <w:div w:id="1213884744">
      <w:bodyDiv w:val="1"/>
      <w:marLeft w:val="0"/>
      <w:marRight w:val="0"/>
      <w:marTop w:val="0"/>
      <w:marBottom w:val="0"/>
      <w:divBdr>
        <w:top w:val="none" w:sz="0" w:space="0" w:color="auto"/>
        <w:left w:val="none" w:sz="0" w:space="0" w:color="auto"/>
        <w:bottom w:val="none" w:sz="0" w:space="0" w:color="auto"/>
        <w:right w:val="none" w:sz="0" w:space="0" w:color="auto"/>
      </w:divBdr>
    </w:div>
    <w:div w:id="1220894493">
      <w:bodyDiv w:val="1"/>
      <w:marLeft w:val="0"/>
      <w:marRight w:val="0"/>
      <w:marTop w:val="0"/>
      <w:marBottom w:val="0"/>
      <w:divBdr>
        <w:top w:val="none" w:sz="0" w:space="0" w:color="auto"/>
        <w:left w:val="none" w:sz="0" w:space="0" w:color="auto"/>
        <w:bottom w:val="none" w:sz="0" w:space="0" w:color="auto"/>
        <w:right w:val="none" w:sz="0" w:space="0" w:color="auto"/>
      </w:divBdr>
    </w:div>
    <w:div w:id="1221596385">
      <w:bodyDiv w:val="1"/>
      <w:marLeft w:val="0"/>
      <w:marRight w:val="0"/>
      <w:marTop w:val="0"/>
      <w:marBottom w:val="0"/>
      <w:divBdr>
        <w:top w:val="none" w:sz="0" w:space="0" w:color="auto"/>
        <w:left w:val="none" w:sz="0" w:space="0" w:color="auto"/>
        <w:bottom w:val="none" w:sz="0" w:space="0" w:color="auto"/>
        <w:right w:val="none" w:sz="0" w:space="0" w:color="auto"/>
      </w:divBdr>
    </w:div>
    <w:div w:id="1224103455">
      <w:bodyDiv w:val="1"/>
      <w:marLeft w:val="0"/>
      <w:marRight w:val="0"/>
      <w:marTop w:val="0"/>
      <w:marBottom w:val="0"/>
      <w:divBdr>
        <w:top w:val="none" w:sz="0" w:space="0" w:color="auto"/>
        <w:left w:val="none" w:sz="0" w:space="0" w:color="auto"/>
        <w:bottom w:val="none" w:sz="0" w:space="0" w:color="auto"/>
        <w:right w:val="none" w:sz="0" w:space="0" w:color="auto"/>
      </w:divBdr>
    </w:div>
    <w:div w:id="1225064856">
      <w:bodyDiv w:val="1"/>
      <w:marLeft w:val="0"/>
      <w:marRight w:val="0"/>
      <w:marTop w:val="0"/>
      <w:marBottom w:val="0"/>
      <w:divBdr>
        <w:top w:val="none" w:sz="0" w:space="0" w:color="auto"/>
        <w:left w:val="none" w:sz="0" w:space="0" w:color="auto"/>
        <w:bottom w:val="none" w:sz="0" w:space="0" w:color="auto"/>
        <w:right w:val="none" w:sz="0" w:space="0" w:color="auto"/>
      </w:divBdr>
    </w:div>
    <w:div w:id="1228958001">
      <w:bodyDiv w:val="1"/>
      <w:marLeft w:val="0"/>
      <w:marRight w:val="0"/>
      <w:marTop w:val="0"/>
      <w:marBottom w:val="0"/>
      <w:divBdr>
        <w:top w:val="none" w:sz="0" w:space="0" w:color="auto"/>
        <w:left w:val="none" w:sz="0" w:space="0" w:color="auto"/>
        <w:bottom w:val="none" w:sz="0" w:space="0" w:color="auto"/>
        <w:right w:val="none" w:sz="0" w:space="0" w:color="auto"/>
      </w:divBdr>
    </w:div>
    <w:div w:id="1229220638">
      <w:bodyDiv w:val="1"/>
      <w:marLeft w:val="0"/>
      <w:marRight w:val="0"/>
      <w:marTop w:val="0"/>
      <w:marBottom w:val="0"/>
      <w:divBdr>
        <w:top w:val="none" w:sz="0" w:space="0" w:color="auto"/>
        <w:left w:val="none" w:sz="0" w:space="0" w:color="auto"/>
        <w:bottom w:val="none" w:sz="0" w:space="0" w:color="auto"/>
        <w:right w:val="none" w:sz="0" w:space="0" w:color="auto"/>
      </w:divBdr>
    </w:div>
    <w:div w:id="1229997134">
      <w:bodyDiv w:val="1"/>
      <w:marLeft w:val="0"/>
      <w:marRight w:val="0"/>
      <w:marTop w:val="0"/>
      <w:marBottom w:val="0"/>
      <w:divBdr>
        <w:top w:val="none" w:sz="0" w:space="0" w:color="auto"/>
        <w:left w:val="none" w:sz="0" w:space="0" w:color="auto"/>
        <w:bottom w:val="none" w:sz="0" w:space="0" w:color="auto"/>
        <w:right w:val="none" w:sz="0" w:space="0" w:color="auto"/>
      </w:divBdr>
    </w:div>
    <w:div w:id="1230337535">
      <w:bodyDiv w:val="1"/>
      <w:marLeft w:val="0"/>
      <w:marRight w:val="0"/>
      <w:marTop w:val="0"/>
      <w:marBottom w:val="0"/>
      <w:divBdr>
        <w:top w:val="none" w:sz="0" w:space="0" w:color="auto"/>
        <w:left w:val="none" w:sz="0" w:space="0" w:color="auto"/>
        <w:bottom w:val="none" w:sz="0" w:space="0" w:color="auto"/>
        <w:right w:val="none" w:sz="0" w:space="0" w:color="auto"/>
      </w:divBdr>
    </w:div>
    <w:div w:id="1236666575">
      <w:bodyDiv w:val="1"/>
      <w:marLeft w:val="0"/>
      <w:marRight w:val="0"/>
      <w:marTop w:val="0"/>
      <w:marBottom w:val="0"/>
      <w:divBdr>
        <w:top w:val="none" w:sz="0" w:space="0" w:color="auto"/>
        <w:left w:val="none" w:sz="0" w:space="0" w:color="auto"/>
        <w:bottom w:val="none" w:sz="0" w:space="0" w:color="auto"/>
        <w:right w:val="none" w:sz="0" w:space="0" w:color="auto"/>
      </w:divBdr>
    </w:div>
    <w:div w:id="1237126366">
      <w:bodyDiv w:val="1"/>
      <w:marLeft w:val="0"/>
      <w:marRight w:val="0"/>
      <w:marTop w:val="0"/>
      <w:marBottom w:val="0"/>
      <w:divBdr>
        <w:top w:val="none" w:sz="0" w:space="0" w:color="auto"/>
        <w:left w:val="none" w:sz="0" w:space="0" w:color="auto"/>
        <w:bottom w:val="none" w:sz="0" w:space="0" w:color="auto"/>
        <w:right w:val="none" w:sz="0" w:space="0" w:color="auto"/>
      </w:divBdr>
    </w:div>
    <w:div w:id="1239827685">
      <w:bodyDiv w:val="1"/>
      <w:marLeft w:val="0"/>
      <w:marRight w:val="0"/>
      <w:marTop w:val="0"/>
      <w:marBottom w:val="0"/>
      <w:divBdr>
        <w:top w:val="none" w:sz="0" w:space="0" w:color="auto"/>
        <w:left w:val="none" w:sz="0" w:space="0" w:color="auto"/>
        <w:bottom w:val="none" w:sz="0" w:space="0" w:color="auto"/>
        <w:right w:val="none" w:sz="0" w:space="0" w:color="auto"/>
      </w:divBdr>
    </w:div>
    <w:div w:id="1250384779">
      <w:bodyDiv w:val="1"/>
      <w:marLeft w:val="0"/>
      <w:marRight w:val="0"/>
      <w:marTop w:val="0"/>
      <w:marBottom w:val="0"/>
      <w:divBdr>
        <w:top w:val="none" w:sz="0" w:space="0" w:color="auto"/>
        <w:left w:val="none" w:sz="0" w:space="0" w:color="auto"/>
        <w:bottom w:val="none" w:sz="0" w:space="0" w:color="auto"/>
        <w:right w:val="none" w:sz="0" w:space="0" w:color="auto"/>
      </w:divBdr>
    </w:div>
    <w:div w:id="1255745189">
      <w:bodyDiv w:val="1"/>
      <w:marLeft w:val="0"/>
      <w:marRight w:val="0"/>
      <w:marTop w:val="0"/>
      <w:marBottom w:val="0"/>
      <w:divBdr>
        <w:top w:val="none" w:sz="0" w:space="0" w:color="auto"/>
        <w:left w:val="none" w:sz="0" w:space="0" w:color="auto"/>
        <w:bottom w:val="none" w:sz="0" w:space="0" w:color="auto"/>
        <w:right w:val="none" w:sz="0" w:space="0" w:color="auto"/>
      </w:divBdr>
    </w:div>
    <w:div w:id="1256862327">
      <w:bodyDiv w:val="1"/>
      <w:marLeft w:val="0"/>
      <w:marRight w:val="0"/>
      <w:marTop w:val="0"/>
      <w:marBottom w:val="0"/>
      <w:divBdr>
        <w:top w:val="none" w:sz="0" w:space="0" w:color="auto"/>
        <w:left w:val="none" w:sz="0" w:space="0" w:color="auto"/>
        <w:bottom w:val="none" w:sz="0" w:space="0" w:color="auto"/>
        <w:right w:val="none" w:sz="0" w:space="0" w:color="auto"/>
      </w:divBdr>
    </w:div>
    <w:div w:id="1257640504">
      <w:bodyDiv w:val="1"/>
      <w:marLeft w:val="0"/>
      <w:marRight w:val="0"/>
      <w:marTop w:val="0"/>
      <w:marBottom w:val="0"/>
      <w:divBdr>
        <w:top w:val="none" w:sz="0" w:space="0" w:color="auto"/>
        <w:left w:val="none" w:sz="0" w:space="0" w:color="auto"/>
        <w:bottom w:val="none" w:sz="0" w:space="0" w:color="auto"/>
        <w:right w:val="none" w:sz="0" w:space="0" w:color="auto"/>
      </w:divBdr>
    </w:div>
    <w:div w:id="1259364307">
      <w:bodyDiv w:val="1"/>
      <w:marLeft w:val="0"/>
      <w:marRight w:val="0"/>
      <w:marTop w:val="0"/>
      <w:marBottom w:val="0"/>
      <w:divBdr>
        <w:top w:val="none" w:sz="0" w:space="0" w:color="auto"/>
        <w:left w:val="none" w:sz="0" w:space="0" w:color="auto"/>
        <w:bottom w:val="none" w:sz="0" w:space="0" w:color="auto"/>
        <w:right w:val="none" w:sz="0" w:space="0" w:color="auto"/>
      </w:divBdr>
    </w:div>
    <w:div w:id="1259872848">
      <w:bodyDiv w:val="1"/>
      <w:marLeft w:val="0"/>
      <w:marRight w:val="0"/>
      <w:marTop w:val="0"/>
      <w:marBottom w:val="0"/>
      <w:divBdr>
        <w:top w:val="none" w:sz="0" w:space="0" w:color="auto"/>
        <w:left w:val="none" w:sz="0" w:space="0" w:color="auto"/>
        <w:bottom w:val="none" w:sz="0" w:space="0" w:color="auto"/>
        <w:right w:val="none" w:sz="0" w:space="0" w:color="auto"/>
      </w:divBdr>
    </w:div>
    <w:div w:id="1261716490">
      <w:bodyDiv w:val="1"/>
      <w:marLeft w:val="0"/>
      <w:marRight w:val="0"/>
      <w:marTop w:val="0"/>
      <w:marBottom w:val="0"/>
      <w:divBdr>
        <w:top w:val="none" w:sz="0" w:space="0" w:color="auto"/>
        <w:left w:val="none" w:sz="0" w:space="0" w:color="auto"/>
        <w:bottom w:val="none" w:sz="0" w:space="0" w:color="auto"/>
        <w:right w:val="none" w:sz="0" w:space="0" w:color="auto"/>
      </w:divBdr>
    </w:div>
    <w:div w:id="1261986947">
      <w:bodyDiv w:val="1"/>
      <w:marLeft w:val="0"/>
      <w:marRight w:val="0"/>
      <w:marTop w:val="0"/>
      <w:marBottom w:val="0"/>
      <w:divBdr>
        <w:top w:val="none" w:sz="0" w:space="0" w:color="auto"/>
        <w:left w:val="none" w:sz="0" w:space="0" w:color="auto"/>
        <w:bottom w:val="none" w:sz="0" w:space="0" w:color="auto"/>
        <w:right w:val="none" w:sz="0" w:space="0" w:color="auto"/>
      </w:divBdr>
    </w:div>
    <w:div w:id="1262684851">
      <w:bodyDiv w:val="1"/>
      <w:marLeft w:val="0"/>
      <w:marRight w:val="0"/>
      <w:marTop w:val="0"/>
      <w:marBottom w:val="0"/>
      <w:divBdr>
        <w:top w:val="none" w:sz="0" w:space="0" w:color="auto"/>
        <w:left w:val="none" w:sz="0" w:space="0" w:color="auto"/>
        <w:bottom w:val="none" w:sz="0" w:space="0" w:color="auto"/>
        <w:right w:val="none" w:sz="0" w:space="0" w:color="auto"/>
      </w:divBdr>
    </w:div>
    <w:div w:id="1263609378">
      <w:bodyDiv w:val="1"/>
      <w:marLeft w:val="0"/>
      <w:marRight w:val="0"/>
      <w:marTop w:val="0"/>
      <w:marBottom w:val="0"/>
      <w:divBdr>
        <w:top w:val="none" w:sz="0" w:space="0" w:color="auto"/>
        <w:left w:val="none" w:sz="0" w:space="0" w:color="auto"/>
        <w:bottom w:val="none" w:sz="0" w:space="0" w:color="auto"/>
        <w:right w:val="none" w:sz="0" w:space="0" w:color="auto"/>
      </w:divBdr>
    </w:div>
    <w:div w:id="1263956756">
      <w:bodyDiv w:val="1"/>
      <w:marLeft w:val="0"/>
      <w:marRight w:val="0"/>
      <w:marTop w:val="0"/>
      <w:marBottom w:val="0"/>
      <w:divBdr>
        <w:top w:val="none" w:sz="0" w:space="0" w:color="auto"/>
        <w:left w:val="none" w:sz="0" w:space="0" w:color="auto"/>
        <w:bottom w:val="none" w:sz="0" w:space="0" w:color="auto"/>
        <w:right w:val="none" w:sz="0" w:space="0" w:color="auto"/>
      </w:divBdr>
    </w:div>
    <w:div w:id="1283151291">
      <w:bodyDiv w:val="1"/>
      <w:marLeft w:val="0"/>
      <w:marRight w:val="0"/>
      <w:marTop w:val="0"/>
      <w:marBottom w:val="0"/>
      <w:divBdr>
        <w:top w:val="none" w:sz="0" w:space="0" w:color="auto"/>
        <w:left w:val="none" w:sz="0" w:space="0" w:color="auto"/>
        <w:bottom w:val="none" w:sz="0" w:space="0" w:color="auto"/>
        <w:right w:val="none" w:sz="0" w:space="0" w:color="auto"/>
      </w:divBdr>
    </w:div>
    <w:div w:id="1284535845">
      <w:bodyDiv w:val="1"/>
      <w:marLeft w:val="0"/>
      <w:marRight w:val="0"/>
      <w:marTop w:val="0"/>
      <w:marBottom w:val="0"/>
      <w:divBdr>
        <w:top w:val="none" w:sz="0" w:space="0" w:color="auto"/>
        <w:left w:val="none" w:sz="0" w:space="0" w:color="auto"/>
        <w:bottom w:val="none" w:sz="0" w:space="0" w:color="auto"/>
        <w:right w:val="none" w:sz="0" w:space="0" w:color="auto"/>
      </w:divBdr>
    </w:div>
    <w:div w:id="1285304891">
      <w:bodyDiv w:val="1"/>
      <w:marLeft w:val="0"/>
      <w:marRight w:val="0"/>
      <w:marTop w:val="0"/>
      <w:marBottom w:val="0"/>
      <w:divBdr>
        <w:top w:val="none" w:sz="0" w:space="0" w:color="auto"/>
        <w:left w:val="none" w:sz="0" w:space="0" w:color="auto"/>
        <w:bottom w:val="none" w:sz="0" w:space="0" w:color="auto"/>
        <w:right w:val="none" w:sz="0" w:space="0" w:color="auto"/>
      </w:divBdr>
    </w:div>
    <w:div w:id="1286547205">
      <w:bodyDiv w:val="1"/>
      <w:marLeft w:val="0"/>
      <w:marRight w:val="0"/>
      <w:marTop w:val="0"/>
      <w:marBottom w:val="0"/>
      <w:divBdr>
        <w:top w:val="none" w:sz="0" w:space="0" w:color="auto"/>
        <w:left w:val="none" w:sz="0" w:space="0" w:color="auto"/>
        <w:bottom w:val="none" w:sz="0" w:space="0" w:color="auto"/>
        <w:right w:val="none" w:sz="0" w:space="0" w:color="auto"/>
      </w:divBdr>
    </w:div>
    <w:div w:id="1289892405">
      <w:bodyDiv w:val="1"/>
      <w:marLeft w:val="0"/>
      <w:marRight w:val="0"/>
      <w:marTop w:val="0"/>
      <w:marBottom w:val="0"/>
      <w:divBdr>
        <w:top w:val="none" w:sz="0" w:space="0" w:color="auto"/>
        <w:left w:val="none" w:sz="0" w:space="0" w:color="auto"/>
        <w:bottom w:val="none" w:sz="0" w:space="0" w:color="auto"/>
        <w:right w:val="none" w:sz="0" w:space="0" w:color="auto"/>
      </w:divBdr>
    </w:div>
    <w:div w:id="1289894412">
      <w:bodyDiv w:val="1"/>
      <w:marLeft w:val="0"/>
      <w:marRight w:val="0"/>
      <w:marTop w:val="0"/>
      <w:marBottom w:val="0"/>
      <w:divBdr>
        <w:top w:val="none" w:sz="0" w:space="0" w:color="auto"/>
        <w:left w:val="none" w:sz="0" w:space="0" w:color="auto"/>
        <w:bottom w:val="none" w:sz="0" w:space="0" w:color="auto"/>
        <w:right w:val="none" w:sz="0" w:space="0" w:color="auto"/>
      </w:divBdr>
    </w:div>
    <w:div w:id="1295478423">
      <w:bodyDiv w:val="1"/>
      <w:marLeft w:val="0"/>
      <w:marRight w:val="0"/>
      <w:marTop w:val="0"/>
      <w:marBottom w:val="0"/>
      <w:divBdr>
        <w:top w:val="none" w:sz="0" w:space="0" w:color="auto"/>
        <w:left w:val="none" w:sz="0" w:space="0" w:color="auto"/>
        <w:bottom w:val="none" w:sz="0" w:space="0" w:color="auto"/>
        <w:right w:val="none" w:sz="0" w:space="0" w:color="auto"/>
      </w:divBdr>
    </w:div>
    <w:div w:id="1300375700">
      <w:bodyDiv w:val="1"/>
      <w:marLeft w:val="0"/>
      <w:marRight w:val="0"/>
      <w:marTop w:val="0"/>
      <w:marBottom w:val="0"/>
      <w:divBdr>
        <w:top w:val="none" w:sz="0" w:space="0" w:color="auto"/>
        <w:left w:val="none" w:sz="0" w:space="0" w:color="auto"/>
        <w:bottom w:val="none" w:sz="0" w:space="0" w:color="auto"/>
        <w:right w:val="none" w:sz="0" w:space="0" w:color="auto"/>
      </w:divBdr>
    </w:div>
    <w:div w:id="1301302231">
      <w:bodyDiv w:val="1"/>
      <w:marLeft w:val="0"/>
      <w:marRight w:val="0"/>
      <w:marTop w:val="0"/>
      <w:marBottom w:val="0"/>
      <w:divBdr>
        <w:top w:val="none" w:sz="0" w:space="0" w:color="auto"/>
        <w:left w:val="none" w:sz="0" w:space="0" w:color="auto"/>
        <w:bottom w:val="none" w:sz="0" w:space="0" w:color="auto"/>
        <w:right w:val="none" w:sz="0" w:space="0" w:color="auto"/>
      </w:divBdr>
    </w:div>
    <w:div w:id="1308051864">
      <w:bodyDiv w:val="1"/>
      <w:marLeft w:val="0"/>
      <w:marRight w:val="0"/>
      <w:marTop w:val="0"/>
      <w:marBottom w:val="0"/>
      <w:divBdr>
        <w:top w:val="none" w:sz="0" w:space="0" w:color="auto"/>
        <w:left w:val="none" w:sz="0" w:space="0" w:color="auto"/>
        <w:bottom w:val="none" w:sz="0" w:space="0" w:color="auto"/>
        <w:right w:val="none" w:sz="0" w:space="0" w:color="auto"/>
      </w:divBdr>
    </w:div>
    <w:div w:id="1310477086">
      <w:bodyDiv w:val="1"/>
      <w:marLeft w:val="0"/>
      <w:marRight w:val="0"/>
      <w:marTop w:val="0"/>
      <w:marBottom w:val="0"/>
      <w:divBdr>
        <w:top w:val="none" w:sz="0" w:space="0" w:color="auto"/>
        <w:left w:val="none" w:sz="0" w:space="0" w:color="auto"/>
        <w:bottom w:val="none" w:sz="0" w:space="0" w:color="auto"/>
        <w:right w:val="none" w:sz="0" w:space="0" w:color="auto"/>
      </w:divBdr>
    </w:div>
    <w:div w:id="1312060987">
      <w:bodyDiv w:val="1"/>
      <w:marLeft w:val="0"/>
      <w:marRight w:val="0"/>
      <w:marTop w:val="0"/>
      <w:marBottom w:val="0"/>
      <w:divBdr>
        <w:top w:val="none" w:sz="0" w:space="0" w:color="auto"/>
        <w:left w:val="none" w:sz="0" w:space="0" w:color="auto"/>
        <w:bottom w:val="none" w:sz="0" w:space="0" w:color="auto"/>
        <w:right w:val="none" w:sz="0" w:space="0" w:color="auto"/>
      </w:divBdr>
    </w:div>
    <w:div w:id="1317104477">
      <w:bodyDiv w:val="1"/>
      <w:marLeft w:val="0"/>
      <w:marRight w:val="0"/>
      <w:marTop w:val="0"/>
      <w:marBottom w:val="0"/>
      <w:divBdr>
        <w:top w:val="none" w:sz="0" w:space="0" w:color="auto"/>
        <w:left w:val="none" w:sz="0" w:space="0" w:color="auto"/>
        <w:bottom w:val="none" w:sz="0" w:space="0" w:color="auto"/>
        <w:right w:val="none" w:sz="0" w:space="0" w:color="auto"/>
      </w:divBdr>
    </w:div>
    <w:div w:id="1317297343">
      <w:bodyDiv w:val="1"/>
      <w:marLeft w:val="0"/>
      <w:marRight w:val="0"/>
      <w:marTop w:val="0"/>
      <w:marBottom w:val="0"/>
      <w:divBdr>
        <w:top w:val="none" w:sz="0" w:space="0" w:color="auto"/>
        <w:left w:val="none" w:sz="0" w:space="0" w:color="auto"/>
        <w:bottom w:val="none" w:sz="0" w:space="0" w:color="auto"/>
        <w:right w:val="none" w:sz="0" w:space="0" w:color="auto"/>
      </w:divBdr>
    </w:div>
    <w:div w:id="1320959539">
      <w:bodyDiv w:val="1"/>
      <w:marLeft w:val="0"/>
      <w:marRight w:val="0"/>
      <w:marTop w:val="0"/>
      <w:marBottom w:val="0"/>
      <w:divBdr>
        <w:top w:val="none" w:sz="0" w:space="0" w:color="auto"/>
        <w:left w:val="none" w:sz="0" w:space="0" w:color="auto"/>
        <w:bottom w:val="none" w:sz="0" w:space="0" w:color="auto"/>
        <w:right w:val="none" w:sz="0" w:space="0" w:color="auto"/>
      </w:divBdr>
    </w:div>
    <w:div w:id="1324430716">
      <w:bodyDiv w:val="1"/>
      <w:marLeft w:val="0"/>
      <w:marRight w:val="0"/>
      <w:marTop w:val="0"/>
      <w:marBottom w:val="0"/>
      <w:divBdr>
        <w:top w:val="none" w:sz="0" w:space="0" w:color="auto"/>
        <w:left w:val="none" w:sz="0" w:space="0" w:color="auto"/>
        <w:bottom w:val="none" w:sz="0" w:space="0" w:color="auto"/>
        <w:right w:val="none" w:sz="0" w:space="0" w:color="auto"/>
      </w:divBdr>
    </w:div>
    <w:div w:id="1325089876">
      <w:bodyDiv w:val="1"/>
      <w:marLeft w:val="0"/>
      <w:marRight w:val="0"/>
      <w:marTop w:val="0"/>
      <w:marBottom w:val="0"/>
      <w:divBdr>
        <w:top w:val="none" w:sz="0" w:space="0" w:color="auto"/>
        <w:left w:val="none" w:sz="0" w:space="0" w:color="auto"/>
        <w:bottom w:val="none" w:sz="0" w:space="0" w:color="auto"/>
        <w:right w:val="none" w:sz="0" w:space="0" w:color="auto"/>
      </w:divBdr>
    </w:div>
    <w:div w:id="1332100766">
      <w:bodyDiv w:val="1"/>
      <w:marLeft w:val="0"/>
      <w:marRight w:val="0"/>
      <w:marTop w:val="0"/>
      <w:marBottom w:val="0"/>
      <w:divBdr>
        <w:top w:val="none" w:sz="0" w:space="0" w:color="auto"/>
        <w:left w:val="none" w:sz="0" w:space="0" w:color="auto"/>
        <w:bottom w:val="none" w:sz="0" w:space="0" w:color="auto"/>
        <w:right w:val="none" w:sz="0" w:space="0" w:color="auto"/>
      </w:divBdr>
    </w:div>
    <w:div w:id="1337225910">
      <w:bodyDiv w:val="1"/>
      <w:marLeft w:val="0"/>
      <w:marRight w:val="0"/>
      <w:marTop w:val="0"/>
      <w:marBottom w:val="0"/>
      <w:divBdr>
        <w:top w:val="none" w:sz="0" w:space="0" w:color="auto"/>
        <w:left w:val="none" w:sz="0" w:space="0" w:color="auto"/>
        <w:bottom w:val="none" w:sz="0" w:space="0" w:color="auto"/>
        <w:right w:val="none" w:sz="0" w:space="0" w:color="auto"/>
      </w:divBdr>
    </w:div>
    <w:div w:id="1338311572">
      <w:bodyDiv w:val="1"/>
      <w:marLeft w:val="0"/>
      <w:marRight w:val="0"/>
      <w:marTop w:val="0"/>
      <w:marBottom w:val="0"/>
      <w:divBdr>
        <w:top w:val="none" w:sz="0" w:space="0" w:color="auto"/>
        <w:left w:val="none" w:sz="0" w:space="0" w:color="auto"/>
        <w:bottom w:val="none" w:sz="0" w:space="0" w:color="auto"/>
        <w:right w:val="none" w:sz="0" w:space="0" w:color="auto"/>
      </w:divBdr>
    </w:div>
    <w:div w:id="1343244234">
      <w:bodyDiv w:val="1"/>
      <w:marLeft w:val="0"/>
      <w:marRight w:val="0"/>
      <w:marTop w:val="0"/>
      <w:marBottom w:val="0"/>
      <w:divBdr>
        <w:top w:val="none" w:sz="0" w:space="0" w:color="auto"/>
        <w:left w:val="none" w:sz="0" w:space="0" w:color="auto"/>
        <w:bottom w:val="none" w:sz="0" w:space="0" w:color="auto"/>
        <w:right w:val="none" w:sz="0" w:space="0" w:color="auto"/>
      </w:divBdr>
    </w:div>
    <w:div w:id="1344282125">
      <w:bodyDiv w:val="1"/>
      <w:marLeft w:val="0"/>
      <w:marRight w:val="0"/>
      <w:marTop w:val="0"/>
      <w:marBottom w:val="0"/>
      <w:divBdr>
        <w:top w:val="none" w:sz="0" w:space="0" w:color="auto"/>
        <w:left w:val="none" w:sz="0" w:space="0" w:color="auto"/>
        <w:bottom w:val="none" w:sz="0" w:space="0" w:color="auto"/>
        <w:right w:val="none" w:sz="0" w:space="0" w:color="auto"/>
      </w:divBdr>
    </w:div>
    <w:div w:id="1344548104">
      <w:bodyDiv w:val="1"/>
      <w:marLeft w:val="0"/>
      <w:marRight w:val="0"/>
      <w:marTop w:val="0"/>
      <w:marBottom w:val="0"/>
      <w:divBdr>
        <w:top w:val="none" w:sz="0" w:space="0" w:color="auto"/>
        <w:left w:val="none" w:sz="0" w:space="0" w:color="auto"/>
        <w:bottom w:val="none" w:sz="0" w:space="0" w:color="auto"/>
        <w:right w:val="none" w:sz="0" w:space="0" w:color="auto"/>
      </w:divBdr>
    </w:div>
    <w:div w:id="1347250661">
      <w:bodyDiv w:val="1"/>
      <w:marLeft w:val="0"/>
      <w:marRight w:val="0"/>
      <w:marTop w:val="0"/>
      <w:marBottom w:val="0"/>
      <w:divBdr>
        <w:top w:val="none" w:sz="0" w:space="0" w:color="auto"/>
        <w:left w:val="none" w:sz="0" w:space="0" w:color="auto"/>
        <w:bottom w:val="none" w:sz="0" w:space="0" w:color="auto"/>
        <w:right w:val="none" w:sz="0" w:space="0" w:color="auto"/>
      </w:divBdr>
    </w:div>
    <w:div w:id="1347710994">
      <w:bodyDiv w:val="1"/>
      <w:marLeft w:val="0"/>
      <w:marRight w:val="0"/>
      <w:marTop w:val="0"/>
      <w:marBottom w:val="0"/>
      <w:divBdr>
        <w:top w:val="none" w:sz="0" w:space="0" w:color="auto"/>
        <w:left w:val="none" w:sz="0" w:space="0" w:color="auto"/>
        <w:bottom w:val="none" w:sz="0" w:space="0" w:color="auto"/>
        <w:right w:val="none" w:sz="0" w:space="0" w:color="auto"/>
      </w:divBdr>
    </w:div>
    <w:div w:id="1348560811">
      <w:bodyDiv w:val="1"/>
      <w:marLeft w:val="0"/>
      <w:marRight w:val="0"/>
      <w:marTop w:val="0"/>
      <w:marBottom w:val="0"/>
      <w:divBdr>
        <w:top w:val="none" w:sz="0" w:space="0" w:color="auto"/>
        <w:left w:val="none" w:sz="0" w:space="0" w:color="auto"/>
        <w:bottom w:val="none" w:sz="0" w:space="0" w:color="auto"/>
        <w:right w:val="none" w:sz="0" w:space="0" w:color="auto"/>
      </w:divBdr>
    </w:div>
    <w:div w:id="1353455218">
      <w:bodyDiv w:val="1"/>
      <w:marLeft w:val="0"/>
      <w:marRight w:val="0"/>
      <w:marTop w:val="0"/>
      <w:marBottom w:val="0"/>
      <w:divBdr>
        <w:top w:val="none" w:sz="0" w:space="0" w:color="auto"/>
        <w:left w:val="none" w:sz="0" w:space="0" w:color="auto"/>
        <w:bottom w:val="none" w:sz="0" w:space="0" w:color="auto"/>
        <w:right w:val="none" w:sz="0" w:space="0" w:color="auto"/>
      </w:divBdr>
    </w:div>
    <w:div w:id="1356420538">
      <w:bodyDiv w:val="1"/>
      <w:marLeft w:val="0"/>
      <w:marRight w:val="0"/>
      <w:marTop w:val="0"/>
      <w:marBottom w:val="0"/>
      <w:divBdr>
        <w:top w:val="none" w:sz="0" w:space="0" w:color="auto"/>
        <w:left w:val="none" w:sz="0" w:space="0" w:color="auto"/>
        <w:bottom w:val="none" w:sz="0" w:space="0" w:color="auto"/>
        <w:right w:val="none" w:sz="0" w:space="0" w:color="auto"/>
      </w:divBdr>
    </w:div>
    <w:div w:id="1361515613">
      <w:bodyDiv w:val="1"/>
      <w:marLeft w:val="0"/>
      <w:marRight w:val="0"/>
      <w:marTop w:val="0"/>
      <w:marBottom w:val="0"/>
      <w:divBdr>
        <w:top w:val="none" w:sz="0" w:space="0" w:color="auto"/>
        <w:left w:val="none" w:sz="0" w:space="0" w:color="auto"/>
        <w:bottom w:val="none" w:sz="0" w:space="0" w:color="auto"/>
        <w:right w:val="none" w:sz="0" w:space="0" w:color="auto"/>
      </w:divBdr>
    </w:div>
    <w:div w:id="1363095444">
      <w:bodyDiv w:val="1"/>
      <w:marLeft w:val="0"/>
      <w:marRight w:val="0"/>
      <w:marTop w:val="0"/>
      <w:marBottom w:val="0"/>
      <w:divBdr>
        <w:top w:val="none" w:sz="0" w:space="0" w:color="auto"/>
        <w:left w:val="none" w:sz="0" w:space="0" w:color="auto"/>
        <w:bottom w:val="none" w:sz="0" w:space="0" w:color="auto"/>
        <w:right w:val="none" w:sz="0" w:space="0" w:color="auto"/>
      </w:divBdr>
    </w:div>
    <w:div w:id="1363169066">
      <w:bodyDiv w:val="1"/>
      <w:marLeft w:val="0"/>
      <w:marRight w:val="0"/>
      <w:marTop w:val="0"/>
      <w:marBottom w:val="0"/>
      <w:divBdr>
        <w:top w:val="none" w:sz="0" w:space="0" w:color="auto"/>
        <w:left w:val="none" w:sz="0" w:space="0" w:color="auto"/>
        <w:bottom w:val="none" w:sz="0" w:space="0" w:color="auto"/>
        <w:right w:val="none" w:sz="0" w:space="0" w:color="auto"/>
      </w:divBdr>
    </w:div>
    <w:div w:id="1365132382">
      <w:bodyDiv w:val="1"/>
      <w:marLeft w:val="0"/>
      <w:marRight w:val="0"/>
      <w:marTop w:val="0"/>
      <w:marBottom w:val="0"/>
      <w:divBdr>
        <w:top w:val="none" w:sz="0" w:space="0" w:color="auto"/>
        <w:left w:val="none" w:sz="0" w:space="0" w:color="auto"/>
        <w:bottom w:val="none" w:sz="0" w:space="0" w:color="auto"/>
        <w:right w:val="none" w:sz="0" w:space="0" w:color="auto"/>
      </w:divBdr>
    </w:div>
    <w:div w:id="1366250423">
      <w:bodyDiv w:val="1"/>
      <w:marLeft w:val="0"/>
      <w:marRight w:val="0"/>
      <w:marTop w:val="0"/>
      <w:marBottom w:val="0"/>
      <w:divBdr>
        <w:top w:val="none" w:sz="0" w:space="0" w:color="auto"/>
        <w:left w:val="none" w:sz="0" w:space="0" w:color="auto"/>
        <w:bottom w:val="none" w:sz="0" w:space="0" w:color="auto"/>
        <w:right w:val="none" w:sz="0" w:space="0" w:color="auto"/>
      </w:divBdr>
    </w:div>
    <w:div w:id="1369915122">
      <w:bodyDiv w:val="1"/>
      <w:marLeft w:val="0"/>
      <w:marRight w:val="0"/>
      <w:marTop w:val="0"/>
      <w:marBottom w:val="0"/>
      <w:divBdr>
        <w:top w:val="none" w:sz="0" w:space="0" w:color="auto"/>
        <w:left w:val="none" w:sz="0" w:space="0" w:color="auto"/>
        <w:bottom w:val="none" w:sz="0" w:space="0" w:color="auto"/>
        <w:right w:val="none" w:sz="0" w:space="0" w:color="auto"/>
      </w:divBdr>
    </w:div>
    <w:div w:id="1373765975">
      <w:bodyDiv w:val="1"/>
      <w:marLeft w:val="0"/>
      <w:marRight w:val="0"/>
      <w:marTop w:val="0"/>
      <w:marBottom w:val="0"/>
      <w:divBdr>
        <w:top w:val="none" w:sz="0" w:space="0" w:color="auto"/>
        <w:left w:val="none" w:sz="0" w:space="0" w:color="auto"/>
        <w:bottom w:val="none" w:sz="0" w:space="0" w:color="auto"/>
        <w:right w:val="none" w:sz="0" w:space="0" w:color="auto"/>
      </w:divBdr>
    </w:div>
    <w:div w:id="1378238837">
      <w:bodyDiv w:val="1"/>
      <w:marLeft w:val="0"/>
      <w:marRight w:val="0"/>
      <w:marTop w:val="0"/>
      <w:marBottom w:val="0"/>
      <w:divBdr>
        <w:top w:val="none" w:sz="0" w:space="0" w:color="auto"/>
        <w:left w:val="none" w:sz="0" w:space="0" w:color="auto"/>
        <w:bottom w:val="none" w:sz="0" w:space="0" w:color="auto"/>
        <w:right w:val="none" w:sz="0" w:space="0" w:color="auto"/>
      </w:divBdr>
    </w:div>
    <w:div w:id="1379547876">
      <w:bodyDiv w:val="1"/>
      <w:marLeft w:val="0"/>
      <w:marRight w:val="0"/>
      <w:marTop w:val="0"/>
      <w:marBottom w:val="0"/>
      <w:divBdr>
        <w:top w:val="none" w:sz="0" w:space="0" w:color="auto"/>
        <w:left w:val="none" w:sz="0" w:space="0" w:color="auto"/>
        <w:bottom w:val="none" w:sz="0" w:space="0" w:color="auto"/>
        <w:right w:val="none" w:sz="0" w:space="0" w:color="auto"/>
      </w:divBdr>
    </w:div>
    <w:div w:id="1381437982">
      <w:bodyDiv w:val="1"/>
      <w:marLeft w:val="0"/>
      <w:marRight w:val="0"/>
      <w:marTop w:val="0"/>
      <w:marBottom w:val="0"/>
      <w:divBdr>
        <w:top w:val="none" w:sz="0" w:space="0" w:color="auto"/>
        <w:left w:val="none" w:sz="0" w:space="0" w:color="auto"/>
        <w:bottom w:val="none" w:sz="0" w:space="0" w:color="auto"/>
        <w:right w:val="none" w:sz="0" w:space="0" w:color="auto"/>
      </w:divBdr>
    </w:div>
    <w:div w:id="1381519114">
      <w:bodyDiv w:val="1"/>
      <w:marLeft w:val="0"/>
      <w:marRight w:val="0"/>
      <w:marTop w:val="0"/>
      <w:marBottom w:val="0"/>
      <w:divBdr>
        <w:top w:val="none" w:sz="0" w:space="0" w:color="auto"/>
        <w:left w:val="none" w:sz="0" w:space="0" w:color="auto"/>
        <w:bottom w:val="none" w:sz="0" w:space="0" w:color="auto"/>
        <w:right w:val="none" w:sz="0" w:space="0" w:color="auto"/>
      </w:divBdr>
    </w:div>
    <w:div w:id="1382560728">
      <w:bodyDiv w:val="1"/>
      <w:marLeft w:val="0"/>
      <w:marRight w:val="0"/>
      <w:marTop w:val="0"/>
      <w:marBottom w:val="0"/>
      <w:divBdr>
        <w:top w:val="none" w:sz="0" w:space="0" w:color="auto"/>
        <w:left w:val="none" w:sz="0" w:space="0" w:color="auto"/>
        <w:bottom w:val="none" w:sz="0" w:space="0" w:color="auto"/>
        <w:right w:val="none" w:sz="0" w:space="0" w:color="auto"/>
      </w:divBdr>
    </w:div>
    <w:div w:id="1387223001">
      <w:bodyDiv w:val="1"/>
      <w:marLeft w:val="0"/>
      <w:marRight w:val="0"/>
      <w:marTop w:val="0"/>
      <w:marBottom w:val="0"/>
      <w:divBdr>
        <w:top w:val="none" w:sz="0" w:space="0" w:color="auto"/>
        <w:left w:val="none" w:sz="0" w:space="0" w:color="auto"/>
        <w:bottom w:val="none" w:sz="0" w:space="0" w:color="auto"/>
        <w:right w:val="none" w:sz="0" w:space="0" w:color="auto"/>
      </w:divBdr>
    </w:div>
    <w:div w:id="1387725779">
      <w:bodyDiv w:val="1"/>
      <w:marLeft w:val="0"/>
      <w:marRight w:val="0"/>
      <w:marTop w:val="0"/>
      <w:marBottom w:val="0"/>
      <w:divBdr>
        <w:top w:val="none" w:sz="0" w:space="0" w:color="auto"/>
        <w:left w:val="none" w:sz="0" w:space="0" w:color="auto"/>
        <w:bottom w:val="none" w:sz="0" w:space="0" w:color="auto"/>
        <w:right w:val="none" w:sz="0" w:space="0" w:color="auto"/>
      </w:divBdr>
    </w:div>
    <w:div w:id="1400324796">
      <w:bodyDiv w:val="1"/>
      <w:marLeft w:val="0"/>
      <w:marRight w:val="0"/>
      <w:marTop w:val="0"/>
      <w:marBottom w:val="0"/>
      <w:divBdr>
        <w:top w:val="none" w:sz="0" w:space="0" w:color="auto"/>
        <w:left w:val="none" w:sz="0" w:space="0" w:color="auto"/>
        <w:bottom w:val="none" w:sz="0" w:space="0" w:color="auto"/>
        <w:right w:val="none" w:sz="0" w:space="0" w:color="auto"/>
      </w:divBdr>
    </w:div>
    <w:div w:id="1404065850">
      <w:bodyDiv w:val="1"/>
      <w:marLeft w:val="0"/>
      <w:marRight w:val="0"/>
      <w:marTop w:val="0"/>
      <w:marBottom w:val="0"/>
      <w:divBdr>
        <w:top w:val="none" w:sz="0" w:space="0" w:color="auto"/>
        <w:left w:val="none" w:sz="0" w:space="0" w:color="auto"/>
        <w:bottom w:val="none" w:sz="0" w:space="0" w:color="auto"/>
        <w:right w:val="none" w:sz="0" w:space="0" w:color="auto"/>
      </w:divBdr>
    </w:div>
    <w:div w:id="1413818282">
      <w:bodyDiv w:val="1"/>
      <w:marLeft w:val="0"/>
      <w:marRight w:val="0"/>
      <w:marTop w:val="0"/>
      <w:marBottom w:val="0"/>
      <w:divBdr>
        <w:top w:val="none" w:sz="0" w:space="0" w:color="auto"/>
        <w:left w:val="none" w:sz="0" w:space="0" w:color="auto"/>
        <w:bottom w:val="none" w:sz="0" w:space="0" w:color="auto"/>
        <w:right w:val="none" w:sz="0" w:space="0" w:color="auto"/>
      </w:divBdr>
    </w:div>
    <w:div w:id="1414164417">
      <w:bodyDiv w:val="1"/>
      <w:marLeft w:val="0"/>
      <w:marRight w:val="0"/>
      <w:marTop w:val="0"/>
      <w:marBottom w:val="0"/>
      <w:divBdr>
        <w:top w:val="none" w:sz="0" w:space="0" w:color="auto"/>
        <w:left w:val="none" w:sz="0" w:space="0" w:color="auto"/>
        <w:bottom w:val="none" w:sz="0" w:space="0" w:color="auto"/>
        <w:right w:val="none" w:sz="0" w:space="0" w:color="auto"/>
      </w:divBdr>
    </w:div>
    <w:div w:id="1419517085">
      <w:bodyDiv w:val="1"/>
      <w:marLeft w:val="0"/>
      <w:marRight w:val="0"/>
      <w:marTop w:val="0"/>
      <w:marBottom w:val="0"/>
      <w:divBdr>
        <w:top w:val="none" w:sz="0" w:space="0" w:color="auto"/>
        <w:left w:val="none" w:sz="0" w:space="0" w:color="auto"/>
        <w:bottom w:val="none" w:sz="0" w:space="0" w:color="auto"/>
        <w:right w:val="none" w:sz="0" w:space="0" w:color="auto"/>
      </w:divBdr>
    </w:div>
    <w:div w:id="1426882130">
      <w:bodyDiv w:val="1"/>
      <w:marLeft w:val="0"/>
      <w:marRight w:val="0"/>
      <w:marTop w:val="0"/>
      <w:marBottom w:val="0"/>
      <w:divBdr>
        <w:top w:val="none" w:sz="0" w:space="0" w:color="auto"/>
        <w:left w:val="none" w:sz="0" w:space="0" w:color="auto"/>
        <w:bottom w:val="none" w:sz="0" w:space="0" w:color="auto"/>
        <w:right w:val="none" w:sz="0" w:space="0" w:color="auto"/>
      </w:divBdr>
    </w:div>
    <w:div w:id="1427463961">
      <w:bodyDiv w:val="1"/>
      <w:marLeft w:val="0"/>
      <w:marRight w:val="0"/>
      <w:marTop w:val="0"/>
      <w:marBottom w:val="0"/>
      <w:divBdr>
        <w:top w:val="none" w:sz="0" w:space="0" w:color="auto"/>
        <w:left w:val="none" w:sz="0" w:space="0" w:color="auto"/>
        <w:bottom w:val="none" w:sz="0" w:space="0" w:color="auto"/>
        <w:right w:val="none" w:sz="0" w:space="0" w:color="auto"/>
      </w:divBdr>
    </w:div>
    <w:div w:id="1433015897">
      <w:bodyDiv w:val="1"/>
      <w:marLeft w:val="0"/>
      <w:marRight w:val="0"/>
      <w:marTop w:val="0"/>
      <w:marBottom w:val="0"/>
      <w:divBdr>
        <w:top w:val="none" w:sz="0" w:space="0" w:color="auto"/>
        <w:left w:val="none" w:sz="0" w:space="0" w:color="auto"/>
        <w:bottom w:val="none" w:sz="0" w:space="0" w:color="auto"/>
        <w:right w:val="none" w:sz="0" w:space="0" w:color="auto"/>
      </w:divBdr>
    </w:div>
    <w:div w:id="1433089467">
      <w:bodyDiv w:val="1"/>
      <w:marLeft w:val="0"/>
      <w:marRight w:val="0"/>
      <w:marTop w:val="0"/>
      <w:marBottom w:val="0"/>
      <w:divBdr>
        <w:top w:val="none" w:sz="0" w:space="0" w:color="auto"/>
        <w:left w:val="none" w:sz="0" w:space="0" w:color="auto"/>
        <w:bottom w:val="none" w:sz="0" w:space="0" w:color="auto"/>
        <w:right w:val="none" w:sz="0" w:space="0" w:color="auto"/>
      </w:divBdr>
    </w:div>
    <w:div w:id="1434089914">
      <w:bodyDiv w:val="1"/>
      <w:marLeft w:val="0"/>
      <w:marRight w:val="0"/>
      <w:marTop w:val="0"/>
      <w:marBottom w:val="0"/>
      <w:divBdr>
        <w:top w:val="none" w:sz="0" w:space="0" w:color="auto"/>
        <w:left w:val="none" w:sz="0" w:space="0" w:color="auto"/>
        <w:bottom w:val="none" w:sz="0" w:space="0" w:color="auto"/>
        <w:right w:val="none" w:sz="0" w:space="0" w:color="auto"/>
      </w:divBdr>
    </w:div>
    <w:div w:id="1439063648">
      <w:bodyDiv w:val="1"/>
      <w:marLeft w:val="0"/>
      <w:marRight w:val="0"/>
      <w:marTop w:val="0"/>
      <w:marBottom w:val="0"/>
      <w:divBdr>
        <w:top w:val="none" w:sz="0" w:space="0" w:color="auto"/>
        <w:left w:val="none" w:sz="0" w:space="0" w:color="auto"/>
        <w:bottom w:val="none" w:sz="0" w:space="0" w:color="auto"/>
        <w:right w:val="none" w:sz="0" w:space="0" w:color="auto"/>
      </w:divBdr>
    </w:div>
    <w:div w:id="1441147279">
      <w:bodyDiv w:val="1"/>
      <w:marLeft w:val="0"/>
      <w:marRight w:val="0"/>
      <w:marTop w:val="0"/>
      <w:marBottom w:val="0"/>
      <w:divBdr>
        <w:top w:val="none" w:sz="0" w:space="0" w:color="auto"/>
        <w:left w:val="none" w:sz="0" w:space="0" w:color="auto"/>
        <w:bottom w:val="none" w:sz="0" w:space="0" w:color="auto"/>
        <w:right w:val="none" w:sz="0" w:space="0" w:color="auto"/>
      </w:divBdr>
      <w:divsChild>
        <w:div w:id="777138555">
          <w:marLeft w:val="0"/>
          <w:marRight w:val="0"/>
          <w:marTop w:val="0"/>
          <w:marBottom w:val="0"/>
          <w:divBdr>
            <w:top w:val="none" w:sz="0" w:space="0" w:color="auto"/>
            <w:left w:val="none" w:sz="0" w:space="0" w:color="auto"/>
            <w:bottom w:val="none" w:sz="0" w:space="0" w:color="auto"/>
            <w:right w:val="none" w:sz="0" w:space="0" w:color="auto"/>
          </w:divBdr>
        </w:div>
      </w:divsChild>
    </w:div>
    <w:div w:id="1441685222">
      <w:bodyDiv w:val="1"/>
      <w:marLeft w:val="0"/>
      <w:marRight w:val="0"/>
      <w:marTop w:val="0"/>
      <w:marBottom w:val="0"/>
      <w:divBdr>
        <w:top w:val="none" w:sz="0" w:space="0" w:color="auto"/>
        <w:left w:val="none" w:sz="0" w:space="0" w:color="auto"/>
        <w:bottom w:val="none" w:sz="0" w:space="0" w:color="auto"/>
        <w:right w:val="none" w:sz="0" w:space="0" w:color="auto"/>
      </w:divBdr>
    </w:div>
    <w:div w:id="1446583782">
      <w:bodyDiv w:val="1"/>
      <w:marLeft w:val="0"/>
      <w:marRight w:val="0"/>
      <w:marTop w:val="0"/>
      <w:marBottom w:val="0"/>
      <w:divBdr>
        <w:top w:val="none" w:sz="0" w:space="0" w:color="auto"/>
        <w:left w:val="none" w:sz="0" w:space="0" w:color="auto"/>
        <w:bottom w:val="none" w:sz="0" w:space="0" w:color="auto"/>
        <w:right w:val="none" w:sz="0" w:space="0" w:color="auto"/>
      </w:divBdr>
    </w:div>
    <w:div w:id="1449399087">
      <w:bodyDiv w:val="1"/>
      <w:marLeft w:val="0"/>
      <w:marRight w:val="0"/>
      <w:marTop w:val="0"/>
      <w:marBottom w:val="0"/>
      <w:divBdr>
        <w:top w:val="none" w:sz="0" w:space="0" w:color="auto"/>
        <w:left w:val="none" w:sz="0" w:space="0" w:color="auto"/>
        <w:bottom w:val="none" w:sz="0" w:space="0" w:color="auto"/>
        <w:right w:val="none" w:sz="0" w:space="0" w:color="auto"/>
      </w:divBdr>
    </w:div>
    <w:div w:id="1453205612">
      <w:bodyDiv w:val="1"/>
      <w:marLeft w:val="0"/>
      <w:marRight w:val="0"/>
      <w:marTop w:val="0"/>
      <w:marBottom w:val="0"/>
      <w:divBdr>
        <w:top w:val="none" w:sz="0" w:space="0" w:color="auto"/>
        <w:left w:val="none" w:sz="0" w:space="0" w:color="auto"/>
        <w:bottom w:val="none" w:sz="0" w:space="0" w:color="auto"/>
        <w:right w:val="none" w:sz="0" w:space="0" w:color="auto"/>
      </w:divBdr>
    </w:div>
    <w:div w:id="1453480445">
      <w:bodyDiv w:val="1"/>
      <w:marLeft w:val="0"/>
      <w:marRight w:val="0"/>
      <w:marTop w:val="0"/>
      <w:marBottom w:val="0"/>
      <w:divBdr>
        <w:top w:val="none" w:sz="0" w:space="0" w:color="auto"/>
        <w:left w:val="none" w:sz="0" w:space="0" w:color="auto"/>
        <w:bottom w:val="none" w:sz="0" w:space="0" w:color="auto"/>
        <w:right w:val="none" w:sz="0" w:space="0" w:color="auto"/>
      </w:divBdr>
    </w:div>
    <w:div w:id="1454061275">
      <w:bodyDiv w:val="1"/>
      <w:marLeft w:val="0"/>
      <w:marRight w:val="0"/>
      <w:marTop w:val="0"/>
      <w:marBottom w:val="0"/>
      <w:divBdr>
        <w:top w:val="none" w:sz="0" w:space="0" w:color="auto"/>
        <w:left w:val="none" w:sz="0" w:space="0" w:color="auto"/>
        <w:bottom w:val="none" w:sz="0" w:space="0" w:color="auto"/>
        <w:right w:val="none" w:sz="0" w:space="0" w:color="auto"/>
      </w:divBdr>
    </w:div>
    <w:div w:id="1456875271">
      <w:bodyDiv w:val="1"/>
      <w:marLeft w:val="0"/>
      <w:marRight w:val="0"/>
      <w:marTop w:val="0"/>
      <w:marBottom w:val="0"/>
      <w:divBdr>
        <w:top w:val="none" w:sz="0" w:space="0" w:color="auto"/>
        <w:left w:val="none" w:sz="0" w:space="0" w:color="auto"/>
        <w:bottom w:val="none" w:sz="0" w:space="0" w:color="auto"/>
        <w:right w:val="none" w:sz="0" w:space="0" w:color="auto"/>
      </w:divBdr>
    </w:div>
    <w:div w:id="1457137409">
      <w:bodyDiv w:val="1"/>
      <w:marLeft w:val="0"/>
      <w:marRight w:val="0"/>
      <w:marTop w:val="0"/>
      <w:marBottom w:val="0"/>
      <w:divBdr>
        <w:top w:val="none" w:sz="0" w:space="0" w:color="auto"/>
        <w:left w:val="none" w:sz="0" w:space="0" w:color="auto"/>
        <w:bottom w:val="none" w:sz="0" w:space="0" w:color="auto"/>
        <w:right w:val="none" w:sz="0" w:space="0" w:color="auto"/>
      </w:divBdr>
    </w:div>
    <w:div w:id="1461146383">
      <w:bodyDiv w:val="1"/>
      <w:marLeft w:val="0"/>
      <w:marRight w:val="0"/>
      <w:marTop w:val="0"/>
      <w:marBottom w:val="0"/>
      <w:divBdr>
        <w:top w:val="none" w:sz="0" w:space="0" w:color="auto"/>
        <w:left w:val="none" w:sz="0" w:space="0" w:color="auto"/>
        <w:bottom w:val="none" w:sz="0" w:space="0" w:color="auto"/>
        <w:right w:val="none" w:sz="0" w:space="0" w:color="auto"/>
      </w:divBdr>
    </w:div>
    <w:div w:id="1463228272">
      <w:bodyDiv w:val="1"/>
      <w:marLeft w:val="0"/>
      <w:marRight w:val="0"/>
      <w:marTop w:val="0"/>
      <w:marBottom w:val="0"/>
      <w:divBdr>
        <w:top w:val="none" w:sz="0" w:space="0" w:color="auto"/>
        <w:left w:val="none" w:sz="0" w:space="0" w:color="auto"/>
        <w:bottom w:val="none" w:sz="0" w:space="0" w:color="auto"/>
        <w:right w:val="none" w:sz="0" w:space="0" w:color="auto"/>
      </w:divBdr>
    </w:div>
    <w:div w:id="1468011195">
      <w:bodyDiv w:val="1"/>
      <w:marLeft w:val="0"/>
      <w:marRight w:val="0"/>
      <w:marTop w:val="0"/>
      <w:marBottom w:val="0"/>
      <w:divBdr>
        <w:top w:val="none" w:sz="0" w:space="0" w:color="auto"/>
        <w:left w:val="none" w:sz="0" w:space="0" w:color="auto"/>
        <w:bottom w:val="none" w:sz="0" w:space="0" w:color="auto"/>
        <w:right w:val="none" w:sz="0" w:space="0" w:color="auto"/>
      </w:divBdr>
    </w:div>
    <w:div w:id="1469931513">
      <w:bodyDiv w:val="1"/>
      <w:marLeft w:val="0"/>
      <w:marRight w:val="0"/>
      <w:marTop w:val="0"/>
      <w:marBottom w:val="0"/>
      <w:divBdr>
        <w:top w:val="none" w:sz="0" w:space="0" w:color="auto"/>
        <w:left w:val="none" w:sz="0" w:space="0" w:color="auto"/>
        <w:bottom w:val="none" w:sz="0" w:space="0" w:color="auto"/>
        <w:right w:val="none" w:sz="0" w:space="0" w:color="auto"/>
      </w:divBdr>
    </w:div>
    <w:div w:id="1472864069">
      <w:bodyDiv w:val="1"/>
      <w:marLeft w:val="0"/>
      <w:marRight w:val="0"/>
      <w:marTop w:val="0"/>
      <w:marBottom w:val="0"/>
      <w:divBdr>
        <w:top w:val="none" w:sz="0" w:space="0" w:color="auto"/>
        <w:left w:val="none" w:sz="0" w:space="0" w:color="auto"/>
        <w:bottom w:val="none" w:sz="0" w:space="0" w:color="auto"/>
        <w:right w:val="none" w:sz="0" w:space="0" w:color="auto"/>
      </w:divBdr>
    </w:div>
    <w:div w:id="1477529390">
      <w:bodyDiv w:val="1"/>
      <w:marLeft w:val="0"/>
      <w:marRight w:val="0"/>
      <w:marTop w:val="0"/>
      <w:marBottom w:val="0"/>
      <w:divBdr>
        <w:top w:val="none" w:sz="0" w:space="0" w:color="auto"/>
        <w:left w:val="none" w:sz="0" w:space="0" w:color="auto"/>
        <w:bottom w:val="none" w:sz="0" w:space="0" w:color="auto"/>
        <w:right w:val="none" w:sz="0" w:space="0" w:color="auto"/>
      </w:divBdr>
    </w:div>
    <w:div w:id="1479803013">
      <w:bodyDiv w:val="1"/>
      <w:marLeft w:val="0"/>
      <w:marRight w:val="0"/>
      <w:marTop w:val="0"/>
      <w:marBottom w:val="0"/>
      <w:divBdr>
        <w:top w:val="none" w:sz="0" w:space="0" w:color="auto"/>
        <w:left w:val="none" w:sz="0" w:space="0" w:color="auto"/>
        <w:bottom w:val="none" w:sz="0" w:space="0" w:color="auto"/>
        <w:right w:val="none" w:sz="0" w:space="0" w:color="auto"/>
      </w:divBdr>
    </w:div>
    <w:div w:id="1480345010">
      <w:bodyDiv w:val="1"/>
      <w:marLeft w:val="0"/>
      <w:marRight w:val="0"/>
      <w:marTop w:val="0"/>
      <w:marBottom w:val="0"/>
      <w:divBdr>
        <w:top w:val="none" w:sz="0" w:space="0" w:color="auto"/>
        <w:left w:val="none" w:sz="0" w:space="0" w:color="auto"/>
        <w:bottom w:val="none" w:sz="0" w:space="0" w:color="auto"/>
        <w:right w:val="none" w:sz="0" w:space="0" w:color="auto"/>
      </w:divBdr>
    </w:div>
    <w:div w:id="1483736786">
      <w:bodyDiv w:val="1"/>
      <w:marLeft w:val="0"/>
      <w:marRight w:val="0"/>
      <w:marTop w:val="0"/>
      <w:marBottom w:val="0"/>
      <w:divBdr>
        <w:top w:val="none" w:sz="0" w:space="0" w:color="auto"/>
        <w:left w:val="none" w:sz="0" w:space="0" w:color="auto"/>
        <w:bottom w:val="none" w:sz="0" w:space="0" w:color="auto"/>
        <w:right w:val="none" w:sz="0" w:space="0" w:color="auto"/>
      </w:divBdr>
    </w:div>
    <w:div w:id="1484815955">
      <w:bodyDiv w:val="1"/>
      <w:marLeft w:val="0"/>
      <w:marRight w:val="0"/>
      <w:marTop w:val="0"/>
      <w:marBottom w:val="0"/>
      <w:divBdr>
        <w:top w:val="none" w:sz="0" w:space="0" w:color="auto"/>
        <w:left w:val="none" w:sz="0" w:space="0" w:color="auto"/>
        <w:bottom w:val="none" w:sz="0" w:space="0" w:color="auto"/>
        <w:right w:val="none" w:sz="0" w:space="0" w:color="auto"/>
      </w:divBdr>
    </w:div>
    <w:div w:id="1485774018">
      <w:bodyDiv w:val="1"/>
      <w:marLeft w:val="0"/>
      <w:marRight w:val="0"/>
      <w:marTop w:val="0"/>
      <w:marBottom w:val="0"/>
      <w:divBdr>
        <w:top w:val="none" w:sz="0" w:space="0" w:color="auto"/>
        <w:left w:val="none" w:sz="0" w:space="0" w:color="auto"/>
        <w:bottom w:val="none" w:sz="0" w:space="0" w:color="auto"/>
        <w:right w:val="none" w:sz="0" w:space="0" w:color="auto"/>
      </w:divBdr>
    </w:div>
    <w:div w:id="1487166446">
      <w:bodyDiv w:val="1"/>
      <w:marLeft w:val="0"/>
      <w:marRight w:val="0"/>
      <w:marTop w:val="0"/>
      <w:marBottom w:val="0"/>
      <w:divBdr>
        <w:top w:val="none" w:sz="0" w:space="0" w:color="auto"/>
        <w:left w:val="none" w:sz="0" w:space="0" w:color="auto"/>
        <w:bottom w:val="none" w:sz="0" w:space="0" w:color="auto"/>
        <w:right w:val="none" w:sz="0" w:space="0" w:color="auto"/>
      </w:divBdr>
    </w:div>
    <w:div w:id="1488476235">
      <w:bodyDiv w:val="1"/>
      <w:marLeft w:val="0"/>
      <w:marRight w:val="0"/>
      <w:marTop w:val="0"/>
      <w:marBottom w:val="0"/>
      <w:divBdr>
        <w:top w:val="none" w:sz="0" w:space="0" w:color="auto"/>
        <w:left w:val="none" w:sz="0" w:space="0" w:color="auto"/>
        <w:bottom w:val="none" w:sz="0" w:space="0" w:color="auto"/>
        <w:right w:val="none" w:sz="0" w:space="0" w:color="auto"/>
      </w:divBdr>
    </w:div>
    <w:div w:id="1490712024">
      <w:bodyDiv w:val="1"/>
      <w:marLeft w:val="0"/>
      <w:marRight w:val="0"/>
      <w:marTop w:val="0"/>
      <w:marBottom w:val="0"/>
      <w:divBdr>
        <w:top w:val="none" w:sz="0" w:space="0" w:color="auto"/>
        <w:left w:val="none" w:sz="0" w:space="0" w:color="auto"/>
        <w:bottom w:val="none" w:sz="0" w:space="0" w:color="auto"/>
        <w:right w:val="none" w:sz="0" w:space="0" w:color="auto"/>
      </w:divBdr>
    </w:div>
    <w:div w:id="1492138054">
      <w:bodyDiv w:val="1"/>
      <w:marLeft w:val="0"/>
      <w:marRight w:val="0"/>
      <w:marTop w:val="0"/>
      <w:marBottom w:val="0"/>
      <w:divBdr>
        <w:top w:val="none" w:sz="0" w:space="0" w:color="auto"/>
        <w:left w:val="none" w:sz="0" w:space="0" w:color="auto"/>
        <w:bottom w:val="none" w:sz="0" w:space="0" w:color="auto"/>
        <w:right w:val="none" w:sz="0" w:space="0" w:color="auto"/>
      </w:divBdr>
    </w:div>
    <w:div w:id="1493065038">
      <w:bodyDiv w:val="1"/>
      <w:marLeft w:val="0"/>
      <w:marRight w:val="0"/>
      <w:marTop w:val="0"/>
      <w:marBottom w:val="0"/>
      <w:divBdr>
        <w:top w:val="none" w:sz="0" w:space="0" w:color="auto"/>
        <w:left w:val="none" w:sz="0" w:space="0" w:color="auto"/>
        <w:bottom w:val="none" w:sz="0" w:space="0" w:color="auto"/>
        <w:right w:val="none" w:sz="0" w:space="0" w:color="auto"/>
      </w:divBdr>
    </w:div>
    <w:div w:id="1495221833">
      <w:bodyDiv w:val="1"/>
      <w:marLeft w:val="0"/>
      <w:marRight w:val="0"/>
      <w:marTop w:val="0"/>
      <w:marBottom w:val="0"/>
      <w:divBdr>
        <w:top w:val="none" w:sz="0" w:space="0" w:color="auto"/>
        <w:left w:val="none" w:sz="0" w:space="0" w:color="auto"/>
        <w:bottom w:val="none" w:sz="0" w:space="0" w:color="auto"/>
        <w:right w:val="none" w:sz="0" w:space="0" w:color="auto"/>
      </w:divBdr>
    </w:div>
    <w:div w:id="1496458010">
      <w:bodyDiv w:val="1"/>
      <w:marLeft w:val="0"/>
      <w:marRight w:val="0"/>
      <w:marTop w:val="0"/>
      <w:marBottom w:val="0"/>
      <w:divBdr>
        <w:top w:val="none" w:sz="0" w:space="0" w:color="auto"/>
        <w:left w:val="none" w:sz="0" w:space="0" w:color="auto"/>
        <w:bottom w:val="none" w:sz="0" w:space="0" w:color="auto"/>
        <w:right w:val="none" w:sz="0" w:space="0" w:color="auto"/>
      </w:divBdr>
    </w:div>
    <w:div w:id="1502115127">
      <w:bodyDiv w:val="1"/>
      <w:marLeft w:val="0"/>
      <w:marRight w:val="0"/>
      <w:marTop w:val="0"/>
      <w:marBottom w:val="0"/>
      <w:divBdr>
        <w:top w:val="none" w:sz="0" w:space="0" w:color="auto"/>
        <w:left w:val="none" w:sz="0" w:space="0" w:color="auto"/>
        <w:bottom w:val="none" w:sz="0" w:space="0" w:color="auto"/>
        <w:right w:val="none" w:sz="0" w:space="0" w:color="auto"/>
      </w:divBdr>
    </w:div>
    <w:div w:id="1502964530">
      <w:bodyDiv w:val="1"/>
      <w:marLeft w:val="0"/>
      <w:marRight w:val="0"/>
      <w:marTop w:val="0"/>
      <w:marBottom w:val="0"/>
      <w:divBdr>
        <w:top w:val="none" w:sz="0" w:space="0" w:color="auto"/>
        <w:left w:val="none" w:sz="0" w:space="0" w:color="auto"/>
        <w:bottom w:val="none" w:sz="0" w:space="0" w:color="auto"/>
        <w:right w:val="none" w:sz="0" w:space="0" w:color="auto"/>
      </w:divBdr>
    </w:div>
    <w:div w:id="1505778406">
      <w:bodyDiv w:val="1"/>
      <w:marLeft w:val="0"/>
      <w:marRight w:val="0"/>
      <w:marTop w:val="0"/>
      <w:marBottom w:val="0"/>
      <w:divBdr>
        <w:top w:val="none" w:sz="0" w:space="0" w:color="auto"/>
        <w:left w:val="none" w:sz="0" w:space="0" w:color="auto"/>
        <w:bottom w:val="none" w:sz="0" w:space="0" w:color="auto"/>
        <w:right w:val="none" w:sz="0" w:space="0" w:color="auto"/>
      </w:divBdr>
    </w:div>
    <w:div w:id="1508054220">
      <w:bodyDiv w:val="1"/>
      <w:marLeft w:val="0"/>
      <w:marRight w:val="0"/>
      <w:marTop w:val="0"/>
      <w:marBottom w:val="0"/>
      <w:divBdr>
        <w:top w:val="none" w:sz="0" w:space="0" w:color="auto"/>
        <w:left w:val="none" w:sz="0" w:space="0" w:color="auto"/>
        <w:bottom w:val="none" w:sz="0" w:space="0" w:color="auto"/>
        <w:right w:val="none" w:sz="0" w:space="0" w:color="auto"/>
      </w:divBdr>
    </w:div>
    <w:div w:id="1509514379">
      <w:bodyDiv w:val="1"/>
      <w:marLeft w:val="0"/>
      <w:marRight w:val="0"/>
      <w:marTop w:val="0"/>
      <w:marBottom w:val="0"/>
      <w:divBdr>
        <w:top w:val="none" w:sz="0" w:space="0" w:color="auto"/>
        <w:left w:val="none" w:sz="0" w:space="0" w:color="auto"/>
        <w:bottom w:val="none" w:sz="0" w:space="0" w:color="auto"/>
        <w:right w:val="none" w:sz="0" w:space="0" w:color="auto"/>
      </w:divBdr>
    </w:div>
    <w:div w:id="1511599307">
      <w:bodyDiv w:val="1"/>
      <w:marLeft w:val="0"/>
      <w:marRight w:val="0"/>
      <w:marTop w:val="0"/>
      <w:marBottom w:val="0"/>
      <w:divBdr>
        <w:top w:val="none" w:sz="0" w:space="0" w:color="auto"/>
        <w:left w:val="none" w:sz="0" w:space="0" w:color="auto"/>
        <w:bottom w:val="none" w:sz="0" w:space="0" w:color="auto"/>
        <w:right w:val="none" w:sz="0" w:space="0" w:color="auto"/>
      </w:divBdr>
    </w:div>
    <w:div w:id="1512792861">
      <w:bodyDiv w:val="1"/>
      <w:marLeft w:val="0"/>
      <w:marRight w:val="0"/>
      <w:marTop w:val="0"/>
      <w:marBottom w:val="0"/>
      <w:divBdr>
        <w:top w:val="none" w:sz="0" w:space="0" w:color="auto"/>
        <w:left w:val="none" w:sz="0" w:space="0" w:color="auto"/>
        <w:bottom w:val="none" w:sz="0" w:space="0" w:color="auto"/>
        <w:right w:val="none" w:sz="0" w:space="0" w:color="auto"/>
      </w:divBdr>
    </w:div>
    <w:div w:id="1516920943">
      <w:bodyDiv w:val="1"/>
      <w:marLeft w:val="0"/>
      <w:marRight w:val="0"/>
      <w:marTop w:val="0"/>
      <w:marBottom w:val="0"/>
      <w:divBdr>
        <w:top w:val="none" w:sz="0" w:space="0" w:color="auto"/>
        <w:left w:val="none" w:sz="0" w:space="0" w:color="auto"/>
        <w:bottom w:val="none" w:sz="0" w:space="0" w:color="auto"/>
        <w:right w:val="none" w:sz="0" w:space="0" w:color="auto"/>
      </w:divBdr>
    </w:div>
    <w:div w:id="1518344541">
      <w:bodyDiv w:val="1"/>
      <w:marLeft w:val="0"/>
      <w:marRight w:val="0"/>
      <w:marTop w:val="0"/>
      <w:marBottom w:val="0"/>
      <w:divBdr>
        <w:top w:val="none" w:sz="0" w:space="0" w:color="auto"/>
        <w:left w:val="none" w:sz="0" w:space="0" w:color="auto"/>
        <w:bottom w:val="none" w:sz="0" w:space="0" w:color="auto"/>
        <w:right w:val="none" w:sz="0" w:space="0" w:color="auto"/>
      </w:divBdr>
    </w:div>
    <w:div w:id="1524251063">
      <w:bodyDiv w:val="1"/>
      <w:marLeft w:val="0"/>
      <w:marRight w:val="0"/>
      <w:marTop w:val="0"/>
      <w:marBottom w:val="0"/>
      <w:divBdr>
        <w:top w:val="none" w:sz="0" w:space="0" w:color="auto"/>
        <w:left w:val="none" w:sz="0" w:space="0" w:color="auto"/>
        <w:bottom w:val="none" w:sz="0" w:space="0" w:color="auto"/>
        <w:right w:val="none" w:sz="0" w:space="0" w:color="auto"/>
      </w:divBdr>
    </w:div>
    <w:div w:id="1525631942">
      <w:bodyDiv w:val="1"/>
      <w:marLeft w:val="0"/>
      <w:marRight w:val="0"/>
      <w:marTop w:val="0"/>
      <w:marBottom w:val="0"/>
      <w:divBdr>
        <w:top w:val="none" w:sz="0" w:space="0" w:color="auto"/>
        <w:left w:val="none" w:sz="0" w:space="0" w:color="auto"/>
        <w:bottom w:val="none" w:sz="0" w:space="0" w:color="auto"/>
        <w:right w:val="none" w:sz="0" w:space="0" w:color="auto"/>
      </w:divBdr>
    </w:div>
    <w:div w:id="1526288022">
      <w:bodyDiv w:val="1"/>
      <w:marLeft w:val="0"/>
      <w:marRight w:val="0"/>
      <w:marTop w:val="0"/>
      <w:marBottom w:val="0"/>
      <w:divBdr>
        <w:top w:val="none" w:sz="0" w:space="0" w:color="auto"/>
        <w:left w:val="none" w:sz="0" w:space="0" w:color="auto"/>
        <w:bottom w:val="none" w:sz="0" w:space="0" w:color="auto"/>
        <w:right w:val="none" w:sz="0" w:space="0" w:color="auto"/>
      </w:divBdr>
    </w:div>
    <w:div w:id="1529876223">
      <w:bodyDiv w:val="1"/>
      <w:marLeft w:val="0"/>
      <w:marRight w:val="0"/>
      <w:marTop w:val="0"/>
      <w:marBottom w:val="0"/>
      <w:divBdr>
        <w:top w:val="none" w:sz="0" w:space="0" w:color="auto"/>
        <w:left w:val="none" w:sz="0" w:space="0" w:color="auto"/>
        <w:bottom w:val="none" w:sz="0" w:space="0" w:color="auto"/>
        <w:right w:val="none" w:sz="0" w:space="0" w:color="auto"/>
      </w:divBdr>
    </w:div>
    <w:div w:id="1533960723">
      <w:bodyDiv w:val="1"/>
      <w:marLeft w:val="0"/>
      <w:marRight w:val="0"/>
      <w:marTop w:val="0"/>
      <w:marBottom w:val="0"/>
      <w:divBdr>
        <w:top w:val="none" w:sz="0" w:space="0" w:color="auto"/>
        <w:left w:val="none" w:sz="0" w:space="0" w:color="auto"/>
        <w:bottom w:val="none" w:sz="0" w:space="0" w:color="auto"/>
        <w:right w:val="none" w:sz="0" w:space="0" w:color="auto"/>
      </w:divBdr>
    </w:div>
    <w:div w:id="1543711955">
      <w:bodyDiv w:val="1"/>
      <w:marLeft w:val="0"/>
      <w:marRight w:val="0"/>
      <w:marTop w:val="0"/>
      <w:marBottom w:val="0"/>
      <w:divBdr>
        <w:top w:val="none" w:sz="0" w:space="0" w:color="auto"/>
        <w:left w:val="none" w:sz="0" w:space="0" w:color="auto"/>
        <w:bottom w:val="none" w:sz="0" w:space="0" w:color="auto"/>
        <w:right w:val="none" w:sz="0" w:space="0" w:color="auto"/>
      </w:divBdr>
    </w:div>
    <w:div w:id="1543790494">
      <w:bodyDiv w:val="1"/>
      <w:marLeft w:val="0"/>
      <w:marRight w:val="0"/>
      <w:marTop w:val="0"/>
      <w:marBottom w:val="0"/>
      <w:divBdr>
        <w:top w:val="none" w:sz="0" w:space="0" w:color="auto"/>
        <w:left w:val="none" w:sz="0" w:space="0" w:color="auto"/>
        <w:bottom w:val="none" w:sz="0" w:space="0" w:color="auto"/>
        <w:right w:val="none" w:sz="0" w:space="0" w:color="auto"/>
      </w:divBdr>
    </w:div>
    <w:div w:id="1544168526">
      <w:bodyDiv w:val="1"/>
      <w:marLeft w:val="0"/>
      <w:marRight w:val="0"/>
      <w:marTop w:val="0"/>
      <w:marBottom w:val="0"/>
      <w:divBdr>
        <w:top w:val="none" w:sz="0" w:space="0" w:color="auto"/>
        <w:left w:val="none" w:sz="0" w:space="0" w:color="auto"/>
        <w:bottom w:val="none" w:sz="0" w:space="0" w:color="auto"/>
        <w:right w:val="none" w:sz="0" w:space="0" w:color="auto"/>
      </w:divBdr>
    </w:div>
    <w:div w:id="1551769017">
      <w:bodyDiv w:val="1"/>
      <w:marLeft w:val="0"/>
      <w:marRight w:val="0"/>
      <w:marTop w:val="0"/>
      <w:marBottom w:val="0"/>
      <w:divBdr>
        <w:top w:val="none" w:sz="0" w:space="0" w:color="auto"/>
        <w:left w:val="none" w:sz="0" w:space="0" w:color="auto"/>
        <w:bottom w:val="none" w:sz="0" w:space="0" w:color="auto"/>
        <w:right w:val="none" w:sz="0" w:space="0" w:color="auto"/>
      </w:divBdr>
    </w:div>
    <w:div w:id="1560362200">
      <w:bodyDiv w:val="1"/>
      <w:marLeft w:val="0"/>
      <w:marRight w:val="0"/>
      <w:marTop w:val="0"/>
      <w:marBottom w:val="0"/>
      <w:divBdr>
        <w:top w:val="none" w:sz="0" w:space="0" w:color="auto"/>
        <w:left w:val="none" w:sz="0" w:space="0" w:color="auto"/>
        <w:bottom w:val="none" w:sz="0" w:space="0" w:color="auto"/>
        <w:right w:val="none" w:sz="0" w:space="0" w:color="auto"/>
      </w:divBdr>
    </w:div>
    <w:div w:id="1569462512">
      <w:bodyDiv w:val="1"/>
      <w:marLeft w:val="0"/>
      <w:marRight w:val="0"/>
      <w:marTop w:val="0"/>
      <w:marBottom w:val="0"/>
      <w:divBdr>
        <w:top w:val="none" w:sz="0" w:space="0" w:color="auto"/>
        <w:left w:val="none" w:sz="0" w:space="0" w:color="auto"/>
        <w:bottom w:val="none" w:sz="0" w:space="0" w:color="auto"/>
        <w:right w:val="none" w:sz="0" w:space="0" w:color="auto"/>
      </w:divBdr>
    </w:div>
    <w:div w:id="1578006162">
      <w:bodyDiv w:val="1"/>
      <w:marLeft w:val="0"/>
      <w:marRight w:val="0"/>
      <w:marTop w:val="0"/>
      <w:marBottom w:val="0"/>
      <w:divBdr>
        <w:top w:val="none" w:sz="0" w:space="0" w:color="auto"/>
        <w:left w:val="none" w:sz="0" w:space="0" w:color="auto"/>
        <w:bottom w:val="none" w:sz="0" w:space="0" w:color="auto"/>
        <w:right w:val="none" w:sz="0" w:space="0" w:color="auto"/>
      </w:divBdr>
    </w:div>
    <w:div w:id="1583876631">
      <w:bodyDiv w:val="1"/>
      <w:marLeft w:val="0"/>
      <w:marRight w:val="0"/>
      <w:marTop w:val="0"/>
      <w:marBottom w:val="0"/>
      <w:divBdr>
        <w:top w:val="none" w:sz="0" w:space="0" w:color="auto"/>
        <w:left w:val="none" w:sz="0" w:space="0" w:color="auto"/>
        <w:bottom w:val="none" w:sz="0" w:space="0" w:color="auto"/>
        <w:right w:val="none" w:sz="0" w:space="0" w:color="auto"/>
      </w:divBdr>
    </w:div>
    <w:div w:id="1584102784">
      <w:bodyDiv w:val="1"/>
      <w:marLeft w:val="0"/>
      <w:marRight w:val="0"/>
      <w:marTop w:val="0"/>
      <w:marBottom w:val="0"/>
      <w:divBdr>
        <w:top w:val="none" w:sz="0" w:space="0" w:color="auto"/>
        <w:left w:val="none" w:sz="0" w:space="0" w:color="auto"/>
        <w:bottom w:val="none" w:sz="0" w:space="0" w:color="auto"/>
        <w:right w:val="none" w:sz="0" w:space="0" w:color="auto"/>
      </w:divBdr>
    </w:div>
    <w:div w:id="1590700857">
      <w:bodyDiv w:val="1"/>
      <w:marLeft w:val="0"/>
      <w:marRight w:val="0"/>
      <w:marTop w:val="0"/>
      <w:marBottom w:val="0"/>
      <w:divBdr>
        <w:top w:val="none" w:sz="0" w:space="0" w:color="auto"/>
        <w:left w:val="none" w:sz="0" w:space="0" w:color="auto"/>
        <w:bottom w:val="none" w:sz="0" w:space="0" w:color="auto"/>
        <w:right w:val="none" w:sz="0" w:space="0" w:color="auto"/>
      </w:divBdr>
    </w:div>
    <w:div w:id="1593927211">
      <w:bodyDiv w:val="1"/>
      <w:marLeft w:val="0"/>
      <w:marRight w:val="0"/>
      <w:marTop w:val="0"/>
      <w:marBottom w:val="0"/>
      <w:divBdr>
        <w:top w:val="none" w:sz="0" w:space="0" w:color="auto"/>
        <w:left w:val="none" w:sz="0" w:space="0" w:color="auto"/>
        <w:bottom w:val="none" w:sz="0" w:space="0" w:color="auto"/>
        <w:right w:val="none" w:sz="0" w:space="0" w:color="auto"/>
      </w:divBdr>
    </w:div>
    <w:div w:id="1604681003">
      <w:bodyDiv w:val="1"/>
      <w:marLeft w:val="0"/>
      <w:marRight w:val="0"/>
      <w:marTop w:val="0"/>
      <w:marBottom w:val="0"/>
      <w:divBdr>
        <w:top w:val="none" w:sz="0" w:space="0" w:color="auto"/>
        <w:left w:val="none" w:sz="0" w:space="0" w:color="auto"/>
        <w:bottom w:val="none" w:sz="0" w:space="0" w:color="auto"/>
        <w:right w:val="none" w:sz="0" w:space="0" w:color="auto"/>
      </w:divBdr>
    </w:div>
    <w:div w:id="1605309964">
      <w:bodyDiv w:val="1"/>
      <w:marLeft w:val="0"/>
      <w:marRight w:val="0"/>
      <w:marTop w:val="0"/>
      <w:marBottom w:val="0"/>
      <w:divBdr>
        <w:top w:val="none" w:sz="0" w:space="0" w:color="auto"/>
        <w:left w:val="none" w:sz="0" w:space="0" w:color="auto"/>
        <w:bottom w:val="none" w:sz="0" w:space="0" w:color="auto"/>
        <w:right w:val="none" w:sz="0" w:space="0" w:color="auto"/>
      </w:divBdr>
    </w:div>
    <w:div w:id="1609459477">
      <w:bodyDiv w:val="1"/>
      <w:marLeft w:val="0"/>
      <w:marRight w:val="0"/>
      <w:marTop w:val="0"/>
      <w:marBottom w:val="0"/>
      <w:divBdr>
        <w:top w:val="none" w:sz="0" w:space="0" w:color="auto"/>
        <w:left w:val="none" w:sz="0" w:space="0" w:color="auto"/>
        <w:bottom w:val="none" w:sz="0" w:space="0" w:color="auto"/>
        <w:right w:val="none" w:sz="0" w:space="0" w:color="auto"/>
      </w:divBdr>
    </w:div>
    <w:div w:id="1612669711">
      <w:bodyDiv w:val="1"/>
      <w:marLeft w:val="0"/>
      <w:marRight w:val="0"/>
      <w:marTop w:val="0"/>
      <w:marBottom w:val="0"/>
      <w:divBdr>
        <w:top w:val="none" w:sz="0" w:space="0" w:color="auto"/>
        <w:left w:val="none" w:sz="0" w:space="0" w:color="auto"/>
        <w:bottom w:val="none" w:sz="0" w:space="0" w:color="auto"/>
        <w:right w:val="none" w:sz="0" w:space="0" w:color="auto"/>
      </w:divBdr>
    </w:div>
    <w:div w:id="1614678132">
      <w:bodyDiv w:val="1"/>
      <w:marLeft w:val="0"/>
      <w:marRight w:val="0"/>
      <w:marTop w:val="0"/>
      <w:marBottom w:val="0"/>
      <w:divBdr>
        <w:top w:val="none" w:sz="0" w:space="0" w:color="auto"/>
        <w:left w:val="none" w:sz="0" w:space="0" w:color="auto"/>
        <w:bottom w:val="none" w:sz="0" w:space="0" w:color="auto"/>
        <w:right w:val="none" w:sz="0" w:space="0" w:color="auto"/>
      </w:divBdr>
    </w:div>
    <w:div w:id="1616908415">
      <w:bodyDiv w:val="1"/>
      <w:marLeft w:val="0"/>
      <w:marRight w:val="0"/>
      <w:marTop w:val="0"/>
      <w:marBottom w:val="0"/>
      <w:divBdr>
        <w:top w:val="none" w:sz="0" w:space="0" w:color="auto"/>
        <w:left w:val="none" w:sz="0" w:space="0" w:color="auto"/>
        <w:bottom w:val="none" w:sz="0" w:space="0" w:color="auto"/>
        <w:right w:val="none" w:sz="0" w:space="0" w:color="auto"/>
      </w:divBdr>
    </w:div>
    <w:div w:id="1618174924">
      <w:bodyDiv w:val="1"/>
      <w:marLeft w:val="0"/>
      <w:marRight w:val="0"/>
      <w:marTop w:val="0"/>
      <w:marBottom w:val="0"/>
      <w:divBdr>
        <w:top w:val="none" w:sz="0" w:space="0" w:color="auto"/>
        <w:left w:val="none" w:sz="0" w:space="0" w:color="auto"/>
        <w:bottom w:val="none" w:sz="0" w:space="0" w:color="auto"/>
        <w:right w:val="none" w:sz="0" w:space="0" w:color="auto"/>
      </w:divBdr>
    </w:div>
    <w:div w:id="1618683080">
      <w:bodyDiv w:val="1"/>
      <w:marLeft w:val="0"/>
      <w:marRight w:val="0"/>
      <w:marTop w:val="0"/>
      <w:marBottom w:val="0"/>
      <w:divBdr>
        <w:top w:val="none" w:sz="0" w:space="0" w:color="auto"/>
        <w:left w:val="none" w:sz="0" w:space="0" w:color="auto"/>
        <w:bottom w:val="none" w:sz="0" w:space="0" w:color="auto"/>
        <w:right w:val="none" w:sz="0" w:space="0" w:color="auto"/>
      </w:divBdr>
    </w:div>
    <w:div w:id="1620336349">
      <w:bodyDiv w:val="1"/>
      <w:marLeft w:val="0"/>
      <w:marRight w:val="0"/>
      <w:marTop w:val="0"/>
      <w:marBottom w:val="0"/>
      <w:divBdr>
        <w:top w:val="none" w:sz="0" w:space="0" w:color="auto"/>
        <w:left w:val="none" w:sz="0" w:space="0" w:color="auto"/>
        <w:bottom w:val="none" w:sz="0" w:space="0" w:color="auto"/>
        <w:right w:val="none" w:sz="0" w:space="0" w:color="auto"/>
      </w:divBdr>
    </w:div>
    <w:div w:id="1621910312">
      <w:bodyDiv w:val="1"/>
      <w:marLeft w:val="0"/>
      <w:marRight w:val="0"/>
      <w:marTop w:val="0"/>
      <w:marBottom w:val="0"/>
      <w:divBdr>
        <w:top w:val="none" w:sz="0" w:space="0" w:color="auto"/>
        <w:left w:val="none" w:sz="0" w:space="0" w:color="auto"/>
        <w:bottom w:val="none" w:sz="0" w:space="0" w:color="auto"/>
        <w:right w:val="none" w:sz="0" w:space="0" w:color="auto"/>
      </w:divBdr>
    </w:div>
    <w:div w:id="1622150805">
      <w:bodyDiv w:val="1"/>
      <w:marLeft w:val="0"/>
      <w:marRight w:val="0"/>
      <w:marTop w:val="0"/>
      <w:marBottom w:val="0"/>
      <w:divBdr>
        <w:top w:val="none" w:sz="0" w:space="0" w:color="auto"/>
        <w:left w:val="none" w:sz="0" w:space="0" w:color="auto"/>
        <w:bottom w:val="none" w:sz="0" w:space="0" w:color="auto"/>
        <w:right w:val="none" w:sz="0" w:space="0" w:color="auto"/>
      </w:divBdr>
    </w:div>
    <w:div w:id="1626500920">
      <w:bodyDiv w:val="1"/>
      <w:marLeft w:val="0"/>
      <w:marRight w:val="0"/>
      <w:marTop w:val="0"/>
      <w:marBottom w:val="0"/>
      <w:divBdr>
        <w:top w:val="none" w:sz="0" w:space="0" w:color="auto"/>
        <w:left w:val="none" w:sz="0" w:space="0" w:color="auto"/>
        <w:bottom w:val="none" w:sz="0" w:space="0" w:color="auto"/>
        <w:right w:val="none" w:sz="0" w:space="0" w:color="auto"/>
      </w:divBdr>
    </w:div>
    <w:div w:id="1629509277">
      <w:bodyDiv w:val="1"/>
      <w:marLeft w:val="0"/>
      <w:marRight w:val="0"/>
      <w:marTop w:val="0"/>
      <w:marBottom w:val="0"/>
      <w:divBdr>
        <w:top w:val="none" w:sz="0" w:space="0" w:color="auto"/>
        <w:left w:val="none" w:sz="0" w:space="0" w:color="auto"/>
        <w:bottom w:val="none" w:sz="0" w:space="0" w:color="auto"/>
        <w:right w:val="none" w:sz="0" w:space="0" w:color="auto"/>
      </w:divBdr>
    </w:div>
    <w:div w:id="1632007291">
      <w:bodyDiv w:val="1"/>
      <w:marLeft w:val="0"/>
      <w:marRight w:val="0"/>
      <w:marTop w:val="0"/>
      <w:marBottom w:val="0"/>
      <w:divBdr>
        <w:top w:val="none" w:sz="0" w:space="0" w:color="auto"/>
        <w:left w:val="none" w:sz="0" w:space="0" w:color="auto"/>
        <w:bottom w:val="none" w:sz="0" w:space="0" w:color="auto"/>
        <w:right w:val="none" w:sz="0" w:space="0" w:color="auto"/>
      </w:divBdr>
    </w:div>
    <w:div w:id="1632789739">
      <w:bodyDiv w:val="1"/>
      <w:marLeft w:val="0"/>
      <w:marRight w:val="0"/>
      <w:marTop w:val="0"/>
      <w:marBottom w:val="0"/>
      <w:divBdr>
        <w:top w:val="none" w:sz="0" w:space="0" w:color="auto"/>
        <w:left w:val="none" w:sz="0" w:space="0" w:color="auto"/>
        <w:bottom w:val="none" w:sz="0" w:space="0" w:color="auto"/>
        <w:right w:val="none" w:sz="0" w:space="0" w:color="auto"/>
      </w:divBdr>
    </w:div>
    <w:div w:id="1633443716">
      <w:bodyDiv w:val="1"/>
      <w:marLeft w:val="0"/>
      <w:marRight w:val="0"/>
      <w:marTop w:val="0"/>
      <w:marBottom w:val="0"/>
      <w:divBdr>
        <w:top w:val="none" w:sz="0" w:space="0" w:color="auto"/>
        <w:left w:val="none" w:sz="0" w:space="0" w:color="auto"/>
        <w:bottom w:val="none" w:sz="0" w:space="0" w:color="auto"/>
        <w:right w:val="none" w:sz="0" w:space="0" w:color="auto"/>
      </w:divBdr>
    </w:div>
    <w:div w:id="1636253379">
      <w:bodyDiv w:val="1"/>
      <w:marLeft w:val="0"/>
      <w:marRight w:val="0"/>
      <w:marTop w:val="0"/>
      <w:marBottom w:val="0"/>
      <w:divBdr>
        <w:top w:val="none" w:sz="0" w:space="0" w:color="auto"/>
        <w:left w:val="none" w:sz="0" w:space="0" w:color="auto"/>
        <w:bottom w:val="none" w:sz="0" w:space="0" w:color="auto"/>
        <w:right w:val="none" w:sz="0" w:space="0" w:color="auto"/>
      </w:divBdr>
    </w:div>
    <w:div w:id="1637099124">
      <w:bodyDiv w:val="1"/>
      <w:marLeft w:val="0"/>
      <w:marRight w:val="0"/>
      <w:marTop w:val="0"/>
      <w:marBottom w:val="0"/>
      <w:divBdr>
        <w:top w:val="none" w:sz="0" w:space="0" w:color="auto"/>
        <w:left w:val="none" w:sz="0" w:space="0" w:color="auto"/>
        <w:bottom w:val="none" w:sz="0" w:space="0" w:color="auto"/>
        <w:right w:val="none" w:sz="0" w:space="0" w:color="auto"/>
      </w:divBdr>
    </w:div>
    <w:div w:id="1642692513">
      <w:bodyDiv w:val="1"/>
      <w:marLeft w:val="0"/>
      <w:marRight w:val="0"/>
      <w:marTop w:val="0"/>
      <w:marBottom w:val="0"/>
      <w:divBdr>
        <w:top w:val="none" w:sz="0" w:space="0" w:color="auto"/>
        <w:left w:val="none" w:sz="0" w:space="0" w:color="auto"/>
        <w:bottom w:val="none" w:sz="0" w:space="0" w:color="auto"/>
        <w:right w:val="none" w:sz="0" w:space="0" w:color="auto"/>
      </w:divBdr>
    </w:div>
    <w:div w:id="1643726795">
      <w:bodyDiv w:val="1"/>
      <w:marLeft w:val="0"/>
      <w:marRight w:val="0"/>
      <w:marTop w:val="0"/>
      <w:marBottom w:val="0"/>
      <w:divBdr>
        <w:top w:val="none" w:sz="0" w:space="0" w:color="auto"/>
        <w:left w:val="none" w:sz="0" w:space="0" w:color="auto"/>
        <w:bottom w:val="none" w:sz="0" w:space="0" w:color="auto"/>
        <w:right w:val="none" w:sz="0" w:space="0" w:color="auto"/>
      </w:divBdr>
    </w:div>
    <w:div w:id="1650017463">
      <w:bodyDiv w:val="1"/>
      <w:marLeft w:val="0"/>
      <w:marRight w:val="0"/>
      <w:marTop w:val="0"/>
      <w:marBottom w:val="0"/>
      <w:divBdr>
        <w:top w:val="none" w:sz="0" w:space="0" w:color="auto"/>
        <w:left w:val="none" w:sz="0" w:space="0" w:color="auto"/>
        <w:bottom w:val="none" w:sz="0" w:space="0" w:color="auto"/>
        <w:right w:val="none" w:sz="0" w:space="0" w:color="auto"/>
      </w:divBdr>
    </w:div>
    <w:div w:id="1661032110">
      <w:bodyDiv w:val="1"/>
      <w:marLeft w:val="0"/>
      <w:marRight w:val="0"/>
      <w:marTop w:val="0"/>
      <w:marBottom w:val="0"/>
      <w:divBdr>
        <w:top w:val="none" w:sz="0" w:space="0" w:color="auto"/>
        <w:left w:val="none" w:sz="0" w:space="0" w:color="auto"/>
        <w:bottom w:val="none" w:sz="0" w:space="0" w:color="auto"/>
        <w:right w:val="none" w:sz="0" w:space="0" w:color="auto"/>
      </w:divBdr>
    </w:div>
    <w:div w:id="1670669162">
      <w:bodyDiv w:val="1"/>
      <w:marLeft w:val="0"/>
      <w:marRight w:val="0"/>
      <w:marTop w:val="0"/>
      <w:marBottom w:val="0"/>
      <w:divBdr>
        <w:top w:val="none" w:sz="0" w:space="0" w:color="auto"/>
        <w:left w:val="none" w:sz="0" w:space="0" w:color="auto"/>
        <w:bottom w:val="none" w:sz="0" w:space="0" w:color="auto"/>
        <w:right w:val="none" w:sz="0" w:space="0" w:color="auto"/>
      </w:divBdr>
    </w:div>
    <w:div w:id="1685940345">
      <w:bodyDiv w:val="1"/>
      <w:marLeft w:val="0"/>
      <w:marRight w:val="0"/>
      <w:marTop w:val="0"/>
      <w:marBottom w:val="0"/>
      <w:divBdr>
        <w:top w:val="none" w:sz="0" w:space="0" w:color="auto"/>
        <w:left w:val="none" w:sz="0" w:space="0" w:color="auto"/>
        <w:bottom w:val="none" w:sz="0" w:space="0" w:color="auto"/>
        <w:right w:val="none" w:sz="0" w:space="0" w:color="auto"/>
      </w:divBdr>
    </w:div>
    <w:div w:id="1686439974">
      <w:bodyDiv w:val="1"/>
      <w:marLeft w:val="0"/>
      <w:marRight w:val="0"/>
      <w:marTop w:val="0"/>
      <w:marBottom w:val="0"/>
      <w:divBdr>
        <w:top w:val="none" w:sz="0" w:space="0" w:color="auto"/>
        <w:left w:val="none" w:sz="0" w:space="0" w:color="auto"/>
        <w:bottom w:val="none" w:sz="0" w:space="0" w:color="auto"/>
        <w:right w:val="none" w:sz="0" w:space="0" w:color="auto"/>
      </w:divBdr>
    </w:div>
    <w:div w:id="1688484422">
      <w:bodyDiv w:val="1"/>
      <w:marLeft w:val="0"/>
      <w:marRight w:val="0"/>
      <w:marTop w:val="0"/>
      <w:marBottom w:val="0"/>
      <w:divBdr>
        <w:top w:val="none" w:sz="0" w:space="0" w:color="auto"/>
        <w:left w:val="none" w:sz="0" w:space="0" w:color="auto"/>
        <w:bottom w:val="none" w:sz="0" w:space="0" w:color="auto"/>
        <w:right w:val="none" w:sz="0" w:space="0" w:color="auto"/>
      </w:divBdr>
    </w:div>
    <w:div w:id="1696690990">
      <w:bodyDiv w:val="1"/>
      <w:marLeft w:val="0"/>
      <w:marRight w:val="0"/>
      <w:marTop w:val="0"/>
      <w:marBottom w:val="0"/>
      <w:divBdr>
        <w:top w:val="none" w:sz="0" w:space="0" w:color="auto"/>
        <w:left w:val="none" w:sz="0" w:space="0" w:color="auto"/>
        <w:bottom w:val="none" w:sz="0" w:space="0" w:color="auto"/>
        <w:right w:val="none" w:sz="0" w:space="0" w:color="auto"/>
      </w:divBdr>
    </w:div>
    <w:div w:id="1702584965">
      <w:bodyDiv w:val="1"/>
      <w:marLeft w:val="0"/>
      <w:marRight w:val="0"/>
      <w:marTop w:val="0"/>
      <w:marBottom w:val="0"/>
      <w:divBdr>
        <w:top w:val="none" w:sz="0" w:space="0" w:color="auto"/>
        <w:left w:val="none" w:sz="0" w:space="0" w:color="auto"/>
        <w:bottom w:val="none" w:sz="0" w:space="0" w:color="auto"/>
        <w:right w:val="none" w:sz="0" w:space="0" w:color="auto"/>
      </w:divBdr>
    </w:div>
    <w:div w:id="1706296080">
      <w:bodyDiv w:val="1"/>
      <w:marLeft w:val="0"/>
      <w:marRight w:val="0"/>
      <w:marTop w:val="0"/>
      <w:marBottom w:val="0"/>
      <w:divBdr>
        <w:top w:val="none" w:sz="0" w:space="0" w:color="auto"/>
        <w:left w:val="none" w:sz="0" w:space="0" w:color="auto"/>
        <w:bottom w:val="none" w:sz="0" w:space="0" w:color="auto"/>
        <w:right w:val="none" w:sz="0" w:space="0" w:color="auto"/>
      </w:divBdr>
    </w:div>
    <w:div w:id="1707097944">
      <w:bodyDiv w:val="1"/>
      <w:marLeft w:val="0"/>
      <w:marRight w:val="0"/>
      <w:marTop w:val="0"/>
      <w:marBottom w:val="0"/>
      <w:divBdr>
        <w:top w:val="none" w:sz="0" w:space="0" w:color="auto"/>
        <w:left w:val="none" w:sz="0" w:space="0" w:color="auto"/>
        <w:bottom w:val="none" w:sz="0" w:space="0" w:color="auto"/>
        <w:right w:val="none" w:sz="0" w:space="0" w:color="auto"/>
      </w:divBdr>
    </w:div>
    <w:div w:id="1708600485">
      <w:bodyDiv w:val="1"/>
      <w:marLeft w:val="0"/>
      <w:marRight w:val="0"/>
      <w:marTop w:val="0"/>
      <w:marBottom w:val="0"/>
      <w:divBdr>
        <w:top w:val="none" w:sz="0" w:space="0" w:color="auto"/>
        <w:left w:val="none" w:sz="0" w:space="0" w:color="auto"/>
        <w:bottom w:val="none" w:sz="0" w:space="0" w:color="auto"/>
        <w:right w:val="none" w:sz="0" w:space="0" w:color="auto"/>
      </w:divBdr>
    </w:div>
    <w:div w:id="1713722935">
      <w:bodyDiv w:val="1"/>
      <w:marLeft w:val="0"/>
      <w:marRight w:val="0"/>
      <w:marTop w:val="0"/>
      <w:marBottom w:val="0"/>
      <w:divBdr>
        <w:top w:val="none" w:sz="0" w:space="0" w:color="auto"/>
        <w:left w:val="none" w:sz="0" w:space="0" w:color="auto"/>
        <w:bottom w:val="none" w:sz="0" w:space="0" w:color="auto"/>
        <w:right w:val="none" w:sz="0" w:space="0" w:color="auto"/>
      </w:divBdr>
    </w:div>
    <w:div w:id="1716348298">
      <w:bodyDiv w:val="1"/>
      <w:marLeft w:val="0"/>
      <w:marRight w:val="0"/>
      <w:marTop w:val="0"/>
      <w:marBottom w:val="0"/>
      <w:divBdr>
        <w:top w:val="none" w:sz="0" w:space="0" w:color="auto"/>
        <w:left w:val="none" w:sz="0" w:space="0" w:color="auto"/>
        <w:bottom w:val="none" w:sz="0" w:space="0" w:color="auto"/>
        <w:right w:val="none" w:sz="0" w:space="0" w:color="auto"/>
      </w:divBdr>
    </w:div>
    <w:div w:id="1719669812">
      <w:bodyDiv w:val="1"/>
      <w:marLeft w:val="0"/>
      <w:marRight w:val="0"/>
      <w:marTop w:val="0"/>
      <w:marBottom w:val="0"/>
      <w:divBdr>
        <w:top w:val="none" w:sz="0" w:space="0" w:color="auto"/>
        <w:left w:val="none" w:sz="0" w:space="0" w:color="auto"/>
        <w:bottom w:val="none" w:sz="0" w:space="0" w:color="auto"/>
        <w:right w:val="none" w:sz="0" w:space="0" w:color="auto"/>
      </w:divBdr>
    </w:div>
    <w:div w:id="1722247409">
      <w:bodyDiv w:val="1"/>
      <w:marLeft w:val="0"/>
      <w:marRight w:val="0"/>
      <w:marTop w:val="0"/>
      <w:marBottom w:val="0"/>
      <w:divBdr>
        <w:top w:val="none" w:sz="0" w:space="0" w:color="auto"/>
        <w:left w:val="none" w:sz="0" w:space="0" w:color="auto"/>
        <w:bottom w:val="none" w:sz="0" w:space="0" w:color="auto"/>
        <w:right w:val="none" w:sz="0" w:space="0" w:color="auto"/>
      </w:divBdr>
    </w:div>
    <w:div w:id="1736851907">
      <w:bodyDiv w:val="1"/>
      <w:marLeft w:val="0"/>
      <w:marRight w:val="0"/>
      <w:marTop w:val="0"/>
      <w:marBottom w:val="0"/>
      <w:divBdr>
        <w:top w:val="none" w:sz="0" w:space="0" w:color="auto"/>
        <w:left w:val="none" w:sz="0" w:space="0" w:color="auto"/>
        <w:bottom w:val="none" w:sz="0" w:space="0" w:color="auto"/>
        <w:right w:val="none" w:sz="0" w:space="0" w:color="auto"/>
      </w:divBdr>
    </w:div>
    <w:div w:id="1750544869">
      <w:bodyDiv w:val="1"/>
      <w:marLeft w:val="0"/>
      <w:marRight w:val="0"/>
      <w:marTop w:val="0"/>
      <w:marBottom w:val="0"/>
      <w:divBdr>
        <w:top w:val="none" w:sz="0" w:space="0" w:color="auto"/>
        <w:left w:val="none" w:sz="0" w:space="0" w:color="auto"/>
        <w:bottom w:val="none" w:sz="0" w:space="0" w:color="auto"/>
        <w:right w:val="none" w:sz="0" w:space="0" w:color="auto"/>
      </w:divBdr>
    </w:div>
    <w:div w:id="1751536924">
      <w:bodyDiv w:val="1"/>
      <w:marLeft w:val="0"/>
      <w:marRight w:val="0"/>
      <w:marTop w:val="0"/>
      <w:marBottom w:val="0"/>
      <w:divBdr>
        <w:top w:val="none" w:sz="0" w:space="0" w:color="auto"/>
        <w:left w:val="none" w:sz="0" w:space="0" w:color="auto"/>
        <w:bottom w:val="none" w:sz="0" w:space="0" w:color="auto"/>
        <w:right w:val="none" w:sz="0" w:space="0" w:color="auto"/>
      </w:divBdr>
    </w:div>
    <w:div w:id="1755474488">
      <w:bodyDiv w:val="1"/>
      <w:marLeft w:val="0"/>
      <w:marRight w:val="0"/>
      <w:marTop w:val="0"/>
      <w:marBottom w:val="0"/>
      <w:divBdr>
        <w:top w:val="none" w:sz="0" w:space="0" w:color="auto"/>
        <w:left w:val="none" w:sz="0" w:space="0" w:color="auto"/>
        <w:bottom w:val="none" w:sz="0" w:space="0" w:color="auto"/>
        <w:right w:val="none" w:sz="0" w:space="0" w:color="auto"/>
      </w:divBdr>
    </w:div>
    <w:div w:id="1757821209">
      <w:bodyDiv w:val="1"/>
      <w:marLeft w:val="0"/>
      <w:marRight w:val="0"/>
      <w:marTop w:val="0"/>
      <w:marBottom w:val="0"/>
      <w:divBdr>
        <w:top w:val="none" w:sz="0" w:space="0" w:color="auto"/>
        <w:left w:val="none" w:sz="0" w:space="0" w:color="auto"/>
        <w:bottom w:val="none" w:sz="0" w:space="0" w:color="auto"/>
        <w:right w:val="none" w:sz="0" w:space="0" w:color="auto"/>
      </w:divBdr>
    </w:div>
    <w:div w:id="1761945681">
      <w:bodyDiv w:val="1"/>
      <w:marLeft w:val="0"/>
      <w:marRight w:val="0"/>
      <w:marTop w:val="0"/>
      <w:marBottom w:val="0"/>
      <w:divBdr>
        <w:top w:val="none" w:sz="0" w:space="0" w:color="auto"/>
        <w:left w:val="none" w:sz="0" w:space="0" w:color="auto"/>
        <w:bottom w:val="none" w:sz="0" w:space="0" w:color="auto"/>
        <w:right w:val="none" w:sz="0" w:space="0" w:color="auto"/>
      </w:divBdr>
    </w:div>
    <w:div w:id="1765300077">
      <w:bodyDiv w:val="1"/>
      <w:marLeft w:val="0"/>
      <w:marRight w:val="0"/>
      <w:marTop w:val="0"/>
      <w:marBottom w:val="0"/>
      <w:divBdr>
        <w:top w:val="none" w:sz="0" w:space="0" w:color="auto"/>
        <w:left w:val="none" w:sz="0" w:space="0" w:color="auto"/>
        <w:bottom w:val="none" w:sz="0" w:space="0" w:color="auto"/>
        <w:right w:val="none" w:sz="0" w:space="0" w:color="auto"/>
      </w:divBdr>
    </w:div>
    <w:div w:id="1767724530">
      <w:bodyDiv w:val="1"/>
      <w:marLeft w:val="0"/>
      <w:marRight w:val="0"/>
      <w:marTop w:val="0"/>
      <w:marBottom w:val="0"/>
      <w:divBdr>
        <w:top w:val="none" w:sz="0" w:space="0" w:color="auto"/>
        <w:left w:val="none" w:sz="0" w:space="0" w:color="auto"/>
        <w:bottom w:val="none" w:sz="0" w:space="0" w:color="auto"/>
        <w:right w:val="none" w:sz="0" w:space="0" w:color="auto"/>
      </w:divBdr>
    </w:div>
    <w:div w:id="1777362316">
      <w:bodyDiv w:val="1"/>
      <w:marLeft w:val="0"/>
      <w:marRight w:val="0"/>
      <w:marTop w:val="0"/>
      <w:marBottom w:val="0"/>
      <w:divBdr>
        <w:top w:val="none" w:sz="0" w:space="0" w:color="auto"/>
        <w:left w:val="none" w:sz="0" w:space="0" w:color="auto"/>
        <w:bottom w:val="none" w:sz="0" w:space="0" w:color="auto"/>
        <w:right w:val="none" w:sz="0" w:space="0" w:color="auto"/>
      </w:divBdr>
    </w:div>
    <w:div w:id="1777403579">
      <w:bodyDiv w:val="1"/>
      <w:marLeft w:val="0"/>
      <w:marRight w:val="0"/>
      <w:marTop w:val="0"/>
      <w:marBottom w:val="0"/>
      <w:divBdr>
        <w:top w:val="none" w:sz="0" w:space="0" w:color="auto"/>
        <w:left w:val="none" w:sz="0" w:space="0" w:color="auto"/>
        <w:bottom w:val="none" w:sz="0" w:space="0" w:color="auto"/>
        <w:right w:val="none" w:sz="0" w:space="0" w:color="auto"/>
      </w:divBdr>
    </w:div>
    <w:div w:id="1778062246">
      <w:bodyDiv w:val="1"/>
      <w:marLeft w:val="0"/>
      <w:marRight w:val="0"/>
      <w:marTop w:val="0"/>
      <w:marBottom w:val="0"/>
      <w:divBdr>
        <w:top w:val="none" w:sz="0" w:space="0" w:color="auto"/>
        <w:left w:val="none" w:sz="0" w:space="0" w:color="auto"/>
        <w:bottom w:val="none" w:sz="0" w:space="0" w:color="auto"/>
        <w:right w:val="none" w:sz="0" w:space="0" w:color="auto"/>
      </w:divBdr>
    </w:div>
    <w:div w:id="1779451747">
      <w:bodyDiv w:val="1"/>
      <w:marLeft w:val="0"/>
      <w:marRight w:val="0"/>
      <w:marTop w:val="0"/>
      <w:marBottom w:val="0"/>
      <w:divBdr>
        <w:top w:val="none" w:sz="0" w:space="0" w:color="auto"/>
        <w:left w:val="none" w:sz="0" w:space="0" w:color="auto"/>
        <w:bottom w:val="none" w:sz="0" w:space="0" w:color="auto"/>
        <w:right w:val="none" w:sz="0" w:space="0" w:color="auto"/>
      </w:divBdr>
    </w:div>
    <w:div w:id="1780637185">
      <w:bodyDiv w:val="1"/>
      <w:marLeft w:val="0"/>
      <w:marRight w:val="0"/>
      <w:marTop w:val="0"/>
      <w:marBottom w:val="0"/>
      <w:divBdr>
        <w:top w:val="none" w:sz="0" w:space="0" w:color="auto"/>
        <w:left w:val="none" w:sz="0" w:space="0" w:color="auto"/>
        <w:bottom w:val="none" w:sz="0" w:space="0" w:color="auto"/>
        <w:right w:val="none" w:sz="0" w:space="0" w:color="auto"/>
      </w:divBdr>
    </w:div>
    <w:div w:id="1790705773">
      <w:bodyDiv w:val="1"/>
      <w:marLeft w:val="0"/>
      <w:marRight w:val="0"/>
      <w:marTop w:val="0"/>
      <w:marBottom w:val="0"/>
      <w:divBdr>
        <w:top w:val="none" w:sz="0" w:space="0" w:color="auto"/>
        <w:left w:val="none" w:sz="0" w:space="0" w:color="auto"/>
        <w:bottom w:val="none" w:sz="0" w:space="0" w:color="auto"/>
        <w:right w:val="none" w:sz="0" w:space="0" w:color="auto"/>
      </w:divBdr>
    </w:div>
    <w:div w:id="1791624120">
      <w:bodyDiv w:val="1"/>
      <w:marLeft w:val="0"/>
      <w:marRight w:val="0"/>
      <w:marTop w:val="0"/>
      <w:marBottom w:val="0"/>
      <w:divBdr>
        <w:top w:val="none" w:sz="0" w:space="0" w:color="auto"/>
        <w:left w:val="none" w:sz="0" w:space="0" w:color="auto"/>
        <w:bottom w:val="none" w:sz="0" w:space="0" w:color="auto"/>
        <w:right w:val="none" w:sz="0" w:space="0" w:color="auto"/>
      </w:divBdr>
    </w:div>
    <w:div w:id="1792674044">
      <w:bodyDiv w:val="1"/>
      <w:marLeft w:val="0"/>
      <w:marRight w:val="0"/>
      <w:marTop w:val="0"/>
      <w:marBottom w:val="0"/>
      <w:divBdr>
        <w:top w:val="none" w:sz="0" w:space="0" w:color="auto"/>
        <w:left w:val="none" w:sz="0" w:space="0" w:color="auto"/>
        <w:bottom w:val="none" w:sz="0" w:space="0" w:color="auto"/>
        <w:right w:val="none" w:sz="0" w:space="0" w:color="auto"/>
      </w:divBdr>
    </w:div>
    <w:div w:id="1795176934">
      <w:bodyDiv w:val="1"/>
      <w:marLeft w:val="0"/>
      <w:marRight w:val="0"/>
      <w:marTop w:val="0"/>
      <w:marBottom w:val="0"/>
      <w:divBdr>
        <w:top w:val="none" w:sz="0" w:space="0" w:color="auto"/>
        <w:left w:val="none" w:sz="0" w:space="0" w:color="auto"/>
        <w:bottom w:val="none" w:sz="0" w:space="0" w:color="auto"/>
        <w:right w:val="none" w:sz="0" w:space="0" w:color="auto"/>
      </w:divBdr>
    </w:div>
    <w:div w:id="1796630575">
      <w:bodyDiv w:val="1"/>
      <w:marLeft w:val="0"/>
      <w:marRight w:val="0"/>
      <w:marTop w:val="0"/>
      <w:marBottom w:val="0"/>
      <w:divBdr>
        <w:top w:val="none" w:sz="0" w:space="0" w:color="auto"/>
        <w:left w:val="none" w:sz="0" w:space="0" w:color="auto"/>
        <w:bottom w:val="none" w:sz="0" w:space="0" w:color="auto"/>
        <w:right w:val="none" w:sz="0" w:space="0" w:color="auto"/>
      </w:divBdr>
    </w:div>
    <w:div w:id="1802962125">
      <w:bodyDiv w:val="1"/>
      <w:marLeft w:val="0"/>
      <w:marRight w:val="0"/>
      <w:marTop w:val="0"/>
      <w:marBottom w:val="0"/>
      <w:divBdr>
        <w:top w:val="none" w:sz="0" w:space="0" w:color="auto"/>
        <w:left w:val="none" w:sz="0" w:space="0" w:color="auto"/>
        <w:bottom w:val="none" w:sz="0" w:space="0" w:color="auto"/>
        <w:right w:val="none" w:sz="0" w:space="0" w:color="auto"/>
      </w:divBdr>
    </w:div>
    <w:div w:id="1803376365">
      <w:bodyDiv w:val="1"/>
      <w:marLeft w:val="0"/>
      <w:marRight w:val="0"/>
      <w:marTop w:val="0"/>
      <w:marBottom w:val="0"/>
      <w:divBdr>
        <w:top w:val="none" w:sz="0" w:space="0" w:color="auto"/>
        <w:left w:val="none" w:sz="0" w:space="0" w:color="auto"/>
        <w:bottom w:val="none" w:sz="0" w:space="0" w:color="auto"/>
        <w:right w:val="none" w:sz="0" w:space="0" w:color="auto"/>
      </w:divBdr>
    </w:div>
    <w:div w:id="1805613855">
      <w:bodyDiv w:val="1"/>
      <w:marLeft w:val="0"/>
      <w:marRight w:val="0"/>
      <w:marTop w:val="0"/>
      <w:marBottom w:val="0"/>
      <w:divBdr>
        <w:top w:val="none" w:sz="0" w:space="0" w:color="auto"/>
        <w:left w:val="none" w:sz="0" w:space="0" w:color="auto"/>
        <w:bottom w:val="none" w:sz="0" w:space="0" w:color="auto"/>
        <w:right w:val="none" w:sz="0" w:space="0" w:color="auto"/>
      </w:divBdr>
    </w:div>
    <w:div w:id="1805804978">
      <w:bodyDiv w:val="1"/>
      <w:marLeft w:val="0"/>
      <w:marRight w:val="0"/>
      <w:marTop w:val="0"/>
      <w:marBottom w:val="0"/>
      <w:divBdr>
        <w:top w:val="none" w:sz="0" w:space="0" w:color="auto"/>
        <w:left w:val="none" w:sz="0" w:space="0" w:color="auto"/>
        <w:bottom w:val="none" w:sz="0" w:space="0" w:color="auto"/>
        <w:right w:val="none" w:sz="0" w:space="0" w:color="auto"/>
      </w:divBdr>
    </w:div>
    <w:div w:id="1811555705">
      <w:bodyDiv w:val="1"/>
      <w:marLeft w:val="0"/>
      <w:marRight w:val="0"/>
      <w:marTop w:val="0"/>
      <w:marBottom w:val="0"/>
      <w:divBdr>
        <w:top w:val="none" w:sz="0" w:space="0" w:color="auto"/>
        <w:left w:val="none" w:sz="0" w:space="0" w:color="auto"/>
        <w:bottom w:val="none" w:sz="0" w:space="0" w:color="auto"/>
        <w:right w:val="none" w:sz="0" w:space="0" w:color="auto"/>
      </w:divBdr>
    </w:div>
    <w:div w:id="1816675041">
      <w:bodyDiv w:val="1"/>
      <w:marLeft w:val="0"/>
      <w:marRight w:val="0"/>
      <w:marTop w:val="0"/>
      <w:marBottom w:val="0"/>
      <w:divBdr>
        <w:top w:val="none" w:sz="0" w:space="0" w:color="auto"/>
        <w:left w:val="none" w:sz="0" w:space="0" w:color="auto"/>
        <w:bottom w:val="none" w:sz="0" w:space="0" w:color="auto"/>
        <w:right w:val="none" w:sz="0" w:space="0" w:color="auto"/>
      </w:divBdr>
    </w:div>
    <w:div w:id="1822115196">
      <w:bodyDiv w:val="1"/>
      <w:marLeft w:val="0"/>
      <w:marRight w:val="0"/>
      <w:marTop w:val="0"/>
      <w:marBottom w:val="0"/>
      <w:divBdr>
        <w:top w:val="none" w:sz="0" w:space="0" w:color="auto"/>
        <w:left w:val="none" w:sz="0" w:space="0" w:color="auto"/>
        <w:bottom w:val="none" w:sz="0" w:space="0" w:color="auto"/>
        <w:right w:val="none" w:sz="0" w:space="0" w:color="auto"/>
      </w:divBdr>
    </w:div>
    <w:div w:id="1823039939">
      <w:bodyDiv w:val="1"/>
      <w:marLeft w:val="0"/>
      <w:marRight w:val="0"/>
      <w:marTop w:val="0"/>
      <w:marBottom w:val="0"/>
      <w:divBdr>
        <w:top w:val="none" w:sz="0" w:space="0" w:color="auto"/>
        <w:left w:val="none" w:sz="0" w:space="0" w:color="auto"/>
        <w:bottom w:val="none" w:sz="0" w:space="0" w:color="auto"/>
        <w:right w:val="none" w:sz="0" w:space="0" w:color="auto"/>
      </w:divBdr>
    </w:div>
    <w:div w:id="1823547834">
      <w:bodyDiv w:val="1"/>
      <w:marLeft w:val="0"/>
      <w:marRight w:val="0"/>
      <w:marTop w:val="0"/>
      <w:marBottom w:val="0"/>
      <w:divBdr>
        <w:top w:val="none" w:sz="0" w:space="0" w:color="auto"/>
        <w:left w:val="none" w:sz="0" w:space="0" w:color="auto"/>
        <w:bottom w:val="none" w:sz="0" w:space="0" w:color="auto"/>
        <w:right w:val="none" w:sz="0" w:space="0" w:color="auto"/>
      </w:divBdr>
    </w:div>
    <w:div w:id="1830755344">
      <w:bodyDiv w:val="1"/>
      <w:marLeft w:val="0"/>
      <w:marRight w:val="0"/>
      <w:marTop w:val="0"/>
      <w:marBottom w:val="0"/>
      <w:divBdr>
        <w:top w:val="none" w:sz="0" w:space="0" w:color="auto"/>
        <w:left w:val="none" w:sz="0" w:space="0" w:color="auto"/>
        <w:bottom w:val="none" w:sz="0" w:space="0" w:color="auto"/>
        <w:right w:val="none" w:sz="0" w:space="0" w:color="auto"/>
      </w:divBdr>
    </w:div>
    <w:div w:id="1843004393">
      <w:bodyDiv w:val="1"/>
      <w:marLeft w:val="0"/>
      <w:marRight w:val="0"/>
      <w:marTop w:val="0"/>
      <w:marBottom w:val="0"/>
      <w:divBdr>
        <w:top w:val="none" w:sz="0" w:space="0" w:color="auto"/>
        <w:left w:val="none" w:sz="0" w:space="0" w:color="auto"/>
        <w:bottom w:val="none" w:sz="0" w:space="0" w:color="auto"/>
        <w:right w:val="none" w:sz="0" w:space="0" w:color="auto"/>
      </w:divBdr>
    </w:div>
    <w:div w:id="1844280716">
      <w:bodyDiv w:val="1"/>
      <w:marLeft w:val="0"/>
      <w:marRight w:val="0"/>
      <w:marTop w:val="0"/>
      <w:marBottom w:val="0"/>
      <w:divBdr>
        <w:top w:val="none" w:sz="0" w:space="0" w:color="auto"/>
        <w:left w:val="none" w:sz="0" w:space="0" w:color="auto"/>
        <w:bottom w:val="none" w:sz="0" w:space="0" w:color="auto"/>
        <w:right w:val="none" w:sz="0" w:space="0" w:color="auto"/>
      </w:divBdr>
    </w:div>
    <w:div w:id="1850219212">
      <w:bodyDiv w:val="1"/>
      <w:marLeft w:val="0"/>
      <w:marRight w:val="0"/>
      <w:marTop w:val="0"/>
      <w:marBottom w:val="0"/>
      <w:divBdr>
        <w:top w:val="none" w:sz="0" w:space="0" w:color="auto"/>
        <w:left w:val="none" w:sz="0" w:space="0" w:color="auto"/>
        <w:bottom w:val="none" w:sz="0" w:space="0" w:color="auto"/>
        <w:right w:val="none" w:sz="0" w:space="0" w:color="auto"/>
      </w:divBdr>
    </w:div>
    <w:div w:id="1851555598">
      <w:bodyDiv w:val="1"/>
      <w:marLeft w:val="0"/>
      <w:marRight w:val="0"/>
      <w:marTop w:val="0"/>
      <w:marBottom w:val="0"/>
      <w:divBdr>
        <w:top w:val="none" w:sz="0" w:space="0" w:color="auto"/>
        <w:left w:val="none" w:sz="0" w:space="0" w:color="auto"/>
        <w:bottom w:val="none" w:sz="0" w:space="0" w:color="auto"/>
        <w:right w:val="none" w:sz="0" w:space="0" w:color="auto"/>
      </w:divBdr>
    </w:div>
    <w:div w:id="1852404393">
      <w:bodyDiv w:val="1"/>
      <w:marLeft w:val="0"/>
      <w:marRight w:val="0"/>
      <w:marTop w:val="0"/>
      <w:marBottom w:val="0"/>
      <w:divBdr>
        <w:top w:val="none" w:sz="0" w:space="0" w:color="auto"/>
        <w:left w:val="none" w:sz="0" w:space="0" w:color="auto"/>
        <w:bottom w:val="none" w:sz="0" w:space="0" w:color="auto"/>
        <w:right w:val="none" w:sz="0" w:space="0" w:color="auto"/>
      </w:divBdr>
    </w:div>
    <w:div w:id="1854764922">
      <w:bodyDiv w:val="1"/>
      <w:marLeft w:val="0"/>
      <w:marRight w:val="0"/>
      <w:marTop w:val="0"/>
      <w:marBottom w:val="0"/>
      <w:divBdr>
        <w:top w:val="none" w:sz="0" w:space="0" w:color="auto"/>
        <w:left w:val="none" w:sz="0" w:space="0" w:color="auto"/>
        <w:bottom w:val="none" w:sz="0" w:space="0" w:color="auto"/>
        <w:right w:val="none" w:sz="0" w:space="0" w:color="auto"/>
      </w:divBdr>
    </w:div>
    <w:div w:id="1856379934">
      <w:bodyDiv w:val="1"/>
      <w:marLeft w:val="0"/>
      <w:marRight w:val="0"/>
      <w:marTop w:val="0"/>
      <w:marBottom w:val="0"/>
      <w:divBdr>
        <w:top w:val="none" w:sz="0" w:space="0" w:color="auto"/>
        <w:left w:val="none" w:sz="0" w:space="0" w:color="auto"/>
        <w:bottom w:val="none" w:sz="0" w:space="0" w:color="auto"/>
        <w:right w:val="none" w:sz="0" w:space="0" w:color="auto"/>
      </w:divBdr>
    </w:div>
    <w:div w:id="1857765640">
      <w:bodyDiv w:val="1"/>
      <w:marLeft w:val="0"/>
      <w:marRight w:val="0"/>
      <w:marTop w:val="0"/>
      <w:marBottom w:val="0"/>
      <w:divBdr>
        <w:top w:val="none" w:sz="0" w:space="0" w:color="auto"/>
        <w:left w:val="none" w:sz="0" w:space="0" w:color="auto"/>
        <w:bottom w:val="none" w:sz="0" w:space="0" w:color="auto"/>
        <w:right w:val="none" w:sz="0" w:space="0" w:color="auto"/>
      </w:divBdr>
    </w:div>
    <w:div w:id="1862668456">
      <w:bodyDiv w:val="1"/>
      <w:marLeft w:val="0"/>
      <w:marRight w:val="0"/>
      <w:marTop w:val="0"/>
      <w:marBottom w:val="0"/>
      <w:divBdr>
        <w:top w:val="none" w:sz="0" w:space="0" w:color="auto"/>
        <w:left w:val="none" w:sz="0" w:space="0" w:color="auto"/>
        <w:bottom w:val="none" w:sz="0" w:space="0" w:color="auto"/>
        <w:right w:val="none" w:sz="0" w:space="0" w:color="auto"/>
      </w:divBdr>
    </w:div>
    <w:div w:id="1864129545">
      <w:bodyDiv w:val="1"/>
      <w:marLeft w:val="0"/>
      <w:marRight w:val="0"/>
      <w:marTop w:val="0"/>
      <w:marBottom w:val="0"/>
      <w:divBdr>
        <w:top w:val="none" w:sz="0" w:space="0" w:color="auto"/>
        <w:left w:val="none" w:sz="0" w:space="0" w:color="auto"/>
        <w:bottom w:val="none" w:sz="0" w:space="0" w:color="auto"/>
        <w:right w:val="none" w:sz="0" w:space="0" w:color="auto"/>
      </w:divBdr>
    </w:div>
    <w:div w:id="1865829160">
      <w:bodyDiv w:val="1"/>
      <w:marLeft w:val="0"/>
      <w:marRight w:val="0"/>
      <w:marTop w:val="0"/>
      <w:marBottom w:val="0"/>
      <w:divBdr>
        <w:top w:val="none" w:sz="0" w:space="0" w:color="auto"/>
        <w:left w:val="none" w:sz="0" w:space="0" w:color="auto"/>
        <w:bottom w:val="none" w:sz="0" w:space="0" w:color="auto"/>
        <w:right w:val="none" w:sz="0" w:space="0" w:color="auto"/>
      </w:divBdr>
    </w:div>
    <w:div w:id="1866362545">
      <w:bodyDiv w:val="1"/>
      <w:marLeft w:val="0"/>
      <w:marRight w:val="0"/>
      <w:marTop w:val="0"/>
      <w:marBottom w:val="0"/>
      <w:divBdr>
        <w:top w:val="none" w:sz="0" w:space="0" w:color="auto"/>
        <w:left w:val="none" w:sz="0" w:space="0" w:color="auto"/>
        <w:bottom w:val="none" w:sz="0" w:space="0" w:color="auto"/>
        <w:right w:val="none" w:sz="0" w:space="0" w:color="auto"/>
      </w:divBdr>
    </w:div>
    <w:div w:id="1872037284">
      <w:bodyDiv w:val="1"/>
      <w:marLeft w:val="0"/>
      <w:marRight w:val="0"/>
      <w:marTop w:val="0"/>
      <w:marBottom w:val="0"/>
      <w:divBdr>
        <w:top w:val="none" w:sz="0" w:space="0" w:color="auto"/>
        <w:left w:val="none" w:sz="0" w:space="0" w:color="auto"/>
        <w:bottom w:val="none" w:sz="0" w:space="0" w:color="auto"/>
        <w:right w:val="none" w:sz="0" w:space="0" w:color="auto"/>
      </w:divBdr>
    </w:div>
    <w:div w:id="1876112060">
      <w:bodyDiv w:val="1"/>
      <w:marLeft w:val="0"/>
      <w:marRight w:val="0"/>
      <w:marTop w:val="0"/>
      <w:marBottom w:val="0"/>
      <w:divBdr>
        <w:top w:val="none" w:sz="0" w:space="0" w:color="auto"/>
        <w:left w:val="none" w:sz="0" w:space="0" w:color="auto"/>
        <w:bottom w:val="none" w:sz="0" w:space="0" w:color="auto"/>
        <w:right w:val="none" w:sz="0" w:space="0" w:color="auto"/>
      </w:divBdr>
    </w:div>
    <w:div w:id="1877041531">
      <w:bodyDiv w:val="1"/>
      <w:marLeft w:val="0"/>
      <w:marRight w:val="0"/>
      <w:marTop w:val="0"/>
      <w:marBottom w:val="0"/>
      <w:divBdr>
        <w:top w:val="none" w:sz="0" w:space="0" w:color="auto"/>
        <w:left w:val="none" w:sz="0" w:space="0" w:color="auto"/>
        <w:bottom w:val="none" w:sz="0" w:space="0" w:color="auto"/>
        <w:right w:val="none" w:sz="0" w:space="0" w:color="auto"/>
      </w:divBdr>
    </w:div>
    <w:div w:id="1883325428">
      <w:bodyDiv w:val="1"/>
      <w:marLeft w:val="0"/>
      <w:marRight w:val="0"/>
      <w:marTop w:val="0"/>
      <w:marBottom w:val="0"/>
      <w:divBdr>
        <w:top w:val="none" w:sz="0" w:space="0" w:color="auto"/>
        <w:left w:val="none" w:sz="0" w:space="0" w:color="auto"/>
        <w:bottom w:val="none" w:sz="0" w:space="0" w:color="auto"/>
        <w:right w:val="none" w:sz="0" w:space="0" w:color="auto"/>
      </w:divBdr>
    </w:div>
    <w:div w:id="1886218141">
      <w:bodyDiv w:val="1"/>
      <w:marLeft w:val="0"/>
      <w:marRight w:val="0"/>
      <w:marTop w:val="0"/>
      <w:marBottom w:val="0"/>
      <w:divBdr>
        <w:top w:val="none" w:sz="0" w:space="0" w:color="auto"/>
        <w:left w:val="none" w:sz="0" w:space="0" w:color="auto"/>
        <w:bottom w:val="none" w:sz="0" w:space="0" w:color="auto"/>
        <w:right w:val="none" w:sz="0" w:space="0" w:color="auto"/>
      </w:divBdr>
    </w:div>
    <w:div w:id="1899171938">
      <w:bodyDiv w:val="1"/>
      <w:marLeft w:val="0"/>
      <w:marRight w:val="0"/>
      <w:marTop w:val="0"/>
      <w:marBottom w:val="0"/>
      <w:divBdr>
        <w:top w:val="none" w:sz="0" w:space="0" w:color="auto"/>
        <w:left w:val="none" w:sz="0" w:space="0" w:color="auto"/>
        <w:bottom w:val="none" w:sz="0" w:space="0" w:color="auto"/>
        <w:right w:val="none" w:sz="0" w:space="0" w:color="auto"/>
      </w:divBdr>
    </w:div>
    <w:div w:id="1904289516">
      <w:bodyDiv w:val="1"/>
      <w:marLeft w:val="0"/>
      <w:marRight w:val="0"/>
      <w:marTop w:val="0"/>
      <w:marBottom w:val="0"/>
      <w:divBdr>
        <w:top w:val="none" w:sz="0" w:space="0" w:color="auto"/>
        <w:left w:val="none" w:sz="0" w:space="0" w:color="auto"/>
        <w:bottom w:val="none" w:sz="0" w:space="0" w:color="auto"/>
        <w:right w:val="none" w:sz="0" w:space="0" w:color="auto"/>
      </w:divBdr>
    </w:div>
    <w:div w:id="1907064714">
      <w:bodyDiv w:val="1"/>
      <w:marLeft w:val="0"/>
      <w:marRight w:val="0"/>
      <w:marTop w:val="0"/>
      <w:marBottom w:val="0"/>
      <w:divBdr>
        <w:top w:val="none" w:sz="0" w:space="0" w:color="auto"/>
        <w:left w:val="none" w:sz="0" w:space="0" w:color="auto"/>
        <w:bottom w:val="none" w:sz="0" w:space="0" w:color="auto"/>
        <w:right w:val="none" w:sz="0" w:space="0" w:color="auto"/>
      </w:divBdr>
    </w:div>
    <w:div w:id="1908421159">
      <w:bodyDiv w:val="1"/>
      <w:marLeft w:val="0"/>
      <w:marRight w:val="0"/>
      <w:marTop w:val="0"/>
      <w:marBottom w:val="0"/>
      <w:divBdr>
        <w:top w:val="none" w:sz="0" w:space="0" w:color="auto"/>
        <w:left w:val="none" w:sz="0" w:space="0" w:color="auto"/>
        <w:bottom w:val="none" w:sz="0" w:space="0" w:color="auto"/>
        <w:right w:val="none" w:sz="0" w:space="0" w:color="auto"/>
      </w:divBdr>
    </w:div>
    <w:div w:id="1916238339">
      <w:bodyDiv w:val="1"/>
      <w:marLeft w:val="0"/>
      <w:marRight w:val="0"/>
      <w:marTop w:val="0"/>
      <w:marBottom w:val="0"/>
      <w:divBdr>
        <w:top w:val="none" w:sz="0" w:space="0" w:color="auto"/>
        <w:left w:val="none" w:sz="0" w:space="0" w:color="auto"/>
        <w:bottom w:val="none" w:sz="0" w:space="0" w:color="auto"/>
        <w:right w:val="none" w:sz="0" w:space="0" w:color="auto"/>
      </w:divBdr>
    </w:div>
    <w:div w:id="1916359243">
      <w:bodyDiv w:val="1"/>
      <w:marLeft w:val="0"/>
      <w:marRight w:val="0"/>
      <w:marTop w:val="0"/>
      <w:marBottom w:val="0"/>
      <w:divBdr>
        <w:top w:val="none" w:sz="0" w:space="0" w:color="auto"/>
        <w:left w:val="none" w:sz="0" w:space="0" w:color="auto"/>
        <w:bottom w:val="none" w:sz="0" w:space="0" w:color="auto"/>
        <w:right w:val="none" w:sz="0" w:space="0" w:color="auto"/>
      </w:divBdr>
    </w:div>
    <w:div w:id="1917550539">
      <w:bodyDiv w:val="1"/>
      <w:marLeft w:val="0"/>
      <w:marRight w:val="0"/>
      <w:marTop w:val="0"/>
      <w:marBottom w:val="0"/>
      <w:divBdr>
        <w:top w:val="none" w:sz="0" w:space="0" w:color="auto"/>
        <w:left w:val="none" w:sz="0" w:space="0" w:color="auto"/>
        <w:bottom w:val="none" w:sz="0" w:space="0" w:color="auto"/>
        <w:right w:val="none" w:sz="0" w:space="0" w:color="auto"/>
      </w:divBdr>
    </w:div>
    <w:div w:id="1918708935">
      <w:bodyDiv w:val="1"/>
      <w:marLeft w:val="0"/>
      <w:marRight w:val="0"/>
      <w:marTop w:val="0"/>
      <w:marBottom w:val="0"/>
      <w:divBdr>
        <w:top w:val="none" w:sz="0" w:space="0" w:color="auto"/>
        <w:left w:val="none" w:sz="0" w:space="0" w:color="auto"/>
        <w:bottom w:val="none" w:sz="0" w:space="0" w:color="auto"/>
        <w:right w:val="none" w:sz="0" w:space="0" w:color="auto"/>
      </w:divBdr>
    </w:div>
    <w:div w:id="1919099292">
      <w:bodyDiv w:val="1"/>
      <w:marLeft w:val="0"/>
      <w:marRight w:val="0"/>
      <w:marTop w:val="0"/>
      <w:marBottom w:val="0"/>
      <w:divBdr>
        <w:top w:val="none" w:sz="0" w:space="0" w:color="auto"/>
        <w:left w:val="none" w:sz="0" w:space="0" w:color="auto"/>
        <w:bottom w:val="none" w:sz="0" w:space="0" w:color="auto"/>
        <w:right w:val="none" w:sz="0" w:space="0" w:color="auto"/>
      </w:divBdr>
    </w:div>
    <w:div w:id="1926719569">
      <w:bodyDiv w:val="1"/>
      <w:marLeft w:val="0"/>
      <w:marRight w:val="0"/>
      <w:marTop w:val="0"/>
      <w:marBottom w:val="0"/>
      <w:divBdr>
        <w:top w:val="none" w:sz="0" w:space="0" w:color="auto"/>
        <w:left w:val="none" w:sz="0" w:space="0" w:color="auto"/>
        <w:bottom w:val="none" w:sz="0" w:space="0" w:color="auto"/>
        <w:right w:val="none" w:sz="0" w:space="0" w:color="auto"/>
      </w:divBdr>
    </w:div>
    <w:div w:id="1931691694">
      <w:bodyDiv w:val="1"/>
      <w:marLeft w:val="0"/>
      <w:marRight w:val="0"/>
      <w:marTop w:val="0"/>
      <w:marBottom w:val="0"/>
      <w:divBdr>
        <w:top w:val="none" w:sz="0" w:space="0" w:color="auto"/>
        <w:left w:val="none" w:sz="0" w:space="0" w:color="auto"/>
        <w:bottom w:val="none" w:sz="0" w:space="0" w:color="auto"/>
        <w:right w:val="none" w:sz="0" w:space="0" w:color="auto"/>
      </w:divBdr>
    </w:div>
    <w:div w:id="1936669841">
      <w:bodyDiv w:val="1"/>
      <w:marLeft w:val="0"/>
      <w:marRight w:val="0"/>
      <w:marTop w:val="0"/>
      <w:marBottom w:val="0"/>
      <w:divBdr>
        <w:top w:val="none" w:sz="0" w:space="0" w:color="auto"/>
        <w:left w:val="none" w:sz="0" w:space="0" w:color="auto"/>
        <w:bottom w:val="none" w:sz="0" w:space="0" w:color="auto"/>
        <w:right w:val="none" w:sz="0" w:space="0" w:color="auto"/>
      </w:divBdr>
    </w:div>
    <w:div w:id="1936865568">
      <w:bodyDiv w:val="1"/>
      <w:marLeft w:val="0"/>
      <w:marRight w:val="0"/>
      <w:marTop w:val="0"/>
      <w:marBottom w:val="0"/>
      <w:divBdr>
        <w:top w:val="none" w:sz="0" w:space="0" w:color="auto"/>
        <w:left w:val="none" w:sz="0" w:space="0" w:color="auto"/>
        <w:bottom w:val="none" w:sz="0" w:space="0" w:color="auto"/>
        <w:right w:val="none" w:sz="0" w:space="0" w:color="auto"/>
      </w:divBdr>
    </w:div>
    <w:div w:id="1938322453">
      <w:bodyDiv w:val="1"/>
      <w:marLeft w:val="0"/>
      <w:marRight w:val="0"/>
      <w:marTop w:val="0"/>
      <w:marBottom w:val="0"/>
      <w:divBdr>
        <w:top w:val="none" w:sz="0" w:space="0" w:color="auto"/>
        <w:left w:val="none" w:sz="0" w:space="0" w:color="auto"/>
        <w:bottom w:val="none" w:sz="0" w:space="0" w:color="auto"/>
        <w:right w:val="none" w:sz="0" w:space="0" w:color="auto"/>
      </w:divBdr>
    </w:div>
    <w:div w:id="1950967416">
      <w:bodyDiv w:val="1"/>
      <w:marLeft w:val="0"/>
      <w:marRight w:val="0"/>
      <w:marTop w:val="0"/>
      <w:marBottom w:val="0"/>
      <w:divBdr>
        <w:top w:val="none" w:sz="0" w:space="0" w:color="auto"/>
        <w:left w:val="none" w:sz="0" w:space="0" w:color="auto"/>
        <w:bottom w:val="none" w:sz="0" w:space="0" w:color="auto"/>
        <w:right w:val="none" w:sz="0" w:space="0" w:color="auto"/>
      </w:divBdr>
    </w:div>
    <w:div w:id="1952586035">
      <w:bodyDiv w:val="1"/>
      <w:marLeft w:val="0"/>
      <w:marRight w:val="0"/>
      <w:marTop w:val="0"/>
      <w:marBottom w:val="0"/>
      <w:divBdr>
        <w:top w:val="none" w:sz="0" w:space="0" w:color="auto"/>
        <w:left w:val="none" w:sz="0" w:space="0" w:color="auto"/>
        <w:bottom w:val="none" w:sz="0" w:space="0" w:color="auto"/>
        <w:right w:val="none" w:sz="0" w:space="0" w:color="auto"/>
      </w:divBdr>
    </w:div>
    <w:div w:id="1961691438">
      <w:bodyDiv w:val="1"/>
      <w:marLeft w:val="0"/>
      <w:marRight w:val="0"/>
      <w:marTop w:val="0"/>
      <w:marBottom w:val="0"/>
      <w:divBdr>
        <w:top w:val="none" w:sz="0" w:space="0" w:color="auto"/>
        <w:left w:val="none" w:sz="0" w:space="0" w:color="auto"/>
        <w:bottom w:val="none" w:sz="0" w:space="0" w:color="auto"/>
        <w:right w:val="none" w:sz="0" w:space="0" w:color="auto"/>
      </w:divBdr>
    </w:div>
    <w:div w:id="1968505275">
      <w:bodyDiv w:val="1"/>
      <w:marLeft w:val="0"/>
      <w:marRight w:val="0"/>
      <w:marTop w:val="0"/>
      <w:marBottom w:val="0"/>
      <w:divBdr>
        <w:top w:val="none" w:sz="0" w:space="0" w:color="auto"/>
        <w:left w:val="none" w:sz="0" w:space="0" w:color="auto"/>
        <w:bottom w:val="none" w:sz="0" w:space="0" w:color="auto"/>
        <w:right w:val="none" w:sz="0" w:space="0" w:color="auto"/>
      </w:divBdr>
    </w:div>
    <w:div w:id="1969358306">
      <w:bodyDiv w:val="1"/>
      <w:marLeft w:val="0"/>
      <w:marRight w:val="0"/>
      <w:marTop w:val="0"/>
      <w:marBottom w:val="0"/>
      <w:divBdr>
        <w:top w:val="none" w:sz="0" w:space="0" w:color="auto"/>
        <w:left w:val="none" w:sz="0" w:space="0" w:color="auto"/>
        <w:bottom w:val="none" w:sz="0" w:space="0" w:color="auto"/>
        <w:right w:val="none" w:sz="0" w:space="0" w:color="auto"/>
      </w:divBdr>
    </w:div>
    <w:div w:id="1970159777">
      <w:bodyDiv w:val="1"/>
      <w:marLeft w:val="0"/>
      <w:marRight w:val="0"/>
      <w:marTop w:val="0"/>
      <w:marBottom w:val="0"/>
      <w:divBdr>
        <w:top w:val="none" w:sz="0" w:space="0" w:color="auto"/>
        <w:left w:val="none" w:sz="0" w:space="0" w:color="auto"/>
        <w:bottom w:val="none" w:sz="0" w:space="0" w:color="auto"/>
        <w:right w:val="none" w:sz="0" w:space="0" w:color="auto"/>
      </w:divBdr>
    </w:div>
    <w:div w:id="1970435028">
      <w:bodyDiv w:val="1"/>
      <w:marLeft w:val="0"/>
      <w:marRight w:val="0"/>
      <w:marTop w:val="0"/>
      <w:marBottom w:val="0"/>
      <w:divBdr>
        <w:top w:val="none" w:sz="0" w:space="0" w:color="auto"/>
        <w:left w:val="none" w:sz="0" w:space="0" w:color="auto"/>
        <w:bottom w:val="none" w:sz="0" w:space="0" w:color="auto"/>
        <w:right w:val="none" w:sz="0" w:space="0" w:color="auto"/>
      </w:divBdr>
    </w:div>
    <w:div w:id="1974477142">
      <w:bodyDiv w:val="1"/>
      <w:marLeft w:val="0"/>
      <w:marRight w:val="0"/>
      <w:marTop w:val="0"/>
      <w:marBottom w:val="0"/>
      <w:divBdr>
        <w:top w:val="none" w:sz="0" w:space="0" w:color="auto"/>
        <w:left w:val="none" w:sz="0" w:space="0" w:color="auto"/>
        <w:bottom w:val="none" w:sz="0" w:space="0" w:color="auto"/>
        <w:right w:val="none" w:sz="0" w:space="0" w:color="auto"/>
      </w:divBdr>
    </w:div>
    <w:div w:id="1982927458">
      <w:bodyDiv w:val="1"/>
      <w:marLeft w:val="0"/>
      <w:marRight w:val="0"/>
      <w:marTop w:val="0"/>
      <w:marBottom w:val="0"/>
      <w:divBdr>
        <w:top w:val="none" w:sz="0" w:space="0" w:color="auto"/>
        <w:left w:val="none" w:sz="0" w:space="0" w:color="auto"/>
        <w:bottom w:val="none" w:sz="0" w:space="0" w:color="auto"/>
        <w:right w:val="none" w:sz="0" w:space="0" w:color="auto"/>
      </w:divBdr>
    </w:div>
    <w:div w:id="1983581899">
      <w:bodyDiv w:val="1"/>
      <w:marLeft w:val="0"/>
      <w:marRight w:val="0"/>
      <w:marTop w:val="0"/>
      <w:marBottom w:val="0"/>
      <w:divBdr>
        <w:top w:val="none" w:sz="0" w:space="0" w:color="auto"/>
        <w:left w:val="none" w:sz="0" w:space="0" w:color="auto"/>
        <w:bottom w:val="none" w:sz="0" w:space="0" w:color="auto"/>
        <w:right w:val="none" w:sz="0" w:space="0" w:color="auto"/>
      </w:divBdr>
    </w:div>
    <w:div w:id="1984194692">
      <w:bodyDiv w:val="1"/>
      <w:marLeft w:val="0"/>
      <w:marRight w:val="0"/>
      <w:marTop w:val="0"/>
      <w:marBottom w:val="0"/>
      <w:divBdr>
        <w:top w:val="none" w:sz="0" w:space="0" w:color="auto"/>
        <w:left w:val="none" w:sz="0" w:space="0" w:color="auto"/>
        <w:bottom w:val="none" w:sz="0" w:space="0" w:color="auto"/>
        <w:right w:val="none" w:sz="0" w:space="0" w:color="auto"/>
      </w:divBdr>
    </w:div>
    <w:div w:id="1985965038">
      <w:bodyDiv w:val="1"/>
      <w:marLeft w:val="0"/>
      <w:marRight w:val="0"/>
      <w:marTop w:val="0"/>
      <w:marBottom w:val="0"/>
      <w:divBdr>
        <w:top w:val="none" w:sz="0" w:space="0" w:color="auto"/>
        <w:left w:val="none" w:sz="0" w:space="0" w:color="auto"/>
        <w:bottom w:val="none" w:sz="0" w:space="0" w:color="auto"/>
        <w:right w:val="none" w:sz="0" w:space="0" w:color="auto"/>
      </w:divBdr>
    </w:div>
    <w:div w:id="1989556375">
      <w:bodyDiv w:val="1"/>
      <w:marLeft w:val="0"/>
      <w:marRight w:val="0"/>
      <w:marTop w:val="0"/>
      <w:marBottom w:val="0"/>
      <w:divBdr>
        <w:top w:val="none" w:sz="0" w:space="0" w:color="auto"/>
        <w:left w:val="none" w:sz="0" w:space="0" w:color="auto"/>
        <w:bottom w:val="none" w:sz="0" w:space="0" w:color="auto"/>
        <w:right w:val="none" w:sz="0" w:space="0" w:color="auto"/>
      </w:divBdr>
    </w:div>
    <w:div w:id="1995141377">
      <w:bodyDiv w:val="1"/>
      <w:marLeft w:val="0"/>
      <w:marRight w:val="0"/>
      <w:marTop w:val="0"/>
      <w:marBottom w:val="0"/>
      <w:divBdr>
        <w:top w:val="none" w:sz="0" w:space="0" w:color="auto"/>
        <w:left w:val="none" w:sz="0" w:space="0" w:color="auto"/>
        <w:bottom w:val="none" w:sz="0" w:space="0" w:color="auto"/>
        <w:right w:val="none" w:sz="0" w:space="0" w:color="auto"/>
      </w:divBdr>
    </w:div>
    <w:div w:id="1997611052">
      <w:bodyDiv w:val="1"/>
      <w:marLeft w:val="0"/>
      <w:marRight w:val="0"/>
      <w:marTop w:val="0"/>
      <w:marBottom w:val="0"/>
      <w:divBdr>
        <w:top w:val="none" w:sz="0" w:space="0" w:color="auto"/>
        <w:left w:val="none" w:sz="0" w:space="0" w:color="auto"/>
        <w:bottom w:val="none" w:sz="0" w:space="0" w:color="auto"/>
        <w:right w:val="none" w:sz="0" w:space="0" w:color="auto"/>
      </w:divBdr>
    </w:div>
    <w:div w:id="2003239789">
      <w:bodyDiv w:val="1"/>
      <w:marLeft w:val="0"/>
      <w:marRight w:val="0"/>
      <w:marTop w:val="0"/>
      <w:marBottom w:val="0"/>
      <w:divBdr>
        <w:top w:val="none" w:sz="0" w:space="0" w:color="auto"/>
        <w:left w:val="none" w:sz="0" w:space="0" w:color="auto"/>
        <w:bottom w:val="none" w:sz="0" w:space="0" w:color="auto"/>
        <w:right w:val="none" w:sz="0" w:space="0" w:color="auto"/>
      </w:divBdr>
    </w:div>
    <w:div w:id="2003266261">
      <w:bodyDiv w:val="1"/>
      <w:marLeft w:val="0"/>
      <w:marRight w:val="0"/>
      <w:marTop w:val="0"/>
      <w:marBottom w:val="0"/>
      <w:divBdr>
        <w:top w:val="none" w:sz="0" w:space="0" w:color="auto"/>
        <w:left w:val="none" w:sz="0" w:space="0" w:color="auto"/>
        <w:bottom w:val="none" w:sz="0" w:space="0" w:color="auto"/>
        <w:right w:val="none" w:sz="0" w:space="0" w:color="auto"/>
      </w:divBdr>
    </w:div>
    <w:div w:id="2008704310">
      <w:bodyDiv w:val="1"/>
      <w:marLeft w:val="0"/>
      <w:marRight w:val="0"/>
      <w:marTop w:val="0"/>
      <w:marBottom w:val="0"/>
      <w:divBdr>
        <w:top w:val="none" w:sz="0" w:space="0" w:color="auto"/>
        <w:left w:val="none" w:sz="0" w:space="0" w:color="auto"/>
        <w:bottom w:val="none" w:sz="0" w:space="0" w:color="auto"/>
        <w:right w:val="none" w:sz="0" w:space="0" w:color="auto"/>
      </w:divBdr>
    </w:div>
    <w:div w:id="2010669215">
      <w:bodyDiv w:val="1"/>
      <w:marLeft w:val="0"/>
      <w:marRight w:val="0"/>
      <w:marTop w:val="0"/>
      <w:marBottom w:val="0"/>
      <w:divBdr>
        <w:top w:val="none" w:sz="0" w:space="0" w:color="auto"/>
        <w:left w:val="none" w:sz="0" w:space="0" w:color="auto"/>
        <w:bottom w:val="none" w:sz="0" w:space="0" w:color="auto"/>
        <w:right w:val="none" w:sz="0" w:space="0" w:color="auto"/>
      </w:divBdr>
    </w:div>
    <w:div w:id="2012756701">
      <w:bodyDiv w:val="1"/>
      <w:marLeft w:val="0"/>
      <w:marRight w:val="0"/>
      <w:marTop w:val="0"/>
      <w:marBottom w:val="0"/>
      <w:divBdr>
        <w:top w:val="none" w:sz="0" w:space="0" w:color="auto"/>
        <w:left w:val="none" w:sz="0" w:space="0" w:color="auto"/>
        <w:bottom w:val="none" w:sz="0" w:space="0" w:color="auto"/>
        <w:right w:val="none" w:sz="0" w:space="0" w:color="auto"/>
      </w:divBdr>
    </w:div>
    <w:div w:id="2016955820">
      <w:bodyDiv w:val="1"/>
      <w:marLeft w:val="0"/>
      <w:marRight w:val="0"/>
      <w:marTop w:val="0"/>
      <w:marBottom w:val="0"/>
      <w:divBdr>
        <w:top w:val="none" w:sz="0" w:space="0" w:color="auto"/>
        <w:left w:val="none" w:sz="0" w:space="0" w:color="auto"/>
        <w:bottom w:val="none" w:sz="0" w:space="0" w:color="auto"/>
        <w:right w:val="none" w:sz="0" w:space="0" w:color="auto"/>
      </w:divBdr>
    </w:div>
    <w:div w:id="2029672401">
      <w:bodyDiv w:val="1"/>
      <w:marLeft w:val="0"/>
      <w:marRight w:val="0"/>
      <w:marTop w:val="0"/>
      <w:marBottom w:val="0"/>
      <w:divBdr>
        <w:top w:val="none" w:sz="0" w:space="0" w:color="auto"/>
        <w:left w:val="none" w:sz="0" w:space="0" w:color="auto"/>
        <w:bottom w:val="none" w:sz="0" w:space="0" w:color="auto"/>
        <w:right w:val="none" w:sz="0" w:space="0" w:color="auto"/>
      </w:divBdr>
    </w:div>
    <w:div w:id="2034651753">
      <w:bodyDiv w:val="1"/>
      <w:marLeft w:val="0"/>
      <w:marRight w:val="0"/>
      <w:marTop w:val="0"/>
      <w:marBottom w:val="0"/>
      <w:divBdr>
        <w:top w:val="none" w:sz="0" w:space="0" w:color="auto"/>
        <w:left w:val="none" w:sz="0" w:space="0" w:color="auto"/>
        <w:bottom w:val="none" w:sz="0" w:space="0" w:color="auto"/>
        <w:right w:val="none" w:sz="0" w:space="0" w:color="auto"/>
      </w:divBdr>
    </w:div>
    <w:div w:id="2037652363">
      <w:bodyDiv w:val="1"/>
      <w:marLeft w:val="0"/>
      <w:marRight w:val="0"/>
      <w:marTop w:val="0"/>
      <w:marBottom w:val="0"/>
      <w:divBdr>
        <w:top w:val="none" w:sz="0" w:space="0" w:color="auto"/>
        <w:left w:val="none" w:sz="0" w:space="0" w:color="auto"/>
        <w:bottom w:val="none" w:sz="0" w:space="0" w:color="auto"/>
        <w:right w:val="none" w:sz="0" w:space="0" w:color="auto"/>
      </w:divBdr>
    </w:div>
    <w:div w:id="2046246589">
      <w:bodyDiv w:val="1"/>
      <w:marLeft w:val="0"/>
      <w:marRight w:val="0"/>
      <w:marTop w:val="0"/>
      <w:marBottom w:val="0"/>
      <w:divBdr>
        <w:top w:val="none" w:sz="0" w:space="0" w:color="auto"/>
        <w:left w:val="none" w:sz="0" w:space="0" w:color="auto"/>
        <w:bottom w:val="none" w:sz="0" w:space="0" w:color="auto"/>
        <w:right w:val="none" w:sz="0" w:space="0" w:color="auto"/>
      </w:divBdr>
    </w:div>
    <w:div w:id="2050714959">
      <w:bodyDiv w:val="1"/>
      <w:marLeft w:val="0"/>
      <w:marRight w:val="0"/>
      <w:marTop w:val="0"/>
      <w:marBottom w:val="0"/>
      <w:divBdr>
        <w:top w:val="none" w:sz="0" w:space="0" w:color="auto"/>
        <w:left w:val="none" w:sz="0" w:space="0" w:color="auto"/>
        <w:bottom w:val="none" w:sz="0" w:space="0" w:color="auto"/>
        <w:right w:val="none" w:sz="0" w:space="0" w:color="auto"/>
      </w:divBdr>
    </w:div>
    <w:div w:id="2057116660">
      <w:bodyDiv w:val="1"/>
      <w:marLeft w:val="0"/>
      <w:marRight w:val="0"/>
      <w:marTop w:val="0"/>
      <w:marBottom w:val="0"/>
      <w:divBdr>
        <w:top w:val="none" w:sz="0" w:space="0" w:color="auto"/>
        <w:left w:val="none" w:sz="0" w:space="0" w:color="auto"/>
        <w:bottom w:val="none" w:sz="0" w:space="0" w:color="auto"/>
        <w:right w:val="none" w:sz="0" w:space="0" w:color="auto"/>
      </w:divBdr>
    </w:div>
    <w:div w:id="2057897125">
      <w:bodyDiv w:val="1"/>
      <w:marLeft w:val="0"/>
      <w:marRight w:val="0"/>
      <w:marTop w:val="0"/>
      <w:marBottom w:val="0"/>
      <w:divBdr>
        <w:top w:val="none" w:sz="0" w:space="0" w:color="auto"/>
        <w:left w:val="none" w:sz="0" w:space="0" w:color="auto"/>
        <w:bottom w:val="none" w:sz="0" w:space="0" w:color="auto"/>
        <w:right w:val="none" w:sz="0" w:space="0" w:color="auto"/>
      </w:divBdr>
    </w:div>
    <w:div w:id="2063869173">
      <w:bodyDiv w:val="1"/>
      <w:marLeft w:val="0"/>
      <w:marRight w:val="0"/>
      <w:marTop w:val="0"/>
      <w:marBottom w:val="0"/>
      <w:divBdr>
        <w:top w:val="none" w:sz="0" w:space="0" w:color="auto"/>
        <w:left w:val="none" w:sz="0" w:space="0" w:color="auto"/>
        <w:bottom w:val="none" w:sz="0" w:space="0" w:color="auto"/>
        <w:right w:val="none" w:sz="0" w:space="0" w:color="auto"/>
      </w:divBdr>
    </w:div>
    <w:div w:id="2067608611">
      <w:bodyDiv w:val="1"/>
      <w:marLeft w:val="0"/>
      <w:marRight w:val="0"/>
      <w:marTop w:val="0"/>
      <w:marBottom w:val="0"/>
      <w:divBdr>
        <w:top w:val="none" w:sz="0" w:space="0" w:color="auto"/>
        <w:left w:val="none" w:sz="0" w:space="0" w:color="auto"/>
        <w:bottom w:val="none" w:sz="0" w:space="0" w:color="auto"/>
        <w:right w:val="none" w:sz="0" w:space="0" w:color="auto"/>
      </w:divBdr>
    </w:div>
    <w:div w:id="2071296425">
      <w:bodyDiv w:val="1"/>
      <w:marLeft w:val="0"/>
      <w:marRight w:val="0"/>
      <w:marTop w:val="0"/>
      <w:marBottom w:val="0"/>
      <w:divBdr>
        <w:top w:val="none" w:sz="0" w:space="0" w:color="auto"/>
        <w:left w:val="none" w:sz="0" w:space="0" w:color="auto"/>
        <w:bottom w:val="none" w:sz="0" w:space="0" w:color="auto"/>
        <w:right w:val="none" w:sz="0" w:space="0" w:color="auto"/>
      </w:divBdr>
    </w:div>
    <w:div w:id="2071492598">
      <w:bodyDiv w:val="1"/>
      <w:marLeft w:val="0"/>
      <w:marRight w:val="0"/>
      <w:marTop w:val="0"/>
      <w:marBottom w:val="0"/>
      <w:divBdr>
        <w:top w:val="none" w:sz="0" w:space="0" w:color="auto"/>
        <w:left w:val="none" w:sz="0" w:space="0" w:color="auto"/>
        <w:bottom w:val="none" w:sz="0" w:space="0" w:color="auto"/>
        <w:right w:val="none" w:sz="0" w:space="0" w:color="auto"/>
      </w:divBdr>
    </w:div>
    <w:div w:id="2077312579">
      <w:bodyDiv w:val="1"/>
      <w:marLeft w:val="0"/>
      <w:marRight w:val="0"/>
      <w:marTop w:val="0"/>
      <w:marBottom w:val="0"/>
      <w:divBdr>
        <w:top w:val="none" w:sz="0" w:space="0" w:color="auto"/>
        <w:left w:val="none" w:sz="0" w:space="0" w:color="auto"/>
        <w:bottom w:val="none" w:sz="0" w:space="0" w:color="auto"/>
        <w:right w:val="none" w:sz="0" w:space="0" w:color="auto"/>
      </w:divBdr>
    </w:div>
    <w:div w:id="2079476634">
      <w:bodyDiv w:val="1"/>
      <w:marLeft w:val="0"/>
      <w:marRight w:val="0"/>
      <w:marTop w:val="0"/>
      <w:marBottom w:val="0"/>
      <w:divBdr>
        <w:top w:val="none" w:sz="0" w:space="0" w:color="auto"/>
        <w:left w:val="none" w:sz="0" w:space="0" w:color="auto"/>
        <w:bottom w:val="none" w:sz="0" w:space="0" w:color="auto"/>
        <w:right w:val="none" w:sz="0" w:space="0" w:color="auto"/>
      </w:divBdr>
    </w:div>
    <w:div w:id="2080058721">
      <w:bodyDiv w:val="1"/>
      <w:marLeft w:val="0"/>
      <w:marRight w:val="0"/>
      <w:marTop w:val="0"/>
      <w:marBottom w:val="0"/>
      <w:divBdr>
        <w:top w:val="none" w:sz="0" w:space="0" w:color="auto"/>
        <w:left w:val="none" w:sz="0" w:space="0" w:color="auto"/>
        <w:bottom w:val="none" w:sz="0" w:space="0" w:color="auto"/>
        <w:right w:val="none" w:sz="0" w:space="0" w:color="auto"/>
      </w:divBdr>
    </w:div>
    <w:div w:id="2081558023">
      <w:bodyDiv w:val="1"/>
      <w:marLeft w:val="0"/>
      <w:marRight w:val="0"/>
      <w:marTop w:val="0"/>
      <w:marBottom w:val="0"/>
      <w:divBdr>
        <w:top w:val="none" w:sz="0" w:space="0" w:color="auto"/>
        <w:left w:val="none" w:sz="0" w:space="0" w:color="auto"/>
        <w:bottom w:val="none" w:sz="0" w:space="0" w:color="auto"/>
        <w:right w:val="none" w:sz="0" w:space="0" w:color="auto"/>
      </w:divBdr>
    </w:div>
    <w:div w:id="2082633516">
      <w:bodyDiv w:val="1"/>
      <w:marLeft w:val="0"/>
      <w:marRight w:val="0"/>
      <w:marTop w:val="0"/>
      <w:marBottom w:val="0"/>
      <w:divBdr>
        <w:top w:val="none" w:sz="0" w:space="0" w:color="auto"/>
        <w:left w:val="none" w:sz="0" w:space="0" w:color="auto"/>
        <w:bottom w:val="none" w:sz="0" w:space="0" w:color="auto"/>
        <w:right w:val="none" w:sz="0" w:space="0" w:color="auto"/>
      </w:divBdr>
    </w:div>
    <w:div w:id="2085370360">
      <w:bodyDiv w:val="1"/>
      <w:marLeft w:val="0"/>
      <w:marRight w:val="0"/>
      <w:marTop w:val="0"/>
      <w:marBottom w:val="0"/>
      <w:divBdr>
        <w:top w:val="none" w:sz="0" w:space="0" w:color="auto"/>
        <w:left w:val="none" w:sz="0" w:space="0" w:color="auto"/>
        <w:bottom w:val="none" w:sz="0" w:space="0" w:color="auto"/>
        <w:right w:val="none" w:sz="0" w:space="0" w:color="auto"/>
      </w:divBdr>
    </w:div>
    <w:div w:id="2086755993">
      <w:bodyDiv w:val="1"/>
      <w:marLeft w:val="0"/>
      <w:marRight w:val="0"/>
      <w:marTop w:val="0"/>
      <w:marBottom w:val="0"/>
      <w:divBdr>
        <w:top w:val="none" w:sz="0" w:space="0" w:color="auto"/>
        <w:left w:val="none" w:sz="0" w:space="0" w:color="auto"/>
        <w:bottom w:val="none" w:sz="0" w:space="0" w:color="auto"/>
        <w:right w:val="none" w:sz="0" w:space="0" w:color="auto"/>
      </w:divBdr>
    </w:div>
    <w:div w:id="2086762807">
      <w:bodyDiv w:val="1"/>
      <w:marLeft w:val="0"/>
      <w:marRight w:val="0"/>
      <w:marTop w:val="0"/>
      <w:marBottom w:val="0"/>
      <w:divBdr>
        <w:top w:val="none" w:sz="0" w:space="0" w:color="auto"/>
        <w:left w:val="none" w:sz="0" w:space="0" w:color="auto"/>
        <w:bottom w:val="none" w:sz="0" w:space="0" w:color="auto"/>
        <w:right w:val="none" w:sz="0" w:space="0" w:color="auto"/>
      </w:divBdr>
    </w:div>
    <w:div w:id="2088795022">
      <w:bodyDiv w:val="1"/>
      <w:marLeft w:val="0"/>
      <w:marRight w:val="0"/>
      <w:marTop w:val="0"/>
      <w:marBottom w:val="0"/>
      <w:divBdr>
        <w:top w:val="none" w:sz="0" w:space="0" w:color="auto"/>
        <w:left w:val="none" w:sz="0" w:space="0" w:color="auto"/>
        <w:bottom w:val="none" w:sz="0" w:space="0" w:color="auto"/>
        <w:right w:val="none" w:sz="0" w:space="0" w:color="auto"/>
      </w:divBdr>
    </w:div>
    <w:div w:id="2092658714">
      <w:bodyDiv w:val="1"/>
      <w:marLeft w:val="0"/>
      <w:marRight w:val="0"/>
      <w:marTop w:val="0"/>
      <w:marBottom w:val="0"/>
      <w:divBdr>
        <w:top w:val="none" w:sz="0" w:space="0" w:color="auto"/>
        <w:left w:val="none" w:sz="0" w:space="0" w:color="auto"/>
        <w:bottom w:val="none" w:sz="0" w:space="0" w:color="auto"/>
        <w:right w:val="none" w:sz="0" w:space="0" w:color="auto"/>
      </w:divBdr>
    </w:div>
    <w:div w:id="2094740790">
      <w:bodyDiv w:val="1"/>
      <w:marLeft w:val="0"/>
      <w:marRight w:val="0"/>
      <w:marTop w:val="0"/>
      <w:marBottom w:val="0"/>
      <w:divBdr>
        <w:top w:val="none" w:sz="0" w:space="0" w:color="auto"/>
        <w:left w:val="none" w:sz="0" w:space="0" w:color="auto"/>
        <w:bottom w:val="none" w:sz="0" w:space="0" w:color="auto"/>
        <w:right w:val="none" w:sz="0" w:space="0" w:color="auto"/>
      </w:divBdr>
    </w:div>
    <w:div w:id="2095668390">
      <w:bodyDiv w:val="1"/>
      <w:marLeft w:val="0"/>
      <w:marRight w:val="0"/>
      <w:marTop w:val="0"/>
      <w:marBottom w:val="0"/>
      <w:divBdr>
        <w:top w:val="none" w:sz="0" w:space="0" w:color="auto"/>
        <w:left w:val="none" w:sz="0" w:space="0" w:color="auto"/>
        <w:bottom w:val="none" w:sz="0" w:space="0" w:color="auto"/>
        <w:right w:val="none" w:sz="0" w:space="0" w:color="auto"/>
      </w:divBdr>
    </w:div>
    <w:div w:id="2095860279">
      <w:bodyDiv w:val="1"/>
      <w:marLeft w:val="0"/>
      <w:marRight w:val="0"/>
      <w:marTop w:val="0"/>
      <w:marBottom w:val="0"/>
      <w:divBdr>
        <w:top w:val="none" w:sz="0" w:space="0" w:color="auto"/>
        <w:left w:val="none" w:sz="0" w:space="0" w:color="auto"/>
        <w:bottom w:val="none" w:sz="0" w:space="0" w:color="auto"/>
        <w:right w:val="none" w:sz="0" w:space="0" w:color="auto"/>
      </w:divBdr>
    </w:div>
    <w:div w:id="2098213404">
      <w:bodyDiv w:val="1"/>
      <w:marLeft w:val="0"/>
      <w:marRight w:val="0"/>
      <w:marTop w:val="0"/>
      <w:marBottom w:val="0"/>
      <w:divBdr>
        <w:top w:val="none" w:sz="0" w:space="0" w:color="auto"/>
        <w:left w:val="none" w:sz="0" w:space="0" w:color="auto"/>
        <w:bottom w:val="none" w:sz="0" w:space="0" w:color="auto"/>
        <w:right w:val="none" w:sz="0" w:space="0" w:color="auto"/>
      </w:divBdr>
    </w:div>
    <w:div w:id="2103601617">
      <w:bodyDiv w:val="1"/>
      <w:marLeft w:val="0"/>
      <w:marRight w:val="0"/>
      <w:marTop w:val="0"/>
      <w:marBottom w:val="0"/>
      <w:divBdr>
        <w:top w:val="none" w:sz="0" w:space="0" w:color="auto"/>
        <w:left w:val="none" w:sz="0" w:space="0" w:color="auto"/>
        <w:bottom w:val="none" w:sz="0" w:space="0" w:color="auto"/>
        <w:right w:val="none" w:sz="0" w:space="0" w:color="auto"/>
      </w:divBdr>
    </w:div>
    <w:div w:id="2106412023">
      <w:bodyDiv w:val="1"/>
      <w:marLeft w:val="0"/>
      <w:marRight w:val="0"/>
      <w:marTop w:val="0"/>
      <w:marBottom w:val="0"/>
      <w:divBdr>
        <w:top w:val="none" w:sz="0" w:space="0" w:color="auto"/>
        <w:left w:val="none" w:sz="0" w:space="0" w:color="auto"/>
        <w:bottom w:val="none" w:sz="0" w:space="0" w:color="auto"/>
        <w:right w:val="none" w:sz="0" w:space="0" w:color="auto"/>
      </w:divBdr>
    </w:div>
    <w:div w:id="2115048901">
      <w:bodyDiv w:val="1"/>
      <w:marLeft w:val="0"/>
      <w:marRight w:val="0"/>
      <w:marTop w:val="0"/>
      <w:marBottom w:val="0"/>
      <w:divBdr>
        <w:top w:val="none" w:sz="0" w:space="0" w:color="auto"/>
        <w:left w:val="none" w:sz="0" w:space="0" w:color="auto"/>
        <w:bottom w:val="none" w:sz="0" w:space="0" w:color="auto"/>
        <w:right w:val="none" w:sz="0" w:space="0" w:color="auto"/>
      </w:divBdr>
    </w:div>
    <w:div w:id="2126843322">
      <w:bodyDiv w:val="1"/>
      <w:marLeft w:val="0"/>
      <w:marRight w:val="0"/>
      <w:marTop w:val="0"/>
      <w:marBottom w:val="0"/>
      <w:divBdr>
        <w:top w:val="none" w:sz="0" w:space="0" w:color="auto"/>
        <w:left w:val="none" w:sz="0" w:space="0" w:color="auto"/>
        <w:bottom w:val="none" w:sz="0" w:space="0" w:color="auto"/>
        <w:right w:val="none" w:sz="0" w:space="0" w:color="auto"/>
      </w:divBdr>
    </w:div>
    <w:div w:id="2127967145">
      <w:bodyDiv w:val="1"/>
      <w:marLeft w:val="0"/>
      <w:marRight w:val="0"/>
      <w:marTop w:val="0"/>
      <w:marBottom w:val="0"/>
      <w:divBdr>
        <w:top w:val="none" w:sz="0" w:space="0" w:color="auto"/>
        <w:left w:val="none" w:sz="0" w:space="0" w:color="auto"/>
        <w:bottom w:val="none" w:sz="0" w:space="0" w:color="auto"/>
        <w:right w:val="none" w:sz="0" w:space="0" w:color="auto"/>
      </w:divBdr>
    </w:div>
    <w:div w:id="2129928169">
      <w:bodyDiv w:val="1"/>
      <w:marLeft w:val="0"/>
      <w:marRight w:val="0"/>
      <w:marTop w:val="0"/>
      <w:marBottom w:val="0"/>
      <w:divBdr>
        <w:top w:val="none" w:sz="0" w:space="0" w:color="auto"/>
        <w:left w:val="none" w:sz="0" w:space="0" w:color="auto"/>
        <w:bottom w:val="none" w:sz="0" w:space="0" w:color="auto"/>
        <w:right w:val="none" w:sz="0" w:space="0" w:color="auto"/>
      </w:divBdr>
    </w:div>
    <w:div w:id="2130277069">
      <w:bodyDiv w:val="1"/>
      <w:marLeft w:val="0"/>
      <w:marRight w:val="0"/>
      <w:marTop w:val="0"/>
      <w:marBottom w:val="0"/>
      <w:divBdr>
        <w:top w:val="none" w:sz="0" w:space="0" w:color="auto"/>
        <w:left w:val="none" w:sz="0" w:space="0" w:color="auto"/>
        <w:bottom w:val="none" w:sz="0" w:space="0" w:color="auto"/>
        <w:right w:val="none" w:sz="0" w:space="0" w:color="auto"/>
      </w:divBdr>
    </w:div>
    <w:div w:id="2136288800">
      <w:bodyDiv w:val="1"/>
      <w:marLeft w:val="0"/>
      <w:marRight w:val="0"/>
      <w:marTop w:val="0"/>
      <w:marBottom w:val="0"/>
      <w:divBdr>
        <w:top w:val="none" w:sz="0" w:space="0" w:color="auto"/>
        <w:left w:val="none" w:sz="0" w:space="0" w:color="auto"/>
        <w:bottom w:val="none" w:sz="0" w:space="0" w:color="auto"/>
        <w:right w:val="none" w:sz="0" w:space="0" w:color="auto"/>
      </w:divBdr>
    </w:div>
    <w:div w:id="2137990056">
      <w:bodyDiv w:val="1"/>
      <w:marLeft w:val="0"/>
      <w:marRight w:val="0"/>
      <w:marTop w:val="0"/>
      <w:marBottom w:val="0"/>
      <w:divBdr>
        <w:top w:val="none" w:sz="0" w:space="0" w:color="auto"/>
        <w:left w:val="none" w:sz="0" w:space="0" w:color="auto"/>
        <w:bottom w:val="none" w:sz="0" w:space="0" w:color="auto"/>
        <w:right w:val="none" w:sz="0" w:space="0" w:color="auto"/>
      </w:divBdr>
    </w:div>
    <w:div w:id="2141803621">
      <w:bodyDiv w:val="1"/>
      <w:marLeft w:val="0"/>
      <w:marRight w:val="0"/>
      <w:marTop w:val="0"/>
      <w:marBottom w:val="0"/>
      <w:divBdr>
        <w:top w:val="none" w:sz="0" w:space="0" w:color="auto"/>
        <w:left w:val="none" w:sz="0" w:space="0" w:color="auto"/>
        <w:bottom w:val="none" w:sz="0" w:space="0" w:color="auto"/>
        <w:right w:val="none" w:sz="0" w:space="0" w:color="auto"/>
      </w:divBdr>
    </w:div>
    <w:div w:id="2142653189">
      <w:bodyDiv w:val="1"/>
      <w:marLeft w:val="0"/>
      <w:marRight w:val="0"/>
      <w:marTop w:val="0"/>
      <w:marBottom w:val="0"/>
      <w:divBdr>
        <w:top w:val="none" w:sz="0" w:space="0" w:color="auto"/>
        <w:left w:val="none" w:sz="0" w:space="0" w:color="auto"/>
        <w:bottom w:val="none" w:sz="0" w:space="0" w:color="auto"/>
        <w:right w:val="none" w:sz="0" w:space="0" w:color="auto"/>
      </w:divBdr>
    </w:div>
    <w:div w:id="2144351675">
      <w:bodyDiv w:val="1"/>
      <w:marLeft w:val="0"/>
      <w:marRight w:val="0"/>
      <w:marTop w:val="0"/>
      <w:marBottom w:val="0"/>
      <w:divBdr>
        <w:top w:val="none" w:sz="0" w:space="0" w:color="auto"/>
        <w:left w:val="none" w:sz="0" w:space="0" w:color="auto"/>
        <w:bottom w:val="none" w:sz="0" w:space="0" w:color="auto"/>
        <w:right w:val="none" w:sz="0" w:space="0" w:color="auto"/>
      </w:divBdr>
    </w:div>
    <w:div w:id="2146777150">
      <w:bodyDiv w:val="1"/>
      <w:marLeft w:val="0"/>
      <w:marRight w:val="0"/>
      <w:marTop w:val="0"/>
      <w:marBottom w:val="0"/>
      <w:divBdr>
        <w:top w:val="none" w:sz="0" w:space="0" w:color="auto"/>
        <w:left w:val="none" w:sz="0" w:space="0" w:color="auto"/>
        <w:bottom w:val="none" w:sz="0" w:space="0" w:color="auto"/>
        <w:right w:val="none" w:sz="0" w:space="0" w:color="auto"/>
      </w:divBdr>
    </w:div>
    <w:div w:id="2147356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lic.tableau.com/profile/mof.budget" TargetMode="External"/><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header" Target="header3.xml"/><Relationship Id="rId10" Type="http://schemas.openxmlformats.org/officeDocument/2006/relationships/chart" Target="charts/chart2.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mof.gov.il/BudgetSite/statebudget/BUDGET2019/Documents/BudgetMain_1.pdf" TargetMode="External"/><Relationship Id="rId1" Type="http://schemas.openxmlformats.org/officeDocument/2006/relationships/hyperlink" Target="http://mof.gov.il/ChiefEcon/Pages/DevelopmentAndIncomeForecast.aspx"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__________Microsoft_Excel.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__________Microsoft_Excel5.xlsx"/></Relationships>
</file>

<file path=word/charts/_rels/chart2.xml.rels><?xml version="1.0" encoding="UTF-8" standalone="yes"?>
<Relationships xmlns="http://schemas.openxmlformats.org/package/2006/relationships"><Relationship Id="rId1" Type="http://schemas.openxmlformats.org/officeDocument/2006/relationships/oleObject" Target="file:///\\netapp\workgrps\SMKLKALA\Orli\&#1497;&#1489;&#1493;&#1488;%20&#1493;&#1502;&#1505;&#1497;&#1512;&#1514;%20&#1499;&#1500;&#1497;%20&#1512;&#1499;&#148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netapp\workgrps\SMKLKALA\ido\&#1499;&#1512;&#1497;&#1497;&#1492;%20&#1493;&#1495;&#1510;&#1497;&#1489;&#1492;%20-%20&#1492;&#1513;&#1511;&#1506;&#1492;.xlsx"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__________Microsoft_Excel1.xlsx"/></Relationships>
</file>

<file path=word/charts/_rels/chart5.xml.rels><?xml version="1.0" encoding="UTF-8" standalone="yes"?>
<Relationships xmlns="http://schemas.openxmlformats.org/package/2006/relationships"><Relationship Id="rId1" Type="http://schemas.openxmlformats.org/officeDocument/2006/relationships/oleObject" Target="file:///\\netapp\workgrps\SMKLKALA\Orli\&#1497;&#1497;&#1489;&#1493;&#1488;%20&#1502;&#1493;&#1510;&#1512;&#1497;%20&#1510;&#1512;&#1497;&#1499;&#1492;.xlsx" TargetMode="External"/></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__________Microsoft_Excel2.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__________Microsoft_Excel3.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__________Microsoft_Excel4.xlsx"/></Relationships>
</file>

<file path=word/charts/_rels/chart9.xml.rels><?xml version="1.0" encoding="UTF-8" standalone="yes"?>
<Relationships xmlns="http://schemas.openxmlformats.org/package/2006/relationships"><Relationship Id="rId1" Type="http://schemas.openxmlformats.org/officeDocument/2006/relationships/oleObject" Target="file:///\\netapp\Workgrps\SMKLKALA\proj\Otherrevenues\&#1500;&#1493;&#1495;%20&#1505;&#1493;&#1507;%20201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e-IL"/>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1"/>
    <c:plotArea>
      <c:layout>
        <c:manualLayout>
          <c:layoutTarget val="inner"/>
          <c:xMode val="edge"/>
          <c:yMode val="edge"/>
          <c:x val="4.9877640149934073E-2"/>
          <c:y val="1.8130448192323574E-2"/>
          <c:w val="0.94467717573015808"/>
          <c:h val="0.85770154891579209"/>
        </c:manualLayout>
      </c:layout>
      <c:barChart>
        <c:barDir val="col"/>
        <c:grouping val="clustered"/>
        <c:varyColors val="0"/>
        <c:ser>
          <c:idx val="0"/>
          <c:order val="0"/>
          <c:tx>
            <c:strRef>
              <c:f>נתונים!$C$1</c:f>
              <c:strCache>
                <c:ptCount val="1"/>
                <c:pt idx="0">
                  <c:v>צמיחה ממוצעת</c:v>
                </c:pt>
              </c:strCache>
            </c:strRef>
          </c:tx>
          <c:invertIfNegative val="0"/>
          <c:dPt>
            <c:idx val="21"/>
            <c:invertIfNegative val="0"/>
            <c:bubble3D val="0"/>
            <c:spPr>
              <a:solidFill>
                <a:srgbClr val="4F81BD"/>
              </a:solidFill>
            </c:spPr>
            <c:extLst>
              <c:ext xmlns:c16="http://schemas.microsoft.com/office/drawing/2014/chart" uri="{C3380CC4-5D6E-409C-BE32-E72D297353CC}">
                <c16:uniqueId val="{00000001-2F2D-45FD-8818-36FD86DC5AD4}"/>
              </c:ext>
            </c:extLst>
          </c:dPt>
          <c:dPt>
            <c:idx val="22"/>
            <c:invertIfNegative val="0"/>
            <c:bubble3D val="0"/>
            <c:spPr>
              <a:solidFill>
                <a:srgbClr val="4F81BD"/>
              </a:solidFill>
            </c:spPr>
            <c:extLst>
              <c:ext xmlns:c16="http://schemas.microsoft.com/office/drawing/2014/chart" uri="{C3380CC4-5D6E-409C-BE32-E72D297353CC}">
                <c16:uniqueId val="{00000003-2F2D-45FD-8818-36FD86DC5AD4}"/>
              </c:ext>
            </c:extLst>
          </c:dPt>
          <c:dPt>
            <c:idx val="23"/>
            <c:invertIfNegative val="0"/>
            <c:bubble3D val="0"/>
            <c:spPr>
              <a:solidFill>
                <a:schemeClr val="accent1"/>
              </a:solidFill>
            </c:spPr>
            <c:extLst>
              <c:ext xmlns:c16="http://schemas.microsoft.com/office/drawing/2014/chart" uri="{C3380CC4-5D6E-409C-BE32-E72D297353CC}">
                <c16:uniqueId val="{00000005-2F2D-45FD-8818-36FD86DC5AD4}"/>
              </c:ext>
            </c:extLst>
          </c:dPt>
          <c:dPt>
            <c:idx val="24"/>
            <c:invertIfNegative val="0"/>
            <c:bubble3D val="0"/>
            <c:spPr>
              <a:solidFill>
                <a:schemeClr val="bg1">
                  <a:lumMod val="75000"/>
                </a:schemeClr>
              </a:solidFill>
            </c:spPr>
            <c:extLst>
              <c:ext xmlns:c16="http://schemas.microsoft.com/office/drawing/2014/chart" uri="{C3380CC4-5D6E-409C-BE32-E72D297353CC}">
                <c16:uniqueId val="{00000007-2F2D-45FD-8818-36FD86DC5AD4}"/>
              </c:ext>
            </c:extLst>
          </c:dPt>
          <c:dPt>
            <c:idx val="25"/>
            <c:invertIfNegative val="0"/>
            <c:bubble3D val="0"/>
            <c:spPr>
              <a:solidFill>
                <a:schemeClr val="bg1">
                  <a:lumMod val="75000"/>
                </a:schemeClr>
              </a:solidFill>
              <a:ln>
                <a:solidFill>
                  <a:schemeClr val="bg1">
                    <a:lumMod val="85000"/>
                  </a:schemeClr>
                </a:solidFill>
              </a:ln>
            </c:spPr>
            <c:extLst>
              <c:ext xmlns:c16="http://schemas.microsoft.com/office/drawing/2014/chart" uri="{C3380CC4-5D6E-409C-BE32-E72D297353CC}">
                <c16:uniqueId val="{00000009-2F2D-45FD-8818-36FD86DC5AD4}"/>
              </c:ext>
            </c:extLst>
          </c:dPt>
          <c:dPt>
            <c:idx val="26"/>
            <c:invertIfNegative val="0"/>
            <c:bubble3D val="0"/>
            <c:spPr>
              <a:solidFill>
                <a:schemeClr val="bg1">
                  <a:lumMod val="75000"/>
                </a:schemeClr>
              </a:solidFill>
            </c:spPr>
            <c:extLst>
              <c:ext xmlns:c16="http://schemas.microsoft.com/office/drawing/2014/chart" uri="{C3380CC4-5D6E-409C-BE32-E72D297353CC}">
                <c16:uniqueId val="{0000000B-2F2D-45FD-8818-36FD86DC5AD4}"/>
              </c:ext>
            </c:extLst>
          </c:dPt>
          <c:dPt>
            <c:idx val="27"/>
            <c:invertIfNegative val="0"/>
            <c:bubble3D val="0"/>
            <c:spPr>
              <a:solidFill>
                <a:schemeClr val="bg1">
                  <a:lumMod val="75000"/>
                </a:schemeClr>
              </a:solidFill>
            </c:spPr>
            <c:extLst>
              <c:ext xmlns:c16="http://schemas.microsoft.com/office/drawing/2014/chart" uri="{C3380CC4-5D6E-409C-BE32-E72D297353CC}">
                <c16:uniqueId val="{0000000D-2F2D-45FD-8818-36FD86DC5AD4}"/>
              </c:ext>
            </c:extLst>
          </c:dPt>
          <c:dPt>
            <c:idx val="28"/>
            <c:invertIfNegative val="0"/>
            <c:bubble3D val="0"/>
            <c:spPr>
              <a:solidFill>
                <a:schemeClr val="bg1">
                  <a:lumMod val="75000"/>
                </a:schemeClr>
              </a:solidFill>
            </c:spPr>
            <c:extLst>
              <c:ext xmlns:c16="http://schemas.microsoft.com/office/drawing/2014/chart" uri="{C3380CC4-5D6E-409C-BE32-E72D297353CC}">
                <c16:uniqueId val="{0000000F-2F2D-45FD-8818-36FD86DC5AD4}"/>
              </c:ext>
            </c:extLst>
          </c:dPt>
          <c:dPt>
            <c:idx val="29"/>
            <c:invertIfNegative val="0"/>
            <c:bubble3D val="0"/>
            <c:spPr>
              <a:solidFill>
                <a:schemeClr val="bg1">
                  <a:lumMod val="75000"/>
                </a:schemeClr>
              </a:solidFill>
            </c:spPr>
            <c:extLst>
              <c:ext xmlns:c16="http://schemas.microsoft.com/office/drawing/2014/chart" uri="{C3380CC4-5D6E-409C-BE32-E72D297353CC}">
                <c16:uniqueId val="{00000011-2F2D-45FD-8818-36FD86DC5AD4}"/>
              </c:ext>
            </c:extLst>
          </c:dPt>
          <c:dPt>
            <c:idx val="30"/>
            <c:invertIfNegative val="0"/>
            <c:bubble3D val="0"/>
            <c:spPr>
              <a:solidFill>
                <a:schemeClr val="bg1">
                  <a:lumMod val="75000"/>
                </a:schemeClr>
              </a:solidFill>
            </c:spPr>
            <c:extLst>
              <c:ext xmlns:c16="http://schemas.microsoft.com/office/drawing/2014/chart" uri="{C3380CC4-5D6E-409C-BE32-E72D297353CC}">
                <c16:uniqueId val="{00000013-2F2D-45FD-8818-36FD86DC5AD4}"/>
              </c:ext>
            </c:extLst>
          </c:dPt>
          <c:dLbls>
            <c:dLbl>
              <c:idx val="3"/>
              <c:layout>
                <c:manualLayout>
                  <c:x val="4.2669994851601938E-3"/>
                  <c:y val="-8.6738996213536011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4-2F2D-45FD-8818-36FD86DC5AD4}"/>
                </c:ext>
              </c:extLst>
            </c:dLbl>
            <c:dLbl>
              <c:idx val="9"/>
              <c:layout>
                <c:manualLayout>
                  <c:x val="9.9563321320404515E-3"/>
                  <c:y val="-5.7825997475690312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5-2F2D-45FD-8818-36FD86DC5AD4}"/>
                </c:ext>
              </c:extLst>
            </c:dLbl>
            <c:dLbl>
              <c:idx val="19"/>
              <c:layout>
                <c:manualLayout>
                  <c:x val="5.6893326468801537E-3"/>
                  <c:y val="5.7825997475689783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6-2F2D-45FD-8818-36FD86DC5AD4}"/>
                </c:ext>
              </c:extLst>
            </c:dLbl>
            <c:dLbl>
              <c:idx val="24"/>
              <c:layout>
                <c:manualLayout>
                  <c:x val="-6.2500000000000003E-3"/>
                  <c:y val="2.2375312361644677E-2"/>
                </c:manualLayout>
              </c:layout>
              <c:spPr>
                <a:noFill/>
                <a:ln>
                  <a:noFill/>
                </a:ln>
                <a:effectLst/>
              </c:spPr>
              <c:txPr>
                <a:bodyPr wrap="square" lIns="38100" tIns="19050" rIns="38100" bIns="19050" anchor="ctr">
                  <a:noAutofit/>
                </a:bodyPr>
                <a:lstStyle/>
                <a:p>
                  <a:pPr>
                    <a:defRPr sz="900"/>
                  </a:pPr>
                  <a:endParaRPr lang="he-IL"/>
                </a:p>
              </c:txPr>
              <c:showLegendKey val="0"/>
              <c:showVal val="1"/>
              <c:showCatName val="0"/>
              <c:showSerName val="0"/>
              <c:showPercent val="0"/>
              <c:showBubbleSize val="0"/>
              <c:extLst>
                <c:ext xmlns:c15="http://schemas.microsoft.com/office/drawing/2012/chart" uri="{CE6537A1-D6FC-4f65-9D91-7224C49458BB}">
                  <c15:layout>
                    <c:manualLayout>
                      <c:w val="5.518755468066492E-2"/>
                      <c:h val="8.3643898604964281E-2"/>
                    </c:manualLayout>
                  </c15:layout>
                </c:ext>
                <c:ext xmlns:c16="http://schemas.microsoft.com/office/drawing/2014/chart" uri="{C3380CC4-5D6E-409C-BE32-E72D297353CC}">
                  <c16:uniqueId val="{00000007-2F2D-45FD-8818-36FD86DC5AD4}"/>
                </c:ext>
              </c:extLst>
            </c:dLbl>
            <c:dLbl>
              <c:idx val="25"/>
              <c:layout>
                <c:manualLayout>
                  <c:x val="-1.2029351617947969E-2"/>
                  <c:y val="5.7825364168740193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2F2D-45FD-8818-36FD86DC5AD4}"/>
                </c:ext>
              </c:extLst>
            </c:dLbl>
            <c:dLbl>
              <c:idx val="26"/>
              <c:layout>
                <c:manualLayout>
                  <c:x val="1.7329410040025046E-2"/>
                  <c:y val="1.0270316832830348E-2"/>
                </c:manualLayout>
              </c:layout>
              <c:spPr>
                <a:noFill/>
                <a:ln>
                  <a:noFill/>
                </a:ln>
                <a:effectLst/>
              </c:spPr>
              <c:txPr>
                <a:bodyPr wrap="square" lIns="38100" tIns="19050" rIns="38100" bIns="19050" anchor="ctr">
                  <a:noAutofit/>
                </a:bodyPr>
                <a:lstStyle/>
                <a:p>
                  <a:pPr>
                    <a:defRPr sz="900"/>
                  </a:pPr>
                  <a:endParaRPr lang="he-IL"/>
                </a:p>
              </c:txPr>
              <c:showLegendKey val="0"/>
              <c:showVal val="1"/>
              <c:showCatName val="0"/>
              <c:showSerName val="0"/>
              <c:showPercent val="0"/>
              <c:showBubbleSize val="0"/>
              <c:extLst>
                <c:ext xmlns:c15="http://schemas.microsoft.com/office/drawing/2012/chart" uri="{CE6537A1-D6FC-4f65-9D91-7224C49458BB}">
                  <c15:layout>
                    <c:manualLayout>
                      <c:w val="6.9622856146951323E-2"/>
                      <c:h val="7.5746738907978492E-2"/>
                    </c:manualLayout>
                  </c15:layout>
                </c:ext>
                <c:ext xmlns:c16="http://schemas.microsoft.com/office/drawing/2014/chart" uri="{C3380CC4-5D6E-409C-BE32-E72D297353CC}">
                  <c16:uniqueId val="{0000000B-2F2D-45FD-8818-36FD86DC5AD4}"/>
                </c:ext>
              </c:extLst>
            </c:dLbl>
            <c:dLbl>
              <c:idx val="27"/>
              <c:layout>
                <c:manualLayout>
                  <c:x val="2.7443132108486441E-3"/>
                  <c:y val="6.8182722649390536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2F2D-45FD-8818-36FD86DC5AD4}"/>
                </c:ext>
              </c:extLst>
            </c:dLbl>
            <c:dLbl>
              <c:idx val="28"/>
              <c:layout>
                <c:manualLayout>
                  <c:x val="4.9780540712829778E-3"/>
                  <c:y val="2.4576162757872076E-2"/>
                </c:manualLayout>
              </c:layout>
              <c:spPr>
                <a:noFill/>
                <a:ln>
                  <a:noFill/>
                </a:ln>
                <a:effectLst/>
              </c:spPr>
              <c:txPr>
                <a:bodyPr wrap="square" lIns="38100" tIns="19050" rIns="38100" bIns="19050" anchor="ctr">
                  <a:noAutofit/>
                </a:bodyPr>
                <a:lstStyle/>
                <a:p>
                  <a:pPr>
                    <a:defRPr sz="900"/>
                  </a:pPr>
                  <a:endParaRPr lang="he-IL"/>
                </a:p>
              </c:txPr>
              <c:showLegendKey val="0"/>
              <c:showVal val="1"/>
              <c:showCatName val="0"/>
              <c:showSerName val="0"/>
              <c:showPercent val="0"/>
              <c:showBubbleSize val="0"/>
              <c:extLst>
                <c:ext xmlns:c15="http://schemas.microsoft.com/office/drawing/2012/chart" uri="{CE6537A1-D6FC-4f65-9D91-7224C49458BB}">
                  <c15:layout>
                    <c:manualLayout>
                      <c:w val="5.651646417831533E-2"/>
                      <c:h val="6.8740768329930535E-2"/>
                    </c:manualLayout>
                  </c15:layout>
                </c:ext>
                <c:ext xmlns:c16="http://schemas.microsoft.com/office/drawing/2014/chart" uri="{C3380CC4-5D6E-409C-BE32-E72D297353CC}">
                  <c16:uniqueId val="{0000000F-2F2D-45FD-8818-36FD86DC5AD4}"/>
                </c:ext>
              </c:extLst>
            </c:dLbl>
            <c:spPr>
              <a:noFill/>
              <a:ln>
                <a:noFill/>
              </a:ln>
              <a:effectLst/>
            </c:spPr>
            <c:txPr>
              <a:bodyPr wrap="square" lIns="38100" tIns="19050" rIns="38100" bIns="19050" anchor="ctr">
                <a:spAutoFit/>
              </a:bodyPr>
              <a:lstStyle/>
              <a:p>
                <a:pPr>
                  <a:defRPr sz="900"/>
                </a:pPr>
                <a:endParaRPr lang="he-IL"/>
              </a:p>
            </c:tx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נתונים!$A$47:$A$78</c:f>
              <c:strCache>
                <c:ptCount val="29"/>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pt idx="22">
                  <c:v>2017</c:v>
                </c:pt>
                <c:pt idx="23">
                  <c:v>2018*</c:v>
                </c:pt>
                <c:pt idx="25">
                  <c:v>2017Q4</c:v>
                </c:pt>
                <c:pt idx="26">
                  <c:v>2018Q1</c:v>
                </c:pt>
                <c:pt idx="27">
                  <c:v>2018Q2</c:v>
                </c:pt>
                <c:pt idx="28">
                  <c:v>2018Q3</c:v>
                </c:pt>
              </c:strCache>
            </c:strRef>
          </c:cat>
          <c:val>
            <c:numRef>
              <c:f>נתונים!$B$47:$B$78</c:f>
              <c:numCache>
                <c:formatCode>0.0%</c:formatCode>
                <c:ptCount val="29"/>
                <c:pt idx="0">
                  <c:v>6.5473878833584465E-2</c:v>
                </c:pt>
                <c:pt idx="1">
                  <c:v>0.06</c:v>
                </c:pt>
                <c:pt idx="2">
                  <c:v>0.04</c:v>
                </c:pt>
                <c:pt idx="3">
                  <c:v>4.2000000000000003E-2</c:v>
                </c:pt>
                <c:pt idx="4">
                  <c:v>3.5000000000000003E-2</c:v>
                </c:pt>
                <c:pt idx="5">
                  <c:v>8.7999999999999995E-2</c:v>
                </c:pt>
                <c:pt idx="6">
                  <c:v>1E-3</c:v>
                </c:pt>
                <c:pt idx="7">
                  <c:v>-2E-3</c:v>
                </c:pt>
                <c:pt idx="8">
                  <c:v>1.0999999999999999E-2</c:v>
                </c:pt>
                <c:pt idx="9">
                  <c:v>0.05</c:v>
                </c:pt>
                <c:pt idx="10">
                  <c:v>4.1000000000000002E-2</c:v>
                </c:pt>
                <c:pt idx="11">
                  <c:v>5.7000000000000002E-2</c:v>
                </c:pt>
                <c:pt idx="12">
                  <c:v>6.2E-2</c:v>
                </c:pt>
                <c:pt idx="13">
                  <c:v>0.03</c:v>
                </c:pt>
                <c:pt idx="14">
                  <c:v>1.4999999999999999E-2</c:v>
                </c:pt>
                <c:pt idx="15">
                  <c:v>5.5E-2</c:v>
                </c:pt>
                <c:pt idx="16">
                  <c:v>5.0999999999999997E-2</c:v>
                </c:pt>
                <c:pt idx="17">
                  <c:v>2.1999999999999999E-2</c:v>
                </c:pt>
                <c:pt idx="18">
                  <c:v>4.2999999999999997E-2</c:v>
                </c:pt>
                <c:pt idx="19">
                  <c:v>3.9E-2</c:v>
                </c:pt>
                <c:pt idx="20">
                  <c:v>2.5999999999999999E-2</c:v>
                </c:pt>
                <c:pt idx="21">
                  <c:v>0.04</c:v>
                </c:pt>
                <c:pt idx="22">
                  <c:v>3.5000000000000003E-2</c:v>
                </c:pt>
                <c:pt idx="23">
                  <c:v>3.2000000000000001E-2</c:v>
                </c:pt>
                <c:pt idx="25">
                  <c:v>4.3999999999999997E-2</c:v>
                </c:pt>
                <c:pt idx="26">
                  <c:v>4.2999999999999997E-2</c:v>
                </c:pt>
                <c:pt idx="27">
                  <c:v>8.0000000000000002E-3</c:v>
                </c:pt>
                <c:pt idx="28">
                  <c:v>2.1000000000000001E-2</c:v>
                </c:pt>
              </c:numCache>
            </c:numRef>
          </c:val>
          <c:extLst>
            <c:ext xmlns:c16="http://schemas.microsoft.com/office/drawing/2014/chart" uri="{C3380CC4-5D6E-409C-BE32-E72D297353CC}">
              <c16:uniqueId val="{00000017-2F2D-45FD-8818-36FD86DC5AD4}"/>
            </c:ext>
          </c:extLst>
        </c:ser>
        <c:dLbls>
          <c:showLegendKey val="0"/>
          <c:showVal val="0"/>
          <c:showCatName val="0"/>
          <c:showSerName val="0"/>
          <c:showPercent val="0"/>
          <c:showBubbleSize val="0"/>
        </c:dLbls>
        <c:gapWidth val="75"/>
        <c:axId val="181360512"/>
        <c:axId val="181362048"/>
      </c:barChart>
      <c:lineChart>
        <c:grouping val="standard"/>
        <c:varyColors val="0"/>
        <c:ser>
          <c:idx val="1"/>
          <c:order val="1"/>
          <c:marker>
            <c:symbol val="none"/>
          </c:marker>
          <c:cat>
            <c:strLit>
              <c:ptCount val="29"/>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pt idx="22">
                <c:v>2017</c:v>
              </c:pt>
              <c:pt idx="24">
                <c:v>2017Q3</c:v>
              </c:pt>
              <c:pt idx="25">
                <c:v>2017Q4</c:v>
              </c:pt>
              <c:pt idx="26">
                <c:v>2018Q1</c:v>
              </c:pt>
              <c:pt idx="27">
                <c:v>2018Q2</c:v>
              </c:pt>
              <c:pt idx="28">
                <c:v>2018Q3</c:v>
              </c:pt>
              <c:extLst>
                <c:ext xmlns:c15="http://schemas.microsoft.com/office/drawing/2012/chart" uri="{02D57815-91ED-43cb-92C2-25804820EDAC}">
                  <c15:autoCat val="1"/>
                </c:ext>
              </c:extLst>
            </c:strLit>
          </c:cat>
          <c:val>
            <c:numRef>
              <c:f>נתונים!$C$4:$C$73</c:f>
              <c:numCache>
                <c:formatCode>General</c:formatCode>
                <c:ptCount val="25"/>
              </c:numCache>
            </c:numRef>
          </c:val>
          <c:smooth val="0"/>
          <c:extLst>
            <c:ext xmlns:c16="http://schemas.microsoft.com/office/drawing/2014/chart" uri="{C3380CC4-5D6E-409C-BE32-E72D297353CC}">
              <c16:uniqueId val="{00000018-2F2D-45FD-8818-36FD86DC5AD4}"/>
            </c:ext>
          </c:extLst>
        </c:ser>
        <c:ser>
          <c:idx val="2"/>
          <c:order val="2"/>
          <c:marker>
            <c:symbol val="none"/>
          </c:marker>
          <c:cat>
            <c:strLit>
              <c:ptCount val="29"/>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pt idx="22">
                <c:v>2017</c:v>
              </c:pt>
              <c:pt idx="24">
                <c:v>2017Q3</c:v>
              </c:pt>
              <c:pt idx="25">
                <c:v>2017Q4</c:v>
              </c:pt>
              <c:pt idx="26">
                <c:v>2018Q1</c:v>
              </c:pt>
              <c:pt idx="27">
                <c:v>2018Q2</c:v>
              </c:pt>
              <c:pt idx="28">
                <c:v>2018Q3</c:v>
              </c:pt>
              <c:extLst>
                <c:ext xmlns:c15="http://schemas.microsoft.com/office/drawing/2012/chart" uri="{02D57815-91ED-43cb-92C2-25804820EDAC}">
                  <c15:autoCat val="1"/>
                </c:ext>
              </c:extLst>
            </c:strLit>
          </c:cat>
          <c:val>
            <c:numRef>
              <c:f>נתונים!$D$4:$D$73</c:f>
              <c:numCache>
                <c:formatCode>General</c:formatCode>
                <c:ptCount val="25"/>
              </c:numCache>
            </c:numRef>
          </c:val>
          <c:smooth val="0"/>
          <c:extLst>
            <c:ext xmlns:c16="http://schemas.microsoft.com/office/drawing/2014/chart" uri="{C3380CC4-5D6E-409C-BE32-E72D297353CC}">
              <c16:uniqueId val="{00000019-2F2D-45FD-8818-36FD86DC5AD4}"/>
            </c:ext>
          </c:extLst>
        </c:ser>
        <c:dLbls>
          <c:showLegendKey val="0"/>
          <c:showVal val="0"/>
          <c:showCatName val="0"/>
          <c:showSerName val="0"/>
          <c:showPercent val="0"/>
          <c:showBubbleSize val="0"/>
        </c:dLbls>
        <c:marker val="1"/>
        <c:smooth val="0"/>
        <c:axId val="181360512"/>
        <c:axId val="181362048"/>
      </c:lineChart>
      <c:catAx>
        <c:axId val="181360512"/>
        <c:scaling>
          <c:orientation val="minMax"/>
        </c:scaling>
        <c:delete val="0"/>
        <c:axPos val="b"/>
        <c:numFmt formatCode="General" sourceLinked="1"/>
        <c:majorTickMark val="out"/>
        <c:minorTickMark val="none"/>
        <c:tickLblPos val="low"/>
        <c:crossAx val="181362048"/>
        <c:crosses val="autoZero"/>
        <c:auto val="1"/>
        <c:lblAlgn val="ctr"/>
        <c:lblOffset val="100"/>
        <c:tickLblSkip val="1"/>
        <c:noMultiLvlLbl val="0"/>
      </c:catAx>
      <c:valAx>
        <c:axId val="181362048"/>
        <c:scaling>
          <c:orientation val="minMax"/>
          <c:max val="0.1"/>
        </c:scaling>
        <c:delete val="0"/>
        <c:axPos val="l"/>
        <c:numFmt formatCode="0%" sourceLinked="0"/>
        <c:majorTickMark val="out"/>
        <c:minorTickMark val="none"/>
        <c:tickLblPos val="nextTo"/>
        <c:crossAx val="181360512"/>
        <c:crosses val="autoZero"/>
        <c:crossBetween val="between"/>
      </c:valAx>
    </c:plotArea>
    <c:plotVisOnly val="1"/>
    <c:dispBlanksAs val="gap"/>
    <c:showDLblsOverMax val="0"/>
  </c:chart>
  <c:txPr>
    <a:bodyPr/>
    <a:lstStyle/>
    <a:p>
      <a:pPr>
        <a:defRPr sz="1400">
          <a:latin typeface="David" panose="020E0502060401010101" pitchFamily="34" charset="-79"/>
          <a:cs typeface="David" panose="020E0502060401010101" pitchFamily="34" charset="-79"/>
        </a:defRPr>
      </a:pPr>
      <a:endParaRPr lang="he-IL"/>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e-IL"/>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manualLayout>
          <c:layoutTarget val="inner"/>
          <c:xMode val="edge"/>
          <c:yMode val="edge"/>
          <c:x val="3.5770160328269539E-2"/>
          <c:y val="2.3648854664989841E-2"/>
          <c:w val="0.96239636273935669"/>
          <c:h val="0.64164215111408951"/>
        </c:manualLayout>
      </c:layout>
      <c:barChart>
        <c:barDir val="col"/>
        <c:grouping val="stacked"/>
        <c:varyColors val="0"/>
        <c:ser>
          <c:idx val="0"/>
          <c:order val="0"/>
          <c:tx>
            <c:strRef>
              <c:f>גיליון1!$B$1</c:f>
              <c:strCache>
                <c:ptCount val="1"/>
                <c:pt idx="0">
                  <c:v>נטל המס</c:v>
                </c:pt>
              </c:strCache>
            </c:strRef>
          </c:tx>
          <c:invertIfNegative val="0"/>
          <c:dLbls>
            <c:numFmt formatCode="#,##0.0" sourceLinked="0"/>
            <c:spPr>
              <a:solidFill>
                <a:schemeClr val="accent1">
                  <a:lumMod val="40000"/>
                  <a:lumOff val="60000"/>
                  <a:alpha val="18000"/>
                </a:schemeClr>
              </a:solidFill>
            </c:spPr>
            <c:txPr>
              <a:bodyPr wrap="square" lIns="38100" tIns="19050" rIns="38100" bIns="19050" anchor="ctr">
                <a:spAutoFit/>
              </a:bodyPr>
              <a:lstStyle/>
              <a:p>
                <a:pPr>
                  <a:defRPr sz="1000"/>
                </a:pPr>
                <a:endParaRPr lang="he-IL"/>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גיליון1!$A$2:$A$24</c:f>
              <c:strCache>
                <c:ptCount val="2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pt idx="19">
                  <c:v>2019*</c:v>
                </c:pt>
                <c:pt idx="20">
                  <c:v>2020*</c:v>
                </c:pt>
                <c:pt idx="21">
                  <c:v>2021*</c:v>
                </c:pt>
                <c:pt idx="22">
                  <c:v>2022 *</c:v>
                </c:pt>
              </c:strCache>
            </c:strRef>
          </c:cat>
          <c:val>
            <c:numRef>
              <c:f>גיליון1!$B$2:$B$24</c:f>
              <c:numCache>
                <c:formatCode>0.0</c:formatCode>
                <c:ptCount val="23"/>
                <c:pt idx="0">
                  <c:v>27</c:v>
                </c:pt>
                <c:pt idx="1">
                  <c:v>26.6</c:v>
                </c:pt>
                <c:pt idx="2">
                  <c:v>25.7</c:v>
                </c:pt>
                <c:pt idx="3">
                  <c:v>24.9</c:v>
                </c:pt>
                <c:pt idx="4">
                  <c:v>25</c:v>
                </c:pt>
                <c:pt idx="5">
                  <c:v>25.3</c:v>
                </c:pt>
                <c:pt idx="6">
                  <c:v>26</c:v>
                </c:pt>
                <c:pt idx="7">
                  <c:v>26</c:v>
                </c:pt>
                <c:pt idx="8">
                  <c:v>23.7</c:v>
                </c:pt>
                <c:pt idx="9">
                  <c:v>21.8</c:v>
                </c:pt>
                <c:pt idx="10">
                  <c:v>22.4</c:v>
                </c:pt>
                <c:pt idx="11">
                  <c:v>22.6</c:v>
                </c:pt>
                <c:pt idx="12">
                  <c:v>22</c:v>
                </c:pt>
                <c:pt idx="13">
                  <c:v>22.7</c:v>
                </c:pt>
                <c:pt idx="14">
                  <c:v>23.1</c:v>
                </c:pt>
                <c:pt idx="15">
                  <c:v>23.1</c:v>
                </c:pt>
                <c:pt idx="16">
                  <c:v>23.4</c:v>
                </c:pt>
                <c:pt idx="17">
                  <c:v>24.3</c:v>
                </c:pt>
                <c:pt idx="18">
                  <c:v>23.2</c:v>
                </c:pt>
                <c:pt idx="19">
                  <c:v>23.1</c:v>
                </c:pt>
                <c:pt idx="20">
                  <c:v>23.1</c:v>
                </c:pt>
                <c:pt idx="21">
                  <c:v>23.2</c:v>
                </c:pt>
                <c:pt idx="22">
                  <c:v>23.2</c:v>
                </c:pt>
              </c:numCache>
            </c:numRef>
          </c:val>
          <c:extLst>
            <c:ext xmlns:c16="http://schemas.microsoft.com/office/drawing/2014/chart" uri="{C3380CC4-5D6E-409C-BE32-E72D297353CC}">
              <c16:uniqueId val="{00000000-9AE9-4D95-B6BF-F03520AFC572}"/>
            </c:ext>
          </c:extLst>
        </c:ser>
        <c:ser>
          <c:idx val="1"/>
          <c:order val="1"/>
          <c:tx>
            <c:strRef>
              <c:f>גיליון1!$C$1</c:f>
              <c:strCache>
                <c:ptCount val="1"/>
                <c:pt idx="0">
                  <c:v>נטל ההכנסות האחרות</c:v>
                </c:pt>
              </c:strCache>
            </c:strRef>
          </c:tx>
          <c:invertIfNegative val="0"/>
          <c:dLbls>
            <c:dLbl>
              <c:idx val="0"/>
              <c:layout>
                <c:manualLayout>
                  <c:x val="4.4839650584963253E-3"/>
                  <c:y val="-6.299151284777882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AE9-4D95-B6BF-F03520AFC572}"/>
                </c:ext>
              </c:extLst>
            </c:dLbl>
            <c:numFmt formatCode="#,##0.0" sourceLinked="0"/>
            <c:spPr>
              <a:solidFill>
                <a:srgbClr val="FFFFFF">
                  <a:alpha val="18039"/>
                </a:srgbClr>
              </a:solidFill>
            </c:spPr>
            <c:txPr>
              <a:bodyPr wrap="square" lIns="38100" tIns="19050" rIns="38100" bIns="19050" anchor="ctr">
                <a:spAutoFit/>
              </a:bodyPr>
              <a:lstStyle/>
              <a:p>
                <a:pPr>
                  <a:defRPr sz="1000"/>
                </a:pPr>
                <a:endParaRPr lang="he-IL"/>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גיליון1!$A$2:$A$24</c:f>
              <c:strCache>
                <c:ptCount val="2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pt idx="19">
                  <c:v>2019*</c:v>
                </c:pt>
                <c:pt idx="20">
                  <c:v>2020*</c:v>
                </c:pt>
                <c:pt idx="21">
                  <c:v>2021*</c:v>
                </c:pt>
                <c:pt idx="22">
                  <c:v>2022 *</c:v>
                </c:pt>
              </c:strCache>
            </c:strRef>
          </c:cat>
          <c:val>
            <c:numRef>
              <c:f>גיליון1!$C$2:$C$24</c:f>
              <c:numCache>
                <c:formatCode>_(* #,##0.00_);_(* \(#,##0.00\);_(* "-"??_);_(@_)</c:formatCode>
                <c:ptCount val="23"/>
                <c:pt idx="0">
                  <c:v>3.97</c:v>
                </c:pt>
                <c:pt idx="1">
                  <c:v>2.94</c:v>
                </c:pt>
                <c:pt idx="2">
                  <c:v>5.09</c:v>
                </c:pt>
                <c:pt idx="3">
                  <c:v>4.59</c:v>
                </c:pt>
                <c:pt idx="4">
                  <c:v>4.4800000000000004</c:v>
                </c:pt>
                <c:pt idx="5">
                  <c:v>5.0999999999999996</c:v>
                </c:pt>
                <c:pt idx="6">
                  <c:v>5.01</c:v>
                </c:pt>
                <c:pt idx="7">
                  <c:v>4.41</c:v>
                </c:pt>
                <c:pt idx="8">
                  <c:v>4.3099999999999996</c:v>
                </c:pt>
                <c:pt idx="9">
                  <c:v>3.36</c:v>
                </c:pt>
                <c:pt idx="10">
                  <c:v>3.19</c:v>
                </c:pt>
                <c:pt idx="11">
                  <c:v>2.92</c:v>
                </c:pt>
                <c:pt idx="12">
                  <c:v>2.83</c:v>
                </c:pt>
                <c:pt idx="13">
                  <c:v>2.72</c:v>
                </c:pt>
                <c:pt idx="14">
                  <c:v>2.56</c:v>
                </c:pt>
                <c:pt idx="15">
                  <c:v>2</c:v>
                </c:pt>
                <c:pt idx="16">
                  <c:v>2.4</c:v>
                </c:pt>
                <c:pt idx="17">
                  <c:v>2.2999999999999998</c:v>
                </c:pt>
                <c:pt idx="18">
                  <c:v>2.4</c:v>
                </c:pt>
                <c:pt idx="19">
                  <c:v>2.4</c:v>
                </c:pt>
                <c:pt idx="20">
                  <c:v>2.1</c:v>
                </c:pt>
                <c:pt idx="21">
                  <c:v>2.1</c:v>
                </c:pt>
                <c:pt idx="22" formatCode="_ * #,##0.0_ ;_ * \-#,##0.0_ ;_ * &quot;-&quot;??_ ;_ @_ ">
                  <c:v>2</c:v>
                </c:pt>
              </c:numCache>
            </c:numRef>
          </c:val>
          <c:extLst>
            <c:ext xmlns:c16="http://schemas.microsoft.com/office/drawing/2014/chart" uri="{C3380CC4-5D6E-409C-BE32-E72D297353CC}">
              <c16:uniqueId val="{00000002-9AE9-4D95-B6BF-F03520AFC572}"/>
            </c:ext>
          </c:extLst>
        </c:ser>
        <c:dLbls>
          <c:showLegendKey val="0"/>
          <c:showVal val="0"/>
          <c:showCatName val="0"/>
          <c:showSerName val="0"/>
          <c:showPercent val="0"/>
          <c:showBubbleSize val="0"/>
        </c:dLbls>
        <c:gapWidth val="119"/>
        <c:overlap val="100"/>
        <c:axId val="206428416"/>
        <c:axId val="206741504"/>
      </c:barChart>
      <c:lineChart>
        <c:grouping val="standard"/>
        <c:varyColors val="0"/>
        <c:ser>
          <c:idx val="2"/>
          <c:order val="2"/>
          <c:tx>
            <c:strRef>
              <c:f>גיליון1!$D$1</c:f>
              <c:strCache>
                <c:ptCount val="1"/>
                <c:pt idx="0">
                  <c:v>סך נטל הכנסות המדינה</c:v>
                </c:pt>
              </c:strCache>
            </c:strRef>
          </c:tx>
          <c:spPr>
            <a:ln>
              <a:noFill/>
            </a:ln>
            <a:effectLst/>
          </c:spPr>
          <c:marker>
            <c:symbol val="none"/>
          </c:marker>
          <c:dLbls>
            <c:numFmt formatCode="#,##0.0" sourceLinked="0"/>
            <c:spPr>
              <a:noFill/>
              <a:ln>
                <a:noFill/>
              </a:ln>
              <a:effectLst/>
            </c:spPr>
            <c:txPr>
              <a:bodyPr wrap="square" lIns="38100" tIns="19050" rIns="38100" bIns="19050" anchor="ctr">
                <a:spAutoFit/>
              </a:bodyPr>
              <a:lstStyle/>
              <a:p>
                <a:pPr>
                  <a:defRPr sz="1000"/>
                </a:pPr>
                <a:endParaRPr lang="he-IL"/>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גיליון1!$A$2:$A$24</c:f>
              <c:strCache>
                <c:ptCount val="2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pt idx="19">
                  <c:v>2019*</c:v>
                </c:pt>
                <c:pt idx="20">
                  <c:v>2020*</c:v>
                </c:pt>
                <c:pt idx="21">
                  <c:v>2021*</c:v>
                </c:pt>
                <c:pt idx="22">
                  <c:v>2022 *</c:v>
                </c:pt>
              </c:strCache>
            </c:strRef>
          </c:cat>
          <c:val>
            <c:numRef>
              <c:f>גיליון1!$D$2:$D$24</c:f>
              <c:numCache>
                <c:formatCode>0.0</c:formatCode>
                <c:ptCount val="23"/>
                <c:pt idx="0">
                  <c:v>31.013498949999999</c:v>
                </c:pt>
                <c:pt idx="1">
                  <c:v>29.535478690000001</c:v>
                </c:pt>
                <c:pt idx="2">
                  <c:v>30.769461679999999</c:v>
                </c:pt>
                <c:pt idx="3">
                  <c:v>29.500260950000001</c:v>
                </c:pt>
                <c:pt idx="4">
                  <c:v>29.4531502</c:v>
                </c:pt>
                <c:pt idx="5">
                  <c:v>30.37859443</c:v>
                </c:pt>
                <c:pt idx="6">
                  <c:v>30.982861889999999</c:v>
                </c:pt>
                <c:pt idx="7">
                  <c:v>30.405614360000001</c:v>
                </c:pt>
                <c:pt idx="8">
                  <c:v>28.026023349999999</c:v>
                </c:pt>
                <c:pt idx="9">
                  <c:v>25.154290360000001</c:v>
                </c:pt>
                <c:pt idx="10">
                  <c:v>25.61586308</c:v>
                </c:pt>
                <c:pt idx="11">
                  <c:v>25.54102773</c:v>
                </c:pt>
                <c:pt idx="12">
                  <c:v>24.7838648</c:v>
                </c:pt>
                <c:pt idx="13">
                  <c:v>25.43741807</c:v>
                </c:pt>
                <c:pt idx="14">
                  <c:v>25.613398920000002</c:v>
                </c:pt>
                <c:pt idx="15">
                  <c:v>25.1</c:v>
                </c:pt>
                <c:pt idx="16">
                  <c:v>25.8</c:v>
                </c:pt>
                <c:pt idx="17">
                  <c:v>26.6</c:v>
                </c:pt>
                <c:pt idx="18">
                  <c:v>25.599999999999998</c:v>
                </c:pt>
                <c:pt idx="19">
                  <c:v>25.5</c:v>
                </c:pt>
                <c:pt idx="20">
                  <c:v>25.200000000000003</c:v>
                </c:pt>
                <c:pt idx="21">
                  <c:v>25.3</c:v>
                </c:pt>
                <c:pt idx="22">
                  <c:v>25.2</c:v>
                </c:pt>
              </c:numCache>
            </c:numRef>
          </c:val>
          <c:smooth val="0"/>
          <c:extLst>
            <c:ext xmlns:c16="http://schemas.microsoft.com/office/drawing/2014/chart" uri="{C3380CC4-5D6E-409C-BE32-E72D297353CC}">
              <c16:uniqueId val="{00000003-9AE9-4D95-B6BF-F03520AFC572}"/>
            </c:ext>
          </c:extLst>
        </c:ser>
        <c:dLbls>
          <c:showLegendKey val="0"/>
          <c:showVal val="0"/>
          <c:showCatName val="0"/>
          <c:showSerName val="0"/>
          <c:showPercent val="0"/>
          <c:showBubbleSize val="0"/>
        </c:dLbls>
        <c:marker val="1"/>
        <c:smooth val="0"/>
        <c:axId val="206428416"/>
        <c:axId val="206741504"/>
      </c:lineChart>
      <c:catAx>
        <c:axId val="206428416"/>
        <c:scaling>
          <c:orientation val="minMax"/>
        </c:scaling>
        <c:delete val="0"/>
        <c:axPos val="b"/>
        <c:numFmt formatCode="General" sourceLinked="1"/>
        <c:majorTickMark val="out"/>
        <c:minorTickMark val="none"/>
        <c:tickLblPos val="nextTo"/>
        <c:txPr>
          <a:bodyPr/>
          <a:lstStyle/>
          <a:p>
            <a:pPr>
              <a:defRPr sz="1050"/>
            </a:pPr>
            <a:endParaRPr lang="he-IL"/>
          </a:p>
        </c:txPr>
        <c:crossAx val="206741504"/>
        <c:crosses val="autoZero"/>
        <c:auto val="1"/>
        <c:lblAlgn val="ctr"/>
        <c:lblOffset val="100"/>
        <c:noMultiLvlLbl val="0"/>
      </c:catAx>
      <c:valAx>
        <c:axId val="206741504"/>
        <c:scaling>
          <c:orientation val="minMax"/>
          <c:min val="15"/>
        </c:scaling>
        <c:delete val="0"/>
        <c:axPos val="l"/>
        <c:numFmt formatCode="#,##0" sourceLinked="0"/>
        <c:majorTickMark val="out"/>
        <c:minorTickMark val="none"/>
        <c:tickLblPos val="nextTo"/>
        <c:txPr>
          <a:bodyPr/>
          <a:lstStyle/>
          <a:p>
            <a:pPr>
              <a:defRPr sz="1050"/>
            </a:pPr>
            <a:endParaRPr lang="he-IL"/>
          </a:p>
        </c:txPr>
        <c:crossAx val="206428416"/>
        <c:crosses val="autoZero"/>
        <c:crossBetween val="between"/>
      </c:valAx>
    </c:plotArea>
    <c:legend>
      <c:legendPos val="t"/>
      <c:legendEntry>
        <c:idx val="2"/>
        <c:delete val="1"/>
      </c:legendEntry>
      <c:layout>
        <c:manualLayout>
          <c:xMode val="edge"/>
          <c:yMode val="edge"/>
          <c:x val="0.18656387727788087"/>
          <c:y val="0.82252869510714144"/>
          <c:w val="0.6259513970214603"/>
          <c:h val="0.11068051885750117"/>
        </c:manualLayout>
      </c:layout>
      <c:overlay val="0"/>
      <c:txPr>
        <a:bodyPr/>
        <a:lstStyle/>
        <a:p>
          <a:pPr>
            <a:defRPr sz="1050"/>
          </a:pPr>
          <a:endParaRPr lang="he-IL"/>
        </a:p>
      </c:txPr>
    </c:legend>
    <c:plotVisOnly val="1"/>
    <c:dispBlanksAs val="gap"/>
    <c:showDLblsOverMax val="0"/>
  </c:chart>
  <c:spPr>
    <a:ln>
      <a:noFill/>
    </a:ln>
  </c:spPr>
  <c:txPr>
    <a:bodyPr/>
    <a:lstStyle/>
    <a:p>
      <a:pPr>
        <a:defRPr sz="1400">
          <a:latin typeface="David" panose="020E0502060401010101" pitchFamily="34" charset="-79"/>
          <a:cs typeface="David" panose="020E0502060401010101" pitchFamily="34" charset="-79"/>
        </a:defRPr>
      </a:pPr>
      <a:endParaRPr lang="he-IL"/>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e-I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2"/>
          <c:order val="2"/>
          <c:tx>
            <c:strRef>
              <c:f>גיליון1!$H$16</c:f>
              <c:strCache>
                <c:ptCount val="1"/>
                <c:pt idx="0">
                  <c:v>f1</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e-I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גיליון1!$E$17:$E$25</c:f>
              <c:strCache>
                <c:ptCount val="9"/>
                <c:pt idx="0">
                  <c:v>2015</c:v>
                </c:pt>
                <c:pt idx="1">
                  <c:v>2016</c:v>
                </c:pt>
                <c:pt idx="2">
                  <c:v>2017</c:v>
                </c:pt>
                <c:pt idx="3">
                  <c:v>*2018</c:v>
                </c:pt>
                <c:pt idx="5">
                  <c:v>2018 -Q1</c:v>
                </c:pt>
                <c:pt idx="6">
                  <c:v>2018 -Q2</c:v>
                </c:pt>
                <c:pt idx="7">
                  <c:v>2018 -Q3</c:v>
                </c:pt>
                <c:pt idx="8">
                  <c:v>2018 -Q4*</c:v>
                </c:pt>
              </c:strCache>
            </c:strRef>
          </c:cat>
          <c:val>
            <c:numRef>
              <c:f>גיליון1!$H$17:$H$25</c:f>
              <c:numCache>
                <c:formatCode>General</c:formatCode>
                <c:ptCount val="9"/>
              </c:numCache>
            </c:numRef>
          </c:val>
          <c:extLst>
            <c:ext xmlns:c16="http://schemas.microsoft.com/office/drawing/2014/chart" uri="{C3380CC4-5D6E-409C-BE32-E72D297353CC}">
              <c16:uniqueId val="{00000000-0552-446C-8085-4CC34352A2F1}"/>
            </c:ext>
          </c:extLst>
        </c:ser>
        <c:ser>
          <c:idx val="4"/>
          <c:order val="4"/>
          <c:tx>
            <c:strRef>
              <c:f>גיליון1!$J$16</c:f>
              <c:strCache>
                <c:ptCount val="1"/>
                <c:pt idx="0">
                  <c:v>מסירות כלי רכב</c:v>
                </c:pt>
              </c:strCache>
            </c:strRef>
          </c:tx>
          <c:spPr>
            <a:solidFill>
              <a:schemeClr val="accent5"/>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1-0552-446C-8085-4CC34352A2F1}"/>
                </c:ext>
              </c:extLst>
            </c:dLbl>
            <c:dLbl>
              <c:idx val="1"/>
              <c:delete val="1"/>
              <c:extLst>
                <c:ext xmlns:c15="http://schemas.microsoft.com/office/drawing/2012/chart" uri="{CE6537A1-D6FC-4f65-9D91-7224C49458BB}"/>
                <c:ext xmlns:c16="http://schemas.microsoft.com/office/drawing/2014/chart" uri="{C3380CC4-5D6E-409C-BE32-E72D297353CC}">
                  <c16:uniqueId val="{00000002-0552-446C-8085-4CC34352A2F1}"/>
                </c:ext>
              </c:extLst>
            </c:dLbl>
            <c:dLbl>
              <c:idx val="2"/>
              <c:delete val="1"/>
              <c:extLst>
                <c:ext xmlns:c15="http://schemas.microsoft.com/office/drawing/2012/chart" uri="{CE6537A1-D6FC-4f65-9D91-7224C49458BB}"/>
                <c:ext xmlns:c16="http://schemas.microsoft.com/office/drawing/2014/chart" uri="{C3380CC4-5D6E-409C-BE32-E72D297353CC}">
                  <c16:uniqueId val="{00000003-0552-446C-8085-4CC34352A2F1}"/>
                </c:ext>
              </c:extLst>
            </c:dLbl>
            <c:dLbl>
              <c:idx val="3"/>
              <c:delete val="1"/>
              <c:extLst>
                <c:ext xmlns:c15="http://schemas.microsoft.com/office/drawing/2012/chart" uri="{CE6537A1-D6FC-4f65-9D91-7224C49458BB}"/>
                <c:ext xmlns:c16="http://schemas.microsoft.com/office/drawing/2014/chart" uri="{C3380CC4-5D6E-409C-BE32-E72D297353CC}">
                  <c16:uniqueId val="{00000004-0552-446C-8085-4CC34352A2F1}"/>
                </c:ext>
              </c:extLst>
            </c:dLbl>
            <c:dLbl>
              <c:idx val="5"/>
              <c:layout>
                <c:manualLayout>
                  <c:x val="2.2222222222222223E-2"/>
                  <c:y val="1.851851851851843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0552-446C-8085-4CC34352A2F1}"/>
                </c:ext>
              </c:extLst>
            </c:dLbl>
            <c:dLbl>
              <c:idx val="6"/>
              <c:layout>
                <c:manualLayout>
                  <c:x val="1.3888888888888788E-2"/>
                  <c:y val="1.3888888888888805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0552-446C-8085-4CC34352A2F1}"/>
                </c:ext>
              </c:extLst>
            </c:dLbl>
            <c:dLbl>
              <c:idx val="7"/>
              <c:layout>
                <c:manualLayout>
                  <c:x val="1.6666666666666462E-2"/>
                  <c:y val="2.314814814814806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0552-446C-8085-4CC34352A2F1}"/>
                </c:ext>
              </c:extLst>
            </c:dLbl>
            <c:dLbl>
              <c:idx val="8"/>
              <c:layout>
                <c:manualLayout>
                  <c:x val="1.6666666666666666E-2"/>
                  <c:y val="1.3888888888888888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0552-446C-8085-4CC34352A2F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David" panose="020E0502060401010101" pitchFamily="34" charset="-79"/>
                    <a:ea typeface="+mn-ea"/>
                    <a:cs typeface="David" panose="020E0502060401010101" pitchFamily="34" charset="-79"/>
                  </a:defRPr>
                </a:pPr>
                <a:endParaRPr lang="he-I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גיליון1!$E$17:$E$25</c:f>
              <c:strCache>
                <c:ptCount val="9"/>
                <c:pt idx="0">
                  <c:v>2015</c:v>
                </c:pt>
                <c:pt idx="1">
                  <c:v>2016</c:v>
                </c:pt>
                <c:pt idx="2">
                  <c:v>2017</c:v>
                </c:pt>
                <c:pt idx="3">
                  <c:v>*2018</c:v>
                </c:pt>
                <c:pt idx="5">
                  <c:v>2018 -Q1</c:v>
                </c:pt>
                <c:pt idx="6">
                  <c:v>2018 -Q2</c:v>
                </c:pt>
                <c:pt idx="7">
                  <c:v>2018 -Q3</c:v>
                </c:pt>
                <c:pt idx="8">
                  <c:v>2018 -Q4*</c:v>
                </c:pt>
              </c:strCache>
            </c:strRef>
          </c:cat>
          <c:val>
            <c:numRef>
              <c:f>גיליון1!$J$17:$J$25</c:f>
              <c:numCache>
                <c:formatCode>0.0</c:formatCode>
                <c:ptCount val="9"/>
                <c:pt idx="0">
                  <c:v>198.506</c:v>
                </c:pt>
                <c:pt idx="1">
                  <c:v>200.37</c:v>
                </c:pt>
                <c:pt idx="2">
                  <c:v>187.59899999999999</c:v>
                </c:pt>
                <c:pt idx="3">
                  <c:v>167.57454545454544</c:v>
                </c:pt>
                <c:pt idx="5">
                  <c:v>57.366999999999997</c:v>
                </c:pt>
                <c:pt idx="6">
                  <c:v>39.435000000000002</c:v>
                </c:pt>
                <c:pt idx="7">
                  <c:v>36.243000000000002</c:v>
                </c:pt>
                <c:pt idx="8">
                  <c:v>23.649628723369531</c:v>
                </c:pt>
              </c:numCache>
            </c:numRef>
          </c:val>
          <c:extLst>
            <c:ext xmlns:c16="http://schemas.microsoft.com/office/drawing/2014/chart" uri="{C3380CC4-5D6E-409C-BE32-E72D297353CC}">
              <c16:uniqueId val="{00000009-0552-446C-8085-4CC34352A2F1}"/>
            </c:ext>
          </c:extLst>
        </c:ser>
        <c:dLbls>
          <c:dLblPos val="outEnd"/>
          <c:showLegendKey val="0"/>
          <c:showVal val="1"/>
          <c:showCatName val="0"/>
          <c:showSerName val="0"/>
          <c:showPercent val="0"/>
          <c:showBubbleSize val="0"/>
        </c:dLbls>
        <c:gapWidth val="200"/>
        <c:overlap val="-100"/>
        <c:axId val="206002432"/>
        <c:axId val="206012416"/>
      </c:barChart>
      <c:barChart>
        <c:barDir val="col"/>
        <c:grouping val="stacked"/>
        <c:varyColors val="0"/>
        <c:ser>
          <c:idx val="0"/>
          <c:order val="0"/>
          <c:tx>
            <c:strRef>
              <c:f>גיליון1!$F$16</c:f>
              <c:strCache>
                <c:ptCount val="1"/>
                <c:pt idx="0">
                  <c:v>יבוא כלי רכב</c:v>
                </c:pt>
              </c:strCache>
            </c:strRef>
          </c:tx>
          <c:spPr>
            <a:solidFill>
              <a:schemeClr val="accent1"/>
            </a:solidFill>
            <a:ln>
              <a:solidFill>
                <a:schemeClr val="accent1"/>
              </a:solid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A-0552-446C-8085-4CC34352A2F1}"/>
                </c:ext>
              </c:extLst>
            </c:dLbl>
            <c:dLbl>
              <c:idx val="1"/>
              <c:delete val="1"/>
              <c:extLst>
                <c:ext xmlns:c15="http://schemas.microsoft.com/office/drawing/2012/chart" uri="{CE6537A1-D6FC-4f65-9D91-7224C49458BB}"/>
                <c:ext xmlns:c16="http://schemas.microsoft.com/office/drawing/2014/chart" uri="{C3380CC4-5D6E-409C-BE32-E72D297353CC}">
                  <c16:uniqueId val="{0000000B-0552-446C-8085-4CC34352A2F1}"/>
                </c:ext>
              </c:extLst>
            </c:dLbl>
            <c:dLbl>
              <c:idx val="2"/>
              <c:delete val="1"/>
              <c:extLst>
                <c:ext xmlns:c15="http://schemas.microsoft.com/office/drawing/2012/chart" uri="{CE6537A1-D6FC-4f65-9D91-7224C49458BB}"/>
                <c:ext xmlns:c16="http://schemas.microsoft.com/office/drawing/2014/chart" uri="{C3380CC4-5D6E-409C-BE32-E72D297353CC}">
                  <c16:uniqueId val="{0000000C-0552-446C-8085-4CC34352A2F1}"/>
                </c:ext>
              </c:extLst>
            </c:dLbl>
            <c:dLbl>
              <c:idx val="3"/>
              <c:delete val="1"/>
              <c:extLst>
                <c:ext xmlns:c15="http://schemas.microsoft.com/office/drawing/2012/chart" uri="{CE6537A1-D6FC-4f65-9D91-7224C49458BB}"/>
                <c:ext xmlns:c16="http://schemas.microsoft.com/office/drawing/2014/chart" uri="{C3380CC4-5D6E-409C-BE32-E72D297353CC}">
                  <c16:uniqueId val="{0000000D-0552-446C-8085-4CC34352A2F1}"/>
                </c:ext>
              </c:extLst>
            </c:dLbl>
            <c:dLbl>
              <c:idx val="5"/>
              <c:layout>
                <c:manualLayout>
                  <c:x val="2.7777777777777779E-3"/>
                  <c:y val="-0.10648148148148148"/>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0552-446C-8085-4CC34352A2F1}"/>
                </c:ext>
              </c:extLst>
            </c:dLbl>
            <c:dLbl>
              <c:idx val="6"/>
              <c:layout>
                <c:manualLayout>
                  <c:x val="0"/>
                  <c:y val="-8.796296296296296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F-0552-446C-8085-4CC34352A2F1}"/>
                </c:ext>
              </c:extLst>
            </c:dLbl>
            <c:dLbl>
              <c:idx val="7"/>
              <c:layout>
                <c:manualLayout>
                  <c:x val="-1.0185067526415994E-16"/>
                  <c:y val="-7.870370370370362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0-0552-446C-8085-4CC34352A2F1}"/>
                </c:ext>
              </c:extLst>
            </c:dLbl>
            <c:dLbl>
              <c:idx val="8"/>
              <c:layout>
                <c:manualLayout>
                  <c:x val="0"/>
                  <c:y val="-8.796296296296296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1-0552-446C-8085-4CC34352A2F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David" panose="020E0502060401010101" pitchFamily="34" charset="-79"/>
                    <a:ea typeface="+mn-ea"/>
                    <a:cs typeface="David" panose="020E0502060401010101" pitchFamily="34" charset="-79"/>
                  </a:defRPr>
                </a:pPr>
                <a:endParaRPr lang="he-I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גיליון1!$E$17:$E$25</c:f>
              <c:strCache>
                <c:ptCount val="9"/>
                <c:pt idx="0">
                  <c:v>2015</c:v>
                </c:pt>
                <c:pt idx="1">
                  <c:v>2016</c:v>
                </c:pt>
                <c:pt idx="2">
                  <c:v>2017</c:v>
                </c:pt>
                <c:pt idx="3">
                  <c:v>*2018</c:v>
                </c:pt>
                <c:pt idx="5">
                  <c:v>2018 -Q1</c:v>
                </c:pt>
                <c:pt idx="6">
                  <c:v>2018 -Q2</c:v>
                </c:pt>
                <c:pt idx="7">
                  <c:v>2018 -Q3</c:v>
                </c:pt>
                <c:pt idx="8">
                  <c:v>2018 -Q4*</c:v>
                </c:pt>
              </c:strCache>
            </c:strRef>
          </c:cat>
          <c:val>
            <c:numRef>
              <c:f>גיליון1!$F$17:$F$25</c:f>
              <c:numCache>
                <c:formatCode>0.0</c:formatCode>
                <c:ptCount val="9"/>
                <c:pt idx="0">
                  <c:v>239.37700000000001</c:v>
                </c:pt>
                <c:pt idx="1">
                  <c:v>290.28858333333329</c:v>
                </c:pt>
                <c:pt idx="2">
                  <c:v>218.27600000000001</c:v>
                </c:pt>
                <c:pt idx="3">
                  <c:v>273.04323612945842</c:v>
                </c:pt>
                <c:pt idx="5">
                  <c:v>85.676000000000002</c:v>
                </c:pt>
                <c:pt idx="6">
                  <c:v>63.093000000000004</c:v>
                </c:pt>
                <c:pt idx="7">
                  <c:v>57.122</c:v>
                </c:pt>
                <c:pt idx="8">
                  <c:v>67.152236129458387</c:v>
                </c:pt>
              </c:numCache>
            </c:numRef>
          </c:val>
          <c:extLst>
            <c:ext xmlns:c16="http://schemas.microsoft.com/office/drawing/2014/chart" uri="{C3380CC4-5D6E-409C-BE32-E72D297353CC}">
              <c16:uniqueId val="{00000012-0552-446C-8085-4CC34352A2F1}"/>
            </c:ext>
          </c:extLst>
        </c:ser>
        <c:ser>
          <c:idx val="1"/>
          <c:order val="1"/>
          <c:tx>
            <c:strRef>
              <c:f>גיליון1!$G$16</c:f>
              <c:strCache>
                <c:ptCount val="1"/>
                <c:pt idx="0">
                  <c:v>תיקון דצמבר</c:v>
                </c:pt>
              </c:strCache>
            </c:strRef>
          </c:tx>
          <c:spPr>
            <a:pattFill prst="wdUpDiag">
              <a:fgClr>
                <a:schemeClr val="tx1">
                  <a:lumMod val="65000"/>
                  <a:lumOff val="35000"/>
                </a:schemeClr>
              </a:fgClr>
              <a:bgClr>
                <a:schemeClr val="accent1"/>
              </a:bgClr>
            </a:pattFill>
            <a:ln>
              <a:solidFill>
                <a:schemeClr val="accent1"/>
              </a:solidFill>
            </a:ln>
            <a:effectLst/>
          </c:spPr>
          <c:invertIfNegative val="0"/>
          <c:dPt>
            <c:idx val="1"/>
            <c:invertIfNegative val="0"/>
            <c:bubble3D val="0"/>
            <c:spPr>
              <a:pattFill prst="wdUpDiag">
                <a:fgClr>
                  <a:schemeClr val="tx1">
                    <a:lumMod val="65000"/>
                    <a:lumOff val="35000"/>
                  </a:schemeClr>
                </a:fgClr>
                <a:bgClr>
                  <a:schemeClr val="bg1"/>
                </a:bgClr>
              </a:pattFill>
              <a:ln>
                <a:solidFill>
                  <a:schemeClr val="accent1"/>
                </a:solidFill>
              </a:ln>
              <a:effectLst/>
            </c:spPr>
            <c:extLst>
              <c:ext xmlns:c16="http://schemas.microsoft.com/office/drawing/2014/chart" uri="{C3380CC4-5D6E-409C-BE32-E72D297353CC}">
                <c16:uniqueId val="{00000014-0552-446C-8085-4CC34352A2F1}"/>
              </c:ext>
            </c:extLst>
          </c:dPt>
          <c:dLbls>
            <c:delete val="1"/>
          </c:dLbls>
          <c:cat>
            <c:strRef>
              <c:f>גיליון1!$E$17:$E$25</c:f>
              <c:strCache>
                <c:ptCount val="9"/>
                <c:pt idx="0">
                  <c:v>2015</c:v>
                </c:pt>
                <c:pt idx="1">
                  <c:v>2016</c:v>
                </c:pt>
                <c:pt idx="2">
                  <c:v>2017</c:v>
                </c:pt>
                <c:pt idx="3">
                  <c:v>*2018</c:v>
                </c:pt>
                <c:pt idx="5">
                  <c:v>2018 -Q1</c:v>
                </c:pt>
                <c:pt idx="6">
                  <c:v>2018 -Q2</c:v>
                </c:pt>
                <c:pt idx="7">
                  <c:v>2018 -Q3</c:v>
                </c:pt>
                <c:pt idx="8">
                  <c:v>2018 -Q4*</c:v>
                </c:pt>
              </c:strCache>
            </c:strRef>
          </c:cat>
          <c:val>
            <c:numRef>
              <c:f>גיליון1!$G$17:$G$25</c:f>
              <c:numCache>
                <c:formatCode>0.0</c:formatCode>
                <c:ptCount val="9"/>
                <c:pt idx="0" formatCode="General">
                  <c:v>0</c:v>
                </c:pt>
                <c:pt idx="1">
                  <c:v>57.863416666666673</c:v>
                </c:pt>
                <c:pt idx="2">
                  <c:v>57.863416666666673</c:v>
                </c:pt>
                <c:pt idx="3" formatCode="General">
                  <c:v>0</c:v>
                </c:pt>
              </c:numCache>
            </c:numRef>
          </c:val>
          <c:extLst>
            <c:ext xmlns:c16="http://schemas.microsoft.com/office/drawing/2014/chart" uri="{C3380CC4-5D6E-409C-BE32-E72D297353CC}">
              <c16:uniqueId val="{00000015-0552-446C-8085-4CC34352A2F1}"/>
            </c:ext>
          </c:extLst>
        </c:ser>
        <c:dLbls>
          <c:showLegendKey val="0"/>
          <c:showVal val="1"/>
          <c:showCatName val="0"/>
          <c:showSerName val="0"/>
          <c:showPercent val="0"/>
          <c:showBubbleSize val="0"/>
        </c:dLbls>
        <c:gapWidth val="350"/>
        <c:overlap val="100"/>
        <c:axId val="206015488"/>
        <c:axId val="206013952"/>
      </c:barChart>
      <c:lineChart>
        <c:grouping val="standard"/>
        <c:varyColors val="0"/>
        <c:ser>
          <c:idx val="3"/>
          <c:order val="3"/>
          <c:tx>
            <c:strRef>
              <c:f>גיליון1!$I$16</c:f>
              <c:strCache>
                <c:ptCount val="1"/>
                <c:pt idx="0">
                  <c:v>f2</c:v>
                </c:pt>
              </c:strCache>
            </c:strRef>
          </c:tx>
          <c:spPr>
            <a:ln w="28575" cap="rnd">
              <a:solidFill>
                <a:schemeClr val="accent4"/>
              </a:solidFill>
              <a:round/>
            </a:ln>
            <a:effectLst/>
          </c:spPr>
          <c:marker>
            <c:symbol val="none"/>
          </c:marker>
          <c:cat>
            <c:strRef>
              <c:f>גיליון1!$E$17:$E$25</c:f>
              <c:strCache>
                <c:ptCount val="9"/>
                <c:pt idx="0">
                  <c:v>2015</c:v>
                </c:pt>
                <c:pt idx="1">
                  <c:v>2016</c:v>
                </c:pt>
                <c:pt idx="2">
                  <c:v>2017</c:v>
                </c:pt>
                <c:pt idx="3">
                  <c:v>*2018</c:v>
                </c:pt>
                <c:pt idx="5">
                  <c:v>2018 -Q1</c:v>
                </c:pt>
                <c:pt idx="6">
                  <c:v>2018 -Q2</c:v>
                </c:pt>
                <c:pt idx="7">
                  <c:v>2018 -Q3</c:v>
                </c:pt>
                <c:pt idx="8">
                  <c:v>2018 -Q4*</c:v>
                </c:pt>
              </c:strCache>
            </c:strRef>
          </c:cat>
          <c:val>
            <c:numRef>
              <c:f>גיליון1!$I$17:$I$25</c:f>
              <c:numCache>
                <c:formatCode>General</c:formatCode>
                <c:ptCount val="9"/>
              </c:numCache>
            </c:numRef>
          </c:val>
          <c:smooth val="0"/>
          <c:extLst>
            <c:ext xmlns:c16="http://schemas.microsoft.com/office/drawing/2014/chart" uri="{C3380CC4-5D6E-409C-BE32-E72D297353CC}">
              <c16:uniqueId val="{00000016-0552-446C-8085-4CC34352A2F1}"/>
            </c:ext>
          </c:extLst>
        </c:ser>
        <c:dLbls>
          <c:showLegendKey val="0"/>
          <c:showVal val="0"/>
          <c:showCatName val="0"/>
          <c:showSerName val="0"/>
          <c:showPercent val="0"/>
          <c:showBubbleSize val="0"/>
        </c:dLbls>
        <c:marker val="1"/>
        <c:smooth val="0"/>
        <c:axId val="206002432"/>
        <c:axId val="206012416"/>
      </c:lineChart>
      <c:catAx>
        <c:axId val="206002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David" panose="020E0502060401010101" pitchFamily="34" charset="-79"/>
                <a:ea typeface="+mn-ea"/>
                <a:cs typeface="David" panose="020E0502060401010101" pitchFamily="34" charset="-79"/>
              </a:defRPr>
            </a:pPr>
            <a:endParaRPr lang="he-IL"/>
          </a:p>
        </c:txPr>
        <c:crossAx val="206012416"/>
        <c:crosses val="autoZero"/>
        <c:auto val="1"/>
        <c:lblAlgn val="ctr"/>
        <c:lblOffset val="100"/>
        <c:noMultiLvlLbl val="0"/>
      </c:catAx>
      <c:valAx>
        <c:axId val="206012416"/>
        <c:scaling>
          <c:orientation val="minMax"/>
        </c:scaling>
        <c:delete val="0"/>
        <c:axPos val="l"/>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e-IL"/>
          </a:p>
        </c:txPr>
        <c:crossAx val="206002432"/>
        <c:crosses val="autoZero"/>
        <c:crossBetween val="between"/>
      </c:valAx>
      <c:valAx>
        <c:axId val="206013952"/>
        <c:scaling>
          <c:orientation val="minMax"/>
        </c:scaling>
        <c:delete val="1"/>
        <c:axPos val="r"/>
        <c:numFmt formatCode="0.0" sourceLinked="1"/>
        <c:majorTickMark val="out"/>
        <c:minorTickMark val="none"/>
        <c:tickLblPos val="nextTo"/>
        <c:crossAx val="206015488"/>
        <c:crosses val="max"/>
        <c:crossBetween val="between"/>
      </c:valAx>
      <c:catAx>
        <c:axId val="206015488"/>
        <c:scaling>
          <c:orientation val="minMax"/>
        </c:scaling>
        <c:delete val="1"/>
        <c:axPos val="b"/>
        <c:numFmt formatCode="General" sourceLinked="1"/>
        <c:majorTickMark val="out"/>
        <c:minorTickMark val="none"/>
        <c:tickLblPos val="nextTo"/>
        <c:crossAx val="206013952"/>
        <c:crosses val="autoZero"/>
        <c:auto val="1"/>
        <c:lblAlgn val="ctr"/>
        <c:lblOffset val="100"/>
        <c:noMultiLvlLbl val="0"/>
      </c:catAx>
      <c:spPr>
        <a:noFill/>
        <a:ln>
          <a:noFill/>
        </a:ln>
        <a:effectLst/>
      </c:spPr>
    </c:plotArea>
    <c:legend>
      <c:legendPos val="b"/>
      <c:legendEntry>
        <c:idx val="0"/>
        <c:delete val="1"/>
      </c:legendEntry>
      <c:legendEntry>
        <c:idx val="3"/>
        <c:delete val="1"/>
      </c:legendEntry>
      <c:legendEntry>
        <c:idx val="4"/>
        <c:delete val="1"/>
      </c:legendEntry>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David" panose="020E0502060401010101" pitchFamily="34" charset="-79"/>
              <a:ea typeface="+mn-ea"/>
              <a:cs typeface="David" panose="020E0502060401010101" pitchFamily="34"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e-IL"/>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e-I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3561731653858597E-2"/>
          <c:y val="3.4356079003430975E-2"/>
          <c:w val="0.89577677790611154"/>
          <c:h val="0.85151933453442108"/>
        </c:manualLayout>
      </c:layout>
      <c:lineChart>
        <c:grouping val="standard"/>
        <c:varyColors val="0"/>
        <c:ser>
          <c:idx val="0"/>
          <c:order val="0"/>
          <c:spPr>
            <a:ln w="0" cap="rnd">
              <a:solidFill>
                <a:schemeClr val="accent1">
                  <a:alpha val="0"/>
                </a:schemeClr>
              </a:solidFill>
              <a:round/>
            </a:ln>
            <a:effectLst/>
          </c:spPr>
          <c:marker>
            <c:symbol val="none"/>
          </c:marker>
          <c:trendline>
            <c:spPr>
              <a:ln w="31750" cap="rnd">
                <a:solidFill>
                  <a:schemeClr val="accent1"/>
                </a:solidFill>
                <a:prstDash val="solid"/>
              </a:ln>
              <a:effectLst/>
            </c:spPr>
            <c:trendlineType val="movingAvg"/>
            <c:period val="5"/>
            <c:dispRSqr val="0"/>
            <c:dispEq val="0"/>
          </c:trendline>
          <c:cat>
            <c:strRef>
              <c:f>גיליון1!$D$3:$E$45</c:f>
              <c:strCache>
                <c:ptCount val="41"/>
                <c:pt idx="0">
                  <c:v>2008</c:v>
                </c:pt>
                <c:pt idx="4">
                  <c:v>2009</c:v>
                </c:pt>
                <c:pt idx="8">
                  <c:v>2010</c:v>
                </c:pt>
                <c:pt idx="12">
                  <c:v>2011</c:v>
                </c:pt>
                <c:pt idx="16">
                  <c:v>2012</c:v>
                </c:pt>
                <c:pt idx="20">
                  <c:v>2013</c:v>
                </c:pt>
                <c:pt idx="24">
                  <c:v>2014</c:v>
                </c:pt>
                <c:pt idx="28">
                  <c:v>2015</c:v>
                </c:pt>
                <c:pt idx="32">
                  <c:v>2016</c:v>
                </c:pt>
                <c:pt idx="36">
                  <c:v>2017</c:v>
                </c:pt>
                <c:pt idx="40">
                  <c:v>*2018</c:v>
                </c:pt>
              </c:strCache>
            </c:strRef>
          </c:cat>
          <c:val>
            <c:numRef>
              <c:f>גיליון1!$F$3:$F$45</c:f>
              <c:numCache>
                <c:formatCode>0.0</c:formatCode>
                <c:ptCount val="43"/>
                <c:pt idx="0">
                  <c:v>34.531099004621268</c:v>
                </c:pt>
                <c:pt idx="1">
                  <c:v>15.195727182373233</c:v>
                </c:pt>
                <c:pt idx="2">
                  <c:v>93.419950875946995</c:v>
                </c:pt>
                <c:pt idx="3">
                  <c:v>50.043711123027016</c:v>
                </c:pt>
                <c:pt idx="4">
                  <c:v>63.991010579494528</c:v>
                </c:pt>
                <c:pt idx="5">
                  <c:v>109.29070906395928</c:v>
                </c:pt>
                <c:pt idx="6">
                  <c:v>118.9934946768585</c:v>
                </c:pt>
                <c:pt idx="7">
                  <c:v>114.30464301638855</c:v>
                </c:pt>
                <c:pt idx="8">
                  <c:v>92.292319873182734</c:v>
                </c:pt>
                <c:pt idx="9">
                  <c:v>138.6854033845797</c:v>
                </c:pt>
                <c:pt idx="10">
                  <c:v>75.307641871238573</c:v>
                </c:pt>
                <c:pt idx="11">
                  <c:v>203.16044476580981</c:v>
                </c:pt>
                <c:pt idx="12">
                  <c:v>192.95945039374092</c:v>
                </c:pt>
                <c:pt idx="13">
                  <c:v>329.18166682418183</c:v>
                </c:pt>
                <c:pt idx="14">
                  <c:v>499.35786963816639</c:v>
                </c:pt>
                <c:pt idx="15">
                  <c:v>332.57508005641336</c:v>
                </c:pt>
                <c:pt idx="16">
                  <c:v>391.77271609296105</c:v>
                </c:pt>
                <c:pt idx="17">
                  <c:v>378.28784880444363</c:v>
                </c:pt>
                <c:pt idx="18">
                  <c:v>209.86454051019288</c:v>
                </c:pt>
                <c:pt idx="19">
                  <c:v>871.53125488400576</c:v>
                </c:pt>
                <c:pt idx="20">
                  <c:v>212.61771883781515</c:v>
                </c:pt>
                <c:pt idx="21">
                  <c:v>173.03223892232805</c:v>
                </c:pt>
                <c:pt idx="22">
                  <c:v>72.216834315999648</c:v>
                </c:pt>
                <c:pt idx="23">
                  <c:v>106.47339545806571</c:v>
                </c:pt>
                <c:pt idx="24">
                  <c:v>477.168834614427</c:v>
                </c:pt>
                <c:pt idx="25">
                  <c:v>47.857298245098029</c:v>
                </c:pt>
                <c:pt idx="26">
                  <c:v>204.6652643953785</c:v>
                </c:pt>
                <c:pt idx="27">
                  <c:v>170.36818100034992</c:v>
                </c:pt>
                <c:pt idx="28">
                  <c:v>120.18217222785633</c:v>
                </c:pt>
                <c:pt idx="29">
                  <c:v>76.22789037433634</c:v>
                </c:pt>
                <c:pt idx="30">
                  <c:v>84.772840687821457</c:v>
                </c:pt>
                <c:pt idx="31">
                  <c:v>88.619310626652933</c:v>
                </c:pt>
                <c:pt idx="32">
                  <c:v>72.863471414027387</c:v>
                </c:pt>
                <c:pt idx="33">
                  <c:v>30.448050989531296</c:v>
                </c:pt>
                <c:pt idx="34">
                  <c:v>58.367625143399891</c:v>
                </c:pt>
                <c:pt idx="35">
                  <c:v>156.87576509051536</c:v>
                </c:pt>
                <c:pt idx="36">
                  <c:v>164.42737176563668</c:v>
                </c:pt>
                <c:pt idx="37">
                  <c:v>238.06890266243627</c:v>
                </c:pt>
                <c:pt idx="38">
                  <c:v>451.73865804757014</c:v>
                </c:pt>
                <c:pt idx="39">
                  <c:v>564.36269835831365</c:v>
                </c:pt>
                <c:pt idx="40">
                  <c:v>696.67201704293007</c:v>
                </c:pt>
                <c:pt idx="41">
                  <c:v>888.37558490467768</c:v>
                </c:pt>
                <c:pt idx="42">
                  <c:v>516.8622020391947</c:v>
                </c:pt>
              </c:numCache>
            </c:numRef>
          </c:val>
          <c:smooth val="0"/>
          <c:extLst>
            <c:ext xmlns:c16="http://schemas.microsoft.com/office/drawing/2014/chart" uri="{C3380CC4-5D6E-409C-BE32-E72D297353CC}">
              <c16:uniqueId val="{00000000-2FF7-4144-9B7D-19DB3372C3E2}"/>
            </c:ext>
          </c:extLst>
        </c:ser>
        <c:dLbls>
          <c:showLegendKey val="0"/>
          <c:showVal val="0"/>
          <c:showCatName val="0"/>
          <c:showSerName val="0"/>
          <c:showPercent val="0"/>
          <c:showBubbleSize val="0"/>
        </c:dLbls>
        <c:smooth val="0"/>
        <c:axId val="206196736"/>
        <c:axId val="206198272"/>
      </c:lineChart>
      <c:catAx>
        <c:axId val="2061967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David" panose="020E0502060401010101" pitchFamily="34" charset="-79"/>
                <a:ea typeface="+mn-ea"/>
                <a:cs typeface="David" panose="020E0502060401010101" pitchFamily="34" charset="-79"/>
              </a:defRPr>
            </a:pPr>
            <a:endParaRPr lang="he-IL"/>
          </a:p>
        </c:txPr>
        <c:crossAx val="206198272"/>
        <c:crossesAt val="0"/>
        <c:auto val="1"/>
        <c:lblAlgn val="ctr"/>
        <c:lblOffset val="100"/>
        <c:noMultiLvlLbl val="0"/>
      </c:catAx>
      <c:valAx>
        <c:axId val="206198272"/>
        <c:scaling>
          <c:orientation val="minMax"/>
        </c:scaling>
        <c:delete val="0"/>
        <c:axPos val="l"/>
        <c:numFmt formatCode="0" sourceLinked="0"/>
        <c:majorTickMark val="none"/>
        <c:minorTickMark val="none"/>
        <c:tickLblPos val="nextTo"/>
        <c:spPr>
          <a:noFill/>
          <a:ln>
            <a:solidFill>
              <a:schemeClr val="bg1">
                <a:lumMod val="75000"/>
              </a:schemeClr>
            </a:solid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David" panose="020E0502060401010101" pitchFamily="34" charset="-79"/>
                <a:ea typeface="+mn-ea"/>
                <a:cs typeface="David" panose="020E0502060401010101" pitchFamily="34" charset="-79"/>
              </a:defRPr>
            </a:pPr>
            <a:endParaRPr lang="he-IL"/>
          </a:p>
        </c:txPr>
        <c:crossAx val="206196736"/>
        <c:crosses val="autoZero"/>
        <c:crossBetween val="between"/>
        <c:majorUnit val="200"/>
      </c:valAx>
      <c:spPr>
        <a:noFill/>
        <a:ln>
          <a:solidFill>
            <a:schemeClr val="bg1">
              <a:lumMod val="75000"/>
            </a:schemeClr>
          </a:solid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50">
          <a:latin typeface="David" panose="020E0502060401010101" pitchFamily="34" charset="-79"/>
          <a:cs typeface="David" panose="020E0502060401010101" pitchFamily="34" charset="-79"/>
        </a:defRPr>
      </a:pPr>
      <a:endParaRPr lang="he-IL"/>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e-I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גיליון1!$B$1</c:f>
              <c:strCache>
                <c:ptCount val="1"/>
                <c:pt idx="0">
                  <c:v>שיעור אבטלה (בנקודות אחוז)</c:v>
                </c:pt>
              </c:strCache>
            </c:strRef>
          </c:tx>
          <c:spPr>
            <a:solidFill>
              <a:schemeClr val="accent1"/>
            </a:solidFill>
            <a:scene3d>
              <a:camera prst="orthographicFront"/>
              <a:lightRig rig="threePt" dir="t"/>
            </a:scene3d>
            <a:sp3d>
              <a:bevelT w="63500" h="25400"/>
            </a:sp3d>
          </c:spPr>
          <c:invertIfNegative val="0"/>
          <c:dLbls>
            <c:dLbl>
              <c:idx val="18"/>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7330-466C-887E-5D89FA3CDDD3}"/>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1"/>
              </c:ext>
            </c:extLst>
          </c:dLbls>
          <c:cat>
            <c:strRef>
              <c:f>גיליון1!$A$2:$A$25</c:f>
              <c:strCache>
                <c:ptCount val="19"/>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strCache>
            </c:strRef>
          </c:cat>
          <c:val>
            <c:numRef>
              <c:f>גיליון1!$B$2:$B$25</c:f>
              <c:numCache>
                <c:formatCode>0.0%</c:formatCode>
                <c:ptCount val="19"/>
                <c:pt idx="0">
                  <c:v>0.10137325004939592</c:v>
                </c:pt>
                <c:pt idx="1">
                  <c:v>0.10667004654289719</c:v>
                </c:pt>
                <c:pt idx="2">
                  <c:v>0.11590875774604534</c:v>
                </c:pt>
                <c:pt idx="3">
                  <c:v>0.12002852986910209</c:v>
                </c:pt>
                <c:pt idx="4">
                  <c:v>0.11660323199924952</c:v>
                </c:pt>
                <c:pt idx="5">
                  <c:v>0.10301580963250971</c:v>
                </c:pt>
                <c:pt idx="6">
                  <c:v>9.7214126247716873E-2</c:v>
                </c:pt>
                <c:pt idx="7">
                  <c:v>8.6522290172116822E-2</c:v>
                </c:pt>
                <c:pt idx="8">
                  <c:v>7.4480218651827468E-2</c:v>
                </c:pt>
                <c:pt idx="9">
                  <c:v>8.9382452761085182E-2</c:v>
                </c:pt>
                <c:pt idx="10">
                  <c:v>8.043825914485267E-2</c:v>
                </c:pt>
                <c:pt idx="11">
                  <c:v>7.0252022020193775E-2</c:v>
                </c:pt>
                <c:pt idx="12">
                  <c:v>6.8512809609865E-2</c:v>
                </c:pt>
                <c:pt idx="13">
                  <c:v>6.2083372985122648E-2</c:v>
                </c:pt>
                <c:pt idx="14">
                  <c:v>5.8901569404124603E-2</c:v>
                </c:pt>
                <c:pt idx="15">
                  <c:v>5.2507767105556269E-2</c:v>
                </c:pt>
                <c:pt idx="16">
                  <c:v>4.798025390628393E-2</c:v>
                </c:pt>
                <c:pt idx="17">
                  <c:v>4.2150052261017736E-2</c:v>
                </c:pt>
                <c:pt idx="18">
                  <c:v>3.9785011901594509E-2</c:v>
                </c:pt>
              </c:numCache>
            </c:numRef>
          </c:val>
          <c:extLst>
            <c:ext xmlns:c16="http://schemas.microsoft.com/office/drawing/2014/chart" uri="{C3380CC4-5D6E-409C-BE32-E72D297353CC}">
              <c16:uniqueId val="{00000001-7330-466C-887E-5D89FA3CDDD3}"/>
            </c:ext>
          </c:extLst>
        </c:ser>
        <c:dLbls>
          <c:showLegendKey val="0"/>
          <c:showVal val="0"/>
          <c:showCatName val="0"/>
          <c:showSerName val="0"/>
          <c:showPercent val="0"/>
          <c:showBubbleSize val="0"/>
        </c:dLbls>
        <c:gapWidth val="75"/>
        <c:axId val="205805440"/>
        <c:axId val="205806976"/>
      </c:barChart>
      <c:lineChart>
        <c:grouping val="standard"/>
        <c:varyColors val="0"/>
        <c:ser>
          <c:idx val="1"/>
          <c:order val="1"/>
          <c:tx>
            <c:strRef>
              <c:f>גיליון1!$C$1</c:f>
              <c:strCache>
                <c:ptCount val="1"/>
                <c:pt idx="0">
                  <c:v>שיעור השתתפות (בנקודות אחוז)</c:v>
                </c:pt>
              </c:strCache>
            </c:strRef>
          </c:tx>
          <c:marker>
            <c:symbol val="none"/>
          </c:marker>
          <c:dLbls>
            <c:dLbl>
              <c:idx val="18"/>
              <c:layout>
                <c:manualLayout>
                  <c:x val="-5.2916666666666771E-2"/>
                  <c:y val="-6.258265210675516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7330-466C-887E-5D89FA3CDDD3}"/>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גיליון1!$A$2:$A$25</c:f>
              <c:strCache>
                <c:ptCount val="19"/>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strCache>
            </c:strRef>
          </c:cat>
          <c:val>
            <c:numRef>
              <c:f>גיליון1!$C$2:$C$25</c:f>
              <c:numCache>
                <c:formatCode>0.0%</c:formatCode>
                <c:ptCount val="19"/>
                <c:pt idx="0">
                  <c:v>0.59426008400541463</c:v>
                </c:pt>
                <c:pt idx="1">
                  <c:v>0.59532428224735934</c:v>
                </c:pt>
                <c:pt idx="2">
                  <c:v>0.59363580956777895</c:v>
                </c:pt>
                <c:pt idx="3">
                  <c:v>0.59751747967156343</c:v>
                </c:pt>
                <c:pt idx="4">
                  <c:v>0.60264435516253489</c:v>
                </c:pt>
                <c:pt idx="5">
                  <c:v>0.60561408558089969</c:v>
                </c:pt>
                <c:pt idx="6">
                  <c:v>0.60997522065271714</c:v>
                </c:pt>
                <c:pt idx="7">
                  <c:v>0.6173210353752141</c:v>
                </c:pt>
                <c:pt idx="8">
                  <c:v>0.6198990623014089</c:v>
                </c:pt>
                <c:pt idx="9">
                  <c:v>0.62117927354234159</c:v>
                </c:pt>
                <c:pt idx="10">
                  <c:v>0.62577929751670414</c:v>
                </c:pt>
                <c:pt idx="11">
                  <c:v>0.62614498211584679</c:v>
                </c:pt>
                <c:pt idx="12">
                  <c:v>0.63576219265832645</c:v>
                </c:pt>
                <c:pt idx="13">
                  <c:v>0.63684519626615965</c:v>
                </c:pt>
                <c:pt idx="14">
                  <c:v>0.64205437807060872</c:v>
                </c:pt>
                <c:pt idx="15">
                  <c:v>0.64094070334280651</c:v>
                </c:pt>
                <c:pt idx="16">
                  <c:v>0.641378594852409</c:v>
                </c:pt>
                <c:pt idx="17">
                  <c:v>0.64004449620886905</c:v>
                </c:pt>
                <c:pt idx="18">
                  <c:v>0.63887415346835075</c:v>
                </c:pt>
              </c:numCache>
            </c:numRef>
          </c:val>
          <c:smooth val="0"/>
          <c:extLst>
            <c:ext xmlns:c16="http://schemas.microsoft.com/office/drawing/2014/chart" uri="{C3380CC4-5D6E-409C-BE32-E72D297353CC}">
              <c16:uniqueId val="{00000003-7330-466C-887E-5D89FA3CDDD3}"/>
            </c:ext>
          </c:extLst>
        </c:ser>
        <c:dLbls>
          <c:showLegendKey val="0"/>
          <c:showVal val="0"/>
          <c:showCatName val="0"/>
          <c:showSerName val="0"/>
          <c:showPercent val="0"/>
          <c:showBubbleSize val="0"/>
        </c:dLbls>
        <c:marker val="1"/>
        <c:smooth val="0"/>
        <c:axId val="206244480"/>
        <c:axId val="206242944"/>
      </c:lineChart>
      <c:catAx>
        <c:axId val="205805440"/>
        <c:scaling>
          <c:orientation val="minMax"/>
        </c:scaling>
        <c:delete val="0"/>
        <c:axPos val="b"/>
        <c:numFmt formatCode="General" sourceLinked="1"/>
        <c:majorTickMark val="out"/>
        <c:minorTickMark val="none"/>
        <c:tickLblPos val="nextTo"/>
        <c:crossAx val="205806976"/>
        <c:crosses val="autoZero"/>
        <c:auto val="1"/>
        <c:lblAlgn val="ctr"/>
        <c:lblOffset val="100"/>
        <c:noMultiLvlLbl val="0"/>
      </c:catAx>
      <c:valAx>
        <c:axId val="205806976"/>
        <c:scaling>
          <c:orientation val="minMax"/>
          <c:max val="0.13"/>
          <c:min val="3.5000000000000003E-2"/>
        </c:scaling>
        <c:delete val="0"/>
        <c:axPos val="l"/>
        <c:numFmt formatCode="0%" sourceLinked="0"/>
        <c:majorTickMark val="out"/>
        <c:minorTickMark val="none"/>
        <c:tickLblPos val="nextTo"/>
        <c:crossAx val="205805440"/>
        <c:crosses val="autoZero"/>
        <c:crossBetween val="between"/>
        <c:majorUnit val="2.0000000000000004E-2"/>
      </c:valAx>
      <c:valAx>
        <c:axId val="206242944"/>
        <c:scaling>
          <c:orientation val="minMax"/>
          <c:max val="0.66000000000000014"/>
          <c:min val="0.57000000000000006"/>
        </c:scaling>
        <c:delete val="0"/>
        <c:axPos val="r"/>
        <c:numFmt formatCode="0%" sourceLinked="0"/>
        <c:majorTickMark val="out"/>
        <c:minorTickMark val="none"/>
        <c:tickLblPos val="nextTo"/>
        <c:crossAx val="206244480"/>
        <c:crosses val="max"/>
        <c:crossBetween val="between"/>
        <c:majorUnit val="2.0000000000000004E-2"/>
      </c:valAx>
      <c:catAx>
        <c:axId val="206244480"/>
        <c:scaling>
          <c:orientation val="minMax"/>
        </c:scaling>
        <c:delete val="1"/>
        <c:axPos val="b"/>
        <c:numFmt formatCode="General" sourceLinked="1"/>
        <c:majorTickMark val="out"/>
        <c:minorTickMark val="none"/>
        <c:tickLblPos val="nextTo"/>
        <c:crossAx val="206242944"/>
        <c:crosses val="autoZero"/>
        <c:auto val="1"/>
        <c:lblAlgn val="ctr"/>
        <c:lblOffset val="100"/>
        <c:noMultiLvlLbl val="0"/>
      </c:catAx>
    </c:plotArea>
    <c:plotVisOnly val="1"/>
    <c:dispBlanksAs val="gap"/>
    <c:showDLblsOverMax val="0"/>
  </c:chart>
  <c:txPr>
    <a:bodyPr/>
    <a:lstStyle/>
    <a:p>
      <a:pPr>
        <a:defRPr sz="1100">
          <a:latin typeface="David" panose="020E0502060401010101" pitchFamily="34" charset="-79"/>
          <a:cs typeface="David" panose="020E0502060401010101" pitchFamily="34" charset="-79"/>
        </a:defRPr>
      </a:pPr>
      <a:endParaRPr lang="he-IL"/>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e-I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1"/>
          <c:tx>
            <c:strRef>
              <c:f>'שכר ומשרות'!$J$1</c:f>
              <c:strCache>
                <c:ptCount val="1"/>
                <c:pt idx="0">
                  <c:v>משרות</c:v>
                </c:pt>
              </c:strCache>
            </c:strRef>
          </c:tx>
          <c:spPr>
            <a:ln w="28575" cap="rnd">
              <a:solidFill>
                <a:schemeClr val="accent2"/>
              </a:solidFill>
              <a:round/>
            </a:ln>
            <a:effectLst/>
          </c:spPr>
          <c:marker>
            <c:symbol val="none"/>
          </c:marker>
          <c:dLbls>
            <c:dLbl>
              <c:idx val="16"/>
              <c:layout>
                <c:manualLayout>
                  <c:x val="0"/>
                  <c:y val="-5.476237042831996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C6AE-40C6-A993-9CF0299EDE1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e-IL"/>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'שכר ומשרות'!$H$12:$H$28</c:f>
              <c:numCache>
                <c:formatCode>mm/yyyy</c:formatCode>
                <c:ptCount val="17"/>
                <c:pt idx="0">
                  <c:v>41883</c:v>
                </c:pt>
                <c:pt idx="1">
                  <c:v>41974</c:v>
                </c:pt>
                <c:pt idx="2">
                  <c:v>42064</c:v>
                </c:pt>
                <c:pt idx="3">
                  <c:v>42156</c:v>
                </c:pt>
                <c:pt idx="4">
                  <c:v>42248</c:v>
                </c:pt>
                <c:pt idx="5">
                  <c:v>42339</c:v>
                </c:pt>
                <c:pt idx="6">
                  <c:v>42430</c:v>
                </c:pt>
                <c:pt idx="7">
                  <c:v>42522</c:v>
                </c:pt>
                <c:pt idx="8">
                  <c:v>42614</c:v>
                </c:pt>
                <c:pt idx="9">
                  <c:v>42705</c:v>
                </c:pt>
                <c:pt idx="10">
                  <c:v>42795</c:v>
                </c:pt>
                <c:pt idx="11">
                  <c:v>42887</c:v>
                </c:pt>
                <c:pt idx="12">
                  <c:v>42979</c:v>
                </c:pt>
                <c:pt idx="13">
                  <c:v>43070</c:v>
                </c:pt>
                <c:pt idx="14">
                  <c:v>43160</c:v>
                </c:pt>
                <c:pt idx="15">
                  <c:v>43252</c:v>
                </c:pt>
                <c:pt idx="16">
                  <c:v>43344</c:v>
                </c:pt>
              </c:numCache>
            </c:numRef>
          </c:cat>
          <c:val>
            <c:numRef>
              <c:f>'שכר ומשרות'!$J$12:$J$28</c:f>
              <c:numCache>
                <c:formatCode>0.0%</c:formatCode>
                <c:ptCount val="17"/>
                <c:pt idx="0">
                  <c:v>2.9370884347363901E-2</c:v>
                </c:pt>
                <c:pt idx="1">
                  <c:v>2.8500099137104273E-2</c:v>
                </c:pt>
                <c:pt idx="2">
                  <c:v>2.6112400872772223E-2</c:v>
                </c:pt>
                <c:pt idx="3">
                  <c:v>2.7992611404352052E-2</c:v>
                </c:pt>
                <c:pt idx="4">
                  <c:v>3.0597082183852597E-2</c:v>
                </c:pt>
                <c:pt idx="5">
                  <c:v>3.3611297045783584E-2</c:v>
                </c:pt>
                <c:pt idx="6">
                  <c:v>3.2062698172639736E-2</c:v>
                </c:pt>
                <c:pt idx="7">
                  <c:v>3.523820686119139E-2</c:v>
                </c:pt>
                <c:pt idx="8">
                  <c:v>4.364389014980552E-2</c:v>
                </c:pt>
                <c:pt idx="9">
                  <c:v>2.8201682062897193E-2</c:v>
                </c:pt>
                <c:pt idx="10">
                  <c:v>3.3767618385901255E-2</c:v>
                </c:pt>
                <c:pt idx="11">
                  <c:v>3.131021545623569E-2</c:v>
                </c:pt>
                <c:pt idx="12">
                  <c:v>2.6994313946123283E-2</c:v>
                </c:pt>
                <c:pt idx="13">
                  <c:v>3.656489146021924E-2</c:v>
                </c:pt>
                <c:pt idx="14">
                  <c:v>2.9006687006446041E-2</c:v>
                </c:pt>
                <c:pt idx="15">
                  <c:v>2.6116094858565919E-2</c:v>
                </c:pt>
                <c:pt idx="16">
                  <c:v>1.2697017954312217E-2</c:v>
                </c:pt>
              </c:numCache>
            </c:numRef>
          </c:val>
          <c:smooth val="0"/>
          <c:extLst>
            <c:ext xmlns:c16="http://schemas.microsoft.com/office/drawing/2014/chart" uri="{C3380CC4-5D6E-409C-BE32-E72D297353CC}">
              <c16:uniqueId val="{00000001-C6AE-40C6-A993-9CF0299EDE18}"/>
            </c:ext>
          </c:extLst>
        </c:ser>
        <c:ser>
          <c:idx val="0"/>
          <c:order val="0"/>
          <c:tx>
            <c:strRef>
              <c:f>'שכר ומשרות'!$I$1</c:f>
              <c:strCache>
                <c:ptCount val="1"/>
                <c:pt idx="0">
                  <c:v>שכר</c:v>
                </c:pt>
              </c:strCache>
            </c:strRef>
          </c:tx>
          <c:spPr>
            <a:ln w="28575" cap="rnd">
              <a:solidFill>
                <a:schemeClr val="accent1"/>
              </a:solidFill>
              <a:round/>
            </a:ln>
            <a:effectLst/>
          </c:spPr>
          <c:marker>
            <c:symbol val="none"/>
          </c:marker>
          <c:dLbls>
            <c:dLbl>
              <c:idx val="16"/>
              <c:layout>
                <c:manualLayout>
                  <c:x val="0"/>
                  <c:y val="-3.520438098963429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C6AE-40C6-A993-9CF0299EDE1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e-IL"/>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'שכר ומשרות'!$H$12:$H$28</c:f>
              <c:numCache>
                <c:formatCode>mm/yyyy</c:formatCode>
                <c:ptCount val="17"/>
                <c:pt idx="0">
                  <c:v>41883</c:v>
                </c:pt>
                <c:pt idx="1">
                  <c:v>41974</c:v>
                </c:pt>
                <c:pt idx="2">
                  <c:v>42064</c:v>
                </c:pt>
                <c:pt idx="3">
                  <c:v>42156</c:v>
                </c:pt>
                <c:pt idx="4">
                  <c:v>42248</c:v>
                </c:pt>
                <c:pt idx="5">
                  <c:v>42339</c:v>
                </c:pt>
                <c:pt idx="6">
                  <c:v>42430</c:v>
                </c:pt>
                <c:pt idx="7">
                  <c:v>42522</c:v>
                </c:pt>
                <c:pt idx="8">
                  <c:v>42614</c:v>
                </c:pt>
                <c:pt idx="9">
                  <c:v>42705</c:v>
                </c:pt>
                <c:pt idx="10">
                  <c:v>42795</c:v>
                </c:pt>
                <c:pt idx="11">
                  <c:v>42887</c:v>
                </c:pt>
                <c:pt idx="12">
                  <c:v>42979</c:v>
                </c:pt>
                <c:pt idx="13">
                  <c:v>43070</c:v>
                </c:pt>
                <c:pt idx="14">
                  <c:v>43160</c:v>
                </c:pt>
                <c:pt idx="15">
                  <c:v>43252</c:v>
                </c:pt>
                <c:pt idx="16">
                  <c:v>43344</c:v>
                </c:pt>
              </c:numCache>
            </c:numRef>
          </c:cat>
          <c:val>
            <c:numRef>
              <c:f>'שכר ומשרות'!$I$12:$I$28</c:f>
              <c:numCache>
                <c:formatCode>0.0%</c:formatCode>
                <c:ptCount val="17"/>
                <c:pt idx="0">
                  <c:v>1.7796101356674976E-2</c:v>
                </c:pt>
                <c:pt idx="1">
                  <c:v>1.6806072601458499E-2</c:v>
                </c:pt>
                <c:pt idx="2">
                  <c:v>2.7275132622653464E-2</c:v>
                </c:pt>
                <c:pt idx="3">
                  <c:v>2.7950327289036681E-2</c:v>
                </c:pt>
                <c:pt idx="4">
                  <c:v>2.3661592419871091E-2</c:v>
                </c:pt>
                <c:pt idx="5">
                  <c:v>3.5289800226736112E-2</c:v>
                </c:pt>
                <c:pt idx="6">
                  <c:v>3.0438012989156826E-2</c:v>
                </c:pt>
                <c:pt idx="7">
                  <c:v>2.7392791455752352E-2</c:v>
                </c:pt>
                <c:pt idx="8">
                  <c:v>3.1138636421440768E-2</c:v>
                </c:pt>
                <c:pt idx="9">
                  <c:v>2.3261555221909092E-2</c:v>
                </c:pt>
                <c:pt idx="10">
                  <c:v>2.9242988259874814E-2</c:v>
                </c:pt>
                <c:pt idx="11">
                  <c:v>2.9848926732368497E-2</c:v>
                </c:pt>
                <c:pt idx="12">
                  <c:v>2.8880687237659686E-2</c:v>
                </c:pt>
                <c:pt idx="13">
                  <c:v>2.3047200499347165E-2</c:v>
                </c:pt>
                <c:pt idx="14">
                  <c:v>3.0249723638486437E-2</c:v>
                </c:pt>
                <c:pt idx="15">
                  <c:v>2.1621628478041499E-2</c:v>
                </c:pt>
                <c:pt idx="16">
                  <c:v>2.5068494439551392E-2</c:v>
                </c:pt>
              </c:numCache>
            </c:numRef>
          </c:val>
          <c:smooth val="0"/>
          <c:extLst>
            <c:ext xmlns:c16="http://schemas.microsoft.com/office/drawing/2014/chart" uri="{C3380CC4-5D6E-409C-BE32-E72D297353CC}">
              <c16:uniqueId val="{00000003-C6AE-40C6-A993-9CF0299EDE18}"/>
            </c:ext>
          </c:extLst>
        </c:ser>
        <c:dLbls>
          <c:showLegendKey val="0"/>
          <c:showVal val="0"/>
          <c:showCatName val="0"/>
          <c:showSerName val="0"/>
          <c:showPercent val="0"/>
          <c:showBubbleSize val="0"/>
        </c:dLbls>
        <c:smooth val="0"/>
        <c:axId val="206308864"/>
        <c:axId val="206310400"/>
      </c:lineChart>
      <c:dateAx>
        <c:axId val="206308864"/>
        <c:scaling>
          <c:orientation val="minMax"/>
        </c:scaling>
        <c:delete val="0"/>
        <c:axPos val="b"/>
        <c:numFmt formatCode="mm/yyyy"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David" panose="020E0502060401010101" pitchFamily="34" charset="-79"/>
                <a:ea typeface="+mn-ea"/>
                <a:cs typeface="David" panose="020E0502060401010101" pitchFamily="34" charset="-79"/>
              </a:defRPr>
            </a:pPr>
            <a:endParaRPr lang="he-IL"/>
          </a:p>
        </c:txPr>
        <c:crossAx val="206310400"/>
        <c:crosses val="autoZero"/>
        <c:auto val="1"/>
        <c:lblOffset val="100"/>
        <c:baseTimeUnit val="months"/>
        <c:majorUnit val="3"/>
        <c:majorTimeUnit val="months"/>
      </c:dateAx>
      <c:valAx>
        <c:axId val="206310400"/>
        <c:scaling>
          <c:orientation val="minMax"/>
        </c:scaling>
        <c:delete val="0"/>
        <c:axPos val="l"/>
        <c:numFmt formatCode="0.0%" sourceLinked="1"/>
        <c:majorTickMark val="none"/>
        <c:minorTickMark val="none"/>
        <c:tickLblPos val="nextTo"/>
        <c:spPr>
          <a:noFill/>
          <a:ln>
            <a:solidFill>
              <a:schemeClr val="bg1">
                <a:lumMod val="75000"/>
              </a:schemeClr>
            </a:solid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David" panose="020E0502060401010101" pitchFamily="34" charset="-79"/>
                <a:ea typeface="+mn-ea"/>
                <a:cs typeface="David" panose="020E0502060401010101" pitchFamily="34" charset="-79"/>
              </a:defRPr>
            </a:pPr>
            <a:endParaRPr lang="he-IL"/>
          </a:p>
        </c:txPr>
        <c:crossAx val="20630886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David" panose="020E0502060401010101" pitchFamily="34" charset="-79"/>
              <a:ea typeface="+mn-ea"/>
              <a:cs typeface="David" panose="020E0502060401010101" pitchFamily="34"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e-IL"/>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e-I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גיליון1!$B$1</c:f>
              <c:strCache>
                <c:ptCount val="1"/>
                <c:pt idx="0">
                  <c:v>מסים עקיפים</c:v>
                </c:pt>
              </c:strCache>
            </c:strRef>
          </c:tx>
          <c:spPr>
            <a:solidFill>
              <a:schemeClr val="accent1"/>
            </a:solidFill>
            <a:ln>
              <a:noFill/>
            </a:ln>
            <a:effectLst/>
          </c:spPr>
          <c:invertIfNegative val="0"/>
          <c:cat>
            <c:strRef>
              <c:f>גיליון1!$A$2:$A$17</c:f>
              <c:strCache>
                <c:ptCount val="16"/>
                <c:pt idx="0">
                  <c:v>2015Q1</c:v>
                </c:pt>
                <c:pt idx="1">
                  <c:v>2015Q2</c:v>
                </c:pt>
                <c:pt idx="2">
                  <c:v>2015Q3</c:v>
                </c:pt>
                <c:pt idx="3">
                  <c:v>2015Q4</c:v>
                </c:pt>
                <c:pt idx="4">
                  <c:v>2016Q1</c:v>
                </c:pt>
                <c:pt idx="5">
                  <c:v>2016Q2</c:v>
                </c:pt>
                <c:pt idx="6">
                  <c:v>2016Q3</c:v>
                </c:pt>
                <c:pt idx="7">
                  <c:v>2016Q4</c:v>
                </c:pt>
                <c:pt idx="8">
                  <c:v>2017Q1</c:v>
                </c:pt>
                <c:pt idx="9">
                  <c:v>2017Q2</c:v>
                </c:pt>
                <c:pt idx="10">
                  <c:v>2017Q3</c:v>
                </c:pt>
                <c:pt idx="11">
                  <c:v>2017Q4</c:v>
                </c:pt>
                <c:pt idx="12">
                  <c:v>2018Q1</c:v>
                </c:pt>
                <c:pt idx="13">
                  <c:v>2018Q2</c:v>
                </c:pt>
                <c:pt idx="14">
                  <c:v>2018Q3</c:v>
                </c:pt>
                <c:pt idx="15">
                  <c:v>2018Q4</c:v>
                </c:pt>
              </c:strCache>
            </c:strRef>
          </c:cat>
          <c:val>
            <c:numRef>
              <c:f>גיליון1!$B$2:$B$17</c:f>
              <c:numCache>
                <c:formatCode>0.0%</c:formatCode>
                <c:ptCount val="16"/>
                <c:pt idx="0">
                  <c:v>2.08977491492639E-2</c:v>
                </c:pt>
                <c:pt idx="1">
                  <c:v>5.4370156043398676E-2</c:v>
                </c:pt>
                <c:pt idx="2">
                  <c:v>6.8520786007012058E-2</c:v>
                </c:pt>
                <c:pt idx="3">
                  <c:v>2.1509374905186007E-2</c:v>
                </c:pt>
                <c:pt idx="4">
                  <c:v>4.3192293517883673E-2</c:v>
                </c:pt>
                <c:pt idx="5">
                  <c:v>4.3468026181391783E-2</c:v>
                </c:pt>
                <c:pt idx="6">
                  <c:v>4.9198348194394725E-2</c:v>
                </c:pt>
                <c:pt idx="7">
                  <c:v>1.043681355877224E-2</c:v>
                </c:pt>
                <c:pt idx="8">
                  <c:v>4.9210493696902891E-3</c:v>
                </c:pt>
                <c:pt idx="9">
                  <c:v>-1.2152438131247778E-2</c:v>
                </c:pt>
                <c:pt idx="10">
                  <c:v>2.1928518307373857E-2</c:v>
                </c:pt>
                <c:pt idx="11">
                  <c:v>3.3520191680615152E-2</c:v>
                </c:pt>
                <c:pt idx="12">
                  <c:v>5.2388014326677501E-2</c:v>
                </c:pt>
                <c:pt idx="13">
                  <c:v>5.2903146617525598E-2</c:v>
                </c:pt>
                <c:pt idx="14">
                  <c:v>1.6874425732257281E-2</c:v>
                </c:pt>
                <c:pt idx="15">
                  <c:v>1.244421633875592E-2</c:v>
                </c:pt>
              </c:numCache>
            </c:numRef>
          </c:val>
          <c:extLst>
            <c:ext xmlns:c16="http://schemas.microsoft.com/office/drawing/2014/chart" uri="{C3380CC4-5D6E-409C-BE32-E72D297353CC}">
              <c16:uniqueId val="{00000000-09FA-46CC-922A-D3D9E3D6B7B3}"/>
            </c:ext>
          </c:extLst>
        </c:ser>
        <c:ser>
          <c:idx val="1"/>
          <c:order val="1"/>
          <c:tx>
            <c:strRef>
              <c:f>גיליון1!$C$1</c:f>
              <c:strCache>
                <c:ptCount val="1"/>
                <c:pt idx="0">
                  <c:v>מסים ישירים</c:v>
                </c:pt>
              </c:strCache>
            </c:strRef>
          </c:tx>
          <c:spPr>
            <a:solidFill>
              <a:schemeClr val="accent2"/>
            </a:solidFill>
            <a:ln>
              <a:noFill/>
            </a:ln>
            <a:effectLst/>
          </c:spPr>
          <c:invertIfNegative val="0"/>
          <c:cat>
            <c:strRef>
              <c:f>גיליון1!$A$2:$A$17</c:f>
              <c:strCache>
                <c:ptCount val="16"/>
                <c:pt idx="0">
                  <c:v>2015Q1</c:v>
                </c:pt>
                <c:pt idx="1">
                  <c:v>2015Q2</c:v>
                </c:pt>
                <c:pt idx="2">
                  <c:v>2015Q3</c:v>
                </c:pt>
                <c:pt idx="3">
                  <c:v>2015Q4</c:v>
                </c:pt>
                <c:pt idx="4">
                  <c:v>2016Q1</c:v>
                </c:pt>
                <c:pt idx="5">
                  <c:v>2016Q2</c:v>
                </c:pt>
                <c:pt idx="6">
                  <c:v>2016Q3</c:v>
                </c:pt>
                <c:pt idx="7">
                  <c:v>2016Q4</c:v>
                </c:pt>
                <c:pt idx="8">
                  <c:v>2017Q1</c:v>
                </c:pt>
                <c:pt idx="9">
                  <c:v>2017Q2</c:v>
                </c:pt>
                <c:pt idx="10">
                  <c:v>2017Q3</c:v>
                </c:pt>
                <c:pt idx="11">
                  <c:v>2017Q4</c:v>
                </c:pt>
                <c:pt idx="12">
                  <c:v>2018Q1</c:v>
                </c:pt>
                <c:pt idx="13">
                  <c:v>2018Q2</c:v>
                </c:pt>
                <c:pt idx="14">
                  <c:v>2018Q3</c:v>
                </c:pt>
                <c:pt idx="15">
                  <c:v>2018Q4</c:v>
                </c:pt>
              </c:strCache>
            </c:strRef>
          </c:cat>
          <c:val>
            <c:numRef>
              <c:f>גיליון1!$C$2:$C$17</c:f>
              <c:numCache>
                <c:formatCode>0.0%</c:formatCode>
                <c:ptCount val="16"/>
                <c:pt idx="0">
                  <c:v>0.10887086196419316</c:v>
                </c:pt>
                <c:pt idx="1">
                  <c:v>9.5511103924930119E-2</c:v>
                </c:pt>
                <c:pt idx="2">
                  <c:v>0.13541467857267486</c:v>
                </c:pt>
                <c:pt idx="3">
                  <c:v>2.04828328419151E-2</c:v>
                </c:pt>
                <c:pt idx="4">
                  <c:v>6.3944454896928349E-2</c:v>
                </c:pt>
                <c:pt idx="5">
                  <c:v>8.5602823207236334E-2</c:v>
                </c:pt>
                <c:pt idx="6">
                  <c:v>3.0174039181944279E-2</c:v>
                </c:pt>
                <c:pt idx="7">
                  <c:v>0.10700462452451487</c:v>
                </c:pt>
                <c:pt idx="8">
                  <c:v>8.7336629200680083E-2</c:v>
                </c:pt>
                <c:pt idx="9">
                  <c:v>0.10122471841943637</c:v>
                </c:pt>
                <c:pt idx="10">
                  <c:v>5.8890877551839083E-2</c:v>
                </c:pt>
                <c:pt idx="11">
                  <c:v>0.12430000807971853</c:v>
                </c:pt>
                <c:pt idx="12">
                  <c:v>8.1653785831678594E-2</c:v>
                </c:pt>
                <c:pt idx="13">
                  <c:v>-4.4680559381344853E-3</c:v>
                </c:pt>
                <c:pt idx="14">
                  <c:v>2.2899137727946606E-2</c:v>
                </c:pt>
                <c:pt idx="15">
                  <c:v>1.7973143895751775E-2</c:v>
                </c:pt>
              </c:numCache>
            </c:numRef>
          </c:val>
          <c:extLst>
            <c:ext xmlns:c16="http://schemas.microsoft.com/office/drawing/2014/chart" uri="{C3380CC4-5D6E-409C-BE32-E72D297353CC}">
              <c16:uniqueId val="{00000001-09FA-46CC-922A-D3D9E3D6B7B3}"/>
            </c:ext>
          </c:extLst>
        </c:ser>
        <c:dLbls>
          <c:showLegendKey val="0"/>
          <c:showVal val="0"/>
          <c:showCatName val="0"/>
          <c:showSerName val="0"/>
          <c:showPercent val="0"/>
          <c:showBubbleSize val="0"/>
        </c:dLbls>
        <c:gapWidth val="219"/>
        <c:overlap val="-27"/>
        <c:axId val="206348672"/>
        <c:axId val="206350208"/>
      </c:barChart>
      <c:catAx>
        <c:axId val="206348672"/>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David" panose="020E0502060401010101" pitchFamily="34" charset="-79"/>
                <a:ea typeface="+mn-ea"/>
                <a:cs typeface="David" panose="020E0502060401010101" pitchFamily="34" charset="-79"/>
              </a:defRPr>
            </a:pPr>
            <a:endParaRPr lang="he-IL"/>
          </a:p>
        </c:txPr>
        <c:crossAx val="206350208"/>
        <c:crosses val="autoZero"/>
        <c:auto val="1"/>
        <c:lblAlgn val="ctr"/>
        <c:lblOffset val="100"/>
        <c:noMultiLvlLbl val="0"/>
      </c:catAx>
      <c:valAx>
        <c:axId val="206350208"/>
        <c:scaling>
          <c:orientation val="minMax"/>
        </c:scaling>
        <c:delete val="0"/>
        <c:axPos val="l"/>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David" panose="020E0502060401010101" pitchFamily="34" charset="-79"/>
                <a:ea typeface="+mn-ea"/>
                <a:cs typeface="David" panose="020E0502060401010101" pitchFamily="34" charset="-79"/>
              </a:defRPr>
            </a:pPr>
            <a:endParaRPr lang="he-IL"/>
          </a:p>
        </c:txPr>
        <c:crossAx val="2063486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David" panose="020E0502060401010101" pitchFamily="34" charset="-79"/>
              <a:ea typeface="+mn-ea"/>
              <a:cs typeface="David" panose="020E0502060401010101" pitchFamily="34"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David" panose="020E0502060401010101" pitchFamily="34" charset="-79"/>
          <a:cs typeface="David" panose="020E0502060401010101" pitchFamily="34" charset="-79"/>
        </a:defRPr>
      </a:pPr>
      <a:endParaRPr lang="he-IL"/>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e-I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גיליון1!$A$2</c:f>
              <c:strCache>
                <c:ptCount val="1"/>
                <c:pt idx="0">
                  <c:v>בהשוואה ל-2017</c:v>
                </c:pt>
              </c:strCache>
            </c:strRef>
          </c:tx>
          <c:spPr>
            <a:solidFill>
              <a:schemeClr val="accent1"/>
            </a:solidFill>
            <a:ln>
              <a:noFill/>
            </a:ln>
            <a:effectLst/>
          </c:spPr>
          <c:invertIfNegative val="0"/>
          <c:cat>
            <c:strRef>
              <c:f>גיליון1!$B$1:$F$1</c:f>
              <c:strCache>
                <c:ptCount val="5"/>
                <c:pt idx="0">
                  <c:v>ניכויים משכר</c:v>
                </c:pt>
                <c:pt idx="1">
                  <c:v>מס חברות</c:v>
                </c:pt>
                <c:pt idx="2">
                  <c:v>עצמאיים ובעלי חברות</c:v>
                </c:pt>
                <c:pt idx="3">
                  <c:v>דיבידנד</c:v>
                </c:pt>
                <c:pt idx="4">
                  <c:v>נדל"ן</c:v>
                </c:pt>
              </c:strCache>
            </c:strRef>
          </c:cat>
          <c:val>
            <c:numRef>
              <c:f>גיליון1!$B$2:$F$2</c:f>
              <c:numCache>
                <c:formatCode>0%</c:formatCode>
                <c:ptCount val="5"/>
                <c:pt idx="0">
                  <c:v>0.05</c:v>
                </c:pt>
                <c:pt idx="1">
                  <c:v>0.06</c:v>
                </c:pt>
                <c:pt idx="2">
                  <c:v>-0.22</c:v>
                </c:pt>
                <c:pt idx="3">
                  <c:v>-0.81</c:v>
                </c:pt>
                <c:pt idx="4">
                  <c:v>0.01</c:v>
                </c:pt>
              </c:numCache>
            </c:numRef>
          </c:val>
          <c:extLst>
            <c:ext xmlns:c16="http://schemas.microsoft.com/office/drawing/2014/chart" uri="{C3380CC4-5D6E-409C-BE32-E72D297353CC}">
              <c16:uniqueId val="{00000000-CC01-4ED0-986A-F8BC580496D2}"/>
            </c:ext>
          </c:extLst>
        </c:ser>
        <c:ser>
          <c:idx val="1"/>
          <c:order val="1"/>
          <c:tx>
            <c:strRef>
              <c:f>גיליון1!$A$3</c:f>
              <c:strCache>
                <c:ptCount val="1"/>
                <c:pt idx="0">
                  <c:v>בהשוואה ל-2016</c:v>
                </c:pt>
              </c:strCache>
            </c:strRef>
          </c:tx>
          <c:spPr>
            <a:solidFill>
              <a:schemeClr val="accent2"/>
            </a:solidFill>
            <a:ln>
              <a:noFill/>
            </a:ln>
            <a:effectLst/>
          </c:spPr>
          <c:invertIfNegative val="0"/>
          <c:cat>
            <c:strRef>
              <c:f>גיליון1!$B$1:$F$1</c:f>
              <c:strCache>
                <c:ptCount val="5"/>
                <c:pt idx="0">
                  <c:v>ניכויים משכר</c:v>
                </c:pt>
                <c:pt idx="1">
                  <c:v>מס חברות</c:v>
                </c:pt>
                <c:pt idx="2">
                  <c:v>עצמאיים ובעלי חברות</c:v>
                </c:pt>
                <c:pt idx="3">
                  <c:v>דיבידנד</c:v>
                </c:pt>
                <c:pt idx="4">
                  <c:v>נדל"ן</c:v>
                </c:pt>
              </c:strCache>
            </c:strRef>
          </c:cat>
          <c:val>
            <c:numRef>
              <c:f>גיליון1!$B$3:$F$3</c:f>
              <c:numCache>
                <c:formatCode>0%</c:formatCode>
                <c:ptCount val="5"/>
                <c:pt idx="0">
                  <c:v>0.11</c:v>
                </c:pt>
                <c:pt idx="1">
                  <c:v>0.17</c:v>
                </c:pt>
                <c:pt idx="2">
                  <c:v>7.0000000000000007E-2</c:v>
                </c:pt>
                <c:pt idx="3">
                  <c:v>-0.3</c:v>
                </c:pt>
                <c:pt idx="4">
                  <c:v>0.06</c:v>
                </c:pt>
              </c:numCache>
            </c:numRef>
          </c:val>
          <c:extLst>
            <c:ext xmlns:c16="http://schemas.microsoft.com/office/drawing/2014/chart" uri="{C3380CC4-5D6E-409C-BE32-E72D297353CC}">
              <c16:uniqueId val="{00000001-CC01-4ED0-986A-F8BC580496D2}"/>
            </c:ext>
          </c:extLst>
        </c:ser>
        <c:dLbls>
          <c:showLegendKey val="0"/>
          <c:showVal val="0"/>
          <c:showCatName val="0"/>
          <c:showSerName val="0"/>
          <c:showPercent val="0"/>
          <c:showBubbleSize val="0"/>
        </c:dLbls>
        <c:gapWidth val="219"/>
        <c:overlap val="-27"/>
        <c:axId val="206375936"/>
        <c:axId val="206377728"/>
      </c:barChart>
      <c:catAx>
        <c:axId val="20637593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David" panose="020E0502060401010101" pitchFamily="34" charset="-79"/>
                <a:ea typeface="+mn-ea"/>
                <a:cs typeface="David" panose="020E0502060401010101" pitchFamily="34" charset="-79"/>
              </a:defRPr>
            </a:pPr>
            <a:endParaRPr lang="he-IL"/>
          </a:p>
        </c:txPr>
        <c:crossAx val="206377728"/>
        <c:crosses val="autoZero"/>
        <c:auto val="1"/>
        <c:lblAlgn val="ctr"/>
        <c:lblOffset val="100"/>
        <c:noMultiLvlLbl val="0"/>
      </c:catAx>
      <c:valAx>
        <c:axId val="206377728"/>
        <c:scaling>
          <c:orientation val="minMax"/>
          <c:min val="-0.4"/>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David" panose="020E0502060401010101" pitchFamily="34" charset="-79"/>
                <a:ea typeface="+mn-ea"/>
                <a:cs typeface="David" panose="020E0502060401010101" pitchFamily="34" charset="-79"/>
              </a:defRPr>
            </a:pPr>
            <a:endParaRPr lang="he-IL"/>
          </a:p>
        </c:txPr>
        <c:crossAx val="206375936"/>
        <c:crosses val="autoZero"/>
        <c:crossBetween val="between"/>
      </c:valAx>
      <c:spPr>
        <a:noFill/>
        <a:ln>
          <a:noFill/>
        </a:ln>
        <a:effectLst/>
      </c:spPr>
    </c:plotArea>
    <c:legend>
      <c:legendPos val="b"/>
      <c:layout>
        <c:manualLayout>
          <c:xMode val="edge"/>
          <c:yMode val="edge"/>
          <c:x val="0.20948364408246523"/>
          <c:y val="0.90782542027341251"/>
          <c:w val="0.71036572221660277"/>
          <c:h val="5.2833596289702904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David" panose="020E0502060401010101" pitchFamily="34" charset="-79"/>
              <a:ea typeface="+mn-ea"/>
              <a:cs typeface="David" panose="020E0502060401010101" pitchFamily="34"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David" panose="020E0502060401010101" pitchFamily="34" charset="-79"/>
          <a:cs typeface="David" panose="020E0502060401010101" pitchFamily="34" charset="-79"/>
        </a:defRPr>
      </a:pPr>
      <a:endParaRPr lang="he-IL"/>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e-I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גיליון1!$A$2</c:f>
              <c:strCache>
                <c:ptCount val="1"/>
                <c:pt idx="0">
                  <c:v>בהשוואה ל-2017</c:v>
                </c:pt>
              </c:strCache>
            </c:strRef>
          </c:tx>
          <c:spPr>
            <a:solidFill>
              <a:schemeClr val="accent1"/>
            </a:solidFill>
            <a:ln>
              <a:noFill/>
            </a:ln>
            <a:effectLst/>
          </c:spPr>
          <c:invertIfNegative val="0"/>
          <c:cat>
            <c:strRef>
              <c:f>גיליון1!$B$1:$D$1</c:f>
              <c:strCache>
                <c:ptCount val="3"/>
                <c:pt idx="0">
                  <c:v>מע"מ</c:v>
                </c:pt>
                <c:pt idx="1">
                  <c:v>מיסי ייבוא (מס קניה ומכס)</c:v>
                </c:pt>
                <c:pt idx="2">
                  <c:v>מס דלק</c:v>
                </c:pt>
              </c:strCache>
            </c:strRef>
          </c:cat>
          <c:val>
            <c:numRef>
              <c:f>גיליון1!$B$2:$D$2</c:f>
              <c:numCache>
                <c:formatCode>0%</c:formatCode>
                <c:ptCount val="3"/>
                <c:pt idx="0">
                  <c:v>0.06</c:v>
                </c:pt>
                <c:pt idx="1">
                  <c:v>0.01</c:v>
                </c:pt>
                <c:pt idx="2">
                  <c:v>-0.02</c:v>
                </c:pt>
              </c:numCache>
            </c:numRef>
          </c:val>
          <c:extLst>
            <c:ext xmlns:c16="http://schemas.microsoft.com/office/drawing/2014/chart" uri="{C3380CC4-5D6E-409C-BE32-E72D297353CC}">
              <c16:uniqueId val="{00000000-2869-45F3-9C32-BCE0D408534E}"/>
            </c:ext>
          </c:extLst>
        </c:ser>
        <c:ser>
          <c:idx val="1"/>
          <c:order val="1"/>
          <c:tx>
            <c:strRef>
              <c:f>גיליון1!$A$3</c:f>
              <c:strCache>
                <c:ptCount val="1"/>
                <c:pt idx="0">
                  <c:v>בהשוואה ל-2016</c:v>
                </c:pt>
              </c:strCache>
            </c:strRef>
          </c:tx>
          <c:spPr>
            <a:solidFill>
              <a:schemeClr val="accent2"/>
            </a:solidFill>
            <a:ln>
              <a:noFill/>
            </a:ln>
            <a:effectLst/>
          </c:spPr>
          <c:invertIfNegative val="0"/>
          <c:cat>
            <c:strRef>
              <c:f>גיליון1!$B$1:$D$1</c:f>
              <c:strCache>
                <c:ptCount val="3"/>
                <c:pt idx="0">
                  <c:v>מע"מ</c:v>
                </c:pt>
                <c:pt idx="1">
                  <c:v>מיסי ייבוא (מס קניה ומכס)</c:v>
                </c:pt>
                <c:pt idx="2">
                  <c:v>מס דלק</c:v>
                </c:pt>
              </c:strCache>
            </c:strRef>
          </c:cat>
          <c:val>
            <c:numRef>
              <c:f>גיליון1!$B$3:$D$3</c:f>
              <c:numCache>
                <c:formatCode>0%</c:formatCode>
                <c:ptCount val="3"/>
                <c:pt idx="0">
                  <c:v>0.1</c:v>
                </c:pt>
                <c:pt idx="1">
                  <c:v>-0.11</c:v>
                </c:pt>
                <c:pt idx="2">
                  <c:v>0.04</c:v>
                </c:pt>
              </c:numCache>
            </c:numRef>
          </c:val>
          <c:extLst>
            <c:ext xmlns:c16="http://schemas.microsoft.com/office/drawing/2014/chart" uri="{C3380CC4-5D6E-409C-BE32-E72D297353CC}">
              <c16:uniqueId val="{00000001-2869-45F3-9C32-BCE0D408534E}"/>
            </c:ext>
          </c:extLst>
        </c:ser>
        <c:dLbls>
          <c:showLegendKey val="0"/>
          <c:showVal val="0"/>
          <c:showCatName val="0"/>
          <c:showSerName val="0"/>
          <c:showPercent val="0"/>
          <c:showBubbleSize val="0"/>
        </c:dLbls>
        <c:gapWidth val="219"/>
        <c:overlap val="-27"/>
        <c:axId val="206444416"/>
        <c:axId val="206445952"/>
      </c:barChart>
      <c:catAx>
        <c:axId val="20644441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David" panose="020E0502060401010101" pitchFamily="34" charset="-79"/>
                <a:ea typeface="+mn-ea"/>
                <a:cs typeface="David" panose="020E0502060401010101" pitchFamily="34" charset="-79"/>
              </a:defRPr>
            </a:pPr>
            <a:endParaRPr lang="he-IL"/>
          </a:p>
        </c:txPr>
        <c:crossAx val="206445952"/>
        <c:crosses val="autoZero"/>
        <c:auto val="1"/>
        <c:lblAlgn val="ctr"/>
        <c:lblOffset val="100"/>
        <c:noMultiLvlLbl val="0"/>
      </c:catAx>
      <c:valAx>
        <c:axId val="206445952"/>
        <c:scaling>
          <c:orientation val="minMax"/>
          <c:min val="-0.15000000000000002"/>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David" panose="020E0502060401010101" pitchFamily="34" charset="-79"/>
                <a:ea typeface="+mn-ea"/>
                <a:cs typeface="David" panose="020E0502060401010101" pitchFamily="34" charset="-79"/>
              </a:defRPr>
            </a:pPr>
            <a:endParaRPr lang="he-IL"/>
          </a:p>
        </c:txPr>
        <c:crossAx val="206444416"/>
        <c:crosses val="autoZero"/>
        <c:crossBetween val="between"/>
      </c:valAx>
      <c:spPr>
        <a:noFill/>
        <a:ln>
          <a:noFill/>
        </a:ln>
        <a:effectLst/>
      </c:spPr>
    </c:plotArea>
    <c:legend>
      <c:legendPos val="b"/>
      <c:layout>
        <c:manualLayout>
          <c:xMode val="edge"/>
          <c:yMode val="edge"/>
          <c:x val="0.20685102594372623"/>
          <c:y val="0.84650598291445089"/>
          <c:w val="0.71036572221660277"/>
          <c:h val="5.2833596289702904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David" panose="020E0502060401010101" pitchFamily="34" charset="-79"/>
              <a:ea typeface="+mn-ea"/>
              <a:cs typeface="David" panose="020E0502060401010101" pitchFamily="34"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David" panose="020E0502060401010101" pitchFamily="34" charset="-79"/>
          <a:cs typeface="David" panose="020E0502060401010101" pitchFamily="34" charset="-79"/>
        </a:defRPr>
      </a:pPr>
      <a:endParaRPr lang="he-IL"/>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e-I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Sheet1!$A$2</c:f>
              <c:strCache>
                <c:ptCount val="1"/>
                <c:pt idx="0">
                  <c:v>תקציב 2017-2018</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he-I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Sheet1!$B$1:$F$1</c:f>
              <c:strCache>
                <c:ptCount val="5"/>
                <c:pt idx="0">
                  <c:v>מע''מ יבוא ביטחוני</c:v>
                </c:pt>
                <c:pt idx="1">
                  <c:v>גביית חובות מהלוואות-ריבית</c:v>
                </c:pt>
                <c:pt idx="2">
                  <c:v>מלווה מהמוסד לביטוח לאומי</c:v>
                </c:pt>
                <c:pt idx="3">
                  <c:v>יתר ההכנסות</c:v>
                </c:pt>
                <c:pt idx="4">
                  <c:v>סה"כ</c:v>
                </c:pt>
              </c:strCache>
            </c:strRef>
          </c:cat>
          <c:val>
            <c:numRef>
              <c:f>Sheet1!$B$2:$F$2</c:f>
              <c:numCache>
                <c:formatCode>0.0</c:formatCode>
                <c:ptCount val="5"/>
                <c:pt idx="0">
                  <c:v>1.5</c:v>
                </c:pt>
                <c:pt idx="1">
                  <c:v>0.7</c:v>
                </c:pt>
                <c:pt idx="2">
                  <c:v>21.1</c:v>
                </c:pt>
                <c:pt idx="3">
                  <c:v>7.3</c:v>
                </c:pt>
                <c:pt idx="4">
                  <c:v>30.6</c:v>
                </c:pt>
              </c:numCache>
            </c:numRef>
          </c:val>
          <c:extLst>
            <c:ext xmlns:c16="http://schemas.microsoft.com/office/drawing/2014/chart" uri="{C3380CC4-5D6E-409C-BE32-E72D297353CC}">
              <c16:uniqueId val="{00000000-70A0-493C-A228-C8CC9D5FDD92}"/>
            </c:ext>
          </c:extLst>
        </c:ser>
        <c:ser>
          <c:idx val="1"/>
          <c:order val="1"/>
          <c:tx>
            <c:strRef>
              <c:f>Sheet1!$A$3</c:f>
              <c:strCache>
                <c:ptCount val="1"/>
                <c:pt idx="0">
                  <c:v>תקציב 2019</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he-I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Sheet1!$B$1:$F$1</c:f>
              <c:strCache>
                <c:ptCount val="5"/>
                <c:pt idx="0">
                  <c:v>מע''מ יבוא ביטחוני</c:v>
                </c:pt>
                <c:pt idx="1">
                  <c:v>גביית חובות מהלוואות-ריבית</c:v>
                </c:pt>
                <c:pt idx="2">
                  <c:v>מלווה מהמוסד לביטוח לאומי</c:v>
                </c:pt>
                <c:pt idx="3">
                  <c:v>יתר ההכנסות</c:v>
                </c:pt>
                <c:pt idx="4">
                  <c:v>סה"כ</c:v>
                </c:pt>
              </c:strCache>
            </c:strRef>
          </c:cat>
          <c:val>
            <c:numRef>
              <c:f>Sheet1!$B$3:$F$3</c:f>
              <c:numCache>
                <c:formatCode>0.0</c:formatCode>
                <c:ptCount val="5"/>
                <c:pt idx="0">
                  <c:v>1.4219999999999999</c:v>
                </c:pt>
                <c:pt idx="1">
                  <c:v>0.68799999999999994</c:v>
                </c:pt>
                <c:pt idx="2">
                  <c:v>23.745000000000001</c:v>
                </c:pt>
                <c:pt idx="3">
                  <c:v>5.24</c:v>
                </c:pt>
                <c:pt idx="4">
                  <c:v>31.094999999999999</c:v>
                </c:pt>
              </c:numCache>
            </c:numRef>
          </c:val>
          <c:extLst>
            <c:ext xmlns:c16="http://schemas.microsoft.com/office/drawing/2014/chart" uri="{C3380CC4-5D6E-409C-BE32-E72D297353CC}">
              <c16:uniqueId val="{00000001-70A0-493C-A228-C8CC9D5FDD92}"/>
            </c:ext>
          </c:extLst>
        </c:ser>
        <c:ser>
          <c:idx val="2"/>
          <c:order val="2"/>
          <c:tx>
            <c:strRef>
              <c:f>Sheet1!$A$4</c:f>
              <c:strCache>
                <c:ptCount val="1"/>
                <c:pt idx="0">
                  <c:v>גביה בפועל</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he-I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Sheet1!$B$1:$F$1</c:f>
              <c:strCache>
                <c:ptCount val="5"/>
                <c:pt idx="0">
                  <c:v>מע''מ יבוא ביטחוני</c:v>
                </c:pt>
                <c:pt idx="1">
                  <c:v>גביית חובות מהלוואות-ריבית</c:v>
                </c:pt>
                <c:pt idx="2">
                  <c:v>מלווה מהמוסד לביטוח לאומי</c:v>
                </c:pt>
                <c:pt idx="3">
                  <c:v>יתר ההכנסות</c:v>
                </c:pt>
                <c:pt idx="4">
                  <c:v>סה"כ</c:v>
                </c:pt>
              </c:strCache>
            </c:strRef>
          </c:cat>
          <c:val>
            <c:numRef>
              <c:f>Sheet1!$B$4:$F$4</c:f>
              <c:numCache>
                <c:formatCode>0.0</c:formatCode>
                <c:ptCount val="5"/>
                <c:pt idx="0">
                  <c:v>2</c:v>
                </c:pt>
                <c:pt idx="1">
                  <c:v>0.7</c:v>
                </c:pt>
                <c:pt idx="2">
                  <c:v>23.5</c:v>
                </c:pt>
                <c:pt idx="3">
                  <c:v>6.1</c:v>
                </c:pt>
                <c:pt idx="4">
                  <c:v>32.299999999999997</c:v>
                </c:pt>
              </c:numCache>
            </c:numRef>
          </c:val>
          <c:extLst>
            <c:ext xmlns:c16="http://schemas.microsoft.com/office/drawing/2014/chart" uri="{C3380CC4-5D6E-409C-BE32-E72D297353CC}">
              <c16:uniqueId val="{00000002-70A0-493C-A228-C8CC9D5FDD92}"/>
            </c:ext>
          </c:extLst>
        </c:ser>
        <c:dLbls>
          <c:showLegendKey val="0"/>
          <c:showVal val="0"/>
          <c:showCatName val="0"/>
          <c:showSerName val="0"/>
          <c:showPercent val="0"/>
          <c:showBubbleSize val="0"/>
        </c:dLbls>
        <c:gapWidth val="219"/>
        <c:overlap val="-27"/>
        <c:axId val="206474240"/>
        <c:axId val="206484224"/>
      </c:barChart>
      <c:catAx>
        <c:axId val="2064742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David" panose="020E0502060401010101" pitchFamily="34" charset="-79"/>
                <a:ea typeface="+mn-ea"/>
                <a:cs typeface="David" panose="020E0502060401010101" pitchFamily="34" charset="-79"/>
              </a:defRPr>
            </a:pPr>
            <a:endParaRPr lang="he-IL"/>
          </a:p>
        </c:txPr>
        <c:crossAx val="206484224"/>
        <c:crosses val="autoZero"/>
        <c:auto val="1"/>
        <c:lblAlgn val="ctr"/>
        <c:lblOffset val="100"/>
        <c:noMultiLvlLbl val="0"/>
      </c:catAx>
      <c:valAx>
        <c:axId val="206484224"/>
        <c:scaling>
          <c:orientation val="minMax"/>
        </c:scaling>
        <c:delete val="0"/>
        <c:axPos val="l"/>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he-IL">
                    <a:solidFill>
                      <a:sysClr val="windowText" lastClr="000000"/>
                    </a:solidFill>
                    <a:latin typeface="David" panose="020E0502060401010101" pitchFamily="34" charset="-79"/>
                    <a:cs typeface="David" panose="020E0502060401010101" pitchFamily="34" charset="-79"/>
                  </a:rPr>
                  <a:t>מיליארדי ₪</a:t>
                </a:r>
              </a:p>
            </c:rich>
          </c:tx>
          <c:overlay val="0"/>
          <c:spPr>
            <a:noFill/>
            <a:ln>
              <a:noFill/>
            </a:ln>
            <a:effectLst/>
          </c:sp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he-IL"/>
          </a:p>
        </c:txPr>
        <c:crossAx val="2064742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David" panose="020E0502060401010101" pitchFamily="34" charset="-79"/>
              <a:ea typeface="+mn-ea"/>
              <a:cs typeface="David" panose="020E0502060401010101" pitchFamily="34" charset="-79"/>
            </a:defRPr>
          </a:pPr>
          <a:endParaRPr lang="he-I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e-IL"/>
    </a:p>
  </c:txPr>
  <c:externalData r:id="rId1">
    <c:autoUpdate val="0"/>
  </c:externalData>
</c:chartSpace>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B5DE5-76A0-4D4E-A62A-CC1801045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9285</Words>
  <Characters>48860</Characters>
  <Application>Microsoft Office Word</Application>
  <DocSecurity>4</DocSecurity>
  <Lines>407</Lines>
  <Paragraphs>116</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MOF</Company>
  <LinksUpToDate>false</LinksUpToDate>
  <CharactersWithSpaces>58029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איתי טמקין</dc:creator>
  <cp:lastModifiedBy>מרדכי בן דלאק</cp:lastModifiedBy>
  <cp:revision>2</cp:revision>
  <cp:lastPrinted>2019-01-15T07:40:00Z</cp:lastPrinted>
  <dcterms:created xsi:type="dcterms:W3CDTF">2019-01-17T07:48:00Z</dcterms:created>
  <dcterms:modified xsi:type="dcterms:W3CDTF">2019-01-17T07:48:00Z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orID">
    <vt:lpwstr>notes://MAOR2/Doc/Takzivim/TakdocNew3.nsf/0/54CB68D9F6EADF2FC225835B002F5130/?OpenDocument</vt:lpwstr>
  </property>
  <property fmtid="{D5CDD505-2E9C-101B-9397-08002B2CF9AE}" pid="3" name="MaorRecipients0">
    <vt:lpwstr>tamirc@mof.gov.il</vt:lpwstr>
  </property>
</Properties>
</file>