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2268"/>
        <w:gridCol w:w="2250"/>
      </w:tblGrid>
      <w:tr w:rsidR="001F5009" w:rsidRPr="00451211" w:rsidTr="006C6595">
        <w:trPr>
          <w:tblHeader/>
        </w:trPr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b/>
                <w:bCs/>
                <w:sz w:val="24"/>
                <w:rtl/>
              </w:rPr>
            </w:pPr>
            <w:r w:rsidRPr="00451211">
              <w:rPr>
                <w:rFonts w:hint="cs"/>
                <w:b/>
                <w:bCs/>
                <w:sz w:val="24"/>
                <w:rtl/>
              </w:rPr>
              <w:t>שם מסחרי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b/>
                <w:bCs/>
                <w:sz w:val="24"/>
                <w:rtl/>
              </w:rPr>
            </w:pPr>
            <w:r w:rsidRPr="00451211">
              <w:rPr>
                <w:rFonts w:hint="cs"/>
                <w:b/>
                <w:bCs/>
                <w:sz w:val="24"/>
                <w:rtl/>
              </w:rPr>
              <w:t>שם גנרי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b/>
                <w:bCs/>
                <w:sz w:val="24"/>
                <w:rtl/>
              </w:rPr>
            </w:pPr>
            <w:r w:rsidRPr="00451211">
              <w:rPr>
                <w:rFonts w:hint="cs"/>
                <w:b/>
                <w:bCs/>
                <w:sz w:val="24"/>
                <w:rtl/>
              </w:rPr>
              <w:t>התוויה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Jardiance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Empagliflozin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בסוכרת סוג 2 - הרחבת מסגרת ההכללה בסל - </w:t>
            </w:r>
            <w:r w:rsidRPr="00451211">
              <w:rPr>
                <w:sz w:val="24"/>
              </w:rPr>
              <w:t>eGFR</w:t>
            </w:r>
            <w:r w:rsidRPr="00451211">
              <w:rPr>
                <w:sz w:val="24"/>
                <w:rtl/>
              </w:rPr>
              <w:t xml:space="preserve"> בערך 30 מ"ל/דקה/1.73 מ"ר ומעלה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Victoza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Liraglutide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בסוכרת סוג 2 - הרחבת מסגרת ההכללה בסל עבור ילדים ומתבגרים, לאחר מיצוי או אי סבילות לטיפול במטפורמין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Forxiga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Dapagliflozin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במחלת כליה כרונית עבור חולי </w:t>
            </w:r>
            <w:r w:rsidRPr="00451211">
              <w:rPr>
                <w:sz w:val="24"/>
              </w:rPr>
              <w:t>CKD</w:t>
            </w:r>
            <w:r w:rsidRPr="00451211">
              <w:rPr>
                <w:sz w:val="24"/>
                <w:rtl/>
              </w:rPr>
              <w:t xml:space="preserve"> ללא סוכרת או אי ספיקת לב עם </w:t>
            </w:r>
            <w:r w:rsidRPr="00451211">
              <w:rPr>
                <w:rFonts w:hint="cs"/>
                <w:sz w:val="24"/>
                <w:rtl/>
              </w:rPr>
              <w:t xml:space="preserve">יחס אלבומין/קראטינין </w:t>
            </w:r>
            <w:r w:rsidRPr="00451211">
              <w:rPr>
                <w:sz w:val="24"/>
                <w:rtl/>
              </w:rPr>
              <w:t xml:space="preserve"> בשתן</w:t>
            </w:r>
            <w:r w:rsidRPr="00451211">
              <w:rPr>
                <w:rFonts w:hint="cs"/>
                <w:sz w:val="24"/>
                <w:rtl/>
              </w:rPr>
              <w:t xml:space="preserve"> בערך 200 מ"ג/גרם ומעלה</w:t>
            </w:r>
            <w:r w:rsidRPr="00451211">
              <w:rPr>
                <w:sz w:val="24"/>
                <w:rtl/>
              </w:rPr>
              <w:t xml:space="preserve"> ו-</w:t>
            </w:r>
            <w:r w:rsidRPr="00451211">
              <w:rPr>
                <w:sz w:val="24"/>
              </w:rPr>
              <w:t>eGFR</w:t>
            </w:r>
            <w:r w:rsidRPr="00451211">
              <w:rPr>
                <w:rFonts w:hint="cs"/>
                <w:sz w:val="24"/>
                <w:rtl/>
              </w:rPr>
              <w:t xml:space="preserve"> בין </w:t>
            </w:r>
            <w:r w:rsidRPr="00451211">
              <w:rPr>
                <w:sz w:val="24"/>
              </w:rPr>
              <w:t>25-75</w:t>
            </w:r>
            <w:r w:rsidRPr="00451211">
              <w:rPr>
                <w:rFonts w:hint="cs"/>
                <w:sz w:val="24"/>
                <w:rtl/>
              </w:rPr>
              <w:t xml:space="preserve"> מ"ל/דקה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Rexulti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Brexpiprazole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אוגמנטציה בדיכאון מסוג </w:t>
            </w:r>
            <w:r w:rsidRPr="00451211">
              <w:rPr>
                <w:sz w:val="24"/>
              </w:rPr>
              <w:t>major depressive disorder</w:t>
            </w:r>
            <w:r w:rsidRPr="00451211">
              <w:rPr>
                <w:sz w:val="24"/>
                <w:rtl/>
              </w:rPr>
              <w:t xml:space="preserve">  (</w:t>
            </w:r>
            <w:r w:rsidRPr="00451211">
              <w:rPr>
                <w:sz w:val="24"/>
              </w:rPr>
              <w:t>MDD</w:t>
            </w:r>
            <w:r w:rsidRPr="00451211">
              <w:rPr>
                <w:sz w:val="24"/>
                <w:rtl/>
              </w:rPr>
              <w:t xml:space="preserve">) - </w:t>
            </w:r>
            <w:r w:rsidRPr="00451211">
              <w:rPr>
                <w:sz w:val="24"/>
                <w:rtl/>
              </w:rPr>
              <w:br/>
              <w:t>כקו טיפול שני לחולים שפיתחו תופעות לוואי ל-</w:t>
            </w:r>
            <w:r w:rsidRPr="00451211">
              <w:rPr>
                <w:sz w:val="24"/>
              </w:rPr>
              <w:t>Aripiprazole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Reagila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Cariprazine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בחולי סכיזופרניה אשר עונים על אחד מאלה:</w:t>
            </w:r>
            <w:r w:rsidRPr="00451211">
              <w:rPr>
                <w:sz w:val="24"/>
                <w:rtl/>
              </w:rPr>
              <w:br/>
              <w:t xml:space="preserve">א. טופלו ב </w:t>
            </w:r>
            <w:r w:rsidRPr="00451211">
              <w:rPr>
                <w:sz w:val="24"/>
              </w:rPr>
              <w:t>aripiprazole</w:t>
            </w:r>
            <w:r w:rsidRPr="00451211">
              <w:rPr>
                <w:sz w:val="24"/>
                <w:rtl/>
              </w:rPr>
              <w:t xml:space="preserve"> בעבר או </w:t>
            </w:r>
            <w:r w:rsidRPr="00451211">
              <w:rPr>
                <w:sz w:val="24"/>
                <w:rtl/>
              </w:rPr>
              <w:lastRenderedPageBreak/>
              <w:t>באפיזודה הנוכחית ופיתחו תופעות לוואי לטיפול.</w:t>
            </w:r>
            <w:r w:rsidRPr="00451211">
              <w:rPr>
                <w:sz w:val="24"/>
                <w:rtl/>
              </w:rPr>
              <w:br/>
              <w:t xml:space="preserve">ב. חולים בהם נצפתה יעילות קלינית חלקית בטיפול אנטיפסיכוטי קודם,  המועמדים לטיפול בתכשיר אנטי פסיכוטי מסוג </w:t>
            </w:r>
            <w:r w:rsidRPr="00451211">
              <w:rPr>
                <w:sz w:val="24"/>
              </w:rPr>
              <w:t>D2 partial agonist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PKU Golike 3-16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מזון רפואי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 xml:space="preserve">השלמה תזונתית לחולי </w:t>
            </w:r>
            <w:r w:rsidRPr="00451211">
              <w:rPr>
                <w:sz w:val="24"/>
              </w:rPr>
              <w:t>PKU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PKU Golike 16+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מזון רפואי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 xml:space="preserve">השלמה תזונתית לחולי </w:t>
            </w:r>
            <w:r w:rsidRPr="00451211">
              <w:rPr>
                <w:sz w:val="24"/>
              </w:rPr>
              <w:t>PKU</w:t>
            </w:r>
          </w:p>
        </w:tc>
      </w:tr>
      <w:tr w:rsidR="001F5009" w:rsidRPr="00451211" w:rsidTr="006C6595">
        <w:tc>
          <w:tcPr>
            <w:tcW w:w="3704" w:type="dxa"/>
            <w:gridSpan w:val="2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מזון יעודי להשלמה תזונתית לחולים אונקולוגים עם אבחנת סרטן באיזור ראש צוואר, תירואיד, מערכת העיכול וסרטן ריאות, מגיל 19 ומעלה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Easy daily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Easy drink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Easy fiber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Easy mealk2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Ensure compact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Ensure plus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Ensure plus advance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Glucerna plus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Jevity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Jevity plus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lastRenderedPageBreak/>
              <w:t>Nepro HP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Nepro LP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Nutren 2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Osmolite HN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Peptamen prebio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Vital 1.5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lastRenderedPageBreak/>
              <w:t>Breztri / Trixeo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Budesonide + Glycopyrronium + Formoterol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rFonts w:hint="cs"/>
                <w:sz w:val="24"/>
                <w:rtl/>
              </w:rPr>
              <w:t>טיפול במחלת ריאות חסימתית כרונית (</w:t>
            </w:r>
            <w:r w:rsidRPr="00451211">
              <w:rPr>
                <w:rFonts w:hint="cs"/>
                <w:sz w:val="24"/>
              </w:rPr>
              <w:t>COPD</w:t>
            </w:r>
            <w:r w:rsidRPr="00451211">
              <w:rPr>
                <w:rFonts w:hint="cs"/>
                <w:sz w:val="24"/>
                <w:rtl/>
              </w:rPr>
              <w:t xml:space="preserve">) בחולים עם </w:t>
            </w:r>
            <w:r w:rsidRPr="00451211">
              <w:rPr>
                <w:rFonts w:hint="cs"/>
                <w:sz w:val="24"/>
              </w:rPr>
              <w:t>FEV</w:t>
            </w:r>
            <w:r w:rsidRPr="00451211">
              <w:rPr>
                <w:sz w:val="24"/>
              </w:rPr>
              <w:t>1</w:t>
            </w:r>
            <w:r w:rsidRPr="00451211">
              <w:rPr>
                <w:rFonts w:hint="cs"/>
                <w:sz w:val="24"/>
                <w:rtl/>
              </w:rPr>
              <w:t xml:space="preserve"> שווה או נמוך מ-60% במצב כרוני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Glassia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Alpha 1 antitrypsin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rFonts w:hint="cs"/>
                <w:sz w:val="24"/>
                <w:rtl/>
              </w:rPr>
              <w:t xml:space="preserve">טיפול </w:t>
            </w:r>
            <w:r w:rsidRPr="00451211">
              <w:rPr>
                <w:sz w:val="24"/>
                <w:rtl/>
              </w:rPr>
              <w:t>אוגמנטציה כרוני וטיפול אחזקה בחולים עם חסר מולד ב-</w:t>
            </w:r>
            <w:r w:rsidRPr="00451211">
              <w:rPr>
                <w:sz w:val="24"/>
              </w:rPr>
              <w:t>alpha 1 proteinase inhibitor</w:t>
            </w:r>
            <w:r w:rsidRPr="00451211">
              <w:rPr>
                <w:sz w:val="24"/>
                <w:rtl/>
              </w:rPr>
              <w:t xml:space="preserve"> (</w:t>
            </w:r>
            <w:r w:rsidRPr="00451211">
              <w:rPr>
                <w:sz w:val="24"/>
              </w:rPr>
              <w:t>Alpha 1-antitrypsin deficiency (AAT)</w:t>
            </w:r>
            <w:r w:rsidRPr="00451211">
              <w:rPr>
                <w:sz w:val="24"/>
                <w:rtl/>
              </w:rPr>
              <w:t>) עם עדות קלינית לנפחת הריאות (</w:t>
            </w:r>
            <w:r w:rsidRPr="00451211">
              <w:rPr>
                <w:sz w:val="24"/>
              </w:rPr>
              <w:t>Emphysema</w:t>
            </w:r>
            <w:r w:rsidRPr="00451211">
              <w:rPr>
                <w:sz w:val="24"/>
                <w:rtl/>
              </w:rPr>
              <w:t xml:space="preserve">) 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Rinvoq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Upadacitinib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בדלקת מפרקים פסוריאטית פעילה ומתקדמת</w:t>
            </w:r>
            <w:r w:rsidRPr="00451211">
              <w:rPr>
                <w:rFonts w:hint="cs"/>
                <w:sz w:val="24"/>
                <w:rtl/>
              </w:rPr>
              <w:t xml:space="preserve"> (</w:t>
            </w:r>
            <w:r w:rsidRPr="00451211">
              <w:rPr>
                <w:sz w:val="24"/>
              </w:rPr>
              <w:t>Psoriatic arthritis</w:t>
            </w:r>
            <w:r w:rsidRPr="00451211">
              <w:rPr>
                <w:rFonts w:hint="cs"/>
                <w:sz w:val="24"/>
                <w:rtl/>
              </w:rPr>
              <w:t xml:space="preserve">) </w:t>
            </w:r>
            <w:r w:rsidRPr="00451211">
              <w:rPr>
                <w:sz w:val="24"/>
                <w:rtl/>
              </w:rPr>
              <w:t xml:space="preserve">כקו שני לאחר כישלון בתכשיר ממשפחת מעכבי </w:t>
            </w:r>
            <w:r w:rsidRPr="00451211">
              <w:rPr>
                <w:sz w:val="24"/>
              </w:rPr>
              <w:t>TNF</w:t>
            </w:r>
            <w:r w:rsidRPr="00451211">
              <w:rPr>
                <w:sz w:val="24"/>
                <w:rtl/>
              </w:rPr>
              <w:t xml:space="preserve"> 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Rinvoq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Upadacitinib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Ankylosing spondylitis</w:t>
            </w:r>
            <w:r w:rsidRPr="00451211">
              <w:rPr>
                <w:sz w:val="24"/>
                <w:rtl/>
              </w:rPr>
              <w:t xml:space="preserve"> - </w:t>
            </w:r>
            <w:r w:rsidRPr="00451211">
              <w:rPr>
                <w:sz w:val="24"/>
                <w:rtl/>
              </w:rPr>
              <w:br/>
              <w:t xml:space="preserve">כקו שני לאחר כישלון בתכשיר ממשפחת מעכבי </w:t>
            </w:r>
            <w:r w:rsidRPr="00451211">
              <w:rPr>
                <w:sz w:val="24"/>
              </w:rPr>
              <w:t>TNF</w:t>
            </w:r>
            <w:r w:rsidRPr="00451211">
              <w:rPr>
                <w:sz w:val="24"/>
                <w:rtl/>
              </w:rPr>
              <w:t xml:space="preserve"> 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Saphnelo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Anifrolumab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</w:t>
            </w:r>
            <w:r w:rsidRPr="00451211">
              <w:rPr>
                <w:rFonts w:hint="cs"/>
                <w:sz w:val="24"/>
                <w:rtl/>
              </w:rPr>
              <w:t xml:space="preserve">חולים בגירים עם </w:t>
            </w:r>
            <w:r w:rsidRPr="00451211">
              <w:rPr>
                <w:sz w:val="24"/>
                <w:rtl/>
              </w:rPr>
              <w:t>זאבת אדמנתית מערכתית (</w:t>
            </w:r>
            <w:r w:rsidRPr="00451211">
              <w:rPr>
                <w:sz w:val="24"/>
              </w:rPr>
              <w:t>SLE</w:t>
            </w:r>
            <w:r w:rsidRPr="00451211">
              <w:rPr>
                <w:sz w:val="24"/>
                <w:rtl/>
              </w:rPr>
              <w:t xml:space="preserve">) </w:t>
            </w:r>
            <w:r w:rsidRPr="00451211">
              <w:rPr>
                <w:rFonts w:hint="cs"/>
                <w:sz w:val="24"/>
                <w:rtl/>
              </w:rPr>
              <w:t>פעילה</w:t>
            </w:r>
            <w:r w:rsidRPr="00451211">
              <w:rPr>
                <w:sz w:val="24"/>
                <w:rtl/>
              </w:rPr>
              <w:t>, אשר נכשלו על טיפול סטנדרטי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Benlysta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Belimumab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בזאבת אדמנתית מערכתית (</w:t>
            </w:r>
            <w:r w:rsidRPr="00451211">
              <w:rPr>
                <w:sz w:val="24"/>
              </w:rPr>
              <w:t>SLE</w:t>
            </w:r>
            <w:r w:rsidRPr="00451211">
              <w:rPr>
                <w:sz w:val="24"/>
                <w:rtl/>
              </w:rPr>
              <w:t xml:space="preserve">) - </w:t>
            </w:r>
            <w:r w:rsidRPr="00451211">
              <w:rPr>
                <w:sz w:val="24"/>
                <w:rtl/>
              </w:rPr>
              <w:br/>
              <w:t>הרחבת מסגרת ההכללה בסל עבור ילדים</w:t>
            </w:r>
            <w:r w:rsidRPr="00451211">
              <w:rPr>
                <w:rFonts w:hint="cs"/>
                <w:sz w:val="24"/>
                <w:rtl/>
              </w:rPr>
              <w:t xml:space="preserve"> בני 5 שנים ומעלה,  על אף טיפול סטנדרטי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Benlysta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Belimumab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Lupus nephritis</w:t>
            </w:r>
            <w:r w:rsidRPr="00451211">
              <w:rPr>
                <w:sz w:val="24"/>
                <w:rtl/>
              </w:rPr>
              <w:t xml:space="preserve"> פעילה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Orladeyo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Berotralstat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מניעתי בהתקפי אנגיואדמה תורשתית</w:t>
            </w:r>
            <w:r w:rsidRPr="00451211">
              <w:rPr>
                <w:rFonts w:hint="cs"/>
                <w:sz w:val="24"/>
                <w:rtl/>
              </w:rPr>
              <w:t xml:space="preserve"> בחולי </w:t>
            </w:r>
            <w:r w:rsidRPr="00451211">
              <w:rPr>
                <w:sz w:val="24"/>
                <w:rtl/>
              </w:rPr>
              <w:t>אנגיואדמה תורשתית (</w:t>
            </w:r>
            <w:r w:rsidRPr="00451211">
              <w:rPr>
                <w:sz w:val="24"/>
              </w:rPr>
              <w:t>HAE</w:t>
            </w:r>
            <w:r w:rsidRPr="00451211">
              <w:rPr>
                <w:sz w:val="24"/>
                <w:rtl/>
              </w:rPr>
              <w:t>) מסוג 1 או 2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Nucala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Mepolizumab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</w:t>
            </w:r>
            <w:r w:rsidRPr="00451211">
              <w:rPr>
                <w:rFonts w:hint="cs"/>
                <w:sz w:val="24"/>
                <w:rtl/>
              </w:rPr>
              <w:t xml:space="preserve"> בתסמונת היפראאוזינופילית (</w:t>
            </w:r>
            <w:r w:rsidRPr="00451211">
              <w:rPr>
                <w:rFonts w:hint="cs"/>
                <w:sz w:val="24"/>
              </w:rPr>
              <w:t>H</w:t>
            </w:r>
            <w:r w:rsidRPr="00451211">
              <w:rPr>
                <w:sz w:val="24"/>
              </w:rPr>
              <w:t>ypereosinophilic syndrome (HES)</w:t>
            </w:r>
            <w:r w:rsidRPr="00451211">
              <w:rPr>
                <w:rFonts w:hint="cs"/>
                <w:sz w:val="24"/>
                <w:rtl/>
              </w:rPr>
              <w:t>) לא מבוקרת, ללא גורם משני לא המטולוגי.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lastRenderedPageBreak/>
              <w:t>Rinvoq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Upadacitinib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Atopic dermatitis</w:t>
            </w:r>
            <w:r w:rsidRPr="00451211">
              <w:rPr>
                <w:sz w:val="24"/>
                <w:rtl/>
              </w:rPr>
              <w:t xml:space="preserve"> בדרגת חומרה בינונית עד חמורה בחולים שמחלתם לא נשלטת או עבורם קיימת הוריית נגד לאחר טיפול מקומי וקו טיפול סיסטמי אחד לפחות</w:t>
            </w:r>
            <w:r w:rsidRPr="00451211">
              <w:rPr>
                <w:rFonts w:hint="cs"/>
                <w:sz w:val="24"/>
                <w:rtl/>
              </w:rPr>
              <w:t>.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sz w:val="24"/>
                <w:rtl/>
              </w:rPr>
              <w:br/>
              <w:t xml:space="preserve">במהלך מחלתו החולה יהיה זכאי לטיפול באחת מהתרופות - </w:t>
            </w:r>
            <w:r w:rsidRPr="00451211">
              <w:rPr>
                <w:sz w:val="24"/>
              </w:rPr>
              <w:t>Dupilumab</w:t>
            </w:r>
            <w:r w:rsidRPr="00451211">
              <w:rPr>
                <w:sz w:val="24"/>
                <w:rtl/>
              </w:rPr>
              <w:t xml:space="preserve">,  </w:t>
            </w:r>
            <w:r w:rsidRPr="00451211">
              <w:rPr>
                <w:sz w:val="24"/>
              </w:rPr>
              <w:t>Upadacitinib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Prevymis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Letermovir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מניעת רה-אקטיבציה ומחלת </w:t>
            </w:r>
            <w:r w:rsidRPr="00451211">
              <w:rPr>
                <w:sz w:val="24"/>
              </w:rPr>
              <w:t>CMV</w:t>
            </w:r>
            <w:r w:rsidRPr="00451211">
              <w:rPr>
                <w:sz w:val="24"/>
                <w:rtl/>
              </w:rPr>
              <w:t xml:space="preserve"> במבוגרים </w:t>
            </w:r>
            <w:r w:rsidRPr="00451211">
              <w:rPr>
                <w:rFonts w:hint="cs"/>
                <w:sz w:val="24"/>
                <w:rtl/>
              </w:rPr>
              <w:t xml:space="preserve"> שעברו</w:t>
            </w:r>
            <w:r w:rsidRPr="00451211">
              <w:rPr>
                <w:sz w:val="24"/>
                <w:rtl/>
              </w:rPr>
              <w:t xml:space="preserve"> השתלת מח עצם אלוגנאית</w:t>
            </w:r>
            <w:r w:rsidRPr="00451211">
              <w:rPr>
                <w:rFonts w:hint="cs"/>
                <w:sz w:val="24"/>
                <w:rtl/>
              </w:rPr>
              <w:t xml:space="preserve"> </w:t>
            </w:r>
            <w:r w:rsidRPr="00451211">
              <w:rPr>
                <w:sz w:val="24"/>
                <w:rtl/>
              </w:rPr>
              <w:t>–</w:t>
            </w:r>
            <w:r w:rsidRPr="00451211">
              <w:rPr>
                <w:rFonts w:hint="cs"/>
                <w:sz w:val="24"/>
                <w:rtl/>
              </w:rPr>
              <w:t xml:space="preserve"> הרחבת מסגרת ההכללה בסל עבור כלל החולים עם </w:t>
            </w:r>
            <w:r w:rsidRPr="00451211">
              <w:rPr>
                <w:sz w:val="24"/>
                <w:rtl/>
              </w:rPr>
              <w:t xml:space="preserve">בדיקה סרולוגית חיובית ל </w:t>
            </w:r>
            <w:r w:rsidRPr="00451211">
              <w:rPr>
                <w:sz w:val="24"/>
              </w:rPr>
              <w:t>CMV</w:t>
            </w:r>
            <w:r w:rsidRPr="00451211">
              <w:rPr>
                <w:sz w:val="24"/>
                <w:rtl/>
              </w:rPr>
              <w:t xml:space="preserve"> (סרו-חיוב</w:t>
            </w:r>
            <w:r w:rsidRPr="00451211">
              <w:rPr>
                <w:rFonts w:hint="cs"/>
                <w:sz w:val="24"/>
                <w:rtl/>
              </w:rPr>
              <w:t>יים</w:t>
            </w:r>
            <w:r w:rsidRPr="00451211">
              <w:rPr>
                <w:sz w:val="24"/>
                <w:rtl/>
              </w:rPr>
              <w:t xml:space="preserve"> ל </w:t>
            </w:r>
            <w:r w:rsidRPr="00451211">
              <w:rPr>
                <w:sz w:val="24"/>
              </w:rPr>
              <w:t>CMV</w:t>
            </w:r>
            <w:r w:rsidRPr="00451211">
              <w:rPr>
                <w:sz w:val="24"/>
                <w:rtl/>
              </w:rPr>
              <w:t>)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Vocabria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Cabotegravir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במבוגרים נשאי </w:t>
            </w:r>
            <w:r w:rsidRPr="00451211">
              <w:rPr>
                <w:sz w:val="24"/>
              </w:rPr>
              <w:t>HIV-1</w:t>
            </w:r>
            <w:r w:rsidRPr="00451211">
              <w:rPr>
                <w:sz w:val="24"/>
                <w:rtl/>
              </w:rPr>
              <w:t xml:space="preserve"> המדוכאים וירולוגית במשטר טיפול אנטירטרוויראלי קבוע, בשילוב עם </w:t>
            </w:r>
            <w:r w:rsidRPr="00451211">
              <w:rPr>
                <w:sz w:val="24"/>
              </w:rPr>
              <w:t>Rilpivirine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Trogarzo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Ibalizumab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</w:t>
            </w:r>
            <w:r w:rsidRPr="00451211">
              <w:rPr>
                <w:rFonts w:hint="cs"/>
                <w:sz w:val="24"/>
                <w:rtl/>
              </w:rPr>
              <w:t xml:space="preserve">נשאי </w:t>
            </w:r>
            <w:r w:rsidRPr="00451211">
              <w:rPr>
                <w:sz w:val="24"/>
              </w:rPr>
              <w:t>HIV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 xml:space="preserve">עם </w:t>
            </w:r>
            <w:r w:rsidRPr="00451211">
              <w:rPr>
                <w:sz w:val="24"/>
                <w:rtl/>
              </w:rPr>
              <w:t>עמיד</w:t>
            </w:r>
            <w:r w:rsidRPr="00451211">
              <w:rPr>
                <w:rFonts w:hint="cs"/>
                <w:sz w:val="24"/>
                <w:rtl/>
              </w:rPr>
              <w:t>ות רחבה</w:t>
            </w:r>
            <w:r w:rsidRPr="00451211">
              <w:rPr>
                <w:sz w:val="24"/>
                <w:rtl/>
              </w:rPr>
              <w:t xml:space="preserve"> לטיפולים אנטי רטרו ויראליים אחרים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 xml:space="preserve">Truvada / </w:t>
            </w:r>
            <w:r w:rsidRPr="00451211">
              <w:rPr>
                <w:sz w:val="24"/>
              </w:rPr>
              <w:br/>
              <w:t>Emtrivir Teva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Tenofovir disoproxil + Emtricitabine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</w:t>
            </w:r>
            <w:r w:rsidRPr="00451211">
              <w:rPr>
                <w:rFonts w:hint="cs"/>
                <w:sz w:val="24"/>
                <w:rtl/>
              </w:rPr>
              <w:t xml:space="preserve">מונע טרם </w:t>
            </w:r>
            <w:r w:rsidRPr="00451211">
              <w:rPr>
                <w:sz w:val="24"/>
                <w:rtl/>
              </w:rPr>
              <w:t xml:space="preserve"> חשיפה </w:t>
            </w:r>
            <w:r w:rsidRPr="00451211">
              <w:rPr>
                <w:rFonts w:hint="cs"/>
                <w:sz w:val="24"/>
                <w:rtl/>
              </w:rPr>
              <w:t>באנש</w:t>
            </w:r>
            <w:r w:rsidRPr="00451211">
              <w:rPr>
                <w:sz w:val="24"/>
                <w:rtl/>
              </w:rPr>
              <w:t>ים המצויים בסיכון גבוה להידבק ב-</w:t>
            </w:r>
            <w:r w:rsidRPr="00451211">
              <w:rPr>
                <w:sz w:val="24"/>
              </w:rPr>
              <w:t>HIV</w:t>
            </w:r>
            <w:r w:rsidRPr="00451211">
              <w:rPr>
                <w:rFonts w:hint="cs"/>
                <w:sz w:val="24"/>
                <w:rtl/>
              </w:rPr>
              <w:t xml:space="preserve"> - </w:t>
            </w:r>
            <w:r w:rsidRPr="00451211">
              <w:rPr>
                <w:sz w:val="24"/>
                <w:rtl/>
              </w:rPr>
              <w:t>הפחתת ההשתתפות העצמית ל-70 ₪ לאריזה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Jardiance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Empagliflozin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בחולי אי ספיקת לב תסמינית (</w:t>
            </w:r>
            <w:r w:rsidRPr="00451211">
              <w:rPr>
                <w:sz w:val="24"/>
              </w:rPr>
              <w:t>NYHA II-IV</w:t>
            </w:r>
            <w:r w:rsidRPr="00451211">
              <w:rPr>
                <w:sz w:val="24"/>
                <w:rtl/>
              </w:rPr>
              <w:t>) עם מקטע פליטה ירוד (</w:t>
            </w:r>
            <w:r w:rsidRPr="00451211">
              <w:rPr>
                <w:sz w:val="24"/>
              </w:rPr>
              <w:t>HFrEF</w:t>
            </w:r>
            <w:r w:rsidRPr="00451211">
              <w:rPr>
                <w:sz w:val="24"/>
                <w:rtl/>
              </w:rPr>
              <w:t xml:space="preserve">) בערך 40% ומטה 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>אשר נותרו סימפטומטיים למרות מיצוי טיפול מיטבי למחלתם</w:t>
            </w:r>
            <w:r w:rsidRPr="00451211">
              <w:rPr>
                <w:rFonts w:hint="cs"/>
                <w:sz w:val="24"/>
                <w:rtl/>
              </w:rPr>
              <w:t>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Vyndamax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Tafamidis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בקרדיומיופתיה ב-</w:t>
            </w:r>
            <w:r w:rsidRPr="00451211">
              <w:rPr>
                <w:sz w:val="24"/>
                <w:rtl/>
              </w:rPr>
              <w:br/>
            </w:r>
            <w:r w:rsidRPr="00451211">
              <w:rPr>
                <w:sz w:val="24"/>
              </w:rPr>
              <w:t>wild type or hereditary transthyretin-mediated amyloidosis (ATTR-CM)</w:t>
            </w:r>
            <w:r w:rsidRPr="00451211">
              <w:rPr>
                <w:sz w:val="24"/>
                <w:rtl/>
              </w:rPr>
              <w:t xml:space="preserve"> במטרה להפחית תמותה ואשפוז קרדיווסקולריים - </w:t>
            </w:r>
            <w:r w:rsidRPr="00451211">
              <w:rPr>
                <w:sz w:val="24"/>
                <w:rtl/>
              </w:rPr>
              <w:br/>
              <w:t xml:space="preserve">הרחבת מסגרת ההכללה בסל - עבור חולים בדרגת תפקוד </w:t>
            </w:r>
            <w:r w:rsidRPr="00451211">
              <w:rPr>
                <w:sz w:val="24"/>
              </w:rPr>
              <w:t>NYHA III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Leqvio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Inclisiran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בהיפרכולסטרולמיה, בחולים עם מחלה </w:t>
            </w:r>
            <w:r w:rsidRPr="00451211">
              <w:rPr>
                <w:sz w:val="24"/>
                <w:rtl/>
              </w:rPr>
              <w:lastRenderedPageBreak/>
              <w:t>קרדיווסקולרית ידועה שחוו אוטם שריר הלב או שבץ מוחי איסכמי לא אמבולי בשלוש השנים טרם ההערכה וערכי ה-</w:t>
            </w:r>
            <w:r w:rsidRPr="00451211">
              <w:rPr>
                <w:sz w:val="24"/>
              </w:rPr>
              <w:t>LDL</w:t>
            </w:r>
            <w:r w:rsidRPr="00451211">
              <w:rPr>
                <w:sz w:val="24"/>
                <w:rtl/>
              </w:rPr>
              <w:t xml:space="preserve"> שלהם מעל 100 מ"ג/דצ"ל, למרות טיפול מרבי בסטטינים בשילוב עם </w:t>
            </w:r>
            <w:r w:rsidRPr="00451211">
              <w:rPr>
                <w:sz w:val="24"/>
              </w:rPr>
              <w:t>Ezetimibe</w:t>
            </w:r>
            <w:r w:rsidRPr="00451211">
              <w:rPr>
                <w:sz w:val="24"/>
                <w:rtl/>
              </w:rPr>
              <w:t>, למשך חודשיים לפחות.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lastRenderedPageBreak/>
              <w:t>Opdivo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Nivolumab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 xml:space="preserve">טיפול משלים בסרטן ושט או </w:t>
            </w:r>
            <w:r w:rsidRPr="00451211">
              <w:rPr>
                <w:rFonts w:hint="cs"/>
                <w:sz w:val="24"/>
                <w:rtl/>
              </w:rPr>
              <w:t xml:space="preserve">סרטן </w:t>
            </w:r>
            <w:r w:rsidRPr="00451211">
              <w:rPr>
                <w:sz w:val="24"/>
                <w:rtl/>
              </w:rPr>
              <w:t xml:space="preserve">באזור </w:t>
            </w:r>
            <w:r w:rsidRPr="00451211">
              <w:rPr>
                <w:rFonts w:hint="cs"/>
                <w:sz w:val="24"/>
                <w:rtl/>
              </w:rPr>
              <w:t>המפגש ושט-קיבה (</w:t>
            </w:r>
            <w:r w:rsidRPr="00451211">
              <w:rPr>
                <w:sz w:val="24"/>
              </w:rPr>
              <w:t>Gastroesophageal junction, GEJ</w:t>
            </w:r>
            <w:r w:rsidRPr="00451211">
              <w:rPr>
                <w:rFonts w:hint="cs"/>
                <w:sz w:val="24"/>
                <w:rtl/>
              </w:rPr>
              <w:t>)</w:t>
            </w:r>
            <w:r w:rsidRPr="00451211">
              <w:rPr>
                <w:sz w:val="24"/>
                <w:rtl/>
              </w:rPr>
              <w:t xml:space="preserve"> בחולים עם מחלה שארית פתולוגית לאחר טיפול כימורדיותרפי ניאואדג'ובנטי</w:t>
            </w:r>
            <w:r w:rsidRPr="00451211">
              <w:rPr>
                <w:rFonts w:hint="cs"/>
                <w:sz w:val="24"/>
                <w:rtl/>
              </w:rPr>
              <w:t xml:space="preserve"> (</w:t>
            </w:r>
            <w:r w:rsidRPr="00451211">
              <w:rPr>
                <w:rFonts w:hint="cs"/>
                <w:sz w:val="24"/>
              </w:rPr>
              <w:t>CRT</w:t>
            </w:r>
            <w:r w:rsidRPr="00451211">
              <w:rPr>
                <w:rFonts w:hint="cs"/>
                <w:sz w:val="24"/>
                <w:rtl/>
              </w:rPr>
              <w:t>).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rFonts w:hint="cs"/>
                <w:sz w:val="24"/>
                <w:rtl/>
              </w:rPr>
              <w:t>משך הטיפול לא יעלה על שנה.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Phesgo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Pertuzumab + Trastuzumab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ניאו אדג'ובנטי בסרטן שד מתקדם מקומי, דלקתי או מוקדם, </w:t>
            </w:r>
            <w:r w:rsidRPr="00451211">
              <w:rPr>
                <w:sz w:val="24"/>
              </w:rPr>
              <w:t>HER2</w:t>
            </w:r>
            <w:r w:rsidRPr="00451211">
              <w:rPr>
                <w:sz w:val="24"/>
                <w:rtl/>
              </w:rPr>
              <w:t xml:space="preserve"> חיובי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Phesgo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Pertuzumab + Trastuzumab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משלים בסרטן שד מוקדם, </w:t>
            </w:r>
            <w:r w:rsidRPr="00451211">
              <w:rPr>
                <w:sz w:val="24"/>
              </w:rPr>
              <w:t>HER2</w:t>
            </w:r>
            <w:r w:rsidRPr="00451211">
              <w:rPr>
                <w:sz w:val="24"/>
                <w:rtl/>
              </w:rPr>
              <w:t xml:space="preserve"> חיובי, בסיכון גבוה לחזרת מחלה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Phesgo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Pertuzumab + Trastuzumab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שד גרורתי, </w:t>
            </w:r>
            <w:r w:rsidRPr="00451211">
              <w:rPr>
                <w:sz w:val="24"/>
              </w:rPr>
              <w:t>HER2</w:t>
            </w:r>
            <w:r w:rsidRPr="00451211">
              <w:rPr>
                <w:sz w:val="24"/>
                <w:rtl/>
              </w:rPr>
              <w:t xml:space="preserve"> חיובי, כקו טיפול ראשון מבוסס </w:t>
            </w:r>
            <w:r w:rsidRPr="00451211">
              <w:rPr>
                <w:sz w:val="24"/>
              </w:rPr>
              <w:t>HER2</w:t>
            </w:r>
            <w:r w:rsidRPr="00451211">
              <w:rPr>
                <w:sz w:val="24"/>
                <w:rtl/>
              </w:rPr>
              <w:t xml:space="preserve"> למחלה גרורתית.</w:t>
            </w:r>
            <w:r w:rsidRPr="00451211">
              <w:rPr>
                <w:sz w:val="24"/>
                <w:rtl/>
              </w:rPr>
              <w:br/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Keytruda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Pembrolizumab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</w:t>
            </w:r>
            <w:r w:rsidRPr="00451211">
              <w:rPr>
                <w:rFonts w:hint="cs"/>
                <w:sz w:val="24"/>
                <w:rtl/>
              </w:rPr>
              <w:t xml:space="preserve">שד מתקדם מקומי לא </w:t>
            </w:r>
            <w:r w:rsidRPr="00451211">
              <w:rPr>
                <w:sz w:val="24"/>
                <w:rtl/>
              </w:rPr>
              <w:t xml:space="preserve"> נתיח או גרורתי מסוג </w:t>
            </w:r>
            <w:r w:rsidRPr="00451211">
              <w:rPr>
                <w:sz w:val="24"/>
              </w:rPr>
              <w:t>Triple negative (TNBC)</w:t>
            </w:r>
            <w:r w:rsidRPr="00451211">
              <w:rPr>
                <w:sz w:val="24"/>
                <w:rtl/>
              </w:rPr>
              <w:t xml:space="preserve"> המבטא </w:t>
            </w:r>
            <w:r w:rsidRPr="00451211">
              <w:rPr>
                <w:sz w:val="24"/>
              </w:rPr>
              <w:t xml:space="preserve">PD-L1 </w:t>
            </w:r>
            <w:r w:rsidRPr="00451211">
              <w:rPr>
                <w:rFonts w:hint="cs"/>
                <w:sz w:val="24"/>
                <w:rtl/>
              </w:rPr>
              <w:t xml:space="preserve">בערך </w:t>
            </w:r>
            <w:r w:rsidRPr="00451211">
              <w:rPr>
                <w:rFonts w:hint="cs"/>
                <w:sz w:val="24"/>
              </w:rPr>
              <w:t>CPS</w:t>
            </w:r>
            <w:r w:rsidRPr="00451211">
              <w:rPr>
                <w:rFonts w:hint="cs"/>
                <w:sz w:val="24"/>
                <w:rtl/>
              </w:rPr>
              <w:t xml:space="preserve"> של  </w:t>
            </w:r>
            <w:r w:rsidRPr="00451211">
              <w:rPr>
                <w:sz w:val="24"/>
                <w:rtl/>
              </w:rPr>
              <w:t>10</w:t>
            </w:r>
            <w:r w:rsidRPr="00451211">
              <w:rPr>
                <w:rFonts w:hint="cs"/>
                <w:sz w:val="24"/>
                <w:rtl/>
              </w:rPr>
              <w:t xml:space="preserve"> ומעלה, 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 xml:space="preserve">אשר טרם קיבל טיפול כימותרפי למחלתו המתקדמת או הגרורתית. </w:t>
            </w:r>
            <w:r w:rsidRPr="00451211">
              <w:rPr>
                <w:sz w:val="24"/>
                <w:rtl/>
              </w:rPr>
              <w:br/>
            </w:r>
            <w:r w:rsidRPr="00451211">
              <w:rPr>
                <w:rFonts w:hint="cs"/>
                <w:sz w:val="24"/>
                <w:rtl/>
              </w:rPr>
              <w:t xml:space="preserve">הטיפול יינתן </w:t>
            </w:r>
            <w:r w:rsidRPr="00451211">
              <w:rPr>
                <w:sz w:val="24"/>
                <w:rtl/>
              </w:rPr>
              <w:t>בשילוב עם כימותרפיה.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Enhertu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Trastuzumab deruxtecan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שד לא נתיח או גרורתי מסוג </w:t>
            </w:r>
            <w:r w:rsidRPr="00451211">
              <w:rPr>
                <w:sz w:val="24"/>
              </w:rPr>
              <w:t>HER2</w:t>
            </w:r>
            <w:r w:rsidRPr="00451211">
              <w:rPr>
                <w:sz w:val="24"/>
                <w:rtl/>
              </w:rPr>
              <w:t xml:space="preserve"> חיובי בחולים שקיבלו  שני טיפולים קודמים מבוססי </w:t>
            </w:r>
            <w:r w:rsidRPr="00451211">
              <w:rPr>
                <w:sz w:val="24"/>
              </w:rPr>
              <w:t>HER2</w:t>
            </w:r>
            <w:r w:rsidRPr="00451211">
              <w:rPr>
                <w:sz w:val="24"/>
                <w:rtl/>
              </w:rPr>
              <w:t xml:space="preserve">: </w:t>
            </w:r>
            <w:r w:rsidRPr="00451211">
              <w:rPr>
                <w:sz w:val="24"/>
                <w:rtl/>
              </w:rPr>
              <w:br/>
              <w:t xml:space="preserve">*כקו שני בחולים שמחלתם </w:t>
            </w:r>
            <w:r w:rsidRPr="00451211">
              <w:rPr>
                <w:rFonts w:hint="cs"/>
                <w:sz w:val="24"/>
                <w:rtl/>
              </w:rPr>
              <w:t>אובחנה בשלב מוקדם ו</w:t>
            </w:r>
            <w:r w:rsidRPr="00451211">
              <w:rPr>
                <w:sz w:val="24"/>
                <w:rtl/>
              </w:rPr>
              <w:t xml:space="preserve">התקדמה </w:t>
            </w:r>
            <w:r w:rsidRPr="00451211">
              <w:rPr>
                <w:rFonts w:hint="cs"/>
                <w:sz w:val="24"/>
                <w:rtl/>
              </w:rPr>
              <w:t>לשלב גרורתי</w:t>
            </w:r>
            <w:r w:rsidRPr="00451211">
              <w:rPr>
                <w:sz w:val="24"/>
                <w:rtl/>
              </w:rPr>
              <w:br/>
              <w:t xml:space="preserve">*כקו שלישי לחולים שאובחנו </w:t>
            </w:r>
            <w:r w:rsidRPr="00451211">
              <w:rPr>
                <w:sz w:val="24"/>
              </w:rPr>
              <w:t>de novo</w:t>
            </w:r>
            <w:r w:rsidRPr="00451211">
              <w:rPr>
                <w:sz w:val="24"/>
                <w:rtl/>
              </w:rPr>
              <w:t xml:space="preserve"> בשלב גרורתי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lastRenderedPageBreak/>
              <w:t>Jemperli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Dostarlimab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רחם גרורתי בחולה שהיא  מסוג 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MSI-H (microsatellite instability high)</w:t>
            </w:r>
            <w:r w:rsidRPr="00451211">
              <w:rPr>
                <w:sz w:val="24"/>
                <w:rtl/>
              </w:rPr>
              <w:t xml:space="preserve"> או </w:t>
            </w:r>
            <w:r w:rsidRPr="00451211">
              <w:rPr>
                <w:sz w:val="24"/>
              </w:rPr>
              <w:t>dMMR (mismatch repair deficient)</w:t>
            </w:r>
            <w:r w:rsidRPr="00451211">
              <w:rPr>
                <w:rFonts w:hint="cs"/>
                <w:sz w:val="24"/>
                <w:rtl/>
              </w:rPr>
              <w:t>,</w:t>
            </w:r>
            <w:r w:rsidRPr="00451211">
              <w:rPr>
                <w:sz w:val="24"/>
                <w:rtl/>
              </w:rPr>
              <w:t xml:space="preserve">  </w:t>
            </w:r>
            <w:r w:rsidRPr="00451211">
              <w:rPr>
                <w:rFonts w:hint="cs"/>
                <w:sz w:val="24"/>
                <w:rtl/>
              </w:rPr>
              <w:t xml:space="preserve">אשר </w:t>
            </w:r>
            <w:r w:rsidRPr="00451211">
              <w:rPr>
                <w:sz w:val="24"/>
                <w:rtl/>
              </w:rPr>
              <w:t>מחלתה התקדמה לאחר קו טיפול אחד או יותר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Keytruda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Pembrolizumab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</w:t>
            </w:r>
            <w:r w:rsidRPr="00451211">
              <w:rPr>
                <w:rFonts w:hint="cs"/>
                <w:sz w:val="24"/>
                <w:rtl/>
              </w:rPr>
              <w:t xml:space="preserve">עור מסוג תאים קשקשיים </w:t>
            </w:r>
            <w:r w:rsidRPr="00451211">
              <w:rPr>
                <w:sz w:val="24"/>
                <w:rtl/>
              </w:rPr>
              <w:t>(</w:t>
            </w:r>
            <w:r w:rsidRPr="00451211">
              <w:rPr>
                <w:sz w:val="24"/>
              </w:rPr>
              <w:t>squamous cell carcinoma</w:t>
            </w:r>
            <w:r w:rsidRPr="00451211">
              <w:rPr>
                <w:sz w:val="24"/>
                <w:rtl/>
              </w:rPr>
              <w:t>)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>מתקדם מקומי, בחולה מבוגר שאינו מועמד להסרה כירורגית קוראטיבית או הקרנות קוראטיביות.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Opdivo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Nivolumab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rFonts w:hint="cs"/>
                <w:sz w:val="24"/>
                <w:rtl/>
              </w:rPr>
              <w:t xml:space="preserve">טיפול </w:t>
            </w:r>
            <w:r w:rsidRPr="00451211">
              <w:rPr>
                <w:sz w:val="24"/>
                <w:rtl/>
              </w:rPr>
              <w:t>בסרטן כליה מתקדם או גרורתי כקו טיפול ראשון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</w:rPr>
              <w:t>Nivolumab</w:t>
            </w:r>
            <w:r w:rsidRPr="00451211">
              <w:rPr>
                <w:sz w:val="24"/>
                <w:rtl/>
              </w:rPr>
              <w:t xml:space="preserve"> בשילוב עם </w:t>
            </w:r>
            <w:r w:rsidRPr="00451211">
              <w:rPr>
                <w:sz w:val="24"/>
              </w:rPr>
              <w:t>Cabozantinib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 xml:space="preserve"> בחולים בדרגת סיכון </w:t>
            </w:r>
            <w:r w:rsidRPr="00451211">
              <w:rPr>
                <w:sz w:val="24"/>
              </w:rPr>
              <w:t>poor</w:t>
            </w:r>
            <w:r w:rsidRPr="00451211">
              <w:rPr>
                <w:sz w:val="24"/>
                <w:rtl/>
              </w:rPr>
              <w:t xml:space="preserve"> או </w:t>
            </w:r>
            <w:r w:rsidRPr="00451211">
              <w:rPr>
                <w:sz w:val="24"/>
              </w:rPr>
              <w:t>intermediate</w:t>
            </w:r>
            <w:r w:rsidRPr="00451211">
              <w:rPr>
                <w:sz w:val="24"/>
                <w:rtl/>
              </w:rPr>
              <w:t>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Cabometyx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Cabozantinib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Keytruda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Pembrolizumab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</w:t>
            </w:r>
            <w:r w:rsidRPr="00451211">
              <w:rPr>
                <w:rFonts w:hint="cs"/>
                <w:sz w:val="24"/>
                <w:rtl/>
              </w:rPr>
              <w:t xml:space="preserve">בסרטן כליה מתקדם או גרורתי כקו טיפול ראשון, </w:t>
            </w:r>
            <w:r w:rsidRPr="00451211">
              <w:rPr>
                <w:sz w:val="24"/>
              </w:rPr>
              <w:lastRenderedPageBreak/>
              <w:t>Pembrolizumab</w:t>
            </w:r>
            <w:r w:rsidRPr="00451211">
              <w:rPr>
                <w:rFonts w:hint="cs"/>
                <w:sz w:val="24"/>
                <w:rtl/>
              </w:rPr>
              <w:t xml:space="preserve"> בשילוב עם </w:t>
            </w:r>
            <w:r w:rsidRPr="00451211">
              <w:rPr>
                <w:sz w:val="24"/>
              </w:rPr>
              <w:t>Lenvatinib</w:t>
            </w:r>
            <w:r w:rsidRPr="00451211">
              <w:rPr>
                <w:sz w:val="24"/>
                <w:rtl/>
              </w:rPr>
              <w:t xml:space="preserve">, </w:t>
            </w:r>
            <w:r w:rsidRPr="00451211">
              <w:rPr>
                <w:rFonts w:hint="cs"/>
                <w:sz w:val="24"/>
                <w:rtl/>
              </w:rPr>
              <w:t xml:space="preserve">בחולים בדרגת סיכון </w:t>
            </w:r>
            <w:r w:rsidRPr="00451211">
              <w:rPr>
                <w:sz w:val="24"/>
              </w:rPr>
              <w:t>poor</w:t>
            </w:r>
            <w:r w:rsidRPr="00451211">
              <w:rPr>
                <w:rFonts w:hint="cs"/>
                <w:sz w:val="24"/>
                <w:rtl/>
              </w:rPr>
              <w:t xml:space="preserve"> או </w:t>
            </w:r>
            <w:r w:rsidRPr="00451211">
              <w:rPr>
                <w:sz w:val="24"/>
              </w:rPr>
              <w:t>intermediate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Lenvima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Lenvatinib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Opdivo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Nivolumab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משלים בסרטן בדרכי השתן שחדר את שכבת השריר (</w:t>
            </w:r>
            <w:r w:rsidRPr="00451211">
              <w:rPr>
                <w:sz w:val="24"/>
              </w:rPr>
              <w:t>MIUC</w:t>
            </w:r>
            <w:r w:rsidRPr="00451211">
              <w:rPr>
                <w:sz w:val="24"/>
                <w:rtl/>
              </w:rPr>
              <w:t>) בחולים בסיכון גבוה לחזרת מחלה לאחר הסרה כירורגית מלאה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 xml:space="preserve">המבטאים 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sz w:val="24"/>
              </w:rPr>
              <w:t>PDL1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>בערך 1% ומעלה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Tagrisso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Osimertinib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</w:t>
            </w:r>
            <w:r w:rsidRPr="00451211">
              <w:rPr>
                <w:rFonts w:hint="cs"/>
                <w:sz w:val="24"/>
                <w:rtl/>
              </w:rPr>
              <w:t>י</w:t>
            </w:r>
            <w:r w:rsidRPr="00451211">
              <w:rPr>
                <w:sz w:val="24"/>
                <w:rtl/>
              </w:rPr>
              <w:t xml:space="preserve">פול משלים בסרטן ריאה מסוג </w:t>
            </w:r>
            <w:r w:rsidRPr="00451211">
              <w:rPr>
                <w:sz w:val="24"/>
              </w:rPr>
              <w:t>NSCLC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 xml:space="preserve">בשלב מחלה </w:t>
            </w:r>
            <w:r w:rsidRPr="00451211">
              <w:rPr>
                <w:sz w:val="24"/>
              </w:rPr>
              <w:t>IB-IIIA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 xml:space="preserve">בגידולים עם מוטציות מסוג </w:t>
            </w:r>
            <w:r w:rsidRPr="00451211">
              <w:rPr>
                <w:sz w:val="24"/>
              </w:rPr>
              <w:t>EGFR exon 19 deletions</w:t>
            </w:r>
            <w:r w:rsidRPr="00451211">
              <w:rPr>
                <w:sz w:val="24"/>
                <w:rtl/>
              </w:rPr>
              <w:t xml:space="preserve"> או </w:t>
            </w:r>
            <w:r w:rsidRPr="00451211">
              <w:rPr>
                <w:sz w:val="24"/>
              </w:rPr>
              <w:t>exon 21 L858R mutations</w:t>
            </w:r>
            <w:r w:rsidRPr="00451211">
              <w:rPr>
                <w:sz w:val="24"/>
                <w:rtl/>
              </w:rPr>
              <w:t xml:space="preserve">. 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Lorviqua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Lorlatinib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ריאה </w:t>
            </w:r>
            <w:r w:rsidRPr="00451211">
              <w:rPr>
                <w:rFonts w:hint="cs"/>
                <w:sz w:val="24"/>
                <w:rtl/>
              </w:rPr>
              <w:t xml:space="preserve">גרורתי </w:t>
            </w:r>
            <w:r w:rsidRPr="00451211">
              <w:rPr>
                <w:sz w:val="24"/>
                <w:rtl/>
              </w:rPr>
              <w:t xml:space="preserve">מסוג </w:t>
            </w:r>
            <w:r w:rsidRPr="00451211">
              <w:rPr>
                <w:sz w:val="24"/>
              </w:rPr>
              <w:t>ALK+ NSCLC</w:t>
            </w:r>
            <w:r w:rsidRPr="00451211">
              <w:rPr>
                <w:sz w:val="24"/>
                <w:rtl/>
              </w:rPr>
              <w:t xml:space="preserve"> - הרחבת מסגרת ההכללה בסל כקו טיפול ראשון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Tabrecta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Capmatinib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ריאה גרורתי מסוג </w:t>
            </w:r>
            <w:r w:rsidRPr="00451211">
              <w:rPr>
                <w:sz w:val="24"/>
              </w:rPr>
              <w:t>NSCLC</w:t>
            </w:r>
            <w:r w:rsidRPr="00451211">
              <w:rPr>
                <w:sz w:val="24"/>
                <w:rtl/>
              </w:rPr>
              <w:t xml:space="preserve"> בגידול המבטא מוטציה מסוג </w:t>
            </w:r>
            <w:r w:rsidRPr="00451211">
              <w:rPr>
                <w:sz w:val="24"/>
                <w:rtl/>
              </w:rPr>
              <w:br/>
            </w:r>
            <w:r w:rsidRPr="00451211">
              <w:rPr>
                <w:sz w:val="24"/>
              </w:rPr>
              <w:t xml:space="preserve">mesenchymal-epithelial transition </w:t>
            </w:r>
            <w:r w:rsidRPr="00451211">
              <w:rPr>
                <w:sz w:val="24"/>
              </w:rPr>
              <w:lastRenderedPageBreak/>
              <w:t>(MET) exon 14 skipping</w:t>
            </w:r>
            <w:r w:rsidRPr="00451211">
              <w:rPr>
                <w:sz w:val="24"/>
                <w:rtl/>
              </w:rPr>
              <w:t xml:space="preserve"> כקו טיפול ראשון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Tepmetko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Tepotinib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Gavreto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Pralsetinib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ריאה גרורתי מסוג </w:t>
            </w:r>
            <w:r w:rsidRPr="00451211">
              <w:rPr>
                <w:sz w:val="24"/>
              </w:rPr>
              <w:t>RET fusion positive NSCLC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Opdivo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Nivolumab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 xml:space="preserve">טיפול קו ראשון במזותליומה פלאורלית ממאירה </w:t>
            </w:r>
            <w:r w:rsidRPr="00451211">
              <w:rPr>
                <w:rFonts w:hint="cs"/>
                <w:sz w:val="24"/>
                <w:rtl/>
              </w:rPr>
              <w:t>(</w:t>
            </w:r>
            <w:r w:rsidRPr="00451211">
              <w:rPr>
                <w:sz w:val="24"/>
              </w:rPr>
              <w:t>malignant pleural mesothelioma (MPM)</w:t>
            </w:r>
            <w:r w:rsidRPr="00451211">
              <w:rPr>
                <w:rFonts w:hint="cs"/>
                <w:sz w:val="24"/>
                <w:rtl/>
              </w:rPr>
              <w:t xml:space="preserve">) </w:t>
            </w:r>
            <w:r w:rsidRPr="00451211">
              <w:rPr>
                <w:sz w:val="24"/>
                <w:rtl/>
              </w:rPr>
              <w:t>לא נתיחה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</w:rPr>
              <w:t>Nivolumab</w:t>
            </w:r>
            <w:r w:rsidRPr="00451211">
              <w:rPr>
                <w:rFonts w:hint="cs"/>
                <w:sz w:val="24"/>
                <w:rtl/>
              </w:rPr>
              <w:t xml:space="preserve"> בשילוב עם </w:t>
            </w:r>
            <w:r w:rsidRPr="00451211">
              <w:rPr>
                <w:sz w:val="24"/>
              </w:rPr>
              <w:t>Ipilimumab</w:t>
            </w:r>
            <w:r w:rsidRPr="00451211">
              <w:rPr>
                <w:rFonts w:hint="cs"/>
                <w:sz w:val="24"/>
                <w:rtl/>
              </w:rPr>
              <w:t>,</w:t>
            </w:r>
            <w:r w:rsidRPr="00451211">
              <w:rPr>
                <w:sz w:val="24"/>
                <w:rtl/>
              </w:rPr>
              <w:t xml:space="preserve"> עבור חולים עם היסטולוגיה מסוג </w:t>
            </w:r>
            <w:r w:rsidRPr="00451211">
              <w:rPr>
                <w:sz w:val="24"/>
              </w:rPr>
              <w:t>non epithelioid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 xml:space="preserve">כולל </w:t>
            </w:r>
            <w:r w:rsidRPr="00451211">
              <w:rPr>
                <w:sz w:val="24"/>
              </w:rPr>
              <w:t>sarcomatoid /mixed/other</w:t>
            </w:r>
            <w:r w:rsidRPr="00451211">
              <w:rPr>
                <w:rFonts w:hint="cs"/>
                <w:sz w:val="24"/>
                <w:rtl/>
              </w:rPr>
              <w:t>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Yervoy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Ipilimumab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Danyelza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Naxitamab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 xml:space="preserve">טיפול בנוירובלסטומה חוזרת או רפרקטורית, בסיכון גבוה, בחולים שהגיבו לטיפול קודם (תגובה חלקית, מינורית או מחלה יציבה), בשילוב עם </w:t>
            </w:r>
            <w:r w:rsidRPr="00451211">
              <w:rPr>
                <w:sz w:val="24"/>
              </w:rPr>
              <w:t>GM-CSF</w:t>
            </w:r>
            <w:r w:rsidRPr="00451211">
              <w:rPr>
                <w:sz w:val="24"/>
                <w:rtl/>
              </w:rPr>
              <w:t>.</w:t>
            </w:r>
            <w:r w:rsidRPr="00451211">
              <w:rPr>
                <w:sz w:val="24"/>
                <w:rtl/>
              </w:rPr>
              <w:br/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rFonts w:hint="cs"/>
                <w:sz w:val="24"/>
                <w:rtl/>
              </w:rPr>
              <w:t xml:space="preserve">בשלב של מחלה </w:t>
            </w:r>
            <w:r w:rsidRPr="00451211">
              <w:rPr>
                <w:sz w:val="24"/>
                <w:rtl/>
              </w:rPr>
              <w:t xml:space="preserve">חוזרת או רפרקטורית </w:t>
            </w:r>
            <w:r w:rsidRPr="00451211">
              <w:rPr>
                <w:rFonts w:hint="cs"/>
                <w:sz w:val="24"/>
                <w:rtl/>
              </w:rPr>
              <w:t xml:space="preserve">החולה יהיה זכאי לאחת מבין התרופות </w:t>
            </w:r>
            <w:r w:rsidRPr="00451211">
              <w:rPr>
                <w:sz w:val="24"/>
                <w:rtl/>
              </w:rPr>
              <w:t>–</w:t>
            </w:r>
            <w:r w:rsidRPr="00451211">
              <w:rPr>
                <w:rFonts w:hint="cs"/>
                <w:sz w:val="24"/>
                <w:rtl/>
              </w:rPr>
              <w:t xml:space="preserve"> </w:t>
            </w:r>
            <w:r w:rsidRPr="00451211">
              <w:rPr>
                <w:sz w:val="24"/>
              </w:rPr>
              <w:lastRenderedPageBreak/>
              <w:t>Naxitamab, Dinutuximab beta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lastRenderedPageBreak/>
              <w:t>Koselugo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Selumetinib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בנוירופיברומטוזיס מסוג 1 בחולים עם נוירופיברומות פלקסיפורמיות, סימפטומטיות בלתי נתיחות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Gavreto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Pralsetinib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מתקדם או גרורתי של בלוטת התריס מסוג </w:t>
            </w:r>
            <w:r w:rsidRPr="00451211">
              <w:rPr>
                <w:sz w:val="24"/>
              </w:rPr>
              <w:t>RET-fusion positive</w:t>
            </w:r>
            <w:r w:rsidRPr="00451211">
              <w:rPr>
                <w:sz w:val="24"/>
                <w:rtl/>
              </w:rPr>
              <w:t>, בחולים הזקוקים לטיפול סיסטמי, העמידים לטיפול ביוד רדיואקטיבי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Gavreto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Pralsetinib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בסרטן מתקדם או גרורתי, מדולרי של בלוטת התריס מסוג </w:t>
            </w:r>
            <w:r w:rsidRPr="00451211">
              <w:rPr>
                <w:sz w:val="24"/>
              </w:rPr>
              <w:t>RET-mutant</w:t>
            </w:r>
            <w:r w:rsidRPr="00451211">
              <w:rPr>
                <w:sz w:val="24"/>
                <w:rtl/>
              </w:rPr>
              <w:t>, בחולים הזקוקים לטיפול סיסטמי.</w:t>
            </w:r>
          </w:p>
        </w:tc>
      </w:tr>
      <w:tr w:rsidR="001F5009" w:rsidRPr="00451211" w:rsidTr="006C6595">
        <w:trPr>
          <w:trHeight w:val="8018"/>
        </w:trPr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Vitrakvi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Larotrectinib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 xml:space="preserve">טיפול בגידולים סולידיים עם איחוי גני מסוג </w:t>
            </w:r>
            <w:r w:rsidRPr="00451211">
              <w:rPr>
                <w:sz w:val="24"/>
              </w:rPr>
              <w:t>NTRK</w:t>
            </w:r>
            <w:r w:rsidRPr="00451211">
              <w:rPr>
                <w:sz w:val="24"/>
                <w:rtl/>
              </w:rPr>
              <w:t xml:space="preserve"> עם מחלה מתקדמת מקומית או גרורתית אשר מיצו את אופציות הטיפול האפשריות למחלתם - הרחבת מסגרת ההכללה בסל כקו טיפול ראשון עבור:</w:t>
            </w:r>
          </w:p>
          <w:p w:rsidR="001F5009" w:rsidRPr="00451211" w:rsidRDefault="001F5009" w:rsidP="006C6595">
            <w:pPr>
              <w:spacing w:after="240" w:line="360" w:lineRule="auto"/>
              <w:jc w:val="right"/>
              <w:rPr>
                <w:sz w:val="24"/>
                <w:rtl/>
              </w:rPr>
            </w:pPr>
            <w:r w:rsidRPr="00451211">
              <w:rPr>
                <w:sz w:val="24"/>
              </w:rPr>
              <w:t>*Infantile Fibrosarcoma</w:t>
            </w:r>
            <w:r w:rsidRPr="00451211">
              <w:rPr>
                <w:sz w:val="24"/>
                <w:rtl/>
              </w:rPr>
              <w:br/>
            </w:r>
            <w:r w:rsidRPr="00451211">
              <w:rPr>
                <w:sz w:val="24"/>
              </w:rPr>
              <w:t>*Congenital Mesoblastic Nephroma –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rFonts w:hint="cs"/>
                <w:sz w:val="24"/>
                <w:rtl/>
              </w:rPr>
              <w:t>לא נתיחה או גרורתית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*Infant High Grade Glioma (HGG)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Oxlumo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Lumasiran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 - </w:t>
            </w:r>
            <w:r w:rsidRPr="00451211">
              <w:rPr>
                <w:sz w:val="24"/>
              </w:rPr>
              <w:t>Primary hyperoxaluria type 1 (PH1)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Nexviazyme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Avalglucosidase Alfa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אנזימטי חליפי לטווח ארוך לחולים במחלת פומפה (</w:t>
            </w:r>
            <w:r w:rsidRPr="00451211">
              <w:rPr>
                <w:sz w:val="24"/>
              </w:rPr>
              <w:t>Pompe's disease</w:t>
            </w:r>
            <w:r w:rsidRPr="00451211">
              <w:rPr>
                <w:sz w:val="24"/>
                <w:rtl/>
              </w:rPr>
              <w:t>) (חסר באנזים אלפא-גלוקוזידאז)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Crysvita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Burosumab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X-linked Hypophosphataemia</w:t>
            </w:r>
            <w:r w:rsidRPr="00451211">
              <w:rPr>
                <w:sz w:val="24"/>
                <w:rtl/>
              </w:rPr>
              <w:t xml:space="preserve"> - </w:t>
            </w:r>
            <w:r w:rsidRPr="00451211">
              <w:rPr>
                <w:sz w:val="24"/>
                <w:rtl/>
              </w:rPr>
              <w:br/>
            </w:r>
            <w:r w:rsidRPr="00451211">
              <w:rPr>
                <w:sz w:val="24"/>
                <w:rtl/>
              </w:rPr>
              <w:lastRenderedPageBreak/>
              <w:t>הרחבת מסגרת ההכללה עבור מבוגרים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 xml:space="preserve">Forteo, </w:t>
            </w:r>
            <w:r w:rsidRPr="00451211">
              <w:rPr>
                <w:sz w:val="24"/>
              </w:rPr>
              <w:br/>
              <w:t>Teriparatide generic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Teriparatide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באוסטיאופורוזיס - הרחבת מסגרת ההכללה בסל - קו טיפול ראשון בחולים עם אוסטאופורוזיס אידיופתי או מטופלות פוסטמנפאוזליות</w:t>
            </w:r>
            <w:r w:rsidRPr="00451211">
              <w:rPr>
                <w:rFonts w:hint="cs"/>
                <w:sz w:val="24"/>
                <w:rtl/>
              </w:rPr>
              <w:t>,</w:t>
            </w:r>
            <w:r w:rsidRPr="00451211">
              <w:rPr>
                <w:sz w:val="24"/>
                <w:rtl/>
              </w:rPr>
              <w:t xml:space="preserve"> המצויים בסיכון גבוה מאוד לשבר, אשר עברו שבר אחד בשנתיים האחרונות עם צפיפות עצם נמוכה מ-2.5-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Signifor LAR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Pasireotide pamoate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במחלת קושינג בחולים אשר חוו כישלון טיפולי בניתוח או בחולים שבהם לא ניתן לטפל באמצעות ניתוח.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Zeposia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Ozanimod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</w:t>
            </w:r>
            <w:r w:rsidRPr="00451211">
              <w:rPr>
                <w:rFonts w:hint="cs"/>
                <w:sz w:val="24"/>
                <w:rtl/>
              </w:rPr>
              <w:t xml:space="preserve">מחלת מעי דלקתית מסוג </w:t>
            </w:r>
            <w:r w:rsidRPr="00451211">
              <w:rPr>
                <w:sz w:val="24"/>
              </w:rPr>
              <w:t>Ulcerative colitis</w:t>
            </w:r>
            <w:r w:rsidRPr="00451211">
              <w:rPr>
                <w:sz w:val="24"/>
                <w:rtl/>
              </w:rPr>
              <w:t xml:space="preserve"> בדרגת חומרה בינונית עד חמורה, בחולים שמיצו טיפול קודם – טיפול לא ביולוגי או טיפול ביולוגי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Gattex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Teduglutide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>טיפול ב</w:t>
            </w:r>
            <w:r w:rsidRPr="00451211">
              <w:rPr>
                <w:rFonts w:hint="cs"/>
                <w:sz w:val="24"/>
                <w:rtl/>
              </w:rPr>
              <w:t>תסמונת המעי הקצר (</w:t>
            </w:r>
            <w:r w:rsidRPr="00451211">
              <w:rPr>
                <w:sz w:val="24"/>
              </w:rPr>
              <w:t>Short bowel syndrome (SBS)</w:t>
            </w:r>
            <w:r w:rsidRPr="00451211">
              <w:rPr>
                <w:rFonts w:hint="cs"/>
                <w:sz w:val="24"/>
                <w:rtl/>
              </w:rPr>
              <w:t>)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 xml:space="preserve">בחולים עם סיבוכים קשים ומסכני חיים בשל הזנה תוך ורידית </w:t>
            </w:r>
            <w:r w:rsidRPr="00451211">
              <w:rPr>
                <w:sz w:val="24"/>
                <w:rtl/>
              </w:rPr>
              <w:t xml:space="preserve">- </w:t>
            </w:r>
            <w:r w:rsidRPr="00451211">
              <w:rPr>
                <w:sz w:val="24"/>
                <w:rtl/>
              </w:rPr>
              <w:lastRenderedPageBreak/>
              <w:t xml:space="preserve">הרחבת מסגרת ההכללה בסל עבור ילדים 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Antrolin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Nifedipine + Lidocaine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בפיסורות</w:t>
            </w:r>
            <w:r w:rsidRPr="00451211">
              <w:rPr>
                <w:rFonts w:hint="cs"/>
                <w:sz w:val="24"/>
                <w:rtl/>
              </w:rPr>
              <w:t xml:space="preserve"> בפי הטבעת</w:t>
            </w:r>
            <w:r w:rsidRPr="00451211">
              <w:rPr>
                <w:sz w:val="24"/>
                <w:rtl/>
              </w:rPr>
              <w:t xml:space="preserve"> וב</w:t>
            </w:r>
            <w:r w:rsidRPr="00451211">
              <w:rPr>
                <w:rFonts w:hint="cs"/>
                <w:sz w:val="24"/>
                <w:rtl/>
              </w:rPr>
              <w:t xml:space="preserve">תסמינים </w:t>
            </w:r>
            <w:r w:rsidRPr="00451211">
              <w:rPr>
                <w:sz w:val="24"/>
                <w:rtl/>
              </w:rPr>
              <w:t>פרוקטולוגי</w:t>
            </w:r>
            <w:r w:rsidRPr="00451211">
              <w:rPr>
                <w:rFonts w:hint="cs"/>
                <w:sz w:val="24"/>
                <w:rtl/>
              </w:rPr>
              <w:t xml:space="preserve">ים </w:t>
            </w:r>
            <w:r w:rsidRPr="00451211">
              <w:rPr>
                <w:sz w:val="24"/>
                <w:rtl/>
              </w:rPr>
              <w:t>ה</w:t>
            </w:r>
            <w:r w:rsidRPr="00451211">
              <w:rPr>
                <w:rFonts w:hint="cs"/>
                <w:sz w:val="24"/>
                <w:rtl/>
              </w:rPr>
              <w:t xml:space="preserve">נגרמים כתוצאה מכיווץ יתר (היפרטוניה) של הסוגר בפי הטבעת. 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Ocaliva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Obeticholic acid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primary biliary cholangitis</w:t>
            </w:r>
            <w:r w:rsidRPr="00451211">
              <w:rPr>
                <w:sz w:val="24"/>
                <w:rtl/>
              </w:rPr>
              <w:t xml:space="preserve"> כקו טיפול שני, לאחר מיצוי טיפול ב-</w:t>
            </w:r>
            <w:r w:rsidRPr="00451211">
              <w:rPr>
                <w:sz w:val="24"/>
              </w:rPr>
              <w:t>Ursodeoxycholic acid (UDCA)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Revolade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Eltrombopag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Idiopathic thrombocytopenic purpura (ITP)</w:t>
            </w:r>
            <w:r w:rsidRPr="00451211">
              <w:rPr>
                <w:sz w:val="24"/>
                <w:rtl/>
              </w:rPr>
              <w:t xml:space="preserve"> - הרחבת מסגרת ההכללה בסל:</w:t>
            </w:r>
            <w:r w:rsidRPr="00451211">
              <w:rPr>
                <w:sz w:val="24"/>
                <w:rtl/>
              </w:rPr>
              <w:br/>
              <w:t xml:space="preserve">א. </w:t>
            </w:r>
            <w:r w:rsidRPr="00451211">
              <w:rPr>
                <w:sz w:val="24"/>
              </w:rPr>
              <w:t>ITP</w:t>
            </w:r>
            <w:r w:rsidRPr="00451211">
              <w:rPr>
                <w:sz w:val="24"/>
                <w:rtl/>
              </w:rPr>
              <w:t xml:space="preserve"> כרונית או פרסיסטנטית (עיקשת)</w:t>
            </w:r>
            <w:r w:rsidRPr="00451211">
              <w:rPr>
                <w:sz w:val="24"/>
                <w:rtl/>
              </w:rPr>
              <w:br/>
              <w:t>ב. אחרי מיצוי טיפול בסטרואידים או אימונוגלובולינים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Nplate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Romiplostim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Alprolix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Eftrenonacog alfa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ומניעה של דימומים בחולים עם המופיליה </w:t>
            </w:r>
            <w:r w:rsidRPr="00451211">
              <w:rPr>
                <w:sz w:val="24"/>
              </w:rPr>
              <w:t>B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>(</w:t>
            </w:r>
            <w:r w:rsidRPr="00451211">
              <w:rPr>
                <w:sz w:val="24"/>
                <w:rtl/>
              </w:rPr>
              <w:t>חסר מולד של פקטור</w:t>
            </w:r>
            <w:r w:rsidRPr="00451211">
              <w:rPr>
                <w:rFonts w:hint="cs"/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</w:rPr>
              <w:t>IX</w:t>
            </w:r>
            <w:r w:rsidRPr="00451211">
              <w:rPr>
                <w:rFonts w:hint="cs"/>
                <w:sz w:val="24"/>
                <w:rtl/>
              </w:rPr>
              <w:t>)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Nuwiq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Simoctocog alfa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ומניעה של דימומים בחולים עם </w:t>
            </w:r>
            <w:r w:rsidRPr="00451211">
              <w:rPr>
                <w:sz w:val="24"/>
                <w:rtl/>
              </w:rPr>
              <w:lastRenderedPageBreak/>
              <w:t xml:space="preserve">המופיליה </w:t>
            </w:r>
            <w:r w:rsidRPr="00451211">
              <w:rPr>
                <w:rFonts w:hint="cs"/>
                <w:sz w:val="24"/>
              </w:rPr>
              <w:t>A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>(</w:t>
            </w:r>
            <w:r w:rsidRPr="00451211">
              <w:rPr>
                <w:sz w:val="24"/>
                <w:rtl/>
              </w:rPr>
              <w:t>חסר מולד של פקטור</w:t>
            </w:r>
            <w:r w:rsidRPr="00451211">
              <w:rPr>
                <w:rFonts w:hint="cs"/>
                <w:sz w:val="24"/>
                <w:rtl/>
              </w:rPr>
              <w:t xml:space="preserve"> </w:t>
            </w:r>
            <w:r w:rsidRPr="00451211">
              <w:rPr>
                <w:sz w:val="24"/>
              </w:rPr>
              <w:t>VIII</w:t>
            </w:r>
            <w:r w:rsidRPr="00451211">
              <w:rPr>
                <w:rFonts w:hint="cs"/>
                <w:sz w:val="24"/>
                <w:rtl/>
              </w:rPr>
              <w:t>)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Elocta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 xml:space="preserve">Efmoroctocog alfa 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ומניעה של דימומים בחולים עם המופיליה </w:t>
            </w:r>
            <w:r w:rsidRPr="00451211">
              <w:rPr>
                <w:rFonts w:hint="cs"/>
                <w:sz w:val="24"/>
              </w:rPr>
              <w:t>A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>(</w:t>
            </w:r>
            <w:r w:rsidRPr="00451211">
              <w:rPr>
                <w:sz w:val="24"/>
                <w:rtl/>
              </w:rPr>
              <w:t>חסר מולד של פקטור</w:t>
            </w:r>
            <w:r w:rsidRPr="00451211">
              <w:rPr>
                <w:rFonts w:hint="cs"/>
                <w:sz w:val="24"/>
                <w:rtl/>
              </w:rPr>
              <w:t xml:space="preserve"> </w:t>
            </w:r>
            <w:r w:rsidRPr="00451211">
              <w:rPr>
                <w:sz w:val="24"/>
              </w:rPr>
              <w:t>VIII</w:t>
            </w:r>
            <w:r w:rsidRPr="00451211">
              <w:rPr>
                <w:rFonts w:hint="cs"/>
                <w:sz w:val="24"/>
                <w:rtl/>
              </w:rPr>
              <w:t>)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Jakavi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Ruxolitinib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בפוליציתמיה ורה בחולים עם עמידות או אי סבילות ל-</w:t>
            </w:r>
            <w:r w:rsidRPr="00451211">
              <w:rPr>
                <w:sz w:val="24"/>
              </w:rPr>
              <w:t>Hydroxyurea</w:t>
            </w:r>
            <w:r w:rsidRPr="00451211">
              <w:rPr>
                <w:rFonts w:hint="cs"/>
                <w:sz w:val="24"/>
                <w:rtl/>
              </w:rPr>
              <w:t xml:space="preserve"> ותרופה ממשפחת האינטרפרונים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Blincyto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Blinatumomab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בילדים חולי לוקמיה מסוג </w:t>
            </w:r>
            <w:r w:rsidRPr="00451211">
              <w:rPr>
                <w:sz w:val="24"/>
              </w:rPr>
              <w:t>Philadelphia chromosome negative CD19 positive B-precursor ALL</w:t>
            </w:r>
            <w:r w:rsidRPr="00451211">
              <w:rPr>
                <w:sz w:val="24"/>
                <w:rtl/>
              </w:rPr>
              <w:t xml:space="preserve"> בסיכון גבוה בחזרת מחלה ראשונה כחלק מטיפול קונסולידציה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Onureg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Azacitidine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 xml:space="preserve">טיפול מתמשך בלוקמיה מסוג </w:t>
            </w:r>
            <w:r w:rsidRPr="00451211">
              <w:rPr>
                <w:sz w:val="24"/>
              </w:rPr>
              <w:t>Acute myeloid leukemia</w:t>
            </w:r>
            <w:r w:rsidRPr="00451211">
              <w:rPr>
                <w:sz w:val="24"/>
                <w:rtl/>
              </w:rPr>
              <w:t xml:space="preserve"> בחולים שהשיגו תגובה מלאה או תגובה מלאה עם</w:t>
            </w:r>
            <w:r w:rsidRPr="00451211">
              <w:rPr>
                <w:rFonts w:hint="cs"/>
                <w:sz w:val="24"/>
                <w:rtl/>
              </w:rPr>
              <w:t xml:space="preserve"> החלמה לא מלאה של ספירות הדם (</w:t>
            </w:r>
            <w:r w:rsidRPr="00451211">
              <w:rPr>
                <w:sz w:val="24"/>
              </w:rPr>
              <w:t>incomplete blood count recovery (CRi)</w:t>
            </w:r>
            <w:r w:rsidRPr="00451211">
              <w:rPr>
                <w:rFonts w:hint="cs"/>
                <w:sz w:val="24"/>
                <w:rtl/>
              </w:rPr>
              <w:t>)</w:t>
            </w:r>
            <w:r w:rsidRPr="00451211">
              <w:rPr>
                <w:sz w:val="24"/>
                <w:rtl/>
              </w:rPr>
              <w:t xml:space="preserve"> לאחר אינדוקציה </w:t>
            </w:r>
            <w:r w:rsidRPr="00451211">
              <w:rPr>
                <w:sz w:val="24"/>
                <w:rtl/>
              </w:rPr>
              <w:lastRenderedPageBreak/>
              <w:t>כימותרפית אינטנסיבית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 xml:space="preserve">שאינם מסוגלים לקבל טיפול קוראטיבי אינטנסיבי. 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rFonts w:hint="cs"/>
                <w:sz w:val="24"/>
                <w:rtl/>
              </w:rPr>
              <w:t xml:space="preserve">במחלה מסוג </w:t>
            </w:r>
            <w:r w:rsidRPr="00451211">
              <w:rPr>
                <w:rFonts w:hint="cs"/>
                <w:sz w:val="24"/>
              </w:rPr>
              <w:t>AML</w:t>
            </w:r>
            <w:r w:rsidRPr="00451211">
              <w:rPr>
                <w:rFonts w:hint="cs"/>
                <w:sz w:val="24"/>
                <w:rtl/>
              </w:rPr>
              <w:t xml:space="preserve"> עם מוטציה מסוג </w:t>
            </w:r>
            <w:r w:rsidRPr="00451211">
              <w:rPr>
                <w:sz w:val="24"/>
              </w:rPr>
              <w:t>FLT3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 xml:space="preserve">במהלך מחלתו יוכל החולה לקבל תרופה אחת </w:t>
            </w:r>
            <w:r w:rsidRPr="00451211">
              <w:rPr>
                <w:rFonts w:hint="cs"/>
                <w:sz w:val="24"/>
                <w:rtl/>
              </w:rPr>
              <w:t xml:space="preserve">מבין השתיים </w:t>
            </w:r>
            <w:r w:rsidRPr="00451211">
              <w:rPr>
                <w:sz w:val="24"/>
                <w:rtl/>
              </w:rPr>
              <w:t xml:space="preserve">כטיפול אחזקה – </w:t>
            </w:r>
            <w:r w:rsidRPr="00451211">
              <w:rPr>
                <w:sz w:val="24"/>
              </w:rPr>
              <w:t>Azacitidine, Midostaurin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Calquence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Acalabrutinib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Chronic lymphocytic leukemia (CLL)</w:t>
            </w:r>
            <w:r w:rsidRPr="00451211">
              <w:rPr>
                <w:sz w:val="24"/>
                <w:rtl/>
              </w:rPr>
              <w:t xml:space="preserve"> או </w:t>
            </w:r>
            <w:r w:rsidRPr="00451211">
              <w:rPr>
                <w:sz w:val="24"/>
              </w:rPr>
              <w:t>Small lymphocytic lymphoma (SLL)</w:t>
            </w:r>
            <w:r w:rsidRPr="00451211">
              <w:rPr>
                <w:sz w:val="24"/>
                <w:rtl/>
              </w:rPr>
              <w:t xml:space="preserve"> - הרחבת מסגרת ההכללה בסל לשילוב עם </w:t>
            </w:r>
            <w:r w:rsidRPr="00451211">
              <w:rPr>
                <w:sz w:val="24"/>
              </w:rPr>
              <w:t>Obinutuzumab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Adcetris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Brentuximab vedotin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</w:t>
            </w:r>
            <w:r w:rsidRPr="00451211">
              <w:rPr>
                <w:rFonts w:hint="cs"/>
                <w:sz w:val="24"/>
                <w:rtl/>
              </w:rPr>
              <w:t xml:space="preserve">לימפומה מסוג </w:t>
            </w:r>
            <w:r w:rsidRPr="00451211">
              <w:rPr>
                <w:sz w:val="24"/>
              </w:rPr>
              <w:t>Hodgkin</w:t>
            </w:r>
            <w:r w:rsidRPr="00451211">
              <w:rPr>
                <w:sz w:val="24"/>
                <w:rtl/>
              </w:rPr>
              <w:t xml:space="preserve"> כקו טיפול ראשון </w:t>
            </w:r>
            <w:r w:rsidRPr="00451211">
              <w:rPr>
                <w:rFonts w:hint="cs"/>
                <w:sz w:val="24"/>
                <w:rtl/>
              </w:rPr>
              <w:t>עבור חולים עם מחלה מתקדמת (שלב 3-4) בשילוב כימותרפיה, בחולים שאינם מועמדים לטיפול בבלאומיצין (</w:t>
            </w:r>
            <w:r w:rsidRPr="00451211">
              <w:rPr>
                <w:sz w:val="24"/>
              </w:rPr>
              <w:t>Bleomycin</w:t>
            </w:r>
            <w:r w:rsidRPr="00451211">
              <w:rPr>
                <w:rFonts w:hint="cs"/>
                <w:sz w:val="24"/>
                <w:rtl/>
              </w:rPr>
              <w:t xml:space="preserve">) </w:t>
            </w:r>
            <w:r w:rsidRPr="00451211">
              <w:rPr>
                <w:sz w:val="24"/>
                <w:rtl/>
              </w:rPr>
              <w:t xml:space="preserve">- </w:t>
            </w:r>
            <w:r w:rsidRPr="00451211">
              <w:rPr>
                <w:sz w:val="24"/>
                <w:rtl/>
              </w:rPr>
              <w:br/>
              <w:t xml:space="preserve">הרחבת מסגרת </w:t>
            </w:r>
            <w:r w:rsidRPr="00451211">
              <w:rPr>
                <w:sz w:val="24"/>
                <w:rtl/>
              </w:rPr>
              <w:lastRenderedPageBreak/>
              <w:t xml:space="preserve">ההכללה בסל עבור מבוגרים בני 60 ומעלה 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Keytruda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Pembrolizumab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בלימפומה מסוג הודג'קין - </w:t>
            </w:r>
            <w:r w:rsidRPr="00451211">
              <w:rPr>
                <w:sz w:val="24"/>
                <w:rtl/>
              </w:rPr>
              <w:br/>
              <w:t>הרחבת מסגרת ההכללה בסל עבור מבוגרים עם מחלה חוזרת או רפרקטורית</w:t>
            </w:r>
            <w:r w:rsidRPr="00451211">
              <w:rPr>
                <w:rFonts w:hint="cs"/>
                <w:sz w:val="24"/>
                <w:rtl/>
              </w:rPr>
              <w:t xml:space="preserve"> -</w:t>
            </w:r>
            <w:r w:rsidRPr="00451211">
              <w:rPr>
                <w:sz w:val="24"/>
                <w:rtl/>
              </w:rPr>
              <w:br/>
              <w:t xml:space="preserve">הקדמת קו הטיפול </w:t>
            </w:r>
            <w:r w:rsidRPr="00451211">
              <w:rPr>
                <w:rFonts w:hint="cs"/>
                <w:sz w:val="24"/>
                <w:rtl/>
              </w:rPr>
              <w:t xml:space="preserve">מקו שלישי </w:t>
            </w:r>
            <w:r w:rsidRPr="00451211">
              <w:rPr>
                <w:sz w:val="24"/>
                <w:rtl/>
              </w:rPr>
              <w:t xml:space="preserve">לקו שני 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Keytruda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Pembrolizumab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בלימפומה מסוג הודג'קין - הרחבת מסגרת ההכללה בסל עבור ילדים עם מחלה רפרקטורית או עם מחלה חוזרת לאחר לפחות 2 קווי טיפול.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Tecartus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Brexucabtagene autoleucel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בלימפומה חוזרת או רפרקטורית מסוג </w:t>
            </w:r>
            <w:r w:rsidRPr="00451211">
              <w:rPr>
                <w:sz w:val="24"/>
              </w:rPr>
              <w:t>Mantle cell</w:t>
            </w:r>
            <w:r w:rsidRPr="00451211">
              <w:rPr>
                <w:sz w:val="24"/>
                <w:rtl/>
              </w:rPr>
              <w:t xml:space="preserve"> לאחר שני קווי טיפול סיסטמיים ומעלה</w:t>
            </w:r>
            <w:r w:rsidRPr="00451211">
              <w:rPr>
                <w:rFonts w:hint="cs"/>
                <w:sz w:val="24"/>
                <w:rtl/>
              </w:rPr>
              <w:t xml:space="preserve">, כולל מעכב </w:t>
            </w:r>
            <w:r w:rsidRPr="00451211">
              <w:rPr>
                <w:rFonts w:hint="cs"/>
                <w:sz w:val="24"/>
              </w:rPr>
              <w:t>BTK</w:t>
            </w:r>
            <w:r w:rsidRPr="00451211">
              <w:rPr>
                <w:rFonts w:hint="cs"/>
                <w:sz w:val="24"/>
                <w:rtl/>
              </w:rPr>
              <w:t>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Imbruvica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Ibrutinib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Waldenstrom's macroglobulinemia</w:t>
            </w:r>
            <w:r w:rsidRPr="00451211">
              <w:rPr>
                <w:sz w:val="24"/>
                <w:rtl/>
              </w:rPr>
              <w:t xml:space="preserve"> - הרחבת מסגרת ההכללה בסל - בחולה שמחלתו התקדמה לאחר </w:t>
            </w:r>
            <w:r w:rsidRPr="00451211">
              <w:rPr>
                <w:rFonts w:hint="cs"/>
                <w:sz w:val="24"/>
                <w:rtl/>
              </w:rPr>
              <w:t>קו טיפול אחד לפחות.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rFonts w:hint="cs"/>
                <w:sz w:val="24"/>
                <w:rtl/>
              </w:rPr>
              <w:t xml:space="preserve">במהלך מחלתו החולה יהיה זכאי לטיפול </w:t>
            </w:r>
            <w:r w:rsidRPr="00451211">
              <w:rPr>
                <w:rFonts w:hint="cs"/>
                <w:sz w:val="24"/>
                <w:rtl/>
              </w:rPr>
              <w:lastRenderedPageBreak/>
              <w:t xml:space="preserve">בתרופה אחת בלבד ממשפחת מעכבי </w:t>
            </w:r>
            <w:r w:rsidRPr="00451211">
              <w:rPr>
                <w:rFonts w:hint="cs"/>
                <w:sz w:val="24"/>
              </w:rPr>
              <w:t>BTK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Brukinsa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Zanubrutinib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Waldenstrom's macroglobulinemia</w:t>
            </w:r>
            <w:r w:rsidRPr="00451211">
              <w:rPr>
                <w:sz w:val="24"/>
                <w:rtl/>
              </w:rPr>
              <w:t xml:space="preserve"> - בחולה שמחלתו התקדמה לאחר </w:t>
            </w:r>
            <w:r w:rsidRPr="00451211">
              <w:rPr>
                <w:rFonts w:hint="cs"/>
                <w:sz w:val="24"/>
                <w:rtl/>
              </w:rPr>
              <w:t>קו טיפול אחד לפחות.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rFonts w:hint="cs"/>
                <w:sz w:val="24"/>
                <w:rtl/>
              </w:rPr>
              <w:t xml:space="preserve">במהלך מחלתו החולה יהיה זכאי לטיפול בתרופה אחת בלבד ממשפחת מעכבי </w:t>
            </w:r>
            <w:r w:rsidRPr="00451211">
              <w:rPr>
                <w:rFonts w:hint="cs"/>
                <w:sz w:val="24"/>
              </w:rPr>
              <w:t>BTK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Sylvant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Siltuximab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>טיפול ב-</w:t>
            </w:r>
            <w:r w:rsidRPr="00451211">
              <w:rPr>
                <w:sz w:val="24"/>
              </w:rPr>
              <w:t>multicentric Castleman’s disease (MCD)</w:t>
            </w:r>
            <w:r w:rsidRPr="00451211">
              <w:rPr>
                <w:rFonts w:hint="cs"/>
                <w:sz w:val="24"/>
                <w:rtl/>
              </w:rPr>
              <w:t>, בחולים שהם שליליים ל-</w:t>
            </w:r>
            <w:r w:rsidRPr="00451211">
              <w:rPr>
                <w:sz w:val="24"/>
              </w:rPr>
              <w:t>immunodeficiency virus (HIV)</w:t>
            </w:r>
            <w:r w:rsidRPr="00451211">
              <w:rPr>
                <w:rFonts w:hint="cs"/>
                <w:sz w:val="24"/>
                <w:rtl/>
              </w:rPr>
              <w:t xml:space="preserve"> 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rFonts w:hint="cs"/>
                <w:sz w:val="24"/>
                <w:rtl/>
              </w:rPr>
              <w:t>ו-</w:t>
            </w:r>
            <w:r w:rsidRPr="00451211">
              <w:rPr>
                <w:sz w:val="24"/>
              </w:rPr>
              <w:t>human herpesvirus-8 (HHV-8)</w:t>
            </w:r>
            <w:r w:rsidRPr="00451211">
              <w:rPr>
                <w:sz w:val="24"/>
                <w:rtl/>
              </w:rPr>
              <w:t>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Imnovid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Pomalidomide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במיאלומה נפוצה</w:t>
            </w:r>
            <w:r w:rsidRPr="00451211">
              <w:rPr>
                <w:rFonts w:hint="cs"/>
                <w:sz w:val="24"/>
                <w:rtl/>
              </w:rPr>
              <w:t xml:space="preserve"> </w:t>
            </w:r>
            <w:r w:rsidRPr="00451211">
              <w:rPr>
                <w:sz w:val="24"/>
                <w:rtl/>
              </w:rPr>
              <w:t>–</w:t>
            </w:r>
            <w:r w:rsidRPr="00451211">
              <w:rPr>
                <w:rFonts w:hint="cs"/>
                <w:sz w:val="24"/>
                <w:rtl/>
              </w:rPr>
              <w:t xml:space="preserve"> הרחבת מסגרת ההכללה בסל </w:t>
            </w:r>
            <w:r w:rsidRPr="00451211">
              <w:rPr>
                <w:sz w:val="24"/>
                <w:rtl/>
              </w:rPr>
              <w:t xml:space="preserve"> כקו טיפול שלישי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Imnovid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Pomalidomide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במיאלומה נפוצה - ביטול המגבלה</w:t>
            </w:r>
            <w:r w:rsidRPr="00451211">
              <w:rPr>
                <w:rFonts w:hint="cs"/>
                <w:sz w:val="24"/>
                <w:rtl/>
              </w:rPr>
              <w:t xml:space="preserve"> הקיימת</w:t>
            </w:r>
            <w:r w:rsidRPr="00451211">
              <w:rPr>
                <w:sz w:val="24"/>
                <w:rtl/>
              </w:rPr>
              <w:t xml:space="preserve"> </w:t>
            </w:r>
            <w:r w:rsidRPr="00451211">
              <w:rPr>
                <w:rFonts w:hint="cs"/>
                <w:sz w:val="24"/>
                <w:rtl/>
              </w:rPr>
              <w:t xml:space="preserve">לפיה </w:t>
            </w:r>
            <w:r w:rsidRPr="00451211">
              <w:rPr>
                <w:sz w:val="24"/>
                <w:rtl/>
              </w:rPr>
              <w:t xml:space="preserve">כל חולה </w:t>
            </w:r>
            <w:r w:rsidRPr="00451211">
              <w:rPr>
                <w:rFonts w:hint="cs"/>
                <w:sz w:val="24"/>
                <w:rtl/>
              </w:rPr>
              <w:t xml:space="preserve">זכאי </w:t>
            </w:r>
            <w:r w:rsidRPr="00451211">
              <w:rPr>
                <w:sz w:val="24"/>
                <w:rtl/>
              </w:rPr>
              <w:t xml:space="preserve">לקבל רק אחת משתי התרופות - </w:t>
            </w:r>
            <w:r w:rsidRPr="00451211">
              <w:rPr>
                <w:sz w:val="24"/>
              </w:rPr>
              <w:lastRenderedPageBreak/>
              <w:t>Pomalidomide, Carfilzomib</w:t>
            </w:r>
            <w:r w:rsidRPr="00451211">
              <w:rPr>
                <w:sz w:val="24"/>
                <w:rtl/>
              </w:rPr>
              <w:t xml:space="preserve"> - במהלך מחלתו.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Kyprolis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Carfilzomib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 xml:space="preserve">טיפול במיאלומה נפוצה - ביטול המגבלה </w:t>
            </w:r>
            <w:r w:rsidRPr="00451211">
              <w:rPr>
                <w:rFonts w:hint="cs"/>
                <w:sz w:val="24"/>
                <w:rtl/>
              </w:rPr>
              <w:t xml:space="preserve">הקיימת לפיה </w:t>
            </w:r>
            <w:r w:rsidRPr="00451211">
              <w:rPr>
                <w:sz w:val="24"/>
                <w:rtl/>
              </w:rPr>
              <w:t xml:space="preserve">כל חולה </w:t>
            </w:r>
            <w:r w:rsidRPr="00451211">
              <w:rPr>
                <w:rFonts w:hint="cs"/>
                <w:sz w:val="24"/>
                <w:rtl/>
              </w:rPr>
              <w:t xml:space="preserve">זכאי </w:t>
            </w:r>
            <w:r w:rsidRPr="00451211">
              <w:rPr>
                <w:sz w:val="24"/>
                <w:rtl/>
              </w:rPr>
              <w:t xml:space="preserve">לקבל רק אחת משתי התרופות - </w:t>
            </w:r>
            <w:r w:rsidRPr="00451211">
              <w:rPr>
                <w:sz w:val="24"/>
              </w:rPr>
              <w:t>Pomalidomide, Carfilzomib</w:t>
            </w:r>
            <w:r w:rsidRPr="00451211">
              <w:rPr>
                <w:sz w:val="24"/>
                <w:rtl/>
              </w:rPr>
              <w:t xml:space="preserve"> - במהלך מחלתו.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Xpovio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Selinexor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במיאלומה נפוצה חוזרת או רפרקטורית, לאחר לפחות ארבעה  טיפול</w:t>
            </w:r>
            <w:r w:rsidRPr="00451211">
              <w:rPr>
                <w:rFonts w:hint="cs"/>
                <w:sz w:val="24"/>
                <w:rtl/>
              </w:rPr>
              <w:t>ים</w:t>
            </w:r>
            <w:r w:rsidRPr="00451211">
              <w:rPr>
                <w:sz w:val="24"/>
                <w:rtl/>
              </w:rPr>
              <w:t xml:space="preserve"> קודמים שכללו </w:t>
            </w:r>
            <w:r w:rsidRPr="00451211">
              <w:rPr>
                <w:sz w:val="24"/>
              </w:rPr>
              <w:t>Bortezomib, Lenalidom</w:t>
            </w:r>
            <w:r>
              <w:rPr>
                <w:sz w:val="24"/>
              </w:rPr>
              <w:t>ide, Daratumumab, Pomalidomide,</w:t>
            </w:r>
            <w:r w:rsidRPr="00451211">
              <w:rPr>
                <w:sz w:val="24"/>
              </w:rPr>
              <w:t xml:space="preserve"> Carfilzomib</w:t>
            </w:r>
            <w:r w:rsidRPr="00451211">
              <w:rPr>
                <w:sz w:val="24"/>
                <w:rtl/>
              </w:rPr>
              <w:br/>
              <w:t xml:space="preserve">במהלך מחלתו יהיה החולה זכאי לקבל טיפול באחת מבין התרופות - </w:t>
            </w:r>
            <w:r w:rsidRPr="00451211">
              <w:rPr>
                <w:sz w:val="24"/>
              </w:rPr>
              <w:t>Selinexor</w:t>
            </w:r>
            <w:r w:rsidRPr="00451211">
              <w:rPr>
                <w:sz w:val="24"/>
                <w:rtl/>
              </w:rPr>
              <w:t xml:space="preserve">, </w:t>
            </w:r>
            <w:r w:rsidRPr="00451211">
              <w:rPr>
                <w:sz w:val="24"/>
              </w:rPr>
              <w:t>Belantamab mafodotin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Blenrep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Belantamab mafodotin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 xml:space="preserve">Tecfidera, </w:t>
            </w:r>
            <w:r w:rsidRPr="00451211">
              <w:rPr>
                <w:sz w:val="24"/>
              </w:rPr>
              <w:br/>
              <w:t>DMF generic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Dimethyl fumarate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>תרופות לטיפול בטרשת נפוצה – שינוי הפרדיגמה הטיפולית:</w:t>
            </w:r>
            <w:r w:rsidRPr="00451211">
              <w:rPr>
                <w:sz w:val="24"/>
                <w:rtl/>
              </w:rPr>
              <w:br/>
              <w:t xml:space="preserve">*זכאות לטיפול לפי </w:t>
            </w:r>
            <w:r w:rsidRPr="00451211">
              <w:rPr>
                <w:sz w:val="24"/>
              </w:rPr>
              <w:t xml:space="preserve">McDonald </w:t>
            </w:r>
            <w:r w:rsidRPr="00451211">
              <w:rPr>
                <w:sz w:val="24"/>
              </w:rPr>
              <w:lastRenderedPageBreak/>
              <w:t>diagnostic criteria</w:t>
            </w:r>
            <w:r w:rsidRPr="00451211">
              <w:rPr>
                <w:sz w:val="24"/>
                <w:rtl/>
              </w:rPr>
              <w:br/>
              <w:t>*</w:t>
            </w:r>
            <w:r w:rsidRPr="00451211">
              <w:rPr>
                <w:rFonts w:hint="cs"/>
                <w:sz w:val="24"/>
                <w:rtl/>
              </w:rPr>
              <w:t>הרחבת ה</w:t>
            </w:r>
            <w:r w:rsidRPr="00451211">
              <w:rPr>
                <w:sz w:val="24"/>
                <w:rtl/>
              </w:rPr>
              <w:t>זכאות לטיפול ב-</w:t>
            </w:r>
            <w:r w:rsidRPr="00451211">
              <w:rPr>
                <w:sz w:val="24"/>
              </w:rPr>
              <w:t>High efficacy DMTs</w:t>
            </w:r>
            <w:r w:rsidRPr="00451211">
              <w:rPr>
                <w:sz w:val="24"/>
                <w:rtl/>
              </w:rPr>
              <w:br/>
              <w:t>*הגמשת המעבר בין קווי טיפול</w:t>
            </w: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</w:p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rFonts w:hint="cs"/>
                <w:sz w:val="24"/>
                <w:rtl/>
              </w:rPr>
              <w:t xml:space="preserve">שינוי הפרדיגמה לא יחול על מחלה מסוג </w:t>
            </w:r>
            <w:r w:rsidRPr="00451211">
              <w:rPr>
                <w:sz w:val="24"/>
              </w:rPr>
              <w:t>secondary progressive multiple sclerosis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Lemtrada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Alemtuzumab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lastRenderedPageBreak/>
              <w:t>Mavenclad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Cladribine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Vumerity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Diroximel fumarate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 xml:space="preserve">Gilenya,  </w:t>
            </w:r>
            <w:r w:rsidRPr="00451211">
              <w:rPr>
                <w:sz w:val="24"/>
              </w:rPr>
              <w:br/>
              <w:t>Fingolimod generic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Fingolimod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Copaxone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Glatiramer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Avonex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Interferon beta 1a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Rebif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Interferon beta 1a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Betaferon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Interferon beta 1b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Tysabri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Natalizumab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Ocrevus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Ocrelizumab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Zeposia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Ozanimod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Aubagio,  Teriflunomide generic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Teriflunomide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Mayzent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Siponimod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Zebinix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Eslicarbazepine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באפילפסיה לאחר מיצוי הטיפול בשתי תרופות אנטי אפילפטיות קודמות לפחות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Slenyto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Melatonin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בנדודי שינה בילדים ומתבגרים עם</w:t>
            </w:r>
            <w:r w:rsidRPr="00451211">
              <w:rPr>
                <w:rFonts w:hint="cs"/>
                <w:sz w:val="24"/>
                <w:rtl/>
              </w:rPr>
              <w:t xml:space="preserve"> הפרעה על הרצף </w:t>
            </w:r>
            <w:r w:rsidRPr="00451211">
              <w:rPr>
                <w:rFonts w:hint="cs"/>
                <w:sz w:val="24"/>
                <w:rtl/>
              </w:rPr>
              <w:lastRenderedPageBreak/>
              <w:t>האוטיסטי (</w:t>
            </w:r>
            <w:r w:rsidRPr="00451211">
              <w:rPr>
                <w:sz w:val="24"/>
              </w:rPr>
              <w:t>Autism Spectrum Disorder (ASD)</w:t>
            </w:r>
            <w:r w:rsidRPr="00451211">
              <w:rPr>
                <w:rFonts w:hint="cs"/>
                <w:sz w:val="24"/>
                <w:rtl/>
              </w:rPr>
              <w:t xml:space="preserve">), </w:t>
            </w:r>
            <w:r w:rsidRPr="00451211">
              <w:rPr>
                <w:sz w:val="24"/>
                <w:rtl/>
              </w:rPr>
              <w:t xml:space="preserve">ו/או תסמונת </w:t>
            </w:r>
            <w:r w:rsidRPr="00451211">
              <w:rPr>
                <w:sz w:val="24"/>
              </w:rPr>
              <w:t>Smith-Magenis syndrome</w:t>
            </w:r>
            <w:r w:rsidRPr="00451211">
              <w:rPr>
                <w:rFonts w:hint="cs"/>
                <w:sz w:val="24"/>
                <w:rtl/>
              </w:rPr>
              <w:t xml:space="preserve">, </w:t>
            </w:r>
            <w:r w:rsidRPr="00451211">
              <w:rPr>
                <w:sz w:val="24"/>
                <w:rtl/>
              </w:rPr>
              <w:t xml:space="preserve"> כאשר ניסיונות לשגרת שינה בריאה לא היו מספקים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lastRenderedPageBreak/>
              <w:t>Wakix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Pitolisant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שיפור עירנות בחולי נרקולפסיה - הרחבת מסגרת ההכללה עבור חולים ללא קטפלקסיה - כקו שני, אחרי מיצוי טיפול בתכשירים הקיימים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Fintepla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Fenfluramine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  <w:rtl/>
              </w:rPr>
              <w:t xml:space="preserve">טיפול בפרכוסים על רקע תסמונת </w:t>
            </w:r>
            <w:r w:rsidRPr="00451211">
              <w:rPr>
                <w:sz w:val="24"/>
              </w:rPr>
              <w:t>Dravet</w:t>
            </w:r>
            <w:r w:rsidRPr="00451211">
              <w:rPr>
                <w:sz w:val="24"/>
                <w:rtl/>
              </w:rPr>
              <w:t xml:space="preserve">, בשילוב עם תכשירים אנטי אפילפטיים אחרים, </w:t>
            </w:r>
            <w:r w:rsidRPr="00451211">
              <w:rPr>
                <w:rFonts w:hint="cs"/>
                <w:sz w:val="24"/>
                <w:rtl/>
              </w:rPr>
              <w:t>ל</w:t>
            </w:r>
            <w:r w:rsidRPr="00451211">
              <w:rPr>
                <w:sz w:val="24"/>
                <w:rtl/>
              </w:rPr>
              <w:t>אחר מיצוי לפחות ארבעה קווי טיפול אנטי אפילפטיים קודמים</w:t>
            </w:r>
            <w:r w:rsidRPr="00451211">
              <w:rPr>
                <w:rFonts w:hint="cs"/>
                <w:sz w:val="24"/>
                <w:rtl/>
              </w:rPr>
              <w:t xml:space="preserve">. </w:t>
            </w:r>
            <w:r w:rsidRPr="00451211">
              <w:rPr>
                <w:sz w:val="24"/>
                <w:rtl/>
              </w:rPr>
              <w:t xml:space="preserve">הטיפול לא יינתן בשילוב עם </w:t>
            </w:r>
            <w:r w:rsidRPr="00451211">
              <w:rPr>
                <w:sz w:val="24"/>
              </w:rPr>
              <w:t>Epidiolex</w:t>
            </w:r>
            <w:r w:rsidRPr="00451211">
              <w:rPr>
                <w:rFonts w:hint="cs"/>
                <w:sz w:val="24"/>
                <w:rtl/>
              </w:rPr>
              <w:t>.</w:t>
            </w:r>
          </w:p>
        </w:tc>
      </w:tr>
      <w:tr w:rsidR="001F5009" w:rsidRPr="00451211" w:rsidTr="006C6595">
        <w:tc>
          <w:tcPr>
            <w:tcW w:w="1436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  <w:rtl/>
              </w:rPr>
            </w:pPr>
            <w:r w:rsidRPr="00451211">
              <w:rPr>
                <w:sz w:val="24"/>
              </w:rPr>
              <w:t>Evrysdi</w:t>
            </w:r>
          </w:p>
        </w:tc>
        <w:tc>
          <w:tcPr>
            <w:tcW w:w="2268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</w:rPr>
              <w:t>Risdiplam</w:t>
            </w:r>
          </w:p>
        </w:tc>
        <w:tc>
          <w:tcPr>
            <w:tcW w:w="2250" w:type="dxa"/>
            <w:shd w:val="clear" w:color="auto" w:fill="auto"/>
          </w:tcPr>
          <w:p w:rsidR="001F5009" w:rsidRPr="00451211" w:rsidRDefault="001F5009" w:rsidP="006C6595">
            <w:pPr>
              <w:spacing w:after="240" w:line="360" w:lineRule="auto"/>
              <w:jc w:val="both"/>
              <w:rPr>
                <w:sz w:val="24"/>
              </w:rPr>
            </w:pPr>
            <w:r w:rsidRPr="00451211">
              <w:rPr>
                <w:sz w:val="24"/>
                <w:rtl/>
              </w:rPr>
              <w:t>טיפול ב</w:t>
            </w:r>
            <w:r w:rsidRPr="00451211">
              <w:rPr>
                <w:rFonts w:hint="cs"/>
                <w:sz w:val="24"/>
                <w:rtl/>
              </w:rPr>
              <w:t xml:space="preserve">חולים בני חודשיים ומעלה עם אבחנה גנטית של </w:t>
            </w:r>
            <w:r w:rsidRPr="00451211">
              <w:rPr>
                <w:sz w:val="24"/>
              </w:rPr>
              <w:t>Spinal muscular atrophy (SMA)</w:t>
            </w:r>
            <w:r w:rsidRPr="00451211">
              <w:rPr>
                <w:rFonts w:hint="cs"/>
                <w:sz w:val="24"/>
                <w:rtl/>
              </w:rPr>
              <w:t xml:space="preserve"> </w:t>
            </w:r>
            <w:r w:rsidRPr="00451211">
              <w:rPr>
                <w:sz w:val="24"/>
                <w:rtl/>
              </w:rPr>
              <w:t>סוגים 1</w:t>
            </w:r>
            <w:r w:rsidRPr="00451211">
              <w:rPr>
                <w:rFonts w:hint="cs"/>
                <w:sz w:val="24"/>
                <w:rtl/>
              </w:rPr>
              <w:t xml:space="preserve"> או</w:t>
            </w:r>
            <w:r w:rsidRPr="00451211">
              <w:rPr>
                <w:sz w:val="24"/>
                <w:rtl/>
              </w:rPr>
              <w:t xml:space="preserve"> 2</w:t>
            </w:r>
            <w:r w:rsidRPr="00451211">
              <w:rPr>
                <w:rFonts w:hint="cs"/>
                <w:sz w:val="24"/>
                <w:rtl/>
              </w:rPr>
              <w:t xml:space="preserve"> או </w:t>
            </w:r>
            <w:r w:rsidRPr="00451211">
              <w:rPr>
                <w:sz w:val="24"/>
                <w:rtl/>
              </w:rPr>
              <w:t>3</w:t>
            </w:r>
          </w:p>
        </w:tc>
      </w:tr>
    </w:tbl>
    <w:p w:rsidR="00C43A64" w:rsidRPr="001F5009" w:rsidRDefault="001F5009">
      <w:pPr>
        <w:rPr>
          <w:rFonts w:hint="cs"/>
        </w:rPr>
      </w:pPr>
      <w:bookmarkStart w:id="0" w:name="_GoBack"/>
      <w:bookmarkEnd w:id="0"/>
    </w:p>
    <w:sectPr w:rsidR="00C43A64" w:rsidRPr="001F5009" w:rsidSect="009A63C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009"/>
    <w:rsid w:val="001F5009"/>
    <w:rsid w:val="007865F9"/>
    <w:rsid w:val="009A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E63572-A746-4A8F-B103-5B722A6E2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009"/>
    <w:pPr>
      <w:bidi/>
      <w:spacing w:after="200" w:line="276" w:lineRule="auto"/>
    </w:pPr>
    <w:rPr>
      <w:rFonts w:cs="Davi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2186</Words>
  <Characters>10933</Characters>
  <Application>Microsoft Office Word</Application>
  <DocSecurity>0</DocSecurity>
  <Lines>91</Lines>
  <Paragraphs>26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1</cp:revision>
  <dcterms:created xsi:type="dcterms:W3CDTF">2022-02-03T15:13:00Z</dcterms:created>
  <dcterms:modified xsi:type="dcterms:W3CDTF">2022-02-03T15:15:00Z</dcterms:modified>
</cp:coreProperties>
</file>