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0"/>
      </w:tblGrid>
      <w:tr w:rsidR="00A67D10" w:rsidRPr="00EF64C3" w:rsidTr="008B21E5">
        <w:trPr>
          <w:jc w:val="center"/>
        </w:trPr>
        <w:tc>
          <w:tcPr>
            <w:tcW w:w="8505" w:type="dxa"/>
            <w:gridSpan w:val="2"/>
          </w:tcPr>
          <w:p w:rsidR="00A67D10" w:rsidRPr="00EF64C3" w:rsidRDefault="00A67D10" w:rsidP="008B21E5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u w:val="single"/>
                <w:rtl/>
              </w:rPr>
            </w:pPr>
            <w:r>
              <w:rPr>
                <w:rFonts w:asciiTheme="minorBidi" w:hAnsiTheme="minorBidi"/>
                <w:sz w:val="24"/>
                <w:u w:val="single"/>
                <w:rtl/>
              </w:rPr>
              <w:t>החלטה</w:t>
            </w:r>
            <w:r w:rsidRPr="00E156B2">
              <w:rPr>
                <w:rFonts w:asciiTheme="minorBidi" w:hAnsiTheme="minorBidi" w:hint="cs"/>
                <w:sz w:val="24"/>
                <w:u w:val="single"/>
                <w:rtl/>
              </w:rPr>
              <w:t xml:space="preserve"> מספר </w:t>
            </w:r>
            <w:r w:rsidRPr="00E156B2">
              <w:rPr>
                <w:rFonts w:asciiTheme="minorBidi" w:hAnsiTheme="minorBidi"/>
                <w:noProof/>
                <w:sz w:val="24"/>
                <w:u w:val="single"/>
              </w:rPr>
              <w:t xml:space="preserve"> </w:t>
            </w:r>
            <w:r>
              <w:rPr>
                <w:rFonts w:asciiTheme="minorBidi" w:hAnsiTheme="minorBidi"/>
                <w:noProof/>
                <w:sz w:val="24"/>
                <w:u w:val="single"/>
                <w:rtl/>
              </w:rPr>
              <w:t>3321</w:t>
            </w:r>
            <w:r w:rsidRPr="00E156B2">
              <w:rPr>
                <w:rFonts w:asciiTheme="minorBidi" w:hAnsiTheme="minorBidi"/>
                <w:noProof/>
                <w:sz w:val="24"/>
                <w:u w:val="single"/>
                <w:rtl/>
              </w:rPr>
              <w:t xml:space="preserve"> של </w:t>
            </w:r>
            <w:r>
              <w:rPr>
                <w:rFonts w:asciiTheme="minorBidi" w:hAnsiTheme="minorBidi"/>
                <w:noProof/>
                <w:sz w:val="24"/>
                <w:u w:val="single"/>
                <w:rtl/>
              </w:rPr>
              <w:t>הממשלה</w:t>
            </w:r>
            <w:r w:rsidRPr="00E156B2">
              <w:rPr>
                <w:rFonts w:asciiTheme="minorBidi" w:hAnsiTheme="minorBidi"/>
                <w:noProof/>
                <w:sz w:val="24"/>
                <w:u w:val="single"/>
                <w:rtl/>
              </w:rPr>
              <w:t xml:space="preserve"> מיום </w:t>
            </w:r>
            <w:r>
              <w:rPr>
                <w:rFonts w:asciiTheme="minorBidi" w:hAnsiTheme="minorBidi"/>
                <w:noProof/>
                <w:sz w:val="24"/>
                <w:u w:val="single"/>
                <w:rtl/>
              </w:rPr>
              <w:t>31.12.2017</w:t>
            </w:r>
            <w:r w:rsidRPr="00E156B2">
              <w:rPr>
                <w:rFonts w:asciiTheme="minorBidi" w:hAnsiTheme="minorBidi"/>
                <w:noProof/>
                <w:sz w:val="24"/>
                <w:u w:val="single"/>
                <w:rtl/>
              </w:rPr>
              <w:t xml:space="preserve"> .</w:t>
            </w:r>
          </w:p>
        </w:tc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  <w:tc>
          <w:tcPr>
            <w:tcW w:w="6520" w:type="dxa"/>
          </w:tcPr>
          <w:p w:rsidR="00A67D10" w:rsidRPr="00EF64C3" w:rsidRDefault="00A67D10" w:rsidP="008B21E5">
            <w:pPr>
              <w:contextualSpacing/>
              <w:jc w:val="both"/>
              <w:rPr>
                <w:rFonts w:asciiTheme="minorBidi" w:hAnsiTheme="minorBidi"/>
                <w:sz w:val="24"/>
                <w:u w:val="single"/>
                <w:rtl/>
              </w:rPr>
            </w:pPr>
          </w:p>
        </w:tc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  <w:tc>
          <w:tcPr>
            <w:tcW w:w="6520" w:type="dxa"/>
          </w:tcPr>
          <w:p w:rsidR="00A67D10" w:rsidRPr="00EF64C3" w:rsidRDefault="00A67D10" w:rsidP="008B21E5">
            <w:pPr>
              <w:contextualSpacing/>
              <w:jc w:val="both"/>
              <w:rPr>
                <w:rFonts w:asciiTheme="minorBidi" w:hAnsiTheme="minorBidi"/>
                <w:sz w:val="24"/>
                <w:u w:val="single"/>
                <w:rtl/>
              </w:rPr>
            </w:pPr>
          </w:p>
        </w:tc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rtl/>
              </w:rPr>
            </w:pPr>
            <w:r>
              <w:rPr>
                <w:rFonts w:asciiTheme="minorBidi" w:hAnsiTheme="minorBidi"/>
                <w:sz w:val="24"/>
                <w:rtl/>
              </w:rPr>
              <w:t>3321.</w:t>
            </w:r>
          </w:p>
        </w:tc>
        <w:tc>
          <w:tcPr>
            <w:tcW w:w="6520" w:type="dxa"/>
          </w:tcPr>
          <w:p w:rsidR="00A67D10" w:rsidRPr="00EF64C3" w:rsidRDefault="00A67D10" w:rsidP="008B21E5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u w:val="single"/>
                <w:rtl/>
              </w:rPr>
            </w:pPr>
            <w:r>
              <w:rPr>
                <w:rFonts w:asciiTheme="minorBidi" w:hAnsiTheme="minorBidi"/>
                <w:sz w:val="24"/>
                <w:u w:val="single"/>
                <w:rtl/>
              </w:rPr>
              <w:t>הרחבת סל שירותי הבריאות לשנת 2018</w:t>
            </w:r>
          </w:p>
        </w:tc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spacing w:line="276" w:lineRule="auto"/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  <w:tc>
          <w:tcPr>
            <w:tcW w:w="6520" w:type="dxa"/>
          </w:tcPr>
          <w:p w:rsidR="00A67D10" w:rsidRPr="00EF64C3" w:rsidRDefault="00A67D10" w:rsidP="008B21E5">
            <w:pPr>
              <w:spacing w:line="276" w:lineRule="auto"/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spacing w:after="240" w:line="360" w:lineRule="auto"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  <w:sdt>
          <w:sdtPr>
            <w:rPr>
              <w:rFonts w:asciiTheme="minorBidi" w:hAnsiTheme="minorBidi"/>
              <w:sz w:val="24"/>
              <w:rtl/>
            </w:rPr>
            <w:alias w:val="מחליטים"/>
            <w:tag w:val="מחליטים_5"/>
            <w:id w:val="499011803"/>
            <w:placeholder>
              <w:docPart w:val="A3A4F0B0DFBE41EA812F47D8A05A5F6A"/>
            </w:placeholder>
          </w:sdtPr>
          <w:sdtContent>
            <w:tc>
              <w:tcPr>
                <w:tcW w:w="6520" w:type="dxa"/>
              </w:tcPr>
              <w:p w:rsidR="00A67D10" w:rsidRPr="00033A15" w:rsidRDefault="00A67D10" w:rsidP="008B21E5">
                <w:pPr>
                  <w:autoSpaceDE w:val="0"/>
                  <w:autoSpaceDN w:val="0"/>
                  <w:spacing w:line="360" w:lineRule="auto"/>
                  <w:jc w:val="both"/>
                  <w:rPr>
                    <w:rFonts w:ascii="Calibri" w:eastAsia="Calibri" w:hAnsi="Calibri"/>
                    <w:sz w:val="24"/>
                    <w:lang w:eastAsia="he-IL"/>
                  </w:rPr>
                </w:pPr>
                <w:r w:rsidRPr="00033A15">
                  <w:rPr>
                    <w:rFonts w:ascii="Calibri" w:eastAsia="Calibri" w:hAnsi="Calibri" w:hint="cs"/>
                    <w:sz w:val="24"/>
                    <w:rtl/>
                    <w:lang w:eastAsia="he-IL"/>
                  </w:rPr>
                  <w:t>מ ח ל י ט י ם:</w:t>
                </w:r>
              </w:p>
              <w:p w:rsidR="00A67D10" w:rsidRPr="00033A15" w:rsidRDefault="00A67D10" w:rsidP="00A67D10">
                <w:pPr>
                  <w:numPr>
                    <w:ilvl w:val="0"/>
                    <w:numId w:val="1"/>
                  </w:numPr>
                  <w:spacing w:line="360" w:lineRule="auto"/>
                  <w:jc w:val="both"/>
                  <w:rPr>
                    <w:rFonts w:ascii="David" w:eastAsia="Calibri" w:hAnsi="David"/>
                    <w:sz w:val="24"/>
                  </w:rPr>
                </w:pPr>
                <w:r w:rsidRPr="00033A15">
                  <w:rPr>
                    <w:rFonts w:ascii="David" w:eastAsia="Calibri" w:hAnsi="David" w:hint="cs"/>
                    <w:sz w:val="24"/>
                    <w:rtl/>
                  </w:rPr>
                  <w:t>לאשר, לפי הצעת שר הבריאות, בהסכמת שר האוצר, מתוקף סמכות הממשלה לפי סעיף 8(ב)(1) לחוק ביטוח בריאות ממלכתי, התשנ"ד-1994 (להלן-החוק) הוספת שירותים לסל שירותי הבריאות לקופות החולים (תוספת שנייה לחוק) ולמשרד הבריאות (תוספת שלישית לחוק), בהתאם למפורט בטבלה שלהלן, וזאת החל מיום 11.01.2018</w:t>
                </w:r>
                <w:r>
                  <w:rPr>
                    <w:rFonts w:eastAsia="Calibri" w:hint="cs"/>
                    <w:sz w:val="24"/>
                    <w:rtl/>
                  </w:rPr>
                  <w:t>.</w:t>
                </w:r>
              </w:p>
              <w:p w:rsidR="00A67D10" w:rsidRPr="00033A15" w:rsidRDefault="00A67D10" w:rsidP="00A67D10">
                <w:pPr>
                  <w:numPr>
                    <w:ilvl w:val="0"/>
                    <w:numId w:val="1"/>
                  </w:numPr>
                  <w:spacing w:line="360" w:lineRule="auto"/>
                  <w:jc w:val="both"/>
                  <w:rPr>
                    <w:rFonts w:ascii="David" w:eastAsia="Calibri" w:hAnsi="David"/>
                    <w:sz w:val="24"/>
                    <w:rtl/>
                  </w:rPr>
                </w:pPr>
                <w:r w:rsidRPr="00033A15">
                  <w:rPr>
                    <w:rFonts w:ascii="David" w:eastAsia="Calibri" w:hAnsi="David" w:hint="cs"/>
                    <w:sz w:val="24"/>
                    <w:rtl/>
                  </w:rPr>
                  <w:t xml:space="preserve">בהמשך לאמור בסעיף 1 להחלטת הממשלה מס' 1896 מיום 11.8.2016, לקבוע כי לעלות הסל לקופות יתווסף בשנת 2018  סכום של 496.651 מיליון ₪, ואילו לבסיס תקציב משרד הבריאות יתווסף בשנת 2018 סכום של 3.349 מיליון ₪ למימון הוספת השירותים לסל הבריאות שבאחריות קופות החולים ומשרד הבריאות, בהתאמה. </w:t>
                </w:r>
              </w:p>
              <w:p w:rsidR="00A67D10" w:rsidRPr="00033A15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jc w:val="center"/>
                  <w:rPr>
                    <w:rFonts w:ascii="David" w:eastAsia="Calibri" w:hAnsi="David" w:cs="Arial"/>
                    <w:b/>
                    <w:bCs/>
                    <w:sz w:val="24"/>
                    <w:rtl/>
                  </w:rPr>
                </w:pPr>
              </w:p>
              <w:p w:rsidR="00A67D10" w:rsidRPr="00033A15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jc w:val="center"/>
                  <w:rPr>
                    <w:rFonts w:ascii="David" w:eastAsia="Calibri" w:hAnsi="David"/>
                    <w:b/>
                    <w:bCs/>
                    <w:sz w:val="24"/>
                    <w:u w:val="single"/>
                    <w:rtl/>
                  </w:rPr>
                </w:pPr>
                <w:r w:rsidRPr="00033A15">
                  <w:rPr>
                    <w:rFonts w:ascii="David" w:eastAsia="Calibri" w:hAnsi="David" w:hint="cs"/>
                    <w:b/>
                    <w:bCs/>
                    <w:sz w:val="24"/>
                    <w:u w:val="single"/>
                    <w:rtl/>
                  </w:rPr>
                  <w:t>רשימת</w:t>
                </w:r>
                <w:r w:rsidRPr="00033A15">
                  <w:rPr>
                    <w:rFonts w:ascii="David" w:eastAsia="Calibri" w:hAnsi="David" w:hint="cs"/>
                    <w:b/>
                    <w:bCs/>
                    <w:sz w:val="24"/>
                    <w:u w:val="single"/>
                  </w:rPr>
                  <w:t xml:space="preserve"> </w:t>
                </w:r>
                <w:r w:rsidRPr="00033A15">
                  <w:rPr>
                    <w:rFonts w:ascii="David" w:eastAsia="Calibri" w:hAnsi="David" w:hint="cs"/>
                    <w:b/>
                    <w:bCs/>
                    <w:sz w:val="24"/>
                    <w:u w:val="single"/>
                    <w:rtl/>
                  </w:rPr>
                  <w:t>הטכנולוגיות</w:t>
                </w:r>
                <w:r w:rsidRPr="00033A15">
                  <w:rPr>
                    <w:rFonts w:ascii="David" w:eastAsia="Calibri" w:hAnsi="David" w:hint="cs"/>
                    <w:b/>
                    <w:bCs/>
                    <w:sz w:val="24"/>
                    <w:u w:val="single"/>
                  </w:rPr>
                  <w:t xml:space="preserve"> </w:t>
                </w:r>
                <w:r w:rsidRPr="00033A15">
                  <w:rPr>
                    <w:rFonts w:ascii="David" w:eastAsia="Calibri" w:hAnsi="David" w:hint="cs"/>
                    <w:b/>
                    <w:bCs/>
                    <w:sz w:val="24"/>
                    <w:u w:val="single"/>
                    <w:rtl/>
                  </w:rPr>
                  <w:t>הרפואיות</w:t>
                </w:r>
              </w:p>
              <w:p w:rsidR="00A67D10" w:rsidRPr="00033A15" w:rsidRDefault="00A67D10" w:rsidP="00A67D10">
                <w:pPr>
                  <w:numPr>
                    <w:ilvl w:val="0"/>
                    <w:numId w:val="2"/>
                  </w:num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="David" w:eastAsia="Calibri" w:hAnsi="David"/>
                    <w:b/>
                    <w:bCs/>
                    <w:rtl/>
                  </w:rPr>
                </w:pPr>
                <w:r w:rsidRPr="00033A15">
                  <w:rPr>
                    <w:rFonts w:ascii="David" w:eastAsia="Calibri" w:hAnsi="David" w:hint="cs"/>
                    <w:b/>
                    <w:bCs/>
                    <w:rtl/>
                  </w:rPr>
                  <w:t>טכנולוגיות באחריות קופות החולים</w:t>
                </w:r>
              </w:p>
              <w:p w:rsidR="00A67D10" w:rsidRPr="00033A15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ind w:left="360"/>
                  <w:jc w:val="both"/>
                  <w:rPr>
                    <w:rFonts w:ascii="David" w:eastAsia="Calibri" w:hAnsi="David"/>
                    <w:b/>
                    <w:bCs/>
                  </w:rPr>
                </w:pPr>
              </w:p>
              <w:tbl>
                <w:tblPr>
                  <w:bidiVisual/>
                  <w:tblW w:w="59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2729"/>
                  <w:gridCol w:w="3225"/>
                </w:tblGrid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Cs/>
                          <w:szCs w:val="22"/>
                          <w:rtl/>
                        </w:rPr>
                        <w:t>שם הטכנולוגיה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Cs/>
                          <w:szCs w:val="22"/>
                          <w:rtl/>
                        </w:rPr>
                        <w:t>התוויה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בדיקת דימות באמצעות מכשיר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סרטן הרחם -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1. דירוג ראשוני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Initial staging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 בחשד לפיזור גרורתי לפי בדיקת דימות אחרת 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2. בחשד להישנות (לצורך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Restaging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בדיקת דימות באמצעות מכשיר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סרטן העריה -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1. דרוג ראשוני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Initial staging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 בחשד לפיזור מקומי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2. בחשד להישנות (לצורך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Restaging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טכנולוגיות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FLASH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לניטור סוכר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עבור חולי סוכרת מסוג 1 מבוגרים שאינם משתמשים בניטור סוכר רציף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ברעד ראשוני באמצעות התערבות באזורי המוח ומערכת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>העצבים המעורבים בהפרעה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>בהתוויות מסוימות שיוגדרו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 xml:space="preserve">עדשות מתקדמות מסוג טוריות,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מולטיפוקליות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ומולטיפוקליות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טוריות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הסדרת שימוש בעדשות מתקדמות מסוג טוריות,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מולטיפוקליות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ומולטיפוקליות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טוריות, בניתוחי קטרקט לתיקון הפרעות תשבורת.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הכללה בסל ללא תוספת עלות החל מ-01.07.2018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ייקבע מחיר אחיד לכל סוג עדשה וההשתתפות העצמית תהיה בגובה מחיר זה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בית החולים יספק את העדשה ויגבה השתתפות עצמית מטעם קופת החולים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טיפולי שיניים מונעים, משמרים ומשקמים ללוקים בתסמונות נוירו-התפתחותיות 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למטופלים בני 18 עד 24. 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עבור מטופלים שאינם חוסים במוסדות או במגורים של משרד הרווחה.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טיפולי שיניים מונעים ומשמרים ללוקים במוגבלות שכלית התפתחותית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למטופלים בני 16 עד 18. 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עבור מטופלים שאינם חוסים במוסדות או במגורים של משרד הרווחה.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טיפולי שיניים מונעים, משמרים ומשקמים ללוקים במוגבלות שכלית התפתחותית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למטופלים בני 18 עד 24.  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עבור מטופלים שאינם חוסים במוסדות או במגורים של משרד הרווחה.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טיפולי שיניים מונעים, משמרים ומשקמים (טיפול מקדים בלבד)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למטופלים אונקולוגיים המטופלים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בביספוספונטים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Denosumab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מיאלומה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נפוצה או גרורות לעצמות, ב-50% השתתפות עצמית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טיפולי שיניים לסובלים מחוסר מולד מרובה של שיניים 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הרחבת מסגרת ההכללה בסל – הרחבת הזכאות עד גיל 40.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כל מטופל יהיה זכאי להשלמת סדרת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>הטיפולים כל עוד החל טיפול לפני גיל 30.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 xml:space="preserve">בדיקת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MSI/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dMMR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Calibri" w:eastAsia="Calibri" w:hAnsi="Calibri" w:cs="Arial"/>
                          <w:szCs w:val="22"/>
                          <w:lang w:bidi="ar-EG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לחולי סרטן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קולורקטאלי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מתקדם לא נתיח או גרורתי המועמדים לטיפול בתרופה ממשפחת מעכבי </w:t>
                      </w:r>
                      <w:r w:rsidRPr="00033A15">
                        <w:rPr>
                          <w:rFonts w:ascii="Calibri" w:eastAsia="Calibri" w:hAnsi="Calibri" w:cs="Arial"/>
                          <w:szCs w:val="22"/>
                          <w:lang w:bidi="ar-EG"/>
                        </w:rPr>
                        <w:t>Checkpoint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בדיקת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MSI/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dMMR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למטופלים עם גידולים סולידיים מתקדמים לא נתיחים או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גרורתיים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המועמדים לטיפול בתרופה ממשפחת מעכבי </w:t>
                      </w:r>
                      <w:r w:rsidRPr="00033A15">
                        <w:rPr>
                          <w:rFonts w:ascii="Calibri" w:eastAsia="Calibri" w:hAnsi="Calibri" w:cs="Arial"/>
                          <w:szCs w:val="22"/>
                          <w:lang w:bidi="ar-EG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,  לפי הפירוט להלן: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ריאה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SCLC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Biliary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ושט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גסטרי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ו-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GE junction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לבלב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מעי דק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שד גרורתי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HER2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חיובי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שד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HR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חיובי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*סרטן שד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Triple negative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רחם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בלוטת התריס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*סרטן ערמונית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סרקומה</w:t>
                      </w:r>
                      <w:proofErr w:type="spellEnd"/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אדנוקרצינומה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רטרופריטונאלית</w:t>
                      </w:r>
                      <w:proofErr w:type="spellEnd"/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בדיקת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PDL1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לחולים המועמדים לטיפול ב-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Durvalumab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עקב סרטן שלפוחית שתן בקו טיפול מתקדם 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סיוע בניקוז ריאתי לחולי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>דיסאוטונומיה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משפחתית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FD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lastRenderedPageBreak/>
                        <w:t xml:space="preserve">סיוע בניקוז ריאתי לחולי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Ataxia Telangiectasia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שימור של פוטנציאל הפוריות 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עבור נשים עם סיכון מוגבר לאל ווסת מוקדם, בהתוויות מסוימות.</w:t>
                      </w:r>
                    </w:p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שימור הפוריות יבוצע באחת או יותר מהשיטות הבאות: שימור עוברים, שימור ביציות, שימור רקמת שחלה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Easy drink</w:t>
                      </w:r>
                    </w:p>
                  </w:tc>
                  <w:tc>
                    <w:tcPr>
                      <w:tcW w:w="4239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מזון רפואי לחולים במחלה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Ataxia Telangiectasia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Ensure compact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Glucerna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plus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Jevity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plus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2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junior with fiber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Peptamen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prebio</w:t>
                      </w:r>
                      <w:proofErr w:type="spellEnd"/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365DEC" w:rsidRDefault="00A67D10" w:rsidP="008B21E5">
                      <w:pPr>
                        <w:spacing w:line="360" w:lineRule="auto"/>
                        <w:jc w:val="both"/>
                        <w:rPr>
                          <w:rFonts w:eastAsia="Calibri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Vital 1.5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Infatrini</w:t>
                      </w:r>
                      <w:proofErr w:type="spellEnd"/>
                    </w:p>
                  </w:tc>
                  <w:tc>
                    <w:tcPr>
                      <w:tcW w:w="4239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מזון ייעודי לילדים חולי סרטן שטרם מלאה להם שנה.  </w:t>
                      </w: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Nutramigen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LGG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lipil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1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Nutramigen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LGG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lipil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2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Nutramigen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pureamino</w:t>
                      </w:r>
                      <w:proofErr w:type="spellEnd"/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Nutrilon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pepti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junior</w:t>
                      </w:r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Similac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alimentum</w:t>
                      </w:r>
                      <w:proofErr w:type="spellEnd"/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Pregestimil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lipil</w:t>
                      </w:r>
                      <w:proofErr w:type="spellEnd"/>
                    </w:p>
                  </w:tc>
                  <w:tc>
                    <w:tcPr>
                      <w:tcW w:w="423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Nutren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2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מזון רפואי להזנת ילדים עם צנתר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אנטרלי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החולים במחלות כרוניות, מחלות מטבוליות ומחלות נוירולוגיות   </w:t>
                      </w: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Easy meal k2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מזון ייעודי באמצעות צנתר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אנטרלי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, למבוגרים (בני 19 ומעלה) הנמצאים במצב הזנה לאורך זמן בחולים בהם הפורמולות ניתנות כהזנה בלעדית </w:t>
                      </w: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Easy meal k2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מזון תרופתי לפי מרשם של הרופא המטפל או דיאטנית קלינית לחולי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ALS (Amyotrophic Lateral Sclerosis)</w:t>
                      </w: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Renastart</w:t>
                      </w:r>
                      <w:proofErr w:type="spellEnd"/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מזון ייעודי להזנת ילדים הסובלים מאי ספיקה כלייתית -  הרחבת מסגרת ההכללה בסל עבור ילדים בגילאים 4-10 שנים</w:t>
                      </w:r>
                    </w:p>
                  </w:tc>
                </w:tr>
                <w:tr w:rsidR="00A67D10" w:rsidRPr="00033A15" w:rsidTr="008B21E5">
                  <w:trPr>
                    <w:tblHeader/>
                  </w:trPr>
                  <w:tc>
                    <w:tcPr>
                      <w:tcW w:w="357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טיפולי שיניים לילדים שמלאו להם 15 אך לא מלאו להם 16</w:t>
                      </w:r>
                    </w:p>
                  </w:tc>
                  <w:tc>
                    <w:tcPr>
                      <w:tcW w:w="423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בהתאם לסל טיפולי השיניים שבסעיף 30 לתוספת השנייה (בתוספת טיפול הסרת אבנית נוסף בשנה לשנתון זה)</w:t>
                      </w:r>
                    </w:p>
                  </w:tc>
                </w:tr>
              </w:tbl>
              <w:p w:rsidR="00A67D10" w:rsidRPr="00033A15" w:rsidRDefault="00A67D10" w:rsidP="008B21E5">
                <w:pPr>
                  <w:spacing w:line="360" w:lineRule="auto"/>
                  <w:jc w:val="both"/>
                  <w:rPr>
                    <w:rFonts w:ascii="Calibri" w:eastAsia="Calibri" w:hAnsi="Calibri"/>
                    <w:szCs w:val="22"/>
                    <w:rtl/>
                  </w:rPr>
                </w:pPr>
              </w:p>
              <w:p w:rsidR="00A67D10" w:rsidRPr="00A62795" w:rsidRDefault="00A67D10" w:rsidP="008B21E5">
                <w:pPr>
                  <w:spacing w:line="360" w:lineRule="auto"/>
                  <w:jc w:val="both"/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</w:pP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>*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ההתוויות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המדויקות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למסגרת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ההכללה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בסל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לרבות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הגדרת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מצבי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הזכאות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והקריטריונים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הרלבנטיים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יפורטו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בחוזרי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משרד</w:t>
                </w:r>
                <w:r w:rsidRPr="00A62795"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>הבריאות</w:t>
                </w:r>
              </w:p>
              <w:p w:rsidR="00A67D10" w:rsidRPr="00033A15" w:rsidRDefault="00A67D10" w:rsidP="008B21E5">
                <w:pPr>
                  <w:spacing w:line="360" w:lineRule="auto"/>
                  <w:jc w:val="both"/>
                  <w:rPr>
                    <w:rFonts w:ascii="Calibri" w:eastAsia="Calibri" w:hAnsi="Calibri"/>
                    <w:szCs w:val="22"/>
                    <w:rtl/>
                  </w:rPr>
                </w:pPr>
              </w:p>
              <w:p w:rsidR="00A67D10" w:rsidRPr="00033A15" w:rsidRDefault="00A67D10" w:rsidP="00A67D10">
                <w:pPr>
                  <w:numPr>
                    <w:ilvl w:val="0"/>
                    <w:numId w:val="2"/>
                  </w:num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="Calibri" w:eastAsia="Calibri" w:hAnsi="Calibri"/>
                    <w:b/>
                    <w:bCs/>
                    <w:sz w:val="24"/>
                    <w:rtl/>
                  </w:rPr>
                </w:pPr>
                <w:r w:rsidRPr="00033A15">
                  <w:rPr>
                    <w:rFonts w:ascii="David" w:eastAsia="Calibri" w:hAnsi="David" w:hint="cs"/>
                    <w:b/>
                    <w:bCs/>
                    <w:rtl/>
                  </w:rPr>
                  <w:t>תרופות</w:t>
                </w:r>
                <w:r w:rsidRPr="00033A15">
                  <w:rPr>
                    <w:rFonts w:ascii="Calibri" w:eastAsia="Calibri" w:hAnsi="Calibri" w:hint="cs"/>
                    <w:b/>
                    <w:bCs/>
                    <w:sz w:val="24"/>
                    <w:rtl/>
                    <w:lang w:eastAsia="he-IL"/>
                  </w:rPr>
                  <w:t xml:space="preserve"> באחריות קופות החולים</w:t>
                </w:r>
              </w:p>
              <w:tbl>
                <w:tblPr>
                  <w:bidiVisual/>
                  <w:tblW w:w="59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1859"/>
                  <w:gridCol w:w="1276"/>
                  <w:gridCol w:w="2819"/>
                </w:tblGrid>
                <w:tr w:rsidR="00A67D10" w:rsidRPr="00033A15" w:rsidTr="008B21E5">
                  <w:trPr>
                    <w:cantSplit/>
                    <w:tblHeader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center"/>
                        <w:rPr>
                          <w:rFonts w:ascii="David" w:eastAsia="Calibri" w:hAnsi="David"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Cs/>
                          <w:szCs w:val="22"/>
                          <w:rtl/>
                        </w:rPr>
                        <w:t>שם גנרי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center"/>
                        <w:rPr>
                          <w:rFonts w:ascii="David" w:eastAsia="Calibri" w:hAnsi="David"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Cs/>
                          <w:szCs w:val="22"/>
                          <w:rtl/>
                        </w:rPr>
                        <w:t>שם מסחרי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center"/>
                        <w:rPr>
                          <w:rFonts w:ascii="David" w:eastAsia="Calibri" w:hAnsi="David"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Cs/>
                          <w:szCs w:val="22"/>
                          <w:rtl/>
                        </w:rPr>
                        <w:t>התוויה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Adalimumab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Humira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Chronic Non Infectious Uveitis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בילדים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Aflibercept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Eylea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בפגיעה בראיה על רקע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(בצקת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מקולרית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סוכרתית) כקו טיפול מתקדם אחרי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Bevacizumab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(במהלך מחלתו חולה יהיה זכאי לקבל טיפול באחת מהתרופות –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Lucentis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Eylea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Ozurdex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365DEC" w:rsidRDefault="00A67D10" w:rsidP="008B21E5">
                      <w:pPr>
                        <w:ind w:right="-1"/>
                        <w:jc w:val="both"/>
                        <w:rPr>
                          <w:rFonts w:eastAsia="Calibri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Alectinib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Alecensa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ריאה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ALK+ NSCLC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כקו טיפול ראשון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color w:val="000000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color w:val="000000"/>
                          <w:szCs w:val="22"/>
                        </w:rPr>
                        <w:t>Alirocumab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color w:val="000000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Praluent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מניעה שניונית של אירועים קרדיווסקולריים בחולים עם מחלה קרדיווסקולרית ידועה שחוו אוטם שריר הלב או שבץ מוחי איסכמי לא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אמבולי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בשלוש השנים טרם ההערכה וערכי ה-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LDL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שלהם מעל 130 מ"ג/דצ"ל, למרות טיפול מרבי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בסטטינים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ו-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Ezetimibe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.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Apixaban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Eliquis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ומניעה של פקקת של הורידים העמוקים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DVT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), טיפול ומניעה של תסחיף ריאתי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color w:val="000000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color w:val="000000"/>
                          <w:szCs w:val="22"/>
                        </w:rPr>
                        <w:t>Apixaban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color w:val="000000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Eliquis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מניעת שבץ ותסחיף סיסטמי בחולים עם פרפור עליות - הרחבת מסגרת ההכללה בסל - עבור חולים עם 2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CHADS score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0 או 1 אחרי היפוך קצב ופעולות 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אבלציות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בפרפור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Arsenic trioxide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Trisenox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אינדוקציה וקונסולידציה בלוקמיה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APL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הרחבת מסגרת ההכללה בסל עבור חולים מאובחנים חדשים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Atezolizumab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Tecentriq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ריאה גרורתי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כקו טיפול מתקדם.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Avelumab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Bavencio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Merkel cell carcinoma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גרורתית</w:t>
                      </w:r>
                      <w:proofErr w:type="spellEnd"/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Brentuximab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vedotin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Adcetris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בלימפומה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CD30+ CTCL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הזקוקים לטיפול סיסטמי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Brigatinib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Alunbrig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ריאה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ALK+ NSCLC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כקו טיפול מתקדם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Brivaracetam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Briviact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באפילפסיה עבור חולים שמיצו טיפול תרופתי אחר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Cabozanitinib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Cabometyx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כליה מתקדם או גרורתי כקו טיפול מתקדם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Certolizumab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pegol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Cimzia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Ankylosing spondylitis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בהתאם למסגרת ההכללה של תכשירים ביולוגים אחרים הכלולים בסל להתוויה זו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Cladribine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Mavenclad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בטרשת נפוצה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Relapsing MS (RMS)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כטיפול קו ראשון לחולי טרשת עם מחלה סוערת וכטיפול קו שני לחולי טרשת אשר נכשלו על תרופות קו ראשון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Colistin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Coliracin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למניעת זיהומים בחולים הסובלים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מברונכיאקטזות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שלא על רקע סיסטיק פיברוזיס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CF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Dabigatran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Pradaxa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ומניעה של פקקת של הורידים העמוקים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DVT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), טיפול ומניעה של תסחיף ריאתי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 xml:space="preserve">Dabigatran 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Pradaxa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מניעת שבץ ותסחיף סיסטמי בחולים עם פרפור עליות - הרחבת מסגרת ההכללה בסל - עבור חולים עם 2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CHADS score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0 או 1 אחרי היפוך קצב ופעולות 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אבלציות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בפרפור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Dapagliflozin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Forxiga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בסוכרת - הרחבת מסגרת ההכללה בסל עבור חולי סוכרת סוג 2 העונים על כל אלה: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א.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7.0% ומעלה, על אף טיפול קודם למחלתם.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ב. </w:t>
                      </w:r>
                      <w:proofErr w:type="spellStart"/>
                      <w:proofErr w:type="gram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eGFR</w:t>
                      </w:r>
                      <w:proofErr w:type="spellEnd"/>
                      <w:proofErr w:type="gram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45 מ"ל/דקה/1.73 מ"ר ומעלה, או בערך גבוה יותר בהתאם לתנאי הרישום.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ג. אבחנה של אחד מאלה: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1. אוטם בשריר הלב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2. ניתוח מעקפים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CABG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3. מחלת לב איסכמית.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Daratumumab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Darzalex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במיאלומה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נפוצה - הרחבת מסגרת ההכללה בסל כקו טיפול שני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Dasabuvir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Exviera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כרונית, בשילוב עם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Paritaprevir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Ritonavir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Ombitasvir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הרחבת מסגרת ההכללה בסל עבור חולים עם גנוטיפ 1 ודרגות פיברוזיס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Dexamethasone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Ozurdex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בפגיעה בראיה על רקע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(בצקת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מקולרית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סוכרתית) כקו טיפול מתקדם אחרי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Bevacizumab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(במהלך מחלתו חולה יהיה זכאי לקבל טיפול באחת מהתרופות –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Lucentis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Eylea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Ozurdex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Dinutuximab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beta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Dinutuximab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beta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Apeiron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בנוירובלסטומה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בסיכון גבוה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Dulaglutide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Trulicity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- הרחבת מסגרת ההכללה בסל עבור חולי סוכרת סוג 2 עם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7.5% ל-9.0%,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BMI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28-30, לאחר מיצוי טיפול תרופתי בשתי תרופות פומיות לפחות, שהינם חולים באחד מהבאים: מחלת לב כלילית, מחלה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סרברווסקולארית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מחלת כליה כרונית.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Dupilumab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Dupixent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Atopic dermatitis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ברמת חומרה בינונית עד חמורה עבור חולים שמיצו שני קווי טיפול קודמים סיסטמיים (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פוטותרפיה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וטיפול תרופתי)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Durvalumab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Imfinzi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מתקדם מקומי או גרורתי של דרכי השתן כקו טיפול מתקדם בחולים המבטאים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PDL1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ברמה של 25% ומעלה.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(במהלך מחל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Eltrombopag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Revolade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Idiopathic thrombocytopenic purpura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ITP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 כרונית - הרחבת מסגרת ההכללה בסל כקו טיפול שני עבור ילדים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Empagliflozin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Jardiance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בסוכרת - הרחבת מסגרת ההכללה בסל עבור חולי סוכרת סוג 2 העונים על כל אלה: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א.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7.0% ומעלה, על אף טיפול קודם למחלתם.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ב. </w:t>
                      </w:r>
                      <w:proofErr w:type="spellStart"/>
                      <w:proofErr w:type="gram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eGFR</w:t>
                      </w:r>
                      <w:proofErr w:type="spellEnd"/>
                      <w:proofErr w:type="gram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45 מ"ל/דקה/1.73 מ"ר ומעלה, או בערך גבוה יותר בהתאם לתנאי הרישום.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ג. אבחנה של אחד מאלה: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1. אוטם בשריר הלב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2. ניתוח מעקפים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CABG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3. מחלת לב איסכמית.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Evolocumab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Repatha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מניעה שניונית של אירועים קרדיווסקולריים בחולים עם מחלה קרדיווסקולרית ידועה שחוו אוטם שריר הלב או שבץ מוחי איסכמי לא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אמבולי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בשלוש השנים טרם ההערכה וערכי ה-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LDL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שלהם מעל 130 מ"ג/דצ"ל, למרות טיפול מרבי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בסטטינים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ו-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Ezetimibe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.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Exenatide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Bydureon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- הרחבת מסגרת ההכללה בסל עבור חולי סוכרת סוג 2 עם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7.5% ל-9.0%,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BMI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28-30, לאחר מיצוי טיפול תרופתי בשתי תרופות פומיות לפחות, שהינם חולים באחד מהבאים: מחלת לב כלילית, מחלה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סרברווסקולארית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מחלת כליה כרונית.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Exenatide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Byetta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- הרחבת מסגרת ההכללה בסל עבור חולי סוכרת סוג 2 עם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7.5% ל-9.0%,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BMI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28-30, לאחר מיצוי טיפול תרופתי בשתי תרופות פומיות לפחות, שהינם חולים באחד מהבאים: מחלת לב כלילית, מחלה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סרברווסקולארית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מחלת כליה כרונית.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Fidaxomicin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Dificlir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color w:val="FF0000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בזיהום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Clostridium difficile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הרחבת מסגרת ההכללה בסל – עבור חולים הסובלים מהישנות המחלה לאחר 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Metronidazole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Vancomycin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Fulvestrant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Faslodex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בסרטן שד מתקדם - הרחבת מסגרת ההכללה בסל – כקו טיפול ראשון אנדוקריני עבור: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*נשים שטרם קיבלו טיפול אנדוקריני קודם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*נשים שמחלתן התקדמה לאחר יותר משנה מסיום הטיפול המשלים למחלתה המוקדמת.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Glecaprevir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Pibrentasvir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Maviret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עבור חולים עם: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*גנוטיפ 1 דרגות פיברוזיס 4, 3, 2, 1, ו-0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*גנוטיפ 2 דרגות פיברוזיס 4, 3, 2, 1, ו-0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*גנוטיפ 3 דרגות פיברוזיס 4, 3, 2, 1, ו-0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*גנוטיפ 4 דרגות פיברוזיס 4, 3, 2, 1,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 xml:space="preserve">Glycerol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phenylbutyrate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Ravicti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בהפרעות במעגל האוריאה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Grazoprevir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Elbasvir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Zepatier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- הרחבת מסגרת ההכללה בסל: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1 דרגות פיברוזיס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4 דרגות פיברוזיס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Ibrutinib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Imbruvica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בלוקמיה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CLL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– הרחבת מסגרת ההכללה בסל כקו טיפול ראשון עבור חולים עם מוטציה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del 17p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Idebenone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Raxone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Leber's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hereditary optic neuropathy (LHON)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עם מחלה חריפה או תת חריפה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Inotuzumab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ozogamicin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Besponsa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בלוקמיה מסוג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Ph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- B cell ALL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חוזרת או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רפרקטורית</w:t>
                      </w:r>
                      <w:proofErr w:type="spellEnd"/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לקבל טיפול באחת משתי התרופות –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Inotuzumab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ozogamicin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Blinatumomab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Ketoconazole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Ketoconazole HRA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בתסמונת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Cushing</w:t>
                      </w:r>
                    </w:p>
                  </w:tc>
                </w:tr>
                <w:tr w:rsidR="00A67D10" w:rsidRPr="00033A15" w:rsidTr="008B21E5">
                  <w:trPr>
                    <w:cantSplit/>
                    <w:trHeight w:val="248"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Lenvatinib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Lenvima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כליה מתקדם או גרורתי כקו טיפול מתקדם בשילוב עם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Everolimus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Liraglutide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Insulin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degludec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Xultophy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בהתאם למסגרת ההכללה בסל 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אנלוגים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ל-1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GLP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Liraglutide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Victoza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- הרחבת מסגרת ההכללה בסל עבור חולי סוכרת סוג 2 עם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7.5% ל-9.0%,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BMI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28-30, לאחר מיצוי טיפול תרופתי בשתי תרופות פומיות לפחות, שהינם חולים באחד מהבאים: מחלת לב כלילית, מחלה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סרברווסקולארית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מחלת כליה כרונית.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Lixisenatide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Insulin glargine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Suliqua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בהתאם למסגרת ההכללה בסל 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אנלוגים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ל-1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GLP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Lixisenatide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Lyxumia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בסוכרת - הרחבת מסגרת ההכללה בסל עבור חולי סוכרת סוג 2 עם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HbA1c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7.5% ל-9.0%,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BMI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בין 28-30, לאחר מיצוי טיפול תרופתי בשתי תרופות פומיות לפחות, שהינם חולים באחד מהבאים: מחלת לב כלילית, מחלה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סרברווסקולארית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או מחלת כליה כרונית.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Lumacaftor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Ivacaftor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Orkambi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בחולי סיסטיק פיברוזיס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CF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 בחולים הומוזיגוטיים למוטציה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F508del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בגן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CFTR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Mechlorethamine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Ledaga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טיפול מקומי בלימפומה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CTCL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mycosis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fungoides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הרחבת מסגרת ההכללה בסל - לאחר טיפול מוכוון עור קודם (ללא הכרח בשימוש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בפוטותרפיה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Mepolizumab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Nucala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 </w:t>
                      </w:r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באסטמה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אאוזינופילית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קשה בחולים שמיצו טיפולים קודמים בהתוויות שיוגדרו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Midostaurin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Rydapt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בממאירות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Advanced systemic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mastocytosis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(ASM)</w:t>
                      </w:r>
                    </w:p>
                  </w:tc>
                </w:tr>
                <w:tr w:rsidR="00A67D10" w:rsidRPr="00033A15" w:rsidTr="008B21E5">
                  <w:trPr>
                    <w:cantSplit/>
                    <w:trHeight w:val="1130"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Midostaurin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Rydapt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בלוקמיה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FLT3+ AML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Migalastat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Galafold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במחלת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פברי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עבור חולים שלא יכולים לקבל טיפול אנזימטי חלופי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ERT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 למחלתם בשל הידרדרות במצבם על אף הטיפול האנזימטי החלופי או בשל תופעות לוואי המונעות המשך 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ERT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Nivolumab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Opdivo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קולורקטאלי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מתקדם לא נתיח או גרורתי בחולים שהם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MSI-H /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dMMR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לאחר מיצוי קווי טיפול קודמים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Nivolumab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Opdivo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בסרטן ראש צוואר חוזר או גרורתי כקו טיפול מתקדם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  <w:trHeight w:val="509"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Nivolumab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Opdivo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בסרטן מתקדם מקומי או גרורתי של דרכי השתן כקו טיפול מתקדם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Nusinersen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Spinraza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בחולים עם אבחנה גנטית של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Spinal muscular atrophy (SMA) types 1,2,3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Obinutuzumab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Gazyva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בלימפומה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פוליקולרית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מתקדמת בחולים שטרם קיבלו טיפול למחלתם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Obinutuzumab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Gazyva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בלימפומה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פוליקולרית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שמחלתם התקדמה במהלך או לאחר טיפול קודם מבוסס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Rituximab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(עבור חולים שטרם קיבלו טיפול ב-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Obinutuzumab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למחלתם)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Ocrelizumab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Ocrevus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בטרשת נפוצה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Primary progressive (PPMS)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בהתאם להתוויות שיוגדרו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Ocrelizumab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Ocrevus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בטרשת נפוצה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Relapsing MS (RMS)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כטיפול קו ראשון לחולי טרשת עם מחלה סוערת וכטיפול קו שני לחולי טרשת אשר נכשלו על תרופות קו ראשון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Osimertinib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Tagrisso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ריאה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עם מוטציה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T790M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נאיביים לטיפול קודם בתרופות ממשפחת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ה-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TKIs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Palbociclib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Ibrance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אנדוקריני בסרטן שד מתקדם –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קו טיפול אנדוקריני ראשון בשילוב עם מעכבי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ארומטאז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בנשים פוסט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מנופאוזליות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מחלתה חולה תהיה זכאית לטיפול בתרופה אחת בלבד ממשפחת 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CDK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Palbociclib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Ibrance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אנדוקריני בסרטן שד מתקדם –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קו טיפול אנדוקריני מתקדם בשילוב עם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Fulvestrant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בנשים פוסט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מנופאוזליות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מחלתה חולה תהיה זכאית לטיפול בתרופה אחת בלבד ממשפחת 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CDK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Paritaprevir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  + Ritonavir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Ombitasvir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Viekirax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- הרחבת מסגרת ההכללה בסל עבור: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*חולים עם גנוטיפ 1 דרגות פיברוזיס 1 ו-0 בשילוב עם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Dasabuvir</w:t>
                      </w:r>
                      <w:proofErr w:type="spellEnd"/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*חולים עם גנוטיפ 4 דרגות פיברוזיס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Pembrolizumab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Keytruda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בגידולים סולידיים מתקדמים לא נתיחים או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גרורתיים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בחולים שהם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MSI-H /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dMMR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לאחר מיצוי קווי טיפול קודמים, לפי הפירוט להלן: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ריאה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Biliary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ושט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גסטרי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ו-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GE junction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לבלב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מעי דק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שד גרורתי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HER2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חיובי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שד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HR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חיובי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 xml:space="preserve">*סרטן שד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Triple negative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רחם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בלוטת התריס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*סרטן ערמונית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סרקומה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*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אדנוקרצינומה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רטרופריטונאלית</w:t>
                      </w:r>
                      <w:proofErr w:type="spellEnd"/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Pembrolizumab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Keytruda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בלימפומה מסוג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הודג'קינס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קו טיפול מתקדם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Pembrolizumab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Keytruda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קולורקטאלי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מתקדם לא נתיח או גרורתי בחולים שהם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MSI-H /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dMMR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לאחר מיצוי קווי טיפול קודמים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).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Pembrolizumab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Keytruda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בסרטן ריאה גרורתי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NSCLC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כקו טיפול מתקדם.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Pembrolizumab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Keytruda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בסרטן מתקדם מקומי או גרורתי של דרכי השתן כקו טיפול מתקדם.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(במהלך מחלתו חולה יהיה זכאי לתרופה אחת בלבד מתרופות המשתייכות למעכבי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Checkpoint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).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Ranibizumab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Lucentis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בפגיעה בראיה על רקע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DME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(בצקת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מקולרית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סוכרתית) כקו טיפול מתקדם אחרי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Bevacizumab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(במהלך מחלתו חולה יהיה זכאי לקבל טיפול באחת מהתרופות –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Lucentis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Eylea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,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Ozurdex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Reslizumab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Cinqair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באסטמה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אאוזינופילית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קשה בחולים שמיצו טיפולים קודמים בהתוויות שיוגדרו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Ribociclib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Kisqali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אנדוקריני בסרטן שד מתקדם –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קו טיפול אנדוקריני ראשון בשילוב עם מעכבי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ארומטאז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בנשים פוסט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מנופאוזליות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(במהלך מחלתה חולה תהיה זכאית לטיפול בתרופה אחת בלבד ממשפחת מעכבי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CDK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Riociguat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Adempas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ביתר לחץ ריאתי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Chronic thromboembolic pulmonary hypertension (CTEPH)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Rivaroxaban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Xarelto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ומניעה של פקקת של הורידים העמוקים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DVT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), טיפול ומניעה של תסחיף ריאתי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PE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Rivaroxaban 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Xarelto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מניעת שבץ ותסחיף סיסטמי בחולים עם פרפור עליות - הרחבת מסגרת ההכללה בסל - עבור חולים עם 2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CHADS score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בערך 0 או 1 אחרי היפוך קצב ופעולות של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אבלציות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בפרפור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Romiplostim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Nplate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Idiopathic thrombocytopenic purpura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(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ITP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) כרונית - הרחבת מסגרת ההכללה בסל כקו טיפול שני עבור ילדים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Sarilumab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Kevzara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Rheumatoid arthritis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בהתאם למסגרת ההכללה של תכשירים ביולוגים אחרים הכלולים בסל להתוויה זו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Sofosbuvir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Ledipasvir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Harvoni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- הרחבת מסגרת ההכללה בסל: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1 דרגות פיברוזיס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4 דרגות פיברוזיס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lastRenderedPageBreak/>
                        <w:t>Sofosbuvir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Velpatasvir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Epclusa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- הרחבת מסגרת ההכללה בסל עבור חולים עם: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1 דרגות פיברוזיס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2 דרגות פיברוזיס 2,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3 דרגות פיברוזיס 2,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4 דרגות פיברוזיס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Sofosbuvir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Velpatasvir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+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Voxilaprevir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Vosevi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בהפטיטיס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כרונית עבור: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  <w:rtl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חולים שכשלו בטיפול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DAAs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גנוטיפ 1 דרגות פיברוזיס 4, 3, 2,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2 דרגות פיברוזיס 4, 3, 2,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3 דרגות פיברוזיס 4, 3, 2, 1 ו-0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br/>
                        <w:t>גנוטיפ 4 דרגות פיברוזיס 4, 3, 2, 1 ו-0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365DEC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eastAsia="Calibri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Tocilizumab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Actemra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טיפול ב-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Giant cell arteritis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Ulipristal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 xml:space="preserve"> acetate</w:t>
                      </w:r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Esmya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טרום ניתוחי בתסמינים בדרגת חומרה בינונית עד חמורה הנובעים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מפיברואידים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ברחם בנשים בגיל הפוריות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Ustekinumab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Stelara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במחלת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קרוהן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בדרגת חומרה בינונית עד קשה - הרחבת מסגרת ההכללה בסל - כקו טיפול שני לאחר טיפול בתכשיר ממשפחת ה-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anti TNF</w:t>
                      </w:r>
                    </w:p>
                  </w:tc>
                </w:tr>
                <w:tr w:rsidR="00A67D10" w:rsidRPr="00033A15" w:rsidTr="008B21E5">
                  <w:trPr>
                    <w:cantSplit/>
                  </w:trPr>
                  <w:tc>
                    <w:tcPr>
                      <w:tcW w:w="185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Venetoxclax</w:t>
                      </w:r>
                      <w:proofErr w:type="spellEnd"/>
                    </w:p>
                  </w:tc>
                  <w:tc>
                    <w:tcPr>
                      <w:tcW w:w="1276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Venclexta</w:t>
                      </w:r>
                      <w:proofErr w:type="spellEnd"/>
                    </w:p>
                  </w:tc>
                  <w:tc>
                    <w:tcPr>
                      <w:tcW w:w="2819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ind w:right="-1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טיפול בלוקמיה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CLL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- הרחבת מסגרת ההכללה בסל – עבור חולים עם מחלה עמידה או 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>רפרקטורית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ל-</w:t>
                      </w:r>
                      <w:proofErr w:type="spellStart"/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Ibrutinib</w:t>
                      </w:r>
                      <w:proofErr w:type="spellEnd"/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, שאינם בעלי מוטציה מסוג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del17p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</w:t>
                      </w:r>
                    </w:p>
                  </w:tc>
                </w:tr>
              </w:tbl>
              <w:p w:rsidR="00A67D10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jc w:val="center"/>
                  <w:rPr>
                    <w:rFonts w:ascii="Calibri" w:eastAsia="Calibri" w:hAnsi="Calibri"/>
                    <w:b/>
                    <w:bCs/>
                    <w:rtl/>
                  </w:rPr>
                </w:pPr>
              </w:p>
              <w:p w:rsidR="00A67D10" w:rsidRPr="00033A15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="Calibri" w:eastAsia="Calibri" w:hAnsi="Calibri"/>
                    <w:b/>
                    <w:bCs/>
                  </w:rPr>
                </w:pP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>*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ההתוויות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המדויקות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למסגרת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ההכללה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בסל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לרבות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הגדרת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מצבי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הזכאות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והקריטריונים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הרלבנטיים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,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יפורטו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בחוזרי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משרד</w:t>
                </w:r>
                <w:r w:rsidRPr="00A62795">
                  <w:rPr>
                    <w:rFonts w:ascii="Calibri" w:eastAsia="Calibri" w:hAnsi="Calibri"/>
                    <w:b/>
                    <w:bCs/>
                    <w:rtl/>
                  </w:rPr>
                  <w:t xml:space="preserve"> </w:t>
                </w:r>
                <w:r w:rsidRPr="00A62795">
                  <w:rPr>
                    <w:rFonts w:ascii="Calibri" w:eastAsia="Calibri" w:hAnsi="Calibri" w:hint="cs"/>
                    <w:b/>
                    <w:bCs/>
                    <w:rtl/>
                  </w:rPr>
                  <w:t>הבריאות</w:t>
                </w:r>
              </w:p>
              <w:p w:rsidR="00A67D10" w:rsidRPr="00033A15" w:rsidRDefault="00A67D10" w:rsidP="00A67D10">
                <w:pPr>
                  <w:numPr>
                    <w:ilvl w:val="0"/>
                    <w:numId w:val="2"/>
                  </w:numPr>
                  <w:autoSpaceDE w:val="0"/>
                  <w:autoSpaceDN w:val="0"/>
                  <w:adjustRightInd w:val="0"/>
                  <w:spacing w:line="360" w:lineRule="auto"/>
                  <w:jc w:val="both"/>
                  <w:rPr>
                    <w:rFonts w:ascii="Calibri" w:eastAsia="Calibri" w:hAnsi="Calibri"/>
                    <w:b/>
                    <w:bCs/>
                    <w:szCs w:val="22"/>
                    <w:rtl/>
                  </w:rPr>
                </w:pPr>
                <w:r w:rsidRPr="00033A1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lastRenderedPageBreak/>
                  <w:t xml:space="preserve">שירותים </w:t>
                </w:r>
                <w:r w:rsidRPr="00033A15">
                  <w:rPr>
                    <w:rFonts w:ascii="David" w:eastAsia="Calibri" w:hAnsi="David" w:hint="cs"/>
                    <w:b/>
                    <w:bCs/>
                    <w:rtl/>
                  </w:rPr>
                  <w:t>באחריות</w:t>
                </w:r>
                <w:r w:rsidRPr="00033A15">
                  <w:rPr>
                    <w:rFonts w:ascii="Calibri" w:eastAsia="Calibri" w:hAnsi="Calibri" w:hint="cs"/>
                    <w:b/>
                    <w:bCs/>
                    <w:szCs w:val="22"/>
                    <w:rtl/>
                  </w:rPr>
                  <w:t xml:space="preserve"> משרד הבריאות</w:t>
                </w:r>
              </w:p>
              <w:tbl>
                <w:tblPr>
                  <w:bidiVisual/>
                  <w:tblW w:w="59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1766"/>
                  <w:gridCol w:w="4188"/>
                </w:tblGrid>
                <w:tr w:rsidR="00A67D10" w:rsidRPr="00033A15" w:rsidTr="008B21E5">
                  <w:tc>
                    <w:tcPr>
                      <w:tcW w:w="232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b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/>
                          <w:bCs/>
                          <w:szCs w:val="22"/>
                          <w:rtl/>
                        </w:rPr>
                        <w:t>שם הטכנולוגיה</w:t>
                      </w:r>
                    </w:p>
                  </w:tc>
                  <w:tc>
                    <w:tcPr>
                      <w:tcW w:w="563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b/>
                          <w:bCs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b/>
                          <w:bCs/>
                          <w:szCs w:val="22"/>
                          <w:rtl/>
                        </w:rPr>
                        <w:t>התוויה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2325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בדיקות סקירה לגילוי נשאים של מחלות גנטיות באוכלוסייה הכללית </w:t>
                      </w:r>
                    </w:p>
                  </w:tc>
                  <w:tc>
                    <w:tcPr>
                      <w:tcW w:w="563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Mitochondrial Complex 1 deficiency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בקרב יהודים ממוצא קווקז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2325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563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Chronic Granulomatous Disease (CGD) C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בקרב יהודים ממוצא קווקז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2325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563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תסמונת 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</w:rPr>
                        <w:t>Walker Warburg</w:t>
                      </w: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 בקרב יהודים ממוצא אשכנז</w:t>
                      </w:r>
                    </w:p>
                  </w:tc>
                </w:tr>
                <w:tr w:rsidR="00A67D10" w:rsidRPr="00033A15" w:rsidTr="008B21E5">
                  <w:tc>
                    <w:tcPr>
                      <w:tcW w:w="2325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  <w:p w:rsidR="00A67D10" w:rsidRPr="00033A15" w:rsidRDefault="00A67D10" w:rsidP="008B21E5">
                      <w:pPr>
                        <w:spacing w:after="0" w:line="24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</w:p>
                  </w:tc>
                  <w:tc>
                    <w:tcPr>
                      <w:tcW w:w="563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tcMar>
                        <w:top w:w="57" w:type="dxa"/>
                        <w:left w:w="108" w:type="dxa"/>
                        <w:bottom w:w="0" w:type="dxa"/>
                        <w:right w:w="108" w:type="dxa"/>
                      </w:tcMar>
                      <w:hideMark/>
                    </w:tcPr>
                    <w:p w:rsidR="00A67D10" w:rsidRPr="00033A15" w:rsidRDefault="00A67D10" w:rsidP="008B21E5">
                      <w:pPr>
                        <w:spacing w:line="360" w:lineRule="auto"/>
                        <w:jc w:val="both"/>
                        <w:rPr>
                          <w:rFonts w:ascii="David" w:eastAsia="Calibri" w:hAnsi="David"/>
                          <w:szCs w:val="22"/>
                        </w:rPr>
                      </w:pPr>
                      <w:r w:rsidRPr="00033A15">
                        <w:rPr>
                          <w:rFonts w:ascii="David" w:eastAsia="Calibri" w:hAnsi="David" w:hint="cs"/>
                          <w:szCs w:val="22"/>
                          <w:rtl/>
                        </w:rPr>
                        <w:t xml:space="preserve">הוספת בדיקות באוכלוסיית בני מיעוטים (הערבית והדרוזית) </w:t>
                      </w:r>
                    </w:p>
                  </w:tc>
                </w:tr>
              </w:tbl>
              <w:p w:rsidR="00A67D10" w:rsidRPr="00033A15" w:rsidRDefault="00A67D10" w:rsidP="008B21E5">
                <w:pPr>
                  <w:autoSpaceDE w:val="0"/>
                  <w:autoSpaceDN w:val="0"/>
                  <w:adjustRightInd w:val="0"/>
                  <w:spacing w:line="360" w:lineRule="auto"/>
                  <w:jc w:val="center"/>
                  <w:rPr>
                    <w:rFonts w:ascii="Calibri" w:eastAsia="Calibri" w:hAnsi="Calibri"/>
                    <w:b/>
                    <w:bCs/>
                    <w:rtl/>
                  </w:rPr>
                </w:pPr>
              </w:p>
              <w:p w:rsidR="00A67D10" w:rsidRPr="00033A15" w:rsidRDefault="00A67D10" w:rsidP="008B21E5">
                <w:pPr>
                  <w:tabs>
                    <w:tab w:val="left" w:pos="163"/>
                    <w:tab w:val="center" w:pos="4320"/>
                    <w:tab w:val="right" w:pos="8640"/>
                  </w:tabs>
                  <w:ind w:left="163" w:hanging="105"/>
                  <w:jc w:val="both"/>
                  <w:rPr>
                    <w:rStyle w:val="a4"/>
                    <w:rFonts w:ascii="Calibri" w:eastAsia="Calibri" w:hAnsi="Calibri"/>
                    <w:b/>
                    <w:bCs/>
                    <w:rtl/>
                  </w:rPr>
                </w:pPr>
                <w:r w:rsidRPr="00033A15">
                  <w:rPr>
                    <w:rFonts w:ascii="Calibri" w:eastAsia="Calibri" w:hAnsi="Calibri" w:hint="cs"/>
                    <w:b/>
                    <w:bCs/>
                    <w:rtl/>
                  </w:rPr>
                  <w:t>*ההתוויות המדויקות למסגרת ההכללה בסל, לרבות הגדרת מצבי הזכאות, והקריטריונים הרלבנטיים, יפורטו בחוזרי משרד הבריאות</w:t>
                </w:r>
              </w:p>
            </w:tc>
          </w:sdtContent>
        </w:sdt>
      </w:tr>
      <w:tr w:rsidR="00A67D10" w:rsidRPr="00EF64C3" w:rsidTr="008B21E5">
        <w:trPr>
          <w:jc w:val="center"/>
        </w:trPr>
        <w:tc>
          <w:tcPr>
            <w:tcW w:w="1985" w:type="dxa"/>
          </w:tcPr>
          <w:p w:rsidR="00A67D10" w:rsidRPr="00EF64C3" w:rsidRDefault="00A67D10" w:rsidP="008B21E5">
            <w:pPr>
              <w:spacing w:line="276" w:lineRule="auto"/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  <w:tc>
          <w:tcPr>
            <w:tcW w:w="6520" w:type="dxa"/>
          </w:tcPr>
          <w:p w:rsidR="00A67D10" w:rsidRPr="00EF64C3" w:rsidRDefault="00A67D10" w:rsidP="008B21E5">
            <w:pPr>
              <w:spacing w:line="276" w:lineRule="auto"/>
              <w:contextualSpacing/>
              <w:jc w:val="both"/>
              <w:rPr>
                <w:rFonts w:asciiTheme="minorBidi" w:hAnsiTheme="minorBidi"/>
                <w:sz w:val="24"/>
                <w:rtl/>
              </w:rPr>
            </w:pPr>
          </w:p>
        </w:tc>
      </w:tr>
    </w:tbl>
    <w:p w:rsidR="00A67D10" w:rsidRDefault="00A67D10" w:rsidP="00A67D10">
      <w:r>
        <w:br w:type="page"/>
      </w:r>
    </w:p>
    <w:p w:rsidR="00FD1C14" w:rsidRPr="00A67D10" w:rsidRDefault="00FD1C14">
      <w:bookmarkStart w:id="0" w:name="_GoBack"/>
      <w:bookmarkEnd w:id="0"/>
    </w:p>
    <w:sectPr w:rsidR="00FD1C14" w:rsidRPr="00A67D10" w:rsidSect="00485FE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707A"/>
    <w:multiLevelType w:val="hybridMultilevel"/>
    <w:tmpl w:val="F67A4428"/>
    <w:lvl w:ilvl="0" w:tplc="A4A289A4">
      <w:start w:val="1"/>
      <w:numFmt w:val="hebrew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9C4729"/>
    <w:multiLevelType w:val="hybridMultilevel"/>
    <w:tmpl w:val="467093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10"/>
    <w:rsid w:val="00485FE9"/>
    <w:rsid w:val="00A67D10"/>
    <w:rsid w:val="00FD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10"/>
    <w:pPr>
      <w:bidi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67D1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טקסט בלונים תו"/>
    <w:basedOn w:val="a0"/>
    <w:link w:val="a5"/>
    <w:uiPriority w:val="99"/>
    <w:semiHidden/>
    <w:rsid w:val="00A67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10"/>
    <w:pPr>
      <w:bidi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67D1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טקסט בלונים תו"/>
    <w:basedOn w:val="a0"/>
    <w:link w:val="a5"/>
    <w:uiPriority w:val="99"/>
    <w:semiHidden/>
    <w:rsid w:val="00A67D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3A4F0B0DFBE41EA812F47D8A05A5F6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C1F0FC1-694E-4BAB-85D8-6F5AD7C15100}"/>
      </w:docPartPr>
      <w:docPartBody>
        <w:p w:rsidR="00000000" w:rsidRDefault="005C01D1" w:rsidP="005C01D1">
          <w:pPr>
            <w:pStyle w:val="A3A4F0B0DFBE41EA812F47D8A05A5F6A"/>
          </w:pPr>
          <w:r w:rsidRPr="00113182">
            <w:rPr>
              <w:rFonts w:asciiTheme="minorBidi" w:hAnsiTheme="minorBidi" w:cs="Rod" w:hint="cs"/>
              <w:noProof/>
              <w:color w:val="808080" w:themeColor="background1" w:themeShade="80"/>
              <w:spacing w:val="-30"/>
              <w:sz w:val="26"/>
              <w:szCs w:val="26"/>
              <w:rtl/>
            </w:rPr>
            <w:t>מחליטים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D1"/>
    <w:rsid w:val="005C01D1"/>
    <w:rsid w:val="00F9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A4F0B0DFBE41EA812F47D8A05A5F6A">
    <w:name w:val="A3A4F0B0DFBE41EA812F47D8A05A5F6A"/>
    <w:rsid w:val="005C01D1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A4F0B0DFBE41EA812F47D8A05A5F6A">
    <w:name w:val="A3A4F0B0DFBE41EA812F47D8A05A5F6A"/>
    <w:rsid w:val="005C01D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2978</Words>
  <Characters>14890</Characters>
  <Application>Microsoft Office Word</Application>
  <DocSecurity>0</DocSecurity>
  <Lines>124</Lines>
  <Paragraphs>35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הויזמן נוי</dc:creator>
  <cp:lastModifiedBy>הויזמן נוי</cp:lastModifiedBy>
  <cp:revision>1</cp:revision>
  <dcterms:created xsi:type="dcterms:W3CDTF">2018-01-04T13:09:00Z</dcterms:created>
  <dcterms:modified xsi:type="dcterms:W3CDTF">2018-01-04T13:10:00Z</dcterms:modified>
</cp:coreProperties>
</file>