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4C94" w14:textId="5E2D335D" w:rsidR="00CE0D50" w:rsidRPr="003B279B" w:rsidRDefault="00EB36A0" w:rsidP="00CE0D50">
      <w:pPr>
        <w:spacing w:line="360" w:lineRule="auto"/>
        <w:jc w:val="right"/>
        <w:rPr>
          <w:rFonts w:ascii="Arial" w:hAnsi="Arial" w:cs="Arial"/>
          <w:sz w:val="24"/>
          <w:szCs w:val="24"/>
        </w:rPr>
      </w:pPr>
      <w:r>
        <w:rPr>
          <w:rFonts w:ascii="Arial" w:hAnsi="Arial" w:cs="Arial" w:hint="cs"/>
          <w:sz w:val="24"/>
          <w:szCs w:val="24"/>
          <w:rtl/>
        </w:rPr>
        <w:t>7</w:t>
      </w:r>
      <w:r w:rsidR="00CE0D50" w:rsidRPr="003B279B">
        <w:rPr>
          <w:rFonts w:ascii="Arial" w:hAnsi="Arial" w:cs="Arial" w:hint="cs"/>
          <w:sz w:val="24"/>
          <w:szCs w:val="24"/>
          <w:rtl/>
        </w:rPr>
        <w:t>.2.2923</w:t>
      </w:r>
    </w:p>
    <w:p w14:paraId="2BF09FA3" w14:textId="77777777" w:rsidR="00CE0D50" w:rsidRDefault="00CE0D50" w:rsidP="00CE0D50">
      <w:pPr>
        <w:spacing w:line="360" w:lineRule="auto"/>
        <w:jc w:val="center"/>
        <w:rPr>
          <w:rFonts w:ascii="Arial" w:hAnsi="Arial" w:cs="Arial"/>
          <w:b/>
          <w:bCs/>
          <w:sz w:val="28"/>
          <w:szCs w:val="28"/>
          <w:u w:val="single"/>
          <w:rtl/>
        </w:rPr>
      </w:pPr>
    </w:p>
    <w:p w14:paraId="4928E9D6" w14:textId="3BFC85CD" w:rsidR="00CE0D50" w:rsidRDefault="00CE0D50" w:rsidP="00CE0D50">
      <w:pPr>
        <w:spacing w:line="360" w:lineRule="auto"/>
        <w:jc w:val="center"/>
        <w:rPr>
          <w:rFonts w:ascii="Arial" w:hAnsi="Arial" w:cs="Arial"/>
          <w:b/>
          <w:bCs/>
          <w:sz w:val="28"/>
          <w:szCs w:val="28"/>
          <w:u w:val="single"/>
          <w:rtl/>
        </w:rPr>
      </w:pPr>
      <w:r>
        <w:rPr>
          <w:rFonts w:ascii="Arial" w:hAnsi="Arial" w:cs="Arial" w:hint="cs"/>
          <w:b/>
          <w:bCs/>
          <w:sz w:val="28"/>
          <w:szCs w:val="28"/>
          <w:u w:val="single"/>
          <w:rtl/>
        </w:rPr>
        <w:t xml:space="preserve">החלטת </w:t>
      </w:r>
      <w:r>
        <w:rPr>
          <w:rFonts w:ascii="Arial" w:hAnsi="Arial" w:cs="Arial"/>
          <w:b/>
          <w:bCs/>
          <w:sz w:val="28"/>
          <w:szCs w:val="28"/>
          <w:u w:val="single"/>
          <w:rtl/>
        </w:rPr>
        <w:t>ועדת האתיקה הפנימית</w:t>
      </w:r>
      <w:r>
        <w:rPr>
          <w:rFonts w:ascii="Arial" w:hAnsi="Arial" w:cs="Arial" w:hint="cs"/>
          <w:b/>
          <w:bCs/>
          <w:sz w:val="28"/>
          <w:szCs w:val="28"/>
          <w:u w:val="single"/>
          <w:rtl/>
        </w:rPr>
        <w:t xml:space="preserve"> (19.7.2023) </w:t>
      </w:r>
    </w:p>
    <w:p w14:paraId="419F845E" w14:textId="77777777" w:rsidR="00CE0D50" w:rsidRPr="00BA2C18" w:rsidRDefault="00CE0D50" w:rsidP="00CE0D50">
      <w:pPr>
        <w:spacing w:line="360" w:lineRule="auto"/>
        <w:rPr>
          <w:rFonts w:ascii="Arial" w:hAnsi="Arial" w:cs="Arial"/>
          <w:b/>
          <w:bCs/>
          <w:sz w:val="24"/>
          <w:szCs w:val="24"/>
          <w:u w:val="single"/>
          <w:rtl/>
        </w:rPr>
      </w:pPr>
    </w:p>
    <w:p w14:paraId="1FA5EAE2" w14:textId="77777777" w:rsidR="00CE0D50" w:rsidRDefault="00CE0D50" w:rsidP="00CE0D50">
      <w:pPr>
        <w:spacing w:line="360" w:lineRule="auto"/>
        <w:rPr>
          <w:rFonts w:ascii="Arial" w:hAnsi="Arial" w:cs="Arial"/>
          <w:b/>
          <w:bCs/>
          <w:sz w:val="24"/>
          <w:szCs w:val="24"/>
          <w:u w:val="single"/>
          <w:rtl/>
        </w:rPr>
      </w:pPr>
    </w:p>
    <w:p w14:paraId="3B30A6AF" w14:textId="77777777" w:rsidR="00CE0D50" w:rsidRPr="00F17704" w:rsidRDefault="00CE0D50" w:rsidP="00CE0D50">
      <w:pPr>
        <w:spacing w:line="360" w:lineRule="auto"/>
        <w:rPr>
          <w:rFonts w:ascii="Arial" w:hAnsi="Arial" w:cs="Arial"/>
          <w:b/>
          <w:bCs/>
          <w:sz w:val="24"/>
          <w:szCs w:val="24"/>
          <w:u w:val="single"/>
          <w:rtl/>
        </w:rPr>
      </w:pPr>
      <w:r w:rsidRPr="00F17704">
        <w:rPr>
          <w:rFonts w:ascii="Arial" w:hAnsi="Arial" w:cs="Arial"/>
          <w:b/>
          <w:bCs/>
          <w:sz w:val="24"/>
          <w:szCs w:val="24"/>
          <w:u w:val="single"/>
          <w:rtl/>
        </w:rPr>
        <w:t xml:space="preserve">1. ראיונות ו/או השתתפות מורשעים או מי שתלויים נגדם כתבי אישום באופן קבוע בשידורים בתפקידי מגיבים, פרשנים ובעלי פינות </w:t>
      </w:r>
    </w:p>
    <w:p w14:paraId="54776575" w14:textId="77777777" w:rsidR="00CE0D50" w:rsidRDefault="00CE0D50" w:rsidP="00CE0D50">
      <w:pPr>
        <w:rPr>
          <w:rFonts w:ascii="Arial" w:hAnsi="Arial" w:cs="Arial"/>
          <w:b/>
          <w:bCs/>
          <w:sz w:val="28"/>
          <w:szCs w:val="28"/>
          <w:u w:val="single"/>
          <w:rtl/>
        </w:rPr>
      </w:pPr>
      <w:r>
        <w:rPr>
          <w:rFonts w:ascii="Arial" w:hAnsi="Arial" w:cs="Arial"/>
          <w:b/>
          <w:bCs/>
          <w:sz w:val="28"/>
          <w:szCs w:val="28"/>
          <w:u w:val="single"/>
          <w:rtl/>
        </w:rPr>
        <w:t xml:space="preserve"> </w:t>
      </w:r>
    </w:p>
    <w:p w14:paraId="037C2A33" w14:textId="77777777" w:rsidR="00CE0D50" w:rsidRDefault="00CE0D50" w:rsidP="00CE0D50">
      <w:pPr>
        <w:rPr>
          <w:rFonts w:ascii="Arial" w:hAnsi="Arial" w:cs="Arial"/>
          <w:b/>
          <w:bCs/>
          <w:sz w:val="24"/>
          <w:szCs w:val="24"/>
          <w:u w:val="single"/>
          <w:rtl/>
        </w:rPr>
      </w:pPr>
    </w:p>
    <w:p w14:paraId="4D6BA132" w14:textId="77777777" w:rsidR="00CE0D50" w:rsidRDefault="00CE0D50" w:rsidP="00CE0D50">
      <w:pPr>
        <w:numPr>
          <w:ilvl w:val="0"/>
          <w:numId w:val="1"/>
        </w:numPr>
        <w:spacing w:line="360" w:lineRule="auto"/>
        <w:contextualSpacing/>
        <w:rPr>
          <w:rFonts w:ascii="Arial" w:hAnsi="Arial" w:cs="Arial"/>
          <w:b/>
          <w:bCs/>
          <w:sz w:val="24"/>
          <w:szCs w:val="24"/>
          <w:u w:val="single"/>
          <w:rtl/>
        </w:rPr>
      </w:pPr>
      <w:r>
        <w:rPr>
          <w:rFonts w:ascii="Arial" w:hAnsi="Arial" w:cs="Arial"/>
          <w:b/>
          <w:bCs/>
          <w:sz w:val="24"/>
          <w:szCs w:val="24"/>
          <w:u w:val="single"/>
          <w:rtl/>
        </w:rPr>
        <w:t>תמונת המצב בתאגיד</w:t>
      </w:r>
    </w:p>
    <w:p w14:paraId="3513DD9F" w14:textId="77777777" w:rsidR="00CE0D50" w:rsidRDefault="00CE0D50" w:rsidP="00CE0D50">
      <w:pPr>
        <w:spacing w:line="360" w:lineRule="auto"/>
        <w:rPr>
          <w:rFonts w:ascii="Arial" w:hAnsi="Arial" w:cs="Arial"/>
          <w:b/>
          <w:bCs/>
          <w:sz w:val="24"/>
          <w:szCs w:val="24"/>
          <w:u w:val="single"/>
          <w:rtl/>
        </w:rPr>
      </w:pPr>
    </w:p>
    <w:p w14:paraId="5629EA29" w14:textId="77777777" w:rsidR="00CE0D50" w:rsidRDefault="00CE0D50" w:rsidP="00CE0D50">
      <w:pPr>
        <w:numPr>
          <w:ilvl w:val="0"/>
          <w:numId w:val="2"/>
        </w:numPr>
        <w:spacing w:line="360" w:lineRule="auto"/>
        <w:ind w:left="714" w:hanging="357"/>
        <w:contextualSpacing/>
        <w:rPr>
          <w:rFonts w:ascii="Arial" w:hAnsi="Arial" w:cs="Arial"/>
          <w:sz w:val="24"/>
          <w:szCs w:val="24"/>
          <w:rtl/>
        </w:rPr>
      </w:pPr>
      <w:r>
        <w:rPr>
          <w:rFonts w:ascii="Arial" w:hAnsi="Arial" w:cs="Arial"/>
          <w:sz w:val="24"/>
          <w:szCs w:val="24"/>
          <w:rtl/>
        </w:rPr>
        <w:t xml:space="preserve">בעקבות שידור ריאיון </w:t>
      </w:r>
      <w:r>
        <w:rPr>
          <w:rFonts w:ascii="Arial" w:hAnsi="Arial" w:cs="Arial" w:hint="cs"/>
          <w:sz w:val="24"/>
          <w:szCs w:val="24"/>
          <w:rtl/>
        </w:rPr>
        <w:t xml:space="preserve">במהדורת חדשות הערב </w:t>
      </w:r>
      <w:r>
        <w:rPr>
          <w:rFonts w:ascii="Arial" w:hAnsi="Arial" w:cs="Arial"/>
          <w:sz w:val="24"/>
          <w:szCs w:val="24"/>
          <w:rtl/>
        </w:rPr>
        <w:t xml:space="preserve">עם אביעד משה, שהורשע בניסיון רצח רעייתו שירה </w:t>
      </w:r>
      <w:proofErr w:type="spellStart"/>
      <w:r>
        <w:rPr>
          <w:rFonts w:ascii="Arial" w:hAnsi="Arial" w:cs="Arial"/>
          <w:sz w:val="24"/>
          <w:szCs w:val="24"/>
          <w:rtl/>
        </w:rPr>
        <w:t>איסקוב</w:t>
      </w:r>
      <w:proofErr w:type="spellEnd"/>
      <w:r>
        <w:rPr>
          <w:rFonts w:ascii="Arial" w:hAnsi="Arial" w:cs="Arial"/>
          <w:sz w:val="24"/>
          <w:szCs w:val="24"/>
          <w:rtl/>
        </w:rPr>
        <w:t xml:space="preserve"> ובפציעתה החמורה</w:t>
      </w:r>
      <w:r>
        <w:rPr>
          <w:rFonts w:ascii="Arial" w:hAnsi="Arial" w:cs="Arial" w:hint="cs"/>
          <w:sz w:val="24"/>
          <w:szCs w:val="24"/>
          <w:rtl/>
        </w:rPr>
        <w:t xml:space="preserve">, קבעה </w:t>
      </w:r>
      <w:r>
        <w:rPr>
          <w:rFonts w:ascii="Arial" w:hAnsi="Arial" w:cs="Arial"/>
          <w:sz w:val="24"/>
          <w:szCs w:val="24"/>
          <w:rtl/>
        </w:rPr>
        <w:t xml:space="preserve">ועדת האתיקה הפנימית  </w:t>
      </w:r>
      <w:r>
        <w:rPr>
          <w:rFonts w:ascii="Arial" w:hAnsi="Arial" w:cs="Arial" w:hint="cs"/>
          <w:sz w:val="24"/>
          <w:szCs w:val="24"/>
          <w:rtl/>
        </w:rPr>
        <w:t>בישיבתה מיום 14.1.2021</w:t>
      </w:r>
      <w:r>
        <w:rPr>
          <w:rFonts w:ascii="Arial" w:hAnsi="Arial" w:cs="Arial"/>
          <w:sz w:val="24"/>
          <w:szCs w:val="24"/>
          <w:rtl/>
        </w:rPr>
        <w:t xml:space="preserve"> שמדובר בכשל ערכי</w:t>
      </w:r>
      <w:r>
        <w:rPr>
          <w:rFonts w:ascii="Arial" w:hAnsi="Arial" w:cs="Arial" w:hint="cs"/>
          <w:sz w:val="24"/>
          <w:szCs w:val="24"/>
          <w:rtl/>
        </w:rPr>
        <w:t xml:space="preserve">. הוועדה </w:t>
      </w:r>
      <w:r>
        <w:rPr>
          <w:rFonts w:ascii="Arial" w:hAnsi="Arial" w:cs="Arial"/>
          <w:sz w:val="24"/>
          <w:szCs w:val="24"/>
          <w:rtl/>
        </w:rPr>
        <w:t>אימצה את מסקנות חטיבת החדשות והציגה שורה של המלצות לדרג הניהולי, כמפורט להלן</w:t>
      </w:r>
      <w:r>
        <w:rPr>
          <w:rFonts w:ascii="Arial" w:hAnsi="Arial" w:cs="Arial" w:hint="cs"/>
          <w:sz w:val="24"/>
          <w:szCs w:val="24"/>
          <w:rtl/>
        </w:rPr>
        <w:t>:</w:t>
      </w:r>
      <w:r>
        <w:rPr>
          <w:rFonts w:ascii="Arial" w:hAnsi="Arial" w:cs="Arial"/>
          <w:sz w:val="24"/>
          <w:szCs w:val="24"/>
          <w:rtl/>
        </w:rPr>
        <w:t xml:space="preserve"> </w:t>
      </w:r>
    </w:p>
    <w:p w14:paraId="21091916" w14:textId="77777777" w:rsidR="00CE0D50" w:rsidRDefault="00CE0D50" w:rsidP="00CE0D50">
      <w:pPr>
        <w:numPr>
          <w:ilvl w:val="0"/>
          <w:numId w:val="3"/>
        </w:numPr>
        <w:spacing w:line="360" w:lineRule="auto"/>
        <w:contextualSpacing/>
        <w:rPr>
          <w:rFonts w:ascii="Arial" w:hAnsi="Arial" w:cs="Arial"/>
          <w:b/>
          <w:bCs/>
          <w:sz w:val="24"/>
          <w:szCs w:val="24"/>
        </w:rPr>
      </w:pPr>
      <w:bookmarkStart w:id="0" w:name="_Hlk139818599"/>
      <w:r>
        <w:rPr>
          <w:rFonts w:ascii="Arial" w:hAnsi="Arial" w:cs="Arial"/>
          <w:sz w:val="24"/>
          <w:szCs w:val="24"/>
          <w:rtl/>
        </w:rPr>
        <w:t xml:space="preserve">ראיונות עם חשודים, נאשמים או מורשעים בעבירות אלימות חמורות יהיו </w:t>
      </w:r>
      <w:r>
        <w:rPr>
          <w:rFonts w:ascii="Arial" w:hAnsi="Arial" w:cs="Arial"/>
          <w:b/>
          <w:bCs/>
          <w:sz w:val="24"/>
          <w:szCs w:val="24"/>
          <w:rtl/>
        </w:rPr>
        <w:t>חריגים ונדירים.</w:t>
      </w:r>
    </w:p>
    <w:bookmarkEnd w:id="0"/>
    <w:p w14:paraId="751433EF" w14:textId="77777777" w:rsidR="00CE0D50" w:rsidRDefault="00CE0D50" w:rsidP="00CE0D50">
      <w:pPr>
        <w:numPr>
          <w:ilvl w:val="0"/>
          <w:numId w:val="3"/>
        </w:numPr>
        <w:spacing w:line="360" w:lineRule="auto"/>
        <w:contextualSpacing/>
        <w:rPr>
          <w:rFonts w:ascii="Arial" w:hAnsi="Arial" w:cs="Arial"/>
          <w:sz w:val="24"/>
          <w:szCs w:val="24"/>
        </w:rPr>
      </w:pPr>
      <w:r>
        <w:rPr>
          <w:rFonts w:ascii="Arial" w:hAnsi="Arial" w:cs="Arial"/>
          <w:sz w:val="24"/>
          <w:szCs w:val="24"/>
          <w:rtl/>
        </w:rPr>
        <w:t xml:space="preserve">ככל שעיתונאי בתאגיד יחשוב שיש </w:t>
      </w:r>
      <w:r>
        <w:rPr>
          <w:rFonts w:ascii="Arial" w:hAnsi="Arial" w:cs="Arial"/>
          <w:b/>
          <w:bCs/>
          <w:sz w:val="24"/>
          <w:szCs w:val="24"/>
          <w:rtl/>
        </w:rPr>
        <w:t>עניין ציבורי</w:t>
      </w:r>
      <w:r>
        <w:rPr>
          <w:rFonts w:ascii="Arial" w:hAnsi="Arial" w:cs="Arial"/>
          <w:sz w:val="24"/>
          <w:szCs w:val="24"/>
          <w:rtl/>
        </w:rPr>
        <w:t xml:space="preserve"> </w:t>
      </w:r>
      <w:bookmarkStart w:id="1" w:name="_Hlk140768433"/>
      <w:r>
        <w:rPr>
          <w:rFonts w:ascii="Arial" w:hAnsi="Arial" w:cs="Arial"/>
          <w:sz w:val="24"/>
          <w:szCs w:val="24"/>
          <w:rtl/>
        </w:rPr>
        <w:t>בראיון מעין זה</w:t>
      </w:r>
      <w:bookmarkEnd w:id="1"/>
      <w:r>
        <w:rPr>
          <w:rFonts w:ascii="Arial" w:hAnsi="Arial" w:cs="Arial"/>
          <w:sz w:val="24"/>
          <w:szCs w:val="24"/>
          <w:rtl/>
        </w:rPr>
        <w:t>, עליו להציג את הנושא בפני מנהל החטיבה וסגניתו, בפני עורך המהדורה והמגיש, ובמסגרת זו יוצגו הנימוקים לשידור אל מול הנזקים האפשריים בנפגעי העבירות ובכלל הציבור. אם יוחלט שיש מקום לקיים ראיון, תוצג הכתבה בפני פורום בכיר שחברים בו ראשי מערכת החדשות. לאחר מתן האישורים ניתן יהיה לשדר את הריאיון.</w:t>
      </w:r>
    </w:p>
    <w:p w14:paraId="23195AF3" w14:textId="77777777" w:rsidR="00CE0D50" w:rsidRDefault="00CE0D50" w:rsidP="00CE0D50">
      <w:pPr>
        <w:numPr>
          <w:ilvl w:val="0"/>
          <w:numId w:val="3"/>
        </w:numPr>
        <w:spacing w:line="360" w:lineRule="auto"/>
        <w:contextualSpacing/>
        <w:rPr>
          <w:rFonts w:ascii="Arial" w:hAnsi="Arial" w:cs="Arial"/>
          <w:sz w:val="24"/>
          <w:szCs w:val="24"/>
        </w:rPr>
      </w:pPr>
      <w:r>
        <w:rPr>
          <w:rFonts w:ascii="Arial" w:hAnsi="Arial" w:cs="Arial"/>
          <w:sz w:val="24"/>
          <w:szCs w:val="24"/>
          <w:rtl/>
        </w:rPr>
        <w:t xml:space="preserve">חברי ועדת האתיקה הפנימית סבורים, כי הליך שבו קיימות נקודות בקרה לפני השידור, יאפשר מניעת כשלים מעין אלו בעתיד. </w:t>
      </w:r>
    </w:p>
    <w:p w14:paraId="1EC2F153" w14:textId="77777777" w:rsidR="00CE0D50" w:rsidRDefault="00CE0D50" w:rsidP="00CE0D50">
      <w:pPr>
        <w:spacing w:line="360" w:lineRule="auto"/>
        <w:rPr>
          <w:rFonts w:ascii="Arial" w:hAnsi="Arial" w:cs="Arial"/>
          <w:sz w:val="24"/>
          <w:szCs w:val="24"/>
        </w:rPr>
      </w:pPr>
    </w:p>
    <w:p w14:paraId="37B0B6D9" w14:textId="2565F63A" w:rsidR="00CE0D50" w:rsidRDefault="00CE0D50" w:rsidP="00CE0D50">
      <w:pPr>
        <w:numPr>
          <w:ilvl w:val="0"/>
          <w:numId w:val="1"/>
        </w:numPr>
        <w:spacing w:line="360" w:lineRule="auto"/>
        <w:contextualSpacing/>
        <w:rPr>
          <w:rFonts w:ascii="Arial" w:hAnsi="Arial" w:cs="Arial"/>
          <w:sz w:val="24"/>
          <w:szCs w:val="24"/>
        </w:rPr>
      </w:pPr>
      <w:r w:rsidRPr="00F17704">
        <w:rPr>
          <w:rFonts w:ascii="Arial" w:hAnsi="Arial" w:cs="Arial" w:hint="cs"/>
          <w:b/>
          <w:bCs/>
          <w:sz w:val="24"/>
          <w:szCs w:val="24"/>
          <w:u w:val="single"/>
          <w:rtl/>
        </w:rPr>
        <w:t>החלטת</w:t>
      </w:r>
      <w:r w:rsidRPr="00F17704">
        <w:rPr>
          <w:rFonts w:ascii="Arial" w:hAnsi="Arial" w:cs="Arial"/>
          <w:b/>
          <w:bCs/>
          <w:sz w:val="24"/>
          <w:szCs w:val="24"/>
          <w:u w:val="single"/>
          <w:rtl/>
        </w:rPr>
        <w:t xml:space="preserve"> ועדת האתיקה הפנימית</w:t>
      </w:r>
      <w:r w:rsidRPr="00F17704">
        <w:rPr>
          <w:rFonts w:ascii="Arial" w:hAnsi="Arial" w:cs="Arial" w:hint="cs"/>
          <w:b/>
          <w:bCs/>
          <w:sz w:val="24"/>
          <w:szCs w:val="24"/>
          <w:u w:val="single"/>
          <w:rtl/>
        </w:rPr>
        <w:t xml:space="preserve"> (19.7.2023)</w:t>
      </w:r>
      <w:r w:rsidR="00C52A33">
        <w:rPr>
          <w:rFonts w:ascii="Arial" w:hAnsi="Arial" w:cs="Arial" w:hint="cs"/>
          <w:b/>
          <w:bCs/>
          <w:sz w:val="24"/>
          <w:szCs w:val="24"/>
          <w:u w:val="single"/>
          <w:rtl/>
        </w:rPr>
        <w:t xml:space="preserve"> שנדונה בוועדת האתיקה של מועצת התאגיד (4.2.2024)</w:t>
      </w:r>
      <w:r w:rsidRPr="00F17704">
        <w:rPr>
          <w:rFonts w:ascii="Arial" w:hAnsi="Arial" w:cs="Arial" w:hint="cs"/>
          <w:b/>
          <w:bCs/>
          <w:sz w:val="24"/>
          <w:szCs w:val="24"/>
          <w:u w:val="single"/>
          <w:rtl/>
        </w:rPr>
        <w:t xml:space="preserve"> </w:t>
      </w:r>
    </w:p>
    <w:p w14:paraId="1163776E" w14:textId="77777777" w:rsidR="00CE0D50" w:rsidRPr="00F17704" w:rsidRDefault="00CE0D50" w:rsidP="00CE0D50">
      <w:pPr>
        <w:spacing w:line="360" w:lineRule="auto"/>
        <w:ind w:left="720"/>
        <w:contextualSpacing/>
        <w:rPr>
          <w:rFonts w:ascii="Arial" w:hAnsi="Arial" w:cs="Arial"/>
          <w:sz w:val="24"/>
          <w:szCs w:val="24"/>
          <w:rtl/>
        </w:rPr>
      </w:pPr>
    </w:p>
    <w:p w14:paraId="2FE96D36" w14:textId="61A5D719" w:rsidR="00CE0D50" w:rsidRDefault="00CE0D50" w:rsidP="00CE0D50">
      <w:pPr>
        <w:numPr>
          <w:ilvl w:val="0"/>
          <w:numId w:val="4"/>
        </w:numPr>
        <w:spacing w:line="360" w:lineRule="auto"/>
        <w:rPr>
          <w:rFonts w:ascii="Arial" w:hAnsi="Arial" w:cs="Arial"/>
          <w:sz w:val="24"/>
          <w:szCs w:val="24"/>
        </w:rPr>
      </w:pPr>
      <w:r>
        <w:rPr>
          <w:rFonts w:ascii="Arial" w:hAnsi="Arial" w:cs="Arial"/>
          <w:sz w:val="24"/>
          <w:szCs w:val="24"/>
          <w:rtl/>
        </w:rPr>
        <w:t xml:space="preserve">לדעת </w:t>
      </w:r>
      <w:r>
        <w:rPr>
          <w:rFonts w:ascii="Arial" w:hAnsi="Arial" w:cs="Arial" w:hint="cs"/>
          <w:sz w:val="24"/>
          <w:szCs w:val="24"/>
          <w:rtl/>
        </w:rPr>
        <w:t>כל חברי ועדת האתיקה הפנימית (בישיבתה ביום 19.7.2023),</w:t>
      </w:r>
      <w:r>
        <w:rPr>
          <w:rFonts w:ascii="Arial" w:hAnsi="Arial" w:cs="Arial"/>
          <w:sz w:val="24"/>
          <w:szCs w:val="24"/>
          <w:rtl/>
        </w:rPr>
        <w:t xml:space="preserve"> יש להחיל את המסקנות העקרוניות שפורטו לעיל, שיחד עם אמות מידה נוספות המוצעות להלן יהוו בסיס לקבלת החלטות בנושא זה של ראיונות ו/או </w:t>
      </w:r>
      <w:r w:rsidRPr="00FE5D15">
        <w:rPr>
          <w:rFonts w:ascii="Arial" w:hAnsi="Arial" w:cs="Arial"/>
          <w:sz w:val="24"/>
          <w:szCs w:val="24"/>
          <w:rtl/>
        </w:rPr>
        <w:t>השתתפות מורשעים או מי שתלויים נגדם כתבי אישום באופן קבוע בשידורים</w:t>
      </w:r>
      <w:r>
        <w:rPr>
          <w:rFonts w:ascii="Arial" w:hAnsi="Arial" w:cs="Arial"/>
          <w:sz w:val="24"/>
          <w:szCs w:val="24"/>
          <w:rtl/>
        </w:rPr>
        <w:t xml:space="preserve"> בתפקידי מגיבים, פרשנים ובעלי פינות.</w:t>
      </w:r>
      <w:r>
        <w:rPr>
          <w:rFonts w:ascii="Arial" w:hAnsi="Arial" w:cs="Arial" w:hint="cs"/>
          <w:sz w:val="24"/>
          <w:szCs w:val="24"/>
          <w:rtl/>
        </w:rPr>
        <w:t xml:space="preserve"> </w:t>
      </w:r>
    </w:p>
    <w:p w14:paraId="290F7793" w14:textId="77777777" w:rsidR="00CE0D50" w:rsidRDefault="00CE0D50" w:rsidP="00CE0D50">
      <w:pPr>
        <w:numPr>
          <w:ilvl w:val="0"/>
          <w:numId w:val="4"/>
        </w:numPr>
        <w:spacing w:line="360" w:lineRule="auto"/>
        <w:rPr>
          <w:rFonts w:ascii="Arial" w:hAnsi="Arial" w:cs="Arial"/>
          <w:sz w:val="24"/>
          <w:szCs w:val="24"/>
          <w:rtl/>
        </w:rPr>
      </w:pPr>
      <w:r>
        <w:rPr>
          <w:rFonts w:ascii="Arial" w:hAnsi="Arial" w:cs="Arial"/>
          <w:sz w:val="24"/>
          <w:szCs w:val="24"/>
          <w:rtl/>
        </w:rPr>
        <w:lastRenderedPageBreak/>
        <w:t xml:space="preserve">עמדת זו נסמכת, כאמור, על החלטת ועדת האתיקה הפנימית מיום 14.1.2021, הרואה בראיונות עם חשודים, נאשמים או מורשעים בעבירות אלימות חמורות </w:t>
      </w:r>
      <w:r>
        <w:rPr>
          <w:rFonts w:ascii="Arial" w:hAnsi="Arial" w:cs="Arial"/>
          <w:b/>
          <w:bCs/>
          <w:sz w:val="24"/>
          <w:szCs w:val="24"/>
          <w:rtl/>
        </w:rPr>
        <w:t>כחריגים ונדירים</w:t>
      </w:r>
      <w:r>
        <w:rPr>
          <w:rFonts w:ascii="Arial" w:hAnsi="Arial" w:cs="Arial"/>
          <w:sz w:val="24"/>
          <w:szCs w:val="24"/>
          <w:rtl/>
        </w:rPr>
        <w:t xml:space="preserve">, קל וחומר </w:t>
      </w:r>
      <w:bookmarkStart w:id="2" w:name="_Hlk139818989"/>
      <w:r>
        <w:rPr>
          <w:rFonts w:ascii="Arial" w:hAnsi="Arial" w:cs="Arial"/>
          <w:sz w:val="24"/>
          <w:szCs w:val="24"/>
          <w:rtl/>
        </w:rPr>
        <w:t>ככל שמדובר</w:t>
      </w:r>
      <w:r>
        <w:rPr>
          <w:rFonts w:hint="cs"/>
          <w:sz w:val="24"/>
          <w:szCs w:val="24"/>
          <w:rtl/>
        </w:rPr>
        <w:t xml:space="preserve"> </w:t>
      </w:r>
      <w:bookmarkStart w:id="3" w:name="_Hlk139886816"/>
      <w:r>
        <w:rPr>
          <w:rFonts w:ascii="Arial" w:hAnsi="Arial" w:cs="Arial"/>
          <w:sz w:val="24"/>
          <w:szCs w:val="24"/>
          <w:rtl/>
        </w:rPr>
        <w:t>בהשתתפות בשידורים של מורשעים, או במי שתלויים נגדם כתבי אישום, בתפקידי מגיבים (</w:t>
      </w:r>
      <w:proofErr w:type="spellStart"/>
      <w:r>
        <w:rPr>
          <w:rFonts w:ascii="Arial" w:hAnsi="Arial" w:cs="Arial"/>
          <w:sz w:val="24"/>
          <w:szCs w:val="24"/>
          <w:rtl/>
        </w:rPr>
        <w:t>פאנליסטים</w:t>
      </w:r>
      <w:proofErr w:type="spellEnd"/>
      <w:r>
        <w:rPr>
          <w:rFonts w:ascii="Arial" w:hAnsi="Arial" w:cs="Arial"/>
          <w:sz w:val="24"/>
          <w:szCs w:val="24"/>
          <w:rtl/>
        </w:rPr>
        <w:t>), פרשנים או בעלי פינות</w:t>
      </w:r>
      <w:bookmarkEnd w:id="2"/>
      <w:r>
        <w:rPr>
          <w:rFonts w:ascii="Arial" w:hAnsi="Arial" w:cs="Arial"/>
          <w:sz w:val="24"/>
          <w:szCs w:val="24"/>
          <w:rtl/>
        </w:rPr>
        <w:t>.</w:t>
      </w:r>
    </w:p>
    <w:p w14:paraId="516B1CC4" w14:textId="77777777" w:rsidR="00CE0D50" w:rsidRDefault="00CE0D50" w:rsidP="00CE0D50">
      <w:pPr>
        <w:numPr>
          <w:ilvl w:val="0"/>
          <w:numId w:val="4"/>
        </w:numPr>
        <w:spacing w:line="360" w:lineRule="auto"/>
        <w:rPr>
          <w:rFonts w:ascii="Arial" w:hAnsi="Arial" w:cs="Arial"/>
          <w:sz w:val="24"/>
          <w:szCs w:val="24"/>
        </w:rPr>
      </w:pPr>
      <w:r>
        <w:rPr>
          <w:rFonts w:ascii="Arial" w:hAnsi="Arial" w:cs="Arial"/>
          <w:sz w:val="24"/>
          <w:szCs w:val="24"/>
          <w:rtl/>
        </w:rPr>
        <w:t xml:space="preserve">המבחן המהותי המנחה הינו קיומו של </w:t>
      </w:r>
      <w:r>
        <w:rPr>
          <w:rFonts w:ascii="Arial" w:hAnsi="Arial" w:cs="Arial"/>
          <w:b/>
          <w:bCs/>
          <w:sz w:val="24"/>
          <w:szCs w:val="24"/>
          <w:rtl/>
        </w:rPr>
        <w:t>עניין ציבורי</w:t>
      </w:r>
      <w:r>
        <w:rPr>
          <w:rFonts w:ascii="Arial" w:hAnsi="Arial" w:cs="Arial"/>
          <w:sz w:val="24"/>
          <w:szCs w:val="24"/>
          <w:rtl/>
        </w:rPr>
        <w:t xml:space="preserve"> בראיון או בהשתתפות בפאנל.</w:t>
      </w:r>
    </w:p>
    <w:p w14:paraId="153B674B" w14:textId="77777777" w:rsidR="00CE0D50" w:rsidRDefault="00CE0D50" w:rsidP="00CE0D50">
      <w:pPr>
        <w:numPr>
          <w:ilvl w:val="0"/>
          <w:numId w:val="4"/>
        </w:numPr>
        <w:spacing w:line="360" w:lineRule="auto"/>
        <w:rPr>
          <w:rFonts w:ascii="Arial" w:hAnsi="Arial" w:cs="Arial"/>
          <w:sz w:val="24"/>
          <w:szCs w:val="24"/>
        </w:rPr>
      </w:pPr>
      <w:r w:rsidRPr="007778A8">
        <w:rPr>
          <w:rFonts w:ascii="Arial" w:hAnsi="Arial" w:cs="Arial"/>
          <w:b/>
          <w:bCs/>
          <w:sz w:val="24"/>
          <w:szCs w:val="24"/>
          <w:rtl/>
        </w:rPr>
        <w:t>כל מקרה ייבחן לגופו ולעומקו</w:t>
      </w:r>
      <w:r>
        <w:rPr>
          <w:rFonts w:ascii="Arial" w:hAnsi="Arial" w:cs="Arial"/>
          <w:sz w:val="24"/>
          <w:szCs w:val="24"/>
          <w:rtl/>
        </w:rPr>
        <w:t xml:space="preserve"> – כולל ההקשר שבו הוא נערך - על-ידי גורמי הניהול הבכירים ב</w:t>
      </w:r>
      <w:r>
        <w:rPr>
          <w:rFonts w:ascii="Arial" w:hAnsi="Arial" w:cs="Arial" w:hint="cs"/>
          <w:sz w:val="24"/>
          <w:szCs w:val="24"/>
          <w:rtl/>
        </w:rPr>
        <w:t>חטיבת החדשות</w:t>
      </w:r>
      <w:r>
        <w:rPr>
          <w:rFonts w:ascii="Arial" w:hAnsi="Arial" w:cs="Arial"/>
          <w:sz w:val="24"/>
          <w:szCs w:val="24"/>
          <w:rtl/>
        </w:rPr>
        <w:t xml:space="preserve"> וההחלטה תהיה נתונה בידיהם. </w:t>
      </w:r>
    </w:p>
    <w:p w14:paraId="22F664CA" w14:textId="77777777" w:rsidR="00CE0D50" w:rsidRDefault="00CE0D50" w:rsidP="00CE0D50">
      <w:pPr>
        <w:numPr>
          <w:ilvl w:val="0"/>
          <w:numId w:val="4"/>
        </w:numPr>
        <w:spacing w:line="360" w:lineRule="auto"/>
        <w:rPr>
          <w:rFonts w:ascii="Arial" w:hAnsi="Arial" w:cs="Arial"/>
          <w:sz w:val="24"/>
          <w:szCs w:val="24"/>
        </w:rPr>
      </w:pPr>
      <w:r>
        <w:rPr>
          <w:rFonts w:ascii="Arial" w:hAnsi="Arial" w:cs="Arial"/>
          <w:sz w:val="24"/>
          <w:szCs w:val="24"/>
          <w:rtl/>
        </w:rPr>
        <w:t xml:space="preserve">יופעלו </w:t>
      </w:r>
      <w:r>
        <w:rPr>
          <w:rFonts w:ascii="Arial" w:hAnsi="Arial" w:cs="Arial"/>
          <w:b/>
          <w:bCs/>
          <w:sz w:val="24"/>
          <w:szCs w:val="24"/>
          <w:rtl/>
        </w:rPr>
        <w:t>נקודות בקרה ופיקוח, תוך מתן שיקול דעת מקצועי ומוסרי מוגבר</w:t>
      </w:r>
      <w:r>
        <w:rPr>
          <w:rFonts w:ascii="Arial" w:hAnsi="Arial" w:cs="Arial"/>
          <w:sz w:val="24"/>
          <w:szCs w:val="24"/>
          <w:rtl/>
        </w:rPr>
        <w:t xml:space="preserve">, המתבסס על אחריות ציבורית, זהירות ורגישות, ובעיקר מתוך </w:t>
      </w:r>
      <w:r>
        <w:rPr>
          <w:rFonts w:ascii="Arial" w:hAnsi="Arial" w:cs="Arial"/>
          <w:b/>
          <w:bCs/>
          <w:sz w:val="24"/>
          <w:szCs w:val="24"/>
          <w:rtl/>
        </w:rPr>
        <w:t xml:space="preserve">התחשבות בקורבנות עצמם ומניעת פגיעה נוספת בהם, </w:t>
      </w:r>
      <w:r>
        <w:rPr>
          <w:rFonts w:ascii="Arial" w:hAnsi="Arial" w:cs="Arial"/>
          <w:sz w:val="24"/>
          <w:szCs w:val="24"/>
          <w:rtl/>
        </w:rPr>
        <w:t xml:space="preserve">כמו-גם התחשבות בקהל הצופים והמאזינים. </w:t>
      </w:r>
    </w:p>
    <w:p w14:paraId="61856A3B" w14:textId="77777777" w:rsidR="00CE0D50" w:rsidRDefault="00CE0D50" w:rsidP="00CE0D50">
      <w:pPr>
        <w:numPr>
          <w:ilvl w:val="0"/>
          <w:numId w:val="4"/>
        </w:numPr>
        <w:spacing w:line="360" w:lineRule="auto"/>
        <w:rPr>
          <w:rFonts w:ascii="Arial" w:hAnsi="Arial" w:cs="Arial"/>
          <w:sz w:val="24"/>
          <w:szCs w:val="24"/>
          <w:rtl/>
        </w:rPr>
      </w:pPr>
      <w:r>
        <w:rPr>
          <w:rFonts w:ascii="Arial" w:hAnsi="Arial" w:cs="Arial"/>
          <w:sz w:val="24"/>
          <w:szCs w:val="24"/>
          <w:rtl/>
        </w:rPr>
        <w:t xml:space="preserve">בכל מצב, אין לאפשר לאותם גורמים </w:t>
      </w:r>
      <w:r>
        <w:rPr>
          <w:rFonts w:ascii="Arial" w:hAnsi="Arial" w:cs="Arial"/>
          <w:b/>
          <w:bCs/>
          <w:sz w:val="24"/>
          <w:szCs w:val="24"/>
          <w:rtl/>
        </w:rPr>
        <w:t>לנצל לרעה</w:t>
      </w:r>
      <w:r>
        <w:rPr>
          <w:rFonts w:ascii="Arial" w:hAnsi="Arial" w:cs="Arial"/>
          <w:sz w:val="24"/>
          <w:szCs w:val="24"/>
          <w:rtl/>
        </w:rPr>
        <w:t xml:space="preserve"> של הבמה התקשורתית כדי להתגאות במעשיהם הפליליים ובעברם המפוקפק, ולמנוע מהם הבעת תמיכה כלשהי במעשיהם הפליליים. אם יעשו זאת, יש למנוע זאת מהם או להפסיק את השתתפותם בשידור.</w:t>
      </w:r>
    </w:p>
    <w:p w14:paraId="564932E6" w14:textId="77777777" w:rsidR="00CE0D50" w:rsidRPr="00D13641" w:rsidRDefault="00CE0D50" w:rsidP="00CE0D50">
      <w:pPr>
        <w:numPr>
          <w:ilvl w:val="0"/>
          <w:numId w:val="4"/>
        </w:numPr>
        <w:spacing w:line="360" w:lineRule="auto"/>
        <w:rPr>
          <w:rFonts w:ascii="Arial" w:hAnsi="Arial" w:cs="Arial"/>
          <w:sz w:val="24"/>
          <w:szCs w:val="24"/>
          <w:rtl/>
        </w:rPr>
      </w:pPr>
      <w:r w:rsidRPr="00D13641">
        <w:rPr>
          <w:rFonts w:ascii="Arial" w:hAnsi="Arial" w:cs="Arial"/>
          <w:sz w:val="24"/>
          <w:szCs w:val="24"/>
          <w:rtl/>
        </w:rPr>
        <w:t xml:space="preserve">בתהליך קבלת ההחלטות בעניין זה תידרש </w:t>
      </w:r>
      <w:r w:rsidRPr="00D13641">
        <w:rPr>
          <w:rFonts w:ascii="Arial" w:hAnsi="Arial" w:cs="Arial"/>
          <w:b/>
          <w:bCs/>
          <w:sz w:val="24"/>
          <w:szCs w:val="24"/>
          <w:rtl/>
        </w:rPr>
        <w:t>אבחנה בין סוגים שונים של עבירות ומידת חומרתן,</w:t>
      </w:r>
      <w:r w:rsidRPr="00D13641">
        <w:rPr>
          <w:rFonts w:ascii="Arial" w:hAnsi="Arial" w:cs="Arial"/>
          <w:sz w:val="24"/>
          <w:szCs w:val="24"/>
          <w:rtl/>
        </w:rPr>
        <w:t xml:space="preserve"> בעיקר בין אלימות קשה לצווארון לבן. </w:t>
      </w:r>
    </w:p>
    <w:bookmarkEnd w:id="3"/>
    <w:p w14:paraId="513276BF" w14:textId="77777777" w:rsidR="00CE0D50" w:rsidRDefault="00CE0D50" w:rsidP="00CE0D50">
      <w:pPr>
        <w:numPr>
          <w:ilvl w:val="0"/>
          <w:numId w:val="4"/>
        </w:numPr>
        <w:spacing w:line="360" w:lineRule="auto"/>
        <w:rPr>
          <w:rFonts w:ascii="Arial" w:hAnsi="Arial" w:cs="Arial"/>
          <w:sz w:val="24"/>
          <w:szCs w:val="24"/>
        </w:rPr>
      </w:pPr>
      <w:r>
        <w:rPr>
          <w:rFonts w:ascii="Arial" w:hAnsi="Arial" w:cs="Arial"/>
          <w:sz w:val="24"/>
          <w:szCs w:val="24"/>
          <w:rtl/>
        </w:rPr>
        <w:t>מעל לכל, חופש הביטוי הינו כלל יסוד במדינת ישראל ויש לקיימו כל עוד הוא אינו פוגעני, מבזה או משפיל.</w:t>
      </w:r>
    </w:p>
    <w:p w14:paraId="6BC0AA82" w14:textId="03BF4648" w:rsidR="00CE0D50" w:rsidRDefault="00CE0D50" w:rsidP="00CE0D50">
      <w:pPr>
        <w:numPr>
          <w:ilvl w:val="0"/>
          <w:numId w:val="4"/>
        </w:numPr>
        <w:spacing w:line="360" w:lineRule="auto"/>
        <w:rPr>
          <w:rFonts w:ascii="Arial" w:hAnsi="Arial" w:cs="Arial"/>
          <w:sz w:val="24"/>
          <w:szCs w:val="24"/>
          <w:rtl/>
        </w:rPr>
      </w:pPr>
      <w:r>
        <w:rPr>
          <w:rFonts w:ascii="Arial" w:hAnsi="Arial" w:cs="Arial" w:hint="cs"/>
          <w:sz w:val="24"/>
          <w:szCs w:val="24"/>
          <w:rtl/>
        </w:rPr>
        <w:t>החלטה זו של ועדת האתיקה הפנימית נדונה בוועדת האתיקה של מועצת התאגיד ביום 4.2.2024.</w:t>
      </w:r>
    </w:p>
    <w:p w14:paraId="18026B62" w14:textId="77777777" w:rsidR="00CE0D50" w:rsidRDefault="00CE0D50" w:rsidP="00CE0D50">
      <w:pPr>
        <w:spacing w:line="360" w:lineRule="auto"/>
        <w:rPr>
          <w:rFonts w:ascii="Arial" w:hAnsi="Arial" w:cs="Arial"/>
          <w:sz w:val="24"/>
          <w:szCs w:val="24"/>
        </w:rPr>
      </w:pPr>
    </w:p>
    <w:p w14:paraId="2FDE5AF4" w14:textId="77777777" w:rsidR="00CE0D50" w:rsidRDefault="00CE0D50" w:rsidP="00CE0D50">
      <w:pPr>
        <w:spacing w:line="360" w:lineRule="auto"/>
        <w:rPr>
          <w:rFonts w:ascii="Arial" w:hAnsi="Arial" w:cs="Arial"/>
          <w:b/>
          <w:bCs/>
          <w:sz w:val="24"/>
          <w:szCs w:val="24"/>
        </w:rPr>
      </w:pPr>
      <w:r>
        <w:rPr>
          <w:rFonts w:ascii="Arial" w:hAnsi="Arial" w:cs="Arial"/>
          <w:b/>
          <w:bCs/>
          <w:sz w:val="24"/>
          <w:szCs w:val="24"/>
          <w:rtl/>
        </w:rPr>
        <w:t xml:space="preserve">ועדת האתיקה הפנימית: </w:t>
      </w:r>
    </w:p>
    <w:p w14:paraId="00542001" w14:textId="77777777" w:rsidR="00CE0D50" w:rsidRDefault="00CE0D50" w:rsidP="00CE0D50">
      <w:pPr>
        <w:spacing w:line="360" w:lineRule="auto"/>
        <w:rPr>
          <w:rFonts w:ascii="Arial" w:hAnsi="Arial" w:cs="Arial"/>
          <w:sz w:val="24"/>
          <w:szCs w:val="24"/>
          <w:rtl/>
        </w:rPr>
      </w:pPr>
      <w:r>
        <w:rPr>
          <w:rFonts w:ascii="Arial" w:hAnsi="Arial" w:cs="Arial"/>
          <w:sz w:val="24"/>
          <w:szCs w:val="24"/>
          <w:rtl/>
        </w:rPr>
        <w:t xml:space="preserve">ד"ר אורי פז (יו"ר), </w:t>
      </w:r>
      <w:proofErr w:type="spellStart"/>
      <w:r>
        <w:rPr>
          <w:rFonts w:ascii="Arial" w:hAnsi="Arial" w:cs="Arial"/>
          <w:sz w:val="24"/>
          <w:szCs w:val="24"/>
          <w:rtl/>
        </w:rPr>
        <w:t>אילאיל</w:t>
      </w:r>
      <w:proofErr w:type="spellEnd"/>
      <w:r>
        <w:rPr>
          <w:rFonts w:ascii="Arial" w:hAnsi="Arial" w:cs="Arial"/>
          <w:sz w:val="24"/>
          <w:szCs w:val="24"/>
          <w:rtl/>
        </w:rPr>
        <w:t xml:space="preserve"> שחר, טל קרמר, לי-אור </w:t>
      </w:r>
      <w:proofErr w:type="spellStart"/>
      <w:r>
        <w:rPr>
          <w:rFonts w:ascii="Arial" w:hAnsi="Arial" w:cs="Arial"/>
          <w:sz w:val="24"/>
          <w:szCs w:val="24"/>
          <w:rtl/>
        </w:rPr>
        <w:t>אברבך</w:t>
      </w:r>
      <w:proofErr w:type="spellEnd"/>
      <w:r>
        <w:rPr>
          <w:rFonts w:ascii="Arial" w:hAnsi="Arial" w:cs="Arial"/>
          <w:sz w:val="24"/>
          <w:szCs w:val="24"/>
          <w:rtl/>
        </w:rPr>
        <w:t xml:space="preserve">, פרופ' טרי </w:t>
      </w:r>
      <w:proofErr w:type="spellStart"/>
      <w:r>
        <w:rPr>
          <w:rFonts w:ascii="Arial" w:hAnsi="Arial" w:cs="Arial"/>
          <w:sz w:val="24"/>
          <w:szCs w:val="24"/>
          <w:rtl/>
        </w:rPr>
        <w:t>שרויאר</w:t>
      </w:r>
      <w:proofErr w:type="spellEnd"/>
      <w:r>
        <w:rPr>
          <w:rFonts w:ascii="Arial" w:hAnsi="Arial" w:cs="Arial"/>
          <w:sz w:val="24"/>
          <w:szCs w:val="24"/>
          <w:rtl/>
        </w:rPr>
        <w:t xml:space="preserve"> וד"ר נעמי פרל. רכזת הוועדה – מיכל </w:t>
      </w:r>
      <w:proofErr w:type="spellStart"/>
      <w:r>
        <w:rPr>
          <w:rFonts w:ascii="Arial" w:hAnsi="Arial" w:cs="Arial"/>
          <w:sz w:val="24"/>
          <w:szCs w:val="24"/>
          <w:rtl/>
        </w:rPr>
        <w:t>רחמימי</w:t>
      </w:r>
      <w:proofErr w:type="spellEnd"/>
    </w:p>
    <w:p w14:paraId="365C8647" w14:textId="77777777" w:rsidR="00CE0D50" w:rsidRDefault="00CE0D50" w:rsidP="00CE0D50">
      <w:pPr>
        <w:spacing w:line="360" w:lineRule="auto"/>
        <w:rPr>
          <w:rFonts w:ascii="Arial" w:hAnsi="Arial" w:cs="Arial"/>
          <w:sz w:val="24"/>
          <w:szCs w:val="24"/>
          <w:rtl/>
        </w:rPr>
      </w:pPr>
    </w:p>
    <w:p w14:paraId="31FB30BE" w14:textId="77777777" w:rsidR="005C3923" w:rsidRDefault="005C3923"/>
    <w:sectPr w:rsidR="005C3923" w:rsidSect="00303F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B3D"/>
    <w:multiLevelType w:val="hybridMultilevel"/>
    <w:tmpl w:val="600C0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8434C2"/>
    <w:multiLevelType w:val="hybridMultilevel"/>
    <w:tmpl w:val="0C487BDC"/>
    <w:lvl w:ilvl="0" w:tplc="401CE47C">
      <w:start w:val="2"/>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9F579FD"/>
    <w:multiLevelType w:val="hybridMultilevel"/>
    <w:tmpl w:val="B096133E"/>
    <w:lvl w:ilvl="0" w:tplc="92380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5235C6"/>
    <w:multiLevelType w:val="hybridMultilevel"/>
    <w:tmpl w:val="022E1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0182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059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599860">
    <w:abstractNumId w:val="1"/>
  </w:num>
  <w:num w:numId="4" w16cid:durableId="1246186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D4"/>
    <w:rsid w:val="00303F5C"/>
    <w:rsid w:val="005C3923"/>
    <w:rsid w:val="00821765"/>
    <w:rsid w:val="008919D4"/>
    <w:rsid w:val="00C52A33"/>
    <w:rsid w:val="00CE0D50"/>
    <w:rsid w:val="00EB36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1E05"/>
  <w15:chartTrackingRefBased/>
  <w15:docId w15:val="{20BA664B-121F-4650-8A3B-0E97393D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50"/>
    <w:pPr>
      <w:bidi/>
      <w:spacing w:after="0" w:line="240" w:lineRule="auto"/>
    </w:pPr>
    <w:rPr>
      <w:rFonts w:ascii="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066f50-a08d-486e-a7d8-826bd83a504f}" enabled="1" method="Standard" siteId="{5e4e3e1f-c501-418e-9038-e83cf4663848}"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2255</Characters>
  <Application>Microsoft Office Word</Application>
  <DocSecurity>0</DocSecurity>
  <Lines>18</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Paz</dc:creator>
  <cp:keywords/>
  <dc:description/>
  <cp:lastModifiedBy>Uri Paz</cp:lastModifiedBy>
  <cp:revision>5</cp:revision>
  <dcterms:created xsi:type="dcterms:W3CDTF">2024-02-06T14:47:00Z</dcterms:created>
  <dcterms:modified xsi:type="dcterms:W3CDTF">2024-02-06T14:52:00Z</dcterms:modified>
</cp:coreProperties>
</file>