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9" w:tblpY="-3406"/>
        <w:bidiVisual/>
        <w:tblW w:w="6502" w:type="dxa"/>
        <w:tblLook w:val="04A0" w:firstRow="1" w:lastRow="0" w:firstColumn="1" w:lastColumn="0" w:noHBand="0" w:noVBand="1"/>
      </w:tblPr>
      <w:tblGrid>
        <w:gridCol w:w="527"/>
        <w:gridCol w:w="236"/>
        <w:gridCol w:w="2735"/>
        <w:gridCol w:w="450"/>
        <w:gridCol w:w="495"/>
        <w:gridCol w:w="1593"/>
        <w:gridCol w:w="466"/>
      </w:tblGrid>
      <w:tr w:rsidR="009A3030" w:rsidRPr="000D2382" w:rsidTr="00145C3F">
        <w:trPr>
          <w:trHeight w:val="94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rPr>
                <w:rFonts w:ascii="Arial" w:hAnsi="Arial" w:cs="Arial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3030" w:rsidRPr="000D2382" w:rsidRDefault="009A3030" w:rsidP="00145C3F">
            <w:pPr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A3030" w:rsidRPr="000D2382" w:rsidTr="00145C3F">
        <w:trPr>
          <w:trHeight w:val="47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3030" w:rsidRPr="000D2382" w:rsidRDefault="009A3030" w:rsidP="00145C3F">
            <w:pPr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A3030" w:rsidRPr="000D2382" w:rsidTr="00145C3F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7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030" w:rsidRPr="000D2382" w:rsidRDefault="009A3030" w:rsidP="00145C3F">
            <w:pPr>
              <w:jc w:val="center"/>
              <w:rPr>
                <w:rFonts w:ascii="Arial" w:hAnsi="Arial"/>
                <w:color w:val="FF0000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A3030" w:rsidRPr="000D2382" w:rsidTr="00145C3F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030" w:rsidRPr="000D2382" w:rsidRDefault="009A3030" w:rsidP="00145C3F">
            <w:pPr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9A3030" w:rsidRPr="000D2382" w:rsidTr="00145C3F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030" w:rsidRPr="000D2382" w:rsidRDefault="009A3030" w:rsidP="00145C3F">
            <w:pPr>
              <w:jc w:val="center"/>
              <w:rPr>
                <w:rFonts w:ascii="Arial" w:hAnsi="Arial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030" w:rsidRPr="000D2382" w:rsidRDefault="009A3030" w:rsidP="00145C3F">
            <w:pPr>
              <w:bidi w:val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9A3030" w:rsidRDefault="009A3030" w:rsidP="009A3030">
      <w:pPr>
        <w:rPr>
          <w:szCs w:val="24"/>
          <w:rtl/>
        </w:rPr>
      </w:pPr>
    </w:p>
    <w:p w:rsidR="009A3030" w:rsidRDefault="009A3030" w:rsidP="00145C3F">
      <w:pPr>
        <w:rPr>
          <w:szCs w:val="24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 w:rsidR="00145C3F">
        <w:rPr>
          <w:rFonts w:hint="cs"/>
          <w:szCs w:val="24"/>
          <w:rtl/>
        </w:rPr>
        <w:t>10-8-15</w:t>
      </w:r>
    </w:p>
    <w:p w:rsidR="009A3030" w:rsidRDefault="009A3030" w:rsidP="00145C3F">
      <w:pPr>
        <w:rPr>
          <w:szCs w:val="24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 w:rsidR="00145C3F">
        <w:rPr>
          <w:rFonts w:hint="cs"/>
          <w:szCs w:val="24"/>
          <w:rtl/>
        </w:rPr>
        <w:t>כ"ה אב תשע"ה</w:t>
      </w:r>
    </w:p>
    <w:p w:rsidR="009A3030" w:rsidRDefault="009A3030" w:rsidP="009A3030">
      <w:pPr>
        <w:rPr>
          <w:szCs w:val="24"/>
          <w:u w:val="single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 xml:space="preserve">   </w:t>
      </w:r>
      <w:r w:rsidRPr="00565EDC">
        <w:rPr>
          <w:rFonts w:hint="cs"/>
          <w:szCs w:val="24"/>
          <w:u w:val="single"/>
          <w:rtl/>
        </w:rPr>
        <w:t xml:space="preserve">מערך עבודה סוציאלית </w:t>
      </w:r>
      <w:r w:rsidRPr="00565EDC">
        <w:rPr>
          <w:szCs w:val="24"/>
          <w:u w:val="single"/>
          <w:rtl/>
        </w:rPr>
        <w:t>–</w:t>
      </w:r>
      <w:r w:rsidRPr="00565EDC">
        <w:rPr>
          <w:rFonts w:hint="cs"/>
          <w:szCs w:val="24"/>
          <w:u w:val="single"/>
          <w:rtl/>
        </w:rPr>
        <w:t xml:space="preserve"> דו"ח בקרה</w:t>
      </w:r>
    </w:p>
    <w:p w:rsidR="009A3030" w:rsidRDefault="009A3030" w:rsidP="009A3030">
      <w:pPr>
        <w:rPr>
          <w:szCs w:val="24"/>
          <w:u w:val="single"/>
          <w:rtl/>
        </w:rPr>
      </w:pPr>
    </w:p>
    <w:p w:rsidR="009A3030" w:rsidRDefault="009A3030" w:rsidP="00145C3F">
      <w:pPr>
        <w:rPr>
          <w:szCs w:val="24"/>
          <w:rtl/>
        </w:rPr>
      </w:pPr>
      <w:r w:rsidRPr="00565EDC">
        <w:rPr>
          <w:rFonts w:hint="cs"/>
          <w:szCs w:val="24"/>
          <w:rtl/>
        </w:rPr>
        <w:t>שם המוסד:</w:t>
      </w:r>
      <w:r>
        <w:rPr>
          <w:rFonts w:hint="cs"/>
          <w:szCs w:val="24"/>
          <w:rtl/>
        </w:rPr>
        <w:t xml:space="preserve">   המרכז הרפואי </w:t>
      </w:r>
      <w:r>
        <w:rPr>
          <w:szCs w:val="24"/>
          <w:rtl/>
        </w:rPr>
        <w:t>–</w:t>
      </w:r>
      <w:r>
        <w:rPr>
          <w:rFonts w:hint="cs"/>
          <w:szCs w:val="24"/>
          <w:rtl/>
        </w:rPr>
        <w:t xml:space="preserve"> שרותי בריאות כללית בי"ח </w:t>
      </w:r>
      <w:r w:rsidR="00145C3F">
        <w:rPr>
          <w:rFonts w:hint="cs"/>
          <w:szCs w:val="24"/>
          <w:rtl/>
        </w:rPr>
        <w:t>שלוותה</w:t>
      </w:r>
      <w:r>
        <w:rPr>
          <w:rFonts w:hint="cs"/>
          <w:szCs w:val="24"/>
          <w:rtl/>
        </w:rPr>
        <w:t>.</w:t>
      </w:r>
    </w:p>
    <w:p w:rsidR="009A3030" w:rsidRDefault="009A3030" w:rsidP="00145C3F">
      <w:pPr>
        <w:rPr>
          <w:szCs w:val="24"/>
          <w:rtl/>
        </w:rPr>
      </w:pPr>
      <w:r>
        <w:rPr>
          <w:rFonts w:hint="cs"/>
          <w:szCs w:val="24"/>
          <w:rtl/>
        </w:rPr>
        <w:t xml:space="preserve">תאריך הבקרה: </w:t>
      </w:r>
      <w:r w:rsidR="00145C3F">
        <w:rPr>
          <w:rFonts w:hint="cs"/>
          <w:szCs w:val="24"/>
          <w:rtl/>
        </w:rPr>
        <w:t>10</w:t>
      </w:r>
      <w:r>
        <w:rPr>
          <w:rFonts w:hint="cs"/>
          <w:szCs w:val="24"/>
          <w:rtl/>
        </w:rPr>
        <w:t>.</w:t>
      </w:r>
      <w:r w:rsidR="00145C3F">
        <w:rPr>
          <w:rFonts w:hint="cs"/>
          <w:szCs w:val="24"/>
          <w:rtl/>
        </w:rPr>
        <w:t>8</w:t>
      </w:r>
      <w:r>
        <w:rPr>
          <w:rFonts w:hint="cs"/>
          <w:szCs w:val="24"/>
          <w:rtl/>
        </w:rPr>
        <w:t>.15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עורך הבקרה: שלומי עזר, עו"ס קליני, מרכז תחום עבודה סוציאלית, בקרה בברה"נ  מחוז מרכז.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 xml:space="preserve">הבקרה נערכה בתאום מראש, מטעם הפסיכיאטר המחוזי במחוז מרכז, לצורך רישוי. 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9A3030">
      <w:pPr>
        <w:rPr>
          <w:szCs w:val="24"/>
          <w:rtl/>
        </w:rPr>
      </w:pPr>
      <w:r w:rsidRPr="00820403">
        <w:rPr>
          <w:rFonts w:hint="cs"/>
          <w:b/>
          <w:bCs/>
          <w:szCs w:val="24"/>
          <w:rtl/>
        </w:rPr>
        <w:t>מערך העבודה הסוציאלית</w:t>
      </w:r>
      <w:r>
        <w:rPr>
          <w:rFonts w:hint="cs"/>
          <w:szCs w:val="24"/>
          <w:rtl/>
        </w:rPr>
        <w:t>:</w:t>
      </w:r>
    </w:p>
    <w:p w:rsidR="009A3030" w:rsidRDefault="00145C3F" w:rsidP="009A3030">
      <w:pPr>
        <w:rPr>
          <w:szCs w:val="24"/>
          <w:rtl/>
        </w:rPr>
      </w:pPr>
      <w:r>
        <w:rPr>
          <w:rFonts w:hint="cs"/>
          <w:szCs w:val="24"/>
          <w:rtl/>
        </w:rPr>
        <w:t>אסתי הירשפלד</w:t>
      </w:r>
      <w:r w:rsidR="009A3030">
        <w:rPr>
          <w:rFonts w:hint="cs"/>
          <w:szCs w:val="24"/>
          <w:rtl/>
        </w:rPr>
        <w:t xml:space="preserve"> עו"ס </w:t>
      </w:r>
      <w:r w:rsidR="009A3030">
        <w:rPr>
          <w:szCs w:val="24"/>
          <w:rtl/>
        </w:rPr>
        <w:t>–</w:t>
      </w:r>
      <w:r w:rsidR="009A3030">
        <w:rPr>
          <w:rFonts w:hint="cs"/>
          <w:szCs w:val="24"/>
          <w:rtl/>
        </w:rPr>
        <w:t xml:space="preserve"> מנהלת השרות לעבודה הסוציאלית.</w:t>
      </w:r>
    </w:p>
    <w:p w:rsidR="009A3030" w:rsidRDefault="009A3030" w:rsidP="00145C3F">
      <w:pPr>
        <w:rPr>
          <w:szCs w:val="24"/>
          <w:rtl/>
        </w:rPr>
      </w:pPr>
      <w:r>
        <w:rPr>
          <w:rFonts w:hint="cs"/>
          <w:szCs w:val="24"/>
          <w:rtl/>
        </w:rPr>
        <w:t xml:space="preserve">תקן עו"ס מאויש </w:t>
      </w:r>
      <w:r>
        <w:rPr>
          <w:szCs w:val="24"/>
          <w:rtl/>
        </w:rPr>
        <w:t>–</w:t>
      </w:r>
      <w:r>
        <w:rPr>
          <w:rFonts w:hint="cs"/>
          <w:szCs w:val="24"/>
          <w:rtl/>
        </w:rPr>
        <w:t xml:space="preserve"> 2</w:t>
      </w:r>
      <w:r w:rsidR="00145C3F">
        <w:rPr>
          <w:rFonts w:hint="cs"/>
          <w:szCs w:val="24"/>
          <w:rtl/>
        </w:rPr>
        <w:t>7</w:t>
      </w:r>
      <w:r>
        <w:rPr>
          <w:rFonts w:hint="cs"/>
          <w:szCs w:val="24"/>
          <w:rtl/>
        </w:rPr>
        <w:t xml:space="preserve"> עו"ס בחלקיות משרה.</w:t>
      </w:r>
    </w:p>
    <w:p w:rsidR="009A3030" w:rsidRPr="00820403" w:rsidRDefault="009A3030" w:rsidP="009A3030">
      <w:pPr>
        <w:rPr>
          <w:b/>
          <w:bCs/>
          <w:szCs w:val="24"/>
          <w:rtl/>
        </w:rPr>
      </w:pPr>
    </w:p>
    <w:p w:rsidR="009A3030" w:rsidRPr="00820403" w:rsidRDefault="009A3030" w:rsidP="009A3030">
      <w:pPr>
        <w:rPr>
          <w:b/>
          <w:bCs/>
          <w:szCs w:val="24"/>
          <w:rtl/>
        </w:rPr>
      </w:pPr>
      <w:r w:rsidRPr="00820403">
        <w:rPr>
          <w:rFonts w:hint="cs"/>
          <w:b/>
          <w:bCs/>
          <w:szCs w:val="24"/>
          <w:rtl/>
        </w:rPr>
        <w:t xml:space="preserve">הכשרת העו"ס: </w:t>
      </w:r>
    </w:p>
    <w:p w:rsidR="009A3030" w:rsidRDefault="009A3030" w:rsidP="00AE3DD3">
      <w:pPr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>
        <w:rPr>
          <w:szCs w:val="24"/>
        </w:rPr>
        <w:t xml:space="preserve">  </w:t>
      </w:r>
      <w:r w:rsidR="00AE3DD3">
        <w:rPr>
          <w:szCs w:val="24"/>
        </w:rPr>
        <w:t>1</w:t>
      </w:r>
      <w:r>
        <w:rPr>
          <w:rFonts w:hint="cs"/>
          <w:szCs w:val="24"/>
          <w:rtl/>
        </w:rPr>
        <w:t xml:space="preserve"> - תואר דוקטור       2 </w:t>
      </w:r>
      <w:r>
        <w:rPr>
          <w:szCs w:val="24"/>
          <w:rtl/>
        </w:rPr>
        <w:t>–</w:t>
      </w:r>
      <w:r>
        <w:rPr>
          <w:rFonts w:hint="cs"/>
          <w:szCs w:val="24"/>
          <w:rtl/>
        </w:rPr>
        <w:t xml:space="preserve"> דוקטורנטים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 xml:space="preserve">ולשאר העובדות והעובדים תואר שני ולרובם הכשרה בפסיכותרפיה. 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תאום טיפול ניתן ע"י עו"ס, רופאים, סיעוד בכיר, פסיכולוגים ומרפאים בעיסוק.</w:t>
      </w:r>
    </w:p>
    <w:p w:rsidR="00AE3DD3" w:rsidRDefault="00AE3DD3" w:rsidP="009A3030">
      <w:pPr>
        <w:rPr>
          <w:szCs w:val="24"/>
          <w:rtl/>
        </w:rPr>
      </w:pPr>
      <w:r>
        <w:rPr>
          <w:rFonts w:hint="cs"/>
          <w:szCs w:val="24"/>
          <w:rtl/>
        </w:rPr>
        <w:t>בכל מחלקה 2 עו"ס. בכל יחידה עו"ס. (קיים חדר לכל עו"ס).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מערך הדרכה פרטני וקבוצתי מצוות בכיר המתמחה בפסיכותרפיה ושיקום וכן בשיטות התערבות נוספות (משפחתי וקבוצתי , הדרכת הורים ).</w:t>
      </w:r>
    </w:p>
    <w:p w:rsidR="009A3030" w:rsidRDefault="009A3030" w:rsidP="00AE3DD3">
      <w:pPr>
        <w:rPr>
          <w:szCs w:val="24"/>
          <w:rtl/>
        </w:rPr>
      </w:pPr>
      <w:r>
        <w:rPr>
          <w:rFonts w:hint="cs"/>
          <w:szCs w:val="24"/>
          <w:rtl/>
        </w:rPr>
        <w:t>בניסיו</w:t>
      </w:r>
      <w:r>
        <w:rPr>
          <w:rFonts w:hint="eastAsia"/>
          <w:szCs w:val="24"/>
          <w:rtl/>
        </w:rPr>
        <w:t>ן</w:t>
      </w:r>
      <w:r>
        <w:rPr>
          <w:rFonts w:hint="cs"/>
          <w:szCs w:val="24"/>
          <w:rtl/>
        </w:rPr>
        <w:t xml:space="preserve"> למקסם את הידע המקצועי של הצוות המטפל מתקיימים  ימי עיון, סדנאות וספרייה מקצועית העומדת לרשות כלל הצוות.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בשיחה עם מנהלת השרות נבדקו מס' פרמטרים ונמצאו תקינים: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ניתן מידע מלא לחולה ומשפחתו על סדר היום במחלקה ואפשרויות הסיוע תוך כדי אשפוז.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מועבר מידע רלוונטי על החולה בישיבות צוות.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מתקיים מעקב על ביקורי המשפחה במחלקה.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מתאם הטיפול מעורב ופעיל בהכנת החולה לוועדת סל שיקום.</w:t>
      </w:r>
    </w:p>
    <w:p w:rsidR="009A3030" w:rsidRDefault="00AE3DD3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קיימת עבודה ענפה עם המשפחות (יש עו"ס ייעודי</w:t>
      </w:r>
      <w:r>
        <w:rPr>
          <w:rFonts w:hint="eastAsia"/>
          <w:szCs w:val="24"/>
          <w:rtl/>
        </w:rPr>
        <w:t>ת</w:t>
      </w:r>
      <w:r>
        <w:rPr>
          <w:rFonts w:hint="cs"/>
          <w:szCs w:val="24"/>
          <w:rtl/>
        </w:rPr>
        <w:t xml:space="preserve"> לנושא, מתקיימות קבוצות הורים ומשפחות.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קיים קשר ישיר עם החולה, משפחתו וגורמים בקהילה להבטחת זכויות החולה.</w:t>
      </w:r>
    </w:p>
    <w:p w:rsidR="009A3030" w:rsidRDefault="009A3030" w:rsidP="009A3030">
      <w:pPr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rtl/>
        </w:rPr>
        <w:t>תיקים אישיים ממוחשבים.</w:t>
      </w:r>
    </w:p>
    <w:p w:rsidR="009A3030" w:rsidRDefault="009A3030" w:rsidP="009A3030">
      <w:pPr>
        <w:rPr>
          <w:szCs w:val="24"/>
          <w:rtl/>
        </w:rPr>
      </w:pPr>
    </w:p>
    <w:p w:rsidR="009A3030" w:rsidRPr="0061388E" w:rsidRDefault="009A3030" w:rsidP="009A3030">
      <w:pPr>
        <w:rPr>
          <w:b/>
          <w:bCs/>
          <w:szCs w:val="24"/>
          <w:u w:val="single"/>
          <w:rtl/>
        </w:rPr>
      </w:pPr>
      <w:r w:rsidRPr="0061388E">
        <w:rPr>
          <w:rFonts w:hint="cs"/>
          <w:b/>
          <w:bCs/>
          <w:szCs w:val="24"/>
          <w:u w:val="single"/>
          <w:rtl/>
        </w:rPr>
        <w:t xml:space="preserve">רישום ודיווח </w:t>
      </w:r>
    </w:p>
    <w:p w:rsidR="009A3030" w:rsidRPr="009B7971" w:rsidRDefault="009A3030" w:rsidP="009A3030">
      <w:pPr>
        <w:rPr>
          <w:szCs w:val="24"/>
          <w:rtl/>
        </w:rPr>
      </w:pPr>
      <w:r w:rsidRPr="009B7971">
        <w:rPr>
          <w:rFonts w:hint="cs"/>
          <w:szCs w:val="24"/>
          <w:rtl/>
        </w:rPr>
        <w:t>תיק אישי ממוחשב, בתום כל מפגש יש דיווח.</w:t>
      </w:r>
    </w:p>
    <w:p w:rsidR="009A3030" w:rsidRDefault="009A3030" w:rsidP="009A3030">
      <w:pPr>
        <w:rPr>
          <w:szCs w:val="24"/>
          <w:rtl/>
        </w:rPr>
      </w:pPr>
      <w:r w:rsidRPr="009B7971">
        <w:rPr>
          <w:rFonts w:hint="cs"/>
          <w:szCs w:val="24"/>
          <w:rtl/>
        </w:rPr>
        <w:t>העו"ס שותפים פעילי</w:t>
      </w:r>
      <w:r>
        <w:rPr>
          <w:rFonts w:hint="cs"/>
          <w:szCs w:val="24"/>
          <w:rtl/>
        </w:rPr>
        <w:t>ם</w:t>
      </w:r>
      <w:r w:rsidRPr="009B7971">
        <w:rPr>
          <w:rFonts w:hint="cs"/>
          <w:szCs w:val="24"/>
          <w:rtl/>
        </w:rPr>
        <w:t xml:space="preserve"> בכל ישיבות הצוות </w:t>
      </w:r>
      <w:r>
        <w:rPr>
          <w:rFonts w:hint="cs"/>
          <w:szCs w:val="24"/>
          <w:rtl/>
        </w:rPr>
        <w:t>הנערכות במחלקות האשפוז ובמרפאות.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בכל המחלקות יש חדרי ביקור בשעות גמישות.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לוח מודעות מעודכן.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>תיבת פניות בכל מחלקה. אחת לשבוע מרוקנים את התיבה.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AE3DD3">
      <w:pPr>
        <w:rPr>
          <w:szCs w:val="24"/>
          <w:rtl/>
        </w:rPr>
      </w:pPr>
      <w:r>
        <w:rPr>
          <w:rFonts w:hint="cs"/>
          <w:szCs w:val="24"/>
          <w:rtl/>
        </w:rPr>
        <w:t xml:space="preserve">לסיכום  : התרשמתי משרות לעבודה סוציאלית מקצועי ואיכותי בראשותה של עו"ס </w:t>
      </w:r>
      <w:r w:rsidR="00AE3DD3">
        <w:rPr>
          <w:rFonts w:hint="cs"/>
          <w:szCs w:val="24"/>
          <w:rtl/>
        </w:rPr>
        <w:t>אסתי הירשפלד</w:t>
      </w:r>
      <w:r>
        <w:rPr>
          <w:rFonts w:hint="cs"/>
          <w:szCs w:val="24"/>
          <w:rtl/>
        </w:rPr>
        <w:t>.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>בהערכה לפועלכם</w:t>
      </w:r>
    </w:p>
    <w:p w:rsidR="009A3030" w:rsidRDefault="009A3030" w:rsidP="009A3030">
      <w:pPr>
        <w:rPr>
          <w:szCs w:val="24"/>
          <w:rtl/>
        </w:rPr>
      </w:pP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>שלומי עזר</w:t>
      </w:r>
    </w:p>
    <w:p w:rsidR="009A3030" w:rsidRDefault="009A3030" w:rsidP="009A3030">
      <w:pPr>
        <w:rPr>
          <w:szCs w:val="24"/>
          <w:rtl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>עו"ס קליני</w:t>
      </w:r>
    </w:p>
    <w:p w:rsidR="009A3030" w:rsidRPr="00D214DD" w:rsidRDefault="009A3030" w:rsidP="009A3030">
      <w:pPr>
        <w:rPr>
          <w:szCs w:val="24"/>
        </w:rPr>
      </w:pP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  <w:t>צוות בקרה מחוז מרכז</w:t>
      </w:r>
    </w:p>
    <w:sectPr w:rsidR="009A3030" w:rsidRPr="00D214DD" w:rsidSect="00145C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2127" w:footer="414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6F" w:rsidRDefault="00885D6F" w:rsidP="00AE3DD3">
      <w:r>
        <w:separator/>
      </w:r>
    </w:p>
  </w:endnote>
  <w:endnote w:type="continuationSeparator" w:id="0">
    <w:p w:rsidR="00885D6F" w:rsidRDefault="00885D6F" w:rsidP="00AE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D3" w:rsidRDefault="00AE3DD3">
    <w:pPr>
      <w:pStyle w:val="a5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E3DD3" w:rsidRDefault="00AE3DD3">
    <w:pPr>
      <w:pStyle w:val="a5"/>
      <w:ind w:right="360"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D3" w:rsidRDefault="00AE3DD3">
    <w:pPr>
      <w:pStyle w:val="a5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1D4AF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E3DD3" w:rsidRDefault="00AE3DD3" w:rsidP="00AE3DD3">
    <w:pPr>
      <w:pStyle w:val="a5"/>
      <w:rPr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1D4AFC">
      <w:rPr>
        <w:noProof/>
        <w:szCs w:val="18"/>
        <w:rtl/>
      </w:rPr>
      <w:t>בקרת עוס 2015</w:t>
    </w:r>
    <w:r>
      <w:rPr>
        <w:szCs w:val="18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D3" w:rsidRDefault="00AE3DD3">
    <w:pPr>
      <w:pStyle w:val="a5"/>
      <w:rPr>
        <w:sz w:val="16"/>
        <w:szCs w:val="18"/>
        <w:rtl/>
      </w:rPr>
    </w:pPr>
    <w:r>
      <w:rPr>
        <w:vanish/>
        <w:sz w:val="16"/>
        <w:szCs w:val="18"/>
        <w:rtl/>
      </w:rPr>
      <w:t>ן.</w:t>
    </w:r>
    <w:r>
      <w:rPr>
        <w:vanish/>
        <w:sz w:val="16"/>
        <w:szCs w:val="18"/>
        <w:rtl/>
      </w:rPr>
      <w:cr/>
      <w:t>אליך את החומר הנוגע בדבר כפי שסיכמנו וגם סיכ</w:t>
    </w:r>
  </w:p>
  <w:p w:rsidR="00AE3DD3" w:rsidRDefault="00AE3DD3">
    <w:pPr>
      <w:pStyle w:val="a5"/>
      <w:rPr>
        <w:sz w:val="16"/>
        <w:szCs w:val="18"/>
        <w:rtl/>
      </w:rPr>
    </w:pPr>
    <w:r>
      <w:rPr>
        <w:sz w:val="16"/>
        <w:szCs w:val="18"/>
      </w:rPr>
      <w:fldChar w:fldCharType="begin"/>
    </w:r>
    <w:r>
      <w:rPr>
        <w:sz w:val="16"/>
        <w:szCs w:val="18"/>
      </w:rPr>
      <w:instrText xml:space="preserve"> FILENAME  \* MERGEFORMAT </w:instrText>
    </w:r>
    <w:r>
      <w:rPr>
        <w:sz w:val="16"/>
        <w:szCs w:val="18"/>
      </w:rPr>
      <w:fldChar w:fldCharType="separate"/>
    </w:r>
    <w:r w:rsidR="001D4AFC">
      <w:rPr>
        <w:noProof/>
        <w:sz w:val="16"/>
        <w:szCs w:val="18"/>
        <w:rtl/>
      </w:rPr>
      <w:t>בקרת עוס 2015</w:t>
    </w:r>
    <w:r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6F" w:rsidRDefault="00885D6F" w:rsidP="00AE3DD3">
      <w:r>
        <w:separator/>
      </w:r>
    </w:p>
  </w:footnote>
  <w:footnote w:type="continuationSeparator" w:id="0">
    <w:p w:rsidR="00885D6F" w:rsidRDefault="00885D6F" w:rsidP="00AE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D3" w:rsidRDefault="00AE3DD3">
    <w:pPr>
      <w:spacing w:line="360" w:lineRule="auto"/>
      <w:jc w:val="center"/>
      <w:rPr>
        <w:b/>
        <w:bCs/>
        <w:szCs w:val="36"/>
        <w:rtl/>
      </w:rPr>
    </w:pPr>
    <w:r>
      <w:rPr>
        <w:b/>
        <w:bCs/>
        <w:szCs w:val="40"/>
        <w:rtl/>
      </w:rPr>
      <w:t>לשכת  הפסיכיאטר  המחוזי</w:t>
    </w:r>
    <w:r>
      <w:rPr>
        <w:b/>
        <w:bCs/>
        <w:szCs w:val="36"/>
        <w:rtl/>
      </w:rPr>
      <w:t xml:space="preserve"> </w:t>
    </w:r>
  </w:p>
  <w:p w:rsidR="00AE3DD3" w:rsidRDefault="00AE3DD3" w:rsidP="00145C3F">
    <w:pPr>
      <w:jc w:val="center"/>
      <w:rPr>
        <w:b/>
        <w:bCs/>
        <w:rtl/>
      </w:rPr>
    </w:pPr>
    <w:r>
      <w:rPr>
        <w:b/>
        <w:bCs/>
        <w:szCs w:val="32"/>
        <w:rtl/>
      </w:rPr>
      <w:t xml:space="preserve">טל': 08-9788617  08-9788616 פקס: </w:t>
    </w:r>
    <w:r>
      <w:rPr>
        <w:rFonts w:hint="cs"/>
        <w:b/>
        <w:bCs/>
        <w:szCs w:val="32"/>
        <w:rtl/>
      </w:rPr>
      <w:t>02-6473955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D3" w:rsidRDefault="00AE3DD3">
    <w:pPr>
      <w:jc w:val="center"/>
      <w:rPr>
        <w:b/>
        <w:bCs/>
        <w:szCs w:val="36"/>
        <w:rtl/>
      </w:rPr>
    </w:pPr>
  </w:p>
  <w:p w:rsidR="00AE3DD3" w:rsidRDefault="00AE3DD3">
    <w:pPr>
      <w:jc w:val="center"/>
      <w:rPr>
        <w:b/>
        <w:bCs/>
        <w:szCs w:val="36"/>
        <w:rtl/>
      </w:rPr>
    </w:pPr>
  </w:p>
  <w:p w:rsidR="00AE3DD3" w:rsidRDefault="00AE3DD3">
    <w:pPr>
      <w:jc w:val="center"/>
      <w:rPr>
        <w:b/>
        <w:bCs/>
        <w:szCs w:val="36"/>
        <w:rtl/>
      </w:rPr>
    </w:pPr>
  </w:p>
  <w:p w:rsidR="00AE3DD3" w:rsidRDefault="00AE3DD3">
    <w:pPr>
      <w:spacing w:line="360" w:lineRule="auto"/>
      <w:jc w:val="center"/>
      <w:rPr>
        <w:b/>
        <w:bCs/>
        <w:szCs w:val="36"/>
        <w:rtl/>
      </w:rPr>
    </w:pPr>
    <w:r>
      <w:rPr>
        <w:b/>
        <w:bCs/>
        <w:szCs w:val="40"/>
        <w:rtl/>
      </w:rPr>
      <w:t>לשכת  הפסיכיאטר  המחוזי</w:t>
    </w:r>
    <w:r>
      <w:rPr>
        <w:b/>
        <w:bCs/>
        <w:szCs w:val="36"/>
        <w:rtl/>
      </w:rPr>
      <w:t xml:space="preserve"> </w:t>
    </w:r>
  </w:p>
  <w:p w:rsidR="00AE3DD3" w:rsidRDefault="00AE3DD3">
    <w:pPr>
      <w:pBdr>
        <w:bottom w:val="double" w:sz="6" w:space="1" w:color="auto"/>
      </w:pBdr>
      <w:jc w:val="center"/>
      <w:rPr>
        <w:b/>
        <w:bCs/>
        <w:rtl/>
      </w:rPr>
    </w:pPr>
    <w:r>
      <w:rPr>
        <w:b/>
        <w:bCs/>
        <w:szCs w:val="32"/>
        <w:rtl/>
      </w:rPr>
      <w:t>טל': 08-9777832  08-9777838 פקס: 08-9777834</w:t>
    </w:r>
  </w:p>
  <w:p w:rsidR="00AE3DD3" w:rsidRDefault="00AE3DD3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E15CD"/>
    <w:multiLevelType w:val="hybridMultilevel"/>
    <w:tmpl w:val="555E502C"/>
    <w:lvl w:ilvl="0" w:tplc="3294E1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30"/>
    <w:rsid w:val="00145C3F"/>
    <w:rsid w:val="001D4AFC"/>
    <w:rsid w:val="0033119E"/>
    <w:rsid w:val="007548B0"/>
    <w:rsid w:val="00885D6F"/>
    <w:rsid w:val="009A3030"/>
    <w:rsid w:val="00A04232"/>
    <w:rsid w:val="00AE3DD3"/>
    <w:rsid w:val="00C70D4A"/>
    <w:rsid w:val="00E00BA4"/>
    <w:rsid w:val="00F3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03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rsid w:val="009A3030"/>
    <w:rPr>
      <w:rFonts w:ascii="Times New Roman" w:eastAsia="Times New Roman" w:hAnsi="Times New Roman" w:cs="David"/>
      <w:sz w:val="24"/>
      <w:szCs w:val="26"/>
    </w:rPr>
  </w:style>
  <w:style w:type="paragraph" w:styleId="a5">
    <w:name w:val="footer"/>
    <w:basedOn w:val="a"/>
    <w:link w:val="a6"/>
    <w:rsid w:val="009A303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rsid w:val="009A3030"/>
    <w:rPr>
      <w:rFonts w:ascii="Times New Roman" w:eastAsia="Times New Roman" w:hAnsi="Times New Roman" w:cs="David"/>
      <w:sz w:val="24"/>
      <w:szCs w:val="26"/>
    </w:rPr>
  </w:style>
  <w:style w:type="character" w:styleId="a7">
    <w:name w:val="page number"/>
    <w:basedOn w:val="a0"/>
    <w:rsid w:val="009A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03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rsid w:val="009A3030"/>
    <w:rPr>
      <w:rFonts w:ascii="Times New Roman" w:eastAsia="Times New Roman" w:hAnsi="Times New Roman" w:cs="David"/>
      <w:sz w:val="24"/>
      <w:szCs w:val="26"/>
    </w:rPr>
  </w:style>
  <w:style w:type="paragraph" w:styleId="a5">
    <w:name w:val="footer"/>
    <w:basedOn w:val="a"/>
    <w:link w:val="a6"/>
    <w:rsid w:val="009A303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rsid w:val="009A3030"/>
    <w:rPr>
      <w:rFonts w:ascii="Times New Roman" w:eastAsia="Times New Roman" w:hAnsi="Times New Roman" w:cs="David"/>
      <w:sz w:val="24"/>
      <w:szCs w:val="26"/>
    </w:rPr>
  </w:style>
  <w:style w:type="character" w:styleId="a7">
    <w:name w:val="page number"/>
    <w:basedOn w:val="a0"/>
    <w:rsid w:val="009A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298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MOH Merkaz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שלומי עזר</dc:creator>
  <cp:lastModifiedBy>רינה שמש</cp:lastModifiedBy>
  <cp:revision>4</cp:revision>
  <cp:lastPrinted>2015-11-01T06:50:00Z</cp:lastPrinted>
  <dcterms:created xsi:type="dcterms:W3CDTF">2015-10-28T13:10:00Z</dcterms:created>
  <dcterms:modified xsi:type="dcterms:W3CDTF">2015-11-01T06:53:00Z</dcterms:modified>
</cp:coreProperties>
</file>