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DA" w:rsidRPr="00364939" w:rsidRDefault="00940DDA" w:rsidP="00D81C6B">
      <w:pPr>
        <w:pStyle w:val="1"/>
        <w:ind w:left="-384" w:firstLine="384"/>
        <w:jc w:val="right"/>
        <w:rPr>
          <w:rFonts w:ascii="David" w:hAnsi="David" w:cs="David"/>
          <w:color w:val="auto"/>
          <w:sz w:val="24"/>
          <w:szCs w:val="24"/>
          <w:rtl/>
        </w:rPr>
      </w:pPr>
      <w:r w:rsidRPr="00364939">
        <w:rPr>
          <w:rFonts w:ascii="David" w:hAnsi="David" w:cs="David"/>
          <w:color w:val="auto"/>
          <w:sz w:val="24"/>
          <w:szCs w:val="24"/>
          <w:rtl/>
        </w:rPr>
        <w:br/>
      </w:r>
      <w:r w:rsidR="00D81C6B">
        <w:rPr>
          <w:rFonts w:ascii="David" w:hAnsi="David" w:cs="David" w:hint="cs"/>
          <w:color w:val="auto"/>
          <w:sz w:val="24"/>
          <w:szCs w:val="24"/>
          <w:rtl/>
        </w:rPr>
        <w:t>15</w:t>
      </w:r>
      <w:r>
        <w:rPr>
          <w:rFonts w:ascii="David" w:hAnsi="David" w:cs="David" w:hint="cs"/>
          <w:color w:val="auto"/>
          <w:sz w:val="24"/>
          <w:szCs w:val="24"/>
          <w:rtl/>
        </w:rPr>
        <w:t>/01/18</w:t>
      </w:r>
    </w:p>
    <w:p w:rsidR="00940DDA" w:rsidRPr="00364939" w:rsidRDefault="00940DDA" w:rsidP="00940DDA">
      <w:pPr>
        <w:jc w:val="right"/>
        <w:rPr>
          <w:rFonts w:ascii="David" w:hAnsi="David" w:cs="David"/>
          <w:sz w:val="24"/>
          <w:szCs w:val="24"/>
          <w:rtl/>
          <w:lang w:eastAsia="en-US"/>
        </w:rPr>
      </w:pPr>
      <w:r>
        <w:rPr>
          <w:rFonts w:ascii="David" w:eastAsia="Calibri" w:hAnsi="David" w:cs="David" w:hint="cs"/>
          <w:sz w:val="24"/>
          <w:szCs w:val="24"/>
          <w:rtl/>
          <w:lang w:eastAsia="en-US"/>
        </w:rPr>
        <w:t>כ</w:t>
      </w:r>
      <w:r w:rsidR="00D81C6B">
        <w:rPr>
          <w:rFonts w:ascii="David" w:eastAsia="Calibri" w:hAnsi="David" w:cs="David" w:hint="cs"/>
          <w:sz w:val="24"/>
          <w:szCs w:val="24"/>
          <w:rtl/>
          <w:lang w:eastAsia="en-US"/>
        </w:rPr>
        <w:t>ח</w:t>
      </w:r>
      <w:r>
        <w:rPr>
          <w:rFonts w:ascii="David" w:eastAsia="Calibri" w:hAnsi="David" w:cs="David" w:hint="cs"/>
          <w:sz w:val="24"/>
          <w:szCs w:val="24"/>
          <w:rtl/>
          <w:lang w:eastAsia="en-US"/>
        </w:rPr>
        <w:t xml:space="preserve">' בטבת </w:t>
      </w:r>
      <w:proofErr w:type="spellStart"/>
      <w:r>
        <w:rPr>
          <w:rFonts w:ascii="David" w:eastAsia="Calibri" w:hAnsi="David" w:cs="David" w:hint="cs"/>
          <w:sz w:val="24"/>
          <w:szCs w:val="24"/>
          <w:rtl/>
          <w:lang w:eastAsia="en-US"/>
        </w:rPr>
        <w:t>התשע"ח</w:t>
      </w:r>
      <w:proofErr w:type="spellEnd"/>
    </w:p>
    <w:p w:rsidR="00940DDA" w:rsidRDefault="00940DDA" w:rsidP="00D81C6B">
      <w:pPr>
        <w:spacing w:after="120"/>
        <w:rPr>
          <w:rFonts w:cs="David"/>
          <w:sz w:val="24"/>
          <w:szCs w:val="24"/>
          <w:rtl/>
          <w:lang w:eastAsia="en-US"/>
        </w:rPr>
      </w:pPr>
      <w:r>
        <w:rPr>
          <w:rFonts w:cs="David"/>
          <w:sz w:val="24"/>
          <w:szCs w:val="24"/>
          <w:rtl/>
          <w:lang w:eastAsia="en-US"/>
        </w:rPr>
        <w:br/>
      </w:r>
      <w:r w:rsidRPr="00364939">
        <w:rPr>
          <w:rFonts w:cs="David" w:hint="cs"/>
          <w:sz w:val="24"/>
          <w:szCs w:val="24"/>
          <w:rtl/>
          <w:lang w:eastAsia="en-US"/>
        </w:rPr>
        <w:t>לכבוד</w:t>
      </w:r>
      <w:r>
        <w:rPr>
          <w:rFonts w:cs="David"/>
          <w:sz w:val="24"/>
          <w:szCs w:val="24"/>
          <w:rtl/>
          <w:lang w:eastAsia="en-US"/>
        </w:rPr>
        <w:br/>
      </w:r>
      <w:r w:rsidR="00D81C6B">
        <w:rPr>
          <w:rFonts w:cs="David" w:hint="cs"/>
          <w:sz w:val="24"/>
          <w:szCs w:val="24"/>
          <w:rtl/>
          <w:lang w:eastAsia="en-US"/>
        </w:rPr>
        <w:t>אלעד מן</w:t>
      </w:r>
      <w:r>
        <w:rPr>
          <w:rFonts w:cs="David" w:hint="cs"/>
          <w:sz w:val="24"/>
          <w:szCs w:val="24"/>
          <w:rtl/>
          <w:lang w:eastAsia="en-US"/>
        </w:rPr>
        <w:t>,</w:t>
      </w:r>
      <w:r>
        <w:rPr>
          <w:rFonts w:cs="David"/>
          <w:sz w:val="24"/>
          <w:szCs w:val="24"/>
          <w:rtl/>
          <w:lang w:eastAsia="en-US"/>
        </w:rPr>
        <w:br/>
      </w:r>
      <w:r>
        <w:rPr>
          <w:rFonts w:cs="David" w:hint="cs"/>
          <w:sz w:val="24"/>
          <w:szCs w:val="24"/>
          <w:rtl/>
          <w:lang w:eastAsia="en-US"/>
        </w:rPr>
        <w:t>באמצעות דוא"ל</w:t>
      </w:r>
      <w:r>
        <w:rPr>
          <w:rFonts w:cs="David"/>
          <w:sz w:val="24"/>
          <w:szCs w:val="24"/>
          <w:rtl/>
          <w:lang w:eastAsia="en-US"/>
        </w:rPr>
        <w:br/>
      </w:r>
      <w:r w:rsidR="00D81C6B">
        <w:t>elad@man-</w:t>
      </w:r>
      <w:r w:rsidR="00F778B2">
        <w:t>barak.com</w:t>
      </w:r>
      <w:hyperlink r:id="rId7" w:history="1"/>
    </w:p>
    <w:p w:rsidR="00940DDA" w:rsidRPr="00234231" w:rsidRDefault="00940DDA" w:rsidP="00940DDA">
      <w:pPr>
        <w:spacing w:after="120" w:line="360" w:lineRule="auto"/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>
        <w:rPr>
          <w:rFonts w:cs="David"/>
          <w:b/>
          <w:bCs/>
          <w:sz w:val="24"/>
          <w:szCs w:val="24"/>
          <w:rtl/>
          <w:lang w:eastAsia="en-US"/>
        </w:rPr>
        <w:br/>
      </w:r>
      <w:r w:rsidRPr="00762F88">
        <w:rPr>
          <w:rFonts w:cs="David" w:hint="cs"/>
          <w:b/>
          <w:bCs/>
          <w:sz w:val="24"/>
          <w:szCs w:val="24"/>
          <w:rtl/>
          <w:lang w:eastAsia="en-US"/>
        </w:rPr>
        <w:t xml:space="preserve">הנדון: 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מענה לפנייתך </w:t>
      </w:r>
      <w:r w:rsidRPr="00762F88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לקבלת מידע בהתאם לחוק חופש המידע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 </w:t>
      </w:r>
    </w:p>
    <w:p w:rsidR="00940DDA" w:rsidRDefault="00940DDA" w:rsidP="00940DDA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>
        <w:rPr>
          <w:rFonts w:cs="David"/>
          <w:sz w:val="24"/>
          <w:szCs w:val="24"/>
          <w:rtl/>
          <w:lang w:eastAsia="en-US"/>
        </w:rPr>
        <w:br/>
      </w:r>
      <w:r w:rsidR="00F778B2">
        <w:rPr>
          <w:rFonts w:cs="David" w:hint="cs"/>
          <w:sz w:val="24"/>
          <w:szCs w:val="24"/>
          <w:rtl/>
          <w:lang w:eastAsia="en-US"/>
        </w:rPr>
        <w:t xml:space="preserve">אלעד </w:t>
      </w:r>
      <w:r w:rsidRPr="00FE3BC9">
        <w:rPr>
          <w:rFonts w:cs="David" w:hint="cs"/>
          <w:sz w:val="24"/>
          <w:szCs w:val="24"/>
          <w:rtl/>
          <w:lang w:eastAsia="en-US"/>
        </w:rPr>
        <w:t>שלום,</w:t>
      </w:r>
    </w:p>
    <w:p w:rsidR="00940DDA" w:rsidRDefault="00940DDA" w:rsidP="00940DDA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FE3BC9">
        <w:rPr>
          <w:rFonts w:cs="David" w:hint="cs"/>
          <w:sz w:val="24"/>
          <w:szCs w:val="24"/>
          <w:rtl/>
          <w:lang w:eastAsia="en-US"/>
        </w:rPr>
        <w:t xml:space="preserve">קיבלתי את פנייתך </w:t>
      </w:r>
      <w:r w:rsidR="00D81C6B">
        <w:rPr>
          <w:rFonts w:cs="David" w:hint="cs"/>
          <w:sz w:val="24"/>
          <w:szCs w:val="24"/>
          <w:rtl/>
          <w:lang w:eastAsia="en-US"/>
        </w:rPr>
        <w:t xml:space="preserve">באשר למנויי העיתונים </w:t>
      </w:r>
      <w:r w:rsidR="00F778B2">
        <w:rPr>
          <w:rFonts w:cs="David" w:hint="cs"/>
          <w:sz w:val="24"/>
          <w:szCs w:val="24"/>
          <w:rtl/>
          <w:lang w:eastAsia="en-US"/>
        </w:rPr>
        <w:t xml:space="preserve">וכתבי העת </w:t>
      </w:r>
      <w:r w:rsidRPr="00FE3BC9">
        <w:rPr>
          <w:rFonts w:cs="David" w:hint="cs"/>
          <w:sz w:val="24"/>
          <w:szCs w:val="24"/>
          <w:rtl/>
          <w:lang w:eastAsia="en-US"/>
        </w:rPr>
        <w:t>והריני להשיבך.</w:t>
      </w:r>
    </w:p>
    <w:tbl>
      <w:tblPr>
        <w:bidiVisual/>
        <w:tblW w:w="1034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939"/>
        <w:gridCol w:w="2663"/>
        <w:gridCol w:w="2223"/>
      </w:tblGrid>
      <w:tr w:rsidR="00D81C6B" w:rsidRPr="00D81C6B" w:rsidTr="00D81C6B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Pr="00D81C6B" w:rsidRDefault="00D81C6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C6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 הספק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Pr="00D81C6B" w:rsidRDefault="00D81C6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81C6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Pr="00D81C6B" w:rsidRDefault="00D81C6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81C6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מחיר לחודש לא כולל מע"מ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Pr="00D81C6B" w:rsidRDefault="00D81C6B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D81C6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מחיר לשנה כולל מע"מ</w:t>
            </w:r>
          </w:p>
        </w:tc>
      </w:tr>
      <w:tr w:rsidR="00D81C6B" w:rsidTr="00D81C6B">
        <w:trPr>
          <w:trHeight w:val="28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6B" w:rsidRDefault="00D8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ידיעות אחרונות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 w:rsidP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מנהל מחוז ירושלים והדרום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1669.9176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 w:rsidP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מנהל מחוז מרכז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1669.9176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 w:rsidP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סמנכ"ל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למינהל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ומשאבי אנוש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1669.9176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 w:rsidP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סמנכ"ל תכנון ומדיניות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1669.9176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דוברת ארצית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1937.52</w:t>
            </w:r>
          </w:p>
        </w:tc>
      </w:tr>
      <w:tr w:rsidR="00D81C6B" w:rsidTr="00D81C6B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ישראל היום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דוברת ארצית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44.87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629.9748</w:t>
            </w:r>
          </w:p>
        </w:tc>
      </w:tr>
      <w:tr w:rsidR="00D81C6B" w:rsidTr="00D81C6B">
        <w:trPr>
          <w:trHeight w:val="28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6B" w:rsidRDefault="00D81C6B">
            <w:pPr>
              <w:jc w:val="center"/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גלובס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 w:rsidP="00D81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מנהל מחוז תל אביב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2288.52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מנהל אגף יישומים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2288.52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חשב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2288.52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 w:rsidP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מנהל מחוז חיפה והצפון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2288.52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דוברת ארצית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2288.52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מנהל רשות האכיפה והגבייה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2288.52</w:t>
            </w:r>
          </w:p>
        </w:tc>
      </w:tr>
      <w:tr w:rsidR="00D81C6B" w:rsidTr="00D81C6B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מקור ראשון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מנהל רשות האכיפה והגבייה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65.81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923.9724</w:t>
            </w:r>
          </w:p>
        </w:tc>
      </w:tr>
      <w:tr w:rsidR="00D81C6B" w:rsidTr="00D81C6B">
        <w:trPr>
          <w:trHeight w:val="28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6B" w:rsidRDefault="00D81C6B">
            <w:pPr>
              <w:jc w:val="center"/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הארץ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סמנכ"ל מחשוב, מערכות מידע ותקשורת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2611.44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דוברת ארצית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2611.44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 w:rsidP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סמנכ"ל מקצועי הוצל"פ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2611.44</w:t>
            </w:r>
          </w:p>
        </w:tc>
      </w:tr>
      <w:tr w:rsidR="00D81C6B" w:rsidTr="00D81C6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C6B" w:rsidRDefault="00D81C6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 w:rsidP="00D81C6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סמנכ"ל שירות לקוחות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1C6B" w:rsidRDefault="00D81C6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2611.44</w:t>
            </w:r>
          </w:p>
        </w:tc>
      </w:tr>
    </w:tbl>
    <w:p w:rsidR="00940DDA" w:rsidRDefault="00940DDA" w:rsidP="00940DDA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D81C6B" w:rsidRDefault="00D81C6B" w:rsidP="00940DDA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D81C6B" w:rsidRDefault="00D81C6B" w:rsidP="00940DDA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D81C6B" w:rsidRDefault="00D81C6B" w:rsidP="00940DDA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D81C6B" w:rsidRDefault="00D81C6B" w:rsidP="00D81C6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יובהר כי בגין מנויים אלו מבוצעת "זקיפת הטבה" במשכורת העובדים הנ"ל למעט לדוברת הרשות .</w:t>
      </w:r>
    </w:p>
    <w:p w:rsidR="00D81C6B" w:rsidRDefault="00D81C6B" w:rsidP="00940DDA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940DDA" w:rsidRDefault="00940DDA" w:rsidP="00940DDA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4F4FD9">
        <w:rPr>
          <w:rFonts w:cs="David" w:hint="cs"/>
          <w:b/>
          <w:bCs/>
          <w:sz w:val="24"/>
          <w:szCs w:val="24"/>
          <w:rtl/>
        </w:rPr>
        <w:t>בברכה,</w:t>
      </w:r>
    </w:p>
    <w:p w:rsidR="00940DDA" w:rsidRDefault="00940DDA" w:rsidP="00940DDA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רבקה אהרוני</w:t>
      </w:r>
    </w:p>
    <w:p w:rsidR="00D81C6B" w:rsidRDefault="00D81C6B" w:rsidP="00940DDA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ראש אגף בכיר </w:t>
      </w:r>
    </w:p>
    <w:p w:rsidR="00272405" w:rsidRPr="00940DDA" w:rsidRDefault="00940DDA" w:rsidP="00940DDA">
      <w:pPr>
        <w:spacing w:line="360" w:lineRule="auto"/>
        <w:jc w:val="center"/>
        <w:rPr>
          <w:rFonts w:cs="David"/>
          <w:b/>
          <w:bCs/>
          <w:sz w:val="24"/>
          <w:szCs w:val="24"/>
        </w:rPr>
      </w:pPr>
      <w:r w:rsidRPr="004F4FD9">
        <w:rPr>
          <w:rFonts w:cs="David" w:hint="cs"/>
          <w:b/>
          <w:bCs/>
          <w:sz w:val="24"/>
          <w:szCs w:val="24"/>
          <w:rtl/>
        </w:rPr>
        <w:t xml:space="preserve">ממונה על </w:t>
      </w:r>
      <w:r>
        <w:rPr>
          <w:rFonts w:cs="David" w:hint="cs"/>
          <w:b/>
          <w:bCs/>
          <w:sz w:val="24"/>
          <w:szCs w:val="24"/>
          <w:rtl/>
        </w:rPr>
        <w:t>העמדת המידע לציבור</w:t>
      </w:r>
    </w:p>
    <w:sectPr w:rsidR="00272405" w:rsidRPr="00940DDA" w:rsidSect="005E06AB">
      <w:headerReference w:type="default" r:id="rId8"/>
      <w:footerReference w:type="even" r:id="rId9"/>
      <w:footerReference w:type="default" r:id="rId10"/>
      <w:pgSz w:w="11906" w:h="16838"/>
      <w:pgMar w:top="2075" w:right="1133" w:bottom="1440" w:left="709" w:header="567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F3" w:rsidRDefault="006764F3">
      <w:r>
        <w:separator/>
      </w:r>
    </w:p>
  </w:endnote>
  <w:endnote w:type="continuationSeparator" w:id="0">
    <w:p w:rsidR="006764F3" w:rsidRDefault="0067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AA" w:rsidRDefault="00940DD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AA" w:rsidRDefault="00940DDA" w:rsidP="007371D4">
    <w:pPr>
      <w:tabs>
        <w:tab w:val="left" w:pos="2069"/>
        <w:tab w:val="center" w:pos="4486"/>
      </w:tabs>
      <w:jc w:val="center"/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5118F">
      <w:rPr>
        <w:color w:val="3366FF"/>
        <w:rtl/>
        <w:lang w:eastAsia="en-US"/>
      </w:rPr>
      <w:t>___________________________________________________________</w:t>
    </w:r>
    <w: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B05D08"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רשות האכיפה והגבייה, רח' ירמיהו 37, ירושלים  </w:t>
    </w:r>
    <w:r>
      <w:rPr>
        <w:rFonts w:asciiTheme="minorBidi" w:hAnsiTheme="minorBidi" w:cstheme="minorBidi" w:hint="cs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9446722</w:t>
    </w:r>
  </w:p>
  <w:p w:rsidR="00FA1347" w:rsidRDefault="00940DDA" w:rsidP="00101E20">
    <w:pPr>
      <w:jc w:val="center"/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 w:rsidR="00EE4F20">
      <w:rPr>
        <w:rFonts w:ascii="Arial" w:hAnsi="Arial" w:cs="Arial"/>
        <w:color w:val="4F81BD"/>
        <w:sz w:val="20"/>
        <w:szCs w:val="20"/>
      </w:rPr>
      <w:fldChar w:fldCharType="begin"/>
    </w:r>
    <w:r w:rsidR="00EE4F20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EE4F20">
      <w:rPr>
        <w:rFonts w:ascii="Arial" w:hAnsi="Arial" w:cs="Arial"/>
        <w:color w:val="4F81BD"/>
        <w:sz w:val="20"/>
        <w:szCs w:val="20"/>
      </w:rPr>
      <w:fldChar w:fldCharType="separate"/>
    </w:r>
    <w:r w:rsidR="006764F3">
      <w:rPr>
        <w:rFonts w:ascii="Arial" w:hAnsi="Arial" w:cs="Arial"/>
        <w:color w:val="4F81BD"/>
        <w:sz w:val="20"/>
        <w:szCs w:val="20"/>
      </w:rPr>
      <w:fldChar w:fldCharType="begin"/>
    </w:r>
    <w:r w:rsidR="006764F3">
      <w:rPr>
        <w:rFonts w:ascii="Arial" w:hAnsi="Arial" w:cs="Arial"/>
        <w:color w:val="4F81BD"/>
        <w:sz w:val="20"/>
        <w:szCs w:val="20"/>
      </w:rPr>
      <w:instrText xml:space="preserve"> </w:instrText>
    </w:r>
    <w:r w:rsidR="006764F3">
      <w:rPr>
        <w:rFonts w:ascii="Arial" w:hAnsi="Arial" w:cs="Arial"/>
        <w:color w:val="4F81BD"/>
        <w:sz w:val="20"/>
        <w:szCs w:val="20"/>
      </w:rPr>
      <w:instrText>INCLUDEPICTURE  "cid:image002.jpg@01D1ED8A.72518570" \* MERGEFORMATINET</w:instrText>
    </w:r>
    <w:r w:rsidR="006764F3">
      <w:rPr>
        <w:rFonts w:ascii="Arial" w:hAnsi="Arial" w:cs="Arial"/>
        <w:color w:val="4F81BD"/>
        <w:sz w:val="20"/>
        <w:szCs w:val="20"/>
      </w:rPr>
      <w:instrText xml:space="preserve"> </w:instrText>
    </w:r>
    <w:r w:rsidR="006764F3">
      <w:rPr>
        <w:rFonts w:ascii="Arial" w:hAnsi="Arial" w:cs="Arial"/>
        <w:color w:val="4F81BD"/>
        <w:sz w:val="20"/>
        <w:szCs w:val="20"/>
      </w:rPr>
      <w:fldChar w:fldCharType="separate"/>
    </w:r>
    <w:r w:rsidR="006764F3">
      <w:rPr>
        <w:rFonts w:ascii="Arial" w:hAnsi="Arial" w:cs="Arial"/>
        <w:color w:val="4F81BD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בעבריתISO27001+27032" style="width:85.5pt;height:42.75pt">
          <v:imagedata r:id="rId1" r:href="rId2"/>
        </v:shape>
      </w:pict>
    </w:r>
    <w:r w:rsidR="006764F3">
      <w:rPr>
        <w:rFonts w:ascii="Arial" w:hAnsi="Arial" w:cs="Arial"/>
        <w:color w:val="4F81BD"/>
        <w:sz w:val="20"/>
        <w:szCs w:val="20"/>
      </w:rPr>
      <w:fldChar w:fldCharType="end"/>
    </w:r>
    <w:r w:rsidR="00EE4F20"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</w:p>
  <w:p w:rsidR="00F679AA" w:rsidRPr="00B05D08" w:rsidRDefault="006764F3" w:rsidP="00A12410">
    <w:pP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679AA" w:rsidRDefault="006764F3">
    <w:pP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679AA" w:rsidRDefault="006764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F3" w:rsidRDefault="006764F3">
      <w:r>
        <w:separator/>
      </w:r>
    </w:p>
  </w:footnote>
  <w:footnote w:type="continuationSeparator" w:id="0">
    <w:p w:rsidR="006764F3" w:rsidRDefault="0067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AA" w:rsidRDefault="006764F3" w:rsidP="00973401">
    <w:pPr>
      <w:tabs>
        <w:tab w:val="left" w:pos="3204"/>
        <w:tab w:val="center" w:pos="4465"/>
      </w:tabs>
      <w:jc w:val="right"/>
      <w:rPr>
        <w:rFonts w:cs="David"/>
        <w:b/>
        <w:bCs/>
      </w:rPr>
    </w:pPr>
  </w:p>
  <w:p w:rsidR="008F4237" w:rsidRPr="00426FD5" w:rsidRDefault="00940DDA" w:rsidP="007371D4">
    <w:pPr>
      <w:tabs>
        <w:tab w:val="left" w:pos="2735"/>
        <w:tab w:val="left" w:pos="2876"/>
        <w:tab w:val="left" w:pos="4010"/>
        <w:tab w:val="center" w:pos="4294"/>
      </w:tabs>
      <w:rPr>
        <w:rFonts w:cs="David"/>
        <w:b/>
        <w:bCs/>
        <w:sz w:val="32"/>
        <w:szCs w:val="32"/>
        <w:rtl/>
      </w:rPr>
    </w:pPr>
    <w:r>
      <w:rPr>
        <w:rFonts w:ascii="Arial Narrow" w:hAnsi="Arial Narrow" w:cs="David"/>
        <w:b/>
        <w:bCs/>
        <w:color w:val="0066CC"/>
        <w:sz w:val="32"/>
        <w:szCs w:val="32"/>
      </w:rPr>
      <w:t xml:space="preserve">              </w:t>
    </w:r>
    <w:r>
      <w:rPr>
        <w:rFonts w:ascii="Arial Narrow" w:hAnsi="Arial Narrow" w:cs="David" w:hint="cs"/>
        <w:b/>
        <w:bCs/>
        <w:color w:val="0066CC"/>
        <w:sz w:val="32"/>
        <w:szCs w:val="32"/>
      </w:rPr>
      <w:t xml:space="preserve">                                   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מ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ד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י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נ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ת </w:t>
    </w:r>
    <w:r>
      <w:rPr>
        <w:rFonts w:ascii="Arial Narrow" w:hAnsi="Arial Narrow" w:cs="David" w:hint="cs"/>
        <w:b/>
        <w:bCs/>
        <w:color w:val="0066CC"/>
        <w:sz w:val="32"/>
        <w:szCs w:val="32"/>
      </w:rPr>
      <w:t xml:space="preserve"> 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י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ש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ר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א</w:t>
    </w:r>
    <w:r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ל</w:t>
    </w:r>
  </w:p>
  <w:p w:rsidR="00F679AA" w:rsidRPr="003C3E34" w:rsidRDefault="00940DDA" w:rsidP="007371D4">
    <w:pPr>
      <w:tabs>
        <w:tab w:val="left" w:pos="1406"/>
        <w:tab w:val="left" w:pos="3204"/>
        <w:tab w:val="center" w:pos="4465"/>
        <w:tab w:val="right" w:pos="8972"/>
      </w:tabs>
      <w:jc w:val="center"/>
      <w:rPr>
        <w:rFonts w:cs="David"/>
        <w:b/>
        <w:bCs/>
        <w:rtl/>
      </w:rPr>
    </w:pPr>
    <w:r>
      <w:rPr>
        <w:rFonts w:cs="David"/>
        <w:b/>
        <w:bCs/>
        <w:noProof/>
        <w:lang w:eastAsia="en-US"/>
      </w:rPr>
      <w:drawing>
        <wp:anchor distT="0" distB="0" distL="114300" distR="114300" simplePos="0" relativeHeight="251659264" behindDoc="0" locked="0" layoutInCell="1" allowOverlap="1" wp14:anchorId="30AE3FEE" wp14:editId="27D752EC">
          <wp:simplePos x="0" y="0"/>
          <wp:positionH relativeFrom="margin">
            <wp:posOffset>2634615</wp:posOffset>
          </wp:positionH>
          <wp:positionV relativeFrom="paragraph">
            <wp:posOffset>18415</wp:posOffset>
          </wp:positionV>
          <wp:extent cx="1342572" cy="930647"/>
          <wp:effectExtent l="0" t="0" r="0" b="3175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72" cy="930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9AA" w:rsidRDefault="006764F3" w:rsidP="007371D4">
    <w:pPr>
      <w:pStyle w:val="a3"/>
      <w:jc w:val="center"/>
      <w:rPr>
        <w:rFonts w:ascii="Arial" w:hAnsi="Arial" w:cs="Arial"/>
        <w:sz w:val="22"/>
        <w:szCs w:val="22"/>
        <w:rtl/>
      </w:rPr>
    </w:pPr>
  </w:p>
  <w:p w:rsidR="00F679AA" w:rsidRDefault="006764F3" w:rsidP="007371D4">
    <w:pPr>
      <w:pStyle w:val="a3"/>
      <w:jc w:val="center"/>
      <w:rPr>
        <w:rFonts w:ascii="Arial" w:hAnsi="Arial" w:cs="Arial"/>
        <w:sz w:val="22"/>
        <w:szCs w:val="22"/>
        <w:rtl/>
      </w:rPr>
    </w:pPr>
  </w:p>
  <w:p w:rsidR="00F679AA" w:rsidRDefault="006764F3" w:rsidP="007371D4">
    <w:pPr>
      <w:pStyle w:val="a3"/>
      <w:tabs>
        <w:tab w:val="left" w:pos="5160"/>
      </w:tabs>
      <w:jc w:val="center"/>
      <w:rPr>
        <w:rFonts w:ascii="Arial" w:hAnsi="Arial" w:cs="Arial"/>
        <w:color w:val="0070C0"/>
        <w:sz w:val="22"/>
        <w:szCs w:val="22"/>
        <w:rtl/>
      </w:rPr>
    </w:pPr>
  </w:p>
  <w:p w:rsidR="00F679AA" w:rsidRDefault="006764F3" w:rsidP="007371D4">
    <w:pPr>
      <w:pStyle w:val="a3"/>
      <w:tabs>
        <w:tab w:val="left" w:pos="5160"/>
      </w:tabs>
      <w:jc w:val="center"/>
      <w:rPr>
        <w:rFonts w:ascii="Arial" w:hAnsi="Arial" w:cs="Arial"/>
        <w:color w:val="0070C0"/>
        <w:sz w:val="22"/>
        <w:szCs w:val="22"/>
        <w:rtl/>
      </w:rPr>
    </w:pPr>
  </w:p>
  <w:p w:rsidR="00F679AA" w:rsidRDefault="006764F3" w:rsidP="007371D4">
    <w:pPr>
      <w:pStyle w:val="a3"/>
      <w:tabs>
        <w:tab w:val="left" w:pos="5160"/>
      </w:tabs>
      <w:jc w:val="center"/>
      <w:rPr>
        <w:rFonts w:ascii="Arial" w:hAnsi="Arial" w:cs="Arial"/>
        <w:color w:val="0070C0"/>
        <w:sz w:val="22"/>
        <w:szCs w:val="22"/>
        <w:rtl/>
      </w:rPr>
    </w:pPr>
  </w:p>
  <w:p w:rsidR="00F679AA" w:rsidRDefault="00940DDA" w:rsidP="007371D4">
    <w:pPr>
      <w:tabs>
        <w:tab w:val="left" w:pos="3204"/>
        <w:tab w:val="center" w:pos="4465"/>
      </w:tabs>
      <w:rPr>
        <w:rFonts w:asciiTheme="minorBidi" w:hAnsiTheme="minorBidi" w:cstheme="minorBidi"/>
        <w:b/>
        <w:bCs/>
        <w:color w:val="0070C0"/>
        <w:sz w:val="24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 w:hint="cs"/>
        <w:b/>
        <w:bCs/>
        <w:color w:val="0070C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 w:cs="Arial"/>
        <w:b/>
        <w:bCs/>
        <w:color w:val="0070C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>
      <w:rPr>
        <w:rFonts w:ascii="Arial" w:hAnsi="Arial" w:cs="Arial" w:hint="cs"/>
        <w:b/>
        <w:bCs/>
        <w:color w:val="0070C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</w:t>
    </w:r>
    <w:r w:rsidRPr="00B05D08">
      <w:rPr>
        <w:rFonts w:ascii="Arial" w:hAnsi="Arial" w:cs="Arial" w:hint="cs"/>
        <w:b/>
        <w:bCs/>
        <w:color w:val="0070C0"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האגף לתכנון ומדיניות</w:t>
    </w:r>
  </w:p>
  <w:p w:rsidR="00FA1347" w:rsidRDefault="006764F3" w:rsidP="009116F4">
    <w:pPr>
      <w:tabs>
        <w:tab w:val="left" w:pos="3204"/>
        <w:tab w:val="center" w:pos="4465"/>
      </w:tabs>
      <w:jc w:val="center"/>
      <w:rPr>
        <w:rFonts w:asciiTheme="minorBidi" w:hAnsiTheme="minorBidi" w:cstheme="minorBidi"/>
        <w:b/>
        <w:bCs/>
        <w:color w:val="0070C0"/>
        <w:sz w:val="24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F4237" w:rsidRPr="005E06AB" w:rsidRDefault="00940DDA" w:rsidP="005E06AB">
    <w:pPr>
      <w:ind w:left="-667"/>
      <w:jc w:val="center"/>
      <w:rPr>
        <w:rFonts w:ascii="Arial Narrow" w:hAnsi="Arial Narrow" w:cs="David"/>
        <w:b/>
        <w:bCs/>
        <w:color w:val="0066CC"/>
        <w:sz w:val="20"/>
        <w:szCs w:val="20"/>
        <w:rtl/>
      </w:rPr>
    </w:pPr>
    <w:r w:rsidRPr="00FB107F">
      <w:rPr>
        <w:rFonts w:ascii="Arial Narrow" w:hAnsi="Arial Narrow" w:cs="David" w:hint="cs"/>
        <w:b/>
        <w:bCs/>
        <w:color w:val="0066CC"/>
        <w:sz w:val="22"/>
        <w:szCs w:val="22"/>
        <w:rtl/>
      </w:rPr>
      <w:t>רבקה אהרוני, ראש אגף בכיר</w:t>
    </w:r>
    <w:r w:rsidRPr="005E06AB">
      <w:rPr>
        <w:rFonts w:ascii="Arial Narrow" w:hAnsi="Arial Narrow" w:cs="David" w:hint="cs"/>
        <w:b/>
        <w:bCs/>
        <w:color w:val="0066CC"/>
        <w:sz w:val="20"/>
        <w:szCs w:val="20"/>
        <w:rtl/>
      </w:rPr>
      <w:t xml:space="preserve">   </w:t>
    </w:r>
    <w:r>
      <w:rPr>
        <w:rFonts w:ascii="Arial Narrow" w:hAnsi="Arial Narrow" w:cs="David" w:hint="cs"/>
        <w:b/>
        <w:bCs/>
        <w:color w:val="0066CC"/>
        <w:sz w:val="20"/>
        <w:szCs w:val="20"/>
      </w:rPr>
      <w:t xml:space="preserve">     </w:t>
    </w:r>
    <w:r w:rsidRPr="005E06AB">
      <w:rPr>
        <w:rFonts w:ascii="Arial Narrow" w:hAnsi="Arial Narrow" w:cs="David" w:hint="cs"/>
        <w:b/>
        <w:bCs/>
        <w:color w:val="0066CC"/>
        <w:sz w:val="20"/>
        <w:szCs w:val="20"/>
        <w:rtl/>
      </w:rPr>
      <w:t xml:space="preserve">    </w:t>
    </w:r>
    <w:r w:rsidRPr="005E06AB">
      <w:rPr>
        <w:rFonts w:ascii="Perpetua" w:hAnsi="Perpetua" w:cs="David Transparent"/>
        <w:b/>
        <w:bCs/>
        <w:color w:val="0066CC"/>
        <w:sz w:val="20"/>
        <w:szCs w:val="20"/>
      </w:rPr>
      <w:t xml:space="preserve">REBEKA AHARONI </w:t>
    </w:r>
    <w:r w:rsidRPr="005E06AB">
      <w:rPr>
        <w:rFonts w:ascii="Perpetua" w:hAnsi="Perpetua" w:cs="David Transparent"/>
        <w:b/>
        <w:bCs/>
        <w:color w:val="0066CC"/>
        <w:sz w:val="18"/>
        <w:szCs w:val="18"/>
      </w:rPr>
      <w:t>, HEAD OF POLICY</w:t>
    </w:r>
    <w:r>
      <w:rPr>
        <w:rFonts w:ascii="Perpetua" w:hAnsi="Perpetua" w:cs="David Transparent"/>
        <w:b/>
        <w:bCs/>
        <w:color w:val="0066CC"/>
        <w:sz w:val="18"/>
        <w:szCs w:val="18"/>
      </w:rPr>
      <w:t xml:space="preserve"> AND STRATEGIC PLANNING DIVISIO                       </w:t>
    </w:r>
  </w:p>
  <w:p w:rsidR="00FA1347" w:rsidRPr="005E06AB" w:rsidRDefault="006764F3" w:rsidP="00FA1347">
    <w:pPr>
      <w:tabs>
        <w:tab w:val="left" w:pos="3204"/>
        <w:tab w:val="center" w:pos="4465"/>
      </w:tabs>
      <w:rPr>
        <w:rFonts w:ascii="Arial Narrow" w:hAnsi="Arial Narrow" w:cs="David"/>
        <w:b/>
        <w:bCs/>
        <w:color w:val="0066CC"/>
        <w:sz w:val="20"/>
        <w:szCs w:val="20"/>
        <w:rtl/>
      </w:rPr>
    </w:pPr>
  </w:p>
  <w:p w:rsidR="00FA1347" w:rsidRPr="005E06AB" w:rsidRDefault="00940DDA" w:rsidP="005E06AB">
    <w:pPr>
      <w:tabs>
        <w:tab w:val="left" w:pos="3204"/>
        <w:tab w:val="center" w:pos="4465"/>
      </w:tabs>
      <w:ind w:left="-951" w:firstLine="284"/>
      <w:rPr>
        <w:rFonts w:ascii="Arial Narrow" w:hAnsi="Arial Narrow" w:cs="David"/>
        <w:b/>
        <w:bCs/>
        <w:color w:val="0066CC"/>
        <w:sz w:val="20"/>
        <w:szCs w:val="20"/>
        <w:rtl/>
      </w:rPr>
    </w:pPr>
    <w:r>
      <w:rPr>
        <w:rFonts w:ascii="Arial Narrow" w:hAnsi="Arial Narrow" w:cs="David" w:hint="cs"/>
        <w:b/>
        <w:bCs/>
        <w:color w:val="0066CC"/>
        <w:sz w:val="20"/>
        <w:szCs w:val="20"/>
      </w:rPr>
      <w:t xml:space="preserve">  </w:t>
    </w:r>
    <w:r w:rsidRPr="00FB107F">
      <w:rPr>
        <w:rFonts w:ascii="Arial Narrow" w:hAnsi="Arial Narrow" w:cs="David" w:hint="cs"/>
        <w:b/>
        <w:bCs/>
        <w:color w:val="0066CC"/>
        <w:sz w:val="22"/>
        <w:szCs w:val="22"/>
        <w:rtl/>
      </w:rPr>
      <w:t>רשות האכיפה והגבייה</w:t>
    </w:r>
    <w:r w:rsidRPr="00FB107F">
      <w:rPr>
        <w:rFonts w:ascii="Arial Narrow" w:hAnsi="Arial Narrow" w:cs="David" w:hint="cs"/>
        <w:b/>
        <w:bCs/>
        <w:color w:val="0066CC"/>
        <w:sz w:val="22"/>
        <w:szCs w:val="22"/>
      </w:rPr>
      <w:t xml:space="preserve">  </w:t>
    </w:r>
    <w:r w:rsidRPr="00FB107F">
      <w:rPr>
        <w:rFonts w:ascii="Arial Narrow" w:hAnsi="Arial Narrow" w:cs="David"/>
        <w:b/>
        <w:bCs/>
        <w:color w:val="0066CC"/>
        <w:sz w:val="22"/>
        <w:szCs w:val="22"/>
      </w:rPr>
      <w:t xml:space="preserve">        </w:t>
    </w:r>
    <w:r w:rsidRPr="00FB107F">
      <w:rPr>
        <w:rFonts w:ascii="Arial Narrow" w:hAnsi="Arial Narrow" w:cs="David" w:hint="cs"/>
        <w:b/>
        <w:bCs/>
        <w:color w:val="0066CC"/>
        <w:sz w:val="22"/>
        <w:szCs w:val="22"/>
      </w:rPr>
      <w:t xml:space="preserve">   </w:t>
    </w:r>
    <w:r w:rsidRPr="00FB107F">
      <w:rPr>
        <w:rFonts w:ascii="Arial Narrow" w:hAnsi="Arial Narrow" w:cs="David"/>
        <w:b/>
        <w:bCs/>
        <w:color w:val="0066CC"/>
        <w:sz w:val="22"/>
        <w:szCs w:val="22"/>
      </w:rPr>
      <w:t xml:space="preserve">    </w:t>
    </w:r>
    <w:r w:rsidRPr="00FB107F">
      <w:rPr>
        <w:rFonts w:ascii="Arial Narrow" w:hAnsi="Arial Narrow" w:cs="David" w:hint="cs"/>
        <w:b/>
        <w:bCs/>
        <w:color w:val="0066CC"/>
        <w:sz w:val="22"/>
        <w:szCs w:val="22"/>
      </w:rPr>
      <w:t xml:space="preserve">           </w:t>
    </w:r>
    <w:r>
      <w:rPr>
        <w:rFonts w:ascii="Arial Narrow" w:hAnsi="Arial Narrow" w:cs="David" w:hint="cs"/>
        <w:b/>
        <w:bCs/>
        <w:color w:val="0066CC"/>
        <w:sz w:val="22"/>
        <w:szCs w:val="22"/>
      </w:rPr>
      <w:t xml:space="preserve">                        </w:t>
    </w:r>
    <w:r>
      <w:rPr>
        <w:rFonts w:ascii="Arial Narrow" w:hAnsi="Arial Narrow" w:cs="David"/>
        <w:b/>
        <w:bCs/>
        <w:color w:val="0066CC"/>
        <w:sz w:val="22"/>
        <w:szCs w:val="22"/>
      </w:rPr>
      <w:t xml:space="preserve">         </w:t>
    </w:r>
    <w:r w:rsidRPr="00FB107F">
      <w:rPr>
        <w:rFonts w:ascii="Arial Narrow" w:hAnsi="Arial Narrow" w:cs="David" w:hint="cs"/>
        <w:b/>
        <w:bCs/>
        <w:color w:val="0066CC"/>
        <w:sz w:val="22"/>
        <w:szCs w:val="22"/>
      </w:rPr>
      <w:t xml:space="preserve">              </w:t>
    </w:r>
    <w:r w:rsidRPr="00FB107F">
      <w:rPr>
        <w:rFonts w:ascii="Arial Narrow" w:hAnsi="Arial Narrow" w:cs="David" w:hint="cs"/>
        <w:b/>
        <w:bCs/>
        <w:color w:val="0066CC"/>
        <w:sz w:val="22"/>
        <w:szCs w:val="22"/>
        <w:rtl/>
      </w:rPr>
      <w:t xml:space="preserve">  </w:t>
    </w:r>
    <w:r>
      <w:rPr>
        <w:rFonts w:ascii="Perpetua" w:hAnsi="Perpetua" w:cs="David Transparent" w:hint="cs"/>
        <w:b/>
        <w:bCs/>
        <w:color w:val="0066CC"/>
        <w:sz w:val="20"/>
        <w:szCs w:val="20"/>
        <w:rtl/>
      </w:rPr>
      <w:t xml:space="preserve">  </w:t>
    </w:r>
    <w:r w:rsidRPr="00FB107F">
      <w:rPr>
        <w:rFonts w:ascii="Perpetua" w:hAnsi="Perpetua" w:cs="David Transparent" w:hint="cs"/>
        <w:b/>
        <w:bCs/>
        <w:color w:val="0066CC"/>
        <w:sz w:val="20"/>
        <w:szCs w:val="20"/>
        <w:rtl/>
      </w:rPr>
      <w:t xml:space="preserve">  </w:t>
    </w:r>
    <w:r w:rsidRPr="00FB107F">
      <w:rPr>
        <w:rFonts w:ascii="Perpetua" w:hAnsi="Perpetua" w:cs="David Transparent" w:hint="cs"/>
        <w:b/>
        <w:bCs/>
        <w:color w:val="0066CC"/>
        <w:sz w:val="20"/>
        <w:szCs w:val="20"/>
      </w:rPr>
      <w:t xml:space="preserve"> </w:t>
    </w:r>
    <w:r w:rsidRPr="005E06AB">
      <w:rPr>
        <w:rFonts w:ascii="Perpetua" w:hAnsi="Perpetua" w:cs="David Transparent"/>
        <w:b/>
        <w:bCs/>
        <w:color w:val="0066CC"/>
        <w:sz w:val="20"/>
        <w:szCs w:val="20"/>
      </w:rPr>
      <w:t>ENFORCEMENT AND COLLECTION AUTHORITY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B72F8"/>
    <w:multiLevelType w:val="hybridMultilevel"/>
    <w:tmpl w:val="796E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A"/>
    <w:rsid w:val="001C5C81"/>
    <w:rsid w:val="006764F3"/>
    <w:rsid w:val="008A33C3"/>
    <w:rsid w:val="00940DDA"/>
    <w:rsid w:val="00D54BBA"/>
    <w:rsid w:val="00D81C6B"/>
    <w:rsid w:val="00EE4F20"/>
    <w:rsid w:val="00F14900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D7165-3B0B-4E54-A93A-BA742CCC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D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940D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40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rsid w:val="00940DD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40DDA"/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a5">
    <w:name w:val="List Paragraph"/>
    <w:basedOn w:val="a"/>
    <w:link w:val="a6"/>
    <w:uiPriority w:val="34"/>
    <w:qFormat/>
    <w:rsid w:val="00940DD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פיסקת רשימה תו"/>
    <w:link w:val="a5"/>
    <w:uiPriority w:val="34"/>
    <w:locked/>
    <w:rsid w:val="00940DDA"/>
    <w:rPr>
      <w:rFonts w:ascii="Calibri" w:eastAsia="Calibri" w:hAnsi="Calibri" w:cs="Calibri"/>
    </w:rPr>
  </w:style>
  <w:style w:type="character" w:styleId="Hyperlink">
    <w:name w:val="Hyperlink"/>
    <w:basedOn w:val="a0"/>
    <w:uiPriority w:val="99"/>
    <w:unhideWhenUsed/>
    <w:rsid w:val="00940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ag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ED8A.725185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דקלה ברלי</dc:creator>
  <cp:keywords/>
  <dc:description/>
  <cp:lastModifiedBy>רבקה אהרוני</cp:lastModifiedBy>
  <cp:revision>2</cp:revision>
  <dcterms:created xsi:type="dcterms:W3CDTF">2018-01-15T15:50:00Z</dcterms:created>
  <dcterms:modified xsi:type="dcterms:W3CDTF">2018-01-15T15:50:00Z</dcterms:modified>
</cp:coreProperties>
</file>