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03" w:rsidRDefault="00845003" w:rsidP="00845003">
      <w:pPr>
        <w:jc w:val="center"/>
        <w:rPr>
          <w:rFonts w:cs="David"/>
          <w:bCs/>
          <w:szCs w:val="28"/>
          <w:rtl/>
        </w:rPr>
      </w:pPr>
      <w:r>
        <w:rPr>
          <w:rFonts w:cs="David" w:hint="cs"/>
          <w:bCs/>
          <w:szCs w:val="28"/>
          <w:rtl/>
        </w:rPr>
        <w:t>שרותי בריאות הנפש</w:t>
      </w:r>
    </w:p>
    <w:p w:rsidR="00845003" w:rsidRDefault="00845003" w:rsidP="00845003">
      <w:pPr>
        <w:jc w:val="center"/>
        <w:rPr>
          <w:rFonts w:cs="David"/>
          <w:bCs/>
          <w:szCs w:val="36"/>
          <w:rtl/>
        </w:rPr>
      </w:pPr>
      <w:r>
        <w:rPr>
          <w:rFonts w:cs="David" w:hint="cs"/>
          <w:bCs/>
          <w:szCs w:val="36"/>
          <w:rtl/>
        </w:rPr>
        <w:t>לשכת הפסיכיאטר המחוזי</w:t>
      </w:r>
    </w:p>
    <w:p w:rsidR="00845003" w:rsidRDefault="00845003" w:rsidP="00845003">
      <w:pPr>
        <w:jc w:val="center"/>
        <w:rPr>
          <w:rFonts w:cs="David"/>
          <w:bCs/>
          <w:szCs w:val="36"/>
          <w:rtl/>
        </w:rPr>
      </w:pPr>
    </w:p>
    <w:p w:rsidR="00845003" w:rsidRDefault="00845003" w:rsidP="00A60292">
      <w:pPr>
        <w:jc w:val="center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 דוח בקרה מתוכננת בבית חולים פסיכיאטרי </w:t>
      </w:r>
    </w:p>
    <w:p w:rsidR="00845003" w:rsidRDefault="00845003" w:rsidP="00845003">
      <w:pPr>
        <w:jc w:val="center"/>
        <w:rPr>
          <w:rFonts w:cs="David"/>
          <w:szCs w:val="28"/>
          <w:rtl/>
        </w:rPr>
      </w:pPr>
    </w:p>
    <w:p w:rsidR="00845003" w:rsidRDefault="00845003" w:rsidP="00845003">
      <w:pPr>
        <w:jc w:val="center"/>
        <w:rPr>
          <w:rFonts w:cs="David"/>
          <w:bCs/>
          <w:szCs w:val="28"/>
          <w:rtl/>
        </w:rPr>
      </w:pPr>
      <w:r>
        <w:rPr>
          <w:rFonts w:cs="David" w:hint="cs"/>
          <w:bCs/>
          <w:szCs w:val="28"/>
          <w:rtl/>
        </w:rPr>
        <w:t>סיכום הממצאים</w:t>
      </w:r>
    </w:p>
    <w:p w:rsidR="00845003" w:rsidRDefault="00845003" w:rsidP="00845003">
      <w:pPr>
        <w:jc w:val="center"/>
        <w:rPr>
          <w:rFonts w:cs="David"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</w:tblGrid>
      <w:tr w:rsidR="00845003" w:rsidTr="008450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50" w:rsidRPr="0065452F" w:rsidRDefault="00845003" w:rsidP="00357F50">
            <w:pPr>
              <w:rPr>
                <w:rFonts w:cs="David"/>
                <w:bCs/>
                <w:szCs w:val="28"/>
                <w:rtl/>
              </w:rPr>
            </w:pPr>
            <w:r w:rsidRPr="0065452F">
              <w:rPr>
                <w:rFonts w:cs="David" w:hint="cs"/>
                <w:b/>
                <w:szCs w:val="28"/>
                <w:rtl/>
              </w:rPr>
              <w:t>- שם היחידה</w:t>
            </w:r>
            <w:r w:rsidR="00F33C90" w:rsidRPr="0065452F">
              <w:rPr>
                <w:rFonts w:cs="David" w:hint="cs"/>
                <w:bCs/>
                <w:szCs w:val="28"/>
                <w:rtl/>
              </w:rPr>
              <w:t>:</w:t>
            </w:r>
            <w:r w:rsidRPr="0065452F">
              <w:rPr>
                <w:rFonts w:cs="David" w:hint="cs"/>
                <w:bCs/>
                <w:szCs w:val="28"/>
                <w:rtl/>
              </w:rPr>
              <w:t xml:space="preserve"> </w:t>
            </w:r>
            <w:r w:rsidR="00F33C90" w:rsidRPr="0065452F">
              <w:rPr>
                <w:rFonts w:cs="David" w:hint="cs"/>
                <w:bCs/>
                <w:szCs w:val="28"/>
                <w:rtl/>
              </w:rPr>
              <w:t>לב השרון</w:t>
            </w:r>
            <w:r w:rsidR="00A60292" w:rsidRPr="0065452F">
              <w:rPr>
                <w:rFonts w:cs="David" w:hint="cs"/>
                <w:bCs/>
                <w:szCs w:val="28"/>
                <w:rtl/>
              </w:rPr>
              <w:t xml:space="preserve">, מחלקה </w:t>
            </w:r>
            <w:proofErr w:type="spellStart"/>
            <w:r w:rsidR="00A60292" w:rsidRPr="0065452F">
              <w:rPr>
                <w:rFonts w:cs="David" w:hint="cs"/>
                <w:bCs/>
                <w:szCs w:val="28"/>
                <w:rtl/>
              </w:rPr>
              <w:t>פסיכוגריאטרית</w:t>
            </w:r>
            <w:proofErr w:type="spellEnd"/>
          </w:p>
          <w:p w:rsidR="00357F50" w:rsidRPr="0065452F" w:rsidRDefault="00357F50" w:rsidP="00357F50">
            <w:pPr>
              <w:rPr>
                <w:rFonts w:cs="David"/>
                <w:bCs/>
                <w:szCs w:val="28"/>
                <w:rtl/>
              </w:rPr>
            </w:pPr>
            <w:r w:rsidRPr="0065452F">
              <w:rPr>
                <w:rFonts w:cs="David" w:hint="cs"/>
                <w:b/>
                <w:szCs w:val="28"/>
                <w:rtl/>
              </w:rPr>
              <w:t xml:space="preserve">- </w:t>
            </w:r>
            <w:r w:rsidR="00845003" w:rsidRPr="0065452F">
              <w:rPr>
                <w:rFonts w:cs="David" w:hint="cs"/>
                <w:b/>
                <w:szCs w:val="28"/>
                <w:rtl/>
              </w:rPr>
              <w:t>תאריך עריכת המבדק</w:t>
            </w:r>
            <w:r w:rsidR="00845003" w:rsidRPr="0065452F">
              <w:rPr>
                <w:rFonts w:cs="David" w:hint="cs"/>
                <w:bCs/>
                <w:szCs w:val="28"/>
                <w:rtl/>
              </w:rPr>
              <w:t xml:space="preserve"> </w:t>
            </w:r>
            <w:r w:rsidR="00F33C90" w:rsidRPr="0065452F">
              <w:rPr>
                <w:rFonts w:cs="David"/>
                <w:bCs/>
                <w:szCs w:val="28"/>
                <w:rtl/>
              </w:rPr>
              <w:t>–</w:t>
            </w:r>
            <w:r w:rsidR="00845003" w:rsidRPr="0065452F">
              <w:rPr>
                <w:rFonts w:cs="David" w:hint="cs"/>
                <w:bCs/>
                <w:szCs w:val="28"/>
                <w:rtl/>
              </w:rPr>
              <w:t xml:space="preserve"> </w:t>
            </w:r>
            <w:r w:rsidR="00F33C90" w:rsidRPr="0065452F">
              <w:rPr>
                <w:rFonts w:cs="David" w:hint="cs"/>
                <w:bCs/>
                <w:szCs w:val="28"/>
                <w:rtl/>
              </w:rPr>
              <w:t>6/6/16</w:t>
            </w:r>
          </w:p>
          <w:p w:rsidR="00357F50" w:rsidRPr="0065452F" w:rsidRDefault="00357F50" w:rsidP="00357F50">
            <w:pPr>
              <w:rPr>
                <w:rFonts w:cs="David"/>
                <w:bCs/>
                <w:szCs w:val="28"/>
                <w:rtl/>
              </w:rPr>
            </w:pPr>
            <w:r w:rsidRPr="0065452F">
              <w:rPr>
                <w:rFonts w:cs="David" w:hint="cs"/>
                <w:b/>
                <w:szCs w:val="28"/>
                <w:rtl/>
              </w:rPr>
              <w:t>- ש</w:t>
            </w:r>
            <w:r w:rsidR="00845003" w:rsidRPr="0065452F">
              <w:rPr>
                <w:rFonts w:cs="David" w:hint="cs"/>
                <w:b/>
                <w:szCs w:val="28"/>
                <w:rtl/>
              </w:rPr>
              <w:t>ם ראש צוות הבקרה</w:t>
            </w:r>
            <w:r w:rsidR="00845003" w:rsidRPr="0065452F">
              <w:rPr>
                <w:rFonts w:cs="David" w:hint="cs"/>
                <w:bCs/>
                <w:szCs w:val="28"/>
                <w:rtl/>
              </w:rPr>
              <w:t xml:space="preserve">: </w:t>
            </w:r>
            <w:r w:rsidR="00F33C90" w:rsidRPr="0065452F">
              <w:rPr>
                <w:rFonts w:cs="David" w:hint="cs"/>
                <w:bCs/>
                <w:szCs w:val="28"/>
                <w:rtl/>
              </w:rPr>
              <w:t>גב' רינה שמש</w:t>
            </w:r>
            <w:r w:rsidRPr="0065452F">
              <w:rPr>
                <w:rFonts w:cs="David" w:hint="cs"/>
                <w:bCs/>
                <w:szCs w:val="28"/>
                <w:rtl/>
              </w:rPr>
              <w:t>.</w:t>
            </w:r>
          </w:p>
          <w:p w:rsidR="00845003" w:rsidRDefault="00357F50" w:rsidP="00357F50">
            <w:pPr>
              <w:rPr>
                <w:rFonts w:cs="David"/>
                <w:bCs/>
                <w:szCs w:val="28"/>
              </w:rPr>
            </w:pPr>
            <w:r w:rsidRPr="0065452F">
              <w:rPr>
                <w:rFonts w:cs="David" w:hint="cs"/>
                <w:b/>
                <w:szCs w:val="28"/>
                <w:rtl/>
              </w:rPr>
              <w:t>- ש</w:t>
            </w:r>
            <w:r w:rsidR="00845003" w:rsidRPr="0065452F">
              <w:rPr>
                <w:rFonts w:cs="David" w:hint="cs"/>
                <w:b/>
                <w:szCs w:val="28"/>
                <w:rtl/>
              </w:rPr>
              <w:t>ם המשתתפים בבקרה</w:t>
            </w:r>
            <w:r w:rsidR="00845003">
              <w:rPr>
                <w:rFonts w:cs="David" w:hint="cs"/>
                <w:bCs/>
                <w:szCs w:val="28"/>
                <w:rtl/>
              </w:rPr>
              <w:t>:</w:t>
            </w:r>
            <w:r w:rsidR="00A60292">
              <w:rPr>
                <w:rFonts w:cs="David" w:hint="cs"/>
                <w:bCs/>
                <w:szCs w:val="28"/>
                <w:rtl/>
              </w:rPr>
              <w:t xml:space="preserve"> </w:t>
            </w:r>
            <w:r w:rsidR="00F33C90">
              <w:rPr>
                <w:rFonts w:cs="David" w:hint="cs"/>
                <w:bCs/>
                <w:szCs w:val="28"/>
                <w:rtl/>
              </w:rPr>
              <w:t xml:space="preserve">ד"ר עדינה </w:t>
            </w:r>
            <w:r>
              <w:rPr>
                <w:rFonts w:cs="David" w:hint="cs"/>
                <w:bCs/>
                <w:szCs w:val="28"/>
                <w:rtl/>
              </w:rPr>
              <w:t>א</w:t>
            </w:r>
            <w:r w:rsidR="00F33C90">
              <w:rPr>
                <w:rFonts w:cs="David" w:hint="cs"/>
                <w:bCs/>
                <w:szCs w:val="28"/>
                <w:rtl/>
              </w:rPr>
              <w:t>דר, תומר לוי, פטריסיה זרזקי בן עמי</w:t>
            </w:r>
            <w:r w:rsidRPr="00357F50">
              <w:rPr>
                <w:rFonts w:cs="David" w:hint="cs"/>
                <w:bCs/>
                <w:szCs w:val="28"/>
                <w:rtl/>
              </w:rPr>
              <w:t>.</w:t>
            </w:r>
          </w:p>
        </w:tc>
      </w:tr>
    </w:tbl>
    <w:p w:rsidR="00845003" w:rsidRDefault="00845003" w:rsidP="00845003">
      <w:pPr>
        <w:jc w:val="center"/>
        <w:rPr>
          <w:rFonts w:cs="David"/>
          <w:bCs/>
          <w:szCs w:val="28"/>
          <w:rtl/>
        </w:rPr>
      </w:pPr>
    </w:p>
    <w:p w:rsidR="00AD730B" w:rsidRDefault="00AD730B" w:rsidP="00845003">
      <w:pPr>
        <w:jc w:val="center"/>
        <w:rPr>
          <w:rFonts w:cs="David"/>
          <w:bCs/>
          <w:szCs w:val="28"/>
          <w:rtl/>
        </w:rPr>
      </w:pPr>
      <w:bookmarkStart w:id="0" w:name="_GoBack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704"/>
        <w:gridCol w:w="1704"/>
        <w:gridCol w:w="800"/>
        <w:gridCol w:w="3180"/>
      </w:tblGrid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33C90" w:rsidRPr="00AD730B" w:rsidRDefault="00F33C90">
            <w:pPr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#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שאלה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סולם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הערות</w:t>
            </w: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 w:rsidP="00F33C90">
            <w:pPr>
              <w:rPr>
                <w:rFonts w:cs="David"/>
                <w:bCs/>
              </w:rPr>
            </w:pPr>
            <w:r w:rsidRPr="00AD730B">
              <w:rPr>
                <w:rFonts w:cs="David" w:hint="cs"/>
                <w:bCs/>
                <w:sz w:val="28"/>
                <w:szCs w:val="28"/>
                <w:rtl/>
              </w:rPr>
              <w:t>זכויות המטופל</w:t>
            </w: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כרזה עם זכויות חולים המוצגת במקום בולט ונוח לגישה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033238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  <w:p w:rsidR="00F33C90" w:rsidRPr="00AD730B" w:rsidRDefault="00F33C90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כרזה עם מידע על שעות פעילות היחידה ולאן לפנות בעת חירום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עובדי היחידה עונדים תגי זיהוי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F33C90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קיים רישום מפורט על פניות ותלונות מטופלים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>
            <w:pPr>
              <w:rPr>
                <w:rFonts w:cs="David"/>
              </w:rPr>
            </w:pP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למטופלים נגישות לפרטים אודות פסיכיאטר מחוזי, ראש השירות ונציב קבילות הציבור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AD730B" w:rsidRDefault="00033238">
            <w:pPr>
              <w:rPr>
                <w:rFonts w:cs="David"/>
              </w:rPr>
            </w:pP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טלפון ציבורי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AD730B" w:rsidRDefault="00033238">
            <w:pPr>
              <w:rPr>
                <w:rFonts w:cs="David"/>
              </w:rPr>
            </w:pP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אספקת בגדים אישיים לדיירים, המתאימה לכל עונות השנה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בהתאם לצורך</w:t>
            </w: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נשמרים כללי הדת ואפשרות לשמירת שבת ומועדי ישראל (אפשרות למנהגי דת אחרים לפי הצורך)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AD730B" w:rsidRDefault="00033238">
            <w:pPr>
              <w:rPr>
                <w:rFonts w:cs="David"/>
              </w:rPr>
            </w:pP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בקרה על הוצאות והכנסות כספים או דברי ערך אשר הופקדו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AD730B" w:rsidRDefault="00033238">
            <w:pPr>
              <w:rPr>
                <w:rFonts w:cs="David"/>
              </w:rPr>
            </w:pPr>
          </w:p>
        </w:tc>
      </w:tr>
      <w:tr w:rsidR="00033238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תיבה ייעודית לתלונות ופניות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38" w:rsidRPr="00AD730B" w:rsidRDefault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38" w:rsidRPr="00AD730B" w:rsidRDefault="00033238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מבנה ותנאים פיזיים</w:t>
            </w: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צרכי שינה  לכל מטופל (מזרון חסין אש, כרית, סדין, שמיכה, ציפית,  שמיכת צמר)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ריהוט אישי לכל מטופל (כיסא , ארונית אישית, אפשרות לאחסון חפצים אישיים, תמונות וכדומה)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חולה המאושפז למעלה משנה נמצא בחדר בו עד- 4 חולים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 w:rsidP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לכל מטופל 5.5 מטר בחדר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 w:rsidP="00033238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כן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המבנה תקין באופן כללי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החלונות בחדר תקינים: ניתנים לסגירה/פתיחה, פונים החוצה עם סידורי הצללה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  <w:p w:rsidR="00D45111" w:rsidRPr="00AD730B" w:rsidRDefault="00D45111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תאורה מתאימה (כולל תאורת חירום)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lastRenderedPageBreak/>
              <w:t>19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ניקיון סביר במחלקה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פעמון מצוקה תקין וממוקם במקום נגיש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במחלקה לא יותר מ- 36 מאושפזים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D4511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קיים מיזוג אוויר לחימום וקירור</w:t>
            </w:r>
          </w:p>
          <w:p w:rsidR="00A60292" w:rsidRPr="00AD730B" w:rsidRDefault="00A60292">
            <w:pPr>
              <w:rPr>
                <w:rFonts w:cs="David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11" w:rsidRPr="00AD730B" w:rsidRDefault="00D4511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1" w:rsidRPr="00AD730B" w:rsidRDefault="00D45111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2" w:rsidRPr="00AD730B" w:rsidRDefault="00845003" w:rsidP="00A60292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טיפול ורישום</w:t>
            </w: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חולים שנתקבלו לאשפוז במחלקה או הועברו למחלקה אחרת, נבדקים בידי רופא המחלקה המקבלת בדיקה גופנית ונפשית.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F33C90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קיימות הוראות בדבר שימוש באמצעי הגבלה או כפיה חתומות על ידי רופא בפנקס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357F5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 </w:t>
            </w:r>
            <w:r w:rsidR="00357F50" w:rsidRPr="00AD730B">
              <w:rPr>
                <w:rFonts w:cs="David" w:hint="cs"/>
                <w:rtl/>
              </w:rPr>
              <w:t>במקרה אחד נמצאה אי התאמה בין שעת הקשירה לבין שעת הבדיקה הרפואית</w:t>
            </w: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רשימת החולים לגביהם ניתנו הוראות בדבר הסתכלות, השגחה ואמצעי הכפייה ברשומות הסיעוד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  <w:p w:rsidR="00F33C90" w:rsidRPr="00AD730B" w:rsidRDefault="00F33C90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>
            <w:pPr>
              <w:rPr>
                <w:rFonts w:cs="David"/>
                <w:rtl/>
              </w:rPr>
            </w:pPr>
          </w:p>
          <w:p w:rsidR="00F33C90" w:rsidRPr="00AD730B" w:rsidRDefault="00F33C90">
            <w:pPr>
              <w:rPr>
                <w:rFonts w:cs="David"/>
                <w:rtl/>
              </w:rPr>
            </w:pPr>
          </w:p>
          <w:p w:rsidR="00F33C90" w:rsidRPr="00AD730B" w:rsidRDefault="00F33C90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 w:rsidP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בידוד חולה בחדר ייעודי עם הסדרי בטיחות מתאימים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 w:rsidP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לא רלוונטי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 w:rsidP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אין חדרי בידוד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החולים הזקוקים לקשירה למיטה, לפי הוראות הרופא, בשתיים או יותר מגפיהם, ייקשרו רק בחדר מיוחד המיועד לכך.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 w:rsidP="007411A2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תיעוד מצבו  של החולה הקשור אחת לחצי שעה לפחות על ידי הצוות הסיעודי.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נהלי חדר קשירה</w:t>
            </w: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29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קיימות לא יותר משלוש מיטות קשירה בחדר</w:t>
            </w:r>
            <w:r w:rsidR="00F629A9" w:rsidRPr="00AD730B">
              <w:rPr>
                <w:rFonts w:cs="David" w:hint="cs"/>
                <w:rtl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1" w:rsidRPr="00AD730B" w:rsidRDefault="00B31831" w:rsidP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שתי מיטות בחדר. וילון/ פרגוד מפריד ביניה</w:t>
            </w:r>
            <w:r w:rsidRPr="00AD730B">
              <w:rPr>
                <w:rFonts w:cs="David" w:hint="eastAsia"/>
                <w:rtl/>
              </w:rPr>
              <w:t>ם</w:t>
            </w:r>
            <w:r w:rsidRPr="00AD730B">
              <w:rPr>
                <w:rFonts w:cs="David" w:hint="cs"/>
                <w:rtl/>
              </w:rPr>
              <w:t xml:space="preserve">. </w:t>
            </w: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מזרן חסין אש בכל מיטה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 w:rsidP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גלאי עשן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 w:rsidP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מערכת אוורור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1" w:rsidRPr="00AD730B" w:rsidRDefault="00B31831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ריהוט הכרחי בלבד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לא</w:t>
            </w:r>
          </w:p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 w:rsidP="000F3BEC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ציור קיר מקש</w:t>
            </w:r>
            <w:r w:rsidR="000F3BEC" w:rsidRPr="00AD730B">
              <w:rPr>
                <w:rFonts w:cs="David" w:hint="cs"/>
                <w:rtl/>
              </w:rPr>
              <w:t>ט</w:t>
            </w:r>
            <w:r w:rsidRPr="00AD730B">
              <w:rPr>
                <w:rFonts w:cs="David" w:hint="cs"/>
                <w:rtl/>
              </w:rPr>
              <w:t xml:space="preserve"> את החדר. כמו כן ישנו שעון. לשמר!</w:t>
            </w:r>
          </w:p>
          <w:p w:rsidR="00D37FDD" w:rsidRPr="00AD730B" w:rsidRDefault="00D37FDD" w:rsidP="000F3BEC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בעת הבקרה נמצאו בחדר עגלה ניידת כסאות  ומוט עם וילון. לדברי הצוות בעת קשירה העגלה </w:t>
            </w:r>
            <w:r w:rsidR="005B6CB1" w:rsidRPr="00AD730B">
              <w:rPr>
                <w:rFonts w:cs="David" w:hint="cs"/>
                <w:rtl/>
              </w:rPr>
              <w:t>והכיסאו</w:t>
            </w:r>
            <w:r w:rsidR="005B6CB1" w:rsidRPr="00AD730B">
              <w:rPr>
                <w:rFonts w:cs="David" w:hint="eastAsia"/>
                <w:rtl/>
              </w:rPr>
              <w:t>ת</w:t>
            </w:r>
            <w:r w:rsidRPr="00AD730B">
              <w:rPr>
                <w:rFonts w:cs="David" w:hint="cs"/>
                <w:rtl/>
              </w:rPr>
              <w:t xml:space="preserve"> מוצא</w:t>
            </w:r>
            <w:r w:rsidR="000F3BEC" w:rsidRPr="00AD730B">
              <w:rPr>
                <w:rFonts w:cs="David" w:hint="cs"/>
                <w:rtl/>
              </w:rPr>
              <w:t xml:space="preserve">ים </w:t>
            </w:r>
            <w:r w:rsidRPr="00AD730B">
              <w:rPr>
                <w:rFonts w:cs="David" w:hint="cs"/>
                <w:rtl/>
              </w:rPr>
              <w:t>מהחדר.</w:t>
            </w:r>
            <w:r w:rsidR="005B6CB1" w:rsidRPr="00AD730B">
              <w:rPr>
                <w:rFonts w:cs="David" w:hint="cs"/>
                <w:rtl/>
              </w:rPr>
              <w:t xml:space="preserve"> </w:t>
            </w: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החדר נגיש ובטווח ראייה מתחנת אחות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יש מצלמות.</w:t>
            </w: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דלת הניתנת לנעילה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אמצעי קשירה תקניים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ספר קשירות תקני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נהלי חדר בידוד</w:t>
            </w: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חדר הבידוד קרוב לתחנת האחות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FDD" w:rsidRPr="00AD730B" w:rsidRDefault="00D37FDD" w:rsidP="00F629A9">
            <w:pPr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לא רלוונטי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39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בחדר הבידוד ישנה אפשרות לנעילת דלת הכניסה מבחוץ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B" w:rsidRPr="00AD730B" w:rsidRDefault="00D37FDD" w:rsidP="00AD730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בחדר הבידוד אין חומרים דליקים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בחדר הבידוד קיים גלאי עשן ובקרבתו </w:t>
            </w:r>
            <w:proofErr w:type="spellStart"/>
            <w:r w:rsidRPr="00AD730B">
              <w:rPr>
                <w:rFonts w:cs="David" w:hint="cs"/>
                <w:rtl/>
              </w:rPr>
              <w:t>ספרינקלר</w:t>
            </w:r>
            <w:proofErr w:type="spellEnd"/>
            <w:r w:rsidRPr="00AD730B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בחדר הבידוד יש אינטרקום דו-כיווני פתוח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0B" w:rsidRDefault="00D37FDD" w:rsidP="00AD730B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 xml:space="preserve">מתאפשר ליווי החולה בחדר הבידוד לשירותים אחת לשעתיים לפחות או </w:t>
            </w:r>
            <w:r w:rsidRPr="00AD730B">
              <w:rPr>
                <w:rFonts w:cs="David" w:hint="cs"/>
                <w:rtl/>
              </w:rPr>
              <w:lastRenderedPageBreak/>
              <w:t>בהתאם לצורך</w:t>
            </w:r>
          </w:p>
          <w:p w:rsidR="00AD730B" w:rsidRPr="00AD730B" w:rsidRDefault="00AD730B" w:rsidP="00AD730B">
            <w:pPr>
              <w:rPr>
                <w:rFonts w:cs="David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lastRenderedPageBreak/>
              <w:t>הטיפול השוטף</w:t>
            </w: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רחצת חולה על פי נוהל מקומי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קיום סדר יום וסדר שבועי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סידור של חלוקת מזון וטיפול בשאריות אוכל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D37FD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47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 w:rsidP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נוהל טיפול בפניות הציבור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DD" w:rsidRPr="00AD730B" w:rsidRDefault="00D37FD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D" w:rsidRPr="00AD730B" w:rsidRDefault="00D37FDD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בקרה סיעודית</w:t>
            </w: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תיעוד להכנת החולה ובני המשפחה לקראת שחרור מבית חולים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דיווח לגורמים המתאימים על היעדרות מטופל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תיעוד להנחיות של דיאטנית בתיק מטופל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תיעוד על רישום נפטר ועל הודעה על פטירה במהלך אשפוז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 w:rsidP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לא רלוונטי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AD730B">
              <w:rPr>
                <w:rFonts w:cs="David" w:hint="cs"/>
                <w:bCs/>
                <w:rtl/>
              </w:rPr>
              <w:t>ארון תרופות</w:t>
            </w: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ארון תרופות נעול ומאובטח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37219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חלק מהתרופות מאוכסנות מעל הארון ואינם נעולות. הארון  קטן מהאכיל את כמות התרופות שבשימוש במחלקה.</w:t>
            </w:r>
          </w:p>
        </w:tc>
      </w:tr>
      <w:tr w:rsidR="0037219B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9B" w:rsidRPr="00AD730B" w:rsidRDefault="0037219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9B" w:rsidRPr="00AD730B" w:rsidRDefault="0037219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התרופות מאוחסנות בנפרד על פי הנוהל הקיים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9B" w:rsidRPr="00AD730B" w:rsidRDefault="0037219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9B" w:rsidRPr="00AD730B" w:rsidRDefault="0037219B">
            <w:pPr>
              <w:rPr>
                <w:rFonts w:cs="David"/>
                <w:rtl/>
              </w:rPr>
            </w:pPr>
          </w:p>
          <w:p w:rsidR="00A60292" w:rsidRPr="00AD730B" w:rsidRDefault="00A60292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שעת חירום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סורגים בחלונות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פתחי מילוט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3" w:rsidRPr="00AD730B" w:rsidRDefault="00845003">
            <w:pPr>
              <w:rPr>
                <w:rFonts w:cs="David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03" w:rsidRPr="00AD730B" w:rsidRDefault="00845003">
            <w:pPr>
              <w:rPr>
                <w:rFonts w:cs="David"/>
              </w:rPr>
            </w:pPr>
          </w:p>
        </w:tc>
      </w:tr>
      <w:tr w:rsidR="007411A2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2" w:rsidRPr="00AD730B" w:rsidRDefault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2" w:rsidRPr="00AD730B" w:rsidRDefault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תיקייה מאובטחת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A2" w:rsidRPr="00AD730B" w:rsidRDefault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2" w:rsidRPr="00AD730B" w:rsidRDefault="007411A2">
            <w:pPr>
              <w:rPr>
                <w:rFonts w:cs="David"/>
              </w:rPr>
            </w:pPr>
          </w:p>
        </w:tc>
      </w:tr>
      <w:tr w:rsidR="00F33C90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59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הכניסה למבנה מאובטחת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90" w:rsidRPr="00AD730B" w:rsidRDefault="00F33C90" w:rsidP="00F33C90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90" w:rsidRPr="00AD730B" w:rsidRDefault="00F33C90">
            <w:pPr>
              <w:rPr>
                <w:rFonts w:cs="David"/>
              </w:rPr>
            </w:pP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עגלת החייאה תקנית: בלון חמצן מלא+  רישומי מעקב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  <w:p w:rsidR="00B31831" w:rsidRPr="00AD730B" w:rsidRDefault="00B31831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1" w:rsidRPr="00AD730B" w:rsidRDefault="00B31831" w:rsidP="0065452F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יש להחליף </w:t>
            </w:r>
            <w:r w:rsidR="0065452F">
              <w:rPr>
                <w:rFonts w:cs="David" w:hint="cs"/>
                <w:rtl/>
              </w:rPr>
              <w:t>סוללו</w:t>
            </w:r>
            <w:r w:rsidRPr="00AD730B">
              <w:rPr>
                <w:rFonts w:cs="David" w:hint="cs"/>
                <w:rtl/>
              </w:rPr>
              <w:t xml:space="preserve">ת </w:t>
            </w:r>
            <w:proofErr w:type="spellStart"/>
            <w:r w:rsidRPr="00AD730B">
              <w:rPr>
                <w:rFonts w:cs="David" w:hint="cs"/>
                <w:rtl/>
              </w:rPr>
              <w:t>ללרינגוסקופ</w:t>
            </w:r>
            <w:proofErr w:type="spellEnd"/>
            <w:r w:rsidRPr="00AD730B">
              <w:rPr>
                <w:rFonts w:cs="David" w:hint="cs"/>
                <w:rtl/>
              </w:rPr>
              <w:t>.</w:t>
            </w: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הצוות עבר עדכון בביצוע החייאה בשנתיים האחרונות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  <w:p w:rsidR="00B31831" w:rsidRPr="00AD730B" w:rsidRDefault="00B31831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1" w:rsidRPr="00AD730B" w:rsidRDefault="00B31831">
            <w:pPr>
              <w:rPr>
                <w:rFonts w:cs="David"/>
              </w:rPr>
            </w:pPr>
          </w:p>
        </w:tc>
      </w:tr>
      <w:tr w:rsidR="00B3183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אזהרה בתיק חולה וברשומות מחשב לגבי חולה המסכן את הצוות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31" w:rsidRPr="00AD730B" w:rsidRDefault="00B31831" w:rsidP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31" w:rsidRPr="00AD730B" w:rsidRDefault="00B31831" w:rsidP="00B3183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אין אזהרה בתיק הממוחשב. כן ברשימה ידנית </w:t>
            </w: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קיימות הנחיות כתובות לטיפול בחולים מסוכנים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הצוות מכיר את ההנחיות לטיפול בחולים מסוכנים ואלימים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5B6CB1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מקלט או חדר ביטחון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B1" w:rsidRPr="00AD730B" w:rsidRDefault="005B6CB1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1" w:rsidRPr="00AD730B" w:rsidRDefault="005B6CB1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ועדה פסיכיאטרית מחוזית</w:t>
            </w: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קיימת הפנייה לוועדה של מטופל להארכת הוראת אשפוז לפחות 24 שעות לפני תום ההוראה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1B0D" w:rsidRPr="00AD730B" w:rsidRDefault="00651B0D" w:rsidP="00651B0D">
            <w:pPr>
              <w:ind w:left="113" w:right="113"/>
              <w:jc w:val="center"/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לא נבדק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קיימת הפנייה לוועדה של מטופלים בצו לפחות אחת לששה חודשים (כולל בטיפול מרפאתי כפוי)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מכתב ההפניה חתום על ידי המנהל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69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במקרה של מטופלים עפ"י צו בית משפט- מצורף למכתב בתיק החולה כתב אישום והחלטת בימ"ש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מוקצה חדר ישיבות נאות ומרווח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lastRenderedPageBreak/>
              <w:t>71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בקבלה ובמהלך האשפוז/ הטיפול הובא לידיעת החולים המאושפזים בכפייה מידע הנוגע לאפשרותם לפנות לוועד</w:t>
            </w:r>
            <w:r w:rsidRPr="00AD730B">
              <w:rPr>
                <w:rFonts w:cs="David" w:hint="eastAsia"/>
                <w:rtl/>
              </w:rPr>
              <w:t>ה</w:t>
            </w:r>
            <w:r w:rsidRPr="00AD730B">
              <w:rPr>
                <w:rFonts w:cs="David" w:hint="cs"/>
                <w:rtl/>
              </w:rPr>
              <w:t xml:space="preserve"> הפסיכיאטרית המחוזית ודרכי הפנייה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קיים דוח הצוות המטפל על יידוע  את משפחת החולה, בהתאם לנסיבות, על מועד הדיון אליו הוזמן החולה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המטופלים מיודעים על זכותם להיות מיוצגים ע"י עו"ד מהסנגוריה הציבורית (לחולים בצו) או מהסיוע המשפטי (לחולים בהוראה)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B0D" w:rsidRPr="00AD730B" w:rsidRDefault="00651B0D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651B0D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B0D" w:rsidRPr="00AD730B" w:rsidRDefault="00651B0D">
            <w:pPr>
              <w:rPr>
                <w:rFonts w:cs="David"/>
                <w:color w:val="FF0000"/>
              </w:rPr>
            </w:pPr>
            <w:r w:rsidRPr="00AD730B">
              <w:rPr>
                <w:rFonts w:cs="David" w:hint="cs"/>
                <w:rtl/>
              </w:rPr>
              <w:t>קיים בסמוך לחדר הועדה חדר המיועד לפגישת החולה עם עורך הדין המייצג אותו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0D" w:rsidRPr="00AD730B" w:rsidRDefault="00651B0D">
            <w:pPr>
              <w:rPr>
                <w:rFonts w:cs="David"/>
              </w:rPr>
            </w:pP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AD730B">
              <w:br w:type="page"/>
            </w: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רישום ודיווח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נערך רישום מדויק בקבלת חולה  (כולל תאריך, תולדות חיים וסטטוס פסיכיאטרי, מצב גופני, התייחסות לתולדות העבר, דיון אבחנתי, אבחנה משוערת, תכנית טיפול, חתימת רופא בודק)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רישום תדיר בתיקי החולים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תכנית טיפול רשומה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התוכנית מעודכנת לפחות אחת לשבוע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נימוקים רשומים לשינוי בתרופות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79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מתועדים דיונים מקצועיים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הערכה תקופתית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 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בדיקה גופנית תקופתית מידי 6 חודשים לחולה המאושפז מעל 6 חודשם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בשחרור החולה ניתן מכתב שחרור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נכתב סיכום מחלה מלא בתוך שבוע משחרור המטופל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ניתן מכתב המלצה להמשך טיפול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טופס הפנייה להמשך טיפול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שיתוף המשפחה בתהליך השחרור</w:t>
            </w:r>
          </w:p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יש לראיין את עו"ס היחידה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יצירת קשר עם הגורם הקולט בקהילה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קשר עם החולה לאחר השחרור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 w:rsidP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 לא רלוונטי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89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מחברת אירועים חריגים מנוהלת באופן תקין</w:t>
            </w:r>
          </w:p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יש לבדוק את הטיפול ב- 3 טופסי אירועים חתומים אשר התרחשו בחודש האחרון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Default="00F629A9">
            <w:pPr>
              <w:rPr>
                <w:rFonts w:cs="David"/>
                <w:rtl/>
              </w:rPr>
            </w:pPr>
            <w:r w:rsidRPr="00AD730B">
              <w:rPr>
                <w:rFonts w:cs="David" w:hint="cs"/>
                <w:rtl/>
              </w:rPr>
              <w:t>קיים קובץ נהלים פנימיים, עם תאריך החלת הנוהל, קביעת אחראי לביצוע הנוהל וחתימת הגורם שקבע את הנוהל</w:t>
            </w:r>
          </w:p>
          <w:p w:rsidR="00D219AD" w:rsidRPr="00AD730B" w:rsidRDefault="00D219AD">
            <w:pPr>
              <w:rPr>
                <w:rFonts w:cs="David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lastRenderedPageBreak/>
              <w:t>91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תיעוד הוראות מיוחדות בספר הוראות כולל מעקב אחר ביצוען, וחתימות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 w:rsidP="007411A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תקנות טיפול בחולי נפש </w:t>
            </w:r>
            <w:proofErr w:type="spellStart"/>
            <w:r w:rsidRPr="00AD730B">
              <w:rPr>
                <w:rFonts w:cs="David" w:hint="cs"/>
                <w:rtl/>
              </w:rPr>
              <w:t>התשנ"ב</w:t>
            </w:r>
            <w:proofErr w:type="spellEnd"/>
            <w:r w:rsidRPr="00AD730B">
              <w:rPr>
                <w:rFonts w:cs="David" w:hint="cs"/>
                <w:rtl/>
              </w:rPr>
              <w:t xml:space="preserve"> 1992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המראה החיצוני של החולים סביר ללא סימני אלימות</w:t>
            </w:r>
          </w:p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כל חשד לפגיעה בחסרי ישע חייב בדיווח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חוק העונשין </w:t>
            </w:r>
            <w:proofErr w:type="spellStart"/>
            <w:r w:rsidRPr="00AD730B">
              <w:rPr>
                <w:rFonts w:cs="David" w:hint="cs"/>
                <w:rtl/>
              </w:rPr>
              <w:t>התשל"ז</w:t>
            </w:r>
            <w:proofErr w:type="spellEnd"/>
            <w:r w:rsidRPr="00AD730B">
              <w:rPr>
                <w:rFonts w:cs="David" w:hint="cs"/>
                <w:rtl/>
              </w:rPr>
              <w:t xml:space="preserve"> 1977</w:t>
            </w:r>
          </w:p>
        </w:tc>
      </w:tr>
      <w:tr w:rsidR="00F629A9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המטופלים מדווחים על שמירה על כבודם ללא אמצעי ענישה</w:t>
            </w:r>
          </w:p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יש לראיין 5 חולים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9" w:rsidRPr="00AD730B" w:rsidRDefault="00F629A9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חוק יסוד כבוד האדם וחירותו </w:t>
            </w:r>
            <w:proofErr w:type="spellStart"/>
            <w:r w:rsidRPr="00AD730B">
              <w:rPr>
                <w:rFonts w:cs="David" w:hint="cs"/>
                <w:rtl/>
              </w:rPr>
              <w:t>התשנ"א</w:t>
            </w:r>
            <w:proofErr w:type="spellEnd"/>
            <w:r w:rsidRPr="00AD730B">
              <w:rPr>
                <w:rFonts w:cs="David" w:hint="cs"/>
                <w:rtl/>
              </w:rPr>
              <w:t xml:space="preserve"> 1991</w:t>
            </w:r>
          </w:p>
        </w:tc>
      </w:tr>
      <w:tr w:rsidR="00845003" w:rsidTr="00AD730B">
        <w:tc>
          <w:tcPr>
            <w:tcW w:w="7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03" w:rsidRPr="00AD730B" w:rsidRDefault="00845003">
            <w:pPr>
              <w:rPr>
                <w:rFonts w:cs="David"/>
                <w:bCs/>
              </w:rPr>
            </w:pPr>
            <w:r w:rsidRPr="00D219AD">
              <w:rPr>
                <w:rFonts w:cs="David" w:hint="cs"/>
                <w:bCs/>
                <w:sz w:val="28"/>
                <w:szCs w:val="28"/>
                <w:rtl/>
              </w:rPr>
              <w:t>תנאי סף לרישוי</w:t>
            </w:r>
          </w:p>
        </w:tc>
      </w:tr>
      <w:tr w:rsidR="00D13D2B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גישה נוחה למוסד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</w:p>
        </w:tc>
      </w:tr>
      <w:tr w:rsidR="00D13D2B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אפשרות לנעילת דלתות בהן הדבר דרוש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במבנה אין מפגעים פיזיים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D13D2B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מועסקים שומרים בשעות הפעילות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2B" w:rsidRPr="00AD730B" w:rsidRDefault="00D13D2B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2B" w:rsidRPr="00AD730B" w:rsidRDefault="00D13D2B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נהלי בטיחות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F83CF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99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אישורי מכבי אש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קיימים שירותים נפרדים נשים/ גברים</w:t>
            </w:r>
          </w:p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על פי תצפית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במטבח מתקני אחסון הולמים ונקיים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יש לצבוע תקרה במטבח</w:t>
            </w: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חדר אוכל נקי ומרווח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A67AB7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תחנת אחות המבטיחה פרטיות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 w:rsidP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7" w:rsidRPr="00AD730B" w:rsidRDefault="00A67AB7">
            <w:pPr>
              <w:rPr>
                <w:rFonts w:cs="David"/>
              </w:rPr>
            </w:pPr>
          </w:p>
        </w:tc>
      </w:tr>
      <w:tr w:rsidR="00A67AB7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חדר רופא המבטיח פרטיות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7" w:rsidRPr="00AD730B" w:rsidRDefault="00A67AB7">
            <w:pPr>
              <w:rPr>
                <w:rFonts w:cs="David"/>
              </w:rPr>
            </w:pPr>
          </w:p>
        </w:tc>
      </w:tr>
      <w:tr w:rsidR="00A67AB7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חדר לטיפול פרטני פסיכוסוציאלי המבטיח פרטיות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7" w:rsidRPr="00AD730B" w:rsidRDefault="00A67AB7">
            <w:pPr>
              <w:rPr>
                <w:rFonts w:cs="David"/>
              </w:rPr>
            </w:pPr>
          </w:p>
        </w:tc>
      </w:tr>
      <w:tr w:rsidR="00A67AB7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106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מיטה לבדיקה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מומלץ לשים נייר מתחלף במקום סדין</w:t>
            </w:r>
          </w:p>
        </w:tc>
      </w:tr>
      <w:tr w:rsidR="00A67AB7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107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צוות מקצועי עם הכשרה בהתאם לתקנות (מנהל, רופא, עו"ס, פסיכולוג, סיעודי, מדריך חברתי, מרפאה בעיסוק)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B7" w:rsidRPr="00AD730B" w:rsidRDefault="00A67AB7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7" w:rsidRPr="00AD730B" w:rsidRDefault="00A67AB7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קיימת הדרכה קבועה לצוות מקצועי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109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קיים תיק מסודר לכל עובד הכולל גם תעודות מקצועיות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F83CF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F57C6C" w:rsidP="00F57C6C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תיקי כוח אדם בסיעוד מאורגנים ומסודרים מאוד. מומלץ העתקת המודל ליתר הסקטורים</w:t>
            </w: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110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מבוצעת הערכת תפקוד של עובדים לפחות אחת לשנה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F83CF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חלקי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F83CF2" w:rsidP="00F57C6C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 xml:space="preserve">אצל פסיכולוגים </w:t>
            </w:r>
            <w:proofErr w:type="spellStart"/>
            <w:r w:rsidRPr="00AD730B">
              <w:rPr>
                <w:rFonts w:cs="David" w:hint="cs"/>
                <w:rtl/>
              </w:rPr>
              <w:t>ועו"סים</w:t>
            </w:r>
            <w:proofErr w:type="spellEnd"/>
            <w:r w:rsidRPr="00AD730B">
              <w:rPr>
                <w:rFonts w:cs="David" w:hint="cs"/>
                <w:rtl/>
              </w:rPr>
              <w:t xml:space="preserve"> לא </w:t>
            </w:r>
            <w:r w:rsidR="00F57C6C" w:rsidRPr="00AD730B">
              <w:rPr>
                <w:rFonts w:cs="David" w:hint="cs"/>
                <w:rtl/>
              </w:rPr>
              <w:t>מבוצעת הערכת תפקוד</w:t>
            </w:r>
            <w:r w:rsidRPr="00AD730B">
              <w:rPr>
                <w:rFonts w:cs="David" w:hint="cs"/>
                <w:rtl/>
              </w:rPr>
              <w:t xml:space="preserve"> כל שנה. כן בסיעוד.</w:t>
            </w:r>
          </w:p>
        </w:tc>
      </w:tr>
      <w:tr w:rsidR="00CE0CA4" w:rsidTr="00AD73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111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CE0CA4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בתיקו האישי של כל מועמד חדש לעבודה (כולל מתנדב, עובד חברת כ"א וכו') קיים אישור המשטרה, בהתאם לחוק מניעת העסקת עברייני מין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A4" w:rsidRPr="00AD730B" w:rsidRDefault="00F83CF2">
            <w:pPr>
              <w:rPr>
                <w:rFonts w:cs="David"/>
              </w:rPr>
            </w:pPr>
            <w:r w:rsidRPr="00AD730B">
              <w:rPr>
                <w:rFonts w:cs="David" w:hint="cs"/>
                <w:rtl/>
              </w:rPr>
              <w:t>כן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4" w:rsidRPr="00AD730B" w:rsidRDefault="00CE0CA4">
            <w:pPr>
              <w:rPr>
                <w:rFonts w:cs="David"/>
              </w:rPr>
            </w:pPr>
          </w:p>
        </w:tc>
      </w:tr>
    </w:tbl>
    <w:p w:rsidR="00845003" w:rsidRDefault="00845003" w:rsidP="002F3CD5">
      <w:pPr>
        <w:rPr>
          <w:rtl/>
        </w:rPr>
      </w:pPr>
    </w:p>
    <w:p w:rsidR="00A60292" w:rsidRDefault="00A60292" w:rsidP="00D44F26">
      <w:pPr>
        <w:spacing w:line="360" w:lineRule="auto"/>
        <w:rPr>
          <w:rFonts w:cs="David"/>
          <w:rtl/>
        </w:rPr>
      </w:pPr>
    </w:p>
    <w:p w:rsidR="00D219AD" w:rsidRDefault="00D219AD" w:rsidP="00D44F26">
      <w:pPr>
        <w:spacing w:line="360" w:lineRule="auto"/>
        <w:rPr>
          <w:rFonts w:cs="David"/>
          <w:rtl/>
        </w:rPr>
      </w:pPr>
    </w:p>
    <w:p w:rsidR="00D219AD" w:rsidRDefault="00D219AD" w:rsidP="00D44F26">
      <w:pPr>
        <w:spacing w:line="360" w:lineRule="auto"/>
        <w:rPr>
          <w:rFonts w:cs="David"/>
          <w:rtl/>
        </w:rPr>
      </w:pPr>
    </w:p>
    <w:p w:rsidR="00D219AD" w:rsidRDefault="00D219AD" w:rsidP="00D44F26">
      <w:pPr>
        <w:spacing w:line="360" w:lineRule="auto"/>
        <w:rPr>
          <w:rFonts w:cs="David"/>
          <w:rtl/>
        </w:rPr>
      </w:pPr>
    </w:p>
    <w:p w:rsidR="00D219AD" w:rsidRDefault="00D219AD" w:rsidP="00D44F26">
      <w:pPr>
        <w:spacing w:line="360" w:lineRule="auto"/>
        <w:rPr>
          <w:rFonts w:cs="David"/>
          <w:rtl/>
        </w:rPr>
      </w:pPr>
    </w:p>
    <w:p w:rsidR="00D219AD" w:rsidRDefault="00D219AD" w:rsidP="00D44F26">
      <w:pPr>
        <w:spacing w:line="360" w:lineRule="auto"/>
        <w:rPr>
          <w:rFonts w:cs="David"/>
          <w:rtl/>
        </w:rPr>
      </w:pPr>
    </w:p>
    <w:p w:rsidR="00A60292" w:rsidRPr="00D219AD" w:rsidRDefault="00A60292" w:rsidP="00D44F26">
      <w:pPr>
        <w:spacing w:line="360" w:lineRule="auto"/>
        <w:rPr>
          <w:rFonts w:cs="David"/>
          <w:b/>
          <w:bCs/>
          <w:rtl/>
        </w:rPr>
      </w:pPr>
      <w:r w:rsidRPr="00D219AD">
        <w:rPr>
          <w:rFonts w:cs="David" w:hint="cs"/>
          <w:b/>
          <w:bCs/>
          <w:rtl/>
        </w:rPr>
        <w:t>נקודות לשימור:</w:t>
      </w:r>
    </w:p>
    <w:p w:rsidR="003F67F0" w:rsidRDefault="003F0227" w:rsidP="003F67F0">
      <w:pPr>
        <w:pStyle w:val="a3"/>
        <w:numPr>
          <w:ilvl w:val="0"/>
          <w:numId w:val="2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המחלקה מרווחת, נקייה ומסודרת, משרה אוירה נעימה</w:t>
      </w:r>
      <w:r w:rsidR="0065452F">
        <w:rPr>
          <w:rFonts w:cs="David" w:hint="cs"/>
          <w:rtl/>
        </w:rPr>
        <w:t>.</w:t>
      </w:r>
    </w:p>
    <w:p w:rsidR="003F0227" w:rsidRDefault="003F0227" w:rsidP="003F67F0">
      <w:pPr>
        <w:pStyle w:val="a3"/>
        <w:numPr>
          <w:ilvl w:val="0"/>
          <w:numId w:val="2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זכויות המטופל נשמרות</w:t>
      </w:r>
      <w:r w:rsidR="0065452F">
        <w:rPr>
          <w:rFonts w:cs="David" w:hint="cs"/>
          <w:rtl/>
        </w:rPr>
        <w:t>.</w:t>
      </w:r>
    </w:p>
    <w:p w:rsidR="003F0227" w:rsidRDefault="003F0227" w:rsidP="003F0227">
      <w:pPr>
        <w:pStyle w:val="a3"/>
        <w:numPr>
          <w:ilvl w:val="0"/>
          <w:numId w:val="2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צוות </w:t>
      </w:r>
      <w:proofErr w:type="spellStart"/>
      <w:r>
        <w:rPr>
          <w:rFonts w:cs="David" w:hint="cs"/>
          <w:rtl/>
        </w:rPr>
        <w:t>מולטידציפלינרי</w:t>
      </w:r>
      <w:proofErr w:type="spellEnd"/>
      <w:r>
        <w:rPr>
          <w:rFonts w:cs="David" w:hint="cs"/>
          <w:rtl/>
        </w:rPr>
        <w:t xml:space="preserve"> מעניק למטופלים טיפול מקצועי ברמה גבוהה.</w:t>
      </w:r>
    </w:p>
    <w:p w:rsidR="00E8291B" w:rsidRDefault="00E8291B" w:rsidP="00E8291B">
      <w:pPr>
        <w:pStyle w:val="a3"/>
        <w:numPr>
          <w:ilvl w:val="0"/>
          <w:numId w:val="2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ציורי קיר ושעון בחדר הגבלה</w:t>
      </w:r>
      <w:r w:rsidR="0065452F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:rsidR="003F0227" w:rsidRPr="00E8291B" w:rsidRDefault="003F0227" w:rsidP="00E8291B">
      <w:pPr>
        <w:spacing w:line="360" w:lineRule="auto"/>
        <w:ind w:left="360"/>
        <w:rPr>
          <w:rFonts w:cs="David"/>
          <w:rtl/>
        </w:rPr>
      </w:pPr>
    </w:p>
    <w:p w:rsidR="00A60292" w:rsidRPr="00D219AD" w:rsidRDefault="00A60292" w:rsidP="00D44F26">
      <w:pPr>
        <w:spacing w:line="360" w:lineRule="auto"/>
        <w:rPr>
          <w:rFonts w:cs="David"/>
          <w:b/>
          <w:bCs/>
          <w:rtl/>
        </w:rPr>
      </w:pPr>
      <w:r w:rsidRPr="00D219AD">
        <w:rPr>
          <w:rFonts w:cs="David" w:hint="cs"/>
          <w:b/>
          <w:bCs/>
          <w:rtl/>
        </w:rPr>
        <w:t>נקודות לשיפור:</w:t>
      </w:r>
    </w:p>
    <w:p w:rsidR="00A60292" w:rsidRDefault="00A60292" w:rsidP="00A60292">
      <w:pPr>
        <w:pStyle w:val="a3"/>
        <w:numPr>
          <w:ilvl w:val="0"/>
          <w:numId w:val="1"/>
        </w:numPr>
        <w:spacing w:line="360" w:lineRule="auto"/>
        <w:rPr>
          <w:rFonts w:cs="David"/>
        </w:rPr>
      </w:pPr>
      <w:r w:rsidRPr="00A60292">
        <w:rPr>
          <w:rFonts w:cs="David" w:hint="cs"/>
          <w:rtl/>
        </w:rPr>
        <w:t>בנושא הגבלת מטופלים- יש להקפיד על התאמה בין שעת ההגבלה לרישום הרפואי.</w:t>
      </w:r>
      <w:r>
        <w:rPr>
          <w:rFonts w:cs="David" w:hint="cs"/>
          <w:rtl/>
        </w:rPr>
        <w:t xml:space="preserve"> בחדר ההגבלה </w:t>
      </w:r>
      <w:r w:rsidR="00D219AD">
        <w:rPr>
          <w:rFonts w:cs="David" w:hint="cs"/>
          <w:rtl/>
        </w:rPr>
        <w:t>ימצא</w:t>
      </w:r>
      <w:r w:rsidR="0076778F">
        <w:rPr>
          <w:rFonts w:cs="David" w:hint="cs"/>
          <w:rtl/>
        </w:rPr>
        <w:t xml:space="preserve"> רק ריהוט הכרחי בלבד.</w:t>
      </w:r>
    </w:p>
    <w:p w:rsidR="0076778F" w:rsidRDefault="0076778F" w:rsidP="00A60292">
      <w:pPr>
        <w:pStyle w:val="a3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יש לארגן מחדש את אפסון התרופות במחלקה בארונות נעולים על פי הנוהל.</w:t>
      </w:r>
    </w:p>
    <w:p w:rsidR="0076778F" w:rsidRDefault="0076778F" w:rsidP="00A60292">
      <w:pPr>
        <w:pStyle w:val="a3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מיטה בחדר טיפולים - יש לדאוג לכיסוי חד פעמי (נייר חד פעמי/סדין חדש).</w:t>
      </w:r>
    </w:p>
    <w:p w:rsidR="0076778F" w:rsidRDefault="0076778F" w:rsidP="0076778F">
      <w:pPr>
        <w:pStyle w:val="a3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יש להחליף סוללה </w:t>
      </w:r>
      <w:proofErr w:type="spellStart"/>
      <w:r>
        <w:rPr>
          <w:rFonts w:cs="David" w:hint="cs"/>
          <w:rtl/>
        </w:rPr>
        <w:t>בלרינגוסקופ</w:t>
      </w:r>
      <w:proofErr w:type="spellEnd"/>
      <w:r>
        <w:rPr>
          <w:rFonts w:cs="David" w:hint="cs"/>
          <w:rtl/>
        </w:rPr>
        <w:t xml:space="preserve"> ולדאוג לסוללות חלופיות.</w:t>
      </w:r>
    </w:p>
    <w:p w:rsidR="0076778F" w:rsidRDefault="00A03C89" w:rsidP="00A03C89">
      <w:pPr>
        <w:pStyle w:val="a3"/>
        <w:numPr>
          <w:ilvl w:val="0"/>
          <w:numId w:val="1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יש לרשום אזהרה</w:t>
      </w:r>
      <w:r w:rsidR="0076778F">
        <w:rPr>
          <w:rFonts w:cs="David" w:hint="cs"/>
          <w:rtl/>
        </w:rPr>
        <w:t xml:space="preserve"> ברשומה הממוחשבת בדבר מסוכנות</w:t>
      </w:r>
      <w:r>
        <w:rPr>
          <w:rFonts w:cs="David" w:hint="cs"/>
          <w:rtl/>
        </w:rPr>
        <w:t xml:space="preserve"> המטופל.</w:t>
      </w:r>
      <w:r w:rsidR="0076778F">
        <w:rPr>
          <w:rFonts w:cs="David" w:hint="cs"/>
          <w:rtl/>
        </w:rPr>
        <w:t xml:space="preserve">  </w:t>
      </w:r>
    </w:p>
    <w:p w:rsidR="00D219AD" w:rsidRDefault="00D219AD" w:rsidP="002078C5">
      <w:pPr>
        <w:pStyle w:val="a3"/>
        <w:spacing w:line="360" w:lineRule="auto"/>
        <w:rPr>
          <w:rFonts w:cs="David"/>
          <w:rtl/>
        </w:rPr>
      </w:pPr>
    </w:p>
    <w:p w:rsidR="00D219AD" w:rsidRDefault="00D219AD" w:rsidP="002078C5">
      <w:pPr>
        <w:pStyle w:val="a3"/>
        <w:spacing w:line="360" w:lineRule="auto"/>
        <w:rPr>
          <w:rFonts w:cs="David"/>
          <w:rtl/>
        </w:rPr>
      </w:pPr>
    </w:p>
    <w:p w:rsidR="00A03C89" w:rsidRPr="00A03C89" w:rsidRDefault="00DF768A" w:rsidP="002078C5">
      <w:pPr>
        <w:pStyle w:val="a3"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בנוסף לבקרה במחלקה </w:t>
      </w:r>
      <w:proofErr w:type="spellStart"/>
      <w:r>
        <w:rPr>
          <w:rFonts w:cs="David" w:hint="cs"/>
          <w:rtl/>
        </w:rPr>
        <w:t>הפסיכוגריאטרית</w:t>
      </w:r>
      <w:proofErr w:type="spellEnd"/>
      <w:r>
        <w:rPr>
          <w:rFonts w:cs="David" w:hint="cs"/>
          <w:rtl/>
        </w:rPr>
        <w:t xml:space="preserve">, </w:t>
      </w:r>
      <w:r w:rsidR="00A03C89" w:rsidRPr="00A03C89">
        <w:rPr>
          <w:rFonts w:cs="David" w:hint="cs"/>
          <w:rtl/>
        </w:rPr>
        <w:t xml:space="preserve">נבדקה </w:t>
      </w:r>
      <w:r>
        <w:rPr>
          <w:rFonts w:cs="David" w:hint="cs"/>
          <w:rtl/>
        </w:rPr>
        <w:t>במחלקת גברים סגורה</w:t>
      </w:r>
      <w:r w:rsidRPr="00A03C89">
        <w:rPr>
          <w:rFonts w:cs="David" w:hint="cs"/>
          <w:rtl/>
        </w:rPr>
        <w:t xml:space="preserve"> </w:t>
      </w:r>
      <w:r w:rsidR="00A03C89" w:rsidRPr="00A03C89">
        <w:rPr>
          <w:rFonts w:cs="David" w:hint="cs"/>
          <w:rtl/>
        </w:rPr>
        <w:t xml:space="preserve">רשומה רפואית </w:t>
      </w:r>
      <w:r>
        <w:rPr>
          <w:rFonts w:cs="David" w:hint="cs"/>
          <w:rtl/>
        </w:rPr>
        <w:t xml:space="preserve">של מטופל שהיה מוגבל אך ביום הבקרה כבר שוחרר מאשפוז. בבדיקה, </w:t>
      </w:r>
      <w:r w:rsidR="00A03C89" w:rsidRPr="00A03C89">
        <w:rPr>
          <w:rFonts w:cs="David" w:hint="cs"/>
          <w:rtl/>
        </w:rPr>
        <w:t xml:space="preserve">נמצאה אי התאמה בין שעות ההגבלה </w:t>
      </w:r>
      <w:proofErr w:type="spellStart"/>
      <w:r>
        <w:rPr>
          <w:rFonts w:cs="David" w:hint="cs"/>
          <w:rtl/>
        </w:rPr>
        <w:t>שב</w:t>
      </w:r>
      <w:r w:rsidR="00A03C89" w:rsidRPr="00A03C89">
        <w:rPr>
          <w:rFonts w:cs="David" w:hint="cs"/>
          <w:rtl/>
        </w:rPr>
        <w:t>דווח</w:t>
      </w:r>
      <w:proofErr w:type="spellEnd"/>
      <w:r w:rsidR="00A03C89" w:rsidRPr="00A03C89">
        <w:rPr>
          <w:rFonts w:cs="David" w:hint="cs"/>
          <w:rtl/>
        </w:rPr>
        <w:t xml:space="preserve"> ולבדיקה של הרופא. בין תחילת ההגבלה בפועל לכתיבה עברה שעה וחצי.</w:t>
      </w:r>
      <w:r w:rsidR="00E91767">
        <w:rPr>
          <w:rFonts w:cs="David" w:hint="cs"/>
          <w:rtl/>
        </w:rPr>
        <w:t xml:space="preserve"> תחילת ההגבלה הייתה בחצות</w:t>
      </w:r>
      <w:r w:rsidR="002078C5">
        <w:rPr>
          <w:rFonts w:cs="David" w:hint="cs"/>
          <w:rtl/>
        </w:rPr>
        <w:t xml:space="preserve"> והותר ב 9:00 בבוקר</w:t>
      </w:r>
      <w:r w:rsidR="00E91767">
        <w:rPr>
          <w:rFonts w:cs="David" w:hint="cs"/>
          <w:rtl/>
        </w:rPr>
        <w:t>.</w:t>
      </w:r>
      <w:r w:rsidR="002078C5">
        <w:rPr>
          <w:rFonts w:cs="David" w:hint="cs"/>
          <w:rtl/>
        </w:rPr>
        <w:t xml:space="preserve"> לא נמצא </w:t>
      </w:r>
      <w:r w:rsidR="00A03C89" w:rsidRPr="00A03C89">
        <w:rPr>
          <w:rFonts w:cs="David" w:hint="cs"/>
          <w:rtl/>
        </w:rPr>
        <w:t>ר</w:t>
      </w:r>
      <w:r>
        <w:rPr>
          <w:rFonts w:cs="David" w:hint="cs"/>
          <w:rtl/>
        </w:rPr>
        <w:t>י</w:t>
      </w:r>
      <w:r w:rsidR="00A03C89" w:rsidRPr="00A03C89">
        <w:rPr>
          <w:rFonts w:cs="David" w:hint="cs"/>
          <w:rtl/>
        </w:rPr>
        <w:t xml:space="preserve">שום </w:t>
      </w:r>
      <w:r w:rsidR="002078C5">
        <w:rPr>
          <w:rFonts w:cs="David" w:hint="cs"/>
          <w:rtl/>
        </w:rPr>
        <w:t>בדיקת רופא לה</w:t>
      </w:r>
      <w:r w:rsidR="00A03C89" w:rsidRPr="00A03C89">
        <w:rPr>
          <w:rFonts w:cs="David" w:hint="cs"/>
          <w:rtl/>
        </w:rPr>
        <w:t>משך ההגבלה שהיית</w:t>
      </w:r>
      <w:r w:rsidR="00A03C89" w:rsidRPr="00A03C89">
        <w:rPr>
          <w:rFonts w:cs="David" w:hint="eastAsia"/>
          <w:rtl/>
        </w:rPr>
        <w:t>ה</w:t>
      </w:r>
      <w:r w:rsidR="00A03C89" w:rsidRPr="00A03C89">
        <w:rPr>
          <w:rFonts w:cs="David" w:hint="cs"/>
          <w:rtl/>
        </w:rPr>
        <w:t xml:space="preserve"> בשעה 4.00 בב</w:t>
      </w:r>
      <w:r>
        <w:rPr>
          <w:rFonts w:cs="David" w:hint="cs"/>
          <w:rtl/>
        </w:rPr>
        <w:t>ו</w:t>
      </w:r>
      <w:r w:rsidR="00A03C89" w:rsidRPr="00A03C89">
        <w:rPr>
          <w:rFonts w:cs="David" w:hint="cs"/>
          <w:rtl/>
        </w:rPr>
        <w:t>קר וכן הארכה ב</w:t>
      </w:r>
      <w:r w:rsidR="002078C5">
        <w:rPr>
          <w:rFonts w:cs="David" w:hint="cs"/>
          <w:rtl/>
        </w:rPr>
        <w:t xml:space="preserve"> </w:t>
      </w:r>
      <w:r w:rsidR="00A03C89" w:rsidRPr="00A03C89">
        <w:rPr>
          <w:rFonts w:cs="David" w:hint="cs"/>
          <w:rtl/>
        </w:rPr>
        <w:t>8</w:t>
      </w:r>
      <w:r w:rsidR="002078C5">
        <w:rPr>
          <w:rFonts w:cs="David" w:hint="cs"/>
          <w:rtl/>
        </w:rPr>
        <w:t>:</w:t>
      </w:r>
      <w:r w:rsidR="00A03C89" w:rsidRPr="00A03C89">
        <w:rPr>
          <w:rFonts w:cs="David" w:hint="cs"/>
          <w:rtl/>
        </w:rPr>
        <w:t xml:space="preserve">00. ב9.00 נמצאה </w:t>
      </w:r>
      <w:r w:rsidR="002078C5">
        <w:rPr>
          <w:rFonts w:cs="David" w:hint="cs"/>
          <w:rtl/>
        </w:rPr>
        <w:t>בדיקתה</w:t>
      </w:r>
      <w:r w:rsidR="00A03C89" w:rsidRPr="00A03C89">
        <w:rPr>
          <w:rFonts w:cs="David" w:hint="cs"/>
          <w:rtl/>
        </w:rPr>
        <w:t xml:space="preserve"> של דר' </w:t>
      </w:r>
      <w:proofErr w:type="spellStart"/>
      <w:r w:rsidR="00A03C89" w:rsidRPr="00A03C89">
        <w:rPr>
          <w:rFonts w:cs="David" w:hint="cs"/>
          <w:rtl/>
        </w:rPr>
        <w:t>אלפיסי</w:t>
      </w:r>
      <w:proofErr w:type="spellEnd"/>
      <w:r w:rsidR="00A03C89" w:rsidRPr="00A03C89">
        <w:rPr>
          <w:rFonts w:cs="David" w:hint="cs"/>
          <w:rtl/>
        </w:rPr>
        <w:t>.</w:t>
      </w:r>
    </w:p>
    <w:p w:rsidR="00A03C89" w:rsidRPr="00A03C89" w:rsidRDefault="00A03C89" w:rsidP="00A03C89">
      <w:pPr>
        <w:spacing w:line="360" w:lineRule="auto"/>
        <w:rPr>
          <w:rFonts w:cs="David"/>
        </w:rPr>
      </w:pPr>
    </w:p>
    <w:sectPr w:rsidR="00A03C89" w:rsidRPr="00A03C89" w:rsidSect="00BB0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13"/>
    <w:multiLevelType w:val="hybridMultilevel"/>
    <w:tmpl w:val="BC52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2AE"/>
    <w:multiLevelType w:val="hybridMultilevel"/>
    <w:tmpl w:val="9160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3"/>
    <w:rsid w:val="00033238"/>
    <w:rsid w:val="000F3BEC"/>
    <w:rsid w:val="002078C5"/>
    <w:rsid w:val="002F3CD5"/>
    <w:rsid w:val="00357F50"/>
    <w:rsid w:val="0037219B"/>
    <w:rsid w:val="003F0227"/>
    <w:rsid w:val="003F67F0"/>
    <w:rsid w:val="0045773C"/>
    <w:rsid w:val="0055791B"/>
    <w:rsid w:val="005B6CB1"/>
    <w:rsid w:val="00651B0D"/>
    <w:rsid w:val="0065452F"/>
    <w:rsid w:val="007411A2"/>
    <w:rsid w:val="0076778F"/>
    <w:rsid w:val="00845003"/>
    <w:rsid w:val="008B1CED"/>
    <w:rsid w:val="00981CCA"/>
    <w:rsid w:val="00A03C89"/>
    <w:rsid w:val="00A60292"/>
    <w:rsid w:val="00A67AB7"/>
    <w:rsid w:val="00AD730B"/>
    <w:rsid w:val="00B31831"/>
    <w:rsid w:val="00BB0FD7"/>
    <w:rsid w:val="00C15DE7"/>
    <w:rsid w:val="00CE0CA4"/>
    <w:rsid w:val="00D13D2B"/>
    <w:rsid w:val="00D219AD"/>
    <w:rsid w:val="00D313E3"/>
    <w:rsid w:val="00D31A8E"/>
    <w:rsid w:val="00D37FDD"/>
    <w:rsid w:val="00D44F26"/>
    <w:rsid w:val="00D45111"/>
    <w:rsid w:val="00DF768A"/>
    <w:rsid w:val="00E07943"/>
    <w:rsid w:val="00E66E1E"/>
    <w:rsid w:val="00E8291B"/>
    <w:rsid w:val="00E91767"/>
    <w:rsid w:val="00F33C90"/>
    <w:rsid w:val="00F57C6C"/>
    <w:rsid w:val="00F629A9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03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E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1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03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3E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31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1388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 Merkaz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רינה שמש</dc:creator>
  <cp:lastModifiedBy>רינה שמש</cp:lastModifiedBy>
  <cp:revision>19</cp:revision>
  <cp:lastPrinted>2016-08-23T09:50:00Z</cp:lastPrinted>
  <dcterms:created xsi:type="dcterms:W3CDTF">2016-05-05T06:49:00Z</dcterms:created>
  <dcterms:modified xsi:type="dcterms:W3CDTF">2016-08-23T09:51:00Z</dcterms:modified>
</cp:coreProperties>
</file>