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5" w:rsidRDefault="009435A5" w:rsidP="00E34D1B">
      <w:pPr>
        <w:spacing w:line="360" w:lineRule="auto"/>
        <w:rPr>
          <w:rtl/>
        </w:rPr>
      </w:pPr>
    </w:p>
    <w:p w:rsidR="00E34D1B" w:rsidRDefault="00E34D1B" w:rsidP="00E34D1B">
      <w:pPr>
        <w:spacing w:line="360" w:lineRule="auto"/>
        <w:rPr>
          <w:rtl/>
        </w:rPr>
      </w:pPr>
    </w:p>
    <w:p w:rsidR="00274E1D" w:rsidRDefault="00274E1D" w:rsidP="00E34D1B">
      <w:pPr>
        <w:ind w:left="7370"/>
        <w:rPr>
          <w:sz w:val="24"/>
          <w:rtl/>
        </w:rPr>
      </w:pPr>
      <w:bookmarkStart w:id="0" w:name="Date"/>
      <w:bookmarkEnd w:id="0"/>
      <w:r>
        <w:rPr>
          <w:rFonts w:hint="eastAsia"/>
          <w:sz w:val="24"/>
          <w:rtl/>
        </w:rPr>
        <w:t>ד</w:t>
      </w:r>
      <w:r>
        <w:rPr>
          <w:sz w:val="24"/>
          <w:rtl/>
        </w:rPr>
        <w:t xml:space="preserve">' בטבת </w:t>
      </w:r>
      <w:proofErr w:type="spellStart"/>
      <w:r>
        <w:rPr>
          <w:sz w:val="24"/>
          <w:rtl/>
        </w:rPr>
        <w:t>התש"פ</w:t>
      </w:r>
      <w:proofErr w:type="spellEnd"/>
      <w:r>
        <w:rPr>
          <w:sz w:val="24"/>
          <w:rtl/>
        </w:rPr>
        <w:br/>
        <w:t>1 בינואר 2020</w:t>
      </w:r>
    </w:p>
    <w:p w:rsidR="00274E1D" w:rsidRDefault="00274E1D" w:rsidP="00E34D1B">
      <w:pPr>
        <w:ind w:left="7370"/>
        <w:rPr>
          <w:rtl/>
        </w:rPr>
      </w:pPr>
      <w:bookmarkStart w:id="1" w:name="DocNum"/>
      <w:bookmarkEnd w:id="1"/>
      <w:r>
        <w:rPr>
          <w:rtl/>
        </w:rPr>
        <w:t>שה. 2019-11984</w:t>
      </w:r>
    </w:p>
    <w:p w:rsidR="009435A5" w:rsidRDefault="009435A5" w:rsidP="009435A5">
      <w:pPr>
        <w:spacing w:line="360" w:lineRule="auto"/>
        <w:jc w:val="both"/>
        <w:rPr>
          <w:rtl/>
        </w:rPr>
      </w:pPr>
    </w:p>
    <w:p w:rsidR="00AC11E5" w:rsidRDefault="00AC11E5" w:rsidP="00AC11E5">
      <w:pPr>
        <w:spacing w:line="276" w:lineRule="auto"/>
        <w:rPr>
          <w:rtl/>
        </w:rPr>
      </w:pPr>
      <w:bookmarkStart w:id="2" w:name="Start"/>
      <w:bookmarkEnd w:id="2"/>
      <w:r>
        <w:rPr>
          <w:rFonts w:hint="cs"/>
          <w:rtl/>
        </w:rPr>
        <w:t xml:space="preserve">לכבוד </w:t>
      </w:r>
    </w:p>
    <w:p w:rsidR="00AC11E5" w:rsidRDefault="00BD7045" w:rsidP="00AC11E5">
      <w:pPr>
        <w:spacing w:line="276" w:lineRule="auto"/>
        <w:rPr>
          <w:rtl/>
        </w:rPr>
      </w:pPr>
      <w:r>
        <w:rPr>
          <w:rFonts w:hint="cs"/>
          <w:rtl/>
        </w:rPr>
        <w:t>עו"ד אלעד מן</w:t>
      </w:r>
    </w:p>
    <w:p w:rsidR="00BD7045" w:rsidRDefault="00BD7045" w:rsidP="00BD7045">
      <w:pPr>
        <w:spacing w:line="276" w:lineRule="auto"/>
        <w:rPr>
          <w:rtl/>
        </w:rPr>
      </w:pPr>
      <w:r>
        <w:rPr>
          <w:rFonts w:hint="cs"/>
          <w:rtl/>
        </w:rPr>
        <w:t>הצלחה - התנועה הצרכנית לקידום חברה כלכלית הוגנת</w:t>
      </w:r>
    </w:p>
    <w:p w:rsidR="00AC11E5" w:rsidRPr="007849F4" w:rsidRDefault="00AC11E5" w:rsidP="0003638B">
      <w:pPr>
        <w:spacing w:line="25" w:lineRule="atLeast"/>
        <w:jc w:val="both"/>
        <w:rPr>
          <w:u w:val="single"/>
        </w:rPr>
      </w:pPr>
      <w:r>
        <w:rPr>
          <w:rFonts w:hint="cs"/>
          <w:u w:val="single"/>
          <w:rtl/>
        </w:rPr>
        <w:t>ב</w:t>
      </w:r>
      <w:r w:rsidRPr="0040435D">
        <w:rPr>
          <w:rFonts w:hint="eastAsia"/>
          <w:u w:val="single"/>
          <w:rtl/>
        </w:rPr>
        <w:t>דואר</w:t>
      </w:r>
      <w:r w:rsidRPr="0040435D">
        <w:rPr>
          <w:u w:val="single"/>
          <w:rtl/>
        </w:rPr>
        <w:t xml:space="preserve"> </w:t>
      </w:r>
      <w:r w:rsidRPr="002D5141">
        <w:rPr>
          <w:u w:val="single"/>
          <w:rtl/>
        </w:rPr>
        <w:t>אלקטרוני</w:t>
      </w:r>
      <w:r>
        <w:rPr>
          <w:rFonts w:hint="cs"/>
          <w:u w:val="single"/>
          <w:rtl/>
        </w:rPr>
        <w:t xml:space="preserve">  </w:t>
      </w:r>
      <w:r w:rsidR="0003638B">
        <w:rPr>
          <w:rFonts w:hint="cs"/>
          <w:u w:val="single"/>
          <w:rtl/>
        </w:rPr>
        <w:t xml:space="preserve"> 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AC11E5">
      <w:pPr>
        <w:spacing w:line="25" w:lineRule="atLeast"/>
        <w:jc w:val="center"/>
        <w:rPr>
          <w:b/>
          <w:bCs/>
          <w:sz w:val="28"/>
          <w:szCs w:val="28"/>
          <w:u w:val="single"/>
          <w:rtl/>
        </w:rPr>
      </w:pPr>
    </w:p>
    <w:p w:rsidR="00AC11E5" w:rsidRDefault="00AC11E5" w:rsidP="0003638B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הנדון: </w:t>
      </w:r>
      <w:r w:rsidR="0003638B">
        <w:rPr>
          <w:rFonts w:hint="cs"/>
          <w:b/>
          <w:bCs/>
          <w:sz w:val="28"/>
          <w:szCs w:val="28"/>
          <w:u w:val="single"/>
          <w:rtl/>
        </w:rPr>
        <w:t>יומן הממונה על שוק ההון</w:t>
      </w:r>
    </w:p>
    <w:p w:rsidR="00AC11E5" w:rsidRDefault="00D60DB3" w:rsidP="00D60DB3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סימוכין:</w:t>
      </w:r>
      <w:r w:rsidR="00BD7045">
        <w:rPr>
          <w:rFonts w:hint="cs"/>
          <w:sz w:val="22"/>
          <w:szCs w:val="22"/>
          <w:rtl/>
        </w:rPr>
        <w:t xml:space="preserve"> בקשתכם מיום 19 ביוני 2019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811802">
      <w:pPr>
        <w:pStyle w:val="a7"/>
        <w:numPr>
          <w:ilvl w:val="0"/>
          <w:numId w:val="8"/>
        </w:numPr>
      </w:pPr>
      <w:r w:rsidRPr="00942077">
        <w:rPr>
          <w:rtl/>
        </w:rPr>
        <w:t>בפנייתך שבנדון</w:t>
      </w:r>
      <w:r>
        <w:rPr>
          <w:rFonts w:hint="cs"/>
          <w:rtl/>
        </w:rPr>
        <w:t xml:space="preserve">, </w:t>
      </w:r>
      <w:r w:rsidRPr="00942077">
        <w:rPr>
          <w:rtl/>
        </w:rPr>
        <w:t>ביקשת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לקבל, </w:t>
      </w:r>
      <w:r>
        <w:rPr>
          <w:rFonts w:hint="cs"/>
          <w:rtl/>
        </w:rPr>
        <w:t xml:space="preserve">בהתאם לחוק חופש המידע </w:t>
      </w:r>
      <w:r w:rsidRPr="00942077">
        <w:rPr>
          <w:rtl/>
        </w:rPr>
        <w:t>התשנ"ח-1998 (להלן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- </w:t>
      </w:r>
      <w:r w:rsidRPr="00942077">
        <w:rPr>
          <w:b/>
          <w:bCs/>
          <w:rtl/>
        </w:rPr>
        <w:t>חוק חופש המידע</w:t>
      </w:r>
      <w:r w:rsidRPr="00942077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811802">
        <w:rPr>
          <w:rFonts w:hint="cs"/>
          <w:rtl/>
        </w:rPr>
        <w:t xml:space="preserve">מידע אודות נסיעות לחו"ל מטעם הרשות, בשנים 2016 - 2019. </w:t>
      </w:r>
    </w:p>
    <w:p w:rsidR="00811802" w:rsidRDefault="00811802" w:rsidP="00274E1D">
      <w:pPr>
        <w:pStyle w:val="a7"/>
        <w:numPr>
          <w:ilvl w:val="0"/>
          <w:numId w:val="8"/>
        </w:numPr>
      </w:pPr>
      <w:r>
        <w:rPr>
          <w:rFonts w:hint="cs"/>
          <w:rtl/>
        </w:rPr>
        <w:t>במענה לבקשתך, מצורף נספח המפרט את הנתונים המבוקשים על ידך, בקשר עם אותן נסיעות</w:t>
      </w:r>
      <w:r w:rsidR="00274E1D">
        <w:rPr>
          <w:rFonts w:hint="cs"/>
          <w:rtl/>
        </w:rPr>
        <w:t>, וזאת עד ליום 31 באוקטובר 2019</w:t>
      </w:r>
      <w:r>
        <w:rPr>
          <w:rFonts w:hint="cs"/>
          <w:rtl/>
        </w:rPr>
        <w:t>. בהקשר זה, נציין כי במקרים בהם מומנו הנסיעות על ידי הגורם המזמין, לא פורטו עלויות הנסיעה.</w:t>
      </w:r>
    </w:p>
    <w:p w:rsidR="00811802" w:rsidRDefault="00811802" w:rsidP="00811802">
      <w:pPr>
        <w:pStyle w:val="a7"/>
        <w:numPr>
          <w:ilvl w:val="0"/>
          <w:numId w:val="8"/>
        </w:numPr>
      </w:pPr>
      <w:r>
        <w:rPr>
          <w:rFonts w:hint="cs"/>
          <w:rtl/>
        </w:rPr>
        <w:t xml:space="preserve">בנוסף, נציין כי </w:t>
      </w:r>
      <w:r w:rsidRPr="00811802">
        <w:rPr>
          <w:rtl/>
        </w:rPr>
        <w:t>עובדי רשות שוק ההון מצטרפים מפעם לפעם למשלחות היוצאות לחו"ל מטעם משרדים אחרים, דוגמת משרד המשפטים. במקרים אלו עלויות הנסיעה נרשמות בספרי המשרד המממן את הנסיעה.</w:t>
      </w:r>
      <w:r>
        <w:rPr>
          <w:rFonts w:hint="cs"/>
          <w:rtl/>
        </w:rPr>
        <w:t xml:space="preserve">  </w:t>
      </w:r>
    </w:p>
    <w:p w:rsidR="00AC11E5" w:rsidRPr="00942077" w:rsidRDefault="00AC11E5" w:rsidP="00811802">
      <w:pPr>
        <w:pStyle w:val="a7"/>
        <w:numPr>
          <w:ilvl w:val="0"/>
          <w:numId w:val="8"/>
        </w:numPr>
      </w:pPr>
      <w:r w:rsidRPr="00811802">
        <w:rPr>
          <w:rFonts w:ascii="David" w:hAnsi="David"/>
          <w:rtl/>
        </w:rPr>
        <w:t>בהתאם לסעיף</w:t>
      </w:r>
      <w:r w:rsidRPr="00811802">
        <w:rPr>
          <w:rFonts w:ascii="David" w:hAnsi="David" w:hint="cs"/>
          <w:rtl/>
        </w:rPr>
        <w:t xml:space="preserve"> 7(ו)</w:t>
      </w:r>
      <w:r w:rsidRPr="00811802">
        <w:rPr>
          <w:rFonts w:ascii="David" w:hAnsi="David"/>
          <w:rtl/>
        </w:rPr>
        <w:t xml:space="preserve"> לחוק</w:t>
      </w:r>
      <w:r w:rsidRPr="00811802">
        <w:rPr>
          <w:rFonts w:ascii="David" w:hAnsi="David" w:hint="cs"/>
          <w:rtl/>
        </w:rPr>
        <w:t xml:space="preserve"> חופש המידע</w:t>
      </w:r>
      <w:r w:rsidRPr="00811802">
        <w:rPr>
          <w:rFonts w:ascii="David" w:hAnsi="David"/>
          <w:rtl/>
        </w:rPr>
        <w:t>, הריני להודיעך על זכותך לעתור נגד החלטה זו לבית המשפט לעניינים מנהליים בירושלים</w:t>
      </w:r>
      <w:r w:rsidRPr="00942077">
        <w:rPr>
          <w:rFonts w:hint="cs"/>
          <w:rtl/>
        </w:rPr>
        <w:t>.</w:t>
      </w: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  <w:r>
        <w:rPr>
          <w:rFonts w:hint="cs"/>
          <w:rtl/>
        </w:rPr>
        <w:t>בכבוד רב,</w:t>
      </w:r>
    </w:p>
    <w:p w:rsidR="00AC11E5" w:rsidRDefault="00AC11E5" w:rsidP="00AC11E5">
      <w:pPr>
        <w:pStyle w:val="a7"/>
        <w:ind w:left="3600"/>
        <w:jc w:val="center"/>
        <w:rPr>
          <w:rtl/>
        </w:rPr>
      </w:pPr>
      <w:r w:rsidRPr="00CE5463">
        <w:rPr>
          <w:noProof/>
        </w:rPr>
        <w:drawing>
          <wp:inline distT="0" distB="0" distL="0" distR="0" wp14:anchorId="406DD25C" wp14:editId="502BE22C">
            <wp:extent cx="711200" cy="284480"/>
            <wp:effectExtent l="0" t="0" r="0" b="1270"/>
            <wp:docPr id="3" name="תמונה 3" descr="sign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8" cy="2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1F" w:rsidRDefault="00AC11E5" w:rsidP="003F331F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ליאת שטרק</w:t>
      </w:r>
    </w:p>
    <w:p w:rsidR="00AC11E5" w:rsidRDefault="00AC11E5" w:rsidP="003F331F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 xml:space="preserve">ממונה על </w:t>
      </w:r>
      <w:r w:rsidR="003F331F">
        <w:rPr>
          <w:rFonts w:hint="cs"/>
          <w:rtl/>
        </w:rPr>
        <w:t xml:space="preserve">העמדת </w:t>
      </w:r>
      <w:r w:rsidRPr="00CE5463">
        <w:rPr>
          <w:rFonts w:hint="cs"/>
          <w:rtl/>
        </w:rPr>
        <w:t>מידע</w:t>
      </w:r>
      <w:r w:rsidR="003F331F">
        <w:rPr>
          <w:rFonts w:hint="cs"/>
          <w:rtl/>
        </w:rPr>
        <w:t xml:space="preserve"> </w:t>
      </w:r>
      <w:r w:rsidR="00FB5E25">
        <w:rPr>
          <w:rFonts w:hint="cs"/>
          <w:rtl/>
        </w:rPr>
        <w:t>לציבור</w:t>
      </w:r>
      <w:bookmarkStart w:id="3" w:name="_GoBack"/>
      <w:bookmarkEnd w:id="3"/>
    </w:p>
    <w:p w:rsidR="00274E1D" w:rsidRDefault="00274E1D" w:rsidP="00AC11E5">
      <w:pPr>
        <w:pStyle w:val="a7"/>
        <w:ind w:left="2880" w:firstLine="720"/>
        <w:jc w:val="center"/>
        <w:rPr>
          <w:rtl/>
        </w:rPr>
      </w:pPr>
    </w:p>
    <w:p w:rsidR="00274E1D" w:rsidRDefault="00274E1D" w:rsidP="00274E1D">
      <w:pPr>
        <w:rPr>
          <w:rtl/>
        </w:rPr>
      </w:pPr>
      <w:r>
        <w:rPr>
          <w:rFonts w:hint="cs"/>
          <w:rtl/>
        </w:rPr>
        <w:t>העתק:</w:t>
      </w:r>
    </w:p>
    <w:p w:rsidR="00274E1D" w:rsidRDefault="00274E1D" w:rsidP="00274E1D">
      <w:pPr>
        <w:rPr>
          <w:rFonts w:hint="cs"/>
          <w:rtl/>
        </w:rPr>
      </w:pPr>
    </w:p>
    <w:p w:rsidR="00274E1D" w:rsidRDefault="00274E1D" w:rsidP="00274E1D">
      <w:pPr>
        <w:rPr>
          <w:rtl/>
        </w:rPr>
      </w:pPr>
      <w:r>
        <w:rPr>
          <w:rFonts w:hint="cs"/>
          <w:rtl/>
        </w:rPr>
        <w:t>אוהד מעודי, יועץ בכיר לממונה על שוק ההון, ביטוח וחיסכון</w:t>
      </w: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  <w:r>
        <w:rPr>
          <w:rFonts w:eastAsiaTheme="minorHAnsi" w:hint="cs"/>
          <w:sz w:val="24"/>
          <w:rtl/>
          <w:lang w:eastAsia="en-US"/>
        </w:rPr>
        <w:t xml:space="preserve"> </w:t>
      </w: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</w:p>
    <w:p w:rsidR="009435A5" w:rsidRDefault="00811802" w:rsidP="009435A5">
      <w:pPr>
        <w:spacing w:line="25" w:lineRule="atLeast"/>
        <w:jc w:val="both"/>
        <w:rPr>
          <w:rtl/>
        </w:rPr>
      </w:pPr>
      <w:r>
        <w:rPr>
          <w:rFonts w:eastAsiaTheme="minorHAnsi" w:hint="cs"/>
          <w:sz w:val="24"/>
          <w:rtl/>
          <w:lang w:eastAsia="en-US"/>
        </w:rPr>
        <w:t xml:space="preserve"> </w:t>
      </w:r>
    </w:p>
    <w:p w:rsidR="00E34D1B" w:rsidRDefault="00E34D1B" w:rsidP="009435A5">
      <w:pPr>
        <w:spacing w:line="25" w:lineRule="atLeast"/>
        <w:jc w:val="both"/>
        <w:rPr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Pr="0007311F" w:rsidRDefault="00E34D1B" w:rsidP="009435A5">
      <w:pPr>
        <w:spacing w:line="25" w:lineRule="atLeast"/>
        <w:jc w:val="both"/>
        <w:rPr>
          <w:szCs w:val="20"/>
          <w:rtl/>
        </w:rPr>
      </w:pPr>
    </w:p>
    <w:sectPr w:rsidR="00E34D1B" w:rsidRPr="0007311F" w:rsidSect="002973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418" w:right="1134" w:bottom="1418" w:left="1134" w:header="284" w:footer="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26" w:rsidRDefault="008F6D26">
      <w:r>
        <w:separator/>
      </w:r>
    </w:p>
  </w:endnote>
  <w:endnote w:type="continuationSeparator" w:id="0">
    <w:p w:rsidR="008F6D26" w:rsidRDefault="008F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FB" w:rsidRDefault="009435A5">
    <w:pPr>
      <w:pStyle w:val="aa"/>
      <w:framePr w:wrap="around" w:vAnchor="text" w:hAnchor="margin" w:xAlign="center" w:y="1"/>
      <w:rPr>
        <w:rStyle w:val="ac"/>
        <w:rtl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BE67FB" w:rsidRDefault="008F6D26">
    <w:pPr>
      <w:pStyle w:val="aa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  <w:rtl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26" w:rsidRDefault="008F6D26">
      <w:r>
        <w:separator/>
      </w:r>
    </w:p>
  </w:footnote>
  <w:footnote w:type="continuationSeparator" w:id="0">
    <w:p w:rsidR="008F6D26" w:rsidRDefault="008F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9651144"/>
      <w:docPartObj>
        <w:docPartGallery w:val="Page Numbers (Top of Page)"/>
        <w:docPartUnique/>
      </w:docPartObj>
    </w:sdtPr>
    <w:sdtEndPr>
      <w:rPr>
        <w:cs/>
      </w:rPr>
    </w:sdtEndPr>
    <w:sdtContent>
      <w:p w:rsidR="0007311F" w:rsidRDefault="009435A5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11802" w:rsidRPr="00811802">
          <w:rPr>
            <w:noProof/>
            <w:rtl/>
            <w:lang w:val="he-IL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Default="002973B2" w:rsidP="002973B2">
    <w:pPr>
      <w:pStyle w:val="a8"/>
      <w:jc w:val="center"/>
      <w:rPr>
        <w:b/>
        <w:bCs/>
        <w:szCs w:val="36"/>
        <w:rtl/>
      </w:rPr>
    </w:pPr>
    <w:r>
      <w:rPr>
        <w:rFonts w:hint="cs"/>
        <w:b/>
        <w:bCs/>
        <w:noProof/>
        <w:szCs w:val="36"/>
        <w:lang w:eastAsia="en-US"/>
      </w:rPr>
      <w:drawing>
        <wp:inline distT="0" distB="0" distL="0" distR="0" wp14:anchorId="53FCFEC8" wp14:editId="2BC72922">
          <wp:extent cx="563056" cy="446228"/>
          <wp:effectExtent l="0" t="0" r="0" b="0"/>
          <wp:docPr id="9" name="תמונה 9" descr="C:\Users\Shabed\Desktop\לוגו-ללא-טקס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bed\Desktop\לוגו-ללא-טקסט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3133" r="15750" b="20365"/>
                  <a:stretch/>
                </pic:blipFill>
                <pic:spPr bwMode="auto">
                  <a:xfrm>
                    <a:off x="0" y="0"/>
                    <a:ext cx="564078" cy="44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76B14" w:rsidRDefault="00276B14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מדינת ישראל</w:t>
    </w:r>
  </w:p>
  <w:p w:rsidR="002973B2" w:rsidRDefault="002973B2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רשות</w:t>
    </w:r>
    <w:r>
      <w:rPr>
        <w:b/>
        <w:bCs/>
        <w:szCs w:val="32"/>
        <w:rtl/>
      </w:rPr>
      <w:t xml:space="preserve"> שוק ההון, ביטוח וחיסכון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AA7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688"/>
    <w:multiLevelType w:val="multilevel"/>
    <w:tmpl w:val="88B03C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6"/>
      </w:rPr>
    </w:lvl>
  </w:abstractNum>
  <w:abstractNum w:abstractNumId="5" w15:restartNumberingAfterBreak="0">
    <w:nsid w:val="24690D37"/>
    <w:multiLevelType w:val="multilevel"/>
    <w:tmpl w:val="2C7611E6"/>
    <w:numStyleLink w:val="-0"/>
  </w:abstractNum>
  <w:abstractNum w:abstractNumId="6" w15:restartNumberingAfterBreak="0">
    <w:nsid w:val="305A1BD6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77D4CEE"/>
    <w:multiLevelType w:val="multilevel"/>
    <w:tmpl w:val="2C7611E6"/>
    <w:numStyleLink w:val="-0"/>
  </w:abstractNum>
  <w:abstractNum w:abstractNumId="8" w15:restartNumberingAfterBreak="0">
    <w:nsid w:val="52C63965"/>
    <w:multiLevelType w:val="multilevel"/>
    <w:tmpl w:val="CB2CFB36"/>
    <w:numStyleLink w:val="-"/>
  </w:abstractNum>
  <w:abstractNum w:abstractNumId="9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0" w15:restartNumberingAfterBreak="0">
    <w:nsid w:val="6C605EF8"/>
    <w:multiLevelType w:val="hybridMultilevel"/>
    <w:tmpl w:val="5960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3479"/>
    <w:multiLevelType w:val="hybridMultilevel"/>
    <w:tmpl w:val="50E6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80A"/>
    <w:multiLevelType w:val="hybridMultilevel"/>
    <w:tmpl w:val="F3AA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5"/>
    <w:rsid w:val="00014182"/>
    <w:rsid w:val="0003638B"/>
    <w:rsid w:val="000431CB"/>
    <w:rsid w:val="00047C97"/>
    <w:rsid w:val="000520B7"/>
    <w:rsid w:val="000568CE"/>
    <w:rsid w:val="00066383"/>
    <w:rsid w:val="00093B9D"/>
    <w:rsid w:val="000C04AE"/>
    <w:rsid w:val="000E6098"/>
    <w:rsid w:val="000E632C"/>
    <w:rsid w:val="000F51D2"/>
    <w:rsid w:val="0010326C"/>
    <w:rsid w:val="001103DD"/>
    <w:rsid w:val="001611C6"/>
    <w:rsid w:val="00164B30"/>
    <w:rsid w:val="0018292D"/>
    <w:rsid w:val="001A7C42"/>
    <w:rsid w:val="001C4F6D"/>
    <w:rsid w:val="001D55DD"/>
    <w:rsid w:val="001E212B"/>
    <w:rsid w:val="001E2759"/>
    <w:rsid w:val="001E548A"/>
    <w:rsid w:val="001E63C0"/>
    <w:rsid w:val="001E7F00"/>
    <w:rsid w:val="00217DD5"/>
    <w:rsid w:val="00233FC8"/>
    <w:rsid w:val="00240C75"/>
    <w:rsid w:val="00270623"/>
    <w:rsid w:val="00274E1D"/>
    <w:rsid w:val="00275887"/>
    <w:rsid w:val="00276B14"/>
    <w:rsid w:val="002973B2"/>
    <w:rsid w:val="002A54A3"/>
    <w:rsid w:val="002A7FEA"/>
    <w:rsid w:val="002C7AE4"/>
    <w:rsid w:val="002E38F4"/>
    <w:rsid w:val="002F197C"/>
    <w:rsid w:val="00325E01"/>
    <w:rsid w:val="00347829"/>
    <w:rsid w:val="00361114"/>
    <w:rsid w:val="003840FE"/>
    <w:rsid w:val="00393C6A"/>
    <w:rsid w:val="003A04BF"/>
    <w:rsid w:val="003A1D7A"/>
    <w:rsid w:val="003A69D9"/>
    <w:rsid w:val="003C3A5C"/>
    <w:rsid w:val="003F1396"/>
    <w:rsid w:val="003F331F"/>
    <w:rsid w:val="0040055E"/>
    <w:rsid w:val="00423D6A"/>
    <w:rsid w:val="00425ECA"/>
    <w:rsid w:val="00426E0E"/>
    <w:rsid w:val="004323EF"/>
    <w:rsid w:val="004410DE"/>
    <w:rsid w:val="0044663B"/>
    <w:rsid w:val="00451F2E"/>
    <w:rsid w:val="004523EB"/>
    <w:rsid w:val="00452D7A"/>
    <w:rsid w:val="0045322B"/>
    <w:rsid w:val="004C127D"/>
    <w:rsid w:val="004C5538"/>
    <w:rsid w:val="004D1057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04B12"/>
    <w:rsid w:val="006309B0"/>
    <w:rsid w:val="00656EC7"/>
    <w:rsid w:val="0066664E"/>
    <w:rsid w:val="006718A2"/>
    <w:rsid w:val="0069180F"/>
    <w:rsid w:val="00692C69"/>
    <w:rsid w:val="006952CA"/>
    <w:rsid w:val="006A13C9"/>
    <w:rsid w:val="006A2503"/>
    <w:rsid w:val="006A5446"/>
    <w:rsid w:val="006B352E"/>
    <w:rsid w:val="006C55AF"/>
    <w:rsid w:val="006C5BEE"/>
    <w:rsid w:val="006C6F69"/>
    <w:rsid w:val="006D0744"/>
    <w:rsid w:val="006D686D"/>
    <w:rsid w:val="006E5942"/>
    <w:rsid w:val="00706164"/>
    <w:rsid w:val="00706277"/>
    <w:rsid w:val="00735D55"/>
    <w:rsid w:val="00743847"/>
    <w:rsid w:val="00751B50"/>
    <w:rsid w:val="00757313"/>
    <w:rsid w:val="00757879"/>
    <w:rsid w:val="007611DA"/>
    <w:rsid w:val="007775C5"/>
    <w:rsid w:val="00791D03"/>
    <w:rsid w:val="00793E5C"/>
    <w:rsid w:val="007A373A"/>
    <w:rsid w:val="007D4118"/>
    <w:rsid w:val="007E2692"/>
    <w:rsid w:val="0080160A"/>
    <w:rsid w:val="0081150D"/>
    <w:rsid w:val="00811802"/>
    <w:rsid w:val="0082739B"/>
    <w:rsid w:val="00864DB3"/>
    <w:rsid w:val="00867AE5"/>
    <w:rsid w:val="00870D8A"/>
    <w:rsid w:val="008B39D7"/>
    <w:rsid w:val="008D2617"/>
    <w:rsid w:val="008E77BE"/>
    <w:rsid w:val="008F6D26"/>
    <w:rsid w:val="00910BC9"/>
    <w:rsid w:val="00915C9A"/>
    <w:rsid w:val="00935E81"/>
    <w:rsid w:val="009435A5"/>
    <w:rsid w:val="00986444"/>
    <w:rsid w:val="00990A24"/>
    <w:rsid w:val="009B64FE"/>
    <w:rsid w:val="009C29CF"/>
    <w:rsid w:val="009E52B5"/>
    <w:rsid w:val="009F7F7A"/>
    <w:rsid w:val="00A15876"/>
    <w:rsid w:val="00A15D5D"/>
    <w:rsid w:val="00A21CB2"/>
    <w:rsid w:val="00A30921"/>
    <w:rsid w:val="00A474AE"/>
    <w:rsid w:val="00A5751E"/>
    <w:rsid w:val="00A67A4F"/>
    <w:rsid w:val="00A70C30"/>
    <w:rsid w:val="00A7396A"/>
    <w:rsid w:val="00A73972"/>
    <w:rsid w:val="00A84333"/>
    <w:rsid w:val="00A84658"/>
    <w:rsid w:val="00AA4752"/>
    <w:rsid w:val="00AB187E"/>
    <w:rsid w:val="00AC11E5"/>
    <w:rsid w:val="00AD0167"/>
    <w:rsid w:val="00AF1C47"/>
    <w:rsid w:val="00B03E2B"/>
    <w:rsid w:val="00B041F7"/>
    <w:rsid w:val="00B27630"/>
    <w:rsid w:val="00B311D4"/>
    <w:rsid w:val="00B429D7"/>
    <w:rsid w:val="00B60EE6"/>
    <w:rsid w:val="00B67385"/>
    <w:rsid w:val="00B82047"/>
    <w:rsid w:val="00B93390"/>
    <w:rsid w:val="00B93A25"/>
    <w:rsid w:val="00BA564E"/>
    <w:rsid w:val="00BB3047"/>
    <w:rsid w:val="00BB393A"/>
    <w:rsid w:val="00BD3BE9"/>
    <w:rsid w:val="00BD67E7"/>
    <w:rsid w:val="00BD7045"/>
    <w:rsid w:val="00C0190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0DB3"/>
    <w:rsid w:val="00D66453"/>
    <w:rsid w:val="00D731DA"/>
    <w:rsid w:val="00D82A4B"/>
    <w:rsid w:val="00D969C1"/>
    <w:rsid w:val="00DA7872"/>
    <w:rsid w:val="00DD5320"/>
    <w:rsid w:val="00DE069A"/>
    <w:rsid w:val="00DE7CC8"/>
    <w:rsid w:val="00DF73FF"/>
    <w:rsid w:val="00E34D1B"/>
    <w:rsid w:val="00E40C42"/>
    <w:rsid w:val="00E41B31"/>
    <w:rsid w:val="00E56588"/>
    <w:rsid w:val="00E95EEF"/>
    <w:rsid w:val="00EA6729"/>
    <w:rsid w:val="00EC303E"/>
    <w:rsid w:val="00EF71D7"/>
    <w:rsid w:val="00F00D41"/>
    <w:rsid w:val="00F0592A"/>
    <w:rsid w:val="00F25ABF"/>
    <w:rsid w:val="00F509E4"/>
    <w:rsid w:val="00F55431"/>
    <w:rsid w:val="00F66082"/>
    <w:rsid w:val="00F740F4"/>
    <w:rsid w:val="00F74EF7"/>
    <w:rsid w:val="00F80DA7"/>
    <w:rsid w:val="00F975CB"/>
    <w:rsid w:val="00FA54CA"/>
    <w:rsid w:val="00FB5E25"/>
    <w:rsid w:val="00FC4975"/>
    <w:rsid w:val="00FC72DB"/>
    <w:rsid w:val="00FD58DE"/>
    <w:rsid w:val="00FD7A54"/>
    <w:rsid w:val="00FE0125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EAB2"/>
  <w15:docId w15:val="{15B16F67-D098-41AE-873B-88D706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A5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3"/>
    </w:pPr>
    <w:rPr>
      <w:rFonts w:eastAsiaTheme="minorHAnsi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4"/>
    </w:pPr>
    <w:rPr>
      <w:rFonts w:eastAsiaTheme="minorHAnsi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5"/>
    </w:pPr>
    <w:rPr>
      <w:rFonts w:eastAsiaTheme="minorHAnsi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6"/>
    </w:pPr>
    <w:rPr>
      <w:rFonts w:eastAsiaTheme="minorHAnsi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overflowPunct/>
      <w:autoSpaceDE/>
      <w:autoSpaceDN/>
      <w:adjustRightInd/>
      <w:spacing w:before="120" w:after="120" w:line="360" w:lineRule="auto"/>
      <w:ind w:left="567" w:right="567"/>
      <w:jc w:val="both"/>
      <w:textAlignment w:val="auto"/>
    </w:pPr>
    <w:rPr>
      <w:rFonts w:eastAsiaTheme="minorHAnsi"/>
      <w:i/>
      <w:iCs/>
      <w:sz w:val="24"/>
      <w:lang w:eastAsia="en-US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overflowPunct/>
      <w:autoSpaceDE/>
      <w:autoSpaceDN/>
      <w:bidi w:val="0"/>
      <w:adjustRightInd/>
      <w:spacing w:before="120" w:after="120" w:line="360" w:lineRule="auto"/>
      <w:jc w:val="both"/>
      <w:textAlignment w:val="auto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482"/>
      <w:jc w:val="both"/>
      <w:textAlignment w:val="auto"/>
    </w:pPr>
    <w:rPr>
      <w:rFonts w:eastAsiaTheme="minorHAnsi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jc w:val="both"/>
      <w:textAlignment w:val="auto"/>
    </w:pPr>
    <w:rPr>
      <w:rFonts w:eastAsiaTheme="minorHAnsi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238"/>
      <w:jc w:val="both"/>
      <w:textAlignment w:val="auto"/>
    </w:pPr>
    <w:rPr>
      <w:rFonts w:eastAsiaTheme="minorHAnsi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440"/>
      <w:jc w:val="both"/>
      <w:textAlignment w:val="auto"/>
    </w:pPr>
    <w:rPr>
      <w:rFonts w:eastAsiaTheme="minorHAnsi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202"/>
      <w:contextualSpacing/>
      <w:jc w:val="both"/>
      <w:textAlignment w:val="auto"/>
    </w:pPr>
    <w:rPr>
      <w:rFonts w:eastAsiaTheme="minorHAnsi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958"/>
      <w:jc w:val="both"/>
      <w:textAlignment w:val="auto"/>
    </w:pPr>
    <w:rPr>
      <w:rFonts w:eastAsiaTheme="minorHAnsi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overflowPunct/>
      <w:autoSpaceDE/>
      <w:autoSpaceDN/>
      <w:adjustRightInd/>
      <w:spacing w:before="100" w:after="100"/>
      <w:ind w:left="720"/>
      <w:jc w:val="both"/>
      <w:textAlignment w:val="auto"/>
    </w:pPr>
    <w:rPr>
      <w:rFonts w:eastAsiaTheme="minorHAnsi"/>
      <w:sz w:val="24"/>
      <w:lang w:eastAsia="en-US"/>
    </w:rPr>
  </w:style>
  <w:style w:type="paragraph" w:styleId="a7">
    <w:name w:val="List Paragraph"/>
    <w:basedOn w:val="a"/>
    <w:uiPriority w:val="34"/>
    <w:qFormat/>
    <w:rsid w:val="00FE3193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  <w:textAlignment w:val="auto"/>
    </w:pPr>
    <w:rPr>
      <w:rFonts w:eastAsiaTheme="minorHAnsi"/>
      <w:sz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rsid w:val="009435A5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a">
    <w:name w:val="footer"/>
    <w:basedOn w:val="a"/>
    <w:link w:val="ab"/>
    <w:rsid w:val="009435A5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9435A5"/>
    <w:rPr>
      <w:color w:val="0000FF"/>
      <w:u w:val="single"/>
    </w:rPr>
  </w:style>
  <w:style w:type="character" w:styleId="ac">
    <w:name w:val="page number"/>
    <w:basedOn w:val="a0"/>
    <w:rsid w:val="009435A5"/>
  </w:style>
  <w:style w:type="paragraph" w:styleId="ad">
    <w:name w:val="Balloon Text"/>
    <w:basedOn w:val="a"/>
    <w:link w:val="ae"/>
    <w:uiPriority w:val="99"/>
    <w:semiHidden/>
    <w:unhideWhenUsed/>
    <w:rsid w:val="009435A5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9435A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93E8-72C5-42FD-962B-8CD7AC16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זרביב</dc:creator>
  <cp:lastModifiedBy>ליאת שטרק</cp:lastModifiedBy>
  <cp:revision>4</cp:revision>
  <cp:lastPrinted>2019-04-28T09:30:00Z</cp:lastPrinted>
  <dcterms:created xsi:type="dcterms:W3CDTF">2020-01-01T07:49:00Z</dcterms:created>
  <dcterms:modified xsi:type="dcterms:W3CDTF">2020-01-01T08:06:00Z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notes://MAOR2/Doc/Shuk_hon/hondocNew4.nsf/0/8D18C129832EDEC0C22584AA00349AC6/?OpenDocument</vt:lpwstr>
  </property>
  <property fmtid="{D5CDD505-2E9C-101B-9397-08002B2CF9AE}" pid="3" name="MaorRecipients0">
    <vt:lpwstr>urima@mof.gov.il</vt:lpwstr>
  </property>
</Properties>
</file>