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5A5" w:rsidRDefault="009435A5" w:rsidP="00E34D1B">
      <w:pPr>
        <w:spacing w:line="360" w:lineRule="auto"/>
        <w:rPr>
          <w:rtl/>
        </w:rPr>
      </w:pPr>
    </w:p>
    <w:p w:rsidR="00E34D1B" w:rsidRDefault="00E34D1B" w:rsidP="00E34D1B">
      <w:pPr>
        <w:spacing w:line="360" w:lineRule="auto"/>
        <w:rPr>
          <w:rtl/>
        </w:rPr>
      </w:pPr>
    </w:p>
    <w:p w:rsidR="00635B36" w:rsidRDefault="00635B36" w:rsidP="00E34D1B">
      <w:pPr>
        <w:ind w:left="7370"/>
        <w:rPr>
          <w:sz w:val="24"/>
          <w:rtl/>
        </w:rPr>
      </w:pPr>
      <w:bookmarkStart w:id="0" w:name="Date"/>
      <w:bookmarkEnd w:id="0"/>
      <w:r>
        <w:rPr>
          <w:rFonts w:hint="eastAsia"/>
          <w:sz w:val="24"/>
          <w:rtl/>
        </w:rPr>
        <w:t>י</w:t>
      </w:r>
      <w:r>
        <w:rPr>
          <w:sz w:val="24"/>
          <w:rtl/>
        </w:rPr>
        <w:t xml:space="preserve">"ט בכסלו </w:t>
      </w:r>
      <w:proofErr w:type="spellStart"/>
      <w:r>
        <w:rPr>
          <w:sz w:val="24"/>
          <w:rtl/>
        </w:rPr>
        <w:t>התשע"ט</w:t>
      </w:r>
      <w:proofErr w:type="spellEnd"/>
      <w:r>
        <w:rPr>
          <w:sz w:val="24"/>
          <w:rtl/>
        </w:rPr>
        <w:br/>
        <w:t>27 בנובמבר 2018</w:t>
      </w:r>
    </w:p>
    <w:p w:rsidR="00635B36" w:rsidRDefault="00635B36" w:rsidP="00E34D1B">
      <w:pPr>
        <w:ind w:left="7370"/>
        <w:rPr>
          <w:rtl/>
        </w:rPr>
      </w:pPr>
      <w:bookmarkStart w:id="1" w:name="DocNum"/>
      <w:bookmarkEnd w:id="1"/>
      <w:r>
        <w:rPr>
          <w:rtl/>
        </w:rPr>
        <w:t>שה. 2018-15830</w:t>
      </w:r>
    </w:p>
    <w:p w:rsidR="009435A5" w:rsidRDefault="009435A5" w:rsidP="009435A5">
      <w:pPr>
        <w:spacing w:line="360" w:lineRule="auto"/>
        <w:jc w:val="both"/>
        <w:rPr>
          <w:rtl/>
        </w:rPr>
      </w:pPr>
    </w:p>
    <w:p w:rsidR="005F6B87" w:rsidRDefault="005F6B87" w:rsidP="005F6B87">
      <w:pPr>
        <w:spacing w:line="276" w:lineRule="auto"/>
        <w:rPr>
          <w:rtl/>
        </w:rPr>
      </w:pPr>
      <w:bookmarkStart w:id="2" w:name="Start"/>
      <w:bookmarkEnd w:id="2"/>
      <w:r>
        <w:rPr>
          <w:rFonts w:hint="cs"/>
          <w:rtl/>
        </w:rPr>
        <w:t xml:space="preserve">לכבוד </w:t>
      </w:r>
    </w:p>
    <w:p w:rsidR="005F6B87" w:rsidRDefault="005F6B87" w:rsidP="005F6B87">
      <w:pPr>
        <w:spacing w:line="276" w:lineRule="auto"/>
        <w:rPr>
          <w:rtl/>
        </w:rPr>
      </w:pPr>
      <w:r>
        <w:rPr>
          <w:rFonts w:hint="cs"/>
          <w:rtl/>
        </w:rPr>
        <w:t>מר גיא זומר</w:t>
      </w:r>
    </w:p>
    <w:p w:rsidR="005F6B87" w:rsidRDefault="005F6B87" w:rsidP="005F6B87">
      <w:pPr>
        <w:spacing w:line="276" w:lineRule="auto"/>
      </w:pPr>
      <w:r>
        <w:rPr>
          <w:rFonts w:hint="cs"/>
          <w:rtl/>
        </w:rPr>
        <w:t>התנועה לחופש המידע</w:t>
      </w:r>
    </w:p>
    <w:p w:rsidR="009435A5" w:rsidRDefault="005F6B87" w:rsidP="005F6B87">
      <w:pPr>
        <w:spacing w:line="25" w:lineRule="atLeast"/>
        <w:jc w:val="both"/>
        <w:rPr>
          <w:rtl/>
        </w:rPr>
      </w:pPr>
      <w:r w:rsidRPr="0040435D">
        <w:rPr>
          <w:rFonts w:hint="eastAsia"/>
          <w:u w:val="single"/>
          <w:rtl/>
        </w:rPr>
        <w:t>בדואר</w:t>
      </w:r>
      <w:r w:rsidRPr="0040435D">
        <w:rPr>
          <w:u w:val="single"/>
          <w:rtl/>
        </w:rPr>
        <w:t xml:space="preserve"> </w:t>
      </w:r>
      <w:r w:rsidRPr="002D5141">
        <w:rPr>
          <w:u w:val="single"/>
          <w:rtl/>
        </w:rPr>
        <w:t>אלקטרוני</w:t>
      </w:r>
      <w:r w:rsidRPr="002D5141">
        <w:rPr>
          <w:rFonts w:hint="cs"/>
          <w:u w:val="single"/>
          <w:rtl/>
        </w:rPr>
        <w:t xml:space="preserve"> </w:t>
      </w:r>
      <w:hyperlink r:id="rId8" w:history="1">
        <w:r w:rsidRPr="002D5141">
          <w:rPr>
            <w:rStyle w:val="Hyperlink"/>
            <w:rFonts w:ascii="Calibri" w:hAnsi="Calibri" w:cs="Calibri"/>
            <w:sz w:val="22"/>
            <w:szCs w:val="22"/>
          </w:rPr>
          <w:t>foi@meida.org.il</w:t>
        </w:r>
      </w:hyperlink>
      <w:r>
        <w:rPr>
          <w:rFonts w:hint="cs"/>
          <w:rtl/>
        </w:rPr>
        <w:t xml:space="preserve"> </w:t>
      </w:r>
    </w:p>
    <w:p w:rsidR="005F6B87" w:rsidRDefault="005F6B87" w:rsidP="005F6B87">
      <w:pPr>
        <w:spacing w:line="25" w:lineRule="atLeast"/>
        <w:jc w:val="both"/>
        <w:rPr>
          <w:rtl/>
        </w:rPr>
      </w:pPr>
    </w:p>
    <w:p w:rsidR="002D5141" w:rsidRDefault="005F6B87" w:rsidP="002D5141">
      <w:pPr>
        <w:spacing w:line="25" w:lineRule="atLeast"/>
        <w:jc w:val="center"/>
        <w:rPr>
          <w:sz w:val="22"/>
          <w:szCs w:val="22"/>
          <w:rtl/>
        </w:rPr>
      </w:pPr>
      <w:r w:rsidRPr="005F6B87">
        <w:rPr>
          <w:rFonts w:hint="cs"/>
          <w:b/>
          <w:bCs/>
          <w:sz w:val="28"/>
          <w:szCs w:val="28"/>
          <w:u w:val="single"/>
          <w:rtl/>
        </w:rPr>
        <w:t xml:space="preserve">פניה לקבלת מידע אודות התקשרויות רגישות </w:t>
      </w:r>
    </w:p>
    <w:p w:rsidR="005F6B87" w:rsidRPr="005F6B87" w:rsidRDefault="005F6B87" w:rsidP="002D5141">
      <w:pPr>
        <w:spacing w:line="25" w:lineRule="atLeast"/>
        <w:jc w:val="center"/>
        <w:rPr>
          <w:sz w:val="22"/>
          <w:szCs w:val="22"/>
          <w:rtl/>
        </w:rPr>
      </w:pPr>
      <w:r w:rsidRPr="005F6B87">
        <w:rPr>
          <w:rFonts w:hint="cs"/>
          <w:sz w:val="22"/>
          <w:szCs w:val="22"/>
          <w:rtl/>
        </w:rPr>
        <w:t>סימוכין: פנייתך מיום 21.10.18</w:t>
      </w:r>
    </w:p>
    <w:p w:rsidR="00E34D1B" w:rsidRDefault="00E34D1B" w:rsidP="009435A5">
      <w:pPr>
        <w:spacing w:line="25" w:lineRule="atLeast"/>
        <w:jc w:val="both"/>
        <w:rPr>
          <w:rtl/>
        </w:rPr>
      </w:pPr>
    </w:p>
    <w:p w:rsidR="005F6B87" w:rsidRPr="00942077" w:rsidRDefault="005F6B87" w:rsidP="003C0600">
      <w:pPr>
        <w:pStyle w:val="a7"/>
        <w:numPr>
          <w:ilvl w:val="0"/>
          <w:numId w:val="8"/>
        </w:numPr>
      </w:pPr>
      <w:r w:rsidRPr="00942077">
        <w:rPr>
          <w:rtl/>
        </w:rPr>
        <w:t>בפנייתך שבנדון ביקשת</w:t>
      </w:r>
      <w:r w:rsidR="00942077" w:rsidRPr="00942077">
        <w:rPr>
          <w:rFonts w:hint="cs"/>
          <w:rtl/>
        </w:rPr>
        <w:t>ם</w:t>
      </w:r>
      <w:r w:rsidRPr="00942077">
        <w:rPr>
          <w:rFonts w:hint="cs"/>
          <w:rtl/>
        </w:rPr>
        <w:t xml:space="preserve"> </w:t>
      </w:r>
      <w:r w:rsidRPr="00942077">
        <w:rPr>
          <w:rtl/>
        </w:rPr>
        <w:t>לקבל, בהתאם לחוק חופש המידע, התשנ"ח-1998 (להלן</w:t>
      </w:r>
      <w:r w:rsidRPr="00942077">
        <w:rPr>
          <w:rFonts w:hint="cs"/>
          <w:rtl/>
        </w:rPr>
        <w:t xml:space="preserve"> </w:t>
      </w:r>
      <w:r w:rsidRPr="00942077">
        <w:rPr>
          <w:rtl/>
        </w:rPr>
        <w:t xml:space="preserve">- </w:t>
      </w:r>
      <w:r w:rsidRPr="00942077">
        <w:rPr>
          <w:b/>
          <w:bCs/>
          <w:rtl/>
        </w:rPr>
        <w:t>חוק חופש המידע</w:t>
      </w:r>
      <w:r w:rsidRPr="00942077">
        <w:rPr>
          <w:rFonts w:hint="cs"/>
          <w:rtl/>
        </w:rPr>
        <w:t>)</w:t>
      </w:r>
      <w:r w:rsidR="008D3046" w:rsidRPr="00942077">
        <w:rPr>
          <w:rFonts w:hint="cs"/>
          <w:rtl/>
        </w:rPr>
        <w:t>:</w:t>
      </w:r>
    </w:p>
    <w:p w:rsidR="005F6B87" w:rsidRPr="00942077" w:rsidRDefault="008D3046" w:rsidP="003C0600">
      <w:pPr>
        <w:pStyle w:val="a7"/>
        <w:numPr>
          <w:ilvl w:val="1"/>
          <w:numId w:val="8"/>
        </w:numPr>
        <w:rPr>
          <w:rtl/>
        </w:rPr>
      </w:pPr>
      <w:r w:rsidRPr="00942077">
        <w:rPr>
          <w:rtl/>
        </w:rPr>
        <w:t>פרטי כל התקשרות, בהתאם למפורסם בדוחות ההתקשרות הרבעוניים, וזאת למעט פרט המידע שסומן כרגיש (היינו, אם שם הספק הוא הרגיש או מטרת ההתקשרות, אזי את יתר פרטי המידע המופק בדוח)</w:t>
      </w:r>
      <w:r w:rsidRPr="00942077">
        <w:rPr>
          <w:rFonts w:hint="cs"/>
          <w:rtl/>
        </w:rPr>
        <w:t>.</w:t>
      </w:r>
    </w:p>
    <w:p w:rsidR="008D3046" w:rsidRPr="00942077" w:rsidRDefault="008D3046" w:rsidP="003C0600">
      <w:pPr>
        <w:pStyle w:val="a7"/>
        <w:numPr>
          <w:ilvl w:val="1"/>
          <w:numId w:val="8"/>
        </w:numPr>
      </w:pPr>
      <w:r w:rsidRPr="00942077">
        <w:rPr>
          <w:rtl/>
        </w:rPr>
        <w:t>העילה שבגינה הוחלט לסמן כל הזמנה כרגישה, בהתאם לסעיף 8 לנוהל</w:t>
      </w:r>
      <w:r w:rsidRPr="00942077">
        <w:rPr>
          <w:rFonts w:hint="cs"/>
          <w:rtl/>
        </w:rPr>
        <w:t>.</w:t>
      </w:r>
    </w:p>
    <w:p w:rsidR="008D3046" w:rsidRPr="00942077" w:rsidRDefault="008D3046" w:rsidP="002D5141">
      <w:pPr>
        <w:pStyle w:val="a7"/>
        <w:numPr>
          <w:ilvl w:val="1"/>
          <w:numId w:val="8"/>
        </w:numPr>
      </w:pPr>
      <w:r w:rsidRPr="00942077">
        <w:rPr>
          <w:rtl/>
        </w:rPr>
        <w:t>במקרי</w:t>
      </w:r>
      <w:r w:rsidR="002D5141">
        <w:rPr>
          <w:rtl/>
        </w:rPr>
        <w:t xml:space="preserve">ם שבהם המידע הרגיש הוא שם הספק </w:t>
      </w:r>
      <w:r w:rsidR="002D5141">
        <w:rPr>
          <w:rFonts w:hint="cs"/>
          <w:rtl/>
        </w:rPr>
        <w:t xml:space="preserve">- </w:t>
      </w:r>
      <w:r w:rsidRPr="00942077">
        <w:rPr>
          <w:rtl/>
        </w:rPr>
        <w:t>רישום חלופי שיאפשר זיהוי של ספקים חוזרים</w:t>
      </w:r>
      <w:r w:rsidRPr="00942077">
        <w:rPr>
          <w:rFonts w:hint="cs"/>
          <w:rtl/>
        </w:rPr>
        <w:t>.</w:t>
      </w:r>
    </w:p>
    <w:p w:rsidR="008D3046" w:rsidRPr="00942077" w:rsidRDefault="008D3046" w:rsidP="003C0600">
      <w:pPr>
        <w:pStyle w:val="a7"/>
        <w:numPr>
          <w:ilvl w:val="1"/>
          <w:numId w:val="8"/>
        </w:numPr>
      </w:pPr>
      <w:r w:rsidRPr="00942077">
        <w:rPr>
          <w:rtl/>
        </w:rPr>
        <w:t>נוהל החלטה הנוגעת לסימון התקשרות כרגישה.</w:t>
      </w:r>
    </w:p>
    <w:p w:rsidR="002D5141" w:rsidRPr="002D5141" w:rsidRDefault="002D5141" w:rsidP="003C0600">
      <w:pPr>
        <w:pStyle w:val="a7"/>
        <w:numPr>
          <w:ilvl w:val="0"/>
          <w:numId w:val="8"/>
        </w:numPr>
        <w:rPr>
          <w:rFonts w:cs="Times New Roman"/>
        </w:rPr>
      </w:pPr>
      <w:r>
        <w:rPr>
          <w:rFonts w:ascii="David" w:hAnsi="David" w:hint="cs"/>
          <w:rtl/>
        </w:rPr>
        <w:t xml:space="preserve">במענה לפנייתכם </w:t>
      </w:r>
      <w:r>
        <w:rPr>
          <w:rFonts w:ascii="David" w:hAnsi="David"/>
          <w:rtl/>
        </w:rPr>
        <w:t>–</w:t>
      </w:r>
      <w:r>
        <w:rPr>
          <w:rFonts w:ascii="David" w:hAnsi="David" w:hint="cs"/>
          <w:rtl/>
        </w:rPr>
        <w:t xml:space="preserve"> </w:t>
      </w:r>
    </w:p>
    <w:p w:rsidR="00942077" w:rsidRPr="003C0600" w:rsidRDefault="003A0F42" w:rsidP="002D5141">
      <w:pPr>
        <w:pStyle w:val="a7"/>
        <w:numPr>
          <w:ilvl w:val="1"/>
          <w:numId w:val="8"/>
        </w:numPr>
        <w:rPr>
          <w:rFonts w:cs="Times New Roman"/>
        </w:rPr>
      </w:pPr>
      <w:r>
        <w:rPr>
          <w:rFonts w:ascii="David" w:hAnsi="David" w:hint="cs"/>
          <w:rtl/>
        </w:rPr>
        <w:t>לגבי דוחות ההתקשרות הרבעוני</w:t>
      </w:r>
      <w:r w:rsidR="003C0600">
        <w:rPr>
          <w:rFonts w:ascii="David" w:hAnsi="David" w:hint="cs"/>
          <w:rtl/>
        </w:rPr>
        <w:t>י</w:t>
      </w:r>
      <w:r>
        <w:rPr>
          <w:rFonts w:ascii="David" w:hAnsi="David" w:hint="cs"/>
          <w:rtl/>
        </w:rPr>
        <w:t xml:space="preserve">ם אני מפנה אותך </w:t>
      </w:r>
      <w:r w:rsidR="003C0600">
        <w:rPr>
          <w:rFonts w:ascii="David" w:hAnsi="David" w:hint="cs"/>
          <w:rtl/>
        </w:rPr>
        <w:t xml:space="preserve">לאתר יחידת חופש המידע במשרד המשפטים המפרסם את התקשרויות הרשות: </w:t>
      </w:r>
    </w:p>
    <w:p w:rsidR="003C0600" w:rsidRDefault="00635B36" w:rsidP="002D5141">
      <w:pPr>
        <w:pStyle w:val="a7"/>
        <w:ind w:left="1080"/>
        <w:rPr>
          <w:rFonts w:cs="Times New Roman"/>
          <w:rtl/>
        </w:rPr>
      </w:pPr>
      <w:hyperlink r:id="rId9" w:history="1">
        <w:r w:rsidR="003C0600" w:rsidRPr="00DD4538">
          <w:rPr>
            <w:rStyle w:val="Hyperlink"/>
            <w:rFonts w:cs="Times New Roman"/>
          </w:rPr>
          <w:t>https://foi.gov.il/he/search/site/?f%5B0%5D=im_field_mmdtypes%3A368&amp;f%5B1%5D=im_field_mmdsubjects%3A367&amp;f%5B2%5D=sm_field_officeitems%3Anode%3A4141</w:t>
        </w:r>
      </w:hyperlink>
    </w:p>
    <w:p w:rsidR="002D5141" w:rsidRDefault="002D5141" w:rsidP="0033008F">
      <w:pPr>
        <w:pStyle w:val="a7"/>
        <w:numPr>
          <w:ilvl w:val="1"/>
          <w:numId w:val="8"/>
        </w:numPr>
        <w:rPr>
          <w:rFonts w:ascii="David" w:hAnsi="David"/>
        </w:rPr>
      </w:pPr>
      <w:r>
        <w:rPr>
          <w:rFonts w:ascii="David" w:hAnsi="David" w:hint="cs"/>
          <w:rtl/>
        </w:rPr>
        <w:t xml:space="preserve">לגבי התקשרויות רגישות </w:t>
      </w:r>
      <w:r w:rsidR="0033008F">
        <w:rPr>
          <w:rFonts w:ascii="David" w:hAnsi="David" w:hint="cs"/>
          <w:rtl/>
        </w:rPr>
        <w:t>-</w:t>
      </w:r>
      <w:r>
        <w:rPr>
          <w:rFonts w:ascii="David" w:hAnsi="David" w:hint="cs"/>
          <w:rtl/>
        </w:rPr>
        <w:t xml:space="preserve"> </w:t>
      </w:r>
      <w:r w:rsidR="0033008F">
        <w:rPr>
          <w:rFonts w:ascii="David" w:hAnsi="David" w:hint="cs"/>
          <w:rtl/>
        </w:rPr>
        <w:t>ב</w:t>
      </w:r>
      <w:r>
        <w:rPr>
          <w:rFonts w:ascii="David" w:hAnsi="David" w:hint="cs"/>
          <w:rtl/>
        </w:rPr>
        <w:t>רשות לא קיימות התקשרויות רגישות</w:t>
      </w:r>
      <w:r w:rsidRPr="00942077">
        <w:rPr>
          <w:rFonts w:ascii="David" w:hAnsi="David" w:hint="cs"/>
          <w:rtl/>
        </w:rPr>
        <w:t xml:space="preserve">. לפיכך, הרינו לדחות את בקשתכם בהתאם לסעיף 8(3) לחוק חופש המידע. </w:t>
      </w:r>
    </w:p>
    <w:p w:rsidR="002D5141" w:rsidRPr="00635B36" w:rsidRDefault="002D5141" w:rsidP="0074386C">
      <w:pPr>
        <w:pStyle w:val="a7"/>
        <w:numPr>
          <w:ilvl w:val="1"/>
          <w:numId w:val="8"/>
        </w:numPr>
        <w:rPr>
          <w:rFonts w:ascii="David" w:hAnsi="David"/>
        </w:rPr>
      </w:pPr>
      <w:r w:rsidRPr="00635B36">
        <w:rPr>
          <w:rFonts w:ascii="David" w:hAnsi="David" w:hint="cs"/>
          <w:rtl/>
        </w:rPr>
        <w:t xml:space="preserve">לעניין נוהל בדבר התקשרויות רגישות </w:t>
      </w:r>
      <w:r w:rsidR="0074386C" w:rsidRPr="00635B36">
        <w:rPr>
          <w:rFonts w:ascii="David" w:hAnsi="David" w:hint="cs"/>
          <w:rtl/>
        </w:rPr>
        <w:t>-</w:t>
      </w:r>
      <w:r w:rsidRPr="00635B36">
        <w:rPr>
          <w:rFonts w:ascii="David" w:hAnsi="David" w:hint="cs"/>
          <w:rtl/>
        </w:rPr>
        <w:t xml:space="preserve"> לא קיים נוהל כאמור ברשות והרשות טרם נצרכה לכך.</w:t>
      </w:r>
    </w:p>
    <w:p w:rsidR="003C0600" w:rsidRPr="00942077" w:rsidRDefault="00942077" w:rsidP="003C0600">
      <w:pPr>
        <w:pStyle w:val="a7"/>
        <w:numPr>
          <w:ilvl w:val="0"/>
          <w:numId w:val="8"/>
        </w:numPr>
      </w:pPr>
      <w:r w:rsidRPr="00942077">
        <w:rPr>
          <w:rFonts w:ascii="David" w:hAnsi="David"/>
          <w:rtl/>
        </w:rPr>
        <w:t>בהתאם לסעיף</w:t>
      </w:r>
      <w:r w:rsidRPr="00942077">
        <w:rPr>
          <w:rFonts w:ascii="David" w:hAnsi="David" w:hint="cs"/>
          <w:rtl/>
        </w:rPr>
        <w:t xml:space="preserve"> 7(ו)</w:t>
      </w:r>
      <w:r w:rsidRPr="00942077">
        <w:rPr>
          <w:rFonts w:ascii="David" w:hAnsi="David"/>
          <w:rtl/>
        </w:rPr>
        <w:t xml:space="preserve"> לחוק</w:t>
      </w:r>
      <w:r w:rsidRPr="00942077">
        <w:rPr>
          <w:rFonts w:ascii="David" w:hAnsi="David" w:hint="cs"/>
          <w:rtl/>
        </w:rPr>
        <w:t xml:space="preserve"> חופש המידע</w:t>
      </w:r>
      <w:r w:rsidRPr="00942077">
        <w:rPr>
          <w:rFonts w:ascii="David" w:hAnsi="David"/>
          <w:rtl/>
        </w:rPr>
        <w:t>, הריני להודיעך על זכותך לעתור נגד החלטה זו לבית המשפט לעניינים מנהליים בירושלים</w:t>
      </w:r>
      <w:r w:rsidRPr="00942077">
        <w:rPr>
          <w:rFonts w:hint="cs"/>
          <w:rtl/>
        </w:rPr>
        <w:t>.</w:t>
      </w:r>
    </w:p>
    <w:p w:rsidR="00942077" w:rsidRDefault="00942077" w:rsidP="00942077">
      <w:pPr>
        <w:pStyle w:val="a7"/>
        <w:ind w:left="2880" w:firstLine="720"/>
        <w:jc w:val="center"/>
        <w:rPr>
          <w:rtl/>
        </w:rPr>
      </w:pPr>
      <w:r>
        <w:rPr>
          <w:rFonts w:hint="cs"/>
          <w:rtl/>
        </w:rPr>
        <w:t>בכבוד רב,</w:t>
      </w:r>
    </w:p>
    <w:p w:rsidR="00942077" w:rsidRDefault="00942077" w:rsidP="00942077">
      <w:pPr>
        <w:pStyle w:val="a7"/>
        <w:ind w:left="3600"/>
        <w:jc w:val="center"/>
        <w:rPr>
          <w:rtl/>
        </w:rPr>
      </w:pPr>
      <w:r w:rsidRPr="00CE5463">
        <w:rPr>
          <w:noProof/>
        </w:rPr>
        <w:drawing>
          <wp:inline distT="0" distB="0" distL="0" distR="0" wp14:anchorId="1BE35FFF" wp14:editId="7CE68A2E">
            <wp:extent cx="711200" cy="284480"/>
            <wp:effectExtent l="0" t="0" r="0" b="1270"/>
            <wp:docPr id="3" name="תמונה 3" descr="sign_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_1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8" cy="29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077" w:rsidRPr="00CE5463" w:rsidRDefault="00942077" w:rsidP="00942077">
      <w:pPr>
        <w:pStyle w:val="a7"/>
        <w:ind w:left="2880" w:firstLine="720"/>
        <w:jc w:val="center"/>
        <w:rPr>
          <w:rtl/>
        </w:rPr>
      </w:pPr>
      <w:r w:rsidRPr="00CE5463">
        <w:rPr>
          <w:rFonts w:hint="cs"/>
          <w:rtl/>
        </w:rPr>
        <w:t>ליאת שטרק, עו"ד</w:t>
      </w:r>
    </w:p>
    <w:p w:rsidR="00942077" w:rsidRDefault="00942077" w:rsidP="00942077">
      <w:pPr>
        <w:pStyle w:val="a7"/>
        <w:ind w:left="2880" w:firstLine="720"/>
        <w:jc w:val="center"/>
        <w:rPr>
          <w:rtl/>
        </w:rPr>
      </w:pPr>
      <w:r w:rsidRPr="00CE5463">
        <w:rPr>
          <w:rFonts w:hint="cs"/>
          <w:rtl/>
        </w:rPr>
        <w:t>ממונה על חופש המידע</w:t>
      </w:r>
    </w:p>
    <w:p w:rsidR="00942077" w:rsidRDefault="00942077" w:rsidP="00942077">
      <w:pPr>
        <w:spacing w:line="25" w:lineRule="atLeast"/>
        <w:rPr>
          <w:rtl/>
        </w:rPr>
      </w:pPr>
      <w:r>
        <w:rPr>
          <w:rFonts w:hint="cs"/>
          <w:rtl/>
        </w:rPr>
        <w:t xml:space="preserve"> </w:t>
      </w:r>
    </w:p>
    <w:p w:rsidR="00942077" w:rsidRDefault="00942077" w:rsidP="00942077">
      <w:pPr>
        <w:spacing w:line="25" w:lineRule="atLeast"/>
        <w:jc w:val="both"/>
        <w:rPr>
          <w:rtl/>
        </w:rPr>
      </w:pPr>
      <w:r>
        <w:rPr>
          <w:rFonts w:hint="cs"/>
          <w:rtl/>
        </w:rPr>
        <w:t>העתק:</w:t>
      </w:r>
    </w:p>
    <w:p w:rsidR="00942077" w:rsidRDefault="00942077" w:rsidP="00942077">
      <w:pPr>
        <w:spacing w:line="25" w:lineRule="atLeast"/>
        <w:jc w:val="both"/>
        <w:rPr>
          <w:rtl/>
        </w:rPr>
      </w:pPr>
    </w:p>
    <w:p w:rsidR="00E34D1B" w:rsidRPr="0007311F" w:rsidRDefault="00942077" w:rsidP="00635B36">
      <w:pPr>
        <w:spacing w:line="25" w:lineRule="atLeast"/>
        <w:jc w:val="both"/>
        <w:rPr>
          <w:szCs w:val="20"/>
          <w:rtl/>
        </w:rPr>
      </w:pPr>
      <w:r>
        <w:rPr>
          <w:rFonts w:hint="cs"/>
          <w:rtl/>
        </w:rPr>
        <w:t>גב' סופי פרכטמן, חשבת, רשות שוק ההון, ביטוח וחיסכון</w:t>
      </w:r>
      <w:bookmarkStart w:id="3" w:name="_GoBack"/>
      <w:bookmarkEnd w:id="3"/>
    </w:p>
    <w:sectPr w:rsidR="00E34D1B" w:rsidRPr="0007311F" w:rsidSect="002973B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/>
      <w:pgMar w:top="1418" w:right="1134" w:bottom="1418" w:left="1134" w:header="28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1D2" w:rsidRDefault="000F51D2">
      <w:r>
        <w:separator/>
      </w:r>
    </w:p>
  </w:endnote>
  <w:endnote w:type="continuationSeparator" w:id="0">
    <w:p w:rsidR="000F51D2" w:rsidRDefault="000F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FB" w:rsidRDefault="009435A5">
    <w:pPr>
      <w:pStyle w:val="aa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E67FB" w:rsidRDefault="00635B36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  <w:rtl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1D2" w:rsidRDefault="000F51D2">
      <w:r>
        <w:separator/>
      </w:r>
    </w:p>
  </w:footnote>
  <w:footnote w:type="continuationSeparator" w:id="0">
    <w:p w:rsidR="000F51D2" w:rsidRDefault="000F5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69651144"/>
      <w:docPartObj>
        <w:docPartGallery w:val="Page Numbers (Top of Page)"/>
        <w:docPartUnique/>
      </w:docPartObj>
    </w:sdtPr>
    <w:sdtEndPr>
      <w:rPr>
        <w:cs/>
      </w:rPr>
    </w:sdtEndPr>
    <w:sdtContent>
      <w:p w:rsidR="0007311F" w:rsidRDefault="009435A5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635B36" w:rsidRPr="00635B36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3B2" w:rsidRDefault="00233FC8" w:rsidP="002973B2">
    <w:pPr>
      <w:pStyle w:val="a8"/>
      <w:jc w:val="center"/>
      <w:rPr>
        <w:b/>
        <w:bCs/>
        <w:szCs w:val="36"/>
        <w:rtl/>
      </w:rPr>
    </w:pPr>
    <w:r w:rsidRPr="00233FC8">
      <w:rPr>
        <w:b/>
        <w:bCs/>
        <w:noProof/>
        <w:szCs w:val="36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539750</wp:posOffset>
          </wp:positionH>
          <wp:positionV relativeFrom="page">
            <wp:posOffset>269875</wp:posOffset>
          </wp:positionV>
          <wp:extent cx="913765" cy="747395"/>
          <wp:effectExtent l="0" t="0" r="635" b="0"/>
          <wp:wrapNone/>
          <wp:docPr id="1" name="Samlil70" title="סמליל 70 ל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0לבן שקוף גדול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765" cy="747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73B2">
      <w:rPr>
        <w:rFonts w:hint="cs"/>
        <w:b/>
        <w:bCs/>
        <w:noProof/>
        <w:szCs w:val="36"/>
        <w:lang w:eastAsia="en-US"/>
      </w:rPr>
      <w:drawing>
        <wp:inline distT="0" distB="0" distL="0" distR="0" wp14:anchorId="53FCFEC8" wp14:editId="2BC72922">
          <wp:extent cx="563056" cy="446228"/>
          <wp:effectExtent l="0" t="0" r="0" b="0"/>
          <wp:docPr id="9" name="תמונה 9" descr="C:\Users\Shabed\Desktop\לוגו-ללא-טקס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bed\Desktop\לוגו-ללא-טקסט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4" t="23133" r="15750" b="20365"/>
                  <a:stretch/>
                </pic:blipFill>
                <pic:spPr bwMode="auto">
                  <a:xfrm>
                    <a:off x="0" y="0"/>
                    <a:ext cx="564078" cy="44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B14" w:rsidRDefault="00276B14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מדינת ישראל</w:t>
    </w:r>
  </w:p>
  <w:p w:rsidR="002973B2" w:rsidRDefault="002973B2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רשות</w:t>
    </w:r>
    <w:r>
      <w:rPr>
        <w:b/>
        <w:bCs/>
        <w:szCs w:val="32"/>
        <w:rtl/>
      </w:rPr>
      <w:t xml:space="preserve"> שוק ההון, ביטוח וחיסכון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2797"/>
    <w:multiLevelType w:val="multilevel"/>
    <w:tmpl w:val="CB2CFB36"/>
    <w:numStyleLink w:val="-"/>
  </w:abstractNum>
  <w:abstractNum w:abstractNumId="1" w15:restartNumberingAfterBreak="0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 w15:restartNumberingAfterBreak="0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90D37"/>
    <w:multiLevelType w:val="multilevel"/>
    <w:tmpl w:val="2C7611E6"/>
    <w:numStyleLink w:val="-0"/>
  </w:abstractNum>
  <w:abstractNum w:abstractNumId="4" w15:restartNumberingAfterBreak="0">
    <w:nsid w:val="305A1BD6"/>
    <w:multiLevelType w:val="multilevel"/>
    <w:tmpl w:val="FA6C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477D4CEE"/>
    <w:multiLevelType w:val="multilevel"/>
    <w:tmpl w:val="2C7611E6"/>
    <w:numStyleLink w:val="-0"/>
  </w:abstractNum>
  <w:abstractNum w:abstractNumId="6" w15:restartNumberingAfterBreak="0">
    <w:nsid w:val="52C63965"/>
    <w:multiLevelType w:val="multilevel"/>
    <w:tmpl w:val="CB2CFB36"/>
    <w:numStyleLink w:val="-"/>
  </w:abstractNum>
  <w:abstractNum w:abstractNumId="7" w15:restartNumberingAfterBreak="0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8" w15:restartNumberingAfterBreak="0">
    <w:nsid w:val="6D594143"/>
    <w:multiLevelType w:val="hybridMultilevel"/>
    <w:tmpl w:val="45EE1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A5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0F51D2"/>
    <w:rsid w:val="0010326C"/>
    <w:rsid w:val="001611C6"/>
    <w:rsid w:val="00164B30"/>
    <w:rsid w:val="0018292D"/>
    <w:rsid w:val="001A7C42"/>
    <w:rsid w:val="001C4F6D"/>
    <w:rsid w:val="001D55DD"/>
    <w:rsid w:val="001E548A"/>
    <w:rsid w:val="00215DFF"/>
    <w:rsid w:val="00233FC8"/>
    <w:rsid w:val="00275887"/>
    <w:rsid w:val="00276B14"/>
    <w:rsid w:val="002973B2"/>
    <w:rsid w:val="002A54A3"/>
    <w:rsid w:val="002A7FEA"/>
    <w:rsid w:val="002D5141"/>
    <w:rsid w:val="002E38F4"/>
    <w:rsid w:val="002F197C"/>
    <w:rsid w:val="00325E01"/>
    <w:rsid w:val="0033008F"/>
    <w:rsid w:val="00361114"/>
    <w:rsid w:val="003840FE"/>
    <w:rsid w:val="00393C6A"/>
    <w:rsid w:val="003A0F42"/>
    <w:rsid w:val="003A1D7A"/>
    <w:rsid w:val="003C0600"/>
    <w:rsid w:val="003C3A5C"/>
    <w:rsid w:val="003F1396"/>
    <w:rsid w:val="0040055E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5028F9"/>
    <w:rsid w:val="00505D36"/>
    <w:rsid w:val="00515321"/>
    <w:rsid w:val="00515E5C"/>
    <w:rsid w:val="00534452"/>
    <w:rsid w:val="005371D8"/>
    <w:rsid w:val="00556BE2"/>
    <w:rsid w:val="005D42E4"/>
    <w:rsid w:val="005F6B87"/>
    <w:rsid w:val="00600BFA"/>
    <w:rsid w:val="00600F1F"/>
    <w:rsid w:val="00602DAD"/>
    <w:rsid w:val="006309B0"/>
    <w:rsid w:val="00635B36"/>
    <w:rsid w:val="0066664E"/>
    <w:rsid w:val="00692C69"/>
    <w:rsid w:val="006952CA"/>
    <w:rsid w:val="006A13C9"/>
    <w:rsid w:val="006A2503"/>
    <w:rsid w:val="006A5446"/>
    <w:rsid w:val="006B352E"/>
    <w:rsid w:val="006C55AF"/>
    <w:rsid w:val="006D0744"/>
    <w:rsid w:val="006D686D"/>
    <w:rsid w:val="006E5942"/>
    <w:rsid w:val="00706164"/>
    <w:rsid w:val="00735D55"/>
    <w:rsid w:val="00743847"/>
    <w:rsid w:val="0074386C"/>
    <w:rsid w:val="00751B50"/>
    <w:rsid w:val="00757313"/>
    <w:rsid w:val="00757879"/>
    <w:rsid w:val="007611DA"/>
    <w:rsid w:val="00793E5C"/>
    <w:rsid w:val="007A373A"/>
    <w:rsid w:val="007D4118"/>
    <w:rsid w:val="007D65DE"/>
    <w:rsid w:val="007E2692"/>
    <w:rsid w:val="0080160A"/>
    <w:rsid w:val="0081150D"/>
    <w:rsid w:val="0082739B"/>
    <w:rsid w:val="00864DB3"/>
    <w:rsid w:val="00867AE5"/>
    <w:rsid w:val="00870D8A"/>
    <w:rsid w:val="008B39D7"/>
    <w:rsid w:val="008D3046"/>
    <w:rsid w:val="008E77BE"/>
    <w:rsid w:val="00910BC9"/>
    <w:rsid w:val="00915C9A"/>
    <w:rsid w:val="00935E81"/>
    <w:rsid w:val="00942077"/>
    <w:rsid w:val="009435A5"/>
    <w:rsid w:val="00986444"/>
    <w:rsid w:val="00990A24"/>
    <w:rsid w:val="009B64FE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D0167"/>
    <w:rsid w:val="00AF1C47"/>
    <w:rsid w:val="00B03E2B"/>
    <w:rsid w:val="00B041F7"/>
    <w:rsid w:val="00B311D4"/>
    <w:rsid w:val="00B429D7"/>
    <w:rsid w:val="00B60EE6"/>
    <w:rsid w:val="00B67385"/>
    <w:rsid w:val="00B93390"/>
    <w:rsid w:val="00B93A25"/>
    <w:rsid w:val="00BB3047"/>
    <w:rsid w:val="00BB393A"/>
    <w:rsid w:val="00BD67E7"/>
    <w:rsid w:val="00C01906"/>
    <w:rsid w:val="00C171DC"/>
    <w:rsid w:val="00C27AC8"/>
    <w:rsid w:val="00C37F33"/>
    <w:rsid w:val="00C76196"/>
    <w:rsid w:val="00C84ABA"/>
    <w:rsid w:val="00CA61AF"/>
    <w:rsid w:val="00CB40A4"/>
    <w:rsid w:val="00CC356E"/>
    <w:rsid w:val="00CD6DB8"/>
    <w:rsid w:val="00CE0517"/>
    <w:rsid w:val="00CF44BB"/>
    <w:rsid w:val="00D33979"/>
    <w:rsid w:val="00D66453"/>
    <w:rsid w:val="00D731DA"/>
    <w:rsid w:val="00D969C1"/>
    <w:rsid w:val="00DD5320"/>
    <w:rsid w:val="00DE069A"/>
    <w:rsid w:val="00DE7CC8"/>
    <w:rsid w:val="00DF73FF"/>
    <w:rsid w:val="00E34D1B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D7A54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15B16F67-D098-41AE-873B-88D706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qFormat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  <w:style w:type="character" w:styleId="FollowedHyperlink">
    <w:name w:val="FollowedHyperlink"/>
    <w:basedOn w:val="a0"/>
    <w:uiPriority w:val="99"/>
    <w:semiHidden/>
    <w:unhideWhenUsed/>
    <w:rsid w:val="002D51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meida.org.i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i.gov.il/he/search/site/?f%5B0%5D=im_field_mmdtypes%3A368&amp;f%5B1%5D=im_field_mmdsubjects%3A367&amp;f%5B2%5D=sm_field_officeitems%3Anode%3A4141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33530-AB71-4CDB-B6C4-152B616F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יצחק זרביב</dc:creator>
  <cp:lastModifiedBy>ליאת שטרק</cp:lastModifiedBy>
  <cp:revision>2</cp:revision>
  <dcterms:created xsi:type="dcterms:W3CDTF">2018-11-27T09:18:00Z</dcterms:created>
  <dcterms:modified xsi:type="dcterms:W3CDTF">2018-11-27T09:18:00Z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notes://MAOR2/Doc/Shuk_hon/hondocNew3.nsf/0/29DEF2F548BC3358C225833C002E4A60/?OpenDocument</vt:lpwstr>
  </property>
  <property fmtid="{D5CDD505-2E9C-101B-9397-08002B2CF9AE}" pid="3" name="MaorRecipients0">
    <vt:lpwstr>urima@mof.gov.il</vt:lpwstr>
  </property>
</Properties>
</file>