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9E4" w:rsidRPr="00305618" w:rsidRDefault="008929E4" w:rsidP="00EC251B">
      <w:pPr>
        <w:jc w:val="center"/>
        <w:rPr>
          <w:rStyle w:val="af1"/>
          <w:rFonts w:hint="cs"/>
          <w:sz w:val="32"/>
          <w:szCs w:val="32"/>
          <w:u w:val="single"/>
          <w:rtl/>
        </w:rPr>
      </w:pPr>
      <w:bookmarkStart w:id="0" w:name="_GoBack"/>
      <w:bookmarkEnd w:id="0"/>
      <w:r w:rsidRPr="00305618">
        <w:rPr>
          <w:rStyle w:val="af1"/>
          <w:rFonts w:hint="cs"/>
          <w:sz w:val="32"/>
          <w:szCs w:val="32"/>
          <w:u w:val="single"/>
          <w:rtl/>
        </w:rPr>
        <w:t>נימוקי התנגדות הממונה על הגבלים עסקיים</w:t>
      </w:r>
    </w:p>
    <w:p w:rsidR="002E792A" w:rsidRPr="00305618" w:rsidDel="002E792A" w:rsidRDefault="008929E4" w:rsidP="00EC251B">
      <w:pPr>
        <w:jc w:val="center"/>
        <w:rPr>
          <w:rStyle w:val="af1"/>
          <w:sz w:val="32"/>
          <w:szCs w:val="32"/>
          <w:u w:val="single"/>
          <w:rtl/>
        </w:rPr>
      </w:pPr>
      <w:r w:rsidRPr="00305618">
        <w:rPr>
          <w:rStyle w:val="af1"/>
          <w:rFonts w:hint="cs"/>
          <w:sz w:val="32"/>
          <w:szCs w:val="32"/>
          <w:u w:val="single"/>
          <w:rtl/>
        </w:rPr>
        <w:t xml:space="preserve">למיזוג בין </w:t>
      </w:r>
      <w:r w:rsidR="001D1110">
        <w:rPr>
          <w:rStyle w:val="af1"/>
          <w:rFonts w:hint="cs"/>
          <w:sz w:val="32"/>
          <w:szCs w:val="32"/>
          <w:u w:val="single"/>
          <w:rtl/>
        </w:rPr>
        <w:t>סלקום ישראל בע"מ</w:t>
      </w:r>
      <w:r w:rsidR="002E792A" w:rsidRPr="00305618">
        <w:rPr>
          <w:rStyle w:val="af1"/>
          <w:rFonts w:hint="cs"/>
          <w:sz w:val="32"/>
          <w:szCs w:val="32"/>
          <w:u w:val="single"/>
          <w:rtl/>
        </w:rPr>
        <w:t xml:space="preserve"> לבין </w:t>
      </w:r>
      <w:r w:rsidR="001D1110">
        <w:rPr>
          <w:rStyle w:val="af1"/>
          <w:rFonts w:hint="cs"/>
          <w:sz w:val="32"/>
          <w:szCs w:val="32"/>
          <w:u w:val="single"/>
          <w:rtl/>
        </w:rPr>
        <w:t>גולן טלקום בע"מ</w:t>
      </w:r>
    </w:p>
    <w:p w:rsidR="003B5644" w:rsidRPr="00305618" w:rsidRDefault="00EB1D72" w:rsidP="001A0311">
      <w:pPr>
        <w:pStyle w:val="1"/>
        <w:rPr>
          <w:rFonts w:hint="cs"/>
          <w:rtl/>
        </w:rPr>
      </w:pPr>
      <w:r w:rsidRPr="00305618">
        <w:rPr>
          <w:rFonts w:hint="cs"/>
          <w:rtl/>
        </w:rPr>
        <w:t>מבוא</w:t>
      </w:r>
    </w:p>
    <w:p w:rsidR="00BD2C5B" w:rsidRPr="0030707F" w:rsidRDefault="009D7A6D" w:rsidP="005464FA">
      <w:pPr>
        <w:rPr>
          <w:rFonts w:hint="cs"/>
          <w:rtl/>
        </w:rPr>
      </w:pPr>
      <w:r w:rsidRPr="0030707F">
        <w:rPr>
          <w:rFonts w:hint="cs"/>
          <w:rtl/>
        </w:rPr>
        <w:t xml:space="preserve">ביום </w:t>
      </w:r>
      <w:r w:rsidR="001D1110" w:rsidRPr="0030707F">
        <w:rPr>
          <w:rFonts w:hint="cs"/>
          <w:rtl/>
        </w:rPr>
        <w:t>24.11.15</w:t>
      </w:r>
      <w:r w:rsidR="002D20BD" w:rsidRPr="0030707F">
        <w:rPr>
          <w:rFonts w:hint="cs"/>
          <w:rtl/>
        </w:rPr>
        <w:t xml:space="preserve"> </w:t>
      </w:r>
      <w:r w:rsidR="0080399B" w:rsidRPr="0030707F">
        <w:rPr>
          <w:rFonts w:hint="cs"/>
          <w:rtl/>
        </w:rPr>
        <w:t xml:space="preserve">הונחו </w:t>
      </w:r>
      <w:r w:rsidRPr="0030707F">
        <w:rPr>
          <w:rFonts w:hint="cs"/>
          <w:rtl/>
        </w:rPr>
        <w:t>בפני</w:t>
      </w:r>
      <w:r w:rsidR="00D3358F">
        <w:rPr>
          <w:rFonts w:hint="cs"/>
          <w:rtl/>
        </w:rPr>
        <w:t xml:space="preserve"> רשות הגבלים עסקיים</w:t>
      </w:r>
      <w:r w:rsidR="00665592">
        <w:rPr>
          <w:rFonts w:hint="cs"/>
          <w:rtl/>
        </w:rPr>
        <w:t xml:space="preserve"> (להלן: "</w:t>
      </w:r>
      <w:r w:rsidR="00665592" w:rsidRPr="000862B2">
        <w:rPr>
          <w:rFonts w:hint="cs"/>
          <w:b/>
          <w:bCs/>
          <w:rtl/>
        </w:rPr>
        <w:t>הרשות</w:t>
      </w:r>
      <w:r w:rsidR="00665592">
        <w:rPr>
          <w:rFonts w:hint="cs"/>
          <w:rtl/>
        </w:rPr>
        <w:t>")</w:t>
      </w:r>
      <w:r w:rsidRPr="0030707F">
        <w:rPr>
          <w:rFonts w:hint="cs"/>
          <w:rtl/>
        </w:rPr>
        <w:t xml:space="preserve"> הודעות מיזוג מטעם </w:t>
      </w:r>
      <w:r w:rsidR="001D1110" w:rsidRPr="0030707F">
        <w:rPr>
          <w:rFonts w:hint="cs"/>
          <w:rtl/>
        </w:rPr>
        <w:t>סלקום ישראל בע"מ</w:t>
      </w:r>
      <w:r w:rsidR="008929E4" w:rsidRPr="0030707F">
        <w:rPr>
          <w:rFonts w:hint="cs"/>
          <w:rtl/>
        </w:rPr>
        <w:t xml:space="preserve"> (להלן: "</w:t>
      </w:r>
      <w:r w:rsidR="001D1110" w:rsidRPr="00D61798">
        <w:rPr>
          <w:rFonts w:hint="cs"/>
          <w:b/>
          <w:bCs/>
          <w:rtl/>
        </w:rPr>
        <w:t>סלקום</w:t>
      </w:r>
      <w:r w:rsidR="008929E4" w:rsidRPr="0030707F">
        <w:rPr>
          <w:rFonts w:hint="cs"/>
          <w:rtl/>
        </w:rPr>
        <w:t>")</w:t>
      </w:r>
      <w:r w:rsidR="000E0AC0" w:rsidRPr="0030707F">
        <w:rPr>
          <w:rFonts w:hint="cs"/>
          <w:rtl/>
        </w:rPr>
        <w:t xml:space="preserve">, </w:t>
      </w:r>
      <w:r w:rsidR="002E792A" w:rsidRPr="0030707F">
        <w:rPr>
          <w:rFonts w:hint="cs"/>
          <w:rtl/>
        </w:rPr>
        <w:t xml:space="preserve">ומטעם </w:t>
      </w:r>
      <w:r w:rsidR="001D1110" w:rsidRPr="0030707F">
        <w:rPr>
          <w:rFonts w:hint="cs"/>
          <w:rtl/>
        </w:rPr>
        <w:t>גולן טלקום בע"מ</w:t>
      </w:r>
      <w:r w:rsidR="002E792A" w:rsidRPr="0030707F">
        <w:rPr>
          <w:rFonts w:hint="cs"/>
          <w:rtl/>
        </w:rPr>
        <w:t xml:space="preserve"> (להלן: "</w:t>
      </w:r>
      <w:r w:rsidR="001D1110" w:rsidRPr="00D61798">
        <w:rPr>
          <w:rFonts w:hint="cs"/>
          <w:b/>
          <w:bCs/>
          <w:rtl/>
        </w:rPr>
        <w:t>גולן</w:t>
      </w:r>
      <w:r w:rsidR="002E792A" w:rsidRPr="0030707F">
        <w:rPr>
          <w:rFonts w:hint="cs"/>
          <w:rtl/>
        </w:rPr>
        <w:t>"</w:t>
      </w:r>
      <w:r w:rsidR="00E65627" w:rsidRPr="0030707F">
        <w:rPr>
          <w:rFonts w:hint="cs"/>
          <w:rtl/>
        </w:rPr>
        <w:t xml:space="preserve"> ו</w:t>
      </w:r>
      <w:r w:rsidR="0080587F" w:rsidRPr="0030707F">
        <w:rPr>
          <w:rFonts w:hint="cs"/>
          <w:rtl/>
        </w:rPr>
        <w:t xml:space="preserve">להלן </w:t>
      </w:r>
      <w:r w:rsidR="00E65627" w:rsidRPr="0030707F">
        <w:rPr>
          <w:rFonts w:hint="cs"/>
          <w:rtl/>
        </w:rPr>
        <w:t>ביחד: "</w:t>
      </w:r>
      <w:r w:rsidR="00E65627" w:rsidRPr="00D61798">
        <w:rPr>
          <w:rFonts w:hint="cs"/>
          <w:b/>
          <w:bCs/>
          <w:rtl/>
        </w:rPr>
        <w:t>הצדדים</w:t>
      </w:r>
      <w:r w:rsidR="00E65627" w:rsidRPr="0030707F">
        <w:rPr>
          <w:rFonts w:hint="cs"/>
          <w:rtl/>
        </w:rPr>
        <w:t>"</w:t>
      </w:r>
      <w:r w:rsidR="002E792A" w:rsidRPr="0030707F">
        <w:rPr>
          <w:rFonts w:hint="cs"/>
          <w:rtl/>
        </w:rPr>
        <w:t>)</w:t>
      </w:r>
      <w:r w:rsidR="000E0AC0" w:rsidRPr="0030707F">
        <w:rPr>
          <w:rFonts w:hint="cs"/>
          <w:rtl/>
        </w:rPr>
        <w:t xml:space="preserve"> </w:t>
      </w:r>
      <w:r w:rsidR="001D1110" w:rsidRPr="0030707F">
        <w:rPr>
          <w:rFonts w:hint="cs"/>
          <w:rtl/>
        </w:rPr>
        <w:t>בגין</w:t>
      </w:r>
      <w:r w:rsidRPr="0030707F">
        <w:rPr>
          <w:rFonts w:hint="cs"/>
          <w:rtl/>
        </w:rPr>
        <w:t xml:space="preserve"> </w:t>
      </w:r>
      <w:r w:rsidR="001D1110" w:rsidRPr="0030707F">
        <w:rPr>
          <w:rFonts w:hint="cs"/>
          <w:rtl/>
        </w:rPr>
        <w:t>הסכם מיום 4.11.15 במסגרתו תרכוש סלקום את מלוא הון מניותיה של גולן</w:t>
      </w:r>
      <w:r w:rsidR="00167A1D" w:rsidRPr="0030707F">
        <w:rPr>
          <w:rFonts w:hint="cs"/>
          <w:rtl/>
        </w:rPr>
        <w:t xml:space="preserve"> </w:t>
      </w:r>
      <w:r w:rsidR="00BD2C5B" w:rsidRPr="0030707F">
        <w:rPr>
          <w:rFonts w:hint="cs"/>
          <w:rtl/>
        </w:rPr>
        <w:t xml:space="preserve">(להלן: </w:t>
      </w:r>
      <w:r w:rsidR="00167A1D" w:rsidRPr="0030707F">
        <w:rPr>
          <w:rFonts w:hint="cs"/>
          <w:rtl/>
        </w:rPr>
        <w:t>"</w:t>
      </w:r>
      <w:r w:rsidR="001D1110" w:rsidRPr="00D61798">
        <w:rPr>
          <w:rFonts w:hint="cs"/>
          <w:b/>
          <w:bCs/>
          <w:rtl/>
        </w:rPr>
        <w:t>הסכם המיזוג</w:t>
      </w:r>
      <w:r w:rsidR="00BD2C5B" w:rsidRPr="0030707F">
        <w:rPr>
          <w:rFonts w:hint="cs"/>
          <w:rtl/>
        </w:rPr>
        <w:t>")</w:t>
      </w:r>
      <w:r w:rsidR="00BD2C5B" w:rsidRPr="0030707F">
        <w:rPr>
          <w:rtl/>
        </w:rPr>
        <w:t>.</w:t>
      </w:r>
    </w:p>
    <w:p w:rsidR="00A07675" w:rsidRPr="0030707F" w:rsidRDefault="00167A1D" w:rsidP="00997A64">
      <w:pPr>
        <w:rPr>
          <w:rFonts w:hint="cs"/>
          <w:rtl/>
        </w:rPr>
      </w:pPr>
      <w:r w:rsidRPr="0030707F">
        <w:rPr>
          <w:rFonts w:hint="cs"/>
          <w:rtl/>
        </w:rPr>
        <w:t>עניינ</w:t>
      </w:r>
      <w:r w:rsidR="005000E2" w:rsidRPr="0030707F">
        <w:rPr>
          <w:rFonts w:hint="cs"/>
          <w:rtl/>
        </w:rPr>
        <w:t>נ</w:t>
      </w:r>
      <w:r w:rsidRPr="0030707F">
        <w:rPr>
          <w:rFonts w:hint="cs"/>
          <w:rtl/>
        </w:rPr>
        <w:t>ו ב</w:t>
      </w:r>
      <w:r w:rsidR="00EB1D72" w:rsidRPr="0030707F">
        <w:rPr>
          <w:rFonts w:hint="cs"/>
          <w:rtl/>
        </w:rPr>
        <w:t xml:space="preserve">מיזוג אופקי </w:t>
      </w:r>
      <w:r w:rsidR="006000A3" w:rsidRPr="0030707F">
        <w:rPr>
          <w:rFonts w:hint="cs"/>
          <w:rtl/>
        </w:rPr>
        <w:t>בין שתי חברות הפועלות ב</w:t>
      </w:r>
      <w:r w:rsidR="00196174" w:rsidRPr="0030707F">
        <w:rPr>
          <w:rFonts w:hint="cs"/>
          <w:rtl/>
        </w:rPr>
        <w:t>ענף</w:t>
      </w:r>
      <w:r w:rsidR="006000A3" w:rsidRPr="0030707F">
        <w:rPr>
          <w:rFonts w:hint="cs"/>
          <w:rtl/>
        </w:rPr>
        <w:t xml:space="preserve"> </w:t>
      </w:r>
      <w:r w:rsidR="00492E97" w:rsidRPr="0030707F">
        <w:rPr>
          <w:rFonts w:hint="cs"/>
          <w:rtl/>
        </w:rPr>
        <w:t>א</w:t>
      </w:r>
      <w:r w:rsidR="001D1110" w:rsidRPr="0030707F">
        <w:rPr>
          <w:rFonts w:hint="cs"/>
          <w:rtl/>
        </w:rPr>
        <w:t xml:space="preserve">ספקת שירותי </w:t>
      </w:r>
      <w:r w:rsidR="00196174" w:rsidRPr="0030707F">
        <w:rPr>
          <w:rFonts w:hint="cs"/>
          <w:rtl/>
        </w:rPr>
        <w:t>תקשורת ניידת</w:t>
      </w:r>
      <w:r w:rsidR="003D2BA7" w:rsidRPr="0030707F">
        <w:rPr>
          <w:rFonts w:hint="cs"/>
          <w:rtl/>
        </w:rPr>
        <w:t xml:space="preserve"> (סלולר)</w:t>
      </w:r>
      <w:r w:rsidR="00903818" w:rsidRPr="0030707F">
        <w:rPr>
          <w:rFonts w:hint="cs"/>
          <w:rtl/>
        </w:rPr>
        <w:t xml:space="preserve">. </w:t>
      </w:r>
      <w:r w:rsidR="00D3358F">
        <w:rPr>
          <w:rFonts w:hint="cs"/>
          <w:rtl/>
        </w:rPr>
        <w:t>גולן</w:t>
      </w:r>
      <w:r w:rsidR="00D3358F" w:rsidRPr="0030707F">
        <w:rPr>
          <w:rFonts w:hint="cs"/>
          <w:rtl/>
        </w:rPr>
        <w:t xml:space="preserve"> </w:t>
      </w:r>
      <w:r w:rsidR="003D2BA7" w:rsidRPr="0030707F">
        <w:rPr>
          <w:rFonts w:hint="cs"/>
          <w:rtl/>
        </w:rPr>
        <w:t>היא מחוללת תחרות (</w:t>
      </w:r>
      <w:r w:rsidR="003D2BA7" w:rsidRPr="0030707F">
        <w:t>Maverick</w:t>
      </w:r>
      <w:r w:rsidR="003D2BA7" w:rsidRPr="0030707F">
        <w:rPr>
          <w:rFonts w:hint="cs"/>
          <w:rtl/>
        </w:rPr>
        <w:t>)</w:t>
      </w:r>
      <w:r w:rsidRPr="0030707F">
        <w:rPr>
          <w:rFonts w:hint="cs"/>
          <w:rtl/>
        </w:rPr>
        <w:t>.</w:t>
      </w:r>
      <w:r w:rsidR="003D2BA7" w:rsidRPr="0030707F">
        <w:rPr>
          <w:rFonts w:hint="cs"/>
          <w:rtl/>
        </w:rPr>
        <w:t xml:space="preserve"> כפי שיוסבר בהמשך, נוכח מאפייני הענף, גריעתה מהשוק של </w:t>
      </w:r>
      <w:r w:rsidR="00903818" w:rsidRPr="0030707F">
        <w:rPr>
          <w:rFonts w:hint="cs"/>
          <w:rtl/>
        </w:rPr>
        <w:t xml:space="preserve">מחוללת התחרות, קרי </w:t>
      </w:r>
      <w:r w:rsidR="003D2BA7" w:rsidRPr="0030707F">
        <w:rPr>
          <w:rFonts w:hint="cs"/>
          <w:rtl/>
        </w:rPr>
        <w:t>גולן</w:t>
      </w:r>
      <w:r w:rsidR="00903818" w:rsidRPr="0030707F">
        <w:rPr>
          <w:rFonts w:hint="cs"/>
          <w:rtl/>
        </w:rPr>
        <w:t>,</w:t>
      </w:r>
      <w:r w:rsidR="003D2BA7" w:rsidRPr="0030707F">
        <w:rPr>
          <w:rFonts w:hint="cs"/>
          <w:rtl/>
        </w:rPr>
        <w:t xml:space="preserve"> מעוררת חשש סביר ליצירת כוח שוק מתואם בין החברות הפועלות בענף ו</w:t>
      </w:r>
      <w:r w:rsidR="00903818" w:rsidRPr="0030707F">
        <w:rPr>
          <w:rFonts w:hint="cs"/>
          <w:rtl/>
        </w:rPr>
        <w:t>כ</w:t>
      </w:r>
      <w:r w:rsidR="003D2BA7" w:rsidRPr="0030707F">
        <w:rPr>
          <w:rFonts w:hint="cs"/>
          <w:rtl/>
        </w:rPr>
        <w:t xml:space="preserve">ן </w:t>
      </w:r>
      <w:r w:rsidR="00903818" w:rsidRPr="0030707F">
        <w:rPr>
          <w:rFonts w:hint="cs"/>
          <w:rtl/>
        </w:rPr>
        <w:t xml:space="preserve">ליצירת </w:t>
      </w:r>
      <w:r w:rsidR="003D2BA7" w:rsidRPr="0030707F">
        <w:rPr>
          <w:rFonts w:hint="cs"/>
          <w:rtl/>
        </w:rPr>
        <w:t>כוח שוק חד-צדדי לחברה הממוזגת.</w:t>
      </w:r>
      <w:r w:rsidRPr="0030707F">
        <w:rPr>
          <w:rFonts w:hint="cs"/>
          <w:rtl/>
        </w:rPr>
        <w:t xml:space="preserve"> </w:t>
      </w:r>
    </w:p>
    <w:p w:rsidR="00121C87" w:rsidRPr="0030707F" w:rsidRDefault="00670A58" w:rsidP="0030707F">
      <w:pPr>
        <w:rPr>
          <w:rFonts w:hint="cs"/>
          <w:rtl/>
        </w:rPr>
      </w:pPr>
      <w:r w:rsidRPr="0030707F">
        <w:rPr>
          <w:rFonts w:hint="cs"/>
          <w:rtl/>
        </w:rPr>
        <w:t xml:space="preserve">לאור זאת, </w:t>
      </w:r>
      <w:r w:rsidR="00257BBF" w:rsidRPr="0030707F">
        <w:rPr>
          <w:rFonts w:hint="cs"/>
          <w:rtl/>
        </w:rPr>
        <w:t>ו</w:t>
      </w:r>
      <w:r w:rsidR="002235F0" w:rsidRPr="0030707F">
        <w:rPr>
          <w:rFonts w:hint="cs"/>
          <w:rtl/>
        </w:rPr>
        <w:t>בהתאם לסמכותי על-פי סעיף 21 לחוק ההגבלים העסקיים, התשמ"ח-1988 (להלן: "</w:t>
      </w:r>
      <w:r w:rsidR="002235F0" w:rsidRPr="00D61798">
        <w:rPr>
          <w:rFonts w:hint="cs"/>
          <w:b/>
          <w:bCs/>
          <w:rtl/>
        </w:rPr>
        <w:t>החוק</w:t>
      </w:r>
      <w:r w:rsidR="002235F0" w:rsidRPr="0030707F">
        <w:rPr>
          <w:rFonts w:hint="cs"/>
          <w:rtl/>
        </w:rPr>
        <w:t xml:space="preserve">") </w:t>
      </w:r>
      <w:r w:rsidR="00090487" w:rsidRPr="0030707F">
        <w:rPr>
          <w:rFonts w:hint="cs"/>
          <w:rtl/>
        </w:rPr>
        <w:t xml:space="preserve">הודעתי </w:t>
      </w:r>
      <w:r w:rsidR="001F2CDF" w:rsidRPr="0030707F">
        <w:rPr>
          <w:rFonts w:hint="cs"/>
          <w:rtl/>
        </w:rPr>
        <w:t xml:space="preserve">לצדדים </w:t>
      </w:r>
      <w:r w:rsidR="001508A4" w:rsidRPr="0030707F">
        <w:rPr>
          <w:rFonts w:hint="cs"/>
          <w:rtl/>
        </w:rPr>
        <w:t xml:space="preserve">ביום </w:t>
      </w:r>
      <w:r w:rsidR="00903818" w:rsidRPr="0030707F">
        <w:rPr>
          <w:rFonts w:hint="cs"/>
          <w:rtl/>
        </w:rPr>
        <w:t>1</w:t>
      </w:r>
      <w:r w:rsidR="009D4BA9" w:rsidRPr="0030707F">
        <w:rPr>
          <w:rFonts w:hint="cs"/>
          <w:rtl/>
        </w:rPr>
        <w:t>2</w:t>
      </w:r>
      <w:r w:rsidR="00903818" w:rsidRPr="0030707F">
        <w:rPr>
          <w:rFonts w:hint="cs"/>
          <w:rtl/>
        </w:rPr>
        <w:t>.4.16</w:t>
      </w:r>
      <w:r w:rsidR="000E0AC0" w:rsidRPr="0030707F">
        <w:rPr>
          <w:rFonts w:hint="cs"/>
          <w:rtl/>
        </w:rPr>
        <w:t xml:space="preserve"> </w:t>
      </w:r>
      <w:r w:rsidR="00090487" w:rsidRPr="0030707F">
        <w:rPr>
          <w:rFonts w:hint="cs"/>
          <w:rtl/>
        </w:rPr>
        <w:t xml:space="preserve">על </w:t>
      </w:r>
      <w:r w:rsidR="002235F0" w:rsidRPr="0030707F">
        <w:rPr>
          <w:rFonts w:hint="cs"/>
          <w:rtl/>
        </w:rPr>
        <w:t xml:space="preserve">החלטתי להתנגד </w:t>
      </w:r>
      <w:r w:rsidR="00412DD1" w:rsidRPr="0030707F">
        <w:rPr>
          <w:rFonts w:hint="cs"/>
          <w:rtl/>
        </w:rPr>
        <w:t>למיזוג</w:t>
      </w:r>
      <w:r w:rsidR="00866AC4" w:rsidRPr="0030707F">
        <w:rPr>
          <w:rFonts w:hint="cs"/>
          <w:rtl/>
        </w:rPr>
        <w:t>.</w:t>
      </w:r>
      <w:r w:rsidR="00121C87" w:rsidRPr="0030707F">
        <w:rPr>
          <w:rFonts w:hint="cs"/>
          <w:rtl/>
        </w:rPr>
        <w:t xml:space="preserve"> להלן נימוקי ההתנגדות. </w:t>
      </w:r>
    </w:p>
    <w:p w:rsidR="00613DF0" w:rsidRPr="00305618" w:rsidRDefault="00564B65" w:rsidP="001A0311">
      <w:pPr>
        <w:pStyle w:val="1"/>
        <w:rPr>
          <w:rFonts w:hint="cs"/>
          <w:rtl/>
        </w:rPr>
      </w:pPr>
      <w:r>
        <w:rPr>
          <w:rFonts w:hint="cs"/>
          <w:rtl/>
        </w:rPr>
        <w:t xml:space="preserve">הצדדים למיזוג </w:t>
      </w:r>
    </w:p>
    <w:p w:rsidR="00C87ADA" w:rsidRDefault="005911C0" w:rsidP="00997A64">
      <w:pPr>
        <w:rPr>
          <w:rFonts w:hint="cs"/>
          <w:rtl/>
        </w:rPr>
      </w:pPr>
      <w:r>
        <w:rPr>
          <w:rFonts w:hint="cs"/>
          <w:b/>
          <w:bCs/>
          <w:rtl/>
        </w:rPr>
        <w:t xml:space="preserve">סלקום </w:t>
      </w:r>
      <w:r w:rsidR="00CF1290">
        <w:rPr>
          <w:rFonts w:hint="cs"/>
          <w:rtl/>
        </w:rPr>
        <w:t>היא</w:t>
      </w:r>
      <w:r>
        <w:rPr>
          <w:rFonts w:hint="cs"/>
          <w:rtl/>
        </w:rPr>
        <w:t xml:space="preserve"> חברה ציבורית שמניותיה נסחרות בבורסות </w:t>
      </w:r>
      <w:r w:rsidR="0018100D">
        <w:rPr>
          <w:rFonts w:hint="cs"/>
          <w:rtl/>
        </w:rPr>
        <w:t>לניירות ערך בתל אביב ובניו יורק</w:t>
      </w:r>
      <w:r w:rsidR="00902875">
        <w:rPr>
          <w:rFonts w:hint="cs"/>
          <w:rtl/>
        </w:rPr>
        <w:t xml:space="preserve"> ונמצאת </w:t>
      </w:r>
      <w:r w:rsidR="00C5309F">
        <w:rPr>
          <w:rFonts w:hint="cs"/>
          <w:rtl/>
        </w:rPr>
        <w:t>בשליטה עקיפה של מר אדוארדו אלשטיין</w:t>
      </w:r>
      <w:r w:rsidR="00CF1290">
        <w:rPr>
          <w:rFonts w:hint="cs"/>
          <w:rtl/>
        </w:rPr>
        <w:t>.</w:t>
      </w:r>
      <w:r w:rsidR="00C87ADA">
        <w:rPr>
          <w:rStyle w:val="ac"/>
          <w:rtl/>
        </w:rPr>
        <w:footnoteReference w:id="1"/>
      </w:r>
      <w:r w:rsidR="00C87ADA">
        <w:rPr>
          <w:rFonts w:hint="cs"/>
          <w:rtl/>
        </w:rPr>
        <w:t xml:space="preserve"> סלקום היא חברה המספקת, בעצמה ובאמצעות תאגידים בשליטתה, מגוון רחב של שירותי תקשורת בהם שירותי תקשורת ניידת (סלולר), שירותי גישה לרשת האינטרנט (</w:t>
      </w:r>
      <w:r w:rsidR="00C87ADA">
        <w:t>ISP</w:t>
      </w:r>
      <w:r w:rsidR="00C87ADA">
        <w:rPr>
          <w:rFonts w:hint="cs"/>
          <w:rtl/>
        </w:rPr>
        <w:t>), תשתית אינטרנט במסגרת "השוק הסיטונאי", שירותי טלוויזי</w:t>
      </w:r>
      <w:r w:rsidR="00C87ADA">
        <w:rPr>
          <w:rFonts w:hint="eastAsia"/>
          <w:rtl/>
        </w:rPr>
        <w:t>ה</w:t>
      </w:r>
      <w:r w:rsidR="00C87ADA">
        <w:rPr>
          <w:rFonts w:hint="cs"/>
          <w:rtl/>
        </w:rPr>
        <w:t xml:space="preserve">, שירותי טלפוניה נייחת ושירותי טלפוניה בינלאומית. </w:t>
      </w:r>
    </w:p>
    <w:p w:rsidR="00C87ADA" w:rsidRDefault="00C87ADA" w:rsidP="007644EF">
      <w:pPr>
        <w:rPr>
          <w:rFonts w:hint="cs"/>
          <w:rtl/>
        </w:rPr>
      </w:pPr>
      <w:r>
        <w:rPr>
          <w:rFonts w:hint="cs"/>
          <w:b/>
          <w:bCs/>
          <w:rtl/>
        </w:rPr>
        <w:t xml:space="preserve">גולן </w:t>
      </w:r>
      <w:r>
        <w:rPr>
          <w:rFonts w:hint="cs"/>
          <w:rtl/>
        </w:rPr>
        <w:t xml:space="preserve">היא חברה פרטית בבעלות ה"ה מיכאל גולן (כ-45%), קסבייה ניאל (30%), האחים פטריק וג'רארד פריינטה (20%), ומר דוד גולן (כ-5%). גולן מספקת שירותי תקשורת ניידת ושירותי טלפוניה בינלאומית (באמצעות חברת גולן טלקום בינלאומי בע"מ שבבעלותה). נוסף על האמור </w:t>
      </w:r>
      <w:r w:rsidRPr="00903818">
        <w:rPr>
          <w:rFonts w:hint="cs"/>
          <w:rtl/>
        </w:rPr>
        <w:t xml:space="preserve">לעיל גולן </w:t>
      </w:r>
      <w:r>
        <w:rPr>
          <w:rFonts w:hint="cs"/>
          <w:rtl/>
        </w:rPr>
        <w:t xml:space="preserve">הביעה בעבר </w:t>
      </w:r>
      <w:r w:rsidRPr="00903818">
        <w:rPr>
          <w:rFonts w:hint="cs"/>
          <w:rtl/>
        </w:rPr>
        <w:t>כוונה לפעול גם בתחום שידורי הטלוויזיה ולמכור חבילות הכוללות שירותי תקשורת נוספים.</w:t>
      </w:r>
      <w:r>
        <w:rPr>
          <w:rFonts w:hint="cs"/>
          <w:rtl/>
        </w:rPr>
        <w:t xml:space="preserve"> </w:t>
      </w:r>
    </w:p>
    <w:p w:rsidR="00C87ADA" w:rsidRPr="006C5519" w:rsidRDefault="00C87ADA" w:rsidP="001A0311">
      <w:pPr>
        <w:pStyle w:val="1"/>
        <w:rPr>
          <w:rFonts w:hint="cs"/>
          <w:rtl/>
        </w:rPr>
      </w:pPr>
      <w:r w:rsidRPr="006C5519">
        <w:rPr>
          <w:rFonts w:hint="cs"/>
          <w:rtl/>
        </w:rPr>
        <w:t>השוק הרלוונטי ומאפייניו</w:t>
      </w:r>
    </w:p>
    <w:p w:rsidR="00C87ADA" w:rsidRDefault="00C87ADA" w:rsidP="0030707F">
      <w:pPr>
        <w:rPr>
          <w:rFonts w:hint="cs"/>
          <w:rtl/>
        </w:rPr>
      </w:pPr>
      <w:r w:rsidRPr="00305618">
        <w:rPr>
          <w:rFonts w:hint="cs"/>
          <w:rtl/>
        </w:rPr>
        <w:t>סעיף 21(א)</w:t>
      </w:r>
      <w:r>
        <w:rPr>
          <w:rFonts w:hint="cs"/>
          <w:rtl/>
        </w:rPr>
        <w:t xml:space="preserve"> לחוק</w:t>
      </w:r>
      <w:r w:rsidRPr="00305618">
        <w:rPr>
          <w:rFonts w:hint="cs"/>
          <w:rtl/>
        </w:rPr>
        <w:t xml:space="preserve"> קובע כי על הממונה להתנגד למיזוג חברות או להתנותו בתנאים</w:t>
      </w:r>
      <w:r w:rsidR="005464FA">
        <w:rPr>
          <w:rFonts w:hint="cs"/>
          <w:rtl/>
        </w:rPr>
        <w:t>,</w:t>
      </w:r>
      <w:r w:rsidRPr="00305618">
        <w:rPr>
          <w:rFonts w:hint="cs"/>
          <w:rtl/>
        </w:rPr>
        <w:t xml:space="preserve"> אם לדעתו קיים חשש סביר</w:t>
      </w:r>
      <w:r w:rsidR="007644EF">
        <w:rPr>
          <w:rFonts w:hint="cs"/>
          <w:rtl/>
        </w:rPr>
        <w:t>,</w:t>
      </w:r>
      <w:r w:rsidRPr="00305618">
        <w:rPr>
          <w:rFonts w:hint="cs"/>
          <w:rtl/>
        </w:rPr>
        <w:t xml:space="preserve"> כי כתוצאה מן המיזוג תיפגע באופן משמעותי התחרות באותו ענף או שייפגע הציבור. המתודולוגיה המקובלת לניתוח תחרותי של מיזוגים אופקיים ובחינת השפעתם על </w:t>
      </w:r>
      <w:r w:rsidRPr="00305618">
        <w:rPr>
          <w:rFonts w:hint="cs"/>
          <w:rtl/>
        </w:rPr>
        <w:lastRenderedPageBreak/>
        <w:t>התחרות מפורטת בהרחבה בגילוי דעת 1/11 (להלן: "</w:t>
      </w:r>
      <w:r w:rsidRPr="00305618">
        <w:rPr>
          <w:rFonts w:hint="cs"/>
          <w:b/>
          <w:bCs/>
          <w:rtl/>
        </w:rPr>
        <w:t xml:space="preserve">הנחיות </w:t>
      </w:r>
      <w:r>
        <w:rPr>
          <w:rFonts w:hint="cs"/>
          <w:b/>
          <w:bCs/>
          <w:rtl/>
        </w:rPr>
        <w:t>ה</w:t>
      </w:r>
      <w:r w:rsidRPr="00305618">
        <w:rPr>
          <w:rFonts w:hint="cs"/>
          <w:b/>
          <w:bCs/>
          <w:rtl/>
        </w:rPr>
        <w:t>מיזוגים</w:t>
      </w:r>
      <w:r w:rsidRPr="00351FF8">
        <w:rPr>
          <w:rFonts w:hint="cs"/>
          <w:rtl/>
        </w:rPr>
        <w:t>"),</w:t>
      </w:r>
      <w:r w:rsidRPr="00351FF8">
        <w:rPr>
          <w:rStyle w:val="ac"/>
          <w:rtl/>
        </w:rPr>
        <w:footnoteReference w:id="2"/>
      </w:r>
      <w:r w:rsidRPr="00351FF8">
        <w:rPr>
          <w:rFonts w:hint="cs"/>
          <w:rtl/>
        </w:rPr>
        <w:t xml:space="preserve"> </w:t>
      </w:r>
      <w:r w:rsidRPr="00305618">
        <w:rPr>
          <w:rFonts w:hint="cs"/>
          <w:rtl/>
        </w:rPr>
        <w:t>שם הותוו השיקולים לבחינת השלכותיו של מיזוג בין מתחרים על התחרות ועל טובת הציבור ו</w:t>
      </w:r>
      <w:r>
        <w:rPr>
          <w:rFonts w:hint="cs"/>
          <w:rtl/>
        </w:rPr>
        <w:t xml:space="preserve">כן נקבע </w:t>
      </w:r>
      <w:r w:rsidRPr="00305618">
        <w:rPr>
          <w:rFonts w:hint="cs"/>
          <w:rtl/>
        </w:rPr>
        <w:t>האופן בו נ</w:t>
      </w:r>
      <w:r>
        <w:rPr>
          <w:rFonts w:hint="cs"/>
          <w:rtl/>
        </w:rPr>
        <w:t xml:space="preserve">בחן </w:t>
      </w:r>
      <w:r w:rsidRPr="00305618">
        <w:rPr>
          <w:rFonts w:hint="cs"/>
          <w:rtl/>
        </w:rPr>
        <w:t>קיומו של חשש לפגיעה בתחרות</w:t>
      </w:r>
      <w:r>
        <w:rPr>
          <w:rFonts w:hint="cs"/>
          <w:rtl/>
        </w:rPr>
        <w:t>.</w:t>
      </w:r>
    </w:p>
    <w:p w:rsidR="00C87ADA" w:rsidRPr="0030707F" w:rsidRDefault="00C87ADA" w:rsidP="0030707F">
      <w:pPr>
        <w:pStyle w:val="af0"/>
        <w:numPr>
          <w:ilvl w:val="0"/>
          <w:numId w:val="26"/>
        </w:numPr>
        <w:bidi/>
        <w:spacing w:before="0" w:beforeAutospacing="0" w:after="120" w:afterAutospacing="0" w:line="360" w:lineRule="auto"/>
        <w:jc w:val="both"/>
        <w:outlineLvl w:val="0"/>
        <w:rPr>
          <w:rFonts w:eastAsia="Times New Roman" w:cs="David" w:hint="cs"/>
          <w:vanish/>
          <w:sz w:val="22"/>
          <w:szCs w:val="28"/>
          <w:rtl/>
          <w:lang w:eastAsia="he-IL"/>
        </w:rPr>
      </w:pPr>
    </w:p>
    <w:p w:rsidR="00C87ADA" w:rsidRPr="0030707F" w:rsidRDefault="00C87ADA" w:rsidP="0030707F">
      <w:pPr>
        <w:pStyle w:val="af0"/>
        <w:numPr>
          <w:ilvl w:val="0"/>
          <w:numId w:val="26"/>
        </w:numPr>
        <w:bidi/>
        <w:spacing w:before="0" w:beforeAutospacing="0" w:after="120" w:afterAutospacing="0" w:line="360" w:lineRule="auto"/>
        <w:jc w:val="both"/>
        <w:outlineLvl w:val="0"/>
        <w:rPr>
          <w:rFonts w:eastAsia="Times New Roman" w:cs="David" w:hint="cs"/>
          <w:vanish/>
          <w:sz w:val="22"/>
          <w:szCs w:val="28"/>
          <w:rtl/>
          <w:lang w:eastAsia="he-IL"/>
        </w:rPr>
      </w:pPr>
    </w:p>
    <w:p w:rsidR="00C87ADA" w:rsidRPr="0030707F" w:rsidRDefault="00C87ADA" w:rsidP="0030707F">
      <w:pPr>
        <w:pStyle w:val="af0"/>
        <w:numPr>
          <w:ilvl w:val="0"/>
          <w:numId w:val="26"/>
        </w:numPr>
        <w:bidi/>
        <w:spacing w:before="0" w:beforeAutospacing="0" w:after="120" w:afterAutospacing="0" w:line="360" w:lineRule="auto"/>
        <w:jc w:val="both"/>
        <w:outlineLvl w:val="0"/>
        <w:rPr>
          <w:rFonts w:eastAsia="Times New Roman" w:cs="David" w:hint="cs"/>
          <w:vanish/>
          <w:sz w:val="22"/>
          <w:szCs w:val="28"/>
          <w:rtl/>
          <w:lang w:eastAsia="he-IL"/>
        </w:rPr>
      </w:pPr>
    </w:p>
    <w:p w:rsidR="00C87ADA" w:rsidRPr="006C5519" w:rsidRDefault="00C87ADA" w:rsidP="006C5519">
      <w:pPr>
        <w:pStyle w:val="2"/>
        <w:rPr>
          <w:rFonts w:hint="cs"/>
          <w:rtl/>
        </w:rPr>
      </w:pPr>
      <w:r w:rsidRPr="006C5519">
        <w:rPr>
          <w:rFonts w:hint="cs"/>
          <w:rtl/>
        </w:rPr>
        <w:t>השוק הרלוונטי למיזוג</w:t>
      </w:r>
    </w:p>
    <w:p w:rsidR="00C87ADA" w:rsidRDefault="00C87ADA" w:rsidP="0030707F">
      <w:pPr>
        <w:rPr>
          <w:rFonts w:hint="cs"/>
          <w:rtl/>
          <w:lang w:eastAsia="en-US"/>
        </w:rPr>
      </w:pPr>
      <w:r w:rsidRPr="00850182">
        <w:rPr>
          <w:rFonts w:hint="cs"/>
          <w:rtl/>
          <w:lang w:eastAsia="en-US"/>
        </w:rPr>
        <w:t>הענף המרכזי הנוגע למיזוג זה הוא מתן שירותי תקשורת ניידת בישראל.</w:t>
      </w:r>
      <w:r>
        <w:rPr>
          <w:rStyle w:val="ac"/>
          <w:rtl/>
          <w:lang w:eastAsia="en-US"/>
        </w:rPr>
        <w:footnoteReference w:id="3"/>
      </w:r>
      <w:r w:rsidRPr="00850182">
        <w:rPr>
          <w:rFonts w:hint="cs"/>
          <w:rtl/>
          <w:lang w:eastAsia="en-US"/>
        </w:rPr>
        <w:t xml:space="preserve"> שירותים</w:t>
      </w:r>
      <w:r>
        <w:rPr>
          <w:rFonts w:hint="cs"/>
          <w:rtl/>
          <w:lang w:eastAsia="en-US"/>
        </w:rPr>
        <w:t xml:space="preserve"> אלו כוללים עריכת שיחות קוליות, שליחת מסרונים (</w:t>
      </w:r>
      <w:r>
        <w:rPr>
          <w:lang w:eastAsia="en-US"/>
        </w:rPr>
        <w:t>SMS</w:t>
      </w:r>
      <w:r>
        <w:rPr>
          <w:rFonts w:hint="cs"/>
          <w:rtl/>
          <w:lang w:eastAsia="en-US"/>
        </w:rPr>
        <w:t xml:space="preserve">), גלישה ברשת האינטרנט ושימוש </w:t>
      </w:r>
      <w:r w:rsidRPr="005438A5">
        <w:rPr>
          <w:rFonts w:hint="cs"/>
          <w:rtl/>
          <w:lang w:eastAsia="en-US"/>
        </w:rPr>
        <w:t>ביישוּמוׂנים</w:t>
      </w:r>
      <w:r>
        <w:rPr>
          <w:rFonts w:hint="cs"/>
          <w:rtl/>
          <w:lang w:eastAsia="en-US"/>
        </w:rPr>
        <w:t xml:space="preserve"> (אפליקציות)</w:t>
      </w:r>
      <w:r w:rsidRPr="00C5309F">
        <w:rPr>
          <w:rFonts w:hint="cs"/>
          <w:rtl/>
          <w:lang w:eastAsia="en-US"/>
        </w:rPr>
        <w:t xml:space="preserve"> </w:t>
      </w:r>
      <w:r>
        <w:rPr>
          <w:rFonts w:hint="cs"/>
          <w:rtl/>
          <w:lang w:eastAsia="en-US"/>
        </w:rPr>
        <w:t xml:space="preserve">במכשיר הטלפון הנייד. </w:t>
      </w:r>
    </w:p>
    <w:p w:rsidR="00C87ADA" w:rsidRDefault="00C87ADA" w:rsidP="001F1196">
      <w:pPr>
        <w:rPr>
          <w:rFonts w:hint="cs"/>
          <w:rtl/>
          <w:lang w:eastAsia="en-US"/>
        </w:rPr>
      </w:pPr>
      <w:r>
        <w:rPr>
          <w:rFonts w:hint="cs"/>
          <w:rtl/>
          <w:lang w:eastAsia="en-US"/>
        </w:rPr>
        <w:t xml:space="preserve">שירותי התקשורת הניידת בישראל ניתנים באמצעות רשתות תקשורת מדורות שונים: </w:t>
      </w:r>
      <w:r w:rsidRPr="003C6DB3">
        <w:rPr>
          <w:rFonts w:hint="cs"/>
          <w:rtl/>
          <w:lang w:eastAsia="en-US"/>
        </w:rPr>
        <w:t xml:space="preserve">שירותי </w:t>
      </w:r>
      <w:r>
        <w:rPr>
          <w:rFonts w:hint="cs"/>
          <w:rtl/>
          <w:lang w:eastAsia="en-US"/>
        </w:rPr>
        <w:t>ה</w:t>
      </w:r>
      <w:r w:rsidRPr="003C6DB3">
        <w:rPr>
          <w:rFonts w:hint="cs"/>
          <w:rtl/>
          <w:lang w:eastAsia="en-US"/>
        </w:rPr>
        <w:t xml:space="preserve">דור </w:t>
      </w:r>
      <w:r>
        <w:rPr>
          <w:rFonts w:hint="cs"/>
          <w:rtl/>
          <w:lang w:eastAsia="en-US"/>
        </w:rPr>
        <w:t xml:space="preserve">השני </w:t>
      </w:r>
      <w:r w:rsidR="00CA4F62">
        <w:rPr>
          <w:rFonts w:hint="cs"/>
          <w:rtl/>
          <w:lang w:eastAsia="en-US"/>
        </w:rPr>
        <w:t>ה</w:t>
      </w:r>
      <w:r>
        <w:rPr>
          <w:rFonts w:hint="cs"/>
          <w:rtl/>
          <w:lang w:eastAsia="en-US"/>
        </w:rPr>
        <w:t xml:space="preserve">מאפשרים לערוך שיחות ולשלוח מסרונים בלבד; שירותי הדור השלישי המאפשרים בנוסף גם גלישה </w:t>
      </w:r>
      <w:r w:rsidRPr="00D95BF2">
        <w:rPr>
          <w:rFonts w:hint="cs"/>
          <w:rtl/>
          <w:lang w:eastAsia="en-US"/>
        </w:rPr>
        <w:t>ברשת האינטרנט; ושירותי הדור הרביעי (המכונה גם</w:t>
      </w:r>
      <w:r w:rsidRPr="00D95BF2">
        <w:rPr>
          <w:lang w:eastAsia="en-US"/>
        </w:rPr>
        <w:t>LTE-Long Term Evolution</w:t>
      </w:r>
      <w:r w:rsidRPr="00D95BF2">
        <w:rPr>
          <w:rFonts w:hint="cs"/>
          <w:rtl/>
          <w:lang w:eastAsia="en-US"/>
        </w:rPr>
        <w:t xml:space="preserve">) המאפשרים, באופן חלקי בעת </w:t>
      </w:r>
      <w:r w:rsidR="001F1196" w:rsidRPr="00D95BF2">
        <w:rPr>
          <w:rFonts w:hint="cs"/>
          <w:rtl/>
          <w:lang w:eastAsia="en-US"/>
        </w:rPr>
        <w:t>הזאת</w:t>
      </w:r>
      <w:r w:rsidRPr="00D95BF2">
        <w:rPr>
          <w:rFonts w:hint="cs"/>
          <w:rtl/>
          <w:lang w:eastAsia="en-US"/>
        </w:rPr>
        <w:t>, גלישה באינטרנט בקצב מהיר יותר.</w:t>
      </w:r>
    </w:p>
    <w:p w:rsidR="00C325B1" w:rsidRDefault="00C87ADA" w:rsidP="00997A64">
      <w:pPr>
        <w:rPr>
          <w:rFonts w:hint="cs"/>
          <w:rtl/>
          <w:lang w:eastAsia="en-US"/>
        </w:rPr>
      </w:pPr>
      <w:r w:rsidRPr="00FD2304">
        <w:rPr>
          <w:rFonts w:hint="cs"/>
          <w:rtl/>
          <w:lang w:eastAsia="en-US"/>
        </w:rPr>
        <w:t>שירותי תקשורת ניידת משווקים לשני סוגי לקוחות: פרטיים ועסקיים.</w:t>
      </w:r>
      <w:r w:rsidRPr="00FD2304">
        <w:rPr>
          <w:rStyle w:val="ac"/>
          <w:rtl/>
          <w:lang w:eastAsia="en-US"/>
        </w:rPr>
        <w:footnoteReference w:id="4"/>
      </w:r>
      <w:r w:rsidRPr="00FD2304">
        <w:rPr>
          <w:rFonts w:hint="cs"/>
          <w:rtl/>
          <w:lang w:eastAsia="en-US"/>
        </w:rPr>
        <w:t xml:space="preserve"> הניתוח המובא בהחלטה </w:t>
      </w:r>
      <w:r w:rsidR="001F1196">
        <w:rPr>
          <w:rFonts w:hint="cs"/>
          <w:rtl/>
          <w:lang w:eastAsia="en-US"/>
        </w:rPr>
        <w:t>זאת</w:t>
      </w:r>
      <w:r w:rsidR="001F1196" w:rsidRPr="00FD2304">
        <w:rPr>
          <w:rFonts w:hint="cs"/>
          <w:rtl/>
          <w:lang w:eastAsia="en-US"/>
        </w:rPr>
        <w:t xml:space="preserve"> </w:t>
      </w:r>
      <w:r w:rsidRPr="00FD2304">
        <w:rPr>
          <w:rFonts w:hint="cs"/>
          <w:rtl/>
          <w:lang w:eastAsia="en-US"/>
        </w:rPr>
        <w:t xml:space="preserve">נערך תוך התמקדות בהשפעת המיזוג על </w:t>
      </w:r>
      <w:r>
        <w:rPr>
          <w:rFonts w:hint="cs"/>
          <w:rtl/>
          <w:lang w:eastAsia="en-US"/>
        </w:rPr>
        <w:t>מגזר ה</w:t>
      </w:r>
      <w:r w:rsidRPr="00FD2304">
        <w:rPr>
          <w:rFonts w:hint="cs"/>
          <w:rtl/>
          <w:lang w:eastAsia="en-US"/>
        </w:rPr>
        <w:t xml:space="preserve">לקוחות </w:t>
      </w:r>
      <w:r>
        <w:rPr>
          <w:rFonts w:hint="cs"/>
          <w:rtl/>
          <w:lang w:eastAsia="en-US"/>
        </w:rPr>
        <w:t>ה</w:t>
      </w:r>
      <w:r w:rsidRPr="00FD2304">
        <w:rPr>
          <w:rFonts w:hint="cs"/>
          <w:rtl/>
          <w:lang w:eastAsia="en-US"/>
        </w:rPr>
        <w:t>פרטיים וזאת מ</w:t>
      </w:r>
      <w:r w:rsidR="00E24BF1">
        <w:rPr>
          <w:rFonts w:hint="cs"/>
          <w:rtl/>
          <w:lang w:eastAsia="en-US"/>
        </w:rPr>
        <w:t>מספר</w:t>
      </w:r>
      <w:r w:rsidRPr="00FD2304">
        <w:rPr>
          <w:rFonts w:hint="cs"/>
          <w:rtl/>
          <w:lang w:eastAsia="en-US"/>
        </w:rPr>
        <w:t xml:space="preserve"> טעמים מרכזיים. ראשית, </w:t>
      </w:r>
      <w:r w:rsidR="002D2B5B">
        <w:rPr>
          <w:rFonts w:hint="cs"/>
          <w:rtl/>
          <w:lang w:eastAsia="en-US"/>
        </w:rPr>
        <w:t>לקוחות פרטיים המבקשים לרכוש שירותי תקשורת נייד</w:t>
      </w:r>
      <w:r w:rsidR="00E24BF1">
        <w:rPr>
          <w:rFonts w:hint="cs"/>
          <w:rtl/>
          <w:lang w:eastAsia="en-US"/>
        </w:rPr>
        <w:t xml:space="preserve">ת </w:t>
      </w:r>
      <w:r w:rsidR="001F1196">
        <w:rPr>
          <w:rFonts w:hint="cs"/>
          <w:rtl/>
          <w:lang w:eastAsia="en-US"/>
        </w:rPr>
        <w:t>חייבים להתקשר במתכונת התקשרות המיועדת להם</w:t>
      </w:r>
      <w:r w:rsidR="00C325B1">
        <w:rPr>
          <w:rFonts w:hint="cs"/>
          <w:rtl/>
          <w:lang w:eastAsia="en-US"/>
        </w:rPr>
        <w:t xml:space="preserve"> וזאת נוכח מגבלות רגולטוריות</w:t>
      </w:r>
      <w:r w:rsidR="00665592">
        <w:rPr>
          <w:rFonts w:hint="cs"/>
          <w:rtl/>
          <w:lang w:eastAsia="en-US"/>
        </w:rPr>
        <w:t>.</w:t>
      </w:r>
      <w:r w:rsidR="00C325B1">
        <w:rPr>
          <w:rStyle w:val="ac"/>
          <w:rtl/>
          <w:lang w:eastAsia="en-US"/>
        </w:rPr>
        <w:footnoteReference w:id="5"/>
      </w:r>
      <w:r w:rsidRPr="006C5519">
        <w:rPr>
          <w:rFonts w:hint="cs"/>
          <w:rtl/>
          <w:lang w:eastAsia="en-US"/>
        </w:rPr>
        <w:t xml:space="preserve"> </w:t>
      </w:r>
      <w:r w:rsidR="00E24BF1" w:rsidRPr="006C5519">
        <w:rPr>
          <w:rFonts w:hint="cs"/>
          <w:rtl/>
          <w:lang w:eastAsia="en-US"/>
        </w:rPr>
        <w:t>בשונה מכך, מגזר הלקוחות העסקיים מתאפיין בכך שלקוחותיו יכולים לבחור</w:t>
      </w:r>
      <w:r w:rsidR="001F1196">
        <w:rPr>
          <w:rFonts w:hint="cs"/>
          <w:rtl/>
          <w:lang w:eastAsia="en-US"/>
        </w:rPr>
        <w:t>,</w:t>
      </w:r>
      <w:r w:rsidR="00E24BF1" w:rsidRPr="006C5519">
        <w:rPr>
          <w:rFonts w:hint="cs"/>
          <w:rtl/>
          <w:lang w:eastAsia="en-US"/>
        </w:rPr>
        <w:t xml:space="preserve"> האם ברצונם להתקשר</w:t>
      </w:r>
      <w:r w:rsidR="00C325B1" w:rsidRPr="006C5519">
        <w:rPr>
          <w:rFonts w:hint="cs"/>
          <w:rtl/>
          <w:lang w:eastAsia="en-US"/>
        </w:rPr>
        <w:t xml:space="preserve"> עם </w:t>
      </w:r>
      <w:r w:rsidR="001F1196">
        <w:rPr>
          <w:rFonts w:hint="cs"/>
          <w:rtl/>
          <w:lang w:eastAsia="en-US"/>
        </w:rPr>
        <w:t>המפעילים הסלולריים</w:t>
      </w:r>
      <w:r w:rsidR="001F1196" w:rsidRPr="006C5519">
        <w:rPr>
          <w:rFonts w:hint="cs"/>
          <w:rtl/>
          <w:lang w:eastAsia="en-US"/>
        </w:rPr>
        <w:t xml:space="preserve"> </w:t>
      </w:r>
      <w:r w:rsidR="00C325B1" w:rsidRPr="006C5519">
        <w:rPr>
          <w:rFonts w:hint="cs"/>
          <w:rtl/>
          <w:lang w:eastAsia="en-US"/>
        </w:rPr>
        <w:t>כלקוחות פרטיים</w:t>
      </w:r>
      <w:r w:rsidR="001F1196">
        <w:rPr>
          <w:rFonts w:hint="cs"/>
          <w:rtl/>
          <w:lang w:eastAsia="en-US"/>
        </w:rPr>
        <w:t xml:space="preserve"> או כלקוחות עסקיים. כמו</w:t>
      </w:r>
      <w:r w:rsidR="00C325B1" w:rsidRPr="006C5519">
        <w:rPr>
          <w:rFonts w:hint="cs"/>
          <w:rtl/>
          <w:lang w:eastAsia="en-US"/>
        </w:rPr>
        <w:t xml:space="preserve"> כן </w:t>
      </w:r>
      <w:r w:rsidR="001F1196">
        <w:rPr>
          <w:rFonts w:hint="cs"/>
          <w:rtl/>
          <w:lang w:eastAsia="en-US"/>
        </w:rPr>
        <w:t xml:space="preserve">קיימים </w:t>
      </w:r>
      <w:r w:rsidR="00C325B1" w:rsidRPr="006C5519">
        <w:rPr>
          <w:rFonts w:hint="cs"/>
          <w:rtl/>
          <w:lang w:eastAsia="en-US"/>
        </w:rPr>
        <w:t>הבדלים מסוימים בסוג השירותים הנחוצים ללקוחות אלה</w:t>
      </w:r>
      <w:r w:rsidR="00372F0B" w:rsidRPr="006C5519">
        <w:rPr>
          <w:rFonts w:hint="cs"/>
          <w:rtl/>
          <w:lang w:eastAsia="en-US"/>
        </w:rPr>
        <w:t xml:space="preserve">. לאור </w:t>
      </w:r>
      <w:r w:rsidR="00E24BF1" w:rsidRPr="006C5519">
        <w:rPr>
          <w:rFonts w:hint="cs"/>
          <w:rtl/>
          <w:lang w:eastAsia="en-US"/>
        </w:rPr>
        <w:t xml:space="preserve">העובדה </w:t>
      </w:r>
      <w:r w:rsidR="00372F0B" w:rsidRPr="006C5519">
        <w:rPr>
          <w:rFonts w:hint="cs"/>
          <w:rtl/>
          <w:lang w:eastAsia="en-US"/>
        </w:rPr>
        <w:t>ש</w:t>
      </w:r>
      <w:r w:rsidR="00E24BF1" w:rsidRPr="006C5519">
        <w:rPr>
          <w:rFonts w:hint="cs"/>
          <w:rtl/>
          <w:lang w:eastAsia="en-US"/>
        </w:rPr>
        <w:t>מגזר הלקוחות הפרטיים הוא גדול יותר בהשוואה למגזר הלקוחות העסקיים ומשכך משמעותו לניתוח השפעות המיזוג היא חשובה</w:t>
      </w:r>
      <w:r w:rsidR="00E24BF1">
        <w:rPr>
          <w:rFonts w:hint="cs"/>
          <w:rtl/>
          <w:lang w:eastAsia="en-US"/>
        </w:rPr>
        <w:t xml:space="preserve"> יותר</w:t>
      </w:r>
      <w:r w:rsidR="00372F0B">
        <w:rPr>
          <w:rFonts w:hint="cs"/>
          <w:rtl/>
          <w:lang w:eastAsia="en-US"/>
        </w:rPr>
        <w:t>,</w:t>
      </w:r>
      <w:r w:rsidR="00C325B1">
        <w:rPr>
          <w:rFonts w:hint="cs"/>
          <w:rtl/>
          <w:lang w:eastAsia="en-US"/>
        </w:rPr>
        <w:t xml:space="preserve"> מתמקדת החלטה </w:t>
      </w:r>
      <w:r w:rsidR="004F3E0B">
        <w:rPr>
          <w:rFonts w:hint="cs"/>
          <w:rtl/>
          <w:lang w:eastAsia="en-US"/>
        </w:rPr>
        <w:t xml:space="preserve">זאת </w:t>
      </w:r>
      <w:r w:rsidR="00C325B1">
        <w:rPr>
          <w:rFonts w:hint="cs"/>
          <w:rtl/>
          <w:lang w:eastAsia="en-US"/>
        </w:rPr>
        <w:t>במגזר הלקוחות הפרטיים ולא בלקוחות העסקיים</w:t>
      </w:r>
      <w:r w:rsidR="00372F0B">
        <w:rPr>
          <w:rFonts w:hint="cs"/>
          <w:rtl/>
          <w:lang w:eastAsia="en-US"/>
        </w:rPr>
        <w:t>.</w:t>
      </w:r>
      <w:r w:rsidR="00C325B1">
        <w:rPr>
          <w:rFonts w:hint="cs"/>
          <w:rtl/>
          <w:lang w:eastAsia="en-US"/>
        </w:rPr>
        <w:t xml:space="preserve"> עם זאת </w:t>
      </w:r>
      <w:r w:rsidR="00372F0B">
        <w:rPr>
          <w:rFonts w:hint="cs"/>
          <w:rtl/>
          <w:lang w:eastAsia="en-US"/>
        </w:rPr>
        <w:t>מכיוון שהחברות הפעילות במגזר הלקוחות העסקיים פעילות גם במגזר הלקוחות הפרטיים, סביר כי הניתוח התחרותי שנערך ביחס למגזר הלקוחות הפרטיים משליך גם על מגזר הלקוחות העסקיים</w:t>
      </w:r>
      <w:r w:rsidR="00C325B1">
        <w:rPr>
          <w:rFonts w:hint="cs"/>
          <w:rtl/>
          <w:lang w:eastAsia="en-US"/>
        </w:rPr>
        <w:t>.</w:t>
      </w:r>
    </w:p>
    <w:p w:rsidR="00C87ADA" w:rsidRPr="005A0507" w:rsidRDefault="00C87ADA" w:rsidP="00C325B1">
      <w:pPr>
        <w:rPr>
          <w:rFonts w:hint="cs"/>
          <w:rtl/>
          <w:lang w:eastAsia="en-US"/>
        </w:rPr>
      </w:pPr>
    </w:p>
    <w:p w:rsidR="00C87ADA" w:rsidRDefault="00C87ADA" w:rsidP="006B3658">
      <w:pPr>
        <w:rPr>
          <w:rFonts w:hint="cs"/>
          <w:rtl/>
          <w:lang w:eastAsia="en-US"/>
        </w:rPr>
      </w:pPr>
      <w:r>
        <w:rPr>
          <w:rFonts w:hint="cs"/>
          <w:rtl/>
          <w:lang w:eastAsia="en-US"/>
        </w:rPr>
        <w:t>בנוסף על ההבחנה בין לקוחות פרטיים ועסקיים, מתן שירותי תקשורת ניידת ללקוחות פרטיים מתבצע בשני אופני תשלום: מסלול של תשלום לאחר השימוש (</w:t>
      </w:r>
      <w:r>
        <w:rPr>
          <w:lang w:eastAsia="en-US"/>
        </w:rPr>
        <w:t>Post-Paid</w:t>
      </w:r>
      <w:r>
        <w:rPr>
          <w:rFonts w:hint="cs"/>
          <w:rtl/>
          <w:lang w:eastAsia="en-US"/>
        </w:rPr>
        <w:t>)</w:t>
      </w:r>
      <w:r w:rsidR="004F3E0B">
        <w:rPr>
          <w:rFonts w:hint="cs"/>
          <w:rtl/>
          <w:lang w:eastAsia="en-US"/>
        </w:rPr>
        <w:t>,</w:t>
      </w:r>
      <w:r>
        <w:rPr>
          <w:rFonts w:hint="cs"/>
          <w:rtl/>
          <w:lang w:eastAsia="en-US"/>
        </w:rPr>
        <w:t xml:space="preserve"> בו משלמים מנויים באמצעות חיוב כרטיס האשראי או בהוראת קבע; ומסלול התשלום מראש (</w:t>
      </w:r>
      <w:r>
        <w:rPr>
          <w:lang w:eastAsia="en-US"/>
        </w:rPr>
        <w:t>Pre-Paid</w:t>
      </w:r>
      <w:r>
        <w:rPr>
          <w:rFonts w:hint="cs"/>
          <w:rtl/>
          <w:lang w:eastAsia="en-US"/>
        </w:rPr>
        <w:t>)</w:t>
      </w:r>
      <w:r w:rsidR="004F3E0B">
        <w:rPr>
          <w:rFonts w:hint="cs"/>
          <w:rtl/>
          <w:lang w:eastAsia="en-US"/>
        </w:rPr>
        <w:t>,</w:t>
      </w:r>
      <w:r>
        <w:rPr>
          <w:rFonts w:hint="cs"/>
          <w:rtl/>
          <w:lang w:eastAsia="en-US"/>
        </w:rPr>
        <w:t xml:space="preserve"> בו משלמים הצרכנים עבור השירות לפני צריכתו. ההבדלים מנקודת המבט של הצרכן בין המסלולים </w:t>
      </w:r>
      <w:r>
        <w:rPr>
          <w:rFonts w:hint="cs"/>
          <w:rtl/>
          <w:lang w:eastAsia="en-US"/>
        </w:rPr>
        <w:lastRenderedPageBreak/>
        <w:t xml:space="preserve">באים לידי ביטוי במספר מישורים. במישור אחד, חלק גדול מההצעות במסלולי התשלום מראש נקובות במחיר המבוסס על היקף השימוש של הלקוח לעומת מסלולי התשלום לאחר שימוש המבוססים על חבילות ללא הגבלה. במישור שני מתבטאים ההבדלים בפערי מחיר משמעותיים בין ההצעות המוצעות בשני המסלולים. במישור שלישי, שימוש במסלול תשלום מראש כרוך בחוסר נוחות הנובע מהצורך להטעין את המכשיר הנייד בסכום כסף מידי תקופה. לכן, מסלול תשלום מראש מיועד בעיקר למנויים נטולי חשבון בנק וכרטיסי אשראי (כדוגמת </w:t>
      </w:r>
      <w:r w:rsidRPr="00850182">
        <w:rPr>
          <w:rFonts w:hint="cs"/>
          <w:rtl/>
          <w:lang w:eastAsia="en-US"/>
        </w:rPr>
        <w:t>מעוטי יכולת</w:t>
      </w:r>
      <w:r>
        <w:rPr>
          <w:rFonts w:hint="cs"/>
          <w:rtl/>
          <w:lang w:eastAsia="en-US"/>
        </w:rPr>
        <w:t>, עובדים זרים, תיירי</w:t>
      </w:r>
      <w:r w:rsidRPr="00FD2304">
        <w:rPr>
          <w:rFonts w:hint="cs"/>
          <w:rtl/>
          <w:lang w:eastAsia="en-US"/>
        </w:rPr>
        <w:t>ם וכו')</w:t>
      </w:r>
      <w:r>
        <w:rPr>
          <w:rFonts w:hint="cs"/>
          <w:rtl/>
          <w:lang w:eastAsia="en-US"/>
        </w:rPr>
        <w:t>.</w:t>
      </w:r>
      <w:r w:rsidRPr="00FD2304">
        <w:rPr>
          <w:rFonts w:hint="cs"/>
          <w:rtl/>
          <w:lang w:eastAsia="en-US"/>
        </w:rPr>
        <w:t xml:space="preserve"> </w:t>
      </w:r>
      <w:r>
        <w:rPr>
          <w:rFonts w:hint="cs"/>
          <w:rtl/>
          <w:lang w:eastAsia="en-US"/>
        </w:rPr>
        <w:t>נוכח פערי המחירים ותנאי התשלום השונים בין מסלולי תשלום לאחר שימוש (</w:t>
      </w:r>
      <w:r>
        <w:rPr>
          <w:lang w:eastAsia="en-US"/>
        </w:rPr>
        <w:t>Post-paid</w:t>
      </w:r>
      <w:r>
        <w:rPr>
          <w:rFonts w:hint="cs"/>
          <w:rtl/>
          <w:lang w:eastAsia="en-US"/>
        </w:rPr>
        <w:t>) לבין מסלולי תשלום מראש (</w:t>
      </w:r>
      <w:r>
        <w:rPr>
          <w:lang w:eastAsia="en-US"/>
        </w:rPr>
        <w:t>Pre-paid</w:t>
      </w:r>
      <w:r>
        <w:rPr>
          <w:rFonts w:hint="cs"/>
          <w:rtl/>
          <w:lang w:eastAsia="en-US"/>
        </w:rPr>
        <w:t>) לא מתקיימת ביניהם תחליפיות מספקת</w:t>
      </w:r>
      <w:r w:rsidR="006B3658">
        <w:rPr>
          <w:rFonts w:hint="cs"/>
          <w:rtl/>
          <w:lang w:eastAsia="en-US"/>
        </w:rPr>
        <w:t>. עם זאת וחרף קיומם של הבדלים בין שני המסלולים, הניתוח שיובא להלן משליך גם על אופן הניתוח של מסלולי תשלום מראש.</w:t>
      </w:r>
    </w:p>
    <w:p w:rsidR="00C87ADA" w:rsidRDefault="00C87ADA" w:rsidP="00B7254D">
      <w:pPr>
        <w:rPr>
          <w:rFonts w:hint="cs"/>
          <w:rtl/>
          <w:lang w:eastAsia="en-US"/>
        </w:rPr>
      </w:pPr>
      <w:r w:rsidRPr="00FD2304">
        <w:rPr>
          <w:rFonts w:hint="cs"/>
          <w:rtl/>
          <w:lang w:eastAsia="en-US"/>
        </w:rPr>
        <w:t xml:space="preserve">על כן, השוק המרכזי </w:t>
      </w:r>
      <w:r w:rsidR="00B7254D">
        <w:rPr>
          <w:rFonts w:hint="cs"/>
          <w:rtl/>
          <w:lang w:eastAsia="en-US"/>
        </w:rPr>
        <w:t>בו עוסקת החלטתי זאת</w:t>
      </w:r>
      <w:r w:rsidRPr="00FD2304">
        <w:rPr>
          <w:rFonts w:hint="cs"/>
          <w:rtl/>
          <w:lang w:eastAsia="en-US"/>
        </w:rPr>
        <w:t xml:space="preserve">, </w:t>
      </w:r>
      <w:r>
        <w:rPr>
          <w:rFonts w:hint="cs"/>
          <w:rtl/>
          <w:lang w:eastAsia="en-US"/>
        </w:rPr>
        <w:t>הוא שוק התקשורת הניידת למנויים פרטיים המשלמים לאחר השימוש (להלן: "</w:t>
      </w:r>
      <w:r w:rsidRPr="00A3210B">
        <w:rPr>
          <w:rFonts w:hint="cs"/>
          <w:b/>
          <w:bCs/>
          <w:rtl/>
          <w:lang w:eastAsia="en-US"/>
        </w:rPr>
        <w:t>השוק</w:t>
      </w:r>
      <w:r>
        <w:rPr>
          <w:rFonts w:hint="cs"/>
          <w:rtl/>
          <w:lang w:eastAsia="en-US"/>
        </w:rPr>
        <w:t xml:space="preserve"> </w:t>
      </w:r>
      <w:r w:rsidRPr="00A3210B">
        <w:rPr>
          <w:rFonts w:hint="cs"/>
          <w:b/>
          <w:bCs/>
          <w:rtl/>
          <w:lang w:eastAsia="en-US"/>
        </w:rPr>
        <w:t>הרלוונטי</w:t>
      </w:r>
      <w:r>
        <w:rPr>
          <w:rFonts w:hint="cs"/>
          <w:rtl/>
          <w:lang w:eastAsia="en-US"/>
        </w:rPr>
        <w:t xml:space="preserve">"). </w:t>
      </w:r>
    </w:p>
    <w:p w:rsidR="00C87ADA" w:rsidRPr="0030707F" w:rsidRDefault="00C87ADA" w:rsidP="0030707F">
      <w:pPr>
        <w:pStyle w:val="2"/>
        <w:rPr>
          <w:rFonts w:hint="cs"/>
          <w:rtl/>
        </w:rPr>
      </w:pPr>
      <w:r w:rsidRPr="0030707F">
        <w:rPr>
          <w:rFonts w:hint="cs"/>
          <w:rtl/>
        </w:rPr>
        <w:t xml:space="preserve"> המתחרים בשוק </w:t>
      </w:r>
      <w:r w:rsidRPr="0030707F">
        <w:rPr>
          <w:rtl/>
        </w:rPr>
        <w:t>–</w:t>
      </w:r>
      <w:r w:rsidRPr="0030707F">
        <w:rPr>
          <w:rFonts w:hint="cs"/>
          <w:rtl/>
        </w:rPr>
        <w:t xml:space="preserve"> מפעילות המספקות שירותי תקשורת ניידת</w:t>
      </w:r>
    </w:p>
    <w:p w:rsidR="00C87ADA" w:rsidRDefault="00C87ADA" w:rsidP="00EB4A7B">
      <w:pPr>
        <w:rPr>
          <w:rFonts w:hint="cs"/>
          <w:rtl/>
        </w:rPr>
      </w:pPr>
      <w:r>
        <w:rPr>
          <w:rFonts w:hint="cs"/>
          <w:rtl/>
        </w:rPr>
        <w:t xml:space="preserve">בישראל פועלות חמש חברות בעלות רישיון כללי למתן שירותי תקשורת ניידת (להלן: </w:t>
      </w:r>
      <w:r>
        <w:rPr>
          <w:rFonts w:hint="cs"/>
          <w:b/>
          <w:bCs/>
          <w:rtl/>
        </w:rPr>
        <w:t>"רישיון רט"ן</w:t>
      </w:r>
      <w:r>
        <w:rPr>
          <w:rFonts w:hint="cs"/>
          <w:rtl/>
        </w:rPr>
        <w:t>"</w:t>
      </w:r>
      <w:r>
        <w:rPr>
          <w:rStyle w:val="ac"/>
          <w:rFonts w:ascii="Calibri" w:hAnsi="Calibri"/>
          <w:rtl/>
        </w:rPr>
        <w:footnoteReference w:id="6"/>
      </w:r>
      <w:r>
        <w:rPr>
          <w:rFonts w:hint="cs"/>
          <w:rtl/>
        </w:rPr>
        <w:t>): סלקום, פלאפון תקשורת בע"מ</w:t>
      </w:r>
      <w:r>
        <w:rPr>
          <w:rStyle w:val="ac"/>
          <w:rFonts w:ascii="Calibri" w:hAnsi="Calibri"/>
          <w:rtl/>
        </w:rPr>
        <w:footnoteReference w:id="7"/>
      </w:r>
      <w:r>
        <w:rPr>
          <w:rFonts w:hint="cs"/>
          <w:rtl/>
        </w:rPr>
        <w:t xml:space="preserve"> (להלן: </w:t>
      </w:r>
      <w:r>
        <w:rPr>
          <w:rFonts w:hint="cs"/>
          <w:b/>
          <w:bCs/>
          <w:rtl/>
        </w:rPr>
        <w:t>"פלאפון</w:t>
      </w:r>
      <w:r>
        <w:rPr>
          <w:rFonts w:hint="cs"/>
          <w:rtl/>
        </w:rPr>
        <w:t>"), פרטנר תקשורת בע"מ</w:t>
      </w:r>
      <w:r>
        <w:rPr>
          <w:rStyle w:val="ac"/>
          <w:rFonts w:ascii="Calibri" w:hAnsi="Calibri"/>
          <w:rtl/>
        </w:rPr>
        <w:footnoteReference w:id="8"/>
      </w:r>
      <w:r>
        <w:rPr>
          <w:rFonts w:hint="cs"/>
          <w:rtl/>
        </w:rPr>
        <w:t xml:space="preserve"> (להלן: "</w:t>
      </w:r>
      <w:r>
        <w:rPr>
          <w:rFonts w:hint="cs"/>
          <w:b/>
          <w:bCs/>
          <w:rtl/>
        </w:rPr>
        <w:t>פרטנר</w:t>
      </w:r>
      <w:r>
        <w:rPr>
          <w:rFonts w:hint="cs"/>
          <w:rtl/>
        </w:rPr>
        <w:t>" ולהלן ביחד: "</w:t>
      </w:r>
      <w:r w:rsidRPr="00386DF8">
        <w:rPr>
          <w:rFonts w:hint="cs"/>
          <w:b/>
          <w:bCs/>
          <w:rtl/>
        </w:rPr>
        <w:t>המפעילות</w:t>
      </w:r>
      <w:r>
        <w:rPr>
          <w:rFonts w:hint="cs"/>
          <w:rtl/>
        </w:rPr>
        <w:t xml:space="preserve"> </w:t>
      </w:r>
      <w:r w:rsidRPr="00386DF8">
        <w:rPr>
          <w:rFonts w:hint="cs"/>
          <w:b/>
          <w:bCs/>
          <w:rtl/>
        </w:rPr>
        <w:t>הו</w:t>
      </w:r>
      <w:r>
        <w:rPr>
          <w:rFonts w:hint="cs"/>
          <w:b/>
          <w:bCs/>
          <w:rtl/>
        </w:rPr>
        <w:t>ו</w:t>
      </w:r>
      <w:r w:rsidRPr="00386DF8">
        <w:rPr>
          <w:rFonts w:hint="cs"/>
          <w:b/>
          <w:bCs/>
          <w:rtl/>
        </w:rPr>
        <w:t>תיקות</w:t>
      </w:r>
      <w:r>
        <w:rPr>
          <w:rFonts w:hint="cs"/>
          <w:rtl/>
        </w:rPr>
        <w:t>"), הוט מובייל בע"מ</w:t>
      </w:r>
      <w:r>
        <w:rPr>
          <w:rStyle w:val="ac"/>
          <w:rFonts w:ascii="Calibri" w:hAnsi="Calibri"/>
          <w:rtl/>
        </w:rPr>
        <w:footnoteReference w:id="9"/>
      </w:r>
      <w:r>
        <w:rPr>
          <w:rFonts w:hint="cs"/>
          <w:rtl/>
        </w:rPr>
        <w:t xml:space="preserve"> (להלן: "</w:t>
      </w:r>
      <w:r>
        <w:rPr>
          <w:rFonts w:hint="cs"/>
          <w:b/>
          <w:bCs/>
          <w:rtl/>
        </w:rPr>
        <w:t>הוט</w:t>
      </w:r>
      <w:r w:rsidRPr="00BA75CA">
        <w:rPr>
          <w:rFonts w:hint="cs"/>
          <w:b/>
          <w:bCs/>
          <w:rtl/>
        </w:rPr>
        <w:t xml:space="preserve"> מובייל</w:t>
      </w:r>
      <w:r>
        <w:rPr>
          <w:rFonts w:hint="cs"/>
          <w:rtl/>
        </w:rPr>
        <w:t>") וגולן. חברות אלו מחזיקות במקביל לרישיון הרט"ן גם בזכות לשימוש בתדרים שהוקצו להן ואשר מאפשרים מתן שירותי תקשורת ניידת. על פי תנאי רישיונן מחויבות החברות הללו לפרוס רשת רט"ן כלל ארצית ולפיכך נחשבות לחברות בעלות תשתית</w:t>
      </w:r>
      <w:r w:rsidR="0069155F">
        <w:rPr>
          <w:rFonts w:hint="cs"/>
          <w:rtl/>
        </w:rPr>
        <w:t>.</w:t>
      </w:r>
      <w:r>
        <w:rPr>
          <w:rFonts w:hint="cs"/>
          <w:rtl/>
        </w:rPr>
        <w:t xml:space="preserve"> מפעילות אלה מכונות בעגה המקצועית </w:t>
      </w:r>
      <w:r>
        <w:t>MNO</w:t>
      </w:r>
      <w:r>
        <w:rPr>
          <w:rFonts w:hint="cs"/>
          <w:rtl/>
        </w:rPr>
        <w:t xml:space="preserve"> - </w:t>
      </w:r>
      <w:r>
        <w:t>Mobile Network Operator</w:t>
      </w:r>
      <w:r>
        <w:rPr>
          <w:rFonts w:hint="cs"/>
          <w:rtl/>
        </w:rPr>
        <w:t xml:space="preserve"> (להלן: </w:t>
      </w:r>
      <w:r w:rsidRPr="00850182">
        <w:rPr>
          <w:rFonts w:hint="cs"/>
          <w:rtl/>
        </w:rPr>
        <w:t>"</w:t>
      </w:r>
      <w:r w:rsidRPr="00850182">
        <w:rPr>
          <w:rFonts w:hint="cs"/>
          <w:b/>
          <w:bCs/>
          <w:rtl/>
        </w:rPr>
        <w:t>מפעילות</w:t>
      </w:r>
      <w:r w:rsidRPr="00386DF8">
        <w:rPr>
          <w:rFonts w:hint="cs"/>
          <w:b/>
          <w:bCs/>
          <w:rtl/>
        </w:rPr>
        <w:t xml:space="preserve"> בעלות תשתית</w:t>
      </w:r>
      <w:r w:rsidRPr="00850182">
        <w:rPr>
          <w:rFonts w:hint="cs"/>
          <w:rtl/>
        </w:rPr>
        <w:t>").</w:t>
      </w:r>
      <w:r>
        <w:rPr>
          <w:rFonts w:hint="cs"/>
          <w:rtl/>
        </w:rPr>
        <w:t xml:space="preserve"> חלק מהמפעילות בעלות התשתית פועלות באמצעות </w:t>
      </w:r>
      <w:r w:rsidR="0069155F">
        <w:rPr>
          <w:rFonts w:hint="cs"/>
          <w:rtl/>
        </w:rPr>
        <w:t xml:space="preserve">מספר </w:t>
      </w:r>
      <w:r>
        <w:rPr>
          <w:rFonts w:hint="cs"/>
          <w:rtl/>
        </w:rPr>
        <w:t xml:space="preserve">מותגים המופעלים על ידן.  פלאפון </w:t>
      </w:r>
      <w:r w:rsidR="00EB4A7B">
        <w:rPr>
          <w:rFonts w:hint="cs"/>
          <w:rtl/>
        </w:rPr>
        <w:t xml:space="preserve">מפעילה </w:t>
      </w:r>
      <w:r>
        <w:rPr>
          <w:rFonts w:hint="cs"/>
          <w:rtl/>
        </w:rPr>
        <w:t xml:space="preserve">את המותגים "וואלה! </w:t>
      </w:r>
      <w:r>
        <w:t>mobile</w:t>
      </w:r>
      <w:r>
        <w:rPr>
          <w:rFonts w:hint="cs"/>
          <w:rtl/>
        </w:rPr>
        <w:t>" ו"</w:t>
      </w:r>
      <w:r>
        <w:t>Youphone</w:t>
      </w:r>
      <w:r>
        <w:rPr>
          <w:rFonts w:hint="cs"/>
          <w:rtl/>
        </w:rPr>
        <w:t>" (יופון) ופרטנר את המותג "</w:t>
      </w:r>
      <w:r>
        <w:t>012mobile</w:t>
      </w:r>
      <w:r>
        <w:rPr>
          <w:rFonts w:hint="cs"/>
          <w:rtl/>
        </w:rPr>
        <w:t>".</w:t>
      </w:r>
    </w:p>
    <w:p w:rsidR="00C87ADA" w:rsidRDefault="00C87ADA" w:rsidP="0069155F">
      <w:pPr>
        <w:rPr>
          <w:rFonts w:hint="cs"/>
          <w:rtl/>
        </w:rPr>
      </w:pPr>
      <w:r w:rsidRPr="007D3F80">
        <w:rPr>
          <w:rFonts w:hint="cs"/>
          <w:rtl/>
        </w:rPr>
        <w:t xml:space="preserve">בנוסף, </w:t>
      </w:r>
      <w:r>
        <w:rPr>
          <w:rFonts w:hint="cs"/>
          <w:rtl/>
        </w:rPr>
        <w:t xml:space="preserve">בישראל </w:t>
      </w:r>
      <w:r w:rsidRPr="007D3F80">
        <w:rPr>
          <w:rFonts w:hint="cs"/>
          <w:rtl/>
        </w:rPr>
        <w:t xml:space="preserve">פועלות מספר </w:t>
      </w:r>
      <w:r>
        <w:rPr>
          <w:rFonts w:hint="cs"/>
          <w:rtl/>
        </w:rPr>
        <w:t>מצומצם</w:t>
      </w:r>
      <w:r w:rsidRPr="007D3F80">
        <w:rPr>
          <w:rFonts w:hint="cs"/>
          <w:rtl/>
        </w:rPr>
        <w:t xml:space="preserve"> של </w:t>
      </w:r>
      <w:r w:rsidR="0069155F">
        <w:rPr>
          <w:rFonts w:hint="cs"/>
          <w:rtl/>
        </w:rPr>
        <w:t>ספקיות</w:t>
      </w:r>
      <w:r w:rsidRPr="007D3F80">
        <w:rPr>
          <w:rFonts w:hint="cs"/>
          <w:rtl/>
        </w:rPr>
        <w:t xml:space="preserve"> שירותי רט"ן וירטואלי,</w:t>
      </w:r>
      <w:r>
        <w:rPr>
          <w:rFonts w:hint="cs"/>
          <w:rtl/>
        </w:rPr>
        <w:t xml:space="preserve"> קרי על גבי רשת שאינה שייכת להן</w:t>
      </w:r>
      <w:r w:rsidR="0069155F">
        <w:rPr>
          <w:rFonts w:hint="cs"/>
          <w:rtl/>
        </w:rPr>
        <w:t>.</w:t>
      </w:r>
      <w:r>
        <w:rPr>
          <w:rFonts w:hint="cs"/>
          <w:rtl/>
        </w:rPr>
        <w:t xml:space="preserve"> מפעילות אלו מכונות בעגה המקצועית </w:t>
      </w:r>
      <w:r w:rsidRPr="00386DF8">
        <w:rPr>
          <w:rFonts w:cs="Times New Roman"/>
        </w:rPr>
        <w:t>MVNO</w:t>
      </w:r>
      <w:r>
        <w:rPr>
          <w:rFonts w:hint="cs"/>
          <w:rtl/>
        </w:rPr>
        <w:t xml:space="preserve"> </w:t>
      </w:r>
      <w:r>
        <w:rPr>
          <w:rFonts w:cs="Times New Roman" w:hint="cs"/>
          <w:rtl/>
        </w:rPr>
        <w:t xml:space="preserve">- </w:t>
      </w:r>
      <w:r w:rsidRPr="00386DF8">
        <w:rPr>
          <w:rFonts w:cs="Times New Roman"/>
        </w:rPr>
        <w:t>Mobile Virtual Network Operator</w:t>
      </w:r>
      <w:r w:rsidR="0069155F">
        <w:rPr>
          <w:rFonts w:hint="cs"/>
          <w:rtl/>
        </w:rPr>
        <w:t>. ספקיות אלה פועלות</w:t>
      </w:r>
      <w:r>
        <w:rPr>
          <w:rFonts w:hint="cs"/>
          <w:rtl/>
        </w:rPr>
        <w:t xml:space="preserve"> בהתאם לרישיון לאספקת שירותי רט"ן ברשת אחרת (להלן: "</w:t>
      </w:r>
      <w:r>
        <w:rPr>
          <w:rFonts w:hint="cs"/>
          <w:b/>
          <w:bCs/>
          <w:rtl/>
        </w:rPr>
        <w:t>מפעילות וירטואליו</w:t>
      </w:r>
      <w:r>
        <w:rPr>
          <w:rFonts w:hint="eastAsia"/>
          <w:b/>
          <w:bCs/>
          <w:rtl/>
        </w:rPr>
        <w:t>ת</w:t>
      </w:r>
      <w:r>
        <w:rPr>
          <w:rFonts w:hint="cs"/>
          <w:rtl/>
        </w:rPr>
        <w:t>"</w:t>
      </w:r>
      <w:r w:rsidR="0069155F">
        <w:rPr>
          <w:rFonts w:hint="cs"/>
          <w:rtl/>
        </w:rPr>
        <w:t>).</w:t>
      </w:r>
      <w:r>
        <w:rPr>
          <w:rFonts w:hint="cs"/>
          <w:rtl/>
        </w:rPr>
        <w:t xml:space="preserve"> מפעילות וירטואליות ומפעילות בעלות תשתית יכונו להלן ביחד: </w:t>
      </w:r>
      <w:r w:rsidRPr="007D3F80">
        <w:rPr>
          <w:rFonts w:hint="cs"/>
          <w:rtl/>
        </w:rPr>
        <w:t>"</w:t>
      </w:r>
      <w:r w:rsidRPr="007D3F80">
        <w:rPr>
          <w:rFonts w:hint="cs"/>
          <w:b/>
          <w:bCs/>
          <w:rtl/>
        </w:rPr>
        <w:t>מפעילות תקשורת ניידת</w:t>
      </w:r>
      <w:r w:rsidRPr="007D3F80">
        <w:rPr>
          <w:rFonts w:hint="cs"/>
          <w:rtl/>
        </w:rPr>
        <w:t>"). חברות אלה הן רמי לוי שיווק השקמה תקשורת בע"מ (להלן: "</w:t>
      </w:r>
      <w:r w:rsidRPr="007D3F80">
        <w:rPr>
          <w:rFonts w:hint="cs"/>
          <w:b/>
          <w:bCs/>
          <w:rtl/>
        </w:rPr>
        <w:t>רמי</w:t>
      </w:r>
      <w:r>
        <w:rPr>
          <w:rFonts w:hint="cs"/>
          <w:b/>
          <w:bCs/>
          <w:rtl/>
        </w:rPr>
        <w:t xml:space="preserve"> </w:t>
      </w:r>
      <w:r w:rsidRPr="006279CA">
        <w:rPr>
          <w:rFonts w:hint="cs"/>
          <w:b/>
          <w:bCs/>
          <w:rtl/>
        </w:rPr>
        <w:t>לוי</w:t>
      </w:r>
      <w:r w:rsidRPr="006279CA">
        <w:rPr>
          <w:rFonts w:hint="cs"/>
          <w:rtl/>
        </w:rPr>
        <w:t>"), טלזר תקשורת בע"מ וסלקט תקשורת בע"מ.</w:t>
      </w:r>
      <w:r>
        <w:rPr>
          <w:rStyle w:val="ac"/>
          <w:rFonts w:ascii="Calibri" w:hAnsi="Calibri"/>
          <w:rtl/>
        </w:rPr>
        <w:footnoteReference w:id="10"/>
      </w:r>
    </w:p>
    <w:p w:rsidR="00C87ADA" w:rsidRDefault="00C87ADA" w:rsidP="00AF32F5">
      <w:pPr>
        <w:rPr>
          <w:rFonts w:hint="cs"/>
          <w:rtl/>
        </w:rPr>
      </w:pPr>
      <w:r w:rsidRPr="00FD2304">
        <w:rPr>
          <w:rFonts w:hint="cs"/>
          <w:rtl/>
        </w:rPr>
        <w:lastRenderedPageBreak/>
        <w:t xml:space="preserve">כפי שיפורט בהמשך, מפעילות וירטואליות </w:t>
      </w:r>
      <w:r>
        <w:rPr>
          <w:rFonts w:hint="cs"/>
          <w:rtl/>
        </w:rPr>
        <w:t>הן</w:t>
      </w:r>
      <w:r w:rsidRPr="00FD2304">
        <w:rPr>
          <w:rFonts w:hint="cs"/>
          <w:rtl/>
        </w:rPr>
        <w:t xml:space="preserve"> מתחרות</w:t>
      </w:r>
      <w:r>
        <w:rPr>
          <w:rFonts w:hint="cs"/>
          <w:rtl/>
        </w:rPr>
        <w:t xml:space="preserve"> ה</w:t>
      </w:r>
      <w:r w:rsidRPr="001A632C">
        <w:rPr>
          <w:rFonts w:hint="cs"/>
          <w:rtl/>
        </w:rPr>
        <w:t xml:space="preserve">מוגבלת </w:t>
      </w:r>
      <w:r>
        <w:rPr>
          <w:rFonts w:hint="cs"/>
          <w:rtl/>
        </w:rPr>
        <w:t xml:space="preserve">ביכולתן </w:t>
      </w:r>
      <w:r w:rsidRPr="001A632C">
        <w:rPr>
          <w:rFonts w:hint="cs"/>
          <w:rtl/>
        </w:rPr>
        <w:t>לרסן את המפעילות בעלות התשתית</w:t>
      </w:r>
      <w:r>
        <w:rPr>
          <w:rFonts w:hint="cs"/>
          <w:rtl/>
        </w:rPr>
        <w:t xml:space="preserve"> מלהפעיל כוח שוק</w:t>
      </w:r>
      <w:r w:rsidRPr="00FD2304">
        <w:rPr>
          <w:rFonts w:hint="cs"/>
          <w:rtl/>
        </w:rPr>
        <w:t xml:space="preserve">. </w:t>
      </w:r>
    </w:p>
    <w:p w:rsidR="00C87ADA" w:rsidRDefault="00C87ADA" w:rsidP="0030707F">
      <w:pPr>
        <w:pStyle w:val="2"/>
        <w:rPr>
          <w:rFonts w:hint="cs"/>
          <w:rtl/>
        </w:rPr>
      </w:pPr>
      <w:r w:rsidRPr="009440C0">
        <w:rPr>
          <w:rFonts w:hint="cs"/>
          <w:rtl/>
        </w:rPr>
        <w:t xml:space="preserve">נתחי </w:t>
      </w:r>
      <w:r>
        <w:rPr>
          <w:rFonts w:hint="cs"/>
          <w:rtl/>
        </w:rPr>
        <w:t>ה</w:t>
      </w:r>
      <w:r w:rsidRPr="009440C0">
        <w:rPr>
          <w:rFonts w:hint="cs"/>
          <w:rtl/>
        </w:rPr>
        <w:t>שוק</w:t>
      </w:r>
    </w:p>
    <w:p w:rsidR="00C87ADA" w:rsidRDefault="00C87ADA" w:rsidP="00CA4F62">
      <w:pPr>
        <w:rPr>
          <w:rFonts w:hint="cs"/>
          <w:rtl/>
        </w:rPr>
      </w:pPr>
      <w:r w:rsidRPr="003D2BA7">
        <w:rPr>
          <w:rFonts w:hint="cs"/>
          <w:rtl/>
        </w:rPr>
        <w:t>בישראל כ-5.5 מיליון צרכנים של שירותי תקשורת ניידת בשוק הרלוונטי</w:t>
      </w:r>
      <w:r>
        <w:rPr>
          <w:rFonts w:hint="cs"/>
          <w:rtl/>
        </w:rPr>
        <w:t>. בחינה של נתחי השוק מעלה</w:t>
      </w:r>
      <w:r w:rsidR="0069155F">
        <w:rPr>
          <w:rFonts w:hint="cs"/>
          <w:rtl/>
        </w:rPr>
        <w:t>,</w:t>
      </w:r>
      <w:r>
        <w:rPr>
          <w:rFonts w:hint="cs"/>
          <w:rtl/>
        </w:rPr>
        <w:t xml:space="preserve"> כי המיזוג בין סלקום וגולן ייצור לפירמה הממוזגת את נתח השוק הגדול ביותר (40-50% </w:t>
      </w:r>
      <w:r w:rsidRPr="00AF32F5">
        <w:rPr>
          <w:rFonts w:hint="cs"/>
          <w:rtl/>
        </w:rPr>
        <w:t>במונחי מספר מנויים ו-30-40% במונחי הכנסות)</w:t>
      </w:r>
      <w:r w:rsidR="00CA4F62">
        <w:rPr>
          <w:rFonts w:hint="cs"/>
          <w:rtl/>
        </w:rPr>
        <w:t>.</w:t>
      </w:r>
      <w:r w:rsidRPr="00AF32F5">
        <w:rPr>
          <w:rStyle w:val="ac"/>
          <w:rtl/>
        </w:rPr>
        <w:footnoteReference w:id="11"/>
      </w:r>
      <w:r w:rsidRPr="00AF32F5">
        <w:rPr>
          <w:rFonts w:hint="cs"/>
          <w:rtl/>
        </w:rPr>
        <w:t xml:space="preserve"> נתח השוק המצרפי של שלוש החברות הוותיקות (</w:t>
      </w:r>
      <w:r w:rsidRPr="00AF32F5">
        <w:t>CR3</w:t>
      </w:r>
      <w:r w:rsidRPr="00AF32F5">
        <w:rPr>
          <w:rFonts w:hint="cs"/>
          <w:rtl/>
        </w:rPr>
        <w:t>) לאחר המיזוג יהי</w:t>
      </w:r>
      <w:r w:rsidR="0069155F">
        <w:rPr>
          <w:rFonts w:hint="cs"/>
          <w:rtl/>
        </w:rPr>
        <w:t>ה</w:t>
      </w:r>
      <w:r w:rsidRPr="00AF32F5">
        <w:rPr>
          <w:rFonts w:hint="cs"/>
          <w:rtl/>
        </w:rPr>
        <w:t xml:space="preserve"> 80% במונחי מספר מנויים ו-90% במונחי הכנסות.</w:t>
      </w:r>
    </w:p>
    <w:p w:rsidR="00C87ADA" w:rsidRDefault="00C87ADA" w:rsidP="0030707F">
      <w:pPr>
        <w:rPr>
          <w:rFonts w:hint="cs"/>
          <w:rtl/>
        </w:rPr>
      </w:pPr>
    </w:p>
    <w:p w:rsidR="00C87ADA" w:rsidRPr="00FD2304" w:rsidRDefault="00C87ADA" w:rsidP="001A0311">
      <w:pPr>
        <w:pStyle w:val="1"/>
        <w:rPr>
          <w:rFonts w:hint="cs"/>
          <w:rtl/>
        </w:rPr>
      </w:pPr>
      <w:r>
        <w:rPr>
          <w:rFonts w:hint="cs"/>
          <w:rtl/>
        </w:rPr>
        <w:t>שינויים ומגמות ב</w:t>
      </w:r>
      <w:r w:rsidRPr="00FD2304">
        <w:rPr>
          <w:rFonts w:hint="cs"/>
          <w:rtl/>
        </w:rPr>
        <w:t>ענף התקשורת הניידת בישראל</w:t>
      </w:r>
    </w:p>
    <w:p w:rsidR="00C87ADA" w:rsidRDefault="00C87ADA" w:rsidP="0030707F">
      <w:pPr>
        <w:rPr>
          <w:rFonts w:hint="cs"/>
          <w:rtl/>
        </w:rPr>
      </w:pPr>
      <w:r>
        <w:rPr>
          <w:rFonts w:hint="cs"/>
          <w:rtl/>
        </w:rPr>
        <w:t xml:space="preserve">שירותי תקשורת ניידת בישראל ניתנים מאז שנת 1986. מאז שנת 1999 ועד שנת 2011 פעלו בענף התקשורת הניידת בישראל שלושה שחקנים מרכזיים </w:t>
      </w:r>
      <w:r>
        <w:rPr>
          <w:rtl/>
        </w:rPr>
        <w:t>–</w:t>
      </w:r>
      <w:r>
        <w:rPr>
          <w:rFonts w:hint="cs"/>
          <w:rtl/>
        </w:rPr>
        <w:t xml:space="preserve"> פלאפון, סלקום ופרטנר שנתח השוק המצרפי שלהן בשנת 2011 עמד על כ-95% מהענף וחלקה של כל אחת מהן בהיקפי הפעילות היה דומה.</w:t>
      </w:r>
      <w:r>
        <w:rPr>
          <w:rStyle w:val="ac"/>
          <w:rtl/>
        </w:rPr>
        <w:footnoteReference w:id="12"/>
      </w:r>
    </w:p>
    <w:p w:rsidR="00C87ADA" w:rsidRDefault="00C87ADA" w:rsidP="00EB4A7B">
      <w:pPr>
        <w:rPr>
          <w:rtl/>
        </w:rPr>
      </w:pPr>
      <w:r>
        <w:rPr>
          <w:rFonts w:hint="cs"/>
          <w:rtl/>
        </w:rPr>
        <w:t xml:space="preserve">כפי שיפורט בהמשך, בתקופה </w:t>
      </w:r>
      <w:r w:rsidR="00206C70">
        <w:rPr>
          <w:rFonts w:hint="cs"/>
          <w:rtl/>
        </w:rPr>
        <w:t>זאת</w:t>
      </w:r>
      <w:r w:rsidRPr="008050D2">
        <w:rPr>
          <w:rFonts w:hint="cs"/>
          <w:rtl/>
        </w:rPr>
        <w:t>, התאפיין</w:t>
      </w:r>
      <w:r>
        <w:rPr>
          <w:rFonts w:hint="cs"/>
          <w:rtl/>
        </w:rPr>
        <w:t xml:space="preserve"> הענף במספר מועט של מתחרים</w:t>
      </w:r>
      <w:r w:rsidR="00EB4A7B">
        <w:rPr>
          <w:rFonts w:hint="cs"/>
          <w:rtl/>
        </w:rPr>
        <w:t>,</w:t>
      </w:r>
      <w:r>
        <w:rPr>
          <w:rFonts w:hint="cs"/>
          <w:rtl/>
        </w:rPr>
        <w:t xml:space="preserve"> </w:t>
      </w:r>
      <w:r w:rsidRPr="008050D2">
        <w:rPr>
          <w:rFonts w:hint="cs"/>
          <w:rtl/>
        </w:rPr>
        <w:t>בריכוזיות גבוהה</w:t>
      </w:r>
      <w:r>
        <w:rPr>
          <w:rFonts w:hint="cs"/>
          <w:rtl/>
        </w:rPr>
        <w:t xml:space="preserve"> </w:t>
      </w:r>
      <w:r w:rsidR="00EB4A7B">
        <w:rPr>
          <w:rFonts w:hint="cs"/>
          <w:rtl/>
        </w:rPr>
        <w:t>ו</w:t>
      </w:r>
      <w:r>
        <w:rPr>
          <w:rFonts w:hint="cs"/>
          <w:rtl/>
        </w:rPr>
        <w:t>בחסמי מעבר גבוהים</w:t>
      </w:r>
      <w:r w:rsidR="00206C70">
        <w:rPr>
          <w:rFonts w:hint="cs"/>
          <w:rtl/>
        </w:rPr>
        <w:t>. חסמי המעבר הגבוהים</w:t>
      </w:r>
      <w:r>
        <w:rPr>
          <w:rFonts w:hint="cs"/>
          <w:rtl/>
        </w:rPr>
        <w:t xml:space="preserve"> כללו, בין היתר, הסכמים שהגבילו את יכולתם של המנויים לעבור בין החברות עקב הצורך בתשלום קנסות </w:t>
      </w:r>
      <w:r w:rsidR="00206C70">
        <w:rPr>
          <w:rFonts w:hint="cs"/>
          <w:rtl/>
        </w:rPr>
        <w:t>ו</w:t>
      </w:r>
      <w:r>
        <w:rPr>
          <w:rFonts w:hint="cs"/>
          <w:rtl/>
        </w:rPr>
        <w:t>העדר יכולת לשמור על מספר הטלפון הקודם בעת מעבר בין החברות</w:t>
      </w:r>
      <w:r w:rsidR="00206C70">
        <w:rPr>
          <w:rFonts w:hint="cs"/>
          <w:rtl/>
        </w:rPr>
        <w:t>.</w:t>
      </w:r>
      <w:r>
        <w:rPr>
          <w:rFonts w:hint="cs"/>
          <w:rtl/>
        </w:rPr>
        <w:t xml:space="preserve"> </w:t>
      </w:r>
      <w:r w:rsidR="00206C70">
        <w:rPr>
          <w:rFonts w:hint="cs"/>
          <w:rtl/>
        </w:rPr>
        <w:t>בנוסף התאפיין הענף ב</w:t>
      </w:r>
      <w:r w:rsidRPr="008050D2">
        <w:rPr>
          <w:rFonts w:hint="cs"/>
          <w:rtl/>
        </w:rPr>
        <w:t xml:space="preserve">גביית תשלום בעד דקות שיחה ויחידות טקסט וגלישה באינטרנט בשילובים שונים, </w:t>
      </w:r>
      <w:r>
        <w:rPr>
          <w:rFonts w:hint="cs"/>
          <w:rtl/>
        </w:rPr>
        <w:t>ו</w:t>
      </w:r>
      <w:r w:rsidRPr="008050D2">
        <w:rPr>
          <w:rFonts w:hint="cs"/>
          <w:rtl/>
        </w:rPr>
        <w:t xml:space="preserve">זאת בנוסף לדמי השימוש הקבועים. </w:t>
      </w:r>
      <w:r>
        <w:rPr>
          <w:rFonts w:hint="cs"/>
          <w:rtl/>
        </w:rPr>
        <w:t>צורת התמחור הקשתה</w:t>
      </w:r>
      <w:r w:rsidRPr="008050D2">
        <w:rPr>
          <w:rFonts w:hint="cs"/>
          <w:rtl/>
        </w:rPr>
        <w:t xml:space="preserve"> על ה</w:t>
      </w:r>
      <w:r>
        <w:rPr>
          <w:rFonts w:hint="cs"/>
          <w:rtl/>
        </w:rPr>
        <w:t>יכולת של המנויים לבצע ה</w:t>
      </w:r>
      <w:r w:rsidRPr="008050D2">
        <w:rPr>
          <w:rFonts w:hint="cs"/>
          <w:rtl/>
        </w:rPr>
        <w:t>שוואת מחירים בין המפעילות</w:t>
      </w:r>
      <w:r>
        <w:rPr>
          <w:rFonts w:hint="cs"/>
          <w:rtl/>
        </w:rPr>
        <w:t xml:space="preserve"> השונות. </w:t>
      </w:r>
    </w:p>
    <w:p w:rsidR="00C87ADA" w:rsidRDefault="00C87ADA" w:rsidP="00997A64">
      <w:pPr>
        <w:rPr>
          <w:rFonts w:hint="cs"/>
          <w:rtl/>
        </w:rPr>
      </w:pPr>
      <w:r>
        <w:rPr>
          <w:rFonts w:hint="cs"/>
          <w:rtl/>
        </w:rPr>
        <w:t xml:space="preserve">בשנים 2007-2012 פעל משרד התקשורת (להלן: </w:t>
      </w:r>
      <w:r>
        <w:rPr>
          <w:rFonts w:hint="cs"/>
          <w:b/>
          <w:bCs/>
          <w:rtl/>
        </w:rPr>
        <w:t>"המשרד</w:t>
      </w:r>
      <w:r>
        <w:rPr>
          <w:rFonts w:hint="cs"/>
          <w:rtl/>
        </w:rPr>
        <w:t>") להגברת התחרות בדרכים שונות ובהן: חיוב מפעילות הטלפוניה הנייחת והניידת לאפשר למנויים לנייד מספרים במעבר בין המפעילות,</w:t>
      </w:r>
      <w:r>
        <w:rPr>
          <w:rStyle w:val="ac"/>
          <w:rFonts w:ascii="Calibri" w:hAnsi="Calibri"/>
          <w:rtl/>
        </w:rPr>
        <w:footnoteReference w:id="13"/>
      </w:r>
      <w:r>
        <w:rPr>
          <w:rFonts w:hint="cs"/>
          <w:rtl/>
        </w:rPr>
        <w:t xml:space="preserve"> חיוב המפעילות לנתק כל זיקה בין מכירת ציוד קצה (טלפונים ניידים) לבין התנאים בהם שירותי התקשורת נרכשים מהן</w:t>
      </w:r>
      <w:r w:rsidRPr="003C5627">
        <w:rPr>
          <w:rFonts w:hint="cs"/>
          <w:rtl/>
        </w:rPr>
        <w:t>,</w:t>
      </w:r>
      <w:r>
        <w:rPr>
          <w:rStyle w:val="ac"/>
          <w:rFonts w:ascii="Calibri" w:hAnsi="Calibri"/>
          <w:rtl/>
        </w:rPr>
        <w:footnoteReference w:id="14"/>
      </w:r>
      <w:r>
        <w:rPr>
          <w:rFonts w:hint="cs"/>
          <w:rtl/>
        </w:rPr>
        <w:t xml:space="preserve"> הפחתת תעריפי קישור הגומלין,</w:t>
      </w:r>
      <w:r>
        <w:rPr>
          <w:rStyle w:val="ac"/>
          <w:rFonts w:ascii="Calibri" w:hAnsi="Calibri"/>
          <w:rtl/>
        </w:rPr>
        <w:footnoteReference w:id="15"/>
      </w:r>
      <w:r>
        <w:rPr>
          <w:rFonts w:hint="cs"/>
          <w:rtl/>
        </w:rPr>
        <w:t xml:space="preserve"> מתן אפשרות למפעילות </w:t>
      </w:r>
      <w:r>
        <w:rPr>
          <w:rFonts w:hint="cs"/>
          <w:rtl/>
        </w:rPr>
        <w:lastRenderedPageBreak/>
        <w:t>הווירטואליות לפעול על גבי רשת של מפעילה בעלת תשתית,</w:t>
      </w:r>
      <w:r>
        <w:rPr>
          <w:rStyle w:val="ac"/>
          <w:rFonts w:ascii="Calibri" w:hAnsi="Calibri"/>
          <w:rtl/>
        </w:rPr>
        <w:footnoteReference w:id="16"/>
      </w:r>
      <w:r>
        <w:rPr>
          <w:rFonts w:hint="cs"/>
          <w:rtl/>
        </w:rPr>
        <w:t xml:space="preserve"> קיצור תקופות ההתחייבות של המנויים וביטול האפשרות לגבות קנסות או החזרים ממנויים שבקשו לעזוב מפעילה</w:t>
      </w:r>
      <w:r>
        <w:rPr>
          <w:rStyle w:val="ac"/>
          <w:rFonts w:ascii="Calibri" w:hAnsi="Calibri"/>
          <w:rtl/>
        </w:rPr>
        <w:footnoteReference w:id="17"/>
      </w:r>
      <w:r>
        <w:rPr>
          <w:rFonts w:hint="cs"/>
          <w:rtl/>
        </w:rPr>
        <w:t xml:space="preserve"> ועוד. </w:t>
      </w:r>
    </w:p>
    <w:p w:rsidR="00C87ADA" w:rsidRDefault="00C87ADA" w:rsidP="00CA4F62">
      <w:pPr>
        <w:rPr>
          <w:rFonts w:hint="cs"/>
          <w:rtl/>
        </w:rPr>
      </w:pPr>
      <w:r>
        <w:rPr>
          <w:rFonts w:hint="cs"/>
          <w:rtl/>
        </w:rPr>
        <w:t xml:space="preserve">במהלך החשוב והמשמעותי מכולם נקט משרד התקשורת בשנת 2010, עת פרסם המשרד מכרז </w:t>
      </w:r>
      <w:r>
        <w:rPr>
          <w:rtl/>
        </w:rPr>
        <w:t>להענקת רישיון רט"ן חדש ולהרחבת רישיון קיים</w:t>
      </w:r>
      <w:r>
        <w:rPr>
          <w:rFonts w:hint="cs"/>
          <w:rtl/>
        </w:rPr>
        <w:t xml:space="preserve"> (להלן: "</w:t>
      </w:r>
      <w:r w:rsidRPr="00386DF8">
        <w:rPr>
          <w:rFonts w:hint="cs"/>
          <w:b/>
          <w:bCs/>
          <w:rtl/>
        </w:rPr>
        <w:t>מכרז</w:t>
      </w:r>
      <w:r>
        <w:rPr>
          <w:rFonts w:hint="cs"/>
          <w:b/>
          <w:bCs/>
          <w:rtl/>
        </w:rPr>
        <w:t xml:space="preserve"> הדור השלישי</w:t>
      </w:r>
      <w:r>
        <w:rPr>
          <w:rFonts w:hint="cs"/>
          <w:rtl/>
        </w:rPr>
        <w:t>"). במכרז שנערך בשנת 2011 זכו הוט מובייל</w:t>
      </w:r>
      <w:r>
        <w:rPr>
          <w:rStyle w:val="ac"/>
          <w:rFonts w:ascii="Calibri" w:hAnsi="Calibri"/>
          <w:rtl/>
        </w:rPr>
        <w:footnoteReference w:id="18"/>
      </w:r>
      <w:r>
        <w:rPr>
          <w:rFonts w:hint="cs"/>
          <w:rtl/>
        </w:rPr>
        <w:t xml:space="preserve"> וגולן. במסגרת המכרז </w:t>
      </w:r>
      <w:r w:rsidR="00CA4F62">
        <w:rPr>
          <w:rFonts w:hint="cs"/>
          <w:rtl/>
        </w:rPr>
        <w:t xml:space="preserve">הוקצתה </w:t>
      </w:r>
      <w:r>
        <w:rPr>
          <w:rFonts w:hint="cs"/>
          <w:rtl/>
        </w:rPr>
        <w:t>לכל אחת מהן רצועת תדרים המאפשרת מתן שירותי תקשורת ניידת בדור השלישי. מכרז הדור השלישי עוצב כך שהחברות העמידו ערבויות בגובה של מאות מיליוני שקלים חדשים שהושבו להן באופן הדרגתי בכפוף להגעתן לנתחי שוק מסוימים.</w:t>
      </w:r>
      <w:r>
        <w:rPr>
          <w:rStyle w:val="ac"/>
          <w:rtl/>
        </w:rPr>
        <w:footnoteReference w:id="19"/>
      </w:r>
      <w:r>
        <w:rPr>
          <w:rFonts w:hint="cs"/>
          <w:rtl/>
        </w:rPr>
        <w:t xml:space="preserve"> על מנת להקל על חדירתן לשוק, נקבע כי הוט מובייל וגולן יוכלו לרכוש שירותי נדידה פנים ארצית מהמפעילות הוותיקות וכך יוכלו להעניק שירותים לציבור עוד בטרם ישלימו פריסה של רשת רט"ן ארצית.</w:t>
      </w:r>
      <w:r>
        <w:rPr>
          <w:rStyle w:val="ac"/>
          <w:rtl/>
        </w:rPr>
        <w:footnoteReference w:id="20"/>
      </w:r>
      <w:r>
        <w:rPr>
          <w:rFonts w:hint="cs"/>
          <w:rtl/>
        </w:rPr>
        <w:t xml:space="preserve"> בהתאם לכך, באוקטובר 2011 נחתם הסכם לנדידה פנים ארצית בין גולן לבין סלקום.</w:t>
      </w:r>
      <w:r>
        <w:rPr>
          <w:rStyle w:val="ac"/>
          <w:rtl/>
        </w:rPr>
        <w:footnoteReference w:id="21"/>
      </w:r>
    </w:p>
    <w:p w:rsidR="00C87ADA" w:rsidRDefault="00C87ADA" w:rsidP="0030707F">
      <w:pPr>
        <w:rPr>
          <w:rFonts w:hint="cs"/>
          <w:rtl/>
        </w:rPr>
      </w:pPr>
      <w:r>
        <w:rPr>
          <w:rFonts w:hint="cs"/>
          <w:rtl/>
        </w:rPr>
        <w:t xml:space="preserve">הוט מובייל וגולן החלו לפעול בחודש מאי 2012 כאשר זמן קצר לפני כן, החל מסוף שנת 2011, </w:t>
      </w:r>
      <w:r w:rsidRPr="00F26195">
        <w:rPr>
          <w:rFonts w:hint="cs"/>
          <w:rtl/>
        </w:rPr>
        <w:t>החלו לפעול בשוק באופן מצומצם יחסית גם מפעילות וירטואליות כדוגמת רמי לוי.</w:t>
      </w:r>
    </w:p>
    <w:p w:rsidR="00C87ADA" w:rsidRDefault="00C87ADA" w:rsidP="00CA4F62">
      <w:pPr>
        <w:rPr>
          <w:rFonts w:hint="cs"/>
          <w:rtl/>
        </w:rPr>
      </w:pPr>
      <w:r>
        <w:rPr>
          <w:rFonts w:hint="cs"/>
          <w:rtl/>
        </w:rPr>
        <w:t>הצעדים שתוארו לעיל הביאו עמם</w:t>
      </w:r>
      <w:r w:rsidRPr="008050D2">
        <w:rPr>
          <w:rFonts w:hint="cs"/>
          <w:rtl/>
        </w:rPr>
        <w:t xml:space="preserve"> ירידה חדה במחירי שירותי התקשורת הניידת, שינוי בצורת התמחור שהייתה נפוצה עד </w:t>
      </w:r>
      <w:r w:rsidRPr="00FE74A9">
        <w:rPr>
          <w:rFonts w:hint="cs"/>
          <w:rtl/>
        </w:rPr>
        <w:t xml:space="preserve">אז וגידול בשיעור </w:t>
      </w:r>
      <w:r w:rsidR="00206C70" w:rsidRPr="00FE74A9">
        <w:rPr>
          <w:rFonts w:hint="cs"/>
          <w:rtl/>
        </w:rPr>
        <w:t xml:space="preserve">המעבר בין </w:t>
      </w:r>
      <w:r w:rsidR="000862B2" w:rsidRPr="00FE74A9">
        <w:rPr>
          <w:rFonts w:hint="cs"/>
          <w:rtl/>
        </w:rPr>
        <w:t>ה</w:t>
      </w:r>
      <w:r w:rsidR="00206C70" w:rsidRPr="00FE74A9">
        <w:rPr>
          <w:rFonts w:hint="cs"/>
          <w:rtl/>
        </w:rPr>
        <w:t>מפעילות</w:t>
      </w:r>
      <w:r w:rsidR="00206C70">
        <w:rPr>
          <w:rFonts w:hint="cs"/>
          <w:rtl/>
        </w:rPr>
        <w:t xml:space="preserve"> השונות</w:t>
      </w:r>
    </w:p>
    <w:p w:rsidR="00C87ADA" w:rsidRPr="00EA5474" w:rsidRDefault="00C87ADA" w:rsidP="001A0311">
      <w:pPr>
        <w:pStyle w:val="7"/>
        <w:rPr>
          <w:rFonts w:hint="cs"/>
          <w:rtl/>
        </w:rPr>
      </w:pPr>
      <w:r w:rsidRPr="00372F0B">
        <w:rPr>
          <w:rFonts w:hint="cs"/>
          <w:rtl/>
        </w:rPr>
        <w:t>השינוי בהכנסה הממוצעת ממנוי</w:t>
      </w:r>
    </w:p>
    <w:p w:rsidR="00C87ADA" w:rsidRDefault="00C87ADA" w:rsidP="00372F0B">
      <w:pPr>
        <w:rPr>
          <w:rFonts w:hint="cs"/>
          <w:rtl/>
        </w:rPr>
      </w:pPr>
      <w:r>
        <w:rPr>
          <w:rFonts w:hint="cs"/>
          <w:rtl/>
        </w:rPr>
        <w:t>בחינת השינויים ב</w:t>
      </w:r>
      <w:r w:rsidRPr="008050D2">
        <w:rPr>
          <w:rFonts w:hint="cs"/>
          <w:rtl/>
        </w:rPr>
        <w:t>הכנסה הממוצעת ממנוי (</w:t>
      </w:r>
      <w:r w:rsidRPr="008050D2">
        <w:t xml:space="preserve">ARPU – Average Revenue Per </w:t>
      </w:r>
      <w:r>
        <w:t>User</w:t>
      </w:r>
      <w:r w:rsidRPr="008050D2">
        <w:rPr>
          <w:rFonts w:hint="cs"/>
          <w:rtl/>
        </w:rPr>
        <w:t>)</w:t>
      </w:r>
      <w:r>
        <w:rPr>
          <w:rFonts w:hint="cs"/>
          <w:rtl/>
        </w:rPr>
        <w:t xml:space="preserve"> לחודש</w:t>
      </w:r>
      <w:r w:rsidRPr="008050D2">
        <w:rPr>
          <w:rFonts w:hint="cs"/>
          <w:rtl/>
        </w:rPr>
        <w:t xml:space="preserve"> </w:t>
      </w:r>
      <w:r>
        <w:rPr>
          <w:rFonts w:hint="cs"/>
          <w:rtl/>
        </w:rPr>
        <w:t xml:space="preserve">משקפת את השינוי במחירים שגבו המפעילות ממנויים. </w:t>
      </w:r>
    </w:p>
    <w:p w:rsidR="00C87ADA" w:rsidRPr="008050D2" w:rsidRDefault="00C34DAA" w:rsidP="00997A64">
      <w:pPr>
        <w:rPr>
          <w:rFonts w:hint="cs"/>
          <w:rtl/>
        </w:rPr>
      </w:pPr>
      <w:r w:rsidRPr="0041759D" w:rsidDel="00C34DAA">
        <w:rPr>
          <w:rFonts w:cs="Aharoni" w:hint="cs"/>
          <w:b/>
          <w:bCs/>
          <w:sz w:val="20"/>
          <w:szCs w:val="22"/>
          <w:rtl/>
        </w:rPr>
        <w:t xml:space="preserve"> </w:t>
      </w:r>
      <w:r>
        <w:rPr>
          <w:rFonts w:hint="cs"/>
          <w:rtl/>
        </w:rPr>
        <w:t>בדיקה של נתונים העלתה</w:t>
      </w:r>
      <w:r w:rsidR="00C87ADA">
        <w:rPr>
          <w:rFonts w:hint="cs"/>
          <w:rtl/>
        </w:rPr>
        <w:t xml:space="preserve"> שבין השנים </w:t>
      </w:r>
      <w:r w:rsidR="00494AC5">
        <w:rPr>
          <w:rFonts w:hint="cs"/>
          <w:rtl/>
        </w:rPr>
        <w:t xml:space="preserve">2008 </w:t>
      </w:r>
      <w:r w:rsidR="00C87ADA">
        <w:rPr>
          <w:rFonts w:hint="cs"/>
          <w:rtl/>
        </w:rPr>
        <w:t xml:space="preserve">ו-2015 חלה ירידה </w:t>
      </w:r>
      <w:r w:rsidR="00C87ADA" w:rsidRPr="00AE1CF3">
        <w:rPr>
          <w:rFonts w:hint="cs"/>
          <w:rtl/>
        </w:rPr>
        <w:t>של למעלה מ-40%</w:t>
      </w:r>
      <w:r w:rsidR="00C87ADA">
        <w:rPr>
          <w:rFonts w:hint="cs"/>
          <w:rtl/>
        </w:rPr>
        <w:t xml:space="preserve"> בהכנסה הממוצעת ממנוי של המפעילות הוותיקות</w:t>
      </w:r>
      <w:r w:rsidR="00EB4A7B">
        <w:rPr>
          <w:rFonts w:hint="cs"/>
          <w:rtl/>
        </w:rPr>
        <w:t>,</w:t>
      </w:r>
      <w:r>
        <w:rPr>
          <w:rFonts w:hint="cs"/>
          <w:rtl/>
        </w:rPr>
        <w:t xml:space="preserve"> כאשר עיקר ירידה </w:t>
      </w:r>
      <w:r w:rsidR="0054422D">
        <w:rPr>
          <w:rFonts w:hint="cs"/>
          <w:rtl/>
        </w:rPr>
        <w:t xml:space="preserve">זאת </w:t>
      </w:r>
      <w:r>
        <w:rPr>
          <w:rFonts w:hint="cs"/>
          <w:rtl/>
        </w:rPr>
        <w:t>התרחשה לאחר כניסתן לשוק של גולן והוט מובייל בשנת 2012</w:t>
      </w:r>
      <w:r w:rsidR="00C87ADA">
        <w:rPr>
          <w:rFonts w:hint="cs"/>
          <w:rtl/>
        </w:rPr>
        <w:t>. במקביל לירידת ההכנסה הממוצעת, חלה באותן שנים עליה ניכרת בהיקפי השימוש בדקות שיחה ובנפח גלישה שביצעו לקוחות. דהיינו ירידת המחיר האפקטיבי הייתה גדולה אף יותר.</w:t>
      </w:r>
      <w:r w:rsidR="00C87ADA" w:rsidDel="007926CF">
        <w:rPr>
          <w:rFonts w:hint="cs"/>
          <w:rtl/>
        </w:rPr>
        <w:t xml:space="preserve"> </w:t>
      </w:r>
    </w:p>
    <w:p w:rsidR="00C87ADA" w:rsidRPr="0041759D" w:rsidRDefault="00C87ADA" w:rsidP="001A0311">
      <w:pPr>
        <w:pStyle w:val="7"/>
        <w:rPr>
          <w:rtl/>
        </w:rPr>
      </w:pPr>
      <w:r w:rsidRPr="0041759D">
        <w:rPr>
          <w:rFonts w:hint="cs"/>
          <w:rtl/>
        </w:rPr>
        <w:lastRenderedPageBreak/>
        <w:t>שינוי צורת התמחור</w:t>
      </w:r>
    </w:p>
    <w:p w:rsidR="00C87ADA" w:rsidRDefault="00C87ADA" w:rsidP="00EA7F4E">
      <w:pPr>
        <w:rPr>
          <w:rtl/>
        </w:rPr>
      </w:pPr>
      <w:r w:rsidRPr="007C7587">
        <w:rPr>
          <w:rFonts w:hint="cs"/>
          <w:rtl/>
        </w:rPr>
        <w:t xml:space="preserve">שינוי נוסף שהתרחש בסמוך לכניסת הוט מובייל וגולן </w:t>
      </w:r>
      <w:r>
        <w:rPr>
          <w:rFonts w:hint="cs"/>
          <w:rtl/>
        </w:rPr>
        <w:t>עניינו</w:t>
      </w:r>
      <w:r w:rsidRPr="007C7587">
        <w:rPr>
          <w:rFonts w:hint="cs"/>
          <w:rtl/>
        </w:rPr>
        <w:t xml:space="preserve"> </w:t>
      </w:r>
      <w:r>
        <w:rPr>
          <w:rFonts w:hint="cs"/>
          <w:rtl/>
        </w:rPr>
        <w:t>ב</w:t>
      </w:r>
      <w:r w:rsidRPr="007C7587">
        <w:rPr>
          <w:rFonts w:hint="cs"/>
          <w:rtl/>
        </w:rPr>
        <w:t xml:space="preserve">שיווק של חבילות הכוללות שיחות, גלישה באינטרנט ומסרונים במחיר קבוע, ללא הגבלה, ובמסלולים פשוטים להבנה. </w:t>
      </w:r>
      <w:r w:rsidR="00EA7F4E">
        <w:rPr>
          <w:rFonts w:hint="cs"/>
          <w:rtl/>
        </w:rPr>
        <w:t>כניסתן של גולן והוט מובייל לשיווק חבילות במחיר קבוע וללא הגבלה גרר את שאר המפעילות להציע חבילות דומות.</w:t>
      </w:r>
      <w:r>
        <w:rPr>
          <w:rFonts w:hint="cs"/>
          <w:rtl/>
        </w:rPr>
        <w:t xml:space="preserve"> שינוי </w:t>
      </w:r>
      <w:r w:rsidR="00CA4F62">
        <w:rPr>
          <w:rFonts w:hint="cs"/>
          <w:rtl/>
        </w:rPr>
        <w:t xml:space="preserve">צורת התמחור </w:t>
      </w:r>
      <w:r>
        <w:rPr>
          <w:rFonts w:hint="cs"/>
          <w:rtl/>
        </w:rPr>
        <w:t xml:space="preserve">הקל על הצרכנים את מלאכת התכנון והשימוש במכשירי הסלולר שלהם וכן את יכולת ההשוואה בין חבילות שונות לצורך שיפור תנאי ההתקשרות שלהם. </w:t>
      </w:r>
    </w:p>
    <w:p w:rsidR="00C87ADA" w:rsidRPr="0041759D" w:rsidRDefault="00C87ADA" w:rsidP="006B3658">
      <w:pPr>
        <w:pStyle w:val="7"/>
        <w:rPr>
          <w:rFonts w:hint="cs"/>
          <w:rtl/>
        </w:rPr>
      </w:pPr>
      <w:r w:rsidRPr="00C34DAA">
        <w:rPr>
          <w:rFonts w:hint="cs"/>
          <w:rtl/>
        </w:rPr>
        <w:t>השינוי בשיעורי הנטישה</w:t>
      </w:r>
      <w:r w:rsidR="0054422D">
        <w:rPr>
          <w:rFonts w:hint="cs"/>
          <w:rtl/>
        </w:rPr>
        <w:t xml:space="preserve"> ומעבר למפעיל סלולרי אחר</w:t>
      </w:r>
    </w:p>
    <w:p w:rsidR="00C87ADA" w:rsidRDefault="00C87ADA" w:rsidP="0030707F">
      <w:pPr>
        <w:rPr>
          <w:rtl/>
        </w:rPr>
      </w:pPr>
      <w:r>
        <w:rPr>
          <w:rFonts w:hint="cs"/>
          <w:rtl/>
        </w:rPr>
        <w:t>ביטוי נוסף לתחרות שהתחוללה לאחר כניסת הוט מובייל וגולן ניתן בגידול בשיעורי הנטישה החודשיים של הלקוחות בשוק הרלוונטי (</w:t>
      </w:r>
      <w:r>
        <w:t>Churn Rate</w:t>
      </w:r>
      <w:r>
        <w:rPr>
          <w:rFonts w:hint="cs"/>
          <w:rtl/>
        </w:rPr>
        <w:t>). להלן תרשים המתאר את שיעורי הנטישה הרבעוניים של כל המפעילות בשנים 2011-2015:</w:t>
      </w:r>
      <w:r w:rsidRPr="00076648">
        <w:rPr>
          <w:rStyle w:val="ac"/>
          <w:rtl/>
        </w:rPr>
        <w:t xml:space="preserve"> </w:t>
      </w:r>
    </w:p>
    <w:p w:rsidR="00C87ADA" w:rsidRPr="0041759D" w:rsidRDefault="00C87ADA" w:rsidP="00372F0B">
      <w:pPr>
        <w:spacing w:after="0"/>
        <w:jc w:val="center"/>
        <w:rPr>
          <w:rFonts w:cs="Aharoni" w:hint="cs"/>
          <w:b/>
          <w:bCs/>
          <w:sz w:val="20"/>
          <w:szCs w:val="22"/>
          <w:rtl/>
        </w:rPr>
      </w:pPr>
      <w:r w:rsidRPr="0041759D">
        <w:rPr>
          <w:rFonts w:cs="Aharoni" w:hint="cs"/>
          <w:b/>
          <w:bCs/>
          <w:sz w:val="20"/>
          <w:szCs w:val="22"/>
          <w:rtl/>
        </w:rPr>
        <w:t xml:space="preserve">תרשים </w:t>
      </w:r>
      <w:r w:rsidR="00C34DAA">
        <w:rPr>
          <w:rFonts w:cs="Aharoni" w:hint="cs"/>
          <w:b/>
          <w:bCs/>
          <w:sz w:val="20"/>
          <w:szCs w:val="22"/>
          <w:rtl/>
        </w:rPr>
        <w:t>1</w:t>
      </w:r>
      <w:r w:rsidR="00C34DAA" w:rsidRPr="0041759D">
        <w:rPr>
          <w:rFonts w:cs="Aharoni" w:hint="cs"/>
          <w:b/>
          <w:bCs/>
          <w:sz w:val="20"/>
          <w:szCs w:val="22"/>
          <w:rtl/>
        </w:rPr>
        <w:t xml:space="preserve"> </w:t>
      </w:r>
      <w:r w:rsidRPr="0041759D">
        <w:rPr>
          <w:rFonts w:cs="Aharoni" w:hint="cs"/>
          <w:b/>
          <w:bCs/>
          <w:sz w:val="20"/>
          <w:szCs w:val="22"/>
          <w:rtl/>
        </w:rPr>
        <w:t>- שיעור</w:t>
      </w:r>
      <w:r>
        <w:rPr>
          <w:rFonts w:cs="Aharoni" w:hint="cs"/>
          <w:b/>
          <w:bCs/>
          <w:sz w:val="20"/>
          <w:szCs w:val="22"/>
          <w:rtl/>
        </w:rPr>
        <w:t xml:space="preserve"> נטישת מנויים בשוק הרלוונטי, כל המפעילות, </w:t>
      </w:r>
      <w:r w:rsidRPr="0041759D">
        <w:rPr>
          <w:rFonts w:cs="Aharoni" w:hint="cs"/>
          <w:b/>
          <w:bCs/>
          <w:sz w:val="20"/>
          <w:szCs w:val="22"/>
          <w:rtl/>
        </w:rPr>
        <w:t>2011-2015</w:t>
      </w:r>
    </w:p>
    <w:p w:rsidR="00D629FD" w:rsidRDefault="00517004" w:rsidP="0030707F">
      <w:pPr>
        <w:rPr>
          <w:rFonts w:hint="cs"/>
          <w:rtl/>
        </w:rPr>
      </w:pPr>
      <w:r>
        <w:rPr>
          <w:rFonts w:hint="cs"/>
          <w:noProof/>
          <w:lang w:eastAsia="en-US"/>
        </w:rPr>
        <w:drawing>
          <wp:inline distT="0" distB="0" distL="0" distR="0">
            <wp:extent cx="5527040" cy="2778125"/>
            <wp:effectExtent l="0" t="0" r="0" b="3175"/>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7040" cy="2778125"/>
                    </a:xfrm>
                    <a:prstGeom prst="rect">
                      <a:avLst/>
                    </a:prstGeom>
                    <a:noFill/>
                  </pic:spPr>
                </pic:pic>
              </a:graphicData>
            </a:graphic>
          </wp:inline>
        </w:drawing>
      </w:r>
    </w:p>
    <w:p w:rsidR="00C87ADA" w:rsidRPr="0041759D" w:rsidRDefault="00C87ADA" w:rsidP="006B3658">
      <w:pPr>
        <w:spacing w:after="0"/>
        <w:jc w:val="left"/>
        <w:rPr>
          <w:rFonts w:cs="Aharoni" w:hint="cs"/>
          <w:b/>
          <w:bCs/>
          <w:sz w:val="20"/>
          <w:szCs w:val="22"/>
          <w:rtl/>
        </w:rPr>
      </w:pPr>
      <w:r w:rsidRPr="0041759D">
        <w:rPr>
          <w:rFonts w:cs="Aharoni" w:hint="cs"/>
          <w:b/>
          <w:bCs/>
          <w:sz w:val="20"/>
          <w:szCs w:val="22"/>
          <w:rtl/>
        </w:rPr>
        <w:t xml:space="preserve">מקור: נתונים שהעבירו </w:t>
      </w:r>
      <w:r w:rsidR="00F70DE3">
        <w:rPr>
          <w:rFonts w:cs="Aharoni" w:hint="cs"/>
          <w:b/>
          <w:bCs/>
          <w:sz w:val="20"/>
          <w:szCs w:val="22"/>
          <w:rtl/>
        </w:rPr>
        <w:t xml:space="preserve">כלל </w:t>
      </w:r>
      <w:r w:rsidRPr="0041759D">
        <w:rPr>
          <w:rFonts w:cs="Aharoni" w:hint="cs"/>
          <w:b/>
          <w:bCs/>
          <w:sz w:val="20"/>
          <w:szCs w:val="22"/>
          <w:rtl/>
        </w:rPr>
        <w:t>המפעילות לרשות ההגבלים העסקיים ועיבודי הרשות</w:t>
      </w:r>
    </w:p>
    <w:p w:rsidR="00C87ADA" w:rsidRDefault="00C87ADA" w:rsidP="0030707F">
      <w:pPr>
        <w:rPr>
          <w:rFonts w:hint="cs"/>
          <w:rtl/>
        </w:rPr>
      </w:pPr>
      <w:r>
        <w:rPr>
          <w:rFonts w:hint="cs"/>
          <w:rtl/>
        </w:rPr>
        <w:t>מהתרשים עולה</w:t>
      </w:r>
      <w:r w:rsidR="0054422D">
        <w:rPr>
          <w:rFonts w:hint="cs"/>
          <w:rtl/>
        </w:rPr>
        <w:t>,</w:t>
      </w:r>
      <w:r>
        <w:rPr>
          <w:rFonts w:hint="cs"/>
          <w:rtl/>
        </w:rPr>
        <w:t xml:space="preserve"> כי שיעורי הנטישה כמעט והוכפל</w:t>
      </w:r>
      <w:r w:rsidR="0035406A">
        <w:rPr>
          <w:rFonts w:hint="cs"/>
          <w:rtl/>
        </w:rPr>
        <w:t>ו</w:t>
      </w:r>
      <w:r>
        <w:rPr>
          <w:rFonts w:hint="cs"/>
          <w:rtl/>
        </w:rPr>
        <w:t xml:space="preserve">, מאז ראשית 2012 ועד לשנת 2015. גידול ניכר בשיעור הנטישה התרחש ברבעון השני של שנת 2012, בסמוך לכניסתן של הוט מובייל וגולן. </w:t>
      </w:r>
    </w:p>
    <w:p w:rsidR="00C87ADA" w:rsidRPr="00AE1CF3" w:rsidRDefault="00C87ADA" w:rsidP="001A0311">
      <w:pPr>
        <w:pStyle w:val="7"/>
        <w:rPr>
          <w:rFonts w:hint="cs"/>
          <w:rtl/>
        </w:rPr>
      </w:pPr>
      <w:r>
        <w:rPr>
          <w:rFonts w:hint="cs"/>
          <w:rtl/>
        </w:rPr>
        <w:t>פעילות באמצעות</w:t>
      </w:r>
      <w:r w:rsidRPr="00362FBB">
        <w:rPr>
          <w:rFonts w:hint="cs"/>
          <w:rtl/>
        </w:rPr>
        <w:t xml:space="preserve"> מותגים מוזלים</w:t>
      </w:r>
      <w:r>
        <w:rPr>
          <w:rFonts w:hint="cs"/>
          <w:rtl/>
        </w:rPr>
        <w:t xml:space="preserve"> </w:t>
      </w:r>
    </w:p>
    <w:p w:rsidR="00C87ADA" w:rsidRDefault="00C87ADA" w:rsidP="0054422D">
      <w:pPr>
        <w:rPr>
          <w:rtl/>
        </w:rPr>
      </w:pPr>
      <w:r>
        <w:rPr>
          <w:rFonts w:hint="cs"/>
          <w:rtl/>
        </w:rPr>
        <w:t xml:space="preserve">ביטוי נוסף להתגברות רמת התחרות בשנים האחרונות הוא בעובדה ששתיים מן המפעילות הוותיקות בחרו להשיק פעילות של מותג מוזל במקביל להמשך פעילות המותג הוותיק: פלאפון אשר מפעילה את המותג "וואלה! </w:t>
      </w:r>
      <w:r>
        <w:t>mobile</w:t>
      </w:r>
      <w:r>
        <w:rPr>
          <w:rFonts w:hint="cs"/>
          <w:rtl/>
        </w:rPr>
        <w:t>" ופרטנר אשר מפעילה את המותג "</w:t>
      </w:r>
      <w:r>
        <w:t>012mobile</w:t>
      </w:r>
      <w:r>
        <w:rPr>
          <w:rFonts w:hint="cs"/>
          <w:rtl/>
        </w:rPr>
        <w:t xml:space="preserve">". </w:t>
      </w:r>
      <w:r w:rsidRPr="00584643">
        <w:rPr>
          <w:rFonts w:hint="cs"/>
          <w:rtl/>
        </w:rPr>
        <w:t>פעיל</w:t>
      </w:r>
      <w:r>
        <w:rPr>
          <w:rFonts w:hint="cs"/>
          <w:rtl/>
        </w:rPr>
        <w:t>ו</w:t>
      </w:r>
      <w:r w:rsidRPr="00584643">
        <w:rPr>
          <w:rFonts w:hint="cs"/>
          <w:rtl/>
        </w:rPr>
        <w:t>ת מקבילה באמצעות שני מותגים מאפשרת לחברות להתמודד עם התגברות התחרות מבלי ל</w:t>
      </w:r>
      <w:r>
        <w:rPr>
          <w:rFonts w:hint="cs"/>
          <w:rtl/>
        </w:rPr>
        <w:t xml:space="preserve">שחוק את המחיר שמשלם כל בסיס המנויים. </w:t>
      </w:r>
    </w:p>
    <w:p w:rsidR="00C87ADA" w:rsidRDefault="0054422D" w:rsidP="0054422D">
      <w:pPr>
        <w:rPr>
          <w:rFonts w:hint="cs"/>
          <w:rtl/>
        </w:rPr>
      </w:pPr>
      <w:r>
        <w:rPr>
          <w:rFonts w:hint="cs"/>
          <w:rtl/>
        </w:rPr>
        <w:t>התמונה העולה מהממצאים היא ברורה -</w:t>
      </w:r>
      <w:r w:rsidR="00C87ADA">
        <w:rPr>
          <w:rFonts w:hint="cs"/>
          <w:rtl/>
        </w:rPr>
        <w:t xml:space="preserve"> בשנים האחרונות התחרות בענף התקשורת הניידת גברה והדבר בא לידי ביטוי במגוון פרמטרים ובהם המחירים והיכולת להשוות בקלות בין ההצעות השונות של החברות הפעולות בתחום. </w:t>
      </w:r>
    </w:p>
    <w:p w:rsidR="00C87ADA" w:rsidRDefault="00C87ADA" w:rsidP="001A0311">
      <w:pPr>
        <w:pStyle w:val="1"/>
        <w:rPr>
          <w:rFonts w:hint="cs"/>
          <w:rtl/>
        </w:rPr>
      </w:pPr>
      <w:r w:rsidRPr="00913E6A">
        <w:rPr>
          <w:rFonts w:hint="cs"/>
          <w:rtl/>
        </w:rPr>
        <w:lastRenderedPageBreak/>
        <w:t xml:space="preserve">השפעת המיזוג על התחרות </w:t>
      </w:r>
      <w:r w:rsidRPr="004F24A2">
        <w:rPr>
          <w:rFonts w:hint="cs"/>
          <w:rtl/>
        </w:rPr>
        <w:t>והציבור</w:t>
      </w:r>
    </w:p>
    <w:p w:rsidR="00C87ADA" w:rsidRDefault="00C87ADA" w:rsidP="00347E73">
      <w:r>
        <w:rPr>
          <w:rFonts w:hint="cs"/>
          <w:rtl/>
        </w:rPr>
        <w:t xml:space="preserve">מיזוג בין מתחרים עשוי להעלות שני סוגים עיקריים של חששות תחרותיים שייבחנו להלן. החשש האחד, עניינו הפעלת כוח שוק חד צדדי והחשש השני עניינו </w:t>
      </w:r>
      <w:r w:rsidRPr="00AE1CF3">
        <w:rPr>
          <w:rFonts w:hint="cs"/>
          <w:rtl/>
        </w:rPr>
        <w:t>תיאום ישיר</w:t>
      </w:r>
      <w:r>
        <w:rPr>
          <w:rFonts w:hint="cs"/>
          <w:rtl/>
        </w:rPr>
        <w:t>, עקיף או משתמע</w:t>
      </w:r>
      <w:r w:rsidR="00CA4F62">
        <w:rPr>
          <w:rFonts w:hint="cs"/>
          <w:rtl/>
        </w:rPr>
        <w:t xml:space="preserve"> בין הגורמים הפועלים בשוק</w:t>
      </w:r>
      <w:r>
        <w:rPr>
          <w:rFonts w:hint="cs"/>
          <w:rtl/>
        </w:rPr>
        <w:t xml:space="preserve">. חששות אלה יכולים להתקיים במקביל או בנפרד </w:t>
      </w:r>
      <w:r w:rsidR="00347E73">
        <w:rPr>
          <w:rFonts w:hint="cs"/>
          <w:rtl/>
        </w:rPr>
        <w:t>זה מזה</w:t>
      </w:r>
      <w:r>
        <w:rPr>
          <w:rFonts w:hint="cs"/>
          <w:rtl/>
        </w:rPr>
        <w:t>.</w:t>
      </w:r>
      <w:r>
        <w:rPr>
          <w:rStyle w:val="ac"/>
        </w:rPr>
        <w:footnoteReference w:id="22"/>
      </w:r>
    </w:p>
    <w:p w:rsidR="00C87ADA" w:rsidRPr="00B35D21" w:rsidRDefault="00C87ADA" w:rsidP="00997A64">
      <w:pPr>
        <w:rPr>
          <w:rFonts w:hint="cs"/>
          <w:rtl/>
          <w:lang w:eastAsia="en-US"/>
        </w:rPr>
      </w:pPr>
      <w:r>
        <w:rPr>
          <w:rFonts w:hint="cs"/>
          <w:rtl/>
        </w:rPr>
        <w:t>בחינת החששות התחרותיים כתוצאה ממיזוג נעשית, על פי רוב, תוך השוואה בין מצב השוק לפני ביצוע המיזוג לבין מצב השוק לאחר ביצוע המיזוג. שכן,</w:t>
      </w:r>
      <w:r w:rsidRPr="00386DF8">
        <w:rPr>
          <w:rFonts w:hint="cs"/>
          <w:rtl/>
          <w:lang w:eastAsia="en-US"/>
        </w:rPr>
        <w:t xml:space="preserve"> </w:t>
      </w:r>
      <w:r w:rsidRPr="002C354E">
        <w:rPr>
          <w:rFonts w:hint="cs"/>
          <w:rtl/>
          <w:lang w:eastAsia="en-US"/>
        </w:rPr>
        <w:t>ככלל</w:t>
      </w:r>
      <w:r w:rsidRPr="00386DF8">
        <w:rPr>
          <w:rFonts w:hint="cs"/>
          <w:rtl/>
          <w:lang w:eastAsia="en-US"/>
        </w:rPr>
        <w:t xml:space="preserve"> ובהעדר התפתחויות צפויות ברמת סבירות גבוהה</w:t>
      </w:r>
      <w:r w:rsidRPr="002C354E">
        <w:rPr>
          <w:rFonts w:hint="cs"/>
          <w:rtl/>
          <w:lang w:eastAsia="en-US"/>
        </w:rPr>
        <w:t>,</w:t>
      </w:r>
      <w:r w:rsidRPr="00386DF8">
        <w:rPr>
          <w:rFonts w:hint="cs"/>
          <w:rtl/>
          <w:lang w:eastAsia="en-US"/>
        </w:rPr>
        <w:t xml:space="preserve"> יש לראות</w:t>
      </w:r>
      <w:r w:rsidRPr="002C354E">
        <w:rPr>
          <w:rFonts w:hint="cs"/>
          <w:rtl/>
          <w:lang w:eastAsia="en-US"/>
        </w:rPr>
        <w:t xml:space="preserve"> </w:t>
      </w:r>
      <w:r w:rsidRPr="00386DF8">
        <w:rPr>
          <w:rFonts w:hint="cs"/>
          <w:rtl/>
          <w:lang w:eastAsia="en-US"/>
        </w:rPr>
        <w:t>ב</w:t>
      </w:r>
      <w:r w:rsidRPr="002C354E">
        <w:rPr>
          <w:rFonts w:hint="cs"/>
          <w:rtl/>
          <w:lang w:eastAsia="en-US"/>
        </w:rPr>
        <w:t>מבנה שוק קיים ו</w:t>
      </w:r>
      <w:r w:rsidRPr="00386DF8">
        <w:rPr>
          <w:rFonts w:hint="cs"/>
          <w:rtl/>
          <w:lang w:eastAsia="en-US"/>
        </w:rPr>
        <w:t xml:space="preserve">במצב </w:t>
      </w:r>
      <w:r w:rsidRPr="002C354E">
        <w:rPr>
          <w:rFonts w:hint="cs"/>
          <w:rtl/>
          <w:lang w:eastAsia="en-US"/>
        </w:rPr>
        <w:t xml:space="preserve">התחרות השוררת בו ערב המיזוג </w:t>
      </w:r>
      <w:r w:rsidRPr="00386DF8">
        <w:rPr>
          <w:rFonts w:hint="cs"/>
          <w:rtl/>
          <w:lang w:eastAsia="en-US"/>
        </w:rPr>
        <w:t>כ</w:t>
      </w:r>
      <w:r w:rsidRPr="002C354E">
        <w:rPr>
          <w:rFonts w:hint="cs"/>
          <w:rtl/>
          <w:lang w:eastAsia="en-US"/>
        </w:rPr>
        <w:t>משק</w:t>
      </w:r>
      <w:r w:rsidRPr="00386DF8">
        <w:rPr>
          <w:rFonts w:hint="cs"/>
          <w:rtl/>
          <w:lang w:eastAsia="en-US"/>
        </w:rPr>
        <w:t>פים</w:t>
      </w:r>
      <w:r w:rsidRPr="002C354E">
        <w:rPr>
          <w:rFonts w:hint="cs"/>
          <w:rtl/>
          <w:lang w:eastAsia="en-US"/>
        </w:rPr>
        <w:t xml:space="preserve"> נאמנה את אלו הצפויים לשרור בשוק אלמלא המיזוג</w:t>
      </w:r>
      <w:r>
        <w:rPr>
          <w:rFonts w:hint="cs"/>
          <w:rtl/>
          <w:lang w:eastAsia="en-US"/>
        </w:rPr>
        <w:t>. במקרה זה, קיי</w:t>
      </w:r>
      <w:r w:rsidRPr="008050D2">
        <w:rPr>
          <w:rFonts w:hint="cs"/>
          <w:rtl/>
          <w:lang w:eastAsia="en-US"/>
        </w:rPr>
        <w:t xml:space="preserve">ם מגוון רחב של תרחישים בעלי הסתברויות </w:t>
      </w:r>
      <w:r>
        <w:rPr>
          <w:rFonts w:hint="cs"/>
          <w:rtl/>
          <w:lang w:eastAsia="en-US"/>
        </w:rPr>
        <w:t xml:space="preserve">התממשות </w:t>
      </w:r>
      <w:r w:rsidRPr="008050D2">
        <w:rPr>
          <w:rFonts w:hint="cs"/>
          <w:rtl/>
          <w:lang w:eastAsia="en-US"/>
        </w:rPr>
        <w:t>שונ</w:t>
      </w:r>
      <w:r>
        <w:rPr>
          <w:rFonts w:hint="cs"/>
          <w:rtl/>
          <w:lang w:eastAsia="en-US"/>
        </w:rPr>
        <w:t>ים הנוגעים למצב העובדתי בשוק אלמלא יאושר המיזוג, בייחוד ביחס לאופן שבו תפעל גולן. אף על פי כן,</w:t>
      </w:r>
      <w:r w:rsidRPr="008050D2">
        <w:rPr>
          <w:rFonts w:hint="cs"/>
          <w:rtl/>
          <w:lang w:eastAsia="en-US"/>
        </w:rPr>
        <w:t xml:space="preserve"> </w:t>
      </w:r>
      <w:r>
        <w:rPr>
          <w:rFonts w:hint="cs"/>
          <w:rtl/>
          <w:lang w:eastAsia="en-US"/>
        </w:rPr>
        <w:t>לא שוכנעתי</w:t>
      </w:r>
      <w:r w:rsidR="00347E73">
        <w:rPr>
          <w:rFonts w:hint="cs"/>
          <w:rtl/>
          <w:lang w:eastAsia="en-US"/>
        </w:rPr>
        <w:t>,</w:t>
      </w:r>
      <w:r w:rsidRPr="008050D2">
        <w:rPr>
          <w:rFonts w:hint="cs"/>
          <w:rtl/>
          <w:lang w:eastAsia="en-US"/>
        </w:rPr>
        <w:t xml:space="preserve"> כי תרחיש כלשהו הוא בעל רמת ודאות המצדיקה סטייה מניתוח השוק הרלוונטי תוך התבוננות במצב שקודם למיזוג.</w:t>
      </w:r>
      <w:r w:rsidRPr="00AE1CF3">
        <w:rPr>
          <w:rFonts w:hint="cs"/>
          <w:rtl/>
          <w:lang w:eastAsia="en-US"/>
        </w:rPr>
        <w:t xml:space="preserve"> </w:t>
      </w:r>
    </w:p>
    <w:p w:rsidR="00C87ADA" w:rsidRPr="00EA5474" w:rsidRDefault="00C87ADA" w:rsidP="00EA5474">
      <w:pPr>
        <w:pStyle w:val="af0"/>
        <w:keepNext/>
        <w:numPr>
          <w:ilvl w:val="0"/>
          <w:numId w:val="29"/>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EA5474" w:rsidRDefault="00C87ADA" w:rsidP="00EA5474">
      <w:pPr>
        <w:pStyle w:val="af0"/>
        <w:keepNext/>
        <w:numPr>
          <w:ilvl w:val="0"/>
          <w:numId w:val="29"/>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EA5474" w:rsidRDefault="00C87ADA" w:rsidP="00EA5474">
      <w:pPr>
        <w:pStyle w:val="af0"/>
        <w:keepNext/>
        <w:numPr>
          <w:ilvl w:val="0"/>
          <w:numId w:val="29"/>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EA5474" w:rsidRDefault="00C87ADA" w:rsidP="00EA5474">
      <w:pPr>
        <w:pStyle w:val="af0"/>
        <w:keepNext/>
        <w:numPr>
          <w:ilvl w:val="0"/>
          <w:numId w:val="29"/>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EA5474" w:rsidRDefault="00C87ADA" w:rsidP="00EA5474">
      <w:pPr>
        <w:pStyle w:val="af0"/>
        <w:keepNext/>
        <w:numPr>
          <w:ilvl w:val="0"/>
          <w:numId w:val="29"/>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EA5474" w:rsidRDefault="00C87ADA" w:rsidP="00EA5474">
      <w:pPr>
        <w:pStyle w:val="af0"/>
        <w:keepNext/>
        <w:numPr>
          <w:ilvl w:val="1"/>
          <w:numId w:val="29"/>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3B54C4" w:rsidRDefault="00C87ADA" w:rsidP="003B54C4">
      <w:pPr>
        <w:pStyle w:val="af0"/>
        <w:keepNext/>
        <w:numPr>
          <w:ilvl w:val="0"/>
          <w:numId w:val="32"/>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3B54C4" w:rsidRDefault="00C87ADA" w:rsidP="003B54C4">
      <w:pPr>
        <w:pStyle w:val="af0"/>
        <w:keepNext/>
        <w:numPr>
          <w:ilvl w:val="0"/>
          <w:numId w:val="32"/>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3B54C4" w:rsidRDefault="00C87ADA" w:rsidP="003B54C4">
      <w:pPr>
        <w:pStyle w:val="af0"/>
        <w:keepNext/>
        <w:numPr>
          <w:ilvl w:val="0"/>
          <w:numId w:val="32"/>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3B54C4" w:rsidRDefault="00C87ADA" w:rsidP="003B54C4">
      <w:pPr>
        <w:pStyle w:val="af0"/>
        <w:keepNext/>
        <w:numPr>
          <w:ilvl w:val="0"/>
          <w:numId w:val="32"/>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3B54C4" w:rsidRDefault="00C87ADA" w:rsidP="003B54C4">
      <w:pPr>
        <w:pStyle w:val="af0"/>
        <w:keepNext/>
        <w:numPr>
          <w:ilvl w:val="0"/>
          <w:numId w:val="32"/>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C87ADA" w:rsidRPr="003B54C4" w:rsidRDefault="00C87ADA" w:rsidP="003B54C4">
      <w:pPr>
        <w:pStyle w:val="af0"/>
        <w:keepNext/>
        <w:numPr>
          <w:ilvl w:val="1"/>
          <w:numId w:val="32"/>
        </w:numPr>
        <w:bidi/>
        <w:spacing w:before="0" w:beforeAutospacing="0" w:after="120" w:afterAutospacing="0" w:line="360" w:lineRule="auto"/>
        <w:ind w:right="-284"/>
        <w:outlineLvl w:val="3"/>
        <w:rPr>
          <w:rFonts w:eastAsia="Times New Roman" w:cs="David" w:hint="cs"/>
          <w:b/>
          <w:bCs/>
          <w:noProof/>
          <w:vanish/>
          <w:sz w:val="26"/>
          <w:szCs w:val="26"/>
          <w:u w:val="single"/>
          <w:rtl/>
        </w:rPr>
      </w:pPr>
    </w:p>
    <w:p w:rsidR="006B3658" w:rsidRPr="006B3658" w:rsidRDefault="006B3658" w:rsidP="006B3658">
      <w:pPr>
        <w:pStyle w:val="af0"/>
        <w:numPr>
          <w:ilvl w:val="0"/>
          <w:numId w:val="26"/>
        </w:numPr>
        <w:tabs>
          <w:tab w:val="center" w:pos="799"/>
        </w:tabs>
        <w:bidi/>
        <w:spacing w:before="0" w:beforeAutospacing="0" w:after="120" w:afterAutospacing="0" w:line="360" w:lineRule="auto"/>
        <w:outlineLvl w:val="1"/>
        <w:rPr>
          <w:rFonts w:eastAsia="Times New Roman" w:cs="David" w:hint="cs"/>
          <w:b/>
          <w:vanish/>
          <w:sz w:val="26"/>
          <w:szCs w:val="26"/>
          <w:rtl/>
          <w:lang w:eastAsia="he-IL"/>
        </w:rPr>
      </w:pPr>
    </w:p>
    <w:p w:rsidR="006B3658" w:rsidRPr="006B3658" w:rsidRDefault="006B3658" w:rsidP="006B3658">
      <w:pPr>
        <w:pStyle w:val="af0"/>
        <w:numPr>
          <w:ilvl w:val="0"/>
          <w:numId w:val="26"/>
        </w:numPr>
        <w:tabs>
          <w:tab w:val="center" w:pos="799"/>
        </w:tabs>
        <w:bidi/>
        <w:spacing w:before="0" w:beforeAutospacing="0" w:after="120" w:afterAutospacing="0" w:line="360" w:lineRule="auto"/>
        <w:outlineLvl w:val="1"/>
        <w:rPr>
          <w:rFonts w:eastAsia="Times New Roman" w:cs="David" w:hint="cs"/>
          <w:b/>
          <w:vanish/>
          <w:sz w:val="26"/>
          <w:szCs w:val="26"/>
          <w:rtl/>
          <w:lang w:eastAsia="he-IL"/>
        </w:rPr>
      </w:pPr>
    </w:p>
    <w:p w:rsidR="00C87ADA" w:rsidRPr="00B35D21" w:rsidRDefault="00C87ADA" w:rsidP="000D7ECF">
      <w:pPr>
        <w:pStyle w:val="2"/>
        <w:numPr>
          <w:ilvl w:val="1"/>
          <w:numId w:val="37"/>
        </w:numPr>
        <w:rPr>
          <w:rFonts w:hint="cs"/>
          <w:rtl/>
        </w:rPr>
      </w:pPr>
      <w:r w:rsidRPr="00B35D21">
        <w:rPr>
          <w:rFonts w:hint="cs"/>
          <w:rtl/>
        </w:rPr>
        <w:t>חשש מהפעלת כוח שוק מתואם</w:t>
      </w:r>
    </w:p>
    <w:p w:rsidR="00C87ADA" w:rsidRDefault="00C87ADA" w:rsidP="00347E73">
      <w:pPr>
        <w:rPr>
          <w:rFonts w:hint="cs"/>
          <w:rtl/>
        </w:rPr>
      </w:pPr>
      <w:r>
        <w:rPr>
          <w:rFonts w:hint="cs"/>
          <w:rtl/>
        </w:rPr>
        <w:t xml:space="preserve">חשש מהפעלת כוח שוק מתואם עשוי להתגבש כתוצאה מתיאום מפורש </w:t>
      </w:r>
      <w:r w:rsidR="00347E73">
        <w:rPr>
          <w:rFonts w:hint="cs"/>
          <w:rtl/>
        </w:rPr>
        <w:t>או</w:t>
      </w:r>
      <w:r>
        <w:rPr>
          <w:rFonts w:hint="cs"/>
          <w:rtl/>
        </w:rPr>
        <w:t xml:space="preserve"> כתוצאה מהבנה שבשתיקה המביאה לייצוב שיווי משקל אל-תחרותי בין השחקנים בשוק. </w:t>
      </w:r>
    </w:p>
    <w:p w:rsidR="00C87ADA" w:rsidRDefault="00C87ADA" w:rsidP="00347E73">
      <w:pPr>
        <w:rPr>
          <w:rFonts w:hint="cs"/>
          <w:rtl/>
        </w:rPr>
      </w:pPr>
      <w:r>
        <w:rPr>
          <w:rFonts w:hint="cs"/>
          <w:rtl/>
        </w:rPr>
        <w:t>מאפייני השוק הרלוונטי מובילים למסקנה</w:t>
      </w:r>
      <w:r w:rsidR="00347E73">
        <w:rPr>
          <w:rFonts w:hint="cs"/>
          <w:rtl/>
        </w:rPr>
        <w:t>,</w:t>
      </w:r>
      <w:r>
        <w:rPr>
          <w:rFonts w:hint="cs"/>
          <w:rtl/>
        </w:rPr>
        <w:t xml:space="preserve"> כי עסקת המיזוג מקימה חשש מפני הפעלת כוח שוק מתואם.</w:t>
      </w:r>
    </w:p>
    <w:p w:rsidR="00C87ADA" w:rsidRPr="00B35D21" w:rsidRDefault="00C87ADA" w:rsidP="00B35D21">
      <w:pPr>
        <w:pStyle w:val="af0"/>
        <w:keepNext/>
        <w:numPr>
          <w:ilvl w:val="0"/>
          <w:numId w:val="30"/>
        </w:numPr>
        <w:bidi/>
        <w:spacing w:before="0" w:beforeAutospacing="0" w:after="120" w:afterAutospacing="0" w:line="360" w:lineRule="auto"/>
        <w:ind w:right="-284"/>
        <w:outlineLvl w:val="5"/>
        <w:rPr>
          <w:rFonts w:eastAsia="Times New Roman" w:cs="David" w:hint="cs"/>
          <w:b/>
          <w:bCs/>
          <w:noProof/>
          <w:vanish/>
          <w:rtl/>
        </w:rPr>
      </w:pPr>
    </w:p>
    <w:p w:rsidR="00C87ADA" w:rsidRPr="00B35D21" w:rsidRDefault="00C87ADA" w:rsidP="00B35D21">
      <w:pPr>
        <w:pStyle w:val="af0"/>
        <w:keepNext/>
        <w:numPr>
          <w:ilvl w:val="0"/>
          <w:numId w:val="30"/>
        </w:numPr>
        <w:bidi/>
        <w:spacing w:before="0" w:beforeAutospacing="0" w:after="120" w:afterAutospacing="0" w:line="360" w:lineRule="auto"/>
        <w:ind w:right="-284"/>
        <w:outlineLvl w:val="5"/>
        <w:rPr>
          <w:rFonts w:eastAsia="Times New Roman" w:cs="David" w:hint="cs"/>
          <w:b/>
          <w:bCs/>
          <w:noProof/>
          <w:vanish/>
          <w:rtl/>
        </w:rPr>
      </w:pPr>
    </w:p>
    <w:p w:rsidR="00C87ADA" w:rsidRPr="00B35D21" w:rsidRDefault="00C87ADA" w:rsidP="00B35D21">
      <w:pPr>
        <w:pStyle w:val="af0"/>
        <w:keepNext/>
        <w:numPr>
          <w:ilvl w:val="0"/>
          <w:numId w:val="30"/>
        </w:numPr>
        <w:bidi/>
        <w:spacing w:before="0" w:beforeAutospacing="0" w:after="120" w:afterAutospacing="0" w:line="360" w:lineRule="auto"/>
        <w:ind w:right="-284"/>
        <w:outlineLvl w:val="5"/>
        <w:rPr>
          <w:rFonts w:eastAsia="Times New Roman" w:cs="David" w:hint="cs"/>
          <w:b/>
          <w:bCs/>
          <w:noProof/>
          <w:vanish/>
          <w:rtl/>
        </w:rPr>
      </w:pPr>
    </w:p>
    <w:p w:rsidR="00C87ADA" w:rsidRPr="00B35D21" w:rsidRDefault="00C87ADA" w:rsidP="00B35D21">
      <w:pPr>
        <w:pStyle w:val="af0"/>
        <w:keepNext/>
        <w:numPr>
          <w:ilvl w:val="0"/>
          <w:numId w:val="30"/>
        </w:numPr>
        <w:bidi/>
        <w:spacing w:before="0" w:beforeAutospacing="0" w:after="120" w:afterAutospacing="0" w:line="360" w:lineRule="auto"/>
        <w:ind w:right="-284"/>
        <w:outlineLvl w:val="5"/>
        <w:rPr>
          <w:rFonts w:eastAsia="Times New Roman" w:cs="David" w:hint="cs"/>
          <w:b/>
          <w:bCs/>
          <w:noProof/>
          <w:vanish/>
          <w:rtl/>
        </w:rPr>
      </w:pPr>
    </w:p>
    <w:p w:rsidR="00C87ADA" w:rsidRPr="00B35D21" w:rsidRDefault="00C87ADA" w:rsidP="00B35D21">
      <w:pPr>
        <w:pStyle w:val="af0"/>
        <w:keepNext/>
        <w:numPr>
          <w:ilvl w:val="0"/>
          <w:numId w:val="30"/>
        </w:numPr>
        <w:bidi/>
        <w:spacing w:before="0" w:beforeAutospacing="0" w:after="120" w:afterAutospacing="0" w:line="360" w:lineRule="auto"/>
        <w:ind w:right="-284"/>
        <w:outlineLvl w:val="5"/>
        <w:rPr>
          <w:rFonts w:eastAsia="Times New Roman" w:cs="David" w:hint="cs"/>
          <w:b/>
          <w:bCs/>
          <w:noProof/>
          <w:vanish/>
          <w:rtl/>
        </w:rPr>
      </w:pPr>
    </w:p>
    <w:p w:rsidR="00C87ADA" w:rsidRPr="00B35D21" w:rsidRDefault="00C87ADA" w:rsidP="00B35D21">
      <w:pPr>
        <w:pStyle w:val="af0"/>
        <w:keepNext/>
        <w:numPr>
          <w:ilvl w:val="1"/>
          <w:numId w:val="30"/>
        </w:numPr>
        <w:bidi/>
        <w:spacing w:before="0" w:beforeAutospacing="0" w:after="120" w:afterAutospacing="0" w:line="360" w:lineRule="auto"/>
        <w:ind w:right="-284"/>
        <w:outlineLvl w:val="5"/>
        <w:rPr>
          <w:rFonts w:eastAsia="Times New Roman" w:cs="David" w:hint="cs"/>
          <w:b/>
          <w:bCs/>
          <w:noProof/>
          <w:vanish/>
          <w:rtl/>
        </w:rPr>
      </w:pPr>
    </w:p>
    <w:p w:rsidR="00C87ADA" w:rsidRPr="00B35D21" w:rsidRDefault="00C87ADA" w:rsidP="00B35D21">
      <w:pPr>
        <w:pStyle w:val="af0"/>
        <w:keepNext/>
        <w:numPr>
          <w:ilvl w:val="2"/>
          <w:numId w:val="30"/>
        </w:numPr>
        <w:bidi/>
        <w:spacing w:before="0" w:beforeAutospacing="0" w:after="120" w:afterAutospacing="0" w:line="360" w:lineRule="auto"/>
        <w:ind w:right="-284"/>
        <w:outlineLvl w:val="5"/>
        <w:rPr>
          <w:rFonts w:eastAsia="Times New Roman" w:cs="David" w:hint="cs"/>
          <w:b/>
          <w:bCs/>
          <w:noProof/>
          <w:vanish/>
          <w:rtl/>
        </w:rPr>
      </w:pPr>
    </w:p>
    <w:p w:rsidR="006C5519" w:rsidRPr="006C5519" w:rsidRDefault="006C5519" w:rsidP="006C5519">
      <w:pPr>
        <w:pStyle w:val="af0"/>
        <w:keepNext/>
        <w:numPr>
          <w:ilvl w:val="0"/>
          <w:numId w:val="31"/>
        </w:numPr>
        <w:bidi/>
        <w:spacing w:before="0" w:beforeAutospacing="0" w:after="120" w:afterAutospacing="0" w:line="360" w:lineRule="auto"/>
        <w:ind w:right="-284"/>
        <w:outlineLvl w:val="5"/>
        <w:rPr>
          <w:rFonts w:eastAsia="Times New Roman" w:cs="David" w:hint="cs"/>
          <w:b/>
          <w:bCs/>
          <w:noProof/>
          <w:vanish/>
          <w:rtl/>
        </w:rPr>
      </w:pPr>
    </w:p>
    <w:p w:rsidR="006C5519" w:rsidRPr="006C5519" w:rsidRDefault="006C5519" w:rsidP="006C5519">
      <w:pPr>
        <w:pStyle w:val="af0"/>
        <w:keepNext/>
        <w:numPr>
          <w:ilvl w:val="0"/>
          <w:numId w:val="31"/>
        </w:numPr>
        <w:bidi/>
        <w:spacing w:before="0" w:beforeAutospacing="0" w:after="120" w:afterAutospacing="0" w:line="360" w:lineRule="auto"/>
        <w:ind w:right="-284"/>
        <w:outlineLvl w:val="5"/>
        <w:rPr>
          <w:rFonts w:eastAsia="Times New Roman" w:cs="David" w:hint="cs"/>
          <w:b/>
          <w:bCs/>
          <w:noProof/>
          <w:vanish/>
          <w:rtl/>
        </w:rPr>
      </w:pPr>
    </w:p>
    <w:p w:rsidR="006C5519" w:rsidRPr="006C5519" w:rsidRDefault="006C5519" w:rsidP="006C5519">
      <w:pPr>
        <w:pStyle w:val="af0"/>
        <w:keepNext/>
        <w:numPr>
          <w:ilvl w:val="0"/>
          <w:numId w:val="31"/>
        </w:numPr>
        <w:bidi/>
        <w:spacing w:before="0" w:beforeAutospacing="0" w:after="120" w:afterAutospacing="0" w:line="360" w:lineRule="auto"/>
        <w:ind w:right="-284"/>
        <w:outlineLvl w:val="5"/>
        <w:rPr>
          <w:rFonts w:eastAsia="Times New Roman" w:cs="David" w:hint="cs"/>
          <w:b/>
          <w:bCs/>
          <w:noProof/>
          <w:vanish/>
          <w:rtl/>
        </w:rPr>
      </w:pPr>
    </w:p>
    <w:p w:rsidR="006C5519" w:rsidRPr="006C5519" w:rsidRDefault="006C5519" w:rsidP="006C5519">
      <w:pPr>
        <w:pStyle w:val="af0"/>
        <w:keepNext/>
        <w:numPr>
          <w:ilvl w:val="0"/>
          <w:numId w:val="31"/>
        </w:numPr>
        <w:bidi/>
        <w:spacing w:before="0" w:beforeAutospacing="0" w:after="120" w:afterAutospacing="0" w:line="360" w:lineRule="auto"/>
        <w:ind w:right="-284"/>
        <w:outlineLvl w:val="5"/>
        <w:rPr>
          <w:rFonts w:eastAsia="Times New Roman" w:cs="David" w:hint="cs"/>
          <w:b/>
          <w:bCs/>
          <w:noProof/>
          <w:vanish/>
          <w:rtl/>
        </w:rPr>
      </w:pPr>
    </w:p>
    <w:p w:rsidR="006C5519" w:rsidRPr="006C5519" w:rsidRDefault="006C5519" w:rsidP="006C5519">
      <w:pPr>
        <w:pStyle w:val="af0"/>
        <w:keepNext/>
        <w:numPr>
          <w:ilvl w:val="0"/>
          <w:numId w:val="31"/>
        </w:numPr>
        <w:bidi/>
        <w:spacing w:before="0" w:beforeAutospacing="0" w:after="120" w:afterAutospacing="0" w:line="360" w:lineRule="auto"/>
        <w:ind w:right="-284"/>
        <w:outlineLvl w:val="5"/>
        <w:rPr>
          <w:rFonts w:eastAsia="Times New Roman" w:cs="David" w:hint="cs"/>
          <w:b/>
          <w:bCs/>
          <w:noProof/>
          <w:vanish/>
          <w:rtl/>
        </w:rPr>
      </w:pPr>
    </w:p>
    <w:p w:rsidR="006C5519" w:rsidRPr="006C5519" w:rsidRDefault="006C5519" w:rsidP="006C5519">
      <w:pPr>
        <w:pStyle w:val="af0"/>
        <w:keepNext/>
        <w:numPr>
          <w:ilvl w:val="1"/>
          <w:numId w:val="31"/>
        </w:numPr>
        <w:bidi/>
        <w:spacing w:before="0" w:beforeAutospacing="0" w:after="120" w:afterAutospacing="0" w:line="360" w:lineRule="auto"/>
        <w:ind w:right="-284"/>
        <w:outlineLvl w:val="5"/>
        <w:rPr>
          <w:rFonts w:eastAsia="Times New Roman" w:cs="David" w:hint="cs"/>
          <w:b/>
          <w:bCs/>
          <w:noProof/>
          <w:vanish/>
          <w:rtl/>
        </w:rPr>
      </w:pPr>
    </w:p>
    <w:p w:rsidR="006C5519" w:rsidRPr="006C5519" w:rsidRDefault="006C5519" w:rsidP="006C5519">
      <w:pPr>
        <w:pStyle w:val="af0"/>
        <w:keepNext/>
        <w:numPr>
          <w:ilvl w:val="2"/>
          <w:numId w:val="31"/>
        </w:numPr>
        <w:bidi/>
        <w:spacing w:before="0" w:beforeAutospacing="0" w:after="120" w:afterAutospacing="0" w:line="360" w:lineRule="auto"/>
        <w:ind w:right="-284"/>
        <w:outlineLvl w:val="5"/>
        <w:rPr>
          <w:rFonts w:eastAsia="Times New Roman" w:cs="David" w:hint="cs"/>
          <w:b/>
          <w:bCs/>
          <w:noProof/>
          <w:vanish/>
          <w:rtl/>
        </w:rPr>
      </w:pPr>
    </w:p>
    <w:p w:rsidR="00C87ADA" w:rsidRPr="00830D3F" w:rsidRDefault="00C87ADA" w:rsidP="006B3658">
      <w:pPr>
        <w:pStyle w:val="4"/>
        <w:rPr>
          <w:rFonts w:hint="cs"/>
          <w:rtl/>
        </w:rPr>
      </w:pPr>
      <w:r w:rsidRPr="00830D3F">
        <w:rPr>
          <w:rFonts w:hint="cs"/>
          <w:rtl/>
        </w:rPr>
        <w:t xml:space="preserve">מעמדה של גולן כמחוללת תחרות </w:t>
      </w:r>
    </w:p>
    <w:p w:rsidR="00C87ADA" w:rsidRPr="007F665E" w:rsidRDefault="00C87ADA" w:rsidP="00347E73">
      <w:pPr>
        <w:rPr>
          <w:rtl/>
        </w:rPr>
      </w:pPr>
      <w:r>
        <w:rPr>
          <w:rFonts w:hint="cs"/>
          <w:rtl/>
        </w:rPr>
        <w:t>גורם מרכזי בעת בדיקה</w:t>
      </w:r>
      <w:r w:rsidR="00347E73">
        <w:rPr>
          <w:rFonts w:hint="cs"/>
          <w:rtl/>
        </w:rPr>
        <w:t>,</w:t>
      </w:r>
      <w:r>
        <w:rPr>
          <w:rFonts w:hint="cs"/>
          <w:rtl/>
        </w:rPr>
        <w:t xml:space="preserve"> האם המיזוג מעורר חשש מפני הפעלת כוח שוק מתואם</w:t>
      </w:r>
      <w:r w:rsidR="00347E73">
        <w:rPr>
          <w:rFonts w:hint="cs"/>
          <w:rtl/>
        </w:rPr>
        <w:t>,</w:t>
      </w:r>
      <w:r>
        <w:rPr>
          <w:rFonts w:hint="cs"/>
          <w:rtl/>
        </w:rPr>
        <w:t xml:space="preserve"> נוגע למאפייני הפירמות המתמזגות עצמן. בפרט יש לבחון את השאלה</w:t>
      </w:r>
      <w:r w:rsidR="00347E73">
        <w:rPr>
          <w:rFonts w:hint="cs"/>
          <w:rtl/>
        </w:rPr>
        <w:t>,</w:t>
      </w:r>
      <w:r>
        <w:rPr>
          <w:rFonts w:hint="cs"/>
          <w:rtl/>
        </w:rPr>
        <w:t xml:space="preserve"> האם מדובר במיזוג הגורע מהשוק פירמה מחוללת תחרות (</w:t>
      </w:r>
      <w:r w:rsidRPr="00386DF8">
        <w:rPr>
          <w:rFonts w:cs="Times New Roman"/>
        </w:rPr>
        <w:t>Maverick</w:t>
      </w:r>
      <w:r>
        <w:rPr>
          <w:rFonts w:hint="cs"/>
          <w:rtl/>
        </w:rPr>
        <w:t xml:space="preserve">) או </w:t>
      </w:r>
      <w:r w:rsidR="00347E73">
        <w:rPr>
          <w:rFonts w:hint="cs"/>
          <w:rtl/>
        </w:rPr>
        <w:t xml:space="preserve">כזאת </w:t>
      </w:r>
      <w:r>
        <w:rPr>
          <w:rFonts w:hint="cs"/>
          <w:rtl/>
        </w:rPr>
        <w:t xml:space="preserve">המטילה רסן תחרותי מהותי, ישיר או עקיף, על השחקניות האחרות הפעילות בשוק. השפעת גריעתה של חברה מחוללת תחרות מהשוק נדונה בבית המשפט העליון בעניין </w:t>
      </w:r>
      <w:r w:rsidRPr="007F665E">
        <w:rPr>
          <w:rFonts w:hint="cs"/>
          <w:b/>
          <w:bCs/>
          <w:rtl/>
        </w:rPr>
        <w:t>דור-אלון</w:t>
      </w:r>
      <w:r>
        <w:rPr>
          <w:rFonts w:hint="cs"/>
          <w:rtl/>
        </w:rPr>
        <w:t xml:space="preserve"> בו נקבע </w:t>
      </w:r>
      <w:r w:rsidRPr="007F665E">
        <w:rPr>
          <w:rFonts w:hint="cs"/>
          <w:rtl/>
        </w:rPr>
        <w:t xml:space="preserve">כי: </w:t>
      </w:r>
    </w:p>
    <w:p w:rsidR="00C87ADA" w:rsidRPr="007F665E" w:rsidRDefault="00C87ADA" w:rsidP="00A82B34">
      <w:pPr>
        <w:ind w:left="1440" w:right="1701"/>
        <w:rPr>
          <w:rtl/>
        </w:rPr>
      </w:pPr>
      <w:r w:rsidRPr="007F665E">
        <w:rPr>
          <w:rFonts w:hint="cs"/>
          <w:rtl/>
        </w:rPr>
        <w:t>"נקל להסיק, כי רכישתה של חברה מעין זו</w:t>
      </w:r>
      <w:r>
        <w:rPr>
          <w:rFonts w:hint="cs"/>
          <w:rtl/>
        </w:rPr>
        <w:t xml:space="preserve"> (</w:t>
      </w:r>
      <w:r>
        <w:t>Maverick</w:t>
      </w:r>
      <w:r>
        <w:rPr>
          <w:rFonts w:hint="cs"/>
          <w:rtl/>
        </w:rPr>
        <w:t>-הח"מ)</w:t>
      </w:r>
      <w:r w:rsidRPr="007F665E">
        <w:rPr>
          <w:rFonts w:hint="cs"/>
          <w:rtl/>
        </w:rPr>
        <w:t xml:space="preserve"> על-ידי חברה מתחרה תמתן את התחרותיות בשוק נתון, ותגביר את החשש לתיאום מחירים בין הגורמים הנותרים בשוק."</w:t>
      </w:r>
      <w:r w:rsidRPr="0092189A">
        <w:rPr>
          <w:rStyle w:val="ac"/>
          <w:rtl/>
        </w:rPr>
        <w:t xml:space="preserve"> </w:t>
      </w:r>
      <w:r>
        <w:rPr>
          <w:rStyle w:val="ac"/>
          <w:rtl/>
        </w:rPr>
        <w:footnoteReference w:id="23"/>
      </w:r>
    </w:p>
    <w:p w:rsidR="00C87ADA" w:rsidRDefault="00C87ADA" w:rsidP="007C017E">
      <w:pPr>
        <w:rPr>
          <w:rFonts w:hint="cs"/>
          <w:rtl/>
        </w:rPr>
      </w:pPr>
      <w:r>
        <w:rPr>
          <w:rFonts w:hint="cs"/>
          <w:rtl/>
        </w:rPr>
        <w:lastRenderedPageBreak/>
        <w:t xml:space="preserve">חברה מחוללת תחרות נחשבת </w:t>
      </w:r>
      <w:r w:rsidR="00347E73">
        <w:rPr>
          <w:rFonts w:hint="cs"/>
          <w:rtl/>
        </w:rPr>
        <w:t xml:space="preserve">ככזאת </w:t>
      </w:r>
      <w:r>
        <w:rPr>
          <w:rFonts w:hint="cs"/>
          <w:rtl/>
        </w:rPr>
        <w:t>שתמריציה מובילים אותה להתחרות בשווקים הרלוונטיים</w:t>
      </w:r>
      <w:r w:rsidR="00A6126A">
        <w:rPr>
          <w:rFonts w:hint="cs"/>
          <w:rtl/>
        </w:rPr>
        <w:t xml:space="preserve"> והתנהגותה בפועל מלמדת על היותה </w:t>
      </w:r>
      <w:r w:rsidR="00347E73">
        <w:rPr>
          <w:rFonts w:hint="cs"/>
          <w:rtl/>
        </w:rPr>
        <w:t>כזאת</w:t>
      </w:r>
      <w:r>
        <w:rPr>
          <w:rFonts w:hint="cs"/>
          <w:rtl/>
        </w:rPr>
        <w:t>.</w:t>
      </w:r>
      <w:r>
        <w:rPr>
          <w:rStyle w:val="ac"/>
          <w:rFonts w:ascii="Calibri" w:hAnsi="Calibri"/>
          <w:rtl/>
        </w:rPr>
        <w:footnoteReference w:id="24"/>
      </w:r>
    </w:p>
    <w:p w:rsidR="00AF32F5" w:rsidRDefault="00AF32F5" w:rsidP="00AF32F5">
      <w:pPr>
        <w:rPr>
          <w:rFonts w:hint="cs"/>
          <w:rtl/>
        </w:rPr>
      </w:pPr>
      <w:r>
        <w:rPr>
          <w:rFonts w:hint="cs"/>
          <w:rtl/>
        </w:rPr>
        <w:t>בחינת התנהגותה בפועל של גולן מראה</w:t>
      </w:r>
      <w:r w:rsidR="00D27FFE">
        <w:rPr>
          <w:rFonts w:hint="cs"/>
          <w:rtl/>
        </w:rPr>
        <w:t>,</w:t>
      </w:r>
      <w:r>
        <w:rPr>
          <w:rFonts w:hint="cs"/>
          <w:rtl/>
        </w:rPr>
        <w:t xml:space="preserve"> כי מהיום הראשון בו השיקה גולן את פעילותה ועד היום פועלת גולן כפירמה מחוללת תחרות, חדשנית המתמחרת את שירותיה בתעריפים נמוכים. </w:t>
      </w:r>
    </w:p>
    <w:p w:rsidR="00AF32F5" w:rsidRDefault="00AF32F5" w:rsidP="00E54135">
      <w:pPr>
        <w:rPr>
          <w:rFonts w:hint="cs"/>
          <w:rtl/>
        </w:rPr>
      </w:pPr>
      <w:r w:rsidRPr="008050D2">
        <w:rPr>
          <w:rFonts w:hint="cs"/>
          <w:rtl/>
        </w:rPr>
        <w:t xml:space="preserve">בתחילת פעילותה </w:t>
      </w:r>
      <w:r>
        <w:rPr>
          <w:rFonts w:hint="cs"/>
          <w:rtl/>
        </w:rPr>
        <w:t xml:space="preserve">הציעה </w:t>
      </w:r>
      <w:r w:rsidRPr="008050D2">
        <w:rPr>
          <w:rFonts w:hint="cs"/>
          <w:rtl/>
        </w:rPr>
        <w:t xml:space="preserve">גולן הצעה שיווקית שכללה חבילה פשוטה הכוללת שיחות, גלישה והודעות טקסט ("הכל-כלול") ובמחיר נקוב. </w:t>
      </w:r>
      <w:r w:rsidR="00043057">
        <w:rPr>
          <w:rFonts w:hint="cs"/>
          <w:rtl/>
        </w:rPr>
        <w:t>גם אם גולן לא היתה הראשונה ששיווק</w:t>
      </w:r>
      <w:r w:rsidR="000D7ECF">
        <w:rPr>
          <w:rFonts w:hint="cs"/>
          <w:rtl/>
        </w:rPr>
        <w:t>ה</w:t>
      </w:r>
      <w:r w:rsidR="00043057">
        <w:rPr>
          <w:rFonts w:hint="cs"/>
          <w:rtl/>
        </w:rPr>
        <w:t xml:space="preserve"> חבילות מסוג זה </w:t>
      </w:r>
      <w:r w:rsidR="000D7ECF">
        <w:rPr>
          <w:rFonts w:hint="cs"/>
          <w:rtl/>
        </w:rPr>
        <w:t>בישראל</w:t>
      </w:r>
      <w:r w:rsidR="00E54135">
        <w:rPr>
          <w:rFonts w:hint="cs"/>
          <w:rtl/>
        </w:rPr>
        <w:t>,</w:t>
      </w:r>
      <w:r w:rsidR="000D7ECF">
        <w:rPr>
          <w:rFonts w:hint="cs"/>
          <w:rtl/>
        </w:rPr>
        <w:t xml:space="preserve"> </w:t>
      </w:r>
      <w:r w:rsidR="00043057">
        <w:rPr>
          <w:rFonts w:hint="cs"/>
          <w:rtl/>
        </w:rPr>
        <w:t xml:space="preserve">הרי שלאחר שהחלה בהשקה </w:t>
      </w:r>
      <w:r w:rsidR="00E54135">
        <w:rPr>
          <w:rFonts w:hint="cs"/>
          <w:rtl/>
        </w:rPr>
        <w:t>של חבילות כאלה,</w:t>
      </w:r>
      <w:r w:rsidR="008A72AA">
        <w:rPr>
          <w:rFonts w:hint="cs"/>
          <w:rtl/>
        </w:rPr>
        <w:t xml:space="preserve"> </w:t>
      </w:r>
      <w:r w:rsidR="00043057">
        <w:rPr>
          <w:rFonts w:hint="cs"/>
          <w:rtl/>
        </w:rPr>
        <w:t>הדבר השפיע על מבנה החבילות</w:t>
      </w:r>
      <w:r w:rsidR="008A72AA">
        <w:rPr>
          <w:rFonts w:hint="cs"/>
          <w:rtl/>
        </w:rPr>
        <w:t xml:space="preserve"> שהציעו המפעילות האחרות</w:t>
      </w:r>
      <w:r w:rsidR="00043057">
        <w:rPr>
          <w:rFonts w:hint="cs"/>
          <w:rtl/>
        </w:rPr>
        <w:t xml:space="preserve"> בשוק</w:t>
      </w:r>
      <w:r w:rsidR="000D7ECF">
        <w:rPr>
          <w:rFonts w:hint="cs"/>
          <w:rtl/>
        </w:rPr>
        <w:t>.</w:t>
      </w:r>
      <w:r>
        <w:rPr>
          <w:rFonts w:hint="cs"/>
          <w:rtl/>
        </w:rPr>
        <w:t xml:space="preserve"> </w:t>
      </w:r>
    </w:p>
    <w:p w:rsidR="00AF32F5" w:rsidRDefault="00AF32F5" w:rsidP="006C5519">
      <w:pPr>
        <w:rPr>
          <w:rFonts w:hint="cs"/>
          <w:rtl/>
        </w:rPr>
      </w:pPr>
      <w:r>
        <w:rPr>
          <w:rFonts w:hint="cs"/>
          <w:rtl/>
        </w:rPr>
        <w:t>כמו כן, בחינת המחירים שהציעה גולן ללקוחותיה (כפי שהם משתקפים בנתוני ה-</w:t>
      </w:r>
      <w:r>
        <w:t>ARPU</w:t>
      </w:r>
      <w:r>
        <w:rPr>
          <w:rFonts w:hint="cs"/>
          <w:rtl/>
        </w:rPr>
        <w:t xml:space="preserve"> שלה) מלמדת כי מחיריה של גולן נמוכים באופן עקבי מא</w:t>
      </w:r>
      <w:r w:rsidR="00A6126A">
        <w:rPr>
          <w:rFonts w:hint="cs"/>
          <w:rtl/>
        </w:rPr>
        <w:t>ל</w:t>
      </w:r>
      <w:r>
        <w:rPr>
          <w:rFonts w:hint="cs"/>
          <w:rtl/>
        </w:rPr>
        <w:t xml:space="preserve">ו המוצעים ע"י המפעילות הוותיקות. </w:t>
      </w:r>
    </w:p>
    <w:p w:rsidR="00AF32F5" w:rsidRDefault="00AF32F5" w:rsidP="006C5519">
      <w:pPr>
        <w:rPr>
          <w:rFonts w:hint="cs"/>
          <w:rtl/>
        </w:rPr>
      </w:pPr>
      <w:r>
        <w:rPr>
          <w:rFonts w:hint="cs"/>
          <w:rtl/>
        </w:rPr>
        <w:t>גם בחינה של תפיסת השחקנים בענף על בסיס מסמכיהם הפנימיים ובין היתר על יסוד סיכומי ישיבות הדירקטוריון שקיימו מגלה</w:t>
      </w:r>
      <w:r w:rsidR="00D27FFE">
        <w:rPr>
          <w:rFonts w:hint="cs"/>
          <w:rtl/>
        </w:rPr>
        <w:t>,</w:t>
      </w:r>
      <w:r>
        <w:rPr>
          <w:rFonts w:hint="cs"/>
          <w:rtl/>
        </w:rPr>
        <w:t xml:space="preserve"> כי הם תופסים את גולן כמחוללת תחרות. </w:t>
      </w:r>
    </w:p>
    <w:p w:rsidR="00AF32F5" w:rsidRDefault="00AF32F5" w:rsidP="00AF32F5">
      <w:pPr>
        <w:rPr>
          <w:rFonts w:eastAsia="Calibri" w:hint="cs"/>
          <w:rtl/>
          <w:lang w:eastAsia="en-US"/>
        </w:rPr>
      </w:pPr>
      <w:r>
        <w:rPr>
          <w:rFonts w:eastAsia="Calibri" w:hint="cs"/>
          <w:rtl/>
          <w:lang w:eastAsia="en-US"/>
        </w:rPr>
        <w:t>לכאורה ניתן לטעון</w:t>
      </w:r>
      <w:r w:rsidR="00D27FFE">
        <w:rPr>
          <w:rFonts w:eastAsia="Calibri" w:hint="cs"/>
          <w:rtl/>
          <w:lang w:eastAsia="en-US"/>
        </w:rPr>
        <w:t>,</w:t>
      </w:r>
      <w:r>
        <w:rPr>
          <w:rFonts w:eastAsia="Calibri" w:hint="cs"/>
          <w:rtl/>
          <w:lang w:eastAsia="en-US"/>
        </w:rPr>
        <w:t xml:space="preserve"> כי בראשית תקופת פעולתה היתה גולן מחוללת תחרות עקב תמריץ חיצוני לגיוס מהיר של מנויים ותפיסת נתח שוק כפי שנקבע במכרז הדור השלישי. אולם גם לאחר שעמדה גולן ביעד שהציב המשרד והערבות </w:t>
      </w:r>
      <w:r w:rsidRPr="008050D2">
        <w:rPr>
          <w:rFonts w:eastAsia="Calibri" w:hint="cs"/>
          <w:rtl/>
          <w:lang w:eastAsia="en-US"/>
        </w:rPr>
        <w:t xml:space="preserve">שהעמידה במסגרת המכרז הושבה לה, </w:t>
      </w:r>
      <w:r>
        <w:rPr>
          <w:rFonts w:eastAsia="Calibri" w:hint="cs"/>
          <w:rtl/>
          <w:lang w:eastAsia="en-US"/>
        </w:rPr>
        <w:t>לא חל שינוי ניכר במדיניותה התחרותית והוא הוסיפה לפעול כמחוללת תחרות.</w:t>
      </w:r>
    </w:p>
    <w:p w:rsidR="00AF32F5" w:rsidRPr="008050D2" w:rsidRDefault="00AF32F5" w:rsidP="0030707F">
      <w:pPr>
        <w:rPr>
          <w:rtl/>
        </w:rPr>
      </w:pPr>
      <w:r>
        <w:rPr>
          <w:rFonts w:hint="cs"/>
          <w:rtl/>
        </w:rPr>
        <w:t>גם ניתוח תמריציה של גולן מראה</w:t>
      </w:r>
      <w:r w:rsidR="00D27FFE">
        <w:rPr>
          <w:rFonts w:hint="cs"/>
          <w:rtl/>
        </w:rPr>
        <w:t>,</w:t>
      </w:r>
      <w:r>
        <w:rPr>
          <w:rFonts w:hint="cs"/>
          <w:rtl/>
        </w:rPr>
        <w:t xml:space="preserve"> כי התנהגותה בפועל נשענה על יתרונות של ממש למדיניות האמורה.</w:t>
      </w:r>
    </w:p>
    <w:p w:rsidR="00C87ADA" w:rsidRDefault="001A46E7" w:rsidP="00EB4A7B">
      <w:pPr>
        <w:rPr>
          <w:rFonts w:eastAsia="Calibri" w:hint="cs"/>
          <w:rtl/>
          <w:lang w:eastAsia="en-US"/>
        </w:rPr>
      </w:pPr>
      <w:r>
        <w:rPr>
          <w:rFonts w:eastAsia="Calibri" w:hint="cs"/>
          <w:rtl/>
          <w:lang w:eastAsia="en-US"/>
        </w:rPr>
        <w:t>ה</w:t>
      </w:r>
      <w:r w:rsidR="00C87ADA" w:rsidRPr="006C5519">
        <w:rPr>
          <w:rFonts w:eastAsia="Calibri" w:hint="cs"/>
          <w:rtl/>
          <w:lang w:eastAsia="en-US"/>
        </w:rPr>
        <w:t xml:space="preserve">הסכם בין גולן וסלקום </w:t>
      </w:r>
      <w:r w:rsidR="00CE5F58">
        <w:rPr>
          <w:rFonts w:eastAsia="Calibri" w:hint="cs"/>
          <w:rtl/>
          <w:lang w:eastAsia="en-US"/>
        </w:rPr>
        <w:t>הוא</w:t>
      </w:r>
      <w:r w:rsidR="00CE5F58" w:rsidRPr="006C5519">
        <w:rPr>
          <w:rFonts w:eastAsia="Calibri" w:hint="cs"/>
          <w:rtl/>
          <w:lang w:eastAsia="en-US"/>
        </w:rPr>
        <w:t xml:space="preserve"> </w:t>
      </w:r>
      <w:r w:rsidR="00C87ADA" w:rsidRPr="006C5519">
        <w:rPr>
          <w:rFonts w:eastAsia="Calibri" w:hint="cs"/>
          <w:rtl/>
          <w:lang w:eastAsia="en-US"/>
        </w:rPr>
        <w:t>כזה</w:t>
      </w:r>
      <w:r w:rsidR="00D27FFE">
        <w:rPr>
          <w:rFonts w:eastAsia="Calibri" w:hint="cs"/>
          <w:rtl/>
          <w:lang w:eastAsia="en-US"/>
        </w:rPr>
        <w:t>,</w:t>
      </w:r>
      <w:r w:rsidR="00C87ADA" w:rsidRPr="006C5519">
        <w:rPr>
          <w:rFonts w:eastAsia="Calibri" w:hint="cs"/>
          <w:rtl/>
          <w:lang w:eastAsia="en-US"/>
        </w:rPr>
        <w:t xml:space="preserve"> שבו התשלום של גולן נעשה על בסיס מחיר קבוע ולא בזיקה ישירה למספר המנויים או להיקף השימוש שהם עושים. בהתאם לכך, צירוף מנויים חדשים על ידי גולן נושא עמו עלות שולית נמוכה ביותר וזאת בשונה מהסכמים אחרים בהם התשלום נעשה על פי הקף השימוש או מספר המנויים. הסכם כזה למעשה מתמרץ את גולן לגייס מנויים שכן אל מול ההכנסה הניצבת מגיוס לקוחות נוספים לא ניצבת, בהכרח, הוצאה ברמה דומה.</w:t>
      </w:r>
      <w:r w:rsidR="00C87ADA">
        <w:rPr>
          <w:rFonts w:eastAsia="Calibri" w:hint="cs"/>
          <w:rtl/>
          <w:lang w:eastAsia="en-US"/>
        </w:rPr>
        <w:t xml:space="preserve"> </w:t>
      </w:r>
    </w:p>
    <w:p w:rsidR="00C87ADA" w:rsidRDefault="00C87ADA" w:rsidP="0030707F">
      <w:pPr>
        <w:rPr>
          <w:rFonts w:eastAsia="Calibri" w:hint="cs"/>
          <w:rtl/>
          <w:lang w:eastAsia="en-US"/>
        </w:rPr>
      </w:pPr>
      <w:r>
        <w:rPr>
          <w:rFonts w:eastAsia="Calibri" w:hint="cs"/>
          <w:rtl/>
          <w:lang w:eastAsia="en-US"/>
        </w:rPr>
        <w:t>יתרה מכך, הואיל ולקוחותיה של גולן מתאפיינים בהיותם רגישי מחיר</w:t>
      </w:r>
      <w:r w:rsidR="001E68E1">
        <w:rPr>
          <w:rFonts w:eastAsia="Calibri" w:hint="cs"/>
          <w:rtl/>
          <w:lang w:eastAsia="en-US"/>
        </w:rPr>
        <w:t xml:space="preserve"> ומיתוגה של החברה נבנה בהסתמך על היותה חברה מחוללת תחרות</w:t>
      </w:r>
      <w:r>
        <w:rPr>
          <w:rFonts w:eastAsia="Calibri" w:hint="cs"/>
          <w:rtl/>
          <w:lang w:eastAsia="en-US"/>
        </w:rPr>
        <w:t>, נוצר לגולן תמריץ לשמור על מחירים נמוכים על מנת שלא תעמוד בפני נטישה משמעותית של לקוחות.</w:t>
      </w:r>
    </w:p>
    <w:p w:rsidR="00C87ADA" w:rsidRDefault="00C87ADA" w:rsidP="00EB4A7B">
      <w:pPr>
        <w:rPr>
          <w:rFonts w:eastAsia="Calibri" w:hint="cs"/>
          <w:rtl/>
          <w:lang w:eastAsia="en-US"/>
        </w:rPr>
      </w:pPr>
      <w:r>
        <w:rPr>
          <w:rFonts w:eastAsia="Calibri" w:hint="cs"/>
          <w:rtl/>
          <w:lang w:eastAsia="en-US"/>
        </w:rPr>
        <w:t>מהאמור לעיל עולה</w:t>
      </w:r>
      <w:r w:rsidR="00D27FFE">
        <w:rPr>
          <w:rFonts w:eastAsia="Calibri" w:hint="cs"/>
          <w:rtl/>
          <w:lang w:eastAsia="en-US"/>
        </w:rPr>
        <w:t>,</w:t>
      </w:r>
      <w:r>
        <w:rPr>
          <w:rFonts w:eastAsia="Calibri" w:hint="cs"/>
          <w:rtl/>
          <w:lang w:eastAsia="en-US"/>
        </w:rPr>
        <w:t xml:space="preserve"> כי גולן </w:t>
      </w:r>
      <w:r w:rsidR="00EB4A7B">
        <w:rPr>
          <w:rFonts w:eastAsia="Calibri" w:hint="cs"/>
          <w:rtl/>
          <w:lang w:eastAsia="en-US"/>
        </w:rPr>
        <w:t xml:space="preserve">היא </w:t>
      </w:r>
      <w:r>
        <w:rPr>
          <w:rFonts w:eastAsia="Calibri" w:hint="cs"/>
          <w:rtl/>
          <w:lang w:eastAsia="en-US"/>
        </w:rPr>
        <w:t xml:space="preserve">חברה בעלת מאפיינים היוצרים לה תמריצים ומאפשרים לה לחולל תחרות. </w:t>
      </w:r>
      <w:r w:rsidR="001E68E1">
        <w:rPr>
          <w:rFonts w:eastAsia="Calibri" w:hint="cs"/>
          <w:rtl/>
          <w:lang w:eastAsia="en-US"/>
        </w:rPr>
        <w:t>אומנם קיימת שאלה</w:t>
      </w:r>
      <w:r w:rsidR="00D27FFE">
        <w:rPr>
          <w:rFonts w:eastAsia="Calibri" w:hint="cs"/>
          <w:rtl/>
          <w:lang w:eastAsia="en-US"/>
        </w:rPr>
        <w:t>,</w:t>
      </w:r>
      <w:r w:rsidR="001E68E1">
        <w:rPr>
          <w:rFonts w:eastAsia="Calibri" w:hint="cs"/>
          <w:rtl/>
          <w:lang w:eastAsia="en-US"/>
        </w:rPr>
        <w:t xml:space="preserve"> האם בהתממשות תרחיש ספציפ</w:t>
      </w:r>
      <w:r w:rsidR="00372F0B">
        <w:rPr>
          <w:rFonts w:eastAsia="Calibri" w:hint="cs"/>
          <w:rtl/>
          <w:lang w:eastAsia="en-US"/>
        </w:rPr>
        <w:t>י</w:t>
      </w:r>
      <w:r w:rsidR="001E68E1">
        <w:rPr>
          <w:rFonts w:eastAsia="Calibri" w:hint="cs"/>
          <w:rtl/>
          <w:lang w:eastAsia="en-US"/>
        </w:rPr>
        <w:t xml:space="preserve"> גולן תפסיק לשמש כמחוללת תחרות, כפי שהיתה בארבע שנות פעילותה. אולם אף אחד מבין התרחישים האפשריים </w:t>
      </w:r>
      <w:r w:rsidR="00372F0B">
        <w:rPr>
          <w:rFonts w:eastAsia="Calibri" w:hint="cs"/>
          <w:rtl/>
          <w:lang w:eastAsia="en-US"/>
        </w:rPr>
        <w:lastRenderedPageBreak/>
        <w:t xml:space="preserve">לגבי עתידה של גולן </w:t>
      </w:r>
      <w:r w:rsidR="001E68E1">
        <w:rPr>
          <w:rFonts w:eastAsia="Calibri" w:hint="cs"/>
          <w:rtl/>
          <w:lang w:eastAsia="en-US"/>
        </w:rPr>
        <w:t xml:space="preserve">אינו ברמת ודאות המאפשרת מתן משקל כה גדול שיהיה בו כדי להביא לסטייה מהמסקנה בדבר היותה של גולן חברה מחוללת תחרות. </w:t>
      </w:r>
    </w:p>
    <w:p w:rsidR="00C87ADA" w:rsidRPr="00386DF8" w:rsidRDefault="00C87ADA" w:rsidP="006B3658">
      <w:pPr>
        <w:pStyle w:val="4"/>
        <w:rPr>
          <w:rFonts w:hint="cs"/>
          <w:rtl/>
        </w:rPr>
      </w:pPr>
      <w:r w:rsidRPr="00386DF8">
        <w:rPr>
          <w:rFonts w:hint="cs"/>
          <w:rtl/>
        </w:rPr>
        <w:t>מאפייני השוק כמו</w:t>
      </w:r>
      <w:r>
        <w:rPr>
          <w:rFonts w:hint="cs"/>
          <w:rtl/>
        </w:rPr>
        <w:t>ּ</w:t>
      </w:r>
      <w:r w:rsidRPr="00386DF8">
        <w:rPr>
          <w:rFonts w:hint="cs"/>
          <w:rtl/>
        </w:rPr>
        <w:t xml:space="preserve">עד לתיאום </w:t>
      </w:r>
    </w:p>
    <w:p w:rsidR="00C87ADA" w:rsidRDefault="00C87ADA" w:rsidP="00767C60">
      <w:pPr>
        <w:rPr>
          <w:rFonts w:hint="cs"/>
          <w:rtl/>
        </w:rPr>
      </w:pPr>
      <w:r>
        <w:rPr>
          <w:rFonts w:hint="cs"/>
          <w:rtl/>
        </w:rPr>
        <w:t>מאפייני השוק הרלוונטי וההיסטוריה של שוק זה כפי שפורטה לעיל הם בעלי משקל רב בניתוח החשש מפני הפעלת כוח שוק מתואם. ככלל, הנטייה לראות בשוק כמועד לתיאום תגבר ככל שהנסיבות בשוק זה מקלות על הגעה לשיווי משקל מתואם.</w:t>
      </w:r>
    </w:p>
    <w:p w:rsidR="00C87ADA" w:rsidRDefault="00C87ADA" w:rsidP="00767C60">
      <w:pPr>
        <w:rPr>
          <w:rFonts w:hint="cs"/>
          <w:rtl/>
        </w:rPr>
      </w:pPr>
      <w:r>
        <w:rPr>
          <w:rFonts w:hint="cs"/>
          <w:rtl/>
        </w:rPr>
        <w:t>נסיבות בהן ייראה שוק כבעל נטייה לתיאום פורטו במסגרת הנחיות המיזוגים</w:t>
      </w:r>
      <w:r w:rsidR="003150D1">
        <w:rPr>
          <w:rFonts w:hint="cs"/>
          <w:rtl/>
        </w:rPr>
        <w:t>,</w:t>
      </w:r>
      <w:r>
        <w:rPr>
          <w:rFonts w:hint="cs"/>
          <w:rtl/>
        </w:rPr>
        <w:t xml:space="preserve"> ודומה כי במיזוג זה מתממשות חלק ניכר מהנסיבות שהוזכרו בהן. להלן נסקור חלק מהמאפיינים המתקיימים בענף. </w:t>
      </w:r>
    </w:p>
    <w:p w:rsidR="00C87ADA" w:rsidRPr="00B27799" w:rsidRDefault="00C87ADA" w:rsidP="001A0311">
      <w:pPr>
        <w:pStyle w:val="7"/>
        <w:rPr>
          <w:rFonts w:hint="cs"/>
          <w:rtl/>
        </w:rPr>
      </w:pPr>
      <w:r w:rsidRPr="00543A2A">
        <w:rPr>
          <w:rFonts w:hint="cs"/>
          <w:rtl/>
        </w:rPr>
        <w:t>חסמי כניסה</w:t>
      </w:r>
    </w:p>
    <w:p w:rsidR="00C87ADA" w:rsidRDefault="00C87ADA" w:rsidP="0030707F">
      <w:pPr>
        <w:rPr>
          <w:rFonts w:hint="cs"/>
          <w:rtl/>
        </w:rPr>
      </w:pPr>
      <w:r>
        <w:rPr>
          <w:rFonts w:hint="cs"/>
          <w:rtl/>
        </w:rPr>
        <w:t>קיומם של חסמי כניסה גבוהים לשוק שולל את האפשרות של פירמות המצויות מחוץ לשוק הרלוונטי להפר את שיווי המשקל המתואם שייווצר בתוך פרק זמן קצר דיו.</w:t>
      </w:r>
      <w:r>
        <w:rPr>
          <w:rStyle w:val="ac"/>
          <w:rtl/>
        </w:rPr>
        <w:footnoteReference w:id="25"/>
      </w:r>
    </w:p>
    <w:p w:rsidR="00C87ADA" w:rsidRPr="00EF2ABE" w:rsidRDefault="00C87ADA" w:rsidP="003D42E6">
      <w:pPr>
        <w:rPr>
          <w:rFonts w:hint="cs"/>
          <w:rtl/>
        </w:rPr>
      </w:pPr>
      <w:r>
        <w:rPr>
          <w:rFonts w:hint="cs"/>
          <w:rtl/>
        </w:rPr>
        <w:t xml:space="preserve">חסמי הכניסה </w:t>
      </w:r>
      <w:r w:rsidRPr="0080587F">
        <w:rPr>
          <w:rFonts w:hint="cs"/>
          <w:rtl/>
        </w:rPr>
        <w:t>לשוק</w:t>
      </w:r>
      <w:r>
        <w:rPr>
          <w:rFonts w:hint="cs"/>
          <w:rtl/>
        </w:rPr>
        <w:t xml:space="preserve"> </w:t>
      </w:r>
      <w:r w:rsidR="003D42E6">
        <w:rPr>
          <w:rFonts w:hint="cs"/>
          <w:rtl/>
        </w:rPr>
        <w:t xml:space="preserve">העומדים בפני </w:t>
      </w:r>
      <w:r>
        <w:rPr>
          <w:rFonts w:hint="cs"/>
          <w:rtl/>
        </w:rPr>
        <w:t xml:space="preserve">מפעילה בעלת תשתית הם גבוהים ביותר. על מנת לפעול כמפעילה בעלת תשתית יש צורך בתדרים שיוקצו לשימושה של המפעילה, דבר אשר מתבצע אחת למספר שנים ובכפוף למלאי התדרים </w:t>
      </w:r>
      <w:r w:rsidR="003D42E6">
        <w:rPr>
          <w:rFonts w:hint="cs"/>
          <w:rtl/>
        </w:rPr>
        <w:t>ה</w:t>
      </w:r>
      <w:r>
        <w:rPr>
          <w:rFonts w:hint="cs"/>
          <w:rtl/>
        </w:rPr>
        <w:t>מוגבל בשל היותו של הספקטרום האלקטרומגנטי משאב במחסור.</w:t>
      </w:r>
      <w:r>
        <w:rPr>
          <w:rStyle w:val="ac"/>
          <w:rtl/>
        </w:rPr>
        <w:footnoteReference w:id="26"/>
      </w:r>
    </w:p>
    <w:p w:rsidR="00C87ADA" w:rsidRDefault="00C87ADA" w:rsidP="003D6CBD">
      <w:pPr>
        <w:rPr>
          <w:rFonts w:hint="cs"/>
          <w:rtl/>
        </w:rPr>
      </w:pPr>
      <w:r>
        <w:rPr>
          <w:rFonts w:hint="cs"/>
          <w:rtl/>
        </w:rPr>
        <w:t>קבלת רשיון ופעולה כמפעילה בעלת תשתית מחייבת פריסת רשת רט"ן פיזית הכרוכה בהשקעת מאות רבות של מיליוני שקלים לטובת שכירת נדל"ן, רכישת ציוד יקר ותחזוקה שוטפת מורכבת של אלפי אתרי שידור (בהם מותקנות אנטנות). בנוסף, הקמת אתרי שידור כפופה לרגולציה מורכבת</w:t>
      </w:r>
      <w:r>
        <w:rPr>
          <w:rStyle w:val="ac"/>
          <w:rtl/>
        </w:rPr>
        <w:footnoteReference w:id="27"/>
      </w:r>
      <w:r>
        <w:rPr>
          <w:rFonts w:hint="cs"/>
          <w:rtl/>
        </w:rPr>
        <w:t xml:space="preserve"> באופן שמקשה על הקמת האתרים.</w:t>
      </w:r>
      <w:r>
        <w:rPr>
          <w:rStyle w:val="ac"/>
          <w:rtl/>
        </w:rPr>
        <w:footnoteReference w:id="28"/>
      </w:r>
      <w:r>
        <w:rPr>
          <w:rFonts w:hint="cs"/>
          <w:rtl/>
        </w:rPr>
        <w:t xml:space="preserve"> </w:t>
      </w:r>
    </w:p>
    <w:p w:rsidR="00C87ADA" w:rsidRDefault="00C87ADA" w:rsidP="00F841C1">
      <w:pPr>
        <w:rPr>
          <w:rFonts w:hint="cs"/>
          <w:rtl/>
        </w:rPr>
      </w:pPr>
      <w:r>
        <w:rPr>
          <w:rFonts w:hint="cs"/>
          <w:rtl/>
        </w:rPr>
        <w:t>עקב הקשיים הכרוכים בהקמת אתרים והמחסור בתדרים התירו הממונה על הגבלים עסקיים והמשרד שיתופי רשתות</w:t>
      </w:r>
      <w:r>
        <w:rPr>
          <w:rStyle w:val="ac"/>
          <w:rtl/>
        </w:rPr>
        <w:footnoteReference w:id="29"/>
      </w:r>
      <w:r>
        <w:rPr>
          <w:rFonts w:hint="cs"/>
          <w:rtl/>
        </w:rPr>
        <w:t xml:space="preserve"> בין מפעילות תקשורת ניידת מתחרות.</w:t>
      </w:r>
      <w:r>
        <w:rPr>
          <w:rStyle w:val="ac"/>
          <w:rtl/>
        </w:rPr>
        <w:footnoteReference w:id="30"/>
      </w:r>
      <w:r>
        <w:rPr>
          <w:rFonts w:hint="cs"/>
          <w:rtl/>
        </w:rPr>
        <w:t xml:space="preserve"> על אף שאפשרות החדירה </w:t>
      </w:r>
      <w:r>
        <w:rPr>
          <w:rFonts w:hint="cs"/>
          <w:rtl/>
        </w:rPr>
        <w:lastRenderedPageBreak/>
        <w:t xml:space="preserve">לשוק באמצעות הסכמי שיתוף אתרים והסכמים לשיתוף רשתות הקלה על הקמתם של מפעילים בעל תשתית, גם עלותה של חלופה </w:t>
      </w:r>
      <w:r w:rsidR="00F841C1">
        <w:rPr>
          <w:rFonts w:hint="cs"/>
          <w:rtl/>
        </w:rPr>
        <w:t xml:space="preserve">זאת </w:t>
      </w:r>
      <w:r>
        <w:rPr>
          <w:rFonts w:hint="cs"/>
          <w:rtl/>
        </w:rPr>
        <w:t xml:space="preserve">גבוהה מאוד ומגיעה למאות מיליוני שקלים. נוסף על כך, על מנת לגבש שיתוף כזה נדרשת הסכמתה של המפעילה בעלת התשתית או התערבותו של משרד התקשורת. </w:t>
      </w:r>
    </w:p>
    <w:p w:rsidR="00C87ADA" w:rsidRDefault="00C87ADA" w:rsidP="00F841C1">
      <w:pPr>
        <w:rPr>
          <w:rFonts w:hint="cs"/>
          <w:rtl/>
        </w:rPr>
      </w:pPr>
      <w:r>
        <w:rPr>
          <w:rFonts w:hint="cs"/>
          <w:rtl/>
        </w:rPr>
        <w:t xml:space="preserve">אפשרות אחרת של חדירה לשוק היא באמצעות פעילות כמפעילה וירטואלית ללא הקמת תשתית </w:t>
      </w:r>
      <w:r w:rsidRPr="004C586F">
        <w:rPr>
          <w:rFonts w:hint="cs"/>
          <w:rtl/>
        </w:rPr>
        <w:t xml:space="preserve">או השתתפות משמעותית בהקמתה. החסמים </w:t>
      </w:r>
      <w:r>
        <w:rPr>
          <w:rFonts w:hint="cs"/>
          <w:rtl/>
        </w:rPr>
        <w:t xml:space="preserve">העומדים </w:t>
      </w:r>
      <w:r w:rsidRPr="004C586F">
        <w:rPr>
          <w:rFonts w:hint="cs"/>
          <w:rtl/>
        </w:rPr>
        <w:t xml:space="preserve">בפני </w:t>
      </w:r>
      <w:r>
        <w:rPr>
          <w:rFonts w:hint="cs"/>
          <w:rtl/>
        </w:rPr>
        <w:t xml:space="preserve">מפעילה וירטואלית הם נמוכים בהשוואה לחסמים העומדים בפני מפעילה בעלת תשתית אולם גם היא נדרשת לצלוח חסמי כניסה בדמות </w:t>
      </w:r>
      <w:r>
        <w:rPr>
          <w:rFonts w:ascii="Calibri" w:eastAsia="Calibri" w:hAnsi="Calibri" w:hint="cs"/>
          <w:sz w:val="24"/>
          <w:rtl/>
          <w:lang w:eastAsia="en-US"/>
        </w:rPr>
        <w:t>השקעה בשיווק ופרסום, בהקמת</w:t>
      </w:r>
      <w:r w:rsidRPr="009C6912">
        <w:rPr>
          <w:rFonts w:ascii="Calibri" w:eastAsia="Calibri" w:hAnsi="Calibri" w:hint="cs"/>
          <w:sz w:val="24"/>
          <w:rtl/>
          <w:lang w:eastAsia="en-US"/>
        </w:rPr>
        <w:t xml:space="preserve"> מערך מכירות</w:t>
      </w:r>
      <w:r>
        <w:rPr>
          <w:rFonts w:ascii="Calibri" w:eastAsia="Calibri" w:hAnsi="Calibri" w:hint="cs"/>
          <w:sz w:val="24"/>
          <w:rtl/>
          <w:lang w:eastAsia="en-US"/>
        </w:rPr>
        <w:t xml:space="preserve"> ובעיקר בדמות הצורך לחתום על הסכם אירוח עם מפעילה בעלת תשתית. עם זאת, </w:t>
      </w:r>
      <w:r w:rsidR="00F841C1">
        <w:rPr>
          <w:rFonts w:ascii="Calibri" w:eastAsia="Calibri" w:hAnsi="Calibri" w:hint="cs"/>
          <w:sz w:val="24"/>
          <w:rtl/>
          <w:lang w:eastAsia="en-US"/>
        </w:rPr>
        <w:t xml:space="preserve">כשם </w:t>
      </w:r>
      <w:r>
        <w:rPr>
          <w:rFonts w:ascii="Calibri" w:eastAsia="Calibri" w:hAnsi="Calibri" w:hint="cs"/>
          <w:sz w:val="24"/>
          <w:rtl/>
          <w:lang w:eastAsia="en-US"/>
        </w:rPr>
        <w:t xml:space="preserve">שחסמי הכניסה הניצבים בפני מפעילה וירטואלית הם נמוכים משמעותית בהשוואה למפעילה בעלת רשת, כך גם </w:t>
      </w:r>
      <w:r>
        <w:rPr>
          <w:rFonts w:hint="cs"/>
          <w:rtl/>
        </w:rPr>
        <w:t xml:space="preserve">יכולתן של מפעילות וירטואליות לרסן את המפעילות בעלות התשתית ולפיכך להפר שיווי משקל מתואם ביניהן היא מוגבלת מאד. </w:t>
      </w:r>
    </w:p>
    <w:p w:rsidR="00C87ADA" w:rsidRDefault="00C87ADA" w:rsidP="0030707F">
      <w:pPr>
        <w:rPr>
          <w:rFonts w:hint="cs"/>
          <w:b/>
          <w:bCs/>
          <w:u w:val="single"/>
          <w:rtl/>
        </w:rPr>
      </w:pPr>
      <w:r w:rsidRPr="004C586F">
        <w:rPr>
          <w:rFonts w:hint="cs"/>
          <w:rtl/>
        </w:rPr>
        <w:t>מכל מקום, התגברות על חסמי הכניסה האמורים דורשת משאבים ניכרים</w:t>
      </w:r>
      <w:r>
        <w:rPr>
          <w:rFonts w:hint="cs"/>
          <w:rtl/>
        </w:rPr>
        <w:t>.</w:t>
      </w:r>
      <w:r w:rsidRPr="004C586F">
        <w:rPr>
          <w:rFonts w:hint="cs"/>
          <w:rtl/>
        </w:rPr>
        <w:t xml:space="preserve"> וצפויה לארוך פרק זמן </w:t>
      </w:r>
      <w:r>
        <w:rPr>
          <w:rFonts w:hint="cs"/>
          <w:rtl/>
        </w:rPr>
        <w:t>לא מבוטל.</w:t>
      </w:r>
    </w:p>
    <w:p w:rsidR="00C87ADA" w:rsidRPr="00386DF8" w:rsidRDefault="00C87ADA" w:rsidP="001A0311">
      <w:pPr>
        <w:pStyle w:val="7"/>
        <w:rPr>
          <w:rFonts w:hint="cs"/>
          <w:rtl/>
        </w:rPr>
      </w:pPr>
      <w:r w:rsidRPr="00386DF8">
        <w:rPr>
          <w:rFonts w:hint="cs"/>
          <w:rtl/>
        </w:rPr>
        <w:t>ההיסטוריה של ההתנהגות בענף</w:t>
      </w:r>
    </w:p>
    <w:p w:rsidR="00C87ADA" w:rsidRDefault="00C87ADA" w:rsidP="00F841C1">
      <w:pPr>
        <w:rPr>
          <w:rFonts w:hint="cs"/>
          <w:rtl/>
        </w:rPr>
      </w:pPr>
      <w:r>
        <w:rPr>
          <w:rFonts w:hint="cs"/>
          <w:rtl/>
        </w:rPr>
        <w:t>קיומה של התנהגות מתואמת בענף בעבר מהווה אף היא קריטריון חשוב לניתוח נטיית השוק לתיאום.</w:t>
      </w:r>
      <w:r>
        <w:rPr>
          <w:rStyle w:val="ac"/>
          <w:rFonts w:ascii="Calibri" w:hAnsi="Calibri"/>
          <w:rtl/>
        </w:rPr>
        <w:footnoteReference w:id="31"/>
      </w:r>
      <w:r>
        <w:rPr>
          <w:rFonts w:hint="cs"/>
          <w:rtl/>
        </w:rPr>
        <w:t xml:space="preserve"> </w:t>
      </w:r>
      <w:r w:rsidRPr="00584643">
        <w:rPr>
          <w:rFonts w:hint="cs"/>
          <w:rtl/>
        </w:rPr>
        <w:t xml:space="preserve">העובדה ששוק </w:t>
      </w:r>
      <w:r>
        <w:rPr>
          <w:rFonts w:hint="cs"/>
          <w:rtl/>
        </w:rPr>
        <w:t>מסוים היה שרוי בשיווי משקל מתואם עשויה ללמד על</w:t>
      </w:r>
      <w:r w:rsidRPr="00584643">
        <w:rPr>
          <w:rFonts w:hint="cs"/>
          <w:rtl/>
        </w:rPr>
        <w:t xml:space="preserve"> כך שמדובר במבנה שוק וסוג מוצר אשר מאפשרים תיאום. </w:t>
      </w:r>
      <w:r>
        <w:rPr>
          <w:rFonts w:hint="cs"/>
          <w:rtl/>
        </w:rPr>
        <w:t>כמו כן, להיסטוריה של שיווי משקל א</w:t>
      </w:r>
      <w:r w:rsidR="00F841C1">
        <w:rPr>
          <w:rFonts w:hint="cs"/>
          <w:rtl/>
        </w:rPr>
        <w:t>ל</w:t>
      </w:r>
      <w:r>
        <w:rPr>
          <w:rFonts w:hint="cs"/>
          <w:rtl/>
        </w:rPr>
        <w:t>-תחרותי משמעות רבה עת ניגשים לבחון מיזוג, שכן ההיסטוריה הז</w:t>
      </w:r>
      <w:r w:rsidR="00F841C1">
        <w:rPr>
          <w:rFonts w:hint="cs"/>
          <w:rtl/>
        </w:rPr>
        <w:t>את</w:t>
      </w:r>
      <w:r>
        <w:rPr>
          <w:rFonts w:hint="cs"/>
          <w:rtl/>
        </w:rPr>
        <w:t xml:space="preserve"> עשויה להמריץ פירמות </w:t>
      </w:r>
      <w:r w:rsidR="00F841C1">
        <w:rPr>
          <w:rFonts w:hint="cs"/>
          <w:rtl/>
        </w:rPr>
        <w:t>לחזור למודל בו פעלו בעבר</w:t>
      </w:r>
      <w:r>
        <w:rPr>
          <w:rFonts w:hint="cs"/>
          <w:rtl/>
        </w:rPr>
        <w:t xml:space="preserve"> ולהביא לחיסול התחרות.</w:t>
      </w:r>
      <w:r>
        <w:rPr>
          <w:rStyle w:val="ac"/>
          <w:rFonts w:ascii="Calibri" w:hAnsi="Calibri"/>
          <w:rtl/>
        </w:rPr>
        <w:footnoteReference w:id="32"/>
      </w:r>
      <w:r>
        <w:rPr>
          <w:rFonts w:hint="cs"/>
          <w:rtl/>
        </w:rPr>
        <w:t xml:space="preserve"> כפי שפורט לעיל, עד חדירתן לשוק של גולן והוט מובייל התאפיינו היחסים בין המפעילות בשיווי משקל מתואם</w:t>
      </w:r>
      <w:r w:rsidR="00F841C1">
        <w:rPr>
          <w:rFonts w:hint="cs"/>
          <w:rtl/>
        </w:rPr>
        <w:t>,</w:t>
      </w:r>
      <w:r>
        <w:rPr>
          <w:rFonts w:hint="cs"/>
          <w:rtl/>
        </w:rPr>
        <w:t xml:space="preserve"> שבו המחירים נותרו יציבים לאורך תקופה ארוכה ושיעורי המעבר בין החברות היו נמוכים באופן המעיד על קיומו של שיווי משקל מתואם</w:t>
      </w:r>
      <w:r w:rsidRPr="002F18CF">
        <w:rPr>
          <w:rFonts w:hint="cs"/>
          <w:rtl/>
        </w:rPr>
        <w:t>.</w:t>
      </w:r>
      <w:r>
        <w:rPr>
          <w:rFonts w:hint="cs"/>
          <w:rtl/>
        </w:rPr>
        <w:t xml:space="preserve"> </w:t>
      </w:r>
    </w:p>
    <w:p w:rsidR="00C87ADA" w:rsidRPr="00386DF8" w:rsidRDefault="00C87ADA" w:rsidP="00F841C1">
      <w:pPr>
        <w:pStyle w:val="7"/>
        <w:rPr>
          <w:rFonts w:hint="cs"/>
          <w:rtl/>
        </w:rPr>
      </w:pPr>
      <w:r w:rsidRPr="00EE36C7">
        <w:rPr>
          <w:rtl/>
        </w:rPr>
        <w:t>קיומם של שווקים נוספים בהם שחקנים בשוק הנבחן מתחרים זה בזה</w:t>
      </w:r>
    </w:p>
    <w:p w:rsidR="00C87ADA" w:rsidRDefault="00C87ADA" w:rsidP="0030707F">
      <w:pPr>
        <w:rPr>
          <w:rFonts w:hint="cs"/>
          <w:rtl/>
        </w:rPr>
      </w:pPr>
      <w:r>
        <w:rPr>
          <w:rFonts w:hint="cs"/>
          <w:rtl/>
        </w:rPr>
        <w:t>נקודות ממשק מרובות בין שחקניות הפועלות בשוק (</w:t>
      </w:r>
      <w:r w:rsidRPr="00386DF8">
        <w:rPr>
          <w:rFonts w:cs="Times New Roman"/>
        </w:rPr>
        <w:t>Multi Market Contact</w:t>
      </w:r>
      <w:r>
        <w:rPr>
          <w:rFonts w:hint="cs"/>
          <w:rtl/>
        </w:rPr>
        <w:t xml:space="preserve"> להלן: "</w:t>
      </w:r>
      <w:r w:rsidRPr="0025446B">
        <w:rPr>
          <w:rFonts w:hint="cs"/>
          <w:b/>
          <w:bCs/>
          <w:rtl/>
        </w:rPr>
        <w:t>ממשק</w:t>
      </w:r>
      <w:r>
        <w:rPr>
          <w:rFonts w:hint="cs"/>
          <w:rtl/>
        </w:rPr>
        <w:t xml:space="preserve"> </w:t>
      </w:r>
      <w:r w:rsidRPr="0025446B">
        <w:rPr>
          <w:rFonts w:hint="cs"/>
          <w:b/>
          <w:bCs/>
          <w:rtl/>
        </w:rPr>
        <w:t>בין</w:t>
      </w:r>
      <w:r>
        <w:rPr>
          <w:rFonts w:hint="cs"/>
          <w:rtl/>
        </w:rPr>
        <w:t xml:space="preserve"> </w:t>
      </w:r>
      <w:r w:rsidRPr="0025446B">
        <w:rPr>
          <w:rFonts w:hint="cs"/>
          <w:b/>
          <w:bCs/>
          <w:rtl/>
        </w:rPr>
        <w:t>שוקי</w:t>
      </w:r>
      <w:r>
        <w:rPr>
          <w:rFonts w:hint="cs"/>
          <w:rtl/>
        </w:rPr>
        <w:t xml:space="preserve">") עלולות אף הן לתרום לייצוב שיווי משקל מתואם. לקיומו של שיווי משקל כזה נודע משקל מיוחד כאשר נתחי השוק בשווקים השונים אינם סימטריים, במצב כזה, חרף קיומם של נתחי שוק שאינם סימטריים בשווקים השונים יתכן כי קיבוצם יסייע לייצוב שיווי משקל כללי בין המתחרות השונות כפי שמסביר הכלכלן </w:t>
      </w:r>
      <w:r>
        <w:rPr>
          <w:rFonts w:cs="Times New Roman"/>
        </w:rPr>
        <w:t xml:space="preserve">Prof. Massimo </w:t>
      </w:r>
      <w:r w:rsidRPr="008D7A3A">
        <w:rPr>
          <w:rFonts w:cs="Times New Roman"/>
        </w:rPr>
        <w:t>Motta</w:t>
      </w:r>
      <w:r w:rsidRPr="00AE0BE3">
        <w:rPr>
          <w:rFonts w:hint="cs"/>
          <w:rtl/>
        </w:rPr>
        <w:t>:</w:t>
      </w:r>
    </w:p>
    <w:p w:rsidR="00C87ADA" w:rsidRPr="00F74E0E" w:rsidRDefault="00C87ADA" w:rsidP="006C5519">
      <w:pPr>
        <w:bidi w:val="0"/>
        <w:ind w:left="799" w:right="851"/>
      </w:pPr>
      <w:r w:rsidRPr="00F74E0E">
        <w:lastRenderedPageBreak/>
        <w:t>"[When] the same two firms operate in the same two markets: wh</w:t>
      </w:r>
      <w:r>
        <w:t>e</w:t>
      </w:r>
      <w:r w:rsidRPr="00F74E0E">
        <w:t>n they analyse whether they prefer to collude or to deviate, they will look at both markets together. This implies that they will have a single IC [incentive constraint-</w:t>
      </w:r>
      <w:r w:rsidRPr="00F74E0E">
        <w:rPr>
          <w:rFonts w:hint="cs"/>
          <w:rtl/>
        </w:rPr>
        <w:t>הח"מ</w:t>
      </w:r>
      <w:r w:rsidRPr="00F74E0E">
        <w:t xml:space="preserve">] where the gains and losses from deviations are </w:t>
      </w:r>
      <w:r w:rsidRPr="0025446B">
        <w:t>pooled across both markets. Effectively, under pooling it is as if there were now two symmetric firms in one large market, each firm holding a 50% share of it. Multi-market contacts here smooth the market asymmetries and by making the ICs of the firms more symmetric they help collusion."</w:t>
      </w:r>
      <w:r w:rsidRPr="00A82B34">
        <w:rPr>
          <w:rStyle w:val="ac"/>
          <w:rFonts w:ascii="Calibri" w:hAnsi="Calibri"/>
        </w:rPr>
        <w:footnoteReference w:id="33"/>
      </w:r>
      <w:r>
        <w:rPr>
          <w:rFonts w:hint="cs"/>
          <w:rtl/>
        </w:rPr>
        <w:t xml:space="preserve"> </w:t>
      </w:r>
    </w:p>
    <w:p w:rsidR="00C87ADA" w:rsidRDefault="00C87ADA" w:rsidP="006C5519">
      <w:pPr>
        <w:rPr>
          <w:rFonts w:hint="cs"/>
          <w:rtl/>
        </w:rPr>
      </w:pPr>
      <w:r>
        <w:rPr>
          <w:rFonts w:hint="cs"/>
          <w:rtl/>
        </w:rPr>
        <w:t>כיום, גולן היא המפעילה היחידה בעלת תשתית שאינה פעילה בתחומים אחרים, למעט פעילות מוגבלת בתחום השיחות הבינלאומיות. המפעילות האחרות פועלות, בעצמן או באמצעות חברות בנות, גם בתחומי תקשורת נוספים. כך למשל, פרטנר, פלאפון (מקבוצת בזק), סלקום והוט מובייל (מקבוצת הוט) פועלות גם במתן שירותי גישה לרשת האינטרנט, שירותי תשתית אינטרנט (בין אם באופן עצמאי ובין אם במסגרת השוק הסיטונאי), שירותי תמסורת פנים ארצית למגזר העסקי ושירותי טלפוניה נייחת מקומית ובינלאומית. בנוסף פועלות הוט, בזק וסלקום בתחום שידורי הטלוויזי</w:t>
      </w:r>
      <w:r>
        <w:rPr>
          <w:rFonts w:hint="eastAsia"/>
          <w:rtl/>
        </w:rPr>
        <w:t>ה</w:t>
      </w:r>
      <w:r>
        <w:rPr>
          <w:rFonts w:hint="cs"/>
          <w:rtl/>
        </w:rPr>
        <w:t xml:space="preserve">. לוח 1 להלן מתאר את מכלול התחומים בענף התקשורת, בהן פעילות מפעילות בעלות תשתית. </w:t>
      </w:r>
    </w:p>
    <w:p w:rsidR="008A72AA" w:rsidRDefault="00C87ADA" w:rsidP="007C017E">
      <w:pPr>
        <w:rPr>
          <w:rtl/>
        </w:rPr>
      </w:pPr>
      <w:r>
        <w:rPr>
          <w:rFonts w:hint="cs"/>
          <w:rtl/>
        </w:rPr>
        <w:t>קיומו של ממשק בין שוקי בין המפעילות בנקודות רבות עשוי להקל, כאמור, על יצירת שיווי משקל מתואם ביניהן. גריעתה מהשוק של גולן</w:t>
      </w:r>
      <w:r w:rsidR="007D2E3E">
        <w:rPr>
          <w:rFonts w:hint="cs"/>
          <w:rtl/>
        </w:rPr>
        <w:t>,</w:t>
      </w:r>
      <w:r>
        <w:rPr>
          <w:rFonts w:hint="cs"/>
          <w:rtl/>
        </w:rPr>
        <w:t xml:space="preserve"> שלה נקודות ממשק מועטות ביותר</w:t>
      </w:r>
      <w:r w:rsidR="007D2E3E">
        <w:rPr>
          <w:rFonts w:hint="cs"/>
          <w:rtl/>
        </w:rPr>
        <w:t>,</w:t>
      </w:r>
      <w:r>
        <w:rPr>
          <w:rFonts w:hint="cs"/>
          <w:rtl/>
        </w:rPr>
        <w:t xml:space="preserve"> יקל על המפעילות שיוסיפו לפעול לייצב שיווי משקל כאמור. כך למשל, הממשק הבין שוקי עשוי לסייע למפעילות לייצב שיווי משקל שבו האחת נמנעת מפעילות אגרסיבית בתחום הטלפוניה הנייחת בזמן שמתחרותיה אינן מתחרות באופן לוחמני בתחום התקשורת הניידת.</w:t>
      </w:r>
    </w:p>
    <w:p w:rsidR="00C87ADA" w:rsidRDefault="008A72AA" w:rsidP="007C017E">
      <w:pPr>
        <w:rPr>
          <w:rFonts w:hint="cs"/>
          <w:rtl/>
        </w:rPr>
      </w:pPr>
      <w:r>
        <w:rPr>
          <w:rtl/>
        </w:rPr>
        <w:br w:type="page"/>
      </w:r>
    </w:p>
    <w:p w:rsidR="00C87ADA" w:rsidRPr="00EA5474" w:rsidRDefault="00C87ADA" w:rsidP="00EA5474">
      <w:pPr>
        <w:spacing w:after="0"/>
        <w:jc w:val="center"/>
        <w:rPr>
          <w:rFonts w:cs="Aharoni" w:hint="cs"/>
          <w:b/>
          <w:bCs/>
          <w:sz w:val="20"/>
          <w:szCs w:val="22"/>
          <w:rtl/>
        </w:rPr>
      </w:pPr>
      <w:r w:rsidRPr="00EA5474">
        <w:rPr>
          <w:rFonts w:cs="Aharoni" w:hint="cs"/>
          <w:b/>
          <w:bCs/>
          <w:sz w:val="20"/>
          <w:szCs w:val="22"/>
          <w:rtl/>
        </w:rPr>
        <w:t xml:space="preserve">לוח 1 </w:t>
      </w:r>
      <w:r w:rsidRPr="00EA5474">
        <w:rPr>
          <w:rFonts w:cs="Aharoni"/>
          <w:b/>
          <w:bCs/>
          <w:sz w:val="20"/>
          <w:szCs w:val="22"/>
          <w:rtl/>
        </w:rPr>
        <w:t>–</w:t>
      </w:r>
      <w:r w:rsidRPr="00EA5474">
        <w:rPr>
          <w:rFonts w:cs="Aharoni" w:hint="cs"/>
          <w:b/>
          <w:bCs/>
          <w:sz w:val="20"/>
          <w:szCs w:val="22"/>
          <w:rtl/>
        </w:rPr>
        <w:t xml:space="preserve"> תחומי הפעילות של הקבוצות הפועלות בענף התקשורת</w:t>
      </w:r>
    </w:p>
    <w:tbl>
      <w:tblPr>
        <w:bidiVisual/>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12"/>
        <w:gridCol w:w="1559"/>
        <w:gridCol w:w="1985"/>
        <w:gridCol w:w="1417"/>
        <w:gridCol w:w="1277"/>
      </w:tblGrid>
      <w:tr w:rsidR="00C87ADA" w:rsidRPr="00584643" w:rsidTr="00D72380">
        <w:tc>
          <w:tcPr>
            <w:tcW w:w="2073" w:type="dxa"/>
            <w:shd w:val="clear" w:color="auto" w:fill="C2D69B"/>
            <w:vAlign w:val="center"/>
          </w:tcPr>
          <w:p w:rsidR="00C87ADA" w:rsidRPr="00EA5474" w:rsidRDefault="00C87ADA" w:rsidP="0030707F">
            <w:pPr>
              <w:rPr>
                <w:b/>
                <w:bCs/>
                <w:rtl/>
              </w:rPr>
            </w:pPr>
            <w:r w:rsidRPr="00EA5474">
              <w:rPr>
                <w:rFonts w:hint="cs"/>
                <w:b/>
                <w:bCs/>
                <w:rtl/>
              </w:rPr>
              <w:t>השירות</w:t>
            </w:r>
          </w:p>
        </w:tc>
        <w:tc>
          <w:tcPr>
            <w:tcW w:w="1612" w:type="dxa"/>
            <w:shd w:val="clear" w:color="auto" w:fill="C2D69B"/>
            <w:vAlign w:val="center"/>
          </w:tcPr>
          <w:p w:rsidR="00C87ADA" w:rsidRPr="00EA5474" w:rsidRDefault="00C87ADA" w:rsidP="00EA5474">
            <w:pPr>
              <w:jc w:val="center"/>
              <w:rPr>
                <w:b/>
                <w:bCs/>
                <w:rtl/>
              </w:rPr>
            </w:pPr>
            <w:r w:rsidRPr="00EA5474">
              <w:rPr>
                <w:rFonts w:hint="cs"/>
                <w:b/>
                <w:bCs/>
                <w:rtl/>
              </w:rPr>
              <w:t>פרטנר</w:t>
            </w:r>
          </w:p>
        </w:tc>
        <w:tc>
          <w:tcPr>
            <w:tcW w:w="1559" w:type="dxa"/>
            <w:shd w:val="clear" w:color="auto" w:fill="C2D69B"/>
            <w:vAlign w:val="center"/>
          </w:tcPr>
          <w:p w:rsidR="00C87ADA" w:rsidRPr="00EA5474" w:rsidRDefault="00C87ADA" w:rsidP="00EA5474">
            <w:pPr>
              <w:jc w:val="center"/>
              <w:rPr>
                <w:b/>
                <w:bCs/>
                <w:rtl/>
              </w:rPr>
            </w:pPr>
            <w:r w:rsidRPr="00EA5474">
              <w:rPr>
                <w:rFonts w:hint="cs"/>
                <w:b/>
                <w:bCs/>
                <w:rtl/>
              </w:rPr>
              <w:t>קבוצת הוט</w:t>
            </w:r>
          </w:p>
        </w:tc>
        <w:tc>
          <w:tcPr>
            <w:tcW w:w="1985" w:type="dxa"/>
            <w:shd w:val="clear" w:color="auto" w:fill="C2D69B"/>
            <w:vAlign w:val="center"/>
          </w:tcPr>
          <w:p w:rsidR="00C87ADA" w:rsidRPr="00EA5474" w:rsidRDefault="00C87ADA" w:rsidP="00EA5474">
            <w:pPr>
              <w:jc w:val="center"/>
              <w:rPr>
                <w:b/>
                <w:bCs/>
                <w:rtl/>
              </w:rPr>
            </w:pPr>
            <w:r w:rsidRPr="00EA5474">
              <w:rPr>
                <w:rFonts w:hint="cs"/>
                <w:b/>
                <w:bCs/>
                <w:rtl/>
              </w:rPr>
              <w:t>קבוצת בזק</w:t>
            </w:r>
          </w:p>
        </w:tc>
        <w:tc>
          <w:tcPr>
            <w:tcW w:w="1417" w:type="dxa"/>
            <w:shd w:val="clear" w:color="auto" w:fill="C2D69B"/>
            <w:vAlign w:val="center"/>
          </w:tcPr>
          <w:p w:rsidR="00C87ADA" w:rsidRPr="00EA5474" w:rsidRDefault="00C87ADA" w:rsidP="00EA5474">
            <w:pPr>
              <w:jc w:val="center"/>
              <w:rPr>
                <w:b/>
                <w:bCs/>
                <w:rtl/>
              </w:rPr>
            </w:pPr>
            <w:r w:rsidRPr="00EA5474">
              <w:rPr>
                <w:rFonts w:hint="cs"/>
                <w:b/>
                <w:bCs/>
                <w:rtl/>
              </w:rPr>
              <w:t>סלקום</w:t>
            </w:r>
          </w:p>
        </w:tc>
        <w:tc>
          <w:tcPr>
            <w:tcW w:w="1277" w:type="dxa"/>
            <w:shd w:val="clear" w:color="auto" w:fill="C2D69B"/>
            <w:vAlign w:val="center"/>
          </w:tcPr>
          <w:p w:rsidR="00C87ADA" w:rsidRPr="00EA5474" w:rsidRDefault="00C87ADA" w:rsidP="00EA5474">
            <w:pPr>
              <w:jc w:val="center"/>
              <w:rPr>
                <w:b/>
                <w:bCs/>
                <w:rtl/>
              </w:rPr>
            </w:pPr>
            <w:r w:rsidRPr="00EA5474">
              <w:rPr>
                <w:rFonts w:hint="cs"/>
                <w:b/>
                <w:bCs/>
                <w:rtl/>
              </w:rPr>
              <w:t>גולן</w:t>
            </w:r>
          </w:p>
        </w:tc>
      </w:tr>
      <w:tr w:rsidR="00C87ADA" w:rsidRPr="00584643" w:rsidTr="00EA5474">
        <w:tc>
          <w:tcPr>
            <w:tcW w:w="2073" w:type="dxa"/>
            <w:shd w:val="clear" w:color="auto" w:fill="EAF1DD"/>
            <w:vAlign w:val="center"/>
          </w:tcPr>
          <w:p w:rsidR="00C87ADA" w:rsidRPr="0067168F" w:rsidRDefault="00C87ADA" w:rsidP="0030707F">
            <w:pPr>
              <w:rPr>
                <w:rFonts w:hint="cs"/>
                <w:rtl/>
              </w:rPr>
            </w:pPr>
            <w:r>
              <w:rPr>
                <w:rFonts w:hint="cs"/>
                <w:rtl/>
              </w:rPr>
              <w:t>תקשורת ניידת</w:t>
            </w:r>
          </w:p>
        </w:tc>
        <w:tc>
          <w:tcPr>
            <w:tcW w:w="1612"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559"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985"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417"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277" w:type="dxa"/>
            <w:shd w:val="clear" w:color="auto" w:fill="auto"/>
            <w:vAlign w:val="center"/>
          </w:tcPr>
          <w:p w:rsidR="00C87ADA" w:rsidRDefault="00C87ADA" w:rsidP="00EA5474">
            <w:pPr>
              <w:jc w:val="center"/>
              <w:rPr>
                <w:rFonts w:hint="cs"/>
                <w:sz w:val="20"/>
                <w:szCs w:val="20"/>
                <w:rtl/>
              </w:rPr>
            </w:pPr>
            <w:r w:rsidRPr="0067168F">
              <w:rPr>
                <w:rFonts w:ascii="Arial" w:hAnsi="Arial" w:cs="Arial" w:hint="cs"/>
                <w:rtl/>
              </w:rPr>
              <w:t>ⱱ</w:t>
            </w:r>
          </w:p>
        </w:tc>
      </w:tr>
      <w:tr w:rsidR="00C87ADA" w:rsidRPr="00584643" w:rsidTr="00EA5474">
        <w:tc>
          <w:tcPr>
            <w:tcW w:w="2073" w:type="dxa"/>
            <w:shd w:val="clear" w:color="auto" w:fill="EAF1DD"/>
            <w:vAlign w:val="center"/>
          </w:tcPr>
          <w:p w:rsidR="00C87ADA" w:rsidRPr="0067168F" w:rsidRDefault="00C87ADA" w:rsidP="0030707F">
            <w:pPr>
              <w:rPr>
                <w:rtl/>
              </w:rPr>
            </w:pPr>
            <w:r w:rsidRPr="0067168F">
              <w:rPr>
                <w:rFonts w:hint="cs"/>
                <w:rtl/>
              </w:rPr>
              <w:t xml:space="preserve">טלפוניה נייחת </w:t>
            </w:r>
          </w:p>
        </w:tc>
        <w:tc>
          <w:tcPr>
            <w:tcW w:w="1612"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559"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985"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417"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277" w:type="dxa"/>
            <w:shd w:val="clear" w:color="auto" w:fill="auto"/>
            <w:vAlign w:val="center"/>
          </w:tcPr>
          <w:p w:rsidR="00C87ADA" w:rsidRPr="00767C60" w:rsidRDefault="00C87ADA" w:rsidP="00EA5474">
            <w:pPr>
              <w:jc w:val="center"/>
              <w:rPr>
                <w:b/>
                <w:bCs/>
                <w:rtl/>
              </w:rPr>
            </w:pPr>
            <w:r w:rsidRPr="00767C60">
              <w:rPr>
                <w:rFonts w:hint="cs"/>
                <w:b/>
                <w:bCs/>
                <w:rtl/>
              </w:rPr>
              <w:t>×</w:t>
            </w:r>
          </w:p>
        </w:tc>
      </w:tr>
      <w:tr w:rsidR="00C87ADA" w:rsidRPr="00584643" w:rsidTr="00EA5474">
        <w:tc>
          <w:tcPr>
            <w:tcW w:w="2073" w:type="dxa"/>
            <w:shd w:val="clear" w:color="auto" w:fill="EAF1DD"/>
            <w:vAlign w:val="center"/>
          </w:tcPr>
          <w:p w:rsidR="00C87ADA" w:rsidRPr="0067168F" w:rsidRDefault="00C87ADA" w:rsidP="0030707F">
            <w:pPr>
              <w:rPr>
                <w:rtl/>
              </w:rPr>
            </w:pPr>
            <w:r>
              <w:rPr>
                <w:rFonts w:hint="cs"/>
                <w:rtl/>
              </w:rPr>
              <w:t xml:space="preserve">תשתית </w:t>
            </w:r>
            <w:r w:rsidRPr="0067168F">
              <w:rPr>
                <w:rFonts w:hint="cs"/>
                <w:rtl/>
              </w:rPr>
              <w:t>אינטרנט</w:t>
            </w:r>
          </w:p>
        </w:tc>
        <w:tc>
          <w:tcPr>
            <w:tcW w:w="1612" w:type="dxa"/>
            <w:shd w:val="clear" w:color="auto" w:fill="auto"/>
            <w:vAlign w:val="center"/>
          </w:tcPr>
          <w:p w:rsidR="00C87ADA" w:rsidRPr="00584643" w:rsidRDefault="00C87ADA" w:rsidP="00EA5474">
            <w:pPr>
              <w:jc w:val="center"/>
              <w:rPr>
                <w:rtl/>
              </w:rPr>
            </w:pPr>
            <w:r w:rsidRPr="0067168F">
              <w:rPr>
                <w:rFonts w:ascii="Arial" w:hAnsi="Arial" w:cs="Arial" w:hint="cs"/>
                <w:rtl/>
              </w:rPr>
              <w:t>ⱱ</w:t>
            </w:r>
            <w:r>
              <w:rPr>
                <w:rFonts w:hint="cs"/>
                <w:rtl/>
              </w:rPr>
              <w:t>*</w:t>
            </w:r>
          </w:p>
        </w:tc>
        <w:tc>
          <w:tcPr>
            <w:tcW w:w="1559"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985"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417" w:type="dxa"/>
            <w:shd w:val="clear" w:color="auto" w:fill="auto"/>
            <w:vAlign w:val="center"/>
          </w:tcPr>
          <w:p w:rsidR="00C87ADA" w:rsidRPr="00584643" w:rsidRDefault="00C87ADA" w:rsidP="00EA5474">
            <w:pPr>
              <w:jc w:val="center"/>
              <w:rPr>
                <w:rtl/>
              </w:rPr>
            </w:pPr>
            <w:r w:rsidRPr="0067168F">
              <w:rPr>
                <w:rFonts w:ascii="Arial" w:hAnsi="Arial" w:cs="Arial"/>
                <w:rtl/>
              </w:rPr>
              <w:t>ⱱ</w:t>
            </w:r>
            <w:r>
              <w:rPr>
                <w:rFonts w:ascii="Arial" w:hAnsi="Arial" w:cs="Arial" w:hint="cs"/>
                <w:rtl/>
              </w:rPr>
              <w:t>*</w:t>
            </w:r>
          </w:p>
        </w:tc>
        <w:tc>
          <w:tcPr>
            <w:tcW w:w="1277" w:type="dxa"/>
            <w:shd w:val="clear" w:color="auto" w:fill="auto"/>
            <w:vAlign w:val="center"/>
          </w:tcPr>
          <w:p w:rsidR="00C87ADA" w:rsidRPr="00767C60" w:rsidRDefault="00C87ADA" w:rsidP="00EA5474">
            <w:pPr>
              <w:jc w:val="center"/>
              <w:rPr>
                <w:rFonts w:hint="cs"/>
                <w:b/>
                <w:bCs/>
                <w:rtl/>
              </w:rPr>
            </w:pPr>
            <w:r w:rsidRPr="00767C60">
              <w:rPr>
                <w:rFonts w:hint="cs"/>
                <w:b/>
                <w:bCs/>
                <w:rtl/>
              </w:rPr>
              <w:t>×</w:t>
            </w:r>
          </w:p>
        </w:tc>
      </w:tr>
      <w:tr w:rsidR="00C87ADA" w:rsidRPr="00584643" w:rsidTr="00EA5474">
        <w:tc>
          <w:tcPr>
            <w:tcW w:w="2073" w:type="dxa"/>
            <w:shd w:val="clear" w:color="auto" w:fill="EAF1DD"/>
            <w:vAlign w:val="center"/>
          </w:tcPr>
          <w:p w:rsidR="00C87ADA" w:rsidRPr="0067168F" w:rsidRDefault="00C87ADA" w:rsidP="0030707F">
            <w:pPr>
              <w:rPr>
                <w:rtl/>
              </w:rPr>
            </w:pPr>
            <w:r>
              <w:rPr>
                <w:rFonts w:hint="cs"/>
                <w:rtl/>
              </w:rPr>
              <w:t>גישה לרשת</w:t>
            </w:r>
            <w:r w:rsidRPr="0067168F">
              <w:rPr>
                <w:rFonts w:hint="cs"/>
                <w:rtl/>
              </w:rPr>
              <w:t xml:space="preserve"> </w:t>
            </w:r>
            <w:r>
              <w:rPr>
                <w:rFonts w:hint="cs"/>
                <w:rtl/>
              </w:rPr>
              <w:t>ה</w:t>
            </w:r>
            <w:r w:rsidRPr="0067168F">
              <w:rPr>
                <w:rFonts w:hint="cs"/>
                <w:rtl/>
              </w:rPr>
              <w:t>אינטרנט (</w:t>
            </w:r>
            <w:r w:rsidRPr="0067168F">
              <w:t>ISP</w:t>
            </w:r>
            <w:r w:rsidRPr="0067168F">
              <w:rPr>
                <w:rFonts w:hint="cs"/>
                <w:rtl/>
              </w:rPr>
              <w:t>)</w:t>
            </w:r>
          </w:p>
        </w:tc>
        <w:tc>
          <w:tcPr>
            <w:tcW w:w="1612" w:type="dxa"/>
            <w:shd w:val="clear" w:color="auto" w:fill="auto"/>
            <w:vAlign w:val="center"/>
          </w:tcPr>
          <w:p w:rsidR="00C87ADA" w:rsidRPr="008C30C5" w:rsidRDefault="00C87ADA" w:rsidP="00EA5474">
            <w:pPr>
              <w:jc w:val="center"/>
              <w:rPr>
                <w:rtl/>
              </w:rPr>
            </w:pPr>
            <w:r w:rsidRPr="00767C60">
              <w:rPr>
                <w:rFonts w:ascii="Arial" w:hAnsi="Arial" w:cs="Arial" w:hint="cs"/>
                <w:rtl/>
              </w:rPr>
              <w:t>ⱱ</w:t>
            </w:r>
          </w:p>
        </w:tc>
        <w:tc>
          <w:tcPr>
            <w:tcW w:w="1559"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985"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417"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277" w:type="dxa"/>
            <w:shd w:val="clear" w:color="auto" w:fill="auto"/>
            <w:vAlign w:val="center"/>
          </w:tcPr>
          <w:p w:rsidR="00C87ADA" w:rsidRPr="00767C60" w:rsidRDefault="00C87ADA" w:rsidP="00EA5474">
            <w:pPr>
              <w:jc w:val="center"/>
              <w:rPr>
                <w:b/>
                <w:bCs/>
                <w:rtl/>
              </w:rPr>
            </w:pPr>
            <w:r w:rsidRPr="00767C60">
              <w:rPr>
                <w:rFonts w:hint="cs"/>
                <w:b/>
                <w:bCs/>
                <w:rtl/>
              </w:rPr>
              <w:t>×</w:t>
            </w:r>
          </w:p>
        </w:tc>
      </w:tr>
      <w:tr w:rsidR="00C87ADA" w:rsidRPr="00584643" w:rsidTr="00EA5474">
        <w:tc>
          <w:tcPr>
            <w:tcW w:w="2073" w:type="dxa"/>
            <w:shd w:val="clear" w:color="auto" w:fill="EAF1DD"/>
            <w:vAlign w:val="center"/>
          </w:tcPr>
          <w:p w:rsidR="00C87ADA" w:rsidRPr="0067168F" w:rsidRDefault="00C87ADA" w:rsidP="0030707F">
            <w:pPr>
              <w:rPr>
                <w:rtl/>
              </w:rPr>
            </w:pPr>
            <w:r w:rsidRPr="0067168F">
              <w:rPr>
                <w:rFonts w:hint="cs"/>
                <w:rtl/>
              </w:rPr>
              <w:t>שידורי טלוויזיה</w:t>
            </w:r>
          </w:p>
        </w:tc>
        <w:tc>
          <w:tcPr>
            <w:tcW w:w="1612" w:type="dxa"/>
            <w:shd w:val="clear" w:color="auto" w:fill="auto"/>
            <w:vAlign w:val="center"/>
          </w:tcPr>
          <w:p w:rsidR="00C87ADA" w:rsidRPr="00584643" w:rsidRDefault="00C87ADA" w:rsidP="00EA5474">
            <w:pPr>
              <w:jc w:val="center"/>
              <w:rPr>
                <w:rtl/>
              </w:rPr>
            </w:pPr>
            <w:r w:rsidRPr="0067168F">
              <w:rPr>
                <w:rFonts w:hint="cs"/>
                <w:rtl/>
              </w:rPr>
              <w:t>×</w:t>
            </w:r>
          </w:p>
        </w:tc>
        <w:tc>
          <w:tcPr>
            <w:tcW w:w="1559"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985" w:type="dxa"/>
            <w:shd w:val="clear" w:color="auto" w:fill="auto"/>
            <w:vAlign w:val="center"/>
          </w:tcPr>
          <w:p w:rsidR="00C87ADA" w:rsidRPr="00584643" w:rsidRDefault="00C87ADA" w:rsidP="00EA5474">
            <w:pPr>
              <w:jc w:val="center"/>
              <w:rPr>
                <w:rFonts w:hint="cs"/>
                <w:rtl/>
              </w:rPr>
            </w:pPr>
            <w:r w:rsidRPr="0067168F">
              <w:rPr>
                <w:rFonts w:ascii="Arial" w:hAnsi="Arial" w:cs="Arial" w:hint="cs"/>
                <w:rtl/>
              </w:rPr>
              <w:t>ⱱ</w:t>
            </w:r>
          </w:p>
        </w:tc>
        <w:tc>
          <w:tcPr>
            <w:tcW w:w="1417" w:type="dxa"/>
            <w:shd w:val="clear" w:color="auto" w:fill="auto"/>
            <w:vAlign w:val="center"/>
          </w:tcPr>
          <w:p w:rsidR="00C87ADA" w:rsidRPr="00584643" w:rsidRDefault="00C87ADA" w:rsidP="00EA5474">
            <w:pPr>
              <w:jc w:val="center"/>
              <w:rPr>
                <w:rtl/>
              </w:rPr>
            </w:pPr>
            <w:r w:rsidRPr="0067168F">
              <w:rPr>
                <w:rFonts w:ascii="Arial" w:hAnsi="Arial" w:cs="Arial" w:hint="cs"/>
                <w:rtl/>
              </w:rPr>
              <w:t>ⱱ</w:t>
            </w:r>
          </w:p>
        </w:tc>
        <w:tc>
          <w:tcPr>
            <w:tcW w:w="1277" w:type="dxa"/>
            <w:shd w:val="clear" w:color="auto" w:fill="auto"/>
            <w:vAlign w:val="center"/>
          </w:tcPr>
          <w:p w:rsidR="00C87ADA" w:rsidRPr="00767C60" w:rsidRDefault="00C87ADA" w:rsidP="00EA5474">
            <w:pPr>
              <w:jc w:val="center"/>
              <w:rPr>
                <w:b/>
                <w:bCs/>
                <w:rtl/>
              </w:rPr>
            </w:pPr>
            <w:r w:rsidRPr="00767C60">
              <w:rPr>
                <w:rFonts w:hint="cs"/>
                <w:b/>
                <w:bCs/>
                <w:rtl/>
              </w:rPr>
              <w:t>×</w:t>
            </w:r>
          </w:p>
        </w:tc>
      </w:tr>
      <w:tr w:rsidR="00C87ADA" w:rsidRPr="00584643" w:rsidTr="00EA5474">
        <w:tc>
          <w:tcPr>
            <w:tcW w:w="2073" w:type="dxa"/>
            <w:shd w:val="clear" w:color="auto" w:fill="EAF1DD"/>
            <w:vAlign w:val="center"/>
          </w:tcPr>
          <w:p w:rsidR="00C87ADA" w:rsidRPr="0067168F" w:rsidRDefault="00C87ADA" w:rsidP="0030707F">
            <w:pPr>
              <w:rPr>
                <w:rFonts w:hint="cs"/>
                <w:rtl/>
              </w:rPr>
            </w:pPr>
            <w:r>
              <w:rPr>
                <w:rFonts w:hint="cs"/>
                <w:rtl/>
              </w:rPr>
              <w:t>טלפוניה בינלאומית</w:t>
            </w:r>
          </w:p>
        </w:tc>
        <w:tc>
          <w:tcPr>
            <w:tcW w:w="1612"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559"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985"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417" w:type="dxa"/>
            <w:shd w:val="clear" w:color="auto" w:fill="auto"/>
            <w:vAlign w:val="center"/>
          </w:tcPr>
          <w:p w:rsidR="00C87ADA" w:rsidRPr="0067168F" w:rsidRDefault="00C87ADA" w:rsidP="00EA5474">
            <w:pPr>
              <w:jc w:val="center"/>
              <w:rPr>
                <w:rtl/>
              </w:rPr>
            </w:pPr>
            <w:r w:rsidRPr="0067168F">
              <w:rPr>
                <w:rFonts w:ascii="Arial" w:hAnsi="Arial" w:cs="Arial" w:hint="cs"/>
                <w:rtl/>
              </w:rPr>
              <w:t>ⱱ</w:t>
            </w:r>
          </w:p>
        </w:tc>
        <w:tc>
          <w:tcPr>
            <w:tcW w:w="1277" w:type="dxa"/>
            <w:shd w:val="clear" w:color="auto" w:fill="auto"/>
            <w:vAlign w:val="center"/>
          </w:tcPr>
          <w:p w:rsidR="00C87ADA" w:rsidRPr="0067168F" w:rsidRDefault="00C87ADA" w:rsidP="00EA5474">
            <w:pPr>
              <w:jc w:val="center"/>
              <w:rPr>
                <w:rFonts w:hint="cs"/>
                <w:sz w:val="28"/>
                <w:szCs w:val="28"/>
                <w:rtl/>
              </w:rPr>
            </w:pPr>
            <w:r w:rsidRPr="0067168F">
              <w:rPr>
                <w:rFonts w:ascii="Arial" w:hAnsi="Arial" w:cs="Arial" w:hint="cs"/>
                <w:rtl/>
              </w:rPr>
              <w:t>ⱱ</w:t>
            </w:r>
          </w:p>
        </w:tc>
      </w:tr>
      <w:tr w:rsidR="00C87ADA" w:rsidRPr="00584643" w:rsidTr="00EA5474">
        <w:tc>
          <w:tcPr>
            <w:tcW w:w="2073" w:type="dxa"/>
            <w:shd w:val="clear" w:color="auto" w:fill="EAF1DD"/>
            <w:vAlign w:val="center"/>
          </w:tcPr>
          <w:p w:rsidR="00C87ADA" w:rsidRPr="0067168F" w:rsidRDefault="00C87ADA" w:rsidP="0030707F">
            <w:pPr>
              <w:rPr>
                <w:rtl/>
              </w:rPr>
            </w:pPr>
            <w:r>
              <w:rPr>
                <w:rFonts w:hint="cs"/>
                <w:rtl/>
              </w:rPr>
              <w:t>תקשורת</w:t>
            </w:r>
            <w:r w:rsidRPr="0067168F">
              <w:rPr>
                <w:rFonts w:hint="cs"/>
                <w:rtl/>
              </w:rPr>
              <w:t xml:space="preserve"> למגזר העסקי</w:t>
            </w:r>
          </w:p>
        </w:tc>
        <w:tc>
          <w:tcPr>
            <w:tcW w:w="1612" w:type="dxa"/>
            <w:shd w:val="clear" w:color="auto" w:fill="auto"/>
            <w:vAlign w:val="center"/>
          </w:tcPr>
          <w:p w:rsidR="00C87ADA" w:rsidRPr="0067168F" w:rsidRDefault="00C87ADA" w:rsidP="00EA5474">
            <w:pPr>
              <w:jc w:val="center"/>
            </w:pPr>
            <w:r w:rsidRPr="0067168F">
              <w:rPr>
                <w:rFonts w:ascii="Arial" w:hAnsi="Arial" w:cs="Arial" w:hint="cs"/>
                <w:rtl/>
              </w:rPr>
              <w:t>ⱱ</w:t>
            </w:r>
          </w:p>
        </w:tc>
        <w:tc>
          <w:tcPr>
            <w:tcW w:w="1559" w:type="dxa"/>
            <w:shd w:val="clear" w:color="auto" w:fill="auto"/>
            <w:vAlign w:val="center"/>
          </w:tcPr>
          <w:p w:rsidR="00C87ADA" w:rsidRPr="0067168F" w:rsidRDefault="00C87ADA" w:rsidP="00EA5474">
            <w:pPr>
              <w:jc w:val="center"/>
            </w:pPr>
            <w:r w:rsidRPr="0067168F">
              <w:rPr>
                <w:rFonts w:ascii="Arial" w:hAnsi="Arial" w:cs="Arial" w:hint="cs"/>
                <w:rtl/>
              </w:rPr>
              <w:t>ⱱ</w:t>
            </w:r>
          </w:p>
        </w:tc>
        <w:tc>
          <w:tcPr>
            <w:tcW w:w="1985" w:type="dxa"/>
            <w:shd w:val="clear" w:color="auto" w:fill="auto"/>
            <w:vAlign w:val="center"/>
          </w:tcPr>
          <w:p w:rsidR="00C87ADA" w:rsidRPr="0067168F" w:rsidRDefault="00C87ADA" w:rsidP="00EA5474">
            <w:pPr>
              <w:jc w:val="center"/>
            </w:pPr>
            <w:r w:rsidRPr="0067168F">
              <w:rPr>
                <w:rFonts w:ascii="Arial" w:hAnsi="Arial" w:cs="Arial" w:hint="cs"/>
                <w:rtl/>
              </w:rPr>
              <w:t>ⱱ</w:t>
            </w:r>
          </w:p>
        </w:tc>
        <w:tc>
          <w:tcPr>
            <w:tcW w:w="1417" w:type="dxa"/>
            <w:shd w:val="clear" w:color="auto" w:fill="auto"/>
            <w:vAlign w:val="center"/>
          </w:tcPr>
          <w:p w:rsidR="00C87ADA" w:rsidRPr="0067168F" w:rsidRDefault="00C87ADA" w:rsidP="00EA5474">
            <w:pPr>
              <w:jc w:val="center"/>
            </w:pPr>
            <w:r w:rsidRPr="0067168F">
              <w:rPr>
                <w:rFonts w:ascii="Arial" w:hAnsi="Arial" w:cs="Arial" w:hint="cs"/>
                <w:rtl/>
              </w:rPr>
              <w:t>ⱱ</w:t>
            </w:r>
          </w:p>
        </w:tc>
        <w:tc>
          <w:tcPr>
            <w:tcW w:w="1277" w:type="dxa"/>
            <w:shd w:val="clear" w:color="auto" w:fill="auto"/>
            <w:vAlign w:val="center"/>
          </w:tcPr>
          <w:p w:rsidR="00C87ADA" w:rsidRPr="008C30C5" w:rsidRDefault="00C87ADA" w:rsidP="00EA5474">
            <w:pPr>
              <w:jc w:val="center"/>
              <w:rPr>
                <w:rFonts w:ascii="Arial" w:hAnsi="Arial" w:cs="Arial" w:hint="cs"/>
                <w:rtl/>
              </w:rPr>
            </w:pPr>
            <w:r w:rsidRPr="00767C60">
              <w:rPr>
                <w:rFonts w:hint="cs"/>
                <w:rtl/>
              </w:rPr>
              <w:t>×</w:t>
            </w:r>
          </w:p>
        </w:tc>
      </w:tr>
    </w:tbl>
    <w:p w:rsidR="00C87ADA" w:rsidRPr="00EA5474" w:rsidRDefault="00C87ADA" w:rsidP="00EA5474">
      <w:pPr>
        <w:spacing w:after="0"/>
        <w:jc w:val="left"/>
        <w:rPr>
          <w:rFonts w:cs="Aharoni" w:hint="cs"/>
          <w:b/>
          <w:bCs/>
          <w:sz w:val="20"/>
          <w:szCs w:val="22"/>
          <w:rtl/>
        </w:rPr>
      </w:pPr>
      <w:r w:rsidRPr="00EA5474">
        <w:rPr>
          <w:rFonts w:cs="Aharoni" w:hint="cs"/>
          <w:b/>
          <w:bCs/>
          <w:sz w:val="20"/>
          <w:szCs w:val="22"/>
          <w:rtl/>
        </w:rPr>
        <w:t>*- על בסיס שירותים הנרכשים בשוק הסיטונאי.</w:t>
      </w:r>
    </w:p>
    <w:p w:rsidR="00C87ADA" w:rsidRDefault="00C87ADA" w:rsidP="0030707F">
      <w:pPr>
        <w:rPr>
          <w:rFonts w:hint="cs"/>
          <w:rtl/>
        </w:rPr>
      </w:pPr>
    </w:p>
    <w:p w:rsidR="008A2243" w:rsidRDefault="00C87ADA" w:rsidP="008A2243">
      <w:pPr>
        <w:rPr>
          <w:rFonts w:hint="cs"/>
          <w:rtl/>
        </w:rPr>
      </w:pPr>
      <w:r>
        <w:rPr>
          <w:rFonts w:hint="cs"/>
          <w:rtl/>
        </w:rPr>
        <w:t>שוק התקשורת בישראל אף ידע בעבר התרחשויות שנראות, על פניהן, כניסיונות לייצב שיווי משקל מתואם באמצעות ענישת פירמות שחדרו לתחומי פעילות הליבה של מתחרותיהן,</w:t>
      </w:r>
      <w:r>
        <w:rPr>
          <w:rStyle w:val="ac"/>
          <w:rFonts w:ascii="Calibri" w:hAnsi="Calibri"/>
          <w:rtl/>
        </w:rPr>
        <w:footnoteReference w:id="34"/>
      </w:r>
      <w:r>
        <w:rPr>
          <w:rFonts w:hint="cs"/>
          <w:rtl/>
        </w:rPr>
        <w:t xml:space="preserve"> וגם להיסטוריה </w:t>
      </w:r>
      <w:r w:rsidR="007D2E3E">
        <w:rPr>
          <w:rFonts w:hint="cs"/>
          <w:rtl/>
        </w:rPr>
        <w:t xml:space="preserve">זאת </w:t>
      </w:r>
      <w:r>
        <w:rPr>
          <w:rFonts w:hint="cs"/>
          <w:rtl/>
        </w:rPr>
        <w:t>משקל בניתוח עוצמת החשש התחרותי.</w:t>
      </w:r>
    </w:p>
    <w:p w:rsidR="008A2243" w:rsidRDefault="001E68E1" w:rsidP="008A2243">
      <w:pPr>
        <w:rPr>
          <w:rFonts w:hint="cs"/>
          <w:b/>
          <w:bCs/>
          <w:rtl/>
        </w:rPr>
      </w:pPr>
      <w:r w:rsidRPr="008A2243">
        <w:rPr>
          <w:rFonts w:hint="cs"/>
          <w:b/>
          <w:bCs/>
          <w:u w:val="single"/>
          <w:rtl/>
        </w:rPr>
        <w:t>מאפיינים נוספים</w:t>
      </w:r>
    </w:p>
    <w:p w:rsidR="001E68E1" w:rsidRPr="008A2243" w:rsidRDefault="001E68E1" w:rsidP="008A2243">
      <w:pPr>
        <w:rPr>
          <w:rFonts w:hint="cs"/>
          <w:rtl/>
        </w:rPr>
      </w:pPr>
      <w:r w:rsidRPr="008A2243">
        <w:rPr>
          <w:rFonts w:hint="cs"/>
          <w:rtl/>
        </w:rPr>
        <w:t>בשוק מתקיימים גם מאפיינים נוספים התומכים בנטייתו לתיאום. כך</w:t>
      </w:r>
      <w:r w:rsidR="00D629FD" w:rsidRPr="008A2243">
        <w:rPr>
          <w:rFonts w:hint="cs"/>
          <w:rtl/>
        </w:rPr>
        <w:t>, בין היתר,</w:t>
      </w:r>
      <w:r w:rsidRPr="008A2243">
        <w:rPr>
          <w:rFonts w:hint="cs"/>
          <w:rtl/>
        </w:rPr>
        <w:t xml:space="preserve"> מידת ההומוגניות של השירותים שמעניקות המפעילות השונות</w:t>
      </w:r>
      <w:r w:rsidR="00D629FD" w:rsidRPr="008A2243">
        <w:rPr>
          <w:rFonts w:hint="cs"/>
          <w:rtl/>
        </w:rPr>
        <w:t xml:space="preserve"> מקלה על הגעה לשיווי משקל מתואם</w:t>
      </w:r>
      <w:r w:rsidR="00BD4B81" w:rsidRPr="008A2243">
        <w:rPr>
          <w:rFonts w:hint="cs"/>
          <w:rtl/>
        </w:rPr>
        <w:t xml:space="preserve"> בשוק</w:t>
      </w:r>
      <w:r w:rsidR="00D629FD" w:rsidRPr="008A2243">
        <w:rPr>
          <w:rFonts w:hint="cs"/>
          <w:rtl/>
        </w:rPr>
        <w:t xml:space="preserve"> ולפיקוח על החריגה ממנו. ה</w:t>
      </w:r>
      <w:r w:rsidR="00372F0B" w:rsidRPr="008A2243">
        <w:rPr>
          <w:rFonts w:hint="cs"/>
          <w:rtl/>
        </w:rPr>
        <w:t>י</w:t>
      </w:r>
      <w:r w:rsidR="00D629FD" w:rsidRPr="008A2243">
        <w:rPr>
          <w:rFonts w:hint="cs"/>
          <w:rtl/>
        </w:rPr>
        <w:t xml:space="preserve">קפן הקטן ותדירותן </w:t>
      </w:r>
      <w:r w:rsidR="007D2E3E" w:rsidRPr="008A2243">
        <w:rPr>
          <w:rFonts w:hint="cs"/>
          <w:rtl/>
        </w:rPr>
        <w:t xml:space="preserve">הגבוהה </w:t>
      </w:r>
      <w:r w:rsidR="00D629FD" w:rsidRPr="008A2243">
        <w:rPr>
          <w:rFonts w:hint="cs"/>
          <w:rtl/>
        </w:rPr>
        <w:t xml:space="preserve">של העסקאות </w:t>
      </w:r>
      <w:r w:rsidR="00C34DAA" w:rsidRPr="008A2243">
        <w:rPr>
          <w:rFonts w:hint="cs"/>
          <w:rtl/>
        </w:rPr>
        <w:t>בשוק מקלות גם הן על הגעה לשיווי משקל מתואם.</w:t>
      </w:r>
      <w:r w:rsidR="00C34DAA" w:rsidRPr="008A2243">
        <w:rPr>
          <w:rStyle w:val="ac"/>
          <w:rFonts w:ascii="Calibri" w:hAnsi="Calibri"/>
          <w:rtl/>
        </w:rPr>
        <w:footnoteReference w:id="35"/>
      </w:r>
      <w:r w:rsidR="00C34DAA" w:rsidRPr="008A2243">
        <w:rPr>
          <w:rFonts w:hint="cs"/>
          <w:rtl/>
        </w:rPr>
        <w:t xml:space="preserve"> הקף ותדירות העסקאות, שקיפות המידע והנתונים הטכניים </w:t>
      </w:r>
      <w:r w:rsidR="00CA4F62" w:rsidRPr="008A2243">
        <w:rPr>
          <w:rFonts w:hint="cs"/>
          <w:rtl/>
        </w:rPr>
        <w:t xml:space="preserve">הנוגעים למעברי הלקוחות ולדפוסי ההתקשרות שלהם אשר זמינים </w:t>
      </w:r>
      <w:r w:rsidR="003D6CBD" w:rsidRPr="008A2243">
        <w:rPr>
          <w:rFonts w:hint="cs"/>
          <w:rtl/>
        </w:rPr>
        <w:t>למפעילות,</w:t>
      </w:r>
      <w:r w:rsidR="00C34DAA" w:rsidRPr="008A2243">
        <w:rPr>
          <w:rFonts w:hint="cs"/>
          <w:rtl/>
        </w:rPr>
        <w:t xml:space="preserve"> הם בין המאפיינים</w:t>
      </w:r>
      <w:r w:rsidR="00337062" w:rsidRPr="008A2243">
        <w:rPr>
          <w:rFonts w:hint="cs"/>
          <w:rtl/>
        </w:rPr>
        <w:t xml:space="preserve"> הנוספים</w:t>
      </w:r>
      <w:r w:rsidR="00C34DAA" w:rsidRPr="008A2243">
        <w:rPr>
          <w:rFonts w:hint="cs"/>
          <w:rtl/>
        </w:rPr>
        <w:t xml:space="preserve"> הקיימים בשוק זה אשר בכוחם גם להקל זיהוי ואכיפה של חריגה משיווי משקל ובכך תורמות אף להיווצרות שיווי משקל כזה.</w:t>
      </w:r>
      <w:r w:rsidR="006E0F9E" w:rsidRPr="008A2243">
        <w:rPr>
          <w:rFonts w:hint="cs"/>
          <w:rtl/>
        </w:rPr>
        <w:t xml:space="preserve"> גם מאפייני הביקוש לשירותים הם כאלה אשר מקשים על ציבור הלקוחות ל</w:t>
      </w:r>
      <w:r w:rsidR="00B357CC" w:rsidRPr="008A2243">
        <w:rPr>
          <w:rFonts w:hint="cs"/>
          <w:rtl/>
        </w:rPr>
        <w:t>הפסיק</w:t>
      </w:r>
      <w:r w:rsidR="006E0F9E" w:rsidRPr="008A2243">
        <w:rPr>
          <w:rFonts w:hint="cs"/>
          <w:rtl/>
        </w:rPr>
        <w:t xml:space="preserve"> או למצער לצמצם במידה ניכרת</w:t>
      </w:r>
      <w:r w:rsidR="00B357CC" w:rsidRPr="008A2243">
        <w:rPr>
          <w:rFonts w:hint="cs"/>
          <w:rtl/>
        </w:rPr>
        <w:t>,</w:t>
      </w:r>
      <w:r w:rsidR="006E0F9E" w:rsidRPr="008A2243">
        <w:rPr>
          <w:rFonts w:hint="cs"/>
          <w:rtl/>
        </w:rPr>
        <w:t xml:space="preserve"> את השימוש בשירותי</w:t>
      </w:r>
      <w:r w:rsidR="00B357CC" w:rsidRPr="008A2243">
        <w:rPr>
          <w:rFonts w:hint="cs"/>
          <w:rtl/>
        </w:rPr>
        <w:t xml:space="preserve"> תקשורת ניידת</w:t>
      </w:r>
      <w:r w:rsidR="006E0F9E" w:rsidRPr="008A2243">
        <w:rPr>
          <w:rFonts w:hint="cs"/>
          <w:rtl/>
        </w:rPr>
        <w:t xml:space="preserve"> בתגובה </w:t>
      </w:r>
      <w:r w:rsidR="009E4296" w:rsidRPr="008A2243">
        <w:rPr>
          <w:rFonts w:hint="cs"/>
          <w:rtl/>
        </w:rPr>
        <w:t>לעלייה במחירים</w:t>
      </w:r>
      <w:r w:rsidR="001A46E7" w:rsidRPr="008A2243">
        <w:rPr>
          <w:rFonts w:hint="cs"/>
          <w:rtl/>
        </w:rPr>
        <w:t xml:space="preserve"> או לפגיעה באיכות השירות</w:t>
      </w:r>
      <w:r w:rsidR="006E0F9E" w:rsidRPr="008A2243">
        <w:rPr>
          <w:rFonts w:hint="cs"/>
          <w:rtl/>
        </w:rPr>
        <w:t>.</w:t>
      </w:r>
      <w:r w:rsidR="00C34DAA" w:rsidRPr="008A2243">
        <w:rPr>
          <w:rFonts w:hint="cs"/>
          <w:rtl/>
        </w:rPr>
        <w:t xml:space="preserve"> </w:t>
      </w:r>
    </w:p>
    <w:p w:rsidR="00C87ADA" w:rsidRDefault="00C87ADA" w:rsidP="00E54135">
      <w:pPr>
        <w:rPr>
          <w:rFonts w:eastAsia="Calibri" w:hint="cs"/>
          <w:rtl/>
          <w:lang w:eastAsia="en-US"/>
        </w:rPr>
      </w:pPr>
      <w:r>
        <w:rPr>
          <w:rFonts w:eastAsia="Calibri" w:hint="cs"/>
          <w:rtl/>
          <w:lang w:eastAsia="en-US"/>
        </w:rPr>
        <w:lastRenderedPageBreak/>
        <w:t xml:space="preserve">ענף התקשורת הניידת מתאפיין במאפיינים שהופכים אותו למועד לתיאום. ההיסטוריה ששררה בענף עד שנת 2012, חסמי הכניסה </w:t>
      </w:r>
      <w:r w:rsidR="00E54135">
        <w:rPr>
          <w:rFonts w:eastAsia="Calibri" w:hint="cs"/>
          <w:rtl/>
          <w:lang w:eastAsia="en-US"/>
        </w:rPr>
        <w:t>הגבוהים</w:t>
      </w:r>
      <w:r w:rsidR="003D6CBD">
        <w:rPr>
          <w:rFonts w:eastAsia="Calibri" w:hint="cs"/>
          <w:rtl/>
          <w:lang w:eastAsia="en-US"/>
        </w:rPr>
        <w:t xml:space="preserve"> </w:t>
      </w:r>
      <w:r>
        <w:rPr>
          <w:rFonts w:eastAsia="Calibri" w:hint="cs"/>
          <w:rtl/>
          <w:lang w:eastAsia="en-US"/>
        </w:rPr>
        <w:t xml:space="preserve">והמאפיינים האחרים יוצרים חשש סביר כי גריעתה של גולן כמתחרה מחוללת תחרות תוביל להתייצבות שיווי משקל מתואם בענף ובפרט </w:t>
      </w:r>
      <w:r w:rsidRPr="009C6912">
        <w:rPr>
          <w:rFonts w:eastAsia="Calibri" w:hint="cs"/>
          <w:rtl/>
          <w:lang w:eastAsia="en-US"/>
        </w:rPr>
        <w:t>בשוק הרלוונטי.</w:t>
      </w:r>
    </w:p>
    <w:p w:rsidR="00C87ADA" w:rsidRPr="006C5519" w:rsidRDefault="00C87ADA" w:rsidP="006C2AC7">
      <w:pPr>
        <w:pStyle w:val="4"/>
        <w:rPr>
          <w:rFonts w:hint="cs"/>
          <w:rtl/>
        </w:rPr>
      </w:pPr>
      <w:r w:rsidRPr="006C5519">
        <w:rPr>
          <w:rFonts w:hint="cs"/>
          <w:rtl/>
        </w:rPr>
        <w:t>מעמדה של הוט מובייל</w:t>
      </w:r>
    </w:p>
    <w:p w:rsidR="00C87ADA" w:rsidRDefault="00C87ADA" w:rsidP="00A52A9D">
      <w:pPr>
        <w:rPr>
          <w:rFonts w:eastAsia="Calibri" w:hint="cs"/>
          <w:rtl/>
          <w:lang w:eastAsia="en-US"/>
        </w:rPr>
      </w:pPr>
      <w:r>
        <w:rPr>
          <w:rFonts w:eastAsia="Calibri" w:hint="cs"/>
          <w:rtl/>
          <w:lang w:eastAsia="en-US"/>
        </w:rPr>
        <w:t xml:space="preserve">גם לאחר גריעתה של גולן מהשוק תיוותר בו הוט מובייל, הפועלת כיום במסגרת הסכם לשיתוף רשתות עם פרטנר. גם הוט מובייל מחוללת תחרות ורבים מהמאפיינים שנוגעים לגולן נכונים גם לגביה. עם זאת, לא קיימת זהות בין החברות והמשך קיומה של הוט מובייל אחרי המיזוג אינו מפיג את החששות מהפעלת כוח שוק מתואם כפי שאלה עולים מהמיזוג. נעמוד על הטעמים למסקנה </w:t>
      </w:r>
      <w:r w:rsidR="00A52A9D">
        <w:rPr>
          <w:rFonts w:eastAsia="Calibri" w:hint="cs"/>
          <w:rtl/>
          <w:lang w:eastAsia="en-US"/>
        </w:rPr>
        <w:t>זאת</w:t>
      </w:r>
      <w:r>
        <w:rPr>
          <w:rFonts w:eastAsia="Calibri" w:hint="cs"/>
          <w:rtl/>
          <w:lang w:eastAsia="en-US"/>
        </w:rPr>
        <w:t xml:space="preserve">. </w:t>
      </w:r>
    </w:p>
    <w:p w:rsidR="00C87ADA" w:rsidRDefault="00C87ADA" w:rsidP="003D6CBD">
      <w:pPr>
        <w:rPr>
          <w:rFonts w:eastAsia="Calibri" w:hint="cs"/>
          <w:rtl/>
          <w:lang w:eastAsia="en-US"/>
        </w:rPr>
      </w:pPr>
      <w:r w:rsidRPr="008050D2">
        <w:rPr>
          <w:rFonts w:eastAsia="Calibri" w:hint="cs"/>
          <w:rtl/>
          <w:lang w:eastAsia="en-US"/>
        </w:rPr>
        <w:t>ראשית, הן הוט מובייל והן גולן מתאפיינות ברמת הכנסות ממנויים נמוכה ודומה. מדובר ברמת מחירים שלה פער מז</w:t>
      </w:r>
      <w:r w:rsidR="006E5692">
        <w:rPr>
          <w:rFonts w:eastAsia="Calibri" w:hint="cs"/>
          <w:rtl/>
          <w:lang w:eastAsia="en-US"/>
        </w:rPr>
        <w:t>את</w:t>
      </w:r>
      <w:r w:rsidRPr="008050D2">
        <w:rPr>
          <w:rFonts w:eastAsia="Calibri" w:hint="cs"/>
          <w:rtl/>
          <w:lang w:eastAsia="en-US"/>
        </w:rPr>
        <w:t xml:space="preserve"> של המפעילות הוותיקות </w:t>
      </w:r>
      <w:r w:rsidR="003D6CBD">
        <w:rPr>
          <w:rFonts w:eastAsia="Calibri" w:hint="cs"/>
          <w:rtl/>
          <w:lang w:eastAsia="en-US"/>
        </w:rPr>
        <w:t>ו</w:t>
      </w:r>
      <w:r w:rsidRPr="008050D2">
        <w:rPr>
          <w:rFonts w:eastAsia="Calibri" w:hint="cs"/>
          <w:rtl/>
          <w:lang w:eastAsia="en-US"/>
        </w:rPr>
        <w:t>הופכות את השתיים</w:t>
      </w:r>
      <w:r>
        <w:rPr>
          <w:rFonts w:eastAsia="Calibri" w:hint="cs"/>
          <w:rtl/>
          <w:lang w:eastAsia="en-US"/>
        </w:rPr>
        <w:t xml:space="preserve"> למתחרות קרובות הפועלות בסגמנט מחירים נמוך. </w:t>
      </w:r>
      <w:r w:rsidR="00B357CC">
        <w:rPr>
          <w:rFonts w:eastAsia="Calibri" w:hint="cs"/>
          <w:rtl/>
          <w:lang w:eastAsia="en-US"/>
        </w:rPr>
        <w:t>סביר ש</w:t>
      </w:r>
      <w:r w:rsidR="00654EAC">
        <w:rPr>
          <w:rFonts w:eastAsia="Calibri" w:hint="cs"/>
          <w:rtl/>
          <w:lang w:eastAsia="en-US"/>
        </w:rPr>
        <w:t>פעולותיהן של הוט</w:t>
      </w:r>
      <w:r w:rsidR="001A46E7">
        <w:rPr>
          <w:rFonts w:eastAsia="Calibri" w:hint="cs"/>
          <w:rtl/>
          <w:lang w:eastAsia="en-US"/>
        </w:rPr>
        <w:t xml:space="preserve"> מובייל</w:t>
      </w:r>
      <w:r w:rsidR="00654EAC">
        <w:rPr>
          <w:rFonts w:eastAsia="Calibri" w:hint="cs"/>
          <w:rtl/>
          <w:lang w:eastAsia="en-US"/>
        </w:rPr>
        <w:t xml:space="preserve"> וגולן הוזנו, </w:t>
      </w:r>
      <w:r w:rsidR="009E4296">
        <w:rPr>
          <w:rFonts w:eastAsia="Calibri" w:hint="cs"/>
          <w:rtl/>
          <w:lang w:eastAsia="en-US"/>
        </w:rPr>
        <w:t>זאת</w:t>
      </w:r>
      <w:r w:rsidR="00654EAC">
        <w:rPr>
          <w:rFonts w:eastAsia="Calibri" w:hint="cs"/>
          <w:rtl/>
          <w:lang w:eastAsia="en-US"/>
        </w:rPr>
        <w:t xml:space="preserve"> ממעשיה של </w:t>
      </w:r>
      <w:r w:rsidR="009E4296">
        <w:rPr>
          <w:rFonts w:eastAsia="Calibri" w:hint="cs"/>
          <w:rtl/>
          <w:lang w:eastAsia="en-US"/>
        </w:rPr>
        <w:t>זאת</w:t>
      </w:r>
      <w:r w:rsidR="00654EAC">
        <w:rPr>
          <w:rFonts w:eastAsia="Calibri" w:hint="cs"/>
          <w:rtl/>
          <w:lang w:eastAsia="en-US"/>
        </w:rPr>
        <w:t xml:space="preserve">, וכל אחת מהן נדרשה להגיב לפעולות שנקטה האחרת מעת לעת. </w:t>
      </w:r>
      <w:r>
        <w:rPr>
          <w:rFonts w:eastAsia="Calibri" w:hint="cs"/>
          <w:rtl/>
          <w:lang w:eastAsia="en-US"/>
        </w:rPr>
        <w:t>לכן, סביר שתמריציה של האחרונה להיוותר כ"מחוללת תחרות" לאחר יציאתה מהשוק של גולן יפחתו באופן משמעותי. במצב דברים כזה תיוותר התחרות בסגמנט המחירים הנמוכים בין הוט מובייל לבין מותגים מוזלים של המפעילות הוותיקות והמפעילות הווירטואליות. במצב דברים כזה, עוצמת התחרות שתראה הוט מובייל מולה תהא תלויה באופן כמעט בלעדי ברמת התחרות שיקבעו המפעילות הוותיקות ותמריציה שלה להמשיך ולפעול בתחרות אגרסיבית עשויים להיפגע.</w:t>
      </w:r>
    </w:p>
    <w:p w:rsidR="00C87ADA" w:rsidRDefault="00C87ADA" w:rsidP="006E5692">
      <w:pPr>
        <w:rPr>
          <w:rFonts w:eastAsia="Calibri" w:hint="cs"/>
          <w:rtl/>
          <w:lang w:eastAsia="en-US"/>
        </w:rPr>
      </w:pPr>
      <w:r>
        <w:rPr>
          <w:rFonts w:eastAsia="Calibri" w:hint="cs"/>
          <w:rtl/>
          <w:lang w:eastAsia="en-US"/>
        </w:rPr>
        <w:t xml:space="preserve">שנית, </w:t>
      </w:r>
      <w:r w:rsidR="006E5692">
        <w:rPr>
          <w:rFonts w:eastAsia="Calibri" w:hint="cs"/>
          <w:rtl/>
          <w:lang w:eastAsia="en-US"/>
        </w:rPr>
        <w:t xml:space="preserve">עמדתי </w:t>
      </w:r>
      <w:r>
        <w:rPr>
          <w:rFonts w:eastAsia="Calibri" w:hint="cs"/>
          <w:rtl/>
          <w:lang w:eastAsia="en-US"/>
        </w:rPr>
        <w:t>למעלה על משמעותו של הממשק הבין שוקי ביצירת החשש התחרותי. בין הוט מובייל לבין המפעילות הוותיקות מתקיימות נקודות ממשק רבות בתחומי פעילות אחרים והדבר עלול לסייע לייצוב שיווי משקל מתואם בענף התקשורת הניידת במקביל להשגת שיווי משקל מתואמים גם במגזרי פעילות אחרים. אישור המיזוג יוביל ליצירה של מפעילות בעלות תשתית שכולן פועלות בתחומי</w:t>
      </w:r>
      <w:r w:rsidR="006E5692">
        <w:rPr>
          <w:rFonts w:eastAsia="Calibri" w:hint="cs"/>
          <w:rtl/>
          <w:lang w:eastAsia="en-US"/>
        </w:rPr>
        <w:t>ם</w:t>
      </w:r>
      <w:r>
        <w:rPr>
          <w:rFonts w:eastAsia="Calibri" w:hint="cs"/>
          <w:rtl/>
          <w:lang w:eastAsia="en-US"/>
        </w:rPr>
        <w:t xml:space="preserve"> נוספים המקבילים לתחומי הפעילות של מתחרותיהן. במצב כזה, מתגבר החשש</w:t>
      </w:r>
      <w:r w:rsidR="006E5692">
        <w:rPr>
          <w:rFonts w:eastAsia="Calibri" w:hint="cs"/>
          <w:rtl/>
          <w:lang w:eastAsia="en-US"/>
        </w:rPr>
        <w:t>,</w:t>
      </w:r>
      <w:r>
        <w:rPr>
          <w:rFonts w:eastAsia="Calibri" w:hint="cs"/>
          <w:rtl/>
          <w:lang w:eastAsia="en-US"/>
        </w:rPr>
        <w:t xml:space="preserve"> שהמפעילות הוותיקות והוט מובייל אשר פעילה גם בתחומים אחרים ייצבו ביניהן שיווי משקל מתואם.</w:t>
      </w:r>
    </w:p>
    <w:p w:rsidR="00C87ADA" w:rsidRPr="00873C03" w:rsidRDefault="00C87ADA" w:rsidP="000D7ECF">
      <w:pPr>
        <w:pStyle w:val="2"/>
        <w:numPr>
          <w:ilvl w:val="1"/>
          <w:numId w:val="37"/>
        </w:numPr>
        <w:rPr>
          <w:rFonts w:hint="cs"/>
          <w:rtl/>
        </w:rPr>
      </w:pPr>
      <w:r w:rsidRPr="00873C03">
        <w:rPr>
          <w:rtl/>
        </w:rPr>
        <w:t>חשש מהפעלת כוח שוק חד צדדי</w:t>
      </w:r>
      <w:r w:rsidRPr="00873C03">
        <w:rPr>
          <w:rFonts w:hint="cs"/>
          <w:rtl/>
        </w:rPr>
        <w:t xml:space="preserve"> </w:t>
      </w:r>
    </w:p>
    <w:p w:rsidR="00C87ADA" w:rsidRDefault="00C87ADA" w:rsidP="00E970E9">
      <w:pPr>
        <w:rPr>
          <w:rFonts w:hint="cs"/>
          <w:rtl/>
        </w:rPr>
      </w:pPr>
      <w:r>
        <w:rPr>
          <w:rFonts w:hint="cs"/>
          <w:rtl/>
        </w:rPr>
        <w:t xml:space="preserve">חשש נוסף העולה מהמיזוג, אם כי משני בחשיבותו לחשש המתואם, הוא החשש מיצירת כוח שוק חד צדדי לחברה הממוזגת. </w:t>
      </w:r>
    </w:p>
    <w:p w:rsidR="00C87ADA" w:rsidRPr="00156F37" w:rsidRDefault="00C87ADA" w:rsidP="000862B2">
      <w:pPr>
        <w:rPr>
          <w:rFonts w:ascii="Calibri" w:hAnsi="Calibri" w:hint="cs"/>
          <w:rtl/>
        </w:rPr>
      </w:pPr>
      <w:r w:rsidRPr="00156F37">
        <w:rPr>
          <w:rFonts w:hint="cs"/>
          <w:rtl/>
        </w:rPr>
        <w:t>כפי שתואר לעיל, במיזוג דנן, מבקשת סלקום, בעלת נתח השוק הגדול ביותר, לרכוש את גולן.</w:t>
      </w:r>
      <w:r w:rsidRPr="00156F37">
        <w:rPr>
          <w:rFonts w:ascii="Calibri" w:hAnsi="Calibri" w:hint="cs"/>
          <w:rtl/>
        </w:rPr>
        <w:t xml:space="preserve"> המיזוג</w:t>
      </w:r>
      <w:r w:rsidR="009E4296">
        <w:rPr>
          <w:rFonts w:ascii="Calibri" w:hAnsi="Calibri" w:hint="cs"/>
          <w:rtl/>
        </w:rPr>
        <w:t xml:space="preserve"> </w:t>
      </w:r>
      <w:r w:rsidRPr="00156F37">
        <w:rPr>
          <w:rFonts w:ascii="Calibri" w:hAnsi="Calibri" w:hint="cs"/>
          <w:rtl/>
        </w:rPr>
        <w:t>יגדיל</w:t>
      </w:r>
      <w:r w:rsidR="006E5692" w:rsidRPr="00156F37">
        <w:rPr>
          <w:rFonts w:ascii="Calibri" w:hAnsi="Calibri" w:hint="cs"/>
          <w:rtl/>
        </w:rPr>
        <w:t xml:space="preserve">, איפוא, </w:t>
      </w:r>
      <w:r w:rsidRPr="00156F37">
        <w:rPr>
          <w:rFonts w:ascii="Calibri" w:hAnsi="Calibri" w:hint="cs"/>
          <w:rtl/>
        </w:rPr>
        <w:t xml:space="preserve">את נתח השוק של סלקום ויבסס את מעמדה כמפעילה הגדולה בשוק. </w:t>
      </w:r>
    </w:p>
    <w:p w:rsidR="00C87ADA" w:rsidRPr="00846A72" w:rsidRDefault="00C87ADA" w:rsidP="0030707F">
      <w:pPr>
        <w:rPr>
          <w:rFonts w:hint="cs"/>
          <w:rtl/>
        </w:rPr>
      </w:pPr>
      <w:r w:rsidRPr="00156F37">
        <w:rPr>
          <w:rFonts w:hint="cs"/>
          <w:rtl/>
        </w:rPr>
        <w:t>כוח שוק חד צדדי נוצר כאשר לאחר המיזוג</w:t>
      </w:r>
      <w:r>
        <w:rPr>
          <w:rFonts w:hint="cs"/>
          <w:rtl/>
        </w:rPr>
        <w:t xml:space="preserve"> גובר התמריץ של </w:t>
      </w:r>
      <w:r w:rsidRPr="00846A72">
        <w:rPr>
          <w:rFonts w:hint="cs"/>
          <w:rtl/>
        </w:rPr>
        <w:t>החברה הממוזגת להפעיל כוח שוק ללא קשר לאסטרטגיה שבה יבחרו המתחרות שלה</w:t>
      </w:r>
      <w:r>
        <w:rPr>
          <w:rFonts w:hint="cs"/>
          <w:rtl/>
        </w:rPr>
        <w:t>.</w:t>
      </w:r>
    </w:p>
    <w:p w:rsidR="00C87ADA" w:rsidRDefault="00C87ADA" w:rsidP="00665592">
      <w:pPr>
        <w:rPr>
          <w:rFonts w:hint="cs"/>
          <w:rtl/>
        </w:rPr>
      </w:pPr>
      <w:r w:rsidRPr="00846A72">
        <w:rPr>
          <w:rFonts w:hint="cs"/>
          <w:rtl/>
        </w:rPr>
        <w:t xml:space="preserve">במקרה זה בחנה </w:t>
      </w:r>
      <w:r w:rsidR="00665592">
        <w:rPr>
          <w:rFonts w:hint="cs"/>
          <w:rtl/>
        </w:rPr>
        <w:t>ה</w:t>
      </w:r>
      <w:r>
        <w:rPr>
          <w:rFonts w:hint="cs"/>
          <w:rtl/>
        </w:rPr>
        <w:t>רשות</w:t>
      </w:r>
      <w:r w:rsidRPr="004F32D9">
        <w:rPr>
          <w:rFonts w:hint="cs"/>
          <w:rtl/>
        </w:rPr>
        <w:t xml:space="preserve"> את האפשרות שהחברה הממוזגת תפעיל כוח שוק חד צדדי תוך שימוש ב</w:t>
      </w:r>
      <w:r>
        <w:rPr>
          <w:rFonts w:hint="cs"/>
          <w:rtl/>
        </w:rPr>
        <w:t xml:space="preserve">שני סוגי </w:t>
      </w:r>
      <w:r w:rsidRPr="004F32D9">
        <w:rPr>
          <w:rFonts w:hint="cs"/>
          <w:rtl/>
        </w:rPr>
        <w:t>נתונים</w:t>
      </w:r>
      <w:r>
        <w:rPr>
          <w:rFonts w:hint="cs"/>
          <w:rtl/>
        </w:rPr>
        <w:t xml:space="preserve">: נתונים </w:t>
      </w:r>
      <w:r w:rsidRPr="004F32D9">
        <w:rPr>
          <w:rFonts w:hint="cs"/>
          <w:rtl/>
        </w:rPr>
        <w:t>אודות מעבר הלקוחות בין מפעילות התקשורת הניידת (נתוני</w:t>
      </w:r>
      <w:r>
        <w:rPr>
          <w:rFonts w:hint="cs"/>
          <w:rtl/>
        </w:rPr>
        <w:t>ם בדבר</w:t>
      </w:r>
      <w:r w:rsidRPr="004F32D9">
        <w:rPr>
          <w:rFonts w:hint="cs"/>
          <w:rtl/>
        </w:rPr>
        <w:t xml:space="preserve"> </w:t>
      </w:r>
      <w:r w:rsidRPr="004F32D9">
        <w:rPr>
          <w:rFonts w:hint="cs"/>
          <w:rtl/>
        </w:rPr>
        <w:lastRenderedPageBreak/>
        <w:t>"ניוד לקוחות")</w:t>
      </w:r>
      <w:r>
        <w:rPr>
          <w:rFonts w:hint="cs"/>
          <w:rtl/>
        </w:rPr>
        <w:t>, ונתונים אודות המרווחים של סלקום ושל גולן. בדיקת הרשות העלתה</w:t>
      </w:r>
      <w:r w:rsidR="00F05E4B">
        <w:rPr>
          <w:rFonts w:hint="cs"/>
          <w:rtl/>
        </w:rPr>
        <w:t>,</w:t>
      </w:r>
      <w:r>
        <w:rPr>
          <w:rFonts w:hint="cs"/>
          <w:rtl/>
        </w:rPr>
        <w:t xml:space="preserve"> כי לאחר המיזוג ייווצר לסלקום תמריץ להעלות את המחירים שמשלמים לקוחות גולן וזאת, בין השאר, בשים לב לכך שאחוז ניכר מהלקוחות שצפויים לעזוב את גולן בעקבות העלאת המחירים יעבור לצרוך שירותים מסלקום עצמה.</w:t>
      </w:r>
    </w:p>
    <w:p w:rsidR="00C87ADA" w:rsidRPr="00846A72" w:rsidRDefault="00C87ADA" w:rsidP="003D6CBD">
      <w:pPr>
        <w:rPr>
          <w:rFonts w:hint="cs"/>
          <w:rtl/>
        </w:rPr>
      </w:pPr>
      <w:r>
        <w:rPr>
          <w:rFonts w:hint="cs"/>
          <w:rtl/>
        </w:rPr>
        <w:t>לעניין זה, הציגו בפני הצדדים תחשיב באשר לכוח השוק החד צדדי שייווצר לצדדים. לשיטתם יש לגלם במסגרת התחשיב גם את היבטי היעילות הנובעים מהמיזוג אשר מקזזים</w:t>
      </w:r>
      <w:r w:rsidR="003D6CBD">
        <w:rPr>
          <w:rFonts w:hint="cs"/>
          <w:rtl/>
        </w:rPr>
        <w:t>, לדעתם,</w:t>
      </w:r>
      <w:r>
        <w:rPr>
          <w:rFonts w:hint="cs"/>
          <w:rtl/>
        </w:rPr>
        <w:t xml:space="preserve"> את החשש התחרותי </w:t>
      </w:r>
      <w:r w:rsidR="00AB0354">
        <w:rPr>
          <w:rFonts w:hint="cs"/>
          <w:rtl/>
        </w:rPr>
        <w:t xml:space="preserve">החד צדדי </w:t>
      </w:r>
      <w:r>
        <w:rPr>
          <w:rFonts w:hint="cs"/>
          <w:rtl/>
        </w:rPr>
        <w:t>באופן כמעט מלא. אולם, אין בתיאור כוללני של היבטי היעילות לגביהם טוענים הצדדים</w:t>
      </w:r>
      <w:r w:rsidR="00AB0354">
        <w:rPr>
          <w:rFonts w:hint="cs"/>
          <w:rtl/>
        </w:rPr>
        <w:t>,</w:t>
      </w:r>
      <w:r>
        <w:rPr>
          <w:rFonts w:hint="cs"/>
          <w:rtl/>
        </w:rPr>
        <w:t xml:space="preserve"> כדי לעמוד בתנאים הנדרשים לצורך </w:t>
      </w:r>
      <w:r w:rsidR="00AB0354">
        <w:rPr>
          <w:rFonts w:hint="cs"/>
          <w:rtl/>
        </w:rPr>
        <w:t>קיזוז החשש להפעלת כח שוק חד צדדי</w:t>
      </w:r>
      <w:r>
        <w:rPr>
          <w:rFonts w:hint="cs"/>
          <w:rtl/>
        </w:rPr>
        <w:t>. על טענות בדבר יעילות להיות כאלו המבססות יעילות "משמעותית, קרובה בזמן, וכן על חלק ניכר ממנה לעבור ללקוח הסופי."</w:t>
      </w:r>
      <w:r>
        <w:rPr>
          <w:rStyle w:val="ac"/>
          <w:rFonts w:ascii="Calibri" w:hAnsi="Calibri"/>
          <w:rtl/>
        </w:rPr>
        <w:footnoteReference w:id="36"/>
      </w:r>
      <w:r>
        <w:rPr>
          <w:rFonts w:hint="cs"/>
          <w:rtl/>
        </w:rPr>
        <w:t xml:space="preserve"> </w:t>
      </w:r>
      <w:r w:rsidR="00AB0354">
        <w:rPr>
          <w:rFonts w:hint="cs"/>
          <w:rtl/>
        </w:rPr>
        <w:t>יעילות הנובעת ממיזוג</w:t>
      </w:r>
      <w:r>
        <w:rPr>
          <w:rFonts w:hint="cs"/>
          <w:rtl/>
        </w:rPr>
        <w:t xml:space="preserve"> יש להוכיח באופן שהוא בר ביסוס באמצעות שימוש במידע אובייקטיבי. בענייננו, טענות הצדדים התמצו בכך</w:t>
      </w:r>
      <w:r w:rsidR="00AB0354">
        <w:rPr>
          <w:rFonts w:hint="cs"/>
          <w:rtl/>
        </w:rPr>
        <w:t>,</w:t>
      </w:r>
      <w:r>
        <w:rPr>
          <w:rFonts w:hint="cs"/>
          <w:rtl/>
        </w:rPr>
        <w:t xml:space="preserve"> כי לטענתם אירוח גולן על רשת סלקום יוצר לסלקום תמריץ קטן יותר להתחרות מולה וכן יוצר בעיה של מרווח כפול (</w:t>
      </w:r>
      <w:r w:rsidRPr="00846A72">
        <w:rPr>
          <w:rFonts w:cs="Times New Roman"/>
        </w:rPr>
        <w:t>double marginalization</w:t>
      </w:r>
      <w:r>
        <w:rPr>
          <w:rFonts w:hint="cs"/>
          <w:rtl/>
        </w:rPr>
        <w:t>),</w:t>
      </w:r>
      <w:r>
        <w:rPr>
          <w:rStyle w:val="ac"/>
          <w:rFonts w:ascii="Calibri" w:hAnsi="Calibri"/>
          <w:rtl/>
        </w:rPr>
        <w:footnoteReference w:id="37"/>
      </w:r>
      <w:r>
        <w:rPr>
          <w:rFonts w:hint="cs"/>
          <w:rtl/>
        </w:rPr>
        <w:t xml:space="preserve"> כאשר לשיטתם ביטולם של שני אלה יביא ליעילות רבה יותר בפעילות סלקום. </w:t>
      </w:r>
      <w:r w:rsidRPr="00846A72">
        <w:rPr>
          <w:rFonts w:hint="cs"/>
          <w:rtl/>
        </w:rPr>
        <w:t xml:space="preserve">כאמור, לא </w:t>
      </w:r>
      <w:r w:rsidR="00AB0354">
        <w:rPr>
          <w:rFonts w:hint="cs"/>
          <w:rtl/>
        </w:rPr>
        <w:t>מצאתי,</w:t>
      </w:r>
      <w:r w:rsidR="00AB0354" w:rsidRPr="00846A72">
        <w:rPr>
          <w:rFonts w:hint="cs"/>
          <w:rtl/>
        </w:rPr>
        <w:t xml:space="preserve"> </w:t>
      </w:r>
      <w:r w:rsidRPr="00846A72">
        <w:rPr>
          <w:rFonts w:hint="cs"/>
          <w:rtl/>
        </w:rPr>
        <w:t>כי יש בכך כדי לבסס יעילות משמעותית וקרובה בזמן שחלק ניכר ממנה יעבור ללקוח הסופי.</w:t>
      </w:r>
    </w:p>
    <w:p w:rsidR="00C87ADA" w:rsidRPr="00386DF8" w:rsidRDefault="00C87ADA" w:rsidP="000D35B6">
      <w:pPr>
        <w:pStyle w:val="2"/>
        <w:numPr>
          <w:ilvl w:val="1"/>
          <w:numId w:val="37"/>
        </w:numPr>
        <w:rPr>
          <w:rFonts w:hint="cs"/>
          <w:rtl/>
        </w:rPr>
      </w:pPr>
      <w:r w:rsidRPr="00386DF8">
        <w:rPr>
          <w:rFonts w:hint="cs"/>
          <w:rtl/>
        </w:rPr>
        <w:t xml:space="preserve">סיכום </w:t>
      </w:r>
      <w:r>
        <w:rPr>
          <w:rFonts w:hint="cs"/>
          <w:rtl/>
        </w:rPr>
        <w:t>הניתוח</w:t>
      </w:r>
      <w:r w:rsidRPr="00386DF8">
        <w:rPr>
          <w:rFonts w:hint="cs"/>
          <w:rtl/>
        </w:rPr>
        <w:t xml:space="preserve"> הסטאטי</w:t>
      </w:r>
      <w:r>
        <w:rPr>
          <w:rFonts w:hint="cs"/>
          <w:rtl/>
        </w:rPr>
        <w:t xml:space="preserve"> </w:t>
      </w:r>
    </w:p>
    <w:p w:rsidR="00C87ADA" w:rsidRDefault="00C87ADA" w:rsidP="0030707F">
      <w:pPr>
        <w:rPr>
          <w:rFonts w:eastAsia="Calibri" w:hint="cs"/>
          <w:rtl/>
          <w:lang w:eastAsia="en-US"/>
        </w:rPr>
      </w:pPr>
      <w:r>
        <w:rPr>
          <w:rFonts w:eastAsia="Calibri" w:hint="cs"/>
          <w:rtl/>
          <w:lang w:eastAsia="en-US"/>
        </w:rPr>
        <w:t>בחינת החששות העולים מהמיזוג העלתה</w:t>
      </w:r>
      <w:r w:rsidR="00AB0354">
        <w:rPr>
          <w:rFonts w:eastAsia="Calibri" w:hint="cs"/>
          <w:rtl/>
          <w:lang w:eastAsia="en-US"/>
        </w:rPr>
        <w:t>,</w:t>
      </w:r>
      <w:r>
        <w:rPr>
          <w:rFonts w:eastAsia="Calibri" w:hint="cs"/>
          <w:rtl/>
          <w:lang w:eastAsia="en-US"/>
        </w:rPr>
        <w:t xml:space="preserve"> כי המיזוג מעורר חשש סביר להפעלת כוח שוק מתואם בין המפעילות השונות וכך עלולה להיות פגיעה משמעותית בתחרות ובציבור. חשש זה נובע ממאפייניו של השוק כשוק מועד לתיאום ומהיותה של גולן מחוללת תחרות</w:t>
      </w:r>
      <w:r w:rsidR="00AB0354">
        <w:rPr>
          <w:rFonts w:eastAsia="Calibri" w:hint="cs"/>
          <w:rtl/>
          <w:lang w:eastAsia="en-US"/>
        </w:rPr>
        <w:t>,</w:t>
      </w:r>
      <w:r>
        <w:rPr>
          <w:rFonts w:eastAsia="Calibri" w:hint="cs"/>
          <w:rtl/>
          <w:lang w:eastAsia="en-US"/>
        </w:rPr>
        <w:t xml:space="preserve"> אשר תיגרע מהשוק עקב המיזוג.</w:t>
      </w:r>
      <w:r w:rsidRPr="00DE35CB">
        <w:rPr>
          <w:rFonts w:eastAsia="Calibri" w:hint="cs"/>
          <w:rtl/>
          <w:lang w:eastAsia="en-US"/>
        </w:rPr>
        <w:t xml:space="preserve"> </w:t>
      </w:r>
      <w:r>
        <w:rPr>
          <w:rFonts w:eastAsia="Calibri" w:hint="cs"/>
          <w:rtl/>
          <w:lang w:eastAsia="en-US"/>
        </w:rPr>
        <w:t>כן העלה הניתוח</w:t>
      </w:r>
      <w:r w:rsidR="00AB0354">
        <w:rPr>
          <w:rFonts w:eastAsia="Calibri" w:hint="cs"/>
          <w:rtl/>
          <w:lang w:eastAsia="en-US"/>
        </w:rPr>
        <w:t>,</w:t>
      </w:r>
      <w:r>
        <w:rPr>
          <w:rFonts w:eastAsia="Calibri" w:hint="cs"/>
          <w:rtl/>
          <w:lang w:eastAsia="en-US"/>
        </w:rPr>
        <w:t xml:space="preserve"> כי מימוש המיזוג עלול להוביל ליצירת כוח שוק חד צדדי.</w:t>
      </w:r>
    </w:p>
    <w:p w:rsidR="00C87ADA" w:rsidRPr="00386DF8" w:rsidRDefault="00C87ADA" w:rsidP="000D35B6">
      <w:pPr>
        <w:pStyle w:val="2"/>
        <w:numPr>
          <w:ilvl w:val="1"/>
          <w:numId w:val="37"/>
        </w:numPr>
        <w:rPr>
          <w:rFonts w:hint="cs"/>
          <w:rtl/>
        </w:rPr>
      </w:pPr>
      <w:r w:rsidRPr="00386DF8">
        <w:rPr>
          <w:rFonts w:hint="cs"/>
          <w:rtl/>
        </w:rPr>
        <w:t>ניתוח ההיבטים הדינאמיים של המיזוג</w:t>
      </w:r>
    </w:p>
    <w:p w:rsidR="00C87ADA" w:rsidRDefault="00C87ADA" w:rsidP="00CD705E">
      <w:pPr>
        <w:rPr>
          <w:rFonts w:eastAsia="Calibri"/>
          <w:rtl/>
          <w:lang w:eastAsia="en-US"/>
        </w:rPr>
      </w:pPr>
      <w:r>
        <w:rPr>
          <w:rFonts w:eastAsia="Calibri" w:hint="cs"/>
          <w:rtl/>
          <w:lang w:eastAsia="en-US"/>
        </w:rPr>
        <w:t xml:space="preserve"> תכליתו של הניתוח הדינאמי היא לבדוק</w:t>
      </w:r>
      <w:r w:rsidR="00CD705E">
        <w:rPr>
          <w:rFonts w:eastAsia="Calibri" w:hint="cs"/>
          <w:rtl/>
          <w:lang w:eastAsia="en-US"/>
        </w:rPr>
        <w:t>,</w:t>
      </w:r>
      <w:r>
        <w:rPr>
          <w:rFonts w:eastAsia="Calibri" w:hint="cs"/>
          <w:rtl/>
          <w:lang w:eastAsia="en-US"/>
        </w:rPr>
        <w:t xml:space="preserve"> האם יש בכוחם של תרחישים עתידיים שיצאו אל הפועל לאחר מימוש המיזוג להפיג את החששות שהעלה הניתוח הסטטי.</w:t>
      </w:r>
      <w:r>
        <w:rPr>
          <w:rStyle w:val="ac"/>
          <w:rFonts w:ascii="Calibri" w:eastAsia="Calibri" w:hAnsi="Calibri"/>
          <w:sz w:val="24"/>
          <w:rtl/>
          <w:lang w:eastAsia="en-US"/>
        </w:rPr>
        <w:footnoteReference w:id="38"/>
      </w:r>
      <w:r>
        <w:rPr>
          <w:rFonts w:eastAsia="Calibri" w:hint="cs"/>
          <w:rtl/>
          <w:lang w:eastAsia="en-US"/>
        </w:rPr>
        <w:t xml:space="preserve"> בין תרחישים אלה ניתן לציין כניסה אפשרית של מתחרים חדשים לשוק או הרחבת פעילות מצד גורמים הפועלים בשוק עובר למיזוג בתגובה להפעלת כוח שוק.</w:t>
      </w:r>
      <w:r>
        <w:rPr>
          <w:rStyle w:val="ac"/>
          <w:rFonts w:ascii="Calibri" w:eastAsia="Calibri" w:hAnsi="Calibri"/>
          <w:sz w:val="24"/>
          <w:rtl/>
          <w:lang w:eastAsia="en-US"/>
        </w:rPr>
        <w:footnoteReference w:id="39"/>
      </w:r>
      <w:r>
        <w:rPr>
          <w:rFonts w:eastAsia="Calibri" w:hint="cs"/>
          <w:rtl/>
          <w:lang w:eastAsia="en-US"/>
        </w:rPr>
        <w:t xml:space="preserve"> כאשר עסקינן בהפגה של חשש תחרותי כתוצאה מתרחיש דינאמי הציפייה היא כי כניסה של המתחרים לשוק תעשה ב</w:t>
      </w:r>
      <w:r w:rsidR="00337062">
        <w:rPr>
          <w:rFonts w:eastAsia="Calibri" w:hint="cs"/>
          <w:rtl/>
          <w:lang w:eastAsia="en-US"/>
        </w:rPr>
        <w:t>רמת ודאות גבוהה, ב</w:t>
      </w:r>
      <w:r>
        <w:rPr>
          <w:rFonts w:eastAsia="Calibri" w:hint="cs"/>
          <w:rtl/>
          <w:lang w:eastAsia="en-US"/>
        </w:rPr>
        <w:t>פרק זמן קצר ובאופן משמעותי.</w:t>
      </w:r>
      <w:r>
        <w:rPr>
          <w:rStyle w:val="ac"/>
          <w:rFonts w:ascii="Calibri" w:eastAsia="Calibri" w:hAnsi="Calibri"/>
          <w:sz w:val="24"/>
          <w:rtl/>
          <w:lang w:eastAsia="en-US"/>
        </w:rPr>
        <w:footnoteReference w:id="40"/>
      </w:r>
      <w:r>
        <w:rPr>
          <w:rFonts w:eastAsia="Calibri" w:hint="cs"/>
          <w:rtl/>
          <w:lang w:eastAsia="en-US"/>
        </w:rPr>
        <w:t xml:space="preserve"> </w:t>
      </w:r>
    </w:p>
    <w:p w:rsidR="00C87ADA" w:rsidRDefault="00C87ADA" w:rsidP="008A61B8">
      <w:pPr>
        <w:rPr>
          <w:rFonts w:eastAsia="Calibri" w:hint="cs"/>
          <w:rtl/>
          <w:lang w:eastAsia="en-US"/>
        </w:rPr>
      </w:pPr>
      <w:r>
        <w:rPr>
          <w:rFonts w:eastAsia="Calibri" w:hint="cs"/>
          <w:rtl/>
          <w:lang w:eastAsia="en-US"/>
        </w:rPr>
        <w:lastRenderedPageBreak/>
        <w:t>בשוק פועלים שני סוגי שחקנים: הסוג הראשון</w:t>
      </w:r>
      <w:r w:rsidR="00CD705E">
        <w:rPr>
          <w:rFonts w:eastAsia="Calibri" w:hint="cs"/>
          <w:rtl/>
          <w:lang w:eastAsia="en-US"/>
        </w:rPr>
        <w:t>,</w:t>
      </w:r>
      <w:r>
        <w:rPr>
          <w:rFonts w:eastAsia="Calibri" w:hint="cs"/>
          <w:rtl/>
          <w:lang w:eastAsia="en-US"/>
        </w:rPr>
        <w:t xml:space="preserve"> הוא מפעילות בעלות תשתית שבפניהן חסמי כניסה הכרוכים בהקמה או בהשקעה של תשתית פיזית שפורטה לעיל. הסוג השני</w:t>
      </w:r>
      <w:r w:rsidR="00CD705E">
        <w:rPr>
          <w:rFonts w:eastAsia="Calibri" w:hint="cs"/>
          <w:rtl/>
          <w:lang w:eastAsia="en-US"/>
        </w:rPr>
        <w:t>,</w:t>
      </w:r>
      <w:r>
        <w:rPr>
          <w:rFonts w:eastAsia="Calibri" w:hint="cs"/>
          <w:rtl/>
          <w:lang w:eastAsia="en-US"/>
        </w:rPr>
        <w:t xml:space="preserve"> הוא מפעילות וירטואליות שחסמי הכניסה וההתרחבות הניצבים בפניהן נמוכים יותר</w:t>
      </w:r>
      <w:r w:rsidR="00CD705E">
        <w:rPr>
          <w:rFonts w:eastAsia="Calibri" w:hint="cs"/>
          <w:rtl/>
          <w:lang w:eastAsia="en-US"/>
        </w:rPr>
        <w:t>,</w:t>
      </w:r>
      <w:r>
        <w:rPr>
          <w:rFonts w:eastAsia="Calibri" w:hint="cs"/>
          <w:rtl/>
          <w:lang w:eastAsia="en-US"/>
        </w:rPr>
        <w:t xml:space="preserve"> שכן אין עליהן חובה לפרוס תשתיות פיזיות.</w:t>
      </w:r>
    </w:p>
    <w:p w:rsidR="006C5519" w:rsidRPr="006C5519" w:rsidRDefault="006C5519" w:rsidP="006C5519">
      <w:pPr>
        <w:pStyle w:val="af0"/>
        <w:keepNext/>
        <w:numPr>
          <w:ilvl w:val="2"/>
          <w:numId w:val="31"/>
        </w:numPr>
        <w:bidi/>
        <w:spacing w:before="0" w:beforeAutospacing="0" w:after="120" w:afterAutospacing="0" w:line="360" w:lineRule="auto"/>
        <w:ind w:right="-284"/>
        <w:outlineLvl w:val="5"/>
        <w:rPr>
          <w:rFonts w:eastAsia="Times New Roman" w:cs="David" w:hint="cs"/>
          <w:b/>
          <w:noProof/>
          <w:vanish/>
          <w:rtl/>
        </w:rPr>
      </w:pPr>
    </w:p>
    <w:p w:rsidR="006C5519" w:rsidRPr="006C5519" w:rsidRDefault="006C5519" w:rsidP="006C5519">
      <w:pPr>
        <w:pStyle w:val="af0"/>
        <w:keepNext/>
        <w:numPr>
          <w:ilvl w:val="2"/>
          <w:numId w:val="31"/>
        </w:numPr>
        <w:bidi/>
        <w:spacing w:before="0" w:beforeAutospacing="0" w:after="120" w:afterAutospacing="0" w:line="360" w:lineRule="auto"/>
        <w:ind w:right="-284"/>
        <w:outlineLvl w:val="5"/>
        <w:rPr>
          <w:rFonts w:eastAsia="Times New Roman" w:cs="David" w:hint="cs"/>
          <w:b/>
          <w:noProof/>
          <w:vanish/>
          <w:rtl/>
        </w:rPr>
      </w:pPr>
    </w:p>
    <w:p w:rsidR="006C5519" w:rsidRPr="006C5519" w:rsidRDefault="006C5519" w:rsidP="006C5519">
      <w:pPr>
        <w:pStyle w:val="af0"/>
        <w:keepNext/>
        <w:numPr>
          <w:ilvl w:val="2"/>
          <w:numId w:val="31"/>
        </w:numPr>
        <w:bidi/>
        <w:spacing w:before="0" w:beforeAutospacing="0" w:after="120" w:afterAutospacing="0" w:line="360" w:lineRule="auto"/>
        <w:ind w:right="-284"/>
        <w:outlineLvl w:val="5"/>
        <w:rPr>
          <w:rFonts w:eastAsia="Times New Roman" w:cs="David" w:hint="cs"/>
          <w:b/>
          <w:noProof/>
          <w:vanish/>
          <w:rtl/>
        </w:rPr>
      </w:pPr>
    </w:p>
    <w:p w:rsidR="006C5519" w:rsidRPr="006C5519" w:rsidRDefault="006C5519" w:rsidP="006C5519">
      <w:pPr>
        <w:pStyle w:val="af0"/>
        <w:keepNext/>
        <w:numPr>
          <w:ilvl w:val="2"/>
          <w:numId w:val="31"/>
        </w:numPr>
        <w:bidi/>
        <w:spacing w:before="0" w:beforeAutospacing="0" w:after="120" w:afterAutospacing="0" w:line="360" w:lineRule="auto"/>
        <w:ind w:right="-284"/>
        <w:outlineLvl w:val="5"/>
        <w:rPr>
          <w:rFonts w:eastAsia="Times New Roman" w:cs="David" w:hint="cs"/>
          <w:b/>
          <w:noProof/>
          <w:vanish/>
          <w:rtl/>
        </w:rPr>
      </w:pPr>
    </w:p>
    <w:p w:rsidR="006C2AC7" w:rsidRPr="006C2AC7" w:rsidRDefault="006C2AC7" w:rsidP="006C2AC7">
      <w:pPr>
        <w:pStyle w:val="af0"/>
        <w:keepNext/>
        <w:numPr>
          <w:ilvl w:val="1"/>
          <w:numId w:val="32"/>
        </w:numPr>
        <w:bidi/>
        <w:spacing w:before="0" w:beforeAutospacing="0" w:after="120" w:afterAutospacing="0" w:line="360" w:lineRule="auto"/>
        <w:ind w:right="-284"/>
        <w:outlineLvl w:val="3"/>
        <w:rPr>
          <w:rFonts w:eastAsia="Times New Roman" w:cs="David" w:hint="cs"/>
          <w:b/>
          <w:noProof/>
          <w:vanish/>
          <w:sz w:val="26"/>
          <w:szCs w:val="26"/>
          <w:rtl/>
        </w:rPr>
      </w:pPr>
    </w:p>
    <w:p w:rsidR="006C2AC7" w:rsidRPr="006C2AC7" w:rsidRDefault="006C2AC7" w:rsidP="006C2AC7">
      <w:pPr>
        <w:pStyle w:val="af0"/>
        <w:keepNext/>
        <w:numPr>
          <w:ilvl w:val="1"/>
          <w:numId w:val="32"/>
        </w:numPr>
        <w:bidi/>
        <w:spacing w:before="0" w:beforeAutospacing="0" w:after="120" w:afterAutospacing="0" w:line="360" w:lineRule="auto"/>
        <w:ind w:right="-284"/>
        <w:outlineLvl w:val="3"/>
        <w:rPr>
          <w:rFonts w:eastAsia="Times New Roman" w:cs="David" w:hint="cs"/>
          <w:b/>
          <w:noProof/>
          <w:vanish/>
          <w:sz w:val="26"/>
          <w:szCs w:val="26"/>
          <w:rtl/>
        </w:rPr>
      </w:pPr>
    </w:p>
    <w:p w:rsidR="006C2AC7" w:rsidRPr="006C2AC7" w:rsidRDefault="006C2AC7" w:rsidP="006C2AC7">
      <w:pPr>
        <w:pStyle w:val="af0"/>
        <w:keepNext/>
        <w:numPr>
          <w:ilvl w:val="1"/>
          <w:numId w:val="32"/>
        </w:numPr>
        <w:bidi/>
        <w:spacing w:before="0" w:beforeAutospacing="0" w:after="120" w:afterAutospacing="0" w:line="360" w:lineRule="auto"/>
        <w:ind w:right="-284"/>
        <w:outlineLvl w:val="3"/>
        <w:rPr>
          <w:rFonts w:eastAsia="Times New Roman" w:cs="David" w:hint="cs"/>
          <w:b/>
          <w:noProof/>
          <w:vanish/>
          <w:sz w:val="26"/>
          <w:szCs w:val="26"/>
          <w:rtl/>
        </w:rPr>
      </w:pPr>
    </w:p>
    <w:p w:rsidR="00C87ADA" w:rsidRPr="00386DF8" w:rsidRDefault="00C87ADA" w:rsidP="006C2AC7">
      <w:pPr>
        <w:pStyle w:val="4"/>
        <w:rPr>
          <w:rFonts w:hint="cs"/>
          <w:rtl/>
        </w:rPr>
      </w:pPr>
      <w:r w:rsidRPr="008A61B8">
        <w:rPr>
          <w:rFonts w:hint="cs"/>
          <w:rtl/>
        </w:rPr>
        <w:t>הפגה</w:t>
      </w:r>
      <w:r>
        <w:rPr>
          <w:rFonts w:hint="cs"/>
          <w:rtl/>
        </w:rPr>
        <w:t xml:space="preserve"> של החששות התחרותיים על ידי </w:t>
      </w:r>
      <w:r w:rsidRPr="00FD2304">
        <w:rPr>
          <w:rFonts w:hint="cs"/>
          <w:rtl/>
        </w:rPr>
        <w:t>מפעילות וירטואליות</w:t>
      </w:r>
      <w:r>
        <w:rPr>
          <w:rFonts w:hint="cs"/>
          <w:rtl/>
        </w:rPr>
        <w:t xml:space="preserve"> אינה סבירה</w:t>
      </w:r>
    </w:p>
    <w:p w:rsidR="00C87ADA" w:rsidRDefault="00C87ADA" w:rsidP="00CD705E">
      <w:pPr>
        <w:rPr>
          <w:rFonts w:eastAsia="Calibri" w:hint="cs"/>
          <w:rtl/>
          <w:lang w:eastAsia="en-US"/>
        </w:rPr>
      </w:pPr>
      <w:r>
        <w:rPr>
          <w:rFonts w:eastAsia="Calibri" w:hint="cs"/>
          <w:rtl/>
          <w:lang w:eastAsia="en-US"/>
        </w:rPr>
        <w:t>מפעילות וירטואליות אינן נדרשות, כאמור, לפרוס תשתיות אולם גם בפניהן ניצבים חסמי כניסה מסוימים. למרות שחסמי הכניסה בפני המפעילות הווירטואליות נמוכים מאלה הניצבים בפני מפעילות בעלות תשתית, הסתברות חדירתן או התרחבותן בשוק אינה כזו שיש בה בכדי לרסן את הפגיעה</w:t>
      </w:r>
      <w:r w:rsidR="00EB4A7B">
        <w:rPr>
          <w:rFonts w:eastAsia="Calibri" w:hint="cs"/>
          <w:rtl/>
          <w:lang w:eastAsia="en-US"/>
        </w:rPr>
        <w:t>,</w:t>
      </w:r>
      <w:r>
        <w:rPr>
          <w:rFonts w:eastAsia="Calibri" w:hint="cs"/>
          <w:rtl/>
          <w:lang w:eastAsia="en-US"/>
        </w:rPr>
        <w:t xml:space="preserve"> שסביר כי תיגרם כתוצאה מהמיזוג וזאת למרות שהחסמים הניצבים בפני מפעילות וירטואליות נמוכים יחסית. </w:t>
      </w:r>
    </w:p>
    <w:p w:rsidR="00C87ADA" w:rsidRDefault="00C87ADA" w:rsidP="003D6CBD">
      <w:pPr>
        <w:rPr>
          <w:rFonts w:eastAsia="Calibri"/>
          <w:rtl/>
          <w:lang w:eastAsia="en-US"/>
        </w:rPr>
      </w:pPr>
      <w:r>
        <w:rPr>
          <w:rFonts w:eastAsia="Calibri" w:hint="cs"/>
          <w:rtl/>
          <w:lang w:eastAsia="en-US"/>
        </w:rPr>
        <w:t xml:space="preserve">כושרן התחרותי של מפעילות וירטואליות הוא מוגבל, שכן מפעילות </w:t>
      </w:r>
      <w:r w:rsidR="003D6CBD">
        <w:rPr>
          <w:rFonts w:eastAsia="Calibri" w:hint="cs"/>
          <w:rtl/>
          <w:lang w:eastAsia="en-US"/>
        </w:rPr>
        <w:t xml:space="preserve">אלו </w:t>
      </w:r>
      <w:r>
        <w:rPr>
          <w:rFonts w:eastAsia="Calibri" w:hint="cs"/>
          <w:rtl/>
          <w:lang w:eastAsia="en-US"/>
        </w:rPr>
        <w:t xml:space="preserve">תלויות במפעילה בעלת התשתית שברשתה הן מתארחות, תלות </w:t>
      </w:r>
      <w:r w:rsidR="00CD705E">
        <w:rPr>
          <w:rFonts w:eastAsia="Calibri" w:hint="cs"/>
          <w:rtl/>
          <w:lang w:eastAsia="en-US"/>
        </w:rPr>
        <w:t xml:space="preserve">זאת </w:t>
      </w:r>
      <w:r>
        <w:rPr>
          <w:rFonts w:eastAsia="Calibri" w:hint="cs"/>
          <w:rtl/>
          <w:lang w:eastAsia="en-US"/>
        </w:rPr>
        <w:t>מתבטאת הן בהיבט המחיר והן בהיבט האיכות.</w:t>
      </w:r>
    </w:p>
    <w:p w:rsidR="00C87ADA" w:rsidRDefault="00C87ADA" w:rsidP="003D6CBD">
      <w:pPr>
        <w:rPr>
          <w:rFonts w:eastAsia="Calibri" w:hint="cs"/>
          <w:rtl/>
          <w:lang w:eastAsia="en-US"/>
        </w:rPr>
      </w:pPr>
      <w:r>
        <w:rPr>
          <w:rFonts w:eastAsia="Calibri" w:hint="cs"/>
          <w:rtl/>
          <w:lang w:eastAsia="en-US"/>
        </w:rPr>
        <w:t>מבחינת המחיר, הואיל ומפעילה וירטואלית רוכשת שירותים מהמפעילה בעלת התשתית במחיר שנקבע ביניהן בהסכם, הרי שיכולתה להציע מחירים נמוכים תלויה במחיר שבו היא קונה את השירות מבעלת התשתית</w:t>
      </w:r>
      <w:r w:rsidR="00C34DAA">
        <w:rPr>
          <w:rFonts w:eastAsia="Calibri" w:hint="cs"/>
          <w:rtl/>
          <w:lang w:eastAsia="en-US"/>
        </w:rPr>
        <w:t xml:space="preserve"> אשר נקבע, בדרך כלל, בהתאם לשימוש שייעשה בפועל</w:t>
      </w:r>
      <w:r>
        <w:rPr>
          <w:rFonts w:eastAsia="Calibri" w:hint="cs"/>
          <w:rtl/>
          <w:lang w:eastAsia="en-US"/>
        </w:rPr>
        <w:t xml:space="preserve">. </w:t>
      </w:r>
      <w:r w:rsidR="007D5D05">
        <w:rPr>
          <w:rFonts w:eastAsia="Calibri" w:hint="cs"/>
          <w:rtl/>
          <w:lang w:eastAsia="en-US"/>
        </w:rPr>
        <w:t>לפיכך,</w:t>
      </w:r>
      <w:r>
        <w:rPr>
          <w:rFonts w:eastAsia="Calibri" w:hint="cs"/>
          <w:rtl/>
          <w:lang w:eastAsia="en-US"/>
        </w:rPr>
        <w:t xml:space="preserve"> אין זה סביר כי בהתממש החשש מיצירת שיווי משקל מתואם בין המפעילות, יופר אותו שיווי משקל באמצעות מפעילה וירטואלית שתזכה למחירים אטרקטיביים ממפעילה בעלת תשתית הנהנית מקיומו של שיווי המשקל.</w:t>
      </w:r>
      <w:r w:rsidR="00654EAC">
        <w:rPr>
          <w:rFonts w:eastAsia="Calibri" w:hint="cs"/>
          <w:rtl/>
          <w:lang w:eastAsia="en-US"/>
        </w:rPr>
        <w:t xml:space="preserve"> נוכח הדינאמיות של ענף </w:t>
      </w:r>
      <w:r w:rsidR="00125B7F">
        <w:rPr>
          <w:rFonts w:eastAsia="Calibri" w:hint="cs"/>
          <w:rtl/>
          <w:lang w:eastAsia="en-US"/>
        </w:rPr>
        <w:t>התקשורת</w:t>
      </w:r>
      <w:r w:rsidR="00654EAC">
        <w:rPr>
          <w:rFonts w:eastAsia="Calibri" w:hint="cs"/>
          <w:rtl/>
          <w:lang w:eastAsia="en-US"/>
        </w:rPr>
        <w:t xml:space="preserve"> הניידת, אף קשה להעריך</w:t>
      </w:r>
      <w:r w:rsidR="00EB4A7B">
        <w:rPr>
          <w:rFonts w:eastAsia="Calibri" w:hint="cs"/>
          <w:rtl/>
          <w:lang w:eastAsia="en-US"/>
        </w:rPr>
        <w:t>,</w:t>
      </w:r>
      <w:r w:rsidR="00654EAC">
        <w:rPr>
          <w:rFonts w:eastAsia="Calibri" w:hint="cs"/>
          <w:rtl/>
          <w:lang w:eastAsia="en-US"/>
        </w:rPr>
        <w:t xml:space="preserve"> האם </w:t>
      </w:r>
      <w:r w:rsidR="009478C3">
        <w:rPr>
          <w:rFonts w:eastAsia="Calibri" w:hint="cs"/>
          <w:rtl/>
          <w:lang w:eastAsia="en-US"/>
        </w:rPr>
        <w:t xml:space="preserve">יהיה בכוחו של </w:t>
      </w:r>
      <w:r w:rsidR="00654EAC">
        <w:rPr>
          <w:rFonts w:eastAsia="Calibri" w:hint="cs"/>
          <w:rtl/>
          <w:lang w:eastAsia="en-US"/>
        </w:rPr>
        <w:t xml:space="preserve">הסכם </w:t>
      </w:r>
      <w:r w:rsidR="009478C3">
        <w:rPr>
          <w:rFonts w:eastAsia="Calibri" w:hint="cs"/>
          <w:rtl/>
          <w:lang w:eastAsia="en-US"/>
        </w:rPr>
        <w:t xml:space="preserve">אירוח </w:t>
      </w:r>
      <w:r w:rsidR="00654EAC">
        <w:rPr>
          <w:rFonts w:eastAsia="Calibri" w:hint="cs"/>
          <w:rtl/>
          <w:lang w:eastAsia="en-US"/>
        </w:rPr>
        <w:t xml:space="preserve">שנחתם בנקודת הזמן הנוכחית </w:t>
      </w:r>
      <w:r w:rsidR="009478C3">
        <w:rPr>
          <w:rFonts w:eastAsia="Calibri" w:hint="cs"/>
          <w:rtl/>
          <w:lang w:eastAsia="en-US"/>
        </w:rPr>
        <w:t>כדי</w:t>
      </w:r>
      <w:r w:rsidR="00654EAC">
        <w:rPr>
          <w:rFonts w:eastAsia="Calibri" w:hint="cs"/>
          <w:rtl/>
          <w:lang w:eastAsia="en-US"/>
        </w:rPr>
        <w:t xml:space="preserve"> ל</w:t>
      </w:r>
      <w:r w:rsidR="00B357CC">
        <w:rPr>
          <w:rFonts w:eastAsia="Calibri" w:hint="cs"/>
          <w:rtl/>
          <w:lang w:eastAsia="en-US"/>
        </w:rPr>
        <w:t>אפשר למפעילה וירטואלית ל</w:t>
      </w:r>
      <w:r w:rsidR="00654EAC">
        <w:rPr>
          <w:rFonts w:eastAsia="Calibri" w:hint="cs"/>
          <w:rtl/>
          <w:lang w:eastAsia="en-US"/>
        </w:rPr>
        <w:t>חולל תחרות בעתיד</w:t>
      </w:r>
      <w:r w:rsidR="009478C3">
        <w:rPr>
          <w:rFonts w:eastAsia="Calibri" w:hint="cs"/>
          <w:rtl/>
          <w:lang w:eastAsia="en-US"/>
        </w:rPr>
        <w:t>.</w:t>
      </w:r>
      <w:r w:rsidR="003D6CBD">
        <w:rPr>
          <w:rFonts w:eastAsia="Calibri" w:hint="cs"/>
          <w:rtl/>
          <w:lang w:eastAsia="en-US"/>
        </w:rPr>
        <w:t xml:space="preserve"> </w:t>
      </w:r>
      <w:r w:rsidR="0096227C">
        <w:rPr>
          <w:rFonts w:eastAsia="Calibri" w:hint="cs"/>
          <w:rtl/>
          <w:lang w:eastAsia="en-US"/>
        </w:rPr>
        <w:t>במצב כזה תלויה המפעילה, למעשה, בהסכמתן של המפעילות בעלות התשתית על מנת לשנות את תנאי ההסכם ולעמוד בדרישות השוק המשתנות.</w:t>
      </w:r>
    </w:p>
    <w:p w:rsidR="00C87ADA" w:rsidRDefault="00C87ADA" w:rsidP="00696E07">
      <w:pPr>
        <w:rPr>
          <w:rFonts w:eastAsia="Calibri" w:hint="cs"/>
          <w:rtl/>
          <w:lang w:eastAsia="en-US"/>
        </w:rPr>
      </w:pPr>
      <w:r>
        <w:rPr>
          <w:rFonts w:eastAsia="Calibri" w:hint="cs"/>
          <w:rtl/>
          <w:lang w:eastAsia="en-US"/>
        </w:rPr>
        <w:t>מבחינת איכות השירות, מפעילה וירטואלית משווקת למעשה שירות על גבי רשת של מפעילה בעלת תשתית. איכות השירות נקבעת כמעט לחלוטין על ידי המפעילה בעלת התשתית, ולמפעילה הווירטואלית אין כמעט השפעה. כך, למשל, החלטה בדבר שדרוג הרשת מתקבלת על ידי המפעילה בעלת התשתית בלבד. כמו כן, אין למפעילה הווירטואלית יכולת ליצור איום תחרותי על המפעילה הוותיקה בה</w:t>
      </w:r>
      <w:r w:rsidR="00C34DAA">
        <w:rPr>
          <w:rFonts w:eastAsia="Calibri" w:hint="cs"/>
          <w:rtl/>
          <w:lang w:eastAsia="en-US"/>
        </w:rPr>
        <w:t>י</w:t>
      </w:r>
      <w:r>
        <w:rPr>
          <w:rFonts w:eastAsia="Calibri" w:hint="cs"/>
          <w:rtl/>
          <w:lang w:eastAsia="en-US"/>
        </w:rPr>
        <w:t xml:space="preserve">בט של איכות השירות ולפיכך יכולתה של מפעילה וירטואלית להפיג חששות בדבר פגיעה באיכות השירות היא נמוכה ביותר. </w:t>
      </w:r>
    </w:p>
    <w:p w:rsidR="00C87ADA" w:rsidRDefault="00C87ADA" w:rsidP="002E6180">
      <w:pPr>
        <w:rPr>
          <w:rFonts w:eastAsia="Calibri" w:hint="cs"/>
          <w:rtl/>
          <w:lang w:eastAsia="en-US"/>
        </w:rPr>
      </w:pPr>
      <w:r>
        <w:rPr>
          <w:rFonts w:eastAsia="Calibri" w:hint="cs"/>
          <w:rtl/>
          <w:lang w:eastAsia="en-US"/>
        </w:rPr>
        <w:t>לבסוף, הנ</w:t>
      </w:r>
      <w:r w:rsidR="007D5D05">
        <w:rPr>
          <w:rFonts w:eastAsia="Calibri" w:hint="cs"/>
          <w:rtl/>
          <w:lang w:eastAsia="en-US"/>
        </w:rPr>
        <w:t>י</w:t>
      </w:r>
      <w:r>
        <w:rPr>
          <w:rFonts w:eastAsia="Calibri" w:hint="cs"/>
          <w:rtl/>
          <w:lang w:eastAsia="en-US"/>
        </w:rPr>
        <w:t xml:space="preserve">סיון </w:t>
      </w:r>
      <w:r w:rsidR="007D5D05">
        <w:rPr>
          <w:rFonts w:eastAsia="Calibri" w:hint="cs"/>
          <w:rtl/>
          <w:lang w:eastAsia="en-US"/>
        </w:rPr>
        <w:t>הנצבר בחדירה</w:t>
      </w:r>
      <w:r>
        <w:rPr>
          <w:rFonts w:eastAsia="Calibri" w:hint="cs"/>
          <w:rtl/>
          <w:lang w:eastAsia="en-US"/>
        </w:rPr>
        <w:t xml:space="preserve"> של מפעילות ווירטואליות בישראל הוא לכל היותר מעורב. מספר גדול של מפעילות שקיבלו רישיון מהמשרד לפעול כמפעילות ווירטואליות כלל לא צלחו את שלב החדירה הראשונית לשוק או ויתרו מלכתחילה על הניסיון להיכנס לשוק. שתיים מתוך המפעילות המעטות שהחלו לפעול</w:t>
      </w:r>
      <w:r w:rsidR="007D5D05">
        <w:rPr>
          <w:rFonts w:eastAsia="Calibri" w:hint="cs"/>
          <w:rtl/>
          <w:lang w:eastAsia="en-US"/>
        </w:rPr>
        <w:t>,</w:t>
      </w:r>
      <w:r>
        <w:rPr>
          <w:rFonts w:eastAsia="Calibri" w:hint="cs"/>
          <w:rtl/>
          <w:lang w:eastAsia="en-US"/>
        </w:rPr>
        <w:t xml:space="preserve"> והחזיקו בנתחי שוק קטנים ביותר</w:t>
      </w:r>
      <w:r w:rsidR="007D5D05">
        <w:rPr>
          <w:rFonts w:eastAsia="Calibri" w:hint="cs"/>
          <w:rtl/>
          <w:lang w:eastAsia="en-US"/>
        </w:rPr>
        <w:t>,</w:t>
      </w:r>
      <w:r>
        <w:rPr>
          <w:rFonts w:eastAsia="Calibri" w:hint="cs"/>
          <w:rtl/>
          <w:lang w:eastAsia="en-US"/>
        </w:rPr>
        <w:t xml:space="preserve"> נרכשו כעבור שנים בודדות על ידי שתי מפעילות ותיקות ונתחי השוק של אלו שעודן פועלות הם מזעריים. </w:t>
      </w:r>
      <w:r w:rsidR="009478C3" w:rsidRPr="006E0F9E">
        <w:rPr>
          <w:rFonts w:eastAsia="Calibri" w:hint="cs"/>
          <w:rtl/>
          <w:lang w:eastAsia="en-US"/>
        </w:rPr>
        <w:t xml:space="preserve">הצלחה </w:t>
      </w:r>
      <w:r w:rsidR="009478C3" w:rsidRPr="000862B2">
        <w:rPr>
          <w:rFonts w:eastAsia="Calibri" w:hint="cs"/>
          <w:rtl/>
          <w:lang w:eastAsia="en-US"/>
        </w:rPr>
        <w:t>דלה</w:t>
      </w:r>
      <w:r w:rsidR="009478C3" w:rsidRPr="006E0F9E">
        <w:rPr>
          <w:rFonts w:eastAsia="Calibri" w:hint="cs"/>
          <w:rtl/>
          <w:lang w:eastAsia="en-US"/>
        </w:rPr>
        <w:t xml:space="preserve"> </w:t>
      </w:r>
      <w:r w:rsidR="002E6180">
        <w:rPr>
          <w:rFonts w:eastAsia="Calibri" w:hint="cs"/>
          <w:rtl/>
          <w:lang w:eastAsia="en-US"/>
        </w:rPr>
        <w:t>זאת</w:t>
      </w:r>
      <w:r w:rsidR="009478C3" w:rsidRPr="006E0F9E">
        <w:rPr>
          <w:rFonts w:eastAsia="Calibri" w:hint="cs"/>
          <w:rtl/>
          <w:lang w:eastAsia="en-US"/>
        </w:rPr>
        <w:t xml:space="preserve"> היא לא מנת חלקה הבלעדית ש</w:t>
      </w:r>
      <w:r w:rsidR="006E0F9E" w:rsidRPr="000862B2">
        <w:rPr>
          <w:rFonts w:eastAsia="Calibri" w:hint="cs"/>
          <w:rtl/>
          <w:lang w:eastAsia="en-US"/>
        </w:rPr>
        <w:t xml:space="preserve">ל </w:t>
      </w:r>
      <w:r w:rsidR="009478C3" w:rsidRPr="006E0F9E">
        <w:rPr>
          <w:rFonts w:eastAsia="Calibri" w:hint="cs"/>
          <w:rtl/>
          <w:lang w:eastAsia="en-US"/>
        </w:rPr>
        <w:t>ישראל</w:t>
      </w:r>
      <w:r w:rsidR="002E6180">
        <w:rPr>
          <w:rFonts w:eastAsia="Calibri" w:hint="cs"/>
          <w:rtl/>
          <w:lang w:eastAsia="en-US"/>
        </w:rPr>
        <w:t>,</w:t>
      </w:r>
      <w:r w:rsidR="009478C3" w:rsidRPr="006E0F9E">
        <w:rPr>
          <w:rFonts w:eastAsia="Calibri" w:hint="cs"/>
          <w:rtl/>
          <w:lang w:eastAsia="en-US"/>
        </w:rPr>
        <w:t xml:space="preserve"> שכן גם במדינות אחרות בעולם לא תופסות מפעילות וירטואליות נתחי שוק משמעותיים.</w:t>
      </w:r>
    </w:p>
    <w:p w:rsidR="00C87ADA" w:rsidRDefault="00C87ADA" w:rsidP="00413544">
      <w:pPr>
        <w:rPr>
          <w:rFonts w:eastAsia="Calibri" w:hint="cs"/>
          <w:rtl/>
          <w:lang w:eastAsia="en-US"/>
        </w:rPr>
      </w:pPr>
      <w:r>
        <w:rPr>
          <w:rFonts w:eastAsia="Calibri" w:hint="cs"/>
          <w:rtl/>
          <w:lang w:eastAsia="en-US"/>
        </w:rPr>
        <w:lastRenderedPageBreak/>
        <w:t>אינני מוצאת לקבל את הטענה כי חדירתה המוצלחת לשוק של גולן</w:t>
      </w:r>
      <w:r w:rsidR="007D5D05">
        <w:rPr>
          <w:rFonts w:eastAsia="Calibri" w:hint="cs"/>
          <w:rtl/>
          <w:lang w:eastAsia="en-US"/>
        </w:rPr>
        <w:t>,</w:t>
      </w:r>
      <w:r>
        <w:rPr>
          <w:rFonts w:eastAsia="Calibri" w:hint="cs"/>
          <w:rtl/>
          <w:lang w:eastAsia="en-US"/>
        </w:rPr>
        <w:t xml:space="preserve"> </w:t>
      </w:r>
      <w:r w:rsidR="007D5D05">
        <w:rPr>
          <w:rFonts w:eastAsia="Calibri" w:hint="cs"/>
          <w:rtl/>
          <w:lang w:eastAsia="en-US"/>
        </w:rPr>
        <w:t>אשר נסמכת כיום בעיקר על הרשת של סלקום כמארחת</w:t>
      </w:r>
      <w:r>
        <w:rPr>
          <w:rFonts w:eastAsia="Calibri" w:hint="cs"/>
          <w:rtl/>
          <w:lang w:eastAsia="en-US"/>
        </w:rPr>
        <w:t xml:space="preserve">, היא שקולה לכניסה של מפעילה ווירטואלית ומעידה על פוטנציאל ההצלחה של מודל פעילות זה. גולן חדרה לשוק על בסיס מעטפת רגולטורית שונה </w:t>
      </w:r>
      <w:r w:rsidR="007D5D05">
        <w:rPr>
          <w:rFonts w:eastAsia="Calibri" w:hint="cs"/>
          <w:rtl/>
          <w:lang w:eastAsia="en-US"/>
        </w:rPr>
        <w:t xml:space="preserve">מזאת </w:t>
      </w:r>
      <w:r>
        <w:rPr>
          <w:rFonts w:eastAsia="Calibri" w:hint="cs"/>
          <w:rtl/>
          <w:lang w:eastAsia="en-US"/>
        </w:rPr>
        <w:t>של המפעילות הווירטואליות</w:t>
      </w:r>
      <w:r>
        <w:rPr>
          <w:rStyle w:val="ac"/>
          <w:rFonts w:ascii="Calibri" w:eastAsia="Calibri" w:hAnsi="Calibri"/>
          <w:sz w:val="24"/>
          <w:rtl/>
          <w:lang w:eastAsia="en-US"/>
        </w:rPr>
        <w:footnoteReference w:id="41"/>
      </w:r>
      <w:r>
        <w:rPr>
          <w:rFonts w:eastAsia="Calibri" w:hint="cs"/>
          <w:rtl/>
          <w:lang w:eastAsia="en-US"/>
        </w:rPr>
        <w:t xml:space="preserve"> </w:t>
      </w:r>
      <w:r w:rsidR="002E6180">
        <w:rPr>
          <w:rFonts w:eastAsia="Calibri" w:hint="cs"/>
          <w:rtl/>
          <w:lang w:eastAsia="en-US"/>
        </w:rPr>
        <w:t xml:space="preserve">הנובעת </w:t>
      </w:r>
      <w:r>
        <w:rPr>
          <w:rFonts w:eastAsia="Calibri" w:hint="cs"/>
          <w:rtl/>
          <w:lang w:eastAsia="en-US"/>
        </w:rPr>
        <w:t>מן העובדה שגולן יועדה להיות מפעילה בעלת תשתית</w:t>
      </w:r>
      <w:r w:rsidR="000862B2">
        <w:rPr>
          <w:rFonts w:eastAsia="Calibri" w:hint="cs"/>
          <w:rtl/>
          <w:lang w:eastAsia="en-US"/>
        </w:rPr>
        <w:t xml:space="preserve"> </w:t>
      </w:r>
      <w:r w:rsidR="000862B2" w:rsidRPr="003D6CBD">
        <w:rPr>
          <w:rFonts w:eastAsia="Calibri" w:hint="cs"/>
          <w:rtl/>
          <w:lang w:eastAsia="en-US"/>
        </w:rPr>
        <w:t>והפכה את המחוייבות שלה להצלחת החדירה לגבוהה יותר מזו של מפעילות וירטואליות</w:t>
      </w:r>
      <w:r>
        <w:rPr>
          <w:rFonts w:eastAsia="Calibri" w:hint="cs"/>
          <w:rtl/>
          <w:lang w:eastAsia="en-US"/>
        </w:rPr>
        <w:t>.</w:t>
      </w:r>
      <w:r w:rsidR="003674B0">
        <w:rPr>
          <w:rFonts w:eastAsia="Calibri" w:hint="cs"/>
          <w:rtl/>
          <w:lang w:eastAsia="en-US"/>
        </w:rPr>
        <w:t xml:space="preserve"> בנוסף, לגולן היה תמריץ כלכלי לחדור לשוק, שכן בהתאם למכרז הדור השלישי הובטח לה, כי אם תעמוד ביעד גיוס לקוחות יוחזרו לה הערבויות מאת משרד התקשורת. משרד התקשורת אינו מבטיח תמריץ דומה למפעילות וירטאוליות.</w:t>
      </w:r>
      <w:r>
        <w:rPr>
          <w:rFonts w:eastAsia="Calibri" w:hint="cs"/>
          <w:rtl/>
          <w:lang w:eastAsia="en-US"/>
        </w:rPr>
        <w:t xml:space="preserve"> </w:t>
      </w:r>
      <w:r w:rsidR="002E6180">
        <w:rPr>
          <w:rFonts w:eastAsia="Calibri" w:hint="cs"/>
          <w:rtl/>
          <w:lang w:eastAsia="en-US"/>
        </w:rPr>
        <w:t xml:space="preserve">כתוצאה </w:t>
      </w:r>
      <w:r>
        <w:rPr>
          <w:rFonts w:eastAsia="Calibri" w:hint="cs"/>
          <w:rtl/>
          <w:lang w:eastAsia="en-US"/>
        </w:rPr>
        <w:t xml:space="preserve">מכך, אחזה גולן בעמדת מיקוח שונה מול המפעילות הוותיקות שאיפשרה לה לחדור לשוק באופן אפקטיבי. </w:t>
      </w:r>
    </w:p>
    <w:p w:rsidR="00C87ADA" w:rsidRPr="00FD2304" w:rsidRDefault="00C87ADA" w:rsidP="00997A64">
      <w:pPr>
        <w:rPr>
          <w:rFonts w:eastAsia="Calibri" w:hint="cs"/>
          <w:rtl/>
          <w:lang w:eastAsia="en-US"/>
        </w:rPr>
      </w:pPr>
      <w:r>
        <w:rPr>
          <w:rFonts w:eastAsia="Calibri" w:hint="cs"/>
          <w:rtl/>
          <w:lang w:eastAsia="en-US"/>
        </w:rPr>
        <w:t>גם בחינה של גולן בנקודת הזמן הנוכחית כאשר לרשותה צבר לקוחות גדול פי כמה וכמה מצבר הלקוחות של כל המפעילות הווירטואליות גם יחד מעמיד אותה בעמדה תחרותית המאפשרת לה להוסיף ולחולל תחרות בשוק.</w:t>
      </w:r>
      <w:r w:rsidR="004B7938">
        <w:rPr>
          <w:rFonts w:eastAsia="Calibri" w:hint="cs"/>
          <w:rtl/>
          <w:lang w:eastAsia="en-US"/>
        </w:rPr>
        <w:t xml:space="preserve"> אפילו אם בחלוף הזמן</w:t>
      </w:r>
      <w:r w:rsidR="009478C3">
        <w:rPr>
          <w:rFonts w:eastAsia="Calibri" w:hint="cs"/>
          <w:rtl/>
          <w:lang w:eastAsia="en-US"/>
        </w:rPr>
        <w:t xml:space="preserve"> לא התממשו הציפיות כי גולן תקים רשת בפריסה נרחבת שעל גביה ניתנים שירותי התקשורת שלה</w:t>
      </w:r>
      <w:r w:rsidR="004B7938">
        <w:rPr>
          <w:rFonts w:eastAsia="Calibri" w:hint="cs"/>
          <w:rtl/>
          <w:lang w:eastAsia="en-US"/>
        </w:rPr>
        <w:t>, הרי שעסקינן במפעילה שמשרתת מאות רבות של אלפי לקוחות ומכח זאת יש ל</w:t>
      </w:r>
      <w:r w:rsidR="00681C27">
        <w:rPr>
          <w:rFonts w:eastAsia="Calibri" w:hint="cs"/>
          <w:rtl/>
          <w:lang w:eastAsia="en-US"/>
        </w:rPr>
        <w:t>ה</w:t>
      </w:r>
      <w:r w:rsidR="004B7938">
        <w:rPr>
          <w:rFonts w:eastAsia="Calibri" w:hint="cs"/>
          <w:rtl/>
          <w:lang w:eastAsia="en-US"/>
        </w:rPr>
        <w:t xml:space="preserve"> יכולת מיקוח מול המפעילות הוותיקות שאין למפעיל</w:t>
      </w:r>
      <w:r w:rsidR="000862B2">
        <w:rPr>
          <w:rFonts w:eastAsia="Calibri" w:hint="cs"/>
          <w:rtl/>
          <w:lang w:eastAsia="en-US"/>
        </w:rPr>
        <w:t>ות</w:t>
      </w:r>
      <w:r w:rsidR="004B7938">
        <w:rPr>
          <w:rFonts w:eastAsia="Calibri" w:hint="cs"/>
          <w:rtl/>
          <w:lang w:eastAsia="en-US"/>
        </w:rPr>
        <w:t xml:space="preserve"> וירטואלי</w:t>
      </w:r>
      <w:r w:rsidR="000862B2">
        <w:rPr>
          <w:rFonts w:eastAsia="Calibri" w:hint="cs"/>
          <w:rtl/>
          <w:lang w:eastAsia="en-US"/>
        </w:rPr>
        <w:t>ו</w:t>
      </w:r>
      <w:r w:rsidR="00681C27">
        <w:rPr>
          <w:rFonts w:eastAsia="Calibri" w:hint="cs"/>
          <w:rtl/>
          <w:lang w:eastAsia="en-US"/>
        </w:rPr>
        <w:t>ת</w:t>
      </w:r>
      <w:r w:rsidR="004B7938">
        <w:rPr>
          <w:rFonts w:eastAsia="Calibri" w:hint="cs"/>
          <w:rtl/>
          <w:lang w:eastAsia="en-US"/>
        </w:rPr>
        <w:t>.</w:t>
      </w:r>
    </w:p>
    <w:p w:rsidR="00C87ADA" w:rsidRDefault="00C87ADA" w:rsidP="0030707F">
      <w:pPr>
        <w:rPr>
          <w:rFonts w:eastAsia="Calibri"/>
          <w:rtl/>
          <w:lang w:eastAsia="en-US"/>
        </w:rPr>
      </w:pPr>
      <w:r>
        <w:rPr>
          <w:rFonts w:eastAsia="Calibri" w:hint="cs"/>
          <w:rtl/>
          <w:lang w:eastAsia="en-US"/>
        </w:rPr>
        <w:t xml:space="preserve">נוכח האמור לעיל, אין לראות במפעילות הווירטואליות איום תחרותי ממשי על המפעילות בעלות התשתית ובהתאם לא יהיה בכוחן של אלו להפיג את החששות התחרותיים שהוצגו לעיל. </w:t>
      </w:r>
    </w:p>
    <w:p w:rsidR="00C87ADA" w:rsidRPr="00386DF8" w:rsidRDefault="00AA32FC" w:rsidP="000862B2">
      <w:pPr>
        <w:pStyle w:val="4"/>
        <w:rPr>
          <w:rFonts w:hint="cs"/>
          <w:rtl/>
        </w:rPr>
      </w:pPr>
      <w:r>
        <w:rPr>
          <w:rFonts w:hint="cs"/>
          <w:rtl/>
        </w:rPr>
        <w:t>הסיכוי של</w:t>
      </w:r>
      <w:r w:rsidR="00C87ADA">
        <w:rPr>
          <w:rFonts w:hint="cs"/>
          <w:rtl/>
        </w:rPr>
        <w:t xml:space="preserve"> כניסה</w:t>
      </w:r>
      <w:r w:rsidR="002E6180">
        <w:rPr>
          <w:rFonts w:hint="cs"/>
          <w:rtl/>
        </w:rPr>
        <w:t xml:space="preserve"> ממשית</w:t>
      </w:r>
      <w:r w:rsidR="00C87ADA">
        <w:rPr>
          <w:rFonts w:hint="cs"/>
          <w:rtl/>
        </w:rPr>
        <w:t xml:space="preserve"> לשוק של מפעילה בעלת תשתית </w:t>
      </w:r>
      <w:r>
        <w:rPr>
          <w:rFonts w:hint="cs"/>
          <w:rtl/>
        </w:rPr>
        <w:t>אינו גבוה דיו</w:t>
      </w:r>
    </w:p>
    <w:p w:rsidR="00C87ADA" w:rsidRDefault="00C87ADA" w:rsidP="000B7873">
      <w:pPr>
        <w:rPr>
          <w:rFonts w:eastAsia="Calibri" w:hint="cs"/>
          <w:rtl/>
          <w:lang w:eastAsia="en-US"/>
        </w:rPr>
      </w:pPr>
      <w:r>
        <w:rPr>
          <w:rFonts w:eastAsia="Calibri" w:hint="cs"/>
          <w:rtl/>
          <w:lang w:eastAsia="en-US"/>
        </w:rPr>
        <w:t xml:space="preserve">בניגוד למפעילות וירטואליות כניסה של מפעילות בעלות תשתית לשוק, ובפרט על בסיס שיתוף רשתות, בפרק זמן קצר ובהיקף משמעותי היתה יכולה להיחשב כבעלת פוטנציאל להפיג את החששות התחרותיים העולים מן המיזוג. אלא שכניסה </w:t>
      </w:r>
      <w:r w:rsidR="000B7873">
        <w:rPr>
          <w:rFonts w:eastAsia="Calibri" w:hint="cs"/>
          <w:rtl/>
          <w:lang w:eastAsia="en-US"/>
        </w:rPr>
        <w:t xml:space="preserve">כזאת </w:t>
      </w:r>
      <w:r>
        <w:rPr>
          <w:rFonts w:eastAsia="Calibri" w:hint="cs"/>
          <w:rtl/>
          <w:lang w:eastAsia="en-US"/>
        </w:rPr>
        <w:t>אינה סבירה, בפרט לא בה</w:t>
      </w:r>
      <w:r w:rsidR="000B7873">
        <w:rPr>
          <w:rFonts w:eastAsia="Calibri" w:hint="cs"/>
          <w:rtl/>
          <w:lang w:eastAsia="en-US"/>
        </w:rPr>
        <w:t>י</w:t>
      </w:r>
      <w:r>
        <w:rPr>
          <w:rFonts w:eastAsia="Calibri" w:hint="cs"/>
          <w:rtl/>
          <w:lang w:eastAsia="en-US"/>
        </w:rPr>
        <w:t>קף ובפרקי הזמן הנחוצים על מנת להפיג את החששות מהמיזוג.</w:t>
      </w:r>
    </w:p>
    <w:p w:rsidR="00C87ADA" w:rsidRDefault="00C87ADA" w:rsidP="00997A64">
      <w:pPr>
        <w:rPr>
          <w:rFonts w:eastAsia="Calibri" w:hint="cs"/>
          <w:rtl/>
          <w:lang w:eastAsia="en-US"/>
        </w:rPr>
      </w:pPr>
      <w:r>
        <w:rPr>
          <w:rFonts w:eastAsia="Calibri" w:hint="cs"/>
          <w:rtl/>
          <w:lang w:eastAsia="en-US"/>
        </w:rPr>
        <w:t>על מנת שכניסה של מתחרה לשוק תוכל להפיג את החששות מהמיזוג עליה להתגבר על חסמי הכניסה הקיימים באותו שוק</w:t>
      </w:r>
      <w:r w:rsidR="0096227C">
        <w:rPr>
          <w:rFonts w:eastAsia="Calibri" w:hint="cs"/>
          <w:rtl/>
          <w:lang w:eastAsia="en-US"/>
        </w:rPr>
        <w:t>,</w:t>
      </w:r>
      <w:r>
        <w:rPr>
          <w:rFonts w:eastAsia="Calibri" w:hint="cs"/>
          <w:rtl/>
          <w:lang w:eastAsia="en-US"/>
        </w:rPr>
        <w:t xml:space="preserve"> לעשות כן בפרק זמן סביר</w:t>
      </w:r>
      <w:r w:rsidR="0096227C">
        <w:rPr>
          <w:rFonts w:eastAsia="Calibri" w:hint="cs"/>
          <w:rtl/>
          <w:lang w:eastAsia="en-US"/>
        </w:rPr>
        <w:t xml:space="preserve"> ובה</w:t>
      </w:r>
      <w:r w:rsidR="000B7873">
        <w:rPr>
          <w:rFonts w:eastAsia="Calibri" w:hint="cs"/>
          <w:rtl/>
          <w:lang w:eastAsia="en-US"/>
        </w:rPr>
        <w:t>י</w:t>
      </w:r>
      <w:r w:rsidR="0096227C">
        <w:rPr>
          <w:rFonts w:eastAsia="Calibri" w:hint="cs"/>
          <w:rtl/>
          <w:lang w:eastAsia="en-US"/>
        </w:rPr>
        <w:t>קף משמעותי</w:t>
      </w:r>
      <w:r>
        <w:rPr>
          <w:rFonts w:eastAsia="Calibri" w:hint="cs"/>
          <w:rtl/>
          <w:lang w:eastAsia="en-US"/>
        </w:rPr>
        <w:t>. הוודאות בדבר הכניסה ומשך הזמן הנדרש להגשמתה אינם מנותקים מעוצמת החשש התחרותי העולה מן המיזוג.</w:t>
      </w:r>
      <w:r>
        <w:rPr>
          <w:rStyle w:val="ac"/>
          <w:rFonts w:ascii="Calibri" w:eastAsia="Calibri" w:hAnsi="Calibri"/>
          <w:sz w:val="24"/>
          <w:rtl/>
          <w:lang w:eastAsia="en-US"/>
        </w:rPr>
        <w:footnoteReference w:id="42"/>
      </w:r>
    </w:p>
    <w:p w:rsidR="00C87ADA" w:rsidRDefault="00C87ADA" w:rsidP="0030707F">
      <w:pPr>
        <w:rPr>
          <w:rFonts w:eastAsia="Calibri"/>
          <w:rtl/>
          <w:lang w:eastAsia="en-US"/>
        </w:rPr>
      </w:pPr>
      <w:r>
        <w:rPr>
          <w:rFonts w:eastAsia="Calibri" w:hint="cs"/>
          <w:rtl/>
          <w:lang w:eastAsia="en-US"/>
        </w:rPr>
        <w:t xml:space="preserve">בחינת המיזוג בהיבט זה התמקדה בחברה אחת </w:t>
      </w:r>
      <w:r>
        <w:rPr>
          <w:rFonts w:eastAsia="Calibri"/>
          <w:rtl/>
          <w:lang w:eastAsia="en-US"/>
        </w:rPr>
        <w:t>–</w:t>
      </w:r>
      <w:r>
        <w:rPr>
          <w:rFonts w:eastAsia="Calibri" w:hint="cs"/>
          <w:rtl/>
          <w:lang w:eastAsia="en-US"/>
        </w:rPr>
        <w:t xml:space="preserve"> מרתון 018 אקספון בע"מ (להלן: "</w:t>
      </w:r>
      <w:r w:rsidRPr="00386DF8">
        <w:rPr>
          <w:rFonts w:eastAsia="Calibri" w:hint="cs"/>
          <w:b/>
          <w:bCs/>
          <w:rtl/>
          <w:lang w:eastAsia="en-US"/>
        </w:rPr>
        <w:t>אקספון</w:t>
      </w:r>
      <w:r>
        <w:rPr>
          <w:rFonts w:eastAsia="Calibri" w:hint="cs"/>
          <w:rtl/>
          <w:lang w:eastAsia="en-US"/>
        </w:rPr>
        <w:t xml:space="preserve">") </w:t>
      </w:r>
      <w:r>
        <w:rPr>
          <w:rFonts w:eastAsia="Calibri"/>
          <w:rtl/>
          <w:lang w:eastAsia="en-US"/>
        </w:rPr>
        <w:t>–</w:t>
      </w:r>
      <w:r>
        <w:rPr>
          <w:rFonts w:eastAsia="Calibri" w:hint="cs"/>
          <w:rtl/>
          <w:lang w:eastAsia="en-US"/>
        </w:rPr>
        <w:t xml:space="preserve"> כמי שעשויה היתה להוות מתחרה פוטנציאלית למפעילות בעלות התשתית. </w:t>
      </w:r>
    </w:p>
    <w:p w:rsidR="00C87ADA" w:rsidRDefault="00C87ADA" w:rsidP="0030707F">
      <w:pPr>
        <w:rPr>
          <w:rFonts w:eastAsia="Calibri" w:hint="cs"/>
          <w:rtl/>
          <w:lang w:eastAsia="en-US"/>
        </w:rPr>
      </w:pPr>
      <w:r w:rsidRPr="002F18CF">
        <w:rPr>
          <w:rFonts w:eastAsia="Calibri" w:hint="cs"/>
          <w:rtl/>
          <w:lang w:eastAsia="en-US"/>
        </w:rPr>
        <w:lastRenderedPageBreak/>
        <w:t xml:space="preserve">במכרז </w:t>
      </w:r>
      <w:r>
        <w:rPr>
          <w:rFonts w:eastAsia="Calibri" w:hint="cs"/>
          <w:rtl/>
          <w:lang w:eastAsia="en-US"/>
        </w:rPr>
        <w:t xml:space="preserve">תדרים </w:t>
      </w:r>
      <w:r w:rsidRPr="002F18CF">
        <w:rPr>
          <w:rFonts w:eastAsia="Calibri" w:hint="cs"/>
          <w:rtl/>
          <w:lang w:eastAsia="en-US"/>
        </w:rPr>
        <w:t>שערך משרד התקשורת בשנת 2015</w:t>
      </w:r>
      <w:r>
        <w:rPr>
          <w:rFonts w:eastAsia="Calibri" w:hint="cs"/>
          <w:rtl/>
          <w:lang w:eastAsia="en-US"/>
        </w:rPr>
        <w:t xml:space="preserve"> ואשר במסגרתו הוקצו תדרי רדיו לטובת שירותי דור רביעי בסלולר זכתה אקספון ברצועת תדר אחת ברוחב של 5 מה"צ.</w:t>
      </w:r>
      <w:r>
        <w:rPr>
          <w:rStyle w:val="ac"/>
          <w:rFonts w:ascii="Calibri" w:eastAsia="Calibri" w:hAnsi="Calibri"/>
          <w:sz w:val="24"/>
          <w:rtl/>
          <w:lang w:eastAsia="en-US"/>
        </w:rPr>
        <w:footnoteReference w:id="43"/>
      </w:r>
      <w:r>
        <w:rPr>
          <w:rFonts w:eastAsia="Calibri" w:hint="cs"/>
          <w:rtl/>
          <w:lang w:eastAsia="en-US"/>
        </w:rPr>
        <w:t xml:space="preserve"> עם זאת רצועה אחת אינה מספיקה כשלעצמה למתן שירותי דור רביעי או להקמה של רשת סלולרית.</w:t>
      </w:r>
      <w:r>
        <w:rPr>
          <w:rStyle w:val="ac"/>
          <w:rFonts w:ascii="Calibri" w:eastAsia="Calibri" w:hAnsi="Calibri"/>
          <w:sz w:val="24"/>
          <w:rtl/>
          <w:lang w:eastAsia="en-US"/>
        </w:rPr>
        <w:footnoteReference w:id="44"/>
      </w:r>
      <w:r>
        <w:rPr>
          <w:rFonts w:eastAsia="Calibri" w:hint="cs"/>
          <w:rtl/>
          <w:lang w:eastAsia="en-US"/>
        </w:rPr>
        <w:t xml:space="preserve"> </w:t>
      </w:r>
    </w:p>
    <w:p w:rsidR="00C87ADA" w:rsidRDefault="00C87ADA" w:rsidP="00F8403E">
      <w:pPr>
        <w:rPr>
          <w:rFonts w:eastAsia="Calibri"/>
          <w:rtl/>
          <w:lang w:eastAsia="en-US"/>
        </w:rPr>
      </w:pPr>
      <w:r>
        <w:rPr>
          <w:rFonts w:eastAsia="Calibri" w:hint="cs"/>
          <w:rtl/>
          <w:lang w:eastAsia="en-US"/>
        </w:rPr>
        <w:t xml:space="preserve">אקספון היא חברה הפועלת בתחום המב"ל, שירותי הגישה לרשת האינטרנט ותשתית האינטרנט במסגרת "השוק הסיטונאי". </w:t>
      </w:r>
      <w:r w:rsidRPr="00C62D6B">
        <w:rPr>
          <w:rFonts w:eastAsia="Calibri" w:hint="cs"/>
          <w:rtl/>
          <w:lang w:eastAsia="en-US"/>
        </w:rPr>
        <w:t>החברה הביעה את כוונתה לה</w:t>
      </w:r>
      <w:r>
        <w:rPr>
          <w:rFonts w:eastAsia="Calibri" w:hint="cs"/>
          <w:rtl/>
          <w:lang w:eastAsia="en-US"/>
        </w:rPr>
        <w:t>י</w:t>
      </w:r>
      <w:r w:rsidRPr="00C62D6B">
        <w:rPr>
          <w:rFonts w:eastAsia="Calibri" w:hint="cs"/>
          <w:rtl/>
          <w:lang w:eastAsia="en-US"/>
        </w:rPr>
        <w:t>כנס גם לשוק התקשורת הניידת עוד במסגרת מכרז הדור השלישי</w:t>
      </w:r>
      <w:r>
        <w:rPr>
          <w:rFonts w:eastAsia="Calibri" w:hint="cs"/>
          <w:rtl/>
          <w:lang w:eastAsia="en-US"/>
        </w:rPr>
        <w:t xml:space="preserve"> שנערך בשנת 2011 אולם באותה עת לא עמדה בתנאי המכרז וזכייתה נפסלה. </w:t>
      </w:r>
      <w:r w:rsidRPr="009C6912">
        <w:rPr>
          <w:rFonts w:eastAsia="Calibri" w:hint="cs"/>
          <w:rtl/>
          <w:lang w:eastAsia="en-US"/>
        </w:rPr>
        <w:t xml:space="preserve">מאז זכייתה במכרז מנסה אקספון לחתום על הסכם לשיתוף רשתות בהתאם למדיניות </w:t>
      </w:r>
      <w:r>
        <w:rPr>
          <w:rFonts w:eastAsia="Calibri" w:hint="cs"/>
          <w:rtl/>
          <w:lang w:eastAsia="en-US"/>
        </w:rPr>
        <w:t>ה</w:t>
      </w:r>
      <w:r w:rsidRPr="009C6912">
        <w:rPr>
          <w:rFonts w:eastAsia="Calibri" w:hint="cs"/>
          <w:rtl/>
          <w:lang w:eastAsia="en-US"/>
        </w:rPr>
        <w:t>משרד לעידוד שיתוף רשתות בין מפעילות</w:t>
      </w:r>
      <w:r w:rsidRPr="009C6912">
        <w:rPr>
          <w:rStyle w:val="ac"/>
          <w:rFonts w:ascii="Calibri" w:eastAsia="Calibri" w:hAnsi="Calibri"/>
          <w:sz w:val="24"/>
          <w:rtl/>
          <w:lang w:eastAsia="en-US"/>
        </w:rPr>
        <w:footnoteReference w:id="45"/>
      </w:r>
      <w:r w:rsidRPr="009C6912">
        <w:rPr>
          <w:rFonts w:eastAsia="Calibri" w:hint="cs"/>
          <w:rtl/>
          <w:lang w:eastAsia="en-US"/>
        </w:rPr>
        <w:t xml:space="preserve"> אולם עד כה, בחלוף למעלה משנה מאז נערך</w:t>
      </w:r>
      <w:r>
        <w:rPr>
          <w:rFonts w:eastAsia="Calibri" w:hint="cs"/>
          <w:rtl/>
          <w:lang w:eastAsia="en-US"/>
        </w:rPr>
        <w:t xml:space="preserve"> המכרז, לא נחתם הסכם כזה.</w:t>
      </w:r>
    </w:p>
    <w:p w:rsidR="00C87ADA" w:rsidRDefault="00C87ADA" w:rsidP="0030707F">
      <w:pPr>
        <w:rPr>
          <w:rFonts w:eastAsia="Calibri"/>
          <w:rtl/>
          <w:lang w:eastAsia="en-US"/>
        </w:rPr>
      </w:pPr>
      <w:r>
        <w:rPr>
          <w:rFonts w:eastAsia="Calibri" w:hint="cs"/>
          <w:rtl/>
          <w:lang w:eastAsia="en-US"/>
        </w:rPr>
        <w:t xml:space="preserve">את היתכנות כניסתה של אקספון לשוק באופן שיפיג את החשש התחרותי העולה מהמיזוג יש לבחון באופן שהתווה בית המשפט העליון בפרשת </w:t>
      </w:r>
      <w:r>
        <w:rPr>
          <w:rFonts w:eastAsia="Calibri" w:hint="cs"/>
          <w:b/>
          <w:bCs/>
          <w:rtl/>
          <w:lang w:eastAsia="en-US"/>
        </w:rPr>
        <w:t>דור-אלון</w:t>
      </w:r>
      <w:r>
        <w:rPr>
          <w:rFonts w:eastAsia="Calibri" w:hint="cs"/>
          <w:rtl/>
          <w:lang w:eastAsia="en-US"/>
        </w:rPr>
        <w:t>:</w:t>
      </w:r>
    </w:p>
    <w:p w:rsidR="00C87ADA" w:rsidRPr="007A41F4" w:rsidRDefault="00C87ADA" w:rsidP="00696E07">
      <w:pPr>
        <w:ind w:left="1440" w:right="1701"/>
        <w:rPr>
          <w:rFonts w:hint="cs"/>
          <w:rtl/>
        </w:rPr>
      </w:pPr>
      <w:r w:rsidRPr="007A41F4">
        <w:rPr>
          <w:rFonts w:hint="cs"/>
          <w:rtl/>
        </w:rPr>
        <w:t>"נוסחת איזון סבירה בגדרם של השיקולים לצורך מיזוג מצריכה מתן משקל יחסי ראוי לנתונים המוכחים בדבר מצב השוק הנתון, על רקע מאפייניו וההיסטוריה המיוחדת לו, אל מול הסתברות השינויים המבוססים על הערכה לעתיד בלבד. ככל שחומרת הפגיעה הכרוכה במיזוג גדולה יותר על-סמך נתוני שוק קיימים, כך הסבירות שבהיזקקות להערכות על שינויים עתידיים שטרם ברור אם יתממשו, ומה תהיה השלכתם על התחרות באם יתממשו קטנה יותר."</w:t>
      </w:r>
      <w:r w:rsidRPr="00696E07">
        <w:rPr>
          <w:rStyle w:val="ac"/>
          <w:rFonts w:ascii="Calibri" w:eastAsia="Calibri" w:hAnsi="Calibri"/>
          <w:sz w:val="24"/>
          <w:rtl/>
          <w:lang w:eastAsia="en-US"/>
        </w:rPr>
        <w:footnoteReference w:id="46"/>
      </w:r>
      <w:r w:rsidRPr="00696E07">
        <w:rPr>
          <w:rStyle w:val="ac"/>
          <w:rFonts w:ascii="Calibri" w:eastAsia="Calibri" w:hAnsi="Calibri" w:hint="cs"/>
          <w:sz w:val="24"/>
          <w:rtl/>
          <w:lang w:eastAsia="en-US"/>
        </w:rPr>
        <w:t xml:space="preserve"> </w:t>
      </w:r>
    </w:p>
    <w:p w:rsidR="00C87ADA" w:rsidRDefault="00C87ADA" w:rsidP="00696E07">
      <w:pPr>
        <w:rPr>
          <w:rFonts w:eastAsia="Calibri" w:hint="cs"/>
          <w:rtl/>
          <w:lang w:eastAsia="en-US"/>
        </w:rPr>
      </w:pPr>
      <w:r>
        <w:rPr>
          <w:rFonts w:eastAsia="Calibri" w:hint="cs"/>
          <w:rtl/>
          <w:lang w:eastAsia="en-US"/>
        </w:rPr>
        <w:t>שורה של טעמים הביאונו לכלל מסקנה</w:t>
      </w:r>
      <w:r w:rsidR="000B7873">
        <w:rPr>
          <w:rFonts w:eastAsia="Calibri" w:hint="cs"/>
          <w:rtl/>
          <w:lang w:eastAsia="en-US"/>
        </w:rPr>
        <w:t>,</w:t>
      </w:r>
      <w:r>
        <w:rPr>
          <w:rFonts w:eastAsia="Calibri" w:hint="cs"/>
          <w:rtl/>
          <w:lang w:eastAsia="en-US"/>
        </w:rPr>
        <w:t xml:space="preserve"> כי אקספון אינה עומדת בקריטריון זה וכניסתה האפשרית לשוק אינה מפיגה את החששות התחרותיים העולים מן המיזוג.</w:t>
      </w:r>
    </w:p>
    <w:p w:rsidR="00C87ADA" w:rsidRDefault="00C87ADA" w:rsidP="0055251D">
      <w:pPr>
        <w:rPr>
          <w:rFonts w:eastAsia="Calibri"/>
          <w:rtl/>
          <w:lang w:eastAsia="en-US"/>
        </w:rPr>
      </w:pPr>
      <w:r>
        <w:rPr>
          <w:rFonts w:eastAsia="Calibri" w:hint="cs"/>
          <w:rtl/>
          <w:lang w:eastAsia="en-US"/>
        </w:rPr>
        <w:t>ראשית, כניסתה של אקספון לשוק תלויה בהסכם לשיתוף רשתות עם מפעילה בעלת תשתית. למרות שחלפה למעלה משנה מאז הזכייה</w:t>
      </w:r>
      <w:r w:rsidR="000B7873">
        <w:rPr>
          <w:rFonts w:eastAsia="Calibri" w:hint="cs"/>
          <w:rtl/>
          <w:lang w:eastAsia="en-US"/>
        </w:rPr>
        <w:t xml:space="preserve"> של אקספון במכרז התדרים לדור הרביעי</w:t>
      </w:r>
      <w:r>
        <w:rPr>
          <w:rFonts w:eastAsia="Calibri" w:hint="cs"/>
          <w:rtl/>
          <w:lang w:eastAsia="en-US"/>
        </w:rPr>
        <w:t xml:space="preserve"> </w:t>
      </w:r>
      <w:r w:rsidR="0055251D">
        <w:rPr>
          <w:rFonts w:eastAsia="Calibri" w:hint="cs"/>
          <w:rtl/>
          <w:lang w:eastAsia="en-US"/>
        </w:rPr>
        <w:t>וחרף חובה שקיימת על מפעילות שהסכימו על שיתוף רשתות, לצרף להסכם בתנאים דומים לאלה של המפעיל הקטן ביותר שחתם על הסכם כזה, כל מפעילה שתבקש זאת,</w:t>
      </w:r>
      <w:r w:rsidR="0055251D">
        <w:rPr>
          <w:rStyle w:val="ac"/>
          <w:rFonts w:eastAsia="Calibri"/>
          <w:rtl/>
          <w:lang w:eastAsia="en-US"/>
        </w:rPr>
        <w:footnoteReference w:id="47"/>
      </w:r>
      <w:r w:rsidR="0055251D">
        <w:rPr>
          <w:rFonts w:eastAsia="Calibri" w:hint="cs"/>
          <w:rtl/>
          <w:lang w:eastAsia="en-US"/>
        </w:rPr>
        <w:t xml:space="preserve"> </w:t>
      </w:r>
      <w:r>
        <w:rPr>
          <w:rFonts w:eastAsia="Calibri" w:hint="cs"/>
          <w:rtl/>
          <w:lang w:eastAsia="en-US"/>
        </w:rPr>
        <w:t xml:space="preserve">הסכם </w:t>
      </w:r>
      <w:r w:rsidR="0055251D">
        <w:rPr>
          <w:rFonts w:eastAsia="Calibri" w:hint="cs"/>
          <w:rtl/>
          <w:lang w:eastAsia="en-US"/>
        </w:rPr>
        <w:t>שיתוף בין אקספון לבין כל מפעילה אחרת</w:t>
      </w:r>
      <w:r>
        <w:rPr>
          <w:rFonts w:eastAsia="Calibri" w:hint="cs"/>
          <w:rtl/>
          <w:lang w:eastAsia="en-US"/>
        </w:rPr>
        <w:t xml:space="preserve"> לא נחתם עד היום</w:t>
      </w:r>
      <w:r w:rsidR="000B7873">
        <w:rPr>
          <w:rFonts w:eastAsia="Calibri" w:hint="cs"/>
          <w:rtl/>
          <w:lang w:eastAsia="en-US"/>
        </w:rPr>
        <w:t>. עובדה זאת כשלעצמה משליכה</w:t>
      </w:r>
      <w:r>
        <w:rPr>
          <w:rFonts w:eastAsia="Calibri" w:hint="cs"/>
          <w:rtl/>
          <w:lang w:eastAsia="en-US"/>
        </w:rPr>
        <w:t xml:space="preserve"> על מידת הסבירות של כניסתה לשוק באופן ובמועד שיפיגו את החששות התחרותיים. </w:t>
      </w:r>
    </w:p>
    <w:p w:rsidR="00C87ADA" w:rsidRDefault="00C87ADA" w:rsidP="003D6CBD">
      <w:pPr>
        <w:rPr>
          <w:rFonts w:eastAsia="Calibri"/>
          <w:rtl/>
          <w:lang w:eastAsia="en-US"/>
        </w:rPr>
      </w:pPr>
      <w:r>
        <w:rPr>
          <w:rFonts w:eastAsia="Calibri" w:hint="cs"/>
          <w:rtl/>
          <w:lang w:eastAsia="en-US"/>
        </w:rPr>
        <w:lastRenderedPageBreak/>
        <w:t>שנית, התממשות החשש התחרותי העולה מהמיזוג בדבר יצירת כוח שוק מתואם</w:t>
      </w:r>
      <w:r w:rsidR="000B7873">
        <w:rPr>
          <w:rFonts w:eastAsia="Calibri" w:hint="cs"/>
          <w:rtl/>
          <w:lang w:eastAsia="en-US"/>
        </w:rPr>
        <w:t xml:space="preserve"> למפעילות בעלות התשתית</w:t>
      </w:r>
      <w:r>
        <w:rPr>
          <w:rFonts w:eastAsia="Calibri" w:hint="cs"/>
          <w:rtl/>
          <w:lang w:eastAsia="en-US"/>
        </w:rPr>
        <w:t xml:space="preserve"> צפויה להשפיע לרעה על התמריצים של המפעילות בעלות התשתית לתרום לכניסתה של אקספון לשוק באמצעות קידום הסכם שיתוף רשתות עמה.</w:t>
      </w:r>
      <w:r w:rsidR="00C35860">
        <w:rPr>
          <w:rFonts w:eastAsia="Calibri" w:hint="cs"/>
          <w:rtl/>
          <w:lang w:eastAsia="en-US"/>
        </w:rPr>
        <w:t xml:space="preserve"> </w:t>
      </w:r>
      <w:r w:rsidR="00F8403E">
        <w:rPr>
          <w:rFonts w:eastAsia="Calibri" w:hint="cs"/>
          <w:rtl/>
          <w:lang w:eastAsia="en-US"/>
        </w:rPr>
        <w:t>ככל שיווצר שיווי משקל אל-תחרותי בין מפעילות הסלולר הנותרות בשוק, התמריץ שלהן להגיע להסכם שיתוף רשתות עם אקספון יפחת. העובדה שעד היום לא הצטרפה אקספון להסכם שיתוף הרשתות שבין פרטנר לבין הוט</w:t>
      </w:r>
      <w:r w:rsidR="001A46E7">
        <w:rPr>
          <w:rFonts w:eastAsia="Calibri" w:hint="cs"/>
          <w:rtl/>
          <w:lang w:eastAsia="en-US"/>
        </w:rPr>
        <w:t xml:space="preserve"> מובייל</w:t>
      </w:r>
      <w:r w:rsidR="00F8403E">
        <w:rPr>
          <w:rFonts w:eastAsia="Calibri" w:hint="cs"/>
          <w:rtl/>
          <w:lang w:eastAsia="en-US"/>
        </w:rPr>
        <w:t xml:space="preserve">, למרות שמשרד התקשורת סלל בפניה את הדרך לעשות כן, מלמדת </w:t>
      </w:r>
      <w:r w:rsidR="00915038">
        <w:rPr>
          <w:rFonts w:eastAsia="Calibri" w:hint="cs"/>
          <w:rtl/>
          <w:lang w:eastAsia="en-US"/>
        </w:rPr>
        <w:t xml:space="preserve">אף היא </w:t>
      </w:r>
      <w:r w:rsidR="00F8403E">
        <w:rPr>
          <w:rFonts w:eastAsia="Calibri" w:hint="cs"/>
          <w:rtl/>
          <w:lang w:eastAsia="en-US"/>
        </w:rPr>
        <w:t xml:space="preserve">על הקושי בהצטרפות כאמור. </w:t>
      </w:r>
    </w:p>
    <w:p w:rsidR="00C87ADA" w:rsidRDefault="00C87ADA" w:rsidP="000B7873">
      <w:pPr>
        <w:rPr>
          <w:rFonts w:eastAsia="Calibri" w:hint="cs"/>
          <w:rtl/>
          <w:lang w:eastAsia="en-US"/>
        </w:rPr>
      </w:pPr>
      <w:r>
        <w:rPr>
          <w:rFonts w:eastAsia="Calibri" w:hint="cs"/>
          <w:rtl/>
          <w:lang w:eastAsia="en-US"/>
        </w:rPr>
        <w:t xml:space="preserve">שלישית, אף אם תחתום אקספון על הסכם כזה ותתגבר על חסמי הכניסה האחרים לשוק, יחייב הדבר תקופת הערכות ממושכת לשם קבלת האישורים הרגולטוריים הנדרשים ותקופה נוספת לשם ביצוע ההכנות הלוגיסטית. משך הזמן שיחלוף בטרם תכנס אקספון לשוק אף הוא בעל משמעות וכניסה </w:t>
      </w:r>
      <w:r w:rsidR="000B7873">
        <w:rPr>
          <w:rFonts w:eastAsia="Calibri" w:hint="cs"/>
          <w:rtl/>
          <w:lang w:eastAsia="en-US"/>
        </w:rPr>
        <w:t xml:space="preserve">זאת </w:t>
      </w:r>
      <w:r>
        <w:rPr>
          <w:rFonts w:eastAsia="Calibri" w:hint="cs"/>
          <w:rtl/>
          <w:lang w:eastAsia="en-US"/>
        </w:rPr>
        <w:t>צפויה לארוך תקופה משמעותית.</w:t>
      </w:r>
    </w:p>
    <w:p w:rsidR="00C87ADA" w:rsidRDefault="00C87ADA" w:rsidP="0030707F">
      <w:pPr>
        <w:rPr>
          <w:rFonts w:eastAsia="Calibri" w:hint="cs"/>
          <w:rtl/>
          <w:lang w:eastAsia="en-US"/>
        </w:rPr>
      </w:pPr>
      <w:r>
        <w:rPr>
          <w:rFonts w:eastAsia="Calibri" w:hint="cs"/>
          <w:rtl/>
          <w:lang w:eastAsia="en-US"/>
        </w:rPr>
        <w:t>ממצאים אלה עומדים בניגוד ברור לגישה המקובלת כי לצורך הפגה דינמית של חששות תחרותיים הכניסה לשוק צריכה להיות סבירה (</w:t>
      </w:r>
      <w:r w:rsidRPr="008D7A3A">
        <w:rPr>
          <w:rFonts w:eastAsia="Calibri" w:cs="Times New Roman"/>
          <w:lang w:eastAsia="en-US"/>
        </w:rPr>
        <w:t>Likely</w:t>
      </w:r>
      <w:r>
        <w:rPr>
          <w:rFonts w:eastAsia="Calibri" w:hint="cs"/>
          <w:rtl/>
          <w:lang w:eastAsia="en-US"/>
        </w:rPr>
        <w:t>)</w:t>
      </w:r>
      <w:r w:rsidR="00A4091A">
        <w:rPr>
          <w:rFonts w:eastAsia="Calibri" w:hint="cs"/>
          <w:rtl/>
          <w:lang w:eastAsia="en-US"/>
        </w:rPr>
        <w:t>, משמעותית (</w:t>
      </w:r>
      <w:r w:rsidR="00A4091A">
        <w:rPr>
          <w:rFonts w:eastAsia="Calibri"/>
          <w:lang w:eastAsia="en-US"/>
        </w:rPr>
        <w:t>Suffic</w:t>
      </w:r>
      <w:r w:rsidR="000B7873">
        <w:rPr>
          <w:rFonts w:eastAsia="Calibri"/>
          <w:lang w:eastAsia="en-US"/>
        </w:rPr>
        <w:t>i</w:t>
      </w:r>
      <w:r w:rsidR="00A4091A">
        <w:rPr>
          <w:rFonts w:eastAsia="Calibri"/>
          <w:lang w:eastAsia="en-US"/>
        </w:rPr>
        <w:t>ent</w:t>
      </w:r>
      <w:r w:rsidR="00A4091A">
        <w:rPr>
          <w:rFonts w:eastAsia="Calibri" w:hint="cs"/>
          <w:rtl/>
          <w:lang w:eastAsia="en-US"/>
        </w:rPr>
        <w:t>)</w:t>
      </w:r>
      <w:r>
        <w:rPr>
          <w:rFonts w:eastAsia="Calibri" w:hint="cs"/>
          <w:rtl/>
          <w:lang w:eastAsia="en-US"/>
        </w:rPr>
        <w:t xml:space="preserve"> ובזמן סביר (</w:t>
      </w:r>
      <w:r w:rsidRPr="008D7A3A">
        <w:rPr>
          <w:rFonts w:eastAsia="Calibri" w:cs="Times New Roman"/>
          <w:lang w:eastAsia="en-US"/>
        </w:rPr>
        <w:t>Timely</w:t>
      </w:r>
      <w:r>
        <w:rPr>
          <w:rFonts w:eastAsia="Calibri" w:hint="cs"/>
          <w:rtl/>
          <w:lang w:eastAsia="en-US"/>
        </w:rPr>
        <w:t>).</w:t>
      </w:r>
      <w:r>
        <w:rPr>
          <w:rStyle w:val="ac"/>
          <w:rFonts w:ascii="Calibri" w:eastAsia="Calibri" w:hAnsi="Calibri"/>
          <w:sz w:val="24"/>
          <w:rtl/>
          <w:lang w:eastAsia="en-US"/>
        </w:rPr>
        <w:footnoteReference w:id="48"/>
      </w:r>
      <w:r>
        <w:rPr>
          <w:rFonts w:eastAsia="Calibri" w:hint="cs"/>
          <w:rtl/>
          <w:lang w:eastAsia="en-US"/>
        </w:rPr>
        <w:t xml:space="preserve"> האמור לעיל ביחס לאקספון נכון מקל וחומר ביחס לכל צד שלישי אחר.</w:t>
      </w:r>
    </w:p>
    <w:p w:rsidR="00C87ADA" w:rsidRDefault="00C87ADA" w:rsidP="000B7873">
      <w:pPr>
        <w:rPr>
          <w:rFonts w:eastAsia="Calibri"/>
          <w:rtl/>
          <w:lang w:eastAsia="en-US"/>
        </w:rPr>
      </w:pPr>
      <w:r>
        <w:rPr>
          <w:rFonts w:eastAsia="Calibri" w:hint="cs"/>
          <w:rtl/>
          <w:lang w:eastAsia="en-US"/>
        </w:rPr>
        <w:t xml:space="preserve"> </w:t>
      </w:r>
      <w:r w:rsidR="000B7873">
        <w:rPr>
          <w:rFonts w:eastAsia="Calibri" w:hint="cs"/>
          <w:rtl/>
          <w:lang w:eastAsia="en-US"/>
        </w:rPr>
        <w:t>לפיכך,</w:t>
      </w:r>
      <w:r>
        <w:rPr>
          <w:rFonts w:eastAsia="Calibri" w:hint="cs"/>
          <w:rtl/>
          <w:lang w:eastAsia="en-US"/>
        </w:rPr>
        <w:t xml:space="preserve"> אין מקום לראות בתרחישים הדינמיים כמפיגים את החשש התחרותי שמקים המיזוג.</w:t>
      </w:r>
    </w:p>
    <w:p w:rsidR="00C87ADA" w:rsidRPr="00386DF8" w:rsidRDefault="00C87ADA" w:rsidP="00696E07">
      <w:pPr>
        <w:pStyle w:val="1"/>
        <w:rPr>
          <w:rFonts w:hint="cs"/>
          <w:rtl/>
        </w:rPr>
      </w:pPr>
      <w:r w:rsidRPr="00386DF8">
        <w:rPr>
          <w:rFonts w:hint="cs"/>
          <w:rtl/>
        </w:rPr>
        <w:t xml:space="preserve">היעדרן של תרופות המפיגות את החשש הסביר לפגיעה משמעותית בתחרות </w:t>
      </w:r>
    </w:p>
    <w:p w:rsidR="00C87ADA" w:rsidRDefault="00C87ADA" w:rsidP="0030707F">
      <w:pPr>
        <w:rPr>
          <w:rtl/>
        </w:rPr>
      </w:pPr>
      <w:r>
        <w:rPr>
          <w:rFonts w:hint="cs"/>
          <w:rtl/>
        </w:rPr>
        <w:t>משנקבע כי המיזוג מעלה חשש סביר לפגיעה משמעותית בתחרות מתווה לנו סעיף 21(א) שני נתיבים חלופיים להתמודדות עם קיומו של חשש סביר לפגיעה בתחרות ובציבור כתוצאה מהמיזוג: אישור בתנאים או התנגדות. כלל המידתיות מחייבנו לבחון תחילה אם לא ניתן לאשר את המיזוג בכפוף לתנאים ורק אם התשובה לשאלה זו שלילית</w:t>
      </w:r>
      <w:r w:rsidR="00615546">
        <w:rPr>
          <w:rFonts w:hint="cs"/>
          <w:rtl/>
        </w:rPr>
        <w:t>,</w:t>
      </w:r>
      <w:r>
        <w:rPr>
          <w:rFonts w:hint="cs"/>
          <w:rtl/>
        </w:rPr>
        <w:t xml:space="preserve"> אזי יש להתנגד למיזוג.</w:t>
      </w:r>
      <w:r w:rsidRPr="003A62AC">
        <w:rPr>
          <w:rStyle w:val="ac"/>
          <w:rFonts w:ascii="Calibri" w:hAnsi="Calibri"/>
          <w:rtl/>
        </w:rPr>
        <w:t xml:space="preserve"> </w:t>
      </w:r>
      <w:r>
        <w:rPr>
          <w:rStyle w:val="ac"/>
          <w:rFonts w:ascii="Calibri" w:hAnsi="Calibri"/>
          <w:rtl/>
        </w:rPr>
        <w:footnoteReference w:id="49"/>
      </w:r>
      <w:r>
        <w:rPr>
          <w:rFonts w:hint="cs"/>
          <w:rtl/>
        </w:rPr>
        <w:t xml:space="preserve"> </w:t>
      </w:r>
    </w:p>
    <w:p w:rsidR="00C87ADA" w:rsidRDefault="00C87ADA" w:rsidP="00997A64">
      <w:pPr>
        <w:rPr>
          <w:rFonts w:hint="cs"/>
          <w:rtl/>
        </w:rPr>
      </w:pPr>
      <w:r>
        <w:rPr>
          <w:rFonts w:hint="cs"/>
          <w:rtl/>
        </w:rPr>
        <w:t xml:space="preserve">תכליתם של תנאים היא אחת </w:t>
      </w:r>
      <w:r>
        <w:rPr>
          <w:rtl/>
        </w:rPr>
        <w:t>–</w:t>
      </w:r>
      <w:r>
        <w:rPr>
          <w:rFonts w:hint="cs"/>
          <w:rtl/>
        </w:rPr>
        <w:t xml:space="preserve"> ריפוי מלא ושלם של הפגיעה התחרותית הנוצרת עקב המיזוג.</w:t>
      </w:r>
      <w:r>
        <w:rPr>
          <w:rStyle w:val="ac"/>
          <w:rtl/>
        </w:rPr>
        <w:footnoteReference w:id="50"/>
      </w:r>
      <w:r>
        <w:rPr>
          <w:rFonts w:hint="cs"/>
          <w:rtl/>
        </w:rPr>
        <w:t xml:space="preserve"> ניתוח המיזוג לא הניב תנאי שיש בו לרפא את החששות התחרותיים הנובעים מהמיזוג. </w:t>
      </w:r>
    </w:p>
    <w:p w:rsidR="00C87ADA" w:rsidRDefault="00C87ADA" w:rsidP="00904561">
      <w:pPr>
        <w:rPr>
          <w:rtl/>
        </w:rPr>
      </w:pPr>
      <w:r>
        <w:rPr>
          <w:rFonts w:hint="cs"/>
          <w:rtl/>
        </w:rPr>
        <w:t xml:space="preserve">במסגרת דין ודברים שקיימה הרשות מול </w:t>
      </w:r>
      <w:r>
        <w:rPr>
          <w:rFonts w:ascii="Calibri" w:hAnsi="Calibri" w:hint="cs"/>
          <w:rtl/>
        </w:rPr>
        <w:t>סלקום הציעה האחרונה תנאי</w:t>
      </w:r>
      <w:r w:rsidR="00904561">
        <w:rPr>
          <w:rFonts w:ascii="Calibri" w:hAnsi="Calibri" w:hint="cs"/>
          <w:rtl/>
        </w:rPr>
        <w:t>,</w:t>
      </w:r>
      <w:r>
        <w:rPr>
          <w:rFonts w:ascii="Calibri" w:hAnsi="Calibri" w:hint="cs"/>
          <w:rtl/>
        </w:rPr>
        <w:t xml:space="preserve"> לפיו</w:t>
      </w:r>
      <w:r>
        <w:rPr>
          <w:rFonts w:hint="cs"/>
          <w:rtl/>
        </w:rPr>
        <w:t xml:space="preserve"> יוטל על החברה הממוזגת למכור חלק מתעבורת הרשת שלה (בהיקף שייקבע מראש) בתמורה לתשלום סכום קבוע. מכירה </w:t>
      </w:r>
      <w:r w:rsidR="00904561">
        <w:rPr>
          <w:rFonts w:hint="cs"/>
          <w:rtl/>
        </w:rPr>
        <w:t xml:space="preserve">זאת, כך סברה סלקום, </w:t>
      </w:r>
      <w:r>
        <w:rPr>
          <w:rFonts w:hint="cs"/>
          <w:rtl/>
        </w:rPr>
        <w:t xml:space="preserve">תאפשר כניסה לשוק של מפעילה שתפעל במתכונת של מפעילה וירטואלית הנושאת בעלויות קבועות בלבד. לשיטת סלקום, תנאי זה יהפוך את </w:t>
      </w:r>
      <w:r w:rsidR="00904561">
        <w:rPr>
          <w:rFonts w:hint="cs"/>
          <w:rtl/>
        </w:rPr>
        <w:t>ה</w:t>
      </w:r>
      <w:r>
        <w:rPr>
          <w:rFonts w:hint="cs"/>
          <w:rtl/>
        </w:rPr>
        <w:t xml:space="preserve">מפעילה </w:t>
      </w:r>
      <w:r w:rsidR="00904561">
        <w:rPr>
          <w:rFonts w:hint="cs"/>
          <w:rtl/>
        </w:rPr>
        <w:t xml:space="preserve">הוירטואלית </w:t>
      </w:r>
      <w:r>
        <w:rPr>
          <w:rFonts w:hint="cs"/>
          <w:rtl/>
        </w:rPr>
        <w:t xml:space="preserve">לבעלת מחויבות גבוהה לפעולה בשוק בשל ההשקעה הראשונית הגבוהה שביצעה. כמו כן, תוכל </w:t>
      </w:r>
      <w:r w:rsidR="00904561">
        <w:rPr>
          <w:rFonts w:hint="cs"/>
          <w:rtl/>
        </w:rPr>
        <w:t>ה</w:t>
      </w:r>
      <w:r>
        <w:rPr>
          <w:rFonts w:hint="cs"/>
          <w:rtl/>
        </w:rPr>
        <w:t xml:space="preserve">מפעילה להציע ללקוחות הצעות בעלות שולית נמוכה ביותר. סלקום תומכת את הצעתה בכך שמדובר לשיטתה בתנאי הדומה לתנאים שהוטלו במיזוגים דומים באירופה בשנים האחרונות. </w:t>
      </w:r>
    </w:p>
    <w:p w:rsidR="00C87ADA" w:rsidRDefault="00C87ADA" w:rsidP="0030707F">
      <w:pPr>
        <w:rPr>
          <w:rFonts w:hint="cs"/>
          <w:rtl/>
        </w:rPr>
      </w:pPr>
      <w:r>
        <w:rPr>
          <w:rFonts w:hint="cs"/>
          <w:rtl/>
        </w:rPr>
        <w:lastRenderedPageBreak/>
        <w:t>מצאתי כי אין מקום לקבל תנאי מסוג זה. אפרט את טעמי לכך.</w:t>
      </w:r>
    </w:p>
    <w:p w:rsidR="00C87ADA" w:rsidRDefault="00C87ADA" w:rsidP="00997A64">
      <w:pPr>
        <w:rPr>
          <w:rFonts w:hint="cs"/>
          <w:rtl/>
        </w:rPr>
      </w:pPr>
      <w:r>
        <w:rPr>
          <w:rFonts w:hint="cs"/>
          <w:rtl/>
        </w:rPr>
        <w:t xml:space="preserve">בעת שקילת האפשרות לאשר מיזוגים אופקיים בכפוף לתנאים </w:t>
      </w:r>
      <w:r w:rsidR="00A23B7A">
        <w:rPr>
          <w:rFonts w:hint="cs"/>
          <w:rtl/>
        </w:rPr>
        <w:t xml:space="preserve">יש לתת </w:t>
      </w:r>
      <w:r>
        <w:rPr>
          <w:rFonts w:hint="cs"/>
          <w:rtl/>
        </w:rPr>
        <w:t xml:space="preserve">מעמד של בכורה לתנאים מבנים ובפרט לתנאי מסוג </w:t>
      </w:r>
      <w:r w:rsidR="00A23B7A">
        <w:rPr>
          <w:rFonts w:hint="cs"/>
          <w:rtl/>
        </w:rPr>
        <w:t xml:space="preserve">מכירת </w:t>
      </w:r>
      <w:r>
        <w:rPr>
          <w:rFonts w:hint="cs"/>
          <w:rtl/>
        </w:rPr>
        <w:t>נכסים (</w:t>
      </w:r>
      <w:r w:rsidRPr="001403BA">
        <w:rPr>
          <w:rFonts w:cs="Times New Roman"/>
        </w:rPr>
        <w:t>Divestiture</w:t>
      </w:r>
      <w:r>
        <w:rPr>
          <w:rFonts w:hint="cs"/>
          <w:rtl/>
        </w:rPr>
        <w:t xml:space="preserve">). </w:t>
      </w:r>
      <w:r w:rsidR="00A23B7A">
        <w:rPr>
          <w:rFonts w:hint="cs"/>
          <w:rtl/>
        </w:rPr>
        <w:t xml:space="preserve">עמדה זאת </w:t>
      </w:r>
      <w:r>
        <w:rPr>
          <w:rFonts w:hint="cs"/>
          <w:rtl/>
        </w:rPr>
        <w:t>אף זכ</w:t>
      </w:r>
      <w:r w:rsidR="00A23B7A">
        <w:rPr>
          <w:rFonts w:hint="cs"/>
          <w:rtl/>
        </w:rPr>
        <w:t>ת</w:t>
      </w:r>
      <w:r>
        <w:rPr>
          <w:rFonts w:hint="cs"/>
          <w:rtl/>
        </w:rPr>
        <w:t>ה לאישור על ידי בית המשפט העליון ובית הדין להגבלים עסקיים.</w:t>
      </w:r>
      <w:r>
        <w:rPr>
          <w:rStyle w:val="ac"/>
          <w:rFonts w:ascii="Calibri" w:hAnsi="Calibri"/>
          <w:rtl/>
        </w:rPr>
        <w:footnoteReference w:id="51"/>
      </w:r>
      <w:r>
        <w:rPr>
          <w:rFonts w:hint="cs"/>
          <w:rtl/>
        </w:rPr>
        <w:t xml:space="preserve"> תנאי שעניינו </w:t>
      </w:r>
      <w:r w:rsidR="00A23B7A">
        <w:rPr>
          <w:rFonts w:hint="cs"/>
          <w:rtl/>
        </w:rPr>
        <w:t xml:space="preserve">מכירת </w:t>
      </w:r>
      <w:r>
        <w:rPr>
          <w:rFonts w:hint="cs"/>
          <w:rtl/>
        </w:rPr>
        <w:t xml:space="preserve">נכסים נועד לאפשר שימור, לטווח ארוך, של התחרות ששררה בשוק באמצעות מכירת חלק בר-קיימא מהפעילות העסקית שהתקיימה ערב המיזוג לידי גורם שיוכל להפעילה באופן המפצה על הפגיעה התחרותית שגרם המיזוג. התנאי שהציעה סלקום אינו עונה לדרישה </w:t>
      </w:r>
      <w:r w:rsidR="00A23B7A">
        <w:rPr>
          <w:rFonts w:hint="cs"/>
          <w:rtl/>
        </w:rPr>
        <w:t>זאת</w:t>
      </w:r>
      <w:r>
        <w:rPr>
          <w:rFonts w:hint="cs"/>
          <w:rtl/>
        </w:rPr>
        <w:t xml:space="preserve">. </w:t>
      </w:r>
    </w:p>
    <w:p w:rsidR="00C87ADA" w:rsidRDefault="00C87ADA" w:rsidP="00615546">
      <w:pPr>
        <w:rPr>
          <w:rFonts w:hint="cs"/>
          <w:rtl/>
        </w:rPr>
      </w:pPr>
      <w:r w:rsidRPr="00C00D38">
        <w:rPr>
          <w:rFonts w:hint="cs"/>
          <w:rtl/>
        </w:rPr>
        <w:t>אף אם יימצא גורם שיחתום על</w:t>
      </w:r>
      <w:r>
        <w:rPr>
          <w:rFonts w:hint="cs"/>
          <w:rtl/>
        </w:rPr>
        <w:t xml:space="preserve"> עסקה לרכישת הקף תעבורה בסכום קבוע</w:t>
      </w:r>
      <w:r w:rsidR="00615546">
        <w:rPr>
          <w:rFonts w:hint="cs"/>
          <w:rtl/>
        </w:rPr>
        <w:t>,</w:t>
      </w:r>
      <w:r>
        <w:rPr>
          <w:rFonts w:hint="cs"/>
          <w:rtl/>
        </w:rPr>
        <w:t xml:space="preserve"> יהיה עליו לעבור כברת דרך בטרם יהפוך למתחרה אפקטיבי שיבוא בנעליה של גולן. מתחרה </w:t>
      </w:r>
      <w:r w:rsidR="00615546">
        <w:rPr>
          <w:rFonts w:hint="cs"/>
          <w:rtl/>
        </w:rPr>
        <w:t xml:space="preserve">כזה </w:t>
      </w:r>
      <w:r>
        <w:rPr>
          <w:rFonts w:hint="cs"/>
          <w:rtl/>
        </w:rPr>
        <w:t>יידרש להתחיל לפעול ללא מלאי לקוחות ובתלות מוחלטת בחברה הממוזגת. במילים אחרות, השפעתו על התחרות של מתחרה חדש שנכנס עתה לשוק במתכונת של מפעיל וירטואלי אינה דומה, אף לא בקירוב, להשפעת</w:t>
      </w:r>
      <w:r w:rsidR="00615546">
        <w:rPr>
          <w:rFonts w:hint="cs"/>
          <w:rtl/>
        </w:rPr>
        <w:t>ה</w:t>
      </w:r>
      <w:r>
        <w:rPr>
          <w:rFonts w:hint="cs"/>
          <w:rtl/>
        </w:rPr>
        <w:t xml:space="preserve"> של גולן על השוק.</w:t>
      </w:r>
      <w:r w:rsidRPr="00FD2304">
        <w:rPr>
          <w:rFonts w:hint="cs"/>
          <w:rtl/>
        </w:rPr>
        <w:t xml:space="preserve"> </w:t>
      </w:r>
      <w:r>
        <w:rPr>
          <w:rFonts w:hint="cs"/>
          <w:rtl/>
        </w:rPr>
        <w:t xml:space="preserve">בניגוד לתנאי מסוג </w:t>
      </w:r>
      <w:r w:rsidR="00A23B7A">
        <w:rPr>
          <w:rFonts w:hint="cs"/>
          <w:rtl/>
        </w:rPr>
        <w:t xml:space="preserve">מכירת </w:t>
      </w:r>
      <w:r>
        <w:rPr>
          <w:rFonts w:hint="cs"/>
          <w:rtl/>
        </w:rPr>
        <w:t xml:space="preserve">נכסים, הנכס שיקבל לידיו </w:t>
      </w:r>
      <w:r w:rsidR="00615546">
        <w:rPr>
          <w:rFonts w:hint="cs"/>
          <w:rtl/>
        </w:rPr>
        <w:t>ה</w:t>
      </w:r>
      <w:r>
        <w:rPr>
          <w:rFonts w:hint="cs"/>
          <w:rtl/>
        </w:rPr>
        <w:t xml:space="preserve">צד </w:t>
      </w:r>
      <w:r w:rsidR="00615546">
        <w:rPr>
          <w:rFonts w:hint="cs"/>
          <w:rtl/>
        </w:rPr>
        <w:t>ה</w:t>
      </w:r>
      <w:r>
        <w:rPr>
          <w:rFonts w:hint="cs"/>
          <w:rtl/>
        </w:rPr>
        <w:t>שלישי אינו בר השוואה תחרותית לנכס הנמכר במיזוג דנן.</w:t>
      </w:r>
    </w:p>
    <w:p w:rsidR="00C87ADA" w:rsidRDefault="00C87ADA" w:rsidP="0030707F">
      <w:pPr>
        <w:rPr>
          <w:rtl/>
        </w:rPr>
      </w:pPr>
      <w:r>
        <w:rPr>
          <w:rFonts w:hint="cs"/>
          <w:rtl/>
        </w:rPr>
        <w:t>בנוסף, תנאי זה הוא למעשה תנאי המחייב מתן גישה חופשית לתשתית (</w:t>
      </w:r>
      <w:r>
        <w:t>Open Access</w:t>
      </w:r>
      <w:r>
        <w:rPr>
          <w:rFonts w:hint="cs"/>
          <w:rtl/>
        </w:rPr>
        <w:t xml:space="preserve">) של החברה </w:t>
      </w:r>
      <w:r w:rsidRPr="00B915B4">
        <w:rPr>
          <w:rFonts w:hint="cs"/>
          <w:rtl/>
        </w:rPr>
        <w:t>הממוזגת. על פי גילוי הדעת ב</w:t>
      </w:r>
      <w:r>
        <w:rPr>
          <w:rFonts w:hint="cs"/>
          <w:rtl/>
        </w:rPr>
        <w:t>דבר</w:t>
      </w:r>
      <w:r w:rsidRPr="00B915B4">
        <w:rPr>
          <w:rFonts w:hint="cs"/>
          <w:rtl/>
        </w:rPr>
        <w:t xml:space="preserve"> תרופות במיזוגים</w:t>
      </w:r>
      <w:r w:rsidRPr="00B915B4">
        <w:rPr>
          <w:rStyle w:val="ac"/>
          <w:rtl/>
        </w:rPr>
        <w:footnoteReference w:id="52"/>
      </w:r>
      <w:r w:rsidRPr="00B915B4">
        <w:rPr>
          <w:rFonts w:hint="cs"/>
          <w:rtl/>
        </w:rPr>
        <w:t xml:space="preserve"> תנאיי גישה חופשית לתשתית נחשבים</w:t>
      </w:r>
      <w:r>
        <w:rPr>
          <w:rFonts w:hint="cs"/>
          <w:rtl/>
        </w:rPr>
        <w:t xml:space="preserve"> לתרופות התנהגותיות הלוקות בפגמים רבים. תנאים אלה הם מורכבים ביותר לפיקוח ואכיפה ועשויים לחייב הקצאת משאבים ניכרים לשם טיפול שוטף בהם. מערכת היחסים העסקית בין מפעילה בעלת תשתית לבין מפעילה וירטואלית העושה שימוש ברשתה היא מסובכת ומטבעה מחייבת התייחסות למגוון עצום של סוגיות ונקודות ממשק בין הצדדים ואף מן הטעם הזה לא ניתן לקבל אותו. </w:t>
      </w:r>
    </w:p>
    <w:p w:rsidR="00C87ADA" w:rsidRDefault="00C87ADA" w:rsidP="00E54135">
      <w:pPr>
        <w:rPr>
          <w:rFonts w:hint="cs"/>
          <w:rtl/>
        </w:rPr>
      </w:pPr>
      <w:r>
        <w:rPr>
          <w:rFonts w:hint="cs"/>
          <w:rtl/>
        </w:rPr>
        <w:t xml:space="preserve">לבסוף, וביחס לטענה בדבר אישור של מיזוגים דומים באירופה בכפוף לתנאי שכזה, בחינת מצב הדברים באירופה מגלה תמונה מורכבת יותר וחד משמעית פחות </w:t>
      </w:r>
      <w:r w:rsidR="00E54135">
        <w:rPr>
          <w:rFonts w:hint="cs"/>
          <w:rtl/>
        </w:rPr>
        <w:t xml:space="preserve">מזאת </w:t>
      </w:r>
      <w:r>
        <w:rPr>
          <w:rFonts w:hint="cs"/>
          <w:rtl/>
        </w:rPr>
        <w:t xml:space="preserve">שציירו הצדדים. </w:t>
      </w:r>
      <w:r w:rsidR="00A7466B">
        <w:rPr>
          <w:rFonts w:hint="cs"/>
          <w:rtl/>
        </w:rPr>
        <w:t>התנאים שנקבעו באירופה משקפים את ניתוחי השוק הפרטניים שנעשו</w:t>
      </w:r>
      <w:r w:rsidR="00615546">
        <w:rPr>
          <w:rFonts w:hint="cs"/>
          <w:rtl/>
        </w:rPr>
        <w:t>. התנאים שנקבעו באירופה משקפים</w:t>
      </w:r>
      <w:r w:rsidR="00A7466B">
        <w:rPr>
          <w:rFonts w:hint="cs"/>
          <w:rtl/>
        </w:rPr>
        <w:t xml:space="preserve"> את המדיניות האירופית במועד אישור המיזוג ביחס לאישור מיזוגים בתנאים, את האפשרות להתנות את המיזוג בתנאים ובכלל זה גם בתנאים של השלת נכסים (</w:t>
      </w:r>
      <w:r w:rsidR="00A7466B">
        <w:t>Divesture</w:t>
      </w:r>
      <w:r w:rsidR="00A7466B">
        <w:rPr>
          <w:rFonts w:hint="cs"/>
          <w:rtl/>
        </w:rPr>
        <w:t>)</w:t>
      </w:r>
      <w:r w:rsidR="0058331E">
        <w:rPr>
          <w:rFonts w:hint="cs"/>
          <w:rtl/>
        </w:rPr>
        <w:t>. יתר על כן,</w:t>
      </w:r>
      <w:r w:rsidR="00A7466B">
        <w:rPr>
          <w:rFonts w:hint="cs"/>
          <w:rtl/>
        </w:rPr>
        <w:t xml:space="preserve"> בעובדה שתנאים אלה נקבעו אין משום הוכחה למידת יעילותם </w:t>
      </w:r>
      <w:r w:rsidR="0058331E">
        <w:rPr>
          <w:rFonts w:hint="cs"/>
          <w:rtl/>
        </w:rPr>
        <w:t>והיכולת לאכוף אותם</w:t>
      </w:r>
      <w:r w:rsidR="00A7466B">
        <w:rPr>
          <w:rFonts w:hint="cs"/>
          <w:rtl/>
        </w:rPr>
        <w:t xml:space="preserve">. </w:t>
      </w:r>
      <w:r w:rsidR="00615546">
        <w:rPr>
          <w:rFonts w:hint="cs"/>
          <w:rtl/>
        </w:rPr>
        <w:t xml:space="preserve">בזמן שחלף ממועד השתת חלק מהתנאים שהוטלו בקשר עם מיזוגים באירופה בתחום הסלולר התברר, כי יישומם של התנאים אורך פרק זמן ניכר ומשמעותי וכי תנאים אלה קשים לאכיפה. </w:t>
      </w:r>
      <w:r w:rsidR="00A7466B">
        <w:rPr>
          <w:rFonts w:hint="cs"/>
          <w:rtl/>
        </w:rPr>
        <w:t>מסיבות אלה, בין היתר, לא מצאתי לנכון לאמץ תנאים הדומים לחלק מהתנאים שנקבעו במיזוגים בתחום התקשורת הניידת שאושרו באירופה.</w:t>
      </w:r>
    </w:p>
    <w:p w:rsidR="00C87ADA" w:rsidRPr="00386DF8" w:rsidRDefault="00C87ADA" w:rsidP="001A0311">
      <w:pPr>
        <w:pStyle w:val="1"/>
        <w:rPr>
          <w:rFonts w:hint="cs"/>
          <w:rtl/>
        </w:rPr>
      </w:pPr>
      <w:r w:rsidRPr="00386DF8">
        <w:rPr>
          <w:rFonts w:hint="cs"/>
          <w:rtl/>
        </w:rPr>
        <w:lastRenderedPageBreak/>
        <w:t>טענות הצדדים</w:t>
      </w:r>
    </w:p>
    <w:p w:rsidR="00C87ADA" w:rsidRDefault="00C87ADA" w:rsidP="00C35860">
      <w:pPr>
        <w:rPr>
          <w:rtl/>
        </w:rPr>
      </w:pPr>
      <w:r>
        <w:rPr>
          <w:rFonts w:hint="cs"/>
          <w:rtl/>
        </w:rPr>
        <w:t xml:space="preserve">במהלך בדיקת המיזוג התקיים דיאלוג </w:t>
      </w:r>
      <w:r w:rsidR="00614E1B">
        <w:rPr>
          <w:rFonts w:hint="cs"/>
          <w:rtl/>
        </w:rPr>
        <w:t xml:space="preserve">שוטף </w:t>
      </w:r>
      <w:r>
        <w:rPr>
          <w:rFonts w:hint="cs"/>
          <w:rtl/>
        </w:rPr>
        <w:t xml:space="preserve">עם הצדדים, במהלכו הציגו הצדדים באריכות ובפירוט את עמדתם ביחס להשפעותיו התחרותיות של המיזוג. אגב כך הגישו הצדדים שתי חוות דעת כלכליות. בנוסף, טרם החלטתי להתנגד למיזוג הוזמנו הצדדים לטעון את טענותיהם ביחס לחששות התחרותיים העולים מהמיזוג. נתמקד להלן בארבע טענות מן הטענות שהעלו הצדדים שלא קיבלו מענה מלא בדברים שנכתבו עד כה. </w:t>
      </w:r>
    </w:p>
    <w:p w:rsidR="00C87ADA" w:rsidRDefault="00C87ADA" w:rsidP="0030707F">
      <w:pPr>
        <w:rPr>
          <w:rFonts w:hint="cs"/>
          <w:rtl/>
        </w:rPr>
      </w:pPr>
    </w:p>
    <w:p w:rsidR="006C2AC7" w:rsidRPr="006C2AC7" w:rsidRDefault="006C2AC7" w:rsidP="000D35B6">
      <w:pPr>
        <w:pStyle w:val="af0"/>
        <w:numPr>
          <w:ilvl w:val="0"/>
          <w:numId w:val="37"/>
        </w:numPr>
        <w:tabs>
          <w:tab w:val="center" w:pos="799"/>
        </w:tabs>
        <w:bidi/>
        <w:spacing w:before="0" w:beforeAutospacing="0" w:after="120" w:afterAutospacing="0" w:line="360" w:lineRule="auto"/>
        <w:outlineLvl w:val="1"/>
        <w:rPr>
          <w:rFonts w:eastAsia="Times New Roman" w:cs="David" w:hint="cs"/>
          <w:b/>
          <w:vanish/>
          <w:sz w:val="26"/>
          <w:szCs w:val="26"/>
          <w:rtl/>
          <w:lang w:eastAsia="he-IL"/>
        </w:rPr>
      </w:pPr>
    </w:p>
    <w:p w:rsidR="006C2AC7" w:rsidRPr="006C2AC7" w:rsidRDefault="006C2AC7" w:rsidP="000D35B6">
      <w:pPr>
        <w:pStyle w:val="af0"/>
        <w:numPr>
          <w:ilvl w:val="0"/>
          <w:numId w:val="37"/>
        </w:numPr>
        <w:tabs>
          <w:tab w:val="center" w:pos="799"/>
        </w:tabs>
        <w:bidi/>
        <w:spacing w:before="0" w:beforeAutospacing="0" w:after="120" w:afterAutospacing="0" w:line="360" w:lineRule="auto"/>
        <w:outlineLvl w:val="1"/>
        <w:rPr>
          <w:rFonts w:eastAsia="Times New Roman" w:cs="David" w:hint="cs"/>
          <w:b/>
          <w:vanish/>
          <w:sz w:val="26"/>
          <w:szCs w:val="26"/>
          <w:rtl/>
          <w:lang w:eastAsia="he-IL"/>
        </w:rPr>
      </w:pPr>
    </w:p>
    <w:p w:rsidR="00C87ADA" w:rsidRPr="00846A72" w:rsidRDefault="00C87ADA" w:rsidP="000D7ECF">
      <w:pPr>
        <w:pStyle w:val="2"/>
        <w:numPr>
          <w:ilvl w:val="1"/>
          <w:numId w:val="36"/>
        </w:numPr>
        <w:rPr>
          <w:rtl/>
        </w:rPr>
      </w:pPr>
      <w:r>
        <w:rPr>
          <w:rFonts w:hint="cs"/>
          <w:rtl/>
        </w:rPr>
        <w:t xml:space="preserve">קיומם של </w:t>
      </w:r>
      <w:r w:rsidRPr="00846A72">
        <w:rPr>
          <w:rFonts w:hint="cs"/>
          <w:rtl/>
        </w:rPr>
        <w:t>תסריטים חלופיים</w:t>
      </w:r>
      <w:r>
        <w:rPr>
          <w:rFonts w:hint="cs"/>
          <w:rtl/>
        </w:rPr>
        <w:t xml:space="preserve"> </w:t>
      </w:r>
    </w:p>
    <w:p w:rsidR="00C87ADA" w:rsidRDefault="00C87ADA" w:rsidP="001F031A">
      <w:pPr>
        <w:rPr>
          <w:rtl/>
        </w:rPr>
      </w:pPr>
      <w:r>
        <w:rPr>
          <w:rFonts w:hint="cs"/>
          <w:rtl/>
        </w:rPr>
        <w:t>הצדדים טענו</w:t>
      </w:r>
      <w:r w:rsidR="00E54135">
        <w:rPr>
          <w:rFonts w:hint="cs"/>
          <w:rtl/>
        </w:rPr>
        <w:t>,</w:t>
      </w:r>
      <w:r>
        <w:rPr>
          <w:rFonts w:hint="cs"/>
          <w:rtl/>
        </w:rPr>
        <w:t xml:space="preserve"> כי משמעות ההתנגדות למיזוג היא פירוק של גולן שתוביל להתפזרות לקוחותיה בין המפעילות בעלות התשתית, כך שתיווצר ביניהן סימטריה בנתחי השוק אשר, לגישתם, תביא למצב תחרותי נחות בהשוואה למצב התחרותי לאחר המיזוג. </w:t>
      </w:r>
      <w:r w:rsidR="001A4728">
        <w:rPr>
          <w:rFonts w:hint="cs"/>
          <w:rtl/>
        </w:rPr>
        <w:t xml:space="preserve">הצדדים סברו, כי העובדה שכתוצאה מן המיזוג יהיה נתח השוק של סלקום גדול משל שלוש השחקניות הנותרות מפיגה את החשש מפני השפעות מתואמות. </w:t>
      </w:r>
      <w:r w:rsidR="001F031A">
        <w:rPr>
          <w:rFonts w:hint="cs"/>
          <w:rtl/>
        </w:rPr>
        <w:t xml:space="preserve">לשאלת הסימטריה בנתחי השוק ומידת השפעתה על הניתוח התחרותי אתייחס בהמשך. </w:t>
      </w:r>
      <w:r>
        <w:rPr>
          <w:rFonts w:hint="cs"/>
          <w:rtl/>
        </w:rPr>
        <w:t>בנוסף על כך טענו הצדדים</w:t>
      </w:r>
      <w:r w:rsidR="001A4728">
        <w:rPr>
          <w:rFonts w:hint="cs"/>
          <w:rtl/>
        </w:rPr>
        <w:t>,</w:t>
      </w:r>
      <w:r>
        <w:rPr>
          <w:rFonts w:hint="cs"/>
          <w:rtl/>
        </w:rPr>
        <w:t xml:space="preserve"> כי בחינת תוצאות המיזוג בהשוואה לתמונת התחרות השוררת עובר למיזוג היא מוטעית מכיוון שגולן אינה עומדת בתנאי רישיונה והמשך פעילותה במתכונת הקיימת אינה בת-קיימא.</w:t>
      </w:r>
      <w:r w:rsidR="001A4728">
        <w:rPr>
          <w:rFonts w:hint="cs"/>
          <w:rtl/>
        </w:rPr>
        <w:t xml:space="preserve"> משמעות הטענה היא, שגולן מסוגלת היום לפעול כמחוללת תחרות רק משום שהיא מפרה את תנאי רישיונה, אך מרגע שתצטרך לעמוד בדרישות משרד התקשורת, ובכלל זה הדרישה כי הסכם שיתוף הרשתות שבו תתקשר יכלול השקעה משמעותית בתשתית, לא תוכל יותר גולן לשמש כמחוללת תחרות. </w:t>
      </w:r>
    </w:p>
    <w:p w:rsidR="004F0317" w:rsidRDefault="000F33E2" w:rsidP="00237381">
      <w:pPr>
        <w:rPr>
          <w:rFonts w:hint="cs"/>
          <w:rtl/>
        </w:rPr>
      </w:pPr>
      <w:r>
        <w:rPr>
          <w:rFonts w:hint="cs"/>
          <w:rtl/>
        </w:rPr>
        <w:t xml:space="preserve">אתחיל ואומר שאינני סבורה שתוצאה הכרחית מהתנגדות למיזוג הוא פירוק של גולן או הכנסתה להליכי חדלות פירעון. זהו אולי תרחיש אפשרי, אך בוודאי אינו תרחיש יחיד ולא השתכנעתי כי הוא תרחיש בלתי נמנע. אפרט את עמדתי בהמשך אגב הדיון בטענתה של גולן כי היא </w:t>
      </w:r>
      <w:r w:rsidR="00364BD0">
        <w:rPr>
          <w:rFonts w:hint="cs"/>
          <w:rtl/>
        </w:rPr>
        <w:t>חברה</w:t>
      </w:r>
      <w:r>
        <w:rPr>
          <w:rFonts w:hint="cs"/>
          <w:rtl/>
        </w:rPr>
        <w:t xml:space="preserve"> כושלת. באשר לטענה, כי התאפשר לגולן להתנהל כמחוללת תחרות רק משום שהפרה את תנאי הרישיון, איני יכולה לקבל טענה זאת. לא יכול להיות ספק, כי כניסה לתחום </w:t>
      </w:r>
      <w:r w:rsidR="00364BD0">
        <w:rPr>
          <w:rFonts w:hint="cs"/>
          <w:rtl/>
        </w:rPr>
        <w:t>התקשורת הניידת</w:t>
      </w:r>
      <w:r>
        <w:rPr>
          <w:rFonts w:hint="cs"/>
          <w:rtl/>
        </w:rPr>
        <w:t xml:space="preserve"> בוודאי כמפעילה בעלת תשתית, מחייבת השקעות גדולות ומשמעותיות. עמדתי על כך בנימוקי למעלה. קל להבין גם מדוע מי שאינו משקיע בתשתיות הנדרשות למפעיל</w:t>
      </w:r>
      <w:r w:rsidR="000D7ECF">
        <w:rPr>
          <w:rFonts w:hint="cs"/>
          <w:rtl/>
        </w:rPr>
        <w:t>ה</w:t>
      </w:r>
      <w:r>
        <w:rPr>
          <w:rFonts w:hint="cs"/>
          <w:rtl/>
        </w:rPr>
        <w:t xml:space="preserve"> בעל</w:t>
      </w:r>
      <w:r w:rsidR="000D7ECF">
        <w:rPr>
          <w:rFonts w:hint="cs"/>
          <w:rtl/>
        </w:rPr>
        <w:t>ת</w:t>
      </w:r>
      <w:r>
        <w:rPr>
          <w:rFonts w:hint="cs"/>
          <w:rtl/>
        </w:rPr>
        <w:t xml:space="preserve"> תשתית יכול להפחית את הוצאותיו ובהתאם לכך </w:t>
      </w:r>
      <w:r w:rsidR="000C4F77">
        <w:rPr>
          <w:rFonts w:hint="cs"/>
          <w:rtl/>
        </w:rPr>
        <w:t>יתכן שיתאפשר לו</w:t>
      </w:r>
      <w:r>
        <w:rPr>
          <w:rFonts w:hint="cs"/>
          <w:rtl/>
        </w:rPr>
        <w:t xml:space="preserve"> להציע מחירים נמוכים יותר ולהישאר רווחי</w:t>
      </w:r>
      <w:r w:rsidR="005F2CDF">
        <w:rPr>
          <w:rFonts w:hint="cs"/>
          <w:rtl/>
        </w:rPr>
        <w:t>.</w:t>
      </w:r>
      <w:r>
        <w:rPr>
          <w:rFonts w:hint="cs"/>
          <w:rtl/>
        </w:rPr>
        <w:t xml:space="preserve"> אך מכך לא נגזרת המסקנה שהשקעה בתשתית מחייבת </w:t>
      </w:r>
      <w:r w:rsidR="005F2CDF">
        <w:rPr>
          <w:rFonts w:hint="cs"/>
          <w:rtl/>
        </w:rPr>
        <w:t xml:space="preserve">חיסולה של גולן כמחוללת תחרות. היקף ההשקעות על פי מכרז הדור השלישי היה ידוע לגולן מראש וחזקה עליה שבעת שהגישה את הצעתה במכרז ובנתה את תוכניתה העסקית כילכלה את צעדיה בהתאם לכמות ההשקעות הנדרשות ממנה על מנת להפוך למפעילה בעלת תשתית. </w:t>
      </w:r>
    </w:p>
    <w:p w:rsidR="004F0317" w:rsidRDefault="004F0317" w:rsidP="000C4F77">
      <w:pPr>
        <w:rPr>
          <w:rFonts w:hint="cs"/>
          <w:rtl/>
        </w:rPr>
      </w:pPr>
    </w:p>
    <w:p w:rsidR="00C87ADA" w:rsidRDefault="00C87ADA" w:rsidP="0000337E">
      <w:pPr>
        <w:rPr>
          <w:rFonts w:hint="cs"/>
          <w:rtl/>
        </w:rPr>
      </w:pPr>
      <w:r>
        <w:rPr>
          <w:rFonts w:hint="cs"/>
          <w:rtl/>
        </w:rPr>
        <w:t>.</w:t>
      </w:r>
      <w:r w:rsidR="003A3E6B">
        <w:rPr>
          <w:rFonts w:hint="cs"/>
          <w:rtl/>
        </w:rPr>
        <w:t xml:space="preserve">  </w:t>
      </w:r>
    </w:p>
    <w:p w:rsidR="00C87ADA" w:rsidRPr="00846A72" w:rsidRDefault="00C87ADA" w:rsidP="000D7ECF">
      <w:pPr>
        <w:pStyle w:val="2"/>
        <w:numPr>
          <w:ilvl w:val="1"/>
          <w:numId w:val="35"/>
        </w:numPr>
        <w:rPr>
          <w:rFonts w:hint="cs"/>
          <w:rtl/>
        </w:rPr>
      </w:pPr>
      <w:r w:rsidRPr="00846A72">
        <w:rPr>
          <w:rFonts w:hint="cs"/>
          <w:rtl/>
        </w:rPr>
        <w:t>דוקטרינת החברה הכושלת</w:t>
      </w:r>
    </w:p>
    <w:p w:rsidR="00C87ADA" w:rsidRDefault="00C87ADA" w:rsidP="0067018E">
      <w:pPr>
        <w:rPr>
          <w:rFonts w:hint="cs"/>
          <w:rtl/>
        </w:rPr>
      </w:pPr>
      <w:r w:rsidRPr="00DC59F6">
        <w:rPr>
          <w:rFonts w:hint="cs"/>
          <w:rtl/>
        </w:rPr>
        <w:lastRenderedPageBreak/>
        <w:t xml:space="preserve">בסמוך למועד קבלת ההחלטה </w:t>
      </w:r>
      <w:r>
        <w:rPr>
          <w:rFonts w:hint="cs"/>
          <w:rtl/>
        </w:rPr>
        <w:t>טענה גולן</w:t>
      </w:r>
      <w:r w:rsidR="001F031A">
        <w:rPr>
          <w:rFonts w:hint="cs"/>
          <w:rtl/>
        </w:rPr>
        <w:t>,</w:t>
      </w:r>
      <w:r>
        <w:rPr>
          <w:rFonts w:hint="cs"/>
          <w:rtl/>
        </w:rPr>
        <w:t xml:space="preserve"> כי יש לאשר את המיזוג על פי </w:t>
      </w:r>
      <w:r w:rsidRPr="00DC59F6">
        <w:rPr>
          <w:rFonts w:hint="cs"/>
          <w:rtl/>
        </w:rPr>
        <w:t>תנאי דוקטרינת החברה הכושלת</w:t>
      </w:r>
      <w:r>
        <w:rPr>
          <w:rFonts w:hint="cs"/>
          <w:rtl/>
        </w:rPr>
        <w:t>.</w:t>
      </w:r>
      <w:r w:rsidRPr="00DC59F6">
        <w:rPr>
          <w:rStyle w:val="ac"/>
          <w:rtl/>
        </w:rPr>
        <w:footnoteReference w:id="53"/>
      </w:r>
      <w:r w:rsidRPr="00DC59F6">
        <w:rPr>
          <w:rFonts w:hint="cs"/>
          <w:rtl/>
        </w:rPr>
        <w:t xml:space="preserve"> הנתונים שהציגו החברות המתמזגות בפני אינם מבססים את התקיימותה של דוקטרינת החברה הכושלת ולפיכך אינני מוצאת לנכון לקבל טענה </w:t>
      </w:r>
      <w:r w:rsidR="0067018E">
        <w:rPr>
          <w:rFonts w:hint="cs"/>
          <w:rtl/>
        </w:rPr>
        <w:t>זאת</w:t>
      </w:r>
      <w:r w:rsidRPr="00DC59F6">
        <w:rPr>
          <w:rFonts w:hint="cs"/>
          <w:rtl/>
        </w:rPr>
        <w:t>.</w:t>
      </w:r>
      <w:r>
        <w:rPr>
          <w:rFonts w:hint="cs"/>
          <w:rtl/>
        </w:rPr>
        <w:t xml:space="preserve"> </w:t>
      </w:r>
    </w:p>
    <w:p w:rsidR="00C87ADA" w:rsidRPr="00CC34F0" w:rsidRDefault="00C87ADA" w:rsidP="0030707F">
      <w:pPr>
        <w:rPr>
          <w:rFonts w:hint="cs"/>
          <w:rtl/>
        </w:rPr>
      </w:pPr>
      <w:r w:rsidRPr="00CC34F0">
        <w:rPr>
          <w:rFonts w:hint="cs"/>
          <w:rtl/>
        </w:rPr>
        <w:t xml:space="preserve">טענת החברה הכושלת ניצבת על שלוש רגליים: האחת, היותה של החברה </w:t>
      </w:r>
      <w:r>
        <w:rPr>
          <w:rFonts w:hint="cs"/>
          <w:rtl/>
        </w:rPr>
        <w:t xml:space="preserve">חברה </w:t>
      </w:r>
      <w:r w:rsidRPr="00CC34F0">
        <w:rPr>
          <w:rFonts w:hint="cs"/>
          <w:rtl/>
        </w:rPr>
        <w:t>כושלת</w:t>
      </w:r>
      <w:r>
        <w:rPr>
          <w:rFonts w:hint="cs"/>
          <w:rtl/>
        </w:rPr>
        <w:t xml:space="preserve"> מבחינה כלכלית,</w:t>
      </w:r>
      <w:r w:rsidRPr="00CC34F0">
        <w:rPr>
          <w:rFonts w:hint="cs"/>
          <w:rtl/>
        </w:rPr>
        <w:t xml:space="preserve"> </w:t>
      </w:r>
      <w:r>
        <w:rPr>
          <w:rFonts w:hint="cs"/>
          <w:rtl/>
        </w:rPr>
        <w:t>ה</w:t>
      </w:r>
      <w:r w:rsidRPr="00CC34F0">
        <w:rPr>
          <w:rFonts w:hint="cs"/>
          <w:rtl/>
        </w:rPr>
        <w:t>עתידה לצאת מהשוק בהעדר המיזוג וזאת הן בהתאם למצבה דהיום והן בהתאם לסיכויי שיקומה; השניה, העדרו של קונה חלופי שרכישתו את החברה תסב פגיעה פחותה בתחרות בהשוואה למיזוג; והשלישית, כי החלופה של רכישת החברה על ידי הרוכש המבוקש אינה גרועה יותר בהשוואה לאי רכישתה כלל.</w:t>
      </w:r>
      <w:r>
        <w:rPr>
          <w:rFonts w:hint="cs"/>
          <w:rtl/>
        </w:rPr>
        <w:t xml:space="preserve"> הנטל להוכחת התקיימות תנאי הדוקטרינה רובץ על כתפיהם של הצדדים למיזוג. </w:t>
      </w:r>
    </w:p>
    <w:p w:rsidR="00C87ADA" w:rsidRPr="00CC34F0" w:rsidRDefault="00C87ADA" w:rsidP="0030707F">
      <w:pPr>
        <w:rPr>
          <w:rFonts w:hint="cs"/>
          <w:rtl/>
        </w:rPr>
      </w:pPr>
      <w:r w:rsidRPr="00CC34F0">
        <w:rPr>
          <w:rFonts w:hint="cs"/>
          <w:rtl/>
        </w:rPr>
        <w:t xml:space="preserve">כפי שנראה מיד, </w:t>
      </w:r>
      <w:r>
        <w:rPr>
          <w:rFonts w:hint="cs"/>
          <w:rtl/>
        </w:rPr>
        <w:t>המידע שהציגה גולן בנושא אינו מגבש אף לא אחד מהתנאים הללו.</w:t>
      </w:r>
    </w:p>
    <w:p w:rsidR="00C87ADA" w:rsidRPr="00CC34F0" w:rsidRDefault="00C87ADA" w:rsidP="00997A64">
      <w:pPr>
        <w:rPr>
          <w:rFonts w:hint="cs"/>
          <w:rtl/>
        </w:rPr>
      </w:pPr>
      <w:r w:rsidRPr="00CC34F0">
        <w:rPr>
          <w:rFonts w:hint="cs"/>
          <w:rtl/>
        </w:rPr>
        <w:t>ראשית, גולן לא הרימה</w:t>
      </w:r>
      <w:r>
        <w:rPr>
          <w:rFonts w:hint="cs"/>
          <w:rtl/>
        </w:rPr>
        <w:t>, אף לא בקירוב,</w:t>
      </w:r>
      <w:r w:rsidRPr="00CC34F0">
        <w:rPr>
          <w:rFonts w:hint="cs"/>
          <w:rtl/>
        </w:rPr>
        <w:t xml:space="preserve"> את הנטל לשכנע כי היא עשויה להפסיק את פעילותה בטווח הזמן הקרוב בשל חוסר יכולת לפרוע את התחייבויותי</w:t>
      </w:r>
      <w:r w:rsidRPr="00CC34F0">
        <w:rPr>
          <w:rFonts w:hint="eastAsia"/>
          <w:rtl/>
        </w:rPr>
        <w:t>ה</w:t>
      </w:r>
      <w:r>
        <w:rPr>
          <w:rFonts w:hint="cs"/>
          <w:rtl/>
        </w:rPr>
        <w:t>.</w:t>
      </w:r>
      <w:r w:rsidRPr="00CC34F0">
        <w:rPr>
          <w:rStyle w:val="ac"/>
          <w:rtl/>
        </w:rPr>
        <w:footnoteReference w:id="54"/>
      </w:r>
      <w:r w:rsidRPr="00CC34F0">
        <w:rPr>
          <w:rFonts w:hint="cs"/>
          <w:rtl/>
        </w:rPr>
        <w:t xml:space="preserve"> </w:t>
      </w:r>
      <w:r w:rsidR="003A3E6B">
        <w:rPr>
          <w:rFonts w:hint="cs"/>
          <w:rtl/>
        </w:rPr>
        <w:t xml:space="preserve">המידע שמסרה </w:t>
      </w:r>
      <w:r w:rsidR="0067018E">
        <w:rPr>
          <w:rFonts w:hint="cs"/>
          <w:rtl/>
        </w:rPr>
        <w:t>גולן</w:t>
      </w:r>
      <w:r w:rsidR="003A3E6B">
        <w:rPr>
          <w:rFonts w:hint="cs"/>
          <w:rtl/>
        </w:rPr>
        <w:t xml:space="preserve"> לרשות</w:t>
      </w:r>
      <w:r w:rsidR="0067018E">
        <w:rPr>
          <w:rFonts w:hint="cs"/>
          <w:rtl/>
        </w:rPr>
        <w:t xml:space="preserve"> מלמד ש</w:t>
      </w:r>
      <w:r w:rsidR="003A3E6B">
        <w:rPr>
          <w:rFonts w:hint="cs"/>
          <w:rtl/>
        </w:rPr>
        <w:t xml:space="preserve">בשנת 2015 </w:t>
      </w:r>
      <w:r w:rsidR="0067018E">
        <w:rPr>
          <w:rFonts w:hint="cs"/>
          <w:rtl/>
        </w:rPr>
        <w:t>היא הפיקה רווחים</w:t>
      </w:r>
      <w:r w:rsidR="003A3E6B">
        <w:rPr>
          <w:rFonts w:hint="cs"/>
          <w:rtl/>
        </w:rPr>
        <w:t xml:space="preserve"> מפעילותה</w:t>
      </w:r>
      <w:r w:rsidRPr="00CC34F0">
        <w:rPr>
          <w:rFonts w:hint="cs"/>
          <w:rtl/>
        </w:rPr>
        <w:t>.</w:t>
      </w:r>
      <w:r w:rsidR="0067018E">
        <w:rPr>
          <w:rFonts w:hint="cs"/>
          <w:rtl/>
        </w:rPr>
        <w:t xml:space="preserve"> אף אם מצב זה השתנה</w:t>
      </w:r>
      <w:r w:rsidR="003A3E6B">
        <w:rPr>
          <w:rFonts w:hint="cs"/>
          <w:rtl/>
        </w:rPr>
        <w:t xml:space="preserve"> בשנת 2016</w:t>
      </w:r>
      <w:r w:rsidR="0067018E">
        <w:rPr>
          <w:rFonts w:hint="cs"/>
          <w:rtl/>
        </w:rPr>
        <w:t xml:space="preserve">, הרי שלא נעשה כל ניסיון לשכנע את הרשות כי אין אפשרות לשקם את החברה. </w:t>
      </w:r>
      <w:r w:rsidRPr="00CC34F0">
        <w:rPr>
          <w:rFonts w:hint="cs"/>
          <w:rtl/>
        </w:rPr>
        <w:t xml:space="preserve"> </w:t>
      </w:r>
    </w:p>
    <w:p w:rsidR="00C87ADA" w:rsidRPr="00CC34F0" w:rsidRDefault="00C87ADA" w:rsidP="006B3658">
      <w:pPr>
        <w:rPr>
          <w:rFonts w:hint="cs"/>
          <w:rtl/>
        </w:rPr>
      </w:pPr>
      <w:r w:rsidRPr="00CC34F0">
        <w:rPr>
          <w:rFonts w:hint="cs"/>
          <w:rtl/>
        </w:rPr>
        <w:t xml:space="preserve">שנית, גולן לא מיצתה את האפשרות לחפש אחר רוכשים אלטרנטיביים לסלקום ואף לא הסמיכה גורם בלתי תלוי </w:t>
      </w:r>
      <w:r w:rsidR="0067018E">
        <w:rPr>
          <w:rFonts w:hint="cs"/>
          <w:rtl/>
        </w:rPr>
        <w:t>לעשות</w:t>
      </w:r>
      <w:r w:rsidR="0067018E" w:rsidRPr="00CC34F0">
        <w:rPr>
          <w:rFonts w:hint="cs"/>
          <w:rtl/>
        </w:rPr>
        <w:t xml:space="preserve"> </w:t>
      </w:r>
      <w:r w:rsidRPr="00CC34F0">
        <w:rPr>
          <w:rFonts w:hint="cs"/>
          <w:rtl/>
        </w:rPr>
        <w:t>כן. ניסיונותיה של גולן</w:t>
      </w:r>
      <w:r w:rsidR="0067018E">
        <w:rPr>
          <w:rFonts w:hint="cs"/>
          <w:rtl/>
        </w:rPr>
        <w:t xml:space="preserve"> למכירה</w:t>
      </w:r>
      <w:r w:rsidRPr="00CC34F0">
        <w:rPr>
          <w:rFonts w:hint="cs"/>
          <w:rtl/>
        </w:rPr>
        <w:t xml:space="preserve"> נעשו באמצעות מינוי בנק השקעות לחפש קונה לחברה כאשר בנק זה תומרץ להתקשר עם נותן ההצעה הגבוהה ביותר. בהתאם לכך, ובניגוד לתנאים שנקבעו בגילוי הדעת</w:t>
      </w:r>
      <w:r w:rsidR="0067018E">
        <w:rPr>
          <w:rFonts w:hint="cs"/>
          <w:rtl/>
        </w:rPr>
        <w:t>,</w:t>
      </w:r>
      <w:r w:rsidRPr="00CC34F0">
        <w:rPr>
          <w:rFonts w:hint="cs"/>
          <w:rtl/>
        </w:rPr>
        <w:t xml:space="preserve"> החיפושים שערך הבנק בנ</w:t>
      </w:r>
      <w:r w:rsidR="0067018E">
        <w:rPr>
          <w:rFonts w:hint="cs"/>
          <w:rtl/>
        </w:rPr>
        <w:t>י</w:t>
      </w:r>
      <w:r w:rsidRPr="00CC34F0">
        <w:rPr>
          <w:rFonts w:hint="cs"/>
          <w:rtl/>
        </w:rPr>
        <w:t>סיון למצוא קונה לחברה נראו כממוקדים בהתקשרות עם אחת המפעילות בעלות התשתית ואפיקים אחרים נזנחו ולא הועמקו.</w:t>
      </w:r>
      <w:r>
        <w:rPr>
          <w:rFonts w:hint="cs"/>
          <w:rtl/>
        </w:rPr>
        <w:t xml:space="preserve"> </w:t>
      </w:r>
      <w:r w:rsidR="003A3E6B">
        <w:rPr>
          <w:rFonts w:hint="cs"/>
          <w:rtl/>
        </w:rPr>
        <w:t xml:space="preserve">על פני הדברים, </w:t>
      </w:r>
      <w:r w:rsidR="0067018E">
        <w:rPr>
          <w:rFonts w:hint="cs"/>
          <w:rtl/>
        </w:rPr>
        <w:t xml:space="preserve">הבנק התמקד במכירה של גולן למרבה במחיר ולא למי שיכול ליצור אלטרנטיבה תחרותית לגולן. </w:t>
      </w:r>
      <w:r>
        <w:rPr>
          <w:rFonts w:hint="cs"/>
          <w:rtl/>
        </w:rPr>
        <w:t xml:space="preserve">יתרה </w:t>
      </w:r>
      <w:r w:rsidR="0067018E">
        <w:rPr>
          <w:rFonts w:hint="cs"/>
          <w:rtl/>
        </w:rPr>
        <w:t>מזאת</w:t>
      </w:r>
      <w:r>
        <w:rPr>
          <w:rFonts w:hint="cs"/>
          <w:rtl/>
        </w:rPr>
        <w:t>, המגעים מול אחד הרוכשים האפשריים נעשו באופן ישיר על ידי גולן ולא על ידי בנק ההשקעות ונגדעו באיבם מסיבות שנראות על פניהן כבלתי קבילות.</w:t>
      </w:r>
    </w:p>
    <w:p w:rsidR="00C87ADA" w:rsidRDefault="00C87ADA" w:rsidP="0086571A">
      <w:pPr>
        <w:rPr>
          <w:rFonts w:hint="cs"/>
          <w:rtl/>
        </w:rPr>
      </w:pPr>
      <w:r w:rsidRPr="00CC34F0">
        <w:rPr>
          <w:rFonts w:hint="cs"/>
          <w:rtl/>
        </w:rPr>
        <w:t>שלישית, היפלטותה של גולן מהשוק אינה בהכרח רעה יותר מן החלופה של רכישתה בידי סלקום. לעניין זה טענו</w:t>
      </w:r>
      <w:r w:rsidR="0086571A">
        <w:rPr>
          <w:rFonts w:hint="cs"/>
          <w:rtl/>
        </w:rPr>
        <w:t xml:space="preserve"> הצדדים למיזוג</w:t>
      </w:r>
      <w:r w:rsidRPr="00CC34F0">
        <w:rPr>
          <w:rFonts w:hint="cs"/>
          <w:rtl/>
        </w:rPr>
        <w:t xml:space="preserve"> באריכות</w:t>
      </w:r>
      <w:r w:rsidR="0067018E">
        <w:rPr>
          <w:rFonts w:hint="cs"/>
          <w:rtl/>
        </w:rPr>
        <w:t>,</w:t>
      </w:r>
      <w:r w:rsidRPr="00CC34F0">
        <w:rPr>
          <w:rFonts w:hint="cs"/>
          <w:rtl/>
        </w:rPr>
        <w:t xml:space="preserve"> כי האפשרות של היפלטות גולן מהשוק תוביל להיווצרות נתחי שוק סימטריים בין ארבע המפעילות בעלות התשתית שיוותרו בשוק. נתחי שוק סימטריים הם, לשיטת סלקום וגולן, נחותים תחרותית מאישור המיזוג והיווצרות מבנה שוק שבו סלקום אוחזת בנתח שוק גדול משמעותית מזה של המפעילות בעלות תשתית האחרות.</w:t>
      </w:r>
      <w:r>
        <w:rPr>
          <w:rFonts w:hint="cs"/>
          <w:rtl/>
        </w:rPr>
        <w:t xml:space="preserve"> </w:t>
      </w:r>
    </w:p>
    <w:p w:rsidR="00C87ADA" w:rsidRDefault="00C87ADA" w:rsidP="0030707F">
      <w:pPr>
        <w:rPr>
          <w:rFonts w:hint="cs"/>
          <w:rtl/>
        </w:rPr>
      </w:pPr>
      <w:r>
        <w:rPr>
          <w:rFonts w:hint="cs"/>
          <w:rtl/>
        </w:rPr>
        <w:t>אין באפשרותי לקבל את טענות הצדדים לעניין זה.</w:t>
      </w:r>
    </w:p>
    <w:p w:rsidR="00C87ADA" w:rsidRDefault="00C87ADA" w:rsidP="00F347C8">
      <w:pPr>
        <w:rPr>
          <w:rFonts w:hint="cs"/>
          <w:rtl/>
        </w:rPr>
      </w:pPr>
      <w:r>
        <w:rPr>
          <w:rFonts w:hint="cs"/>
          <w:rtl/>
        </w:rPr>
        <w:t xml:space="preserve">קודם לכל, </w:t>
      </w:r>
      <w:r w:rsidRPr="00584643">
        <w:rPr>
          <w:rFonts w:hint="cs"/>
          <w:rtl/>
        </w:rPr>
        <w:t>ב</w:t>
      </w:r>
      <w:r>
        <w:rPr>
          <w:rFonts w:hint="cs"/>
          <w:rtl/>
        </w:rPr>
        <w:t xml:space="preserve">בחינה של </w:t>
      </w:r>
      <w:r w:rsidRPr="00584643">
        <w:rPr>
          <w:rFonts w:hint="cs"/>
          <w:rtl/>
        </w:rPr>
        <w:t>טווח הזמן הקצר</w:t>
      </w:r>
      <w:r>
        <w:rPr>
          <w:rFonts w:hint="cs"/>
          <w:rtl/>
        </w:rPr>
        <w:t xml:space="preserve"> שלאחר יציאת גולן מהשוק</w:t>
      </w:r>
      <w:r w:rsidRPr="00584643">
        <w:rPr>
          <w:rFonts w:hint="cs"/>
          <w:rtl/>
        </w:rPr>
        <w:t>,</w:t>
      </w:r>
      <w:r w:rsidR="00F347C8">
        <w:rPr>
          <w:rFonts w:hint="cs"/>
          <w:rtl/>
        </w:rPr>
        <w:t xml:space="preserve"> ככל שתצא,</w:t>
      </w:r>
      <w:r>
        <w:rPr>
          <w:rFonts w:hint="cs"/>
          <w:rtl/>
        </w:rPr>
        <w:t xml:space="preserve"> סביר כי</w:t>
      </w:r>
      <w:r w:rsidRPr="00584643">
        <w:rPr>
          <w:rFonts w:hint="cs"/>
          <w:rtl/>
        </w:rPr>
        <w:t xml:space="preserve"> </w:t>
      </w:r>
      <w:r>
        <w:rPr>
          <w:rFonts w:hint="cs"/>
          <w:rtl/>
        </w:rPr>
        <w:t xml:space="preserve">תתפתח </w:t>
      </w:r>
      <w:r w:rsidRPr="00584643">
        <w:rPr>
          <w:rFonts w:hint="cs"/>
          <w:rtl/>
        </w:rPr>
        <w:t xml:space="preserve">תחרות </w:t>
      </w:r>
      <w:r>
        <w:rPr>
          <w:rFonts w:hint="cs"/>
          <w:rtl/>
        </w:rPr>
        <w:t>לגיוס</w:t>
      </w:r>
      <w:r w:rsidRPr="00584643">
        <w:rPr>
          <w:rFonts w:hint="cs"/>
          <w:rtl/>
        </w:rPr>
        <w:t xml:space="preserve"> לקוחות</w:t>
      </w:r>
      <w:r>
        <w:rPr>
          <w:rFonts w:hint="cs"/>
          <w:rtl/>
        </w:rPr>
        <w:t xml:space="preserve"> גולן שנפלטה מהשוק</w:t>
      </w:r>
      <w:r w:rsidR="00F347C8">
        <w:rPr>
          <w:rFonts w:hint="cs"/>
          <w:rtl/>
        </w:rPr>
        <w:t>. מצב זה עשוי</w:t>
      </w:r>
      <w:r>
        <w:rPr>
          <w:rFonts w:hint="cs"/>
          <w:rtl/>
        </w:rPr>
        <w:t xml:space="preserve"> להביא למצב תחרותי עדיף על אישור המיזוג. אין אפשרות לקבוע מראש מה תהיה תוצאתה הסופית של אותה דינמיקה </w:t>
      </w:r>
      <w:r>
        <w:rPr>
          <w:rFonts w:hint="cs"/>
          <w:rtl/>
        </w:rPr>
        <w:lastRenderedPageBreak/>
        <w:t>תחרותית בטווח הקצר</w:t>
      </w:r>
      <w:r w:rsidR="00F347C8">
        <w:rPr>
          <w:rFonts w:hint="cs"/>
          <w:rtl/>
        </w:rPr>
        <w:t xml:space="preserve"> ואין כל וודאות שדינמיקה כזאת תסתיים בסימטריה של השחקנים הנותרים בענף</w:t>
      </w:r>
      <w:r>
        <w:rPr>
          <w:rFonts w:hint="cs"/>
          <w:rtl/>
        </w:rPr>
        <w:t>.</w:t>
      </w:r>
    </w:p>
    <w:p w:rsidR="00C87ADA" w:rsidRPr="003C71DD" w:rsidRDefault="00C87ADA" w:rsidP="00EB4A7B">
      <w:pPr>
        <w:rPr>
          <w:rFonts w:hint="cs"/>
          <w:rtl/>
        </w:rPr>
      </w:pPr>
      <w:r>
        <w:rPr>
          <w:rFonts w:hint="cs"/>
          <w:rtl/>
        </w:rPr>
        <w:t xml:space="preserve">גם בהתבוננות צופה פני עתיד קשה לראות בטענת הצדדים בדבר עדיפותה של העדר סימטריה כמספקת. אומנם, סימטריה בנתחי השוק </w:t>
      </w:r>
      <w:r w:rsidR="00F347C8">
        <w:rPr>
          <w:rFonts w:hint="cs"/>
          <w:rtl/>
        </w:rPr>
        <w:t>מצוינת כ</w:t>
      </w:r>
      <w:r>
        <w:rPr>
          <w:rFonts w:hint="cs"/>
          <w:rtl/>
        </w:rPr>
        <w:t xml:space="preserve">אחד המאפיינים המסייעים להיווצרות שיווי </w:t>
      </w:r>
      <w:r w:rsidRPr="003C71DD">
        <w:rPr>
          <w:rFonts w:hint="cs"/>
          <w:rtl/>
        </w:rPr>
        <w:t xml:space="preserve">משקל מתואם. אולם במקרה דנן וכפי שפורט לעיל, גם בהעדר סימטריה מוחלטת קיים חשש להתנהגות מתואמת בשוק הרלוונטי. </w:t>
      </w:r>
      <w:r w:rsidR="003E550E">
        <w:rPr>
          <w:rFonts w:hint="cs"/>
          <w:rtl/>
        </w:rPr>
        <w:t>זאת ועוד. בבדיקת א-סימטריה והשפעותיה</w:t>
      </w:r>
      <w:r w:rsidRPr="003C71DD">
        <w:rPr>
          <w:rFonts w:hint="cs"/>
          <w:rtl/>
        </w:rPr>
        <w:t xml:space="preserve"> יש </w:t>
      </w:r>
      <w:r w:rsidR="003E550E">
        <w:rPr>
          <w:rFonts w:hint="cs"/>
          <w:rtl/>
        </w:rPr>
        <w:t>לתת</w:t>
      </w:r>
      <w:r w:rsidRPr="003C71DD">
        <w:rPr>
          <w:rFonts w:hint="cs"/>
          <w:rtl/>
        </w:rPr>
        <w:t xml:space="preserve"> משקל לתמריציה של הפירמה הקטנה ביותר בשוק </w:t>
      </w:r>
      <w:r w:rsidR="003E550E">
        <w:rPr>
          <w:rFonts w:hint="cs"/>
          <w:rtl/>
        </w:rPr>
        <w:t>ה</w:t>
      </w:r>
      <w:r w:rsidRPr="003C71DD">
        <w:rPr>
          <w:rFonts w:hint="cs"/>
          <w:rtl/>
        </w:rPr>
        <w:t>א-סימטרי שצפויה להיות בעלת התמריץ הגדול ביותר להפר את שיווי המשקל.</w:t>
      </w:r>
      <w:r w:rsidR="00A7466B">
        <w:rPr>
          <w:rFonts w:hint="cs"/>
          <w:rtl/>
        </w:rPr>
        <w:t xml:space="preserve"> </w:t>
      </w:r>
      <w:r w:rsidRPr="003C71DD">
        <w:rPr>
          <w:rFonts w:hint="cs"/>
          <w:rtl/>
        </w:rPr>
        <w:t>התבוננות בנתחי השוק של המפעילה שתהא הקטנה ביותר ולכן, כביכול, בעלת התמריץ המשמעותי ביותר לחריג</w:t>
      </w:r>
      <w:r>
        <w:rPr>
          <w:rFonts w:hint="cs"/>
          <w:rtl/>
        </w:rPr>
        <w:t>ה</w:t>
      </w:r>
      <w:r w:rsidRPr="003C71DD">
        <w:rPr>
          <w:rFonts w:hint="cs"/>
          <w:rtl/>
        </w:rPr>
        <w:t xml:space="preserve"> משיווי המשקל</w:t>
      </w:r>
      <w:r>
        <w:rPr>
          <w:rFonts w:hint="cs"/>
          <w:rtl/>
        </w:rPr>
        <w:t>,</w:t>
      </w:r>
      <w:r w:rsidRPr="003C71DD">
        <w:rPr>
          <w:rFonts w:hint="cs"/>
          <w:rtl/>
        </w:rPr>
        <w:t xml:space="preserve"> אינו מגלה יתרון מובהק למצב שעשוי להתקיים בעקבות אישור המיזוג. </w:t>
      </w:r>
      <w:r w:rsidR="00452E55">
        <w:rPr>
          <w:rFonts w:hint="cs"/>
          <w:rtl/>
        </w:rPr>
        <w:t xml:space="preserve">כך, אם נשווה בין נתח השוק הצפוי של המפעילה הקטנה ביותר בהנחה שהמיזוג יאושר ובין נתח השוק שלה בהנחה שגולן תפלט מהשוק ולקוחותיה יתפזרו בין יתר המפעילות </w:t>
      </w:r>
      <w:r w:rsidR="00997A64">
        <w:rPr>
          <w:rFonts w:hint="cs"/>
          <w:rtl/>
        </w:rPr>
        <w:t>לא יתגלו</w:t>
      </w:r>
      <w:r w:rsidR="00452E55">
        <w:rPr>
          <w:rFonts w:hint="cs"/>
          <w:rtl/>
        </w:rPr>
        <w:t xml:space="preserve"> הבדלים ניכרים בנתחי השוק המצביעים על עדיפות לאישור המיזוג על פני הפלטות גולן מהשוק.</w:t>
      </w:r>
    </w:p>
    <w:p w:rsidR="00C87ADA" w:rsidRDefault="00C87ADA" w:rsidP="0030707F">
      <w:pPr>
        <w:rPr>
          <w:rFonts w:hint="cs"/>
          <w:rtl/>
        </w:rPr>
      </w:pPr>
      <w:r>
        <w:rPr>
          <w:rFonts w:hint="cs"/>
          <w:rtl/>
        </w:rPr>
        <w:t xml:space="preserve">על כן, לא השתכנעתי בתחולת דוקטרינת החברה הכושלת במקרה זה. </w:t>
      </w:r>
    </w:p>
    <w:p w:rsidR="00C87ADA" w:rsidRPr="003C71DD" w:rsidRDefault="00C87ADA" w:rsidP="000D7ECF">
      <w:pPr>
        <w:pStyle w:val="2"/>
        <w:numPr>
          <w:ilvl w:val="1"/>
          <w:numId w:val="35"/>
        </w:numPr>
        <w:rPr>
          <w:rFonts w:hint="cs"/>
          <w:rtl/>
        </w:rPr>
      </w:pPr>
      <w:r w:rsidRPr="003C71DD">
        <w:rPr>
          <w:rFonts w:hint="cs"/>
          <w:rtl/>
        </w:rPr>
        <w:t xml:space="preserve">אישורי מיזוגים </w:t>
      </w:r>
      <w:r>
        <w:rPr>
          <w:rFonts w:hint="cs"/>
          <w:rtl/>
        </w:rPr>
        <w:t>המפחיתים את מספר המתחרים בשוק מחמישה לארבעה</w:t>
      </w:r>
    </w:p>
    <w:p w:rsidR="00C87ADA" w:rsidRDefault="00C87ADA" w:rsidP="003E550E">
      <w:pPr>
        <w:rPr>
          <w:rFonts w:hint="cs"/>
          <w:rtl/>
        </w:rPr>
      </w:pPr>
      <w:r>
        <w:rPr>
          <w:rFonts w:hint="cs"/>
          <w:rtl/>
        </w:rPr>
        <w:t>טענה אחרת שהעלו הצדדים נגעה להעדר תקדימים, בדבר התנגדות למיזוגים במאפיינים דומים. כך, הצביעו הצדדים על העדר תקדים, לשיטת</w:t>
      </w:r>
      <w:r w:rsidR="003E550E">
        <w:rPr>
          <w:rFonts w:hint="cs"/>
          <w:rtl/>
        </w:rPr>
        <w:t>ם</w:t>
      </w:r>
      <w:r>
        <w:rPr>
          <w:rFonts w:hint="cs"/>
          <w:rtl/>
        </w:rPr>
        <w:t>, בהתנגדות הממונה למיזוגים בו פחת מספר המתחרים בשוק מחמישה לארבעה.</w:t>
      </w:r>
    </w:p>
    <w:p w:rsidR="005E2ACC" w:rsidRDefault="00C87ADA" w:rsidP="000E063E">
      <w:pPr>
        <w:rPr>
          <w:rFonts w:hint="cs"/>
          <w:rtl/>
        </w:rPr>
      </w:pPr>
      <w:r w:rsidRPr="00DC59F6">
        <w:rPr>
          <w:rFonts w:hint="cs"/>
          <w:rtl/>
        </w:rPr>
        <w:t xml:space="preserve"> ניתוח מיזוגים אינו </w:t>
      </w:r>
      <w:r>
        <w:rPr>
          <w:rFonts w:hint="cs"/>
          <w:rtl/>
        </w:rPr>
        <w:t>מתמצה ב"ספירת ראשים" של מספר השחקנים ומיזוגים שונים עשויים לעורר חששות תחרות גם בהינתן מספר שחקנים גבוה מחמישה. כפי שמסביר</w:t>
      </w:r>
      <w:r w:rsidR="005E2ACC">
        <w:rPr>
          <w:rFonts w:hint="cs"/>
          <w:rtl/>
        </w:rPr>
        <w:t xml:space="preserve">ים המלומדים </w:t>
      </w:r>
      <w:r w:rsidR="005E2ACC">
        <w:t>Areeda</w:t>
      </w:r>
      <w:r w:rsidR="005E2ACC">
        <w:rPr>
          <w:rFonts w:hint="cs"/>
          <w:rtl/>
        </w:rPr>
        <w:t xml:space="preserve"> ו-</w:t>
      </w:r>
      <w:r w:rsidR="005E2ACC">
        <w:t>Hovnekamp</w:t>
      </w:r>
      <w:r w:rsidR="005E2ACC">
        <w:rPr>
          <w:rFonts w:hint="cs"/>
          <w:rtl/>
        </w:rPr>
        <w:t>:</w:t>
      </w:r>
    </w:p>
    <w:p w:rsidR="005E2ACC" w:rsidRDefault="005E2ACC" w:rsidP="00BE5B6F">
      <w:pPr>
        <w:bidi w:val="0"/>
        <w:ind w:left="799" w:right="851"/>
      </w:pPr>
      <w:r>
        <w:t>"Unhappily, neither economic theory nor empirical data permit derivation of a single set of numbers that fit every situation. An intrinsic difficulty … is that the likelihood of substantial and persistent noncompetitive pricing is affected not only by the number of sellers but by several other factors."</w:t>
      </w:r>
      <w:r>
        <w:rPr>
          <w:rStyle w:val="ac"/>
        </w:rPr>
        <w:footnoteReference w:id="55"/>
      </w:r>
    </w:p>
    <w:p w:rsidR="00C87ADA" w:rsidRPr="003C71DD" w:rsidRDefault="00C87ADA" w:rsidP="000D7ECF">
      <w:pPr>
        <w:pStyle w:val="2"/>
        <w:numPr>
          <w:ilvl w:val="1"/>
          <w:numId w:val="35"/>
        </w:numPr>
        <w:rPr>
          <w:rFonts w:hint="cs"/>
          <w:rtl/>
        </w:rPr>
      </w:pPr>
      <w:r w:rsidRPr="003C71DD">
        <w:rPr>
          <w:rFonts w:hint="cs"/>
          <w:rtl/>
        </w:rPr>
        <w:t xml:space="preserve">אישורי מיזוגים </w:t>
      </w:r>
      <w:r>
        <w:rPr>
          <w:rFonts w:hint="cs"/>
          <w:rtl/>
        </w:rPr>
        <w:t>בתחום התקשורת הניידת באירופה</w:t>
      </w:r>
    </w:p>
    <w:p w:rsidR="00C87ADA" w:rsidRDefault="00C87ADA" w:rsidP="000E063E">
      <w:pPr>
        <w:rPr>
          <w:rFonts w:hint="cs"/>
          <w:rtl/>
        </w:rPr>
      </w:pPr>
      <w:r w:rsidRPr="00DC59F6">
        <w:rPr>
          <w:rFonts w:hint="cs"/>
          <w:rtl/>
        </w:rPr>
        <w:t xml:space="preserve">טענה נוספת שהעלו </w:t>
      </w:r>
      <w:r>
        <w:rPr>
          <w:rFonts w:hint="cs"/>
          <w:rtl/>
        </w:rPr>
        <w:t>הצדדים</w:t>
      </w:r>
      <w:r w:rsidRPr="00DC59F6">
        <w:rPr>
          <w:rFonts w:hint="cs"/>
          <w:rtl/>
        </w:rPr>
        <w:t xml:space="preserve"> נוגעת למיזוגים בתחום התקשורת הניידת שאושרו באירופה ובפרט</w:t>
      </w:r>
      <w:r>
        <w:rPr>
          <w:rFonts w:hint="cs"/>
          <w:rtl/>
        </w:rPr>
        <w:t xml:space="preserve"> </w:t>
      </w:r>
      <w:r w:rsidR="00A96A93">
        <w:rPr>
          <w:rFonts w:hint="cs"/>
          <w:rtl/>
        </w:rPr>
        <w:t>ל</w:t>
      </w:r>
      <w:r w:rsidRPr="00DC59F6">
        <w:rPr>
          <w:rFonts w:hint="cs"/>
          <w:rtl/>
        </w:rPr>
        <w:t>מיזוגים מחמש חברות לארבע חברות ו</w:t>
      </w:r>
      <w:r>
        <w:rPr>
          <w:rFonts w:hint="cs"/>
          <w:rtl/>
        </w:rPr>
        <w:t>ל</w:t>
      </w:r>
      <w:r w:rsidRPr="00DC59F6">
        <w:rPr>
          <w:rFonts w:hint="cs"/>
          <w:rtl/>
        </w:rPr>
        <w:t xml:space="preserve">מיזוגים שהותנו בתנאי מהסוג </w:t>
      </w:r>
      <w:r>
        <w:rPr>
          <w:rFonts w:hint="cs"/>
          <w:rtl/>
        </w:rPr>
        <w:t>שהוצע על ידי סלקום</w:t>
      </w:r>
      <w:r w:rsidRPr="00DC59F6">
        <w:rPr>
          <w:rFonts w:hint="cs"/>
          <w:rtl/>
        </w:rPr>
        <w:t xml:space="preserve">. לטענת </w:t>
      </w:r>
      <w:r>
        <w:rPr>
          <w:rFonts w:hint="cs"/>
          <w:rtl/>
        </w:rPr>
        <w:t>הצדדים,</w:t>
      </w:r>
      <w:r w:rsidR="00A96A93">
        <w:rPr>
          <w:rFonts w:hint="cs"/>
          <w:rtl/>
        </w:rPr>
        <w:t xml:space="preserve"> </w:t>
      </w:r>
      <w:r w:rsidRPr="00DC59F6">
        <w:rPr>
          <w:rFonts w:hint="cs"/>
          <w:rtl/>
        </w:rPr>
        <w:t>על בסיס החלטות אלה יש מקום לאשר את המיזוג שבפני.</w:t>
      </w:r>
    </w:p>
    <w:p w:rsidR="00B929E6" w:rsidRDefault="00B929E6" w:rsidP="003E550E">
      <w:pPr>
        <w:rPr>
          <w:rFonts w:hint="cs"/>
          <w:rtl/>
        </w:rPr>
      </w:pPr>
      <w:r>
        <w:rPr>
          <w:rFonts w:hint="cs"/>
          <w:rtl/>
        </w:rPr>
        <w:t>ראשית דבר, בניגוד לחלק מההחלטות באירופה, בארה"ב החליט משרד המשפטים (</w:t>
      </w:r>
      <w:r>
        <w:t xml:space="preserve">Department of </w:t>
      </w:r>
      <w:r w:rsidR="003E550E">
        <w:t>J</w:t>
      </w:r>
      <w:r>
        <w:t>ustice –</w:t>
      </w:r>
      <w:r w:rsidR="003E550E">
        <w:t>A</w:t>
      </w:r>
      <w:r>
        <w:t xml:space="preserve">ntitrust </w:t>
      </w:r>
      <w:r w:rsidR="003E550E">
        <w:t>D</w:t>
      </w:r>
      <w:r>
        <w:t>ivision</w:t>
      </w:r>
      <w:r>
        <w:rPr>
          <w:rFonts w:hint="cs"/>
          <w:rtl/>
        </w:rPr>
        <w:t xml:space="preserve">) בשנת 2011 להתנגד למיזוג בין המפעילות </w:t>
      </w:r>
      <w:r>
        <w:t>AT&amp;T</w:t>
      </w:r>
      <w:r>
        <w:rPr>
          <w:rFonts w:hint="cs"/>
          <w:rtl/>
        </w:rPr>
        <w:t xml:space="preserve"> ו-</w:t>
      </w:r>
      <w:r>
        <w:t>T-Mobile</w:t>
      </w:r>
      <w:r>
        <w:rPr>
          <w:rFonts w:hint="cs"/>
          <w:rtl/>
        </w:rPr>
        <w:t xml:space="preserve"> </w:t>
      </w:r>
      <w:r>
        <w:rPr>
          <w:rFonts w:hint="cs"/>
          <w:rtl/>
        </w:rPr>
        <w:lastRenderedPageBreak/>
        <w:t>שהיה צפוי להוביל להגברת החשש מפני יצירת שיווי משקל מתואם בש</w:t>
      </w:r>
      <w:r w:rsidR="00BA00E4">
        <w:rPr>
          <w:rFonts w:hint="cs"/>
          <w:rtl/>
        </w:rPr>
        <w:t>ו</w:t>
      </w:r>
      <w:r>
        <w:rPr>
          <w:rFonts w:hint="cs"/>
          <w:rtl/>
        </w:rPr>
        <w:t>ק התקשורת הניידת בארה"ב.</w:t>
      </w:r>
      <w:r w:rsidRPr="00B929E6">
        <w:rPr>
          <w:rStyle w:val="ac"/>
          <w:rtl/>
        </w:rPr>
        <w:t xml:space="preserve"> </w:t>
      </w:r>
      <w:r w:rsidRPr="003C71DD">
        <w:rPr>
          <w:rStyle w:val="ac"/>
          <w:rtl/>
        </w:rPr>
        <w:footnoteReference w:id="56"/>
      </w:r>
    </w:p>
    <w:p w:rsidR="0002066A" w:rsidRDefault="00B929E6" w:rsidP="00B929E6">
      <w:pPr>
        <w:rPr>
          <w:rFonts w:hint="cs"/>
          <w:rtl/>
        </w:rPr>
      </w:pPr>
      <w:r>
        <w:rPr>
          <w:rFonts w:hint="cs"/>
          <w:rtl/>
        </w:rPr>
        <w:t>שנית, גם באשר למצב הדברים באירופה ה</w:t>
      </w:r>
      <w:r w:rsidR="00C87ADA">
        <w:rPr>
          <w:rFonts w:hint="cs"/>
          <w:rtl/>
        </w:rPr>
        <w:t xml:space="preserve">טענה </w:t>
      </w:r>
      <w:r>
        <w:rPr>
          <w:rFonts w:hint="cs"/>
          <w:rtl/>
        </w:rPr>
        <w:t>שהעלו הצדדים</w:t>
      </w:r>
      <w:r w:rsidR="0087025B">
        <w:rPr>
          <w:rFonts w:hint="cs"/>
          <w:rtl/>
        </w:rPr>
        <w:t xml:space="preserve"> </w:t>
      </w:r>
      <w:r w:rsidR="00C87ADA">
        <w:rPr>
          <w:rFonts w:hint="cs"/>
          <w:rtl/>
        </w:rPr>
        <w:t>אינה מייצגת נאמנה את עמדת הנציבות האירופית</w:t>
      </w:r>
      <w:r w:rsidR="0087025B">
        <w:rPr>
          <w:rFonts w:hint="cs"/>
          <w:rtl/>
        </w:rPr>
        <w:t>,</w:t>
      </w:r>
      <w:r w:rsidR="00C87ADA">
        <w:rPr>
          <w:rFonts w:hint="cs"/>
          <w:rtl/>
        </w:rPr>
        <w:t xml:space="preserve"> אשר</w:t>
      </w:r>
      <w:r w:rsidR="0002066A">
        <w:rPr>
          <w:rFonts w:hint="cs"/>
          <w:rtl/>
        </w:rPr>
        <w:t xml:space="preserve"> בדומה לדברים שהוזכרו לעיל</w:t>
      </w:r>
      <w:r w:rsidR="00C87ADA">
        <w:rPr>
          <w:rFonts w:hint="cs"/>
          <w:rtl/>
        </w:rPr>
        <w:t xml:space="preserve"> אינה רואה בניתוח מיזוגים בשוק התקשורת הניידת כעניין טכני הנופל לגדרה של תבנית ניתוח קבועה ומחייבת.</w:t>
      </w:r>
      <w:r w:rsidR="0002066A" w:rsidRPr="0002066A">
        <w:rPr>
          <w:vertAlign w:val="superscript"/>
        </w:rPr>
        <w:t xml:space="preserve"> </w:t>
      </w:r>
      <w:r w:rsidR="0002066A" w:rsidRPr="008C30C5">
        <w:rPr>
          <w:vertAlign w:val="superscript"/>
        </w:rPr>
        <w:footnoteReference w:id="57"/>
      </w:r>
      <w:r w:rsidR="00C87ADA">
        <w:rPr>
          <w:rFonts w:hint="cs"/>
          <w:rtl/>
        </w:rPr>
        <w:t xml:space="preserve"> </w:t>
      </w:r>
    </w:p>
    <w:p w:rsidR="00A96A93" w:rsidRDefault="00A96A93" w:rsidP="00AE54F1">
      <w:pPr>
        <w:rPr>
          <w:rFonts w:hint="cs"/>
          <w:rtl/>
        </w:rPr>
      </w:pPr>
      <w:r>
        <w:rPr>
          <w:rFonts w:hint="cs"/>
          <w:rtl/>
        </w:rPr>
        <w:t>אומנם, בשנים האחרונות אושרו באירופה מספר מיזוגים שהפחיתו את מספר המתחרים בתחום התקשורת הניידת לארבעה, ולעתים גם לשלושה מתחרים בלבד. עם זאת, כפי שפורט לעיל, הנ</w:t>
      </w:r>
      <w:r w:rsidR="00AE54F1">
        <w:rPr>
          <w:rFonts w:hint="cs"/>
          <w:rtl/>
        </w:rPr>
        <w:t>י</w:t>
      </w:r>
      <w:r>
        <w:rPr>
          <w:rFonts w:hint="cs"/>
          <w:rtl/>
        </w:rPr>
        <w:t>סיון בישראל מעיד כי תחרות בין שלוש המפעילות הו</w:t>
      </w:r>
      <w:r w:rsidR="00BA00E4">
        <w:rPr>
          <w:rFonts w:hint="cs"/>
          <w:rtl/>
        </w:rPr>
        <w:t>ו</w:t>
      </w:r>
      <w:r>
        <w:rPr>
          <w:rFonts w:hint="cs"/>
          <w:rtl/>
        </w:rPr>
        <w:t xml:space="preserve">תיקות לא הניבה תוצאות תחרותיות מניחות את הדעת. כפי שהוסבר בהחלטה </w:t>
      </w:r>
      <w:r w:rsidR="00AE54F1">
        <w:rPr>
          <w:rFonts w:hint="cs"/>
          <w:rtl/>
        </w:rPr>
        <w:t>זאת</w:t>
      </w:r>
      <w:r>
        <w:rPr>
          <w:rFonts w:hint="cs"/>
          <w:rtl/>
        </w:rPr>
        <w:t xml:space="preserve">, גם בשוק בו </w:t>
      </w:r>
      <w:r w:rsidR="00AE54F1">
        <w:rPr>
          <w:rFonts w:hint="cs"/>
          <w:rtl/>
        </w:rPr>
        <w:t>יפעלו</w:t>
      </w:r>
      <w:r>
        <w:rPr>
          <w:rFonts w:hint="cs"/>
          <w:rtl/>
        </w:rPr>
        <w:t xml:space="preserve"> ארבע מפעילות בעלות תשתית מתעורר חשש סביר לפגיעה משמעותית בתחרות או בציבור. </w:t>
      </w:r>
    </w:p>
    <w:p w:rsidR="00A96A93" w:rsidRDefault="0016450A" w:rsidP="00997A64">
      <w:pPr>
        <w:rPr>
          <w:rFonts w:hint="cs"/>
          <w:rtl/>
        </w:rPr>
      </w:pPr>
      <w:r>
        <w:rPr>
          <w:rFonts w:hint="cs"/>
          <w:rtl/>
        </w:rPr>
        <w:t>שלישית, מרבית המיזוגים שאושרו באירופה הוכפפו לתנאים (כפי שהוסבר לעיל) לאחר שנמצא</w:t>
      </w:r>
      <w:r w:rsidR="00AE54F1">
        <w:rPr>
          <w:rFonts w:hint="cs"/>
          <w:rtl/>
        </w:rPr>
        <w:t>,</w:t>
      </w:r>
      <w:r>
        <w:rPr>
          <w:rFonts w:hint="cs"/>
          <w:rtl/>
        </w:rPr>
        <w:t xml:space="preserve"> כי הם עלולים לפגוע בתחרות. </w:t>
      </w:r>
      <w:r w:rsidR="00AE54F1">
        <w:rPr>
          <w:rFonts w:hint="cs"/>
          <w:rtl/>
        </w:rPr>
        <w:t>בין היתר נקבעו</w:t>
      </w:r>
      <w:r>
        <w:rPr>
          <w:rFonts w:hint="cs"/>
          <w:rtl/>
        </w:rPr>
        <w:t xml:space="preserve"> באירופה תנאים מבניים מובהקים של מכירת נכסים אולם אינדיקציות שונות מראות</w:t>
      </w:r>
      <w:r w:rsidR="00AE54F1">
        <w:rPr>
          <w:rFonts w:hint="cs"/>
          <w:rtl/>
        </w:rPr>
        <w:t>,</w:t>
      </w:r>
      <w:r>
        <w:rPr>
          <w:rFonts w:hint="cs"/>
          <w:rtl/>
        </w:rPr>
        <w:t xml:space="preserve"> כי גם בכפוף לתנאים אלה הובילו המיזוגים לפגיעה בתחרות.</w:t>
      </w:r>
      <w:r>
        <w:rPr>
          <w:rStyle w:val="ac"/>
          <w:rtl/>
        </w:rPr>
        <w:footnoteReference w:id="58"/>
      </w:r>
      <w:r w:rsidR="00F70DE3">
        <w:rPr>
          <w:rFonts w:hint="cs"/>
          <w:rtl/>
        </w:rPr>
        <w:t xml:space="preserve"> </w:t>
      </w:r>
    </w:p>
    <w:p w:rsidR="00891AC7" w:rsidRDefault="0016450A" w:rsidP="00AE54F1">
      <w:pPr>
        <w:rPr>
          <w:rFonts w:hint="cs"/>
          <w:rtl/>
        </w:rPr>
      </w:pPr>
      <w:r>
        <w:rPr>
          <w:rFonts w:hint="cs"/>
          <w:rtl/>
        </w:rPr>
        <w:t xml:space="preserve">לבסוף, בניגוד לנטען </w:t>
      </w:r>
      <w:r w:rsidR="00AE54F1">
        <w:rPr>
          <w:rFonts w:hint="cs"/>
          <w:rtl/>
        </w:rPr>
        <w:t>על</w:t>
      </w:r>
      <w:r>
        <w:rPr>
          <w:rFonts w:hint="cs"/>
          <w:rtl/>
        </w:rPr>
        <w:t xml:space="preserve"> קיומה של מדיניות</w:t>
      </w:r>
      <w:r w:rsidR="003531FB">
        <w:rPr>
          <w:rFonts w:hint="cs"/>
          <w:rtl/>
        </w:rPr>
        <w:t xml:space="preserve"> אירופאית</w:t>
      </w:r>
      <w:r>
        <w:rPr>
          <w:rFonts w:hint="cs"/>
          <w:rtl/>
        </w:rPr>
        <w:t xml:space="preserve"> </w:t>
      </w:r>
      <w:r w:rsidR="00AE54F1">
        <w:rPr>
          <w:rFonts w:hint="cs"/>
          <w:rtl/>
        </w:rPr>
        <w:t>של</w:t>
      </w:r>
      <w:r>
        <w:rPr>
          <w:rFonts w:hint="cs"/>
          <w:rtl/>
        </w:rPr>
        <w:t xml:space="preserve"> קונסולידציה בין מפעילות באירופה, אנו עשויים להיות עדים דווקא למגמה עדכנית של התנגדות למיזוגי בענף התקשורת הניידת באירופה.</w:t>
      </w:r>
      <w:r w:rsidR="00C87ADA">
        <w:rPr>
          <w:rFonts w:hint="cs"/>
          <w:rtl/>
        </w:rPr>
        <w:t xml:space="preserve"> </w:t>
      </w:r>
      <w:r>
        <w:rPr>
          <w:rFonts w:hint="cs"/>
          <w:rtl/>
        </w:rPr>
        <w:t>כך,</w:t>
      </w:r>
      <w:r w:rsidR="00F70DE3">
        <w:rPr>
          <w:rFonts w:hint="cs"/>
          <w:rtl/>
        </w:rPr>
        <w:t xml:space="preserve"> </w:t>
      </w:r>
      <w:r w:rsidR="00C87ADA">
        <w:rPr>
          <w:rFonts w:hint="cs"/>
          <w:rtl/>
        </w:rPr>
        <w:t>בשנת 2015</w:t>
      </w:r>
      <w:r>
        <w:rPr>
          <w:rFonts w:hint="cs"/>
          <w:rtl/>
        </w:rPr>
        <w:t xml:space="preserve"> התנגדה הנציבות</w:t>
      </w:r>
      <w:r w:rsidR="003531FB">
        <w:rPr>
          <w:rFonts w:hint="cs"/>
          <w:rtl/>
        </w:rPr>
        <w:t xml:space="preserve"> האירופאית</w:t>
      </w:r>
      <w:r w:rsidR="00C87ADA">
        <w:rPr>
          <w:rFonts w:hint="cs"/>
          <w:rtl/>
        </w:rPr>
        <w:t xml:space="preserve"> למיזוג בין שתי מפעילות תקשורת ניידת בדנמרק תוך שהיא דוחה את </w:t>
      </w:r>
      <w:r w:rsidR="00C87ADA" w:rsidRPr="003C71DD">
        <w:rPr>
          <w:rFonts w:hint="cs"/>
          <w:rtl/>
        </w:rPr>
        <w:t>הצעותיהן לאשר את המיזוג בכפוף לתנאים</w:t>
      </w:r>
      <w:r w:rsidR="00C87ADA" w:rsidRPr="003C71DD">
        <w:rPr>
          <w:rStyle w:val="ac"/>
          <w:rtl/>
        </w:rPr>
        <w:footnoteReference w:id="59"/>
      </w:r>
      <w:r w:rsidR="00C87ADA" w:rsidRPr="00696E07">
        <w:rPr>
          <w:rStyle w:val="ac"/>
          <w:rFonts w:hint="cs"/>
          <w:rtl/>
        </w:rPr>
        <w:t>,</w:t>
      </w:r>
      <w:r w:rsidR="00C87ADA" w:rsidRPr="003C71DD">
        <w:rPr>
          <w:rFonts w:hint="cs"/>
          <w:rtl/>
        </w:rPr>
        <w:t xml:space="preserve"> </w:t>
      </w:r>
      <w:r>
        <w:rPr>
          <w:rFonts w:hint="cs"/>
          <w:rtl/>
        </w:rPr>
        <w:t xml:space="preserve">בדומה לכך, </w:t>
      </w:r>
      <w:r w:rsidR="006E0F9E">
        <w:rPr>
          <w:rFonts w:hint="cs"/>
          <w:rtl/>
        </w:rPr>
        <w:t>רשות התחרות האנגלית (</w:t>
      </w:r>
      <w:r w:rsidR="006E0F9E">
        <w:t>CMA</w:t>
      </w:r>
      <w:r w:rsidR="006E0F9E">
        <w:rPr>
          <w:rFonts w:hint="cs"/>
          <w:rtl/>
        </w:rPr>
        <w:t xml:space="preserve">) הביעה רק לפני כשבוע התנגדות פומבית לאישור </w:t>
      </w:r>
      <w:r>
        <w:rPr>
          <w:rFonts w:hint="cs"/>
          <w:rtl/>
        </w:rPr>
        <w:t>במיזוג הנבחן בימים אלה בנציבות האירופ</w:t>
      </w:r>
      <w:r w:rsidR="003531FB">
        <w:rPr>
          <w:rFonts w:hint="cs"/>
          <w:rtl/>
        </w:rPr>
        <w:t>א</w:t>
      </w:r>
      <w:r>
        <w:rPr>
          <w:rFonts w:hint="cs"/>
          <w:rtl/>
        </w:rPr>
        <w:t>ית בין חברות הפועלות באנגליה בכפוף לתנאים מהסוג שהוצע לעיל.</w:t>
      </w:r>
      <w:r>
        <w:rPr>
          <w:rStyle w:val="ac"/>
          <w:rtl/>
        </w:rPr>
        <w:footnoteReference w:id="60"/>
      </w:r>
      <w:r>
        <w:rPr>
          <w:rFonts w:hint="cs"/>
          <w:rtl/>
        </w:rPr>
        <w:t xml:space="preserve"> </w:t>
      </w:r>
    </w:p>
    <w:p w:rsidR="005102F6" w:rsidRDefault="005102F6" w:rsidP="0030707F">
      <w:pPr>
        <w:rPr>
          <w:rtl/>
        </w:rPr>
      </w:pPr>
    </w:p>
    <w:p w:rsidR="003F37C2" w:rsidRPr="00386DF8" w:rsidRDefault="003F37C2" w:rsidP="00881DAD">
      <w:pPr>
        <w:pStyle w:val="1"/>
        <w:rPr>
          <w:rtl/>
        </w:rPr>
      </w:pPr>
      <w:r w:rsidRPr="00386DF8">
        <w:rPr>
          <w:rFonts w:hint="cs"/>
          <w:rtl/>
        </w:rPr>
        <w:lastRenderedPageBreak/>
        <w:t>סוף דבר</w:t>
      </w:r>
    </w:p>
    <w:p w:rsidR="003F37C2" w:rsidRPr="00305618" w:rsidRDefault="003F37C2" w:rsidP="0030707F">
      <w:pPr>
        <w:rPr>
          <w:rtl/>
        </w:rPr>
      </w:pPr>
      <w:r w:rsidRPr="00305618">
        <w:rPr>
          <w:rFonts w:hint="cs"/>
          <w:rtl/>
        </w:rPr>
        <w:t>ענייננו במיזוג אופקי בין שתי חברות הפועלות ב</w:t>
      </w:r>
      <w:r w:rsidR="00C62D6B">
        <w:rPr>
          <w:rFonts w:hint="cs"/>
          <w:rtl/>
        </w:rPr>
        <w:t>ענף התקשורת הניידת</w:t>
      </w:r>
      <w:r>
        <w:rPr>
          <w:rFonts w:hint="cs"/>
          <w:rtl/>
        </w:rPr>
        <w:t xml:space="preserve">. </w:t>
      </w:r>
      <w:r w:rsidRPr="00305618">
        <w:rPr>
          <w:rFonts w:hint="cs"/>
          <w:rtl/>
        </w:rPr>
        <w:t xml:space="preserve">מיזוג זה מעלה חשש סביר לפגיעה משמעותית בתחרות ולפגיעה בציבור, ובפרט מעלה חשש להפעלת כוח שוק </w:t>
      </w:r>
      <w:r w:rsidR="00C62D6B">
        <w:rPr>
          <w:rFonts w:hint="cs"/>
          <w:rtl/>
        </w:rPr>
        <w:t>מתואם אשר ע</w:t>
      </w:r>
      <w:r w:rsidRPr="00305618">
        <w:rPr>
          <w:rFonts w:hint="cs"/>
          <w:rtl/>
        </w:rPr>
        <w:t>לול להתבטא</w:t>
      </w:r>
      <w:r>
        <w:rPr>
          <w:rFonts w:hint="cs"/>
          <w:rtl/>
        </w:rPr>
        <w:t xml:space="preserve"> בהעלאת מחירים </w:t>
      </w:r>
      <w:r w:rsidR="00C62D6B">
        <w:rPr>
          <w:rFonts w:hint="cs"/>
          <w:rtl/>
        </w:rPr>
        <w:t>בענף התקשורת הניידת</w:t>
      </w:r>
      <w:r>
        <w:rPr>
          <w:rFonts w:hint="cs"/>
          <w:rtl/>
        </w:rPr>
        <w:t xml:space="preserve">. </w:t>
      </w:r>
    </w:p>
    <w:p w:rsidR="003F37C2" w:rsidRPr="00305618" w:rsidRDefault="003F37C2" w:rsidP="0030707F">
      <w:pPr>
        <w:rPr>
          <w:rtl/>
        </w:rPr>
      </w:pPr>
      <w:r w:rsidRPr="00305618">
        <w:rPr>
          <w:rFonts w:hint="cs"/>
          <w:rtl/>
        </w:rPr>
        <w:t xml:space="preserve">לנוכח האמור, ובהתאם לסמכותי לפי סעיף 21 לחוק, החלטתי להתנגד למיזוג זה. </w:t>
      </w:r>
    </w:p>
    <w:p w:rsidR="003F37C2" w:rsidRPr="00305618" w:rsidRDefault="003F37C2" w:rsidP="0030707F">
      <w:pPr>
        <w:rPr>
          <w:rFonts w:hint="cs"/>
          <w:rtl/>
        </w:rPr>
      </w:pPr>
      <w:r w:rsidRPr="00305618">
        <w:rPr>
          <w:rFonts w:hint="cs"/>
          <w:rtl/>
        </w:rPr>
        <w:t xml:space="preserve">החלטתי זו נתונה לערר בפני בית הדין להגבלים עסקיים, בהתאם להוראות סעיף 22 לחוק. </w:t>
      </w:r>
    </w:p>
    <w:p w:rsidR="0073304F" w:rsidRDefault="0073304F" w:rsidP="0030707F">
      <w:pPr>
        <w:rPr>
          <w:rFonts w:hint="cs"/>
          <w:rtl/>
        </w:rPr>
      </w:pPr>
    </w:p>
    <w:p w:rsidR="003F37C2" w:rsidRDefault="002E1F95" w:rsidP="0041171E">
      <w:pPr>
        <w:ind w:left="5760" w:firstLine="720"/>
        <w:rPr>
          <w:rFonts w:hint="cs"/>
          <w:rtl/>
        </w:rPr>
      </w:pPr>
      <w:r>
        <w:rPr>
          <w:rFonts w:hint="cs"/>
          <w:rtl/>
        </w:rPr>
        <w:t>מיכל הלפרין</w:t>
      </w:r>
    </w:p>
    <w:p w:rsidR="003F37C2" w:rsidRPr="00305618" w:rsidRDefault="003F37C2" w:rsidP="00881DAD">
      <w:pPr>
        <w:jc w:val="right"/>
        <w:rPr>
          <w:rFonts w:hint="cs"/>
          <w:rtl/>
        </w:rPr>
      </w:pPr>
      <w:r w:rsidRPr="00305618">
        <w:rPr>
          <w:rFonts w:hint="cs"/>
          <w:rtl/>
        </w:rPr>
        <w:t>הממונה על הגבלים עסקיים</w:t>
      </w:r>
    </w:p>
    <w:p w:rsidR="00881DAD" w:rsidRDefault="00881DAD" w:rsidP="0030707F">
      <w:pPr>
        <w:rPr>
          <w:rFonts w:hint="cs"/>
          <w:highlight w:val="yellow"/>
          <w:rtl/>
        </w:rPr>
      </w:pPr>
    </w:p>
    <w:p w:rsidR="003F37C2" w:rsidRPr="0041171E" w:rsidRDefault="003F37C2" w:rsidP="0041171E">
      <w:pPr>
        <w:rPr>
          <w:rFonts w:hint="cs"/>
          <w:rtl/>
        </w:rPr>
      </w:pPr>
      <w:r w:rsidRPr="0041171E">
        <w:rPr>
          <w:rFonts w:hint="cs"/>
          <w:rtl/>
        </w:rPr>
        <w:t xml:space="preserve">ירושלים, </w:t>
      </w:r>
      <w:r w:rsidRPr="0041171E">
        <w:rPr>
          <w:rFonts w:hint="eastAsia"/>
          <w:rtl/>
        </w:rPr>
        <w:t>‏‏</w:t>
      </w:r>
      <w:r w:rsidR="00925426" w:rsidRPr="0041171E">
        <w:rPr>
          <w:rFonts w:hint="eastAsia"/>
          <w:rtl/>
        </w:rPr>
        <w:t>‏</w:t>
      </w:r>
      <w:r w:rsidR="0041171E" w:rsidRPr="0041171E">
        <w:rPr>
          <w:rFonts w:hint="eastAsia"/>
          <w:rtl/>
        </w:rPr>
        <w:t>‏י</w:t>
      </w:r>
      <w:r w:rsidR="0041171E" w:rsidRPr="0041171E">
        <w:rPr>
          <w:rtl/>
        </w:rPr>
        <w:t>"ג ניסן תשע"ו</w:t>
      </w:r>
    </w:p>
    <w:p w:rsidR="002E1F95" w:rsidRPr="00305618" w:rsidRDefault="0041171E" w:rsidP="0041171E">
      <w:pPr>
        <w:rPr>
          <w:rFonts w:hint="cs"/>
          <w:rtl/>
        </w:rPr>
      </w:pPr>
      <w:r w:rsidRPr="0041171E">
        <w:rPr>
          <w:rFonts w:hint="eastAsia"/>
          <w:rtl/>
        </w:rPr>
        <w:t>‏</w:t>
      </w:r>
      <w:r w:rsidRPr="0041171E">
        <w:rPr>
          <w:rtl/>
        </w:rPr>
        <w:t>21 אפריל 2016</w:t>
      </w:r>
      <w:r w:rsidR="002E1F95">
        <w:rPr>
          <w:rFonts w:hint="cs"/>
          <w:rtl/>
        </w:rPr>
        <w:t xml:space="preserve"> </w:t>
      </w:r>
    </w:p>
    <w:sectPr w:rsidR="002E1F95" w:rsidRPr="00305618" w:rsidSect="00752D33">
      <w:headerReference w:type="even" r:id="rId11"/>
      <w:headerReference w:type="default" r:id="rId12"/>
      <w:headerReference w:type="first" r:id="rId13"/>
      <w:footerReference w:type="first" r:id="rId14"/>
      <w:pgSz w:w="11906" w:h="16838"/>
      <w:pgMar w:top="1440" w:right="1797" w:bottom="1440" w:left="1797" w:header="720" w:footer="720" w:gutter="0"/>
      <w:cols w:space="708"/>
      <w:titlePg/>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4">
      <wne:macro wne:macroName="TEMPLATEPROJECT.NEWMACROS.תאריך"/>
    </wne:keymap>
  </wne:keymaps>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3E2" w:rsidRDefault="003753E2" w:rsidP="0030707F">
      <w:r>
        <w:separator/>
      </w:r>
    </w:p>
  </w:endnote>
  <w:endnote w:type="continuationSeparator" w:id="0">
    <w:p w:rsidR="003753E2" w:rsidRDefault="003753E2" w:rsidP="0030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CDF" w:rsidRPr="000D35B6" w:rsidRDefault="000D35B6" w:rsidP="000D35B6">
    <w:pPr>
      <w:pStyle w:val="a6"/>
      <w:jc w:val="left"/>
      <w:rPr>
        <w:rFonts w:hint="cs"/>
        <w:sz w:val="18"/>
        <w:rtl/>
      </w:rPr>
    </w:pPr>
    <w:r>
      <w:rPr>
        <w:sz w:val="18"/>
        <w:rtl/>
      </w:rPr>
      <w:t>10307/ 551275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3E2" w:rsidRDefault="003753E2" w:rsidP="0030707F">
      <w:r>
        <w:separator/>
      </w:r>
    </w:p>
  </w:footnote>
  <w:footnote w:type="continuationSeparator" w:id="0">
    <w:p w:rsidR="003753E2" w:rsidRDefault="003753E2" w:rsidP="0030707F">
      <w:r>
        <w:continuationSeparator/>
      </w:r>
    </w:p>
  </w:footnote>
  <w:footnote w:id="1">
    <w:p w:rsidR="005F2CDF" w:rsidRPr="0018100D" w:rsidRDefault="005F2CDF" w:rsidP="00C325B1">
      <w:pPr>
        <w:pStyle w:val="aa"/>
        <w:spacing w:line="240" w:lineRule="auto"/>
        <w:rPr>
          <w:rFonts w:hint="cs"/>
          <w:rtl/>
        </w:rPr>
      </w:pPr>
      <w:r>
        <w:rPr>
          <w:rStyle w:val="ac"/>
        </w:rPr>
        <w:footnoteRef/>
      </w:r>
      <w:r>
        <w:rPr>
          <w:rFonts w:hint="cs"/>
          <w:rtl/>
        </w:rPr>
        <w:t xml:space="preserve"> באמצעות מספר חברות שבשליטתו.</w:t>
      </w:r>
    </w:p>
  </w:footnote>
  <w:footnote w:id="2">
    <w:p w:rsidR="005F2CDF" w:rsidRPr="00CF4366" w:rsidRDefault="005F2CDF" w:rsidP="00CA4F62">
      <w:pPr>
        <w:spacing w:line="240" w:lineRule="auto"/>
        <w:rPr>
          <w:rFonts w:hint="cs"/>
          <w:sz w:val="20"/>
          <w:szCs w:val="20"/>
          <w:rtl/>
        </w:rPr>
      </w:pPr>
      <w:r w:rsidRPr="009152DB">
        <w:rPr>
          <w:rStyle w:val="ac"/>
        </w:rPr>
        <w:footnoteRef/>
      </w:r>
      <w:r w:rsidRPr="009152DB">
        <w:rPr>
          <w:rFonts w:hint="cs"/>
          <w:rtl/>
        </w:rPr>
        <w:t xml:space="preserve"> </w:t>
      </w:r>
      <w:r w:rsidRPr="00164FFE">
        <w:rPr>
          <w:rFonts w:hint="cs"/>
          <w:sz w:val="20"/>
          <w:szCs w:val="20"/>
          <w:rtl/>
        </w:rPr>
        <w:t xml:space="preserve">גילוי דעת 1/11 בעניין הנחיות לניתוח תחרותי של מיזוגים אופקיים, (23.1.2011) </w:t>
      </w:r>
      <w:r w:rsidRPr="00164FFE">
        <w:rPr>
          <w:rFonts w:hint="cs"/>
          <w:b/>
          <w:bCs/>
          <w:sz w:val="20"/>
          <w:szCs w:val="20"/>
          <w:rtl/>
        </w:rPr>
        <w:t>הגבלים עסקיים</w:t>
      </w:r>
      <w:r w:rsidRPr="00164FFE">
        <w:rPr>
          <w:rFonts w:hint="cs"/>
          <w:sz w:val="20"/>
          <w:szCs w:val="20"/>
          <w:rtl/>
        </w:rPr>
        <w:t xml:space="preserve"> 5001710</w:t>
      </w:r>
      <w:r>
        <w:rPr>
          <w:rFonts w:hint="cs"/>
          <w:sz w:val="20"/>
          <w:szCs w:val="20"/>
          <w:rtl/>
        </w:rPr>
        <w:t>.</w:t>
      </w:r>
    </w:p>
  </w:footnote>
  <w:footnote w:id="3">
    <w:p w:rsidR="005F2CDF" w:rsidRPr="001A632C" w:rsidRDefault="005F2CDF" w:rsidP="007644EF">
      <w:pPr>
        <w:pStyle w:val="aa"/>
        <w:spacing w:line="240" w:lineRule="auto"/>
        <w:rPr>
          <w:rFonts w:hint="cs"/>
          <w:rtl/>
        </w:rPr>
      </w:pPr>
      <w:r w:rsidRPr="006C5519">
        <w:rPr>
          <w:rStyle w:val="ac"/>
        </w:rPr>
        <w:footnoteRef/>
      </w:r>
      <w:r w:rsidRPr="006C5519">
        <w:rPr>
          <w:rFonts w:hint="cs"/>
          <w:rtl/>
        </w:rPr>
        <w:t xml:space="preserve"> שני תחומים נוספים הנוגעים למיזוג הם תחום השיחות הבינלאומיות ותחום שידורי הטלוויזיה</w:t>
      </w:r>
      <w:r>
        <w:rPr>
          <w:rFonts w:hint="cs"/>
          <w:rtl/>
        </w:rPr>
        <w:t>.</w:t>
      </w:r>
      <w:r w:rsidRPr="006C5519">
        <w:rPr>
          <w:rFonts w:hint="cs"/>
          <w:rtl/>
        </w:rPr>
        <w:t xml:space="preserve"> בחינה של תחומים אלה העלתה שהמיזוג אינו מעורר חשש סביר לפגיעה בתחרות בכל הנוגע אליהם</w:t>
      </w:r>
      <w:r>
        <w:rPr>
          <w:rFonts w:hint="cs"/>
          <w:rtl/>
        </w:rPr>
        <w:t xml:space="preserve"> ולפיכך נימוקי התנגדות אלה לא יעסקו בתחומי השיחות הבינלאומיות ושידורי הטלוויזיה</w:t>
      </w:r>
      <w:r w:rsidRPr="006C5519">
        <w:rPr>
          <w:rFonts w:hint="cs"/>
          <w:rtl/>
        </w:rPr>
        <w:t>.</w:t>
      </w:r>
      <w:r>
        <w:rPr>
          <w:rFonts w:hint="cs"/>
          <w:rtl/>
        </w:rPr>
        <w:t xml:space="preserve"> </w:t>
      </w:r>
    </w:p>
  </w:footnote>
  <w:footnote w:id="4">
    <w:p w:rsidR="005F2CDF" w:rsidRDefault="005F2CDF" w:rsidP="00696E07">
      <w:pPr>
        <w:pStyle w:val="aa"/>
        <w:spacing w:line="240" w:lineRule="auto"/>
        <w:rPr>
          <w:rFonts w:hint="cs"/>
          <w:rtl/>
        </w:rPr>
      </w:pPr>
      <w:r>
        <w:rPr>
          <w:rStyle w:val="ac"/>
        </w:rPr>
        <w:footnoteRef/>
      </w:r>
      <w:r>
        <w:rPr>
          <w:rFonts w:hint="cs"/>
          <w:rtl/>
        </w:rPr>
        <w:t xml:space="preserve"> לקוחות עסקיים הם תאגידים, עוסקים מורשים, גופים ממשלתיים וגופים שהוקמו בחוק. לקוחות פרטיים הם לקוחות שאינם עסקיים.</w:t>
      </w:r>
    </w:p>
  </w:footnote>
  <w:footnote w:id="5">
    <w:p w:rsidR="005F2CDF" w:rsidRDefault="005F2CDF" w:rsidP="00B175EC">
      <w:pPr>
        <w:pStyle w:val="aa"/>
        <w:spacing w:line="240" w:lineRule="auto"/>
        <w:rPr>
          <w:rFonts w:hint="cs"/>
        </w:rPr>
      </w:pPr>
      <w:r>
        <w:rPr>
          <w:rStyle w:val="ac"/>
        </w:rPr>
        <w:footnoteRef/>
      </w:r>
      <w:r>
        <w:rPr>
          <w:rtl/>
        </w:rPr>
        <w:t xml:space="preserve"> </w:t>
      </w:r>
      <w:r>
        <w:rPr>
          <w:rFonts w:hint="cs"/>
          <w:rtl/>
        </w:rPr>
        <w:t xml:space="preserve">ראו הגדרת "מנוי עסקי" ברשיון כללי לסלקום ישראל בע"מ למתן שירותי רדיו טלפון נייד בשיטה התאית (רט"ן) באתר משרד התקשורת </w:t>
      </w:r>
      <w:r>
        <w:t xml:space="preserve">   .</w:t>
      </w:r>
      <w:r w:rsidRPr="00B175EC">
        <w:t>http://www.moc.gov.il/sip_storage/FILES/5/625.pdf</w:t>
      </w:r>
    </w:p>
  </w:footnote>
  <w:footnote w:id="6">
    <w:p w:rsidR="005F2CDF" w:rsidRPr="004F24A2" w:rsidRDefault="005F2CDF" w:rsidP="00696E07">
      <w:pPr>
        <w:pStyle w:val="aa"/>
        <w:spacing w:line="240" w:lineRule="auto"/>
        <w:rPr>
          <w:rFonts w:hint="cs"/>
          <w:rtl/>
        </w:rPr>
      </w:pPr>
      <w:r>
        <w:rPr>
          <w:rStyle w:val="ac"/>
        </w:rPr>
        <w:footnoteRef/>
      </w:r>
      <w:r>
        <w:rPr>
          <w:rFonts w:hint="cs"/>
          <w:rtl/>
        </w:rPr>
        <w:t xml:space="preserve"> רדיו טלפון נייד.</w:t>
      </w:r>
    </w:p>
  </w:footnote>
  <w:footnote w:id="7">
    <w:p w:rsidR="005F2CDF" w:rsidRDefault="005F2CDF" w:rsidP="00696E07">
      <w:pPr>
        <w:pStyle w:val="aa"/>
        <w:spacing w:line="240" w:lineRule="auto"/>
        <w:rPr>
          <w:rFonts w:hint="cs"/>
          <w:rtl/>
        </w:rPr>
      </w:pPr>
      <w:r>
        <w:rPr>
          <w:rStyle w:val="ac"/>
        </w:rPr>
        <w:footnoteRef/>
      </w:r>
      <w:r>
        <w:rPr>
          <w:rFonts w:hint="cs"/>
          <w:rtl/>
        </w:rPr>
        <w:t xml:space="preserve"> בבעלות בזק החברה הישראלית לתקשורת בע"מ הנשלטת בעקיפין על ידי מר שאול אלוביץ'.</w:t>
      </w:r>
    </w:p>
  </w:footnote>
  <w:footnote w:id="8">
    <w:p w:rsidR="005F2CDF" w:rsidRDefault="005F2CDF" w:rsidP="00696E07">
      <w:pPr>
        <w:pStyle w:val="aa"/>
        <w:spacing w:line="240" w:lineRule="auto"/>
        <w:rPr>
          <w:rFonts w:hint="cs"/>
          <w:rtl/>
        </w:rPr>
      </w:pPr>
      <w:r>
        <w:rPr>
          <w:rStyle w:val="ac"/>
        </w:rPr>
        <w:footnoteRef/>
      </w:r>
      <w:r>
        <w:rPr>
          <w:rFonts w:hint="cs"/>
          <w:rtl/>
        </w:rPr>
        <w:t xml:space="preserve"> הנשלטת בעקיפין על ידי מר חיים סבן.</w:t>
      </w:r>
    </w:p>
  </w:footnote>
  <w:footnote w:id="9">
    <w:p w:rsidR="005F2CDF" w:rsidRDefault="005F2CDF" w:rsidP="00696E07">
      <w:pPr>
        <w:pStyle w:val="aa"/>
        <w:spacing w:line="240" w:lineRule="auto"/>
        <w:rPr>
          <w:rFonts w:hint="cs"/>
          <w:rtl/>
        </w:rPr>
      </w:pPr>
      <w:r>
        <w:rPr>
          <w:rStyle w:val="ac"/>
        </w:rPr>
        <w:footnoteRef/>
      </w:r>
      <w:r>
        <w:rPr>
          <w:rFonts w:hint="cs"/>
          <w:rtl/>
        </w:rPr>
        <w:t xml:space="preserve"> בבעלות הוט מערכות תקשורת בע"מ הנשלטת בעקיפין על ידי מר פטריק דרהי.</w:t>
      </w:r>
    </w:p>
  </w:footnote>
  <w:footnote w:id="10">
    <w:p w:rsidR="005F2CDF" w:rsidRPr="001A632C" w:rsidRDefault="005F2CDF" w:rsidP="00696E07">
      <w:pPr>
        <w:pStyle w:val="aa"/>
        <w:spacing w:line="240" w:lineRule="auto"/>
        <w:rPr>
          <w:rFonts w:hint="cs"/>
          <w:rtl/>
        </w:rPr>
      </w:pPr>
      <w:r>
        <w:rPr>
          <w:rStyle w:val="ac"/>
        </w:rPr>
        <w:footnoteRef/>
      </w:r>
      <w:r>
        <w:rPr>
          <w:rFonts w:hint="cs"/>
          <w:rtl/>
        </w:rPr>
        <w:t xml:space="preserve"> הום סלולר בע"מ שפועלת אף היא כמפעילה וירטואלית נמצאת בהליכי רכישה על ידי סלקום. </w:t>
      </w:r>
    </w:p>
  </w:footnote>
  <w:footnote w:id="11">
    <w:p w:rsidR="005F2CDF" w:rsidRPr="00D8300A" w:rsidRDefault="005F2CDF" w:rsidP="00696E07">
      <w:pPr>
        <w:pStyle w:val="aa"/>
        <w:spacing w:line="240" w:lineRule="auto"/>
        <w:rPr>
          <w:rFonts w:hint="cs"/>
          <w:rtl/>
        </w:rPr>
      </w:pPr>
      <w:r>
        <w:rPr>
          <w:rStyle w:val="ac"/>
        </w:rPr>
        <w:footnoteRef/>
      </w:r>
      <w:r>
        <w:rPr>
          <w:rFonts w:hint="cs"/>
          <w:rtl/>
        </w:rPr>
        <w:t xml:space="preserve"> נתחי השוק חושבו על בסיס נתוני המפעילות והם מובאים בטווח רלוונטי בלבד על מנת להמנע מחשיפת סודות מסחריים.</w:t>
      </w:r>
    </w:p>
  </w:footnote>
  <w:footnote w:id="12">
    <w:p w:rsidR="005F2CDF" w:rsidRPr="0074201D" w:rsidRDefault="005F2CDF" w:rsidP="00997A64">
      <w:pPr>
        <w:pStyle w:val="aa"/>
        <w:spacing w:after="0" w:line="240" w:lineRule="auto"/>
        <w:rPr>
          <w:rtl/>
        </w:rPr>
      </w:pPr>
      <w:r w:rsidRPr="00AE0BE3">
        <w:rPr>
          <w:rStyle w:val="ac"/>
        </w:rPr>
        <w:footnoteRef/>
      </w:r>
      <w:r w:rsidRPr="00AE0BE3">
        <w:rPr>
          <w:rFonts w:hint="cs"/>
          <w:rtl/>
        </w:rPr>
        <w:t xml:space="preserve"> </w:t>
      </w:r>
      <w:r w:rsidRPr="00164FFE">
        <w:rPr>
          <w:rFonts w:hint="cs"/>
          <w:rtl/>
        </w:rPr>
        <w:t>הרן לבאות ועדי קאהן</w:t>
      </w:r>
      <w:r w:rsidRPr="00164FFE">
        <w:rPr>
          <w:rtl/>
        </w:rPr>
        <w:t>–</w:t>
      </w:r>
      <w:r w:rsidRPr="00164FFE">
        <w:rPr>
          <w:rFonts w:hint="cs"/>
          <w:rtl/>
        </w:rPr>
        <w:t xml:space="preserve">גונן (אגף כלכלה ותקציב, משרד התקשורת), </w:t>
      </w:r>
      <w:r w:rsidRPr="00164FFE">
        <w:rPr>
          <w:b/>
          <w:bCs/>
          <w:rtl/>
        </w:rPr>
        <w:t>חוות דעת כלכלית בעניין שיתוף רשתות הרדיו בשוק הרט"ן בישראל</w:t>
      </w:r>
      <w:r w:rsidRPr="00164FFE">
        <w:rPr>
          <w:rFonts w:hint="cs"/>
          <w:rtl/>
        </w:rPr>
        <w:t xml:space="preserve">, עמ' </w:t>
      </w:r>
      <w:r w:rsidRPr="001A2170">
        <w:rPr>
          <w:rFonts w:hint="cs"/>
          <w:rtl/>
        </w:rPr>
        <w:t>6 (</w:t>
      </w:r>
      <w:r w:rsidRPr="00E549EA">
        <w:rPr>
          <w:rFonts w:hint="cs"/>
          <w:rtl/>
        </w:rPr>
        <w:t>2014) (להלן: "</w:t>
      </w:r>
      <w:r w:rsidRPr="00E549EA">
        <w:rPr>
          <w:rFonts w:hint="cs"/>
          <w:b/>
          <w:bCs/>
          <w:rtl/>
        </w:rPr>
        <w:t>חוו"ד משרד התקשורת בעניין שיתוף רשתות</w:t>
      </w:r>
      <w:r w:rsidRPr="0074201D">
        <w:rPr>
          <w:rFonts w:hint="cs"/>
          <w:rtl/>
        </w:rPr>
        <w:t xml:space="preserve">") </w:t>
      </w:r>
    </w:p>
    <w:p w:rsidR="005F2CDF" w:rsidRPr="00AE0BE3" w:rsidRDefault="005F2CDF" w:rsidP="00696E07">
      <w:pPr>
        <w:pStyle w:val="aa"/>
        <w:spacing w:after="0" w:line="240" w:lineRule="auto"/>
        <w:rPr>
          <w:rFonts w:hint="cs"/>
          <w:rtl/>
        </w:rPr>
      </w:pPr>
      <w:hyperlink r:id="rId1" w:history="1">
        <w:r w:rsidRPr="00164FFE">
          <w:rPr>
            <w:rStyle w:val="Hyperlink"/>
          </w:rPr>
          <w:t>http://www.moc.gov.il/sip_storage/FILES/2/3552.pdf</w:t>
        </w:r>
      </w:hyperlink>
      <w:r w:rsidRPr="00164FFE">
        <w:rPr>
          <w:rFonts w:hint="cs"/>
          <w:rtl/>
        </w:rPr>
        <w:t>.</w:t>
      </w:r>
    </w:p>
  </w:footnote>
  <w:footnote w:id="13">
    <w:p w:rsidR="005F2CDF" w:rsidRDefault="005F2CDF" w:rsidP="00696E07">
      <w:pPr>
        <w:spacing w:after="0" w:line="240" w:lineRule="auto"/>
        <w:rPr>
          <w:rFonts w:hint="cs"/>
          <w:sz w:val="20"/>
          <w:szCs w:val="20"/>
          <w:rtl/>
        </w:rPr>
      </w:pPr>
      <w:r w:rsidRPr="00AE0BE3">
        <w:rPr>
          <w:rStyle w:val="ac"/>
        </w:rPr>
        <w:footnoteRef/>
      </w:r>
      <w:r w:rsidRPr="00AE0BE3">
        <w:rPr>
          <w:rFonts w:hint="cs"/>
          <w:rtl/>
        </w:rPr>
        <w:t xml:space="preserve"> </w:t>
      </w:r>
      <w:r w:rsidRPr="00164FFE">
        <w:rPr>
          <w:rFonts w:hint="cs"/>
          <w:sz w:val="20"/>
          <w:szCs w:val="20"/>
          <w:rtl/>
        </w:rPr>
        <w:t>משרד התקשורת</w:t>
      </w:r>
      <w:r w:rsidRPr="00164FFE">
        <w:rPr>
          <w:rFonts w:hint="cs"/>
          <w:b/>
          <w:bCs/>
          <w:sz w:val="20"/>
          <w:szCs w:val="20"/>
          <w:rtl/>
        </w:rPr>
        <w:t xml:space="preserve"> "ניידות המספרים יוצאת לדרך: מהיום כל צרכן טלפוניה בישראל יוכל לעבור מחברה לחברה </w:t>
      </w:r>
      <w:r w:rsidRPr="00164FFE">
        <w:rPr>
          <w:b/>
          <w:bCs/>
          <w:sz w:val="20"/>
          <w:szCs w:val="20"/>
          <w:rtl/>
        </w:rPr>
        <w:t>–</w:t>
      </w:r>
      <w:r w:rsidRPr="00164FFE">
        <w:rPr>
          <w:rFonts w:hint="cs"/>
          <w:b/>
          <w:bCs/>
          <w:sz w:val="20"/>
          <w:szCs w:val="20"/>
          <w:rtl/>
        </w:rPr>
        <w:t xml:space="preserve"> בנייח או בנייד </w:t>
      </w:r>
      <w:r w:rsidRPr="00164FFE">
        <w:rPr>
          <w:b/>
          <w:bCs/>
          <w:sz w:val="20"/>
          <w:szCs w:val="20"/>
          <w:rtl/>
        </w:rPr>
        <w:t>–</w:t>
      </w:r>
      <w:r w:rsidRPr="00164FFE">
        <w:rPr>
          <w:rFonts w:hint="cs"/>
          <w:b/>
          <w:bCs/>
          <w:sz w:val="20"/>
          <w:szCs w:val="20"/>
          <w:rtl/>
        </w:rPr>
        <w:t xml:space="preserve"> ולהישאר עם אותו המספר כולל הקידומת"</w:t>
      </w:r>
      <w:r w:rsidRPr="00164FFE">
        <w:rPr>
          <w:rFonts w:hint="cs"/>
          <w:sz w:val="20"/>
          <w:szCs w:val="20"/>
          <w:rtl/>
        </w:rPr>
        <w:t xml:space="preserve"> (2007)</w:t>
      </w:r>
    </w:p>
    <w:p w:rsidR="005F2CDF" w:rsidRPr="00CF4366" w:rsidRDefault="005F2CDF" w:rsidP="00696E07">
      <w:pPr>
        <w:spacing w:after="0" w:line="240" w:lineRule="auto"/>
        <w:rPr>
          <w:rFonts w:hint="cs"/>
          <w:sz w:val="20"/>
          <w:szCs w:val="20"/>
          <w:rtl/>
        </w:rPr>
      </w:pPr>
      <w:hyperlink r:id="rId2" w:history="1">
        <w:r w:rsidRPr="00164FFE">
          <w:rPr>
            <w:rStyle w:val="Hyperlink"/>
            <w:sz w:val="20"/>
            <w:szCs w:val="20"/>
          </w:rPr>
          <w:t>http://www.moc.gov.il/sip_storage/FILES/2/1272.pdf</w:t>
        </w:r>
      </w:hyperlink>
      <w:r>
        <w:rPr>
          <w:rFonts w:hint="cs"/>
          <w:sz w:val="20"/>
          <w:szCs w:val="20"/>
          <w:rtl/>
        </w:rPr>
        <w:t>.</w:t>
      </w:r>
    </w:p>
  </w:footnote>
  <w:footnote w:id="14">
    <w:p w:rsidR="005F2CDF" w:rsidRDefault="005F2CDF" w:rsidP="00696E07">
      <w:pPr>
        <w:pStyle w:val="aa"/>
        <w:spacing w:line="240" w:lineRule="auto"/>
        <w:rPr>
          <w:rFonts w:hint="cs"/>
          <w:rtl/>
        </w:rPr>
      </w:pPr>
      <w:r>
        <w:rPr>
          <w:rStyle w:val="ac"/>
        </w:rPr>
        <w:footnoteRef/>
      </w:r>
      <w:r>
        <w:rPr>
          <w:rFonts w:hint="cs"/>
          <w:rtl/>
        </w:rPr>
        <w:t xml:space="preserve"> משרד התקשורת </w:t>
      </w:r>
      <w:r w:rsidRPr="00AE0BE3">
        <w:rPr>
          <w:rFonts w:hint="cs"/>
          <w:b/>
          <w:bCs/>
          <w:rtl/>
        </w:rPr>
        <w:t>החלטה בנושא ניתוק הזיקה בין עסקת רכישת ציוד קצה ובין מתן הטבות</w:t>
      </w:r>
      <w:r>
        <w:rPr>
          <w:rFonts w:hint="cs"/>
          <w:rtl/>
        </w:rPr>
        <w:t xml:space="preserve"> (2009) - </w:t>
      </w:r>
      <w:hyperlink r:id="rId3" w:history="1">
        <w:r w:rsidRPr="0036387D">
          <w:rPr>
            <w:rStyle w:val="Hyperlink"/>
          </w:rPr>
          <w:t>http://www.moc.gov.il/sip_storage/FILES/6/1746.pdf</w:t>
        </w:r>
      </w:hyperlink>
      <w:r>
        <w:rPr>
          <w:rFonts w:hint="cs"/>
          <w:rtl/>
        </w:rPr>
        <w:t xml:space="preserve">; משרד התקשורת </w:t>
      </w:r>
      <w:r w:rsidRPr="00AE0BE3">
        <w:rPr>
          <w:rFonts w:hint="cs"/>
          <w:b/>
          <w:bCs/>
          <w:rtl/>
        </w:rPr>
        <w:t xml:space="preserve">ניתוק הזיקה בין עסקת רכישת ציוד קצה ובין מתן הטבות </w:t>
      </w:r>
      <w:r w:rsidRPr="00AE0BE3">
        <w:rPr>
          <w:b/>
          <w:bCs/>
          <w:rtl/>
        </w:rPr>
        <w:t>–</w:t>
      </w:r>
      <w:r w:rsidRPr="00AE0BE3">
        <w:rPr>
          <w:rFonts w:hint="cs"/>
          <w:b/>
          <w:bCs/>
          <w:rtl/>
        </w:rPr>
        <w:t xml:space="preserve"> הבהרות </w:t>
      </w:r>
      <w:r>
        <w:rPr>
          <w:rFonts w:hint="cs"/>
          <w:rtl/>
        </w:rPr>
        <w:t xml:space="preserve">(2012) </w:t>
      </w:r>
      <w:hyperlink r:id="rId4" w:history="1">
        <w:r w:rsidRPr="0036387D">
          <w:rPr>
            <w:rStyle w:val="Hyperlink"/>
          </w:rPr>
          <w:t>http://www.moc.gov.il/sip_storage/FILES/7/2807.pdf</w:t>
        </w:r>
      </w:hyperlink>
      <w:r>
        <w:rPr>
          <w:rFonts w:hint="cs"/>
          <w:rtl/>
        </w:rPr>
        <w:t xml:space="preserve">.  </w:t>
      </w:r>
    </w:p>
  </w:footnote>
  <w:footnote w:id="15">
    <w:p w:rsidR="005F2CDF" w:rsidRPr="00CF4366" w:rsidRDefault="005F2CDF" w:rsidP="00696E07">
      <w:pPr>
        <w:pStyle w:val="aa"/>
        <w:spacing w:line="240" w:lineRule="auto"/>
      </w:pPr>
      <w:r w:rsidRPr="006279CA">
        <w:rPr>
          <w:rStyle w:val="ac"/>
        </w:rPr>
        <w:footnoteRef/>
      </w:r>
      <w:r w:rsidRPr="006279CA">
        <w:rPr>
          <w:rFonts w:hint="cs"/>
          <w:rtl/>
        </w:rPr>
        <w:t xml:space="preserve"> </w:t>
      </w:r>
      <w:r w:rsidRPr="00164FFE">
        <w:rPr>
          <w:rFonts w:hint="cs"/>
          <w:rtl/>
        </w:rPr>
        <w:t xml:space="preserve">משרד התקשורת </w:t>
      </w:r>
      <w:r w:rsidRPr="00664A40">
        <w:rPr>
          <w:rFonts w:hint="cs"/>
          <w:b/>
          <w:bCs/>
          <w:rtl/>
        </w:rPr>
        <w:t xml:space="preserve">תעריפי קישור גימלין לרשת רט"ן </w:t>
      </w:r>
      <w:r w:rsidRPr="00664A40">
        <w:rPr>
          <w:b/>
          <w:bCs/>
          <w:rtl/>
        </w:rPr>
        <w:t>–</w:t>
      </w:r>
      <w:r w:rsidRPr="001A2170">
        <w:rPr>
          <w:rFonts w:hint="cs"/>
          <w:b/>
          <w:bCs/>
          <w:rtl/>
        </w:rPr>
        <w:t xml:space="preserve"> תקנות התקשורת (בזק ושידורים) (תשלומים בעד קישור גומלין) (תיקון מס' 5), התש"ע-2010</w:t>
      </w:r>
      <w:r w:rsidRPr="001A2170">
        <w:rPr>
          <w:rFonts w:hint="cs"/>
          <w:rtl/>
        </w:rPr>
        <w:t xml:space="preserve"> (2010)</w:t>
      </w:r>
      <w:r w:rsidRPr="00E549EA">
        <w:rPr>
          <w:rFonts w:hint="cs"/>
          <w:rtl/>
        </w:rPr>
        <w:t xml:space="preserve"> </w:t>
      </w:r>
      <w:hyperlink r:id="rId5" w:history="1">
        <w:r w:rsidRPr="00664A40">
          <w:rPr>
            <w:rStyle w:val="Hyperlink"/>
          </w:rPr>
          <w:t>http://www.moc.gov.il/sip_storage/FILES/9/2279.pdf</w:t>
        </w:r>
      </w:hyperlink>
      <w:r>
        <w:rPr>
          <w:rFonts w:hint="cs"/>
          <w:rtl/>
        </w:rPr>
        <w:t>.</w:t>
      </w:r>
    </w:p>
  </w:footnote>
  <w:footnote w:id="16">
    <w:p w:rsidR="005F2CDF" w:rsidRPr="00AE0BE3" w:rsidRDefault="005F2CDF" w:rsidP="00696E07">
      <w:pPr>
        <w:pStyle w:val="aa"/>
        <w:spacing w:line="240" w:lineRule="auto"/>
        <w:rPr>
          <w:rFonts w:hint="cs"/>
          <w:rtl/>
        </w:rPr>
      </w:pPr>
      <w:r>
        <w:rPr>
          <w:rStyle w:val="ac"/>
        </w:rPr>
        <w:footnoteRef/>
      </w:r>
      <w:r>
        <w:rPr>
          <w:rFonts w:hint="cs"/>
          <w:rtl/>
        </w:rPr>
        <w:t xml:space="preserve"> </w:t>
      </w:r>
      <w:r w:rsidRPr="00164FFE">
        <w:rPr>
          <w:rFonts w:hint="cs"/>
          <w:rtl/>
        </w:rPr>
        <w:t>סע' 55 לחוק ההתייעלות הכלכלית (תיקוני חקיקה ליישום התכנית הכלכלית לשנים 2009 ו-2010), התשס"ט-2009</w:t>
      </w:r>
      <w:r>
        <w:rPr>
          <w:rFonts w:hint="cs"/>
          <w:rtl/>
        </w:rPr>
        <w:t>.</w:t>
      </w:r>
    </w:p>
  </w:footnote>
  <w:footnote w:id="17">
    <w:p w:rsidR="005F2CDF" w:rsidRPr="00515F42" w:rsidRDefault="005F2CDF" w:rsidP="00696E07">
      <w:pPr>
        <w:pStyle w:val="aa"/>
        <w:spacing w:line="240" w:lineRule="auto"/>
        <w:rPr>
          <w:rFonts w:hint="cs"/>
          <w:rtl/>
        </w:rPr>
      </w:pPr>
      <w:r>
        <w:rPr>
          <w:rStyle w:val="ac"/>
        </w:rPr>
        <w:footnoteRef/>
      </w:r>
      <w:r>
        <w:rPr>
          <w:rFonts w:hint="cs"/>
          <w:rtl/>
        </w:rPr>
        <w:t xml:space="preserve"> חוק התקשורת (בזק ושידורים) (תיקון מס' 53), התשע"ב-2012.</w:t>
      </w:r>
    </w:p>
  </w:footnote>
  <w:footnote w:id="18">
    <w:p w:rsidR="005F2CDF" w:rsidRDefault="005F2CDF" w:rsidP="00696E07">
      <w:pPr>
        <w:pStyle w:val="aa"/>
        <w:spacing w:line="240" w:lineRule="auto"/>
        <w:rPr>
          <w:rFonts w:hint="cs"/>
          <w:rtl/>
        </w:rPr>
      </w:pPr>
      <w:r>
        <w:rPr>
          <w:rStyle w:val="ac"/>
        </w:rPr>
        <w:footnoteRef/>
      </w:r>
      <w:r>
        <w:rPr>
          <w:rFonts w:hint="cs"/>
          <w:rtl/>
        </w:rPr>
        <w:t xml:space="preserve"> באותה עת נקראה מירס תקשורת בע"מ והפעילה רשת רט"ן בטכנולוגיה הנקראת </w:t>
      </w:r>
      <w:r>
        <w:t>iDEN</w:t>
      </w:r>
      <w:r>
        <w:rPr>
          <w:rFonts w:hint="cs"/>
          <w:rtl/>
        </w:rPr>
        <w:t>.</w:t>
      </w:r>
    </w:p>
  </w:footnote>
  <w:footnote w:id="19">
    <w:p w:rsidR="005F2CDF" w:rsidRPr="00CF4366" w:rsidRDefault="005F2CDF" w:rsidP="00696E07">
      <w:pPr>
        <w:pStyle w:val="aa"/>
        <w:spacing w:after="0" w:line="240" w:lineRule="auto"/>
      </w:pPr>
      <w:r>
        <w:rPr>
          <w:rStyle w:val="ac"/>
        </w:rPr>
        <w:footnoteRef/>
      </w:r>
      <w:r>
        <w:rPr>
          <w:rFonts w:hint="cs"/>
          <w:rtl/>
        </w:rPr>
        <w:t xml:space="preserve"> </w:t>
      </w:r>
      <w:r w:rsidRPr="00164FFE">
        <w:rPr>
          <w:rFonts w:hint="cs"/>
          <w:rtl/>
        </w:rPr>
        <w:t xml:space="preserve">משרד התקשורת </w:t>
      </w:r>
      <w:r w:rsidRPr="00164FFE">
        <w:rPr>
          <w:rFonts w:hint="cs"/>
          <w:b/>
          <w:bCs/>
          <w:rtl/>
        </w:rPr>
        <w:t>מכרז מס' 12/2010 רשיון משולב למתן שירותי רדיו טלפון נייד בשיטה התאית (רט"ן) בישראל</w:t>
      </w:r>
      <w:r w:rsidRPr="00164FFE">
        <w:rPr>
          <w:rFonts w:hint="cs"/>
          <w:rtl/>
        </w:rPr>
        <w:t>,</w:t>
      </w:r>
      <w:r w:rsidRPr="00164FFE">
        <w:rPr>
          <w:rFonts w:hint="cs"/>
          <w:b/>
          <w:bCs/>
          <w:rtl/>
        </w:rPr>
        <w:t xml:space="preserve"> </w:t>
      </w:r>
      <w:r w:rsidRPr="00164FFE">
        <w:rPr>
          <w:rFonts w:hint="cs"/>
          <w:rtl/>
        </w:rPr>
        <w:t xml:space="preserve">ס' 54 (2010), </w:t>
      </w:r>
      <w:hyperlink r:id="rId6" w:history="1">
        <w:r w:rsidRPr="00C6572A">
          <w:rPr>
            <w:rStyle w:val="Hyperlink"/>
          </w:rPr>
          <w:t>http://www.moc.gov.il/sip_storage/FILES/8/2298.pdf</w:t>
        </w:r>
      </w:hyperlink>
      <w:r w:rsidRPr="00164FFE">
        <w:rPr>
          <w:rFonts w:hint="cs"/>
          <w:rtl/>
        </w:rPr>
        <w:t xml:space="preserve">; וכן משרד התקשורת </w:t>
      </w:r>
      <w:r w:rsidRPr="00164FFE">
        <w:rPr>
          <w:rFonts w:hint="cs"/>
          <w:b/>
          <w:bCs/>
          <w:rtl/>
        </w:rPr>
        <w:t xml:space="preserve">טיוטת רישיון כללי למתן שירותי רדיו טלפון נייד בשיטה התאית (רט"ן), נספח ח' (2010) </w:t>
      </w:r>
      <w:r w:rsidRPr="00164FFE">
        <w:rPr>
          <w:rFonts w:hint="cs"/>
          <w:rtl/>
        </w:rPr>
        <w:t xml:space="preserve"> </w:t>
      </w:r>
      <w:hyperlink r:id="rId7" w:history="1">
        <w:r w:rsidRPr="00164FFE">
          <w:rPr>
            <w:rStyle w:val="Hyperlink"/>
          </w:rPr>
          <w:t>http://www.moc.gov.il/sip_storage/FILES/7/2297.pdf</w:t>
        </w:r>
      </w:hyperlink>
      <w:r>
        <w:rPr>
          <w:rFonts w:hint="cs"/>
          <w:rtl/>
        </w:rPr>
        <w:t>.</w:t>
      </w:r>
    </w:p>
  </w:footnote>
  <w:footnote w:id="20">
    <w:p w:rsidR="005F2CDF" w:rsidRPr="00AE0BE3" w:rsidRDefault="005F2CDF" w:rsidP="00696E07">
      <w:pPr>
        <w:pStyle w:val="aa"/>
        <w:spacing w:line="240" w:lineRule="auto"/>
        <w:rPr>
          <w:rFonts w:hint="cs"/>
          <w:rtl/>
        </w:rPr>
      </w:pPr>
      <w:r w:rsidRPr="00AE0BE3">
        <w:rPr>
          <w:rStyle w:val="ac"/>
        </w:rPr>
        <w:footnoteRef/>
      </w:r>
      <w:r w:rsidRPr="00AE0BE3">
        <w:rPr>
          <w:rFonts w:hint="cs"/>
          <w:rtl/>
        </w:rPr>
        <w:t xml:space="preserve"> </w:t>
      </w:r>
      <w:r w:rsidRPr="00164FFE">
        <w:rPr>
          <w:rFonts w:hint="cs"/>
          <w:rtl/>
        </w:rPr>
        <w:t xml:space="preserve">חוק המדיניות הכלכלית לשנים 2011 ו-2012 (תיקוני חקיקה), התשע"א-2011, פרק ב'; החלטה לפי סעיף 14 לחוק ההגבלים העסקיים, התשמ"ח-1988 בדבר מתן פטור מאישור הסדר כובל להסדר בין מירס תקשורת בע"מ ופלאפון תקשורת בע"מ (21.3.2012) </w:t>
      </w:r>
      <w:r w:rsidRPr="00164FFE">
        <w:rPr>
          <w:rFonts w:hint="cs"/>
          <w:b/>
          <w:bCs/>
          <w:rtl/>
        </w:rPr>
        <w:t>הגבלים</w:t>
      </w:r>
      <w:r w:rsidRPr="00164FFE">
        <w:rPr>
          <w:rFonts w:hint="cs"/>
          <w:rtl/>
        </w:rPr>
        <w:t xml:space="preserve"> </w:t>
      </w:r>
      <w:r w:rsidRPr="00164FFE">
        <w:rPr>
          <w:rFonts w:hint="cs"/>
          <w:b/>
          <w:bCs/>
          <w:rtl/>
        </w:rPr>
        <w:t>עסקיים</w:t>
      </w:r>
      <w:r w:rsidRPr="00164FFE">
        <w:rPr>
          <w:rFonts w:hint="cs"/>
          <w:rtl/>
        </w:rPr>
        <w:t xml:space="preserve"> 5001926.</w:t>
      </w:r>
    </w:p>
  </w:footnote>
  <w:footnote w:id="21">
    <w:p w:rsidR="005F2CDF" w:rsidRPr="00B915B4" w:rsidRDefault="005F2CDF" w:rsidP="00696E07">
      <w:pPr>
        <w:pStyle w:val="aa"/>
        <w:spacing w:line="240" w:lineRule="auto"/>
        <w:rPr>
          <w:rFonts w:hint="cs"/>
          <w:rtl/>
        </w:rPr>
      </w:pPr>
      <w:r w:rsidRPr="00AE0BE3">
        <w:rPr>
          <w:rStyle w:val="ac"/>
        </w:rPr>
        <w:footnoteRef/>
      </w:r>
      <w:r w:rsidRPr="00AE0BE3">
        <w:rPr>
          <w:rFonts w:hint="cs"/>
          <w:rtl/>
        </w:rPr>
        <w:t xml:space="preserve"> </w:t>
      </w:r>
      <w:r>
        <w:rPr>
          <w:rFonts w:hint="cs"/>
          <w:rtl/>
        </w:rPr>
        <w:t xml:space="preserve">להסכם האמור ניתן פטור מאישור בית הדין. ר' </w:t>
      </w:r>
      <w:r w:rsidRPr="00AE0BE3">
        <w:rPr>
          <w:rFonts w:hint="cs"/>
          <w:rtl/>
        </w:rPr>
        <w:t>החלטה לפי סעיף 14 לחוק ההגבלים העסקיים, התשמ"ח-1988 בדבר מתן פטור מאישור הסדר כובל להסכם</w:t>
      </w:r>
      <w:r>
        <w:rPr>
          <w:rFonts w:hint="cs"/>
          <w:rtl/>
        </w:rPr>
        <w:t xml:space="preserve"> בין גולן טלקום בע"מ וסלקום ישראל בע"מ (16.9.2013) </w:t>
      </w:r>
      <w:r w:rsidRPr="00AE0BE3">
        <w:rPr>
          <w:rFonts w:hint="cs"/>
          <w:b/>
          <w:bCs/>
          <w:rtl/>
        </w:rPr>
        <w:t>הגבלים</w:t>
      </w:r>
      <w:r>
        <w:rPr>
          <w:rFonts w:hint="cs"/>
          <w:rtl/>
        </w:rPr>
        <w:t xml:space="preserve"> </w:t>
      </w:r>
      <w:r w:rsidRPr="00AE0BE3">
        <w:rPr>
          <w:rFonts w:hint="cs"/>
          <w:b/>
          <w:bCs/>
          <w:rtl/>
        </w:rPr>
        <w:t>עסקיים</w:t>
      </w:r>
      <w:r>
        <w:rPr>
          <w:rFonts w:hint="cs"/>
          <w:rtl/>
        </w:rPr>
        <w:t xml:space="preserve"> 500470.</w:t>
      </w:r>
    </w:p>
  </w:footnote>
  <w:footnote w:id="22">
    <w:p w:rsidR="005F2CDF" w:rsidRDefault="005F2CDF" w:rsidP="00696E07">
      <w:pPr>
        <w:spacing w:line="240" w:lineRule="auto"/>
        <w:rPr>
          <w:rFonts w:hint="cs"/>
          <w:sz w:val="20"/>
          <w:szCs w:val="20"/>
          <w:rtl/>
        </w:rPr>
      </w:pPr>
      <w:r w:rsidRPr="006279CA">
        <w:rPr>
          <w:rStyle w:val="ac"/>
        </w:rPr>
        <w:footnoteRef/>
      </w:r>
      <w:r w:rsidRPr="006279CA">
        <w:rPr>
          <w:rFonts w:hint="cs"/>
          <w:rtl/>
        </w:rPr>
        <w:t xml:space="preserve"> </w:t>
      </w:r>
      <w:r>
        <w:rPr>
          <w:rFonts w:hint="cs"/>
          <w:sz w:val="20"/>
          <w:szCs w:val="20"/>
          <w:rtl/>
        </w:rPr>
        <w:t>הנחיות המיזוגים, עמ' 16.</w:t>
      </w:r>
    </w:p>
    <w:p w:rsidR="005F2CDF" w:rsidRPr="00CA4F62" w:rsidRDefault="005F2CDF" w:rsidP="00B175EC">
      <w:pPr>
        <w:bidi w:val="0"/>
        <w:spacing w:line="240" w:lineRule="auto"/>
        <w:rPr>
          <w:sz w:val="20"/>
          <w:szCs w:val="20"/>
        </w:rPr>
      </w:pPr>
      <w:r>
        <w:rPr>
          <w:rFonts w:hint="cs"/>
          <w:sz w:val="20"/>
          <w:szCs w:val="20"/>
          <w:rtl/>
        </w:rPr>
        <w:t xml:space="preserve"> </w:t>
      </w:r>
      <w:r w:rsidRPr="005A798E">
        <w:rPr>
          <w:rFonts w:hint="cs"/>
          <w:sz w:val="20"/>
          <w:szCs w:val="20"/>
        </w:rPr>
        <w:t>ABA Section of Antitrust Law</w:t>
      </w:r>
      <w:r>
        <w:rPr>
          <w:rFonts w:hint="cs"/>
          <w:sz w:val="20"/>
          <w:szCs w:val="20"/>
        </w:rPr>
        <w:t xml:space="preserve">, </w:t>
      </w:r>
      <w:r w:rsidRPr="005A798E">
        <w:rPr>
          <w:rFonts w:hint="cs"/>
          <w:sz w:val="20"/>
          <w:szCs w:val="20"/>
        </w:rPr>
        <w:t>Antitrust Law Developments</w:t>
      </w:r>
      <w:r>
        <w:rPr>
          <w:sz w:val="20"/>
          <w:szCs w:val="20"/>
        </w:rPr>
        <w:t xml:space="preserve">, </w:t>
      </w:r>
      <w:r w:rsidRPr="00164FFE">
        <w:rPr>
          <w:sz w:val="20"/>
          <w:szCs w:val="20"/>
        </w:rPr>
        <w:t>p. 355 (7</w:t>
      </w:r>
      <w:r w:rsidRPr="00164FFE">
        <w:rPr>
          <w:sz w:val="20"/>
          <w:szCs w:val="20"/>
          <w:vertAlign w:val="superscript"/>
        </w:rPr>
        <w:t>th</w:t>
      </w:r>
      <w:r w:rsidRPr="00164FFE">
        <w:rPr>
          <w:sz w:val="20"/>
          <w:szCs w:val="20"/>
        </w:rPr>
        <w:t xml:space="preserve"> ed.</w:t>
      </w:r>
      <w:r>
        <w:rPr>
          <w:sz w:val="20"/>
          <w:szCs w:val="20"/>
        </w:rPr>
        <w:t xml:space="preserve"> 2012</w:t>
      </w:r>
      <w:r w:rsidRPr="00164FFE">
        <w:rPr>
          <w:sz w:val="20"/>
          <w:szCs w:val="20"/>
        </w:rPr>
        <w:t>)</w:t>
      </w:r>
      <w:r>
        <w:rPr>
          <w:sz w:val="20"/>
          <w:szCs w:val="20"/>
        </w:rPr>
        <w:t xml:space="preserve"> "Antitrust</w:t>
      </w:r>
      <w:r>
        <w:rPr>
          <w:rFonts w:hint="cs"/>
          <w:sz w:val="20"/>
          <w:szCs w:val="20"/>
          <w:rtl/>
        </w:rPr>
        <w:t xml:space="preserve"> (להלן: </w:t>
      </w:r>
      <w:r w:rsidRPr="00CA4F62">
        <w:rPr>
          <w:b/>
          <w:bCs/>
          <w:sz w:val="20"/>
          <w:szCs w:val="20"/>
        </w:rPr>
        <w:t>Law Developments</w:t>
      </w:r>
      <w:r w:rsidRPr="00CA4F62">
        <w:rPr>
          <w:sz w:val="20"/>
          <w:szCs w:val="20"/>
        </w:rPr>
        <w:t xml:space="preserve">"); U.S. DEP'T OF JUSTICE &amp; FEDERAL TRADE COMM'N, COMMENTARY ON THE HORIZONTAL MERGER GUIDELINES, 17 (2006) </w:t>
      </w:r>
      <w:r w:rsidRPr="00CA4F62">
        <w:rPr>
          <w:rFonts w:hint="cs"/>
          <w:sz w:val="20"/>
          <w:szCs w:val="20"/>
          <w:rtl/>
        </w:rPr>
        <w:t>(להלן: "</w:t>
      </w:r>
      <w:r w:rsidRPr="00CA4F62">
        <w:rPr>
          <w:rFonts w:hint="cs"/>
          <w:b/>
          <w:bCs/>
          <w:sz w:val="20"/>
          <w:szCs w:val="20"/>
          <w:rtl/>
        </w:rPr>
        <w:t>הערות להנחיות האמריקאיות</w:t>
      </w:r>
      <w:r w:rsidRPr="00CA4F62">
        <w:rPr>
          <w:rFonts w:hint="cs"/>
          <w:sz w:val="20"/>
          <w:szCs w:val="20"/>
          <w:rtl/>
        </w:rPr>
        <w:t>").</w:t>
      </w:r>
    </w:p>
  </w:footnote>
  <w:footnote w:id="23">
    <w:p w:rsidR="005F2CDF" w:rsidRPr="004F0317" w:rsidRDefault="005F2CDF" w:rsidP="004F0317">
      <w:pPr>
        <w:spacing w:line="240" w:lineRule="auto"/>
        <w:rPr>
          <w:rFonts w:hint="cs"/>
          <w:sz w:val="20"/>
          <w:szCs w:val="20"/>
          <w:rtl/>
        </w:rPr>
      </w:pPr>
      <w:r>
        <w:rPr>
          <w:rStyle w:val="ac"/>
        </w:rPr>
        <w:footnoteRef/>
      </w:r>
      <w:r>
        <w:rPr>
          <w:rFonts w:hint="cs"/>
          <w:rtl/>
        </w:rPr>
        <w:t xml:space="preserve"> </w:t>
      </w:r>
      <w:r w:rsidRPr="004F0317">
        <w:rPr>
          <w:rFonts w:hint="cs"/>
          <w:sz w:val="20"/>
          <w:szCs w:val="20"/>
          <w:rtl/>
        </w:rPr>
        <w:t xml:space="preserve">ע"א 3398/06 </w:t>
      </w:r>
      <w:r w:rsidRPr="004F0317">
        <w:rPr>
          <w:rFonts w:hint="cs"/>
          <w:b/>
          <w:bCs/>
          <w:sz w:val="20"/>
          <w:szCs w:val="20"/>
          <w:rtl/>
        </w:rPr>
        <w:t>רשות ההגבלים העסקיים נ' דור-אלון אנרגיה</w:t>
      </w:r>
      <w:r w:rsidRPr="004F0317">
        <w:rPr>
          <w:rFonts w:hint="cs"/>
          <w:sz w:val="20"/>
          <w:szCs w:val="20"/>
          <w:rtl/>
        </w:rPr>
        <w:t>, פס' 52 לפסק הדין, פ"ד סא(3) 757 (להלן: "</w:t>
      </w:r>
      <w:r w:rsidRPr="004F0317">
        <w:rPr>
          <w:rFonts w:hint="cs"/>
          <w:b/>
          <w:bCs/>
          <w:sz w:val="20"/>
          <w:szCs w:val="20"/>
          <w:rtl/>
        </w:rPr>
        <w:t>עניין דור-אלון</w:t>
      </w:r>
      <w:r w:rsidRPr="004F0317">
        <w:rPr>
          <w:rFonts w:hint="cs"/>
          <w:sz w:val="20"/>
          <w:szCs w:val="20"/>
          <w:rtl/>
        </w:rPr>
        <w:t xml:space="preserve">"). </w:t>
      </w:r>
      <w:r w:rsidR="000D7ECF" w:rsidRPr="00EA7F4E">
        <w:rPr>
          <w:sz w:val="20"/>
          <w:szCs w:val="20"/>
        </w:rPr>
        <w:t xml:space="preserve">H. Hovenkamp, </w:t>
      </w:r>
      <w:r w:rsidR="000D7ECF" w:rsidRPr="00EA7F4E">
        <w:rPr>
          <w:i/>
          <w:iCs/>
          <w:sz w:val="20"/>
          <w:szCs w:val="20"/>
        </w:rPr>
        <w:t>Federal Antitrust Policy: The law of competition and its practice</w:t>
      </w:r>
      <w:r w:rsidR="000D7ECF" w:rsidRPr="00EA7F4E">
        <w:rPr>
          <w:sz w:val="20"/>
          <w:szCs w:val="20"/>
        </w:rPr>
        <w:t>, 597 (4rd. Ed. 2011)</w:t>
      </w:r>
      <w:r w:rsidR="000D7ECF" w:rsidRPr="00EA7F4E">
        <w:rPr>
          <w:rFonts w:hint="cs"/>
          <w:sz w:val="20"/>
          <w:szCs w:val="20"/>
          <w:rtl/>
        </w:rPr>
        <w:t xml:space="preserve"> (להלן: "</w:t>
      </w:r>
      <w:r w:rsidR="000D7ECF" w:rsidRPr="00E54135">
        <w:rPr>
          <w:b/>
          <w:bCs/>
          <w:sz w:val="20"/>
          <w:szCs w:val="20"/>
        </w:rPr>
        <w:t>Hovenkamp</w:t>
      </w:r>
      <w:r w:rsidR="000D7ECF" w:rsidRPr="00E54135">
        <w:rPr>
          <w:rFonts w:hint="cs"/>
          <w:sz w:val="20"/>
          <w:szCs w:val="20"/>
          <w:rtl/>
        </w:rPr>
        <w:t>")</w:t>
      </w:r>
    </w:p>
  </w:footnote>
  <w:footnote w:id="24">
    <w:p w:rsidR="005F2CDF" w:rsidRDefault="005F2CDF" w:rsidP="00AA1129">
      <w:pPr>
        <w:pStyle w:val="aa"/>
        <w:spacing w:line="240" w:lineRule="auto"/>
        <w:rPr>
          <w:rFonts w:hint="cs"/>
          <w:rtl/>
        </w:rPr>
      </w:pPr>
      <w:r>
        <w:rPr>
          <w:rStyle w:val="ac"/>
        </w:rPr>
        <w:footnoteRef/>
      </w:r>
      <w:r>
        <w:rPr>
          <w:rFonts w:hint="cs"/>
          <w:rtl/>
        </w:rPr>
        <w:t xml:space="preserve"> שם, פס' 52, הנחיות המיזוגים עמ' 16;</w:t>
      </w:r>
      <w:r w:rsidRPr="00696E07">
        <w:rPr>
          <w:rFonts w:hint="cs"/>
          <w:rtl/>
        </w:rPr>
        <w:t xml:space="preserve"> </w:t>
      </w:r>
      <w:r>
        <w:rPr>
          <w:rFonts w:hint="cs"/>
          <w:rtl/>
        </w:rPr>
        <w:t xml:space="preserve">הערות להנחיות האמריקאיות, לעיל ה"ש </w:t>
      </w:r>
      <w:r w:rsidR="00AA1129">
        <w:rPr>
          <w:rFonts w:hint="cs"/>
          <w:rtl/>
        </w:rPr>
        <w:t>22</w:t>
      </w:r>
      <w:r>
        <w:rPr>
          <w:rFonts w:hint="cs"/>
          <w:rtl/>
        </w:rPr>
        <w:t>, עמ' 24;</w:t>
      </w:r>
    </w:p>
    <w:p w:rsidR="005F2CDF" w:rsidRPr="008050D2" w:rsidRDefault="005F2CDF" w:rsidP="00B175EC">
      <w:pPr>
        <w:pStyle w:val="aa"/>
        <w:bidi w:val="0"/>
        <w:spacing w:line="240" w:lineRule="auto"/>
      </w:pPr>
      <w:r w:rsidRPr="002F7AFB">
        <w:t>European Co</w:t>
      </w:r>
      <w:r>
        <w:t>m</w:t>
      </w:r>
      <w:r w:rsidRPr="002F7AFB">
        <w:t>mission</w:t>
      </w:r>
      <w:r>
        <w:t xml:space="preserve">, Guidelines on the assessment of horizontal mergers under the Council Regulation on the control of concentrations between undertakings </w:t>
      </w:r>
      <w:r w:rsidRPr="00164FFE">
        <w:rPr>
          <w:rFonts w:hint="cs"/>
        </w:rPr>
        <w:t>¶</w:t>
      </w:r>
      <w:r>
        <w:t xml:space="preserve">42 (2004/C 31/03) </w:t>
      </w:r>
      <w:r>
        <w:rPr>
          <w:rFonts w:hint="cs"/>
          <w:rtl/>
        </w:rPr>
        <w:t>(להלן: "</w:t>
      </w:r>
      <w:r>
        <w:rPr>
          <w:rFonts w:hint="cs"/>
          <w:b/>
          <w:bCs/>
          <w:rtl/>
        </w:rPr>
        <w:t>ההנחיות האירופאיות</w:t>
      </w:r>
      <w:r>
        <w:rPr>
          <w:rFonts w:hint="cs"/>
          <w:rtl/>
        </w:rPr>
        <w:t xml:space="preserve">"); </w:t>
      </w:r>
    </w:p>
  </w:footnote>
  <w:footnote w:id="25">
    <w:p w:rsidR="005F2CDF" w:rsidRPr="00AE0BE3" w:rsidRDefault="005F2CDF" w:rsidP="00AA1129">
      <w:pPr>
        <w:pStyle w:val="aa"/>
        <w:spacing w:line="240" w:lineRule="auto"/>
        <w:rPr>
          <w:rFonts w:hint="cs"/>
          <w:rtl/>
        </w:rPr>
      </w:pPr>
      <w:r>
        <w:rPr>
          <w:rStyle w:val="ac"/>
        </w:rPr>
        <w:footnoteRef/>
      </w:r>
      <w:r>
        <w:rPr>
          <w:rFonts w:hint="cs"/>
          <w:rtl/>
        </w:rPr>
        <w:t xml:space="preserve"> ראו </w:t>
      </w:r>
      <w:r w:rsidRPr="00164FFE">
        <w:rPr>
          <w:rFonts w:hint="cs"/>
          <w:rtl/>
        </w:rPr>
        <w:t>הנחיות המיזוגים,</w:t>
      </w:r>
      <w:r>
        <w:rPr>
          <w:rFonts w:hint="cs"/>
          <w:rtl/>
        </w:rPr>
        <w:t xml:space="preserve"> ה"ש </w:t>
      </w:r>
      <w:r w:rsidR="00AA1129">
        <w:rPr>
          <w:rFonts w:hint="cs"/>
          <w:rtl/>
        </w:rPr>
        <w:t>2</w:t>
      </w:r>
      <w:r>
        <w:rPr>
          <w:rFonts w:hint="cs"/>
          <w:rtl/>
        </w:rPr>
        <w:t xml:space="preserve"> לעיל</w:t>
      </w:r>
      <w:r w:rsidRPr="00164FFE">
        <w:rPr>
          <w:rFonts w:hint="cs"/>
          <w:rtl/>
        </w:rPr>
        <w:t xml:space="preserve"> </w:t>
      </w:r>
      <w:r>
        <w:rPr>
          <w:rFonts w:hint="cs"/>
          <w:rtl/>
        </w:rPr>
        <w:t>,</w:t>
      </w:r>
      <w:r w:rsidRPr="00164FFE">
        <w:rPr>
          <w:rFonts w:hint="cs"/>
          <w:rtl/>
        </w:rPr>
        <w:t>עמ' 19</w:t>
      </w:r>
      <w:r>
        <w:rPr>
          <w:rFonts w:hint="cs"/>
          <w:rtl/>
        </w:rPr>
        <w:t xml:space="preserve"> ו-22</w:t>
      </w:r>
      <w:r w:rsidRPr="00164FFE">
        <w:rPr>
          <w:rFonts w:hint="cs"/>
          <w:rtl/>
        </w:rPr>
        <w:t>. פרק הזמן הרלוונטי כפי שהוזכר בהנחיות הוא 12-18 חודשים.</w:t>
      </w:r>
      <w:r>
        <w:rPr>
          <w:rFonts w:hint="cs"/>
          <w:rtl/>
        </w:rPr>
        <w:t xml:space="preserve"> </w:t>
      </w:r>
    </w:p>
  </w:footnote>
  <w:footnote w:id="26">
    <w:p w:rsidR="005F2CDF" w:rsidRPr="00BE46B9" w:rsidRDefault="005F2CDF" w:rsidP="00AA1129">
      <w:pPr>
        <w:pStyle w:val="aa"/>
        <w:spacing w:line="240" w:lineRule="auto"/>
        <w:rPr>
          <w:rFonts w:hint="cs"/>
          <w:rtl/>
        </w:rPr>
      </w:pPr>
      <w:r w:rsidRPr="00BE46B9">
        <w:rPr>
          <w:rStyle w:val="ac"/>
        </w:rPr>
        <w:footnoteRef/>
      </w:r>
      <w:r w:rsidRPr="00BE46B9">
        <w:rPr>
          <w:rFonts w:hint="cs"/>
          <w:rtl/>
        </w:rPr>
        <w:t xml:space="preserve"> </w:t>
      </w:r>
      <w:r w:rsidRPr="00164FFE">
        <w:rPr>
          <w:rFonts w:hint="cs"/>
          <w:rtl/>
        </w:rPr>
        <w:t>ראו חוו"ד משרד התקשורת בעניין שיתוף רשתות,</w:t>
      </w:r>
      <w:r>
        <w:rPr>
          <w:rFonts w:hint="cs"/>
          <w:rtl/>
        </w:rPr>
        <w:t xml:space="preserve"> ה"ש </w:t>
      </w:r>
      <w:r w:rsidR="00AA1129">
        <w:rPr>
          <w:rFonts w:hint="cs"/>
          <w:rtl/>
        </w:rPr>
        <w:t>12</w:t>
      </w:r>
      <w:r>
        <w:rPr>
          <w:rFonts w:hint="cs"/>
          <w:rtl/>
        </w:rPr>
        <w:t xml:space="preserve"> לעיל, עמ' 5</w:t>
      </w:r>
      <w:r w:rsidRPr="00164FFE">
        <w:rPr>
          <w:rFonts w:hint="cs"/>
          <w:rtl/>
        </w:rPr>
        <w:t>.</w:t>
      </w:r>
    </w:p>
  </w:footnote>
  <w:footnote w:id="27">
    <w:p w:rsidR="005F2CDF" w:rsidRPr="00362FBB" w:rsidRDefault="005F2CDF" w:rsidP="00696E07">
      <w:pPr>
        <w:pStyle w:val="aa"/>
        <w:spacing w:line="240" w:lineRule="auto"/>
        <w:rPr>
          <w:rFonts w:hint="cs"/>
          <w:rtl/>
        </w:rPr>
      </w:pPr>
      <w:r w:rsidRPr="00362FBB">
        <w:rPr>
          <w:rStyle w:val="ac"/>
        </w:rPr>
        <w:footnoteRef/>
      </w:r>
      <w:r w:rsidRPr="00362FBB">
        <w:rPr>
          <w:rFonts w:hint="cs"/>
          <w:rtl/>
        </w:rPr>
        <w:t xml:space="preserve"> בין היתר חלים על הקמת אתרים כאלה - חוק הקרינה הבלתי מייננת, התשס"ו-2006</w:t>
      </w:r>
      <w:r w:rsidRPr="00BE46B9">
        <w:rPr>
          <w:rFonts w:hint="cs"/>
          <w:rtl/>
        </w:rPr>
        <w:t>;</w:t>
      </w:r>
      <w:r w:rsidRPr="00362FBB">
        <w:rPr>
          <w:rFonts w:hint="cs"/>
          <w:rtl/>
        </w:rPr>
        <w:t xml:space="preserve"> וחוק התכנון והבניה, </w:t>
      </w:r>
      <w:r w:rsidRPr="00362FBB">
        <w:rPr>
          <w:rtl/>
        </w:rPr>
        <w:t>התשכ"ה-1965</w:t>
      </w:r>
      <w:r w:rsidRPr="00362FBB">
        <w:rPr>
          <w:rFonts w:hint="cs"/>
          <w:rtl/>
        </w:rPr>
        <w:t>. בהתאם לדיני התכנון והבניה הקמת אתרים דורשת קבלת אישורים מהוועדה המקומית לתכנון ובניה ברשות המקומית</w:t>
      </w:r>
      <w:r>
        <w:rPr>
          <w:rFonts w:hint="cs"/>
          <w:rtl/>
        </w:rPr>
        <w:t>.</w:t>
      </w:r>
    </w:p>
  </w:footnote>
  <w:footnote w:id="28">
    <w:p w:rsidR="005F2CDF" w:rsidRDefault="005F2CDF" w:rsidP="00696E07">
      <w:pPr>
        <w:pStyle w:val="aa"/>
        <w:spacing w:line="240" w:lineRule="auto"/>
        <w:rPr>
          <w:rFonts w:hint="cs"/>
          <w:rtl/>
        </w:rPr>
      </w:pPr>
      <w:r w:rsidRPr="00BE46B9">
        <w:rPr>
          <w:rStyle w:val="ac"/>
        </w:rPr>
        <w:footnoteRef/>
      </w:r>
      <w:r w:rsidRPr="00BE46B9">
        <w:rPr>
          <w:rFonts w:hint="cs"/>
          <w:rtl/>
        </w:rPr>
        <w:t xml:space="preserve"> </w:t>
      </w:r>
      <w:r>
        <w:rPr>
          <w:rFonts w:hint="cs"/>
          <w:rtl/>
        </w:rPr>
        <w:t xml:space="preserve">דו"ח </w:t>
      </w:r>
      <w:r>
        <w:rPr>
          <w:rtl/>
        </w:rPr>
        <w:t xml:space="preserve">צוות בין-משרדי בנושא מתקן גישה אלחוטית, </w:t>
      </w:r>
      <w:r>
        <w:rPr>
          <w:rFonts w:hint="cs"/>
          <w:rtl/>
        </w:rPr>
        <w:t>פרק 5</w:t>
      </w:r>
      <w:r>
        <w:rPr>
          <w:rtl/>
        </w:rPr>
        <w:t xml:space="preserve"> </w:t>
      </w:r>
      <w:r>
        <w:rPr>
          <w:rFonts w:hint="cs"/>
          <w:rtl/>
        </w:rPr>
        <w:t>(</w:t>
      </w:r>
      <w:r>
        <w:rPr>
          <w:rtl/>
        </w:rPr>
        <w:t>2009</w:t>
      </w:r>
      <w:r>
        <w:rPr>
          <w:rFonts w:hint="cs"/>
          <w:rtl/>
        </w:rPr>
        <w:t>)</w:t>
      </w:r>
      <w:r>
        <w:t>.</w:t>
      </w:r>
    </w:p>
    <w:p w:rsidR="005F2CDF" w:rsidRPr="00461E7A" w:rsidRDefault="005F2CDF" w:rsidP="00696E07">
      <w:pPr>
        <w:pStyle w:val="aa"/>
        <w:spacing w:line="240" w:lineRule="auto"/>
        <w:rPr>
          <w:rFonts w:hint="cs"/>
          <w:highlight w:val="yellow"/>
          <w:rtl/>
        </w:rPr>
      </w:pPr>
      <w:hyperlink r:id="rId8" w:history="1">
        <w:r w:rsidRPr="00BA2B0D">
          <w:rPr>
            <w:rStyle w:val="Hyperlink"/>
          </w:rPr>
          <w:t>http://www.sviva.gov.il/subjectsEnv/Radiation/Communication_Facilities/cellular/Documents/mitkan_gisha_doch_2009.pdf</w:t>
        </w:r>
      </w:hyperlink>
      <w:r>
        <w:t>.</w:t>
      </w:r>
    </w:p>
  </w:footnote>
  <w:footnote w:id="29">
    <w:p w:rsidR="005F2CDF" w:rsidRDefault="005F2CDF" w:rsidP="006B3658">
      <w:pPr>
        <w:pStyle w:val="aa"/>
        <w:spacing w:line="240" w:lineRule="auto"/>
        <w:rPr>
          <w:rFonts w:hint="cs"/>
          <w:rtl/>
        </w:rPr>
      </w:pPr>
      <w:r>
        <w:rPr>
          <w:rStyle w:val="ac"/>
        </w:rPr>
        <w:footnoteRef/>
      </w:r>
      <w:r>
        <w:rPr>
          <w:rFonts w:hint="cs"/>
          <w:rtl/>
        </w:rPr>
        <w:t xml:space="preserve"> שיתופי רשתות אפשריים באופן פסיבי או אקטיבי: </w:t>
      </w:r>
      <w:r w:rsidRPr="00B27799">
        <w:rPr>
          <w:rFonts w:hint="cs"/>
          <w:b/>
          <w:bCs/>
          <w:rtl/>
        </w:rPr>
        <w:t>שיתוף פסיבי</w:t>
      </w:r>
      <w:r w:rsidRPr="00B27799">
        <w:rPr>
          <w:rFonts w:hint="cs"/>
          <w:rtl/>
        </w:rPr>
        <w:t xml:space="preserve"> </w:t>
      </w:r>
      <w:r>
        <w:rPr>
          <w:rtl/>
        </w:rPr>
        <w:t>–</w:t>
      </w:r>
      <w:r>
        <w:rPr>
          <w:rFonts w:hint="cs"/>
          <w:rtl/>
        </w:rPr>
        <w:t xml:space="preserve"> במתכונת זאת רוכשת מפעילות תקשורת ניידת זכות שימוש חלקית או מלאה באלמנטים פסיביים (תורן, מבנה, חשמל, מיזוג) באתרים של ספקית אחרת. שיתוף במתכונת זאת חוסך עלויות ניכרות, והשפעתו על התחרות מצומצמת; </w:t>
      </w:r>
      <w:r w:rsidRPr="00B27799">
        <w:rPr>
          <w:rFonts w:hint="cs"/>
          <w:b/>
          <w:bCs/>
          <w:rtl/>
        </w:rPr>
        <w:t>שיתוף אקטיבי</w:t>
      </w:r>
      <w:r>
        <w:rPr>
          <w:rFonts w:hint="cs"/>
          <w:rtl/>
        </w:rPr>
        <w:t xml:space="preserve"> </w:t>
      </w:r>
      <w:r>
        <w:rPr>
          <w:rtl/>
        </w:rPr>
        <w:t>–</w:t>
      </w:r>
      <w:r>
        <w:rPr>
          <w:rFonts w:hint="cs"/>
          <w:rtl/>
        </w:rPr>
        <w:t xml:space="preserve"> במתכונת זאת הספקיות משתתפות בתדרים ובאתרים באופן מלא. במתכונת השיתוף האקטיבי שאושרה בישראל בעבר, ליבת הרשת, שמשפיעה על איכות השירות, נותרת בשליטה נפרדת של כל אחת מהמפעילות.</w:t>
      </w:r>
    </w:p>
    <w:p w:rsidR="005F2CDF" w:rsidRPr="00461E7A" w:rsidRDefault="005F2CDF" w:rsidP="00696E07">
      <w:pPr>
        <w:pStyle w:val="aa"/>
        <w:spacing w:line="240" w:lineRule="auto"/>
        <w:rPr>
          <w:rFonts w:hint="cs"/>
          <w:rtl/>
        </w:rPr>
      </w:pPr>
      <w:r w:rsidRPr="00461E7A">
        <w:rPr>
          <w:rFonts w:ascii="David" w:hAnsi="David"/>
          <w:rtl/>
        </w:rPr>
        <w:t xml:space="preserve">ראו </w:t>
      </w:r>
      <w:hyperlink r:id="rId9" w:history="1">
        <w:r w:rsidRPr="00461E7A">
          <w:rPr>
            <w:rtl/>
          </w:rPr>
          <w:t>החלטה בעניין הודעת המיזוג בין החברות</w:t>
        </w:r>
        <w:r w:rsidRPr="00461E7A">
          <w:t>:</w:t>
        </w:r>
        <w:r w:rsidRPr="00461E7A">
          <w:rPr>
            <w:rFonts w:hint="cs"/>
            <w:rtl/>
          </w:rPr>
          <w:t xml:space="preserve"> </w:t>
        </w:r>
        <w:r w:rsidRPr="00461E7A">
          <w:rPr>
            <w:rtl/>
          </w:rPr>
          <w:t>פרטנר תקשורת בע"מ</w:t>
        </w:r>
        <w:r w:rsidRPr="00461E7A">
          <w:rPr>
            <w:rFonts w:hint="cs"/>
            <w:rtl/>
          </w:rPr>
          <w:t xml:space="preserve"> ו</w:t>
        </w:r>
        <w:r w:rsidRPr="00461E7A">
          <w:rPr>
            <w:rtl/>
          </w:rPr>
          <w:t>הוט מובייל בע"מ</w:t>
        </w:r>
      </w:hyperlink>
      <w:r>
        <w:rPr>
          <w:rFonts w:hint="cs"/>
          <w:rtl/>
        </w:rPr>
        <w:t xml:space="preserve"> (22.5.2014) </w:t>
      </w:r>
      <w:r>
        <w:rPr>
          <w:rFonts w:hint="cs"/>
          <w:b/>
          <w:bCs/>
          <w:rtl/>
        </w:rPr>
        <w:t>הגבלים עסקיים</w:t>
      </w:r>
      <w:r>
        <w:rPr>
          <w:rFonts w:hint="cs"/>
          <w:rtl/>
        </w:rPr>
        <w:t xml:space="preserve"> 9488.</w:t>
      </w:r>
    </w:p>
  </w:footnote>
  <w:footnote w:id="30">
    <w:p w:rsidR="005F2CDF" w:rsidRPr="00461E7A" w:rsidRDefault="005F2CDF" w:rsidP="00B175EC">
      <w:pPr>
        <w:pStyle w:val="aa"/>
        <w:spacing w:line="240" w:lineRule="auto"/>
        <w:rPr>
          <w:rFonts w:hint="cs"/>
          <w:rtl/>
        </w:rPr>
      </w:pPr>
      <w:r w:rsidRPr="00362FBB">
        <w:rPr>
          <w:rStyle w:val="ac"/>
        </w:rPr>
        <w:footnoteRef/>
      </w:r>
      <w:r w:rsidRPr="00362FBB">
        <w:rPr>
          <w:rFonts w:hint="cs"/>
          <w:rtl/>
        </w:rPr>
        <w:t xml:space="preserve"> </w:t>
      </w:r>
      <w:r>
        <w:rPr>
          <w:rFonts w:hint="cs"/>
          <w:rtl/>
        </w:rPr>
        <w:t xml:space="preserve">משרד התקשורת, מדיניות </w:t>
      </w:r>
      <w:r w:rsidRPr="00461E7A">
        <w:rPr>
          <w:rFonts w:hint="cs"/>
          <w:rtl/>
        </w:rPr>
        <w:t>שיתוף ברשת</w:t>
      </w:r>
      <w:r w:rsidRPr="00461E7A">
        <w:rPr>
          <w:rtl/>
        </w:rPr>
        <w:t xml:space="preserve"> </w:t>
      </w:r>
      <w:r w:rsidRPr="00461E7A">
        <w:rPr>
          <w:rFonts w:hint="cs"/>
          <w:rtl/>
        </w:rPr>
        <w:t>גישה</w:t>
      </w:r>
      <w:r w:rsidRPr="00461E7A">
        <w:rPr>
          <w:rtl/>
        </w:rPr>
        <w:t xml:space="preserve"> </w:t>
      </w:r>
      <w:r w:rsidRPr="00461E7A">
        <w:rPr>
          <w:rFonts w:hint="cs"/>
          <w:rtl/>
        </w:rPr>
        <w:t>רחבת</w:t>
      </w:r>
      <w:r w:rsidRPr="00461E7A">
        <w:rPr>
          <w:rtl/>
        </w:rPr>
        <w:t xml:space="preserve"> </w:t>
      </w:r>
      <w:r w:rsidRPr="00461E7A">
        <w:rPr>
          <w:rFonts w:hint="cs"/>
          <w:rtl/>
        </w:rPr>
        <w:t>פס</w:t>
      </w:r>
      <w:r w:rsidRPr="00461E7A">
        <w:rPr>
          <w:rtl/>
        </w:rPr>
        <w:t xml:space="preserve"> </w:t>
      </w:r>
      <w:r w:rsidRPr="00461E7A">
        <w:rPr>
          <w:rFonts w:hint="cs"/>
          <w:rtl/>
        </w:rPr>
        <w:t>של</w:t>
      </w:r>
      <w:r w:rsidRPr="00461E7A">
        <w:rPr>
          <w:rtl/>
        </w:rPr>
        <w:t xml:space="preserve"> </w:t>
      </w:r>
      <w:r w:rsidRPr="00461E7A">
        <w:rPr>
          <w:rFonts w:hint="cs"/>
          <w:rtl/>
        </w:rPr>
        <w:t>בעל רישיון</w:t>
      </w:r>
      <w:r w:rsidRPr="00461E7A">
        <w:rPr>
          <w:rtl/>
        </w:rPr>
        <w:t xml:space="preserve"> </w:t>
      </w:r>
      <w:r w:rsidRPr="00461E7A">
        <w:rPr>
          <w:rFonts w:hint="cs"/>
          <w:rtl/>
        </w:rPr>
        <w:t>כללי</w:t>
      </w:r>
      <w:r w:rsidRPr="00461E7A">
        <w:rPr>
          <w:rtl/>
        </w:rPr>
        <w:t xml:space="preserve"> </w:t>
      </w:r>
      <w:r w:rsidRPr="00461E7A">
        <w:rPr>
          <w:rFonts w:hint="cs"/>
          <w:rtl/>
        </w:rPr>
        <w:t>למתן</w:t>
      </w:r>
      <w:r w:rsidRPr="00461E7A">
        <w:rPr>
          <w:rtl/>
        </w:rPr>
        <w:t xml:space="preserve"> </w:t>
      </w:r>
      <w:r w:rsidRPr="00461E7A">
        <w:rPr>
          <w:rFonts w:hint="cs"/>
          <w:rtl/>
        </w:rPr>
        <w:t>שירותי רט</w:t>
      </w:r>
      <w:r w:rsidRPr="00461E7A">
        <w:rPr>
          <w:rtl/>
        </w:rPr>
        <w:t>"</w:t>
      </w:r>
      <w:r w:rsidRPr="00461E7A">
        <w:rPr>
          <w:rFonts w:hint="cs"/>
          <w:rtl/>
        </w:rPr>
        <w:t>ן (להלן: "</w:t>
      </w:r>
      <w:r w:rsidRPr="00164FFE">
        <w:rPr>
          <w:rFonts w:hint="cs"/>
          <w:b/>
          <w:bCs/>
          <w:rtl/>
        </w:rPr>
        <w:t>מדיניות</w:t>
      </w:r>
      <w:r w:rsidRPr="002F7AFB">
        <w:rPr>
          <w:b/>
          <w:bCs/>
          <w:rtl/>
        </w:rPr>
        <w:t xml:space="preserve"> </w:t>
      </w:r>
      <w:r w:rsidRPr="002F7AFB">
        <w:rPr>
          <w:rFonts w:hint="eastAsia"/>
          <w:b/>
          <w:bCs/>
          <w:rtl/>
        </w:rPr>
        <w:t>שיתוף</w:t>
      </w:r>
      <w:r w:rsidRPr="002F7AFB">
        <w:rPr>
          <w:b/>
          <w:bCs/>
          <w:rtl/>
        </w:rPr>
        <w:t xml:space="preserve"> </w:t>
      </w:r>
      <w:r w:rsidRPr="00164FFE">
        <w:rPr>
          <w:rFonts w:hint="cs"/>
          <w:b/>
          <w:bCs/>
          <w:rtl/>
        </w:rPr>
        <w:t>משרד</w:t>
      </w:r>
      <w:r w:rsidRPr="002F7AFB">
        <w:rPr>
          <w:b/>
          <w:bCs/>
          <w:rtl/>
        </w:rPr>
        <w:t xml:space="preserve"> </w:t>
      </w:r>
      <w:r w:rsidRPr="00164FFE">
        <w:rPr>
          <w:rFonts w:hint="cs"/>
          <w:b/>
          <w:bCs/>
          <w:rtl/>
        </w:rPr>
        <w:t>התקשורת</w:t>
      </w:r>
      <w:r w:rsidRPr="00164FFE">
        <w:rPr>
          <w:rFonts w:hint="cs"/>
          <w:rtl/>
        </w:rPr>
        <w:t>")</w:t>
      </w:r>
      <w:r>
        <w:rPr>
          <w:rFonts w:hint="cs"/>
          <w:rtl/>
        </w:rPr>
        <w:t xml:space="preserve"> </w:t>
      </w:r>
      <w:hyperlink r:id="rId10" w:history="1">
        <w:r w:rsidRPr="00274C10">
          <w:rPr>
            <w:rStyle w:val="Hyperlink"/>
          </w:rPr>
          <w:t>http://www.moc.gov.il/sip_storage/files/1/3551.pdf</w:t>
        </w:r>
      </w:hyperlink>
      <w:r>
        <w:t>.</w:t>
      </w:r>
    </w:p>
  </w:footnote>
  <w:footnote w:id="31">
    <w:p w:rsidR="005F2CDF" w:rsidRDefault="005F2CDF" w:rsidP="00AA1129">
      <w:pPr>
        <w:pStyle w:val="aa"/>
        <w:spacing w:line="240" w:lineRule="auto"/>
        <w:rPr>
          <w:rFonts w:hint="cs"/>
          <w:rtl/>
        </w:rPr>
      </w:pPr>
      <w:r w:rsidRPr="005C5972">
        <w:rPr>
          <w:rStyle w:val="ac"/>
        </w:rPr>
        <w:footnoteRef/>
      </w:r>
      <w:r w:rsidRPr="005C5972">
        <w:rPr>
          <w:rFonts w:hint="cs"/>
          <w:rtl/>
        </w:rPr>
        <w:t xml:space="preserve"> </w:t>
      </w:r>
      <w:r w:rsidRPr="00164FFE">
        <w:rPr>
          <w:rFonts w:hint="cs"/>
          <w:rtl/>
        </w:rPr>
        <w:t>עניין דור אלון</w:t>
      </w:r>
      <w:r>
        <w:rPr>
          <w:rFonts w:hint="cs"/>
          <w:rtl/>
        </w:rPr>
        <w:t xml:space="preserve">, ה"ש </w:t>
      </w:r>
      <w:r w:rsidR="00AA1129">
        <w:rPr>
          <w:rFonts w:hint="cs"/>
          <w:rtl/>
        </w:rPr>
        <w:t>23</w:t>
      </w:r>
      <w:r>
        <w:rPr>
          <w:rFonts w:hint="cs"/>
          <w:rtl/>
        </w:rPr>
        <w:t xml:space="preserve"> לעיל,</w:t>
      </w:r>
      <w:r w:rsidRPr="00164FFE">
        <w:rPr>
          <w:rFonts w:hint="cs"/>
          <w:rtl/>
        </w:rPr>
        <w:t xml:space="preserve"> פס' 46-47</w:t>
      </w:r>
      <w:r>
        <w:rPr>
          <w:rFonts w:hint="cs"/>
          <w:rtl/>
        </w:rPr>
        <w:t>.</w:t>
      </w:r>
    </w:p>
  </w:footnote>
  <w:footnote w:id="32">
    <w:p w:rsidR="005F2CDF" w:rsidRPr="00461E7A" w:rsidRDefault="005F2CDF" w:rsidP="00AA1129">
      <w:pPr>
        <w:pStyle w:val="aa"/>
        <w:bidi w:val="0"/>
        <w:spacing w:line="240" w:lineRule="auto"/>
      </w:pPr>
      <w:r>
        <w:rPr>
          <w:rStyle w:val="ac"/>
        </w:rPr>
        <w:footnoteRef/>
      </w:r>
      <w:r>
        <w:t xml:space="preserve"> P.E. Areeda &amp; H. Hovenkamp, </w:t>
      </w:r>
      <w:r w:rsidRPr="002F7AFB">
        <w:rPr>
          <w:rStyle w:val="af8"/>
        </w:rPr>
        <w:t>Antitrust Law</w:t>
      </w:r>
      <w:r w:rsidRPr="002F7AFB">
        <w:rPr>
          <w:i/>
        </w:rPr>
        <w:t xml:space="preserve"> </w:t>
      </w:r>
      <w:r>
        <w:t>§ 944b (vol. IV, 3</w:t>
      </w:r>
      <w:r w:rsidRPr="002F7AFB">
        <w:rPr>
          <w:vertAlign w:val="superscript"/>
        </w:rPr>
        <w:t>rd</w:t>
      </w:r>
      <w:r>
        <w:t xml:space="preserve"> ed. 2009); </w:t>
      </w:r>
      <w:r w:rsidRPr="00FF5112">
        <w:t xml:space="preserve">Hovenkamp, Supra note </w:t>
      </w:r>
      <w:r w:rsidR="00AA1129">
        <w:t>23</w:t>
      </w:r>
      <w:r>
        <w:rPr>
          <w:b/>
          <w:bCs/>
        </w:rPr>
        <w:t xml:space="preserve">, </w:t>
      </w:r>
      <w:r w:rsidRPr="00164FFE">
        <w:rPr>
          <w:rFonts w:hint="cs"/>
        </w:rPr>
        <w:t>¶</w:t>
      </w:r>
      <w:r>
        <w:t>12.7e ("</w:t>
      </w:r>
      <w:r w:rsidRPr="00452E55">
        <w:rPr>
          <w:b/>
          <w:bCs/>
        </w:rPr>
        <w:t>Areeda</w:t>
      </w:r>
      <w:r>
        <w:rPr>
          <w:b/>
          <w:bCs/>
        </w:rPr>
        <w:t xml:space="preserve"> &amp; Hovenkamp</w:t>
      </w:r>
      <w:r>
        <w:t>"</w:t>
      </w:r>
      <w:r>
        <w:rPr>
          <w:rFonts w:hint="cs"/>
          <w:rtl/>
        </w:rPr>
        <w:t xml:space="preserve">להלן: </w:t>
      </w:r>
      <w:r>
        <w:t>).</w:t>
      </w:r>
    </w:p>
  </w:footnote>
  <w:footnote w:id="33">
    <w:p w:rsidR="005F2CDF" w:rsidRDefault="005F2CDF" w:rsidP="00696E07">
      <w:pPr>
        <w:pStyle w:val="aa"/>
        <w:bidi w:val="0"/>
        <w:spacing w:line="240" w:lineRule="auto"/>
      </w:pPr>
      <w:r>
        <w:rPr>
          <w:rStyle w:val="ac"/>
        </w:rPr>
        <w:footnoteRef/>
      </w:r>
      <w:r>
        <w:t xml:space="preserve"> </w:t>
      </w:r>
      <w:r w:rsidRPr="00164FFE">
        <w:t>M</w:t>
      </w:r>
      <w:r>
        <w:t>.</w:t>
      </w:r>
      <w:r w:rsidRPr="00164FFE">
        <w:t xml:space="preserve"> Mot</w:t>
      </w:r>
      <w:r>
        <w:t>t</w:t>
      </w:r>
      <w:r w:rsidRPr="00164FFE">
        <w:t>a</w:t>
      </w:r>
      <w:r>
        <w:t>,</w:t>
      </w:r>
      <w:r w:rsidRPr="00164FFE">
        <w:t xml:space="preserve"> </w:t>
      </w:r>
      <w:r>
        <w:t>C</w:t>
      </w:r>
      <w:r w:rsidRPr="00164FFE">
        <w:t xml:space="preserve">ompetition </w:t>
      </w:r>
      <w:r>
        <w:t>P</w:t>
      </w:r>
      <w:r w:rsidRPr="00164FFE">
        <w:t>olicy</w:t>
      </w:r>
      <w:r>
        <w:t>:</w:t>
      </w:r>
      <w:r w:rsidRPr="00164FFE">
        <w:t xml:space="preserve"> </w:t>
      </w:r>
      <w:r>
        <w:t>T</w:t>
      </w:r>
      <w:r w:rsidRPr="00164FFE">
        <w:t xml:space="preserve">heory and </w:t>
      </w:r>
      <w:r>
        <w:t>P</w:t>
      </w:r>
      <w:r w:rsidRPr="00164FFE">
        <w:t>ractice, p. 149</w:t>
      </w:r>
      <w:r>
        <w:t xml:space="preserve"> (2004) </w:t>
      </w:r>
      <w:r>
        <w:rPr>
          <w:rFonts w:hint="cs"/>
          <w:rtl/>
        </w:rPr>
        <w:t>")</w:t>
      </w:r>
      <w:r w:rsidRPr="00696E07">
        <w:rPr>
          <w:b/>
          <w:bCs/>
        </w:rPr>
        <w:t>Motta</w:t>
      </w:r>
      <w:r>
        <w:rPr>
          <w:rFonts w:hint="cs"/>
          <w:rtl/>
        </w:rPr>
        <w:t>(להלן: "</w:t>
      </w:r>
      <w:r>
        <w:t>.</w:t>
      </w:r>
    </w:p>
  </w:footnote>
  <w:footnote w:id="34">
    <w:p w:rsidR="005F2CDF" w:rsidRPr="00AE0BE3" w:rsidRDefault="005F2CDF" w:rsidP="00696E07">
      <w:pPr>
        <w:pStyle w:val="aa"/>
        <w:spacing w:line="240" w:lineRule="auto"/>
        <w:rPr>
          <w:rFonts w:hint="cs"/>
          <w:rtl/>
        </w:rPr>
      </w:pPr>
      <w:r>
        <w:rPr>
          <w:rStyle w:val="ac"/>
        </w:rPr>
        <w:footnoteRef/>
      </w:r>
      <w:r>
        <w:rPr>
          <w:rFonts w:hint="cs"/>
          <w:rtl/>
        </w:rPr>
        <w:t xml:space="preserve"> ראו בג"ץ 3483/05 </w:t>
      </w:r>
      <w:r w:rsidRPr="00A34F97">
        <w:rPr>
          <w:rFonts w:hint="cs"/>
          <w:b/>
          <w:bCs/>
          <w:rtl/>
        </w:rPr>
        <w:t>די.בי.אס שרותי לווין (1998) בע"מ נ' שרת התקשורת</w:t>
      </w:r>
      <w:r>
        <w:rPr>
          <w:rFonts w:hint="cs"/>
          <w:rtl/>
        </w:rPr>
        <w:t xml:space="preserve"> (פורסם בנבו, 9.9.2007); נימוקי ההחלטה בדבר אישור מיזוג בתנאים בין בזק החברה הישראלית לתקשורת בע"מ לבין די.בי.אס שירותי לוויין (1998) בע"מ (14.3.2005) </w:t>
      </w:r>
      <w:r w:rsidRPr="00AE0BE3">
        <w:rPr>
          <w:rFonts w:hint="cs"/>
          <w:b/>
          <w:bCs/>
          <w:rtl/>
        </w:rPr>
        <w:t>הגבלים</w:t>
      </w:r>
      <w:r>
        <w:rPr>
          <w:rFonts w:hint="cs"/>
          <w:rtl/>
        </w:rPr>
        <w:t xml:space="preserve"> </w:t>
      </w:r>
      <w:r w:rsidRPr="00AE0BE3">
        <w:rPr>
          <w:rFonts w:hint="cs"/>
          <w:b/>
          <w:bCs/>
          <w:rtl/>
        </w:rPr>
        <w:t>עסקיים</w:t>
      </w:r>
      <w:r>
        <w:rPr>
          <w:rFonts w:hint="cs"/>
          <w:rtl/>
        </w:rPr>
        <w:t xml:space="preserve"> 5000045.</w:t>
      </w:r>
    </w:p>
  </w:footnote>
  <w:footnote w:id="35">
    <w:p w:rsidR="005F2CDF" w:rsidRPr="00AE0BE3" w:rsidRDefault="005F2CDF" w:rsidP="00AA1129">
      <w:pPr>
        <w:pStyle w:val="aa"/>
        <w:bidi w:val="0"/>
        <w:spacing w:line="240" w:lineRule="auto"/>
      </w:pPr>
      <w:r>
        <w:rPr>
          <w:rStyle w:val="ac"/>
        </w:rPr>
        <w:footnoteRef/>
      </w:r>
      <w:r>
        <w:t xml:space="preserve"> Motta, supra note XXX, p. 145; </w:t>
      </w:r>
      <w:r>
        <w:rPr>
          <w:rFonts w:hint="cs"/>
          <w:rtl/>
        </w:rPr>
        <w:t xml:space="preserve">ההנחיות האמריקאיות, ה"ש </w:t>
      </w:r>
      <w:r w:rsidR="00AA1129">
        <w:rPr>
          <w:rFonts w:hint="cs"/>
          <w:rtl/>
        </w:rPr>
        <w:t>21</w:t>
      </w:r>
      <w:r>
        <w:rPr>
          <w:rFonts w:hint="cs"/>
          <w:rtl/>
        </w:rPr>
        <w:t>, עמ' 26</w:t>
      </w:r>
      <w:r>
        <w:t>.</w:t>
      </w:r>
    </w:p>
  </w:footnote>
  <w:footnote w:id="36">
    <w:p w:rsidR="005F2CDF" w:rsidRPr="00362FBB" w:rsidRDefault="005F2CDF" w:rsidP="00696E07">
      <w:pPr>
        <w:pStyle w:val="aa"/>
        <w:spacing w:line="240" w:lineRule="auto"/>
        <w:rPr>
          <w:rFonts w:hint="cs"/>
          <w:rtl/>
        </w:rPr>
      </w:pPr>
      <w:r>
        <w:rPr>
          <w:rStyle w:val="ac"/>
        </w:rPr>
        <w:footnoteRef/>
      </w:r>
      <w:r>
        <w:rPr>
          <w:rFonts w:hint="cs"/>
          <w:rtl/>
        </w:rPr>
        <w:t xml:space="preserve"> הנחיות המיזוגים עמ' 23.</w:t>
      </w:r>
    </w:p>
  </w:footnote>
  <w:footnote w:id="37">
    <w:p w:rsidR="005F2CDF" w:rsidRPr="00362FBB" w:rsidRDefault="005F2CDF" w:rsidP="00696E07">
      <w:pPr>
        <w:pStyle w:val="aa"/>
        <w:spacing w:line="240" w:lineRule="auto"/>
        <w:rPr>
          <w:rFonts w:hint="cs"/>
          <w:rtl/>
        </w:rPr>
      </w:pPr>
      <w:r>
        <w:rPr>
          <w:rStyle w:val="ac"/>
        </w:rPr>
        <w:footnoteRef/>
      </w:r>
      <w:r>
        <w:rPr>
          <w:rFonts w:hint="cs"/>
          <w:rtl/>
        </w:rPr>
        <w:t xml:space="preserve"> כלומר מצב בו שתי חוליות נפרדות בשרשרת הייצור הנמצאות בבעלות שונה מפיקות כל אחת רווחים מפעילותה, בניגוד למצב של אינטגרציה אנכית שבו מופק רווח יחיד.</w:t>
      </w:r>
    </w:p>
  </w:footnote>
  <w:footnote w:id="38">
    <w:p w:rsidR="005F2CDF" w:rsidRDefault="005F2CDF" w:rsidP="00696E07">
      <w:pPr>
        <w:pStyle w:val="aa"/>
        <w:spacing w:line="240" w:lineRule="auto"/>
        <w:rPr>
          <w:rFonts w:hint="cs"/>
          <w:rtl/>
        </w:rPr>
      </w:pPr>
      <w:r>
        <w:rPr>
          <w:rStyle w:val="ac"/>
        </w:rPr>
        <w:footnoteRef/>
      </w:r>
      <w:r>
        <w:rPr>
          <w:rFonts w:hint="cs"/>
          <w:rtl/>
        </w:rPr>
        <w:t xml:space="preserve"> ה"ע (הגבלים עסקיים) 704/07 </w:t>
      </w:r>
      <w:r w:rsidRPr="00696E07">
        <w:rPr>
          <w:rFonts w:hint="cs"/>
          <w:b/>
          <w:bCs/>
          <w:rtl/>
        </w:rPr>
        <w:t>הממונה על ההגבלים העסקיים נ' פריניר (הדס 1987) בע"מ</w:t>
      </w:r>
      <w:r>
        <w:rPr>
          <w:rFonts w:hint="cs"/>
          <w:rtl/>
        </w:rPr>
        <w:t>, פס' 25 (5.4.2009).</w:t>
      </w:r>
    </w:p>
  </w:footnote>
  <w:footnote w:id="39">
    <w:p w:rsidR="005F2CDF" w:rsidRDefault="005F2CDF" w:rsidP="00696E07">
      <w:pPr>
        <w:pStyle w:val="aa"/>
        <w:spacing w:line="240" w:lineRule="auto"/>
        <w:rPr>
          <w:rFonts w:hint="cs"/>
          <w:rtl/>
        </w:rPr>
      </w:pPr>
      <w:r>
        <w:rPr>
          <w:rStyle w:val="ac"/>
        </w:rPr>
        <w:footnoteRef/>
      </w:r>
      <w:r>
        <w:rPr>
          <w:rFonts w:hint="cs"/>
          <w:rtl/>
        </w:rPr>
        <w:t xml:space="preserve"> נימוקי ההחלטה בדבר התנגדות למיזוג בין אי-אונליין קפיטל (אי.או.סי) בע"מ לבין קו מנחה שירותי מידע ותקשורת בע"מ ולבין קו מנחה </w:t>
      </w:r>
      <w:r>
        <w:rPr>
          <w:rtl/>
        </w:rPr>
        <w:t>–</w:t>
      </w:r>
      <w:r>
        <w:rPr>
          <w:rFonts w:hint="cs"/>
          <w:rtl/>
        </w:rPr>
        <w:t xml:space="preserve"> לט מי נו טכנולוגיה בע"מ (11.4.2010) </w:t>
      </w:r>
      <w:r w:rsidRPr="00696E07">
        <w:rPr>
          <w:rFonts w:hint="cs"/>
          <w:b/>
          <w:bCs/>
          <w:rtl/>
        </w:rPr>
        <w:t>הגבלים</w:t>
      </w:r>
      <w:r>
        <w:rPr>
          <w:rFonts w:hint="cs"/>
          <w:rtl/>
        </w:rPr>
        <w:t xml:space="preserve"> </w:t>
      </w:r>
      <w:r w:rsidRPr="00696E07">
        <w:rPr>
          <w:rFonts w:hint="cs"/>
          <w:b/>
          <w:bCs/>
          <w:rtl/>
        </w:rPr>
        <w:t>עסקיים</w:t>
      </w:r>
      <w:r>
        <w:rPr>
          <w:rFonts w:hint="cs"/>
          <w:rtl/>
        </w:rPr>
        <w:t xml:space="preserve"> 5001609.</w:t>
      </w:r>
    </w:p>
  </w:footnote>
  <w:footnote w:id="40">
    <w:p w:rsidR="005F2CDF" w:rsidRDefault="005F2CDF" w:rsidP="00AA1129">
      <w:pPr>
        <w:pStyle w:val="aa"/>
        <w:spacing w:line="240" w:lineRule="auto"/>
        <w:jc w:val="left"/>
        <w:rPr>
          <w:rFonts w:hint="cs"/>
          <w:rtl/>
        </w:rPr>
      </w:pPr>
      <w:r>
        <w:rPr>
          <w:rStyle w:val="ac"/>
        </w:rPr>
        <w:footnoteRef/>
      </w:r>
      <w:r>
        <w:rPr>
          <w:rFonts w:hint="cs"/>
          <w:rtl/>
        </w:rPr>
        <w:t xml:space="preserve"> </w:t>
      </w:r>
      <w:r w:rsidRPr="00164FFE">
        <w:rPr>
          <w:rFonts w:hint="cs"/>
          <w:rtl/>
        </w:rPr>
        <w:t>הנחיות המיזוגים,</w:t>
      </w:r>
      <w:r>
        <w:rPr>
          <w:rFonts w:hint="cs"/>
          <w:rtl/>
        </w:rPr>
        <w:t xml:space="preserve"> ה"ש </w:t>
      </w:r>
      <w:r w:rsidR="00AA1129">
        <w:rPr>
          <w:rFonts w:hint="cs"/>
          <w:rtl/>
        </w:rPr>
        <w:t>2</w:t>
      </w:r>
      <w:r>
        <w:rPr>
          <w:rFonts w:hint="cs"/>
          <w:rtl/>
        </w:rPr>
        <w:t xml:space="preserve"> לעיל,</w:t>
      </w:r>
      <w:r w:rsidRPr="00164FFE">
        <w:rPr>
          <w:rFonts w:hint="cs"/>
          <w:rtl/>
        </w:rPr>
        <w:t xml:space="preserve"> עמ' 22</w:t>
      </w:r>
      <w:r>
        <w:rPr>
          <w:rFonts w:hint="cs"/>
          <w:rtl/>
        </w:rPr>
        <w:t xml:space="preserve">; </w:t>
      </w:r>
    </w:p>
    <w:p w:rsidR="005F2CDF" w:rsidRPr="00696E07" w:rsidRDefault="005F2CDF" w:rsidP="00696E07">
      <w:pPr>
        <w:pStyle w:val="aa"/>
        <w:bidi w:val="0"/>
        <w:spacing w:line="240" w:lineRule="auto"/>
        <w:jc w:val="left"/>
        <w:rPr>
          <w:rFonts w:hint="cs"/>
          <w:b/>
          <w:bCs/>
          <w:rtl/>
        </w:rPr>
      </w:pPr>
      <w:r>
        <w:t xml:space="preserve">R. Whish &amp; D. Bailey, </w:t>
      </w:r>
      <w:r>
        <w:rPr>
          <w:b/>
          <w:bCs/>
        </w:rPr>
        <w:t>Competition Law</w:t>
      </w:r>
      <w:r>
        <w:t>, 920</w:t>
      </w:r>
      <w:r>
        <w:rPr>
          <w:b/>
          <w:bCs/>
        </w:rPr>
        <w:t xml:space="preserve"> </w:t>
      </w:r>
      <w:r>
        <w:t>(Eighth Ed, 2015)</w:t>
      </w:r>
      <w:r>
        <w:rPr>
          <w:rFonts w:hint="cs"/>
          <w:rtl/>
        </w:rPr>
        <w:t xml:space="preserve"> </w:t>
      </w:r>
    </w:p>
  </w:footnote>
  <w:footnote w:id="41">
    <w:p w:rsidR="005F2CDF" w:rsidRPr="001A632C" w:rsidRDefault="005F2CDF" w:rsidP="00EB4A7B">
      <w:pPr>
        <w:pStyle w:val="aa"/>
        <w:spacing w:line="240" w:lineRule="auto"/>
        <w:rPr>
          <w:rFonts w:hint="cs"/>
          <w:rtl/>
        </w:rPr>
      </w:pPr>
      <w:r w:rsidRPr="00AA1129">
        <w:rPr>
          <w:rStyle w:val="ac"/>
        </w:rPr>
        <w:footnoteRef/>
      </w:r>
      <w:r w:rsidRPr="00AA1129">
        <w:rPr>
          <w:rFonts w:hint="cs"/>
          <w:rtl/>
        </w:rPr>
        <w:t xml:space="preserve"> כך לדוגמא, האסדרה של מתן שירותי אירוח במסגרת נדידה פנים ארצית למפעילות בעלות תשתית נקבעה במתכונת של עיגון למחירים מרביים לשירותים אלה במסגרת סעיף 5ג לחוק התקשורת (בזק ושידורים), התשמ"ב-1982 בעוד שביחס למחירי האירוח של מפעילות וירטואליות נקבעו סטנדרטים כלליים בלבד במסגרת סעיף 4(א2) לחוק זה.</w:t>
      </w:r>
    </w:p>
  </w:footnote>
  <w:footnote w:id="42">
    <w:p w:rsidR="005F2CDF" w:rsidRPr="005F6697" w:rsidRDefault="005F2CDF" w:rsidP="00696E07">
      <w:pPr>
        <w:pStyle w:val="aa"/>
        <w:spacing w:line="240" w:lineRule="auto"/>
        <w:rPr>
          <w:rFonts w:hint="cs"/>
          <w:rtl/>
        </w:rPr>
      </w:pPr>
      <w:r>
        <w:rPr>
          <w:rStyle w:val="ac"/>
        </w:rPr>
        <w:footnoteRef/>
      </w:r>
      <w:r>
        <w:rPr>
          <w:rFonts w:hint="cs"/>
          <w:rtl/>
        </w:rPr>
        <w:t xml:space="preserve"> הנחיות המיזוגים עמ' 22-23.</w:t>
      </w:r>
    </w:p>
  </w:footnote>
  <w:footnote w:id="43">
    <w:p w:rsidR="005F2CDF" w:rsidRPr="007A41F4" w:rsidRDefault="005F2CDF" w:rsidP="00696E07">
      <w:pPr>
        <w:pStyle w:val="aa"/>
        <w:spacing w:line="240" w:lineRule="auto"/>
        <w:rPr>
          <w:rFonts w:hint="cs"/>
          <w:rtl/>
        </w:rPr>
      </w:pPr>
      <w:r>
        <w:rPr>
          <w:rStyle w:val="ac"/>
        </w:rPr>
        <w:footnoteRef/>
      </w:r>
      <w:r>
        <w:rPr>
          <w:rFonts w:hint="cs"/>
          <w:rtl/>
        </w:rPr>
        <w:t xml:space="preserve"> ועדת המכרזים למכרז 21/2014 </w:t>
      </w:r>
      <w:r w:rsidRPr="007A41F4">
        <w:rPr>
          <w:rFonts w:hint="cs"/>
          <w:b/>
          <w:bCs/>
          <w:rtl/>
        </w:rPr>
        <w:t>תוצאות הליך התיחור הכספי</w:t>
      </w:r>
      <w:r>
        <w:rPr>
          <w:rFonts w:hint="cs"/>
          <w:rtl/>
        </w:rPr>
        <w:t xml:space="preserve"> (12.1.2015) </w:t>
      </w:r>
      <w:hyperlink r:id="rId11" w:history="1">
        <w:r w:rsidRPr="00744F36">
          <w:rPr>
            <w:rStyle w:val="Hyperlink"/>
          </w:rPr>
          <w:t>http://www.moc.gov.il/sip_storage/FILES/8/4088.pdf</w:t>
        </w:r>
      </w:hyperlink>
      <w:r>
        <w:rPr>
          <w:rFonts w:hint="cs"/>
          <w:rtl/>
        </w:rPr>
        <w:t xml:space="preserve"> </w:t>
      </w:r>
    </w:p>
  </w:footnote>
  <w:footnote w:id="44">
    <w:p w:rsidR="005F2CDF" w:rsidRDefault="005F2CDF" w:rsidP="00B175EC">
      <w:pPr>
        <w:pStyle w:val="aa"/>
        <w:spacing w:line="240" w:lineRule="auto"/>
        <w:rPr>
          <w:rFonts w:hint="cs"/>
          <w:rtl/>
        </w:rPr>
      </w:pPr>
      <w:r w:rsidRPr="00AD0DE7">
        <w:rPr>
          <w:rStyle w:val="ac"/>
        </w:rPr>
        <w:footnoteRef/>
      </w:r>
      <w:r w:rsidRPr="00AD0DE7">
        <w:rPr>
          <w:rFonts w:hint="cs"/>
          <w:rtl/>
        </w:rPr>
        <w:t xml:space="preserve"> חוו"ד משרד התקשורת לגבי שיתוף רשתות, עמ' 15.</w:t>
      </w:r>
    </w:p>
  </w:footnote>
  <w:footnote w:id="45">
    <w:p w:rsidR="005F2CDF" w:rsidRDefault="005F2CDF" w:rsidP="00B175EC">
      <w:pPr>
        <w:pStyle w:val="aa"/>
        <w:spacing w:line="240" w:lineRule="auto"/>
        <w:rPr>
          <w:rFonts w:hint="cs"/>
          <w:rtl/>
        </w:rPr>
      </w:pPr>
      <w:r>
        <w:rPr>
          <w:rStyle w:val="ac"/>
        </w:rPr>
        <w:footnoteRef/>
      </w:r>
      <w:r>
        <w:rPr>
          <w:rFonts w:hint="cs"/>
          <w:rtl/>
        </w:rPr>
        <w:t xml:space="preserve"> משרד התקשורת מדיניות שיתוף ברשת גישה רחבת פס של בעל רישיון כללי למתן שירותי רט"ן (15.5.2014) - </w:t>
      </w:r>
      <w:hyperlink r:id="rId12" w:history="1">
        <w:r w:rsidRPr="00744F36">
          <w:rPr>
            <w:rStyle w:val="Hyperlink"/>
          </w:rPr>
          <w:t>http://www.moc.gov.il/sip_storage/FILES/1/3551.pdf</w:t>
        </w:r>
      </w:hyperlink>
      <w:r>
        <w:rPr>
          <w:rFonts w:hint="cs"/>
          <w:rtl/>
        </w:rPr>
        <w:t xml:space="preserve"> (להלן: "</w:t>
      </w:r>
      <w:r w:rsidRPr="00452E55">
        <w:rPr>
          <w:rFonts w:hint="cs"/>
          <w:b/>
          <w:bCs/>
          <w:rtl/>
        </w:rPr>
        <w:t>מדיניות משרד התקשורת</w:t>
      </w:r>
      <w:r>
        <w:rPr>
          <w:rFonts w:hint="cs"/>
          <w:rtl/>
        </w:rPr>
        <w:t>")</w:t>
      </w:r>
    </w:p>
  </w:footnote>
  <w:footnote w:id="46">
    <w:p w:rsidR="005F2CDF" w:rsidRPr="00985488" w:rsidRDefault="005F2CDF" w:rsidP="00AA1129">
      <w:pPr>
        <w:pStyle w:val="aa"/>
        <w:spacing w:line="240" w:lineRule="auto"/>
        <w:rPr>
          <w:rFonts w:hint="cs"/>
          <w:rtl/>
        </w:rPr>
      </w:pPr>
      <w:r>
        <w:rPr>
          <w:rStyle w:val="ac"/>
        </w:rPr>
        <w:footnoteRef/>
      </w:r>
      <w:r>
        <w:rPr>
          <w:rFonts w:hint="cs"/>
          <w:rtl/>
        </w:rPr>
        <w:t xml:space="preserve"> עניין </w:t>
      </w:r>
      <w:r w:rsidRPr="00164FFE">
        <w:rPr>
          <w:rFonts w:hint="cs"/>
          <w:rtl/>
        </w:rPr>
        <w:t>דור אלון</w:t>
      </w:r>
      <w:r>
        <w:rPr>
          <w:rFonts w:hint="cs"/>
          <w:rtl/>
        </w:rPr>
        <w:t xml:space="preserve">, ה"ש </w:t>
      </w:r>
      <w:r w:rsidR="00AA1129">
        <w:rPr>
          <w:rFonts w:hint="cs"/>
          <w:rtl/>
        </w:rPr>
        <w:t>23</w:t>
      </w:r>
      <w:r>
        <w:rPr>
          <w:rFonts w:hint="cs"/>
          <w:rtl/>
        </w:rPr>
        <w:t xml:space="preserve"> לעיל, </w:t>
      </w:r>
      <w:r w:rsidRPr="00164FFE">
        <w:rPr>
          <w:rFonts w:hint="cs"/>
          <w:rtl/>
        </w:rPr>
        <w:t>פס' 57</w:t>
      </w:r>
      <w:r>
        <w:rPr>
          <w:rFonts w:hint="cs"/>
          <w:rtl/>
        </w:rPr>
        <w:t>.</w:t>
      </w:r>
    </w:p>
  </w:footnote>
  <w:footnote w:id="47">
    <w:p w:rsidR="005F2CDF" w:rsidRDefault="005F2CDF">
      <w:pPr>
        <w:pStyle w:val="aa"/>
        <w:rPr>
          <w:rFonts w:hint="cs"/>
          <w:rtl/>
        </w:rPr>
      </w:pPr>
      <w:r>
        <w:rPr>
          <w:rStyle w:val="ac"/>
        </w:rPr>
        <w:footnoteRef/>
      </w:r>
      <w:r>
        <w:rPr>
          <w:rtl/>
        </w:rPr>
        <w:t xml:space="preserve"> </w:t>
      </w:r>
      <w:r>
        <w:rPr>
          <w:rFonts w:hint="cs"/>
          <w:rtl/>
        </w:rPr>
        <w:t>מדיניות שיתוף משרד התקשורת, ס' 30(ג).</w:t>
      </w:r>
    </w:p>
  </w:footnote>
  <w:footnote w:id="48">
    <w:p w:rsidR="005F2CDF" w:rsidRPr="00C24BB0" w:rsidRDefault="005F2CDF" w:rsidP="00AA1129">
      <w:pPr>
        <w:pStyle w:val="aa"/>
        <w:spacing w:line="240" w:lineRule="auto"/>
        <w:rPr>
          <w:rFonts w:hint="cs"/>
          <w:rtl/>
        </w:rPr>
      </w:pPr>
      <w:r w:rsidRPr="00AD0DE7">
        <w:rPr>
          <w:rStyle w:val="ac"/>
        </w:rPr>
        <w:footnoteRef/>
      </w:r>
      <w:r w:rsidRPr="00AD0DE7">
        <w:rPr>
          <w:rFonts w:hint="cs"/>
          <w:rtl/>
        </w:rPr>
        <w:t xml:space="preserve"> </w:t>
      </w:r>
      <w:r w:rsidR="00AA1129">
        <w:rPr>
          <w:rFonts w:hint="cs"/>
          <w:rtl/>
        </w:rPr>
        <w:t>ה</w:t>
      </w:r>
      <w:r w:rsidRPr="00AD0DE7">
        <w:rPr>
          <w:rFonts w:hint="cs"/>
          <w:rtl/>
        </w:rPr>
        <w:t>הנחיות האירופאיות</w:t>
      </w:r>
      <w:r w:rsidR="00AA1129">
        <w:rPr>
          <w:rFonts w:hint="cs"/>
          <w:rtl/>
        </w:rPr>
        <w:t>, ה"ש 24 לעיל,</w:t>
      </w:r>
      <w:r w:rsidRPr="00AD0DE7">
        <w:rPr>
          <w:rFonts w:hint="cs"/>
          <w:rtl/>
        </w:rPr>
        <w:t xml:space="preserve"> פרק </w:t>
      </w:r>
      <w:r w:rsidRPr="00AD0DE7">
        <w:t>VI</w:t>
      </w:r>
      <w:r>
        <w:rPr>
          <w:rFonts w:hint="cs"/>
          <w:rtl/>
        </w:rPr>
        <w:t>.</w:t>
      </w:r>
    </w:p>
  </w:footnote>
  <w:footnote w:id="49">
    <w:p w:rsidR="005F2CDF" w:rsidRPr="009152DB" w:rsidRDefault="005F2CDF" w:rsidP="00696E07">
      <w:pPr>
        <w:pStyle w:val="aa"/>
        <w:spacing w:line="240" w:lineRule="auto"/>
        <w:rPr>
          <w:rFonts w:hint="cs"/>
          <w:rtl/>
        </w:rPr>
      </w:pPr>
      <w:r w:rsidRPr="009152DB">
        <w:rPr>
          <w:rStyle w:val="ac"/>
        </w:rPr>
        <w:footnoteRef/>
      </w:r>
      <w:r w:rsidRPr="009152DB">
        <w:rPr>
          <w:rFonts w:hint="cs"/>
          <w:rtl/>
        </w:rPr>
        <w:t xml:space="preserve"> </w:t>
      </w:r>
      <w:r w:rsidRPr="00164FFE">
        <w:rPr>
          <w:rFonts w:hint="cs"/>
          <w:rtl/>
        </w:rPr>
        <w:t xml:space="preserve">ע"א 2414/09 </w:t>
      </w:r>
      <w:r w:rsidRPr="00164FFE">
        <w:rPr>
          <w:rFonts w:hint="cs"/>
          <w:b/>
          <w:bCs/>
          <w:rtl/>
        </w:rPr>
        <w:t>יורוקום די.בי.אס בע"מ נ' הממונה על הגבלים עסקיים</w:t>
      </w:r>
      <w:r w:rsidRPr="00036D2E">
        <w:rPr>
          <w:rtl/>
        </w:rPr>
        <w:t xml:space="preserve">, פס' 37 </w:t>
      </w:r>
      <w:r w:rsidRPr="00164FFE">
        <w:rPr>
          <w:rFonts w:hint="cs"/>
          <w:rtl/>
        </w:rPr>
        <w:t>(פורסם בנבו, 20.8.20009) (להלן: "</w:t>
      </w:r>
      <w:r w:rsidRPr="00164FFE">
        <w:rPr>
          <w:rFonts w:hint="cs"/>
          <w:b/>
          <w:bCs/>
          <w:rtl/>
        </w:rPr>
        <w:t xml:space="preserve">עניין </w:t>
      </w:r>
      <w:r>
        <w:rPr>
          <w:rFonts w:hint="cs"/>
          <w:b/>
          <w:bCs/>
          <w:rtl/>
        </w:rPr>
        <w:t>בזק-יס</w:t>
      </w:r>
      <w:r w:rsidRPr="00164FFE">
        <w:rPr>
          <w:rFonts w:hint="cs"/>
          <w:rtl/>
        </w:rPr>
        <w:t>")</w:t>
      </w:r>
      <w:r>
        <w:rPr>
          <w:rFonts w:hint="cs"/>
          <w:rtl/>
        </w:rPr>
        <w:t>;</w:t>
      </w:r>
      <w:r w:rsidRPr="00164FFE">
        <w:rPr>
          <w:rFonts w:hint="cs"/>
          <w:rtl/>
        </w:rPr>
        <w:t xml:space="preserve"> וכן ה"ע 8006/03 </w:t>
      </w:r>
      <w:r w:rsidRPr="00164FFE">
        <w:rPr>
          <w:rFonts w:hint="cs"/>
          <w:b/>
          <w:bCs/>
          <w:rtl/>
        </w:rPr>
        <w:t>יהודה פלדות נ' הממונה על הגבלים עסקיים</w:t>
      </w:r>
      <w:r>
        <w:rPr>
          <w:rFonts w:hint="cs"/>
          <w:rtl/>
        </w:rPr>
        <w:t>, פס' 70</w:t>
      </w:r>
      <w:r w:rsidRPr="00164FFE">
        <w:rPr>
          <w:rFonts w:hint="cs"/>
          <w:rtl/>
        </w:rPr>
        <w:t xml:space="preserve"> (פורסם בנבו, 11.4.2007)</w:t>
      </w:r>
      <w:r>
        <w:rPr>
          <w:rFonts w:hint="cs"/>
          <w:rtl/>
        </w:rPr>
        <w:t>.</w:t>
      </w:r>
    </w:p>
  </w:footnote>
  <w:footnote w:id="50">
    <w:p w:rsidR="005F2CDF" w:rsidRPr="008C4BE0" w:rsidRDefault="005F2CDF" w:rsidP="00696E07">
      <w:pPr>
        <w:pStyle w:val="aa"/>
        <w:spacing w:line="240" w:lineRule="auto"/>
        <w:rPr>
          <w:rFonts w:hint="cs"/>
          <w:rtl/>
        </w:rPr>
      </w:pPr>
      <w:r>
        <w:rPr>
          <w:rStyle w:val="ac"/>
        </w:rPr>
        <w:footnoteRef/>
      </w:r>
      <w:r>
        <w:rPr>
          <w:rFonts w:hint="cs"/>
          <w:rtl/>
        </w:rPr>
        <w:t xml:space="preserve"> ג</w:t>
      </w:r>
      <w:r w:rsidRPr="00164FFE">
        <w:rPr>
          <w:rtl/>
        </w:rPr>
        <w:t>ילוי דעת 2/11: הנחיות בדבר תרופות למיזוגי</w:t>
      </w:r>
      <w:r w:rsidRPr="00164FFE">
        <w:rPr>
          <w:rFonts w:hint="cs"/>
          <w:rtl/>
        </w:rPr>
        <w:t>ם</w:t>
      </w:r>
      <w:r w:rsidRPr="00164FFE">
        <w:rPr>
          <w:rtl/>
        </w:rPr>
        <w:t xml:space="preserve"> המעלי</w:t>
      </w:r>
      <w:r w:rsidRPr="00164FFE">
        <w:rPr>
          <w:rFonts w:hint="cs"/>
          <w:rtl/>
        </w:rPr>
        <w:t>ם</w:t>
      </w:r>
      <w:r w:rsidRPr="00164FFE">
        <w:rPr>
          <w:rtl/>
        </w:rPr>
        <w:t xml:space="preserve"> חשש סביר לפגיעה</w:t>
      </w:r>
      <w:r w:rsidRPr="00164FFE">
        <w:rPr>
          <w:rFonts w:hint="cs"/>
          <w:rtl/>
        </w:rPr>
        <w:t xml:space="preserve"> </w:t>
      </w:r>
      <w:r w:rsidRPr="00164FFE">
        <w:rPr>
          <w:rtl/>
        </w:rPr>
        <w:t>משמעותית בתחרות</w:t>
      </w:r>
      <w:r w:rsidRPr="00164FFE">
        <w:rPr>
          <w:rFonts w:hint="cs"/>
          <w:rtl/>
        </w:rPr>
        <w:t xml:space="preserve">, בעמ' 2, </w:t>
      </w:r>
      <w:r w:rsidRPr="00164FFE">
        <w:rPr>
          <w:rFonts w:hint="cs"/>
          <w:b/>
          <w:bCs/>
          <w:rtl/>
        </w:rPr>
        <w:t xml:space="preserve">הגבלים עסקיים </w:t>
      </w:r>
      <w:r w:rsidRPr="00164FFE">
        <w:rPr>
          <w:rFonts w:hint="cs"/>
          <w:rtl/>
        </w:rPr>
        <w:t>50010804</w:t>
      </w:r>
      <w:r>
        <w:rPr>
          <w:rFonts w:hint="cs"/>
          <w:rtl/>
        </w:rPr>
        <w:t xml:space="preserve"> (להלן: "</w:t>
      </w:r>
      <w:r>
        <w:rPr>
          <w:rFonts w:hint="cs"/>
          <w:b/>
          <w:bCs/>
          <w:rtl/>
        </w:rPr>
        <w:t>גילוי דעת תרופות למיזוגים"</w:t>
      </w:r>
      <w:r>
        <w:rPr>
          <w:rFonts w:hint="cs"/>
          <w:rtl/>
        </w:rPr>
        <w:t>)</w:t>
      </w:r>
    </w:p>
  </w:footnote>
  <w:footnote w:id="51">
    <w:p w:rsidR="005F2CDF" w:rsidRDefault="005F2CDF" w:rsidP="00AA1129">
      <w:pPr>
        <w:pStyle w:val="aa"/>
        <w:spacing w:line="240" w:lineRule="auto"/>
        <w:rPr>
          <w:rFonts w:hint="cs"/>
          <w:rtl/>
        </w:rPr>
      </w:pPr>
      <w:r w:rsidRPr="00696E07">
        <w:rPr>
          <w:rStyle w:val="ac"/>
        </w:rPr>
        <w:footnoteRef/>
      </w:r>
      <w:r w:rsidRPr="00696E07">
        <w:rPr>
          <w:rFonts w:hint="cs"/>
          <w:rtl/>
        </w:rPr>
        <w:t xml:space="preserve"> עניין בזק-יס, ה"ש </w:t>
      </w:r>
      <w:r w:rsidR="00AA1129">
        <w:rPr>
          <w:rFonts w:hint="cs"/>
          <w:rtl/>
        </w:rPr>
        <w:t>49</w:t>
      </w:r>
      <w:r w:rsidRPr="00696E07">
        <w:rPr>
          <w:rFonts w:hint="cs"/>
          <w:rtl/>
        </w:rPr>
        <w:t xml:space="preserve"> לעיל, פס' 37; ה"כ (הגבלים עסקיים) 36014-12-10 </w:t>
      </w:r>
      <w:r w:rsidRPr="00696E07">
        <w:rPr>
          <w:rFonts w:hint="cs"/>
          <w:b/>
          <w:bCs/>
          <w:rtl/>
        </w:rPr>
        <w:t>קניאל תעשיות אריזה בע"מ נ' הרשות להגבלים עסקיים</w:t>
      </w:r>
      <w:r w:rsidRPr="00696E07">
        <w:rPr>
          <w:rFonts w:hint="cs"/>
          <w:rtl/>
        </w:rPr>
        <w:t>, פס' 66-67 (פורסם בנבו, 10.6.2012).</w:t>
      </w:r>
    </w:p>
  </w:footnote>
  <w:footnote w:id="52">
    <w:p w:rsidR="005F2CDF" w:rsidRDefault="005F2CDF" w:rsidP="00696E07">
      <w:pPr>
        <w:pStyle w:val="aa"/>
        <w:spacing w:line="240" w:lineRule="auto"/>
        <w:rPr>
          <w:rFonts w:hint="cs"/>
          <w:rtl/>
        </w:rPr>
      </w:pPr>
      <w:r w:rsidRPr="005C5972">
        <w:rPr>
          <w:rStyle w:val="ac"/>
        </w:rPr>
        <w:footnoteRef/>
      </w:r>
      <w:r w:rsidRPr="005C5972">
        <w:rPr>
          <w:rFonts w:hint="cs"/>
          <w:rtl/>
        </w:rPr>
        <w:t xml:space="preserve"> </w:t>
      </w:r>
      <w:r>
        <w:rPr>
          <w:rFonts w:hint="cs"/>
          <w:rtl/>
        </w:rPr>
        <w:t>גילוי דעת תרופות למיזוגים</w:t>
      </w:r>
      <w:r w:rsidRPr="00164FFE">
        <w:rPr>
          <w:rFonts w:hint="cs"/>
          <w:rtl/>
        </w:rPr>
        <w:t>, פס' 45</w:t>
      </w:r>
      <w:r>
        <w:rPr>
          <w:rFonts w:hint="cs"/>
          <w:rtl/>
        </w:rPr>
        <w:t>.</w:t>
      </w:r>
    </w:p>
  </w:footnote>
  <w:footnote w:id="53">
    <w:p w:rsidR="005F2CDF" w:rsidRPr="00AE0BE3" w:rsidRDefault="005F2CDF" w:rsidP="00696E07">
      <w:pPr>
        <w:pStyle w:val="aa"/>
        <w:spacing w:line="240" w:lineRule="auto"/>
        <w:rPr>
          <w:rFonts w:hint="cs"/>
          <w:rtl/>
        </w:rPr>
      </w:pPr>
      <w:r w:rsidRPr="00AE0BE3">
        <w:rPr>
          <w:rStyle w:val="ac"/>
        </w:rPr>
        <w:footnoteRef/>
      </w:r>
      <w:r w:rsidRPr="00AE0BE3">
        <w:rPr>
          <w:rFonts w:hint="cs"/>
          <w:rtl/>
        </w:rPr>
        <w:t xml:space="preserve"> </w:t>
      </w:r>
      <w:r w:rsidRPr="00164FFE">
        <w:rPr>
          <w:rFonts w:hint="cs"/>
          <w:rtl/>
        </w:rPr>
        <w:t>לפירוט בדבר הדוקטרינה ראו גילוי דעת 1/10: דוקטרינת ה</w:t>
      </w:r>
      <w:r>
        <w:rPr>
          <w:rFonts w:hint="cs"/>
          <w:rtl/>
        </w:rPr>
        <w:t>חברה</w:t>
      </w:r>
      <w:r w:rsidRPr="00164FFE">
        <w:rPr>
          <w:rFonts w:hint="cs"/>
          <w:rtl/>
        </w:rPr>
        <w:t xml:space="preserve"> הכושלת (25.1.2010) </w:t>
      </w:r>
      <w:r w:rsidRPr="00164FFE">
        <w:rPr>
          <w:rFonts w:hint="cs"/>
          <w:b/>
          <w:bCs/>
          <w:rtl/>
        </w:rPr>
        <w:t>הגבלים</w:t>
      </w:r>
      <w:r w:rsidRPr="00164FFE">
        <w:rPr>
          <w:rFonts w:hint="cs"/>
          <w:rtl/>
        </w:rPr>
        <w:t xml:space="preserve"> </w:t>
      </w:r>
      <w:r w:rsidRPr="00164FFE">
        <w:rPr>
          <w:rFonts w:hint="cs"/>
          <w:b/>
          <w:bCs/>
          <w:rtl/>
        </w:rPr>
        <w:t>עסקיים</w:t>
      </w:r>
      <w:r w:rsidRPr="00164FFE">
        <w:rPr>
          <w:rFonts w:hint="cs"/>
          <w:rtl/>
        </w:rPr>
        <w:t xml:space="preserve"> 5001563</w:t>
      </w:r>
      <w:r>
        <w:rPr>
          <w:rFonts w:hint="cs"/>
          <w:rtl/>
        </w:rPr>
        <w:t xml:space="preserve"> (להלן: "</w:t>
      </w:r>
      <w:r>
        <w:rPr>
          <w:rFonts w:hint="cs"/>
          <w:b/>
          <w:bCs/>
          <w:rtl/>
        </w:rPr>
        <w:t>גילוי דעת החברה הכושלת</w:t>
      </w:r>
      <w:r>
        <w:rPr>
          <w:rFonts w:hint="cs"/>
          <w:rtl/>
        </w:rPr>
        <w:t>")</w:t>
      </w:r>
      <w:r w:rsidRPr="00164FFE">
        <w:rPr>
          <w:rFonts w:hint="cs"/>
          <w:rtl/>
        </w:rPr>
        <w:t>.</w:t>
      </w:r>
    </w:p>
  </w:footnote>
  <w:footnote w:id="54">
    <w:p w:rsidR="005F2CDF" w:rsidRDefault="005F2CDF" w:rsidP="00696E07">
      <w:pPr>
        <w:pStyle w:val="aa"/>
        <w:spacing w:line="240" w:lineRule="auto"/>
        <w:rPr>
          <w:rFonts w:hint="cs"/>
          <w:rtl/>
        </w:rPr>
      </w:pPr>
      <w:r>
        <w:rPr>
          <w:rStyle w:val="ac"/>
        </w:rPr>
        <w:footnoteRef/>
      </w:r>
      <w:r>
        <w:rPr>
          <w:rFonts w:hint="cs"/>
          <w:rtl/>
        </w:rPr>
        <w:t xml:space="preserve"> שם , </w:t>
      </w:r>
      <w:r w:rsidRPr="00164FFE">
        <w:rPr>
          <w:rFonts w:hint="cs"/>
          <w:rtl/>
        </w:rPr>
        <w:t>ס</w:t>
      </w:r>
      <w:r>
        <w:rPr>
          <w:rFonts w:hint="cs"/>
          <w:rtl/>
        </w:rPr>
        <w:t>ע</w:t>
      </w:r>
      <w:r w:rsidRPr="00164FFE">
        <w:rPr>
          <w:rFonts w:hint="cs"/>
          <w:rtl/>
        </w:rPr>
        <w:t>' 3.1</w:t>
      </w:r>
      <w:r>
        <w:rPr>
          <w:rFonts w:hint="cs"/>
          <w:rtl/>
        </w:rPr>
        <w:t>.</w:t>
      </w:r>
    </w:p>
  </w:footnote>
  <w:footnote w:id="55">
    <w:p w:rsidR="005F2CDF" w:rsidRDefault="005F2CDF" w:rsidP="00AA1129">
      <w:pPr>
        <w:pStyle w:val="aa"/>
        <w:bidi w:val="0"/>
      </w:pPr>
      <w:r>
        <w:rPr>
          <w:rStyle w:val="ac"/>
        </w:rPr>
        <w:footnoteRef/>
      </w:r>
      <w:r>
        <w:rPr>
          <w:rtl/>
        </w:rPr>
        <w:t xml:space="preserve"> </w:t>
      </w:r>
      <w:r>
        <w:t xml:space="preserve">Areeda &amp; Hovenkamp, supra note </w:t>
      </w:r>
      <w:r w:rsidR="00AA1129">
        <w:t>32</w:t>
      </w:r>
      <w:r>
        <w:t xml:space="preserve">, </w:t>
      </w:r>
      <w:r>
        <w:rPr>
          <w:rFonts w:hint="cs"/>
        </w:rPr>
        <w:t>¶</w:t>
      </w:r>
      <w:r>
        <w:t xml:space="preserve">927b. </w:t>
      </w:r>
    </w:p>
  </w:footnote>
  <w:footnote w:id="56">
    <w:p w:rsidR="005F2CDF" w:rsidRPr="0041171E" w:rsidRDefault="005F2CDF" w:rsidP="000D7ECF">
      <w:pPr>
        <w:bidi w:val="0"/>
        <w:spacing w:line="240" w:lineRule="auto"/>
        <w:rPr>
          <w:highlight w:val="yellow"/>
          <w:rtl/>
        </w:rPr>
      </w:pPr>
      <w:r>
        <w:rPr>
          <w:rStyle w:val="ac"/>
        </w:rPr>
        <w:footnoteRef/>
      </w:r>
      <w:r w:rsidR="000D7ECF">
        <w:t xml:space="preserve"> </w:t>
      </w:r>
      <w:r w:rsidR="000D7ECF" w:rsidRPr="000D7ECF">
        <w:rPr>
          <w:sz w:val="20"/>
          <w:szCs w:val="22"/>
        </w:rPr>
        <w:t xml:space="preserve">United States of America v. AT&amp;T Inc., 1:11-cv-01560 (D.C. Compl. Aug. 31, 2011) - </w:t>
      </w:r>
      <w:hyperlink r:id="rId13" w:history="1">
        <w:r w:rsidR="000D7ECF" w:rsidRPr="000D7ECF">
          <w:rPr>
            <w:rStyle w:val="Hyperlink"/>
            <w:sz w:val="20"/>
            <w:szCs w:val="22"/>
          </w:rPr>
          <w:t>https://www.justice.gov/sites/default/files/opa/legacy/2011/08/31/Justice-ATT-TMobile-Complaint.pdf</w:t>
        </w:r>
      </w:hyperlink>
    </w:p>
  </w:footnote>
  <w:footnote w:id="57">
    <w:p w:rsidR="005F2CDF" w:rsidRDefault="005F2CDF" w:rsidP="0002066A">
      <w:pPr>
        <w:pStyle w:val="aa"/>
        <w:spacing w:line="240" w:lineRule="auto"/>
        <w:rPr>
          <w:rFonts w:hint="cs"/>
          <w:rtl/>
        </w:rPr>
      </w:pPr>
      <w:r>
        <w:rPr>
          <w:rStyle w:val="ac"/>
        </w:rPr>
        <w:footnoteRef/>
      </w:r>
      <w:r>
        <w:rPr>
          <w:rFonts w:hint="cs"/>
          <w:rtl/>
        </w:rPr>
        <w:t xml:space="preserve"> הרצאתה של הנציבה האירופית, גב' מרגרט וסטגר, על תחרות בשוקי הטלקום,</w:t>
      </w:r>
      <w:r w:rsidRPr="00164FFE">
        <w:rPr>
          <w:rFonts w:hint="cs"/>
          <w:rtl/>
        </w:rPr>
        <w:t xml:space="preserve"> פס' 3.2.1</w:t>
      </w:r>
      <w:r>
        <w:rPr>
          <w:rFonts w:hint="cs"/>
          <w:rtl/>
        </w:rPr>
        <w:t>, מיום 2.4.15:</w:t>
      </w:r>
    </w:p>
    <w:p w:rsidR="005F2CDF" w:rsidRPr="00AE0BE3" w:rsidRDefault="005F2CDF" w:rsidP="0002066A">
      <w:pPr>
        <w:pStyle w:val="aa"/>
        <w:spacing w:line="240" w:lineRule="auto"/>
        <w:rPr>
          <w:rFonts w:hint="cs"/>
          <w:rtl/>
        </w:rPr>
      </w:pPr>
      <w:hyperlink r:id="rId14" w:history="1">
        <w:r w:rsidRPr="00164FFE">
          <w:rPr>
            <w:rStyle w:val="Hyperlink"/>
          </w:rPr>
          <w:t>https://ec.europa.eu/commission/2014-2019/vestager/announcements/competition-telecom-markets_en</w:t>
        </w:r>
      </w:hyperlink>
      <w:r>
        <w:rPr>
          <w:rFonts w:hint="cs"/>
          <w:rtl/>
        </w:rPr>
        <w:t>, (להלן: "</w:t>
      </w:r>
      <w:r>
        <w:rPr>
          <w:rFonts w:hint="cs"/>
          <w:b/>
          <w:bCs/>
          <w:rtl/>
        </w:rPr>
        <w:t>נאום הנציבה</w:t>
      </w:r>
      <w:r>
        <w:rPr>
          <w:rFonts w:hint="cs"/>
          <w:rtl/>
        </w:rPr>
        <w:t>")</w:t>
      </w:r>
      <w:r w:rsidRPr="00164FFE">
        <w:rPr>
          <w:rFonts w:hint="cs"/>
          <w:rtl/>
        </w:rPr>
        <w:t>.</w:t>
      </w:r>
    </w:p>
  </w:footnote>
  <w:footnote w:id="58">
    <w:p w:rsidR="005F2CDF" w:rsidRPr="0041171E" w:rsidRDefault="005F2CDF" w:rsidP="0041171E">
      <w:pPr>
        <w:pStyle w:val="aa"/>
        <w:spacing w:line="240" w:lineRule="auto"/>
        <w:rPr>
          <w:rFonts w:hint="cs"/>
          <w:rtl/>
        </w:rPr>
      </w:pPr>
      <w:r w:rsidRPr="0041171E">
        <w:rPr>
          <w:rStyle w:val="ac"/>
        </w:rPr>
        <w:footnoteRef/>
      </w:r>
      <w:r w:rsidRPr="0041171E">
        <w:rPr>
          <w:rtl/>
        </w:rPr>
        <w:t xml:space="preserve"> </w:t>
      </w:r>
      <w:r w:rsidRPr="0041171E">
        <w:rPr>
          <w:rFonts w:hint="cs"/>
          <w:rtl/>
        </w:rPr>
        <w:t>ראו לדוגמא:</w:t>
      </w:r>
      <w:r w:rsidRPr="0041171E">
        <w:t xml:space="preserve">European Commission, Ex-post analysis of two mobile telecom mergers: </w:t>
      </w:r>
    </w:p>
    <w:p w:rsidR="005F2CDF" w:rsidRPr="0041171E" w:rsidRDefault="005F2CDF" w:rsidP="0041171E">
      <w:pPr>
        <w:pStyle w:val="aa"/>
        <w:spacing w:line="240" w:lineRule="auto"/>
        <w:rPr>
          <w:rFonts w:hint="cs"/>
          <w:rtl/>
        </w:rPr>
      </w:pPr>
      <w:r w:rsidRPr="0041171E">
        <w:t xml:space="preserve">T-Mobile/tele.ring in Austria and T-Mobile/Orange in the Netherlands  </w:t>
      </w:r>
      <w:r w:rsidRPr="0041171E">
        <w:rPr>
          <w:rtl/>
        </w:rPr>
        <w:t>:</w:t>
      </w:r>
    </w:p>
    <w:p w:rsidR="005F2CDF" w:rsidRPr="0041171E" w:rsidRDefault="005F2CDF" w:rsidP="0041171E">
      <w:pPr>
        <w:pStyle w:val="aa"/>
        <w:spacing w:line="240" w:lineRule="auto"/>
        <w:rPr>
          <w:rFonts w:hint="cs"/>
          <w:rtl/>
        </w:rPr>
      </w:pPr>
      <w:r w:rsidRPr="0041171E">
        <w:rPr>
          <w:rFonts w:hint="cs"/>
          <w:rtl/>
        </w:rPr>
        <w:t xml:space="preserve"> </w:t>
      </w:r>
      <w:r w:rsidRPr="0041171E">
        <w:t>http://ec.europa.eu/competition/publications/reports/kd0215836enn.pdf</w:t>
      </w:r>
      <w:r w:rsidRPr="0041171E">
        <w:rPr>
          <w:rFonts w:hint="cs"/>
          <w:rtl/>
        </w:rPr>
        <w:t>.</w:t>
      </w:r>
    </w:p>
  </w:footnote>
  <w:footnote w:id="59">
    <w:p w:rsidR="005F2CDF" w:rsidRDefault="005F2CDF" w:rsidP="006E0F9E">
      <w:pPr>
        <w:pStyle w:val="aa"/>
        <w:spacing w:line="240" w:lineRule="auto"/>
        <w:rPr>
          <w:rFonts w:hint="cs"/>
          <w:rtl/>
        </w:rPr>
      </w:pPr>
      <w:r w:rsidRPr="0041171E">
        <w:rPr>
          <w:rStyle w:val="ac"/>
        </w:rPr>
        <w:footnoteRef/>
      </w:r>
      <w:r w:rsidRPr="0041171E">
        <w:rPr>
          <w:rFonts w:hint="cs"/>
          <w:rtl/>
        </w:rPr>
        <w:t xml:space="preserve"> נאום הנציבה, בפסקה 3.1.</w:t>
      </w:r>
    </w:p>
  </w:footnote>
  <w:footnote w:id="60">
    <w:p w:rsidR="005F2CDF" w:rsidRDefault="005F2CDF" w:rsidP="0041171E">
      <w:pPr>
        <w:pStyle w:val="aa"/>
        <w:bidi w:val="0"/>
      </w:pPr>
      <w:r w:rsidRPr="00387589">
        <w:rPr>
          <w:rStyle w:val="ac"/>
        </w:rPr>
        <w:footnoteRef/>
      </w:r>
      <w:r w:rsidRPr="00387589">
        <w:rPr>
          <w:rtl/>
        </w:rPr>
        <w:t xml:space="preserve"> </w:t>
      </w:r>
      <w:r w:rsidRPr="0041171E">
        <w:t>CMA Competition and Markets Authority,</w:t>
      </w:r>
      <w:r>
        <w:t xml:space="preserve"> Letter to </w:t>
      </w:r>
      <w:r w:rsidRPr="00387589">
        <w:t>Commissioner_Margrethe_Vestager</w:t>
      </w:r>
      <w:r>
        <w:t xml:space="preserve"> re:</w:t>
      </w:r>
      <w:r w:rsidRPr="0041171E">
        <w:t xml:space="preserve"> </w:t>
      </w:r>
      <w:r w:rsidRPr="00387589">
        <w:t>Case M.7612 Hutchison 3G UK / Telefonica UK (11/4/2016)</w:t>
      </w:r>
      <w:r>
        <w:t>:</w:t>
      </w:r>
    </w:p>
    <w:p w:rsidR="005F2CDF" w:rsidRPr="0016450A" w:rsidRDefault="005F2CDF" w:rsidP="0041171E">
      <w:pPr>
        <w:pStyle w:val="aa"/>
        <w:bidi w:val="0"/>
      </w:pPr>
      <w:hyperlink r:id="rId15" w:history="1">
        <w:r w:rsidRPr="00387589">
          <w:rPr>
            <w:rStyle w:val="Hyperlink"/>
          </w:rPr>
          <w:t>https://www.gov.uk/government/upl</w:t>
        </w:r>
        <w:r w:rsidRPr="00387589">
          <w:rPr>
            <w:rStyle w:val="Hyperlink"/>
          </w:rPr>
          <w:t>o</w:t>
        </w:r>
        <w:r w:rsidRPr="00387589">
          <w:rPr>
            <w:rStyle w:val="Hyperlink"/>
          </w:rPr>
          <w:t>ads/system/</w:t>
        </w:r>
        <w:r w:rsidRPr="00387589">
          <w:rPr>
            <w:rStyle w:val="Hyperlink"/>
          </w:rPr>
          <w:t>u</w:t>
        </w:r>
        <w:r w:rsidRPr="00387589">
          <w:rPr>
            <w:rStyle w:val="Hyperlink"/>
          </w:rPr>
          <w:t>ploads/attachment_data/file/515405/CMA_letter_to_Commissioner_Margrethe_Vestager.pdf</w:t>
        </w:r>
      </w:hyperlink>
      <w:r>
        <w:rPr>
          <w:rFonts w:hint="cs"/>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CDF" w:rsidRDefault="005F2CDF" w:rsidP="0030707F">
    <w:pPr>
      <w:pStyle w:val="a4"/>
      <w:rPr>
        <w:rStyle w:val="a7"/>
        <w:rtl/>
      </w:rPr>
    </w:pPr>
    <w:r>
      <w:rPr>
        <w:rStyle w:val="a7"/>
        <w:rtl/>
      </w:rPr>
      <w:fldChar w:fldCharType="begin"/>
    </w:r>
    <w:r>
      <w:rPr>
        <w:rStyle w:val="a7"/>
      </w:rPr>
      <w:instrText xml:space="preserve">PAGE  </w:instrText>
    </w:r>
    <w:r>
      <w:rPr>
        <w:rStyle w:val="a7"/>
        <w:rtl/>
      </w:rPr>
      <w:fldChar w:fldCharType="end"/>
    </w:r>
  </w:p>
  <w:p w:rsidR="005F2CDF" w:rsidRDefault="005F2CDF" w:rsidP="0030707F">
    <w:pPr>
      <w:pStyle w:val="a4"/>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62" w:rsidRDefault="00CA4F62">
    <w:pPr>
      <w:pStyle w:val="a4"/>
      <w:jc w:val="center"/>
      <w:rPr>
        <w:cs/>
      </w:rPr>
    </w:pPr>
    <w:r>
      <w:fldChar w:fldCharType="begin"/>
    </w:r>
    <w:r>
      <w:rPr>
        <w:cs/>
      </w:rPr>
      <w:instrText>PAGE   \* MERGEFORMAT</w:instrText>
    </w:r>
    <w:r>
      <w:fldChar w:fldCharType="separate"/>
    </w:r>
    <w:r w:rsidR="00517004" w:rsidRPr="00517004">
      <w:rPr>
        <w:noProof/>
        <w:rtl/>
        <w:lang w:val="he-IL"/>
      </w:rPr>
      <w:t>24</w:t>
    </w:r>
    <w:r>
      <w:fldChar w:fldCharType="end"/>
    </w:r>
  </w:p>
  <w:p w:rsidR="005F2CDF" w:rsidRDefault="005F2CDF" w:rsidP="0030707F">
    <w:pPr>
      <w:pStyle w:val="a4"/>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CDF" w:rsidRDefault="00517004" w:rsidP="00EC251B">
    <w:pPr>
      <w:pStyle w:val="a4"/>
      <w:jc w:val="center"/>
    </w:pPr>
    <w:r>
      <w:rPr>
        <w:noProof/>
        <w:lang w:eastAsia="en-US"/>
      </w:rPr>
      <w:drawing>
        <wp:inline distT="0" distB="0" distL="0" distR="0">
          <wp:extent cx="533400" cy="847725"/>
          <wp:effectExtent l="0" t="0" r="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A23"/>
    <w:multiLevelType w:val="hybridMultilevel"/>
    <w:tmpl w:val="656A2D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D86521"/>
    <w:multiLevelType w:val="multilevel"/>
    <w:tmpl w:val="2A8A53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5F37A8A"/>
    <w:multiLevelType w:val="multilevel"/>
    <w:tmpl w:val="2A8A53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nsid w:val="08B35DF5"/>
    <w:multiLevelType w:val="hybridMultilevel"/>
    <w:tmpl w:val="91D65F38"/>
    <w:lvl w:ilvl="0" w:tplc="6F8CD964">
      <w:start w:val="1"/>
      <w:numFmt w:val="decimal"/>
      <w:lvlText w:val="%1."/>
      <w:lvlJc w:val="left"/>
      <w:pPr>
        <w:tabs>
          <w:tab w:val="num" w:pos="510"/>
        </w:tabs>
        <w:ind w:left="510" w:hanging="510"/>
      </w:pPr>
      <w:rPr>
        <w:rFonts w:cs="David" w:hint="cs"/>
        <w:b w:val="0"/>
        <w:bCs w:val="0"/>
        <w:lang w:val="en-US" w:bidi="he-IL"/>
      </w:rPr>
    </w:lvl>
    <w:lvl w:ilvl="1" w:tplc="04090013">
      <w:start w:val="1"/>
      <w:numFmt w:val="hebrew1"/>
      <w:lvlText w:val="%2."/>
      <w:lvlJc w:val="center"/>
      <w:pPr>
        <w:tabs>
          <w:tab w:val="num" w:pos="1440"/>
        </w:tabs>
        <w:ind w:left="1440" w:hanging="360"/>
      </w:pPr>
      <w:rPr>
        <w:rFonts w:hint="default"/>
        <w:lang w:val="en-US"/>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CC2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DC55A8"/>
    <w:multiLevelType w:val="multilevel"/>
    <w:tmpl w:val="A6CE99A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17055CC4"/>
    <w:multiLevelType w:val="hybridMultilevel"/>
    <w:tmpl w:val="2F36B736"/>
    <w:lvl w:ilvl="0" w:tplc="9618C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99041B"/>
    <w:multiLevelType w:val="multilevel"/>
    <w:tmpl w:val="827EA6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189547DC"/>
    <w:multiLevelType w:val="multilevel"/>
    <w:tmpl w:val="26A88092"/>
    <w:lvl w:ilvl="0">
      <w:start w:val="5"/>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9">
    <w:nsid w:val="1D946619"/>
    <w:multiLevelType w:val="hybridMultilevel"/>
    <w:tmpl w:val="51B85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DA454D0"/>
    <w:multiLevelType w:val="hybridMultilevel"/>
    <w:tmpl w:val="213EC680"/>
    <w:lvl w:ilvl="0" w:tplc="C62626C8">
      <w:start w:val="1"/>
      <w:numFmt w:val="decimal"/>
      <w:pStyle w:val="1"/>
      <w:lvlText w:val="%1."/>
      <w:lvlJc w:val="left"/>
      <w:pPr>
        <w:ind w:left="72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5EA4446">
      <w:start w:val="1"/>
      <w:numFmt w:val="hebrew1"/>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484C3C"/>
    <w:multiLevelType w:val="hybridMultilevel"/>
    <w:tmpl w:val="000289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9097B7D"/>
    <w:multiLevelType w:val="multilevel"/>
    <w:tmpl w:val="021655A6"/>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pStyle w:val="6"/>
      <w:lvlText w:val="%1.%2.%3.%4."/>
      <w:lvlJc w:val="left"/>
      <w:pPr>
        <w:ind w:left="2448" w:hanging="648"/>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nsid w:val="2A29334B"/>
    <w:multiLevelType w:val="multilevel"/>
    <w:tmpl w:val="31FA90A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2D4B4E7D"/>
    <w:multiLevelType w:val="multilevel"/>
    <w:tmpl w:val="827EA6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F561253"/>
    <w:multiLevelType w:val="multilevel"/>
    <w:tmpl w:val="BDBC7E26"/>
    <w:lvl w:ilvl="0">
      <w:start w:val="1"/>
      <w:numFmt w:val="decimal"/>
      <w:lvlText w:val="%1."/>
      <w:lvlJc w:val="left"/>
      <w:pPr>
        <w:ind w:left="360" w:hanging="360"/>
      </w:pPr>
    </w:lvl>
    <w:lvl w:ilvl="1">
      <w:start w:val="1"/>
      <w:numFmt w:val="decimal"/>
      <w:pStyle w:val="2"/>
      <w:lvlText w:val="%1.%2."/>
      <w:lvlJc w:val="left"/>
      <w:pPr>
        <w:ind w:left="1425" w:hanging="432"/>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F912780"/>
    <w:multiLevelType w:val="hybridMultilevel"/>
    <w:tmpl w:val="0CA6A5F6"/>
    <w:lvl w:ilvl="0" w:tplc="0ABC2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4D57A6"/>
    <w:multiLevelType w:val="hybridMultilevel"/>
    <w:tmpl w:val="7568797E"/>
    <w:lvl w:ilvl="0" w:tplc="F46ED5EC">
      <w:start w:val="1"/>
      <w:numFmt w:val="decimal"/>
      <w:lvlText w:val="%1."/>
      <w:lvlJc w:val="left"/>
      <w:pPr>
        <w:tabs>
          <w:tab w:val="num" w:pos="720"/>
        </w:tabs>
        <w:ind w:left="720" w:right="720" w:hanging="360"/>
      </w:pPr>
      <w:rPr>
        <w:rFonts w:hint="cs"/>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18">
    <w:nsid w:val="53116AEC"/>
    <w:multiLevelType w:val="multilevel"/>
    <w:tmpl w:val="28325EA2"/>
    <w:lvl w:ilvl="0">
      <w:start w:val="7"/>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nsid w:val="53E24CB8"/>
    <w:multiLevelType w:val="hybridMultilevel"/>
    <w:tmpl w:val="05446BF0"/>
    <w:lvl w:ilvl="0" w:tplc="5560B29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DA20F6"/>
    <w:multiLevelType w:val="multilevel"/>
    <w:tmpl w:val="827EA6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5AA40A55"/>
    <w:multiLevelType w:val="hybridMultilevel"/>
    <w:tmpl w:val="9A588B56"/>
    <w:lvl w:ilvl="0" w:tplc="05EA444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1D24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D793303"/>
    <w:multiLevelType w:val="hybridMultilevel"/>
    <w:tmpl w:val="AA46F1C6"/>
    <w:lvl w:ilvl="0" w:tplc="D96CBBA4">
      <w:start w:val="1"/>
      <w:numFmt w:val="decimal"/>
      <w:lvlText w:val="%1."/>
      <w:lvlJc w:val="left"/>
      <w:pPr>
        <w:tabs>
          <w:tab w:val="num" w:pos="1080"/>
        </w:tabs>
        <w:ind w:left="1080" w:right="1080" w:hanging="720"/>
      </w:pPr>
      <w:rPr>
        <w:rFonts w:hint="cs"/>
      </w:rPr>
    </w:lvl>
    <w:lvl w:ilvl="1" w:tplc="FBA207BC">
      <w:start w:val="1"/>
      <w:numFmt w:val="hebrew1"/>
      <w:lvlText w:val="%2."/>
      <w:lvlJc w:val="left"/>
      <w:pPr>
        <w:tabs>
          <w:tab w:val="num" w:pos="1440"/>
        </w:tabs>
        <w:ind w:left="1440" w:right="1440" w:hanging="360"/>
      </w:pPr>
      <w:rPr>
        <w:rFonts w:hint="cs"/>
      </w:r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24">
    <w:nsid w:val="60F032A0"/>
    <w:multiLevelType w:val="hybridMultilevel"/>
    <w:tmpl w:val="9A588B56"/>
    <w:lvl w:ilvl="0" w:tplc="05EA444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9C78D5"/>
    <w:multiLevelType w:val="multilevel"/>
    <w:tmpl w:val="827EA6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6FC2242C"/>
    <w:multiLevelType w:val="hybridMultilevel"/>
    <w:tmpl w:val="D22EE836"/>
    <w:lvl w:ilvl="0" w:tplc="0A106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E66358"/>
    <w:multiLevelType w:val="multilevel"/>
    <w:tmpl w:val="2A8A53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71EE76E9"/>
    <w:multiLevelType w:val="hybridMultilevel"/>
    <w:tmpl w:val="7D803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C3FE1"/>
    <w:multiLevelType w:val="multilevel"/>
    <w:tmpl w:val="CD7492C2"/>
    <w:lvl w:ilvl="0">
      <w:start w:val="7"/>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0">
    <w:nsid w:val="7A87543F"/>
    <w:multiLevelType w:val="hybridMultilevel"/>
    <w:tmpl w:val="9426D9F0"/>
    <w:lvl w:ilvl="0" w:tplc="0ABC2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CE5192"/>
    <w:multiLevelType w:val="hybridMultilevel"/>
    <w:tmpl w:val="B6A6B408"/>
    <w:lvl w:ilvl="0" w:tplc="486CE7A2">
      <w:start w:val="1"/>
      <w:numFmt w:val="hebrew1"/>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32">
    <w:nsid w:val="7D3E7E1C"/>
    <w:multiLevelType w:val="multilevel"/>
    <w:tmpl w:val="85A0E33E"/>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pStyle w:val="4"/>
      <w:lvlText w:val="%1.%2.%3."/>
      <w:lvlJc w:val="left"/>
      <w:pPr>
        <w:ind w:left="1944" w:hanging="504"/>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3">
    <w:nsid w:val="7E4B4C4D"/>
    <w:multiLevelType w:val="multilevel"/>
    <w:tmpl w:val="3BF242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23"/>
  </w:num>
  <w:num w:numId="3">
    <w:abstractNumId w:val="19"/>
  </w:num>
  <w:num w:numId="4">
    <w:abstractNumId w:val="13"/>
  </w:num>
  <w:num w:numId="5">
    <w:abstractNumId w:val="21"/>
  </w:num>
  <w:num w:numId="6">
    <w:abstractNumId w:val="9"/>
  </w:num>
  <w:num w:numId="7">
    <w:abstractNumId w:val="0"/>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8"/>
  </w:num>
  <w:num w:numId="12">
    <w:abstractNumId w:val="6"/>
  </w:num>
  <w:num w:numId="13">
    <w:abstractNumId w:val="3"/>
  </w:num>
  <w:num w:numId="14">
    <w:abstractNumId w:val="11"/>
  </w:num>
  <w:num w:numId="15">
    <w:abstractNumId w:val="2"/>
  </w:num>
  <w:num w:numId="16">
    <w:abstractNumId w:val="20"/>
  </w:num>
  <w:num w:numId="17">
    <w:abstractNumId w:val="30"/>
  </w:num>
  <w:num w:numId="18">
    <w:abstractNumId w:val="16"/>
  </w:num>
  <w:num w:numId="19">
    <w:abstractNumId w:val="25"/>
  </w:num>
  <w:num w:numId="20">
    <w:abstractNumId w:val="14"/>
  </w:num>
  <w:num w:numId="21">
    <w:abstractNumId w:val="26"/>
  </w:num>
  <w:num w:numId="22">
    <w:abstractNumId w:val="27"/>
  </w:num>
  <w:num w:numId="23">
    <w:abstractNumId w:val="1"/>
  </w:num>
  <w:num w:numId="24">
    <w:abstractNumId w:val="7"/>
  </w:num>
  <w:num w:numId="25">
    <w:abstractNumId w:val="22"/>
  </w:num>
  <w:num w:numId="26">
    <w:abstractNumId w:val="15"/>
  </w:num>
  <w:num w:numId="27">
    <w:abstractNumId w:val="4"/>
  </w:num>
  <w:num w:numId="28">
    <w:abstractNumId w:val="15"/>
  </w:num>
  <w:num w:numId="29">
    <w:abstractNumId w:val="5"/>
  </w:num>
  <w:num w:numId="30">
    <w:abstractNumId w:val="33"/>
  </w:num>
  <w:num w:numId="31">
    <w:abstractNumId w:val="12"/>
  </w:num>
  <w:num w:numId="32">
    <w:abstractNumId w:val="32"/>
  </w:num>
  <w:num w:numId="33">
    <w:abstractNumId w:val="12"/>
  </w:num>
  <w:num w:numId="34">
    <w:abstractNumId w:val="15"/>
  </w:num>
  <w:num w:numId="35">
    <w:abstractNumId w:val="18"/>
  </w:num>
  <w:num w:numId="36">
    <w:abstractNumId w:val="29"/>
  </w:num>
  <w:num w:numId="37">
    <w:abstractNumId w:val="8"/>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CA3"/>
    <w:rsid w:val="0000026B"/>
    <w:rsid w:val="0000134F"/>
    <w:rsid w:val="00001E26"/>
    <w:rsid w:val="00002512"/>
    <w:rsid w:val="000027BE"/>
    <w:rsid w:val="0000311F"/>
    <w:rsid w:val="0000337E"/>
    <w:rsid w:val="00004048"/>
    <w:rsid w:val="00007F0C"/>
    <w:rsid w:val="00011196"/>
    <w:rsid w:val="000112AF"/>
    <w:rsid w:val="00012434"/>
    <w:rsid w:val="0001299D"/>
    <w:rsid w:val="0001484C"/>
    <w:rsid w:val="00014DAA"/>
    <w:rsid w:val="00015DAE"/>
    <w:rsid w:val="0001601F"/>
    <w:rsid w:val="000162BB"/>
    <w:rsid w:val="0001671A"/>
    <w:rsid w:val="00020631"/>
    <w:rsid w:val="0002066A"/>
    <w:rsid w:val="000214CC"/>
    <w:rsid w:val="000214FC"/>
    <w:rsid w:val="00021555"/>
    <w:rsid w:val="00022EFE"/>
    <w:rsid w:val="00023852"/>
    <w:rsid w:val="000242A2"/>
    <w:rsid w:val="00026484"/>
    <w:rsid w:val="0002792A"/>
    <w:rsid w:val="000301CF"/>
    <w:rsid w:val="00032584"/>
    <w:rsid w:val="00032CC3"/>
    <w:rsid w:val="00032E10"/>
    <w:rsid w:val="00033412"/>
    <w:rsid w:val="000338D7"/>
    <w:rsid w:val="00033DF9"/>
    <w:rsid w:val="00033EA1"/>
    <w:rsid w:val="00036085"/>
    <w:rsid w:val="00036616"/>
    <w:rsid w:val="00036EC4"/>
    <w:rsid w:val="00040754"/>
    <w:rsid w:val="0004099C"/>
    <w:rsid w:val="0004186B"/>
    <w:rsid w:val="00041CF2"/>
    <w:rsid w:val="00041D6B"/>
    <w:rsid w:val="00043057"/>
    <w:rsid w:val="000441A9"/>
    <w:rsid w:val="00044587"/>
    <w:rsid w:val="00044A8A"/>
    <w:rsid w:val="00044E30"/>
    <w:rsid w:val="00045422"/>
    <w:rsid w:val="000460F3"/>
    <w:rsid w:val="0004648B"/>
    <w:rsid w:val="000475AD"/>
    <w:rsid w:val="00052EC6"/>
    <w:rsid w:val="0005398A"/>
    <w:rsid w:val="0005399D"/>
    <w:rsid w:val="00062836"/>
    <w:rsid w:val="00064641"/>
    <w:rsid w:val="00065C99"/>
    <w:rsid w:val="00067C4D"/>
    <w:rsid w:val="00067E5B"/>
    <w:rsid w:val="00070639"/>
    <w:rsid w:val="00071544"/>
    <w:rsid w:val="00071552"/>
    <w:rsid w:val="000730C1"/>
    <w:rsid w:val="00073648"/>
    <w:rsid w:val="00073E78"/>
    <w:rsid w:val="00074A4C"/>
    <w:rsid w:val="0007519E"/>
    <w:rsid w:val="000752C2"/>
    <w:rsid w:val="00075663"/>
    <w:rsid w:val="00075DB1"/>
    <w:rsid w:val="00076648"/>
    <w:rsid w:val="00077F38"/>
    <w:rsid w:val="00080EA5"/>
    <w:rsid w:val="00082D80"/>
    <w:rsid w:val="00084E0F"/>
    <w:rsid w:val="00085B56"/>
    <w:rsid w:val="00085BA4"/>
    <w:rsid w:val="00086251"/>
    <w:rsid w:val="000862B2"/>
    <w:rsid w:val="000872B2"/>
    <w:rsid w:val="00087728"/>
    <w:rsid w:val="00087F68"/>
    <w:rsid w:val="00090487"/>
    <w:rsid w:val="00090BF2"/>
    <w:rsid w:val="00091832"/>
    <w:rsid w:val="000920E7"/>
    <w:rsid w:val="0009271A"/>
    <w:rsid w:val="000950AD"/>
    <w:rsid w:val="0009589F"/>
    <w:rsid w:val="00096333"/>
    <w:rsid w:val="00097287"/>
    <w:rsid w:val="00097D19"/>
    <w:rsid w:val="000A161F"/>
    <w:rsid w:val="000A1AF9"/>
    <w:rsid w:val="000A1E5A"/>
    <w:rsid w:val="000A30CC"/>
    <w:rsid w:val="000A322E"/>
    <w:rsid w:val="000A3EC7"/>
    <w:rsid w:val="000A46EF"/>
    <w:rsid w:val="000A5539"/>
    <w:rsid w:val="000A588B"/>
    <w:rsid w:val="000A6740"/>
    <w:rsid w:val="000A788E"/>
    <w:rsid w:val="000A7D31"/>
    <w:rsid w:val="000B07CF"/>
    <w:rsid w:val="000B197C"/>
    <w:rsid w:val="000B28FB"/>
    <w:rsid w:val="000B2F7A"/>
    <w:rsid w:val="000B7873"/>
    <w:rsid w:val="000B7A23"/>
    <w:rsid w:val="000C08E6"/>
    <w:rsid w:val="000C1367"/>
    <w:rsid w:val="000C152E"/>
    <w:rsid w:val="000C1710"/>
    <w:rsid w:val="000C3717"/>
    <w:rsid w:val="000C470C"/>
    <w:rsid w:val="000C4F77"/>
    <w:rsid w:val="000C514D"/>
    <w:rsid w:val="000C7336"/>
    <w:rsid w:val="000D08F9"/>
    <w:rsid w:val="000D2418"/>
    <w:rsid w:val="000D251E"/>
    <w:rsid w:val="000D35B6"/>
    <w:rsid w:val="000D3EAF"/>
    <w:rsid w:val="000D4A82"/>
    <w:rsid w:val="000D4E3C"/>
    <w:rsid w:val="000D546F"/>
    <w:rsid w:val="000D58DA"/>
    <w:rsid w:val="000D5D42"/>
    <w:rsid w:val="000D61CF"/>
    <w:rsid w:val="000D662C"/>
    <w:rsid w:val="000D6DBC"/>
    <w:rsid w:val="000D6EDF"/>
    <w:rsid w:val="000D7528"/>
    <w:rsid w:val="000D7781"/>
    <w:rsid w:val="000D7ECF"/>
    <w:rsid w:val="000E063E"/>
    <w:rsid w:val="000E08F8"/>
    <w:rsid w:val="000E0AC0"/>
    <w:rsid w:val="000E13B6"/>
    <w:rsid w:val="000E21A7"/>
    <w:rsid w:val="000E27F9"/>
    <w:rsid w:val="000E6380"/>
    <w:rsid w:val="000E64D7"/>
    <w:rsid w:val="000E670F"/>
    <w:rsid w:val="000E67C3"/>
    <w:rsid w:val="000F01FF"/>
    <w:rsid w:val="000F1448"/>
    <w:rsid w:val="000F1D39"/>
    <w:rsid w:val="000F33E2"/>
    <w:rsid w:val="000F3A00"/>
    <w:rsid w:val="000F3A77"/>
    <w:rsid w:val="000F3B9F"/>
    <w:rsid w:val="000F3FE9"/>
    <w:rsid w:val="000F66C1"/>
    <w:rsid w:val="000F74D8"/>
    <w:rsid w:val="0010008B"/>
    <w:rsid w:val="00102A21"/>
    <w:rsid w:val="00104ABD"/>
    <w:rsid w:val="00107741"/>
    <w:rsid w:val="00107AE4"/>
    <w:rsid w:val="0011162C"/>
    <w:rsid w:val="001123CC"/>
    <w:rsid w:val="0011276C"/>
    <w:rsid w:val="00114003"/>
    <w:rsid w:val="00114B7D"/>
    <w:rsid w:val="00114D54"/>
    <w:rsid w:val="00114E68"/>
    <w:rsid w:val="00114F15"/>
    <w:rsid w:val="00115B5E"/>
    <w:rsid w:val="00115F1B"/>
    <w:rsid w:val="00116B69"/>
    <w:rsid w:val="00117D7A"/>
    <w:rsid w:val="00117DDB"/>
    <w:rsid w:val="00120220"/>
    <w:rsid w:val="00121C87"/>
    <w:rsid w:val="0012223B"/>
    <w:rsid w:val="001236F5"/>
    <w:rsid w:val="001251F3"/>
    <w:rsid w:val="00125B7F"/>
    <w:rsid w:val="00125DFC"/>
    <w:rsid w:val="00125E12"/>
    <w:rsid w:val="00127822"/>
    <w:rsid w:val="00127CE6"/>
    <w:rsid w:val="00130DAD"/>
    <w:rsid w:val="0013130C"/>
    <w:rsid w:val="001332F1"/>
    <w:rsid w:val="0013595E"/>
    <w:rsid w:val="00135AA4"/>
    <w:rsid w:val="00136003"/>
    <w:rsid w:val="001362F0"/>
    <w:rsid w:val="00136E8B"/>
    <w:rsid w:val="001403BA"/>
    <w:rsid w:val="00142F5D"/>
    <w:rsid w:val="00143A2E"/>
    <w:rsid w:val="001449AE"/>
    <w:rsid w:val="00144FC0"/>
    <w:rsid w:val="00145D2C"/>
    <w:rsid w:val="00146274"/>
    <w:rsid w:val="001508A4"/>
    <w:rsid w:val="00153DBC"/>
    <w:rsid w:val="00153E54"/>
    <w:rsid w:val="00154112"/>
    <w:rsid w:val="00156F37"/>
    <w:rsid w:val="0016204A"/>
    <w:rsid w:val="0016222F"/>
    <w:rsid w:val="00162320"/>
    <w:rsid w:val="00162EE9"/>
    <w:rsid w:val="00163EAF"/>
    <w:rsid w:val="0016450A"/>
    <w:rsid w:val="00164BBF"/>
    <w:rsid w:val="001656EB"/>
    <w:rsid w:val="00167A1D"/>
    <w:rsid w:val="001700E3"/>
    <w:rsid w:val="001706CB"/>
    <w:rsid w:val="001712B2"/>
    <w:rsid w:val="00171A33"/>
    <w:rsid w:val="00173202"/>
    <w:rsid w:val="001757DB"/>
    <w:rsid w:val="001764AC"/>
    <w:rsid w:val="0018080F"/>
    <w:rsid w:val="001808EF"/>
    <w:rsid w:val="0018100D"/>
    <w:rsid w:val="001831A6"/>
    <w:rsid w:val="0018335D"/>
    <w:rsid w:val="001836C1"/>
    <w:rsid w:val="00184C93"/>
    <w:rsid w:val="00185A82"/>
    <w:rsid w:val="001860E6"/>
    <w:rsid w:val="00186334"/>
    <w:rsid w:val="00186CEB"/>
    <w:rsid w:val="00187B8D"/>
    <w:rsid w:val="00187CA4"/>
    <w:rsid w:val="0019133A"/>
    <w:rsid w:val="00191679"/>
    <w:rsid w:val="00194A0D"/>
    <w:rsid w:val="00195820"/>
    <w:rsid w:val="00195C39"/>
    <w:rsid w:val="00196174"/>
    <w:rsid w:val="00196240"/>
    <w:rsid w:val="0019753C"/>
    <w:rsid w:val="00197EBB"/>
    <w:rsid w:val="001A014E"/>
    <w:rsid w:val="001A0311"/>
    <w:rsid w:val="001A4501"/>
    <w:rsid w:val="001A46E7"/>
    <w:rsid w:val="001A4728"/>
    <w:rsid w:val="001A54C4"/>
    <w:rsid w:val="001A6000"/>
    <w:rsid w:val="001A632C"/>
    <w:rsid w:val="001A6C93"/>
    <w:rsid w:val="001A7E6C"/>
    <w:rsid w:val="001B4871"/>
    <w:rsid w:val="001B4F4E"/>
    <w:rsid w:val="001B5587"/>
    <w:rsid w:val="001B5906"/>
    <w:rsid w:val="001B5E37"/>
    <w:rsid w:val="001B65AF"/>
    <w:rsid w:val="001B7719"/>
    <w:rsid w:val="001C0271"/>
    <w:rsid w:val="001C0E95"/>
    <w:rsid w:val="001C1934"/>
    <w:rsid w:val="001C20DF"/>
    <w:rsid w:val="001C2475"/>
    <w:rsid w:val="001C323B"/>
    <w:rsid w:val="001C3641"/>
    <w:rsid w:val="001C3EAA"/>
    <w:rsid w:val="001C7A40"/>
    <w:rsid w:val="001D1110"/>
    <w:rsid w:val="001D2628"/>
    <w:rsid w:val="001D35D7"/>
    <w:rsid w:val="001D374C"/>
    <w:rsid w:val="001D3C9A"/>
    <w:rsid w:val="001D72D6"/>
    <w:rsid w:val="001D76D9"/>
    <w:rsid w:val="001D7B2E"/>
    <w:rsid w:val="001E06A8"/>
    <w:rsid w:val="001E0AE1"/>
    <w:rsid w:val="001E2974"/>
    <w:rsid w:val="001E2B88"/>
    <w:rsid w:val="001E3558"/>
    <w:rsid w:val="001E4192"/>
    <w:rsid w:val="001E45B0"/>
    <w:rsid w:val="001E463A"/>
    <w:rsid w:val="001E6732"/>
    <w:rsid w:val="001E68E1"/>
    <w:rsid w:val="001E6C07"/>
    <w:rsid w:val="001E78DE"/>
    <w:rsid w:val="001E79BA"/>
    <w:rsid w:val="001E7F72"/>
    <w:rsid w:val="001F031A"/>
    <w:rsid w:val="001F1196"/>
    <w:rsid w:val="001F2083"/>
    <w:rsid w:val="001F2CDF"/>
    <w:rsid w:val="001F2DA6"/>
    <w:rsid w:val="001F3263"/>
    <w:rsid w:val="001F6CE3"/>
    <w:rsid w:val="001F737E"/>
    <w:rsid w:val="001F7602"/>
    <w:rsid w:val="001F76B9"/>
    <w:rsid w:val="001F7827"/>
    <w:rsid w:val="001F7B17"/>
    <w:rsid w:val="001F7E13"/>
    <w:rsid w:val="00200BC8"/>
    <w:rsid w:val="00201DA1"/>
    <w:rsid w:val="002021C5"/>
    <w:rsid w:val="0020301E"/>
    <w:rsid w:val="00204D87"/>
    <w:rsid w:val="00205B89"/>
    <w:rsid w:val="00205BA7"/>
    <w:rsid w:val="00206C70"/>
    <w:rsid w:val="0021073C"/>
    <w:rsid w:val="00212D86"/>
    <w:rsid w:val="00213040"/>
    <w:rsid w:val="002140A0"/>
    <w:rsid w:val="002145B8"/>
    <w:rsid w:val="002147DE"/>
    <w:rsid w:val="00214B2F"/>
    <w:rsid w:val="00215712"/>
    <w:rsid w:val="002171DD"/>
    <w:rsid w:val="00217632"/>
    <w:rsid w:val="00217EED"/>
    <w:rsid w:val="0022122E"/>
    <w:rsid w:val="0022153B"/>
    <w:rsid w:val="00222F1B"/>
    <w:rsid w:val="002235F0"/>
    <w:rsid w:val="00224ED5"/>
    <w:rsid w:val="002250BC"/>
    <w:rsid w:val="002257F4"/>
    <w:rsid w:val="0022637B"/>
    <w:rsid w:val="00226764"/>
    <w:rsid w:val="00230EC0"/>
    <w:rsid w:val="002311AB"/>
    <w:rsid w:val="00231D69"/>
    <w:rsid w:val="00232129"/>
    <w:rsid w:val="00234BF5"/>
    <w:rsid w:val="002356F2"/>
    <w:rsid w:val="00236A6B"/>
    <w:rsid w:val="00236F03"/>
    <w:rsid w:val="00237381"/>
    <w:rsid w:val="0024139F"/>
    <w:rsid w:val="0024155E"/>
    <w:rsid w:val="00241A70"/>
    <w:rsid w:val="00243207"/>
    <w:rsid w:val="002446D9"/>
    <w:rsid w:val="002448FD"/>
    <w:rsid w:val="0024499A"/>
    <w:rsid w:val="00245508"/>
    <w:rsid w:val="002471B0"/>
    <w:rsid w:val="002479C3"/>
    <w:rsid w:val="002532ED"/>
    <w:rsid w:val="0025363C"/>
    <w:rsid w:val="0025446B"/>
    <w:rsid w:val="00255717"/>
    <w:rsid w:val="002558FE"/>
    <w:rsid w:val="00255DB6"/>
    <w:rsid w:val="0025656E"/>
    <w:rsid w:val="00257573"/>
    <w:rsid w:val="00257BBF"/>
    <w:rsid w:val="00257E85"/>
    <w:rsid w:val="002603F4"/>
    <w:rsid w:val="00261683"/>
    <w:rsid w:val="0026266C"/>
    <w:rsid w:val="0026406C"/>
    <w:rsid w:val="00264C11"/>
    <w:rsid w:val="00264DDE"/>
    <w:rsid w:val="002653DE"/>
    <w:rsid w:val="00266AD2"/>
    <w:rsid w:val="00267F04"/>
    <w:rsid w:val="0027126A"/>
    <w:rsid w:val="00272B21"/>
    <w:rsid w:val="00273B56"/>
    <w:rsid w:val="00273FB9"/>
    <w:rsid w:val="00274528"/>
    <w:rsid w:val="0027457A"/>
    <w:rsid w:val="002758A4"/>
    <w:rsid w:val="00276E67"/>
    <w:rsid w:val="00277B7E"/>
    <w:rsid w:val="0028011D"/>
    <w:rsid w:val="00281985"/>
    <w:rsid w:val="00282247"/>
    <w:rsid w:val="00284241"/>
    <w:rsid w:val="00284448"/>
    <w:rsid w:val="00284824"/>
    <w:rsid w:val="0028497A"/>
    <w:rsid w:val="00284F07"/>
    <w:rsid w:val="002857ED"/>
    <w:rsid w:val="0028599B"/>
    <w:rsid w:val="0028776D"/>
    <w:rsid w:val="0028792F"/>
    <w:rsid w:val="00290C34"/>
    <w:rsid w:val="00291177"/>
    <w:rsid w:val="00292789"/>
    <w:rsid w:val="00292D66"/>
    <w:rsid w:val="00293AF2"/>
    <w:rsid w:val="002944B2"/>
    <w:rsid w:val="0029455B"/>
    <w:rsid w:val="002949F1"/>
    <w:rsid w:val="002958B0"/>
    <w:rsid w:val="0029705B"/>
    <w:rsid w:val="002A0699"/>
    <w:rsid w:val="002A0A46"/>
    <w:rsid w:val="002A0E11"/>
    <w:rsid w:val="002A2A64"/>
    <w:rsid w:val="002A2C82"/>
    <w:rsid w:val="002A425D"/>
    <w:rsid w:val="002A60FA"/>
    <w:rsid w:val="002B0C55"/>
    <w:rsid w:val="002B0C67"/>
    <w:rsid w:val="002B2231"/>
    <w:rsid w:val="002B3742"/>
    <w:rsid w:val="002B417B"/>
    <w:rsid w:val="002B4B70"/>
    <w:rsid w:val="002B513B"/>
    <w:rsid w:val="002B599A"/>
    <w:rsid w:val="002B672A"/>
    <w:rsid w:val="002B6C2F"/>
    <w:rsid w:val="002B731E"/>
    <w:rsid w:val="002B7AD7"/>
    <w:rsid w:val="002C00A6"/>
    <w:rsid w:val="002C0FCB"/>
    <w:rsid w:val="002C1E48"/>
    <w:rsid w:val="002C22F8"/>
    <w:rsid w:val="002C2C19"/>
    <w:rsid w:val="002C354E"/>
    <w:rsid w:val="002C37BA"/>
    <w:rsid w:val="002C4EEB"/>
    <w:rsid w:val="002C50E4"/>
    <w:rsid w:val="002C6088"/>
    <w:rsid w:val="002C674D"/>
    <w:rsid w:val="002C7AF0"/>
    <w:rsid w:val="002D0C6F"/>
    <w:rsid w:val="002D13C1"/>
    <w:rsid w:val="002D165F"/>
    <w:rsid w:val="002D20BD"/>
    <w:rsid w:val="002D2497"/>
    <w:rsid w:val="002D2599"/>
    <w:rsid w:val="002D2B5B"/>
    <w:rsid w:val="002D2BA3"/>
    <w:rsid w:val="002D33B7"/>
    <w:rsid w:val="002D3A2E"/>
    <w:rsid w:val="002D46C0"/>
    <w:rsid w:val="002D555F"/>
    <w:rsid w:val="002D5C99"/>
    <w:rsid w:val="002D5FA7"/>
    <w:rsid w:val="002D6635"/>
    <w:rsid w:val="002D67BE"/>
    <w:rsid w:val="002D74B3"/>
    <w:rsid w:val="002E075C"/>
    <w:rsid w:val="002E142C"/>
    <w:rsid w:val="002E17CA"/>
    <w:rsid w:val="002E1E11"/>
    <w:rsid w:val="002E1F95"/>
    <w:rsid w:val="002E21C2"/>
    <w:rsid w:val="002E2777"/>
    <w:rsid w:val="002E35A0"/>
    <w:rsid w:val="002E39DE"/>
    <w:rsid w:val="002E3F0E"/>
    <w:rsid w:val="002E420E"/>
    <w:rsid w:val="002E4E88"/>
    <w:rsid w:val="002E5090"/>
    <w:rsid w:val="002E549E"/>
    <w:rsid w:val="002E6180"/>
    <w:rsid w:val="002E6DF9"/>
    <w:rsid w:val="002E792A"/>
    <w:rsid w:val="002E7C07"/>
    <w:rsid w:val="002F128E"/>
    <w:rsid w:val="002F18CF"/>
    <w:rsid w:val="002F1A37"/>
    <w:rsid w:val="002F2BFE"/>
    <w:rsid w:val="002F2F1F"/>
    <w:rsid w:val="002F3FC4"/>
    <w:rsid w:val="002F5557"/>
    <w:rsid w:val="002F61C2"/>
    <w:rsid w:val="002F7C45"/>
    <w:rsid w:val="00300E62"/>
    <w:rsid w:val="00303652"/>
    <w:rsid w:val="00303D73"/>
    <w:rsid w:val="00304BBB"/>
    <w:rsid w:val="00304BEE"/>
    <w:rsid w:val="0030532F"/>
    <w:rsid w:val="00305618"/>
    <w:rsid w:val="0030613C"/>
    <w:rsid w:val="003064DA"/>
    <w:rsid w:val="0030707F"/>
    <w:rsid w:val="00307557"/>
    <w:rsid w:val="0031235A"/>
    <w:rsid w:val="00312E7C"/>
    <w:rsid w:val="00313DAC"/>
    <w:rsid w:val="00314272"/>
    <w:rsid w:val="003144BA"/>
    <w:rsid w:val="003150D1"/>
    <w:rsid w:val="00316886"/>
    <w:rsid w:val="00316D0E"/>
    <w:rsid w:val="003173CE"/>
    <w:rsid w:val="00317BA9"/>
    <w:rsid w:val="00317E2A"/>
    <w:rsid w:val="003205B6"/>
    <w:rsid w:val="003230E3"/>
    <w:rsid w:val="0032327B"/>
    <w:rsid w:val="0032357C"/>
    <w:rsid w:val="00323D39"/>
    <w:rsid w:val="00324F5F"/>
    <w:rsid w:val="003254C0"/>
    <w:rsid w:val="00332E17"/>
    <w:rsid w:val="00333495"/>
    <w:rsid w:val="00333E4B"/>
    <w:rsid w:val="0033405D"/>
    <w:rsid w:val="00334596"/>
    <w:rsid w:val="00335B8F"/>
    <w:rsid w:val="00335E8B"/>
    <w:rsid w:val="00337062"/>
    <w:rsid w:val="00337C26"/>
    <w:rsid w:val="00340540"/>
    <w:rsid w:val="00340BCA"/>
    <w:rsid w:val="00340E38"/>
    <w:rsid w:val="003418FF"/>
    <w:rsid w:val="00342972"/>
    <w:rsid w:val="00342C5B"/>
    <w:rsid w:val="00343381"/>
    <w:rsid w:val="0034465C"/>
    <w:rsid w:val="00345B3C"/>
    <w:rsid w:val="00346694"/>
    <w:rsid w:val="00347DC5"/>
    <w:rsid w:val="00347E73"/>
    <w:rsid w:val="0035074D"/>
    <w:rsid w:val="00351D2F"/>
    <w:rsid w:val="00351FF8"/>
    <w:rsid w:val="00352171"/>
    <w:rsid w:val="0035258D"/>
    <w:rsid w:val="00352C68"/>
    <w:rsid w:val="003531FB"/>
    <w:rsid w:val="00353DB8"/>
    <w:rsid w:val="0035406A"/>
    <w:rsid w:val="00357B1F"/>
    <w:rsid w:val="00357B3F"/>
    <w:rsid w:val="00357CA8"/>
    <w:rsid w:val="003605BD"/>
    <w:rsid w:val="0036068D"/>
    <w:rsid w:val="00360E6E"/>
    <w:rsid w:val="003612A5"/>
    <w:rsid w:val="0036228C"/>
    <w:rsid w:val="00362FBB"/>
    <w:rsid w:val="00363DFA"/>
    <w:rsid w:val="00364BD0"/>
    <w:rsid w:val="003650B1"/>
    <w:rsid w:val="003654D7"/>
    <w:rsid w:val="00365F5B"/>
    <w:rsid w:val="003674B0"/>
    <w:rsid w:val="003675EC"/>
    <w:rsid w:val="0037046E"/>
    <w:rsid w:val="00371219"/>
    <w:rsid w:val="003718CF"/>
    <w:rsid w:val="00372766"/>
    <w:rsid w:val="00372BD3"/>
    <w:rsid w:val="00372DF2"/>
    <w:rsid w:val="00372F0B"/>
    <w:rsid w:val="00373311"/>
    <w:rsid w:val="0037518B"/>
    <w:rsid w:val="003753E2"/>
    <w:rsid w:val="00375754"/>
    <w:rsid w:val="00376492"/>
    <w:rsid w:val="00376695"/>
    <w:rsid w:val="0037693E"/>
    <w:rsid w:val="00377474"/>
    <w:rsid w:val="00377FAC"/>
    <w:rsid w:val="003807FC"/>
    <w:rsid w:val="00381084"/>
    <w:rsid w:val="00381A7A"/>
    <w:rsid w:val="0038314D"/>
    <w:rsid w:val="00383DB9"/>
    <w:rsid w:val="00384803"/>
    <w:rsid w:val="00385253"/>
    <w:rsid w:val="00385B3E"/>
    <w:rsid w:val="003868BD"/>
    <w:rsid w:val="003869B3"/>
    <w:rsid w:val="00386DF8"/>
    <w:rsid w:val="00387589"/>
    <w:rsid w:val="00390042"/>
    <w:rsid w:val="003906EC"/>
    <w:rsid w:val="003909EC"/>
    <w:rsid w:val="00391B23"/>
    <w:rsid w:val="003927DD"/>
    <w:rsid w:val="003932B5"/>
    <w:rsid w:val="00393483"/>
    <w:rsid w:val="0039377A"/>
    <w:rsid w:val="00395347"/>
    <w:rsid w:val="0039697B"/>
    <w:rsid w:val="003A14AA"/>
    <w:rsid w:val="003A2407"/>
    <w:rsid w:val="003A3A7D"/>
    <w:rsid w:val="003A3E24"/>
    <w:rsid w:val="003A3E6B"/>
    <w:rsid w:val="003A4E7D"/>
    <w:rsid w:val="003A5392"/>
    <w:rsid w:val="003A62AC"/>
    <w:rsid w:val="003A7997"/>
    <w:rsid w:val="003B006B"/>
    <w:rsid w:val="003B0094"/>
    <w:rsid w:val="003B1780"/>
    <w:rsid w:val="003B1C45"/>
    <w:rsid w:val="003B28B1"/>
    <w:rsid w:val="003B292B"/>
    <w:rsid w:val="003B4754"/>
    <w:rsid w:val="003B47C4"/>
    <w:rsid w:val="003B53A9"/>
    <w:rsid w:val="003B54C4"/>
    <w:rsid w:val="003B5644"/>
    <w:rsid w:val="003B675F"/>
    <w:rsid w:val="003B7868"/>
    <w:rsid w:val="003C0C60"/>
    <w:rsid w:val="003C13A5"/>
    <w:rsid w:val="003C13C6"/>
    <w:rsid w:val="003C161D"/>
    <w:rsid w:val="003C4FAC"/>
    <w:rsid w:val="003C5627"/>
    <w:rsid w:val="003C6D10"/>
    <w:rsid w:val="003C6DB3"/>
    <w:rsid w:val="003C71DD"/>
    <w:rsid w:val="003D0191"/>
    <w:rsid w:val="003D03CE"/>
    <w:rsid w:val="003D12AF"/>
    <w:rsid w:val="003D212A"/>
    <w:rsid w:val="003D2BA7"/>
    <w:rsid w:val="003D2DE3"/>
    <w:rsid w:val="003D2E95"/>
    <w:rsid w:val="003D30FC"/>
    <w:rsid w:val="003D3AD9"/>
    <w:rsid w:val="003D3E91"/>
    <w:rsid w:val="003D411D"/>
    <w:rsid w:val="003D42E6"/>
    <w:rsid w:val="003D52CF"/>
    <w:rsid w:val="003D69B3"/>
    <w:rsid w:val="003D6CBD"/>
    <w:rsid w:val="003D7E7A"/>
    <w:rsid w:val="003E0562"/>
    <w:rsid w:val="003E282F"/>
    <w:rsid w:val="003E3A1F"/>
    <w:rsid w:val="003E4869"/>
    <w:rsid w:val="003E4C80"/>
    <w:rsid w:val="003E51F6"/>
    <w:rsid w:val="003E550E"/>
    <w:rsid w:val="003E5C4E"/>
    <w:rsid w:val="003E74D8"/>
    <w:rsid w:val="003F37C2"/>
    <w:rsid w:val="003F39DC"/>
    <w:rsid w:val="003F3EE9"/>
    <w:rsid w:val="003F402D"/>
    <w:rsid w:val="003F500C"/>
    <w:rsid w:val="003F50F7"/>
    <w:rsid w:val="003F5D50"/>
    <w:rsid w:val="003F7887"/>
    <w:rsid w:val="0040128A"/>
    <w:rsid w:val="00401A6F"/>
    <w:rsid w:val="00401FC3"/>
    <w:rsid w:val="00402732"/>
    <w:rsid w:val="004027DD"/>
    <w:rsid w:val="00402CDF"/>
    <w:rsid w:val="00404792"/>
    <w:rsid w:val="00404B8B"/>
    <w:rsid w:val="00405B78"/>
    <w:rsid w:val="00406892"/>
    <w:rsid w:val="00407A60"/>
    <w:rsid w:val="0041171E"/>
    <w:rsid w:val="00412C9F"/>
    <w:rsid w:val="00412CF7"/>
    <w:rsid w:val="00412D5A"/>
    <w:rsid w:val="00412DD1"/>
    <w:rsid w:val="004130AC"/>
    <w:rsid w:val="00413544"/>
    <w:rsid w:val="0041365A"/>
    <w:rsid w:val="00414D73"/>
    <w:rsid w:val="004159B2"/>
    <w:rsid w:val="00415EEC"/>
    <w:rsid w:val="0041759D"/>
    <w:rsid w:val="004175F7"/>
    <w:rsid w:val="00417717"/>
    <w:rsid w:val="0042018D"/>
    <w:rsid w:val="00420AA3"/>
    <w:rsid w:val="00420C94"/>
    <w:rsid w:val="00421243"/>
    <w:rsid w:val="00421ECB"/>
    <w:rsid w:val="0042212A"/>
    <w:rsid w:val="00423903"/>
    <w:rsid w:val="004257B0"/>
    <w:rsid w:val="004260AB"/>
    <w:rsid w:val="0042623C"/>
    <w:rsid w:val="00430519"/>
    <w:rsid w:val="00430CFC"/>
    <w:rsid w:val="004326A0"/>
    <w:rsid w:val="00432D56"/>
    <w:rsid w:val="004338B1"/>
    <w:rsid w:val="004343E9"/>
    <w:rsid w:val="004349C0"/>
    <w:rsid w:val="00434FD3"/>
    <w:rsid w:val="00435016"/>
    <w:rsid w:val="00435066"/>
    <w:rsid w:val="00435B7C"/>
    <w:rsid w:val="00436DD9"/>
    <w:rsid w:val="00437665"/>
    <w:rsid w:val="00440C29"/>
    <w:rsid w:val="00441BCE"/>
    <w:rsid w:val="00441BEC"/>
    <w:rsid w:val="00442824"/>
    <w:rsid w:val="00442A49"/>
    <w:rsid w:val="00443BE0"/>
    <w:rsid w:val="00445C20"/>
    <w:rsid w:val="00447695"/>
    <w:rsid w:val="00451393"/>
    <w:rsid w:val="00451773"/>
    <w:rsid w:val="0045224F"/>
    <w:rsid w:val="00452E55"/>
    <w:rsid w:val="00452F0C"/>
    <w:rsid w:val="00453488"/>
    <w:rsid w:val="00454224"/>
    <w:rsid w:val="0045705D"/>
    <w:rsid w:val="004574D6"/>
    <w:rsid w:val="004576AC"/>
    <w:rsid w:val="0045796C"/>
    <w:rsid w:val="00457BC3"/>
    <w:rsid w:val="0046151E"/>
    <w:rsid w:val="00461E7A"/>
    <w:rsid w:val="00462714"/>
    <w:rsid w:val="004640D2"/>
    <w:rsid w:val="00465F68"/>
    <w:rsid w:val="0046608C"/>
    <w:rsid w:val="004664C8"/>
    <w:rsid w:val="00466C5B"/>
    <w:rsid w:val="00466CA2"/>
    <w:rsid w:val="00471A58"/>
    <w:rsid w:val="00472EDE"/>
    <w:rsid w:val="00473699"/>
    <w:rsid w:val="00474470"/>
    <w:rsid w:val="004755EF"/>
    <w:rsid w:val="00475D7F"/>
    <w:rsid w:val="0047610F"/>
    <w:rsid w:val="004807F7"/>
    <w:rsid w:val="004808C5"/>
    <w:rsid w:val="004834A4"/>
    <w:rsid w:val="004856E8"/>
    <w:rsid w:val="00485C2B"/>
    <w:rsid w:val="004876DE"/>
    <w:rsid w:val="00487818"/>
    <w:rsid w:val="0049063A"/>
    <w:rsid w:val="0049149D"/>
    <w:rsid w:val="00492913"/>
    <w:rsid w:val="00492D0F"/>
    <w:rsid w:val="00492E97"/>
    <w:rsid w:val="00492F79"/>
    <w:rsid w:val="00493BF7"/>
    <w:rsid w:val="00493FE1"/>
    <w:rsid w:val="00494043"/>
    <w:rsid w:val="004949FE"/>
    <w:rsid w:val="00494AC5"/>
    <w:rsid w:val="00494B3D"/>
    <w:rsid w:val="004957B9"/>
    <w:rsid w:val="00495892"/>
    <w:rsid w:val="00495F36"/>
    <w:rsid w:val="00496591"/>
    <w:rsid w:val="004A0077"/>
    <w:rsid w:val="004A088A"/>
    <w:rsid w:val="004A08A1"/>
    <w:rsid w:val="004A1EFF"/>
    <w:rsid w:val="004A3A6F"/>
    <w:rsid w:val="004A4629"/>
    <w:rsid w:val="004A4C18"/>
    <w:rsid w:val="004A592C"/>
    <w:rsid w:val="004A6B42"/>
    <w:rsid w:val="004B009D"/>
    <w:rsid w:val="004B00BA"/>
    <w:rsid w:val="004B0F2B"/>
    <w:rsid w:val="004B3E35"/>
    <w:rsid w:val="004B480A"/>
    <w:rsid w:val="004B6251"/>
    <w:rsid w:val="004B6508"/>
    <w:rsid w:val="004B737E"/>
    <w:rsid w:val="004B74E2"/>
    <w:rsid w:val="004B7938"/>
    <w:rsid w:val="004C03F9"/>
    <w:rsid w:val="004C1A84"/>
    <w:rsid w:val="004C1BC7"/>
    <w:rsid w:val="004C28B6"/>
    <w:rsid w:val="004C4FDF"/>
    <w:rsid w:val="004C5551"/>
    <w:rsid w:val="004C586F"/>
    <w:rsid w:val="004C58A7"/>
    <w:rsid w:val="004C5F66"/>
    <w:rsid w:val="004D1454"/>
    <w:rsid w:val="004D1CCC"/>
    <w:rsid w:val="004D278F"/>
    <w:rsid w:val="004D2F9F"/>
    <w:rsid w:val="004D38FF"/>
    <w:rsid w:val="004D4BE3"/>
    <w:rsid w:val="004D53D5"/>
    <w:rsid w:val="004D61B0"/>
    <w:rsid w:val="004D6AF3"/>
    <w:rsid w:val="004E0AA2"/>
    <w:rsid w:val="004E106A"/>
    <w:rsid w:val="004E1829"/>
    <w:rsid w:val="004E1C69"/>
    <w:rsid w:val="004E253B"/>
    <w:rsid w:val="004E507A"/>
    <w:rsid w:val="004E5A90"/>
    <w:rsid w:val="004E6B20"/>
    <w:rsid w:val="004E7115"/>
    <w:rsid w:val="004E73CD"/>
    <w:rsid w:val="004F0317"/>
    <w:rsid w:val="004F098E"/>
    <w:rsid w:val="004F24A2"/>
    <w:rsid w:val="004F32D9"/>
    <w:rsid w:val="004F3770"/>
    <w:rsid w:val="004F3E0B"/>
    <w:rsid w:val="004F3E71"/>
    <w:rsid w:val="004F51C5"/>
    <w:rsid w:val="004F7AB6"/>
    <w:rsid w:val="004F7BE2"/>
    <w:rsid w:val="004F7E00"/>
    <w:rsid w:val="005000E2"/>
    <w:rsid w:val="00501634"/>
    <w:rsid w:val="005017EA"/>
    <w:rsid w:val="00501BC9"/>
    <w:rsid w:val="00501DE8"/>
    <w:rsid w:val="005023D9"/>
    <w:rsid w:val="00502529"/>
    <w:rsid w:val="00502872"/>
    <w:rsid w:val="00504759"/>
    <w:rsid w:val="005049F8"/>
    <w:rsid w:val="00506FC4"/>
    <w:rsid w:val="00507603"/>
    <w:rsid w:val="00510173"/>
    <w:rsid w:val="005102F6"/>
    <w:rsid w:val="005124F4"/>
    <w:rsid w:val="005126A3"/>
    <w:rsid w:val="00514556"/>
    <w:rsid w:val="00517004"/>
    <w:rsid w:val="00517FBE"/>
    <w:rsid w:val="00520AE5"/>
    <w:rsid w:val="00522190"/>
    <w:rsid w:val="0052413A"/>
    <w:rsid w:val="005248F0"/>
    <w:rsid w:val="00524F5B"/>
    <w:rsid w:val="00525171"/>
    <w:rsid w:val="005264B6"/>
    <w:rsid w:val="00527797"/>
    <w:rsid w:val="005278D0"/>
    <w:rsid w:val="005279BC"/>
    <w:rsid w:val="005300A1"/>
    <w:rsid w:val="0053021F"/>
    <w:rsid w:val="00531CB9"/>
    <w:rsid w:val="00533809"/>
    <w:rsid w:val="00534730"/>
    <w:rsid w:val="00535F0A"/>
    <w:rsid w:val="00536178"/>
    <w:rsid w:val="00536522"/>
    <w:rsid w:val="005366C1"/>
    <w:rsid w:val="00536DB8"/>
    <w:rsid w:val="00537CB8"/>
    <w:rsid w:val="00540E7A"/>
    <w:rsid w:val="00541B1F"/>
    <w:rsid w:val="00541E8D"/>
    <w:rsid w:val="00543770"/>
    <w:rsid w:val="005438A5"/>
    <w:rsid w:val="00543A2A"/>
    <w:rsid w:val="0054422D"/>
    <w:rsid w:val="00544618"/>
    <w:rsid w:val="00545AA2"/>
    <w:rsid w:val="005464FA"/>
    <w:rsid w:val="0054665E"/>
    <w:rsid w:val="00547052"/>
    <w:rsid w:val="00550F74"/>
    <w:rsid w:val="0055251D"/>
    <w:rsid w:val="00553B07"/>
    <w:rsid w:val="0055440B"/>
    <w:rsid w:val="005551BA"/>
    <w:rsid w:val="00555D0C"/>
    <w:rsid w:val="005574A4"/>
    <w:rsid w:val="005609E3"/>
    <w:rsid w:val="005615F8"/>
    <w:rsid w:val="00562D13"/>
    <w:rsid w:val="00562E40"/>
    <w:rsid w:val="00564B65"/>
    <w:rsid w:val="00565CC7"/>
    <w:rsid w:val="00567F6D"/>
    <w:rsid w:val="0057094A"/>
    <w:rsid w:val="00573F58"/>
    <w:rsid w:val="0057501D"/>
    <w:rsid w:val="00576D77"/>
    <w:rsid w:val="0058052C"/>
    <w:rsid w:val="005812F4"/>
    <w:rsid w:val="0058268B"/>
    <w:rsid w:val="00582B08"/>
    <w:rsid w:val="00582E7F"/>
    <w:rsid w:val="0058331E"/>
    <w:rsid w:val="00583C2E"/>
    <w:rsid w:val="005841CD"/>
    <w:rsid w:val="00584ED9"/>
    <w:rsid w:val="005861D9"/>
    <w:rsid w:val="00586781"/>
    <w:rsid w:val="0058706B"/>
    <w:rsid w:val="005901B1"/>
    <w:rsid w:val="00590BC6"/>
    <w:rsid w:val="005911C0"/>
    <w:rsid w:val="00591DAB"/>
    <w:rsid w:val="00592C7D"/>
    <w:rsid w:val="00593579"/>
    <w:rsid w:val="00594CE0"/>
    <w:rsid w:val="005970FC"/>
    <w:rsid w:val="00597C32"/>
    <w:rsid w:val="005A000D"/>
    <w:rsid w:val="005A01A1"/>
    <w:rsid w:val="005A0507"/>
    <w:rsid w:val="005A0C6A"/>
    <w:rsid w:val="005A171C"/>
    <w:rsid w:val="005A36ED"/>
    <w:rsid w:val="005A4385"/>
    <w:rsid w:val="005A635D"/>
    <w:rsid w:val="005A6A96"/>
    <w:rsid w:val="005A798E"/>
    <w:rsid w:val="005B201A"/>
    <w:rsid w:val="005B2324"/>
    <w:rsid w:val="005B40E1"/>
    <w:rsid w:val="005B54EE"/>
    <w:rsid w:val="005B5598"/>
    <w:rsid w:val="005C0045"/>
    <w:rsid w:val="005C2DA8"/>
    <w:rsid w:val="005C4919"/>
    <w:rsid w:val="005C531A"/>
    <w:rsid w:val="005C5379"/>
    <w:rsid w:val="005C53E1"/>
    <w:rsid w:val="005C544D"/>
    <w:rsid w:val="005C5972"/>
    <w:rsid w:val="005C5EC3"/>
    <w:rsid w:val="005C606A"/>
    <w:rsid w:val="005C6C5B"/>
    <w:rsid w:val="005C7694"/>
    <w:rsid w:val="005D1BE5"/>
    <w:rsid w:val="005D23FF"/>
    <w:rsid w:val="005D2686"/>
    <w:rsid w:val="005D3F08"/>
    <w:rsid w:val="005D4EBF"/>
    <w:rsid w:val="005D66A2"/>
    <w:rsid w:val="005D6834"/>
    <w:rsid w:val="005D6A34"/>
    <w:rsid w:val="005E02B5"/>
    <w:rsid w:val="005E0FFC"/>
    <w:rsid w:val="005E272B"/>
    <w:rsid w:val="005E2ACC"/>
    <w:rsid w:val="005E40A9"/>
    <w:rsid w:val="005E57F5"/>
    <w:rsid w:val="005E5E1B"/>
    <w:rsid w:val="005E75AC"/>
    <w:rsid w:val="005E7DDA"/>
    <w:rsid w:val="005F1E28"/>
    <w:rsid w:val="005F244B"/>
    <w:rsid w:val="005F2965"/>
    <w:rsid w:val="005F2CDF"/>
    <w:rsid w:val="005F2FDB"/>
    <w:rsid w:val="005F5DA7"/>
    <w:rsid w:val="005F6697"/>
    <w:rsid w:val="005F66F7"/>
    <w:rsid w:val="005F728E"/>
    <w:rsid w:val="005F732A"/>
    <w:rsid w:val="006000A3"/>
    <w:rsid w:val="00600203"/>
    <w:rsid w:val="00600762"/>
    <w:rsid w:val="0060133A"/>
    <w:rsid w:val="00602027"/>
    <w:rsid w:val="00602B84"/>
    <w:rsid w:val="0060413E"/>
    <w:rsid w:val="00604956"/>
    <w:rsid w:val="00607649"/>
    <w:rsid w:val="00610FA5"/>
    <w:rsid w:val="00613130"/>
    <w:rsid w:val="00613730"/>
    <w:rsid w:val="00613DF0"/>
    <w:rsid w:val="00614B93"/>
    <w:rsid w:val="00614E1B"/>
    <w:rsid w:val="00615329"/>
    <w:rsid w:val="00615546"/>
    <w:rsid w:val="00616D66"/>
    <w:rsid w:val="006179C9"/>
    <w:rsid w:val="006205EA"/>
    <w:rsid w:val="00620845"/>
    <w:rsid w:val="006221BA"/>
    <w:rsid w:val="006231E3"/>
    <w:rsid w:val="006233F9"/>
    <w:rsid w:val="00623A45"/>
    <w:rsid w:val="006241B6"/>
    <w:rsid w:val="00624340"/>
    <w:rsid w:val="00624B49"/>
    <w:rsid w:val="00625D7D"/>
    <w:rsid w:val="006265AF"/>
    <w:rsid w:val="00626B94"/>
    <w:rsid w:val="006277EC"/>
    <w:rsid w:val="006279CA"/>
    <w:rsid w:val="00630C3A"/>
    <w:rsid w:val="006311A4"/>
    <w:rsid w:val="00631D03"/>
    <w:rsid w:val="006331B8"/>
    <w:rsid w:val="00633402"/>
    <w:rsid w:val="00633B0B"/>
    <w:rsid w:val="00636E90"/>
    <w:rsid w:val="006370D3"/>
    <w:rsid w:val="006378B0"/>
    <w:rsid w:val="00640286"/>
    <w:rsid w:val="0064030F"/>
    <w:rsid w:val="00640CED"/>
    <w:rsid w:val="006413F8"/>
    <w:rsid w:val="00643B5B"/>
    <w:rsid w:val="00643CF8"/>
    <w:rsid w:val="006451BE"/>
    <w:rsid w:val="0064730D"/>
    <w:rsid w:val="00647F12"/>
    <w:rsid w:val="0065023B"/>
    <w:rsid w:val="00651216"/>
    <w:rsid w:val="0065177F"/>
    <w:rsid w:val="006541D5"/>
    <w:rsid w:val="00654B3C"/>
    <w:rsid w:val="00654EAC"/>
    <w:rsid w:val="00655275"/>
    <w:rsid w:val="006553FF"/>
    <w:rsid w:val="006563FA"/>
    <w:rsid w:val="00656BE2"/>
    <w:rsid w:val="00656EC0"/>
    <w:rsid w:val="006605D8"/>
    <w:rsid w:val="00662198"/>
    <w:rsid w:val="00662969"/>
    <w:rsid w:val="00663536"/>
    <w:rsid w:val="00664EB1"/>
    <w:rsid w:val="00665592"/>
    <w:rsid w:val="00665FC4"/>
    <w:rsid w:val="0066625A"/>
    <w:rsid w:val="00666996"/>
    <w:rsid w:val="0067018E"/>
    <w:rsid w:val="00670818"/>
    <w:rsid w:val="00670A58"/>
    <w:rsid w:val="006711B0"/>
    <w:rsid w:val="00671333"/>
    <w:rsid w:val="0067168F"/>
    <w:rsid w:val="006718E1"/>
    <w:rsid w:val="00673EC1"/>
    <w:rsid w:val="00675082"/>
    <w:rsid w:val="00675504"/>
    <w:rsid w:val="00676886"/>
    <w:rsid w:val="00676A28"/>
    <w:rsid w:val="006771CF"/>
    <w:rsid w:val="00680A41"/>
    <w:rsid w:val="00680B4E"/>
    <w:rsid w:val="00681920"/>
    <w:rsid w:val="00681C27"/>
    <w:rsid w:val="0068278E"/>
    <w:rsid w:val="00682C54"/>
    <w:rsid w:val="006847F4"/>
    <w:rsid w:val="0068511A"/>
    <w:rsid w:val="00685E03"/>
    <w:rsid w:val="006908B7"/>
    <w:rsid w:val="0069155F"/>
    <w:rsid w:val="00691C63"/>
    <w:rsid w:val="00692940"/>
    <w:rsid w:val="00692D3E"/>
    <w:rsid w:val="00693787"/>
    <w:rsid w:val="00694288"/>
    <w:rsid w:val="0069453E"/>
    <w:rsid w:val="0069531C"/>
    <w:rsid w:val="0069571B"/>
    <w:rsid w:val="00695AE9"/>
    <w:rsid w:val="00695D85"/>
    <w:rsid w:val="00696E07"/>
    <w:rsid w:val="006A0D42"/>
    <w:rsid w:val="006A0D9C"/>
    <w:rsid w:val="006A190B"/>
    <w:rsid w:val="006A1B0D"/>
    <w:rsid w:val="006A3487"/>
    <w:rsid w:val="006A717D"/>
    <w:rsid w:val="006B0639"/>
    <w:rsid w:val="006B0E04"/>
    <w:rsid w:val="006B2B43"/>
    <w:rsid w:val="006B3658"/>
    <w:rsid w:val="006B36C1"/>
    <w:rsid w:val="006B4A7C"/>
    <w:rsid w:val="006B5901"/>
    <w:rsid w:val="006B5C77"/>
    <w:rsid w:val="006B62FD"/>
    <w:rsid w:val="006B664E"/>
    <w:rsid w:val="006B6A29"/>
    <w:rsid w:val="006B6C92"/>
    <w:rsid w:val="006B7162"/>
    <w:rsid w:val="006B7846"/>
    <w:rsid w:val="006B7975"/>
    <w:rsid w:val="006C0648"/>
    <w:rsid w:val="006C0BAC"/>
    <w:rsid w:val="006C2727"/>
    <w:rsid w:val="006C2AC7"/>
    <w:rsid w:val="006C39E8"/>
    <w:rsid w:val="006C4213"/>
    <w:rsid w:val="006C4BB8"/>
    <w:rsid w:val="006C4E28"/>
    <w:rsid w:val="006C5519"/>
    <w:rsid w:val="006C6726"/>
    <w:rsid w:val="006D12AA"/>
    <w:rsid w:val="006D2C90"/>
    <w:rsid w:val="006D411E"/>
    <w:rsid w:val="006D512F"/>
    <w:rsid w:val="006D5959"/>
    <w:rsid w:val="006D713D"/>
    <w:rsid w:val="006D74D2"/>
    <w:rsid w:val="006D7E72"/>
    <w:rsid w:val="006E0F9E"/>
    <w:rsid w:val="006E1221"/>
    <w:rsid w:val="006E3B9D"/>
    <w:rsid w:val="006E3ED5"/>
    <w:rsid w:val="006E443C"/>
    <w:rsid w:val="006E5692"/>
    <w:rsid w:val="006E60BD"/>
    <w:rsid w:val="006E6C32"/>
    <w:rsid w:val="006F1F78"/>
    <w:rsid w:val="006F2128"/>
    <w:rsid w:val="006F336F"/>
    <w:rsid w:val="006F3B0C"/>
    <w:rsid w:val="006F41C9"/>
    <w:rsid w:val="006F520E"/>
    <w:rsid w:val="006F5E23"/>
    <w:rsid w:val="006F610E"/>
    <w:rsid w:val="006F69D9"/>
    <w:rsid w:val="006F6B6B"/>
    <w:rsid w:val="006F707F"/>
    <w:rsid w:val="007012A0"/>
    <w:rsid w:val="007019CC"/>
    <w:rsid w:val="0070216B"/>
    <w:rsid w:val="0070263D"/>
    <w:rsid w:val="007028A6"/>
    <w:rsid w:val="00702B00"/>
    <w:rsid w:val="00703693"/>
    <w:rsid w:val="007061D6"/>
    <w:rsid w:val="0070709A"/>
    <w:rsid w:val="00707B8E"/>
    <w:rsid w:val="00710A42"/>
    <w:rsid w:val="00711555"/>
    <w:rsid w:val="00713FD5"/>
    <w:rsid w:val="0071670C"/>
    <w:rsid w:val="00716EFB"/>
    <w:rsid w:val="007172B5"/>
    <w:rsid w:val="00720FA8"/>
    <w:rsid w:val="00721ABE"/>
    <w:rsid w:val="00722AB3"/>
    <w:rsid w:val="00722E25"/>
    <w:rsid w:val="007265CD"/>
    <w:rsid w:val="00727602"/>
    <w:rsid w:val="00727DDD"/>
    <w:rsid w:val="007311A4"/>
    <w:rsid w:val="007311D7"/>
    <w:rsid w:val="00731670"/>
    <w:rsid w:val="007328E0"/>
    <w:rsid w:val="00732A33"/>
    <w:rsid w:val="00732C87"/>
    <w:rsid w:val="00732CB0"/>
    <w:rsid w:val="0073304F"/>
    <w:rsid w:val="00733CDD"/>
    <w:rsid w:val="007377F1"/>
    <w:rsid w:val="00740894"/>
    <w:rsid w:val="00741A11"/>
    <w:rsid w:val="00742B0E"/>
    <w:rsid w:val="007430AF"/>
    <w:rsid w:val="0074446F"/>
    <w:rsid w:val="007444B6"/>
    <w:rsid w:val="007459E8"/>
    <w:rsid w:val="00746B9B"/>
    <w:rsid w:val="00752398"/>
    <w:rsid w:val="00752D33"/>
    <w:rsid w:val="0075300F"/>
    <w:rsid w:val="00754E61"/>
    <w:rsid w:val="0075577D"/>
    <w:rsid w:val="00760870"/>
    <w:rsid w:val="007619EF"/>
    <w:rsid w:val="00761E03"/>
    <w:rsid w:val="00762136"/>
    <w:rsid w:val="00763883"/>
    <w:rsid w:val="00763C33"/>
    <w:rsid w:val="00764230"/>
    <w:rsid w:val="007644EF"/>
    <w:rsid w:val="00764A1F"/>
    <w:rsid w:val="0076500E"/>
    <w:rsid w:val="0076539B"/>
    <w:rsid w:val="007679C4"/>
    <w:rsid w:val="00767C60"/>
    <w:rsid w:val="007704AA"/>
    <w:rsid w:val="00770867"/>
    <w:rsid w:val="00773BE5"/>
    <w:rsid w:val="00773ED7"/>
    <w:rsid w:val="007744C7"/>
    <w:rsid w:val="0077462F"/>
    <w:rsid w:val="00774AEB"/>
    <w:rsid w:val="0077553D"/>
    <w:rsid w:val="00775D03"/>
    <w:rsid w:val="00776893"/>
    <w:rsid w:val="00781BEF"/>
    <w:rsid w:val="0078203C"/>
    <w:rsid w:val="0078330B"/>
    <w:rsid w:val="00783346"/>
    <w:rsid w:val="007842F6"/>
    <w:rsid w:val="0078675C"/>
    <w:rsid w:val="007867F0"/>
    <w:rsid w:val="00786E66"/>
    <w:rsid w:val="007909BA"/>
    <w:rsid w:val="00791406"/>
    <w:rsid w:val="007919DB"/>
    <w:rsid w:val="007926CF"/>
    <w:rsid w:val="007932A3"/>
    <w:rsid w:val="00793DBE"/>
    <w:rsid w:val="00795D4D"/>
    <w:rsid w:val="007965A6"/>
    <w:rsid w:val="0079685C"/>
    <w:rsid w:val="00797F6E"/>
    <w:rsid w:val="007A01A9"/>
    <w:rsid w:val="007A0C56"/>
    <w:rsid w:val="007A1994"/>
    <w:rsid w:val="007A1CEB"/>
    <w:rsid w:val="007A2897"/>
    <w:rsid w:val="007A28B7"/>
    <w:rsid w:val="007A36AB"/>
    <w:rsid w:val="007A41B8"/>
    <w:rsid w:val="007A41F4"/>
    <w:rsid w:val="007A4A77"/>
    <w:rsid w:val="007A4A9E"/>
    <w:rsid w:val="007A4ECF"/>
    <w:rsid w:val="007A6FA0"/>
    <w:rsid w:val="007A7A05"/>
    <w:rsid w:val="007B00BA"/>
    <w:rsid w:val="007B1987"/>
    <w:rsid w:val="007B23A0"/>
    <w:rsid w:val="007B23A1"/>
    <w:rsid w:val="007B4390"/>
    <w:rsid w:val="007B5A8B"/>
    <w:rsid w:val="007B5B51"/>
    <w:rsid w:val="007B6E2C"/>
    <w:rsid w:val="007B6E57"/>
    <w:rsid w:val="007B6F75"/>
    <w:rsid w:val="007B7A9F"/>
    <w:rsid w:val="007B7E91"/>
    <w:rsid w:val="007C017E"/>
    <w:rsid w:val="007C1F92"/>
    <w:rsid w:val="007C26F4"/>
    <w:rsid w:val="007C3880"/>
    <w:rsid w:val="007C3B41"/>
    <w:rsid w:val="007C4753"/>
    <w:rsid w:val="007C6004"/>
    <w:rsid w:val="007C7367"/>
    <w:rsid w:val="007C7587"/>
    <w:rsid w:val="007D2E3E"/>
    <w:rsid w:val="007D3F80"/>
    <w:rsid w:val="007D4A18"/>
    <w:rsid w:val="007D4A1E"/>
    <w:rsid w:val="007D51D2"/>
    <w:rsid w:val="007D5BB0"/>
    <w:rsid w:val="007D5D05"/>
    <w:rsid w:val="007D63D7"/>
    <w:rsid w:val="007E4C01"/>
    <w:rsid w:val="007E614C"/>
    <w:rsid w:val="007E7CED"/>
    <w:rsid w:val="007F0291"/>
    <w:rsid w:val="007F02B1"/>
    <w:rsid w:val="007F130A"/>
    <w:rsid w:val="007F1400"/>
    <w:rsid w:val="007F286A"/>
    <w:rsid w:val="007F634A"/>
    <w:rsid w:val="007F6F92"/>
    <w:rsid w:val="007F7068"/>
    <w:rsid w:val="008004EE"/>
    <w:rsid w:val="00801C75"/>
    <w:rsid w:val="008025E3"/>
    <w:rsid w:val="00802CCC"/>
    <w:rsid w:val="0080346B"/>
    <w:rsid w:val="00803675"/>
    <w:rsid w:val="008038C4"/>
    <w:rsid w:val="0080399B"/>
    <w:rsid w:val="00804156"/>
    <w:rsid w:val="0080587F"/>
    <w:rsid w:val="00806E72"/>
    <w:rsid w:val="008109FB"/>
    <w:rsid w:val="00811BB5"/>
    <w:rsid w:val="00811C0B"/>
    <w:rsid w:val="0081208E"/>
    <w:rsid w:val="008139B1"/>
    <w:rsid w:val="00815E91"/>
    <w:rsid w:val="008176BE"/>
    <w:rsid w:val="00820C9F"/>
    <w:rsid w:val="0082187D"/>
    <w:rsid w:val="00822D20"/>
    <w:rsid w:val="0082650F"/>
    <w:rsid w:val="00830362"/>
    <w:rsid w:val="00830457"/>
    <w:rsid w:val="00830654"/>
    <w:rsid w:val="00830D3F"/>
    <w:rsid w:val="00830F6F"/>
    <w:rsid w:val="00831C68"/>
    <w:rsid w:val="00833CC5"/>
    <w:rsid w:val="0083412C"/>
    <w:rsid w:val="008404E4"/>
    <w:rsid w:val="008407DA"/>
    <w:rsid w:val="00840A76"/>
    <w:rsid w:val="00840D47"/>
    <w:rsid w:val="00841B50"/>
    <w:rsid w:val="00843EEA"/>
    <w:rsid w:val="00846A72"/>
    <w:rsid w:val="00846EC5"/>
    <w:rsid w:val="008470AC"/>
    <w:rsid w:val="00850182"/>
    <w:rsid w:val="008513D4"/>
    <w:rsid w:val="00852EA9"/>
    <w:rsid w:val="00853AD0"/>
    <w:rsid w:val="008545F4"/>
    <w:rsid w:val="00855A50"/>
    <w:rsid w:val="008565DA"/>
    <w:rsid w:val="00856A18"/>
    <w:rsid w:val="008601B0"/>
    <w:rsid w:val="008609FB"/>
    <w:rsid w:val="00861147"/>
    <w:rsid w:val="008630FA"/>
    <w:rsid w:val="0086354C"/>
    <w:rsid w:val="0086571A"/>
    <w:rsid w:val="00865797"/>
    <w:rsid w:val="0086627F"/>
    <w:rsid w:val="00866AC4"/>
    <w:rsid w:val="00867912"/>
    <w:rsid w:val="0087025B"/>
    <w:rsid w:val="00870398"/>
    <w:rsid w:val="008705A4"/>
    <w:rsid w:val="008706CD"/>
    <w:rsid w:val="00870BD7"/>
    <w:rsid w:val="00872134"/>
    <w:rsid w:val="0087296A"/>
    <w:rsid w:val="00872BE7"/>
    <w:rsid w:val="00873097"/>
    <w:rsid w:val="00873461"/>
    <w:rsid w:val="00873C03"/>
    <w:rsid w:val="008740ED"/>
    <w:rsid w:val="008743C0"/>
    <w:rsid w:val="008745A3"/>
    <w:rsid w:val="00874FA4"/>
    <w:rsid w:val="008752AD"/>
    <w:rsid w:val="0087605A"/>
    <w:rsid w:val="008766B9"/>
    <w:rsid w:val="00876B29"/>
    <w:rsid w:val="00881DAD"/>
    <w:rsid w:val="00884EB2"/>
    <w:rsid w:val="008861FE"/>
    <w:rsid w:val="0088765E"/>
    <w:rsid w:val="00887A95"/>
    <w:rsid w:val="0089007E"/>
    <w:rsid w:val="008904C6"/>
    <w:rsid w:val="008915E5"/>
    <w:rsid w:val="00891893"/>
    <w:rsid w:val="00891AC7"/>
    <w:rsid w:val="008929E4"/>
    <w:rsid w:val="0089450E"/>
    <w:rsid w:val="008956E0"/>
    <w:rsid w:val="00897BAA"/>
    <w:rsid w:val="008A0274"/>
    <w:rsid w:val="008A2243"/>
    <w:rsid w:val="008A3CDD"/>
    <w:rsid w:val="008A4657"/>
    <w:rsid w:val="008A61B8"/>
    <w:rsid w:val="008A6A43"/>
    <w:rsid w:val="008A72AA"/>
    <w:rsid w:val="008A759E"/>
    <w:rsid w:val="008B0468"/>
    <w:rsid w:val="008B1F2D"/>
    <w:rsid w:val="008B2004"/>
    <w:rsid w:val="008B2D83"/>
    <w:rsid w:val="008B42F5"/>
    <w:rsid w:val="008B4489"/>
    <w:rsid w:val="008B63E3"/>
    <w:rsid w:val="008B644E"/>
    <w:rsid w:val="008B7ED9"/>
    <w:rsid w:val="008B7F02"/>
    <w:rsid w:val="008C06FD"/>
    <w:rsid w:val="008C30C5"/>
    <w:rsid w:val="008C4206"/>
    <w:rsid w:val="008C56B2"/>
    <w:rsid w:val="008C60DD"/>
    <w:rsid w:val="008C6949"/>
    <w:rsid w:val="008C721D"/>
    <w:rsid w:val="008C745E"/>
    <w:rsid w:val="008C789D"/>
    <w:rsid w:val="008C7A1C"/>
    <w:rsid w:val="008D0658"/>
    <w:rsid w:val="008D09CC"/>
    <w:rsid w:val="008D11FA"/>
    <w:rsid w:val="008D183D"/>
    <w:rsid w:val="008D20B1"/>
    <w:rsid w:val="008D2356"/>
    <w:rsid w:val="008D2E26"/>
    <w:rsid w:val="008D327A"/>
    <w:rsid w:val="008D7A3A"/>
    <w:rsid w:val="008D7ABF"/>
    <w:rsid w:val="008E0F06"/>
    <w:rsid w:val="008E163C"/>
    <w:rsid w:val="008E1BCF"/>
    <w:rsid w:val="008E3033"/>
    <w:rsid w:val="008E342D"/>
    <w:rsid w:val="008E37EF"/>
    <w:rsid w:val="008E3A67"/>
    <w:rsid w:val="008E5ADE"/>
    <w:rsid w:val="008E6B81"/>
    <w:rsid w:val="008E6BAB"/>
    <w:rsid w:val="008E761B"/>
    <w:rsid w:val="008E7984"/>
    <w:rsid w:val="008F0913"/>
    <w:rsid w:val="008F310B"/>
    <w:rsid w:val="008F4962"/>
    <w:rsid w:val="008F4F45"/>
    <w:rsid w:val="008F517A"/>
    <w:rsid w:val="008F7A35"/>
    <w:rsid w:val="008F7F0A"/>
    <w:rsid w:val="00900C2C"/>
    <w:rsid w:val="00901E5F"/>
    <w:rsid w:val="00902875"/>
    <w:rsid w:val="00902BAB"/>
    <w:rsid w:val="00903818"/>
    <w:rsid w:val="009040DE"/>
    <w:rsid w:val="00904561"/>
    <w:rsid w:val="00905021"/>
    <w:rsid w:val="0090582F"/>
    <w:rsid w:val="00905B1F"/>
    <w:rsid w:val="00907ABB"/>
    <w:rsid w:val="009101A8"/>
    <w:rsid w:val="00911BE0"/>
    <w:rsid w:val="0091228F"/>
    <w:rsid w:val="00913E6A"/>
    <w:rsid w:val="00915038"/>
    <w:rsid w:val="00915094"/>
    <w:rsid w:val="009152DB"/>
    <w:rsid w:val="009157DD"/>
    <w:rsid w:val="00916B60"/>
    <w:rsid w:val="0092189A"/>
    <w:rsid w:val="0092256F"/>
    <w:rsid w:val="00922D22"/>
    <w:rsid w:val="0092489F"/>
    <w:rsid w:val="00924E3E"/>
    <w:rsid w:val="009252A4"/>
    <w:rsid w:val="00925426"/>
    <w:rsid w:val="0092648C"/>
    <w:rsid w:val="00927F6A"/>
    <w:rsid w:val="009325D4"/>
    <w:rsid w:val="00935623"/>
    <w:rsid w:val="00935A1B"/>
    <w:rsid w:val="00935E86"/>
    <w:rsid w:val="009360A1"/>
    <w:rsid w:val="009369AA"/>
    <w:rsid w:val="00940E1D"/>
    <w:rsid w:val="00942BEB"/>
    <w:rsid w:val="0094378B"/>
    <w:rsid w:val="009440C0"/>
    <w:rsid w:val="0094729C"/>
    <w:rsid w:val="009472EF"/>
    <w:rsid w:val="009476C3"/>
    <w:rsid w:val="009478C3"/>
    <w:rsid w:val="009537EF"/>
    <w:rsid w:val="00954219"/>
    <w:rsid w:val="00955EAD"/>
    <w:rsid w:val="00956113"/>
    <w:rsid w:val="0095698C"/>
    <w:rsid w:val="00961F48"/>
    <w:rsid w:val="0096227C"/>
    <w:rsid w:val="0096238C"/>
    <w:rsid w:val="00963687"/>
    <w:rsid w:val="00963FD7"/>
    <w:rsid w:val="00964FC4"/>
    <w:rsid w:val="009653F3"/>
    <w:rsid w:val="00966672"/>
    <w:rsid w:val="00967EC6"/>
    <w:rsid w:val="00973B91"/>
    <w:rsid w:val="00974838"/>
    <w:rsid w:val="00974C6B"/>
    <w:rsid w:val="00976066"/>
    <w:rsid w:val="009765D7"/>
    <w:rsid w:val="009774D6"/>
    <w:rsid w:val="009777CD"/>
    <w:rsid w:val="00980F14"/>
    <w:rsid w:val="00981A5D"/>
    <w:rsid w:val="00981DAD"/>
    <w:rsid w:val="0098290F"/>
    <w:rsid w:val="00982D61"/>
    <w:rsid w:val="0098436B"/>
    <w:rsid w:val="00985488"/>
    <w:rsid w:val="009854F7"/>
    <w:rsid w:val="009854FA"/>
    <w:rsid w:val="00991F7A"/>
    <w:rsid w:val="00991F9B"/>
    <w:rsid w:val="00992242"/>
    <w:rsid w:val="0099372A"/>
    <w:rsid w:val="00993E09"/>
    <w:rsid w:val="0099535C"/>
    <w:rsid w:val="009959BE"/>
    <w:rsid w:val="0099607C"/>
    <w:rsid w:val="00996D7B"/>
    <w:rsid w:val="00997A64"/>
    <w:rsid w:val="009A07B0"/>
    <w:rsid w:val="009A0CC9"/>
    <w:rsid w:val="009A36D1"/>
    <w:rsid w:val="009A5341"/>
    <w:rsid w:val="009A649B"/>
    <w:rsid w:val="009A6885"/>
    <w:rsid w:val="009A73D2"/>
    <w:rsid w:val="009A7AE6"/>
    <w:rsid w:val="009A7CC9"/>
    <w:rsid w:val="009B087C"/>
    <w:rsid w:val="009B1E0E"/>
    <w:rsid w:val="009B20F8"/>
    <w:rsid w:val="009B31AB"/>
    <w:rsid w:val="009B398E"/>
    <w:rsid w:val="009B3CC8"/>
    <w:rsid w:val="009B4342"/>
    <w:rsid w:val="009B55FA"/>
    <w:rsid w:val="009B64DA"/>
    <w:rsid w:val="009B7256"/>
    <w:rsid w:val="009B7741"/>
    <w:rsid w:val="009B7933"/>
    <w:rsid w:val="009B7D80"/>
    <w:rsid w:val="009C1C41"/>
    <w:rsid w:val="009C1FC4"/>
    <w:rsid w:val="009C2312"/>
    <w:rsid w:val="009C258F"/>
    <w:rsid w:val="009C294F"/>
    <w:rsid w:val="009C2F07"/>
    <w:rsid w:val="009C5ECA"/>
    <w:rsid w:val="009C676E"/>
    <w:rsid w:val="009C6912"/>
    <w:rsid w:val="009C6C84"/>
    <w:rsid w:val="009D181B"/>
    <w:rsid w:val="009D1B3D"/>
    <w:rsid w:val="009D1BFB"/>
    <w:rsid w:val="009D2EED"/>
    <w:rsid w:val="009D373C"/>
    <w:rsid w:val="009D3B2D"/>
    <w:rsid w:val="009D420D"/>
    <w:rsid w:val="009D4BA9"/>
    <w:rsid w:val="009D4F85"/>
    <w:rsid w:val="009D5CF0"/>
    <w:rsid w:val="009D66CE"/>
    <w:rsid w:val="009D6F2F"/>
    <w:rsid w:val="009D7292"/>
    <w:rsid w:val="009D7A6D"/>
    <w:rsid w:val="009E39FB"/>
    <w:rsid w:val="009E4296"/>
    <w:rsid w:val="009E4321"/>
    <w:rsid w:val="009E4B8A"/>
    <w:rsid w:val="009F38EF"/>
    <w:rsid w:val="00A01EF8"/>
    <w:rsid w:val="00A02437"/>
    <w:rsid w:val="00A036C8"/>
    <w:rsid w:val="00A0498D"/>
    <w:rsid w:val="00A04F8E"/>
    <w:rsid w:val="00A0594B"/>
    <w:rsid w:val="00A06C16"/>
    <w:rsid w:val="00A07675"/>
    <w:rsid w:val="00A105CB"/>
    <w:rsid w:val="00A10785"/>
    <w:rsid w:val="00A113A9"/>
    <w:rsid w:val="00A114DA"/>
    <w:rsid w:val="00A120B9"/>
    <w:rsid w:val="00A139A4"/>
    <w:rsid w:val="00A13DE5"/>
    <w:rsid w:val="00A14C61"/>
    <w:rsid w:val="00A15202"/>
    <w:rsid w:val="00A161AE"/>
    <w:rsid w:val="00A1686F"/>
    <w:rsid w:val="00A1694B"/>
    <w:rsid w:val="00A174B4"/>
    <w:rsid w:val="00A17E3C"/>
    <w:rsid w:val="00A20C6D"/>
    <w:rsid w:val="00A22205"/>
    <w:rsid w:val="00A22DFD"/>
    <w:rsid w:val="00A22F05"/>
    <w:rsid w:val="00A23098"/>
    <w:rsid w:val="00A23828"/>
    <w:rsid w:val="00A23B7A"/>
    <w:rsid w:val="00A252E5"/>
    <w:rsid w:val="00A25326"/>
    <w:rsid w:val="00A26171"/>
    <w:rsid w:val="00A3052C"/>
    <w:rsid w:val="00A318CF"/>
    <w:rsid w:val="00A31B0F"/>
    <w:rsid w:val="00A31C32"/>
    <w:rsid w:val="00A3209B"/>
    <w:rsid w:val="00A3268C"/>
    <w:rsid w:val="00A342C8"/>
    <w:rsid w:val="00A34CCC"/>
    <w:rsid w:val="00A360FD"/>
    <w:rsid w:val="00A366CE"/>
    <w:rsid w:val="00A370DD"/>
    <w:rsid w:val="00A37A6E"/>
    <w:rsid w:val="00A401CB"/>
    <w:rsid w:val="00A4091A"/>
    <w:rsid w:val="00A42645"/>
    <w:rsid w:val="00A42A27"/>
    <w:rsid w:val="00A44B2E"/>
    <w:rsid w:val="00A506A4"/>
    <w:rsid w:val="00A50864"/>
    <w:rsid w:val="00A508B5"/>
    <w:rsid w:val="00A50965"/>
    <w:rsid w:val="00A52A9D"/>
    <w:rsid w:val="00A53012"/>
    <w:rsid w:val="00A54BD4"/>
    <w:rsid w:val="00A554E9"/>
    <w:rsid w:val="00A56573"/>
    <w:rsid w:val="00A57F71"/>
    <w:rsid w:val="00A600C1"/>
    <w:rsid w:val="00A6126A"/>
    <w:rsid w:val="00A61A5C"/>
    <w:rsid w:val="00A62D3D"/>
    <w:rsid w:val="00A632C9"/>
    <w:rsid w:val="00A633C9"/>
    <w:rsid w:val="00A67DC5"/>
    <w:rsid w:val="00A71F87"/>
    <w:rsid w:val="00A72CBD"/>
    <w:rsid w:val="00A739B0"/>
    <w:rsid w:val="00A741CD"/>
    <w:rsid w:val="00A7466B"/>
    <w:rsid w:val="00A769D5"/>
    <w:rsid w:val="00A76D2E"/>
    <w:rsid w:val="00A77141"/>
    <w:rsid w:val="00A77290"/>
    <w:rsid w:val="00A82045"/>
    <w:rsid w:val="00A823FB"/>
    <w:rsid w:val="00A82B34"/>
    <w:rsid w:val="00A82BB0"/>
    <w:rsid w:val="00A8403A"/>
    <w:rsid w:val="00A84F63"/>
    <w:rsid w:val="00A86166"/>
    <w:rsid w:val="00A8743A"/>
    <w:rsid w:val="00A876EB"/>
    <w:rsid w:val="00A87B82"/>
    <w:rsid w:val="00A91AFD"/>
    <w:rsid w:val="00A948EA"/>
    <w:rsid w:val="00A94A14"/>
    <w:rsid w:val="00A94C25"/>
    <w:rsid w:val="00A955C8"/>
    <w:rsid w:val="00A96961"/>
    <w:rsid w:val="00A96A93"/>
    <w:rsid w:val="00A97202"/>
    <w:rsid w:val="00AA1129"/>
    <w:rsid w:val="00AA16F4"/>
    <w:rsid w:val="00AA282D"/>
    <w:rsid w:val="00AA32FC"/>
    <w:rsid w:val="00AA43AB"/>
    <w:rsid w:val="00AA4A9E"/>
    <w:rsid w:val="00AA4F1E"/>
    <w:rsid w:val="00AA6A3E"/>
    <w:rsid w:val="00AA7D0B"/>
    <w:rsid w:val="00AB0354"/>
    <w:rsid w:val="00AB0888"/>
    <w:rsid w:val="00AB0B91"/>
    <w:rsid w:val="00AB2F5D"/>
    <w:rsid w:val="00AB41A1"/>
    <w:rsid w:val="00AB5288"/>
    <w:rsid w:val="00AB6A91"/>
    <w:rsid w:val="00AC07D8"/>
    <w:rsid w:val="00AC1A6F"/>
    <w:rsid w:val="00AC1ABB"/>
    <w:rsid w:val="00AC364B"/>
    <w:rsid w:val="00AC48A7"/>
    <w:rsid w:val="00AC4D79"/>
    <w:rsid w:val="00AC51C8"/>
    <w:rsid w:val="00AC6532"/>
    <w:rsid w:val="00AC6FA3"/>
    <w:rsid w:val="00AC6FD6"/>
    <w:rsid w:val="00AC7A98"/>
    <w:rsid w:val="00AD0A29"/>
    <w:rsid w:val="00AD0DE7"/>
    <w:rsid w:val="00AD278E"/>
    <w:rsid w:val="00AD2B9B"/>
    <w:rsid w:val="00AD3D4D"/>
    <w:rsid w:val="00AD3FDA"/>
    <w:rsid w:val="00AD5196"/>
    <w:rsid w:val="00AD51A2"/>
    <w:rsid w:val="00AD5635"/>
    <w:rsid w:val="00AD57EF"/>
    <w:rsid w:val="00AD6659"/>
    <w:rsid w:val="00AD6E98"/>
    <w:rsid w:val="00AD7504"/>
    <w:rsid w:val="00AD7FA5"/>
    <w:rsid w:val="00AE02ED"/>
    <w:rsid w:val="00AE0520"/>
    <w:rsid w:val="00AE0BE3"/>
    <w:rsid w:val="00AE1CF3"/>
    <w:rsid w:val="00AE295A"/>
    <w:rsid w:val="00AE2E46"/>
    <w:rsid w:val="00AE3ABC"/>
    <w:rsid w:val="00AE3C6C"/>
    <w:rsid w:val="00AE4242"/>
    <w:rsid w:val="00AE47F7"/>
    <w:rsid w:val="00AE54F1"/>
    <w:rsid w:val="00AE56EF"/>
    <w:rsid w:val="00AE70BA"/>
    <w:rsid w:val="00AF1FB4"/>
    <w:rsid w:val="00AF224E"/>
    <w:rsid w:val="00AF238E"/>
    <w:rsid w:val="00AF30C2"/>
    <w:rsid w:val="00AF32F5"/>
    <w:rsid w:val="00AF3BD5"/>
    <w:rsid w:val="00AF3CC0"/>
    <w:rsid w:val="00AF4091"/>
    <w:rsid w:val="00AF43CD"/>
    <w:rsid w:val="00AF4505"/>
    <w:rsid w:val="00AF4E2F"/>
    <w:rsid w:val="00B000A2"/>
    <w:rsid w:val="00B001AE"/>
    <w:rsid w:val="00B00A08"/>
    <w:rsid w:val="00B00E64"/>
    <w:rsid w:val="00B03435"/>
    <w:rsid w:val="00B0445E"/>
    <w:rsid w:val="00B04694"/>
    <w:rsid w:val="00B04CB6"/>
    <w:rsid w:val="00B05526"/>
    <w:rsid w:val="00B056B5"/>
    <w:rsid w:val="00B06002"/>
    <w:rsid w:val="00B0747F"/>
    <w:rsid w:val="00B079B0"/>
    <w:rsid w:val="00B11E3B"/>
    <w:rsid w:val="00B12477"/>
    <w:rsid w:val="00B1412B"/>
    <w:rsid w:val="00B15348"/>
    <w:rsid w:val="00B175A3"/>
    <w:rsid w:val="00B175EC"/>
    <w:rsid w:val="00B17B02"/>
    <w:rsid w:val="00B205F2"/>
    <w:rsid w:val="00B230F9"/>
    <w:rsid w:val="00B24028"/>
    <w:rsid w:val="00B245B7"/>
    <w:rsid w:val="00B24F2E"/>
    <w:rsid w:val="00B25A94"/>
    <w:rsid w:val="00B25D8C"/>
    <w:rsid w:val="00B26E9A"/>
    <w:rsid w:val="00B2763D"/>
    <w:rsid w:val="00B27799"/>
    <w:rsid w:val="00B27A64"/>
    <w:rsid w:val="00B30100"/>
    <w:rsid w:val="00B30B23"/>
    <w:rsid w:val="00B33E94"/>
    <w:rsid w:val="00B3449C"/>
    <w:rsid w:val="00B357CC"/>
    <w:rsid w:val="00B35D21"/>
    <w:rsid w:val="00B37309"/>
    <w:rsid w:val="00B4042C"/>
    <w:rsid w:val="00B40A79"/>
    <w:rsid w:val="00B41FED"/>
    <w:rsid w:val="00B444E1"/>
    <w:rsid w:val="00B444E4"/>
    <w:rsid w:val="00B44733"/>
    <w:rsid w:val="00B448C5"/>
    <w:rsid w:val="00B455DC"/>
    <w:rsid w:val="00B469E7"/>
    <w:rsid w:val="00B46E69"/>
    <w:rsid w:val="00B47503"/>
    <w:rsid w:val="00B5362A"/>
    <w:rsid w:val="00B53ED9"/>
    <w:rsid w:val="00B54064"/>
    <w:rsid w:val="00B558DE"/>
    <w:rsid w:val="00B55CCA"/>
    <w:rsid w:val="00B5651A"/>
    <w:rsid w:val="00B606E8"/>
    <w:rsid w:val="00B60E71"/>
    <w:rsid w:val="00B61846"/>
    <w:rsid w:val="00B61A09"/>
    <w:rsid w:val="00B61C93"/>
    <w:rsid w:val="00B61DAE"/>
    <w:rsid w:val="00B6263A"/>
    <w:rsid w:val="00B63152"/>
    <w:rsid w:val="00B63352"/>
    <w:rsid w:val="00B63986"/>
    <w:rsid w:val="00B63C47"/>
    <w:rsid w:val="00B63E2E"/>
    <w:rsid w:val="00B64586"/>
    <w:rsid w:val="00B66EF9"/>
    <w:rsid w:val="00B67B79"/>
    <w:rsid w:val="00B67CAD"/>
    <w:rsid w:val="00B7055F"/>
    <w:rsid w:val="00B70B0A"/>
    <w:rsid w:val="00B70BA5"/>
    <w:rsid w:val="00B7254D"/>
    <w:rsid w:val="00B72A6B"/>
    <w:rsid w:val="00B72CC0"/>
    <w:rsid w:val="00B732DA"/>
    <w:rsid w:val="00B7447C"/>
    <w:rsid w:val="00B7457B"/>
    <w:rsid w:val="00B74AED"/>
    <w:rsid w:val="00B74DF9"/>
    <w:rsid w:val="00B74E5C"/>
    <w:rsid w:val="00B7578F"/>
    <w:rsid w:val="00B76885"/>
    <w:rsid w:val="00B7711E"/>
    <w:rsid w:val="00B77C58"/>
    <w:rsid w:val="00B80F0C"/>
    <w:rsid w:val="00B82C83"/>
    <w:rsid w:val="00B84202"/>
    <w:rsid w:val="00B84646"/>
    <w:rsid w:val="00B84E63"/>
    <w:rsid w:val="00B84F25"/>
    <w:rsid w:val="00B90130"/>
    <w:rsid w:val="00B9147F"/>
    <w:rsid w:val="00B915B4"/>
    <w:rsid w:val="00B929E6"/>
    <w:rsid w:val="00B9368D"/>
    <w:rsid w:val="00B94C1E"/>
    <w:rsid w:val="00B956D8"/>
    <w:rsid w:val="00B95833"/>
    <w:rsid w:val="00B95841"/>
    <w:rsid w:val="00B96F52"/>
    <w:rsid w:val="00B97B13"/>
    <w:rsid w:val="00BA00E4"/>
    <w:rsid w:val="00BA0E02"/>
    <w:rsid w:val="00BA1A43"/>
    <w:rsid w:val="00BA1D7D"/>
    <w:rsid w:val="00BA1FC1"/>
    <w:rsid w:val="00BA35DE"/>
    <w:rsid w:val="00BA3CB8"/>
    <w:rsid w:val="00BA3F09"/>
    <w:rsid w:val="00BA3F68"/>
    <w:rsid w:val="00BA4DFA"/>
    <w:rsid w:val="00BA4F5A"/>
    <w:rsid w:val="00BA51E2"/>
    <w:rsid w:val="00BA5445"/>
    <w:rsid w:val="00BA75CA"/>
    <w:rsid w:val="00BA7784"/>
    <w:rsid w:val="00BB1BC9"/>
    <w:rsid w:val="00BB1CEE"/>
    <w:rsid w:val="00BB1D99"/>
    <w:rsid w:val="00BB213D"/>
    <w:rsid w:val="00BB28E6"/>
    <w:rsid w:val="00BB35FF"/>
    <w:rsid w:val="00BB4752"/>
    <w:rsid w:val="00BB51B1"/>
    <w:rsid w:val="00BB6595"/>
    <w:rsid w:val="00BB6603"/>
    <w:rsid w:val="00BB6D83"/>
    <w:rsid w:val="00BB70BC"/>
    <w:rsid w:val="00BB7DB3"/>
    <w:rsid w:val="00BB7EB5"/>
    <w:rsid w:val="00BC0206"/>
    <w:rsid w:val="00BC05A1"/>
    <w:rsid w:val="00BC1261"/>
    <w:rsid w:val="00BC28CC"/>
    <w:rsid w:val="00BC410B"/>
    <w:rsid w:val="00BC5400"/>
    <w:rsid w:val="00BC6D5B"/>
    <w:rsid w:val="00BC71FE"/>
    <w:rsid w:val="00BC7544"/>
    <w:rsid w:val="00BC7750"/>
    <w:rsid w:val="00BC7F60"/>
    <w:rsid w:val="00BD0902"/>
    <w:rsid w:val="00BD2441"/>
    <w:rsid w:val="00BD2C5B"/>
    <w:rsid w:val="00BD4844"/>
    <w:rsid w:val="00BD4B81"/>
    <w:rsid w:val="00BD4F52"/>
    <w:rsid w:val="00BD5C4C"/>
    <w:rsid w:val="00BD79D2"/>
    <w:rsid w:val="00BD7DCE"/>
    <w:rsid w:val="00BE082D"/>
    <w:rsid w:val="00BE46B9"/>
    <w:rsid w:val="00BE48F4"/>
    <w:rsid w:val="00BE4C58"/>
    <w:rsid w:val="00BE4EB2"/>
    <w:rsid w:val="00BE4EC9"/>
    <w:rsid w:val="00BE551D"/>
    <w:rsid w:val="00BE5B6F"/>
    <w:rsid w:val="00BF011A"/>
    <w:rsid w:val="00BF0499"/>
    <w:rsid w:val="00BF0998"/>
    <w:rsid w:val="00BF1565"/>
    <w:rsid w:val="00BF3528"/>
    <w:rsid w:val="00BF5187"/>
    <w:rsid w:val="00BF5F0E"/>
    <w:rsid w:val="00BF7668"/>
    <w:rsid w:val="00BF76B4"/>
    <w:rsid w:val="00C007A7"/>
    <w:rsid w:val="00C00D38"/>
    <w:rsid w:val="00C01DCE"/>
    <w:rsid w:val="00C01ECF"/>
    <w:rsid w:val="00C021DA"/>
    <w:rsid w:val="00C029EE"/>
    <w:rsid w:val="00C03FF8"/>
    <w:rsid w:val="00C06157"/>
    <w:rsid w:val="00C063FC"/>
    <w:rsid w:val="00C06E71"/>
    <w:rsid w:val="00C100AC"/>
    <w:rsid w:val="00C1149F"/>
    <w:rsid w:val="00C11D66"/>
    <w:rsid w:val="00C1292A"/>
    <w:rsid w:val="00C14118"/>
    <w:rsid w:val="00C162F7"/>
    <w:rsid w:val="00C163C7"/>
    <w:rsid w:val="00C16AB9"/>
    <w:rsid w:val="00C17362"/>
    <w:rsid w:val="00C17F4E"/>
    <w:rsid w:val="00C21DE5"/>
    <w:rsid w:val="00C228C2"/>
    <w:rsid w:val="00C23296"/>
    <w:rsid w:val="00C24BB0"/>
    <w:rsid w:val="00C251CC"/>
    <w:rsid w:val="00C269F7"/>
    <w:rsid w:val="00C32071"/>
    <w:rsid w:val="00C325B1"/>
    <w:rsid w:val="00C33CD9"/>
    <w:rsid w:val="00C34583"/>
    <w:rsid w:val="00C3481A"/>
    <w:rsid w:val="00C34A67"/>
    <w:rsid w:val="00C34DAA"/>
    <w:rsid w:val="00C35860"/>
    <w:rsid w:val="00C35A62"/>
    <w:rsid w:val="00C35B7D"/>
    <w:rsid w:val="00C36C20"/>
    <w:rsid w:val="00C37305"/>
    <w:rsid w:val="00C4151E"/>
    <w:rsid w:val="00C418D6"/>
    <w:rsid w:val="00C4229A"/>
    <w:rsid w:val="00C431C6"/>
    <w:rsid w:val="00C43E33"/>
    <w:rsid w:val="00C4617A"/>
    <w:rsid w:val="00C46940"/>
    <w:rsid w:val="00C474A4"/>
    <w:rsid w:val="00C512E5"/>
    <w:rsid w:val="00C52956"/>
    <w:rsid w:val="00C52A10"/>
    <w:rsid w:val="00C5309F"/>
    <w:rsid w:val="00C538F0"/>
    <w:rsid w:val="00C5398E"/>
    <w:rsid w:val="00C543AF"/>
    <w:rsid w:val="00C5499C"/>
    <w:rsid w:val="00C550B2"/>
    <w:rsid w:val="00C55344"/>
    <w:rsid w:val="00C556CE"/>
    <w:rsid w:val="00C575D9"/>
    <w:rsid w:val="00C57CA3"/>
    <w:rsid w:val="00C6203C"/>
    <w:rsid w:val="00C621AD"/>
    <w:rsid w:val="00C62D6B"/>
    <w:rsid w:val="00C62EC1"/>
    <w:rsid w:val="00C65111"/>
    <w:rsid w:val="00C652B2"/>
    <w:rsid w:val="00C6566C"/>
    <w:rsid w:val="00C6635C"/>
    <w:rsid w:val="00C66376"/>
    <w:rsid w:val="00C67BBC"/>
    <w:rsid w:val="00C7061B"/>
    <w:rsid w:val="00C72BF3"/>
    <w:rsid w:val="00C74541"/>
    <w:rsid w:val="00C74646"/>
    <w:rsid w:val="00C74CC9"/>
    <w:rsid w:val="00C77349"/>
    <w:rsid w:val="00C81C8D"/>
    <w:rsid w:val="00C82D15"/>
    <w:rsid w:val="00C83B7F"/>
    <w:rsid w:val="00C87314"/>
    <w:rsid w:val="00C87ADA"/>
    <w:rsid w:val="00C90CB9"/>
    <w:rsid w:val="00C9221B"/>
    <w:rsid w:val="00C92650"/>
    <w:rsid w:val="00C94319"/>
    <w:rsid w:val="00C946ED"/>
    <w:rsid w:val="00C95184"/>
    <w:rsid w:val="00C95C5C"/>
    <w:rsid w:val="00C97206"/>
    <w:rsid w:val="00C97254"/>
    <w:rsid w:val="00C97387"/>
    <w:rsid w:val="00CA0A9D"/>
    <w:rsid w:val="00CA0DFD"/>
    <w:rsid w:val="00CA1AE3"/>
    <w:rsid w:val="00CA1CFC"/>
    <w:rsid w:val="00CA2C2F"/>
    <w:rsid w:val="00CA3361"/>
    <w:rsid w:val="00CA4F62"/>
    <w:rsid w:val="00CA50F4"/>
    <w:rsid w:val="00CA5A2E"/>
    <w:rsid w:val="00CA5BCF"/>
    <w:rsid w:val="00CA7E61"/>
    <w:rsid w:val="00CB11B4"/>
    <w:rsid w:val="00CB19D6"/>
    <w:rsid w:val="00CB2738"/>
    <w:rsid w:val="00CB4002"/>
    <w:rsid w:val="00CB5104"/>
    <w:rsid w:val="00CB6C58"/>
    <w:rsid w:val="00CB753C"/>
    <w:rsid w:val="00CB755C"/>
    <w:rsid w:val="00CB7D50"/>
    <w:rsid w:val="00CB7DB1"/>
    <w:rsid w:val="00CC0251"/>
    <w:rsid w:val="00CC0E76"/>
    <w:rsid w:val="00CC34F0"/>
    <w:rsid w:val="00CC58D0"/>
    <w:rsid w:val="00CC7731"/>
    <w:rsid w:val="00CD1E74"/>
    <w:rsid w:val="00CD248E"/>
    <w:rsid w:val="00CD2A00"/>
    <w:rsid w:val="00CD39F8"/>
    <w:rsid w:val="00CD48F6"/>
    <w:rsid w:val="00CD6049"/>
    <w:rsid w:val="00CD6A4E"/>
    <w:rsid w:val="00CD705E"/>
    <w:rsid w:val="00CD7A68"/>
    <w:rsid w:val="00CE02F1"/>
    <w:rsid w:val="00CE1137"/>
    <w:rsid w:val="00CE1A27"/>
    <w:rsid w:val="00CE5409"/>
    <w:rsid w:val="00CE5F58"/>
    <w:rsid w:val="00CE7997"/>
    <w:rsid w:val="00CF0E18"/>
    <w:rsid w:val="00CF1290"/>
    <w:rsid w:val="00CF4366"/>
    <w:rsid w:val="00CF4946"/>
    <w:rsid w:val="00CF588A"/>
    <w:rsid w:val="00CF786A"/>
    <w:rsid w:val="00D00242"/>
    <w:rsid w:val="00D010CB"/>
    <w:rsid w:val="00D03068"/>
    <w:rsid w:val="00D031D4"/>
    <w:rsid w:val="00D03A26"/>
    <w:rsid w:val="00D0429D"/>
    <w:rsid w:val="00D06AA2"/>
    <w:rsid w:val="00D077E2"/>
    <w:rsid w:val="00D07B04"/>
    <w:rsid w:val="00D07BF1"/>
    <w:rsid w:val="00D118A7"/>
    <w:rsid w:val="00D11A8C"/>
    <w:rsid w:val="00D11CEC"/>
    <w:rsid w:val="00D12419"/>
    <w:rsid w:val="00D14043"/>
    <w:rsid w:val="00D144C3"/>
    <w:rsid w:val="00D1494B"/>
    <w:rsid w:val="00D14BA8"/>
    <w:rsid w:val="00D14E05"/>
    <w:rsid w:val="00D15154"/>
    <w:rsid w:val="00D17583"/>
    <w:rsid w:val="00D2402F"/>
    <w:rsid w:val="00D24850"/>
    <w:rsid w:val="00D27D8B"/>
    <w:rsid w:val="00D27FFE"/>
    <w:rsid w:val="00D31274"/>
    <w:rsid w:val="00D31C7B"/>
    <w:rsid w:val="00D325CA"/>
    <w:rsid w:val="00D3358F"/>
    <w:rsid w:val="00D33925"/>
    <w:rsid w:val="00D33D20"/>
    <w:rsid w:val="00D34231"/>
    <w:rsid w:val="00D365AD"/>
    <w:rsid w:val="00D36FB2"/>
    <w:rsid w:val="00D3769D"/>
    <w:rsid w:val="00D40BEC"/>
    <w:rsid w:val="00D40C74"/>
    <w:rsid w:val="00D41FE4"/>
    <w:rsid w:val="00D430F4"/>
    <w:rsid w:val="00D43D02"/>
    <w:rsid w:val="00D43D98"/>
    <w:rsid w:val="00D43FF3"/>
    <w:rsid w:val="00D443FE"/>
    <w:rsid w:val="00D44A0C"/>
    <w:rsid w:val="00D45040"/>
    <w:rsid w:val="00D467C9"/>
    <w:rsid w:val="00D53139"/>
    <w:rsid w:val="00D56969"/>
    <w:rsid w:val="00D56B77"/>
    <w:rsid w:val="00D57A49"/>
    <w:rsid w:val="00D60DF6"/>
    <w:rsid w:val="00D61798"/>
    <w:rsid w:val="00D6192B"/>
    <w:rsid w:val="00D61BA8"/>
    <w:rsid w:val="00D61EE4"/>
    <w:rsid w:val="00D62115"/>
    <w:rsid w:val="00D629FD"/>
    <w:rsid w:val="00D62E0B"/>
    <w:rsid w:val="00D64321"/>
    <w:rsid w:val="00D64B06"/>
    <w:rsid w:val="00D656DC"/>
    <w:rsid w:val="00D6585B"/>
    <w:rsid w:val="00D66CDB"/>
    <w:rsid w:val="00D67C82"/>
    <w:rsid w:val="00D67D8B"/>
    <w:rsid w:val="00D67F5D"/>
    <w:rsid w:val="00D67F6C"/>
    <w:rsid w:val="00D70420"/>
    <w:rsid w:val="00D706AB"/>
    <w:rsid w:val="00D7120B"/>
    <w:rsid w:val="00D7164F"/>
    <w:rsid w:val="00D71781"/>
    <w:rsid w:val="00D71B11"/>
    <w:rsid w:val="00D71BE8"/>
    <w:rsid w:val="00D72380"/>
    <w:rsid w:val="00D732EE"/>
    <w:rsid w:val="00D73A80"/>
    <w:rsid w:val="00D74254"/>
    <w:rsid w:val="00D75DDA"/>
    <w:rsid w:val="00D76E7E"/>
    <w:rsid w:val="00D76FE3"/>
    <w:rsid w:val="00D779B8"/>
    <w:rsid w:val="00D80A23"/>
    <w:rsid w:val="00D81684"/>
    <w:rsid w:val="00D82799"/>
    <w:rsid w:val="00D827CD"/>
    <w:rsid w:val="00D8300A"/>
    <w:rsid w:val="00D83D7F"/>
    <w:rsid w:val="00D87E39"/>
    <w:rsid w:val="00D90546"/>
    <w:rsid w:val="00D90965"/>
    <w:rsid w:val="00D910C7"/>
    <w:rsid w:val="00D91549"/>
    <w:rsid w:val="00D91E74"/>
    <w:rsid w:val="00D95454"/>
    <w:rsid w:val="00D95BF2"/>
    <w:rsid w:val="00D95FAA"/>
    <w:rsid w:val="00D96041"/>
    <w:rsid w:val="00D96CC3"/>
    <w:rsid w:val="00DA0A12"/>
    <w:rsid w:val="00DA1543"/>
    <w:rsid w:val="00DA26AE"/>
    <w:rsid w:val="00DA28A4"/>
    <w:rsid w:val="00DA3D3E"/>
    <w:rsid w:val="00DA415A"/>
    <w:rsid w:val="00DA42FD"/>
    <w:rsid w:val="00DA4D99"/>
    <w:rsid w:val="00DA4E82"/>
    <w:rsid w:val="00DA53FB"/>
    <w:rsid w:val="00DA5BDA"/>
    <w:rsid w:val="00DA5D6A"/>
    <w:rsid w:val="00DA780C"/>
    <w:rsid w:val="00DB1178"/>
    <w:rsid w:val="00DB1600"/>
    <w:rsid w:val="00DB2A9A"/>
    <w:rsid w:val="00DB2DB2"/>
    <w:rsid w:val="00DB3B46"/>
    <w:rsid w:val="00DB5609"/>
    <w:rsid w:val="00DB5FDE"/>
    <w:rsid w:val="00DB6825"/>
    <w:rsid w:val="00DC068D"/>
    <w:rsid w:val="00DC09FE"/>
    <w:rsid w:val="00DC0C4B"/>
    <w:rsid w:val="00DC3411"/>
    <w:rsid w:val="00DC39F2"/>
    <w:rsid w:val="00DC3CBE"/>
    <w:rsid w:val="00DC4138"/>
    <w:rsid w:val="00DC58D7"/>
    <w:rsid w:val="00DC59F6"/>
    <w:rsid w:val="00DC7A60"/>
    <w:rsid w:val="00DC7ABA"/>
    <w:rsid w:val="00DD3216"/>
    <w:rsid w:val="00DD5D3D"/>
    <w:rsid w:val="00DD71E5"/>
    <w:rsid w:val="00DD7266"/>
    <w:rsid w:val="00DD763C"/>
    <w:rsid w:val="00DD7B11"/>
    <w:rsid w:val="00DE0F58"/>
    <w:rsid w:val="00DE26F1"/>
    <w:rsid w:val="00DE3080"/>
    <w:rsid w:val="00DE345B"/>
    <w:rsid w:val="00DE35CB"/>
    <w:rsid w:val="00DE4074"/>
    <w:rsid w:val="00DE4BB3"/>
    <w:rsid w:val="00DE4D99"/>
    <w:rsid w:val="00DE6D26"/>
    <w:rsid w:val="00DF112B"/>
    <w:rsid w:val="00DF2747"/>
    <w:rsid w:val="00DF291B"/>
    <w:rsid w:val="00DF2E86"/>
    <w:rsid w:val="00DF40A5"/>
    <w:rsid w:val="00DF65FC"/>
    <w:rsid w:val="00DF6706"/>
    <w:rsid w:val="00DF6776"/>
    <w:rsid w:val="00DF6C37"/>
    <w:rsid w:val="00E01911"/>
    <w:rsid w:val="00E01B67"/>
    <w:rsid w:val="00E01DE9"/>
    <w:rsid w:val="00E0384A"/>
    <w:rsid w:val="00E04C0D"/>
    <w:rsid w:val="00E10CE3"/>
    <w:rsid w:val="00E126FD"/>
    <w:rsid w:val="00E12712"/>
    <w:rsid w:val="00E13FAB"/>
    <w:rsid w:val="00E15CD3"/>
    <w:rsid w:val="00E161A6"/>
    <w:rsid w:val="00E1634B"/>
    <w:rsid w:val="00E17221"/>
    <w:rsid w:val="00E23023"/>
    <w:rsid w:val="00E234B1"/>
    <w:rsid w:val="00E2462E"/>
    <w:rsid w:val="00E24BF1"/>
    <w:rsid w:val="00E2523D"/>
    <w:rsid w:val="00E2691C"/>
    <w:rsid w:val="00E26EF4"/>
    <w:rsid w:val="00E2755F"/>
    <w:rsid w:val="00E326AC"/>
    <w:rsid w:val="00E341FA"/>
    <w:rsid w:val="00E34B91"/>
    <w:rsid w:val="00E34FFD"/>
    <w:rsid w:val="00E351CC"/>
    <w:rsid w:val="00E35257"/>
    <w:rsid w:val="00E35678"/>
    <w:rsid w:val="00E36392"/>
    <w:rsid w:val="00E425B2"/>
    <w:rsid w:val="00E4316A"/>
    <w:rsid w:val="00E4412C"/>
    <w:rsid w:val="00E44177"/>
    <w:rsid w:val="00E44D2B"/>
    <w:rsid w:val="00E45BBC"/>
    <w:rsid w:val="00E465C7"/>
    <w:rsid w:val="00E47FDC"/>
    <w:rsid w:val="00E50192"/>
    <w:rsid w:val="00E502EE"/>
    <w:rsid w:val="00E51365"/>
    <w:rsid w:val="00E51695"/>
    <w:rsid w:val="00E528FF"/>
    <w:rsid w:val="00E53791"/>
    <w:rsid w:val="00E54135"/>
    <w:rsid w:val="00E54DDD"/>
    <w:rsid w:val="00E55A70"/>
    <w:rsid w:val="00E568F7"/>
    <w:rsid w:val="00E57660"/>
    <w:rsid w:val="00E57811"/>
    <w:rsid w:val="00E603DE"/>
    <w:rsid w:val="00E60E71"/>
    <w:rsid w:val="00E61F4F"/>
    <w:rsid w:val="00E63886"/>
    <w:rsid w:val="00E6492B"/>
    <w:rsid w:val="00E65627"/>
    <w:rsid w:val="00E65B53"/>
    <w:rsid w:val="00E67262"/>
    <w:rsid w:val="00E67C1A"/>
    <w:rsid w:val="00E70776"/>
    <w:rsid w:val="00E70A45"/>
    <w:rsid w:val="00E70C01"/>
    <w:rsid w:val="00E71B21"/>
    <w:rsid w:val="00E77484"/>
    <w:rsid w:val="00E77568"/>
    <w:rsid w:val="00E77CE4"/>
    <w:rsid w:val="00E8092C"/>
    <w:rsid w:val="00E8143D"/>
    <w:rsid w:val="00E82009"/>
    <w:rsid w:val="00E838D6"/>
    <w:rsid w:val="00E83DEC"/>
    <w:rsid w:val="00E841D4"/>
    <w:rsid w:val="00E84424"/>
    <w:rsid w:val="00E84DCA"/>
    <w:rsid w:val="00E84DE4"/>
    <w:rsid w:val="00E86762"/>
    <w:rsid w:val="00E86832"/>
    <w:rsid w:val="00E87761"/>
    <w:rsid w:val="00E87ABB"/>
    <w:rsid w:val="00E87E1C"/>
    <w:rsid w:val="00E90203"/>
    <w:rsid w:val="00E91B0E"/>
    <w:rsid w:val="00E928FD"/>
    <w:rsid w:val="00E92D59"/>
    <w:rsid w:val="00E92DE1"/>
    <w:rsid w:val="00E9332C"/>
    <w:rsid w:val="00E93345"/>
    <w:rsid w:val="00E943E9"/>
    <w:rsid w:val="00E94C0D"/>
    <w:rsid w:val="00E969A8"/>
    <w:rsid w:val="00E96D60"/>
    <w:rsid w:val="00E96DB1"/>
    <w:rsid w:val="00E96F38"/>
    <w:rsid w:val="00E970E9"/>
    <w:rsid w:val="00E97F77"/>
    <w:rsid w:val="00EA112A"/>
    <w:rsid w:val="00EA19CB"/>
    <w:rsid w:val="00EA34A1"/>
    <w:rsid w:val="00EA34E5"/>
    <w:rsid w:val="00EA4FEE"/>
    <w:rsid w:val="00EA5474"/>
    <w:rsid w:val="00EA56C3"/>
    <w:rsid w:val="00EA77C4"/>
    <w:rsid w:val="00EA7911"/>
    <w:rsid w:val="00EA7B56"/>
    <w:rsid w:val="00EA7F4E"/>
    <w:rsid w:val="00EB1479"/>
    <w:rsid w:val="00EB16C8"/>
    <w:rsid w:val="00EB1D72"/>
    <w:rsid w:val="00EB2C3A"/>
    <w:rsid w:val="00EB4094"/>
    <w:rsid w:val="00EB4A7B"/>
    <w:rsid w:val="00EB53C0"/>
    <w:rsid w:val="00EB7014"/>
    <w:rsid w:val="00EB7F0C"/>
    <w:rsid w:val="00EC0563"/>
    <w:rsid w:val="00EC251B"/>
    <w:rsid w:val="00EC25BD"/>
    <w:rsid w:val="00EC4789"/>
    <w:rsid w:val="00EC5EAE"/>
    <w:rsid w:val="00EC60C1"/>
    <w:rsid w:val="00ED0F00"/>
    <w:rsid w:val="00ED1614"/>
    <w:rsid w:val="00ED2196"/>
    <w:rsid w:val="00ED2693"/>
    <w:rsid w:val="00ED50AB"/>
    <w:rsid w:val="00ED6960"/>
    <w:rsid w:val="00ED6DA5"/>
    <w:rsid w:val="00ED73DD"/>
    <w:rsid w:val="00ED794E"/>
    <w:rsid w:val="00EE030E"/>
    <w:rsid w:val="00EE1A84"/>
    <w:rsid w:val="00EE1ACB"/>
    <w:rsid w:val="00EE1C5D"/>
    <w:rsid w:val="00EE2593"/>
    <w:rsid w:val="00EE36C7"/>
    <w:rsid w:val="00EE4110"/>
    <w:rsid w:val="00EE5E03"/>
    <w:rsid w:val="00EF183D"/>
    <w:rsid w:val="00EF1B27"/>
    <w:rsid w:val="00EF2ABE"/>
    <w:rsid w:val="00EF2E12"/>
    <w:rsid w:val="00EF43E8"/>
    <w:rsid w:val="00EF5525"/>
    <w:rsid w:val="00EF621E"/>
    <w:rsid w:val="00EF643C"/>
    <w:rsid w:val="00EF6D43"/>
    <w:rsid w:val="00EF7ABE"/>
    <w:rsid w:val="00EF7B8F"/>
    <w:rsid w:val="00F00A0C"/>
    <w:rsid w:val="00F00AE1"/>
    <w:rsid w:val="00F04490"/>
    <w:rsid w:val="00F04C80"/>
    <w:rsid w:val="00F058CD"/>
    <w:rsid w:val="00F058E3"/>
    <w:rsid w:val="00F05E4B"/>
    <w:rsid w:val="00F060FB"/>
    <w:rsid w:val="00F071C8"/>
    <w:rsid w:val="00F074CB"/>
    <w:rsid w:val="00F07717"/>
    <w:rsid w:val="00F077DF"/>
    <w:rsid w:val="00F07F4D"/>
    <w:rsid w:val="00F1038D"/>
    <w:rsid w:val="00F13499"/>
    <w:rsid w:val="00F14973"/>
    <w:rsid w:val="00F158EE"/>
    <w:rsid w:val="00F15FD0"/>
    <w:rsid w:val="00F17FD4"/>
    <w:rsid w:val="00F2195A"/>
    <w:rsid w:val="00F21BC6"/>
    <w:rsid w:val="00F226A6"/>
    <w:rsid w:val="00F22A53"/>
    <w:rsid w:val="00F22F22"/>
    <w:rsid w:val="00F23023"/>
    <w:rsid w:val="00F239E5"/>
    <w:rsid w:val="00F23A95"/>
    <w:rsid w:val="00F23AB1"/>
    <w:rsid w:val="00F24176"/>
    <w:rsid w:val="00F247CF"/>
    <w:rsid w:val="00F26195"/>
    <w:rsid w:val="00F3107E"/>
    <w:rsid w:val="00F311C9"/>
    <w:rsid w:val="00F3372D"/>
    <w:rsid w:val="00F347C8"/>
    <w:rsid w:val="00F348F1"/>
    <w:rsid w:val="00F34FAF"/>
    <w:rsid w:val="00F35355"/>
    <w:rsid w:val="00F36078"/>
    <w:rsid w:val="00F3659E"/>
    <w:rsid w:val="00F36A51"/>
    <w:rsid w:val="00F37D9C"/>
    <w:rsid w:val="00F41C00"/>
    <w:rsid w:val="00F427F2"/>
    <w:rsid w:val="00F42A01"/>
    <w:rsid w:val="00F42C01"/>
    <w:rsid w:val="00F433AE"/>
    <w:rsid w:val="00F448B7"/>
    <w:rsid w:val="00F4582E"/>
    <w:rsid w:val="00F4670B"/>
    <w:rsid w:val="00F46BE4"/>
    <w:rsid w:val="00F501BC"/>
    <w:rsid w:val="00F51055"/>
    <w:rsid w:val="00F52077"/>
    <w:rsid w:val="00F52139"/>
    <w:rsid w:val="00F535DC"/>
    <w:rsid w:val="00F61C6D"/>
    <w:rsid w:val="00F6331D"/>
    <w:rsid w:val="00F6400A"/>
    <w:rsid w:val="00F642E0"/>
    <w:rsid w:val="00F65323"/>
    <w:rsid w:val="00F65786"/>
    <w:rsid w:val="00F65E27"/>
    <w:rsid w:val="00F662C9"/>
    <w:rsid w:val="00F6791F"/>
    <w:rsid w:val="00F67CF3"/>
    <w:rsid w:val="00F70B75"/>
    <w:rsid w:val="00F70DE3"/>
    <w:rsid w:val="00F717F8"/>
    <w:rsid w:val="00F71A59"/>
    <w:rsid w:val="00F73930"/>
    <w:rsid w:val="00F73AE9"/>
    <w:rsid w:val="00F743CA"/>
    <w:rsid w:val="00F74E0E"/>
    <w:rsid w:val="00F74EC0"/>
    <w:rsid w:val="00F750AD"/>
    <w:rsid w:val="00F755C7"/>
    <w:rsid w:val="00F7766D"/>
    <w:rsid w:val="00F7774B"/>
    <w:rsid w:val="00F807D3"/>
    <w:rsid w:val="00F82059"/>
    <w:rsid w:val="00F82D08"/>
    <w:rsid w:val="00F82D42"/>
    <w:rsid w:val="00F82DBD"/>
    <w:rsid w:val="00F83128"/>
    <w:rsid w:val="00F83826"/>
    <w:rsid w:val="00F8403E"/>
    <w:rsid w:val="00F841C1"/>
    <w:rsid w:val="00F84240"/>
    <w:rsid w:val="00F863E9"/>
    <w:rsid w:val="00F90087"/>
    <w:rsid w:val="00F911F8"/>
    <w:rsid w:val="00F922D3"/>
    <w:rsid w:val="00F92B73"/>
    <w:rsid w:val="00F92CDC"/>
    <w:rsid w:val="00F93379"/>
    <w:rsid w:val="00F9550D"/>
    <w:rsid w:val="00F95E86"/>
    <w:rsid w:val="00F95F2D"/>
    <w:rsid w:val="00F961E1"/>
    <w:rsid w:val="00F96EC2"/>
    <w:rsid w:val="00F9774D"/>
    <w:rsid w:val="00FA01FD"/>
    <w:rsid w:val="00FA0270"/>
    <w:rsid w:val="00FA0A2E"/>
    <w:rsid w:val="00FA0AEC"/>
    <w:rsid w:val="00FA14F4"/>
    <w:rsid w:val="00FA17F0"/>
    <w:rsid w:val="00FA1AA4"/>
    <w:rsid w:val="00FA1C51"/>
    <w:rsid w:val="00FA28C3"/>
    <w:rsid w:val="00FA2BF4"/>
    <w:rsid w:val="00FA36D0"/>
    <w:rsid w:val="00FA3C03"/>
    <w:rsid w:val="00FA45C8"/>
    <w:rsid w:val="00FA4AF6"/>
    <w:rsid w:val="00FA5AB6"/>
    <w:rsid w:val="00FA5AEC"/>
    <w:rsid w:val="00FA65B0"/>
    <w:rsid w:val="00FB0133"/>
    <w:rsid w:val="00FB02C3"/>
    <w:rsid w:val="00FB20E7"/>
    <w:rsid w:val="00FB256D"/>
    <w:rsid w:val="00FB340F"/>
    <w:rsid w:val="00FB3D46"/>
    <w:rsid w:val="00FB3F24"/>
    <w:rsid w:val="00FB5A69"/>
    <w:rsid w:val="00FB5B99"/>
    <w:rsid w:val="00FB6562"/>
    <w:rsid w:val="00FB71B5"/>
    <w:rsid w:val="00FB72DB"/>
    <w:rsid w:val="00FB72ED"/>
    <w:rsid w:val="00FC06EF"/>
    <w:rsid w:val="00FC1467"/>
    <w:rsid w:val="00FC14E9"/>
    <w:rsid w:val="00FC216C"/>
    <w:rsid w:val="00FC27A7"/>
    <w:rsid w:val="00FC3B12"/>
    <w:rsid w:val="00FC416B"/>
    <w:rsid w:val="00FC4BC6"/>
    <w:rsid w:val="00FC4CB0"/>
    <w:rsid w:val="00FC4D04"/>
    <w:rsid w:val="00FC6A28"/>
    <w:rsid w:val="00FC6B54"/>
    <w:rsid w:val="00FC7B0B"/>
    <w:rsid w:val="00FD0798"/>
    <w:rsid w:val="00FD08EA"/>
    <w:rsid w:val="00FD1022"/>
    <w:rsid w:val="00FD1832"/>
    <w:rsid w:val="00FD2304"/>
    <w:rsid w:val="00FD3D2A"/>
    <w:rsid w:val="00FD577F"/>
    <w:rsid w:val="00FD5B47"/>
    <w:rsid w:val="00FD6A00"/>
    <w:rsid w:val="00FD72E2"/>
    <w:rsid w:val="00FE0FD7"/>
    <w:rsid w:val="00FE15B4"/>
    <w:rsid w:val="00FE17FC"/>
    <w:rsid w:val="00FE186C"/>
    <w:rsid w:val="00FE2B03"/>
    <w:rsid w:val="00FE386D"/>
    <w:rsid w:val="00FE3B20"/>
    <w:rsid w:val="00FE449A"/>
    <w:rsid w:val="00FE6217"/>
    <w:rsid w:val="00FE6784"/>
    <w:rsid w:val="00FE74A9"/>
    <w:rsid w:val="00FE76A8"/>
    <w:rsid w:val="00FE799E"/>
    <w:rsid w:val="00FF126A"/>
    <w:rsid w:val="00FF1B9D"/>
    <w:rsid w:val="00FF2D06"/>
    <w:rsid w:val="00FF3292"/>
    <w:rsid w:val="00FF36C4"/>
    <w:rsid w:val="00FF3D77"/>
    <w:rsid w:val="00FF4C07"/>
    <w:rsid w:val="00FF4C25"/>
    <w:rsid w:val="00FF5112"/>
    <w:rsid w:val="00FF548A"/>
    <w:rsid w:val="00FF7675"/>
    <w:rsid w:val="00FF7A5D"/>
    <w:rsid w:val="00FF7AB7"/>
    <w:rsid w:val="00FF7C14"/>
    <w:rsid w:val="00FF7C3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707F"/>
    <w:pPr>
      <w:bidi/>
      <w:spacing w:after="120" w:line="360" w:lineRule="auto"/>
      <w:jc w:val="both"/>
    </w:pPr>
    <w:rPr>
      <w:rFonts w:cs="David"/>
      <w:sz w:val="22"/>
      <w:szCs w:val="24"/>
      <w:lang w:eastAsia="he-IL"/>
    </w:rPr>
  </w:style>
  <w:style w:type="paragraph" w:styleId="1">
    <w:name w:val="heading 1"/>
    <w:basedOn w:val="a"/>
    <w:next w:val="a"/>
    <w:link w:val="10"/>
    <w:qFormat/>
    <w:rsid w:val="001A0311"/>
    <w:pPr>
      <w:numPr>
        <w:numId w:val="10"/>
      </w:numPr>
      <w:outlineLvl w:val="0"/>
    </w:pPr>
    <w:rPr>
      <w:szCs w:val="28"/>
    </w:rPr>
  </w:style>
  <w:style w:type="paragraph" w:styleId="2">
    <w:name w:val="heading 2"/>
    <w:basedOn w:val="a"/>
    <w:next w:val="a"/>
    <w:qFormat/>
    <w:rsid w:val="006C5519"/>
    <w:pPr>
      <w:numPr>
        <w:ilvl w:val="1"/>
        <w:numId w:val="26"/>
      </w:numPr>
      <w:tabs>
        <w:tab w:val="center" w:pos="799"/>
      </w:tabs>
      <w:jc w:val="left"/>
      <w:outlineLvl w:val="1"/>
    </w:pPr>
    <w:rPr>
      <w:b/>
      <w:sz w:val="26"/>
      <w:szCs w:val="26"/>
    </w:rPr>
  </w:style>
  <w:style w:type="paragraph" w:styleId="3">
    <w:name w:val="heading 3"/>
    <w:basedOn w:val="a"/>
    <w:next w:val="a"/>
    <w:link w:val="30"/>
    <w:semiHidden/>
    <w:unhideWhenUsed/>
    <w:qFormat/>
    <w:rsid w:val="00342C5B"/>
    <w:pPr>
      <w:keepNext/>
      <w:spacing w:before="240" w:after="60"/>
      <w:outlineLvl w:val="2"/>
    </w:pPr>
    <w:rPr>
      <w:rFonts w:ascii="Cambria" w:hAnsi="Cambria" w:cs="Times New Roman"/>
      <w:b/>
      <w:bCs/>
      <w:sz w:val="26"/>
      <w:szCs w:val="26"/>
    </w:rPr>
  </w:style>
  <w:style w:type="paragraph" w:styleId="4">
    <w:name w:val="heading 4"/>
    <w:basedOn w:val="a"/>
    <w:next w:val="a"/>
    <w:qFormat/>
    <w:rsid w:val="006C5519"/>
    <w:pPr>
      <w:keepNext/>
      <w:numPr>
        <w:ilvl w:val="2"/>
        <w:numId w:val="32"/>
      </w:numPr>
      <w:ind w:left="1224" w:right="-284" w:hanging="992"/>
      <w:jc w:val="left"/>
      <w:outlineLvl w:val="3"/>
    </w:pPr>
    <w:rPr>
      <w:b/>
      <w:noProof/>
      <w:sz w:val="26"/>
      <w:szCs w:val="26"/>
      <w:lang w:eastAsia="en-US"/>
    </w:rPr>
  </w:style>
  <w:style w:type="paragraph" w:styleId="6">
    <w:name w:val="heading 6"/>
    <w:basedOn w:val="a"/>
    <w:next w:val="a"/>
    <w:qFormat/>
    <w:rsid w:val="006C5519"/>
    <w:pPr>
      <w:keepNext/>
      <w:numPr>
        <w:ilvl w:val="3"/>
        <w:numId w:val="31"/>
      </w:numPr>
      <w:ind w:right="-284" w:hanging="2074"/>
      <w:jc w:val="left"/>
      <w:outlineLvl w:val="5"/>
    </w:pPr>
    <w:rPr>
      <w:b/>
      <w:noProof/>
      <w:sz w:val="24"/>
      <w:lang w:eastAsia="en-US"/>
    </w:rPr>
  </w:style>
  <w:style w:type="paragraph" w:styleId="7">
    <w:name w:val="heading 7"/>
    <w:basedOn w:val="a"/>
    <w:next w:val="a"/>
    <w:qFormat/>
    <w:rsid w:val="001A0311"/>
    <w:pPr>
      <w:keepNext/>
      <w:ind w:right="-284"/>
      <w:outlineLvl w:val="6"/>
    </w:pPr>
    <w:rPr>
      <w:b/>
      <w:bCs/>
      <w:noProof/>
      <w:sz w:val="24"/>
      <w:u w:val="single"/>
      <w:lang w:eastAsia="en-US"/>
    </w:rPr>
  </w:style>
  <w:style w:type="paragraph" w:styleId="8">
    <w:name w:val="heading 8"/>
    <w:basedOn w:val="a"/>
    <w:next w:val="a"/>
    <w:qFormat/>
    <w:pPr>
      <w:keepNext/>
      <w:spacing w:line="240" w:lineRule="auto"/>
      <w:jc w:val="left"/>
      <w:outlineLvl w:val="7"/>
    </w:pPr>
    <w:rPr>
      <w:rFonts w:cs="Narkisim"/>
      <w:noProof/>
      <w:sz w:val="28"/>
      <w:szCs w:val="28"/>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שושי"/>
    <w:basedOn w:val="a"/>
    <w:pPr>
      <w:jc w:val="right"/>
    </w:pPr>
  </w:style>
  <w:style w:type="paragraph" w:styleId="a4">
    <w:name w:val="header"/>
    <w:basedOn w:val="a"/>
    <w:link w:val="a5"/>
    <w:uiPriority w:val="99"/>
    <w:pPr>
      <w:tabs>
        <w:tab w:val="center" w:pos="4153"/>
        <w:tab w:val="right" w:pos="8306"/>
      </w:tabs>
      <w:jc w:val="right"/>
    </w:pPr>
  </w:style>
  <w:style w:type="paragraph" w:styleId="a6">
    <w:name w:val="footer"/>
    <w:basedOn w:val="a"/>
    <w:pPr>
      <w:tabs>
        <w:tab w:val="center" w:pos="4153"/>
        <w:tab w:val="right" w:pos="8306"/>
      </w:tabs>
      <w:jc w:val="right"/>
    </w:pPr>
  </w:style>
  <w:style w:type="character" w:styleId="a7">
    <w:name w:val="page number"/>
    <w:basedOn w:val="a0"/>
  </w:style>
  <w:style w:type="character" w:styleId="Hyperlink">
    <w:name w:val="Hyperlink"/>
    <w:rPr>
      <w:color w:val="0000FF"/>
      <w:u w:val="single"/>
    </w:rPr>
  </w:style>
  <w:style w:type="paragraph" w:styleId="a8">
    <w:name w:val="Body Text"/>
    <w:basedOn w:val="a"/>
    <w:pPr>
      <w:spacing w:line="240" w:lineRule="auto"/>
      <w:jc w:val="left"/>
    </w:pPr>
    <w:rPr>
      <w:rFonts w:cs="Narkisim"/>
      <w:noProof/>
      <w:sz w:val="24"/>
      <w:lang w:eastAsia="en-US"/>
    </w:rPr>
  </w:style>
  <w:style w:type="paragraph" w:styleId="a9">
    <w:name w:val="Body Text Indent"/>
    <w:basedOn w:val="a"/>
    <w:pPr>
      <w:tabs>
        <w:tab w:val="left" w:pos="1472"/>
        <w:tab w:val="left" w:pos="1832"/>
      </w:tabs>
      <w:ind w:left="1440"/>
    </w:pPr>
    <w:rPr>
      <w:sz w:val="24"/>
      <w:lang w:eastAsia="en-US"/>
    </w:rPr>
  </w:style>
  <w:style w:type="paragraph" w:styleId="20">
    <w:name w:val="Body Text Indent 2"/>
    <w:basedOn w:val="a"/>
    <w:pPr>
      <w:tabs>
        <w:tab w:val="left" w:pos="1472"/>
        <w:tab w:val="left" w:pos="1832"/>
      </w:tabs>
      <w:ind w:left="1112"/>
    </w:pPr>
    <w:rPr>
      <w:sz w:val="24"/>
      <w:lang w:eastAsia="en-US"/>
    </w:rPr>
  </w:style>
  <w:style w:type="paragraph" w:styleId="aa">
    <w:name w:val="footnote text"/>
    <w:basedOn w:val="a"/>
    <w:link w:val="ab"/>
    <w:uiPriority w:val="99"/>
    <w:rsid w:val="00447695"/>
    <w:rPr>
      <w:sz w:val="20"/>
      <w:szCs w:val="20"/>
    </w:rPr>
  </w:style>
  <w:style w:type="character" w:styleId="ac">
    <w:name w:val="footnote reference"/>
    <w:uiPriority w:val="99"/>
    <w:rsid w:val="00447695"/>
    <w:rPr>
      <w:vertAlign w:val="superscript"/>
    </w:rPr>
  </w:style>
  <w:style w:type="paragraph" w:styleId="ad">
    <w:name w:val="Balloon Text"/>
    <w:basedOn w:val="a"/>
    <w:semiHidden/>
    <w:rsid w:val="00B96F52"/>
    <w:rPr>
      <w:rFonts w:ascii="Tahoma" w:hAnsi="Tahoma" w:cs="Tahoma"/>
      <w:sz w:val="16"/>
      <w:szCs w:val="16"/>
    </w:rPr>
  </w:style>
  <w:style w:type="table" w:styleId="ae">
    <w:name w:val="Table Grid"/>
    <w:basedOn w:val="a1"/>
    <w:uiPriority w:val="59"/>
    <w:rsid w:val="007311A4"/>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95454"/>
    <w:rPr>
      <w:color w:val="800080"/>
      <w:u w:val="single"/>
    </w:rPr>
  </w:style>
  <w:style w:type="paragraph" w:styleId="af">
    <w:name w:val="Document Map"/>
    <w:basedOn w:val="a"/>
    <w:semiHidden/>
    <w:rsid w:val="00FB256D"/>
    <w:pPr>
      <w:shd w:val="clear" w:color="auto" w:fill="000080"/>
    </w:pPr>
    <w:rPr>
      <w:rFonts w:ascii="Tahoma" w:hAnsi="Tahoma" w:cs="Tahoma"/>
      <w:sz w:val="20"/>
      <w:szCs w:val="20"/>
    </w:rPr>
  </w:style>
  <w:style w:type="paragraph" w:styleId="af0">
    <w:name w:val="List Paragraph"/>
    <w:basedOn w:val="a"/>
    <w:uiPriority w:val="34"/>
    <w:qFormat/>
    <w:rsid w:val="009C258F"/>
    <w:pPr>
      <w:bidi w:val="0"/>
      <w:spacing w:before="100" w:beforeAutospacing="1" w:after="100" w:afterAutospacing="1" w:line="240" w:lineRule="auto"/>
      <w:jc w:val="left"/>
    </w:pPr>
    <w:rPr>
      <w:rFonts w:eastAsia="Calibri" w:cs="Times New Roman"/>
      <w:sz w:val="24"/>
      <w:lang w:eastAsia="en-US"/>
    </w:rPr>
  </w:style>
  <w:style w:type="character" w:styleId="af1">
    <w:name w:val="Strong"/>
    <w:uiPriority w:val="22"/>
    <w:qFormat/>
    <w:rsid w:val="005B5598"/>
    <w:rPr>
      <w:b/>
      <w:bCs/>
    </w:rPr>
  </w:style>
  <w:style w:type="character" w:styleId="af2">
    <w:name w:val="annotation reference"/>
    <w:uiPriority w:val="99"/>
    <w:rsid w:val="00412DD1"/>
    <w:rPr>
      <w:sz w:val="16"/>
      <w:szCs w:val="16"/>
    </w:rPr>
  </w:style>
  <w:style w:type="paragraph" w:styleId="af3">
    <w:name w:val="annotation text"/>
    <w:basedOn w:val="a"/>
    <w:link w:val="af4"/>
    <w:uiPriority w:val="99"/>
    <w:rsid w:val="00412DD1"/>
    <w:rPr>
      <w:sz w:val="20"/>
      <w:szCs w:val="20"/>
    </w:rPr>
  </w:style>
  <w:style w:type="character" w:customStyle="1" w:styleId="af4">
    <w:name w:val="טקסט הערה תו"/>
    <w:link w:val="af3"/>
    <w:uiPriority w:val="99"/>
    <w:rsid w:val="00412DD1"/>
    <w:rPr>
      <w:rFonts w:cs="David"/>
      <w:lang w:eastAsia="he-IL"/>
    </w:rPr>
  </w:style>
  <w:style w:type="paragraph" w:styleId="af5">
    <w:name w:val="annotation subject"/>
    <w:basedOn w:val="af3"/>
    <w:next w:val="af3"/>
    <w:link w:val="af6"/>
    <w:rsid w:val="00412DD1"/>
    <w:rPr>
      <w:b/>
      <w:bCs/>
    </w:rPr>
  </w:style>
  <w:style w:type="character" w:customStyle="1" w:styleId="af6">
    <w:name w:val="נושא הערה תו"/>
    <w:link w:val="af5"/>
    <w:rsid w:val="00412DD1"/>
    <w:rPr>
      <w:rFonts w:cs="David"/>
      <w:b/>
      <w:bCs/>
      <w:lang w:eastAsia="he-IL"/>
    </w:rPr>
  </w:style>
  <w:style w:type="paragraph" w:styleId="af7">
    <w:name w:val="Revision"/>
    <w:hidden/>
    <w:uiPriority w:val="99"/>
    <w:semiHidden/>
    <w:rsid w:val="00CA5BCF"/>
    <w:rPr>
      <w:rFonts w:cs="David"/>
      <w:sz w:val="22"/>
      <w:szCs w:val="24"/>
      <w:lang w:eastAsia="he-IL"/>
    </w:rPr>
  </w:style>
  <w:style w:type="character" w:customStyle="1" w:styleId="ab">
    <w:name w:val="טקסט הערת שוליים תו"/>
    <w:link w:val="aa"/>
    <w:uiPriority w:val="99"/>
    <w:rsid w:val="00C92650"/>
    <w:rPr>
      <w:rFonts w:cs="David"/>
      <w:lang w:eastAsia="he-IL"/>
    </w:rPr>
  </w:style>
  <w:style w:type="paragraph" w:customStyle="1" w:styleId="p00">
    <w:name w:val="p00"/>
    <w:basedOn w:val="a"/>
    <w:rsid w:val="00E8092C"/>
    <w:pPr>
      <w:spacing w:before="100" w:beforeAutospacing="1" w:after="100" w:afterAutospacing="1" w:line="240" w:lineRule="auto"/>
      <w:jc w:val="left"/>
    </w:pPr>
    <w:rPr>
      <w:rFonts w:cs="Times New Roman"/>
      <w:sz w:val="24"/>
      <w:lang w:eastAsia="en-US"/>
    </w:rPr>
  </w:style>
  <w:style w:type="character" w:customStyle="1" w:styleId="apple-converted-space">
    <w:name w:val="apple-converted-space"/>
    <w:rsid w:val="00E8092C"/>
  </w:style>
  <w:style w:type="character" w:customStyle="1" w:styleId="default">
    <w:name w:val="default"/>
    <w:rsid w:val="00E8092C"/>
  </w:style>
  <w:style w:type="character" w:customStyle="1" w:styleId="30">
    <w:name w:val="כותרת 3 תו"/>
    <w:link w:val="3"/>
    <w:semiHidden/>
    <w:rsid w:val="00342C5B"/>
    <w:rPr>
      <w:rFonts w:ascii="Cambria" w:eastAsia="Times New Roman" w:hAnsi="Cambria" w:cs="Times New Roman"/>
      <w:b/>
      <w:bCs/>
      <w:sz w:val="26"/>
      <w:szCs w:val="26"/>
      <w:lang w:eastAsia="he-IL"/>
    </w:rPr>
  </w:style>
  <w:style w:type="character" w:customStyle="1" w:styleId="10">
    <w:name w:val="כותרת 1 תו"/>
    <w:link w:val="1"/>
    <w:rsid w:val="001A0311"/>
    <w:rPr>
      <w:rFonts w:cs="David"/>
      <w:sz w:val="22"/>
      <w:szCs w:val="28"/>
      <w:lang w:eastAsia="he-IL"/>
    </w:rPr>
  </w:style>
  <w:style w:type="character" w:styleId="af8">
    <w:name w:val="Emphasis"/>
    <w:uiPriority w:val="20"/>
    <w:qFormat/>
    <w:rsid w:val="00D61BA8"/>
    <w:rPr>
      <w:i/>
      <w:iCs/>
    </w:rPr>
  </w:style>
  <w:style w:type="paragraph" w:styleId="NormalWeb">
    <w:name w:val="Normal (Web)"/>
    <w:basedOn w:val="a"/>
    <w:uiPriority w:val="99"/>
    <w:unhideWhenUsed/>
    <w:rsid w:val="00602B84"/>
    <w:pPr>
      <w:spacing w:before="100" w:beforeAutospacing="1" w:after="100" w:afterAutospacing="1" w:line="240" w:lineRule="auto"/>
      <w:jc w:val="left"/>
    </w:pPr>
    <w:rPr>
      <w:rFonts w:cs="Times New Roman"/>
      <w:sz w:val="24"/>
      <w:lang w:eastAsia="en-US"/>
    </w:rPr>
  </w:style>
  <w:style w:type="paragraph" w:styleId="af9">
    <w:name w:val="endnote text"/>
    <w:basedOn w:val="a"/>
    <w:link w:val="afa"/>
    <w:rsid w:val="007867F0"/>
    <w:rPr>
      <w:sz w:val="20"/>
      <w:szCs w:val="20"/>
    </w:rPr>
  </w:style>
  <w:style w:type="character" w:customStyle="1" w:styleId="afa">
    <w:name w:val="טקסט הערת סיום תו"/>
    <w:link w:val="af9"/>
    <w:rsid w:val="007867F0"/>
    <w:rPr>
      <w:rFonts w:cs="David"/>
      <w:lang w:eastAsia="he-IL"/>
    </w:rPr>
  </w:style>
  <w:style w:type="character" w:styleId="afb">
    <w:name w:val="endnote reference"/>
    <w:rsid w:val="007867F0"/>
    <w:rPr>
      <w:vertAlign w:val="superscript"/>
    </w:rPr>
  </w:style>
  <w:style w:type="character" w:customStyle="1" w:styleId="a5">
    <w:name w:val="כותרת עליונה תו"/>
    <w:link w:val="a4"/>
    <w:uiPriority w:val="99"/>
    <w:rsid w:val="00CA4F62"/>
    <w:rPr>
      <w:rFonts w:cs="David"/>
      <w:sz w:val="22"/>
      <w:szCs w:val="24"/>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707F"/>
    <w:pPr>
      <w:bidi/>
      <w:spacing w:after="120" w:line="360" w:lineRule="auto"/>
      <w:jc w:val="both"/>
    </w:pPr>
    <w:rPr>
      <w:rFonts w:cs="David"/>
      <w:sz w:val="22"/>
      <w:szCs w:val="24"/>
      <w:lang w:eastAsia="he-IL"/>
    </w:rPr>
  </w:style>
  <w:style w:type="paragraph" w:styleId="1">
    <w:name w:val="heading 1"/>
    <w:basedOn w:val="a"/>
    <w:next w:val="a"/>
    <w:link w:val="10"/>
    <w:qFormat/>
    <w:rsid w:val="001A0311"/>
    <w:pPr>
      <w:numPr>
        <w:numId w:val="10"/>
      </w:numPr>
      <w:outlineLvl w:val="0"/>
    </w:pPr>
    <w:rPr>
      <w:szCs w:val="28"/>
    </w:rPr>
  </w:style>
  <w:style w:type="paragraph" w:styleId="2">
    <w:name w:val="heading 2"/>
    <w:basedOn w:val="a"/>
    <w:next w:val="a"/>
    <w:qFormat/>
    <w:rsid w:val="006C5519"/>
    <w:pPr>
      <w:numPr>
        <w:ilvl w:val="1"/>
        <w:numId w:val="26"/>
      </w:numPr>
      <w:tabs>
        <w:tab w:val="center" w:pos="799"/>
      </w:tabs>
      <w:jc w:val="left"/>
      <w:outlineLvl w:val="1"/>
    </w:pPr>
    <w:rPr>
      <w:b/>
      <w:sz w:val="26"/>
      <w:szCs w:val="26"/>
    </w:rPr>
  </w:style>
  <w:style w:type="paragraph" w:styleId="3">
    <w:name w:val="heading 3"/>
    <w:basedOn w:val="a"/>
    <w:next w:val="a"/>
    <w:link w:val="30"/>
    <w:semiHidden/>
    <w:unhideWhenUsed/>
    <w:qFormat/>
    <w:rsid w:val="00342C5B"/>
    <w:pPr>
      <w:keepNext/>
      <w:spacing w:before="240" w:after="60"/>
      <w:outlineLvl w:val="2"/>
    </w:pPr>
    <w:rPr>
      <w:rFonts w:ascii="Cambria" w:hAnsi="Cambria" w:cs="Times New Roman"/>
      <w:b/>
      <w:bCs/>
      <w:sz w:val="26"/>
      <w:szCs w:val="26"/>
    </w:rPr>
  </w:style>
  <w:style w:type="paragraph" w:styleId="4">
    <w:name w:val="heading 4"/>
    <w:basedOn w:val="a"/>
    <w:next w:val="a"/>
    <w:qFormat/>
    <w:rsid w:val="006C5519"/>
    <w:pPr>
      <w:keepNext/>
      <w:numPr>
        <w:ilvl w:val="2"/>
        <w:numId w:val="32"/>
      </w:numPr>
      <w:ind w:left="1224" w:right="-284" w:hanging="992"/>
      <w:jc w:val="left"/>
      <w:outlineLvl w:val="3"/>
    </w:pPr>
    <w:rPr>
      <w:b/>
      <w:noProof/>
      <w:sz w:val="26"/>
      <w:szCs w:val="26"/>
      <w:lang w:eastAsia="en-US"/>
    </w:rPr>
  </w:style>
  <w:style w:type="paragraph" w:styleId="6">
    <w:name w:val="heading 6"/>
    <w:basedOn w:val="a"/>
    <w:next w:val="a"/>
    <w:qFormat/>
    <w:rsid w:val="006C5519"/>
    <w:pPr>
      <w:keepNext/>
      <w:numPr>
        <w:ilvl w:val="3"/>
        <w:numId w:val="31"/>
      </w:numPr>
      <w:ind w:right="-284" w:hanging="2074"/>
      <w:jc w:val="left"/>
      <w:outlineLvl w:val="5"/>
    </w:pPr>
    <w:rPr>
      <w:b/>
      <w:noProof/>
      <w:sz w:val="24"/>
      <w:lang w:eastAsia="en-US"/>
    </w:rPr>
  </w:style>
  <w:style w:type="paragraph" w:styleId="7">
    <w:name w:val="heading 7"/>
    <w:basedOn w:val="a"/>
    <w:next w:val="a"/>
    <w:qFormat/>
    <w:rsid w:val="001A0311"/>
    <w:pPr>
      <w:keepNext/>
      <w:ind w:right="-284"/>
      <w:outlineLvl w:val="6"/>
    </w:pPr>
    <w:rPr>
      <w:b/>
      <w:bCs/>
      <w:noProof/>
      <w:sz w:val="24"/>
      <w:u w:val="single"/>
      <w:lang w:eastAsia="en-US"/>
    </w:rPr>
  </w:style>
  <w:style w:type="paragraph" w:styleId="8">
    <w:name w:val="heading 8"/>
    <w:basedOn w:val="a"/>
    <w:next w:val="a"/>
    <w:qFormat/>
    <w:pPr>
      <w:keepNext/>
      <w:spacing w:line="240" w:lineRule="auto"/>
      <w:jc w:val="left"/>
      <w:outlineLvl w:val="7"/>
    </w:pPr>
    <w:rPr>
      <w:rFonts w:cs="Narkisim"/>
      <w:noProof/>
      <w:sz w:val="28"/>
      <w:szCs w:val="28"/>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שושי"/>
    <w:basedOn w:val="a"/>
    <w:pPr>
      <w:jc w:val="right"/>
    </w:pPr>
  </w:style>
  <w:style w:type="paragraph" w:styleId="a4">
    <w:name w:val="header"/>
    <w:basedOn w:val="a"/>
    <w:link w:val="a5"/>
    <w:uiPriority w:val="99"/>
    <w:pPr>
      <w:tabs>
        <w:tab w:val="center" w:pos="4153"/>
        <w:tab w:val="right" w:pos="8306"/>
      </w:tabs>
      <w:jc w:val="right"/>
    </w:pPr>
  </w:style>
  <w:style w:type="paragraph" w:styleId="a6">
    <w:name w:val="footer"/>
    <w:basedOn w:val="a"/>
    <w:pPr>
      <w:tabs>
        <w:tab w:val="center" w:pos="4153"/>
        <w:tab w:val="right" w:pos="8306"/>
      </w:tabs>
      <w:jc w:val="right"/>
    </w:pPr>
  </w:style>
  <w:style w:type="character" w:styleId="a7">
    <w:name w:val="page number"/>
    <w:basedOn w:val="a0"/>
  </w:style>
  <w:style w:type="character" w:styleId="Hyperlink">
    <w:name w:val="Hyperlink"/>
    <w:rPr>
      <w:color w:val="0000FF"/>
      <w:u w:val="single"/>
    </w:rPr>
  </w:style>
  <w:style w:type="paragraph" w:styleId="a8">
    <w:name w:val="Body Text"/>
    <w:basedOn w:val="a"/>
    <w:pPr>
      <w:spacing w:line="240" w:lineRule="auto"/>
      <w:jc w:val="left"/>
    </w:pPr>
    <w:rPr>
      <w:rFonts w:cs="Narkisim"/>
      <w:noProof/>
      <w:sz w:val="24"/>
      <w:lang w:eastAsia="en-US"/>
    </w:rPr>
  </w:style>
  <w:style w:type="paragraph" w:styleId="a9">
    <w:name w:val="Body Text Indent"/>
    <w:basedOn w:val="a"/>
    <w:pPr>
      <w:tabs>
        <w:tab w:val="left" w:pos="1472"/>
        <w:tab w:val="left" w:pos="1832"/>
      </w:tabs>
      <w:ind w:left="1440"/>
    </w:pPr>
    <w:rPr>
      <w:sz w:val="24"/>
      <w:lang w:eastAsia="en-US"/>
    </w:rPr>
  </w:style>
  <w:style w:type="paragraph" w:styleId="20">
    <w:name w:val="Body Text Indent 2"/>
    <w:basedOn w:val="a"/>
    <w:pPr>
      <w:tabs>
        <w:tab w:val="left" w:pos="1472"/>
        <w:tab w:val="left" w:pos="1832"/>
      </w:tabs>
      <w:ind w:left="1112"/>
    </w:pPr>
    <w:rPr>
      <w:sz w:val="24"/>
      <w:lang w:eastAsia="en-US"/>
    </w:rPr>
  </w:style>
  <w:style w:type="paragraph" w:styleId="aa">
    <w:name w:val="footnote text"/>
    <w:basedOn w:val="a"/>
    <w:link w:val="ab"/>
    <w:uiPriority w:val="99"/>
    <w:rsid w:val="00447695"/>
    <w:rPr>
      <w:sz w:val="20"/>
      <w:szCs w:val="20"/>
    </w:rPr>
  </w:style>
  <w:style w:type="character" w:styleId="ac">
    <w:name w:val="footnote reference"/>
    <w:uiPriority w:val="99"/>
    <w:rsid w:val="00447695"/>
    <w:rPr>
      <w:vertAlign w:val="superscript"/>
    </w:rPr>
  </w:style>
  <w:style w:type="paragraph" w:styleId="ad">
    <w:name w:val="Balloon Text"/>
    <w:basedOn w:val="a"/>
    <w:semiHidden/>
    <w:rsid w:val="00B96F52"/>
    <w:rPr>
      <w:rFonts w:ascii="Tahoma" w:hAnsi="Tahoma" w:cs="Tahoma"/>
      <w:sz w:val="16"/>
      <w:szCs w:val="16"/>
    </w:rPr>
  </w:style>
  <w:style w:type="table" w:styleId="ae">
    <w:name w:val="Table Grid"/>
    <w:basedOn w:val="a1"/>
    <w:uiPriority w:val="59"/>
    <w:rsid w:val="007311A4"/>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95454"/>
    <w:rPr>
      <w:color w:val="800080"/>
      <w:u w:val="single"/>
    </w:rPr>
  </w:style>
  <w:style w:type="paragraph" w:styleId="af">
    <w:name w:val="Document Map"/>
    <w:basedOn w:val="a"/>
    <w:semiHidden/>
    <w:rsid w:val="00FB256D"/>
    <w:pPr>
      <w:shd w:val="clear" w:color="auto" w:fill="000080"/>
    </w:pPr>
    <w:rPr>
      <w:rFonts w:ascii="Tahoma" w:hAnsi="Tahoma" w:cs="Tahoma"/>
      <w:sz w:val="20"/>
      <w:szCs w:val="20"/>
    </w:rPr>
  </w:style>
  <w:style w:type="paragraph" w:styleId="af0">
    <w:name w:val="List Paragraph"/>
    <w:basedOn w:val="a"/>
    <w:uiPriority w:val="34"/>
    <w:qFormat/>
    <w:rsid w:val="009C258F"/>
    <w:pPr>
      <w:bidi w:val="0"/>
      <w:spacing w:before="100" w:beforeAutospacing="1" w:after="100" w:afterAutospacing="1" w:line="240" w:lineRule="auto"/>
      <w:jc w:val="left"/>
    </w:pPr>
    <w:rPr>
      <w:rFonts w:eastAsia="Calibri" w:cs="Times New Roman"/>
      <w:sz w:val="24"/>
      <w:lang w:eastAsia="en-US"/>
    </w:rPr>
  </w:style>
  <w:style w:type="character" w:styleId="af1">
    <w:name w:val="Strong"/>
    <w:uiPriority w:val="22"/>
    <w:qFormat/>
    <w:rsid w:val="005B5598"/>
    <w:rPr>
      <w:b/>
      <w:bCs/>
    </w:rPr>
  </w:style>
  <w:style w:type="character" w:styleId="af2">
    <w:name w:val="annotation reference"/>
    <w:uiPriority w:val="99"/>
    <w:rsid w:val="00412DD1"/>
    <w:rPr>
      <w:sz w:val="16"/>
      <w:szCs w:val="16"/>
    </w:rPr>
  </w:style>
  <w:style w:type="paragraph" w:styleId="af3">
    <w:name w:val="annotation text"/>
    <w:basedOn w:val="a"/>
    <w:link w:val="af4"/>
    <w:uiPriority w:val="99"/>
    <w:rsid w:val="00412DD1"/>
    <w:rPr>
      <w:sz w:val="20"/>
      <w:szCs w:val="20"/>
    </w:rPr>
  </w:style>
  <w:style w:type="character" w:customStyle="1" w:styleId="af4">
    <w:name w:val="טקסט הערה תו"/>
    <w:link w:val="af3"/>
    <w:uiPriority w:val="99"/>
    <w:rsid w:val="00412DD1"/>
    <w:rPr>
      <w:rFonts w:cs="David"/>
      <w:lang w:eastAsia="he-IL"/>
    </w:rPr>
  </w:style>
  <w:style w:type="paragraph" w:styleId="af5">
    <w:name w:val="annotation subject"/>
    <w:basedOn w:val="af3"/>
    <w:next w:val="af3"/>
    <w:link w:val="af6"/>
    <w:rsid w:val="00412DD1"/>
    <w:rPr>
      <w:b/>
      <w:bCs/>
    </w:rPr>
  </w:style>
  <w:style w:type="character" w:customStyle="1" w:styleId="af6">
    <w:name w:val="נושא הערה תו"/>
    <w:link w:val="af5"/>
    <w:rsid w:val="00412DD1"/>
    <w:rPr>
      <w:rFonts w:cs="David"/>
      <w:b/>
      <w:bCs/>
      <w:lang w:eastAsia="he-IL"/>
    </w:rPr>
  </w:style>
  <w:style w:type="paragraph" w:styleId="af7">
    <w:name w:val="Revision"/>
    <w:hidden/>
    <w:uiPriority w:val="99"/>
    <w:semiHidden/>
    <w:rsid w:val="00CA5BCF"/>
    <w:rPr>
      <w:rFonts w:cs="David"/>
      <w:sz w:val="22"/>
      <w:szCs w:val="24"/>
      <w:lang w:eastAsia="he-IL"/>
    </w:rPr>
  </w:style>
  <w:style w:type="character" w:customStyle="1" w:styleId="ab">
    <w:name w:val="טקסט הערת שוליים תו"/>
    <w:link w:val="aa"/>
    <w:uiPriority w:val="99"/>
    <w:rsid w:val="00C92650"/>
    <w:rPr>
      <w:rFonts w:cs="David"/>
      <w:lang w:eastAsia="he-IL"/>
    </w:rPr>
  </w:style>
  <w:style w:type="paragraph" w:customStyle="1" w:styleId="p00">
    <w:name w:val="p00"/>
    <w:basedOn w:val="a"/>
    <w:rsid w:val="00E8092C"/>
    <w:pPr>
      <w:spacing w:before="100" w:beforeAutospacing="1" w:after="100" w:afterAutospacing="1" w:line="240" w:lineRule="auto"/>
      <w:jc w:val="left"/>
    </w:pPr>
    <w:rPr>
      <w:rFonts w:cs="Times New Roman"/>
      <w:sz w:val="24"/>
      <w:lang w:eastAsia="en-US"/>
    </w:rPr>
  </w:style>
  <w:style w:type="character" w:customStyle="1" w:styleId="apple-converted-space">
    <w:name w:val="apple-converted-space"/>
    <w:rsid w:val="00E8092C"/>
  </w:style>
  <w:style w:type="character" w:customStyle="1" w:styleId="default">
    <w:name w:val="default"/>
    <w:rsid w:val="00E8092C"/>
  </w:style>
  <w:style w:type="character" w:customStyle="1" w:styleId="30">
    <w:name w:val="כותרת 3 תו"/>
    <w:link w:val="3"/>
    <w:semiHidden/>
    <w:rsid w:val="00342C5B"/>
    <w:rPr>
      <w:rFonts w:ascii="Cambria" w:eastAsia="Times New Roman" w:hAnsi="Cambria" w:cs="Times New Roman"/>
      <w:b/>
      <w:bCs/>
      <w:sz w:val="26"/>
      <w:szCs w:val="26"/>
      <w:lang w:eastAsia="he-IL"/>
    </w:rPr>
  </w:style>
  <w:style w:type="character" w:customStyle="1" w:styleId="10">
    <w:name w:val="כותרת 1 תו"/>
    <w:link w:val="1"/>
    <w:rsid w:val="001A0311"/>
    <w:rPr>
      <w:rFonts w:cs="David"/>
      <w:sz w:val="22"/>
      <w:szCs w:val="28"/>
      <w:lang w:eastAsia="he-IL"/>
    </w:rPr>
  </w:style>
  <w:style w:type="character" w:styleId="af8">
    <w:name w:val="Emphasis"/>
    <w:uiPriority w:val="20"/>
    <w:qFormat/>
    <w:rsid w:val="00D61BA8"/>
    <w:rPr>
      <w:i/>
      <w:iCs/>
    </w:rPr>
  </w:style>
  <w:style w:type="paragraph" w:styleId="NormalWeb">
    <w:name w:val="Normal (Web)"/>
    <w:basedOn w:val="a"/>
    <w:uiPriority w:val="99"/>
    <w:unhideWhenUsed/>
    <w:rsid w:val="00602B84"/>
    <w:pPr>
      <w:spacing w:before="100" w:beforeAutospacing="1" w:after="100" w:afterAutospacing="1" w:line="240" w:lineRule="auto"/>
      <w:jc w:val="left"/>
    </w:pPr>
    <w:rPr>
      <w:rFonts w:cs="Times New Roman"/>
      <w:sz w:val="24"/>
      <w:lang w:eastAsia="en-US"/>
    </w:rPr>
  </w:style>
  <w:style w:type="paragraph" w:styleId="af9">
    <w:name w:val="endnote text"/>
    <w:basedOn w:val="a"/>
    <w:link w:val="afa"/>
    <w:rsid w:val="007867F0"/>
    <w:rPr>
      <w:sz w:val="20"/>
      <w:szCs w:val="20"/>
    </w:rPr>
  </w:style>
  <w:style w:type="character" w:customStyle="1" w:styleId="afa">
    <w:name w:val="טקסט הערת סיום תו"/>
    <w:link w:val="af9"/>
    <w:rsid w:val="007867F0"/>
    <w:rPr>
      <w:rFonts w:cs="David"/>
      <w:lang w:eastAsia="he-IL"/>
    </w:rPr>
  </w:style>
  <w:style w:type="character" w:styleId="afb">
    <w:name w:val="endnote reference"/>
    <w:rsid w:val="007867F0"/>
    <w:rPr>
      <w:vertAlign w:val="superscript"/>
    </w:rPr>
  </w:style>
  <w:style w:type="character" w:customStyle="1" w:styleId="a5">
    <w:name w:val="כותרת עליונה תו"/>
    <w:link w:val="a4"/>
    <w:uiPriority w:val="99"/>
    <w:rsid w:val="00CA4F62"/>
    <w:rPr>
      <w:rFonts w:cs="David"/>
      <w:sz w:val="22"/>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2036">
      <w:bodyDiv w:val="1"/>
      <w:marLeft w:val="0"/>
      <w:marRight w:val="0"/>
      <w:marTop w:val="0"/>
      <w:marBottom w:val="0"/>
      <w:divBdr>
        <w:top w:val="none" w:sz="0" w:space="0" w:color="auto"/>
        <w:left w:val="none" w:sz="0" w:space="0" w:color="auto"/>
        <w:bottom w:val="none" w:sz="0" w:space="0" w:color="auto"/>
        <w:right w:val="none" w:sz="0" w:space="0" w:color="auto"/>
      </w:divBdr>
    </w:div>
    <w:div w:id="249851184">
      <w:bodyDiv w:val="1"/>
      <w:marLeft w:val="0"/>
      <w:marRight w:val="0"/>
      <w:marTop w:val="0"/>
      <w:marBottom w:val="0"/>
      <w:divBdr>
        <w:top w:val="none" w:sz="0" w:space="0" w:color="auto"/>
        <w:left w:val="none" w:sz="0" w:space="0" w:color="auto"/>
        <w:bottom w:val="none" w:sz="0" w:space="0" w:color="auto"/>
        <w:right w:val="none" w:sz="0" w:space="0" w:color="auto"/>
      </w:divBdr>
    </w:div>
    <w:div w:id="362749500">
      <w:bodyDiv w:val="1"/>
      <w:marLeft w:val="0"/>
      <w:marRight w:val="0"/>
      <w:marTop w:val="0"/>
      <w:marBottom w:val="0"/>
      <w:divBdr>
        <w:top w:val="none" w:sz="0" w:space="0" w:color="auto"/>
        <w:left w:val="none" w:sz="0" w:space="0" w:color="auto"/>
        <w:bottom w:val="none" w:sz="0" w:space="0" w:color="auto"/>
        <w:right w:val="none" w:sz="0" w:space="0" w:color="auto"/>
      </w:divBdr>
    </w:div>
    <w:div w:id="401410479">
      <w:bodyDiv w:val="1"/>
      <w:marLeft w:val="0"/>
      <w:marRight w:val="0"/>
      <w:marTop w:val="0"/>
      <w:marBottom w:val="0"/>
      <w:divBdr>
        <w:top w:val="none" w:sz="0" w:space="0" w:color="auto"/>
        <w:left w:val="none" w:sz="0" w:space="0" w:color="auto"/>
        <w:bottom w:val="none" w:sz="0" w:space="0" w:color="auto"/>
        <w:right w:val="none" w:sz="0" w:space="0" w:color="auto"/>
      </w:divBdr>
    </w:div>
    <w:div w:id="423957620">
      <w:bodyDiv w:val="1"/>
      <w:marLeft w:val="0"/>
      <w:marRight w:val="0"/>
      <w:marTop w:val="0"/>
      <w:marBottom w:val="0"/>
      <w:divBdr>
        <w:top w:val="none" w:sz="0" w:space="0" w:color="auto"/>
        <w:left w:val="none" w:sz="0" w:space="0" w:color="auto"/>
        <w:bottom w:val="none" w:sz="0" w:space="0" w:color="auto"/>
        <w:right w:val="none" w:sz="0" w:space="0" w:color="auto"/>
      </w:divBdr>
    </w:div>
    <w:div w:id="646907200">
      <w:bodyDiv w:val="1"/>
      <w:marLeft w:val="0"/>
      <w:marRight w:val="0"/>
      <w:marTop w:val="0"/>
      <w:marBottom w:val="0"/>
      <w:divBdr>
        <w:top w:val="none" w:sz="0" w:space="0" w:color="auto"/>
        <w:left w:val="none" w:sz="0" w:space="0" w:color="auto"/>
        <w:bottom w:val="none" w:sz="0" w:space="0" w:color="auto"/>
        <w:right w:val="none" w:sz="0" w:space="0" w:color="auto"/>
      </w:divBdr>
    </w:div>
    <w:div w:id="914509288">
      <w:bodyDiv w:val="1"/>
      <w:marLeft w:val="0"/>
      <w:marRight w:val="0"/>
      <w:marTop w:val="0"/>
      <w:marBottom w:val="0"/>
      <w:divBdr>
        <w:top w:val="none" w:sz="0" w:space="0" w:color="auto"/>
        <w:left w:val="none" w:sz="0" w:space="0" w:color="auto"/>
        <w:bottom w:val="none" w:sz="0" w:space="0" w:color="auto"/>
        <w:right w:val="none" w:sz="0" w:space="0" w:color="auto"/>
      </w:divBdr>
    </w:div>
    <w:div w:id="949893893">
      <w:bodyDiv w:val="1"/>
      <w:marLeft w:val="0"/>
      <w:marRight w:val="0"/>
      <w:marTop w:val="0"/>
      <w:marBottom w:val="0"/>
      <w:divBdr>
        <w:top w:val="none" w:sz="0" w:space="0" w:color="auto"/>
        <w:left w:val="none" w:sz="0" w:space="0" w:color="auto"/>
        <w:bottom w:val="none" w:sz="0" w:space="0" w:color="auto"/>
        <w:right w:val="none" w:sz="0" w:space="0" w:color="auto"/>
      </w:divBdr>
    </w:div>
    <w:div w:id="1042053974">
      <w:bodyDiv w:val="1"/>
      <w:marLeft w:val="0"/>
      <w:marRight w:val="0"/>
      <w:marTop w:val="0"/>
      <w:marBottom w:val="0"/>
      <w:divBdr>
        <w:top w:val="none" w:sz="0" w:space="0" w:color="auto"/>
        <w:left w:val="none" w:sz="0" w:space="0" w:color="auto"/>
        <w:bottom w:val="none" w:sz="0" w:space="0" w:color="auto"/>
        <w:right w:val="none" w:sz="0" w:space="0" w:color="auto"/>
      </w:divBdr>
    </w:div>
    <w:div w:id="1146968524">
      <w:bodyDiv w:val="1"/>
      <w:marLeft w:val="0"/>
      <w:marRight w:val="0"/>
      <w:marTop w:val="0"/>
      <w:marBottom w:val="0"/>
      <w:divBdr>
        <w:top w:val="none" w:sz="0" w:space="0" w:color="auto"/>
        <w:left w:val="none" w:sz="0" w:space="0" w:color="auto"/>
        <w:bottom w:val="none" w:sz="0" w:space="0" w:color="auto"/>
        <w:right w:val="none" w:sz="0" w:space="0" w:color="auto"/>
      </w:divBdr>
    </w:div>
    <w:div w:id="1250652558">
      <w:bodyDiv w:val="1"/>
      <w:marLeft w:val="0"/>
      <w:marRight w:val="0"/>
      <w:marTop w:val="0"/>
      <w:marBottom w:val="0"/>
      <w:divBdr>
        <w:top w:val="none" w:sz="0" w:space="0" w:color="auto"/>
        <w:left w:val="none" w:sz="0" w:space="0" w:color="auto"/>
        <w:bottom w:val="none" w:sz="0" w:space="0" w:color="auto"/>
        <w:right w:val="none" w:sz="0" w:space="0" w:color="auto"/>
      </w:divBdr>
    </w:div>
    <w:div w:id="1294939826">
      <w:bodyDiv w:val="1"/>
      <w:marLeft w:val="0"/>
      <w:marRight w:val="0"/>
      <w:marTop w:val="0"/>
      <w:marBottom w:val="0"/>
      <w:divBdr>
        <w:top w:val="none" w:sz="0" w:space="0" w:color="auto"/>
        <w:left w:val="none" w:sz="0" w:space="0" w:color="auto"/>
        <w:bottom w:val="none" w:sz="0" w:space="0" w:color="auto"/>
        <w:right w:val="none" w:sz="0" w:space="0" w:color="auto"/>
      </w:divBdr>
    </w:div>
    <w:div w:id="1436251436">
      <w:bodyDiv w:val="1"/>
      <w:marLeft w:val="0"/>
      <w:marRight w:val="0"/>
      <w:marTop w:val="0"/>
      <w:marBottom w:val="0"/>
      <w:divBdr>
        <w:top w:val="none" w:sz="0" w:space="0" w:color="auto"/>
        <w:left w:val="none" w:sz="0" w:space="0" w:color="auto"/>
        <w:bottom w:val="none" w:sz="0" w:space="0" w:color="auto"/>
        <w:right w:val="none" w:sz="0" w:space="0" w:color="auto"/>
      </w:divBdr>
    </w:div>
    <w:div w:id="1466922767">
      <w:bodyDiv w:val="1"/>
      <w:marLeft w:val="0"/>
      <w:marRight w:val="0"/>
      <w:marTop w:val="0"/>
      <w:marBottom w:val="0"/>
      <w:divBdr>
        <w:top w:val="none" w:sz="0" w:space="0" w:color="auto"/>
        <w:left w:val="none" w:sz="0" w:space="0" w:color="auto"/>
        <w:bottom w:val="none" w:sz="0" w:space="0" w:color="auto"/>
        <w:right w:val="none" w:sz="0" w:space="0" w:color="auto"/>
      </w:divBdr>
    </w:div>
    <w:div w:id="1487552373">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750686909">
      <w:bodyDiv w:val="1"/>
      <w:marLeft w:val="0"/>
      <w:marRight w:val="0"/>
      <w:marTop w:val="0"/>
      <w:marBottom w:val="0"/>
      <w:divBdr>
        <w:top w:val="none" w:sz="0" w:space="0" w:color="auto"/>
        <w:left w:val="none" w:sz="0" w:space="0" w:color="auto"/>
        <w:bottom w:val="none" w:sz="0" w:space="0" w:color="auto"/>
        <w:right w:val="none" w:sz="0" w:space="0" w:color="auto"/>
      </w:divBdr>
    </w:div>
    <w:div w:id="1883790221">
      <w:bodyDiv w:val="1"/>
      <w:marLeft w:val="0"/>
      <w:marRight w:val="0"/>
      <w:marTop w:val="0"/>
      <w:marBottom w:val="0"/>
      <w:divBdr>
        <w:top w:val="none" w:sz="0" w:space="0" w:color="auto"/>
        <w:left w:val="none" w:sz="0" w:space="0" w:color="auto"/>
        <w:bottom w:val="none" w:sz="0" w:space="0" w:color="auto"/>
        <w:right w:val="none" w:sz="0" w:space="0" w:color="auto"/>
      </w:divBdr>
    </w:div>
    <w:div w:id="1931697224">
      <w:bodyDiv w:val="1"/>
      <w:marLeft w:val="0"/>
      <w:marRight w:val="0"/>
      <w:marTop w:val="0"/>
      <w:marBottom w:val="0"/>
      <w:divBdr>
        <w:top w:val="none" w:sz="0" w:space="0" w:color="auto"/>
        <w:left w:val="none" w:sz="0" w:space="0" w:color="auto"/>
        <w:bottom w:val="none" w:sz="0" w:space="0" w:color="auto"/>
        <w:right w:val="none" w:sz="0" w:space="0" w:color="auto"/>
      </w:divBdr>
    </w:div>
    <w:div w:id="21050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sviva.gov.il/subjectsEnv/Radiation/Communication_Facilities/cellular/Documents/mitkan_gisha_doch_2009.pdf" TargetMode="External"/><Relationship Id="rId13" Type="http://schemas.openxmlformats.org/officeDocument/2006/relationships/hyperlink" Target="https://www.justice.gov/sites/default/files/opa/legacy/2011/08/31/Justice-ATT-TMobile-Complaint.pdf" TargetMode="External"/><Relationship Id="rId3" Type="http://schemas.openxmlformats.org/officeDocument/2006/relationships/hyperlink" Target="http://www.moc.gov.il/sip_storage/FILES/6/1746.pdf" TargetMode="External"/><Relationship Id="rId7" Type="http://schemas.openxmlformats.org/officeDocument/2006/relationships/hyperlink" Target="http://www.moc.gov.il/sip_storage/FILES/7/2297.pdf" TargetMode="External"/><Relationship Id="rId12" Type="http://schemas.openxmlformats.org/officeDocument/2006/relationships/hyperlink" Target="http://www.moc.gov.il/sip_storage/FILES/1/3551.pdf" TargetMode="External"/><Relationship Id="rId2" Type="http://schemas.openxmlformats.org/officeDocument/2006/relationships/hyperlink" Target="http://www.moc.gov.il/sip_storage/FILES/2/1272.pdf" TargetMode="External"/><Relationship Id="rId1" Type="http://schemas.openxmlformats.org/officeDocument/2006/relationships/hyperlink" Target="http://www.moc.gov.il/sip_storage/FILES/2/3552.pdf" TargetMode="External"/><Relationship Id="rId6" Type="http://schemas.openxmlformats.org/officeDocument/2006/relationships/hyperlink" Target="http://www.moc.gov.il/sip_storage/FILES/8/2298.pdf" TargetMode="External"/><Relationship Id="rId11" Type="http://schemas.openxmlformats.org/officeDocument/2006/relationships/hyperlink" Target="http://www.moc.gov.il/sip_storage/FILES/8/4088.pdf" TargetMode="External"/><Relationship Id="rId5" Type="http://schemas.openxmlformats.org/officeDocument/2006/relationships/hyperlink" Target="http://www.moc.gov.il/sip_storage/FILES/9/2279.pdf" TargetMode="External"/><Relationship Id="rId15" Type="http://schemas.openxmlformats.org/officeDocument/2006/relationships/hyperlink" Target="https://www.gov.uk/government/uploads/system/uploads/attachment_data/file/515405/CMA_letter_to_Commissioner_Margrethe_Vestager.pdf" TargetMode="External"/><Relationship Id="rId10" Type="http://schemas.openxmlformats.org/officeDocument/2006/relationships/hyperlink" Target="http://www.moc.gov.il/sip_storage/files/1/3551.pdf" TargetMode="External"/><Relationship Id="rId4" Type="http://schemas.openxmlformats.org/officeDocument/2006/relationships/hyperlink" Target="http://www.moc.gov.il/sip_storage/FILES/7/2807.pdf" TargetMode="External"/><Relationship Id="rId9" Type="http://schemas.openxmlformats.org/officeDocument/2006/relationships/hyperlink" Target="http://www.antitrust.gov.il/item/33266/search/52d2702c48b0480e90271f9dd835ce53/highlight/%d7%a4%d7%a8%d7%98%d7%a0%d7%a8.aspx" TargetMode="External"/><Relationship Id="rId14" Type="http://schemas.openxmlformats.org/officeDocument/2006/relationships/hyperlink" Target="https://ec.europa.eu/commission/2014-2019/vestager/announcements/competition-telecom-markets_en"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229CD-D5C5-46FE-8B3F-1233237F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7322</Words>
  <Characters>36612</Characters>
  <Application>Microsoft Office Word</Application>
  <DocSecurity>4</DocSecurity>
  <Lines>305</Lines>
  <Paragraphs>87</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‏15 דצמבר 1999</vt:lpstr>
      <vt:lpstr>‏15 דצמבר 1999</vt:lpstr>
    </vt:vector>
  </TitlesOfParts>
  <Company>Bashan Systems LTD</Company>
  <LinksUpToDate>false</LinksUpToDate>
  <CharactersWithSpaces>43847</CharactersWithSpaces>
  <SharedDoc>false</SharedDoc>
  <HLinks>
    <vt:vector size="90" baseType="variant">
      <vt:variant>
        <vt:i4>6619234</vt:i4>
      </vt:variant>
      <vt:variant>
        <vt:i4>42</vt:i4>
      </vt:variant>
      <vt:variant>
        <vt:i4>0</vt:i4>
      </vt:variant>
      <vt:variant>
        <vt:i4>5</vt:i4>
      </vt:variant>
      <vt:variant>
        <vt:lpwstr>https://www.gov.uk/government/uploads/system/uploads/attachment_data/file/515405/CMA_letter_to_Commissioner_Margrethe_Vestager.pdf</vt:lpwstr>
      </vt:variant>
      <vt:variant>
        <vt:lpwstr/>
      </vt:variant>
      <vt:variant>
        <vt:i4>2097231</vt:i4>
      </vt:variant>
      <vt:variant>
        <vt:i4>39</vt:i4>
      </vt:variant>
      <vt:variant>
        <vt:i4>0</vt:i4>
      </vt:variant>
      <vt:variant>
        <vt:i4>5</vt:i4>
      </vt:variant>
      <vt:variant>
        <vt:lpwstr>https://ec.europa.eu/commission/2014-2019/vestager/announcements/competition-telecom-markets_en</vt:lpwstr>
      </vt:variant>
      <vt:variant>
        <vt:lpwstr/>
      </vt:variant>
      <vt:variant>
        <vt:i4>2818100</vt:i4>
      </vt:variant>
      <vt:variant>
        <vt:i4>36</vt:i4>
      </vt:variant>
      <vt:variant>
        <vt:i4>0</vt:i4>
      </vt:variant>
      <vt:variant>
        <vt:i4>5</vt:i4>
      </vt:variant>
      <vt:variant>
        <vt:lpwstr>https://www.justice.gov/sites/default/files/opa/legacy/2011/08/31/Justice-ATT-TMobile-Complaint.pdf</vt:lpwstr>
      </vt:variant>
      <vt:variant>
        <vt:lpwstr/>
      </vt:variant>
      <vt:variant>
        <vt:i4>1310755</vt:i4>
      </vt:variant>
      <vt:variant>
        <vt:i4>33</vt:i4>
      </vt:variant>
      <vt:variant>
        <vt:i4>0</vt:i4>
      </vt:variant>
      <vt:variant>
        <vt:i4>5</vt:i4>
      </vt:variant>
      <vt:variant>
        <vt:lpwstr>http://www.moc.gov.il/sip_storage/FILES/1/3551.pdf</vt:lpwstr>
      </vt:variant>
      <vt:variant>
        <vt:lpwstr/>
      </vt:variant>
      <vt:variant>
        <vt:i4>1572896</vt:i4>
      </vt:variant>
      <vt:variant>
        <vt:i4>30</vt:i4>
      </vt:variant>
      <vt:variant>
        <vt:i4>0</vt:i4>
      </vt:variant>
      <vt:variant>
        <vt:i4>5</vt:i4>
      </vt:variant>
      <vt:variant>
        <vt:lpwstr>http://www.moc.gov.il/sip_storage/FILES/8/4088.pdf</vt:lpwstr>
      </vt:variant>
      <vt:variant>
        <vt:lpwstr/>
      </vt:variant>
      <vt:variant>
        <vt:i4>1310755</vt:i4>
      </vt:variant>
      <vt:variant>
        <vt:i4>27</vt:i4>
      </vt:variant>
      <vt:variant>
        <vt:i4>0</vt:i4>
      </vt:variant>
      <vt:variant>
        <vt:i4>5</vt:i4>
      </vt:variant>
      <vt:variant>
        <vt:lpwstr>http://www.moc.gov.il/sip_storage/files/1/3551.pdf</vt:lpwstr>
      </vt:variant>
      <vt:variant>
        <vt:lpwstr/>
      </vt:variant>
      <vt:variant>
        <vt:i4>4849739</vt:i4>
      </vt:variant>
      <vt:variant>
        <vt:i4>24</vt:i4>
      </vt:variant>
      <vt:variant>
        <vt:i4>0</vt:i4>
      </vt:variant>
      <vt:variant>
        <vt:i4>5</vt:i4>
      </vt:variant>
      <vt:variant>
        <vt:lpwstr>http://www.antitrust.gov.il/item/33266/search/52d2702c48b0480e90271f9dd835ce53/highlight/%d7%a4%d7%a8%d7%98%d7%a0%d7%a8.aspx</vt:lpwstr>
      </vt:variant>
      <vt:variant>
        <vt:lpwstr/>
      </vt:variant>
      <vt:variant>
        <vt:i4>720965</vt:i4>
      </vt:variant>
      <vt:variant>
        <vt:i4>21</vt:i4>
      </vt:variant>
      <vt:variant>
        <vt:i4>0</vt:i4>
      </vt:variant>
      <vt:variant>
        <vt:i4>5</vt:i4>
      </vt:variant>
      <vt:variant>
        <vt:lpwstr>http://www.sviva.gov.il/subjectsEnv/Radiation/Communication_Facilities/cellular/Documents/mitkan_gisha_doch_2009.pdf</vt:lpwstr>
      </vt:variant>
      <vt:variant>
        <vt:lpwstr/>
      </vt:variant>
      <vt:variant>
        <vt:i4>1376296</vt:i4>
      </vt:variant>
      <vt:variant>
        <vt:i4>18</vt:i4>
      </vt:variant>
      <vt:variant>
        <vt:i4>0</vt:i4>
      </vt:variant>
      <vt:variant>
        <vt:i4>5</vt:i4>
      </vt:variant>
      <vt:variant>
        <vt:lpwstr>http://www.moc.gov.il/sip_storage/FILES/7/2297.pdf</vt:lpwstr>
      </vt:variant>
      <vt:variant>
        <vt:lpwstr/>
      </vt:variant>
      <vt:variant>
        <vt:i4>1703975</vt:i4>
      </vt:variant>
      <vt:variant>
        <vt:i4>15</vt:i4>
      </vt:variant>
      <vt:variant>
        <vt:i4>0</vt:i4>
      </vt:variant>
      <vt:variant>
        <vt:i4>5</vt:i4>
      </vt:variant>
      <vt:variant>
        <vt:lpwstr>http://www.moc.gov.il/sip_storage/FILES/8/2298.pdf</vt:lpwstr>
      </vt:variant>
      <vt:variant>
        <vt:lpwstr/>
      </vt:variant>
      <vt:variant>
        <vt:i4>1769512</vt:i4>
      </vt:variant>
      <vt:variant>
        <vt:i4>12</vt:i4>
      </vt:variant>
      <vt:variant>
        <vt:i4>0</vt:i4>
      </vt:variant>
      <vt:variant>
        <vt:i4>5</vt:i4>
      </vt:variant>
      <vt:variant>
        <vt:lpwstr>http://www.moc.gov.il/sip_storage/FILES/9/2279.pdf</vt:lpwstr>
      </vt:variant>
      <vt:variant>
        <vt:lpwstr/>
      </vt:variant>
      <vt:variant>
        <vt:i4>2031649</vt:i4>
      </vt:variant>
      <vt:variant>
        <vt:i4>9</vt:i4>
      </vt:variant>
      <vt:variant>
        <vt:i4>0</vt:i4>
      </vt:variant>
      <vt:variant>
        <vt:i4>5</vt:i4>
      </vt:variant>
      <vt:variant>
        <vt:lpwstr>http://www.moc.gov.il/sip_storage/FILES/7/2807.pdf</vt:lpwstr>
      </vt:variant>
      <vt:variant>
        <vt:lpwstr/>
      </vt:variant>
      <vt:variant>
        <vt:i4>1114151</vt:i4>
      </vt:variant>
      <vt:variant>
        <vt:i4>6</vt:i4>
      </vt:variant>
      <vt:variant>
        <vt:i4>0</vt:i4>
      </vt:variant>
      <vt:variant>
        <vt:i4>5</vt:i4>
      </vt:variant>
      <vt:variant>
        <vt:lpwstr>http://www.moc.gov.il/sip_storage/FILES/6/1746.pdf</vt:lpwstr>
      </vt:variant>
      <vt:variant>
        <vt:lpwstr/>
      </vt:variant>
      <vt:variant>
        <vt:i4>1048608</vt:i4>
      </vt:variant>
      <vt:variant>
        <vt:i4>3</vt:i4>
      </vt:variant>
      <vt:variant>
        <vt:i4>0</vt:i4>
      </vt:variant>
      <vt:variant>
        <vt:i4>5</vt:i4>
      </vt:variant>
      <vt:variant>
        <vt:lpwstr>http://www.moc.gov.il/sip_storage/FILES/2/1272.pdf</vt:lpwstr>
      </vt:variant>
      <vt:variant>
        <vt:lpwstr/>
      </vt:variant>
      <vt:variant>
        <vt:i4>1507360</vt:i4>
      </vt:variant>
      <vt:variant>
        <vt:i4>0</vt:i4>
      </vt:variant>
      <vt:variant>
        <vt:i4>0</vt:i4>
      </vt:variant>
      <vt:variant>
        <vt:i4>5</vt:i4>
      </vt:variant>
      <vt:variant>
        <vt:lpwstr>http://www.moc.gov.il/sip_storage/FILES/2/3552.pdf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דצמבר 1999</dc:title>
  <dc:creator>אורישר</dc:creator>
  <cp:lastModifiedBy>Melita Shafir</cp:lastModifiedBy>
  <cp:revision>2</cp:revision>
  <cp:lastPrinted>2016-04-21T13:58:00Z</cp:lastPrinted>
  <dcterms:created xsi:type="dcterms:W3CDTF">2016-04-24T10:14:00Z</dcterms:created>
  <dcterms:modified xsi:type="dcterms:W3CDTF">2016-04-24T10:14:00Z</dcterms:modified>
</cp:coreProperties>
</file>