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E5E5E">
      <w:pPr>
        <w:pStyle w:val="Header"/>
        <w:jc w:val="right"/>
        <w:divId w:val="1229221955"/>
      </w:pPr>
      <w:bookmarkStart w:id="0" w:name="_GoBack"/>
      <w:bookmarkEnd w:id="0"/>
    </w:p>
    <w:p w:rsidR="00000000" w:rsidRDefault="006E5E5E">
      <w:pPr>
        <w:pStyle w:val="BodyText2"/>
        <w:bidi/>
        <w:spacing w:before="120" w:beforeAutospacing="0" w:after="0" w:afterAutospacing="0"/>
        <w:rPr>
          <w:rStyle w:val="Strong"/>
          <w:rFonts w:cs="David" w:hint="cs"/>
          <w:sz w:val="28"/>
          <w:szCs w:val="28"/>
          <w:rtl/>
        </w:rPr>
      </w:pPr>
      <w:r>
        <w:rPr>
          <w:rStyle w:val="Strong"/>
          <w:rFonts w:cs="David" w:hint="cs"/>
          <w:sz w:val="28"/>
          <w:szCs w:val="28"/>
          <w:rtl/>
        </w:rPr>
        <w:t>החלטה לפי סעיף 14 לחוק ההגבלים העסקיים, התשמ"ח-1988 בדבר מתן פטור מאישור בית הדין להסדר כובל</w:t>
      </w:r>
    </w:p>
    <w:p w:rsidR="00000000" w:rsidRDefault="006E5E5E">
      <w:pPr>
        <w:bidi/>
        <w:spacing w:before="120"/>
        <w:jc w:val="center"/>
        <w:rPr>
          <w:rStyle w:val="Strong"/>
          <w:rFonts w:cs="David" w:hint="cs"/>
          <w:sz w:val="28"/>
          <w:szCs w:val="28"/>
          <w:u w:val="single"/>
          <w:rtl/>
        </w:rPr>
      </w:pPr>
      <w:r>
        <w:rPr>
          <w:rStyle w:val="Strong"/>
          <w:rFonts w:cs="David" w:hint="cs"/>
          <w:sz w:val="28"/>
          <w:szCs w:val="28"/>
          <w:u w:val="single"/>
          <w:rtl/>
        </w:rPr>
        <w:t>הסכם בין התעשייה האווירית לישראל בע"מ  לבין  אלביט מערכות בע"מ</w:t>
      </w:r>
    </w:p>
    <w:p w:rsidR="00000000" w:rsidRDefault="006E5E5E">
      <w:pPr>
        <w:pStyle w:val="Heading1"/>
        <w:bidi/>
        <w:spacing w:before="120" w:beforeAutospacing="0" w:after="0" w:afterAutospacing="0"/>
        <w:rPr>
          <w:rStyle w:val="Strong"/>
          <w:rFonts w:eastAsia="Times New Roman" w:cs="David" w:hint="cs"/>
          <w:b/>
          <w:bCs/>
          <w:sz w:val="28"/>
          <w:szCs w:val="28"/>
          <w:u w:val="single"/>
          <w:rtl/>
        </w:rPr>
      </w:pPr>
      <w:r>
        <w:rPr>
          <w:rStyle w:val="Strong"/>
          <w:rFonts w:eastAsia="Times New Roman" w:cs="David" w:hint="cs"/>
          <w:b/>
          <w:bCs/>
          <w:sz w:val="28"/>
          <w:szCs w:val="28"/>
          <w:u w:val="single"/>
          <w:rtl/>
        </w:rPr>
        <w:t>א. פתח דבר</w:t>
      </w:r>
    </w:p>
    <w:p w:rsidR="00000000" w:rsidRDefault="006E5E5E">
      <w:pPr>
        <w:bidi/>
        <w:spacing w:before="120"/>
        <w:ind w:left="540" w:hanging="540"/>
        <w:rPr>
          <w:rFonts w:hint="cs"/>
          <w:rtl/>
        </w:rPr>
      </w:pPr>
      <w:r>
        <w:rPr>
          <w:rFonts w:cs="David" w:hint="cs"/>
          <w:rtl/>
        </w:rPr>
        <w:t xml:space="preserve">1. </w:t>
      </w:r>
      <w:r>
        <w:rPr>
          <w:rFonts w:cs="David" w:hint="cs"/>
          <w:rtl/>
        </w:rPr>
        <w:tab/>
      </w:r>
      <w:r>
        <w:rPr>
          <w:rFonts w:cs="David" w:hint="cs"/>
          <w:rtl/>
        </w:rPr>
        <w:t>לפני בקשה למתן פטור מאישור בית הדין להסדר כובל לפי סעיף 14 לחוק ההגבלים העסקיים, התשמ"ח-1988 (להלן: "</w:t>
      </w:r>
      <w:r>
        <w:rPr>
          <w:rStyle w:val="Strong"/>
          <w:rFonts w:cs="David" w:hint="cs"/>
          <w:rtl/>
        </w:rPr>
        <w:t>החוק</w:t>
      </w:r>
      <w:r>
        <w:rPr>
          <w:rFonts w:cs="David" w:hint="cs"/>
          <w:rtl/>
        </w:rPr>
        <w:t>"). עניינה של הבקשה בשיתוף פעולה בין חברת אלביט מערכות בע"מ (להלן:"</w:t>
      </w:r>
      <w:r>
        <w:rPr>
          <w:rStyle w:val="Strong"/>
          <w:rFonts w:cs="David" w:hint="cs"/>
          <w:rtl/>
        </w:rPr>
        <w:t>אלביט</w:t>
      </w:r>
      <w:r>
        <w:rPr>
          <w:rFonts w:cs="David" w:hint="cs"/>
          <w:rtl/>
        </w:rPr>
        <w:t>") לבין התעשייה האווירית לישראל בע"מ (להלן: "</w:t>
      </w:r>
      <w:r>
        <w:rPr>
          <w:rStyle w:val="Strong"/>
          <w:rFonts w:cs="David" w:hint="cs"/>
          <w:rtl/>
        </w:rPr>
        <w:t>תע"א</w:t>
      </w:r>
      <w:r>
        <w:rPr>
          <w:rFonts w:cs="David" w:hint="cs"/>
          <w:rtl/>
        </w:rPr>
        <w:t>" ו"</w:t>
      </w:r>
      <w:r>
        <w:rPr>
          <w:rStyle w:val="Strong"/>
          <w:rFonts w:cs="David" w:hint="cs"/>
          <w:rtl/>
        </w:rPr>
        <w:t>הצדדים</w:t>
      </w:r>
      <w:r>
        <w:rPr>
          <w:rFonts w:cs="David" w:hint="cs"/>
          <w:rtl/>
        </w:rPr>
        <w:t>", בהתאמה), לניהול מ</w:t>
      </w:r>
      <w:r>
        <w:rPr>
          <w:rFonts w:cs="David" w:hint="cs"/>
          <w:rtl/>
        </w:rPr>
        <w:t xml:space="preserve">ערך מטוסי אימון לשלב המתקדם של קורס הטיס ולקורס האימון המבצעי של חיל האוויר.  </w:t>
      </w:r>
    </w:p>
    <w:p w:rsidR="00000000" w:rsidRDefault="006E5E5E">
      <w:pPr>
        <w:bidi/>
        <w:spacing w:before="120"/>
        <w:ind w:left="540" w:hanging="540"/>
        <w:rPr>
          <w:rFonts w:cs="David" w:hint="cs"/>
          <w:rtl/>
        </w:rPr>
      </w:pPr>
      <w:r>
        <w:rPr>
          <w:rFonts w:cs="David" w:hint="cs"/>
          <w:rtl/>
        </w:rPr>
        <w:t xml:space="preserve">2. </w:t>
      </w:r>
      <w:r>
        <w:rPr>
          <w:rFonts w:cs="David" w:hint="cs"/>
          <w:rtl/>
        </w:rPr>
        <w:tab/>
        <w:t>לאחר שבחנתי את ההסדר ואת הכבילות המצויות בו, כמו גם את השפעתם האפשרית על התחרות בשוק הרלוונטי, ולאחר שנועצתי בוועדה לפטורים ולמיזוגים, שוכנעתי כי בכפוף לתנאים המפורטים להלן,</w:t>
      </w:r>
      <w:r>
        <w:rPr>
          <w:rFonts w:cs="David" w:hint="cs"/>
          <w:rtl/>
        </w:rPr>
        <w:t xml:space="preserve"> הכבילות אינן פוגעות פגיעה של ממש בתחרות בשוק המושפע מן ההסדר, כי עיקרו של ההסדר אינו בהפחתת התחרות או במניעתה, וכי אין בו כבילות שאינן נחוצות למימוש עיקרו. מטעמים אלו ראוי ההסדר לפטור לפי סעיף 14 לחוק, בכפוף לתנאים, כמפורט להלן.</w:t>
      </w:r>
    </w:p>
    <w:p w:rsidR="00000000" w:rsidRDefault="006E5E5E">
      <w:pPr>
        <w:overflowPunct w:val="0"/>
        <w:bidi/>
        <w:adjustRightInd w:val="0"/>
        <w:spacing w:before="120"/>
        <w:rPr>
          <w:rFonts w:cs="David" w:hint="cs"/>
          <w:rtl/>
        </w:rPr>
      </w:pPr>
    </w:p>
    <w:p w:rsidR="00000000" w:rsidRDefault="006E5E5E">
      <w:pPr>
        <w:pStyle w:val="Heading1"/>
        <w:bidi/>
        <w:spacing w:before="120" w:beforeAutospacing="0" w:after="0" w:afterAutospacing="0"/>
        <w:rPr>
          <w:rStyle w:val="Strong"/>
          <w:rFonts w:eastAsia="Times New Roman" w:hint="cs"/>
          <w:b/>
          <w:bCs/>
          <w:sz w:val="28"/>
          <w:szCs w:val="28"/>
          <w:u w:val="single"/>
          <w:rtl/>
        </w:rPr>
      </w:pPr>
      <w:r>
        <w:rPr>
          <w:rStyle w:val="Strong"/>
          <w:rFonts w:eastAsia="Times New Roman" w:cs="David" w:hint="cs"/>
          <w:b/>
          <w:bCs/>
          <w:sz w:val="28"/>
          <w:szCs w:val="28"/>
          <w:u w:val="single"/>
          <w:rtl/>
        </w:rPr>
        <w:t>ב. ההסכם</w:t>
      </w:r>
    </w:p>
    <w:p w:rsidR="00000000" w:rsidRDefault="006E5E5E">
      <w:pPr>
        <w:bidi/>
        <w:spacing w:before="120"/>
        <w:rPr>
          <w:rStyle w:val="Strong"/>
          <w:rFonts w:cs="David" w:hint="cs"/>
          <w:rtl/>
        </w:rPr>
      </w:pPr>
      <w:r>
        <w:rPr>
          <w:rStyle w:val="Strong"/>
          <w:rFonts w:cs="David" w:hint="cs"/>
          <w:rtl/>
        </w:rPr>
        <w:t xml:space="preserve">הצדדים להסכם </w:t>
      </w:r>
    </w:p>
    <w:p w:rsidR="00000000" w:rsidRDefault="006E5E5E">
      <w:pPr>
        <w:bidi/>
        <w:spacing w:before="120"/>
        <w:ind w:left="540" w:hanging="540"/>
        <w:rPr>
          <w:rStyle w:val="Strong"/>
          <w:rFonts w:cs="David" w:hint="cs"/>
          <w:sz w:val="22"/>
          <w:rtl/>
        </w:rPr>
      </w:pPr>
      <w:r>
        <w:rPr>
          <w:rFonts w:cs="David" w:hint="cs"/>
          <w:rtl/>
        </w:rPr>
        <w:t>3.</w:t>
      </w:r>
      <w:r>
        <w:rPr>
          <w:rFonts w:cs="David" w:hint="cs"/>
          <w:rtl/>
        </w:rPr>
        <w:t xml:space="preserve"> </w:t>
      </w:r>
      <w:r>
        <w:rPr>
          <w:rFonts w:cs="David" w:hint="cs"/>
          <w:rtl/>
        </w:rPr>
        <w:tab/>
      </w:r>
      <w:r>
        <w:rPr>
          <w:rStyle w:val="Strong"/>
          <w:rFonts w:cs="David" w:hint="cs"/>
          <w:rtl/>
        </w:rPr>
        <w:t>תע"א</w:t>
      </w:r>
      <w:r>
        <w:rPr>
          <w:rFonts w:cs="David" w:hint="cs"/>
          <w:rtl/>
        </w:rPr>
        <w:t xml:space="preserve"> היא חברה ממשלתית העוסקת, בעצמה ובאמצעות חברות בנות, בפיתוח, ייצור, שיווק והפעלה של קשת רחבה של מוצרים בתחום הצבאי, בהם מערכות מטוסים ללא טייס, מערכות מודיעין, מכ"מ ותקשורת, לוחמה אלקטרונית, מערכות תקשורת, מערכות שליטה פיקוד ובקרה, וכן בתחזוקה ובהשבח</w:t>
      </w:r>
      <w:r>
        <w:rPr>
          <w:rFonts w:cs="David" w:hint="cs"/>
          <w:rtl/>
        </w:rPr>
        <w:t xml:space="preserve">ה של מטוסים ומסוקים צבאיים. כמו כן, עוסקת תע"א בפיתוח וייצור מטוסים אזרחיים, בתחזוקה, השבחה והסבה של מטוסים ובפיתוח טכנולוגיות חלל. </w:t>
      </w:r>
    </w:p>
    <w:p w:rsidR="00000000" w:rsidRDefault="006E5E5E">
      <w:pPr>
        <w:bidi/>
        <w:spacing w:before="120"/>
        <w:ind w:left="540" w:hanging="540"/>
        <w:rPr>
          <w:rFonts w:hint="cs"/>
          <w:rtl/>
        </w:rPr>
      </w:pPr>
      <w:r>
        <w:rPr>
          <w:rFonts w:cs="David" w:hint="cs"/>
          <w:sz w:val="22"/>
          <w:rtl/>
        </w:rPr>
        <w:t>4.</w:t>
      </w:r>
      <w:r>
        <w:rPr>
          <w:rFonts w:cs="David" w:hint="cs"/>
          <w:sz w:val="22"/>
          <w:rtl/>
        </w:rPr>
        <w:tab/>
        <w:t>אלביט היא חברה ציבורית בשליטת משפחת פדרמן</w:t>
      </w:r>
      <w:r>
        <w:rPr>
          <w:rStyle w:val="FootnoteReference"/>
          <w:rFonts w:cs="David"/>
          <w:sz w:val="22"/>
          <w:rtl/>
        </w:rPr>
        <w:footnoteReference w:id="1"/>
      </w:r>
      <w:r>
        <w:rPr>
          <w:rStyle w:val="FootnoteReference"/>
          <w:rFonts w:eastAsia="Times New Roman" w:cs="David"/>
          <w:sz w:val="22"/>
          <w:lang w:eastAsia="he-IL"/>
        </w:rPr>
        <w:t>[1]</w:t>
      </w:r>
      <w:r>
        <w:rPr>
          <w:rFonts w:cs="David" w:hint="cs"/>
          <w:sz w:val="22"/>
          <w:rtl/>
        </w:rPr>
        <w:t xml:space="preserve">, </w:t>
      </w:r>
      <w:r>
        <w:rPr>
          <w:rFonts w:cs="David" w:hint="cs"/>
          <w:rtl/>
        </w:rPr>
        <w:t>העוסקת אף היא, בעצמה ובאמצעות חברות בנות, בפיתוח, ייצור, שיווק והפעלה של קשת רחבה של מוצרים בתחום הצבאי</w:t>
      </w:r>
      <w:r>
        <w:rPr>
          <w:rFonts w:cs="David" w:hint="cs"/>
          <w:sz w:val="22"/>
          <w:rtl/>
        </w:rPr>
        <w:t xml:space="preserve">. אלביט מייצרת ומשלבת מערכות ותת מערכות, בהן </w:t>
      </w:r>
      <w:r>
        <w:rPr>
          <w:rFonts w:cs="David" w:hint="cs"/>
          <w:rtl/>
        </w:rPr>
        <w:t xml:space="preserve">מערכות שליטה ובקרה, מערכות אלקטרו-אופטיות, מערכות תקשורת מחשבים ומערכות מודיעין. כמו כן, אלביט </w:t>
      </w:r>
      <w:r>
        <w:rPr>
          <w:rFonts w:cs="David" w:hint="cs"/>
          <w:sz w:val="22"/>
          <w:rtl/>
        </w:rPr>
        <w:t xml:space="preserve">עוסקת בהשבחת </w:t>
      </w:r>
      <w:r>
        <w:rPr>
          <w:rFonts w:cs="David" w:hint="cs"/>
          <w:sz w:val="22"/>
          <w:rtl/>
        </w:rPr>
        <w:t>פלטפורמות צבאיות מוטסות, יבשתיות וימיות וב</w:t>
      </w:r>
      <w:r>
        <w:rPr>
          <w:rFonts w:cs="David" w:hint="cs"/>
          <w:rtl/>
        </w:rPr>
        <w:t>שדרוג מערכות צבאיות קיימות.</w:t>
      </w:r>
    </w:p>
    <w:p w:rsidR="00000000" w:rsidRDefault="006E5E5E">
      <w:pPr>
        <w:pStyle w:val="Heading2"/>
        <w:bidi/>
        <w:spacing w:before="240" w:beforeAutospacing="0" w:after="60" w:afterAutospacing="0"/>
        <w:rPr>
          <w:rFonts w:eastAsia="Times New Roman" w:cs="David" w:hint="cs"/>
          <w:sz w:val="24"/>
          <w:szCs w:val="24"/>
          <w:rtl/>
        </w:rPr>
      </w:pPr>
      <w:r>
        <w:rPr>
          <w:rFonts w:eastAsia="Times New Roman" w:cs="David" w:hint="cs"/>
          <w:sz w:val="24"/>
          <w:szCs w:val="24"/>
          <w:rtl/>
        </w:rPr>
        <w:t xml:space="preserve">רקע כללי </w:t>
      </w:r>
    </w:p>
    <w:p w:rsidR="00000000" w:rsidRDefault="006E5E5E">
      <w:pPr>
        <w:tabs>
          <w:tab w:val="num" w:pos="540"/>
        </w:tabs>
        <w:bidi/>
        <w:spacing w:before="120"/>
        <w:ind w:left="540" w:hanging="540"/>
        <w:rPr>
          <w:rFonts w:cs="David" w:hint="cs"/>
          <w:sz w:val="22"/>
          <w:rtl/>
        </w:rPr>
      </w:pPr>
      <w:r>
        <w:rPr>
          <w:rFonts w:hint="cs"/>
          <w:rtl/>
        </w:rPr>
        <w:t>5.</w:t>
      </w:r>
      <w:r>
        <w:rPr>
          <w:sz w:val="14"/>
          <w:szCs w:val="14"/>
          <w:rtl/>
        </w:rPr>
        <w:t xml:space="preserve">             </w:t>
      </w:r>
      <w:r>
        <w:rPr>
          <w:rFonts w:cs="David" w:hint="cs"/>
          <w:sz w:val="22"/>
          <w:rtl/>
        </w:rPr>
        <w:t xml:space="preserve">חיל האוויר מבקש להחליף את מטוסי הסקייהוק ("עיט") וה – </w:t>
      </w:r>
      <w:r>
        <w:rPr>
          <w:rFonts w:hint="cs"/>
        </w:rPr>
        <w:t>F16</w:t>
      </w:r>
      <w:r>
        <w:rPr>
          <w:rFonts w:cs="David" w:hint="cs"/>
          <w:sz w:val="22"/>
          <w:rtl/>
        </w:rPr>
        <w:t xml:space="preserve"> הדו מושבי ("נץ") המשמשים להכשרה ולאימון בשלבים המתקדמים של קורס הטיס ובקורס האימון המתקדם של החיל מזה ע</w:t>
      </w:r>
      <w:r>
        <w:rPr>
          <w:rFonts w:cs="David" w:hint="cs"/>
          <w:sz w:val="22"/>
          <w:rtl/>
        </w:rPr>
        <w:t>שרות שנים. על פי תכניתו של החייל כל מערך מטוסי האימון המתקדם יוחלף עד שנת 2015 במטוסים חדשים, וזאת לשם התאמת מטוסי האימון למטוסים המבצעיים המתקדמים ומשיקולי בטיחות טיסה והיקף ההשקעה בתחזוקת המטוסים הישנים. ודוק, החלפת המטוסים כרוכה ברשימה ארוכה של פעילויות</w:t>
      </w:r>
      <w:r>
        <w:rPr>
          <w:rFonts w:cs="David" w:hint="cs"/>
          <w:sz w:val="22"/>
          <w:rtl/>
        </w:rPr>
        <w:t xml:space="preserve">, בכללן, </w:t>
      </w:r>
      <w:r>
        <w:rPr>
          <w:rFonts w:cs="David" w:hint="cs"/>
          <w:rtl/>
        </w:rPr>
        <w:t xml:space="preserve">הצטיידות בפלטפורמות המטוסים הבסיסיות ובמכלולים, הרכבת המטוסים, תחזוקתם, בניית מערך אימון ותפעולו וכיו"ב. </w:t>
      </w:r>
    </w:p>
    <w:p w:rsidR="00000000" w:rsidRDefault="006E5E5E">
      <w:pPr>
        <w:tabs>
          <w:tab w:val="num" w:pos="540"/>
        </w:tabs>
        <w:bidi/>
        <w:spacing w:before="120"/>
        <w:ind w:left="540" w:hanging="540"/>
        <w:rPr>
          <w:rFonts w:hint="cs"/>
          <w:rtl/>
        </w:rPr>
      </w:pPr>
      <w:r>
        <w:rPr>
          <w:rFonts w:hint="cs"/>
          <w:rtl/>
        </w:rPr>
        <w:t>6.</w:t>
      </w:r>
      <w:r>
        <w:rPr>
          <w:sz w:val="14"/>
          <w:szCs w:val="14"/>
          <w:rtl/>
        </w:rPr>
        <w:t xml:space="preserve">             </w:t>
      </w:r>
      <w:r>
        <w:rPr>
          <w:rFonts w:cs="David" w:hint="cs"/>
          <w:sz w:val="22"/>
          <w:rtl/>
        </w:rPr>
        <w:t>משרד הבטחון ("</w:t>
      </w:r>
      <w:r>
        <w:rPr>
          <w:rStyle w:val="Strong"/>
          <w:rFonts w:cs="David" w:hint="cs"/>
          <w:sz w:val="22"/>
          <w:rtl/>
        </w:rPr>
        <w:t>המשרד</w:t>
      </w:r>
      <w:r>
        <w:rPr>
          <w:rFonts w:cs="David" w:hint="cs"/>
          <w:sz w:val="22"/>
          <w:rtl/>
        </w:rPr>
        <w:t>") וצה"ל, המצדדים בשיתוף הפעולה המבוקש הציגו בפני את החשיבות שהם רואים בביצועו של פרויקט החלפת המטוסים בתוך</w:t>
      </w:r>
      <w:r>
        <w:rPr>
          <w:rFonts w:cs="David" w:hint="cs"/>
          <w:sz w:val="22"/>
          <w:rtl/>
        </w:rPr>
        <w:t xml:space="preserve"> זמן קצר, נוכח גילם המתקדם של המטוסים המשרתים במערך האימון המתקדם כיום. משרד הבטחון וצה"ל הטעימו כי חבירת אלביט ותע"א תהיה הדרך היעילה והמהירה ביותר למימוש הפרויקט.</w:t>
      </w:r>
    </w:p>
    <w:p w:rsidR="00000000" w:rsidRDefault="006E5E5E">
      <w:pPr>
        <w:tabs>
          <w:tab w:val="num" w:pos="540"/>
        </w:tabs>
        <w:bidi/>
        <w:spacing w:before="120"/>
        <w:ind w:left="540" w:hanging="540"/>
        <w:rPr>
          <w:rFonts w:hint="cs"/>
          <w:rtl/>
        </w:rPr>
      </w:pPr>
      <w:r>
        <w:rPr>
          <w:rFonts w:hint="cs"/>
          <w:rtl/>
        </w:rPr>
        <w:lastRenderedPageBreak/>
        <w:t>7.</w:t>
      </w:r>
      <w:r>
        <w:rPr>
          <w:sz w:val="14"/>
          <w:szCs w:val="14"/>
          <w:rtl/>
        </w:rPr>
        <w:t xml:space="preserve">             </w:t>
      </w:r>
      <w:r>
        <w:rPr>
          <w:rFonts w:cs="David" w:hint="cs"/>
          <w:sz w:val="22"/>
          <w:rtl/>
        </w:rPr>
        <w:t>היקפו הכלכלי של הפרוייקט מוערך במיליארדי שקלים חדשים. הרכיב המרכזי בעלות הפר</w:t>
      </w:r>
      <w:r>
        <w:rPr>
          <w:rFonts w:cs="David" w:hint="cs"/>
          <w:sz w:val="22"/>
          <w:rtl/>
        </w:rPr>
        <w:t xml:space="preserve">ויקט הינו מחיר מטוסי האימון עצמם ("פלטפורמות"), במספר שייקבע על ידי חיל האוויר בעתיד. בהקשר זה יצויין, כי יצרניות המטוסים האמריקאיות שעמן רגיל חיל האוויר לעבוד (דוג' </w:t>
      </w:r>
      <w:r>
        <w:rPr>
          <w:rFonts w:hint="cs"/>
        </w:rPr>
        <w:t>Boeing, Lockheed Martin</w:t>
      </w:r>
      <w:r>
        <w:rPr>
          <w:rFonts w:cs="David" w:hint="cs"/>
          <w:sz w:val="22"/>
          <w:rtl/>
        </w:rPr>
        <w:t xml:space="preserve">), אינן מייצרות דגם מטוס אימון מתקדם ומשכך לא ניתן לרכוש את הפלטפורמות בכספי הסיוע הצבאי האמריקאי. </w:t>
      </w:r>
    </w:p>
    <w:p w:rsidR="00000000" w:rsidRDefault="006E5E5E">
      <w:pPr>
        <w:tabs>
          <w:tab w:val="num" w:pos="540"/>
        </w:tabs>
        <w:bidi/>
        <w:spacing w:before="120"/>
        <w:ind w:left="540" w:hanging="540"/>
        <w:rPr>
          <w:rFonts w:hint="cs"/>
          <w:rtl/>
        </w:rPr>
      </w:pPr>
      <w:r>
        <w:rPr>
          <w:rFonts w:hint="cs"/>
          <w:rtl/>
        </w:rPr>
        <w:t>8.</w:t>
      </w:r>
      <w:r>
        <w:rPr>
          <w:sz w:val="14"/>
          <w:szCs w:val="14"/>
          <w:rtl/>
        </w:rPr>
        <w:t xml:space="preserve">             </w:t>
      </w:r>
      <w:r>
        <w:rPr>
          <w:rFonts w:cs="David" w:hint="cs"/>
          <w:sz w:val="22"/>
          <w:rtl/>
        </w:rPr>
        <w:t xml:space="preserve">על פי המפורט בבקשת הפטור, יש בנמצא שני ספקים פוטנציאליים של הפלטפורמות: חברת </w:t>
      </w:r>
      <w:r>
        <w:rPr>
          <w:rFonts w:hint="cs"/>
        </w:rPr>
        <w:t>AerMacchi</w:t>
      </w:r>
      <w:r>
        <w:rPr>
          <w:rFonts w:cs="David" w:hint="cs"/>
          <w:sz w:val="22"/>
          <w:rtl/>
        </w:rPr>
        <w:t xml:space="preserve"> האיטלקית ומטוס של חברת </w:t>
      </w:r>
      <w:r>
        <w:rPr>
          <w:rFonts w:hint="cs"/>
        </w:rPr>
        <w:t>Kai</w:t>
      </w:r>
      <w:r>
        <w:rPr>
          <w:rFonts w:cs="David" w:hint="cs"/>
          <w:sz w:val="22"/>
          <w:rtl/>
        </w:rPr>
        <w:t xml:space="preserve"> הקוריאנית. נציגי חיל האוויר</w:t>
      </w:r>
      <w:r>
        <w:rPr>
          <w:rFonts w:cs="David" w:hint="cs"/>
          <w:sz w:val="22"/>
          <w:rtl/>
        </w:rPr>
        <w:t xml:space="preserve"> ומשרד הבטחון הסבירו כי היות ולמשרד הבטחון אין הסכמי העברת ידע עם מי מהספקים וכיוון שהחייל אינו מורגל בתפעול מטוסים אלה, יש חשיבות מיוחדת להבטחת עצמאות תפעולית ובכלל זה ידע הנדסי ויכולת הרכבה של המטוסים בארץ. עצמאות תפעולית זו תפחית סיכונים ותבטיח כשירות ה</w:t>
      </w:r>
      <w:r>
        <w:rPr>
          <w:rFonts w:cs="David" w:hint="cs"/>
          <w:sz w:val="22"/>
          <w:rtl/>
        </w:rPr>
        <w:t xml:space="preserve">מטוסים לעשרות השנים הבאות. </w:t>
      </w:r>
    </w:p>
    <w:p w:rsidR="00000000" w:rsidRDefault="006E5E5E">
      <w:pPr>
        <w:tabs>
          <w:tab w:val="num" w:pos="540"/>
        </w:tabs>
        <w:bidi/>
        <w:spacing w:before="120"/>
        <w:ind w:left="540" w:hanging="540"/>
        <w:rPr>
          <w:rFonts w:hint="cs"/>
          <w:rtl/>
        </w:rPr>
      </w:pPr>
      <w:r>
        <w:rPr>
          <w:rFonts w:hint="cs"/>
          <w:rtl/>
        </w:rPr>
        <w:t>9.</w:t>
      </w:r>
      <w:r>
        <w:rPr>
          <w:sz w:val="14"/>
          <w:szCs w:val="14"/>
          <w:rtl/>
        </w:rPr>
        <w:t xml:space="preserve">             </w:t>
      </w:r>
      <w:r>
        <w:rPr>
          <w:rFonts w:cs="David" w:hint="cs"/>
          <w:sz w:val="22"/>
          <w:rtl/>
        </w:rPr>
        <w:t>בשל אי היכולת להשתמש בכספי הסיוע הצבאי האמריקאי החליט משרד הבטחון כי הפרויקט יבוצע בשיטה של מימון עצמי של הגוף המבצע את הפרויקט (</w:t>
      </w:r>
      <w:r>
        <w:rPr>
          <w:rFonts w:hint="cs"/>
        </w:rPr>
        <w:t>Private Funding Initiative</w:t>
      </w:r>
      <w:r>
        <w:rPr>
          <w:rFonts w:cs="David" w:hint="cs"/>
          <w:sz w:val="22"/>
          <w:rtl/>
        </w:rPr>
        <w:t>). שיקולי התמחות ויעילות הביאו את המשרד וצה"ל לקבוע כי מכל</w:t>
      </w:r>
      <w:r>
        <w:rPr>
          <w:rFonts w:cs="David" w:hint="cs"/>
          <w:sz w:val="22"/>
          <w:rtl/>
        </w:rPr>
        <w:t>ול הפעילויות הכרוכות במערך האימונים, למעט הדרכת הטיסה עצמה, ייעשה על ידי הגוף המבצע, בהתאם למתכונת דומה, הפועלת כבר כיום במערכי האימון המכין והראשוני של קורס הטיס. יתר על כן, על פי המתוכנן, ספק השירותים ינהל את התיחור בין שתי ספקיות הפלטפורמות ויישא במימון</w:t>
      </w:r>
      <w:r>
        <w:rPr>
          <w:rFonts w:cs="David" w:hint="cs"/>
          <w:sz w:val="22"/>
          <w:rtl/>
        </w:rPr>
        <w:t xml:space="preserve"> רכישתן. משרד הבטחון ישלם לספק השירותים עבור השירותים השונים באמצעות תשלום לשעת טיסה למשך עשרים שנה. המודל שקול, למעשה, לליסינג תפעולי.  </w:t>
      </w:r>
    </w:p>
    <w:p w:rsidR="00000000" w:rsidRDefault="006E5E5E">
      <w:pPr>
        <w:tabs>
          <w:tab w:val="num" w:pos="540"/>
        </w:tabs>
        <w:bidi/>
        <w:spacing w:before="120"/>
        <w:ind w:left="540" w:hanging="540"/>
        <w:rPr>
          <w:rFonts w:hint="cs"/>
          <w:rtl/>
        </w:rPr>
      </w:pPr>
      <w:r>
        <w:rPr>
          <w:rFonts w:hint="cs"/>
          <w:rtl/>
        </w:rPr>
        <w:t>10.</w:t>
      </w:r>
      <w:r>
        <w:rPr>
          <w:sz w:val="14"/>
          <w:szCs w:val="14"/>
          <w:rtl/>
        </w:rPr>
        <w:t xml:space="preserve">         </w:t>
      </w:r>
      <w:r>
        <w:rPr>
          <w:rFonts w:cs="David" w:hint="cs"/>
          <w:sz w:val="22"/>
          <w:rtl/>
        </w:rPr>
        <w:t>חשוב לציין כי המיזם המשותף הינו פרי יוזמתו של משרד הבטחון אשר קבע את מסגרת הדרישות ומצא שמיזם משותף לשני ה</w:t>
      </w:r>
      <w:r>
        <w:rPr>
          <w:rFonts w:cs="David" w:hint="cs"/>
          <w:sz w:val="22"/>
          <w:rtl/>
        </w:rPr>
        <w:t xml:space="preserve">צדדים הינו המסלול היעיל ביותר למילויין. </w:t>
      </w:r>
    </w:p>
    <w:p w:rsidR="00000000" w:rsidRDefault="006E5E5E">
      <w:pPr>
        <w:tabs>
          <w:tab w:val="num" w:pos="540"/>
        </w:tabs>
        <w:bidi/>
        <w:spacing w:before="120"/>
        <w:ind w:left="540" w:hanging="540"/>
        <w:rPr>
          <w:rFonts w:hint="cs"/>
          <w:rtl/>
        </w:rPr>
      </w:pPr>
      <w:r>
        <w:rPr>
          <w:rFonts w:hint="cs"/>
          <w:rtl/>
        </w:rPr>
        <w:t>11.</w:t>
      </w:r>
      <w:r>
        <w:rPr>
          <w:sz w:val="14"/>
          <w:szCs w:val="14"/>
          <w:rtl/>
        </w:rPr>
        <w:t xml:space="preserve">         </w:t>
      </w:r>
      <w:r>
        <w:rPr>
          <w:rFonts w:cs="David" w:hint="cs"/>
          <w:sz w:val="22"/>
          <w:rtl/>
        </w:rPr>
        <w:t>כפי שהוסבר על ידי משרד הבטחון, מהלך ההצטיידות יבוצע בשקיפות מלאה למשרד הבטחון. המשרד יקבל אינפורמציה מלאה בנוגע לעלויות הפרויקט וכל סעיף התקשרות מצד התאגיד הייעודי יהיה חייב באישורו.  יתר על כן, המיזם המ</w:t>
      </w:r>
      <w:r>
        <w:rPr>
          <w:rFonts w:cs="David" w:hint="cs"/>
          <w:sz w:val="22"/>
          <w:rtl/>
        </w:rPr>
        <w:t>שותף יציג למשרד הבטחון הצעה כוללת עבור כל אחת משתי החלופות והמשרד הוא שייבחר ביניהן.</w:t>
      </w:r>
    </w:p>
    <w:p w:rsidR="00000000" w:rsidRDefault="006E5E5E">
      <w:pPr>
        <w:bidi/>
        <w:spacing w:before="120"/>
        <w:rPr>
          <w:rFonts w:hint="cs"/>
          <w:rtl/>
        </w:rPr>
      </w:pPr>
    </w:p>
    <w:p w:rsidR="00000000" w:rsidRDefault="006E5E5E">
      <w:pPr>
        <w:bidi/>
        <w:spacing w:before="120"/>
        <w:rPr>
          <w:rFonts w:hint="cs"/>
        </w:rPr>
      </w:pPr>
      <w:r>
        <w:rPr>
          <w:rStyle w:val="Strong"/>
          <w:rFonts w:cs="David" w:hint="cs"/>
          <w:sz w:val="22"/>
          <w:rtl/>
        </w:rPr>
        <w:t>ההסכם</w:t>
      </w:r>
    </w:p>
    <w:p w:rsidR="00000000" w:rsidRDefault="006E5E5E">
      <w:pPr>
        <w:tabs>
          <w:tab w:val="num" w:pos="540"/>
        </w:tabs>
        <w:bidi/>
        <w:spacing w:before="120"/>
        <w:ind w:left="540" w:hanging="540"/>
        <w:rPr>
          <w:rFonts w:hint="cs"/>
          <w:rtl/>
        </w:rPr>
      </w:pPr>
      <w:r>
        <w:rPr>
          <w:rFonts w:hint="cs"/>
          <w:rtl/>
        </w:rPr>
        <w:t>12.</w:t>
      </w:r>
      <w:r>
        <w:rPr>
          <w:sz w:val="14"/>
          <w:szCs w:val="14"/>
          <w:rtl/>
        </w:rPr>
        <w:t xml:space="preserve">         </w:t>
      </w:r>
      <w:r>
        <w:rPr>
          <w:rFonts w:cs="David" w:hint="cs"/>
          <w:sz w:val="22"/>
          <w:rtl/>
        </w:rPr>
        <w:t>מהותו של ההסכם היא, כאמור, יצירת מיזם משותף, שפעילותו תבוצע באמצעות הקמת תאגיד ייעודי שבו יחזיקו שני הצדדים בחלקים שווים. התאגיד הייעודי יפעל להשגת מקור</w:t>
      </w:r>
      <w:r>
        <w:rPr>
          <w:rFonts w:cs="David" w:hint="cs"/>
          <w:sz w:val="22"/>
          <w:rtl/>
        </w:rPr>
        <w:t xml:space="preserve">ות מימון בחלקים שווים לצורך הקמת תשתית הפעלה לפרוייקט. בהמשך, ינהל התאגיד התמחרות בין שני יצרני המטוסים, שבסופה ייבחר המטוס, מתווה מערך האימונים וכמות המטוסים הנדרשת, על ידי משרד הבטחון. התאגיד ירכוש במימון עצמי את הפלטפורמות והמכלולים שישולבו במטוס, יהיה </w:t>
      </w:r>
      <w:r>
        <w:rPr>
          <w:rFonts w:cs="David" w:hint="cs"/>
          <w:sz w:val="22"/>
          <w:rtl/>
        </w:rPr>
        <w:t xml:space="preserve">אחראי על ההרכבה הסופית של הפלטפורמות, על שילוב מערכות בגוף המטוסים ועל תחזוקתם ותפעולם למשך 20 שנה. התאגיד המשותף יקים ויפעיל מערך הדרכה, אימון ותחקור למשך 20 שנה. </w:t>
      </w:r>
    </w:p>
    <w:p w:rsidR="00000000" w:rsidRDefault="006E5E5E">
      <w:pPr>
        <w:tabs>
          <w:tab w:val="num" w:pos="540"/>
        </w:tabs>
        <w:bidi/>
        <w:spacing w:before="120"/>
        <w:ind w:left="540" w:hanging="540"/>
        <w:rPr>
          <w:rFonts w:cs="David" w:hint="cs"/>
          <w:sz w:val="22"/>
          <w:rtl/>
        </w:rPr>
      </w:pPr>
      <w:r>
        <w:rPr>
          <w:rFonts w:hint="cs"/>
          <w:rtl/>
        </w:rPr>
        <w:t>13.</w:t>
      </w:r>
      <w:r>
        <w:rPr>
          <w:sz w:val="14"/>
          <w:szCs w:val="14"/>
          <w:rtl/>
        </w:rPr>
        <w:t xml:space="preserve">         </w:t>
      </w:r>
      <w:r>
        <w:rPr>
          <w:rFonts w:cs="David" w:hint="cs"/>
          <w:sz w:val="22"/>
          <w:rtl/>
        </w:rPr>
        <w:t>על פי ההסכם, אלביט ותע"א יספקו לתאגיד הייעודי שירותים ומוצרים בקבלנות משנה: תע"</w:t>
      </w:r>
      <w:r>
        <w:rPr>
          <w:rFonts w:cs="David" w:hint="cs"/>
          <w:sz w:val="22"/>
          <w:rtl/>
        </w:rPr>
        <w:t xml:space="preserve">א תבצע את ההרכבה הסופית ואת התחזוקה ה"כבדה" של המטוס, ואלביט תפתח ותקים את מערך ההדרכה ותבצע התאמות באוויוניקה של המטוס שייבחר.  </w:t>
      </w:r>
    </w:p>
    <w:p w:rsidR="00000000" w:rsidRDefault="006E5E5E">
      <w:pPr>
        <w:tabs>
          <w:tab w:val="center" w:pos="5618"/>
        </w:tabs>
        <w:bidi/>
        <w:spacing w:before="120"/>
        <w:rPr>
          <w:rFonts w:cs="David" w:hint="cs"/>
          <w:sz w:val="22"/>
          <w:rtl/>
        </w:rPr>
      </w:pPr>
    </w:p>
    <w:p w:rsidR="00000000" w:rsidRDefault="006E5E5E">
      <w:pPr>
        <w:bidi/>
        <w:spacing w:before="120"/>
        <w:rPr>
          <w:rStyle w:val="Strong"/>
          <w:rFonts w:hint="cs"/>
          <w:sz w:val="28"/>
          <w:szCs w:val="28"/>
          <w:rtl/>
        </w:rPr>
      </w:pPr>
      <w:r>
        <w:rPr>
          <w:rStyle w:val="Strong"/>
          <w:rFonts w:cs="David" w:hint="cs"/>
          <w:sz w:val="28"/>
          <w:szCs w:val="28"/>
          <w:rtl/>
        </w:rPr>
        <w:t>3. ההשפעה על התחרות</w:t>
      </w:r>
    </w:p>
    <w:p w:rsidR="00000000" w:rsidRDefault="006E5E5E">
      <w:pPr>
        <w:bidi/>
        <w:spacing w:before="120"/>
        <w:rPr>
          <w:rStyle w:val="Strong"/>
          <w:rFonts w:cs="David" w:hint="cs"/>
          <w:rtl/>
        </w:rPr>
      </w:pPr>
      <w:r>
        <w:rPr>
          <w:rStyle w:val="Strong"/>
          <w:rFonts w:cs="David" w:hint="cs"/>
          <w:rtl/>
        </w:rPr>
        <w:t>(א) שיתוף פעולה בין מתחרים – מיזם משותף</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14.</w:t>
      </w:r>
      <w:r>
        <w:rPr>
          <w:sz w:val="14"/>
          <w:szCs w:val="14"/>
          <w:rtl/>
        </w:rPr>
        <w:t xml:space="preserve">         </w:t>
      </w:r>
      <w:r>
        <w:rPr>
          <w:rFonts w:cs="David" w:hint="cs"/>
          <w:sz w:val="22"/>
          <w:rtl/>
        </w:rPr>
        <w:t>מיזם משותף הוא מסגרת לנשיאה משותפת בסיכונים ובפוטנציא</w:t>
      </w:r>
      <w:r>
        <w:rPr>
          <w:rFonts w:cs="David" w:hint="cs"/>
          <w:sz w:val="22"/>
          <w:rtl/>
        </w:rPr>
        <w:t xml:space="preserve">ל הרווח הטמונים בפעילות המשותפת. בצד פיזור הסיכון בין מספר צדדים, המיזם המשותף מצרף הון פיסי, </w:t>
      </w:r>
      <w:r>
        <w:rPr>
          <w:rFonts w:cs="David" w:hint="cs"/>
          <w:sz w:val="22"/>
          <w:rtl/>
        </w:rPr>
        <w:lastRenderedPageBreak/>
        <w:t>הון אנושי וידע של הצדדים, העשויים לאפשר פעילות יעילה יותר. ככלל, המיזם המשותף עשוי לספק למשתתפים בו יתרונות לגודל, יתרונות מגוון ויתרונות רשת.</w:t>
      </w:r>
      <w:r>
        <w:rPr>
          <w:rStyle w:val="FootnoteReference"/>
          <w:rFonts w:cs="David"/>
          <w:sz w:val="22"/>
          <w:rtl/>
        </w:rPr>
        <w:footnoteReference w:id="2"/>
      </w:r>
      <w:r>
        <w:rPr>
          <w:rStyle w:val="FootnoteReference"/>
          <w:rFonts w:eastAsia="Times New Roman" w:cs="David"/>
          <w:sz w:val="22"/>
          <w:lang w:eastAsia="he-IL"/>
        </w:rPr>
        <w:t>[2]</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15.</w:t>
      </w:r>
      <w:r>
        <w:rPr>
          <w:sz w:val="14"/>
          <w:szCs w:val="14"/>
          <w:rtl/>
        </w:rPr>
        <w:t xml:space="preserve">         </w:t>
      </w:r>
      <w:r>
        <w:rPr>
          <w:rFonts w:cs="David" w:hint="cs"/>
          <w:sz w:val="22"/>
          <w:rtl/>
        </w:rPr>
        <w:t xml:space="preserve">עם זאת, המיזם המשותף מעמיד את הצדדים לו בקרבה מתמדת ובשותפות הדוקה לדרך פעולה עסקית, על הסיכויים והסיכונים הטמונים בה. קרבה זו עלולה להקהות את היריבות בין מתחרים ולהשפיע על התחרות ביניהם בתחום המיזם המשותף. הקשר שבין הורי המיזם עשוי לחלחל אף לתחומים אחרים </w:t>
      </w:r>
      <w:r>
        <w:rPr>
          <w:rFonts w:cs="David" w:hint="cs"/>
          <w:sz w:val="22"/>
          <w:rtl/>
        </w:rPr>
        <w:t>שבהם הם פועלים.</w:t>
      </w:r>
      <w:r>
        <w:rPr>
          <w:rStyle w:val="FootnoteReference"/>
          <w:rFonts w:cs="David"/>
          <w:sz w:val="22"/>
          <w:rtl/>
        </w:rPr>
        <w:footnoteReference w:id="3"/>
      </w:r>
      <w:r>
        <w:rPr>
          <w:rStyle w:val="FootnoteReference"/>
          <w:rFonts w:eastAsia="Times New Roman" w:cs="David"/>
          <w:sz w:val="22"/>
          <w:lang w:eastAsia="he-IL"/>
        </w:rPr>
        <w:t>[3]</w:t>
      </w:r>
      <w:r>
        <w:rPr>
          <w:rFonts w:cs="David" w:hint="cs"/>
          <w:sz w:val="22"/>
          <w:rtl/>
        </w:rPr>
        <w:t xml:space="preserve">  </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16.</w:t>
      </w:r>
      <w:r>
        <w:rPr>
          <w:sz w:val="14"/>
          <w:szCs w:val="14"/>
          <w:rtl/>
        </w:rPr>
        <w:t xml:space="preserve">         </w:t>
      </w:r>
      <w:r>
        <w:rPr>
          <w:rFonts w:cs="David" w:hint="cs"/>
          <w:sz w:val="22"/>
          <w:rtl/>
        </w:rPr>
        <w:t xml:space="preserve">ברי, כי שרשרת שיתופי פעולה בין מתחרים, ועל אחת כמה וכמה שיתופי פעולה בהיקף רחב, טומנת בחובה פוטנציאל להקהיית תמריצי התחרות ביניהם. </w:t>
      </w:r>
    </w:p>
    <w:p w:rsidR="00000000" w:rsidRDefault="006E5E5E">
      <w:pPr>
        <w:overflowPunct w:val="0"/>
        <w:bidi/>
        <w:adjustRightInd w:val="0"/>
        <w:spacing w:before="120"/>
        <w:textAlignment w:val="baseline"/>
        <w:rPr>
          <w:rFonts w:hint="cs"/>
          <w:rtl/>
        </w:rPr>
      </w:pPr>
      <w:r>
        <w:rPr>
          <w:rFonts w:cs="David" w:hint="cs"/>
          <w:rtl/>
        </w:rPr>
        <w:t xml:space="preserve"> </w:t>
      </w:r>
    </w:p>
    <w:p w:rsidR="00000000" w:rsidRDefault="006E5E5E">
      <w:pPr>
        <w:overflowPunct w:val="0"/>
        <w:bidi/>
        <w:adjustRightInd w:val="0"/>
        <w:spacing w:before="120"/>
        <w:textAlignment w:val="baseline"/>
        <w:rPr>
          <w:rFonts w:hint="cs"/>
        </w:rPr>
      </w:pPr>
      <w:r>
        <w:rPr>
          <w:rStyle w:val="Strong"/>
          <w:rFonts w:cs="David" w:hint="cs"/>
          <w:sz w:val="22"/>
          <w:rtl/>
        </w:rPr>
        <w:t>(ב) התחרות בתחום התעשיות הצבאיות</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17.</w:t>
      </w:r>
      <w:r>
        <w:rPr>
          <w:sz w:val="14"/>
          <w:szCs w:val="14"/>
          <w:rtl/>
        </w:rPr>
        <w:t xml:space="preserve">         </w:t>
      </w:r>
      <w:r>
        <w:rPr>
          <w:rFonts w:cs="David" w:hint="cs"/>
          <w:rtl/>
        </w:rPr>
        <w:t>על מאפייניה המיוחדים של הפעילות בענף התעשיו</w:t>
      </w:r>
      <w:r>
        <w:rPr>
          <w:rFonts w:cs="David" w:hint="cs"/>
          <w:rtl/>
        </w:rPr>
        <w:t>ת הבטחוניות הישראליות בארץ ובחו"ל עמדתי בהזדמנות קודמת, אף היא ביחס למיזם משותף לתע"א ולאלביט.</w:t>
      </w:r>
      <w:r>
        <w:rPr>
          <w:rStyle w:val="FootnoteReference"/>
          <w:rFonts w:cs="David"/>
          <w:rtl/>
        </w:rPr>
        <w:footnoteReference w:id="4"/>
      </w:r>
      <w:r>
        <w:rPr>
          <w:rStyle w:val="FootnoteReference"/>
          <w:rFonts w:eastAsia="Times New Roman" w:cs="David"/>
          <w:lang w:eastAsia="he-IL"/>
        </w:rPr>
        <w:t>[4]</w:t>
      </w:r>
      <w:r>
        <w:rPr>
          <w:rFonts w:cs="David" w:hint="cs"/>
          <w:rtl/>
        </w:rPr>
        <w:t xml:space="preserve"> כאמור באותה החלטה, נתח משמעותי מן הפעילות בתחום זה מצוי בפיתוח מערכות מורכבות ומתוחכמות לפי דרישות הצרכן, משרד הבטחון, ולא כ"מוצר מדף". דרישות אלה מצריכות הש</w:t>
      </w:r>
      <w:r>
        <w:rPr>
          <w:rFonts w:cs="David" w:hint="cs"/>
          <w:rtl/>
        </w:rPr>
        <w:t>קעה רבה וכרוכה בהן מידה לא מבוטלת של סיכון. אכן, עיקרו של המיזם הנוכחי אינו במחקר ופיתוח, אולם גם הוא מאופיין בהשקעה כספית רבה.</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18.</w:t>
      </w:r>
      <w:r>
        <w:rPr>
          <w:sz w:val="14"/>
          <w:szCs w:val="14"/>
          <w:rtl/>
        </w:rPr>
        <w:t xml:space="preserve">         </w:t>
      </w:r>
      <w:r>
        <w:rPr>
          <w:rFonts w:cs="David" w:hint="cs"/>
          <w:rtl/>
        </w:rPr>
        <w:t>מאפיין נוסף של ענף התעשיות הבטחוניות הוא השפעתו הרבה של משרד הבטחון על התנהלותן העסקית של התעשיות. המשרד הוא צרכן מק</w:t>
      </w:r>
      <w:r>
        <w:rPr>
          <w:rFonts w:cs="David" w:hint="cs"/>
          <w:rtl/>
        </w:rPr>
        <w:t>ומי יחיד או כמעט יחיד של מוצרים רבים. מטעמים בטחוניים חופש הפעולה של חברות אלה בפעילות מול צרכנים מחוץ לישראל הוא מוגבל. מנגד, מוצר המשמש את כוחות הבטחון של ישראל עשוי ליהנות מיוקרה רבה בקרב צרכנים זרים, ולשפר את סיכוייו של היצרן להתקשר בעסקאות מכירה בהיקף</w:t>
      </w:r>
      <w:r>
        <w:rPr>
          <w:rFonts w:cs="David" w:hint="cs"/>
          <w:rtl/>
        </w:rPr>
        <w:t xml:space="preserve"> רחב בחו"ל.  במיזם הנוכחי בולטת במיוחד השפעתו של משרד הבטחון, אשר יזם את שיתוף הפעולה וקבע את מערכת הנסיבות, ובכללן הפקדת מכלול הפעילות הנדרשת להקמת מערך האימון ותחזוקתו בידי ספק השירותים וצורת המימון והתשלום בעבור שירותים אלה. בכך קבע המשרד, הלכה למעשה את</w:t>
      </w:r>
      <w:r>
        <w:rPr>
          <w:rFonts w:cs="David" w:hint="cs"/>
          <w:rtl/>
        </w:rPr>
        <w:t xml:space="preserve"> הסביבה, אשר בה חבירת הצדדים למיזם המשותפת הינה הדרך היעילה ביותר לקידום הפרויקט.</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19.</w:t>
      </w:r>
      <w:r>
        <w:rPr>
          <w:sz w:val="14"/>
          <w:szCs w:val="14"/>
          <w:rtl/>
        </w:rPr>
        <w:t xml:space="preserve">         </w:t>
      </w:r>
      <w:r>
        <w:rPr>
          <w:rFonts w:cs="David" w:hint="cs"/>
          <w:rtl/>
        </w:rPr>
        <w:t>בהחלטתי בעניין מיזם כלי הרכב הבלתי מאויישים הצבעתי על החשש לכרסום הדרגתי בתמריץ התחרות של התעשיות הבטחוניות לאורך זמן, העלול להביא לכך שבעתיד יימצא משרד הבטחון מול מגוון אפשרויות מצומצם יותר לקבלת מענה טכנולוגי לצרכיו המבצעיים המשתנים. דברים אלה יפים גם למ</w:t>
      </w:r>
      <w:r>
        <w:rPr>
          <w:rFonts w:cs="David" w:hint="cs"/>
          <w:rtl/>
        </w:rPr>
        <w:t xml:space="preserve">יזם הנוכחי, המעצים את האינטרס המשותף לשני הצדדים למיזם. ברי, כי מערכת הנסיבות החלה במקרה הנוכחי אינה פרי כוונה להחליש את התחרות בין הצדדים למיזם וכי הטעם העיקרי לה הוא אילוצי מימון של המשרד. יחד עם זאת, </w:t>
      </w:r>
      <w:r>
        <w:rPr>
          <w:rFonts w:cs="David" w:hint="cs"/>
          <w:sz w:val="22"/>
          <w:rtl/>
        </w:rPr>
        <w:t>מן הראוי, כי במיזמים עתידיים, ובמיוחד במיזמים עתירי ה</w:t>
      </w:r>
      <w:r>
        <w:rPr>
          <w:rFonts w:cs="David" w:hint="cs"/>
          <w:sz w:val="22"/>
          <w:rtl/>
        </w:rPr>
        <w:t>שקעה כספית, כבענייננו, ייתן משרד הבטחון דעתו מראש גם לחשש כי יצירת תנאים המעודדים חבירת התעשיות הביטחוניות למיזמים משותפים עלולה לפגוע, בסופו של יום, ביכולתו של המשרד לתחר בין התעשיות הביטחוניות השונות בעתיד.</w:t>
      </w:r>
      <w:r>
        <w:rPr>
          <w:rFonts w:cs="David" w:hint="cs"/>
          <w:rtl/>
        </w:rPr>
        <w:t xml:space="preserve"> </w:t>
      </w:r>
    </w:p>
    <w:p w:rsidR="00000000" w:rsidRDefault="006E5E5E">
      <w:pPr>
        <w:tabs>
          <w:tab w:val="num" w:pos="540"/>
        </w:tabs>
        <w:overflowPunct w:val="0"/>
        <w:bidi/>
        <w:adjustRightInd w:val="0"/>
        <w:spacing w:before="120"/>
        <w:ind w:left="540" w:hanging="540"/>
        <w:textAlignment w:val="baseline"/>
        <w:rPr>
          <w:rFonts w:cs="David" w:hint="cs"/>
        </w:rPr>
      </w:pPr>
      <w:r>
        <w:rPr>
          <w:rFonts w:hint="cs"/>
          <w:rtl/>
        </w:rPr>
        <w:t>20.</w:t>
      </w:r>
      <w:r>
        <w:rPr>
          <w:sz w:val="14"/>
          <w:szCs w:val="14"/>
          <w:rtl/>
        </w:rPr>
        <w:t xml:space="preserve">         </w:t>
      </w:r>
      <w:r>
        <w:rPr>
          <w:rFonts w:cs="David" w:hint="cs"/>
          <w:rtl/>
        </w:rPr>
        <w:t>עוד יוזכר, כי בהחלטתי במיזוג אלביט</w:t>
      </w:r>
      <w:r>
        <w:rPr>
          <w:rFonts w:cs="David" w:hint="cs"/>
          <w:rtl/>
        </w:rPr>
        <w:t>-אלישרא,</w:t>
      </w:r>
      <w:r>
        <w:rPr>
          <w:rStyle w:val="FootnoteReference"/>
          <w:rFonts w:cs="David"/>
          <w:rtl/>
        </w:rPr>
        <w:footnoteReference w:id="5"/>
      </w:r>
      <w:r>
        <w:rPr>
          <w:rStyle w:val="FootnoteReference"/>
          <w:rFonts w:eastAsia="Times New Roman" w:cs="David"/>
          <w:lang w:eastAsia="he-IL"/>
        </w:rPr>
        <w:t>[5]</w:t>
      </w:r>
      <w:r>
        <w:rPr>
          <w:rFonts w:cs="David" w:hint="cs"/>
          <w:rtl/>
        </w:rPr>
        <w:t xml:space="preserve"> נקבע כי ניתן יהיה לבחון את מצב התחרות בין אלביט לאלתא, שהיא חברה בת בבעלות מלאה של תע"א, בתוך חמש שנים ממועד ההחלטה, כך שאם יימצא כי עקב המיזוג פחתה התחרות ניתן יהיה להביא לסיום </w:t>
      </w:r>
      <w:r>
        <w:rPr>
          <w:rFonts w:cs="David" w:hint="cs"/>
          <w:rtl/>
        </w:rPr>
        <w:lastRenderedPageBreak/>
        <w:t>ההחזקה המשותפת בחברת אלתא, בהתאם למנגנון הקבוע באותה החלטה. בהקשר</w:t>
      </w:r>
      <w:r>
        <w:rPr>
          <w:rFonts w:cs="David" w:hint="cs"/>
          <w:rtl/>
        </w:rPr>
        <w:t xml:space="preserve"> זה יובהר, כי בכל בחינה כזו יילקח בחשבון גם שיתוף הפעולה הנוכחי.  </w:t>
      </w:r>
    </w:p>
    <w:p w:rsidR="00000000" w:rsidRDefault="006E5E5E">
      <w:pPr>
        <w:overflowPunct w:val="0"/>
        <w:bidi/>
        <w:adjustRightInd w:val="0"/>
        <w:spacing w:before="120"/>
        <w:textAlignment w:val="baseline"/>
        <w:rPr>
          <w:rFonts w:cs="David" w:hint="cs"/>
          <w:sz w:val="22"/>
          <w:rtl/>
        </w:rPr>
      </w:pPr>
    </w:p>
    <w:p w:rsidR="00000000" w:rsidRDefault="006E5E5E">
      <w:pPr>
        <w:overflowPunct w:val="0"/>
        <w:bidi/>
        <w:adjustRightInd w:val="0"/>
        <w:spacing w:before="120"/>
        <w:textAlignment w:val="baseline"/>
        <w:rPr>
          <w:rStyle w:val="Strong"/>
          <w:rFonts w:hint="cs"/>
          <w:rtl/>
        </w:rPr>
      </w:pPr>
      <w:r>
        <w:rPr>
          <w:rStyle w:val="Strong"/>
          <w:rFonts w:cs="David" w:hint="cs"/>
          <w:sz w:val="22"/>
          <w:rtl/>
        </w:rPr>
        <w:t>(ג) מן הכלל אל הפרט</w:t>
      </w:r>
    </w:p>
    <w:p w:rsidR="00000000" w:rsidRDefault="006E5E5E">
      <w:pPr>
        <w:tabs>
          <w:tab w:val="num" w:pos="540"/>
        </w:tabs>
        <w:overflowPunct w:val="0"/>
        <w:bidi/>
        <w:adjustRightInd w:val="0"/>
        <w:spacing w:before="120"/>
        <w:ind w:left="540" w:hanging="540"/>
        <w:textAlignment w:val="baseline"/>
        <w:rPr>
          <w:rFonts w:hint="cs"/>
        </w:rPr>
      </w:pPr>
      <w:r>
        <w:rPr>
          <w:rFonts w:hint="cs"/>
          <w:rtl/>
        </w:rPr>
        <w:t>21.</w:t>
      </w:r>
      <w:r>
        <w:rPr>
          <w:sz w:val="14"/>
          <w:szCs w:val="14"/>
          <w:rtl/>
        </w:rPr>
        <w:t xml:space="preserve">         </w:t>
      </w:r>
      <w:r>
        <w:rPr>
          <w:rStyle w:val="Strong"/>
          <w:rFonts w:cs="David" w:hint="cs"/>
          <w:rtl/>
        </w:rPr>
        <w:t>בהיבט התחרות בתחום המוצר עצמו</w:t>
      </w:r>
      <w:r>
        <w:rPr>
          <w:rFonts w:cs="David" w:hint="cs"/>
          <w:rtl/>
        </w:rPr>
        <w:t xml:space="preserve">, לא מן הנמנע כי לולא המיזם המשותף היו שני הצדדים למיזם מתחרים על מעמד הקבלן הראשי האחראי על אספקת מכלול השירותים. </w:t>
      </w:r>
      <w:r>
        <w:rPr>
          <w:rStyle w:val="Strong"/>
          <w:rFonts w:cs="David" w:hint="cs"/>
          <w:rtl/>
        </w:rPr>
        <w:t>בהיבט רחב יו</w:t>
      </w:r>
      <w:r>
        <w:rPr>
          <w:rStyle w:val="Strong"/>
          <w:rFonts w:cs="David" w:hint="cs"/>
          <w:rtl/>
        </w:rPr>
        <w:t>תר</w:t>
      </w:r>
      <w:r>
        <w:rPr>
          <w:rFonts w:cs="David" w:hint="cs"/>
          <w:rtl/>
        </w:rPr>
        <w:t>, נבדק החשש כי שיתוף הפעולה הנוכחי, על היקפו הכספי הגדול, עלול לצנן את התחרות בין הצדדים גם בתחומי פעילות אחרים.</w:t>
      </w:r>
    </w:p>
    <w:p w:rsidR="00000000" w:rsidRDefault="006E5E5E">
      <w:pPr>
        <w:overflowPunct w:val="0"/>
        <w:bidi/>
        <w:adjustRightInd w:val="0"/>
        <w:spacing w:before="120"/>
        <w:textAlignment w:val="baseline"/>
        <w:rPr>
          <w:rStyle w:val="Strong"/>
          <w:rFonts w:hint="cs"/>
        </w:rPr>
      </w:pPr>
      <w:r>
        <w:rPr>
          <w:rStyle w:val="Strong"/>
          <w:rFonts w:cs="David" w:hint="cs"/>
          <w:rtl/>
        </w:rPr>
        <w:t xml:space="preserve">(ד) התחרות על הפרויקט </w:t>
      </w:r>
    </w:p>
    <w:p w:rsidR="00000000" w:rsidRDefault="006E5E5E">
      <w:pPr>
        <w:tabs>
          <w:tab w:val="num" w:pos="540"/>
        </w:tabs>
        <w:overflowPunct w:val="0"/>
        <w:bidi/>
        <w:adjustRightInd w:val="0"/>
        <w:spacing w:before="120"/>
        <w:ind w:left="540" w:hanging="540"/>
        <w:textAlignment w:val="baseline"/>
        <w:rPr>
          <w:rFonts w:hint="cs"/>
        </w:rPr>
      </w:pPr>
      <w:r>
        <w:rPr>
          <w:rFonts w:hint="cs"/>
          <w:rtl/>
        </w:rPr>
        <w:t>22.</w:t>
      </w:r>
      <w:r>
        <w:rPr>
          <w:sz w:val="14"/>
          <w:szCs w:val="14"/>
          <w:rtl/>
        </w:rPr>
        <w:t xml:space="preserve">         </w:t>
      </w:r>
      <w:r>
        <w:rPr>
          <w:rFonts w:cs="David" w:hint="cs"/>
          <w:rtl/>
        </w:rPr>
        <w:t>חיל אוויר הוא המשתמש היחיד במערך אימונים מסוג זה בישראל. היות שסבב ההצטיידות של חיל האוויר בתחום מטוסי האי</w:t>
      </w:r>
      <w:r>
        <w:rPr>
          <w:rFonts w:cs="David" w:hint="cs"/>
          <w:rtl/>
        </w:rPr>
        <w:t xml:space="preserve">מון המתקדמים הוא עניין חד פעמי, שאינו צפוי להתרחש פעם נוספת במשך שנים רבות, יתמקד הדיון בהשפעת המיזם המשותף על מידת התחרות בפרויקט ההצטיידות הנוכחי.  </w:t>
      </w:r>
    </w:p>
    <w:p w:rsidR="00000000" w:rsidRDefault="006E5E5E">
      <w:pPr>
        <w:tabs>
          <w:tab w:val="num" w:pos="540"/>
        </w:tabs>
        <w:overflowPunct w:val="0"/>
        <w:bidi/>
        <w:adjustRightInd w:val="0"/>
        <w:spacing w:before="120"/>
        <w:ind w:left="540" w:hanging="540"/>
        <w:textAlignment w:val="baseline"/>
        <w:rPr>
          <w:rFonts w:hint="cs"/>
        </w:rPr>
      </w:pPr>
      <w:r>
        <w:rPr>
          <w:rFonts w:hint="cs"/>
          <w:rtl/>
        </w:rPr>
        <w:t>23.</w:t>
      </w:r>
      <w:r>
        <w:rPr>
          <w:sz w:val="14"/>
          <w:szCs w:val="14"/>
          <w:rtl/>
        </w:rPr>
        <w:t xml:space="preserve">         </w:t>
      </w:r>
      <w:r>
        <w:rPr>
          <w:rFonts w:cs="David" w:hint="cs"/>
          <w:rtl/>
        </w:rPr>
        <w:t>לא נדרשתי לגופו של מבנה הפרויקט כפי שנקבע על ידי משרד הבטחון, המפקיד בידי ספק השירותים את הכנ</w:t>
      </w:r>
      <w:r>
        <w:rPr>
          <w:rFonts w:cs="David" w:hint="cs"/>
          <w:rtl/>
        </w:rPr>
        <w:t>ת מערך האימון המתקדם במלואו, והנחת המוצא של בדיקתי היתה מערך הדרישות שקבע המשרד.</w:t>
      </w:r>
    </w:p>
    <w:p w:rsidR="00000000" w:rsidRDefault="006E5E5E">
      <w:pPr>
        <w:tabs>
          <w:tab w:val="num" w:pos="540"/>
        </w:tabs>
        <w:overflowPunct w:val="0"/>
        <w:bidi/>
        <w:adjustRightInd w:val="0"/>
        <w:spacing w:before="120"/>
        <w:ind w:left="540" w:hanging="540"/>
        <w:textAlignment w:val="baseline"/>
        <w:rPr>
          <w:rFonts w:hint="cs"/>
        </w:rPr>
      </w:pPr>
      <w:r>
        <w:rPr>
          <w:rFonts w:hint="cs"/>
          <w:rtl/>
        </w:rPr>
        <w:t>24.</w:t>
      </w:r>
      <w:r>
        <w:rPr>
          <w:sz w:val="14"/>
          <w:szCs w:val="14"/>
          <w:rtl/>
        </w:rPr>
        <w:t xml:space="preserve">         </w:t>
      </w:r>
      <w:r>
        <w:rPr>
          <w:rFonts w:cs="David" w:hint="cs"/>
          <w:rtl/>
        </w:rPr>
        <w:t>עם זאת, אבהיר, כי לו היה נמצא כי ניתן לקיים תחרות אפקטיבית בין שני הצדדים למיזם המשותף על תפקיד הקבלן הראשי וכי צורת תיחור זו היתה מביאה לחסכון במכלול העלויות, היה</w:t>
      </w:r>
      <w:r>
        <w:rPr>
          <w:rFonts w:cs="David" w:hint="cs"/>
          <w:rtl/>
        </w:rPr>
        <w:t xml:space="preserve"> מקום לשקול אי הענקת הפטור המבוקש. בבדיקת רשות ההגבלים העסקיים לא נמצא בסיס לקבוע כי כך הדבר בענייננו.</w:t>
      </w:r>
    </w:p>
    <w:p w:rsidR="00000000" w:rsidRDefault="006E5E5E">
      <w:pPr>
        <w:tabs>
          <w:tab w:val="num" w:pos="540"/>
        </w:tabs>
        <w:overflowPunct w:val="0"/>
        <w:bidi/>
        <w:adjustRightInd w:val="0"/>
        <w:spacing w:before="120"/>
        <w:ind w:left="540" w:hanging="540"/>
        <w:textAlignment w:val="baseline"/>
        <w:rPr>
          <w:rFonts w:hint="cs"/>
        </w:rPr>
      </w:pPr>
      <w:r>
        <w:rPr>
          <w:rFonts w:hint="cs"/>
          <w:rtl/>
        </w:rPr>
        <w:t>25.</w:t>
      </w:r>
      <w:r>
        <w:rPr>
          <w:sz w:val="14"/>
          <w:szCs w:val="14"/>
          <w:rtl/>
        </w:rPr>
        <w:t xml:space="preserve">         </w:t>
      </w:r>
      <w:r>
        <w:rPr>
          <w:rFonts w:cs="David" w:hint="cs"/>
          <w:rtl/>
        </w:rPr>
        <w:t>המשרד והצדדים הצביעו על יתרונותיה ויעילותה של החבירה המשותפת על פני התמודדות בנפרד על תפקיד הקבלן הראשי. עמדת המשרד הינה כי החבירה המשותפת, ה</w:t>
      </w:r>
      <w:r>
        <w:rPr>
          <w:rFonts w:cs="David" w:hint="cs"/>
          <w:rtl/>
        </w:rPr>
        <w:t xml:space="preserve">גם שאינה כוללת רכיב של מחקר ופיתוח, תביא לקיצור משמעותי במשך האספקה של המטוסים. לכך מייחס המשרד חשיבות עליונה בצל התיישנותו של מערך האימון הנוכחי. </w:t>
      </w:r>
    </w:p>
    <w:p w:rsidR="00000000" w:rsidRDefault="006E5E5E">
      <w:pPr>
        <w:tabs>
          <w:tab w:val="num" w:pos="540"/>
        </w:tabs>
        <w:overflowPunct w:val="0"/>
        <w:bidi/>
        <w:adjustRightInd w:val="0"/>
        <w:spacing w:before="120"/>
        <w:ind w:left="540" w:hanging="540"/>
        <w:textAlignment w:val="baseline"/>
        <w:rPr>
          <w:rFonts w:hint="cs"/>
        </w:rPr>
      </w:pPr>
      <w:r>
        <w:rPr>
          <w:rFonts w:hint="cs"/>
          <w:rtl/>
        </w:rPr>
        <w:t>26.</w:t>
      </w:r>
      <w:r>
        <w:rPr>
          <w:sz w:val="14"/>
          <w:szCs w:val="14"/>
          <w:rtl/>
        </w:rPr>
        <w:t xml:space="preserve">         </w:t>
      </w:r>
      <w:r>
        <w:rPr>
          <w:rFonts w:cs="David" w:hint="cs"/>
          <w:rtl/>
        </w:rPr>
        <w:t>בהקשר זה יוסבר עוד, כי לכל אחד מן הצדדים התמחויות בתחומים, המשלימים זה לזה, התופסים מקום מרכזי ב</w:t>
      </w:r>
      <w:r>
        <w:rPr>
          <w:rFonts w:cs="David" w:hint="cs"/>
          <w:rtl/>
        </w:rPr>
        <w:t>פרויקט, ולכל אחד מהם מעמד דומיננטי, ובחלק מהמקרים אף בלעדי, בתחומים אלה בישראל. בדיקתנו העלתה, כי לתע"א יכולות בלעדיות בישראל בתחום הרכבת המטוסים שבהם מדובר, ונוכח דרישת המשרד כי ההרכבה תתבצע בישראל, הרי שגם בתסריט שבו אלביט היתה קבלנית ראשית יחידה, היה לת</w:t>
      </w:r>
      <w:r>
        <w:rPr>
          <w:rFonts w:cs="David" w:hint="cs"/>
          <w:rtl/>
        </w:rPr>
        <w:t xml:space="preserve">ע"א חלק מהותי בפרויקט. בהיותה ספק יחיד של שירותי ההרכבה לא מן הנמנע כי תע"א היתה יכולה להשפיע גם על רמת המחירים של הפרויקט כולו. </w:t>
      </w:r>
    </w:p>
    <w:p w:rsidR="00000000" w:rsidRDefault="006E5E5E">
      <w:pPr>
        <w:tabs>
          <w:tab w:val="num" w:pos="540"/>
        </w:tabs>
        <w:overflowPunct w:val="0"/>
        <w:bidi/>
        <w:adjustRightInd w:val="0"/>
        <w:spacing w:before="120"/>
        <w:ind w:left="540" w:hanging="540"/>
        <w:textAlignment w:val="baseline"/>
        <w:rPr>
          <w:rFonts w:hint="cs"/>
        </w:rPr>
      </w:pPr>
      <w:r>
        <w:rPr>
          <w:rFonts w:hint="cs"/>
          <w:rtl/>
        </w:rPr>
        <w:t>27.</w:t>
      </w:r>
      <w:r>
        <w:rPr>
          <w:sz w:val="14"/>
          <w:szCs w:val="14"/>
          <w:rtl/>
        </w:rPr>
        <w:t xml:space="preserve">         </w:t>
      </w:r>
      <w:r>
        <w:rPr>
          <w:rFonts w:cs="David" w:hint="cs"/>
          <w:rtl/>
        </w:rPr>
        <w:t>במקביל, לאלביט המומחיות בתחום מאמני הטיסה (סימולטורים). אלביט זכתה בשנים האחרונות במכרזים בתחום זה, לרבות בתחום מע</w:t>
      </w:r>
      <w:r>
        <w:rPr>
          <w:rFonts w:cs="David" w:hint="cs"/>
          <w:rtl/>
        </w:rPr>
        <w:t xml:space="preserve">רך האימון הבסיסי. רמת המומחיות של תע"א בתחום זה כיום נמוכה משמעותית יחסית לזו של אלביט, והגברתה היתה כרוכה בעלויות רבות ובזמן ממושך, שאינו עומד לרשותה בתנאים הנוכחיים. </w:t>
      </w:r>
    </w:p>
    <w:p w:rsidR="00000000" w:rsidRDefault="006E5E5E">
      <w:pPr>
        <w:tabs>
          <w:tab w:val="num" w:pos="540"/>
        </w:tabs>
        <w:overflowPunct w:val="0"/>
        <w:bidi/>
        <w:adjustRightInd w:val="0"/>
        <w:spacing w:before="120"/>
        <w:ind w:left="540" w:hanging="540"/>
        <w:textAlignment w:val="baseline"/>
        <w:rPr>
          <w:rFonts w:hint="cs"/>
        </w:rPr>
      </w:pPr>
      <w:r>
        <w:rPr>
          <w:rFonts w:hint="cs"/>
          <w:rtl/>
        </w:rPr>
        <w:t>28.</w:t>
      </w:r>
      <w:r>
        <w:rPr>
          <w:sz w:val="14"/>
          <w:szCs w:val="14"/>
          <w:rtl/>
        </w:rPr>
        <w:t xml:space="preserve">         </w:t>
      </w:r>
      <w:r>
        <w:rPr>
          <w:rFonts w:cs="David" w:hint="cs"/>
          <w:rtl/>
        </w:rPr>
        <w:t>בנסיבות אלה, גם במצב שבו היו הצדדים מתמודדים זה מול זה על ניהול הפרויקט כול</w:t>
      </w:r>
      <w:r>
        <w:rPr>
          <w:rFonts w:cs="David" w:hint="cs"/>
          <w:rtl/>
        </w:rPr>
        <w:t>ו, היתה נוצרת לכל אחד מהם תלות משמעותית ברעהו, שהיה מספק לו תשומות כבדות משקל בפרויקט. תלות זו, שהיתה עשויה להתבטא בגביית רנטה על תחרותית הנובעת ממעמדו של ספק המשנה בתחום שבו הוא נהנה ממעמד דומיננטי, היתה מחלישה משמעותית את היכולת של כל אחד מהם לגבש הצעה ת</w:t>
      </w:r>
      <w:r>
        <w:rPr>
          <w:rFonts w:cs="David" w:hint="cs"/>
          <w:rtl/>
        </w:rPr>
        <w:t xml:space="preserve">חרותית. </w:t>
      </w:r>
    </w:p>
    <w:p w:rsidR="00000000" w:rsidRDefault="006E5E5E">
      <w:pPr>
        <w:tabs>
          <w:tab w:val="num" w:pos="540"/>
        </w:tabs>
        <w:overflowPunct w:val="0"/>
        <w:bidi/>
        <w:adjustRightInd w:val="0"/>
        <w:spacing w:before="120"/>
        <w:ind w:left="540" w:hanging="540"/>
        <w:textAlignment w:val="baseline"/>
        <w:rPr>
          <w:rFonts w:hint="cs"/>
        </w:rPr>
      </w:pPr>
      <w:r>
        <w:rPr>
          <w:rFonts w:hint="cs"/>
          <w:rtl/>
        </w:rPr>
        <w:t>29.</w:t>
      </w:r>
      <w:r>
        <w:rPr>
          <w:sz w:val="14"/>
          <w:szCs w:val="14"/>
          <w:rtl/>
        </w:rPr>
        <w:t xml:space="preserve">         </w:t>
      </w:r>
      <w:r>
        <w:rPr>
          <w:rFonts w:cs="David" w:hint="cs"/>
          <w:rtl/>
        </w:rPr>
        <w:t xml:space="preserve">מנגד, כאמור, תחת המודל המוצע, אינטגרציה בין יכולות משלימות אלה צפויה לקצר משמעותית את זמן השלמת הפרויקט, להפחית עלויות ולהבטיח את איכותו. </w:t>
      </w:r>
    </w:p>
    <w:p w:rsidR="00000000" w:rsidRDefault="006E5E5E">
      <w:pPr>
        <w:tabs>
          <w:tab w:val="num" w:pos="540"/>
        </w:tabs>
        <w:overflowPunct w:val="0"/>
        <w:bidi/>
        <w:adjustRightInd w:val="0"/>
        <w:spacing w:before="120"/>
        <w:ind w:left="540" w:hanging="540"/>
        <w:textAlignment w:val="baseline"/>
        <w:rPr>
          <w:rFonts w:hint="cs"/>
        </w:rPr>
      </w:pPr>
      <w:r>
        <w:rPr>
          <w:rFonts w:hint="cs"/>
          <w:rtl/>
        </w:rPr>
        <w:t>30.</w:t>
      </w:r>
      <w:r>
        <w:rPr>
          <w:sz w:val="14"/>
          <w:szCs w:val="14"/>
          <w:rtl/>
        </w:rPr>
        <w:t xml:space="preserve">         </w:t>
      </w:r>
      <w:r>
        <w:rPr>
          <w:rFonts w:cs="David" w:hint="cs"/>
          <w:rtl/>
        </w:rPr>
        <w:t>על כל אלה יש להוסיף את מעמדו של מזמין הפרויקט, משרד הבטחון. שקיפות העלויות בפני משרד</w:t>
      </w:r>
      <w:r>
        <w:rPr>
          <w:rFonts w:cs="David" w:hint="cs"/>
          <w:rtl/>
        </w:rPr>
        <w:t xml:space="preserve"> הבטחון והצורך בקבלת אישורו בטרם כל התקשרות מקנה לו מעמד מרכזי ביותר ויכולות פיקוח ובקרה על הצדדים, דבר שצפוי להגביל את יכולתו של המיזם המשותף ליצור מרווח על תחרותי בנוגע לעלות המטוסים וחלקי החילוף.</w:t>
      </w:r>
    </w:p>
    <w:p w:rsidR="00000000" w:rsidRDefault="006E5E5E">
      <w:pPr>
        <w:tabs>
          <w:tab w:val="num" w:pos="540"/>
        </w:tabs>
        <w:overflowPunct w:val="0"/>
        <w:bidi/>
        <w:adjustRightInd w:val="0"/>
        <w:spacing w:before="120"/>
        <w:ind w:left="540" w:hanging="540"/>
        <w:textAlignment w:val="baseline"/>
        <w:rPr>
          <w:rFonts w:hint="cs"/>
        </w:rPr>
      </w:pPr>
      <w:r>
        <w:rPr>
          <w:rFonts w:hint="cs"/>
          <w:rtl/>
        </w:rPr>
        <w:t>31.</w:t>
      </w:r>
      <w:r>
        <w:rPr>
          <w:sz w:val="14"/>
          <w:szCs w:val="14"/>
          <w:rtl/>
        </w:rPr>
        <w:t xml:space="preserve">         </w:t>
      </w:r>
      <w:r>
        <w:rPr>
          <w:rFonts w:cs="David" w:hint="cs"/>
          <w:rtl/>
        </w:rPr>
        <w:t>כאמור לעיל, המיזם המשותף הנוכחי הוא פרי יוזמה</w:t>
      </w:r>
      <w:r>
        <w:rPr>
          <w:rFonts w:cs="David" w:hint="cs"/>
          <w:rtl/>
        </w:rPr>
        <w:t xml:space="preserve"> של הלקוח, משרד הבטחון, אשר בדק ומצא כי במכלול המשתנים הרלוונטיים, ובכללם שיקולי מימון, משקלו המשמעותי של רכיב הפלטפורמות בעלות הפרויקט והבטחת יכולת הרכבה ותחזוקה מקומית, חבירת </w:t>
      </w:r>
      <w:r>
        <w:rPr>
          <w:rFonts w:cs="David" w:hint="cs"/>
          <w:rtl/>
        </w:rPr>
        <w:lastRenderedPageBreak/>
        <w:t>הצדדים היא האופציה היעילה ביותר. בנסיבות העניין לא מצאתי מקום לחלוק על עמדה זו.</w:t>
      </w:r>
    </w:p>
    <w:p w:rsidR="00000000" w:rsidRDefault="006E5E5E">
      <w:pPr>
        <w:overflowPunct w:val="0"/>
        <w:bidi/>
        <w:adjustRightInd w:val="0"/>
        <w:spacing w:before="120"/>
        <w:textAlignment w:val="baseline"/>
        <w:rPr>
          <w:rStyle w:val="Strong"/>
          <w:rFonts w:cs="David" w:hint="cs"/>
        </w:rPr>
      </w:pPr>
    </w:p>
    <w:p w:rsidR="00000000" w:rsidRDefault="006E5E5E">
      <w:pPr>
        <w:overflowPunct w:val="0"/>
        <w:bidi/>
        <w:adjustRightInd w:val="0"/>
        <w:spacing w:before="120"/>
        <w:textAlignment w:val="baseline"/>
        <w:rPr>
          <w:rFonts w:hint="cs"/>
          <w:rtl/>
        </w:rPr>
      </w:pPr>
      <w:r>
        <w:rPr>
          <w:rStyle w:val="Strong"/>
          <w:rFonts w:cs="David" w:hint="cs"/>
          <w:rtl/>
        </w:rPr>
        <w:t xml:space="preserve">(ה) התחרות מחוץ לתחום המוצר </w:t>
      </w:r>
    </w:p>
    <w:p w:rsidR="00000000" w:rsidRDefault="006E5E5E">
      <w:pPr>
        <w:tabs>
          <w:tab w:val="num" w:pos="540"/>
        </w:tabs>
        <w:overflowPunct w:val="0"/>
        <w:bidi/>
        <w:adjustRightInd w:val="0"/>
        <w:spacing w:before="120"/>
        <w:ind w:left="540" w:hanging="540"/>
        <w:textAlignment w:val="baseline"/>
        <w:rPr>
          <w:rFonts w:hint="cs"/>
          <w:rtl/>
        </w:rPr>
      </w:pPr>
      <w:r>
        <w:rPr>
          <w:rFonts w:hint="cs"/>
          <w:rtl/>
        </w:rPr>
        <w:t>32.</w:t>
      </w:r>
      <w:r>
        <w:rPr>
          <w:sz w:val="14"/>
          <w:szCs w:val="14"/>
          <w:rtl/>
        </w:rPr>
        <w:t xml:space="preserve">         </w:t>
      </w:r>
      <w:r>
        <w:rPr>
          <w:rFonts w:cs="David" w:hint="cs"/>
          <w:rtl/>
        </w:rPr>
        <w:t>כאמור לעיל, ענייננו בשיתוף פעולה בין שתי החברות הביטחוניות הגדולות בישראל, המתחרות ביניהן במגוון רחב של תחומים, כגון פיתוח וייצור כלי טיס בלתי מאויישים, מערכות שליטה ובקרה ועוד. שתי החברות</w:t>
      </w:r>
      <w:r>
        <w:rPr>
          <w:rFonts w:hint="cs"/>
        </w:rPr>
        <w:t xml:space="preserve"> </w:t>
      </w:r>
      <w:r>
        <w:rPr>
          <w:rFonts w:cs="David" w:hint="cs"/>
          <w:rtl/>
        </w:rPr>
        <w:t xml:space="preserve">פועלות כקבלן ראשי – </w:t>
      </w:r>
      <w:r>
        <w:rPr>
          <w:rFonts w:cs="David" w:hint="cs"/>
          <w:rtl/>
        </w:rPr>
        <w:t xml:space="preserve">אינטגרטור במגוון פרויקטים בארץ ובעולם. עיקר התחרות בין החברות היא על פיתוח מערכות בתחומים אלה ויתכן שבעתיד גם בתחומים אחרים. </w:t>
      </w:r>
    </w:p>
    <w:p w:rsidR="00000000" w:rsidRDefault="006E5E5E">
      <w:pPr>
        <w:tabs>
          <w:tab w:val="num" w:pos="540"/>
        </w:tabs>
        <w:overflowPunct w:val="0"/>
        <w:bidi/>
        <w:adjustRightInd w:val="0"/>
        <w:spacing w:before="120"/>
        <w:ind w:left="540" w:hanging="540"/>
        <w:textAlignment w:val="baseline"/>
        <w:rPr>
          <w:rFonts w:hint="cs"/>
        </w:rPr>
      </w:pPr>
      <w:r>
        <w:rPr>
          <w:rFonts w:hint="cs"/>
          <w:rtl/>
        </w:rPr>
        <w:t>33.</w:t>
      </w:r>
      <w:r>
        <w:rPr>
          <w:sz w:val="14"/>
          <w:szCs w:val="14"/>
          <w:rtl/>
        </w:rPr>
        <w:t xml:space="preserve">         </w:t>
      </w:r>
      <w:r>
        <w:rPr>
          <w:rFonts w:cs="David" w:hint="cs"/>
          <w:sz w:val="22"/>
          <w:rtl/>
        </w:rPr>
        <w:t xml:space="preserve">ככלל, מיזם משותף בין מתחרים מסוגם של הצדדים דנן מעורר חששות לפגיעה בתחרות מחוץ לתחום המוצר בשני היבטים עיקריים: יצירת </w:t>
      </w:r>
      <w:r>
        <w:rPr>
          <w:rFonts w:cs="David" w:hint="cs"/>
          <w:sz w:val="22"/>
          <w:rtl/>
        </w:rPr>
        <w:t xml:space="preserve">שיתוף בטכנולוגיה ובקניין רוחני, המגביל את יכולתו של כל אחד מן הצדדים לעשות בהם שימוש עצמאי  מחוץ לגדרי המיזם ויצירת אינטרס משותף, שיהיה בו כדי להקהות את המוטיבציה של הצדדים להתחרות זה בזה. </w:t>
      </w:r>
    </w:p>
    <w:p w:rsidR="00000000" w:rsidRDefault="006E5E5E">
      <w:pPr>
        <w:tabs>
          <w:tab w:val="num" w:pos="540"/>
        </w:tabs>
        <w:overflowPunct w:val="0"/>
        <w:bidi/>
        <w:adjustRightInd w:val="0"/>
        <w:spacing w:before="120"/>
        <w:ind w:left="540" w:hanging="540"/>
        <w:textAlignment w:val="baseline"/>
        <w:rPr>
          <w:rFonts w:hint="cs"/>
        </w:rPr>
      </w:pPr>
      <w:r>
        <w:rPr>
          <w:rFonts w:hint="cs"/>
          <w:rtl/>
        </w:rPr>
        <w:t>34.</w:t>
      </w:r>
      <w:r>
        <w:rPr>
          <w:sz w:val="14"/>
          <w:szCs w:val="14"/>
          <w:rtl/>
        </w:rPr>
        <w:t xml:space="preserve">         </w:t>
      </w:r>
      <w:r>
        <w:rPr>
          <w:rFonts w:cs="David" w:hint="cs"/>
          <w:sz w:val="22"/>
          <w:rtl/>
        </w:rPr>
        <w:t>בנסיבות העניין הנוכחי החשש הראשון אינו מתקיים. הפרויקט הנוכחי אינו כולל השקעה משמעותית במחקר ופיתוח ואינו צפוי ליצור יכולות טכנולוגיות חדשות, לא כל שכן שיתוף בזכויות הקניין הרוחני הנוגעות לפיתוחים כלשהם, ככל שיווצרו במהלך הפרויקט. הפרויקט מורכב, בעיקרו, מי</w:t>
      </w:r>
      <w:r>
        <w:rPr>
          <w:rFonts w:cs="David" w:hint="cs"/>
          <w:sz w:val="22"/>
          <w:rtl/>
        </w:rPr>
        <w:t xml:space="preserve">כולות "מדף" של כל אחד מן הצדדים ובכל מקרה אינו כולל הגבלה או תלות הדדית בכל הנוגע לשימוש בפיתוחים אלה. </w:t>
      </w:r>
    </w:p>
    <w:p w:rsidR="00000000" w:rsidRDefault="006E5E5E">
      <w:pPr>
        <w:tabs>
          <w:tab w:val="num" w:pos="540"/>
        </w:tabs>
        <w:overflowPunct w:val="0"/>
        <w:bidi/>
        <w:adjustRightInd w:val="0"/>
        <w:spacing w:before="120"/>
        <w:ind w:left="540" w:hanging="540"/>
        <w:textAlignment w:val="baseline"/>
        <w:rPr>
          <w:rFonts w:hint="cs"/>
        </w:rPr>
      </w:pPr>
      <w:r>
        <w:rPr>
          <w:rFonts w:hint="cs"/>
          <w:rtl/>
        </w:rPr>
        <w:t>35.</w:t>
      </w:r>
      <w:r>
        <w:rPr>
          <w:sz w:val="14"/>
          <w:szCs w:val="14"/>
          <w:rtl/>
        </w:rPr>
        <w:t xml:space="preserve">         </w:t>
      </w:r>
      <w:r>
        <w:rPr>
          <w:rFonts w:cs="David" w:hint="cs"/>
          <w:sz w:val="22"/>
          <w:rtl/>
        </w:rPr>
        <w:t>באשר לחשש להקהיית התחרות בין הצדדים מעצם קיומו של אינטרס כלכלי משותף בהיקף כספי נרחב, הרי על אף שלא ניתן לשלול חשש זה מן היסוד, בענייננו מתק</w:t>
      </w:r>
      <w:r>
        <w:rPr>
          <w:rFonts w:cs="David" w:hint="cs"/>
          <w:sz w:val="22"/>
          <w:rtl/>
        </w:rPr>
        <w:t xml:space="preserve">יימות נסיבות המצמצמות חשש זה במידה ניכרת. </w:t>
      </w:r>
    </w:p>
    <w:p w:rsidR="00000000" w:rsidRDefault="006E5E5E">
      <w:pPr>
        <w:tabs>
          <w:tab w:val="num" w:pos="540"/>
        </w:tabs>
        <w:overflowPunct w:val="0"/>
        <w:bidi/>
        <w:adjustRightInd w:val="0"/>
        <w:spacing w:before="120"/>
        <w:ind w:left="540" w:hanging="540"/>
        <w:textAlignment w:val="baseline"/>
        <w:rPr>
          <w:rFonts w:hint="cs"/>
        </w:rPr>
      </w:pPr>
      <w:r>
        <w:rPr>
          <w:rFonts w:hint="cs"/>
          <w:rtl/>
        </w:rPr>
        <w:t>36.</w:t>
      </w:r>
      <w:r>
        <w:rPr>
          <w:sz w:val="14"/>
          <w:szCs w:val="14"/>
          <w:rtl/>
        </w:rPr>
        <w:t xml:space="preserve">         </w:t>
      </w:r>
      <w:r>
        <w:rPr>
          <w:rFonts w:cs="David" w:hint="cs"/>
          <w:sz w:val="22"/>
          <w:rtl/>
        </w:rPr>
        <w:t>מאפייניו של תחום ההצטיידות הבטחונית, מקשים על יצירת מצב של שיווי משקל "נוח" לצדדים. תחום התעשיות הביטחוניות מאופיין בלקוחות מתוחכמים, בהתקשרויות ארוכות טווח בהיקפים גדולים ובתדירות נמוכה, בדרך כלל במסג</w:t>
      </w:r>
      <w:r>
        <w:rPr>
          <w:rFonts w:cs="David" w:hint="cs"/>
          <w:sz w:val="22"/>
          <w:rtl/>
        </w:rPr>
        <w:t xml:space="preserve">רת הליכי מכרז. ההוצאות הכבדות הכרוכות בהצטיידות בטחונית מביאות לכך שהלקוח משקיע בדרך כלל מאמץ רב בניהול הליך תיחור אגרסיבי. </w:t>
      </w:r>
    </w:p>
    <w:p w:rsidR="00000000" w:rsidRDefault="006E5E5E">
      <w:pPr>
        <w:tabs>
          <w:tab w:val="num" w:pos="540"/>
        </w:tabs>
        <w:overflowPunct w:val="0"/>
        <w:bidi/>
        <w:adjustRightInd w:val="0"/>
        <w:spacing w:before="120"/>
        <w:ind w:left="540" w:hanging="540"/>
        <w:textAlignment w:val="baseline"/>
        <w:rPr>
          <w:rFonts w:hint="cs"/>
        </w:rPr>
      </w:pPr>
      <w:r>
        <w:rPr>
          <w:rFonts w:hint="cs"/>
          <w:rtl/>
        </w:rPr>
        <w:t>37.</w:t>
      </w:r>
      <w:r>
        <w:rPr>
          <w:sz w:val="14"/>
          <w:szCs w:val="14"/>
          <w:rtl/>
        </w:rPr>
        <w:t xml:space="preserve">         </w:t>
      </w:r>
      <w:r>
        <w:rPr>
          <w:rFonts w:cs="David" w:hint="cs"/>
          <w:sz w:val="22"/>
          <w:rtl/>
        </w:rPr>
        <w:t xml:space="preserve">מעבר לכך, התחרות בין הצדדים מאופיינת בעיקרה בפיתוחי טכנולוגיה ובמתן מענה מתקדם לצרכים בטחוניים משתנים, כאשר חלקו הגדול </w:t>
      </w:r>
      <w:r>
        <w:rPr>
          <w:rFonts w:cs="David" w:hint="cs"/>
          <w:sz w:val="22"/>
          <w:rtl/>
        </w:rPr>
        <w:t>של הביקוש מקורו בלקוחות בשווקים הגלובליים שבהם פועלים מתחרים חזקים נוספים. בלא שמירה על כושר תחרות תחום המחקר והפיתוח בתחומי הפעילות השונים, בשווקים הבינלאומיים, כל אחד מן הצדדים למיזם המשותף יתקשה לשמור על מעמדו ועל יכולתו באותו תחום</w:t>
      </w:r>
      <w:r>
        <w:rPr>
          <w:rFonts w:cs="David" w:hint="cs"/>
          <w:rtl/>
        </w:rPr>
        <w:t xml:space="preserve"> בשווקים אלה. </w:t>
      </w:r>
    </w:p>
    <w:p w:rsidR="00000000" w:rsidRDefault="006E5E5E">
      <w:pPr>
        <w:tabs>
          <w:tab w:val="num" w:pos="540"/>
        </w:tabs>
        <w:overflowPunct w:val="0"/>
        <w:bidi/>
        <w:adjustRightInd w:val="0"/>
        <w:spacing w:before="120"/>
        <w:ind w:left="540" w:hanging="540"/>
        <w:textAlignment w:val="baseline"/>
        <w:rPr>
          <w:rFonts w:hint="cs"/>
        </w:rPr>
      </w:pPr>
      <w:r>
        <w:rPr>
          <w:rFonts w:hint="cs"/>
          <w:rtl/>
        </w:rPr>
        <w:t>38.</w:t>
      </w:r>
      <w:r>
        <w:rPr>
          <w:sz w:val="14"/>
          <w:szCs w:val="14"/>
          <w:rtl/>
        </w:rPr>
        <w:t>    </w:t>
      </w:r>
      <w:r>
        <w:rPr>
          <w:sz w:val="14"/>
          <w:szCs w:val="14"/>
          <w:rtl/>
        </w:rPr>
        <w:t xml:space="preserve">     </w:t>
      </w:r>
      <w:r>
        <w:rPr>
          <w:rFonts w:cs="David" w:hint="cs"/>
          <w:rtl/>
        </w:rPr>
        <w:t>התמודדות עצמאית על לבם של צרכנים בארץ ובעולם חיונית אפוא כדי לשמור על ליבת הפעילות של כל אחד מן הצדדים, במיוחד לאור העובדה ש</w:t>
      </w:r>
      <w:r>
        <w:rPr>
          <w:rFonts w:cs="David" w:hint="cs"/>
          <w:sz w:val="22"/>
          <w:rtl/>
        </w:rPr>
        <w:t xml:space="preserve">בשווקים הבינלאומיים, שבהם מתמודדים הצדדים, פועלות עוד מספר חברות ענק המציגות תחרות </w:t>
      </w:r>
      <w:r>
        <w:rPr>
          <w:rFonts w:cs="David" w:hint="cs"/>
          <w:rtl/>
        </w:rPr>
        <w:t xml:space="preserve">קשה. </w:t>
      </w:r>
    </w:p>
    <w:p w:rsidR="00000000" w:rsidRDefault="006E5E5E">
      <w:pPr>
        <w:tabs>
          <w:tab w:val="num" w:pos="540"/>
        </w:tabs>
        <w:overflowPunct w:val="0"/>
        <w:bidi/>
        <w:adjustRightInd w:val="0"/>
        <w:spacing w:before="120"/>
        <w:ind w:left="540" w:hanging="540"/>
        <w:textAlignment w:val="baseline"/>
        <w:rPr>
          <w:rFonts w:hint="cs"/>
        </w:rPr>
      </w:pPr>
      <w:r>
        <w:rPr>
          <w:rFonts w:hint="cs"/>
          <w:rtl/>
        </w:rPr>
        <w:t>39.</w:t>
      </w:r>
      <w:r>
        <w:rPr>
          <w:sz w:val="14"/>
          <w:szCs w:val="14"/>
          <w:rtl/>
        </w:rPr>
        <w:t xml:space="preserve">         </w:t>
      </w:r>
      <w:r>
        <w:rPr>
          <w:rFonts w:cs="David" w:hint="cs"/>
          <w:sz w:val="22"/>
          <w:rtl/>
        </w:rPr>
        <w:t>ואכן, הצדדים והמשרד, המצוי</w:t>
      </w:r>
      <w:r>
        <w:rPr>
          <w:rFonts w:cs="David" w:hint="cs"/>
          <w:sz w:val="22"/>
          <w:rtl/>
        </w:rPr>
        <w:t xml:space="preserve"> היטב במתרחש בתחום התעשיות הביטחוניות, הצביעו על כך שבין הצדדים למיזם מתקיימת כל העת תחרות ממשית על לבם של לקוחות בישראל ומחוצה לה, וזאת למרות קיומם של מיזמים המשותפים לחברות גם כיום, כגון מיזם כלי הרכב הבלתי מאוישים.</w:t>
      </w:r>
    </w:p>
    <w:p w:rsidR="00000000" w:rsidRDefault="006E5E5E">
      <w:pPr>
        <w:tabs>
          <w:tab w:val="num" w:pos="540"/>
        </w:tabs>
        <w:overflowPunct w:val="0"/>
        <w:bidi/>
        <w:adjustRightInd w:val="0"/>
        <w:spacing w:before="120"/>
        <w:ind w:left="540" w:hanging="540"/>
        <w:textAlignment w:val="baseline"/>
        <w:rPr>
          <w:rFonts w:hint="cs"/>
        </w:rPr>
      </w:pPr>
      <w:r>
        <w:rPr>
          <w:rFonts w:hint="cs"/>
          <w:rtl/>
        </w:rPr>
        <w:t>40.</w:t>
      </w:r>
      <w:r>
        <w:rPr>
          <w:sz w:val="14"/>
          <w:szCs w:val="14"/>
          <w:rtl/>
        </w:rPr>
        <w:t xml:space="preserve">         </w:t>
      </w:r>
      <w:r>
        <w:rPr>
          <w:rFonts w:cs="David" w:hint="cs"/>
          <w:rtl/>
        </w:rPr>
        <w:t>מעבר לכך, למרות היקפו הגדו</w:t>
      </w:r>
      <w:r>
        <w:rPr>
          <w:rFonts w:cs="David" w:hint="cs"/>
          <w:rtl/>
        </w:rPr>
        <w:t xml:space="preserve">ל של הפרויקט, פרויקט זה אינו אלא רכיב אחד במכלול רחב בהרבה של פעילות כל אחד מן הצדדים. נתון זה, כשהוא משתלב עם אופי התנהלות תחום התעשיות הביטחוניות מקטין את החשש לצינון התחרות בין הצדדים. </w:t>
      </w:r>
    </w:p>
    <w:p w:rsidR="00000000" w:rsidRDefault="006E5E5E">
      <w:pPr>
        <w:tabs>
          <w:tab w:val="num" w:pos="540"/>
        </w:tabs>
        <w:overflowPunct w:val="0"/>
        <w:bidi/>
        <w:adjustRightInd w:val="0"/>
        <w:spacing w:before="120"/>
        <w:ind w:left="540" w:hanging="540"/>
        <w:textAlignment w:val="baseline"/>
        <w:rPr>
          <w:rFonts w:hint="cs"/>
        </w:rPr>
      </w:pPr>
      <w:r>
        <w:rPr>
          <w:rFonts w:hint="cs"/>
          <w:rtl/>
        </w:rPr>
        <w:t>41.</w:t>
      </w:r>
      <w:r>
        <w:rPr>
          <w:sz w:val="14"/>
          <w:szCs w:val="14"/>
          <w:rtl/>
        </w:rPr>
        <w:t xml:space="preserve">         </w:t>
      </w:r>
      <w:r>
        <w:rPr>
          <w:rFonts w:cs="David" w:hint="cs"/>
          <w:rtl/>
        </w:rPr>
        <w:t>יחד עם זאת, ובהמשך לנאמר בסעיף 3(ב) לעיל, מיזמים משותפי</w:t>
      </w:r>
      <w:r>
        <w:rPr>
          <w:rFonts w:cs="David" w:hint="cs"/>
          <w:rtl/>
        </w:rPr>
        <w:t>ם בין תעשיות בטחוניות מגיעים לפתחה של רשות ההגבלים העסקיים בתדירות גבוהה יחסית. בבחינת המיזמים המשותפים ניתן משקל, בין היתר, למצב התחרות בשוק. ככל שתמונת המצב התחרותית תצביע על היחלשות התחרות בין התעשיות הביטחוניות בכלל או בין הצדדים למיזם הנוכחי בפרט, יהי</w:t>
      </w:r>
      <w:r>
        <w:rPr>
          <w:rFonts w:cs="David" w:hint="cs"/>
          <w:rtl/>
        </w:rPr>
        <w:t xml:space="preserve">ה לכך משקל בבחינת שיתופי פעולה עתידיים בתחום זה. </w:t>
      </w:r>
    </w:p>
    <w:p w:rsidR="00000000" w:rsidRDefault="006E5E5E">
      <w:pPr>
        <w:tabs>
          <w:tab w:val="num" w:pos="540"/>
        </w:tabs>
        <w:overflowPunct w:val="0"/>
        <w:bidi/>
        <w:adjustRightInd w:val="0"/>
        <w:spacing w:before="120"/>
        <w:ind w:left="540" w:hanging="540"/>
        <w:textAlignment w:val="baseline"/>
        <w:rPr>
          <w:rFonts w:hint="cs"/>
        </w:rPr>
      </w:pPr>
      <w:r>
        <w:rPr>
          <w:rFonts w:hint="cs"/>
          <w:rtl/>
        </w:rPr>
        <w:t>42.</w:t>
      </w:r>
      <w:r>
        <w:rPr>
          <w:sz w:val="14"/>
          <w:szCs w:val="14"/>
          <w:rtl/>
        </w:rPr>
        <w:t xml:space="preserve">         </w:t>
      </w:r>
      <w:r>
        <w:rPr>
          <w:rFonts w:cs="David" w:hint="cs"/>
          <w:rtl/>
        </w:rPr>
        <w:t xml:space="preserve">סיכומו של דבר, לאחר בדיקת הבקשה באתי לידי מסקנה כי המיזם המשותף יוכל לספק לחיל האוויר מענה מהיר ומיטבי לצורך הדחוף בהחלפת מערך האימון המתקדם. עוד </w:t>
      </w:r>
      <w:r>
        <w:rPr>
          <w:rFonts w:cs="David" w:hint="cs"/>
          <w:rtl/>
        </w:rPr>
        <w:lastRenderedPageBreak/>
        <w:t>מצאתי, כי בכפוף לתנאים המפורטים להלן, המיזם המשו</w:t>
      </w:r>
      <w:r>
        <w:rPr>
          <w:rFonts w:cs="David" w:hint="cs"/>
          <w:rtl/>
        </w:rPr>
        <w:t>תף אינו צפוי לפגוע פגיעה של ממש בתחרות בתחום המוצר או מחוצה לה.</w:t>
      </w:r>
    </w:p>
    <w:p w:rsidR="00000000" w:rsidRDefault="006E5E5E">
      <w:pPr>
        <w:pStyle w:val="Header"/>
        <w:tabs>
          <w:tab w:val="left" w:pos="720"/>
          <w:tab w:val="center" w:pos="4153"/>
          <w:tab w:val="right" w:pos="8306"/>
        </w:tabs>
        <w:bidi/>
        <w:spacing w:before="120" w:beforeAutospacing="0" w:after="0" w:afterAutospacing="0"/>
        <w:rPr>
          <w:rStyle w:val="Strong"/>
          <w:rFonts w:cs="David" w:hint="cs"/>
          <w:sz w:val="26"/>
          <w:szCs w:val="26"/>
        </w:rPr>
      </w:pPr>
    </w:p>
    <w:p w:rsidR="00000000" w:rsidRDefault="006E5E5E">
      <w:pPr>
        <w:pStyle w:val="Header"/>
        <w:tabs>
          <w:tab w:val="left" w:pos="720"/>
          <w:tab w:val="center" w:pos="4153"/>
          <w:tab w:val="right" w:pos="8306"/>
        </w:tabs>
        <w:bidi/>
        <w:spacing w:before="120" w:beforeAutospacing="0" w:after="0" w:afterAutospacing="0"/>
        <w:rPr>
          <w:rFonts w:hint="cs"/>
          <w:sz w:val="28"/>
          <w:szCs w:val="28"/>
          <w:rtl/>
        </w:rPr>
      </w:pPr>
      <w:r>
        <w:rPr>
          <w:rStyle w:val="Strong"/>
          <w:rFonts w:cs="David" w:hint="cs"/>
          <w:sz w:val="26"/>
          <w:szCs w:val="26"/>
          <w:rtl/>
        </w:rPr>
        <w:t>5</w:t>
      </w:r>
      <w:r>
        <w:rPr>
          <w:rStyle w:val="Strong"/>
          <w:rFonts w:cs="David" w:hint="cs"/>
          <w:sz w:val="28"/>
          <w:szCs w:val="28"/>
          <w:rtl/>
        </w:rPr>
        <w:t xml:space="preserve">. סוף דבר ותנאים </w:t>
      </w:r>
    </w:p>
    <w:p w:rsidR="00000000" w:rsidRDefault="006E5E5E">
      <w:pPr>
        <w:bidi/>
        <w:spacing w:before="120"/>
        <w:rPr>
          <w:rFonts w:cs="David" w:hint="cs"/>
          <w:rtl/>
        </w:rPr>
      </w:pPr>
      <w:r>
        <w:rPr>
          <w:rFonts w:cs="David" w:hint="cs"/>
          <w:rtl/>
        </w:rPr>
        <w:t xml:space="preserve">לאחר שנועצתי בוועדה לפטורים ולמיזוגים ראיתי לנכון להשתמש בסמכות הנתונה לי בסעיף 14 לחוק ולהעניק את הפטור המבוקש בכפוף לתנאים הבאים:  </w:t>
      </w:r>
    </w:p>
    <w:p w:rsidR="00000000" w:rsidRDefault="006E5E5E">
      <w:pPr>
        <w:tabs>
          <w:tab w:val="num" w:pos="720"/>
        </w:tabs>
        <w:bidi/>
        <w:spacing w:before="120"/>
        <w:ind w:left="720" w:hanging="360"/>
        <w:rPr>
          <w:rFonts w:cs="David" w:hint="cs"/>
          <w:rtl/>
        </w:rPr>
      </w:pPr>
      <w:r>
        <w:rPr>
          <w:rFonts w:hint="cs"/>
          <w:rtl/>
        </w:rPr>
        <w:t>(1)</w:t>
      </w:r>
      <w:r>
        <w:rPr>
          <w:sz w:val="14"/>
          <w:szCs w:val="14"/>
          <w:rtl/>
        </w:rPr>
        <w:t xml:space="preserve">     </w:t>
      </w:r>
      <w:r>
        <w:rPr>
          <w:rFonts w:cs="David" w:hint="cs"/>
          <w:rtl/>
        </w:rPr>
        <w:t xml:space="preserve">כל פעילות משותפת הנוגעת למיזם </w:t>
      </w:r>
      <w:r>
        <w:rPr>
          <w:rFonts w:cs="David" w:hint="cs"/>
          <w:rtl/>
        </w:rPr>
        <w:t>המשותף תתבצע באמצעות התאגיד המשותף בלבד.</w:t>
      </w:r>
    </w:p>
    <w:p w:rsidR="00000000" w:rsidRDefault="006E5E5E">
      <w:pPr>
        <w:tabs>
          <w:tab w:val="num" w:pos="720"/>
        </w:tabs>
        <w:bidi/>
        <w:spacing w:before="120"/>
        <w:ind w:left="720" w:hanging="360"/>
        <w:rPr>
          <w:rFonts w:hint="cs"/>
          <w:rtl/>
        </w:rPr>
      </w:pPr>
      <w:r>
        <w:rPr>
          <w:rFonts w:hint="cs"/>
          <w:rtl/>
        </w:rPr>
        <w:t>(2)</w:t>
      </w:r>
      <w:r>
        <w:rPr>
          <w:sz w:val="14"/>
          <w:szCs w:val="14"/>
          <w:rtl/>
        </w:rPr>
        <w:t xml:space="preserve">     </w:t>
      </w:r>
      <w:r>
        <w:rPr>
          <w:rFonts w:cs="David" w:hint="cs"/>
          <w:rtl/>
        </w:rPr>
        <w:t xml:space="preserve"> התאגיד המשותף לא יעסוק, במישרין או בעקיפין, </w:t>
      </w:r>
      <w:r>
        <w:rPr>
          <w:rFonts w:cs="David" w:hint="cs"/>
          <w:sz w:val="22"/>
          <w:rtl/>
        </w:rPr>
        <w:t>בכל פעילות שאינה נוגעת ישירות לתחומי שיתוף הפעולה המוגדרים בהסכם (להלן – "תחומי הפעילות המוגדרים"). למען הסר ספק, לא ייעשה כל שינוי בהסכם בנוגע לתחומי הפעילות המו</w:t>
      </w:r>
      <w:r>
        <w:rPr>
          <w:rFonts w:cs="David" w:hint="cs"/>
          <w:sz w:val="22"/>
          <w:rtl/>
        </w:rPr>
        <w:t xml:space="preserve">גדרים, אלא אם ניתן לכך אישור הממונה על ההגבלים העסקיים מראש ובכתב. </w:t>
      </w:r>
    </w:p>
    <w:p w:rsidR="00000000" w:rsidRDefault="006E5E5E">
      <w:pPr>
        <w:tabs>
          <w:tab w:val="num" w:pos="720"/>
        </w:tabs>
        <w:bidi/>
        <w:spacing w:before="120"/>
        <w:ind w:left="720" w:hanging="360"/>
        <w:rPr>
          <w:rFonts w:hint="cs"/>
          <w:rtl/>
        </w:rPr>
      </w:pPr>
      <w:r>
        <w:rPr>
          <w:rFonts w:hint="cs"/>
          <w:rtl/>
        </w:rPr>
        <w:t>(3)</w:t>
      </w:r>
      <w:r>
        <w:rPr>
          <w:sz w:val="14"/>
          <w:szCs w:val="14"/>
          <w:rtl/>
        </w:rPr>
        <w:t xml:space="preserve">     </w:t>
      </w:r>
      <w:r>
        <w:rPr>
          <w:rFonts w:cs="David" w:hint="cs"/>
          <w:sz w:val="22"/>
          <w:rtl/>
        </w:rPr>
        <w:t xml:space="preserve">המגעים בין הצדדים ייעשו באופן המצמצם ככל הניתן כל חשש להפחתת התחרות ובכלל זה: </w:t>
      </w:r>
    </w:p>
    <w:p w:rsidR="00000000" w:rsidRDefault="006E5E5E">
      <w:pPr>
        <w:tabs>
          <w:tab w:val="num" w:pos="1080"/>
          <w:tab w:val="left" w:pos="1980"/>
        </w:tabs>
        <w:bidi/>
        <w:spacing w:before="120"/>
        <w:ind w:left="1080" w:hanging="360"/>
        <w:rPr>
          <w:rFonts w:hint="cs"/>
        </w:rPr>
      </w:pPr>
      <w:r>
        <w:rPr>
          <w:rFonts w:hint="cs"/>
          <w:rtl/>
        </w:rPr>
        <w:t>(א)</w:t>
      </w:r>
      <w:r>
        <w:rPr>
          <w:sz w:val="14"/>
          <w:szCs w:val="14"/>
          <w:rtl/>
        </w:rPr>
        <w:t xml:space="preserve">    </w:t>
      </w:r>
      <w:r>
        <w:rPr>
          <w:rFonts w:cs="David" w:hint="cs"/>
          <w:sz w:val="22"/>
          <w:rtl/>
        </w:rPr>
        <w:t>לא יועבר בין הצדדים מידע, שעניינו עלויות, מכירות, רווחיות או תמחור, זולת ככל שהדבר נחוץ לקידום</w:t>
      </w:r>
      <w:r>
        <w:rPr>
          <w:rFonts w:cs="David" w:hint="cs"/>
          <w:sz w:val="22"/>
          <w:rtl/>
        </w:rPr>
        <w:t xml:space="preserve"> תחומי הפעילות המוגדרים ולצורך זה בלבד;</w:t>
      </w:r>
      <w:r>
        <w:rPr>
          <w:rFonts w:cs="David" w:hint="cs"/>
          <w:rtl/>
        </w:rPr>
        <w:t xml:space="preserve"> </w:t>
      </w:r>
    </w:p>
    <w:p w:rsidR="00000000" w:rsidRDefault="006E5E5E">
      <w:pPr>
        <w:tabs>
          <w:tab w:val="num" w:pos="1080"/>
          <w:tab w:val="left" w:pos="1980"/>
        </w:tabs>
        <w:bidi/>
        <w:spacing w:before="120"/>
        <w:ind w:left="1080" w:hanging="360"/>
        <w:rPr>
          <w:rFonts w:hint="cs"/>
        </w:rPr>
      </w:pPr>
      <w:r>
        <w:rPr>
          <w:rFonts w:hint="cs"/>
          <w:rtl/>
        </w:rPr>
        <w:t>(ב)</w:t>
      </w:r>
      <w:r>
        <w:rPr>
          <w:sz w:val="14"/>
          <w:szCs w:val="14"/>
          <w:rtl/>
        </w:rPr>
        <w:t xml:space="preserve">    </w:t>
      </w:r>
      <w:r>
        <w:rPr>
          <w:rFonts w:cs="David" w:hint="cs"/>
          <w:sz w:val="22"/>
          <w:rtl/>
        </w:rPr>
        <w:t>לא יועבר בין הצדדים מידע שאינו נוגע ישירות לקידום תחומי הפעילות המוגדרים</w:t>
      </w:r>
      <w:r>
        <w:rPr>
          <w:rFonts w:cs="David" w:hint="cs"/>
          <w:rtl/>
        </w:rPr>
        <w:t>;</w:t>
      </w:r>
    </w:p>
    <w:p w:rsidR="00000000" w:rsidRDefault="006E5E5E">
      <w:pPr>
        <w:tabs>
          <w:tab w:val="num" w:pos="1080"/>
          <w:tab w:val="left" w:pos="1980"/>
        </w:tabs>
        <w:bidi/>
        <w:spacing w:before="120"/>
        <w:ind w:left="1080" w:hanging="360"/>
        <w:rPr>
          <w:rFonts w:hint="cs"/>
        </w:rPr>
      </w:pPr>
      <w:r>
        <w:rPr>
          <w:rFonts w:hint="cs"/>
          <w:rtl/>
        </w:rPr>
        <w:t>(ג)</w:t>
      </w:r>
      <w:r>
        <w:rPr>
          <w:sz w:val="14"/>
          <w:szCs w:val="14"/>
          <w:rtl/>
        </w:rPr>
        <w:t xml:space="preserve">      </w:t>
      </w:r>
      <w:r>
        <w:rPr>
          <w:rFonts w:cs="David" w:hint="cs"/>
          <w:rtl/>
        </w:rPr>
        <w:t xml:space="preserve">מגעים בין הצדדים בנוגע למיזם המשותף יהיו רק בין בעלי תפקידים הנחוצים לביצועו; </w:t>
      </w:r>
    </w:p>
    <w:p w:rsidR="00000000" w:rsidRDefault="006E5E5E">
      <w:pPr>
        <w:tabs>
          <w:tab w:val="num" w:pos="1080"/>
          <w:tab w:val="left" w:pos="1980"/>
        </w:tabs>
        <w:bidi/>
        <w:spacing w:before="120"/>
        <w:ind w:left="1080" w:hanging="360"/>
        <w:rPr>
          <w:rFonts w:hint="cs"/>
        </w:rPr>
      </w:pPr>
      <w:r>
        <w:rPr>
          <w:rFonts w:hint="cs"/>
          <w:rtl/>
        </w:rPr>
        <w:t>(ד)</w:t>
      </w:r>
      <w:r>
        <w:rPr>
          <w:sz w:val="14"/>
          <w:szCs w:val="14"/>
          <w:rtl/>
        </w:rPr>
        <w:t xml:space="preserve">    </w:t>
      </w:r>
      <w:r>
        <w:rPr>
          <w:rFonts w:cs="David" w:hint="cs"/>
          <w:rtl/>
        </w:rPr>
        <w:t>בישיבות התאגיד המשותף (ובכלל זה ישיבות הנהלה, מועצת מנהלים, אסיפה כללית וכיו"ב) לא יידונו עניינים שאינם נוגעים באופן ברור וישיר לתחומי הפעילות המוגדרים ולא יועבר מידע אלא בתחומים אלה;</w:t>
      </w:r>
    </w:p>
    <w:p w:rsidR="00000000" w:rsidRDefault="006E5E5E">
      <w:pPr>
        <w:tabs>
          <w:tab w:val="num" w:pos="1080"/>
          <w:tab w:val="left" w:pos="1980"/>
        </w:tabs>
        <w:bidi/>
        <w:spacing w:before="120"/>
        <w:ind w:left="1080" w:hanging="360"/>
        <w:rPr>
          <w:rFonts w:hint="cs"/>
        </w:rPr>
      </w:pPr>
      <w:r>
        <w:rPr>
          <w:rFonts w:hint="cs"/>
          <w:rtl/>
        </w:rPr>
        <w:t>(ה)</w:t>
      </w:r>
      <w:r>
        <w:rPr>
          <w:sz w:val="14"/>
          <w:szCs w:val="14"/>
          <w:rtl/>
        </w:rPr>
        <w:t xml:space="preserve">    </w:t>
      </w:r>
      <w:r>
        <w:rPr>
          <w:rFonts w:cs="David" w:hint="cs"/>
          <w:rtl/>
        </w:rPr>
        <w:t>דיוני ישיבות ההנהלה, מועצת המנהלים והאסיפה הכללית של התאגיד המשות</w:t>
      </w:r>
      <w:r>
        <w:rPr>
          <w:rFonts w:cs="David" w:hint="cs"/>
          <w:rtl/>
        </w:rPr>
        <w:t>ף יתועדו בפרוטוקול מפורט ומלא, החתום על ידי יושב ראש הישיבה. הפרוטוקולים יישמרו במשרדי התאגיד המשותף ויועברו לעיון הממונה על הגבלים עסקיים על פי דרישה;</w:t>
      </w:r>
    </w:p>
    <w:p w:rsidR="00000000" w:rsidRDefault="006E5E5E">
      <w:pPr>
        <w:tabs>
          <w:tab w:val="num" w:pos="1080"/>
          <w:tab w:val="left" w:pos="1980"/>
        </w:tabs>
        <w:bidi/>
        <w:spacing w:before="120"/>
        <w:ind w:left="1080" w:hanging="360"/>
        <w:rPr>
          <w:rFonts w:hint="cs"/>
        </w:rPr>
      </w:pPr>
      <w:r>
        <w:rPr>
          <w:rFonts w:hint="cs"/>
          <w:rtl/>
        </w:rPr>
        <w:t>(ו)</w:t>
      </w:r>
      <w:r>
        <w:rPr>
          <w:sz w:val="14"/>
          <w:szCs w:val="14"/>
          <w:rtl/>
        </w:rPr>
        <w:t xml:space="preserve">      </w:t>
      </w:r>
      <w:r>
        <w:rPr>
          <w:rFonts w:cs="David" w:hint="cs"/>
          <w:rtl/>
        </w:rPr>
        <w:t xml:space="preserve">עם תחילת פעילותו, יקבע התאגיד המשותף נהלים להבטחת קיום האמור בסעיף זה וימציאם לממונה על הגבלים עסקיים. </w:t>
      </w:r>
    </w:p>
    <w:p w:rsidR="00000000" w:rsidRDefault="006E5E5E">
      <w:pPr>
        <w:bidi/>
        <w:spacing w:before="120"/>
        <w:rPr>
          <w:rFonts w:hint="cs"/>
        </w:rPr>
      </w:pPr>
      <w:r>
        <w:rPr>
          <w:rFonts w:cs="David" w:hint="cs"/>
          <w:rtl/>
        </w:rPr>
        <w:t>בהתאם לסעיף 15(א) לחוק ההגבלים העסקיים נתונה החלטתי זו לערר בפני בית הדין להגבלים עסקיים על ידי איגוד עסקי, ארגון צרכנים וכל אדם העלול להיפגע מההסדר הכו</w:t>
      </w:r>
      <w:r>
        <w:rPr>
          <w:rFonts w:cs="David" w:hint="cs"/>
          <w:rtl/>
        </w:rPr>
        <w:t xml:space="preserve">בל. </w:t>
      </w:r>
    </w:p>
    <w:p w:rsidR="00000000" w:rsidRDefault="006E5E5E">
      <w:pPr>
        <w:bidi/>
        <w:spacing w:before="120"/>
        <w:rPr>
          <w:rFonts w:cs="David" w:hint="cs"/>
        </w:rPr>
      </w:pPr>
    </w:p>
    <w:p w:rsidR="00000000" w:rsidRDefault="006E5E5E">
      <w:pPr>
        <w:pStyle w:val="Header"/>
        <w:tabs>
          <w:tab w:val="left" w:pos="720"/>
          <w:tab w:val="center" w:pos="4153"/>
          <w:tab w:val="right" w:pos="8306"/>
        </w:tabs>
        <w:bidi/>
        <w:spacing w:before="120" w:beforeAutospacing="0" w:after="0" w:afterAutospacing="0"/>
        <w:ind w:left="4532"/>
        <w:jc w:val="center"/>
        <w:rPr>
          <w:rFonts w:cs="David" w:hint="cs"/>
          <w:sz w:val="22"/>
          <w:rtl/>
        </w:rPr>
      </w:pPr>
      <w:r>
        <w:rPr>
          <w:rFonts w:cs="David" w:hint="cs"/>
          <w:sz w:val="22"/>
          <w:rtl/>
        </w:rPr>
        <w:t>רונית קן</w:t>
      </w:r>
    </w:p>
    <w:p w:rsidR="00000000" w:rsidRDefault="006E5E5E">
      <w:pPr>
        <w:pStyle w:val="Header"/>
        <w:tabs>
          <w:tab w:val="left" w:pos="720"/>
          <w:tab w:val="center" w:pos="4153"/>
          <w:tab w:val="right" w:pos="8306"/>
        </w:tabs>
        <w:bidi/>
        <w:spacing w:before="120" w:beforeAutospacing="0" w:after="0" w:afterAutospacing="0"/>
        <w:ind w:left="4532"/>
        <w:jc w:val="center"/>
        <w:rPr>
          <w:rFonts w:cs="David" w:hint="cs"/>
          <w:sz w:val="22"/>
          <w:rtl/>
        </w:rPr>
      </w:pPr>
      <w:r>
        <w:rPr>
          <w:rFonts w:cs="David" w:hint="cs"/>
          <w:sz w:val="22"/>
          <w:rtl/>
        </w:rPr>
        <w:t>הממונה על הגבלים עסקיים</w:t>
      </w:r>
    </w:p>
    <w:p w:rsidR="00000000" w:rsidRDefault="006E5E5E">
      <w:pPr>
        <w:pStyle w:val="Header"/>
        <w:tabs>
          <w:tab w:val="left" w:pos="720"/>
          <w:tab w:val="center" w:pos="4153"/>
          <w:tab w:val="right" w:pos="8306"/>
        </w:tabs>
        <w:bidi/>
        <w:spacing w:before="120" w:beforeAutospacing="0" w:after="0" w:afterAutospacing="0"/>
        <w:rPr>
          <w:rFonts w:cs="David" w:hint="cs"/>
          <w:sz w:val="22"/>
          <w:rtl/>
        </w:rPr>
      </w:pPr>
      <w:r>
        <w:rPr>
          <w:rFonts w:cs="David" w:hint="cs"/>
          <w:sz w:val="22"/>
          <w:rtl/>
        </w:rPr>
        <w:t>ירושלים, ‏י' כסלו, תשע"א</w:t>
      </w:r>
    </w:p>
    <w:p w:rsidR="00000000" w:rsidRDefault="006E5E5E">
      <w:pPr>
        <w:pStyle w:val="Header"/>
        <w:tabs>
          <w:tab w:val="left" w:pos="720"/>
          <w:tab w:val="center" w:pos="4153"/>
          <w:tab w:val="right" w:pos="8306"/>
        </w:tabs>
        <w:bidi/>
        <w:spacing w:before="120" w:beforeAutospacing="0" w:after="0" w:afterAutospacing="0"/>
        <w:rPr>
          <w:rFonts w:cs="David" w:hint="cs"/>
          <w:sz w:val="22"/>
          <w:rtl/>
        </w:rPr>
      </w:pPr>
      <w:r>
        <w:rPr>
          <w:rFonts w:cs="David" w:hint="cs"/>
          <w:sz w:val="22"/>
          <w:rtl/>
        </w:rPr>
        <w:t>‏17 נובמבר, 2010</w:t>
      </w:r>
    </w:p>
    <w:p w:rsidR="00000000" w:rsidRDefault="006E5E5E">
      <w:pPr>
        <w:bidi/>
        <w:divId w:val="1375698302"/>
        <w:rPr>
          <w:rFonts w:eastAsia="Times New Roman" w:hint="cs"/>
          <w:rtl/>
        </w:rPr>
      </w:pPr>
      <w:r>
        <w:rPr>
          <w:rFonts w:eastAsia="Times New Roman" w:hint="cs"/>
          <w:rtl/>
        </w:rPr>
        <w:br w:type="textWrapping" w:clear="all"/>
      </w:r>
    </w:p>
    <w:p w:rsidR="00000000" w:rsidRDefault="006E5E5E">
      <w:pPr>
        <w:bidi/>
        <w:divId w:val="1375698302"/>
        <w:rPr>
          <w:rFonts w:eastAsia="Times New Roman" w:hint="cs"/>
          <w:rtl/>
        </w:rPr>
      </w:pPr>
      <w:r>
        <w:rPr>
          <w:rFonts w:eastAsia="Times New Roman" w:hint="cs"/>
        </w:rPr>
        <w:pict>
          <v:rect id="_x0000_i1025" style="width:110.7pt;height:.6pt" o:hrpct="330" o:hralign="right" o:hrstd="t" o:hr="t" fillcolor="#a0a0a0" stroked="f"/>
        </w:pict>
      </w:r>
    </w:p>
    <w:p w:rsidR="00000000" w:rsidRDefault="006E5E5E">
      <w:pPr>
        <w:pStyle w:val="Footer"/>
        <w:divId w:val="1741829821"/>
        <w:rPr>
          <w:rFonts w:hint="cs"/>
          <w:szCs w:val="14"/>
          <w:rtl/>
        </w:rPr>
      </w:pPr>
    </w:p>
    <w:p w:rsidR="006E5E5E" w:rsidRDefault="006E5E5E">
      <w:pPr>
        <w:divId w:val="1741829821"/>
        <w:rPr>
          <w:rFonts w:eastAsia="Times New Roman" w:hint="cs"/>
        </w:rPr>
      </w:pPr>
      <w:r>
        <w:rPr>
          <w:rFonts w:eastAsia="Times New Roman" w:hint="cs"/>
        </w:rPr>
        <w:t>\</w:t>
      </w:r>
    </w:p>
    <w:sectPr w:rsidR="006E5E5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E5E" w:rsidRDefault="006E5E5E">
      <w:r>
        <w:separator/>
      </w:r>
    </w:p>
  </w:endnote>
  <w:endnote w:type="continuationSeparator" w:id="0">
    <w:p w:rsidR="006E5E5E" w:rsidRDefault="006E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E5E" w:rsidRDefault="006E5E5E">
      <w:r>
        <w:separator/>
      </w:r>
    </w:p>
  </w:footnote>
  <w:footnote w:type="continuationSeparator" w:id="0">
    <w:p w:rsidR="006E5E5E" w:rsidRDefault="006E5E5E">
      <w:r>
        <w:continuationSeparator/>
      </w:r>
    </w:p>
  </w:footnote>
  <w:footnote w:id="1">
    <w:p w:rsidR="00000000" w:rsidRDefault="006E5E5E">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[1]</w:t>
      </w:r>
      <w:r>
        <w:rPr>
          <w:rFonts w:cs="David" w:hint="cs"/>
          <w:sz w:val="20"/>
          <w:szCs w:val="20"/>
          <w:rtl/>
        </w:rPr>
        <w:t xml:space="preserve"> באמצעות חברת מפעלי פדרמן בע"מ.</w:t>
      </w:r>
    </w:p>
    <w:p w:rsidR="00000000" w:rsidRDefault="006E5E5E">
      <w:pPr>
        <w:pStyle w:val="FootnoteText"/>
        <w:bidi/>
        <w:spacing w:before="120" w:beforeAutospacing="0" w:after="0" w:afterAutospacing="0"/>
        <w:rPr>
          <w:rFonts w:cs="David" w:hint="cs"/>
          <w:rtl/>
        </w:rPr>
      </w:pPr>
      <w:r>
        <w:rPr>
          <w:rFonts w:cs="David" w:hint="cs"/>
          <w:rtl/>
        </w:rPr>
        <w:t>8173/398086</w:t>
      </w:r>
    </w:p>
  </w:footnote>
  <w:footnote w:id="2">
    <w:p w:rsidR="00000000" w:rsidRDefault="006E5E5E">
      <w:pPr>
        <w:pStyle w:val="FootnoteText"/>
        <w:bidi/>
        <w:spacing w:before="120" w:beforeAutospacing="0" w:after="0" w:afterAutospacing="0"/>
        <w:ind w:left="180" w:hanging="180"/>
        <w:rPr>
          <w:rFonts w:cs="David" w:hint="cs"/>
          <w:sz w:val="20"/>
          <w:szCs w:val="20"/>
          <w:rtl/>
        </w:rPr>
      </w:pPr>
      <w:r>
        <w:rPr>
          <w:rStyle w:val="FootnoteReference"/>
        </w:rPr>
        <w:footnoteRef/>
      </w:r>
      <w:r>
        <w:rPr>
          <w:rStyle w:val="FootnoteReference"/>
          <w:rFonts w:eastAsia="Times New Roman" w:cs="David"/>
          <w:sz w:val="20"/>
          <w:szCs w:val="20"/>
          <w:lang w:eastAsia="he-IL"/>
        </w:rPr>
        <w:t>[2]</w:t>
      </w:r>
      <w:r>
        <w:rPr>
          <w:rFonts w:hint="cs"/>
          <w:sz w:val="20"/>
          <w:szCs w:val="20"/>
        </w:rPr>
        <w:t xml:space="preserve"> </w:t>
      </w:r>
      <w:r>
        <w:rPr>
          <w:rFonts w:cs="David" w:hint="cs"/>
          <w:sz w:val="20"/>
          <w:szCs w:val="20"/>
          <w:rtl/>
        </w:rPr>
        <w:t xml:space="preserve"> ר' מ' מזרחי, "מיזם משותף כהסדר כובל", </w:t>
      </w:r>
      <w:r>
        <w:rPr>
          <w:rStyle w:val="Strong"/>
          <w:rFonts w:cs="David" w:hint="cs"/>
          <w:sz w:val="20"/>
          <w:szCs w:val="20"/>
          <w:rtl/>
        </w:rPr>
        <w:t xml:space="preserve">משפטים </w:t>
      </w:r>
      <w:r>
        <w:rPr>
          <w:rFonts w:cs="David" w:hint="cs"/>
          <w:sz w:val="20"/>
          <w:szCs w:val="20"/>
          <w:rtl/>
        </w:rPr>
        <w:t xml:space="preserve">כ"ג, 213; קביעת הממונה בדבר הסדר כובל בין חברות הסעה בעניין </w:t>
      </w:r>
      <w:r>
        <w:rPr>
          <w:rStyle w:val="Strong"/>
          <w:rFonts w:cs="David" w:hint="cs"/>
          <w:sz w:val="20"/>
          <w:szCs w:val="20"/>
          <w:rtl/>
        </w:rPr>
        <w:t>יעדים תיור בע"מ</w:t>
      </w:r>
      <w:r>
        <w:rPr>
          <w:rFonts w:cs="David" w:hint="cs"/>
          <w:sz w:val="20"/>
          <w:szCs w:val="20"/>
          <w:rtl/>
        </w:rPr>
        <w:t xml:space="preserve">, 2001,  </w:t>
      </w:r>
      <w:r>
        <w:rPr>
          <w:rStyle w:val="Strong"/>
          <w:rFonts w:cs="David" w:hint="cs"/>
          <w:sz w:val="20"/>
          <w:szCs w:val="20"/>
          <w:rtl/>
        </w:rPr>
        <w:t xml:space="preserve">הגבלים עסקיים, </w:t>
      </w:r>
      <w:r>
        <w:rPr>
          <w:rFonts w:cs="David" w:hint="cs"/>
          <w:sz w:val="20"/>
          <w:szCs w:val="20"/>
          <w:rtl/>
        </w:rPr>
        <w:t xml:space="preserve">3012980 ס' 4; החלטת הממונה בדבר אי מתן פטור על פי סעיף 14 מאישור בית הדין להסדר כובל בעניין </w:t>
      </w:r>
      <w:r>
        <w:rPr>
          <w:rStyle w:val="Strong"/>
          <w:rFonts w:cs="David" w:hint="cs"/>
          <w:sz w:val="20"/>
          <w:szCs w:val="20"/>
          <w:rtl/>
        </w:rPr>
        <w:t>אנרגיית המזרח התיכון</w:t>
      </w:r>
      <w:r>
        <w:rPr>
          <w:rFonts w:cs="David" w:hint="cs"/>
          <w:sz w:val="20"/>
          <w:szCs w:val="20"/>
          <w:rtl/>
        </w:rPr>
        <w:t xml:space="preserve">, 1997, </w:t>
      </w:r>
      <w:r>
        <w:rPr>
          <w:rStyle w:val="Strong"/>
          <w:rFonts w:cs="David" w:hint="cs"/>
          <w:sz w:val="20"/>
          <w:szCs w:val="20"/>
          <w:rtl/>
        </w:rPr>
        <w:t>הגבלים עסקיים</w:t>
      </w:r>
      <w:r>
        <w:rPr>
          <w:rFonts w:cs="David" w:hint="cs"/>
          <w:sz w:val="20"/>
          <w:szCs w:val="20"/>
          <w:rtl/>
        </w:rPr>
        <w:t xml:space="preserve">, 3008959, ס' 6. </w:t>
      </w:r>
    </w:p>
  </w:footnote>
  <w:footnote w:id="3">
    <w:p w:rsidR="00000000" w:rsidRDefault="006E5E5E">
      <w:pPr>
        <w:pStyle w:val="FootnoteText"/>
        <w:bidi/>
        <w:spacing w:before="120" w:beforeAutospacing="0" w:after="0" w:afterAutospacing="0"/>
        <w:ind w:left="180" w:hanging="180"/>
        <w:rPr>
          <w:rFonts w:hint="cs"/>
          <w:rtl/>
        </w:rPr>
      </w:pPr>
      <w:r>
        <w:rPr>
          <w:rStyle w:val="FootnoteReference"/>
        </w:rPr>
        <w:footnoteRef/>
      </w:r>
      <w:r>
        <w:rPr>
          <w:rStyle w:val="FootnoteReference"/>
          <w:rFonts w:eastAsia="Times New Roman" w:cs="David"/>
          <w:sz w:val="20"/>
          <w:szCs w:val="20"/>
          <w:lang w:eastAsia="he-IL"/>
        </w:rPr>
        <w:t>[3]</w:t>
      </w:r>
      <w:r>
        <w:rPr>
          <w:rFonts w:cs="David" w:hint="cs"/>
          <w:sz w:val="20"/>
          <w:szCs w:val="20"/>
          <w:rtl/>
        </w:rPr>
        <w:t xml:space="preserve"> ר' ה"ע (י-ם)  465/96 </w:t>
      </w:r>
      <w:r>
        <w:rPr>
          <w:rStyle w:val="Strong"/>
          <w:rFonts w:cs="David" w:hint="cs"/>
          <w:sz w:val="20"/>
          <w:szCs w:val="20"/>
          <w:rtl/>
        </w:rPr>
        <w:t>דטה קאר בע"מ נ' הממונה על הגבלים עסקיים ואח'</w:t>
      </w:r>
      <w:r>
        <w:rPr>
          <w:rFonts w:cs="David" w:hint="cs"/>
          <w:sz w:val="20"/>
          <w:szCs w:val="20"/>
          <w:rtl/>
        </w:rPr>
        <w:t xml:space="preserve">, דינים מחוזי כו(6), 146; ערר 1/97 </w:t>
      </w:r>
      <w:r>
        <w:rPr>
          <w:rStyle w:val="Strong"/>
          <w:rFonts w:cs="David" w:hint="cs"/>
          <w:sz w:val="20"/>
          <w:szCs w:val="20"/>
          <w:rtl/>
        </w:rPr>
        <w:t xml:space="preserve">איסכור שירותי פלדות בע"מ נ' הממונה על הגבלים עסקיים, </w:t>
      </w:r>
      <w:r>
        <w:rPr>
          <w:rFonts w:cs="David" w:hint="cs"/>
          <w:sz w:val="20"/>
          <w:szCs w:val="20"/>
          <w:rtl/>
        </w:rPr>
        <w:t>דינים מחוזי, ל"ב</w:t>
      </w:r>
      <w:r>
        <w:rPr>
          <w:rFonts w:hint="cs"/>
          <w:sz w:val="20"/>
          <w:szCs w:val="20"/>
        </w:rPr>
        <w:t xml:space="preserve"> </w:t>
      </w:r>
      <w:r>
        <w:rPr>
          <w:rFonts w:cs="David" w:hint="cs"/>
          <w:sz w:val="20"/>
          <w:szCs w:val="20"/>
          <w:rtl/>
        </w:rPr>
        <w:t xml:space="preserve"> (1) 64; החלטת הממונה בעניין </w:t>
      </w:r>
      <w:r>
        <w:rPr>
          <w:rStyle w:val="Strong"/>
          <w:rFonts w:cs="David" w:hint="cs"/>
          <w:sz w:val="20"/>
          <w:szCs w:val="20"/>
          <w:rtl/>
        </w:rPr>
        <w:t>אנרגיית המזרח התיכון</w:t>
      </w:r>
      <w:r>
        <w:rPr>
          <w:rFonts w:cs="David" w:hint="cs"/>
          <w:sz w:val="20"/>
          <w:szCs w:val="20"/>
          <w:rtl/>
        </w:rPr>
        <w:t>, לעיל; קביעת הממונה בדבר</w:t>
      </w:r>
      <w:r>
        <w:rPr>
          <w:rStyle w:val="Strong"/>
          <w:rFonts w:cs="David" w:hint="cs"/>
          <w:sz w:val="20"/>
          <w:szCs w:val="20"/>
          <w:rtl/>
        </w:rPr>
        <w:t xml:space="preserve"> הסדר כובל בין חברות הדלק "דלק" ו"סונול" לשיווק משותף של מערכת "דלקן 2000", </w:t>
      </w:r>
      <w:r>
        <w:rPr>
          <w:rFonts w:cs="David" w:hint="cs"/>
          <w:sz w:val="20"/>
          <w:szCs w:val="20"/>
          <w:rtl/>
        </w:rPr>
        <w:t xml:space="preserve">1997, </w:t>
      </w:r>
      <w:r>
        <w:rPr>
          <w:rStyle w:val="Strong"/>
          <w:rFonts w:cs="David" w:hint="cs"/>
          <w:sz w:val="20"/>
          <w:szCs w:val="20"/>
          <w:rtl/>
        </w:rPr>
        <w:t>הגבלים עסקיים</w:t>
      </w:r>
      <w:r>
        <w:rPr>
          <w:rFonts w:cs="David" w:hint="cs"/>
          <w:sz w:val="20"/>
          <w:szCs w:val="20"/>
          <w:rtl/>
        </w:rPr>
        <w:t xml:space="preserve"> 3001363.</w:t>
      </w:r>
    </w:p>
  </w:footnote>
  <w:footnote w:id="4">
    <w:p w:rsidR="00000000" w:rsidRDefault="006E5E5E">
      <w:pPr>
        <w:pStyle w:val="FootnoteText"/>
        <w:bidi/>
        <w:spacing w:before="120" w:beforeAutospacing="0" w:after="0" w:afterAutospacing="0"/>
        <w:ind w:left="180" w:hanging="180"/>
        <w:rPr>
          <w:rFonts w:cs="David" w:hint="cs"/>
          <w:sz w:val="20"/>
          <w:szCs w:val="20"/>
          <w:rtl/>
        </w:rPr>
      </w:pPr>
      <w:r>
        <w:rPr>
          <w:rStyle w:val="FootnoteReference"/>
        </w:rPr>
        <w:footnoteRef/>
      </w:r>
      <w:r>
        <w:rPr>
          <w:rStyle w:val="FootnoteReference"/>
          <w:rFonts w:eastAsia="Times New Roman" w:cs="David"/>
          <w:sz w:val="20"/>
          <w:szCs w:val="20"/>
          <w:lang w:eastAsia="he-IL"/>
        </w:rPr>
        <w:t>[4]</w:t>
      </w:r>
      <w:r>
        <w:rPr>
          <w:rFonts w:cs="David" w:hint="cs"/>
          <w:sz w:val="20"/>
          <w:szCs w:val="20"/>
          <w:rtl/>
        </w:rPr>
        <w:t xml:space="preserve"> הח</w:t>
      </w:r>
      <w:r>
        <w:rPr>
          <w:rFonts w:cs="David" w:hint="cs"/>
          <w:sz w:val="20"/>
          <w:szCs w:val="20"/>
          <w:rtl/>
        </w:rPr>
        <w:t xml:space="preserve">לטה מיום 21.3.2007 בדבר פטור מאישור הסדר כובל בין אלביט מערכות בע"מ והתעשייה האווירית בע"מ בעניין פרויקט כלי רכב בלתי מאויישים, </w:t>
      </w:r>
      <w:r>
        <w:rPr>
          <w:rStyle w:val="Strong"/>
          <w:rFonts w:cs="David" w:hint="cs"/>
          <w:sz w:val="20"/>
          <w:szCs w:val="20"/>
          <w:rtl/>
        </w:rPr>
        <w:t xml:space="preserve">הגבלים עסקיים, </w:t>
      </w:r>
      <w:r>
        <w:rPr>
          <w:rFonts w:cs="David" w:hint="cs"/>
          <w:sz w:val="20"/>
          <w:szCs w:val="20"/>
          <w:rtl/>
        </w:rPr>
        <w:t>5000616.</w:t>
      </w:r>
    </w:p>
  </w:footnote>
  <w:footnote w:id="5">
    <w:p w:rsidR="00000000" w:rsidRDefault="006E5E5E">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cs="David"/>
          <w:sz w:val="20"/>
          <w:szCs w:val="20"/>
          <w:lang w:eastAsia="he-IL"/>
        </w:rPr>
        <w:t>[5]</w:t>
      </w:r>
      <w:r>
        <w:rPr>
          <w:rFonts w:cs="David" w:hint="cs"/>
          <w:sz w:val="20"/>
          <w:szCs w:val="20"/>
          <w:rtl/>
        </w:rPr>
        <w:t xml:space="preserve"> תיק מזג 6154: אלביט מערכות בע"מ-כור תעשיות בע"מ-אלישרא מערכות אלקטרוניות בע"מ, 29.11.05.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150761"/>
    <w:rsid w:val="00150761"/>
    <w:rsid w:val="006E5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0240A1-73D5-4C52-A5CB-E10BE456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2">
    <w:name w:val="Body Text 2"/>
    <w:basedOn w:val="Normal"/>
    <w:link w:val="BodyText2Char"/>
    <w:uiPriority w:val="99"/>
    <w:semiHidden/>
    <w:unhideWhenUsed/>
    <w:pPr>
      <w:spacing w:before="100" w:beforeAutospacing="1" w:after="100" w:afterAutospacing="1"/>
    </w:pPr>
  </w:style>
  <w:style w:type="character" w:customStyle="1" w:styleId="BodyText2Char">
    <w:name w:val="Body Text 2 Char"/>
    <w:basedOn w:val="DefaultParagraphFont"/>
    <w:link w:val="BodyText2"/>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221955">
      <w:marLeft w:val="0"/>
      <w:marRight w:val="0"/>
      <w:marTop w:val="0"/>
      <w:marBottom w:val="0"/>
      <w:divBdr>
        <w:top w:val="none" w:sz="0" w:space="0" w:color="auto"/>
        <w:left w:val="none" w:sz="0" w:space="0" w:color="auto"/>
        <w:bottom w:val="none" w:sz="0" w:space="0" w:color="auto"/>
        <w:right w:val="none" w:sz="0" w:space="0" w:color="auto"/>
      </w:divBdr>
    </w:div>
    <w:div w:id="1375698302">
      <w:marLeft w:val="0"/>
      <w:marRight w:val="0"/>
      <w:marTop w:val="0"/>
      <w:marBottom w:val="0"/>
      <w:divBdr>
        <w:top w:val="none" w:sz="0" w:space="0" w:color="auto"/>
        <w:left w:val="none" w:sz="0" w:space="0" w:color="auto"/>
        <w:bottom w:val="none" w:sz="0" w:space="0" w:color="auto"/>
        <w:right w:val="none" w:sz="0" w:space="0" w:color="auto"/>
      </w:divBdr>
    </w:div>
    <w:div w:id="174182982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2776</Words>
  <Characters>13883</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2019-08-14T19:49:00Z</dcterms:created>
  <dcterms:modified xsi:type="dcterms:W3CDTF">2019-08-14T19:49:00Z</dcterms:modified>
</cp:coreProperties>
</file>