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00000" w:rsidRDefault="00E90770">
      <w:pPr>
        <w:pStyle w:val="Header"/>
        <w:jc w:val="right"/>
        <w:divId w:val="564074469"/>
      </w:pPr>
    </w:p>
    <w:p w:rsidR="00000000" w:rsidRDefault="00E90770">
      <w:pPr>
        <w:bidi/>
        <w:spacing w:before="120"/>
        <w:jc w:val="center"/>
        <w:rPr>
          <w:rFonts w:hint="cs"/>
          <w:rtl/>
        </w:rPr>
      </w:pPr>
      <w:bookmarkStart w:id="0" w:name="_GoBack"/>
      <w:bookmarkEnd w:id="0"/>
    </w:p>
    <w:p w:rsidR="00000000" w:rsidRDefault="00E90770">
      <w:pPr>
        <w:bidi/>
        <w:spacing w:before="120"/>
        <w:jc w:val="center"/>
        <w:rPr>
          <w:rStyle w:val="Strong"/>
          <w:rFonts w:cs="Narkisim" w:hint="cs"/>
          <w:sz w:val="22"/>
          <w:szCs w:val="30"/>
          <w:rtl/>
        </w:rPr>
      </w:pPr>
      <w:r>
        <w:rPr>
          <w:rStyle w:val="Strong"/>
          <w:rFonts w:cs="Narkisim" w:hint="cs"/>
          <w:sz w:val="22"/>
          <w:szCs w:val="30"/>
          <w:rtl/>
        </w:rPr>
        <w:t>רשות ההגבלים העסקיים</w:t>
      </w:r>
    </w:p>
    <w:p w:rsidR="00000000" w:rsidRDefault="00E90770">
      <w:pPr>
        <w:bidi/>
        <w:spacing w:before="120"/>
        <w:rPr>
          <w:rFonts w:cs="David" w:hint="cs"/>
          <w:sz w:val="30"/>
          <w:rtl/>
        </w:rPr>
      </w:pPr>
      <w:r>
        <w:rPr>
          <w:rFonts w:cs="David" w:hint="cs"/>
          <w:sz w:val="30"/>
          <w:szCs w:val="30"/>
          <w:rtl/>
        </w:rPr>
        <w:t xml:space="preserve">      </w:t>
      </w:r>
    </w:p>
    <w:p w:rsidR="00000000" w:rsidRDefault="00E90770">
      <w:pPr>
        <w:bidi/>
        <w:spacing w:before="120"/>
        <w:jc w:val="center"/>
        <w:rPr>
          <w:rFonts w:cs="David" w:hint="cs"/>
          <w:sz w:val="28"/>
          <w:szCs w:val="28"/>
          <w:rtl/>
        </w:rPr>
      </w:pPr>
      <w:r>
        <w:rPr>
          <w:rFonts w:cs="David" w:hint="cs"/>
          <w:sz w:val="28"/>
          <w:szCs w:val="28"/>
          <w:rtl/>
        </w:rPr>
        <w:t xml:space="preserve">החלטה לפי סעיף 14 לחוק ההגבלים העסקיים, התשמ"ח-1988 בדבר </w:t>
      </w:r>
      <w:r>
        <w:rPr>
          <w:rFonts w:cs="David" w:hint="cs"/>
          <w:sz w:val="28"/>
          <w:szCs w:val="28"/>
          <w:rtl/>
        </w:rPr>
        <w:br/>
        <w:t>מתן פטור מאישור הסדר כובל שצדדים לו</w:t>
      </w:r>
    </w:p>
    <w:p w:rsidR="00000000" w:rsidRDefault="00E90770">
      <w:pPr>
        <w:tabs>
          <w:tab w:val="left" w:pos="720"/>
        </w:tabs>
        <w:overflowPunct w:val="0"/>
        <w:bidi/>
        <w:adjustRightInd w:val="0"/>
        <w:spacing w:before="120"/>
        <w:jc w:val="center"/>
        <w:rPr>
          <w:rStyle w:val="Strong"/>
          <w:rFonts w:hint="cs"/>
          <w:sz w:val="30"/>
          <w:szCs w:val="30"/>
          <w:u w:val="single"/>
          <w:rtl/>
        </w:rPr>
      </w:pPr>
      <w:r>
        <w:rPr>
          <w:rStyle w:val="Strong"/>
          <w:rFonts w:cs="David" w:hint="cs"/>
          <w:sz w:val="30"/>
          <w:szCs w:val="30"/>
          <w:u w:val="single"/>
          <w:rtl/>
        </w:rPr>
        <w:t xml:space="preserve">חברות לניהול תיקי השקעות, חברות לשיווק השקעות </w:t>
      </w:r>
      <w:r>
        <w:rPr>
          <w:rFonts w:cs="David" w:hint="cs"/>
          <w:b/>
          <w:bCs/>
          <w:sz w:val="30"/>
          <w:szCs w:val="30"/>
          <w:u w:val="single"/>
          <w:rtl/>
        </w:rPr>
        <w:br/>
      </w:r>
      <w:r>
        <w:rPr>
          <w:rStyle w:val="Strong"/>
          <w:rFonts w:cs="David" w:hint="cs"/>
          <w:sz w:val="30"/>
          <w:szCs w:val="30"/>
          <w:u w:val="single"/>
          <w:rtl/>
        </w:rPr>
        <w:t>וחברות ייעוץ השקעות</w:t>
      </w:r>
    </w:p>
    <w:p w:rsidR="00000000" w:rsidRDefault="00E90770">
      <w:pPr>
        <w:tabs>
          <w:tab w:val="left" w:pos="720"/>
        </w:tabs>
        <w:overflowPunct w:val="0"/>
        <w:bidi/>
        <w:adjustRightInd w:val="0"/>
        <w:spacing w:before="120"/>
        <w:rPr>
          <w:rStyle w:val="Strong"/>
          <w:rFonts w:cs="David" w:hint="cs"/>
          <w:sz w:val="30"/>
          <w:szCs w:val="30"/>
          <w:u w:val="single"/>
          <w:rtl/>
        </w:rPr>
      </w:pPr>
    </w:p>
    <w:p w:rsidR="00000000" w:rsidRDefault="00E90770">
      <w:pPr>
        <w:pStyle w:val="Heading1"/>
        <w:bidi/>
        <w:spacing w:before="120" w:beforeAutospacing="0" w:after="0" w:afterAutospacing="0"/>
        <w:ind w:left="392" w:hanging="360"/>
        <w:rPr>
          <w:rStyle w:val="Strong"/>
          <w:rFonts w:eastAsia="Times New Roman" w:cs="David" w:hint="cs"/>
          <w:b/>
          <w:bCs/>
          <w:sz w:val="27"/>
          <w:szCs w:val="27"/>
          <w:rtl/>
        </w:rPr>
      </w:pPr>
      <w:r>
        <w:rPr>
          <w:rStyle w:val="Strong"/>
          <w:rFonts w:eastAsia="Times New Roman" w:hint="cs"/>
          <w:b/>
          <w:bCs/>
          <w:sz w:val="27"/>
          <w:szCs w:val="27"/>
          <w:rtl/>
        </w:rPr>
        <w:t>1.</w:t>
      </w:r>
      <w:r>
        <w:rPr>
          <w:rStyle w:val="Strong"/>
          <w:rFonts w:eastAsia="Times New Roman"/>
          <w:b/>
          <w:bCs/>
          <w:sz w:val="14"/>
          <w:szCs w:val="14"/>
          <w:rtl/>
        </w:rPr>
        <w:t xml:space="preserve">      </w:t>
      </w:r>
      <w:r>
        <w:rPr>
          <w:rStyle w:val="Strong"/>
          <w:rFonts w:eastAsia="Times New Roman" w:cs="David" w:hint="cs"/>
          <w:b/>
          <w:bCs/>
          <w:sz w:val="27"/>
          <w:szCs w:val="27"/>
          <w:rtl/>
        </w:rPr>
        <w:t xml:space="preserve">פתח דבר </w:t>
      </w:r>
    </w:p>
    <w:p w:rsidR="00000000" w:rsidRDefault="00E90770">
      <w:pPr>
        <w:widowControl w:val="0"/>
        <w:overflowPunct w:val="0"/>
        <w:bidi/>
        <w:adjustRightInd w:val="0"/>
        <w:spacing w:before="120"/>
        <w:rPr>
          <w:rFonts w:hint="cs"/>
          <w:rtl/>
        </w:rPr>
      </w:pPr>
      <w:r>
        <w:rPr>
          <w:rFonts w:cs="David" w:hint="cs"/>
          <w:sz w:val="22"/>
          <w:rtl/>
        </w:rPr>
        <w:t>הונחה לפניי בקשה למתן פטור לפי סעיף 14 לחוק ההגבלים העסקיים, התשמ"ח-1988 (להלן: "</w:t>
      </w:r>
      <w:r>
        <w:rPr>
          <w:rStyle w:val="Strong"/>
          <w:rFonts w:cs="David" w:hint="cs"/>
          <w:sz w:val="22"/>
          <w:rtl/>
        </w:rPr>
        <w:t>חוק ההגבלים העסקיים</w:t>
      </w:r>
      <w:r>
        <w:rPr>
          <w:rFonts w:cs="David" w:hint="cs"/>
          <w:sz w:val="22"/>
          <w:rtl/>
        </w:rPr>
        <w:t>"), להסדר שבין חברות לניהול תיקי השקעות, חברות לשיווק השקעות וחברות לייעוץ השקעות, בדבר רכישה משותפת של כיסוי ביטוחי (</w:t>
      </w:r>
      <w:r>
        <w:rPr>
          <w:rFonts w:cs="David" w:hint="cs"/>
          <w:sz w:val="22"/>
          <w:rtl/>
        </w:rPr>
        <w:t>להלן: "</w:t>
      </w:r>
      <w:r>
        <w:rPr>
          <w:rStyle w:val="Strong"/>
          <w:rFonts w:cs="David" w:hint="cs"/>
          <w:sz w:val="22"/>
          <w:rtl/>
        </w:rPr>
        <w:t>ההסדר</w:t>
      </w:r>
      <w:r>
        <w:rPr>
          <w:rFonts w:cs="David" w:hint="cs"/>
          <w:sz w:val="22"/>
          <w:rtl/>
        </w:rPr>
        <w:t xml:space="preserve">").  </w:t>
      </w:r>
    </w:p>
    <w:p w:rsidR="00000000" w:rsidRDefault="00E90770">
      <w:pPr>
        <w:widowControl w:val="0"/>
        <w:overflowPunct w:val="0"/>
        <w:bidi/>
        <w:adjustRightInd w:val="0"/>
        <w:spacing w:before="120"/>
        <w:rPr>
          <w:rFonts w:cs="David" w:hint="cs"/>
          <w:sz w:val="22"/>
          <w:rtl/>
        </w:rPr>
      </w:pPr>
      <w:r>
        <w:rPr>
          <w:rFonts w:cs="David" w:hint="cs"/>
          <w:sz w:val="22"/>
          <w:rtl/>
        </w:rPr>
        <w:t>לאחר שבחנתי את ההסדר ואת הכבילות המצויות בו, כמו גם את השפעתן האפשרית על התחרות בשוק הרלוונטי, לאחר קבלת עמדת משרד האוצר ורשות ניירות ערך ולאחר שנועצתי בוועדה לפטורים ולמיזוגים, שוכנעתי כי בכפוף לתנאים שיפורטו בסיפא להחלטתי, הכבילות שבהסדר אינן פוגעות פגיע</w:t>
      </w:r>
      <w:r>
        <w:rPr>
          <w:rFonts w:cs="David" w:hint="cs"/>
          <w:sz w:val="22"/>
          <w:rtl/>
        </w:rPr>
        <w:t>ה של ממש בתחרות בשוק כאמור, כי עיקרו של ההסדר אינו בהפחתת התחרות או במניעתה, וכי אין בו כבילות שאינן נחוצות למימוש עיקרו. מטעמים אלה מצאתי כי בכפוף לתנאים המנויים בסיפא להחלטתי, ניתן להעניק לצדדים פטור לפי סעיף 14 לחוק ההגבלים העסקיים.</w:t>
      </w:r>
    </w:p>
    <w:p w:rsidR="00000000" w:rsidRDefault="00E90770">
      <w:pPr>
        <w:widowControl w:val="0"/>
        <w:overflowPunct w:val="0"/>
        <w:bidi/>
        <w:adjustRightInd w:val="0"/>
        <w:spacing w:before="120"/>
        <w:rPr>
          <w:rFonts w:cs="David" w:hint="cs"/>
          <w:sz w:val="22"/>
          <w:rtl/>
        </w:rPr>
      </w:pPr>
    </w:p>
    <w:p w:rsidR="00000000" w:rsidRDefault="00E90770">
      <w:pPr>
        <w:pStyle w:val="Heading1"/>
        <w:bidi/>
        <w:spacing w:before="120" w:beforeAutospacing="0" w:after="0" w:afterAutospacing="0"/>
        <w:ind w:left="392" w:hanging="360"/>
        <w:rPr>
          <w:rStyle w:val="Strong"/>
          <w:rFonts w:eastAsia="Times New Roman" w:hint="cs"/>
          <w:b/>
          <w:bCs/>
          <w:sz w:val="27"/>
          <w:szCs w:val="27"/>
          <w:rtl/>
        </w:rPr>
      </w:pPr>
      <w:r>
        <w:rPr>
          <w:rStyle w:val="Strong"/>
          <w:rFonts w:eastAsia="Times New Roman" w:hint="cs"/>
          <w:b/>
          <w:bCs/>
          <w:sz w:val="27"/>
          <w:szCs w:val="27"/>
          <w:rtl/>
        </w:rPr>
        <w:t>2.</w:t>
      </w:r>
      <w:r>
        <w:rPr>
          <w:rStyle w:val="Strong"/>
          <w:rFonts w:eastAsia="Times New Roman"/>
          <w:b/>
          <w:bCs/>
          <w:sz w:val="14"/>
          <w:szCs w:val="14"/>
          <w:rtl/>
        </w:rPr>
        <w:t xml:space="preserve">      </w:t>
      </w:r>
      <w:r>
        <w:rPr>
          <w:rStyle w:val="Strong"/>
          <w:rFonts w:eastAsia="Times New Roman" w:cs="David" w:hint="cs"/>
          <w:b/>
          <w:bCs/>
          <w:sz w:val="27"/>
          <w:szCs w:val="27"/>
          <w:rtl/>
        </w:rPr>
        <w:t xml:space="preserve">ההסדר </w:t>
      </w:r>
    </w:p>
    <w:p w:rsidR="00000000" w:rsidRDefault="00E90770">
      <w:pPr>
        <w:pStyle w:val="Heading1"/>
        <w:tabs>
          <w:tab w:val="num" w:pos="1080"/>
        </w:tabs>
        <w:bidi/>
        <w:spacing w:before="120" w:beforeAutospacing="0" w:after="0" w:afterAutospacing="0"/>
        <w:ind w:left="1080" w:hanging="720"/>
        <w:rPr>
          <w:rStyle w:val="Strong"/>
          <w:rFonts w:eastAsia="Times New Roman" w:cs="David" w:hint="cs"/>
          <w:b/>
          <w:bCs/>
          <w:sz w:val="24"/>
          <w:szCs w:val="24"/>
        </w:rPr>
      </w:pPr>
      <w:r>
        <w:rPr>
          <w:rStyle w:val="Strong"/>
          <w:rFonts w:eastAsia="Times New Roman" w:hint="cs"/>
          <w:b/>
          <w:bCs/>
          <w:sz w:val="24"/>
          <w:szCs w:val="24"/>
          <w:rtl/>
        </w:rPr>
        <w:t>2.1.</w:t>
      </w:r>
      <w:r>
        <w:rPr>
          <w:rStyle w:val="Strong"/>
          <w:rFonts w:eastAsia="Times New Roman"/>
          <w:b/>
          <w:bCs/>
          <w:sz w:val="14"/>
          <w:szCs w:val="14"/>
          <w:rtl/>
        </w:rPr>
        <w:t xml:space="preserve">             </w:t>
      </w:r>
      <w:r>
        <w:rPr>
          <w:rStyle w:val="Strong"/>
          <w:rFonts w:eastAsia="Times New Roman" w:cs="David" w:hint="cs"/>
          <w:b/>
          <w:bCs/>
          <w:sz w:val="24"/>
          <w:szCs w:val="24"/>
          <w:rtl/>
        </w:rPr>
        <w:t>הצדדים להסדר</w:t>
      </w:r>
    </w:p>
    <w:p w:rsidR="00000000" w:rsidRDefault="00E90770">
      <w:pPr>
        <w:bidi/>
        <w:spacing w:before="120"/>
        <w:rPr>
          <w:rFonts w:hint="cs"/>
          <w:sz w:val="22"/>
          <w:rtl/>
        </w:rPr>
      </w:pPr>
      <w:r>
        <w:rPr>
          <w:rFonts w:cs="David" w:hint="cs"/>
          <w:sz w:val="22"/>
          <w:rtl/>
        </w:rPr>
        <w:t>איגוד מנהלי השקעות שבאיגוד לשכות המסחר (להלן: "</w:t>
      </w:r>
      <w:r>
        <w:rPr>
          <w:rStyle w:val="Strong"/>
          <w:rFonts w:cs="David" w:hint="cs"/>
          <w:sz w:val="22"/>
          <w:rtl/>
        </w:rPr>
        <w:t>האיגוד</w:t>
      </w:r>
      <w:r>
        <w:rPr>
          <w:rFonts w:cs="David" w:hint="cs"/>
          <w:sz w:val="22"/>
          <w:rtl/>
        </w:rPr>
        <w:t>"), מאגד כמה עשרות  תאגידים בעלי רישיון העוסקים בייעוץ השקעות, בשיווק השקעות ובניהול תיקי השקעות, בהתאם לחוק הסדרת העיסוק בייעוץ השקעות, בשיווק השקעות ובניהול תיקי השקעות, התשנ"</w:t>
      </w:r>
      <w:r>
        <w:rPr>
          <w:rFonts w:cs="David" w:hint="cs"/>
          <w:sz w:val="22"/>
          <w:rtl/>
        </w:rPr>
        <w:t>ה-1995 (להלן: "</w:t>
      </w:r>
      <w:r>
        <w:rPr>
          <w:rStyle w:val="Strong"/>
          <w:rFonts w:cs="David" w:hint="cs"/>
          <w:sz w:val="22"/>
          <w:rtl/>
        </w:rPr>
        <w:t>חוק הסדרת העיסוק</w:t>
      </w:r>
      <w:r>
        <w:rPr>
          <w:rFonts w:cs="David" w:hint="cs"/>
          <w:sz w:val="22"/>
          <w:rtl/>
        </w:rPr>
        <w:t>") (להלן כולם ביחד: "</w:t>
      </w:r>
      <w:r>
        <w:rPr>
          <w:rStyle w:val="Strong"/>
          <w:rFonts w:cs="David" w:hint="cs"/>
          <w:sz w:val="22"/>
          <w:rtl/>
        </w:rPr>
        <w:t>מנהלי תיקי השקעות</w:t>
      </w:r>
      <w:r>
        <w:rPr>
          <w:rFonts w:cs="David" w:hint="cs"/>
          <w:sz w:val="22"/>
          <w:rtl/>
        </w:rPr>
        <w:t xml:space="preserve">"). </w:t>
      </w:r>
    </w:p>
    <w:p w:rsidR="00000000" w:rsidRDefault="00E90770">
      <w:pPr>
        <w:bidi/>
        <w:spacing w:before="120"/>
        <w:rPr>
          <w:rFonts w:cs="David" w:hint="cs"/>
          <w:sz w:val="22"/>
          <w:rtl/>
        </w:rPr>
      </w:pPr>
      <w:r>
        <w:rPr>
          <w:rFonts w:cs="David" w:hint="cs"/>
          <w:sz w:val="22"/>
          <w:rtl/>
        </w:rPr>
        <w:t>מרבית מנהלי תיקי ההשקעות המאוגדים באיגוד, מנהלים תיקים בסדר גודל קטן-בינוני ביחס להיקפי הנכסים המנוהלים בענף. עם זאת, מבקשי הפטור הודיעו כבר עתה, כי במידה ואכן יצליחו במטרתם להסדרת ר</w:t>
      </w:r>
      <w:r>
        <w:rPr>
          <w:rFonts w:cs="David" w:hint="cs"/>
          <w:sz w:val="22"/>
          <w:rtl/>
        </w:rPr>
        <w:t xml:space="preserve">כישה משותפת של כיסוי ביטוחי עבור מנהלי תיקי ההשקעות כמבוקש, יתכן כי יצטרפו להסדר זה מנהלי תיקי השקעות נוספים, ובהם גם מנהלי תיקי השקעות בהיקפים גדולים יותר, כגון חברות בנות של תאגידים פיננסיים או בתי השקעות זרים. </w:t>
      </w:r>
    </w:p>
    <w:p w:rsidR="00000000" w:rsidRDefault="00E90770">
      <w:pPr>
        <w:pStyle w:val="Heading1"/>
        <w:bidi/>
        <w:spacing w:before="120" w:beforeAutospacing="0" w:after="0" w:afterAutospacing="0"/>
        <w:ind w:left="360"/>
        <w:rPr>
          <w:rStyle w:val="Strong"/>
          <w:rFonts w:eastAsia="Times New Roman" w:hint="cs"/>
          <w:b/>
          <w:bCs/>
          <w:sz w:val="24"/>
          <w:szCs w:val="24"/>
          <w:rtl/>
        </w:rPr>
      </w:pPr>
    </w:p>
    <w:p w:rsidR="00000000" w:rsidRDefault="00E90770">
      <w:pPr>
        <w:pStyle w:val="Heading1"/>
        <w:tabs>
          <w:tab w:val="num" w:pos="1080"/>
        </w:tabs>
        <w:bidi/>
        <w:spacing w:before="120" w:beforeAutospacing="0" w:after="0" w:afterAutospacing="0"/>
        <w:ind w:left="1080" w:hanging="720"/>
        <w:rPr>
          <w:rStyle w:val="Strong"/>
          <w:rFonts w:eastAsia="Times New Roman" w:cs="David" w:hint="cs"/>
          <w:b/>
          <w:bCs/>
          <w:sz w:val="24"/>
          <w:szCs w:val="24"/>
        </w:rPr>
      </w:pPr>
      <w:r>
        <w:rPr>
          <w:rStyle w:val="Strong"/>
          <w:rFonts w:eastAsia="Times New Roman" w:hint="cs"/>
          <w:b/>
          <w:bCs/>
          <w:sz w:val="24"/>
          <w:szCs w:val="24"/>
          <w:rtl/>
        </w:rPr>
        <w:t>2.2.</w:t>
      </w:r>
      <w:r>
        <w:rPr>
          <w:rStyle w:val="Strong"/>
          <w:rFonts w:eastAsia="Times New Roman"/>
          <w:b/>
          <w:bCs/>
          <w:sz w:val="14"/>
          <w:szCs w:val="14"/>
          <w:rtl/>
        </w:rPr>
        <w:t xml:space="preserve">             </w:t>
      </w:r>
      <w:r>
        <w:rPr>
          <w:rStyle w:val="Strong"/>
          <w:rFonts w:eastAsia="Times New Roman" w:cs="David" w:hint="cs"/>
          <w:b/>
          <w:bCs/>
          <w:sz w:val="24"/>
          <w:szCs w:val="24"/>
          <w:rtl/>
        </w:rPr>
        <w:t>הרקע להסדר</w:t>
      </w:r>
    </w:p>
    <w:p w:rsidR="00000000" w:rsidRDefault="00E90770">
      <w:pPr>
        <w:bidi/>
        <w:spacing w:before="120"/>
        <w:rPr>
          <w:rFonts w:hint="cs"/>
          <w:rtl/>
        </w:rPr>
      </w:pPr>
      <w:r>
        <w:rPr>
          <w:rFonts w:cs="David" w:hint="cs"/>
          <w:rtl/>
        </w:rPr>
        <w:t>מנהלי תיקי הה</w:t>
      </w:r>
      <w:r>
        <w:rPr>
          <w:rFonts w:cs="David" w:hint="cs"/>
          <w:rtl/>
        </w:rPr>
        <w:t>שקעות החברים באיגוד, הם בעלי רישיון בהתאם לסעיף 2 לחוק הסדרת העיסוק. כתנאי לקבל הרישיון ולהחזקתו, מטיל עליהם חוק הסדרת העיסוק חובת ביטוח (סעיפים 7-8 לחוק), המוסדרת בתקנות הסדרת העיסוק בייעוץ השקעות, בשיווק השקעות ובניהול תיקי השקעות (הון עצמי וביטוח), התש"</w:t>
      </w:r>
      <w:r>
        <w:rPr>
          <w:rFonts w:cs="David" w:hint="cs"/>
          <w:rtl/>
        </w:rPr>
        <w:t>ס-2000 (להלן: "</w:t>
      </w:r>
      <w:r>
        <w:rPr>
          <w:rStyle w:val="Strong"/>
          <w:rFonts w:cs="David" w:hint="cs"/>
          <w:rtl/>
        </w:rPr>
        <w:t>תקנות הון עצמי וביטוח</w:t>
      </w:r>
      <w:r>
        <w:rPr>
          <w:rFonts w:cs="David" w:hint="cs"/>
          <w:rtl/>
        </w:rPr>
        <w:t>"). חובת ביטוח זו נועדה להבטיח ללקוחות כיסוי מינימלי בעת מעשה או מחדל רשלני של יועץ השקעות או משווק השקעות (תקנה 3) וגם בשל מעילה באמון של עובדיו כלפי לקוח, באשר למנהל תיקים (תקנה 4).</w:t>
      </w:r>
    </w:p>
    <w:p w:rsidR="00000000" w:rsidRDefault="00E90770">
      <w:pPr>
        <w:bidi/>
        <w:spacing w:before="120"/>
        <w:rPr>
          <w:rFonts w:cs="David" w:hint="cs"/>
          <w:rtl/>
        </w:rPr>
      </w:pPr>
      <w:r>
        <w:rPr>
          <w:rFonts w:cs="David" w:hint="cs"/>
          <w:rtl/>
        </w:rPr>
        <w:t>תקנות הון עצמי וביטוח קובעות את חובת</w:t>
      </w:r>
      <w:r>
        <w:rPr>
          <w:rFonts w:cs="David" w:hint="cs"/>
          <w:rtl/>
        </w:rPr>
        <w:t xml:space="preserve"> הביטוח של מנהלי תיקי ההשקעות כשיעור משווי הנכסים או כסכום קבוע כולל, בהתאם להיקף הנכסים. התקנות מוסיפות וקובעות הוראות באשר לסכום ההשתתפות העצמית המקסימלית וכן מתן אפשרות לבחירה בתחליפי ביטוח ו/או תחליפי השתתפות עצמית, כנגד חלק מחובת הביטוח (למשל בדמות ער</w:t>
      </w:r>
      <w:r>
        <w:rPr>
          <w:rFonts w:cs="David" w:hint="cs"/>
          <w:rtl/>
        </w:rPr>
        <w:t xml:space="preserve">בות בנקאית או פקדון). </w:t>
      </w:r>
    </w:p>
    <w:p w:rsidR="00000000" w:rsidRDefault="00E90770">
      <w:pPr>
        <w:bidi/>
        <w:spacing w:before="120"/>
        <w:rPr>
          <w:rFonts w:cs="David" w:hint="cs"/>
          <w:rtl/>
        </w:rPr>
      </w:pPr>
      <w:r>
        <w:rPr>
          <w:rFonts w:cs="David" w:hint="cs"/>
          <w:rtl/>
        </w:rPr>
        <w:lastRenderedPageBreak/>
        <w:t>עד סוף שנת 2008 פעלו בתחום ביטוחי האחריות המקצועית של מנהלי תיקי ההשקעות מספר תאגידי ביטוח, אשר הציעו פוליסות ביטוח אחריות מקצועית. ואולם, בעקבות התפתחויות בשוק העולמי והמקומי במהלך שנה זו, אשר העלו את הסיכון של המבטחים במתן ביטוח אח</w:t>
      </w:r>
      <w:r>
        <w:rPr>
          <w:rFonts w:cs="David" w:hint="cs"/>
          <w:rtl/>
        </w:rPr>
        <w:t xml:space="preserve">ריות מקצועית למנהלי תיקי השקעות, הודיעו חברות הביטוח הפועלות בענף על הפסקת פעילותן בתחום זה, בלא שעמדה חלופה אלטרנטיבית בפני מנהלי תיקי ההשקעות. </w:t>
      </w:r>
    </w:p>
    <w:p w:rsidR="00000000" w:rsidRDefault="00E90770">
      <w:pPr>
        <w:bidi/>
        <w:spacing w:before="120"/>
        <w:rPr>
          <w:rFonts w:cs="David" w:hint="cs"/>
          <w:rtl/>
        </w:rPr>
      </w:pPr>
      <w:r>
        <w:rPr>
          <w:rFonts w:cs="David" w:hint="cs"/>
          <w:rtl/>
        </w:rPr>
        <w:t>לאחר תקופה מסוימת, שבו לפעול בענף מספר חברות ביטוח. דא עקא, פרמיות הביטוח המקצועי של מנהלי תיקי ההשקעות עלו בש</w:t>
      </w:r>
      <w:r>
        <w:rPr>
          <w:rFonts w:cs="David" w:hint="cs"/>
          <w:rtl/>
        </w:rPr>
        <w:t xml:space="preserve">יעור משמעותי ביותר, לעיתים עד כדי פי חמש ויותר מפרמיות פוליסות הביטוח שהוצעו בעבר. עד כדי כך הגיעו הדברים, שמספר מנהלי תיקי השקעות ברישיון הפסיקו את פעילותם האמורה, בטענה כי פרמיות הביטוח הגבוהות הפכו את פעילותם ללא כדאית מבחינה כלכלית. </w:t>
      </w:r>
    </w:p>
    <w:p w:rsidR="00000000" w:rsidRDefault="00E90770">
      <w:pPr>
        <w:pStyle w:val="Heading1"/>
        <w:tabs>
          <w:tab w:val="num" w:pos="1080"/>
        </w:tabs>
        <w:bidi/>
        <w:spacing w:before="120" w:beforeAutospacing="0" w:after="0" w:afterAutospacing="0"/>
        <w:ind w:left="1080" w:hanging="720"/>
        <w:rPr>
          <w:rStyle w:val="Strong"/>
          <w:rFonts w:eastAsia="Times New Roman" w:hint="cs"/>
          <w:b/>
          <w:bCs/>
          <w:sz w:val="22"/>
          <w:szCs w:val="24"/>
          <w:rtl/>
        </w:rPr>
      </w:pPr>
      <w:r>
        <w:rPr>
          <w:rStyle w:val="Strong"/>
          <w:rFonts w:eastAsia="Times New Roman" w:hint="cs"/>
          <w:b/>
          <w:bCs/>
          <w:sz w:val="24"/>
          <w:szCs w:val="24"/>
          <w:rtl/>
        </w:rPr>
        <w:t>2.3.</w:t>
      </w:r>
      <w:r>
        <w:rPr>
          <w:rStyle w:val="Strong"/>
          <w:rFonts w:eastAsia="Times New Roman"/>
          <w:b/>
          <w:bCs/>
          <w:sz w:val="14"/>
          <w:szCs w:val="14"/>
          <w:rtl/>
        </w:rPr>
        <w:t xml:space="preserve">             </w:t>
      </w:r>
      <w:r>
        <w:rPr>
          <w:rStyle w:val="Strong"/>
          <w:rFonts w:eastAsia="Times New Roman" w:cs="David" w:hint="cs"/>
          <w:b/>
          <w:bCs/>
          <w:sz w:val="22"/>
          <w:szCs w:val="24"/>
          <w:rtl/>
        </w:rPr>
        <w:t>ת</w:t>
      </w:r>
      <w:r>
        <w:rPr>
          <w:rStyle w:val="Strong"/>
          <w:rFonts w:eastAsia="Times New Roman" w:cs="David" w:hint="cs"/>
          <w:b/>
          <w:bCs/>
          <w:sz w:val="22"/>
          <w:szCs w:val="24"/>
          <w:rtl/>
        </w:rPr>
        <w:t xml:space="preserve">אור ההסדר </w:t>
      </w:r>
    </w:p>
    <w:p w:rsidR="00000000" w:rsidRDefault="00E90770">
      <w:pPr>
        <w:bidi/>
        <w:spacing w:before="120"/>
        <w:rPr>
          <w:rFonts w:hint="cs"/>
          <w:rtl/>
        </w:rPr>
      </w:pPr>
      <w:r>
        <w:rPr>
          <w:rFonts w:cs="David" w:hint="cs"/>
          <w:rtl/>
        </w:rPr>
        <w:t xml:space="preserve">לאור העליות הניכרות בשיעור פרמיית הביטוח המקצועי למנהלי תיקי ההשקעות, איגוד מנהלי תיקי השקעות מבקש להציע לחבריו אפשרות חלופית לרכישת ביטוח מקצועי בתעריפים נמוכים יותר. לשם כך, מבקש האיגוד לפנות למבטחי משנה בחו"ל, על מנת שיוכלו להציע למנהלי תיקי </w:t>
      </w:r>
      <w:r>
        <w:rPr>
          <w:rFonts w:cs="David" w:hint="cs"/>
          <w:rtl/>
        </w:rPr>
        <w:t>ההשקעות בארץ הצעה לביטוח מקצועי בפרמיות משופרות. הצורך בפניה משותפת של חברי האיגוד למבטחי המשנה בחו"ל, נובע מהיקפי הפעילות המוגבלים של מנהלי התיקים, בצירוף העלויות הגבוהות של ביצוע "</w:t>
      </w:r>
      <w:r>
        <w:rPr>
          <w:rFonts w:hint="cs"/>
        </w:rPr>
        <w:t>road shopping</w:t>
      </w:r>
      <w:r>
        <w:rPr>
          <w:rFonts w:cs="David" w:hint="cs"/>
          <w:rtl/>
        </w:rPr>
        <w:t xml:space="preserve">" כמתואר, אשר אינם מאפשרים להם לפנות באופן עצמאי למבטחי משנה </w:t>
      </w:r>
      <w:r>
        <w:rPr>
          <w:rFonts w:cs="David" w:hint="cs"/>
          <w:rtl/>
        </w:rPr>
        <w:t xml:space="preserve">העוסקים בפעילויות בהיקפים גדולים. החבירה המשותפת למאמץ במציאת מבטח המשנה, נועדה לאפשר לחברי האיגוד ליצור "מאסה מינימלית" של היקפי נכסים מנוהלים ולשאת באופן משותף בעלויות הגבוהות של מציאת מבטח כאמור. </w:t>
      </w:r>
    </w:p>
    <w:p w:rsidR="00000000" w:rsidRDefault="00E90770">
      <w:pPr>
        <w:bidi/>
        <w:spacing w:before="120"/>
        <w:rPr>
          <w:rFonts w:cs="David" w:hint="cs"/>
          <w:rtl/>
        </w:rPr>
      </w:pPr>
      <w:r>
        <w:rPr>
          <w:rStyle w:val="Strong"/>
          <w:rFonts w:cs="David" w:hint="cs"/>
          <w:rtl/>
        </w:rPr>
        <w:t>בשלב הראשון</w:t>
      </w:r>
      <w:r>
        <w:rPr>
          <w:rFonts w:cs="David" w:hint="cs"/>
          <w:rtl/>
        </w:rPr>
        <w:t>, על האיגוד לאתר באמצעות יועץ ביטוח מקומי שנש</w:t>
      </w:r>
      <w:r>
        <w:rPr>
          <w:rFonts w:cs="David" w:hint="cs"/>
          <w:rtl/>
        </w:rPr>
        <w:t xml:space="preserve">כר לשם כך, ברוקר זר אשר יסכים לקחת על עצמו את האחריות לפנות למבטחי משנה, על מנת לבחון את האפשרות לקבלת הצעות אטרקטיביות לרכישת ביטוח מקצועי עבור מנהלי תיקי ההשקעות. </w:t>
      </w:r>
      <w:r>
        <w:rPr>
          <w:rStyle w:val="Strong"/>
          <w:rFonts w:cs="David" w:hint="cs"/>
          <w:rtl/>
        </w:rPr>
        <w:t>בשלב השני</w:t>
      </w:r>
      <w:r>
        <w:rPr>
          <w:rFonts w:cs="David" w:hint="cs"/>
          <w:rtl/>
        </w:rPr>
        <w:t>,</w:t>
      </w:r>
      <w:r>
        <w:rPr>
          <w:rStyle w:val="Strong"/>
          <w:rFonts w:cs="David" w:hint="cs"/>
          <w:rtl/>
        </w:rPr>
        <w:t xml:space="preserve"> </w:t>
      </w:r>
      <w:r>
        <w:rPr>
          <w:rFonts w:cs="David" w:hint="cs"/>
          <w:rtl/>
        </w:rPr>
        <w:t>הברוקר הנבחר צפוי לפנות למבטחי משנה בחו"ל ולבצע "</w:t>
      </w:r>
      <w:r>
        <w:rPr>
          <w:rFonts w:hint="cs"/>
        </w:rPr>
        <w:t>road shopping</w:t>
      </w:r>
      <w:r>
        <w:rPr>
          <w:rFonts w:cs="David" w:hint="cs"/>
          <w:rtl/>
        </w:rPr>
        <w:t>" במטרה לנסות ולגב</w:t>
      </w:r>
      <w:r>
        <w:rPr>
          <w:rFonts w:cs="David" w:hint="cs"/>
          <w:rtl/>
        </w:rPr>
        <w:t xml:space="preserve">ש עבור מנהלי התיקים הצעה לביטוח מקצועי בפרמיות משופרות. </w:t>
      </w:r>
    </w:p>
    <w:p w:rsidR="00000000" w:rsidRDefault="00E90770">
      <w:pPr>
        <w:bidi/>
        <w:spacing w:before="120"/>
        <w:rPr>
          <w:rFonts w:cs="David" w:hint="cs"/>
          <w:rtl/>
        </w:rPr>
      </w:pPr>
      <w:r>
        <w:rPr>
          <w:rStyle w:val="Strong"/>
          <w:rFonts w:cs="David" w:hint="cs"/>
          <w:rtl/>
        </w:rPr>
        <w:t>בשלב השלישי</w:t>
      </w:r>
      <w:r>
        <w:rPr>
          <w:rFonts w:cs="David" w:hint="cs"/>
          <w:rtl/>
        </w:rPr>
        <w:t>, במידה והמהלך לאיתור מבטח משנה בחו"ל יעלה יפה, האיגוד צפוי להתקשר עם מבטח בעל רישיון ביטוח ישראלי או מורשה לויד'ס בישראל, על מנת שזה האחרון יוכל לספק למנהלי תיקי ההשקעות את הביטוח שיציע מ</w:t>
      </w:r>
      <w:r>
        <w:rPr>
          <w:rFonts w:cs="David" w:hint="cs"/>
          <w:rtl/>
        </w:rPr>
        <w:t xml:space="preserve">בטח המשנה. כמו כן, האיגוד מתעתד להתקשר עם מספר סוכני ביטוח מקומיים אשר יבצעו את החיתום והליך ההתקשרות הפרטני בין מנהלי התיקים לבין המבטח המקומי. </w:t>
      </w:r>
    </w:p>
    <w:p w:rsidR="00000000" w:rsidRDefault="00E90770">
      <w:pPr>
        <w:bidi/>
        <w:spacing w:before="120"/>
        <w:rPr>
          <w:rFonts w:cs="David" w:hint="cs"/>
          <w:rtl/>
        </w:rPr>
      </w:pPr>
      <w:r>
        <w:rPr>
          <w:rFonts w:cs="David" w:hint="cs"/>
          <w:rtl/>
        </w:rPr>
        <w:t>נוסף על המתואר, האיגוד מבקש לאסוף מחבריו מידע חיתומי פרטני. תנאי פוליסות הביטוח למנהלי תיקים נקבעים בהתאם לפרמ</w:t>
      </w:r>
      <w:r>
        <w:rPr>
          <w:rFonts w:cs="David" w:hint="cs"/>
          <w:rtl/>
        </w:rPr>
        <w:t>טרים שונים, בהם היקף, סוג ואופי הנכסים המנוהלים, שיעור הכיסוי הביטוחי המבוקש, וכן פרמטרים ייחודיים של מנהל התיקים כגון היסטוריית תביעות. בהתאם לכך, הברוקר צפוי לגבש עבור חברי האיגוד הצעה לרכישת פוליסות ביטוח, הבנויה במעין נוסחה, המציעה פרמיות מדורגות הנגזר</w:t>
      </w:r>
      <w:r>
        <w:rPr>
          <w:rFonts w:cs="David" w:hint="cs"/>
          <w:rtl/>
        </w:rPr>
        <w:t>ות ממשתנים אלו (בהמשך נשוב ונעמוד על החשיבות בהצעת פרמיות מדורגות בהתאם לצרכי מנהלי תיקי ההשקעות). על כן, ועל מנת שברוקר יוכל לפנות למבטחי משנה לקבלת הצעות ביטוחיות, האיגוד מבקש לאסוף כבר עתה מידע חיתומי ממנהלי תיקי ההשקעות המבקשים לרכוש את הביטוח, כגון הי</w:t>
      </w:r>
      <w:r>
        <w:rPr>
          <w:rFonts w:cs="David" w:hint="cs"/>
          <w:rtl/>
        </w:rPr>
        <w:t xml:space="preserve">קף הנכסים המנוהלים והיסטוריית הביטוח והתביעות של הגוף המבוטח. </w:t>
      </w:r>
    </w:p>
    <w:p w:rsidR="00000000" w:rsidRDefault="00E90770">
      <w:pPr>
        <w:overflowPunct w:val="0"/>
        <w:bidi/>
        <w:adjustRightInd w:val="0"/>
        <w:spacing w:before="120"/>
        <w:rPr>
          <w:rFonts w:cs="David" w:hint="cs"/>
          <w:sz w:val="22"/>
          <w:rtl/>
        </w:rPr>
      </w:pPr>
    </w:p>
    <w:p w:rsidR="00000000" w:rsidRDefault="00E90770">
      <w:pPr>
        <w:pStyle w:val="Heading1"/>
        <w:bidi/>
        <w:spacing w:before="120" w:beforeAutospacing="0" w:after="0" w:afterAutospacing="0"/>
        <w:ind w:left="392" w:hanging="360"/>
        <w:rPr>
          <w:rStyle w:val="Strong"/>
          <w:rFonts w:eastAsia="Times New Roman" w:hint="cs"/>
          <w:b/>
          <w:bCs/>
          <w:sz w:val="28"/>
          <w:szCs w:val="28"/>
          <w:rtl/>
        </w:rPr>
      </w:pPr>
      <w:r>
        <w:rPr>
          <w:rStyle w:val="Strong"/>
          <w:rFonts w:eastAsia="Times New Roman" w:hint="cs"/>
          <w:b/>
          <w:bCs/>
          <w:sz w:val="28"/>
          <w:szCs w:val="28"/>
          <w:rtl/>
        </w:rPr>
        <w:t>3.</w:t>
      </w:r>
      <w:r>
        <w:rPr>
          <w:rStyle w:val="Strong"/>
          <w:rFonts w:eastAsia="Times New Roman"/>
          <w:b/>
          <w:bCs/>
          <w:sz w:val="14"/>
          <w:szCs w:val="14"/>
          <w:rtl/>
        </w:rPr>
        <w:t xml:space="preserve">      </w:t>
      </w:r>
      <w:r>
        <w:rPr>
          <w:rStyle w:val="Strong"/>
          <w:rFonts w:eastAsia="Times New Roman" w:cs="David" w:hint="cs"/>
          <w:b/>
          <w:bCs/>
          <w:sz w:val="27"/>
          <w:szCs w:val="27"/>
          <w:rtl/>
        </w:rPr>
        <w:t>השפעת</w:t>
      </w:r>
      <w:r>
        <w:rPr>
          <w:rStyle w:val="Strong"/>
          <w:rFonts w:eastAsia="Times New Roman" w:cs="David" w:hint="cs"/>
          <w:b/>
          <w:bCs/>
          <w:sz w:val="28"/>
          <w:szCs w:val="28"/>
          <w:rtl/>
        </w:rPr>
        <w:t xml:space="preserve"> ההסדר על התחרות</w:t>
      </w:r>
    </w:p>
    <w:p w:rsidR="00000000" w:rsidRDefault="00E90770">
      <w:pPr>
        <w:bidi/>
        <w:spacing w:before="120"/>
        <w:rPr>
          <w:rStyle w:val="Strong"/>
          <w:rFonts w:cs="David" w:hint="cs"/>
          <w:sz w:val="22"/>
          <w:rtl/>
        </w:rPr>
      </w:pPr>
      <w:r>
        <w:rPr>
          <w:rFonts w:cs="David" w:hint="cs"/>
          <w:rtl/>
        </w:rPr>
        <w:t>ההסדר הכובל מקים שיתוף פעולה בין חלק ניכר ממנהלי תיקי ההשקעות הפועלים בישראל: מתוך כ-200 תאגידים בעלי רישיון לייעוץ, שיווק וניהול תיקי השקעות, האיגוד מאגד כבר היום מספר הולך וגדל של עשרות מנהלי תיקי השקעות. יתירה מכך, כפי שתואר לעיל, מבקשי הפטור הצהירו בפנ</w:t>
      </w:r>
      <w:r>
        <w:rPr>
          <w:rFonts w:cs="David" w:hint="cs"/>
          <w:rtl/>
        </w:rPr>
        <w:t xml:space="preserve">יי כי במידה ותושג מטרת הפטור ותתאפשר הצעה של פוליסת ביטוח מתחרה נוספת למנהלי תיקי ההשקעות, יתכן ויבקשו להצטרף אליה גם מנהלי תיקי השקעות נוספים, ובהם חברות המנהלות תיקים בעלי היקפים גדולים יותר, כגון </w:t>
      </w:r>
      <w:r>
        <w:rPr>
          <w:rFonts w:cs="David" w:hint="cs"/>
          <w:sz w:val="22"/>
          <w:rtl/>
        </w:rPr>
        <w:t>חברות בנות של תאגידים פיננסיים או בתי השקעות זרים</w:t>
      </w:r>
      <w:r>
        <w:rPr>
          <w:rFonts w:cs="David" w:hint="cs"/>
          <w:rtl/>
        </w:rPr>
        <w:t>.</w:t>
      </w:r>
      <w:r>
        <w:rPr>
          <w:rStyle w:val="Strong"/>
          <w:rFonts w:cs="David" w:hint="cs"/>
          <w:sz w:val="22"/>
          <w:rtl/>
        </w:rPr>
        <w:t xml:space="preserve"> </w:t>
      </w:r>
    </w:p>
    <w:p w:rsidR="00000000" w:rsidRDefault="00E90770">
      <w:pPr>
        <w:bidi/>
        <w:spacing w:before="120"/>
        <w:rPr>
          <w:rFonts w:hint="cs"/>
          <w:rtl/>
        </w:rPr>
      </w:pPr>
      <w:r>
        <w:rPr>
          <w:rFonts w:cs="David" w:hint="cs"/>
          <w:sz w:val="22"/>
          <w:rtl/>
        </w:rPr>
        <w:t xml:space="preserve">ככלל, חבירה של מתחרים כגון דא לצורך ניהול משא ומתן משותף עם ספק פוטנציאלי והעברת מידע עסקי בין המתחרים לצורך ניהולו עולות כדי הסדר כובל לפי סעיף 2(א) לחוק ההגבלים העסקיים, שכן מדובר בהסדר העלול להפחית את התחרות בעסקים ואף נכנס לגדר סעיף 2(ב) </w:t>
      </w:r>
      <w:r>
        <w:rPr>
          <w:rFonts w:cs="David" w:hint="cs"/>
          <w:sz w:val="22"/>
          <w:rtl/>
        </w:rPr>
        <w:lastRenderedPageBreak/>
        <w:t>לחוק, מאחר שמד</w:t>
      </w:r>
      <w:r>
        <w:rPr>
          <w:rFonts w:cs="David" w:hint="cs"/>
          <w:sz w:val="22"/>
          <w:rtl/>
        </w:rPr>
        <w:t xml:space="preserve">ובר בכבילה הנוגעת למחיר שישולם על-ידי מנהלי תיקי ההשקעות ולאנשים עימם יעסקו.  </w:t>
      </w:r>
    </w:p>
    <w:p w:rsidR="00000000" w:rsidRDefault="00E90770">
      <w:pPr>
        <w:pStyle w:val="BodyText2"/>
        <w:bidi/>
        <w:spacing w:before="120" w:beforeAutospacing="0" w:after="0" w:afterAutospacing="0"/>
        <w:rPr>
          <w:rFonts w:cs="David" w:hint="cs"/>
          <w:rtl/>
        </w:rPr>
      </w:pPr>
      <w:r>
        <w:rPr>
          <w:rFonts w:cs="David" w:hint="cs"/>
          <w:sz w:val="22"/>
          <w:rtl/>
        </w:rPr>
        <w:t xml:space="preserve">השפעותיו התחרותיות של משא ומתן לרכישה משותפת של תשומות נבחנות בעיקר בשני מישורים: יצירה אפשרית של כוח מונופסוני לצדדים למשא ומתן למול הספקים וחלחול של שיתוף הפעולה לזירת התחרות </w:t>
      </w:r>
      <w:r>
        <w:rPr>
          <w:rFonts w:cs="David" w:hint="cs"/>
          <w:sz w:val="22"/>
          <w:rtl/>
        </w:rPr>
        <w:t>על ליבו של הצרכן (</w:t>
      </w:r>
      <w:r>
        <w:rPr>
          <w:rFonts w:hint="cs"/>
          <w:sz w:val="21"/>
          <w:szCs w:val="21"/>
        </w:rPr>
        <w:t>Spillover Effect</w:t>
      </w:r>
      <w:r>
        <w:rPr>
          <w:rFonts w:cs="David" w:hint="cs"/>
          <w:sz w:val="21"/>
          <w:szCs w:val="21"/>
          <w:rtl/>
        </w:rPr>
        <w:t>)</w:t>
      </w:r>
      <w:r>
        <w:rPr>
          <w:rFonts w:cs="David" w:hint="cs"/>
          <w:sz w:val="22"/>
          <w:rtl/>
        </w:rPr>
        <w:t>. אל מול חששות אלה נבחנות ההצדקה לקיומו של המשא ומתן המשותף והתועלות הגלומות בו לצדדים ולציבור. הכשרתם של מיזמים לניהול משא ומתן משותף נבחנת בכל מקרה לגופו, לפי נסיבותיו, ביניהם ניתן למנות את מספרם של המשתמשים המבקשים לחב</w:t>
      </w:r>
      <w:r>
        <w:rPr>
          <w:rFonts w:cs="David" w:hint="cs"/>
          <w:sz w:val="22"/>
          <w:rtl/>
        </w:rPr>
        <w:t>ור למסגרת משא ומתן משותפת; כושר המיקוח היחסי שלהם; חסכון בעלויות עסקה; ניהול משא ומתן על-ידי גורמים מקצועיים ויעילים; מידת מרכזיותו של התחום בו מתנהל המשא ומתן המשותף לפעילות הצדדים; מידת הנטיה לתיאום (מפורש או משתמע) הקיימת ביניהם; ההשפעה על התחרות (במחיר</w:t>
      </w:r>
      <w:r>
        <w:rPr>
          <w:rFonts w:cs="David" w:hint="cs"/>
          <w:sz w:val="22"/>
          <w:rtl/>
        </w:rPr>
        <w:t xml:space="preserve"> ובאיכות) בין הצדדים המבקשים לבין עצמם ובין המבקשים לבין המתחרים בהם; והאפשרות לגלגול התועלות שיצמחו מהמשא ומתן לציבור. במאזן הסופי נשקלת הפגיעה המסתברת בתחרות, אל מול התועלות התחרותיות אשר עשוי ההסכם להביא עמו</w:t>
      </w:r>
      <w:r>
        <w:rPr>
          <w:rStyle w:val="FootnoteReference"/>
          <w:rFonts w:cs="David"/>
          <w:rtl/>
        </w:rPr>
        <w:footnoteReference w:id="1"/>
      </w:r>
      <w:r>
        <w:rPr>
          <w:rStyle w:val="FootnoteReference"/>
          <w:rFonts w:eastAsia="Times New Roman" w:cs="David"/>
        </w:rPr>
        <w:t>[1]</w:t>
      </w:r>
      <w:r>
        <w:rPr>
          <w:rFonts w:cs="David" w:hint="cs"/>
          <w:rtl/>
        </w:rPr>
        <w:t>.</w:t>
      </w:r>
    </w:p>
    <w:p w:rsidR="00000000" w:rsidRDefault="00E90770">
      <w:pPr>
        <w:bidi/>
        <w:spacing w:before="120"/>
        <w:rPr>
          <w:rFonts w:cs="David" w:hint="cs"/>
          <w:sz w:val="22"/>
          <w:rtl/>
        </w:rPr>
      </w:pPr>
      <w:r>
        <w:rPr>
          <w:rFonts w:cs="David" w:hint="cs"/>
          <w:rtl/>
        </w:rPr>
        <w:t xml:space="preserve">לאחר שבחנתי את נסיבות העניין הגעתי לכלל </w:t>
      </w:r>
      <w:r>
        <w:rPr>
          <w:rFonts w:cs="David" w:hint="cs"/>
          <w:rtl/>
        </w:rPr>
        <w:t xml:space="preserve">מסקנה, כי </w:t>
      </w:r>
      <w:r>
        <w:rPr>
          <w:rFonts w:cs="David" w:hint="cs"/>
          <w:sz w:val="22"/>
          <w:rtl/>
        </w:rPr>
        <w:t xml:space="preserve">בהתקיים התנאים המפורטים בסוף החלטתי </w:t>
      </w:r>
      <w:r>
        <w:rPr>
          <w:rFonts w:cs="David" w:hint="cs"/>
          <w:rtl/>
        </w:rPr>
        <w:t>אין בניהולו המשותף של משא ומתן במקרה זה כדי לפגוע פגיעה של ממש בתחרות,</w:t>
      </w:r>
      <w:r>
        <w:rPr>
          <w:rFonts w:cs="David" w:hint="cs"/>
          <w:sz w:val="22"/>
          <w:rtl/>
        </w:rPr>
        <w:t xml:space="preserve"> בעוד שקיימת הצדקה לקיומו ואף עשויה להיות בצידו תועלת תחרותית, כפי שיבואר עתה. </w:t>
      </w:r>
    </w:p>
    <w:p w:rsidR="00000000" w:rsidRDefault="00E90770">
      <w:pPr>
        <w:bidi/>
        <w:spacing w:before="120"/>
        <w:rPr>
          <w:rFonts w:cs="David" w:hint="cs"/>
          <w:rtl/>
        </w:rPr>
      </w:pPr>
      <w:r>
        <w:rPr>
          <w:rFonts w:cs="David" w:hint="cs"/>
          <w:rtl/>
        </w:rPr>
        <w:t>ראשית, נראה כי אין מקום לחשש לפגיעה בתחרות שבין מנהלי תיקי ה</w:t>
      </w:r>
      <w:r>
        <w:rPr>
          <w:rFonts w:cs="David" w:hint="cs"/>
          <w:rtl/>
        </w:rPr>
        <w:t>השקעות אל מול לקוחותיהם: הענף הוא מבוזר ומרובה מתחרים, חסמי המעבר נמוכים באופן יחסי והשירות המוענק הוא אישי ומותאם באופן פרטני בין כל מנהל תיקים לבין הלקוח (</w:t>
      </w:r>
      <w:r>
        <w:rPr>
          <w:rFonts w:hint="cs"/>
        </w:rPr>
        <w:t>tailored made</w:t>
      </w:r>
      <w:r>
        <w:rPr>
          <w:rFonts w:cs="David" w:hint="cs"/>
          <w:rtl/>
        </w:rPr>
        <w:t>). כמו כן, אף שרכישת ביטוח מקצועי היא תנאי לקבלת רישיון לניהול תיקים, אין מדובר בתשומה</w:t>
      </w:r>
      <w:r>
        <w:rPr>
          <w:rFonts w:cs="David" w:hint="cs"/>
          <w:rtl/>
        </w:rPr>
        <w:t xml:space="preserve"> המצויה בליבת תחום התחרות</w:t>
      </w:r>
      <w:r>
        <w:rPr>
          <w:rStyle w:val="Strong"/>
          <w:rFonts w:cs="David" w:hint="cs"/>
          <w:rtl/>
        </w:rPr>
        <w:t xml:space="preserve"> </w:t>
      </w:r>
      <w:r>
        <w:rPr>
          <w:rFonts w:cs="David" w:hint="cs"/>
          <w:rtl/>
        </w:rPr>
        <w:t>שבין מנהלי תיקי ההשקעות, המתחרים ביניהם בעיקר על שיעורי התשואות שהם משיגים ללקוחותיהם ועל שיעור דמי הניהול שהם גובים מלקוחות אלו. יתירה מכך, שיעורי הביטוח המינימאליים מוסדרים באופן מפורט בתקנות הון עצמי וביטוח, ולפיכך מקטינים את ה</w:t>
      </w:r>
      <w:r>
        <w:rPr>
          <w:rFonts w:cs="David" w:hint="cs"/>
          <w:rtl/>
        </w:rPr>
        <w:t>חששות מפני הגברת התיאום בין מנהלי תיקי ההשקעות באשר למחיר ואיכות השירות שהם מעניקים ללקוחות. יחד עם זאת, על מנת להבטיח את האפשרות (הרצויה) שמנהלי תיקי השקעות המבקשים לקבל כיסוי ביטוחי רחב יותר מהמינימום הנדרש בחוק יוכל לעשות זאת, ובכך להתחרות ולהציע ללקוחו</w:t>
      </w:r>
      <w:r>
        <w:rPr>
          <w:rFonts w:cs="David" w:hint="cs"/>
          <w:rtl/>
        </w:rPr>
        <w:t xml:space="preserve">תיהם שירות עדיף גם בתחום זה, הותנה מתן הפטור בכך שההצעה תכלול גם הצעה ביטוחית מורחבת, מעבר למינימום שבחוק, עבור אלו החפצים בכך, וכן נאסר על האיגוד להמליץ על רכישת כיסוי ביטוחי בשיעור ו/או מסוג מסוים. </w:t>
      </w:r>
    </w:p>
    <w:p w:rsidR="00000000" w:rsidRDefault="00E90770">
      <w:pPr>
        <w:bidi/>
        <w:spacing w:before="120"/>
        <w:rPr>
          <w:rFonts w:cs="David" w:hint="cs"/>
          <w:rtl/>
        </w:rPr>
      </w:pPr>
      <w:r>
        <w:rPr>
          <w:rFonts w:cs="David" w:hint="cs"/>
          <w:rtl/>
        </w:rPr>
        <w:t xml:space="preserve">שנית, ניהול משותף של משא ומתן על-ידי מנהלי התיקים אינו </w:t>
      </w:r>
      <w:r>
        <w:rPr>
          <w:rFonts w:cs="David" w:hint="cs"/>
          <w:sz w:val="22"/>
          <w:rtl/>
        </w:rPr>
        <w:t>צפוי להקנות להם כח שוק אל מול חברות הביטוח בהתחשב בהיקף שוק הביטוח, מבנהו וענפיו, כמו גם היעדר חסמי מעבר משמעותיים לחברות הביטוח בתחום הביטוח המקצועי, לכל הפחות בתחום הנוגע לעוסקים בשירותים ופיננסים. על רקע זה יש לבחון גם את ניהולו המשותף של המשא ומתן והשפ</w:t>
      </w:r>
      <w:r>
        <w:rPr>
          <w:rFonts w:cs="David" w:hint="cs"/>
          <w:sz w:val="22"/>
          <w:rtl/>
        </w:rPr>
        <w:t>עותיו האפשריות על התחרות.</w:t>
      </w:r>
      <w:r>
        <w:rPr>
          <w:rFonts w:cs="David" w:hint="cs"/>
          <w:rtl/>
        </w:rPr>
        <w:t xml:space="preserve"> </w:t>
      </w:r>
    </w:p>
    <w:p w:rsidR="00000000" w:rsidRDefault="00E90770">
      <w:pPr>
        <w:bidi/>
        <w:spacing w:before="120"/>
        <w:rPr>
          <w:rFonts w:cs="David" w:hint="cs"/>
          <w:rtl/>
        </w:rPr>
      </w:pPr>
      <w:r>
        <w:rPr>
          <w:rFonts w:cs="David" w:hint="cs"/>
          <w:rtl/>
        </w:rPr>
        <w:t>יתירה מכך, הצלחת המבקשים לגבש הצעה לפוליסת ביטוח מקצועי כמבוקש, עשויה להיות בעלת השפעות פרו-תחרותיות: הגדלת ההיצע של פוליסות הביטוח, בייחוד מקום בו תתגבש הצעה לפרמיות נמוכות יותר בפועל, עשויה להביא לתחרות רבה יותר בין חברות הביטו</w:t>
      </w:r>
      <w:r>
        <w:rPr>
          <w:rFonts w:cs="David" w:hint="cs"/>
          <w:rtl/>
        </w:rPr>
        <w:t>ח ולגרור אחריה הורדה של מחירי הפרמיות. זאת ועוד. הגדלת ההיצע התחרותי של פוליסות הביטוח המקצועי והפחתה במחירי הפוליסה, עשויה להיטיב בסופו של יום עם ציבור המשקיעים כולו: הוזלה במחירי פרמיות הביטוח צפויה לשפר את כושר התחרות של השחקנים בענף ניהול תיקי ההשקעות,</w:t>
      </w:r>
      <w:r>
        <w:rPr>
          <w:rFonts w:cs="David" w:hint="cs"/>
          <w:rtl/>
        </w:rPr>
        <w:t xml:space="preserve"> בייחוד שחקנים בעלי היקפי פעילות בינוניים וקטנים, אשר מתקשים כיום לשאת בעלויות הביטוח הגבוהות; עשויה לעודד מנהלי תיקי השקעות להגדיל את היקפי הביטוח שהם רוכשים; וכן עשויה, בנסיבות המתאימות, לגלגל את ההפחתה בתעריפי הביטוח לטובת הלקוחות </w:t>
      </w:r>
      <w:r>
        <w:rPr>
          <w:rFonts w:cs="David" w:hint="cs"/>
          <w:rtl/>
        </w:rPr>
        <w:lastRenderedPageBreak/>
        <w:t>המשקיעים. לשיקולים אלו</w:t>
      </w:r>
      <w:r>
        <w:rPr>
          <w:rFonts w:cs="David" w:hint="cs"/>
          <w:rtl/>
        </w:rPr>
        <w:t xml:space="preserve"> יש להוסיף את חשיבותם של מנהלי תיקי השקעות לפיתוחו של שוק הון משוכלל ולהגדלת נגישות הציבור לשירותים אלו.</w:t>
      </w:r>
    </w:p>
    <w:p w:rsidR="00000000" w:rsidRDefault="00E90770">
      <w:pPr>
        <w:bidi/>
        <w:spacing w:before="120"/>
        <w:rPr>
          <w:rFonts w:cs="David" w:hint="cs"/>
          <w:rtl/>
        </w:rPr>
      </w:pPr>
      <w:r>
        <w:rPr>
          <w:rFonts w:cs="David" w:hint="cs"/>
          <w:rtl/>
        </w:rPr>
        <w:t xml:space="preserve">עם זאת, </w:t>
      </w:r>
      <w:r>
        <w:rPr>
          <w:rFonts w:cs="David" w:hint="cs"/>
          <w:sz w:val="22"/>
          <w:rtl/>
        </w:rPr>
        <w:t xml:space="preserve">פעילות עסקית משותפת של מתחרים המיצגים חלק ניכר מהענף, עשויה להגביר את החששות </w:t>
      </w:r>
      <w:r>
        <w:rPr>
          <w:rFonts w:cs="David" w:hint="cs"/>
          <w:rtl/>
        </w:rPr>
        <w:t>התחרותיים</w:t>
      </w:r>
      <w:r>
        <w:rPr>
          <w:rFonts w:cs="David" w:hint="cs"/>
          <w:sz w:val="22"/>
          <w:rtl/>
        </w:rPr>
        <w:t xml:space="preserve"> מפני זליגה של הפעילות לתחומים בלתי-רצויים ואסורים ולהשפע</w:t>
      </w:r>
      <w:r>
        <w:rPr>
          <w:rFonts w:cs="David" w:hint="cs"/>
          <w:sz w:val="22"/>
          <w:rtl/>
        </w:rPr>
        <w:t>ות אנטי-תחרותיות כלפי מתחרים אחרים.</w:t>
      </w:r>
      <w:r>
        <w:rPr>
          <w:rFonts w:cs="David" w:hint="cs"/>
          <w:rtl/>
        </w:rPr>
        <w:t xml:space="preserve"> והדברים אמורים בייחוד מקום בו ההסדר כולל העברת מידע חיתומי בעל רגישות תחרותית לידי איגוד מנהלי התיקים ובעלי התפקידים הפועלים מטעמו לגיבוש ההצעה לביטוח מקצועי.</w:t>
      </w:r>
    </w:p>
    <w:p w:rsidR="00000000" w:rsidRDefault="00E90770">
      <w:pPr>
        <w:bidi/>
        <w:spacing w:before="120"/>
        <w:rPr>
          <w:rFonts w:cs="David" w:hint="cs"/>
          <w:rtl/>
        </w:rPr>
      </w:pPr>
      <w:r>
        <w:rPr>
          <w:rFonts w:cs="David" w:hint="cs"/>
          <w:rtl/>
        </w:rPr>
        <w:t>בהקשר זה יובהר, למען הסר כל ספק, כי אין באיסוף המידע על-ידי ה</w:t>
      </w:r>
      <w:r>
        <w:rPr>
          <w:rFonts w:cs="David" w:hint="cs"/>
          <w:rtl/>
        </w:rPr>
        <w:t>איגוד העסקי (במובחן מחבריו המתחרים) כדי להפיס את החששות התחרותיים הכרוכים באיסוף המידע. בעבר כבר עמדתי על כך, שאין בעובדה שהצדדים יצרו הגבלות חוזיות מסוימות או לקחו על עצמם מגבלות וולונטריות לעניין השימוש במידע והעברתו, כדי לשלול את מהותו של הסדר בו מעבירי</w:t>
      </w:r>
      <w:r>
        <w:rPr>
          <w:rFonts w:cs="David" w:hint="cs"/>
          <w:rtl/>
        </w:rPr>
        <w:t>ם מתחרים מידע מסחרי רגיש ביותר לצד שלישי, לא כל שכן לאיגוד המקצועי בו הם חברים או כדי להוות תחליף לתחימה מדויקת ופרטנית של המגבלות על העברת המידע כפי שנעשה בתנאי החלטה זו. יתירה מכך, בהסדרים כגון דא, יש חשיבות יתירה לקיומם של תנאים שהושתו על-ידי מערך ההגבל</w:t>
      </w:r>
      <w:r>
        <w:rPr>
          <w:rFonts w:cs="David" w:hint="cs"/>
          <w:rtl/>
        </w:rPr>
        <w:t>ים העסקיים, אשר בשונה מנורמות פרטניות, נקבעו בידי רשות אכיפה מתוך ראיית אינטרס הציבור, ושהפרתן כרוכה בסנקציה פלילית</w:t>
      </w:r>
      <w:r>
        <w:rPr>
          <w:rStyle w:val="FootnoteReference"/>
          <w:rFonts w:cs="David"/>
          <w:rtl/>
        </w:rPr>
        <w:footnoteReference w:id="2"/>
      </w:r>
      <w:r>
        <w:rPr>
          <w:rStyle w:val="FootnoteReference"/>
          <w:rFonts w:eastAsia="Times New Roman" w:cs="David"/>
          <w:lang w:eastAsia="he-IL"/>
        </w:rPr>
        <w:t>[2]</w:t>
      </w:r>
      <w:r>
        <w:rPr>
          <w:rFonts w:cs="David" w:hint="cs"/>
          <w:rtl/>
        </w:rPr>
        <w:t xml:space="preserve">. </w:t>
      </w:r>
    </w:p>
    <w:p w:rsidR="00000000" w:rsidRDefault="00E90770">
      <w:pPr>
        <w:pStyle w:val="BodyText2"/>
        <w:bidi/>
        <w:spacing w:before="120" w:beforeAutospacing="0" w:after="0" w:afterAutospacing="0"/>
        <w:rPr>
          <w:rFonts w:cs="David" w:hint="cs"/>
          <w:sz w:val="22"/>
          <w:rtl/>
        </w:rPr>
      </w:pPr>
      <w:r>
        <w:rPr>
          <w:rFonts w:cs="David" w:hint="cs"/>
          <w:sz w:val="22"/>
          <w:rtl/>
        </w:rPr>
        <w:t>על כן, ראיתי לנכון להבטיח כי הצדדים לא יעבירו ביניהם כל מידע עסקי אשר עלול להביא להפחתת התחרות ביניהם (כדוגמת מידע על דמי הניהול שהם ג</w:t>
      </w:r>
      <w:r>
        <w:rPr>
          <w:rFonts w:cs="David" w:hint="cs"/>
          <w:sz w:val="22"/>
          <w:rtl/>
        </w:rPr>
        <w:t>ובים מלקוחותיהם, טיב השקעותיהם וכד') ולקבוע מגבלות ברורות על היקף ואופן העברת המידע לידי איגוד מנהלי התיקים והגורמים הרלוונטיים לגיבוש הצעת הביטוח, באמצעות קביעת מספר תנאים: קביעת רשימה סגורה של סוגי המידע אשר איגוד מנהלי התיקים רשאי לאסוף מחבריו (הניתנת ל</w:t>
      </w:r>
      <w:r>
        <w:rPr>
          <w:rFonts w:cs="David" w:hint="cs"/>
          <w:sz w:val="22"/>
          <w:rtl/>
        </w:rPr>
        <w:t>הרחבה באישור הממונה על הגבלים עסקיים); קביעת רשימה סגורה של הגורמים המורשים לעיין במידע האמור, תוך קביעת תנאים לשמירת סודיות המידע; קביעה כי גורמים מורשים אלו לא יהיו קשורים באופן כלשהו עם מי ממנהלי תיקי ההשקעות; וקביעה כי ההחלטות והפעולות הנוגעות לגיבוש ה</w:t>
      </w:r>
      <w:r>
        <w:rPr>
          <w:rFonts w:cs="David" w:hint="cs"/>
          <w:sz w:val="22"/>
          <w:rtl/>
        </w:rPr>
        <w:t xml:space="preserve">הצעה ואופן קבלתן יתועדו בכתב, ויומצאו לממונה על פי דרישה. בנוסף, בכדי שהפעילות המשותפת לא תתרחב שלא לצורך, הוגדרו במדויק תחומי הפעילות המותרת. </w:t>
      </w:r>
    </w:p>
    <w:p w:rsidR="00000000" w:rsidRDefault="00E90770">
      <w:pPr>
        <w:pStyle w:val="Header"/>
        <w:bidi/>
        <w:spacing w:before="120" w:beforeAutospacing="0" w:after="0" w:afterAutospacing="0"/>
        <w:jc w:val="both"/>
        <w:rPr>
          <w:rFonts w:cs="David" w:hint="cs"/>
          <w:sz w:val="22"/>
          <w:rtl/>
        </w:rPr>
      </w:pPr>
      <w:r>
        <w:rPr>
          <w:rFonts w:cs="David" w:hint="cs"/>
          <w:sz w:val="22"/>
          <w:rtl/>
        </w:rPr>
        <w:t xml:space="preserve">בנוסף, בדומה להחלטות פטור קודמות בתחום ניהול משא ומתן משותף, מצאתי להשית תנאים שנועדו להבטיח כי לא תיפגע התחרות </w:t>
      </w:r>
      <w:r>
        <w:rPr>
          <w:rFonts w:cs="David" w:hint="cs"/>
          <w:rtl/>
        </w:rPr>
        <w:t xml:space="preserve">בין מנהלי תיקי השקעות החברים באיגוד לבין מנהלי תיקי השקעות אחרים המתחרים בהם: </w:t>
      </w:r>
      <w:r>
        <w:rPr>
          <w:rFonts w:cs="David" w:hint="cs"/>
          <w:sz w:val="22"/>
          <w:rtl/>
        </w:rPr>
        <w:t xml:space="preserve">התנאים קובעים, כי להסדר יהיו זכאים להצטרף כל מנהלי תיקי ההשקעות הרוצים בכך, בין אם הם חברי האיגוד ובין אם לאו. על מנת להבטיח כי אפשרות זו תתקיים הלכה למעשה, נקבע כי </w:t>
      </w:r>
      <w:r>
        <w:rPr>
          <w:rFonts w:cs="David" w:hint="cs"/>
          <w:rtl/>
        </w:rPr>
        <w:t>הצעה שיגבש אי</w:t>
      </w:r>
      <w:r>
        <w:rPr>
          <w:rFonts w:cs="David" w:hint="cs"/>
          <w:rtl/>
        </w:rPr>
        <w:t>גוד מנהלי התיקים תכלול הצעות לביטוח מקצועי עבור כלל מנהלי תיקי ההשקעות ברישיון, בהתאם לשיעורי הביטוח המינימאליים אשר נקבעו בתקנות הון עצמי וביטוח ולחלופות השונות המצויות שם.</w:t>
      </w:r>
      <w:r>
        <w:rPr>
          <w:rFonts w:cs="David" w:hint="cs"/>
          <w:sz w:val="22"/>
          <w:rtl/>
        </w:rPr>
        <w:t xml:space="preserve"> כן אוסרים התנאים על הצדדים להסדר להתקשר בהסדר לפיו יוצע לצד שלישי, שאינו צד להסדר,</w:t>
      </w:r>
      <w:r>
        <w:rPr>
          <w:rFonts w:cs="David" w:hint="cs"/>
          <w:sz w:val="22"/>
          <w:rtl/>
        </w:rPr>
        <w:t xml:space="preserve"> תנאים נחותים מאלה המוצעים לחברי איגוד מנהלי התיקים, או שתישלל בו יכולתו של צד שלישי כאמור, להתקשר בתנאים עדיפים על אלה שהוצעו לחברי האיגוד. כמו כן, ביחס לחברי האיגוד, התנאים קובעים שהסכמות שהושגו במשא ומתן קולקטיבי כמבוקש בבקשת הפטור יוכלו להוות רק המלצה </w:t>
      </w:r>
      <w:r>
        <w:rPr>
          <w:rFonts w:cs="David" w:hint="cs"/>
          <w:sz w:val="22"/>
          <w:rtl/>
        </w:rPr>
        <w:t xml:space="preserve">ולא יוכלו לחייב מנהל תיקי השקעות החבר באיגוד, ובפרט לא יוכלו למנוע ממנו לשאת ולתת עבור עצמו ולהשיג תנאים טובים יותר. </w:t>
      </w:r>
    </w:p>
    <w:p w:rsidR="00000000" w:rsidRDefault="00E90770">
      <w:pPr>
        <w:bidi/>
        <w:spacing w:before="120"/>
        <w:rPr>
          <w:rFonts w:cs="David" w:hint="cs"/>
          <w:rtl/>
        </w:rPr>
      </w:pPr>
    </w:p>
    <w:p w:rsidR="00000000" w:rsidRDefault="00E90770">
      <w:pPr>
        <w:pStyle w:val="Heading1"/>
        <w:bidi/>
        <w:spacing w:before="120" w:beforeAutospacing="0" w:after="0" w:afterAutospacing="0"/>
        <w:ind w:left="32"/>
        <w:rPr>
          <w:rStyle w:val="Strong"/>
          <w:rFonts w:eastAsia="Times New Roman" w:hint="cs"/>
          <w:b/>
          <w:bCs/>
          <w:sz w:val="28"/>
          <w:szCs w:val="28"/>
          <w:u w:val="single"/>
          <w:rtl/>
        </w:rPr>
      </w:pPr>
      <w:r>
        <w:rPr>
          <w:rStyle w:val="Strong"/>
          <w:rFonts w:eastAsia="Times New Roman" w:cs="David" w:hint="cs"/>
          <w:b/>
          <w:bCs/>
          <w:sz w:val="28"/>
          <w:szCs w:val="28"/>
          <w:u w:val="single"/>
          <w:rtl/>
        </w:rPr>
        <w:t>סוף דבר</w:t>
      </w:r>
    </w:p>
    <w:p w:rsidR="00000000" w:rsidRDefault="00E90770">
      <w:pPr>
        <w:bidi/>
        <w:spacing w:before="120"/>
        <w:rPr>
          <w:rFonts w:hint="cs"/>
          <w:rtl/>
        </w:rPr>
      </w:pPr>
      <w:r>
        <w:rPr>
          <w:rFonts w:cs="David" w:hint="cs"/>
          <w:rtl/>
        </w:rPr>
        <w:t>לאחר שנועצתי בועדה לפטורים ומיזוגים ומכוח הסמכות הנתונה לי בסעיף 14 לחוק ההגבלים העסקיים, ניתן בזה פטור, בתנאים המפורטים להלן, מן</w:t>
      </w:r>
      <w:r>
        <w:rPr>
          <w:rFonts w:cs="David" w:hint="cs"/>
          <w:rtl/>
        </w:rPr>
        <w:t xml:space="preserve"> החובה לקבל את אישור בית הדין להגבלים עסקיים להסדר לניהול משא ומתן משותף שערכו ביניהן.  </w:t>
      </w:r>
    </w:p>
    <w:p w:rsidR="00000000" w:rsidRDefault="00E90770">
      <w:pPr>
        <w:bidi/>
        <w:spacing w:before="120"/>
        <w:rPr>
          <w:rFonts w:cs="David" w:hint="cs"/>
          <w:rtl/>
        </w:rPr>
      </w:pPr>
      <w:r>
        <w:rPr>
          <w:rFonts w:cs="David" w:hint="cs"/>
          <w:sz w:val="22"/>
          <w:rtl/>
        </w:rPr>
        <w:t>בהתאם לסעיף 15(א) לחוק ההגבלים העסקיים נתונה החלטתי זו לערר בפני אב בית הדין להגבלים עסקיים על ידי איגוד עסקי, ארגון צרכנים או כל אדם העלול להיפגע מההסדר הכובל נשוא הפ</w:t>
      </w:r>
      <w:r>
        <w:rPr>
          <w:rFonts w:cs="David" w:hint="cs"/>
          <w:sz w:val="22"/>
          <w:rtl/>
        </w:rPr>
        <w:t>טור.</w:t>
      </w:r>
    </w:p>
    <w:p w:rsidR="00000000" w:rsidRDefault="00E90770">
      <w:pPr>
        <w:bidi/>
        <w:spacing w:before="120"/>
        <w:rPr>
          <w:rStyle w:val="Strong"/>
          <w:rFonts w:hint="cs"/>
          <w:u w:val="single"/>
          <w:rtl/>
        </w:rPr>
      </w:pPr>
    </w:p>
    <w:p w:rsidR="00000000" w:rsidRDefault="00E90770">
      <w:pPr>
        <w:bidi/>
        <w:spacing w:before="120"/>
        <w:rPr>
          <w:rFonts w:hint="cs"/>
          <w:rtl/>
        </w:rPr>
      </w:pPr>
      <w:r>
        <w:rPr>
          <w:rStyle w:val="Strong"/>
          <w:rFonts w:cs="David" w:hint="cs"/>
          <w:u w:val="single"/>
          <w:rtl/>
        </w:rPr>
        <w:lastRenderedPageBreak/>
        <w:t>ואלה הם התנאים למתן הפטור</w:t>
      </w:r>
      <w:r>
        <w:rPr>
          <w:rFonts w:cs="David" w:hint="cs"/>
          <w:rtl/>
        </w:rPr>
        <w:t xml:space="preserve">:  </w:t>
      </w:r>
    </w:p>
    <w:p w:rsidR="00000000" w:rsidRDefault="00E90770">
      <w:pPr>
        <w:bidi/>
        <w:spacing w:before="120"/>
        <w:rPr>
          <w:rFonts w:cs="David" w:hint="cs"/>
          <w:rtl/>
        </w:rPr>
      </w:pPr>
      <w:r>
        <w:rPr>
          <w:rStyle w:val="Strong"/>
          <w:rFonts w:cs="David" w:hint="cs"/>
          <w:rtl/>
        </w:rPr>
        <w:t>הגדרות</w:t>
      </w:r>
      <w:r>
        <w:rPr>
          <w:rFonts w:cs="David" w:hint="cs"/>
          <w:rtl/>
        </w:rPr>
        <w:t>:</w:t>
      </w:r>
    </w:p>
    <w:p w:rsidR="00000000" w:rsidRDefault="00E90770">
      <w:pPr>
        <w:bidi/>
        <w:spacing w:before="120"/>
        <w:ind w:left="2268" w:hanging="2268"/>
        <w:rPr>
          <w:rFonts w:cs="David" w:hint="cs"/>
          <w:sz w:val="22"/>
          <w:rtl/>
        </w:rPr>
      </w:pPr>
    </w:p>
    <w:p w:rsidR="00000000" w:rsidRDefault="00E90770">
      <w:pPr>
        <w:bidi/>
        <w:spacing w:before="120"/>
        <w:ind w:left="2552" w:hanging="2520"/>
        <w:rPr>
          <w:rFonts w:cs="David" w:hint="cs"/>
          <w:sz w:val="22"/>
          <w:rtl/>
        </w:rPr>
      </w:pPr>
      <w:r>
        <w:rPr>
          <w:rFonts w:cs="David" w:hint="cs"/>
          <w:sz w:val="22"/>
          <w:rtl/>
        </w:rPr>
        <w:t>"</w:t>
      </w:r>
      <w:r>
        <w:rPr>
          <w:rStyle w:val="Strong"/>
          <w:rFonts w:cs="David" w:hint="cs"/>
          <w:sz w:val="22"/>
          <w:rtl/>
        </w:rPr>
        <w:t>האיגוד</w:t>
      </w:r>
      <w:r>
        <w:rPr>
          <w:rFonts w:cs="David" w:hint="cs"/>
          <w:sz w:val="22"/>
          <w:rtl/>
        </w:rPr>
        <w:t xml:space="preserve">" - </w:t>
      </w:r>
      <w:r>
        <w:rPr>
          <w:rFonts w:cs="David" w:hint="cs"/>
          <w:sz w:val="22"/>
          <w:rtl/>
        </w:rPr>
        <w:tab/>
        <w:t xml:space="preserve">איגוד מנהלי השקעות שבאיגוד לשכות המסחר; </w:t>
      </w:r>
    </w:p>
    <w:p w:rsidR="00000000" w:rsidRDefault="00E90770">
      <w:pPr>
        <w:bidi/>
        <w:spacing w:before="120"/>
        <w:ind w:left="2552" w:hanging="2520"/>
        <w:rPr>
          <w:rFonts w:cs="David" w:hint="cs"/>
          <w:sz w:val="22"/>
          <w:rtl/>
        </w:rPr>
      </w:pPr>
      <w:r>
        <w:rPr>
          <w:rFonts w:cs="David" w:hint="cs"/>
          <w:sz w:val="22"/>
          <w:rtl/>
        </w:rPr>
        <w:t>"</w:t>
      </w:r>
      <w:r>
        <w:rPr>
          <w:rStyle w:val="Strong"/>
          <w:rFonts w:cs="David" w:hint="cs"/>
          <w:sz w:val="22"/>
          <w:rtl/>
        </w:rPr>
        <w:t>הברוקר</w:t>
      </w:r>
      <w:r>
        <w:rPr>
          <w:rFonts w:cs="David" w:hint="cs"/>
          <w:sz w:val="22"/>
          <w:rtl/>
        </w:rPr>
        <w:t xml:space="preserve">" - </w:t>
      </w:r>
      <w:r>
        <w:rPr>
          <w:rFonts w:cs="David" w:hint="cs"/>
          <w:sz w:val="22"/>
          <w:rtl/>
        </w:rPr>
        <w:tab/>
        <w:t xml:space="preserve"> גוף העוסק בתיווך בביטוח המאוגד בחו"ל ושהינו בעל רשיון מתאים לעסוק בביטוח מה-</w:t>
      </w:r>
      <w:r>
        <w:rPr>
          <w:rFonts w:hint="cs"/>
        </w:rPr>
        <w:t>FSA</w:t>
      </w:r>
      <w:r>
        <w:rPr>
          <w:rFonts w:cs="David" w:hint="cs"/>
          <w:sz w:val="22"/>
          <w:rtl/>
        </w:rPr>
        <w:t xml:space="preserve"> </w:t>
      </w:r>
      <w:r>
        <w:rPr>
          <w:rFonts w:cs="David" w:hint="cs"/>
          <w:sz w:val="22"/>
          <w:rtl/>
        </w:rPr>
        <w:t>וכן מורשה לוידס לונדון, אשר יבחר על-ידי האיגוד לניהול משא ומתן, כהגדרתו בסעיף 1 להלן, מול מבטחי משנה;</w:t>
      </w:r>
    </w:p>
    <w:p w:rsidR="00000000" w:rsidRDefault="00E90770">
      <w:pPr>
        <w:bidi/>
        <w:spacing w:before="120"/>
        <w:ind w:left="2552" w:hanging="2520"/>
        <w:rPr>
          <w:rFonts w:cs="David" w:hint="cs"/>
          <w:sz w:val="22"/>
          <w:rtl/>
        </w:rPr>
      </w:pPr>
      <w:r>
        <w:rPr>
          <w:rFonts w:cs="David" w:hint="cs"/>
          <w:sz w:val="22"/>
          <w:rtl/>
        </w:rPr>
        <w:t>"</w:t>
      </w:r>
      <w:r>
        <w:rPr>
          <w:rStyle w:val="Strong"/>
          <w:rFonts w:cs="David" w:hint="cs"/>
          <w:sz w:val="22"/>
          <w:rtl/>
        </w:rPr>
        <w:t>הממונה</w:t>
      </w:r>
      <w:r>
        <w:rPr>
          <w:rFonts w:cs="David" w:hint="cs"/>
          <w:sz w:val="22"/>
          <w:rtl/>
        </w:rPr>
        <w:t xml:space="preserve">" - </w:t>
      </w:r>
      <w:r>
        <w:rPr>
          <w:rFonts w:cs="David" w:hint="cs"/>
          <w:sz w:val="22"/>
          <w:rtl/>
        </w:rPr>
        <w:tab/>
        <w:t>הממונה על הגבלים עסקיים;</w:t>
      </w:r>
    </w:p>
    <w:p w:rsidR="00000000" w:rsidRDefault="00E90770">
      <w:pPr>
        <w:bidi/>
        <w:spacing w:before="120"/>
        <w:ind w:left="2552" w:hanging="2520"/>
        <w:rPr>
          <w:rFonts w:cs="David" w:hint="cs"/>
          <w:sz w:val="22"/>
          <w:rtl/>
        </w:rPr>
      </w:pPr>
      <w:r>
        <w:rPr>
          <w:rFonts w:cs="David" w:hint="cs"/>
          <w:sz w:val="22"/>
          <w:rtl/>
        </w:rPr>
        <w:t>"</w:t>
      </w:r>
      <w:r>
        <w:rPr>
          <w:rStyle w:val="Strong"/>
          <w:rFonts w:cs="David" w:hint="cs"/>
          <w:sz w:val="22"/>
          <w:rtl/>
        </w:rPr>
        <w:t>הצדדים</w:t>
      </w:r>
      <w:r>
        <w:rPr>
          <w:rFonts w:cs="David" w:hint="cs"/>
          <w:sz w:val="22"/>
          <w:rtl/>
        </w:rPr>
        <w:t xml:space="preserve">" - </w:t>
      </w:r>
      <w:r>
        <w:rPr>
          <w:rFonts w:cs="David" w:hint="cs"/>
          <w:sz w:val="22"/>
          <w:rtl/>
        </w:rPr>
        <w:tab/>
        <w:t>האיגוד, מנהלי תיקי השקעות החברים באיגוד וכל מנהל תיקי השקעות שיהיה מעוניין להצטרף להסדר;</w:t>
      </w:r>
    </w:p>
    <w:p w:rsidR="00000000" w:rsidRDefault="00E90770">
      <w:pPr>
        <w:bidi/>
        <w:spacing w:before="120"/>
        <w:ind w:left="2552" w:hanging="2520"/>
        <w:rPr>
          <w:rFonts w:cs="David" w:hint="cs"/>
          <w:sz w:val="22"/>
          <w:rtl/>
        </w:rPr>
      </w:pPr>
      <w:r>
        <w:rPr>
          <w:rFonts w:cs="David" w:hint="cs"/>
          <w:sz w:val="22"/>
          <w:rtl/>
        </w:rPr>
        <w:t>"</w:t>
      </w:r>
      <w:r>
        <w:rPr>
          <w:rStyle w:val="Strong"/>
          <w:rFonts w:cs="David" w:hint="cs"/>
          <w:sz w:val="22"/>
          <w:rtl/>
        </w:rPr>
        <w:t>חוק הסדרת העיסו</w:t>
      </w:r>
      <w:r>
        <w:rPr>
          <w:rStyle w:val="Strong"/>
          <w:rFonts w:cs="David" w:hint="cs"/>
          <w:sz w:val="22"/>
          <w:rtl/>
        </w:rPr>
        <w:t>ק</w:t>
      </w:r>
      <w:r>
        <w:rPr>
          <w:rFonts w:cs="David" w:hint="cs"/>
          <w:sz w:val="22"/>
          <w:rtl/>
        </w:rPr>
        <w:t xml:space="preserve">" - </w:t>
      </w:r>
      <w:r>
        <w:rPr>
          <w:rFonts w:cs="David" w:hint="cs"/>
          <w:sz w:val="22"/>
          <w:rtl/>
        </w:rPr>
        <w:tab/>
        <w:t>חוק הסדרת העיסוק בייעוץ השקעות, בשיווק השקעות ובניהול תיקי השקעות, התשנ"ה-1995;</w:t>
      </w:r>
    </w:p>
    <w:p w:rsidR="00000000" w:rsidRDefault="00E90770">
      <w:pPr>
        <w:bidi/>
        <w:spacing w:before="120"/>
        <w:ind w:left="2552" w:hanging="2520"/>
        <w:rPr>
          <w:rFonts w:hint="cs"/>
          <w:rtl/>
        </w:rPr>
      </w:pPr>
      <w:r>
        <w:rPr>
          <w:rFonts w:cs="David" w:hint="cs"/>
          <w:sz w:val="22"/>
          <w:rtl/>
        </w:rPr>
        <w:t>"</w:t>
      </w:r>
      <w:r>
        <w:rPr>
          <w:rStyle w:val="Strong"/>
          <w:rFonts w:cs="David" w:hint="cs"/>
          <w:sz w:val="22"/>
          <w:rtl/>
        </w:rPr>
        <w:t>יועץ ביטוח</w:t>
      </w:r>
      <w:r>
        <w:rPr>
          <w:rFonts w:cs="David" w:hint="cs"/>
          <w:sz w:val="22"/>
          <w:rtl/>
        </w:rPr>
        <w:t xml:space="preserve">" - </w:t>
      </w:r>
      <w:r>
        <w:rPr>
          <w:rFonts w:cs="David" w:hint="cs"/>
          <w:sz w:val="22"/>
          <w:rtl/>
        </w:rPr>
        <w:tab/>
        <w:t>יועץ ביטוח שימונה מטעם האיגוד לצורך ניהול המשא ומתן, כהגדרתו בסעיף 1 להלן, אשר עובדיו ומי מטעמו אינם קשורים למנהל תיקי השקעות כלשהו, אינם מוחזקים על-ידי מ</w:t>
      </w:r>
      <w:r>
        <w:rPr>
          <w:rFonts w:cs="David" w:hint="cs"/>
          <w:sz w:val="22"/>
          <w:rtl/>
        </w:rPr>
        <w:t>י ממנהלי תיקי ההשקעות ואינם מחזיקים במי ממנהלי תיקי ההשקעות.   "</w:t>
      </w:r>
      <w:r>
        <w:rPr>
          <w:rStyle w:val="Strong"/>
          <w:rFonts w:cs="David" w:hint="cs"/>
          <w:sz w:val="22"/>
          <w:rtl/>
        </w:rPr>
        <w:t>קשורים</w:t>
      </w:r>
      <w:r>
        <w:rPr>
          <w:rFonts w:cs="David" w:hint="cs"/>
          <w:sz w:val="22"/>
          <w:rtl/>
        </w:rPr>
        <w:t>" לעניין זה, בהתאם להגדרת "אדם קשור" בכללי ההגבלים העסקיים (הוראות והגדרות כלליות), תשס"ו-2006;</w:t>
      </w:r>
    </w:p>
    <w:p w:rsidR="00000000" w:rsidRDefault="00E90770">
      <w:pPr>
        <w:bidi/>
        <w:spacing w:before="120"/>
        <w:ind w:left="2552" w:hanging="2520"/>
        <w:rPr>
          <w:rFonts w:cs="David" w:hint="cs"/>
          <w:sz w:val="22"/>
          <w:rtl/>
        </w:rPr>
      </w:pPr>
      <w:r>
        <w:rPr>
          <w:rFonts w:cs="David" w:hint="cs"/>
          <w:sz w:val="22"/>
          <w:rtl/>
        </w:rPr>
        <w:t>"</w:t>
      </w:r>
      <w:r>
        <w:rPr>
          <w:rStyle w:val="Strong"/>
          <w:rFonts w:cs="David" w:hint="cs"/>
          <w:sz w:val="22"/>
          <w:rtl/>
        </w:rPr>
        <w:t>יועץ משפטי</w:t>
      </w:r>
      <w:r>
        <w:rPr>
          <w:rFonts w:cs="David" w:hint="cs"/>
          <w:sz w:val="22"/>
          <w:rtl/>
        </w:rPr>
        <w:t xml:space="preserve">" - </w:t>
      </w:r>
      <w:r>
        <w:rPr>
          <w:rFonts w:cs="David" w:hint="cs"/>
          <w:sz w:val="22"/>
          <w:rtl/>
        </w:rPr>
        <w:tab/>
        <w:t>עורך הדין המשמש כיועץ המשפטי של האיגוד;</w:t>
      </w:r>
    </w:p>
    <w:p w:rsidR="00000000" w:rsidRDefault="00E90770">
      <w:pPr>
        <w:bidi/>
        <w:spacing w:before="120"/>
        <w:ind w:left="2552" w:hanging="2520"/>
        <w:rPr>
          <w:rFonts w:cs="David" w:hint="cs"/>
          <w:sz w:val="22"/>
          <w:rtl/>
        </w:rPr>
      </w:pPr>
      <w:r>
        <w:rPr>
          <w:rFonts w:cs="David" w:hint="cs"/>
          <w:sz w:val="22"/>
          <w:rtl/>
        </w:rPr>
        <w:t>"</w:t>
      </w:r>
      <w:r>
        <w:rPr>
          <w:rStyle w:val="Strong"/>
          <w:rFonts w:cs="David" w:hint="cs"/>
          <w:sz w:val="22"/>
          <w:rtl/>
        </w:rPr>
        <w:t>מבטח או סוכן ביטוח</w:t>
      </w:r>
      <w:r>
        <w:rPr>
          <w:rFonts w:cs="David" w:hint="cs"/>
          <w:sz w:val="22"/>
          <w:rtl/>
        </w:rPr>
        <w:t xml:space="preserve">" -  </w:t>
      </w:r>
      <w:r>
        <w:rPr>
          <w:rFonts w:cs="David" w:hint="cs"/>
          <w:sz w:val="22"/>
          <w:rtl/>
        </w:rPr>
        <w:tab/>
      </w:r>
      <w:r>
        <w:rPr>
          <w:rFonts w:cs="David" w:hint="cs"/>
          <w:sz w:val="22"/>
          <w:rtl/>
        </w:rPr>
        <w:t>כהגדרתם בחוק הפיקוח על שירותים פיננסיים (ביטוח), התשמ"א-1981 וכן חתמי לוידס;</w:t>
      </w:r>
    </w:p>
    <w:p w:rsidR="00000000" w:rsidRDefault="00E90770">
      <w:pPr>
        <w:bidi/>
        <w:spacing w:before="120"/>
        <w:ind w:left="2552" w:hanging="2520"/>
        <w:rPr>
          <w:rFonts w:cs="David" w:hint="cs"/>
          <w:sz w:val="22"/>
          <w:rtl/>
        </w:rPr>
      </w:pPr>
      <w:r>
        <w:rPr>
          <w:rFonts w:cs="David" w:hint="cs"/>
          <w:sz w:val="22"/>
          <w:rtl/>
        </w:rPr>
        <w:t>"</w:t>
      </w:r>
      <w:r>
        <w:rPr>
          <w:rStyle w:val="Strong"/>
          <w:rFonts w:cs="David" w:hint="cs"/>
          <w:sz w:val="22"/>
          <w:rtl/>
        </w:rPr>
        <w:t>מבטח משנה</w:t>
      </w:r>
      <w:r>
        <w:rPr>
          <w:rFonts w:cs="David" w:hint="cs"/>
          <w:sz w:val="22"/>
          <w:rtl/>
        </w:rPr>
        <w:t xml:space="preserve">" - </w:t>
      </w:r>
      <w:r>
        <w:rPr>
          <w:rFonts w:cs="David" w:hint="cs"/>
          <w:sz w:val="22"/>
          <w:rtl/>
        </w:rPr>
        <w:tab/>
        <w:t>מבטח שאינו מאוגד בישראל ומציע ביטוח משנה וכן תאגיד של לוידס;</w:t>
      </w:r>
    </w:p>
    <w:p w:rsidR="00000000" w:rsidRDefault="00E90770">
      <w:pPr>
        <w:bidi/>
        <w:spacing w:before="120"/>
        <w:ind w:left="2552" w:hanging="2520"/>
        <w:rPr>
          <w:rFonts w:cs="David" w:hint="cs"/>
          <w:sz w:val="22"/>
          <w:rtl/>
        </w:rPr>
      </w:pPr>
      <w:r>
        <w:rPr>
          <w:rFonts w:cs="David" w:hint="cs"/>
          <w:sz w:val="22"/>
          <w:rtl/>
        </w:rPr>
        <w:t>"</w:t>
      </w:r>
      <w:r>
        <w:rPr>
          <w:rStyle w:val="Strong"/>
          <w:rFonts w:cs="David" w:hint="cs"/>
          <w:sz w:val="22"/>
          <w:rtl/>
        </w:rPr>
        <w:t>מנהל תיקי השקעות</w:t>
      </w:r>
      <w:r>
        <w:rPr>
          <w:rFonts w:cs="David" w:hint="cs"/>
          <w:sz w:val="22"/>
          <w:rtl/>
        </w:rPr>
        <w:t xml:space="preserve">" - </w:t>
      </w:r>
      <w:r>
        <w:rPr>
          <w:rFonts w:cs="David" w:hint="cs"/>
          <w:sz w:val="22"/>
          <w:rtl/>
        </w:rPr>
        <w:tab/>
        <w:t xml:space="preserve">תאגיד בעל רישיון העוסק בייעוץ השקעות, בשיווק השקעות או בניהול תיקי השקעות, בהתאם </w:t>
      </w:r>
      <w:r>
        <w:rPr>
          <w:rFonts w:cs="David" w:hint="cs"/>
          <w:sz w:val="22"/>
          <w:rtl/>
        </w:rPr>
        <w:t>לחוק הסדרת העיסוק.</w:t>
      </w:r>
    </w:p>
    <w:p w:rsidR="00000000" w:rsidRDefault="00E90770">
      <w:pPr>
        <w:bidi/>
        <w:spacing w:before="120"/>
        <w:ind w:left="2552" w:hanging="2520"/>
        <w:rPr>
          <w:rFonts w:cs="David" w:hint="cs"/>
          <w:sz w:val="22"/>
          <w:rtl/>
        </w:rPr>
      </w:pPr>
    </w:p>
    <w:p w:rsidR="00000000" w:rsidRDefault="00E90770">
      <w:pPr>
        <w:bidi/>
        <w:spacing w:before="120"/>
        <w:rPr>
          <w:rStyle w:val="Strong"/>
          <w:rFonts w:hint="cs"/>
          <w:rtl/>
        </w:rPr>
      </w:pPr>
      <w:r>
        <w:rPr>
          <w:rStyle w:val="Strong"/>
          <w:rFonts w:cs="David" w:hint="cs"/>
          <w:rtl/>
        </w:rPr>
        <w:t>תנאים:</w:t>
      </w:r>
    </w:p>
    <w:p w:rsidR="00000000" w:rsidRDefault="00E90770">
      <w:pPr>
        <w:bidi/>
        <w:spacing w:before="120"/>
        <w:rPr>
          <w:rStyle w:val="Strong"/>
          <w:rFonts w:cs="David" w:hint="cs"/>
          <w:rtl/>
        </w:rPr>
      </w:pPr>
    </w:p>
    <w:p w:rsidR="00000000" w:rsidRDefault="00E90770">
      <w:pPr>
        <w:pStyle w:val="Header"/>
        <w:tabs>
          <w:tab w:val="num" w:pos="720"/>
          <w:tab w:val="center" w:pos="4153"/>
          <w:tab w:val="right" w:pos="8306"/>
        </w:tabs>
        <w:bidi/>
        <w:spacing w:before="120" w:beforeAutospacing="0" w:after="0" w:afterAutospacing="0"/>
        <w:ind w:left="720" w:hanging="360"/>
        <w:jc w:val="both"/>
        <w:rPr>
          <w:rFonts w:hint="cs"/>
          <w:rtl/>
        </w:rPr>
      </w:pPr>
      <w:bookmarkStart w:id="1" w:name="_Ref254275648"/>
      <w:r>
        <w:rPr>
          <w:rFonts w:hint="cs"/>
          <w:rtl/>
        </w:rPr>
        <w:t>1.</w:t>
      </w:r>
      <w:r>
        <w:rPr>
          <w:sz w:val="14"/>
          <w:szCs w:val="14"/>
          <w:rtl/>
        </w:rPr>
        <w:t xml:space="preserve">       </w:t>
      </w:r>
      <w:r>
        <w:rPr>
          <w:rFonts w:cs="David" w:hint="cs"/>
          <w:rtl/>
        </w:rPr>
        <w:t xml:space="preserve">הפעילות המותרת במסגרת פטור זה לאיגוד ולכל הפועל מטעמו, היא קיום שיתוף פעולה שעניינו ניהול משא ומתן משותף אל מול מבטחי משנה </w:t>
      </w:r>
      <w:r>
        <w:rPr>
          <w:rFonts w:cs="David" w:hint="cs"/>
          <w:sz w:val="22"/>
          <w:rtl/>
        </w:rPr>
        <w:t>בעניין התנאים בהם תוצע למנהלי תיקי השקעות פוליסות ביטוח אחריות מקצועית (להלן: "</w:t>
      </w:r>
      <w:r>
        <w:rPr>
          <w:rStyle w:val="Strong"/>
          <w:rFonts w:cs="David" w:hint="cs"/>
          <w:sz w:val="22"/>
          <w:rtl/>
        </w:rPr>
        <w:t>משא ומתן</w:t>
      </w:r>
      <w:r>
        <w:rPr>
          <w:rFonts w:cs="David" w:hint="cs"/>
          <w:sz w:val="22"/>
          <w:rtl/>
        </w:rPr>
        <w:t>" ו"</w:t>
      </w:r>
      <w:r>
        <w:rPr>
          <w:rStyle w:val="Strong"/>
          <w:rFonts w:cs="David" w:hint="cs"/>
          <w:sz w:val="22"/>
          <w:rtl/>
        </w:rPr>
        <w:t>פוליס</w:t>
      </w:r>
      <w:r>
        <w:rPr>
          <w:rStyle w:val="Strong"/>
          <w:rFonts w:cs="David" w:hint="cs"/>
          <w:sz w:val="22"/>
          <w:rtl/>
        </w:rPr>
        <w:t>ות ביטוח</w:t>
      </w:r>
      <w:r>
        <w:rPr>
          <w:rFonts w:cs="David" w:hint="cs"/>
          <w:sz w:val="22"/>
          <w:rtl/>
        </w:rPr>
        <w:t>")</w:t>
      </w:r>
      <w:r>
        <w:rPr>
          <w:rFonts w:cs="David" w:hint="cs"/>
          <w:rtl/>
        </w:rPr>
        <w:t>. פטור זה אינו מתיר כל פעילות החורגת מהאמור.</w:t>
      </w:r>
      <w:bookmarkEnd w:id="1"/>
    </w:p>
    <w:p w:rsidR="00000000" w:rsidRDefault="00E90770">
      <w:pPr>
        <w:pStyle w:val="Header"/>
        <w:tabs>
          <w:tab w:val="num" w:pos="720"/>
          <w:tab w:val="center" w:pos="4153"/>
          <w:tab w:val="right" w:pos="8306"/>
        </w:tabs>
        <w:bidi/>
        <w:spacing w:before="120" w:beforeAutospacing="0" w:after="0" w:afterAutospacing="0"/>
        <w:ind w:left="720" w:hanging="360"/>
        <w:jc w:val="both"/>
        <w:rPr>
          <w:rFonts w:hint="cs"/>
        </w:rPr>
      </w:pPr>
      <w:r>
        <w:rPr>
          <w:rFonts w:hint="cs"/>
          <w:rtl/>
        </w:rPr>
        <w:t>2.</w:t>
      </w:r>
      <w:r>
        <w:rPr>
          <w:sz w:val="14"/>
          <w:szCs w:val="14"/>
          <w:rtl/>
        </w:rPr>
        <w:t xml:space="preserve">       </w:t>
      </w:r>
      <w:r>
        <w:rPr>
          <w:rFonts w:cs="David" w:hint="cs"/>
          <w:sz w:val="22"/>
          <w:rtl/>
        </w:rPr>
        <w:t xml:space="preserve">טרם תחילת ביצוע תפקידו של כל אדם מטעם האיגוד אשר ייטול חלק </w:t>
      </w:r>
      <w:r>
        <w:rPr>
          <w:rFonts w:cs="David" w:hint="cs"/>
          <w:rtl/>
        </w:rPr>
        <w:t xml:space="preserve">בפעילות המפורטת בסעיף </w:t>
      </w:r>
      <w:r>
        <w:rPr>
          <w:rFonts w:cs="David" w:hint="cs"/>
          <w:rtl/>
        </w:rPr>
        <w:fldChar w:fldCharType="begin"/>
      </w:r>
      <w:r>
        <w:rPr>
          <w:rFonts w:cs="David" w:hint="cs"/>
          <w:rtl/>
        </w:rPr>
        <w:instrText xml:space="preserve"> </w:instrText>
      </w:r>
      <w:r>
        <w:rPr>
          <w:rFonts w:cs="David" w:hint="cs"/>
        </w:rPr>
        <w:instrText xml:space="preserve">REF _Ref254275648 r h </w:instrText>
      </w:r>
      <w:r>
        <w:rPr>
          <w:rFonts w:cs="David" w:hint="cs"/>
        </w:rPr>
        <w:instrText xml:space="preserve"> * MERGEFORMAT</w:instrText>
      </w:r>
      <w:r>
        <w:rPr>
          <w:rFonts w:cs="David" w:hint="cs"/>
          <w:rtl/>
        </w:rPr>
        <w:instrText xml:space="preserve"> </w:instrText>
      </w:r>
      <w:r>
        <w:rPr>
          <w:rFonts w:cs="David"/>
          <w:rtl/>
        </w:rPr>
        <w:fldChar w:fldCharType="separate"/>
      </w:r>
      <w:r>
        <w:rPr>
          <w:rFonts w:cs="David" w:hint="cs"/>
        </w:rPr>
        <w:t>‎</w:t>
      </w:r>
      <w:r>
        <w:rPr>
          <w:rFonts w:cs="David"/>
        </w:rPr>
        <w:t>1</w:t>
      </w:r>
      <w:r>
        <w:rPr>
          <w:rFonts w:cs="David" w:hint="cs"/>
          <w:rtl/>
        </w:rPr>
        <w:fldChar w:fldCharType="end"/>
      </w:r>
      <w:r>
        <w:rPr>
          <w:rFonts w:cs="David" w:hint="cs"/>
          <w:rtl/>
        </w:rPr>
        <w:t xml:space="preserve"> לתנאים אלו</w:t>
      </w:r>
      <w:r>
        <w:rPr>
          <w:rFonts w:cs="David" w:hint="cs"/>
          <w:sz w:val="22"/>
          <w:rtl/>
        </w:rPr>
        <w:t>, לרבות היועץ המשפטי, יועץ הביטוח ומי מטעמם, תועבר לרשות</w:t>
      </w:r>
      <w:r>
        <w:rPr>
          <w:rFonts w:cs="David" w:hint="cs"/>
          <w:sz w:val="22"/>
          <w:rtl/>
        </w:rPr>
        <w:t xml:space="preserve"> ההגבלים העסקיים חתימתו על כתב התחייבות בנוסח המצורף לתנאים אלה כנספח א'. </w:t>
      </w:r>
    </w:p>
    <w:p w:rsidR="00000000" w:rsidRDefault="00E90770">
      <w:pPr>
        <w:pStyle w:val="Header"/>
        <w:tabs>
          <w:tab w:val="num" w:pos="720"/>
          <w:tab w:val="center" w:pos="4153"/>
          <w:tab w:val="right" w:pos="8306"/>
        </w:tabs>
        <w:bidi/>
        <w:spacing w:before="120" w:beforeAutospacing="0" w:after="0" w:afterAutospacing="0"/>
        <w:ind w:left="720" w:hanging="360"/>
        <w:jc w:val="both"/>
        <w:rPr>
          <w:rFonts w:hint="cs"/>
          <w:rtl/>
        </w:rPr>
      </w:pPr>
      <w:bookmarkStart w:id="2" w:name="_Ref254275623"/>
      <w:r>
        <w:rPr>
          <w:rFonts w:hint="cs"/>
          <w:rtl/>
        </w:rPr>
        <w:t>3.</w:t>
      </w:r>
      <w:r>
        <w:rPr>
          <w:sz w:val="14"/>
          <w:szCs w:val="14"/>
          <w:rtl/>
        </w:rPr>
        <w:t xml:space="preserve">       </w:t>
      </w:r>
      <w:r>
        <w:rPr>
          <w:rFonts w:cs="David" w:hint="cs"/>
          <w:sz w:val="22"/>
          <w:rtl/>
        </w:rPr>
        <w:t>הצדדים לא יעבירו ביניהם או לגורם אחר כלשהו, במישרין או בעקיפין, לרבות באמצעות</w:t>
      </w:r>
      <w:r>
        <w:rPr>
          <w:rFonts w:hint="cs"/>
        </w:rPr>
        <w:t xml:space="preserve"> </w:t>
      </w:r>
      <w:r>
        <w:rPr>
          <w:rFonts w:cs="David" w:hint="cs"/>
          <w:sz w:val="22"/>
          <w:rtl/>
        </w:rPr>
        <w:t>האיגוד, היועץ המשפטי, יועץ הביטוח או הברוקר, כל מידע שהעברתו עשויה לגרוע מן התחרות ביניהם, בפו</w:t>
      </w:r>
      <w:r>
        <w:rPr>
          <w:rFonts w:cs="David" w:hint="cs"/>
          <w:sz w:val="22"/>
          <w:rtl/>
        </w:rPr>
        <w:t>על או בכוח. מבלי לגרוע מכלליות האמור, לא יועבר בין הצדדים מידע הכולל פרטים הנוגעים לתכניות עסקיות כלליות או פרטניות, בין בעבר ובין בעתיד; בסיסי נתונים; מדיניות השקעות; מידע על לקוחות; מידע הנוגע לעלויות, לתמחור, למחירים ולשירותים; והיקף כיסוי ביטוחי נדרש א</w:t>
      </w:r>
      <w:r>
        <w:rPr>
          <w:rFonts w:cs="David" w:hint="cs"/>
          <w:sz w:val="22"/>
          <w:rtl/>
        </w:rPr>
        <w:t>ו מבוקש.</w:t>
      </w:r>
      <w:bookmarkEnd w:id="2"/>
      <w:r>
        <w:rPr>
          <w:rFonts w:cs="David" w:hint="cs"/>
          <w:sz w:val="22"/>
          <w:rtl/>
        </w:rPr>
        <w:t xml:space="preserve">  </w:t>
      </w:r>
    </w:p>
    <w:p w:rsidR="00000000" w:rsidRDefault="00E90770">
      <w:pPr>
        <w:pStyle w:val="Header"/>
        <w:tabs>
          <w:tab w:val="num" w:pos="720"/>
          <w:tab w:val="center" w:pos="4153"/>
          <w:tab w:val="right" w:pos="8306"/>
        </w:tabs>
        <w:bidi/>
        <w:spacing w:before="120" w:beforeAutospacing="0" w:after="0" w:afterAutospacing="0"/>
        <w:ind w:left="720" w:hanging="360"/>
        <w:jc w:val="both"/>
        <w:rPr>
          <w:rFonts w:hint="cs"/>
          <w:rtl/>
        </w:rPr>
      </w:pPr>
      <w:bookmarkStart w:id="3" w:name="_Ref254277011"/>
      <w:bookmarkStart w:id="4" w:name="_Ref254275708"/>
      <w:r>
        <w:rPr>
          <w:rFonts w:hint="cs"/>
          <w:rtl/>
        </w:rPr>
        <w:t>4.</w:t>
      </w:r>
      <w:r>
        <w:rPr>
          <w:sz w:val="14"/>
          <w:szCs w:val="14"/>
          <w:rtl/>
        </w:rPr>
        <w:t xml:space="preserve">       </w:t>
      </w:r>
      <w:r>
        <w:rPr>
          <w:rFonts w:cs="David" w:hint="cs"/>
          <w:sz w:val="22"/>
          <w:rtl/>
        </w:rPr>
        <w:t xml:space="preserve">א. למרות האמור בסעיף </w:t>
      </w:r>
      <w:r>
        <w:rPr>
          <w:rFonts w:cs="David" w:hint="cs"/>
          <w:sz w:val="22"/>
          <w:rtl/>
        </w:rPr>
        <w:fldChar w:fldCharType="begin"/>
      </w:r>
      <w:r>
        <w:rPr>
          <w:rFonts w:cs="David" w:hint="cs"/>
          <w:sz w:val="22"/>
          <w:rtl/>
        </w:rPr>
        <w:instrText xml:space="preserve"> </w:instrText>
      </w:r>
      <w:r>
        <w:rPr>
          <w:rFonts w:cs="David" w:hint="cs"/>
          <w:sz w:val="22"/>
        </w:rPr>
        <w:instrText xml:space="preserve">REF _Ref254275623 r h </w:instrText>
      </w:r>
      <w:r>
        <w:rPr>
          <w:rFonts w:cs="David" w:hint="cs"/>
          <w:sz w:val="22"/>
        </w:rPr>
        <w:instrText xml:space="preserve"> * MERGEFORMAT</w:instrText>
      </w:r>
      <w:r>
        <w:rPr>
          <w:rFonts w:cs="David" w:hint="cs"/>
          <w:sz w:val="22"/>
          <w:rtl/>
        </w:rPr>
        <w:instrText xml:space="preserve"> </w:instrText>
      </w:r>
      <w:r>
        <w:rPr>
          <w:rFonts w:cs="David"/>
          <w:sz w:val="22"/>
          <w:rtl/>
        </w:rPr>
        <w:fldChar w:fldCharType="separate"/>
      </w:r>
      <w:r>
        <w:rPr>
          <w:rFonts w:cs="David" w:hint="cs"/>
          <w:sz w:val="22"/>
        </w:rPr>
        <w:t>‎</w:t>
      </w:r>
      <w:r>
        <w:rPr>
          <w:rFonts w:cs="David"/>
          <w:sz w:val="22"/>
        </w:rPr>
        <w:t>3</w:t>
      </w:r>
      <w:r>
        <w:rPr>
          <w:rFonts w:cs="David" w:hint="cs"/>
          <w:sz w:val="22"/>
          <w:rtl/>
        </w:rPr>
        <w:fldChar w:fldCharType="end"/>
      </w:r>
      <w:r>
        <w:rPr>
          <w:rFonts w:cs="David" w:hint="cs"/>
          <w:sz w:val="22"/>
          <w:rtl/>
        </w:rPr>
        <w:t xml:space="preserve"> לעיל, מנהלי תיקי השקעות יהיו רשאים להעביר ליועץ המשפטי או מי מטעמו מבין עובדי הלשכה המשפטית של האיגוד, </w:t>
      </w:r>
      <w:r>
        <w:rPr>
          <w:rFonts w:cs="David" w:hint="cs"/>
          <w:rtl/>
        </w:rPr>
        <w:t xml:space="preserve">את המידע שלהלן בלבד ומידע נוסף שיאושר מראש ובכתב על-ידי הממונה, </w:t>
      </w:r>
      <w:r>
        <w:rPr>
          <w:rFonts w:cs="David" w:hint="cs"/>
          <w:sz w:val="22"/>
          <w:rtl/>
        </w:rPr>
        <w:t>לשם</w:t>
      </w:r>
      <w:r>
        <w:rPr>
          <w:rFonts w:cs="David" w:hint="cs"/>
          <w:sz w:val="22"/>
          <w:rtl/>
        </w:rPr>
        <w:t xml:space="preserve"> קיום הפעילות המפורטת בסעיף 1 לתנאים אלו</w:t>
      </w:r>
      <w:r>
        <w:rPr>
          <w:rFonts w:cs="David" w:hint="cs"/>
          <w:rtl/>
        </w:rPr>
        <w:t>:</w:t>
      </w:r>
      <w:bookmarkEnd w:id="3"/>
      <w:r>
        <w:rPr>
          <w:rFonts w:cs="David" w:hint="cs"/>
          <w:rtl/>
        </w:rPr>
        <w:t xml:space="preserve"> </w:t>
      </w:r>
    </w:p>
    <w:p w:rsidR="00000000" w:rsidRDefault="00E90770">
      <w:pPr>
        <w:pStyle w:val="Header"/>
        <w:tabs>
          <w:tab w:val="num" w:pos="1440"/>
          <w:tab w:val="center" w:pos="4153"/>
          <w:tab w:val="right" w:pos="8306"/>
        </w:tabs>
        <w:bidi/>
        <w:spacing w:before="120" w:beforeAutospacing="0" w:after="0" w:afterAutospacing="0"/>
        <w:ind w:left="1440" w:hanging="360"/>
        <w:jc w:val="both"/>
        <w:rPr>
          <w:rFonts w:cs="David" w:hint="cs"/>
          <w:rtl/>
        </w:rPr>
      </w:pPr>
      <w:r>
        <w:rPr>
          <w:rFonts w:hint="cs"/>
          <w:rtl/>
        </w:rPr>
        <w:lastRenderedPageBreak/>
        <w:t>1.</w:t>
      </w:r>
      <w:r>
        <w:rPr>
          <w:sz w:val="14"/>
          <w:szCs w:val="14"/>
          <w:rtl/>
        </w:rPr>
        <w:t xml:space="preserve">       </w:t>
      </w:r>
      <w:r>
        <w:rPr>
          <w:rFonts w:cs="David" w:hint="cs"/>
          <w:u w:val="single"/>
          <w:rtl/>
        </w:rPr>
        <w:t>נתוני ביטוח קיים</w:t>
      </w:r>
      <w:r>
        <w:rPr>
          <w:rFonts w:cs="David" w:hint="cs"/>
          <w:rtl/>
        </w:rPr>
        <w:t>: תאריך סיום הפוליסה; תאריך רטרואקטיבי; האם הופעלה "תקופת גילוי"; גבול אחריות לאירוע ולתקופה; השתתפות עצמית בפוליסה.</w:t>
      </w:r>
    </w:p>
    <w:p w:rsidR="00000000" w:rsidRDefault="00E90770">
      <w:pPr>
        <w:pStyle w:val="Header"/>
        <w:tabs>
          <w:tab w:val="num" w:pos="1440"/>
          <w:tab w:val="center" w:pos="4153"/>
          <w:tab w:val="right" w:pos="8306"/>
        </w:tabs>
        <w:bidi/>
        <w:spacing w:before="120" w:beforeAutospacing="0" w:after="0" w:afterAutospacing="0"/>
        <w:ind w:left="1440" w:hanging="360"/>
        <w:jc w:val="both"/>
        <w:rPr>
          <w:rFonts w:cs="David" w:hint="cs"/>
          <w:rtl/>
        </w:rPr>
      </w:pPr>
      <w:r>
        <w:rPr>
          <w:rFonts w:hint="cs"/>
          <w:rtl/>
        </w:rPr>
        <w:t>2.</w:t>
      </w:r>
      <w:r>
        <w:rPr>
          <w:sz w:val="14"/>
          <w:szCs w:val="14"/>
          <w:rtl/>
        </w:rPr>
        <w:t xml:space="preserve">       </w:t>
      </w:r>
      <w:r>
        <w:rPr>
          <w:rFonts w:cs="David" w:hint="cs"/>
          <w:u w:val="single"/>
          <w:rtl/>
        </w:rPr>
        <w:t>ניסיון ביטוחי ותביעות</w:t>
      </w:r>
      <w:r>
        <w:rPr>
          <w:rFonts w:cs="David" w:hint="cs"/>
          <w:rtl/>
        </w:rPr>
        <w:t>: האם בקשה כלשהי בגין ביטוח דומה שנעשה בשם החברה/מנהל ההשקעות אי פעם נדחתה, בוטלה או חידוש סורב (תוך הוספת פירוט); האם הוגשו תביעות לחברת הביטוח ב-3 השנים האחרונות; מספר התביעות שהוגשו; וסכום התביעות ששולמו ו/או עומדות בפני תשלום.</w:t>
      </w:r>
    </w:p>
    <w:p w:rsidR="00000000" w:rsidRDefault="00E90770">
      <w:pPr>
        <w:pStyle w:val="Header"/>
        <w:tabs>
          <w:tab w:val="num" w:pos="1440"/>
          <w:tab w:val="center" w:pos="4153"/>
          <w:tab w:val="right" w:pos="8306"/>
        </w:tabs>
        <w:bidi/>
        <w:spacing w:before="120" w:beforeAutospacing="0" w:after="0" w:afterAutospacing="0"/>
        <w:ind w:left="1440" w:hanging="360"/>
        <w:jc w:val="both"/>
        <w:rPr>
          <w:rFonts w:hint="cs"/>
          <w:rtl/>
        </w:rPr>
      </w:pPr>
      <w:r>
        <w:rPr>
          <w:rFonts w:hint="cs"/>
          <w:rtl/>
        </w:rPr>
        <w:t>3.</w:t>
      </w:r>
      <w:r>
        <w:rPr>
          <w:sz w:val="14"/>
          <w:szCs w:val="14"/>
          <w:rtl/>
        </w:rPr>
        <w:t xml:space="preserve">       </w:t>
      </w:r>
      <w:r>
        <w:rPr>
          <w:rFonts w:cs="David" w:hint="cs"/>
          <w:sz w:val="22"/>
          <w:u w:val="single"/>
          <w:rtl/>
        </w:rPr>
        <w:t>נתונים כספיים</w:t>
      </w:r>
      <w:r>
        <w:rPr>
          <w:rFonts w:cs="David" w:hint="cs"/>
          <w:sz w:val="22"/>
          <w:rtl/>
        </w:rPr>
        <w:t>: סכום נכסים מנוהל - עדכני; סכום נכסים מנוהל - תחזית לשנה הבאה; הכנסות החברה – תחזית שנתית (בתחום ייעוץ ושיווק בלבד); הכנסות החברה – תחזית לשנה הבאה (בתחום ייעוץ ושיווק בלבד); הון עצמי; ומספר לקוחות והתפלגות לקוחות (לקוחות מוסדיים/פרטיים), ללא ציון שמות לק</w:t>
      </w:r>
      <w:r>
        <w:rPr>
          <w:rFonts w:cs="David" w:hint="cs"/>
          <w:sz w:val="22"/>
          <w:rtl/>
        </w:rPr>
        <w:t xml:space="preserve">וחות או פרטים מזהים. </w:t>
      </w:r>
    </w:p>
    <w:p w:rsidR="00000000" w:rsidRDefault="00E90770">
      <w:pPr>
        <w:pStyle w:val="Header"/>
        <w:bidi/>
        <w:spacing w:before="120" w:beforeAutospacing="0" w:after="0" w:afterAutospacing="0"/>
        <w:ind w:left="720"/>
        <w:jc w:val="both"/>
        <w:rPr>
          <w:rFonts w:cs="David" w:hint="cs"/>
          <w:rtl/>
        </w:rPr>
      </w:pPr>
      <w:r>
        <w:rPr>
          <w:rFonts w:cs="David" w:hint="cs"/>
          <w:rtl/>
        </w:rPr>
        <w:t xml:space="preserve">היועץ המשפטי או מי מטעמו מבין עובדי הלשכה המשפטית של האיגוד, יסירו את שמות מנהלי תיקי ההשקעות מתוך המידע המפורט לעיל. </w:t>
      </w:r>
    </w:p>
    <w:p w:rsidR="00000000" w:rsidRDefault="00E90770">
      <w:pPr>
        <w:pStyle w:val="Header"/>
        <w:bidi/>
        <w:spacing w:before="120" w:beforeAutospacing="0" w:after="0" w:afterAutospacing="0"/>
        <w:ind w:left="720"/>
        <w:jc w:val="both"/>
        <w:rPr>
          <w:rFonts w:hint="cs"/>
          <w:rtl/>
        </w:rPr>
      </w:pPr>
      <w:r>
        <w:rPr>
          <w:rFonts w:cs="David" w:hint="cs"/>
          <w:rtl/>
        </w:rPr>
        <w:t>בסעיף 4 להלן "</w:t>
      </w:r>
      <w:r>
        <w:rPr>
          <w:rStyle w:val="Strong"/>
          <w:rFonts w:cs="David" w:hint="cs"/>
          <w:rtl/>
        </w:rPr>
        <w:t>המידע החיתומי</w:t>
      </w:r>
      <w:r>
        <w:rPr>
          <w:rFonts w:cs="David" w:hint="cs"/>
          <w:rtl/>
        </w:rPr>
        <w:t>" – המידע המפורט לעיל אשר אינו כולל את שמות מנהלי תיקי ההשקעות</w:t>
      </w:r>
      <w:r>
        <w:rPr>
          <w:rFonts w:cs="David" w:hint="cs"/>
          <w:sz w:val="22"/>
          <w:rtl/>
        </w:rPr>
        <w:t>;</w:t>
      </w:r>
    </w:p>
    <w:p w:rsidR="00000000" w:rsidRDefault="00E90770">
      <w:pPr>
        <w:pStyle w:val="Header"/>
        <w:bidi/>
        <w:spacing w:before="120" w:beforeAutospacing="0" w:after="0" w:afterAutospacing="0"/>
        <w:ind w:left="720"/>
        <w:jc w:val="both"/>
        <w:rPr>
          <w:rFonts w:cs="David" w:hint="cs"/>
          <w:rtl/>
        </w:rPr>
      </w:pPr>
      <w:r>
        <w:rPr>
          <w:rFonts w:cs="David" w:hint="cs"/>
          <w:rtl/>
        </w:rPr>
        <w:t>ב. היועץ המשפטי יעביר את</w:t>
      </w:r>
      <w:r>
        <w:rPr>
          <w:rFonts w:cs="David" w:hint="cs"/>
          <w:rtl/>
        </w:rPr>
        <w:t xml:space="preserve"> המידע החיתומי </w:t>
      </w:r>
      <w:r>
        <w:rPr>
          <w:rFonts w:cs="David" w:hint="cs"/>
          <w:sz w:val="22"/>
          <w:rtl/>
        </w:rPr>
        <w:t>ליועץ הביטוח,</w:t>
      </w:r>
      <w:r>
        <w:rPr>
          <w:rFonts w:cs="David" w:hint="cs"/>
          <w:rtl/>
        </w:rPr>
        <w:t xml:space="preserve"> לברוקר, למבטחי המשנה, למבטחים ולסוכני ביטוח בלבד, ורק בתנאי שיתקיימו כל התנאים שלהלן: </w:t>
      </w:r>
    </w:p>
    <w:p w:rsidR="00000000" w:rsidRDefault="00E90770">
      <w:pPr>
        <w:pStyle w:val="Header"/>
        <w:tabs>
          <w:tab w:val="num" w:pos="1440"/>
          <w:tab w:val="center" w:pos="4153"/>
          <w:tab w:val="right" w:pos="8306"/>
        </w:tabs>
        <w:bidi/>
        <w:spacing w:before="120" w:beforeAutospacing="0" w:after="0" w:afterAutospacing="0"/>
        <w:ind w:left="1440" w:hanging="360"/>
        <w:jc w:val="both"/>
        <w:rPr>
          <w:rFonts w:hint="cs"/>
          <w:rtl/>
        </w:rPr>
      </w:pPr>
      <w:r>
        <w:rPr>
          <w:rFonts w:hint="cs"/>
          <w:rtl/>
        </w:rPr>
        <w:t>1.</w:t>
      </w:r>
      <w:r>
        <w:rPr>
          <w:sz w:val="14"/>
          <w:szCs w:val="14"/>
          <w:rtl/>
        </w:rPr>
        <w:t xml:space="preserve">       </w:t>
      </w:r>
      <w:r>
        <w:rPr>
          <w:rFonts w:cs="David" w:hint="cs"/>
          <w:rtl/>
        </w:rPr>
        <w:t>המידע יועבר רק לאחר חתימה של מקבל החומר על הסכם סודיות (גם אם חתמו על כתב התחייבות בהתאם להוראות סעיף 2 לתנאים אלו), בו יכללו התחיי</w:t>
      </w:r>
      <w:r>
        <w:rPr>
          <w:rFonts w:cs="David" w:hint="cs"/>
          <w:rtl/>
        </w:rPr>
        <w:t xml:space="preserve">בויות כלפי האיגוד והחברים בו שלא להעביר או לגלות את המידע החיתומי בכל דרך שהיא וכן </w:t>
      </w:r>
      <w:r>
        <w:rPr>
          <w:rFonts w:cs="David" w:hint="cs"/>
          <w:sz w:val="22"/>
          <w:rtl/>
        </w:rPr>
        <w:t xml:space="preserve">לנקוט </w:t>
      </w:r>
      <w:r>
        <w:rPr>
          <w:rFonts w:cs="David" w:hint="cs"/>
          <w:rtl/>
        </w:rPr>
        <w:t>ב</w:t>
      </w:r>
      <w:r>
        <w:rPr>
          <w:rFonts w:cs="David" w:hint="cs"/>
          <w:sz w:val="22"/>
          <w:rtl/>
        </w:rPr>
        <w:t xml:space="preserve">כל האמצעים הנדרשים </w:t>
      </w:r>
      <w:r>
        <w:rPr>
          <w:rFonts w:cs="David" w:hint="cs"/>
          <w:rtl/>
        </w:rPr>
        <w:t>לשמירת</w:t>
      </w:r>
      <w:r>
        <w:rPr>
          <w:rFonts w:cs="David" w:hint="cs"/>
          <w:sz w:val="22"/>
          <w:rtl/>
        </w:rPr>
        <w:t xml:space="preserve"> סודיות המידע החיתומי ולכך שלא יועבר בכל אופן שהוא, והכל </w:t>
      </w:r>
      <w:r>
        <w:rPr>
          <w:rFonts w:cs="David" w:hint="cs"/>
          <w:rtl/>
        </w:rPr>
        <w:t>בין באופן פרטני ובין באופן מצרפי, בין במישרין ובין בעקיפין, בין למנהלי תיקי השקעות ו</w:t>
      </w:r>
      <w:r>
        <w:rPr>
          <w:rFonts w:cs="David" w:hint="cs"/>
          <w:rtl/>
        </w:rPr>
        <w:t>בין לכל גורם אחר אשר אינו נמנה על הרשימה בסעיף 4ב לעיל.</w:t>
      </w:r>
    </w:p>
    <w:p w:rsidR="00000000" w:rsidRDefault="00E90770">
      <w:pPr>
        <w:pStyle w:val="Header"/>
        <w:tabs>
          <w:tab w:val="num" w:pos="1440"/>
          <w:tab w:val="center" w:pos="4153"/>
          <w:tab w:val="right" w:pos="8306"/>
        </w:tabs>
        <w:bidi/>
        <w:spacing w:before="120" w:beforeAutospacing="0" w:after="0" w:afterAutospacing="0"/>
        <w:ind w:left="1440" w:hanging="360"/>
        <w:jc w:val="both"/>
        <w:rPr>
          <w:rFonts w:cs="David" w:hint="cs"/>
          <w:sz w:val="22"/>
          <w:rtl/>
        </w:rPr>
      </w:pPr>
      <w:r>
        <w:rPr>
          <w:rFonts w:hint="cs"/>
          <w:rtl/>
        </w:rPr>
        <w:t>2.</w:t>
      </w:r>
      <w:r>
        <w:rPr>
          <w:sz w:val="14"/>
          <w:szCs w:val="14"/>
          <w:rtl/>
        </w:rPr>
        <w:t xml:space="preserve">       </w:t>
      </w:r>
      <w:r>
        <w:rPr>
          <w:rFonts w:cs="David" w:hint="cs"/>
          <w:rtl/>
        </w:rPr>
        <w:t>המידע דרוש לשם קיום הפעילות המפורטת בסעיף 1 לתנאים אלו.</w:t>
      </w:r>
    </w:p>
    <w:p w:rsidR="00000000" w:rsidRDefault="00E90770">
      <w:pPr>
        <w:pStyle w:val="Header"/>
        <w:bidi/>
        <w:spacing w:before="120" w:beforeAutospacing="0" w:after="0" w:afterAutospacing="0"/>
        <w:ind w:left="720"/>
        <w:jc w:val="both"/>
        <w:rPr>
          <w:rFonts w:cs="David" w:hint="cs"/>
          <w:sz w:val="22"/>
          <w:rtl/>
        </w:rPr>
      </w:pPr>
      <w:r>
        <w:rPr>
          <w:rFonts w:cs="David" w:hint="cs"/>
          <w:rtl/>
        </w:rPr>
        <w:t>ג. העברת המידע, כאשר היא מותרת על-פי תנאים אלו, תעשה במידה ובהיקף הנדרשים בלבד ובאופן שיצמצם את החשש מפגיעה בתחרות בין הצדדים, לרבות: ה</w:t>
      </w:r>
      <w:r>
        <w:rPr>
          <w:rFonts w:cs="David" w:hint="cs"/>
          <w:rtl/>
        </w:rPr>
        <w:t xml:space="preserve">עברת מידע בנפרד מכל מנהל תיקי השקעות ונקיטת </w:t>
      </w:r>
      <w:r>
        <w:rPr>
          <w:rFonts w:cs="David" w:hint="cs"/>
          <w:sz w:val="22"/>
          <w:rtl/>
        </w:rPr>
        <w:t xml:space="preserve">כל האמצעים הנדרשים לשמירת סודיות המידע ולכך שלא יועבר בכל אופן שהוא, בין באופן פרטני ובין באופן מצרפי, למנהלי תיקי השקעות או כל גורם אחר אשר אינו נמנה על הרשימה בסעיף 4ב לעיל. </w:t>
      </w:r>
      <w:bookmarkEnd w:id="4"/>
    </w:p>
    <w:p w:rsidR="00000000" w:rsidRDefault="00E90770">
      <w:pPr>
        <w:pStyle w:val="Header"/>
        <w:tabs>
          <w:tab w:val="num" w:pos="720"/>
          <w:tab w:val="center" w:pos="4153"/>
          <w:tab w:val="right" w:pos="8306"/>
        </w:tabs>
        <w:bidi/>
        <w:spacing w:before="120" w:beforeAutospacing="0" w:after="0" w:afterAutospacing="0"/>
        <w:ind w:left="720" w:hanging="360"/>
        <w:jc w:val="both"/>
        <w:rPr>
          <w:rFonts w:hint="cs"/>
          <w:rtl/>
        </w:rPr>
      </w:pPr>
      <w:r>
        <w:rPr>
          <w:rFonts w:hint="cs"/>
          <w:rtl/>
        </w:rPr>
        <w:t>5.</w:t>
      </w:r>
      <w:r>
        <w:rPr>
          <w:sz w:val="14"/>
          <w:szCs w:val="14"/>
          <w:rtl/>
        </w:rPr>
        <w:t xml:space="preserve">       </w:t>
      </w:r>
      <w:r>
        <w:rPr>
          <w:rFonts w:cs="David" w:hint="cs"/>
          <w:rtl/>
        </w:rPr>
        <w:t>כל הסכם שייחתם מול מבטח מש</w:t>
      </w:r>
      <w:r>
        <w:rPr>
          <w:rFonts w:cs="David" w:hint="cs"/>
          <w:rtl/>
        </w:rPr>
        <w:t>נה לרכישת פוליסות הביטוח למנהלי תיקי השקעות (להלן: "</w:t>
      </w:r>
      <w:r>
        <w:rPr>
          <w:rStyle w:val="Strong"/>
          <w:rFonts w:cs="David" w:hint="cs"/>
          <w:rtl/>
        </w:rPr>
        <w:t>ההסכם</w:t>
      </w:r>
      <w:r>
        <w:rPr>
          <w:rFonts w:cs="David" w:hint="cs"/>
          <w:rtl/>
        </w:rPr>
        <w:t xml:space="preserve">"), יציע כיסוי ביטוחי ביחס לכלל שיעורי הביטוח הקבועים </w:t>
      </w:r>
      <w:r>
        <w:rPr>
          <w:rFonts w:cs="David" w:hint="cs"/>
          <w:sz w:val="22"/>
          <w:rtl/>
        </w:rPr>
        <w:t>בסעיפים</w:t>
      </w:r>
      <w:r>
        <w:rPr>
          <w:rFonts w:cs="David" w:hint="cs"/>
          <w:rtl/>
        </w:rPr>
        <w:t xml:space="preserve"> 3–6א (כולל) לתקנות </w:t>
      </w:r>
      <w:r>
        <w:rPr>
          <w:rFonts w:cs="David" w:hint="cs"/>
          <w:sz w:val="22"/>
          <w:rtl/>
        </w:rPr>
        <w:t>הסדרת</w:t>
      </w:r>
      <w:r>
        <w:rPr>
          <w:rFonts w:cs="David" w:hint="cs"/>
          <w:rtl/>
        </w:rPr>
        <w:t xml:space="preserve"> העיסוק בייעוץ השקעות, בשיווק השקעות ובניהול תיקי השקעות (הון עצמי וביטוח), התש"ס-2000, ובכלל זה ומבלי לגרוע מהאמ</w:t>
      </w:r>
      <w:r>
        <w:rPr>
          <w:rFonts w:cs="David" w:hint="cs"/>
          <w:rtl/>
        </w:rPr>
        <w:t>ור לעיל, ההסכם יציע כיסוי ביטוחי הן ל</w:t>
      </w:r>
      <w:r>
        <w:rPr>
          <w:rFonts w:cs="David" w:hint="cs"/>
          <w:sz w:val="22"/>
          <w:rtl/>
        </w:rPr>
        <w:t>יחיד</w:t>
      </w:r>
      <w:r>
        <w:rPr>
          <w:rFonts w:cs="David" w:hint="cs"/>
          <w:rtl/>
        </w:rPr>
        <w:t xml:space="preserve"> והן לשותפות או חברה, והן לחלופות </w:t>
      </w:r>
      <w:r>
        <w:rPr>
          <w:rFonts w:cs="David" w:hint="cs"/>
          <w:sz w:val="22"/>
          <w:rtl/>
        </w:rPr>
        <w:t>הביטוח</w:t>
      </w:r>
      <w:r>
        <w:rPr>
          <w:rFonts w:cs="David" w:hint="cs"/>
          <w:rtl/>
        </w:rPr>
        <w:t xml:space="preserve"> המנויות בתקנה 6. כמו כן, ההסכם יאפשר הרחבת הכיסוי הביטוחי מעבר לשיעור המינימאלי הקבוע בתקנות. </w:t>
      </w:r>
    </w:p>
    <w:p w:rsidR="00000000" w:rsidRDefault="00E90770">
      <w:pPr>
        <w:pStyle w:val="Header"/>
        <w:tabs>
          <w:tab w:val="num" w:pos="720"/>
          <w:tab w:val="center" w:pos="4153"/>
          <w:tab w:val="right" w:pos="8306"/>
        </w:tabs>
        <w:bidi/>
        <w:spacing w:before="120" w:beforeAutospacing="0" w:after="0" w:afterAutospacing="0"/>
        <w:ind w:left="720" w:hanging="360"/>
        <w:jc w:val="both"/>
        <w:rPr>
          <w:rFonts w:hint="cs"/>
        </w:rPr>
      </w:pPr>
      <w:r>
        <w:rPr>
          <w:rFonts w:hint="cs"/>
          <w:rtl/>
        </w:rPr>
        <w:t>6.</w:t>
      </w:r>
      <w:r>
        <w:rPr>
          <w:sz w:val="14"/>
          <w:szCs w:val="14"/>
          <w:rtl/>
        </w:rPr>
        <w:t xml:space="preserve">       </w:t>
      </w:r>
      <w:r>
        <w:rPr>
          <w:rFonts w:cs="David" w:hint="cs"/>
          <w:rtl/>
        </w:rPr>
        <w:t>ההסכם יאפשר לכל מנהל תיקי השקעות החפץ בכך להודיע על הצטרפותו להסכם, וז</w:t>
      </w:r>
      <w:r>
        <w:rPr>
          <w:rFonts w:cs="David" w:hint="cs"/>
          <w:rtl/>
        </w:rPr>
        <w:t xml:space="preserve">את בתנאים ובקריטריונים זהים לאלו שיוצעו לחברי  האיגוד. </w:t>
      </w:r>
    </w:p>
    <w:p w:rsidR="00000000" w:rsidRDefault="00E90770">
      <w:pPr>
        <w:pStyle w:val="Header"/>
        <w:tabs>
          <w:tab w:val="num" w:pos="720"/>
          <w:tab w:val="center" w:pos="4153"/>
          <w:tab w:val="right" w:pos="8306"/>
        </w:tabs>
        <w:bidi/>
        <w:spacing w:before="120" w:beforeAutospacing="0" w:after="0" w:afterAutospacing="0"/>
        <w:ind w:left="720" w:hanging="360"/>
        <w:jc w:val="both"/>
        <w:rPr>
          <w:rFonts w:hint="cs"/>
        </w:rPr>
      </w:pPr>
      <w:r>
        <w:rPr>
          <w:rFonts w:hint="cs"/>
          <w:rtl/>
        </w:rPr>
        <w:t>7.</w:t>
      </w:r>
      <w:r>
        <w:rPr>
          <w:sz w:val="14"/>
          <w:szCs w:val="14"/>
          <w:rtl/>
        </w:rPr>
        <w:t xml:space="preserve">       </w:t>
      </w:r>
      <w:r>
        <w:rPr>
          <w:rFonts w:cs="David" w:hint="cs"/>
          <w:rtl/>
        </w:rPr>
        <w:t xml:space="preserve">האיגוד לא ימליץ למנהלי תיקי </w:t>
      </w:r>
      <w:r>
        <w:rPr>
          <w:rFonts w:cs="David" w:hint="cs"/>
          <w:sz w:val="22"/>
          <w:rtl/>
        </w:rPr>
        <w:t>השקעות</w:t>
      </w:r>
      <w:r>
        <w:rPr>
          <w:rFonts w:cs="David" w:hint="cs"/>
          <w:rtl/>
        </w:rPr>
        <w:t xml:space="preserve"> על רכישת פוליסת ביטוח אחריות מקצועית למנהלי תיקי השקעות המעניק כיסוי ביטוחי בשיעור מסוים ו/או מסוג מסוים. </w:t>
      </w:r>
    </w:p>
    <w:p w:rsidR="00000000" w:rsidRDefault="00E90770">
      <w:pPr>
        <w:pStyle w:val="Header"/>
        <w:tabs>
          <w:tab w:val="num" w:pos="720"/>
          <w:tab w:val="center" w:pos="4153"/>
          <w:tab w:val="right" w:pos="8306"/>
        </w:tabs>
        <w:bidi/>
        <w:spacing w:before="120" w:beforeAutospacing="0" w:after="0" w:afterAutospacing="0"/>
        <w:ind w:left="720" w:hanging="360"/>
        <w:jc w:val="both"/>
        <w:rPr>
          <w:rFonts w:hint="cs"/>
        </w:rPr>
      </w:pPr>
      <w:r>
        <w:rPr>
          <w:rFonts w:hint="cs"/>
          <w:rtl/>
        </w:rPr>
        <w:t>8.</w:t>
      </w:r>
      <w:r>
        <w:rPr>
          <w:sz w:val="14"/>
          <w:szCs w:val="14"/>
          <w:rtl/>
        </w:rPr>
        <w:t xml:space="preserve">       </w:t>
      </w:r>
      <w:r>
        <w:rPr>
          <w:rFonts w:cs="David" w:hint="cs"/>
          <w:rtl/>
        </w:rPr>
        <w:t>האיגוד וכל הפועל מטעמו, לא יהיה צד להסכם</w:t>
      </w:r>
      <w:r>
        <w:rPr>
          <w:rFonts w:cs="David" w:hint="cs"/>
          <w:rtl/>
        </w:rPr>
        <w:t xml:space="preserve"> עם מבטח שמטרתו, תוכנו או תוצאתו מתן תנאים נחותים יותר לצד </w:t>
      </w:r>
      <w:r>
        <w:rPr>
          <w:rFonts w:cs="David" w:hint="cs"/>
          <w:sz w:val="22"/>
          <w:rtl/>
        </w:rPr>
        <w:t>שלישי</w:t>
      </w:r>
      <w:r>
        <w:rPr>
          <w:rFonts w:cs="David" w:hint="cs"/>
          <w:rtl/>
        </w:rPr>
        <w:t xml:space="preserve"> שאינו </w:t>
      </w:r>
      <w:r>
        <w:rPr>
          <w:rFonts w:cs="David" w:hint="cs"/>
          <w:sz w:val="22"/>
          <w:rtl/>
        </w:rPr>
        <w:t>חבר</w:t>
      </w:r>
      <w:r>
        <w:rPr>
          <w:rFonts w:cs="David" w:hint="cs"/>
          <w:rtl/>
        </w:rPr>
        <w:t xml:space="preserve"> באיגוד, או שלילת האפשרות של צד שלישי כאמור להתקשר עם מבטח בתנאים זהים או טובים מאלה שהוסכמו עם האיגוד. </w:t>
      </w:r>
    </w:p>
    <w:p w:rsidR="00000000" w:rsidRDefault="00E90770">
      <w:pPr>
        <w:pStyle w:val="Header"/>
        <w:tabs>
          <w:tab w:val="num" w:pos="720"/>
          <w:tab w:val="center" w:pos="4153"/>
          <w:tab w:val="right" w:pos="8306"/>
        </w:tabs>
        <w:bidi/>
        <w:spacing w:before="120" w:beforeAutospacing="0" w:after="0" w:afterAutospacing="0"/>
        <w:ind w:left="720" w:hanging="360"/>
        <w:jc w:val="both"/>
        <w:rPr>
          <w:rFonts w:hint="cs"/>
          <w:rtl/>
        </w:rPr>
      </w:pPr>
      <w:r>
        <w:rPr>
          <w:rFonts w:hint="cs"/>
          <w:rtl/>
        </w:rPr>
        <w:t>9.</w:t>
      </w:r>
      <w:r>
        <w:rPr>
          <w:sz w:val="14"/>
          <w:szCs w:val="14"/>
          <w:rtl/>
        </w:rPr>
        <w:t xml:space="preserve">       </w:t>
      </w:r>
      <w:r>
        <w:rPr>
          <w:rFonts w:cs="David" w:hint="cs"/>
          <w:rtl/>
        </w:rPr>
        <w:t>מנהל תיקי השקעות החבר באיגוד יהיה רשאי לנהל משא ומתן נפרד עם כל מבטח</w:t>
      </w:r>
      <w:r>
        <w:rPr>
          <w:rFonts w:cs="David" w:hint="cs"/>
          <w:rtl/>
        </w:rPr>
        <w:t xml:space="preserve"> </w:t>
      </w:r>
      <w:r>
        <w:rPr>
          <w:rFonts w:cs="David" w:hint="cs"/>
          <w:sz w:val="22"/>
          <w:rtl/>
        </w:rPr>
        <w:t xml:space="preserve">לצורך רכישת פוליסת ביטוח מקצועי. האיגוד לא יחייב מנהל תיקי השקעות החבר בו, במישרין </w:t>
      </w:r>
      <w:r>
        <w:rPr>
          <w:rFonts w:cs="David" w:hint="cs"/>
          <w:rtl/>
        </w:rPr>
        <w:t xml:space="preserve">או בעקיפין, לאמץ איזה מההסכמות שהושגו בינו לבין מבטח משנה.  </w:t>
      </w:r>
    </w:p>
    <w:p w:rsidR="00000000" w:rsidRDefault="00E90770">
      <w:pPr>
        <w:pStyle w:val="Header"/>
        <w:tabs>
          <w:tab w:val="num" w:pos="720"/>
          <w:tab w:val="center" w:pos="4153"/>
          <w:tab w:val="right" w:pos="8306"/>
        </w:tabs>
        <w:bidi/>
        <w:spacing w:before="120" w:beforeAutospacing="0" w:after="0" w:afterAutospacing="0"/>
        <w:ind w:left="720" w:hanging="360"/>
        <w:jc w:val="both"/>
        <w:rPr>
          <w:rFonts w:hint="cs"/>
          <w:rtl/>
        </w:rPr>
      </w:pPr>
      <w:r>
        <w:rPr>
          <w:rFonts w:hint="cs"/>
          <w:rtl/>
        </w:rPr>
        <w:lastRenderedPageBreak/>
        <w:t>10.</w:t>
      </w:r>
      <w:r>
        <w:rPr>
          <w:sz w:val="14"/>
          <w:szCs w:val="14"/>
          <w:rtl/>
        </w:rPr>
        <w:t xml:space="preserve">   </w:t>
      </w:r>
      <w:r>
        <w:rPr>
          <w:rFonts w:cs="David" w:hint="cs"/>
          <w:sz w:val="22"/>
          <w:rtl/>
        </w:rPr>
        <w:t xml:space="preserve">יתועד פרוטוקול מלא של כל פגישה בין הצדדים, </w:t>
      </w:r>
      <w:r>
        <w:rPr>
          <w:rFonts w:cs="David" w:hint="cs"/>
          <w:rtl/>
        </w:rPr>
        <w:t>כולם</w:t>
      </w:r>
      <w:r>
        <w:rPr>
          <w:rFonts w:cs="David" w:hint="cs"/>
          <w:sz w:val="22"/>
          <w:rtl/>
        </w:rPr>
        <w:t xml:space="preserve"> או מקצתם. כל ההחלטות שיתקבלו במסגרת המשא ומתן יתועדו בכתב</w:t>
      </w:r>
      <w:r>
        <w:rPr>
          <w:rFonts w:cs="David" w:hint="cs"/>
          <w:sz w:val="22"/>
          <w:rtl/>
        </w:rPr>
        <w:t xml:space="preserve"> כך שיישמרו ויומצאו לממונה מיד בסמוך לדרישה מטעמו בעניין זה. </w:t>
      </w:r>
    </w:p>
    <w:p w:rsidR="00000000" w:rsidRDefault="00E90770">
      <w:pPr>
        <w:pStyle w:val="Header"/>
        <w:tabs>
          <w:tab w:val="num" w:pos="720"/>
          <w:tab w:val="center" w:pos="4153"/>
          <w:tab w:val="right" w:pos="8306"/>
        </w:tabs>
        <w:bidi/>
        <w:spacing w:before="120" w:beforeAutospacing="0" w:after="0" w:afterAutospacing="0"/>
        <w:ind w:left="720" w:hanging="360"/>
        <w:jc w:val="both"/>
        <w:rPr>
          <w:rFonts w:cs="David" w:hint="cs"/>
          <w:sz w:val="22"/>
          <w:rtl/>
        </w:rPr>
      </w:pPr>
      <w:r>
        <w:rPr>
          <w:rFonts w:hint="cs"/>
          <w:rtl/>
        </w:rPr>
        <w:t>11.</w:t>
      </w:r>
      <w:r>
        <w:rPr>
          <w:sz w:val="14"/>
          <w:szCs w:val="14"/>
          <w:rtl/>
        </w:rPr>
        <w:t xml:space="preserve">   </w:t>
      </w:r>
      <w:r>
        <w:rPr>
          <w:rFonts w:cs="David" w:hint="cs"/>
          <w:sz w:val="22"/>
          <w:rtl/>
        </w:rPr>
        <w:t xml:space="preserve">למונחים בהחלטה זו תינתן הפרשנות הקבועה להם בחוק ההגבלים העסקיים, התשמ"ח-1988, ובכללי ההגבלים העסקיים (הוראות והגדרות כלליות), תשס"ו-2006, למעט אם ניתנה להם בהחלטה זו הגדרה אחרת במפורש. </w:t>
      </w:r>
    </w:p>
    <w:p w:rsidR="00000000" w:rsidRDefault="00E90770">
      <w:pPr>
        <w:pStyle w:val="Header"/>
        <w:tabs>
          <w:tab w:val="num" w:pos="720"/>
          <w:tab w:val="center" w:pos="4153"/>
          <w:tab w:val="right" w:pos="8306"/>
        </w:tabs>
        <w:bidi/>
        <w:spacing w:before="120" w:beforeAutospacing="0" w:after="0" w:afterAutospacing="0"/>
        <w:ind w:left="720" w:hanging="360"/>
        <w:jc w:val="both"/>
        <w:rPr>
          <w:rFonts w:cs="David" w:hint="cs"/>
          <w:sz w:val="22"/>
          <w:rtl/>
        </w:rPr>
      </w:pPr>
      <w:r>
        <w:rPr>
          <w:rFonts w:hint="cs"/>
          <w:rtl/>
        </w:rPr>
        <w:t>12</w:t>
      </w:r>
      <w:r>
        <w:rPr>
          <w:rFonts w:hint="cs"/>
          <w:rtl/>
        </w:rPr>
        <w:t>.</w:t>
      </w:r>
      <w:r>
        <w:rPr>
          <w:sz w:val="14"/>
          <w:szCs w:val="14"/>
          <w:rtl/>
        </w:rPr>
        <w:t xml:space="preserve">   </w:t>
      </w:r>
      <w:r>
        <w:rPr>
          <w:rFonts w:cs="David" w:hint="cs"/>
          <w:sz w:val="22"/>
          <w:rtl/>
        </w:rPr>
        <w:t xml:space="preserve">התעורר ספק בדבר פרשנותם או תחולתם של </w:t>
      </w:r>
      <w:r>
        <w:rPr>
          <w:rFonts w:cs="David" w:hint="cs"/>
          <w:rtl/>
        </w:rPr>
        <w:t>תנאים</w:t>
      </w:r>
      <w:r>
        <w:rPr>
          <w:rFonts w:cs="David" w:hint="cs"/>
          <w:sz w:val="22"/>
          <w:rtl/>
        </w:rPr>
        <w:t xml:space="preserve"> אלה - יובא הדבר להכרעת הממונה.</w:t>
      </w:r>
    </w:p>
    <w:p w:rsidR="00000000" w:rsidRDefault="00E90770">
      <w:pPr>
        <w:pStyle w:val="Header"/>
        <w:tabs>
          <w:tab w:val="num" w:pos="720"/>
          <w:tab w:val="center" w:pos="4153"/>
          <w:tab w:val="right" w:pos="8306"/>
        </w:tabs>
        <w:bidi/>
        <w:spacing w:before="120" w:beforeAutospacing="0" w:after="0" w:afterAutospacing="0"/>
        <w:ind w:left="720" w:hanging="360"/>
        <w:jc w:val="both"/>
        <w:rPr>
          <w:rFonts w:hint="cs"/>
          <w:rtl/>
        </w:rPr>
      </w:pPr>
      <w:r>
        <w:rPr>
          <w:rFonts w:hint="cs"/>
          <w:rtl/>
        </w:rPr>
        <w:t>13.</w:t>
      </w:r>
      <w:r>
        <w:rPr>
          <w:sz w:val="14"/>
          <w:szCs w:val="14"/>
          <w:rtl/>
        </w:rPr>
        <w:t xml:space="preserve">   </w:t>
      </w:r>
      <w:r>
        <w:rPr>
          <w:rFonts w:cs="David" w:hint="cs"/>
          <w:sz w:val="22"/>
          <w:rtl/>
        </w:rPr>
        <w:t>תוקפו</w:t>
      </w:r>
      <w:r>
        <w:rPr>
          <w:rFonts w:cs="David" w:hint="cs"/>
          <w:rtl/>
        </w:rPr>
        <w:t xml:space="preserve"> של </w:t>
      </w:r>
      <w:r>
        <w:rPr>
          <w:rFonts w:cs="David" w:hint="cs"/>
          <w:sz w:val="22"/>
          <w:rtl/>
        </w:rPr>
        <w:t>פטור</w:t>
      </w:r>
      <w:r>
        <w:rPr>
          <w:rFonts w:cs="David" w:hint="cs"/>
          <w:rtl/>
        </w:rPr>
        <w:t xml:space="preserve"> זה ל</w:t>
      </w:r>
      <w:r>
        <w:rPr>
          <w:rStyle w:val="Strong"/>
          <w:rFonts w:cs="David" w:hint="cs"/>
          <w:rtl/>
        </w:rPr>
        <w:t>שנתיים</w:t>
      </w:r>
      <w:r>
        <w:rPr>
          <w:rFonts w:cs="David" w:hint="cs"/>
          <w:rtl/>
        </w:rPr>
        <w:t xml:space="preserve">. </w:t>
      </w:r>
    </w:p>
    <w:p w:rsidR="00000000" w:rsidRDefault="00E90770">
      <w:pPr>
        <w:pStyle w:val="Header"/>
        <w:bidi/>
        <w:spacing w:before="120" w:beforeAutospacing="0" w:after="0" w:afterAutospacing="0"/>
        <w:jc w:val="both"/>
        <w:rPr>
          <w:rFonts w:cs="David" w:hint="cs"/>
          <w:sz w:val="22"/>
          <w:rtl/>
        </w:rPr>
      </w:pPr>
    </w:p>
    <w:p w:rsidR="00000000" w:rsidRDefault="00E90770">
      <w:pPr>
        <w:pStyle w:val="Header"/>
        <w:bidi/>
        <w:spacing w:before="120" w:beforeAutospacing="0" w:after="0" w:afterAutospacing="0"/>
        <w:jc w:val="both"/>
        <w:rPr>
          <w:rFonts w:cs="David" w:hint="cs"/>
          <w:sz w:val="22"/>
          <w:rtl/>
        </w:rPr>
      </w:pPr>
    </w:p>
    <w:p w:rsidR="00000000" w:rsidRDefault="00E90770">
      <w:pPr>
        <w:bidi/>
        <w:spacing w:before="120" w:line="480" w:lineRule="auto"/>
        <w:ind w:left="5040"/>
        <w:jc w:val="center"/>
        <w:rPr>
          <w:rFonts w:cs="David" w:hint="cs"/>
          <w:sz w:val="20"/>
          <w:rtl/>
        </w:rPr>
      </w:pPr>
      <w:r>
        <w:rPr>
          <w:rFonts w:cs="David" w:hint="cs"/>
          <w:sz w:val="22"/>
          <w:rtl/>
        </w:rPr>
        <w:t>רונית קן</w:t>
      </w:r>
    </w:p>
    <w:p w:rsidR="00000000" w:rsidRDefault="00E90770">
      <w:pPr>
        <w:bidi/>
        <w:spacing w:before="120"/>
        <w:ind w:left="5040"/>
        <w:jc w:val="center"/>
        <w:rPr>
          <w:rFonts w:cs="David" w:hint="cs"/>
          <w:rtl/>
        </w:rPr>
      </w:pPr>
      <w:r>
        <w:rPr>
          <w:rFonts w:cs="David" w:hint="cs"/>
          <w:sz w:val="22"/>
          <w:rtl/>
        </w:rPr>
        <w:t>הממונה על הגבלים עסקיים</w:t>
      </w:r>
    </w:p>
    <w:p w:rsidR="00000000" w:rsidRDefault="00E90770">
      <w:pPr>
        <w:bidi/>
        <w:spacing w:before="120"/>
        <w:rPr>
          <w:rFonts w:cs="David" w:hint="cs"/>
          <w:sz w:val="22"/>
          <w:rtl/>
        </w:rPr>
      </w:pPr>
    </w:p>
    <w:p w:rsidR="00000000" w:rsidRDefault="00E90770">
      <w:pPr>
        <w:bidi/>
        <w:spacing w:before="120"/>
        <w:rPr>
          <w:rFonts w:hint="cs"/>
          <w:noProof/>
          <w:rtl/>
        </w:rPr>
      </w:pPr>
      <w:r>
        <w:rPr>
          <w:rFonts w:cs="David" w:hint="cs"/>
          <w:sz w:val="22"/>
          <w:rtl/>
        </w:rPr>
        <w:t xml:space="preserve">ירושלים, </w:t>
      </w:r>
      <w:r>
        <w:rPr>
          <w:rFonts w:cs="David" w:hint="cs"/>
          <w:noProof/>
          <w:sz w:val="22"/>
          <w:rtl/>
        </w:rPr>
        <w:t>‏ח' כסלו, תשע"א</w:t>
      </w:r>
    </w:p>
    <w:p w:rsidR="00000000" w:rsidRDefault="00E90770">
      <w:pPr>
        <w:bidi/>
        <w:spacing w:before="120"/>
        <w:rPr>
          <w:rFonts w:cs="David" w:hint="cs"/>
          <w:sz w:val="22"/>
        </w:rPr>
      </w:pPr>
      <w:r>
        <w:rPr>
          <w:rFonts w:cs="David" w:hint="cs"/>
          <w:noProof/>
          <w:sz w:val="22"/>
          <w:rtl/>
        </w:rPr>
        <w:t xml:space="preserve">                </w:t>
      </w:r>
      <w:r>
        <w:rPr>
          <w:rFonts w:hint="cs"/>
          <w:noProof/>
        </w:rPr>
        <w:t>15</w:t>
      </w:r>
      <w:r>
        <w:rPr>
          <w:rFonts w:cs="David" w:hint="cs"/>
          <w:noProof/>
          <w:sz w:val="22"/>
          <w:rtl/>
        </w:rPr>
        <w:t xml:space="preserve"> בנובמבר 2010</w:t>
      </w:r>
    </w:p>
    <w:p w:rsidR="00000000" w:rsidRDefault="00E90770">
      <w:pPr>
        <w:pStyle w:val="Header"/>
        <w:bidi/>
        <w:spacing w:before="120" w:beforeAutospacing="0" w:after="0" w:afterAutospacing="0"/>
        <w:jc w:val="both"/>
        <w:rPr>
          <w:rFonts w:cs="David" w:hint="cs"/>
          <w:sz w:val="22"/>
          <w:rtl/>
        </w:rPr>
      </w:pPr>
    </w:p>
    <w:p w:rsidR="00000000" w:rsidRDefault="00E90770">
      <w:pPr>
        <w:bidi/>
        <w:spacing w:before="120"/>
        <w:jc w:val="center"/>
        <w:rPr>
          <w:rStyle w:val="Strong"/>
          <w:rFonts w:hint="cs"/>
          <w:u w:val="single"/>
          <w:rtl/>
        </w:rPr>
      </w:pPr>
      <w:r>
        <w:rPr>
          <w:rFonts w:eastAsia="Times New Roman" w:cs="David" w:hint="cs"/>
          <w:b/>
          <w:bCs/>
          <w:sz w:val="22"/>
          <w:u w:val="single"/>
          <w:rtl/>
          <w:lang w:eastAsia="he-IL"/>
        </w:rPr>
        <w:br w:type="page"/>
      </w:r>
      <w:r>
        <w:rPr>
          <w:rStyle w:val="Strong"/>
          <w:rFonts w:cs="David" w:hint="cs"/>
          <w:sz w:val="22"/>
          <w:u w:val="single"/>
          <w:rtl/>
        </w:rPr>
        <w:lastRenderedPageBreak/>
        <w:t>נספח א'</w:t>
      </w:r>
    </w:p>
    <w:p w:rsidR="00000000" w:rsidRDefault="00E90770">
      <w:pPr>
        <w:bidi/>
        <w:spacing w:before="120"/>
        <w:rPr>
          <w:rStyle w:val="Strong"/>
          <w:rFonts w:cs="David" w:hint="cs"/>
          <w:sz w:val="22"/>
          <w:u w:val="single"/>
          <w:rtl/>
        </w:rPr>
      </w:pPr>
    </w:p>
    <w:p w:rsidR="00000000" w:rsidRDefault="00E90770">
      <w:pPr>
        <w:bidi/>
        <w:spacing w:before="120"/>
        <w:rPr>
          <w:rFonts w:hint="cs"/>
          <w:rtl/>
        </w:rPr>
      </w:pPr>
      <w:r>
        <w:rPr>
          <w:rFonts w:cs="David" w:hint="cs"/>
          <w:sz w:val="22"/>
          <w:rtl/>
        </w:rPr>
        <w:t>אני החתום/ה מטה, ......................., נושא/ת ת.ז. שמספרה ....................., המשמש/ת כ........................., מצהיר/ה בזה ומתחייב/ת כדלקמן:</w:t>
      </w:r>
    </w:p>
    <w:p w:rsidR="00000000" w:rsidRDefault="00E90770">
      <w:pPr>
        <w:bidi/>
        <w:spacing w:before="120"/>
        <w:rPr>
          <w:rFonts w:cs="David" w:hint="cs"/>
          <w:sz w:val="22"/>
          <w:rtl/>
        </w:rPr>
      </w:pPr>
    </w:p>
    <w:p w:rsidR="00000000" w:rsidRDefault="00E90770">
      <w:pPr>
        <w:tabs>
          <w:tab w:val="num" w:pos="360"/>
        </w:tabs>
        <w:bidi/>
        <w:spacing w:before="120"/>
        <w:ind w:left="360" w:hanging="360"/>
        <w:rPr>
          <w:rFonts w:cs="David" w:hint="cs"/>
          <w:sz w:val="22"/>
          <w:rtl/>
        </w:rPr>
      </w:pPr>
      <w:r>
        <w:rPr>
          <w:rFonts w:cs="David" w:hint="cs"/>
          <w:sz w:val="22"/>
          <w:rtl/>
        </w:rPr>
        <w:t>1.</w:t>
      </w:r>
      <w:r>
        <w:rPr>
          <w:rFonts w:cs="David" w:hint="cs"/>
          <w:sz w:val="14"/>
          <w:szCs w:val="14"/>
          <w:rtl/>
        </w:rPr>
        <w:t xml:space="preserve">       </w:t>
      </w:r>
      <w:r>
        <w:rPr>
          <w:rFonts w:cs="David" w:hint="cs"/>
          <w:sz w:val="22"/>
          <w:rtl/>
        </w:rPr>
        <w:t>הנני להודיע כי קראתי במלואם את תנאי הממונה על הגבלים עסקיים למתן פטור מאישור בית הדין להסדר בתיק</w:t>
      </w:r>
      <w:r>
        <w:rPr>
          <w:rFonts w:cs="David" w:hint="cs"/>
          <w:sz w:val="22"/>
          <w:rtl/>
        </w:rPr>
        <w:t xml:space="preserve"> פטור 7833 וכי תנאים אלו מקובלים עליי. </w:t>
      </w:r>
    </w:p>
    <w:p w:rsidR="00000000" w:rsidRDefault="00E90770">
      <w:pPr>
        <w:tabs>
          <w:tab w:val="num" w:pos="360"/>
        </w:tabs>
        <w:bidi/>
        <w:spacing w:before="120"/>
        <w:ind w:left="360" w:hanging="360"/>
        <w:rPr>
          <w:rFonts w:cs="David" w:hint="cs"/>
          <w:sz w:val="22"/>
          <w:rtl/>
        </w:rPr>
      </w:pPr>
      <w:r>
        <w:rPr>
          <w:rFonts w:cs="David" w:hint="cs"/>
          <w:sz w:val="22"/>
          <w:rtl/>
        </w:rPr>
        <w:t>2.</w:t>
      </w:r>
      <w:r>
        <w:rPr>
          <w:rFonts w:cs="David" w:hint="cs"/>
          <w:sz w:val="14"/>
          <w:szCs w:val="14"/>
          <w:rtl/>
        </w:rPr>
        <w:t xml:space="preserve">       </w:t>
      </w:r>
      <w:r>
        <w:rPr>
          <w:rFonts w:cs="David" w:hint="cs"/>
          <w:sz w:val="22"/>
          <w:rtl/>
        </w:rPr>
        <w:t xml:space="preserve">אני מודע/ת לכך כי קיום דווקני של כל התנאים הללו, על-ידִי ועל-ידֵי הצדדים הנוספים לפטור, הוא הבסיס לקבלת פטור הממונה על הגבלים עסקיים להסדר זה. </w:t>
      </w:r>
    </w:p>
    <w:p w:rsidR="00000000" w:rsidRDefault="00E90770">
      <w:pPr>
        <w:tabs>
          <w:tab w:val="num" w:pos="360"/>
        </w:tabs>
        <w:bidi/>
        <w:spacing w:before="120"/>
        <w:ind w:left="360" w:hanging="360"/>
        <w:rPr>
          <w:rFonts w:cs="David" w:hint="cs"/>
          <w:sz w:val="22"/>
          <w:rtl/>
        </w:rPr>
      </w:pPr>
      <w:r>
        <w:rPr>
          <w:rFonts w:cs="David" w:hint="cs"/>
          <w:sz w:val="22"/>
          <w:rtl/>
        </w:rPr>
        <w:t>3.</w:t>
      </w:r>
      <w:r>
        <w:rPr>
          <w:rFonts w:cs="David" w:hint="cs"/>
          <w:sz w:val="14"/>
          <w:szCs w:val="14"/>
          <w:rtl/>
        </w:rPr>
        <w:t xml:space="preserve">       </w:t>
      </w:r>
      <w:r>
        <w:rPr>
          <w:rFonts w:cs="David" w:hint="cs"/>
          <w:sz w:val="22"/>
          <w:rtl/>
        </w:rPr>
        <w:t>ידוע לי כי הפרת התנאים הנזכרים מהווה עבירה פלילית על פ</w:t>
      </w:r>
      <w:r>
        <w:rPr>
          <w:rFonts w:cs="David" w:hint="cs"/>
          <w:sz w:val="22"/>
          <w:rtl/>
        </w:rPr>
        <w:t xml:space="preserve">י חוק ההגבלים העסקיים, התשמ"ח - 1988, שעונשה עד שלוש שנות מאסר. </w:t>
      </w:r>
    </w:p>
    <w:p w:rsidR="00000000" w:rsidRDefault="00E90770">
      <w:pPr>
        <w:tabs>
          <w:tab w:val="num" w:pos="360"/>
        </w:tabs>
        <w:bidi/>
        <w:spacing w:before="120"/>
        <w:ind w:left="360" w:hanging="360"/>
        <w:rPr>
          <w:rFonts w:cs="David" w:hint="cs"/>
          <w:sz w:val="22"/>
          <w:rtl/>
        </w:rPr>
      </w:pPr>
      <w:r>
        <w:rPr>
          <w:rFonts w:cs="David" w:hint="cs"/>
          <w:sz w:val="22"/>
          <w:rtl/>
        </w:rPr>
        <w:t>4.</w:t>
      </w:r>
      <w:r>
        <w:rPr>
          <w:rFonts w:cs="David" w:hint="cs"/>
          <w:sz w:val="14"/>
          <w:szCs w:val="14"/>
          <w:rtl/>
        </w:rPr>
        <w:t xml:space="preserve">       </w:t>
      </w:r>
      <w:r>
        <w:rPr>
          <w:rFonts w:cs="David" w:hint="cs"/>
          <w:sz w:val="22"/>
          <w:rtl/>
        </w:rPr>
        <w:t xml:space="preserve">כן ידוע לי כי סיוע להפרת תנאי האישור הנזכרים מהווה עבירה פלילית.  </w:t>
      </w:r>
    </w:p>
    <w:p w:rsidR="00000000" w:rsidRDefault="00E90770">
      <w:pPr>
        <w:tabs>
          <w:tab w:val="num" w:pos="360"/>
        </w:tabs>
        <w:bidi/>
        <w:spacing w:before="120"/>
        <w:ind w:left="360" w:hanging="360"/>
        <w:rPr>
          <w:rFonts w:cs="David" w:hint="cs"/>
          <w:sz w:val="22"/>
          <w:rtl/>
        </w:rPr>
      </w:pPr>
      <w:r>
        <w:rPr>
          <w:rFonts w:cs="David" w:hint="cs"/>
          <w:sz w:val="22"/>
          <w:rtl/>
        </w:rPr>
        <w:t>5.</w:t>
      </w:r>
      <w:r>
        <w:rPr>
          <w:rFonts w:cs="David" w:hint="cs"/>
          <w:sz w:val="14"/>
          <w:szCs w:val="14"/>
          <w:rtl/>
        </w:rPr>
        <w:t>      </w:t>
      </w:r>
      <w:r>
        <w:rPr>
          <w:rFonts w:cs="David" w:hint="cs"/>
          <w:sz w:val="22"/>
          <w:rtl/>
        </w:rPr>
        <w:t>אני מתחייב/ת שבמסגרת תפקידי לא אתן ידי, במעשה או במחדל, להפרת תנאי מתנאים אלה.</w:t>
      </w:r>
    </w:p>
    <w:p w:rsidR="00000000" w:rsidRDefault="00E90770">
      <w:pPr>
        <w:bidi/>
        <w:spacing w:before="120"/>
        <w:rPr>
          <w:rFonts w:cs="David" w:hint="cs"/>
          <w:sz w:val="22"/>
          <w:rtl/>
        </w:rPr>
      </w:pPr>
      <w:r>
        <w:rPr>
          <w:rFonts w:cs="David" w:hint="cs"/>
          <w:sz w:val="22"/>
          <w:rtl/>
        </w:rPr>
        <w:t xml:space="preserve"> </w:t>
      </w:r>
    </w:p>
    <w:tbl>
      <w:tblPr>
        <w:bidiVisual/>
        <w:tblW w:w="0" w:type="auto"/>
        <w:jc w:val="center"/>
        <w:tblLook w:val="04A0" w:firstRow="1" w:lastRow="0" w:firstColumn="1" w:lastColumn="0" w:noHBand="0" w:noVBand="1"/>
      </w:tblPr>
      <w:tblGrid>
        <w:gridCol w:w="1670"/>
        <w:gridCol w:w="1649"/>
        <w:gridCol w:w="1664"/>
        <w:gridCol w:w="1650"/>
        <w:gridCol w:w="1673"/>
      </w:tblGrid>
      <w:tr w:rsidR="00000000">
        <w:trPr>
          <w:jc w:val="center"/>
        </w:trPr>
        <w:tc>
          <w:tcPr>
            <w:tcW w:w="1705" w:type="dxa"/>
            <w:tcBorders>
              <w:top w:val="nil"/>
              <w:left w:val="nil"/>
              <w:bottom w:val="single" w:sz="4" w:space="0" w:color="auto"/>
              <w:right w:val="nil"/>
            </w:tcBorders>
            <w:shd w:val="clear" w:color="auto" w:fill="auto"/>
          </w:tcPr>
          <w:p w:rsidR="00000000" w:rsidRDefault="00E90770">
            <w:pPr>
              <w:bidi/>
              <w:spacing w:before="120"/>
              <w:rPr>
                <w:rFonts w:hint="cs"/>
                <w:rtl/>
              </w:rPr>
            </w:pPr>
          </w:p>
        </w:tc>
        <w:tc>
          <w:tcPr>
            <w:tcW w:w="1705" w:type="dxa"/>
            <w:tcBorders>
              <w:top w:val="nil"/>
              <w:left w:val="nil"/>
              <w:bottom w:val="nil"/>
              <w:right w:val="nil"/>
            </w:tcBorders>
            <w:shd w:val="clear" w:color="auto" w:fill="auto"/>
          </w:tcPr>
          <w:p w:rsidR="00000000" w:rsidRDefault="00E90770">
            <w:pPr>
              <w:bidi/>
              <w:spacing w:before="120"/>
            </w:pPr>
          </w:p>
        </w:tc>
        <w:tc>
          <w:tcPr>
            <w:tcW w:w="1706" w:type="dxa"/>
            <w:tcBorders>
              <w:top w:val="nil"/>
              <w:left w:val="nil"/>
              <w:bottom w:val="single" w:sz="4" w:space="0" w:color="auto"/>
              <w:right w:val="nil"/>
            </w:tcBorders>
            <w:shd w:val="clear" w:color="auto" w:fill="auto"/>
          </w:tcPr>
          <w:p w:rsidR="00000000" w:rsidRDefault="00E90770">
            <w:pPr>
              <w:bidi/>
              <w:spacing w:before="120"/>
            </w:pPr>
          </w:p>
        </w:tc>
        <w:tc>
          <w:tcPr>
            <w:tcW w:w="1706" w:type="dxa"/>
            <w:tcBorders>
              <w:top w:val="nil"/>
              <w:left w:val="nil"/>
              <w:bottom w:val="nil"/>
              <w:right w:val="nil"/>
            </w:tcBorders>
            <w:shd w:val="clear" w:color="auto" w:fill="auto"/>
          </w:tcPr>
          <w:p w:rsidR="00000000" w:rsidRDefault="00E90770">
            <w:pPr>
              <w:bidi/>
              <w:spacing w:before="120"/>
            </w:pPr>
          </w:p>
        </w:tc>
        <w:tc>
          <w:tcPr>
            <w:tcW w:w="1706" w:type="dxa"/>
            <w:tcBorders>
              <w:top w:val="nil"/>
              <w:left w:val="nil"/>
              <w:bottom w:val="single" w:sz="4" w:space="0" w:color="auto"/>
              <w:right w:val="nil"/>
            </w:tcBorders>
            <w:shd w:val="clear" w:color="auto" w:fill="auto"/>
          </w:tcPr>
          <w:p w:rsidR="00000000" w:rsidRDefault="00E90770">
            <w:pPr>
              <w:bidi/>
              <w:spacing w:before="120"/>
            </w:pPr>
          </w:p>
        </w:tc>
      </w:tr>
      <w:tr w:rsidR="00000000">
        <w:trPr>
          <w:jc w:val="center"/>
        </w:trPr>
        <w:tc>
          <w:tcPr>
            <w:tcW w:w="1705" w:type="dxa"/>
            <w:tcBorders>
              <w:top w:val="single" w:sz="4" w:space="0" w:color="auto"/>
              <w:left w:val="nil"/>
              <w:bottom w:val="nil"/>
              <w:right w:val="nil"/>
            </w:tcBorders>
            <w:shd w:val="clear" w:color="auto" w:fill="auto"/>
            <w:hideMark/>
          </w:tcPr>
          <w:p w:rsidR="00000000" w:rsidRDefault="00E90770">
            <w:pPr>
              <w:bidi/>
              <w:spacing w:before="120"/>
            </w:pPr>
            <w:r>
              <w:rPr>
                <w:rFonts w:cs="David" w:hint="cs"/>
                <w:sz w:val="22"/>
                <w:rtl/>
              </w:rPr>
              <w:t>תאריך</w:t>
            </w:r>
          </w:p>
        </w:tc>
        <w:tc>
          <w:tcPr>
            <w:tcW w:w="1705" w:type="dxa"/>
            <w:tcBorders>
              <w:top w:val="nil"/>
              <w:left w:val="nil"/>
              <w:bottom w:val="nil"/>
              <w:right w:val="nil"/>
            </w:tcBorders>
            <w:shd w:val="clear" w:color="auto" w:fill="auto"/>
          </w:tcPr>
          <w:p w:rsidR="00000000" w:rsidRDefault="00E90770">
            <w:pPr>
              <w:bidi/>
              <w:spacing w:before="120"/>
              <w:rPr>
                <w:rtl/>
              </w:rPr>
            </w:pPr>
          </w:p>
        </w:tc>
        <w:tc>
          <w:tcPr>
            <w:tcW w:w="1706" w:type="dxa"/>
            <w:tcBorders>
              <w:top w:val="single" w:sz="4" w:space="0" w:color="auto"/>
              <w:left w:val="nil"/>
              <w:bottom w:val="nil"/>
              <w:right w:val="nil"/>
            </w:tcBorders>
            <w:shd w:val="clear" w:color="auto" w:fill="auto"/>
            <w:hideMark/>
          </w:tcPr>
          <w:p w:rsidR="00000000" w:rsidRDefault="00E90770">
            <w:pPr>
              <w:bidi/>
              <w:spacing w:before="120"/>
            </w:pPr>
            <w:r>
              <w:rPr>
                <w:rFonts w:cs="David" w:hint="cs"/>
                <w:sz w:val="22"/>
                <w:rtl/>
              </w:rPr>
              <w:t>שם מלא</w:t>
            </w:r>
          </w:p>
        </w:tc>
        <w:tc>
          <w:tcPr>
            <w:tcW w:w="1706" w:type="dxa"/>
            <w:tcBorders>
              <w:top w:val="nil"/>
              <w:left w:val="nil"/>
              <w:bottom w:val="nil"/>
              <w:right w:val="nil"/>
            </w:tcBorders>
            <w:shd w:val="clear" w:color="auto" w:fill="auto"/>
          </w:tcPr>
          <w:p w:rsidR="00000000" w:rsidRDefault="00E90770">
            <w:pPr>
              <w:bidi/>
              <w:spacing w:before="120"/>
              <w:rPr>
                <w:rtl/>
              </w:rPr>
            </w:pPr>
          </w:p>
        </w:tc>
        <w:tc>
          <w:tcPr>
            <w:tcW w:w="1706" w:type="dxa"/>
            <w:tcBorders>
              <w:top w:val="single" w:sz="4" w:space="0" w:color="auto"/>
              <w:left w:val="nil"/>
              <w:bottom w:val="nil"/>
              <w:right w:val="nil"/>
            </w:tcBorders>
            <w:shd w:val="clear" w:color="auto" w:fill="auto"/>
            <w:hideMark/>
          </w:tcPr>
          <w:p w:rsidR="00000000" w:rsidRDefault="00E90770">
            <w:pPr>
              <w:bidi/>
              <w:spacing w:before="120"/>
            </w:pPr>
            <w:r>
              <w:rPr>
                <w:rFonts w:cs="David" w:hint="cs"/>
                <w:sz w:val="22"/>
                <w:rtl/>
              </w:rPr>
              <w:t>חתימה</w:t>
            </w:r>
          </w:p>
        </w:tc>
      </w:tr>
    </w:tbl>
    <w:p w:rsidR="00000000" w:rsidRDefault="00E90770">
      <w:pPr>
        <w:bidi/>
        <w:spacing w:before="120"/>
        <w:rPr>
          <w:rFonts w:cs="David"/>
          <w:sz w:val="22"/>
          <w:rtl/>
        </w:rPr>
      </w:pPr>
    </w:p>
    <w:p w:rsidR="00000000" w:rsidRDefault="00E90770">
      <w:pPr>
        <w:bidi/>
        <w:spacing w:before="120"/>
        <w:rPr>
          <w:rStyle w:val="Strong"/>
          <w:rFonts w:hint="cs"/>
          <w:rtl/>
        </w:rPr>
      </w:pPr>
      <w:r>
        <w:rPr>
          <w:rStyle w:val="Strong"/>
          <w:rFonts w:cs="David" w:hint="cs"/>
          <w:sz w:val="22"/>
          <w:rtl/>
        </w:rPr>
        <w:t>אישור</w:t>
      </w:r>
    </w:p>
    <w:p w:rsidR="00000000" w:rsidRDefault="00E90770">
      <w:pPr>
        <w:bidi/>
        <w:spacing w:before="120"/>
        <w:rPr>
          <w:rFonts w:hint="cs"/>
          <w:rtl/>
        </w:rPr>
      </w:pPr>
    </w:p>
    <w:p w:rsidR="00000000" w:rsidRDefault="00E90770">
      <w:pPr>
        <w:bidi/>
        <w:spacing w:before="120"/>
        <w:rPr>
          <w:rFonts w:cs="David" w:hint="cs"/>
          <w:sz w:val="22"/>
          <w:rtl/>
        </w:rPr>
      </w:pPr>
      <w:r>
        <w:rPr>
          <w:rFonts w:cs="David" w:hint="cs"/>
          <w:sz w:val="22"/>
          <w:rtl/>
        </w:rPr>
        <w:t>הנני מאשר/ת בזה כי ביום ............ הופיע/ה בפני מר/גב' ......................., בעל/ת ת.ז. ................, ואחרי שהזהרתיו/ה כי עליו/ה להצהיר את האמת וכי יהיה/תהיה צפוי/ה לעונשים הקבועים בחוק אם לא יעשה/תעשה כן, חתם/ה על ההצהרה הנ"ל בפני.</w:t>
      </w:r>
    </w:p>
    <w:p w:rsidR="00000000" w:rsidRDefault="00E90770">
      <w:pPr>
        <w:bidi/>
        <w:spacing w:before="120"/>
        <w:rPr>
          <w:rFonts w:cs="David" w:hint="cs"/>
          <w:sz w:val="22"/>
          <w:rtl/>
        </w:rPr>
      </w:pPr>
    </w:p>
    <w:p w:rsidR="00000000" w:rsidRDefault="00E90770">
      <w:pPr>
        <w:bidi/>
        <w:spacing w:before="120"/>
        <w:rPr>
          <w:rFonts w:cs="David" w:hint="cs"/>
          <w:sz w:val="22"/>
          <w:rtl/>
        </w:rPr>
      </w:pPr>
      <w:r>
        <w:rPr>
          <w:rFonts w:cs="David" w:hint="cs"/>
          <w:sz w:val="22"/>
          <w:rtl/>
        </w:rPr>
        <w:t>___</w:t>
      </w:r>
      <w:r>
        <w:rPr>
          <w:rFonts w:cs="David" w:hint="cs"/>
          <w:sz w:val="22"/>
          <w:rtl/>
        </w:rPr>
        <w:t>_______________</w:t>
      </w:r>
    </w:p>
    <w:p w:rsidR="00000000" w:rsidRDefault="00E90770">
      <w:pPr>
        <w:bidi/>
        <w:spacing w:before="120"/>
        <w:rPr>
          <w:rFonts w:cs="David" w:hint="cs"/>
          <w:sz w:val="22"/>
          <w:rtl/>
        </w:rPr>
      </w:pPr>
      <w:r>
        <w:rPr>
          <w:rFonts w:cs="David" w:hint="cs"/>
          <w:sz w:val="22"/>
          <w:rtl/>
        </w:rPr>
        <w:t xml:space="preserve">                        ,עו"ד</w:t>
      </w:r>
    </w:p>
    <w:p w:rsidR="00000000" w:rsidRDefault="00E90770">
      <w:pPr>
        <w:bidi/>
        <w:spacing w:before="120"/>
        <w:rPr>
          <w:rFonts w:cs="David" w:hint="cs"/>
          <w:sz w:val="22"/>
          <w:rtl/>
        </w:rPr>
      </w:pPr>
    </w:p>
    <w:p w:rsidR="00000000" w:rsidRDefault="00E90770">
      <w:pPr>
        <w:bidi/>
        <w:spacing w:before="120"/>
        <w:rPr>
          <w:rFonts w:cs="David" w:hint="cs"/>
          <w:sz w:val="22"/>
          <w:rtl/>
        </w:rPr>
      </w:pPr>
      <w:r>
        <w:rPr>
          <w:rFonts w:cs="David" w:hint="cs"/>
          <w:sz w:val="22"/>
          <w:rtl/>
        </w:rPr>
        <w:t>מ.ר.</w:t>
      </w:r>
    </w:p>
    <w:p w:rsidR="00000000" w:rsidRDefault="00E90770">
      <w:pPr>
        <w:bidi/>
        <w:divId w:val="1752000462"/>
        <w:rPr>
          <w:rFonts w:eastAsia="Times New Roman" w:hint="cs"/>
          <w:rtl/>
        </w:rPr>
      </w:pPr>
      <w:r>
        <w:rPr>
          <w:rFonts w:eastAsia="Times New Roman" w:hint="cs"/>
          <w:rtl/>
        </w:rPr>
        <w:br w:type="textWrapping" w:clear="all"/>
      </w:r>
    </w:p>
    <w:p w:rsidR="00000000" w:rsidRDefault="00E90770">
      <w:pPr>
        <w:bidi/>
        <w:divId w:val="1752000462"/>
        <w:rPr>
          <w:rFonts w:eastAsia="Times New Roman" w:hint="cs"/>
          <w:rtl/>
        </w:rPr>
      </w:pPr>
      <w:r>
        <w:rPr>
          <w:rFonts w:eastAsia="Times New Roman" w:hint="cs"/>
        </w:rPr>
        <w:pict>
          <v:rect id="_x0000_i1026" style="width:110.7pt;height:.6pt" o:hrpct="330" o:hralign="right" o:hrstd="t" o:hr="t" fillcolor="#a0a0a0" stroked="f"/>
        </w:pict>
      </w:r>
    </w:p>
    <w:p w:rsidR="00000000" w:rsidRDefault="00E90770">
      <w:pPr>
        <w:pStyle w:val="Footer"/>
        <w:divId w:val="56052502"/>
        <w:rPr>
          <w:rFonts w:hint="cs"/>
          <w:szCs w:val="14"/>
          <w:rtl/>
        </w:rPr>
      </w:pPr>
    </w:p>
    <w:p w:rsidR="00E90770" w:rsidRDefault="00E90770">
      <w:pPr>
        <w:divId w:val="56052502"/>
        <w:rPr>
          <w:rFonts w:eastAsia="Times New Roman" w:hint="cs"/>
        </w:rPr>
      </w:pPr>
      <w:r>
        <w:rPr>
          <w:rFonts w:eastAsia="Times New Roman" w:hint="cs"/>
        </w:rPr>
        <w:t>\</w:t>
      </w:r>
    </w:p>
    <w:sectPr w:rsidR="00E90770">
      <w:pgSz w:w="11906" w:h="16838"/>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90770" w:rsidRDefault="00E90770">
      <w:r>
        <w:separator/>
      </w:r>
    </w:p>
  </w:endnote>
  <w:endnote w:type="continuationSeparator" w:id="0">
    <w:p w:rsidR="00E90770" w:rsidRDefault="00E907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Narkisim">
    <w:panose1 w:val="020E0502050101010101"/>
    <w:charset w:val="B1"/>
    <w:family w:val="swiss"/>
    <w:pitch w:val="variable"/>
    <w:sig w:usb0="00000801" w:usb1="00000000" w:usb2="00000000" w:usb3="00000000" w:csb0="00000020" w:csb1="00000000"/>
  </w:font>
  <w:font w:name="David">
    <w:panose1 w:val="020E0502060401010101"/>
    <w:charset w:val="B1"/>
    <w:family w:val="swiss"/>
    <w:pitch w:val="variable"/>
    <w:sig w:usb0="00000801" w:usb1="00000000" w:usb2="00000000" w:usb3="00000000" w:csb0="0000002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90770" w:rsidRDefault="00E90770">
      <w:r>
        <w:separator/>
      </w:r>
    </w:p>
  </w:footnote>
  <w:footnote w:type="continuationSeparator" w:id="0">
    <w:p w:rsidR="00E90770" w:rsidRDefault="00E90770">
      <w:r>
        <w:continuationSeparator/>
      </w:r>
    </w:p>
  </w:footnote>
  <w:footnote w:id="1">
    <w:p w:rsidR="00000000" w:rsidRDefault="00E90770">
      <w:pPr>
        <w:pStyle w:val="FootnoteText"/>
        <w:tabs>
          <w:tab w:val="left" w:pos="720"/>
        </w:tabs>
        <w:bidi/>
        <w:spacing w:before="120" w:beforeAutospacing="0" w:after="0" w:afterAutospacing="0"/>
        <w:ind w:left="32"/>
        <w:rPr>
          <w:rFonts w:cs="David" w:hint="cs"/>
          <w:sz w:val="20"/>
          <w:szCs w:val="20"/>
          <w:rtl/>
        </w:rPr>
      </w:pPr>
      <w:r>
        <w:rPr>
          <w:rStyle w:val="FootnoteReference"/>
        </w:rPr>
        <w:footnoteRef/>
      </w:r>
      <w:r>
        <w:rPr>
          <w:rStyle w:val="FootnoteReference"/>
          <w:rFonts w:eastAsia="Times New Roman" w:cs="David"/>
          <w:sz w:val="22"/>
          <w:szCs w:val="20"/>
          <w:lang w:eastAsia="he-IL"/>
        </w:rPr>
        <w:t>[1]</w:t>
      </w:r>
      <w:r>
        <w:rPr>
          <w:rFonts w:cs="David" w:hint="cs"/>
          <w:sz w:val="22"/>
          <w:szCs w:val="20"/>
          <w:rtl/>
        </w:rPr>
        <w:t xml:space="preserve"> </w:t>
      </w:r>
      <w:r>
        <w:rPr>
          <w:rFonts w:cs="David" w:hint="cs"/>
          <w:sz w:val="20"/>
          <w:szCs w:val="20"/>
          <w:rtl/>
        </w:rPr>
        <w:t>ראו התייחסות לשיקולים למתן פטור לניהול משא ומתן בין מתחרים בהחלטה לפי סעיף 14 לחוק בדבר מתן פטור מאישור הסדר כובל ל</w:t>
      </w:r>
      <w:r>
        <w:rPr>
          <w:rStyle w:val="Strong"/>
          <w:rFonts w:cs="David" w:hint="cs"/>
          <w:sz w:val="20"/>
          <w:szCs w:val="20"/>
          <w:rtl/>
        </w:rPr>
        <w:t>הסדר בין התאחדות המלונות בישראל - לבין בתי המלון בישראל החברים בה שעניינו ניהול משא ומתן משותף עם תאגידי</w:t>
      </w:r>
      <w:r>
        <w:rPr>
          <w:rStyle w:val="Strong"/>
          <w:rFonts w:cs="David" w:hint="cs"/>
          <w:sz w:val="20"/>
          <w:szCs w:val="20"/>
          <w:rtl/>
        </w:rPr>
        <w:t>ם לניהול משותף של זכויות יוצרים</w:t>
      </w:r>
      <w:r>
        <w:rPr>
          <w:rFonts w:cs="David" w:hint="cs"/>
          <w:sz w:val="20"/>
          <w:szCs w:val="20"/>
          <w:rtl/>
        </w:rPr>
        <w:t xml:space="preserve">; 2001 </w:t>
      </w:r>
      <w:r>
        <w:rPr>
          <w:rStyle w:val="Strong"/>
          <w:rFonts w:cs="David" w:hint="cs"/>
          <w:sz w:val="20"/>
          <w:szCs w:val="20"/>
          <w:rtl/>
        </w:rPr>
        <w:t>הגבלים עסקיים</w:t>
      </w:r>
      <w:r>
        <w:rPr>
          <w:rFonts w:cs="David" w:hint="cs"/>
          <w:sz w:val="20"/>
          <w:szCs w:val="20"/>
          <w:rtl/>
        </w:rPr>
        <w:t xml:space="preserve"> 3015709, וכן בהחלטה לפי סעיף 14 לחוק בדבר מתן פטור מאישור הסדר כובל ל</w:t>
      </w:r>
      <w:r>
        <w:rPr>
          <w:rStyle w:val="Strong"/>
          <w:rFonts w:cs="David" w:hint="cs"/>
          <w:sz w:val="20"/>
          <w:szCs w:val="20"/>
          <w:rtl/>
        </w:rPr>
        <w:t>הסדר בין קמע לייצוג הקמעונאים בישראל בע"מ לבין קמעונאים  החברים בה</w:t>
      </w:r>
      <w:r>
        <w:rPr>
          <w:rFonts w:cs="David" w:hint="cs"/>
          <w:sz w:val="20"/>
          <w:szCs w:val="20"/>
          <w:rtl/>
        </w:rPr>
        <w:t xml:space="preserve">; 2005 </w:t>
      </w:r>
      <w:r>
        <w:rPr>
          <w:rStyle w:val="Strong"/>
          <w:rFonts w:cs="David" w:hint="cs"/>
          <w:sz w:val="20"/>
          <w:szCs w:val="20"/>
          <w:rtl/>
        </w:rPr>
        <w:t>הגבלים עסקיים</w:t>
      </w:r>
      <w:r>
        <w:rPr>
          <w:rFonts w:cs="David" w:hint="cs"/>
          <w:sz w:val="20"/>
          <w:szCs w:val="20"/>
          <w:rtl/>
        </w:rPr>
        <w:t xml:space="preserve"> 5000131. להשוואה ראו החלטה לפי סעיף 14 לחוק בדבר</w:t>
      </w:r>
      <w:r>
        <w:rPr>
          <w:rFonts w:cs="David" w:hint="cs"/>
          <w:sz w:val="20"/>
          <w:szCs w:val="20"/>
          <w:rtl/>
        </w:rPr>
        <w:t xml:space="preserve"> מתן פטור חלקי בתנאים מאישור הסדר כובל</w:t>
      </w:r>
      <w:r>
        <w:rPr>
          <w:rStyle w:val="Strong"/>
          <w:rFonts w:cs="David" w:hint="cs"/>
          <w:sz w:val="20"/>
          <w:szCs w:val="20"/>
          <w:rtl/>
        </w:rPr>
        <w:t xml:space="preserve"> להסדר שבין העמותה לקידום הפנימיות הטיפוליות והשיקומיות בישראל והפנימיות החברות בו</w:t>
      </w:r>
      <w:r>
        <w:rPr>
          <w:rFonts w:cs="David" w:hint="cs"/>
          <w:sz w:val="20"/>
          <w:szCs w:val="20"/>
          <w:rtl/>
        </w:rPr>
        <w:t xml:space="preserve">; 2008 </w:t>
      </w:r>
      <w:r>
        <w:rPr>
          <w:rStyle w:val="Strong"/>
          <w:rFonts w:cs="David" w:hint="cs"/>
          <w:sz w:val="20"/>
          <w:szCs w:val="20"/>
          <w:rtl/>
        </w:rPr>
        <w:t>הגבלים עסקיים</w:t>
      </w:r>
      <w:r>
        <w:rPr>
          <w:rFonts w:cs="David" w:hint="cs"/>
          <w:sz w:val="20"/>
          <w:szCs w:val="20"/>
          <w:rtl/>
        </w:rPr>
        <w:t xml:space="preserve"> 5001300 וכן החלטה לפי סעיף 14 לחוק בדבר אי מתן פטור מאישור בית הדין </w:t>
      </w:r>
      <w:r>
        <w:rPr>
          <w:rStyle w:val="Strong"/>
          <w:rFonts w:cs="David" w:hint="cs"/>
          <w:sz w:val="20"/>
          <w:szCs w:val="20"/>
          <w:rtl/>
        </w:rPr>
        <w:t>להסדר כובל בין התאחדות סוכני נסיעות ותיירות ביש</w:t>
      </w:r>
      <w:r>
        <w:rPr>
          <w:rStyle w:val="Strong"/>
          <w:rFonts w:cs="David" w:hint="cs"/>
          <w:sz w:val="20"/>
          <w:szCs w:val="20"/>
          <w:rtl/>
        </w:rPr>
        <w:t>ראל והחברים בה</w:t>
      </w:r>
      <w:r>
        <w:rPr>
          <w:rFonts w:cs="David" w:hint="cs"/>
          <w:sz w:val="20"/>
          <w:szCs w:val="20"/>
          <w:rtl/>
        </w:rPr>
        <w:t xml:space="preserve">; 2000 </w:t>
      </w:r>
      <w:r>
        <w:rPr>
          <w:rStyle w:val="Strong"/>
          <w:rFonts w:cs="David" w:hint="cs"/>
          <w:sz w:val="20"/>
          <w:szCs w:val="20"/>
          <w:rtl/>
        </w:rPr>
        <w:t xml:space="preserve">הגבלים עסקיים </w:t>
      </w:r>
      <w:r>
        <w:rPr>
          <w:rFonts w:cs="David" w:hint="cs"/>
          <w:sz w:val="20"/>
          <w:szCs w:val="20"/>
          <w:rtl/>
        </w:rPr>
        <w:t>3009276 וההפניות שם.</w:t>
      </w:r>
    </w:p>
  </w:footnote>
  <w:footnote w:id="2">
    <w:p w:rsidR="00000000" w:rsidRDefault="00E90770">
      <w:pPr>
        <w:pStyle w:val="FootnoteText"/>
        <w:bidi/>
        <w:spacing w:before="120" w:beforeAutospacing="0" w:after="0" w:afterAutospacing="0"/>
        <w:ind w:left="32"/>
        <w:rPr>
          <w:rFonts w:cs="David" w:hint="cs"/>
          <w:sz w:val="22"/>
          <w:szCs w:val="20"/>
          <w:rtl/>
        </w:rPr>
      </w:pPr>
      <w:r>
        <w:rPr>
          <w:rStyle w:val="FootnoteReference"/>
        </w:rPr>
        <w:footnoteRef/>
      </w:r>
      <w:r>
        <w:rPr>
          <w:rStyle w:val="FootnoteReference"/>
          <w:rFonts w:eastAsia="Times New Roman" w:cs="David"/>
          <w:sz w:val="22"/>
          <w:szCs w:val="20"/>
          <w:lang w:eastAsia="he-IL"/>
        </w:rPr>
        <w:t>[2]</w:t>
      </w:r>
      <w:r>
        <w:rPr>
          <w:rFonts w:cs="David" w:hint="cs"/>
          <w:sz w:val="22"/>
          <w:szCs w:val="20"/>
          <w:rtl/>
        </w:rPr>
        <w:t xml:space="preserve"> ראו החלטה לפי סעיף 14 לחוק ההגבלים העסקיים, התשמ"ח-1988 בדבר מתן פטור מאישור הסדר כובל</w:t>
      </w:r>
      <w:r>
        <w:rPr>
          <w:rStyle w:val="Strong"/>
          <w:rFonts w:cs="David" w:hint="cs"/>
          <w:sz w:val="22"/>
          <w:szCs w:val="20"/>
          <w:rtl/>
        </w:rPr>
        <w:t xml:space="preserve"> להסדר בין סלקום ישראל בע"מ, פרטנר תקשורת בע"מ, פלאפון תקשורת בע"מ ו-</w:t>
      </w:r>
      <w:r>
        <w:rPr>
          <w:rStyle w:val="Strong"/>
          <w:rFonts w:hint="cs"/>
        </w:rPr>
        <w:t>LECG LTD.</w:t>
      </w:r>
      <w:r>
        <w:rPr>
          <w:rFonts w:cs="David" w:hint="cs"/>
          <w:sz w:val="22"/>
          <w:szCs w:val="20"/>
          <w:rtl/>
        </w:rPr>
        <w:t xml:space="preserve">; 2007 </w:t>
      </w:r>
      <w:r>
        <w:rPr>
          <w:rStyle w:val="Strong"/>
          <w:rFonts w:cs="David" w:hint="cs"/>
          <w:sz w:val="22"/>
          <w:szCs w:val="20"/>
          <w:rtl/>
        </w:rPr>
        <w:t>הגבלים עסקיים</w:t>
      </w:r>
      <w:r>
        <w:rPr>
          <w:rFonts w:cs="David" w:hint="cs"/>
          <w:sz w:val="22"/>
          <w:szCs w:val="20"/>
          <w:rtl/>
        </w:rPr>
        <w:t xml:space="preserve"> 5000601.</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noPunctuationKerning/>
  <w:characterSpacingControl w:val="doNotCompress"/>
  <w:hdrShapeDefaults>
    <o:shapedefaults v:ext="edit" spidmax="2049"/>
  </w:hdrShapeDefaults>
  <w:footnotePr>
    <w:footnote w:id="-1"/>
    <w:footnote w:id="0"/>
  </w:footnotePr>
  <w:endnotePr>
    <w:endnote w:id="-1"/>
    <w:endnote w:id="0"/>
  </w:endnotePr>
  <w:compat>
    <w:doNotSnapToGridInCell/>
    <w:doNotWrapTextWithPunct/>
    <w:doNotUseEastAsianBreakRules/>
    <w:growAutofit/>
    <w:compatSetting w:name="compatibilityMode" w:uri="http://schemas.microsoft.com/office/word" w:val="15"/>
    <w:compatSetting w:name="differentiateMultirowTableHeaders" w:uri="http://schemas.microsoft.com/office/word" w:val="1"/>
  </w:compat>
  <w:rsids>
    <w:rsidRoot w:val="00BA2FCD"/>
    <w:rsid w:val="00BA2FCD"/>
    <w:rsid w:val="00E9077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964B6F30-A026-435B-AC3D-67E20326AE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eastAsiaTheme="minorEastAsia"/>
      <w:sz w:val="24"/>
      <w:szCs w:val="24"/>
    </w:rPr>
  </w:style>
  <w:style w:type="paragraph" w:styleId="Heading1">
    <w:name w:val="heading 1"/>
    <w:basedOn w:val="Normal"/>
    <w:link w:val="Heading1Char"/>
    <w:uiPriority w:val="9"/>
    <w:qFormat/>
    <w:pPr>
      <w:spacing w:before="100" w:beforeAutospacing="1" w:after="100" w:afterAutospacing="1"/>
      <w:outlineLvl w:val="0"/>
    </w:pPr>
    <w:rPr>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sonormal0">
    <w:name w:val="msonormal"/>
    <w:basedOn w:val="Normal"/>
    <w:pPr>
      <w:spacing w:before="100" w:beforeAutospacing="1" w:after="100" w:afterAutospacing="1"/>
    </w:pPr>
  </w:style>
  <w:style w:type="paragraph" w:styleId="Header">
    <w:name w:val="header"/>
    <w:basedOn w:val="Normal"/>
    <w:link w:val="HeaderChar"/>
    <w:uiPriority w:val="99"/>
    <w:semiHidden/>
    <w:unhideWhenUsed/>
    <w:pPr>
      <w:spacing w:before="100" w:beforeAutospacing="1" w:after="100" w:afterAutospacing="1"/>
    </w:pPr>
  </w:style>
  <w:style w:type="character" w:customStyle="1" w:styleId="HeaderChar">
    <w:name w:val="Header Char"/>
    <w:basedOn w:val="DefaultParagraphFont"/>
    <w:link w:val="Header"/>
    <w:uiPriority w:val="99"/>
    <w:semiHidden/>
    <w:rPr>
      <w:rFonts w:eastAsiaTheme="minorEastAsia"/>
      <w:sz w:val="24"/>
      <w:szCs w:val="24"/>
    </w:rPr>
  </w:style>
  <w:style w:type="character" w:styleId="Strong">
    <w:name w:val="Strong"/>
    <w:basedOn w:val="DefaultParagraphFont"/>
    <w:uiPriority w:val="22"/>
    <w:qFormat/>
    <w:rPr>
      <w:b/>
      <w:bCs/>
    </w:rPr>
  </w:style>
  <w:style w:type="character" w:customStyle="1" w:styleId="Heading1Char">
    <w:name w:val="Heading 1 Char"/>
    <w:basedOn w:val="DefaultParagraphFont"/>
    <w:link w:val="Heading1"/>
    <w:uiPriority w:val="9"/>
    <w:rPr>
      <w:rFonts w:asciiTheme="majorHAnsi" w:eastAsiaTheme="majorEastAsia" w:hAnsiTheme="majorHAnsi" w:cstheme="majorBidi"/>
      <w:color w:val="2E74B5" w:themeColor="accent1" w:themeShade="BF"/>
      <w:sz w:val="32"/>
      <w:szCs w:val="32"/>
    </w:rPr>
  </w:style>
  <w:style w:type="paragraph" w:styleId="BodyText2">
    <w:name w:val="Body Text 2"/>
    <w:basedOn w:val="Normal"/>
    <w:link w:val="BodyText2Char"/>
    <w:uiPriority w:val="99"/>
    <w:semiHidden/>
    <w:unhideWhenUsed/>
    <w:pPr>
      <w:spacing w:before="100" w:beforeAutospacing="1" w:after="100" w:afterAutospacing="1"/>
    </w:pPr>
  </w:style>
  <w:style w:type="character" w:customStyle="1" w:styleId="BodyText2Char">
    <w:name w:val="Body Text 2 Char"/>
    <w:basedOn w:val="DefaultParagraphFont"/>
    <w:link w:val="BodyText2"/>
    <w:uiPriority w:val="99"/>
    <w:semiHidden/>
    <w:rPr>
      <w:rFonts w:eastAsiaTheme="minorEastAsia"/>
      <w:sz w:val="24"/>
      <w:szCs w:val="24"/>
    </w:rPr>
  </w:style>
  <w:style w:type="character" w:styleId="FootnoteReference">
    <w:name w:val="footnote reference"/>
    <w:basedOn w:val="DefaultParagraphFont"/>
    <w:uiPriority w:val="99"/>
    <w:semiHidden/>
    <w:unhideWhenUsed/>
  </w:style>
  <w:style w:type="paragraph" w:styleId="FootnoteText">
    <w:name w:val="footnote text"/>
    <w:basedOn w:val="Normal"/>
    <w:link w:val="FootnoteTextChar"/>
    <w:uiPriority w:val="99"/>
    <w:semiHidden/>
    <w:unhideWhenUsed/>
    <w:pPr>
      <w:spacing w:before="100" w:beforeAutospacing="1" w:after="100" w:afterAutospacing="1"/>
    </w:pPr>
  </w:style>
  <w:style w:type="character" w:customStyle="1" w:styleId="FootnoteTextChar">
    <w:name w:val="Footnote Text Char"/>
    <w:basedOn w:val="DefaultParagraphFont"/>
    <w:link w:val="FootnoteText"/>
    <w:uiPriority w:val="99"/>
    <w:semiHidden/>
    <w:rPr>
      <w:rFonts w:eastAsiaTheme="minorEastAsia"/>
    </w:rPr>
  </w:style>
  <w:style w:type="paragraph" w:styleId="Footer">
    <w:name w:val="footer"/>
    <w:basedOn w:val="Normal"/>
    <w:link w:val="FooterChar"/>
    <w:uiPriority w:val="99"/>
    <w:semiHidden/>
    <w:unhideWhenUsed/>
    <w:pPr>
      <w:spacing w:before="100" w:beforeAutospacing="1" w:after="100" w:afterAutospacing="1"/>
    </w:pPr>
  </w:style>
  <w:style w:type="character" w:customStyle="1" w:styleId="FooterChar">
    <w:name w:val="Footer Char"/>
    <w:basedOn w:val="DefaultParagraphFont"/>
    <w:link w:val="Footer"/>
    <w:uiPriority w:val="99"/>
    <w:semiHidden/>
    <w:rPr>
      <w:rFonts w:eastAsiaTheme="minorEastAsia"/>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052502">
      <w:marLeft w:val="0"/>
      <w:marRight w:val="0"/>
      <w:marTop w:val="0"/>
      <w:marBottom w:val="0"/>
      <w:divBdr>
        <w:top w:val="none" w:sz="0" w:space="0" w:color="auto"/>
        <w:left w:val="none" w:sz="0" w:space="0" w:color="auto"/>
        <w:bottom w:val="none" w:sz="0" w:space="0" w:color="auto"/>
        <w:right w:val="none" w:sz="0" w:space="0" w:color="auto"/>
      </w:divBdr>
    </w:div>
    <w:div w:id="564074469">
      <w:marLeft w:val="0"/>
      <w:marRight w:val="0"/>
      <w:marTop w:val="0"/>
      <w:marBottom w:val="0"/>
      <w:divBdr>
        <w:top w:val="none" w:sz="0" w:space="0" w:color="auto"/>
        <w:left w:val="none" w:sz="0" w:space="0" w:color="auto"/>
        <w:bottom w:val="none" w:sz="0" w:space="0" w:color="auto"/>
        <w:right w:val="none" w:sz="0" w:space="0" w:color="auto"/>
      </w:divBdr>
    </w:div>
    <w:div w:id="1752000462">
      <w:marLeft w:val="0"/>
      <w:marRight w:val="0"/>
      <w:marTop w:val="0"/>
      <w:marBottom w:val="0"/>
      <w:divBdr>
        <w:top w:val="none" w:sz="0" w:space="0" w:color="auto"/>
        <w:left w:val="none" w:sz="0" w:space="0" w:color="auto"/>
        <w:bottom w:val="none" w:sz="0" w:space="0" w:color="auto"/>
        <w:right w:val="none" w:sz="0" w:space="0" w:color="auto"/>
      </w:divBdr>
    </w:div>
  </w:divs>
  <w:encoding w:val="unicode"/>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8</Pages>
  <Words>3357</Words>
  <Characters>16788</Characters>
  <Application>Microsoft Office Word</Application>
  <DocSecurity>0</DocSecurity>
  <Lines>139</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20105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Melita Shafir</dc:creator>
  <cp:keywords/>
  <dc:description/>
  <cp:lastModifiedBy>Melita Shafir</cp:lastModifiedBy>
  <cp:revision>2</cp:revision>
  <dcterms:created xsi:type="dcterms:W3CDTF">2019-08-14T20:06:00Z</dcterms:created>
  <dcterms:modified xsi:type="dcterms:W3CDTF">2019-08-14T20:06:00Z</dcterms:modified>
</cp:coreProperties>
</file>