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3D736" w14:textId="47CF5CB2" w:rsidR="00A9113D" w:rsidRDefault="00CB2E82" w:rsidP="003E17E8">
      <w:pPr>
        <w:pStyle w:val="Title"/>
        <w:bidi/>
        <w:spacing w:before="120" w:after="120" w:line="360" w:lineRule="auto"/>
        <w:jc w:val="center"/>
        <w:rPr>
          <w:rFonts w:ascii="Alef" w:hAnsi="Alef" w:cs="Alef"/>
          <w:b/>
          <w:bCs/>
          <w:sz w:val="28"/>
          <w:szCs w:val="28"/>
          <w:rtl/>
        </w:rPr>
      </w:pPr>
      <w:r w:rsidRPr="00AC64DE">
        <w:rPr>
          <w:rFonts w:ascii="Alef" w:hAnsi="Alef" w:cs="Alef"/>
          <w:b/>
          <w:bCs/>
          <w:sz w:val="28"/>
          <w:szCs w:val="28"/>
          <w:rtl/>
        </w:rPr>
        <w:t xml:space="preserve">החלטה לפי סעיף 14 לחוק התחרות הכלכלית, התשמ"ח-1988 בדבר </w:t>
      </w:r>
      <w:r w:rsidRPr="00EA5B35">
        <w:rPr>
          <w:rFonts w:ascii="Alef" w:hAnsi="Alef" w:cs="Alef"/>
          <w:b/>
          <w:bCs/>
          <w:sz w:val="28"/>
          <w:szCs w:val="28"/>
          <w:rtl/>
        </w:rPr>
        <w:t>מתן</w:t>
      </w:r>
      <w:r w:rsidRPr="00AC64DE">
        <w:rPr>
          <w:rFonts w:ascii="Alef" w:hAnsi="Alef" w:cs="Alef"/>
          <w:b/>
          <w:bCs/>
          <w:sz w:val="28"/>
          <w:szCs w:val="28"/>
          <w:rtl/>
        </w:rPr>
        <w:t xml:space="preserve"> פטור </w:t>
      </w:r>
      <w:r w:rsidR="00EA5B35" w:rsidRPr="00E14835">
        <w:rPr>
          <w:rFonts w:ascii="Alef" w:hAnsi="Alef" w:cs="Alef" w:hint="cs"/>
          <w:b/>
          <w:bCs/>
          <w:sz w:val="28"/>
          <w:szCs w:val="28"/>
          <w:rtl/>
        </w:rPr>
        <w:t>בתנאים</w:t>
      </w:r>
      <w:r w:rsidR="00EA5B35">
        <w:rPr>
          <w:rFonts w:ascii="Alef" w:hAnsi="Alef" w:cs="Alef" w:hint="cs"/>
          <w:b/>
          <w:bCs/>
          <w:sz w:val="28"/>
          <w:szCs w:val="28"/>
          <w:rtl/>
        </w:rPr>
        <w:t xml:space="preserve"> </w:t>
      </w:r>
      <w:r w:rsidRPr="00AC64DE">
        <w:rPr>
          <w:rFonts w:ascii="Alef" w:hAnsi="Alef" w:cs="Alef"/>
          <w:b/>
          <w:bCs/>
          <w:sz w:val="28"/>
          <w:szCs w:val="28"/>
          <w:rtl/>
        </w:rPr>
        <w:t>מאישור הסדר כובל ל</w:t>
      </w:r>
      <w:r w:rsidRPr="00AC64DE">
        <w:rPr>
          <w:rFonts w:ascii="Alef" w:hAnsi="Alef" w:cs="Alef" w:hint="eastAsia"/>
          <w:b/>
          <w:bCs/>
          <w:sz w:val="28"/>
          <w:szCs w:val="28"/>
          <w:rtl/>
        </w:rPr>
        <w:t>הסכם</w:t>
      </w:r>
      <w:r w:rsidRPr="00AC64DE">
        <w:rPr>
          <w:rFonts w:ascii="Alef" w:hAnsi="Alef" w:cs="Alef"/>
          <w:b/>
          <w:bCs/>
          <w:sz w:val="28"/>
          <w:szCs w:val="28"/>
          <w:rtl/>
        </w:rPr>
        <w:t xml:space="preserve"> </w:t>
      </w:r>
      <w:r w:rsidR="00C367D1" w:rsidRPr="00AC64DE">
        <w:rPr>
          <w:rFonts w:ascii="Alef" w:hAnsi="Alef" w:cs="Alef" w:hint="cs"/>
          <w:b/>
          <w:bCs/>
          <w:sz w:val="28"/>
          <w:szCs w:val="28"/>
          <w:rtl/>
        </w:rPr>
        <w:t>בין</w:t>
      </w:r>
      <w:r w:rsidR="00A9113D">
        <w:rPr>
          <w:rFonts w:ascii="Alef" w:hAnsi="Alef" w:cs="Alef" w:hint="cs"/>
          <w:b/>
          <w:bCs/>
          <w:sz w:val="28"/>
          <w:szCs w:val="28"/>
          <w:rtl/>
        </w:rPr>
        <w:t>:</w:t>
      </w:r>
    </w:p>
    <w:p w14:paraId="5023E139" w14:textId="59C2876F" w:rsidR="00CB2E82" w:rsidRPr="00E14835" w:rsidRDefault="00C367D1" w:rsidP="004F4543">
      <w:pPr>
        <w:pStyle w:val="Title"/>
        <w:bidi/>
        <w:spacing w:before="120" w:after="120" w:line="360" w:lineRule="auto"/>
        <w:jc w:val="center"/>
        <w:rPr>
          <w:rFonts w:ascii="Alef" w:eastAsia="Times New Roman" w:hAnsi="Alef" w:cs="Alef"/>
          <w:b/>
          <w:bCs/>
          <w:sz w:val="28"/>
          <w:szCs w:val="28"/>
          <w:rtl/>
        </w:rPr>
      </w:pPr>
      <w:bookmarkStart w:id="0" w:name="_GoBack"/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דיפלומט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מפיצים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1968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בע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"מ, </w:t>
      </w:r>
      <w:proofErr w:type="spellStart"/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נוגם</w:t>
      </w:r>
      <w:proofErr w:type="spellEnd"/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אורוטל</w:t>
      </w:r>
      <w:proofErr w:type="spellEnd"/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בע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>"מ</w:t>
      </w:r>
      <w:r w:rsidR="009A1BCA">
        <w:rPr>
          <w:rFonts w:ascii="Alef" w:hAnsi="Alef" w:cs="Alef" w:hint="cs"/>
          <w:b/>
          <w:bCs/>
          <w:sz w:val="28"/>
          <w:szCs w:val="28"/>
          <w:u w:val="single"/>
          <w:rtl/>
        </w:rPr>
        <w:t xml:space="preserve"> לבין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בר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שיווק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הפצה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אחזקות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בע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"מ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לבין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ליימן</w:t>
      </w:r>
      <w:proofErr w:type="spellEnd"/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שליסל</w:t>
      </w:r>
      <w:proofErr w:type="spellEnd"/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בע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"מ, </w:t>
      </w:r>
      <w:proofErr w:type="spellStart"/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ל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>.י.ב</w:t>
      </w:r>
      <w:proofErr w:type="spellEnd"/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בע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>"מ</w:t>
      </w:r>
      <w:r w:rsidR="004F4543">
        <w:rPr>
          <w:rStyle w:val="FootnoteReference"/>
          <w:rFonts w:ascii="Alef" w:hAnsi="Alef" w:cs="Alef" w:hint="cs"/>
          <w:b/>
          <w:bCs/>
          <w:sz w:val="28"/>
          <w:szCs w:val="28"/>
          <w:u w:val="single"/>
          <w:rtl/>
        </w:rPr>
        <w:t xml:space="preserve"> </w:t>
      </w:r>
      <w:r w:rsidR="009A1BCA">
        <w:rPr>
          <w:rFonts w:ascii="Alef" w:hAnsi="Alef" w:cs="Alef" w:hint="cs"/>
          <w:b/>
          <w:bCs/>
          <w:sz w:val="28"/>
          <w:szCs w:val="28"/>
          <w:u w:val="single"/>
          <w:rtl/>
        </w:rPr>
        <w:t xml:space="preserve">לבין </w:t>
      </w:r>
      <w:proofErr w:type="spellStart"/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נאייקס</w:t>
      </w:r>
      <w:proofErr w:type="spellEnd"/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ריטייל</w:t>
      </w:r>
      <w:proofErr w:type="spellEnd"/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בע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>"מ</w:t>
      </w:r>
      <w:r w:rsidR="009A1BCA">
        <w:rPr>
          <w:rFonts w:ascii="Alef" w:hAnsi="Alef" w:cs="Alef" w:hint="cs"/>
          <w:b/>
          <w:bCs/>
          <w:sz w:val="28"/>
          <w:szCs w:val="28"/>
          <w:u w:val="single"/>
          <w:rtl/>
        </w:rPr>
        <w:t xml:space="preserve"> לבין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r w:rsidRPr="00E14835">
        <w:rPr>
          <w:rFonts w:ascii="Alef" w:hAnsi="Alef" w:cs="Alef" w:hint="eastAsia"/>
          <w:b/>
          <w:bCs/>
          <w:sz w:val="28"/>
          <w:szCs w:val="28"/>
          <w:u w:val="single"/>
          <w:rtl/>
        </w:rPr>
        <w:t>גורי</w:t>
      </w:r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>ע.ע.ע</w:t>
      </w:r>
      <w:proofErr w:type="spellEnd"/>
      <w:r w:rsidRPr="00E14835">
        <w:rPr>
          <w:rFonts w:ascii="Alef" w:hAnsi="Alef" w:cs="Alef"/>
          <w:b/>
          <w:bCs/>
          <w:sz w:val="28"/>
          <w:szCs w:val="28"/>
          <w:u w:val="single"/>
          <w:rtl/>
        </w:rPr>
        <w:t xml:space="preserve"> בע"מ </w:t>
      </w:r>
      <w:bookmarkEnd w:id="0"/>
    </w:p>
    <w:p w14:paraId="0B8420CD" w14:textId="77777777" w:rsidR="00CB2E82" w:rsidRPr="00CB2E82" w:rsidRDefault="00CB2E82" w:rsidP="00DE1350">
      <w:pPr>
        <w:numPr>
          <w:ilvl w:val="0"/>
          <w:numId w:val="1"/>
        </w:numPr>
        <w:spacing w:before="120" w:after="120" w:line="360" w:lineRule="auto"/>
        <w:ind w:left="360"/>
        <w:contextualSpacing/>
        <w:jc w:val="both"/>
        <w:rPr>
          <w:rFonts w:ascii="Alef" w:eastAsia="Times New Roman" w:hAnsi="Alef" w:cs="Alef"/>
          <w:b/>
          <w:bCs/>
          <w:sz w:val="28"/>
          <w:szCs w:val="28"/>
          <w:rtl/>
        </w:rPr>
      </w:pPr>
      <w:r w:rsidRPr="00CB2E82">
        <w:rPr>
          <w:rFonts w:ascii="Alef" w:eastAsia="Times New Roman" w:hAnsi="Alef" w:cs="Alef"/>
          <w:b/>
          <w:bCs/>
          <w:sz w:val="28"/>
          <w:szCs w:val="28"/>
          <w:rtl/>
        </w:rPr>
        <w:t>פתח דבר</w:t>
      </w:r>
    </w:p>
    <w:p w14:paraId="66EB0AD3" w14:textId="281EEAD5" w:rsidR="00CB2E82" w:rsidRPr="00CB2E82" w:rsidRDefault="009F16C6" w:rsidP="00BE537E">
      <w:pPr>
        <w:spacing w:before="120" w:after="120" w:line="360" w:lineRule="auto"/>
        <w:jc w:val="both"/>
        <w:rPr>
          <w:rFonts w:ascii="Alef" w:eastAsia="Times New Roman" w:hAnsi="Alef" w:cs="Alef"/>
          <w:color w:val="000000"/>
          <w:sz w:val="24"/>
          <w:szCs w:val="24"/>
          <w:rtl/>
        </w:rPr>
      </w:pPr>
      <w:r w:rsidRPr="00CB2E82">
        <w:rPr>
          <w:rFonts w:ascii="Alef" w:eastAsia="Times New Roman" w:hAnsi="Alef" w:cs="Alef" w:hint="cs"/>
          <w:sz w:val="24"/>
          <w:szCs w:val="24"/>
          <w:rtl/>
        </w:rPr>
        <w:t>ב</w:t>
      </w:r>
      <w:r w:rsidRPr="00CB2E82">
        <w:rPr>
          <w:rFonts w:ascii="Alef" w:eastAsia="Times New Roman" w:hAnsi="Alef" w:cs="Alef"/>
          <w:sz w:val="24"/>
          <w:szCs w:val="24"/>
          <w:rtl/>
        </w:rPr>
        <w:t xml:space="preserve">פניי בקשה למתן פטור לפי סעיף 14 לחוק התחרות הכלכלית, התשמ"ח-1988 (להלן </w:t>
      </w:r>
      <w:r w:rsidRPr="00CB2E82">
        <w:rPr>
          <w:rFonts w:ascii="Alef" w:eastAsia="Times New Roman" w:hAnsi="Alef" w:cs="Alef" w:hint="cs"/>
          <w:b/>
          <w:bCs/>
          <w:sz w:val="24"/>
          <w:szCs w:val="24"/>
          <w:rtl/>
        </w:rPr>
        <w:t>ה</w:t>
      </w:r>
      <w:r w:rsidRPr="00CB2E82">
        <w:rPr>
          <w:rFonts w:ascii="Alef" w:eastAsia="Times New Roman" w:hAnsi="Alef" w:cs="Alef"/>
          <w:b/>
          <w:bCs/>
          <w:sz w:val="24"/>
          <w:szCs w:val="24"/>
          <w:rtl/>
        </w:rPr>
        <w:t>חוק</w:t>
      </w:r>
      <w:r w:rsidRPr="00CB2E82">
        <w:rPr>
          <w:rFonts w:ascii="Alef" w:eastAsia="Times New Roman" w:hAnsi="Alef" w:cs="Alef"/>
          <w:sz w:val="24"/>
          <w:szCs w:val="24"/>
          <w:rtl/>
        </w:rPr>
        <w:t xml:space="preserve">), להסדר </w:t>
      </w:r>
      <w:r w:rsidR="0041316A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שבין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דיפלומט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מפיצים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1968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בע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>"מ</w:t>
      </w:r>
      <w:r w:rsidR="00940968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, </w:t>
      </w:r>
      <w:proofErr w:type="spellStart"/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נוגם</w:t>
      </w:r>
      <w:proofErr w:type="spellEnd"/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proofErr w:type="spellStart"/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אורוטל</w:t>
      </w:r>
      <w:proofErr w:type="spellEnd"/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בע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"מ </w:t>
      </w:r>
      <w:r w:rsidR="00940968">
        <w:rPr>
          <w:rFonts w:ascii="Alef" w:eastAsia="Times New Roman" w:hAnsi="Alef" w:cs="Alef" w:hint="cs"/>
          <w:color w:val="000000"/>
          <w:sz w:val="24"/>
          <w:szCs w:val="24"/>
          <w:rtl/>
        </w:rPr>
        <w:t>(</w:t>
      </w:r>
      <w:r w:rsidR="00940968" w:rsidRPr="00BE537E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להלן </w:t>
      </w:r>
      <w:r w:rsidR="00940968" w:rsidRPr="00BE537E">
        <w:rPr>
          <w:rFonts w:ascii="Alef" w:eastAsia="Times New Roman" w:hAnsi="Alef" w:cs="Alef" w:hint="cs"/>
          <w:color w:val="000000"/>
          <w:sz w:val="24"/>
          <w:szCs w:val="24"/>
          <w:rtl/>
        </w:rPr>
        <w:lastRenderedPageBreak/>
        <w:t>ביחד</w:t>
      </w:r>
      <w:r w:rsidR="00940968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 xml:space="preserve"> </w:t>
      </w:r>
      <w:r w:rsidR="00940968" w:rsidRPr="00BE537E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>דיפלומט</w:t>
      </w:r>
      <w:r w:rsidR="00940968">
        <w:rPr>
          <w:rFonts w:ascii="Alef" w:eastAsia="Times New Roman" w:hAnsi="Alef" w:cs="Alef" w:hint="cs"/>
          <w:color w:val="000000"/>
          <w:sz w:val="24"/>
          <w:szCs w:val="24"/>
          <w:rtl/>
        </w:rPr>
        <w:t>)</w:t>
      </w:r>
      <w:r w:rsidR="00940968" w:rsidRPr="00EA583F">
        <w:rPr>
          <w:rFonts w:ascii="Alef" w:eastAsia="Times New Roman" w:hAnsi="Alef" w:cs="Alef"/>
          <w:color w:val="000000"/>
          <w:sz w:val="24"/>
          <w:szCs w:val="24"/>
          <w:rtl/>
        </w:rPr>
        <w:t>,</w:t>
      </w:r>
      <w:r w:rsidR="004F4543">
        <w:rPr>
          <w:rStyle w:val="FootnoteReference"/>
          <w:rFonts w:ascii="Alef" w:eastAsia="Times New Roman" w:hAnsi="Alef" w:cs="Alef"/>
          <w:color w:val="000000"/>
          <w:sz w:val="24"/>
          <w:szCs w:val="24"/>
          <w:rtl/>
        </w:rPr>
        <w:footnoteReference w:id="1"/>
      </w:r>
      <w:r w:rsidR="00940968" w:rsidRPr="00EA583F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לבין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בר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שיווק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הפצה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אחזקות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בע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"מ </w:t>
      </w:r>
      <w:r w:rsidR="00814024">
        <w:rPr>
          <w:rFonts w:ascii="Alef" w:eastAsia="Times New Roman" w:hAnsi="Alef" w:cs="Alef" w:hint="cs"/>
          <w:color w:val="000000"/>
          <w:sz w:val="24"/>
          <w:szCs w:val="24"/>
          <w:rtl/>
        </w:rPr>
        <w:t>(</w:t>
      </w:r>
      <w:r w:rsidR="00814024" w:rsidRPr="00BE537E">
        <w:rPr>
          <w:rFonts w:ascii="Alef" w:eastAsia="Times New Roman" w:hAnsi="Alef" w:cs="Alef" w:hint="cs"/>
          <w:color w:val="000000"/>
          <w:sz w:val="24"/>
          <w:szCs w:val="24"/>
          <w:rtl/>
        </w:rPr>
        <w:t>להלן</w:t>
      </w:r>
      <w:r w:rsidR="00814024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 xml:space="preserve"> </w:t>
      </w:r>
      <w:r w:rsidR="00814024" w:rsidRPr="00BE537E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>בר הפצה</w:t>
      </w:r>
      <w:r w:rsidR="00814024">
        <w:rPr>
          <w:rFonts w:ascii="Alef" w:eastAsia="Times New Roman" w:hAnsi="Alef" w:cs="Alef" w:hint="cs"/>
          <w:color w:val="000000"/>
          <w:sz w:val="24"/>
          <w:szCs w:val="24"/>
          <w:rtl/>
        </w:rPr>
        <w:t>)</w:t>
      </w:r>
      <w:r w:rsidR="00814024" w:rsidRPr="00EA583F">
        <w:rPr>
          <w:rFonts w:ascii="Alef" w:eastAsia="Times New Roman" w:hAnsi="Alef" w:cs="Alef"/>
          <w:color w:val="000000"/>
          <w:sz w:val="24"/>
          <w:szCs w:val="24"/>
          <w:rtl/>
        </w:rPr>
        <w:t>,</w:t>
      </w:r>
      <w:r w:rsidR="00553441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לבין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proofErr w:type="spellStart"/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ליימן</w:t>
      </w:r>
      <w:proofErr w:type="spellEnd"/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proofErr w:type="spellStart"/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שליסל</w:t>
      </w:r>
      <w:proofErr w:type="spellEnd"/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בע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"מ, </w:t>
      </w:r>
      <w:proofErr w:type="spellStart"/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ל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>.י.ב</w:t>
      </w:r>
      <w:proofErr w:type="spellEnd"/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בע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>"מ,</w:t>
      </w:r>
      <w:r w:rsidR="00940968" w:rsidRPr="00940968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 </w:t>
      </w:r>
      <w:r w:rsidR="00940968">
        <w:rPr>
          <w:rFonts w:ascii="Alef" w:eastAsia="Times New Roman" w:hAnsi="Alef" w:cs="Alef" w:hint="cs"/>
          <w:color w:val="000000"/>
          <w:sz w:val="24"/>
          <w:szCs w:val="24"/>
          <w:rtl/>
        </w:rPr>
        <w:t>(</w:t>
      </w:r>
      <w:r w:rsidR="00940968" w:rsidRPr="00BE537E">
        <w:rPr>
          <w:rFonts w:ascii="Alef" w:eastAsia="Times New Roman" w:hAnsi="Alef" w:cs="Alef" w:hint="cs"/>
          <w:color w:val="000000"/>
          <w:sz w:val="24"/>
          <w:szCs w:val="24"/>
          <w:rtl/>
        </w:rPr>
        <w:t>להלן</w:t>
      </w:r>
      <w:r w:rsidR="00940968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 xml:space="preserve"> </w:t>
      </w:r>
      <w:r w:rsidR="00940968" w:rsidRPr="00BE537E">
        <w:rPr>
          <w:rFonts w:ascii="Alef" w:eastAsia="Times New Roman" w:hAnsi="Alef" w:cs="Alef" w:hint="cs"/>
          <w:color w:val="000000"/>
          <w:sz w:val="24"/>
          <w:szCs w:val="24"/>
          <w:rtl/>
        </w:rPr>
        <w:t>ביחד</w:t>
      </w:r>
      <w:r w:rsidR="00940968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="00940968" w:rsidRPr="00BE537E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>ליימן</w:t>
      </w:r>
      <w:proofErr w:type="spellEnd"/>
      <w:r w:rsidR="006554B5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 </w:t>
      </w:r>
      <w:proofErr w:type="spellStart"/>
      <w:r w:rsidR="006554B5" w:rsidRPr="008031F6">
        <w:rPr>
          <w:rFonts w:ascii="Alef" w:eastAsia="Times New Roman" w:hAnsi="Alef" w:cs="Alef" w:hint="eastAsia"/>
          <w:b/>
          <w:bCs/>
          <w:color w:val="000000"/>
          <w:sz w:val="24"/>
          <w:szCs w:val="24"/>
          <w:rtl/>
        </w:rPr>
        <w:t>שליסל</w:t>
      </w:r>
      <w:proofErr w:type="spellEnd"/>
      <w:r w:rsidR="00940968">
        <w:rPr>
          <w:rFonts w:ascii="Alef" w:eastAsia="Times New Roman" w:hAnsi="Alef" w:cs="Alef" w:hint="cs"/>
          <w:color w:val="000000"/>
          <w:sz w:val="24"/>
          <w:szCs w:val="24"/>
          <w:rtl/>
        </w:rPr>
        <w:t>)</w:t>
      </w:r>
      <w:r w:rsidR="00940968" w:rsidRPr="00EA583F">
        <w:rPr>
          <w:rFonts w:ascii="Alef" w:eastAsia="Times New Roman" w:hAnsi="Alef" w:cs="Alef"/>
          <w:color w:val="000000"/>
          <w:sz w:val="24"/>
          <w:szCs w:val="24"/>
          <w:rtl/>
        </w:rPr>
        <w:t>,</w:t>
      </w:r>
      <w:r w:rsidR="004F4543">
        <w:rPr>
          <w:rStyle w:val="FootnoteReference"/>
          <w:rFonts w:ascii="Alef" w:eastAsia="Times New Roman" w:hAnsi="Alef" w:cs="Alef"/>
          <w:color w:val="000000"/>
          <w:sz w:val="24"/>
          <w:szCs w:val="24"/>
          <w:rtl/>
        </w:rPr>
        <w:footnoteReference w:id="2"/>
      </w:r>
      <w:r w:rsidR="00553441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 </w:t>
      </w:r>
      <w:proofErr w:type="spellStart"/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נאייקס</w:t>
      </w:r>
      <w:proofErr w:type="spellEnd"/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proofErr w:type="spellStart"/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ריטייל</w:t>
      </w:r>
      <w:proofErr w:type="spellEnd"/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בע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>"מ</w:t>
      </w:r>
      <w:r w:rsidR="00940968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 (</w:t>
      </w:r>
      <w:r w:rsidR="00940968" w:rsidRPr="00BE537E">
        <w:rPr>
          <w:rFonts w:ascii="Alef" w:eastAsia="Times New Roman" w:hAnsi="Alef" w:cs="Alef" w:hint="cs"/>
          <w:color w:val="000000"/>
          <w:sz w:val="24"/>
          <w:szCs w:val="24"/>
          <w:rtl/>
        </w:rPr>
        <w:t>להלן</w:t>
      </w:r>
      <w:r w:rsidR="00940968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="00940968" w:rsidRPr="00BE537E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>נאייקס</w:t>
      </w:r>
      <w:proofErr w:type="spellEnd"/>
      <w:r w:rsidR="00940968">
        <w:rPr>
          <w:rFonts w:ascii="Alef" w:eastAsia="Times New Roman" w:hAnsi="Alef" w:cs="Alef" w:hint="cs"/>
          <w:color w:val="000000"/>
          <w:sz w:val="24"/>
          <w:szCs w:val="24"/>
          <w:rtl/>
        </w:rPr>
        <w:t>)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r w:rsidR="00BE537E">
        <w:rPr>
          <w:rFonts w:ascii="Alef" w:eastAsia="Times New Roman" w:hAnsi="Alef" w:cs="Alef" w:hint="cs"/>
          <w:color w:val="000000"/>
          <w:sz w:val="24"/>
          <w:szCs w:val="24"/>
          <w:rtl/>
        </w:rPr>
        <w:t>ו</w:t>
      </w:r>
      <w:r w:rsidR="00B46856" w:rsidRPr="00BE537E">
        <w:rPr>
          <w:rFonts w:ascii="Alef" w:eastAsia="Times New Roman" w:hAnsi="Alef" w:cs="Alef" w:hint="eastAsia"/>
          <w:color w:val="000000"/>
          <w:sz w:val="24"/>
          <w:szCs w:val="24"/>
          <w:rtl/>
        </w:rPr>
        <w:t>גורי</w:t>
      </w:r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</w:t>
      </w:r>
      <w:proofErr w:type="spellStart"/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>ע.ע.ע</w:t>
      </w:r>
      <w:proofErr w:type="spellEnd"/>
      <w:r w:rsidR="00B46856" w:rsidRPr="00BE537E">
        <w:rPr>
          <w:rFonts w:ascii="Alef" w:eastAsia="Times New Roman" w:hAnsi="Alef" w:cs="Alef"/>
          <w:color w:val="000000"/>
          <w:sz w:val="24"/>
          <w:szCs w:val="24"/>
          <w:rtl/>
        </w:rPr>
        <w:t xml:space="preserve"> בע"מ</w:t>
      </w:r>
      <w:r w:rsidR="00940968" w:rsidRPr="00EB0E8C">
        <w:rPr>
          <w:rFonts w:ascii="Alef" w:hAnsi="Alef" w:cs="Alef" w:hint="cs"/>
          <w:b/>
          <w:bCs/>
          <w:sz w:val="28"/>
          <w:szCs w:val="28"/>
          <w:rtl/>
        </w:rPr>
        <w:t xml:space="preserve"> </w:t>
      </w:r>
      <w:r w:rsidR="00940968">
        <w:rPr>
          <w:rFonts w:ascii="Alef" w:eastAsia="Times New Roman" w:hAnsi="Alef" w:cs="Alef" w:hint="cs"/>
          <w:color w:val="000000"/>
          <w:sz w:val="24"/>
          <w:szCs w:val="24"/>
          <w:rtl/>
        </w:rPr>
        <w:t>(</w:t>
      </w:r>
      <w:r w:rsidR="00940968" w:rsidRPr="00BE537E">
        <w:rPr>
          <w:rFonts w:ascii="Alef" w:eastAsia="Times New Roman" w:hAnsi="Alef" w:cs="Alef" w:hint="cs"/>
          <w:color w:val="000000"/>
          <w:sz w:val="24"/>
          <w:szCs w:val="24"/>
          <w:rtl/>
        </w:rPr>
        <w:t>להלן</w:t>
      </w:r>
      <w:r w:rsidR="00940968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 xml:space="preserve"> </w:t>
      </w:r>
      <w:r w:rsidR="00814024" w:rsidRPr="00BE537E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>גורי</w:t>
      </w:r>
      <w:r w:rsidR="00BE537E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 ו</w:t>
      </w:r>
      <w:r w:rsidR="00F52E0E"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להלן ביחד </w:t>
      </w:r>
      <w:r w:rsidR="00F52E0E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</w:rPr>
        <w:t>הצדדים</w:t>
      </w:r>
      <w:r w:rsidR="0041316A">
        <w:rPr>
          <w:rFonts w:ascii="Alef" w:eastAsia="Times New Roman" w:hAnsi="Alef" w:cs="Alef" w:hint="cs"/>
          <w:color w:val="000000"/>
          <w:sz w:val="24"/>
          <w:szCs w:val="24"/>
          <w:rtl/>
        </w:rPr>
        <w:t>)</w:t>
      </w:r>
      <w:r w:rsidR="00553441">
        <w:rPr>
          <w:rFonts w:ascii="Alef" w:eastAsia="Times New Roman" w:hAnsi="Alef" w:cs="Alef" w:hint="cs"/>
          <w:color w:val="000000"/>
          <w:sz w:val="24"/>
          <w:szCs w:val="24"/>
          <w:rtl/>
        </w:rPr>
        <w:t>.</w:t>
      </w:r>
      <w:r>
        <w:rPr>
          <w:rFonts w:ascii="Alef" w:eastAsia="Times New Roman" w:hAnsi="Alef" w:cs="Alef" w:hint="cs"/>
          <w:color w:val="000000"/>
          <w:sz w:val="24"/>
          <w:szCs w:val="24"/>
          <w:rtl/>
        </w:rPr>
        <w:t xml:space="preserve"> </w:t>
      </w:r>
    </w:p>
    <w:p w14:paraId="620B1CE3" w14:textId="57B2274F" w:rsidR="009F16C6" w:rsidRPr="002224D9" w:rsidRDefault="00344830" w:rsidP="00344830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</w:rPr>
      </w:pPr>
      <w:r w:rsidRPr="00344830">
        <w:rPr>
          <w:rFonts w:ascii="Alef" w:eastAsia="Times New Roman" w:hAnsi="Alef" w:cs="Alef"/>
          <w:sz w:val="24"/>
          <w:szCs w:val="24"/>
          <w:rtl/>
        </w:rPr>
        <w:t xml:space="preserve">לאחר שבחנתי את ההסדר ואת הכבילות המצויות בו, כמו גם את השפעתן האפשרית על התחרות בשוק הרלוונטי, ולאחר שנועצתי בוועדה לפטורים ולמיזוגים, שוכנעתי כי בכפוף לתנאים שיפורטו בהמשך, הכבילות אינן </w:t>
      </w:r>
      <w:r>
        <w:rPr>
          <w:rFonts w:ascii="Alef" w:eastAsia="Times New Roman" w:hAnsi="Alef" w:cs="Alef"/>
          <w:sz w:val="24"/>
          <w:szCs w:val="24"/>
          <w:rtl/>
        </w:rPr>
        <w:t>פוגעות פגיעה של ממש בתחרות בשוק</w:t>
      </w:r>
      <w:r>
        <w:rPr>
          <w:rFonts w:ascii="Alef" w:eastAsia="Times New Roman" w:hAnsi="Alef" w:cs="Alef" w:hint="cs"/>
          <w:sz w:val="24"/>
          <w:szCs w:val="24"/>
          <w:rtl/>
        </w:rPr>
        <w:t>;</w:t>
      </w:r>
      <w:r w:rsidRPr="00344830">
        <w:rPr>
          <w:rFonts w:ascii="Alef" w:eastAsia="Times New Roman" w:hAnsi="Alef" w:cs="Alef"/>
          <w:sz w:val="24"/>
          <w:szCs w:val="24"/>
          <w:rtl/>
        </w:rPr>
        <w:t xml:space="preserve"> כי עיקרו של ההסדר אינו בהפחתת התחרות</w:t>
      </w:r>
      <w:r>
        <w:rPr>
          <w:rFonts w:ascii="Alef" w:eastAsia="Times New Roman" w:hAnsi="Alef" w:cs="Alef"/>
          <w:sz w:val="24"/>
          <w:szCs w:val="24"/>
          <w:rtl/>
        </w:rPr>
        <w:t xml:space="preserve"> או במניעתה ו</w:t>
      </w:r>
      <w:r w:rsidRPr="00344830">
        <w:rPr>
          <w:rFonts w:ascii="Alef" w:eastAsia="Times New Roman" w:hAnsi="Alef" w:cs="Alef"/>
          <w:sz w:val="24"/>
          <w:szCs w:val="24"/>
          <w:rtl/>
        </w:rPr>
        <w:t>כי אין בהסדר כבילות שאינן נחוצות למימוש עיקרו. על כן, מצאתי כי ההסדר ראוי לפטור בתנאים לפי סעיף 14 לחוק.</w:t>
      </w:r>
    </w:p>
    <w:p w14:paraId="5F60214E" w14:textId="77777777" w:rsidR="00CB2E82" w:rsidRPr="00CB2E82" w:rsidRDefault="00CB2E82" w:rsidP="00DE1350">
      <w:pPr>
        <w:numPr>
          <w:ilvl w:val="0"/>
          <w:numId w:val="1"/>
        </w:numPr>
        <w:spacing w:before="120" w:after="120" w:line="360" w:lineRule="auto"/>
        <w:ind w:left="360"/>
        <w:contextualSpacing/>
        <w:jc w:val="both"/>
        <w:rPr>
          <w:rFonts w:ascii="Alef" w:eastAsia="Times New Roman" w:hAnsi="Alef" w:cs="Alef"/>
          <w:b/>
          <w:bCs/>
          <w:sz w:val="28"/>
          <w:szCs w:val="28"/>
        </w:rPr>
      </w:pPr>
      <w:r w:rsidRPr="00CB2E82">
        <w:rPr>
          <w:rFonts w:ascii="Alef" w:eastAsia="Times New Roman" w:hAnsi="Alef" w:cs="Alef"/>
          <w:b/>
          <w:bCs/>
          <w:sz w:val="28"/>
          <w:szCs w:val="28"/>
          <w:rtl/>
        </w:rPr>
        <w:lastRenderedPageBreak/>
        <w:t>ההסדר והצדדים לו</w:t>
      </w:r>
    </w:p>
    <w:p w14:paraId="05EA9C4F" w14:textId="77777777" w:rsidR="00CB2E82" w:rsidRPr="00CB2E82" w:rsidRDefault="00CB2E82" w:rsidP="00DE1350">
      <w:pPr>
        <w:spacing w:before="120" w:after="120" w:line="360" w:lineRule="auto"/>
        <w:jc w:val="both"/>
        <w:rPr>
          <w:rFonts w:ascii="Alef" w:eastAsia="Times New Roman" w:hAnsi="Alef" w:cs="Alef"/>
          <w:b/>
          <w:bCs/>
          <w:color w:val="000000"/>
          <w:sz w:val="24"/>
          <w:szCs w:val="24"/>
          <w:lang w:eastAsia="he-IL"/>
        </w:rPr>
      </w:pPr>
      <w:r w:rsidRPr="00CB2E82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 xml:space="preserve">2.1 </w:t>
      </w:r>
      <w:r w:rsidRPr="00CB2E82">
        <w:rPr>
          <w:rFonts w:ascii="Alef" w:eastAsia="Times New Roman" w:hAnsi="Alef" w:cs="Alef" w:hint="eastAsia"/>
          <w:b/>
          <w:bCs/>
          <w:color w:val="000000"/>
          <w:sz w:val="24"/>
          <w:szCs w:val="24"/>
          <w:rtl/>
          <w:lang w:eastAsia="he-IL"/>
        </w:rPr>
        <w:t>הצדדים</w:t>
      </w:r>
    </w:p>
    <w:p w14:paraId="147B368D" w14:textId="51C261D8" w:rsidR="002224D9" w:rsidRPr="002224D9" w:rsidRDefault="002224D9" w:rsidP="002A5E2C">
      <w:pPr>
        <w:spacing w:before="120" w:after="120" w:line="360" w:lineRule="auto"/>
        <w:jc w:val="both"/>
        <w:rPr>
          <w:rFonts w:ascii="Alef" w:eastAsia="Times New Roman" w:hAnsi="Alef" w:cs="Alef"/>
          <w:color w:val="000000"/>
          <w:sz w:val="24"/>
          <w:szCs w:val="24"/>
          <w:rtl/>
          <w:lang w:eastAsia="he-IL"/>
        </w:rPr>
      </w:pPr>
      <w:r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>בר הפצה</w:t>
      </w:r>
      <w:r w:rsidRPr="00CB2E82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 xml:space="preserve"> </w:t>
      </w:r>
      <w:r w:rsidR="009C60F2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היא חברה פרטית המספקת</w:t>
      </w:r>
      <w:r w:rsidR="00F51A47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שירותי לוגיסטיקה, שילוח והפצה ברחבי הארץ</w:t>
      </w:r>
      <w:r w:rsidR="00497D5A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לגופים עסקיים ופרטיים</w:t>
      </w:r>
      <w:r w:rsidR="0081402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. בר הפצה </w:t>
      </w:r>
      <w:r w:rsidR="00344830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מפיצה עיתונים בעבור עיקר המו"לים בישראל וכן עוסקת כיום בהפצת חבילות לבתי אב</w:t>
      </w:r>
      <w:r w:rsidR="00851D5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.</w:t>
      </w:r>
    </w:p>
    <w:p w14:paraId="55E88D5F" w14:textId="4E8C9D3C" w:rsidR="00F51A47" w:rsidRDefault="00F51A47" w:rsidP="009C61C1">
      <w:pPr>
        <w:spacing w:before="120" w:after="120" w:line="360" w:lineRule="auto"/>
        <w:jc w:val="both"/>
        <w:rPr>
          <w:rFonts w:ascii="Alef" w:eastAsia="Times New Roman" w:hAnsi="Alef" w:cs="Alef"/>
          <w:color w:val="000000"/>
          <w:sz w:val="24"/>
          <w:szCs w:val="24"/>
          <w:rtl/>
          <w:lang w:eastAsia="he-IL"/>
        </w:rPr>
      </w:pPr>
      <w:r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>דיפלומט</w:t>
      </w:r>
      <w:r w:rsidRPr="00CB2E82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היא חברה פרטית העוסקת ביבוא, שיווק והפצה של מוצר</w:t>
      </w: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י צריכה, טואלטיקה, מזון וניקיון</w:t>
      </w:r>
      <w:r w:rsidR="00B564E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עם מגוון רחב של מותגים. דיפלומט משווקת</w:t>
      </w:r>
      <w:r w:rsidR="00D30DEC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למגזר הקמעונאי והמוסדי.</w:t>
      </w:r>
    </w:p>
    <w:p w14:paraId="58B5CB96" w14:textId="359F4D9A" w:rsidR="004A4FAB" w:rsidRDefault="00F51A47" w:rsidP="00DE1350">
      <w:pPr>
        <w:spacing w:before="120" w:after="120" w:line="360" w:lineRule="auto"/>
        <w:jc w:val="both"/>
        <w:rPr>
          <w:rFonts w:ascii="Alef" w:eastAsia="Times New Roman" w:hAnsi="Alef" w:cs="Alef"/>
          <w:color w:val="000000"/>
          <w:sz w:val="24"/>
          <w:szCs w:val="24"/>
          <w:rtl/>
          <w:lang w:eastAsia="he-IL"/>
        </w:rPr>
      </w:pPr>
      <w:proofErr w:type="spellStart"/>
      <w:r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>ליימן</w:t>
      </w:r>
      <w:proofErr w:type="spellEnd"/>
      <w:r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 xml:space="preserve"> </w:t>
      </w:r>
      <w:proofErr w:type="spellStart"/>
      <w:r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>שליסל</w:t>
      </w:r>
      <w:proofErr w:type="spellEnd"/>
      <w:r w:rsidRPr="00CB2E82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היא חברה פרטית העוסקת ב</w:t>
      </w:r>
      <w:r w:rsidR="00062D78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ייצור </w:t>
      </w:r>
      <w:r w:rsidRPr="00CB2E82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יבוא, שיווק והפצה של מוצר</w:t>
      </w: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י מזון</w:t>
      </w:r>
      <w:r w:rsidR="00915947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, ובפרט ממתקים, </w:t>
      </w:r>
      <w:r w:rsidR="002D6828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שוקולדים ומוצרי מאפה. החברה מחז</w:t>
      </w:r>
      <w:r w:rsidR="005F6CD0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יקה בזיכיון בלעדי לייבוא מותגים מהמובילים בתחומם. </w:t>
      </w:r>
    </w:p>
    <w:p w14:paraId="527D037E" w14:textId="3794CA9E" w:rsidR="00F51A47" w:rsidRDefault="00F51A47" w:rsidP="00B74E2A">
      <w:pPr>
        <w:spacing w:before="120" w:after="120" w:line="360" w:lineRule="auto"/>
        <w:jc w:val="both"/>
        <w:rPr>
          <w:rFonts w:ascii="Alef" w:eastAsia="Times New Roman" w:hAnsi="Alef" w:cs="Alef"/>
          <w:color w:val="000000"/>
          <w:sz w:val="24"/>
          <w:szCs w:val="24"/>
          <w:rtl/>
          <w:lang w:eastAsia="he-IL"/>
        </w:rPr>
      </w:pPr>
      <w:r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lastRenderedPageBreak/>
        <w:t>גורי</w:t>
      </w:r>
      <w:r w:rsidRPr="00CB2E82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היא חברה פרטית העוסקת ביבוא </w:t>
      </w:r>
      <w:r w:rsidR="005F6CD0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ו</w:t>
      </w:r>
      <w:r w:rsidRPr="00CB2E82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שיווק</w:t>
      </w:r>
      <w:r w:rsidR="00FD45B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</w:t>
      </w:r>
      <w:r w:rsidRPr="00CB2E82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של מוצר</w:t>
      </w: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י צריכה, טואלטיקה, מזון וניקיון. </w:t>
      </w:r>
    </w:p>
    <w:p w14:paraId="20FBD949" w14:textId="1CE517B3" w:rsidR="00BC58B1" w:rsidRDefault="00F51A47" w:rsidP="00DE1350">
      <w:pPr>
        <w:spacing w:before="120" w:after="120" w:line="360" w:lineRule="auto"/>
        <w:jc w:val="both"/>
        <w:rPr>
          <w:rFonts w:ascii="Alef" w:eastAsia="Times New Roman" w:hAnsi="Alef" w:cs="Alef"/>
          <w:color w:val="000000"/>
          <w:sz w:val="24"/>
          <w:szCs w:val="24"/>
          <w:lang w:eastAsia="he-IL"/>
        </w:rPr>
      </w:pPr>
      <w:proofErr w:type="spellStart"/>
      <w:r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>נאייקס</w:t>
      </w:r>
      <w:proofErr w:type="spellEnd"/>
      <w:r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 xml:space="preserve"> </w:t>
      </w: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היא חברה פרטי</w:t>
      </w:r>
      <w:r w:rsidR="00BC58B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ת המס</w:t>
      </w:r>
      <w:r w:rsidR="005A0CF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פ</w:t>
      </w:r>
      <w:r w:rsidR="00BC58B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קת פתרונות טכנולוגיים בתחומים שונים ובעיקר בתחום התשלומים</w:t>
      </w:r>
      <w:r w:rsidR="009013F7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, ובפרט בתחום התשלומים הנעשים ללא מוכר כדוגמת מכונות שתיה</w:t>
      </w:r>
      <w:r w:rsidR="00BC58B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. </w:t>
      </w:r>
    </w:p>
    <w:p w14:paraId="30A8A36A" w14:textId="77777777" w:rsidR="00CB2E82" w:rsidRPr="00CB2E82" w:rsidRDefault="00CB2E82" w:rsidP="00DE1350">
      <w:pPr>
        <w:spacing w:before="120" w:after="120" w:line="360" w:lineRule="auto"/>
        <w:jc w:val="both"/>
        <w:rPr>
          <w:rFonts w:ascii="Alef" w:eastAsia="Times New Roman" w:hAnsi="Alef" w:cs="Alef"/>
          <w:b/>
          <w:bCs/>
          <w:color w:val="000000"/>
          <w:sz w:val="24"/>
          <w:szCs w:val="24"/>
          <w:rtl/>
          <w:lang w:eastAsia="he-IL"/>
        </w:rPr>
      </w:pPr>
      <w:r w:rsidRPr="00CB2E82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 xml:space="preserve">2.2 </w:t>
      </w:r>
      <w:r w:rsidRPr="00CB2E82">
        <w:rPr>
          <w:rFonts w:ascii="Alef" w:eastAsia="Times New Roman" w:hAnsi="Alef" w:cs="Alef" w:hint="eastAsia"/>
          <w:b/>
          <w:bCs/>
          <w:color w:val="000000"/>
          <w:sz w:val="24"/>
          <w:szCs w:val="24"/>
          <w:rtl/>
          <w:lang w:eastAsia="he-IL"/>
        </w:rPr>
        <w:t>ההסדר</w:t>
      </w:r>
      <w:r w:rsidRPr="00CB2E82">
        <w:rPr>
          <w:rFonts w:ascii="Alef" w:eastAsia="Times New Roman" w:hAnsi="Alef" w:cs="Alef" w:hint="cs"/>
          <w:b/>
          <w:bCs/>
          <w:color w:val="000000"/>
          <w:sz w:val="24"/>
          <w:szCs w:val="24"/>
          <w:rtl/>
          <w:lang w:eastAsia="he-IL"/>
        </w:rPr>
        <w:t xml:space="preserve"> </w:t>
      </w:r>
    </w:p>
    <w:p w14:paraId="5091E2DD" w14:textId="68C6E474" w:rsidR="00CB2E82" w:rsidRDefault="00AC64DE" w:rsidP="006C07AE">
      <w:pPr>
        <w:spacing w:before="120" w:after="120" w:line="360" w:lineRule="auto"/>
        <w:jc w:val="both"/>
        <w:rPr>
          <w:rFonts w:ascii="Alef" w:eastAsia="Times New Roman" w:hAnsi="Alef" w:cs="Alef"/>
          <w:color w:val="000000"/>
          <w:sz w:val="24"/>
          <w:szCs w:val="24"/>
          <w:rtl/>
          <w:lang w:eastAsia="he-IL"/>
        </w:rPr>
      </w:pP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במסגרת ההסדר</w:t>
      </w:r>
      <w:r w:rsidR="006C07AE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מושא בקשת הפטור</w:t>
      </w: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יקימו הצדדים </w:t>
      </w:r>
      <w:r w:rsidR="00112D9C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את נילוס - </w:t>
      </w:r>
      <w:r w:rsidR="00B74FF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מיזם משותף אשר מתמקד במתן שירות </w:t>
      </w:r>
      <w:r w:rsidR="0081618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לנקודות מכירה</w:t>
      </w:r>
      <w:r w:rsidR="001F757D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(</w:t>
      </w:r>
      <w:r w:rsidR="001F757D">
        <w:rPr>
          <w:rFonts w:ascii="Alef" w:eastAsia="Times New Roman" w:hAnsi="Alef" w:cs="Alef" w:hint="cs"/>
          <w:color w:val="000000"/>
          <w:sz w:val="24"/>
          <w:szCs w:val="24"/>
          <w:lang w:eastAsia="he-IL"/>
        </w:rPr>
        <w:t>B2B</w:t>
      </w:r>
      <w:r w:rsidR="001F757D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)</w:t>
      </w:r>
      <w:r w:rsidR="00D479CD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,</w:t>
      </w:r>
      <w:r w:rsidR="001F757D">
        <w:rPr>
          <w:rStyle w:val="FootnoteReference"/>
          <w:rFonts w:ascii="Alef" w:eastAsia="Times New Roman" w:hAnsi="Alef" w:cs="Alef"/>
          <w:color w:val="000000"/>
          <w:sz w:val="24"/>
          <w:szCs w:val="24"/>
          <w:rtl/>
          <w:lang w:eastAsia="he-IL"/>
        </w:rPr>
        <w:footnoteReference w:id="3"/>
      </w:r>
      <w:r w:rsidR="00AF566E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ובפרט נקודות מכירה קטנות ומרוחקות, באמצעות פלטפורמה דיגיטלית לתקשורת ישירה</w:t>
      </w:r>
      <w:r w:rsidR="001F757D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וכן </w:t>
      </w:r>
      <w:r w:rsidR="006554B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ב</w:t>
      </w:r>
      <w:r w:rsidR="001F757D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תפעול מערך לוגיסטי, לרבות ליקוט, הפצה, חיוב וגביה וניהול מערך הזמנות</w:t>
      </w:r>
      <w:r w:rsidR="0081618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. </w:t>
      </w:r>
    </w:p>
    <w:p w14:paraId="60F952CE" w14:textId="5D342C78" w:rsidR="00CB2E82" w:rsidRPr="00CB2E82" w:rsidRDefault="001F2888" w:rsidP="00133E34">
      <w:pPr>
        <w:numPr>
          <w:ilvl w:val="0"/>
          <w:numId w:val="1"/>
        </w:numPr>
        <w:spacing w:before="120" w:after="120" w:line="360" w:lineRule="auto"/>
        <w:ind w:left="360"/>
        <w:contextualSpacing/>
        <w:jc w:val="both"/>
        <w:rPr>
          <w:rFonts w:ascii="Alef" w:eastAsia="Times New Roman" w:hAnsi="Alef" w:cs="Alef"/>
          <w:b/>
          <w:bCs/>
          <w:sz w:val="28"/>
          <w:szCs w:val="28"/>
        </w:rPr>
      </w:pPr>
      <w:r>
        <w:rPr>
          <w:rFonts w:ascii="Alef" w:eastAsia="Times New Roman" w:hAnsi="Alef" w:cs="Alef" w:hint="cs"/>
          <w:b/>
          <w:bCs/>
          <w:sz w:val="28"/>
          <w:szCs w:val="28"/>
          <w:rtl/>
        </w:rPr>
        <w:lastRenderedPageBreak/>
        <w:t>פעילות הפצ</w:t>
      </w:r>
      <w:r w:rsidR="00133E34">
        <w:rPr>
          <w:rFonts w:ascii="Alef" w:eastAsia="Times New Roman" w:hAnsi="Alef" w:cs="Alef" w:hint="cs"/>
          <w:b/>
          <w:bCs/>
          <w:sz w:val="28"/>
          <w:szCs w:val="28"/>
          <w:rtl/>
        </w:rPr>
        <w:t>ת מוצרים בישראל</w:t>
      </w:r>
      <w:r w:rsidR="003B5B3C">
        <w:rPr>
          <w:rFonts w:ascii="Alef" w:eastAsia="Times New Roman" w:hAnsi="Alef" w:cs="Alef" w:hint="cs"/>
          <w:b/>
          <w:bCs/>
          <w:sz w:val="28"/>
          <w:szCs w:val="28"/>
          <w:rtl/>
        </w:rPr>
        <w:t xml:space="preserve"> </w:t>
      </w:r>
    </w:p>
    <w:p w14:paraId="228A4A02" w14:textId="46C36305" w:rsidR="003B5B3C" w:rsidRPr="00A87FA5" w:rsidRDefault="005B19E8" w:rsidP="005B19E8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 w:rsidRPr="007A76ED">
        <w:rPr>
          <w:rFonts w:ascii="Alef" w:eastAsia="Times New Roman" w:hAnsi="Alef" w:cs="Alef" w:hint="eastAsia"/>
          <w:sz w:val="24"/>
          <w:szCs w:val="24"/>
          <w:rtl/>
        </w:rPr>
        <w:t>חלק</w:t>
      </w:r>
      <w:r w:rsidR="003B5B3C" w:rsidRPr="005B19E8">
        <w:rPr>
          <w:rFonts w:ascii="Alef" w:eastAsia="Times New Roman" w:hAnsi="Alef" w:cs="Alef"/>
          <w:sz w:val="24"/>
          <w:szCs w:val="24"/>
          <w:rtl/>
        </w:rPr>
        <w:t xml:space="preserve"> מבעלי המניות בנילוס פועלים כספקים בתחום המזון והטואלטיקה – דיפלומט, </w:t>
      </w:r>
      <w:proofErr w:type="spellStart"/>
      <w:r w:rsidR="003B5B3C" w:rsidRPr="005B19E8">
        <w:rPr>
          <w:rFonts w:ascii="Alef" w:eastAsia="Times New Roman" w:hAnsi="Alef" w:cs="Alef"/>
          <w:sz w:val="24"/>
          <w:szCs w:val="24"/>
          <w:rtl/>
        </w:rPr>
        <w:t>ליימן</w:t>
      </w:r>
      <w:proofErr w:type="spellEnd"/>
      <w:r w:rsidR="003B5B3C" w:rsidRPr="005B19E8">
        <w:rPr>
          <w:rFonts w:ascii="Alef" w:eastAsia="Times New Roman" w:hAnsi="Alef" w:cs="Alef"/>
          <w:sz w:val="24"/>
          <w:szCs w:val="24"/>
          <w:rtl/>
        </w:rPr>
        <w:t xml:space="preserve"> </w:t>
      </w:r>
      <w:proofErr w:type="spellStart"/>
      <w:r w:rsidR="003B5B3C" w:rsidRPr="005B19E8">
        <w:rPr>
          <w:rFonts w:ascii="Alef" w:eastAsia="Times New Roman" w:hAnsi="Alef" w:cs="Alef"/>
          <w:sz w:val="24"/>
          <w:szCs w:val="24"/>
          <w:rtl/>
        </w:rPr>
        <w:t>שליסל</w:t>
      </w:r>
      <w:proofErr w:type="spellEnd"/>
      <w:r w:rsidR="003B5B3C" w:rsidRPr="005B19E8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5B19E8">
        <w:rPr>
          <w:rFonts w:ascii="Alef" w:eastAsia="Times New Roman" w:hAnsi="Alef" w:cs="Alef" w:hint="cs"/>
          <w:sz w:val="24"/>
          <w:szCs w:val="24"/>
          <w:rtl/>
        </w:rPr>
        <w:t>וגורי.</w:t>
      </w:r>
    </w:p>
    <w:p w14:paraId="5DCBB42D" w14:textId="5995B6C6" w:rsidR="00816185" w:rsidRDefault="00DA1DAD" w:rsidP="005D52F8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>ככל</w:t>
      </w:r>
      <w:r w:rsidR="00863989">
        <w:rPr>
          <w:rFonts w:ascii="Alef" w:eastAsia="Times New Roman" w:hAnsi="Alef" w:cs="Alef" w:hint="cs"/>
          <w:sz w:val="24"/>
          <w:szCs w:val="24"/>
          <w:rtl/>
        </w:rPr>
        <w:t xml:space="preserve">ל, שחקנים הפועלים במקטע האספקה 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נדרשים, מטבע הדברים, למצוא פתרונות להפצת מוצריהם ללקוחות. </w:t>
      </w:r>
      <w:r w:rsidR="000B3C8C">
        <w:rPr>
          <w:rFonts w:ascii="Alef" w:eastAsia="Times New Roman" w:hAnsi="Alef" w:cs="Alef" w:hint="cs"/>
          <w:sz w:val="24"/>
          <w:szCs w:val="24"/>
          <w:rtl/>
        </w:rPr>
        <w:t>הפצת סח</w:t>
      </w:r>
      <w:r w:rsidR="000C5B47">
        <w:rPr>
          <w:rFonts w:ascii="Alef" w:eastAsia="Times New Roman" w:hAnsi="Alef" w:cs="Alef" w:hint="cs"/>
          <w:sz w:val="24"/>
          <w:szCs w:val="24"/>
          <w:rtl/>
        </w:rPr>
        <w:t>ורה לנקודות מכירה נעשי</w:t>
      </w:r>
      <w:r w:rsidR="000B3C8C">
        <w:rPr>
          <w:rFonts w:ascii="Alef" w:eastAsia="Times New Roman" w:hAnsi="Alef" w:cs="Alef" w:hint="cs"/>
          <w:sz w:val="24"/>
          <w:szCs w:val="24"/>
          <w:rtl/>
        </w:rPr>
        <w:t xml:space="preserve">ת </w:t>
      </w:r>
      <w:r w:rsidR="00C02C40">
        <w:rPr>
          <w:rFonts w:ascii="Alef" w:eastAsia="Times New Roman" w:hAnsi="Alef" w:cs="Alef" w:hint="cs"/>
          <w:sz w:val="24"/>
          <w:szCs w:val="24"/>
          <w:rtl/>
        </w:rPr>
        <w:t xml:space="preserve">כיום </w:t>
      </w:r>
      <w:r w:rsidR="000B3C8C">
        <w:rPr>
          <w:rFonts w:ascii="Alef" w:eastAsia="Times New Roman" w:hAnsi="Alef" w:cs="Alef" w:hint="cs"/>
          <w:sz w:val="24"/>
          <w:szCs w:val="24"/>
          <w:rtl/>
        </w:rPr>
        <w:t xml:space="preserve">במגוון דרכים ובהתאם לאסטרטגיה בה נוקט הספק. </w:t>
      </w:r>
      <w:r w:rsidR="00FB34AD">
        <w:rPr>
          <w:rFonts w:ascii="Alef" w:eastAsia="Times New Roman" w:hAnsi="Alef" w:cs="Alef" w:hint="cs"/>
          <w:sz w:val="24"/>
          <w:szCs w:val="24"/>
          <w:rtl/>
        </w:rPr>
        <w:t xml:space="preserve">יש ספקים </w:t>
      </w:r>
      <w:r w:rsidR="00B74FFF">
        <w:rPr>
          <w:rFonts w:ascii="Alef" w:eastAsia="Times New Roman" w:hAnsi="Alef" w:cs="Alef" w:hint="cs"/>
          <w:sz w:val="24"/>
          <w:szCs w:val="24"/>
          <w:rtl/>
        </w:rPr>
        <w:t>שבוחרים</w:t>
      </w:r>
      <w:r w:rsidR="00FB34AD">
        <w:rPr>
          <w:rFonts w:ascii="Alef" w:eastAsia="Times New Roman" w:hAnsi="Alef" w:cs="Alef" w:hint="cs"/>
          <w:sz w:val="24"/>
          <w:szCs w:val="24"/>
          <w:rtl/>
        </w:rPr>
        <w:t xml:space="preserve"> להקים מערך הפצה</w:t>
      </w:r>
      <w:r w:rsidR="00B74FFF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E114BE">
        <w:rPr>
          <w:rFonts w:ascii="Alef" w:eastAsia="Times New Roman" w:hAnsi="Alef" w:cs="Alef" w:hint="cs"/>
          <w:sz w:val="24"/>
          <w:szCs w:val="24"/>
          <w:rtl/>
        </w:rPr>
        <w:t>עצמי להפצת מוצריהם לנקודות המכר</w:t>
      </w:r>
      <w:r w:rsidR="005D52F8">
        <w:rPr>
          <w:rFonts w:ascii="Alef" w:eastAsia="Times New Roman" w:hAnsi="Alef" w:cs="Alef" w:hint="cs"/>
          <w:sz w:val="24"/>
          <w:szCs w:val="24"/>
          <w:rtl/>
        </w:rPr>
        <w:t xml:space="preserve">. </w:t>
      </w:r>
      <w:r w:rsidR="00E114BE">
        <w:rPr>
          <w:rFonts w:ascii="Alef" w:eastAsia="Times New Roman" w:hAnsi="Alef" w:cs="Alef" w:hint="cs"/>
          <w:sz w:val="24"/>
          <w:szCs w:val="24"/>
          <w:rtl/>
        </w:rPr>
        <w:t>גודל המערך משתנה בהתאם למספר הנקודות אליהן מגיע הספק.</w:t>
      </w:r>
      <w:r w:rsidR="00C02C40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E114BE">
        <w:rPr>
          <w:rFonts w:ascii="Alef" w:eastAsia="Times New Roman" w:hAnsi="Alef" w:cs="Alef" w:hint="cs"/>
          <w:sz w:val="24"/>
          <w:szCs w:val="24"/>
          <w:rtl/>
        </w:rPr>
        <w:t>מנגד, חלק מהספקים עושים שימוש</w:t>
      </w:r>
      <w:r w:rsidR="006A6AAE">
        <w:rPr>
          <w:rFonts w:ascii="Alef" w:eastAsia="Times New Roman" w:hAnsi="Alef" w:cs="Alef" w:hint="cs"/>
          <w:sz w:val="24"/>
          <w:szCs w:val="24"/>
          <w:rtl/>
        </w:rPr>
        <w:t xml:space="preserve"> בחברות לוגיסטיקה חיצוניות לצורך הפצת </w:t>
      </w:r>
      <w:r w:rsidR="008C3575">
        <w:rPr>
          <w:rFonts w:ascii="Alef" w:eastAsia="Times New Roman" w:hAnsi="Alef" w:cs="Alef" w:hint="cs"/>
          <w:sz w:val="24"/>
          <w:szCs w:val="24"/>
          <w:rtl/>
        </w:rPr>
        <w:t>המוצרים</w:t>
      </w:r>
      <w:r w:rsidR="006A6AAE">
        <w:rPr>
          <w:rFonts w:ascii="Alef" w:eastAsia="Times New Roman" w:hAnsi="Alef" w:cs="Alef" w:hint="cs"/>
          <w:sz w:val="24"/>
          <w:szCs w:val="24"/>
          <w:rtl/>
        </w:rPr>
        <w:t>.</w:t>
      </w:r>
      <w:r w:rsidR="008C3575">
        <w:rPr>
          <w:rFonts w:ascii="Alef" w:eastAsia="Times New Roman" w:hAnsi="Alef" w:cs="Alef" w:hint="cs"/>
          <w:sz w:val="24"/>
          <w:szCs w:val="24"/>
          <w:rtl/>
        </w:rPr>
        <w:t xml:space="preserve"> </w:t>
      </w:r>
    </w:p>
    <w:p w14:paraId="14BB428C" w14:textId="14D86C2A" w:rsidR="009B6795" w:rsidRDefault="001A6B1D" w:rsidP="006554B5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 xml:space="preserve">עלות </w:t>
      </w:r>
      <w:r w:rsidR="00DF716F">
        <w:rPr>
          <w:rFonts w:ascii="Alef" w:eastAsia="Times New Roman" w:hAnsi="Alef" w:cs="Alef" w:hint="cs"/>
          <w:sz w:val="24"/>
          <w:szCs w:val="24"/>
          <w:rtl/>
        </w:rPr>
        <w:t>הפצ</w:t>
      </w:r>
      <w:r w:rsidR="00E114BE">
        <w:rPr>
          <w:rFonts w:ascii="Alef" w:eastAsia="Times New Roman" w:hAnsi="Alef" w:cs="Alef" w:hint="cs"/>
          <w:sz w:val="24"/>
          <w:szCs w:val="24"/>
          <w:rtl/>
        </w:rPr>
        <w:t>ת המוצרים</w:t>
      </w:r>
      <w:r w:rsidR="00DF716F">
        <w:rPr>
          <w:rFonts w:ascii="Alef" w:eastAsia="Times New Roman" w:hAnsi="Alef" w:cs="Alef" w:hint="cs"/>
          <w:sz w:val="24"/>
          <w:szCs w:val="24"/>
          <w:rtl/>
        </w:rPr>
        <w:t xml:space="preserve"> מגולמת</w:t>
      </w:r>
      <w:r w:rsidR="00E114BE">
        <w:rPr>
          <w:rFonts w:ascii="Alef" w:eastAsia="Times New Roman" w:hAnsi="Alef" w:cs="Alef" w:hint="cs"/>
          <w:sz w:val="24"/>
          <w:szCs w:val="24"/>
          <w:rtl/>
        </w:rPr>
        <w:t>, מטבע הדברים,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DF716F">
        <w:rPr>
          <w:rFonts w:ascii="Alef" w:eastAsia="Times New Roman" w:hAnsi="Alef" w:cs="Alef" w:hint="cs"/>
          <w:sz w:val="24"/>
          <w:szCs w:val="24"/>
          <w:rtl/>
        </w:rPr>
        <w:t>בעלויות המכר</w:t>
      </w:r>
      <w:r w:rsidR="009B6795">
        <w:rPr>
          <w:rFonts w:ascii="Alef" w:eastAsia="Times New Roman" w:hAnsi="Alef" w:cs="Alef" w:hint="cs"/>
          <w:sz w:val="24"/>
          <w:szCs w:val="24"/>
          <w:rtl/>
        </w:rPr>
        <w:t xml:space="preserve"> של המוצרים. מבדיקת הרשות עולה</w:t>
      </w:r>
      <w:r w:rsidR="00E92A0D">
        <w:rPr>
          <w:rFonts w:ascii="Alef" w:eastAsia="Times New Roman" w:hAnsi="Alef" w:cs="Alef" w:hint="cs"/>
          <w:sz w:val="24"/>
          <w:szCs w:val="24"/>
          <w:rtl/>
        </w:rPr>
        <w:t xml:space="preserve"> כי</w:t>
      </w:r>
      <w:r w:rsidR="009B6795">
        <w:rPr>
          <w:rFonts w:ascii="Alef" w:eastAsia="Times New Roman" w:hAnsi="Alef" w:cs="Alef" w:hint="cs"/>
          <w:sz w:val="24"/>
          <w:szCs w:val="24"/>
          <w:rtl/>
        </w:rPr>
        <w:t xml:space="preserve"> עלות הפצת מוצרים בתחומים מושאי בקשת הפטור </w:t>
      </w:r>
      <w:r w:rsidR="005B19E8">
        <w:rPr>
          <w:rFonts w:ascii="Alef" w:eastAsia="Times New Roman" w:hAnsi="Alef" w:cs="Alef" w:hint="cs"/>
          <w:sz w:val="24"/>
          <w:szCs w:val="24"/>
          <w:rtl/>
        </w:rPr>
        <w:t>נעה</w:t>
      </w:r>
      <w:r w:rsidR="009B6795">
        <w:rPr>
          <w:rFonts w:ascii="Alef" w:eastAsia="Times New Roman" w:hAnsi="Alef" w:cs="Alef" w:hint="cs"/>
          <w:sz w:val="24"/>
          <w:szCs w:val="24"/>
          <w:rtl/>
        </w:rPr>
        <w:t xml:space="preserve"> בין אחוזים </w:t>
      </w:r>
      <w:r w:rsidR="009B6795">
        <w:rPr>
          <w:rFonts w:ascii="Alef" w:eastAsia="Times New Roman" w:hAnsi="Alef" w:cs="Alef" w:hint="cs"/>
          <w:sz w:val="24"/>
          <w:szCs w:val="24"/>
          <w:rtl/>
        </w:rPr>
        <w:lastRenderedPageBreak/>
        <w:t>בודדים לעשרות אחוזים</w:t>
      </w:r>
      <w:r w:rsidR="006554B5">
        <w:rPr>
          <w:rFonts w:ascii="Alef" w:eastAsia="Times New Roman" w:hAnsi="Alef" w:cs="Alef" w:hint="cs"/>
          <w:sz w:val="24"/>
          <w:szCs w:val="24"/>
          <w:rtl/>
        </w:rPr>
        <w:t xml:space="preserve">, </w:t>
      </w:r>
      <w:r w:rsidR="009B6795">
        <w:rPr>
          <w:rFonts w:ascii="Alef" w:eastAsia="Times New Roman" w:hAnsi="Alef" w:cs="Alef" w:hint="cs"/>
          <w:sz w:val="24"/>
          <w:szCs w:val="24"/>
          <w:rtl/>
        </w:rPr>
        <w:t>בהתאם למשקל המוצר, נפחו, מרחק הנקודה</w:t>
      </w:r>
      <w:r w:rsidR="005B19E8">
        <w:rPr>
          <w:rFonts w:ascii="Alef" w:eastAsia="Times New Roman" w:hAnsi="Alef" w:cs="Alef" w:hint="cs"/>
          <w:sz w:val="24"/>
          <w:szCs w:val="24"/>
          <w:rtl/>
        </w:rPr>
        <w:t xml:space="preserve">, </w:t>
      </w:r>
      <w:r w:rsidR="009B6795">
        <w:rPr>
          <w:rFonts w:ascii="Alef" w:eastAsia="Times New Roman" w:hAnsi="Alef" w:cs="Alef" w:hint="cs"/>
          <w:sz w:val="24"/>
          <w:szCs w:val="24"/>
          <w:rtl/>
        </w:rPr>
        <w:t xml:space="preserve">היקף ההזמנה ועוד. </w:t>
      </w:r>
    </w:p>
    <w:p w14:paraId="6ACC1AFB" w14:textId="7E9F769E" w:rsidR="00154D32" w:rsidRDefault="00DF716F" w:rsidP="00790432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>ככל שנקודה מרוחקת</w:t>
      </w:r>
      <w:r w:rsidR="009B6795">
        <w:rPr>
          <w:rFonts w:ascii="Alef" w:eastAsia="Times New Roman" w:hAnsi="Alef" w:cs="Alef" w:hint="cs"/>
          <w:sz w:val="24"/>
          <w:szCs w:val="24"/>
          <w:rtl/>
        </w:rPr>
        <w:t xml:space="preserve"> יותר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, </w:t>
      </w:r>
      <w:r w:rsidR="00CB79B6">
        <w:rPr>
          <w:rFonts w:ascii="Alef" w:eastAsia="Times New Roman" w:hAnsi="Alef" w:cs="Alef" w:hint="cs"/>
          <w:sz w:val="24"/>
          <w:szCs w:val="24"/>
          <w:rtl/>
        </w:rPr>
        <w:t>נפח המוצרים ומשקלם גדול ו</w:t>
      </w:r>
      <w:r w:rsidR="00AF4AF1">
        <w:rPr>
          <w:rFonts w:ascii="Alef" w:eastAsia="Times New Roman" w:hAnsi="Alef" w:cs="Alef" w:hint="cs"/>
          <w:sz w:val="24"/>
          <w:szCs w:val="24"/>
          <w:rtl/>
        </w:rPr>
        <w:t>ה</w:t>
      </w:r>
      <w:r w:rsidR="00CB79B6">
        <w:rPr>
          <w:rFonts w:ascii="Alef" w:eastAsia="Times New Roman" w:hAnsi="Alef" w:cs="Alef" w:hint="cs"/>
          <w:sz w:val="24"/>
          <w:szCs w:val="24"/>
          <w:rtl/>
        </w:rPr>
        <w:t>ה</w:t>
      </w:r>
      <w:r w:rsidR="001A6B1D">
        <w:rPr>
          <w:rFonts w:ascii="Alef" w:eastAsia="Times New Roman" w:hAnsi="Alef" w:cs="Alef" w:hint="cs"/>
          <w:sz w:val="24"/>
          <w:szCs w:val="24"/>
          <w:rtl/>
        </w:rPr>
        <w:t xml:space="preserve">יקף </w:t>
      </w:r>
      <w:r w:rsidR="00AF4AF1">
        <w:rPr>
          <w:rFonts w:ascii="Alef" w:eastAsia="Times New Roman" w:hAnsi="Alef" w:cs="Alef" w:hint="cs"/>
          <w:sz w:val="24"/>
          <w:szCs w:val="24"/>
          <w:rtl/>
        </w:rPr>
        <w:t xml:space="preserve">הכספי של </w:t>
      </w:r>
      <w:r w:rsidR="00E364EA">
        <w:rPr>
          <w:rFonts w:ascii="Alef" w:eastAsia="Times New Roman" w:hAnsi="Alef" w:cs="Alef" w:hint="cs"/>
          <w:sz w:val="24"/>
          <w:szCs w:val="24"/>
          <w:rtl/>
        </w:rPr>
        <w:t>ההזמנה נמוך</w:t>
      </w:r>
      <w:r w:rsidR="00CB79B6">
        <w:rPr>
          <w:rFonts w:ascii="Alef" w:eastAsia="Times New Roman" w:hAnsi="Alef" w:cs="Alef" w:hint="cs"/>
          <w:sz w:val="24"/>
          <w:szCs w:val="24"/>
          <w:rtl/>
        </w:rPr>
        <w:t xml:space="preserve"> - כך</w:t>
      </w:r>
      <w:r w:rsidR="00E364EA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CB79B6">
        <w:rPr>
          <w:rFonts w:ascii="Alef" w:eastAsia="Times New Roman" w:hAnsi="Alef" w:cs="Alef" w:hint="cs"/>
          <w:sz w:val="24"/>
          <w:szCs w:val="24"/>
          <w:rtl/>
        </w:rPr>
        <w:t>עולה עלות הפצת המוצרים.</w:t>
      </w:r>
      <w:r w:rsidR="001A6B1D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AF4AF1">
        <w:rPr>
          <w:rFonts w:ascii="Alef" w:eastAsia="Times New Roman" w:hAnsi="Alef" w:cs="Alef" w:hint="cs"/>
          <w:sz w:val="24"/>
          <w:szCs w:val="24"/>
          <w:rtl/>
        </w:rPr>
        <w:t xml:space="preserve">על כן, </w:t>
      </w:r>
      <w:r w:rsidR="00090201">
        <w:rPr>
          <w:rFonts w:ascii="Alef" w:eastAsia="Times New Roman" w:hAnsi="Alef" w:cs="Alef" w:hint="cs"/>
          <w:sz w:val="24"/>
          <w:szCs w:val="24"/>
          <w:rtl/>
        </w:rPr>
        <w:t xml:space="preserve">אצל חלק מהספקים </w:t>
      </w:r>
      <w:r w:rsidR="00AF4AF1">
        <w:rPr>
          <w:rFonts w:ascii="Alef" w:eastAsia="Times New Roman" w:hAnsi="Alef" w:cs="Alef" w:hint="cs"/>
          <w:sz w:val="24"/>
          <w:szCs w:val="24"/>
          <w:rtl/>
        </w:rPr>
        <w:t>נהוג לקבוע היקף כספי מינימלי להזמנה</w:t>
      </w:r>
      <w:r w:rsidR="00CB79B6">
        <w:rPr>
          <w:rFonts w:ascii="Alef" w:eastAsia="Times New Roman" w:hAnsi="Alef" w:cs="Alef" w:hint="cs"/>
          <w:sz w:val="24"/>
          <w:szCs w:val="24"/>
          <w:rtl/>
        </w:rPr>
        <w:t>,</w:t>
      </w:r>
      <w:r w:rsidR="00AF4AF1">
        <w:rPr>
          <w:rFonts w:ascii="Alef" w:eastAsia="Times New Roman" w:hAnsi="Alef" w:cs="Alef" w:hint="cs"/>
          <w:sz w:val="24"/>
          <w:szCs w:val="24"/>
          <w:rtl/>
        </w:rPr>
        <w:t xml:space="preserve"> שמתחתי</w:t>
      </w:r>
      <w:r w:rsidR="00090201">
        <w:rPr>
          <w:rFonts w:ascii="Alef" w:eastAsia="Times New Roman" w:hAnsi="Alef" w:cs="Alef" w:hint="cs"/>
          <w:sz w:val="24"/>
          <w:szCs w:val="24"/>
          <w:rtl/>
        </w:rPr>
        <w:t>ו</w:t>
      </w:r>
      <w:r w:rsidR="00AF4AF1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CB79B6">
        <w:rPr>
          <w:rFonts w:ascii="Alef" w:eastAsia="Times New Roman" w:hAnsi="Alef" w:cs="Alef" w:hint="cs"/>
          <w:sz w:val="24"/>
          <w:szCs w:val="24"/>
          <w:rtl/>
        </w:rPr>
        <w:t>לא יגיע הספק לנקודת המכירה</w:t>
      </w:r>
      <w:r w:rsidR="00347C6F">
        <w:rPr>
          <w:rFonts w:ascii="Alef" w:eastAsia="Times New Roman" w:hAnsi="Alef" w:cs="Alef" w:hint="cs"/>
          <w:sz w:val="24"/>
          <w:szCs w:val="24"/>
          <w:rtl/>
        </w:rPr>
        <w:t xml:space="preserve"> (להלן </w:t>
      </w:r>
      <w:r w:rsidR="00790432" w:rsidRPr="000876A7">
        <w:rPr>
          <w:rFonts w:ascii="Alef" w:eastAsia="Times New Roman" w:hAnsi="Alef" w:cs="Alef" w:hint="cs"/>
          <w:b/>
          <w:bCs/>
          <w:sz w:val="24"/>
          <w:szCs w:val="24"/>
          <w:rtl/>
        </w:rPr>
        <w:t>דרישת</w:t>
      </w:r>
      <w:r w:rsidR="00790432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790432" w:rsidRPr="007A76ED">
        <w:rPr>
          <w:rFonts w:ascii="Alef" w:eastAsia="Times New Roman" w:hAnsi="Alef" w:cs="Alef" w:hint="cs"/>
          <w:b/>
          <w:bCs/>
          <w:sz w:val="24"/>
          <w:szCs w:val="24"/>
          <w:rtl/>
        </w:rPr>
        <w:t>ה</w:t>
      </w:r>
      <w:r w:rsidR="00347C6F">
        <w:rPr>
          <w:rFonts w:ascii="Alef" w:eastAsia="Times New Roman" w:hAnsi="Alef" w:cs="Alef" w:hint="cs"/>
          <w:b/>
          <w:bCs/>
          <w:sz w:val="24"/>
          <w:szCs w:val="24"/>
          <w:rtl/>
        </w:rPr>
        <w:t>מינימום</w:t>
      </w:r>
      <w:r w:rsidR="00347C6F" w:rsidRPr="007A76ED">
        <w:rPr>
          <w:rFonts w:ascii="Alef" w:eastAsia="Times New Roman" w:hAnsi="Alef" w:cs="Alef" w:hint="cs"/>
          <w:sz w:val="24"/>
          <w:szCs w:val="24"/>
          <w:rtl/>
        </w:rPr>
        <w:t>)</w:t>
      </w:r>
      <w:r w:rsidR="00CB79B6" w:rsidRPr="007A76ED">
        <w:rPr>
          <w:rFonts w:ascii="Alef" w:eastAsia="Times New Roman" w:hAnsi="Alef" w:cs="Alef" w:hint="cs"/>
          <w:sz w:val="24"/>
          <w:szCs w:val="24"/>
          <w:rtl/>
        </w:rPr>
        <w:t>.</w:t>
      </w:r>
    </w:p>
    <w:p w14:paraId="3333F9F5" w14:textId="25DA25F3" w:rsidR="00687EAF" w:rsidRDefault="00347C6F" w:rsidP="005D52F8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 xml:space="preserve"> מספר רב של נקודות מכירה קמעונאיות </w:t>
      </w:r>
      <w:r w:rsidR="005D52F8">
        <w:rPr>
          <w:rFonts w:ascii="Alef" w:eastAsia="Times New Roman" w:hAnsi="Alef" w:cs="Alef"/>
          <w:sz w:val="24"/>
          <w:szCs w:val="24"/>
          <w:rtl/>
        </w:rPr>
        <w:t>–</w:t>
      </w:r>
      <w:r w:rsidR="005D52F8">
        <w:rPr>
          <w:rFonts w:ascii="Alef" w:eastAsia="Times New Roman" w:hAnsi="Alef" w:cs="Alef" w:hint="cs"/>
          <w:sz w:val="24"/>
          <w:szCs w:val="24"/>
          <w:rtl/>
        </w:rPr>
        <w:t xml:space="preserve"> בעיקר הקטנות - </w:t>
      </w:r>
      <w:r>
        <w:rPr>
          <w:rFonts w:ascii="Alef" w:eastAsia="Times New Roman" w:hAnsi="Alef" w:cs="Alef" w:hint="cs"/>
          <w:sz w:val="24"/>
          <w:szCs w:val="24"/>
          <w:rtl/>
        </w:rPr>
        <w:t>אינן יכולות לעמוד בדריש</w:t>
      </w:r>
      <w:r w:rsidR="00790432">
        <w:rPr>
          <w:rFonts w:ascii="Alef" w:eastAsia="Times New Roman" w:hAnsi="Alef" w:cs="Alef" w:hint="cs"/>
          <w:sz w:val="24"/>
          <w:szCs w:val="24"/>
          <w:rtl/>
        </w:rPr>
        <w:t>ת המינימום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790432">
        <w:rPr>
          <w:rFonts w:ascii="Alef" w:eastAsia="Times New Roman" w:hAnsi="Alef" w:cs="Alef" w:hint="cs"/>
          <w:sz w:val="24"/>
          <w:szCs w:val="24"/>
          <w:rtl/>
        </w:rPr>
        <w:t>של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כל ספק בנפרד ולפיכך הן אינן יכולות להזמין במישרין מהספקים. הפתרון </w:t>
      </w:r>
      <w:r w:rsidR="005D52F8">
        <w:rPr>
          <w:rFonts w:ascii="Alef" w:eastAsia="Times New Roman" w:hAnsi="Alef" w:cs="Alef" w:hint="cs"/>
          <w:sz w:val="24"/>
          <w:szCs w:val="24"/>
          <w:rtl/>
        </w:rPr>
        <w:t xml:space="preserve">הקיים היום 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להפצת מוצרי הספקים לאותן נקודות מכירה שאינן עומדות בתנאי </w:t>
      </w:r>
      <w:r w:rsidR="00790432">
        <w:rPr>
          <w:rFonts w:ascii="Alef" w:eastAsia="Times New Roman" w:hAnsi="Alef" w:cs="Alef" w:hint="cs"/>
          <w:sz w:val="24"/>
          <w:szCs w:val="24"/>
          <w:rtl/>
        </w:rPr>
        <w:t xml:space="preserve">דרישת 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המינימום הוא </w:t>
      </w:r>
      <w:r w:rsidR="005D52F8">
        <w:rPr>
          <w:rFonts w:ascii="Alef" w:eastAsia="Times New Roman" w:hAnsi="Alef" w:cs="Alef" w:hint="cs"/>
          <w:sz w:val="24"/>
          <w:szCs w:val="24"/>
          <w:rtl/>
        </w:rPr>
        <w:t>שימוש ב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סיטונאי מזון </w:t>
      </w:r>
      <w:r w:rsidR="005002E9">
        <w:rPr>
          <w:rFonts w:ascii="Alef" w:eastAsia="Times New Roman" w:hAnsi="Alef" w:cs="Alef" w:hint="cs"/>
          <w:sz w:val="24"/>
          <w:szCs w:val="24"/>
          <w:rtl/>
        </w:rPr>
        <w:t xml:space="preserve">שרוכשים סל רחב של מוצרים </w:t>
      </w:r>
      <w:r w:rsidR="005002E9" w:rsidRPr="001D46C2">
        <w:rPr>
          <w:rFonts w:ascii="Alef" w:eastAsia="Times New Roman" w:hAnsi="Alef" w:cs="Alef" w:hint="cs"/>
          <w:sz w:val="24"/>
          <w:szCs w:val="24"/>
          <w:rtl/>
        </w:rPr>
        <w:t xml:space="preserve">ממגוון ספקים ומפיצים, </w:t>
      </w:r>
      <w:r w:rsidR="00E8714C" w:rsidRPr="001D46C2">
        <w:rPr>
          <w:rFonts w:ascii="Alef" w:eastAsia="Times New Roman" w:hAnsi="Alef" w:cs="Alef" w:hint="cs"/>
          <w:sz w:val="24"/>
          <w:szCs w:val="24"/>
          <w:rtl/>
        </w:rPr>
        <w:t>ומספקים את המוצרים</w:t>
      </w:r>
      <w:r w:rsidR="005002E9" w:rsidRPr="001D46C2">
        <w:rPr>
          <w:rFonts w:ascii="Alef" w:eastAsia="Times New Roman" w:hAnsi="Alef" w:cs="Alef" w:hint="cs"/>
          <w:sz w:val="24"/>
          <w:szCs w:val="24"/>
          <w:rtl/>
        </w:rPr>
        <w:t xml:space="preserve"> לנקודות מכירה </w:t>
      </w:r>
      <w:r w:rsidR="005002E9" w:rsidRPr="001D46C2">
        <w:rPr>
          <w:rFonts w:ascii="Alef" w:eastAsia="Times New Roman" w:hAnsi="Alef" w:cs="Alef"/>
          <w:sz w:val="24"/>
          <w:szCs w:val="24"/>
          <w:rtl/>
        </w:rPr>
        <w:t>–</w:t>
      </w:r>
      <w:r w:rsidR="005002E9" w:rsidRPr="001D46C2">
        <w:rPr>
          <w:rFonts w:ascii="Alef" w:eastAsia="Times New Roman" w:hAnsi="Alef" w:cs="Alef" w:hint="cs"/>
          <w:sz w:val="24"/>
          <w:szCs w:val="24"/>
          <w:rtl/>
        </w:rPr>
        <w:t xml:space="preserve"> רובן </w:t>
      </w:r>
      <w:r w:rsidR="005002E9" w:rsidRPr="001D46C2">
        <w:rPr>
          <w:rFonts w:ascii="Alef" w:eastAsia="Times New Roman" w:hAnsi="Alef" w:cs="Alef" w:hint="cs"/>
          <w:sz w:val="24"/>
          <w:szCs w:val="24"/>
          <w:rtl/>
        </w:rPr>
        <w:lastRenderedPageBreak/>
        <w:t>קטנות.</w:t>
      </w:r>
      <w:r w:rsidR="00237B9A" w:rsidRPr="001D46C2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5002E9" w:rsidRPr="001D46C2">
        <w:rPr>
          <w:rFonts w:ascii="Alef" w:eastAsia="Times New Roman" w:hAnsi="Alef" w:cs="Alef" w:hint="cs"/>
          <w:sz w:val="24"/>
          <w:szCs w:val="24"/>
          <w:rtl/>
        </w:rPr>
        <w:t xml:space="preserve">מבדיקת הרשות עולה </w:t>
      </w:r>
      <w:r w:rsidR="00CA0314" w:rsidRPr="001D46C2">
        <w:rPr>
          <w:rFonts w:ascii="Alef" w:eastAsia="Times New Roman" w:hAnsi="Alef" w:cs="Alef" w:hint="cs"/>
          <w:sz w:val="24"/>
          <w:szCs w:val="24"/>
          <w:rtl/>
        </w:rPr>
        <w:t>כי</w:t>
      </w:r>
      <w:r w:rsidR="00E8714C" w:rsidRPr="001D46C2">
        <w:rPr>
          <w:rFonts w:ascii="Alef" w:eastAsia="Times New Roman" w:hAnsi="Alef" w:cs="Alef" w:hint="cs"/>
          <w:sz w:val="24"/>
          <w:szCs w:val="24"/>
          <w:rtl/>
        </w:rPr>
        <w:t xml:space="preserve"> מקטע סיטונאי המזון</w:t>
      </w:r>
      <w:r w:rsidR="007D1CF5" w:rsidRPr="001D46C2">
        <w:rPr>
          <w:rFonts w:ascii="Alef" w:eastAsia="Times New Roman" w:hAnsi="Alef" w:cs="Alef" w:hint="cs"/>
          <w:sz w:val="24"/>
          <w:szCs w:val="24"/>
          <w:rtl/>
        </w:rPr>
        <w:t xml:space="preserve"> לתחום הקמעונאי </w:t>
      </w:r>
      <w:r w:rsidR="00E8714C" w:rsidRPr="001D46C2">
        <w:rPr>
          <w:rFonts w:ascii="Alef" w:eastAsia="Times New Roman" w:hAnsi="Alef" w:cs="Alef" w:hint="cs"/>
          <w:sz w:val="24"/>
          <w:szCs w:val="24"/>
          <w:rtl/>
        </w:rPr>
        <w:t>רווי במתחרים</w:t>
      </w:r>
      <w:r w:rsidR="007D1CF5" w:rsidRPr="001D46C2">
        <w:rPr>
          <w:rFonts w:ascii="Alef" w:eastAsia="Times New Roman" w:hAnsi="Alef" w:cs="Alef" w:hint="cs"/>
          <w:sz w:val="24"/>
          <w:szCs w:val="24"/>
          <w:rtl/>
        </w:rPr>
        <w:t xml:space="preserve">. </w:t>
      </w:r>
      <w:r w:rsidR="007A76ED">
        <w:rPr>
          <w:rFonts w:ascii="Alef" w:eastAsia="Times New Roman" w:hAnsi="Alef" w:cs="Alef" w:hint="cs"/>
          <w:sz w:val="24"/>
          <w:szCs w:val="24"/>
          <w:rtl/>
        </w:rPr>
        <w:t xml:space="preserve">מרבית </w:t>
      </w:r>
      <w:r w:rsidR="007D1CF5" w:rsidRPr="001D46C2">
        <w:rPr>
          <w:rFonts w:ascii="Alef" w:eastAsia="Times New Roman" w:hAnsi="Alef" w:cs="Alef" w:hint="cs"/>
          <w:sz w:val="24"/>
          <w:szCs w:val="24"/>
          <w:rtl/>
        </w:rPr>
        <w:t xml:space="preserve">הסיטונאים מחזיקים </w:t>
      </w:r>
      <w:proofErr w:type="spellStart"/>
      <w:r w:rsidR="007D1CF5" w:rsidRPr="001D46C2">
        <w:rPr>
          <w:rFonts w:ascii="Alef" w:eastAsia="Times New Roman" w:hAnsi="Alef" w:cs="Alef" w:hint="cs"/>
          <w:sz w:val="24"/>
          <w:szCs w:val="24"/>
          <w:rtl/>
        </w:rPr>
        <w:t>מרלוג</w:t>
      </w:r>
      <w:proofErr w:type="spellEnd"/>
      <w:r w:rsidR="007D1CF5" w:rsidRPr="001D46C2">
        <w:rPr>
          <w:rFonts w:ascii="Alef" w:eastAsia="Times New Roman" w:hAnsi="Alef" w:cs="Alef" w:hint="cs"/>
          <w:sz w:val="24"/>
          <w:szCs w:val="24"/>
          <w:rtl/>
        </w:rPr>
        <w:t xml:space="preserve"> בו הם מאחסנים את הסחורה שרכשו מהספקים השונים</w:t>
      </w:r>
      <w:r w:rsidR="00D16C2F" w:rsidRPr="001D46C2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1D46C2" w:rsidRPr="001D46C2">
        <w:rPr>
          <w:rFonts w:ascii="Alef" w:eastAsia="Times New Roman" w:hAnsi="Alef" w:cs="Alef" w:hint="cs"/>
          <w:sz w:val="24"/>
          <w:szCs w:val="24"/>
          <w:rtl/>
        </w:rPr>
        <w:t>ועושים שימוש, לרוב, במשאיות וסוכני שטח להפצת מוצריהם ללקוחות השונים.</w:t>
      </w:r>
      <w:r w:rsidR="001D46C2" w:rsidRPr="001D46C2" w:rsidDel="001D46C2">
        <w:rPr>
          <w:rFonts w:ascii="Alef" w:eastAsia="Times New Roman" w:hAnsi="Alef" w:cs="Alef" w:hint="cs"/>
          <w:sz w:val="24"/>
          <w:szCs w:val="24"/>
          <w:rtl/>
        </w:rPr>
        <w:t xml:space="preserve"> </w:t>
      </w:r>
    </w:p>
    <w:p w14:paraId="1A4A1127" w14:textId="3EDE2C77" w:rsidR="00CC2FA1" w:rsidRPr="00856AA5" w:rsidRDefault="00133E34" w:rsidP="006E0B1C">
      <w:pPr>
        <w:pStyle w:val="Header"/>
        <w:tabs>
          <w:tab w:val="left" w:pos="720"/>
        </w:tabs>
        <w:spacing w:line="360" w:lineRule="auto"/>
        <w:jc w:val="both"/>
        <w:rPr>
          <w:rFonts w:ascii="Alef" w:hAnsi="Alef" w:cs="Alef"/>
          <w:bCs/>
          <w:sz w:val="30"/>
          <w:szCs w:val="28"/>
          <w:rtl/>
        </w:rPr>
      </w:pPr>
      <w:r w:rsidRPr="00856AA5">
        <w:rPr>
          <w:rFonts w:ascii="Alef" w:hAnsi="Alef" w:cs="Alef"/>
          <w:bCs/>
          <w:sz w:val="30"/>
          <w:szCs w:val="28"/>
          <w:rtl/>
        </w:rPr>
        <w:t>4</w:t>
      </w:r>
      <w:r w:rsidR="00CC2FA1" w:rsidRPr="00856AA5">
        <w:rPr>
          <w:rFonts w:ascii="Alef" w:hAnsi="Alef" w:cs="Alef"/>
          <w:bCs/>
          <w:sz w:val="30"/>
          <w:szCs w:val="28"/>
          <w:rtl/>
        </w:rPr>
        <w:t xml:space="preserve">. </w:t>
      </w:r>
      <w:r w:rsidR="006E0B1C" w:rsidRPr="00856AA5">
        <w:rPr>
          <w:rFonts w:ascii="Alef" w:hAnsi="Alef" w:cs="Alef"/>
          <w:bCs/>
          <w:sz w:val="30"/>
          <w:szCs w:val="28"/>
          <w:rtl/>
        </w:rPr>
        <w:t>ניתוח תחרותי</w:t>
      </w:r>
    </w:p>
    <w:p w14:paraId="518086B4" w14:textId="0A3FABA4" w:rsidR="00470F9D" w:rsidRPr="001D46C2" w:rsidRDefault="006E0B1C" w:rsidP="00470F9D">
      <w:pPr>
        <w:spacing w:before="120" w:after="120" w:line="360" w:lineRule="auto"/>
        <w:jc w:val="both"/>
        <w:rPr>
          <w:rFonts w:ascii="Alef" w:eastAsia="Times New Roman" w:hAnsi="Alef" w:cs="Alef"/>
          <w:b/>
          <w:bCs/>
          <w:sz w:val="24"/>
          <w:szCs w:val="24"/>
          <w:rtl/>
        </w:rPr>
      </w:pPr>
      <w:r w:rsidRPr="001D46C2">
        <w:rPr>
          <w:rFonts w:ascii="Alef" w:eastAsia="Times New Roman" w:hAnsi="Alef" w:cs="Alef"/>
          <w:b/>
          <w:bCs/>
          <w:sz w:val="24"/>
          <w:szCs w:val="24"/>
          <w:rtl/>
        </w:rPr>
        <w:t xml:space="preserve">4.1 </w:t>
      </w:r>
      <w:r w:rsidR="00470F9D" w:rsidRPr="001D46C2">
        <w:rPr>
          <w:rFonts w:ascii="Alef" w:eastAsia="Times New Roman" w:hAnsi="Alef" w:cs="Alef" w:hint="eastAsia"/>
          <w:b/>
          <w:bCs/>
          <w:sz w:val="24"/>
          <w:szCs w:val="24"/>
          <w:rtl/>
        </w:rPr>
        <w:t>עיקרו</w:t>
      </w:r>
      <w:r w:rsidR="00470F9D" w:rsidRPr="001D46C2">
        <w:rPr>
          <w:rFonts w:ascii="Alef" w:eastAsia="Times New Roman" w:hAnsi="Alef" w:cs="Alef"/>
          <w:b/>
          <w:bCs/>
          <w:sz w:val="24"/>
          <w:szCs w:val="24"/>
          <w:rtl/>
        </w:rPr>
        <w:t xml:space="preserve"> </w:t>
      </w:r>
      <w:r w:rsidR="00470F9D" w:rsidRPr="001D46C2">
        <w:rPr>
          <w:rFonts w:ascii="Alef" w:eastAsia="Times New Roman" w:hAnsi="Alef" w:cs="Alef" w:hint="eastAsia"/>
          <w:b/>
          <w:bCs/>
          <w:sz w:val="24"/>
          <w:szCs w:val="24"/>
          <w:rtl/>
        </w:rPr>
        <w:t>של</w:t>
      </w:r>
      <w:r w:rsidR="00470F9D" w:rsidRPr="001D46C2">
        <w:rPr>
          <w:rFonts w:ascii="Alef" w:eastAsia="Times New Roman" w:hAnsi="Alef" w:cs="Alef"/>
          <w:b/>
          <w:bCs/>
          <w:sz w:val="24"/>
          <w:szCs w:val="24"/>
          <w:rtl/>
        </w:rPr>
        <w:t xml:space="preserve"> </w:t>
      </w:r>
      <w:r w:rsidR="00470F9D" w:rsidRPr="001D46C2">
        <w:rPr>
          <w:rFonts w:ascii="Alef" w:eastAsia="Times New Roman" w:hAnsi="Alef" w:cs="Alef" w:hint="eastAsia"/>
          <w:b/>
          <w:bCs/>
          <w:sz w:val="24"/>
          <w:szCs w:val="24"/>
          <w:rtl/>
        </w:rPr>
        <w:t>ההסדר</w:t>
      </w:r>
    </w:p>
    <w:p w14:paraId="4ABC83ED" w14:textId="74CEC62C" w:rsidR="00470F9D" w:rsidRDefault="006E0B1C" w:rsidP="00790432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 w:rsidRPr="001D46C2">
        <w:rPr>
          <w:rFonts w:ascii="Alef" w:eastAsia="Times New Roman" w:hAnsi="Alef" w:cs="Alef"/>
          <w:sz w:val="24"/>
          <w:szCs w:val="24"/>
          <w:rtl/>
        </w:rPr>
        <w:t>ההסדר נועד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, 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אפוא, </w:t>
      </w:r>
      <w:r>
        <w:rPr>
          <w:rFonts w:ascii="Alef" w:eastAsia="Times New Roman" w:hAnsi="Alef" w:cs="Alef" w:hint="cs"/>
          <w:sz w:val="24"/>
          <w:szCs w:val="24"/>
          <w:rtl/>
        </w:rPr>
        <w:t>להפיץ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 מוצרים של מספר ספקים בצוותא </w:t>
      </w:r>
      <w:proofErr w:type="spellStart"/>
      <w:r w:rsidR="001F44E5">
        <w:rPr>
          <w:rFonts w:ascii="Alef" w:eastAsia="Times New Roman" w:hAnsi="Alef" w:cs="Alef" w:hint="cs"/>
          <w:sz w:val="24"/>
          <w:szCs w:val="24"/>
          <w:rtl/>
        </w:rPr>
        <w:t>חדא</w:t>
      </w:r>
      <w:proofErr w:type="spellEnd"/>
      <w:r w:rsidR="001F44E5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כך שיהיה ניתן להגיע גם אל קמעונאים שדרישת המינימום לא אפשרה להגיע אליהם כאשר כל ספק הפיץ את מוצריו בנפרד. </w:t>
      </w:r>
    </w:p>
    <w:p w14:paraId="5F381B09" w14:textId="3CEEB39E" w:rsidR="00A076A9" w:rsidRDefault="00470F9D" w:rsidP="00FD47ED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>כפי שנמסר על ידי הצדדים</w:t>
      </w:r>
      <w:r w:rsidRPr="00CD5A74" w:rsidDel="004470A8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נילוס תהווה, הלכה למעשה, מעין זירת מסחר שתאפשר לכל ספק להציג את מרכולתו </w:t>
      </w:r>
      <w:r>
        <w:rPr>
          <w:rFonts w:ascii="Alef" w:eastAsia="Times New Roman" w:hAnsi="Alef" w:cs="Alef" w:hint="cs"/>
          <w:sz w:val="24"/>
          <w:szCs w:val="24"/>
          <w:rtl/>
        </w:rPr>
        <w:lastRenderedPageBreak/>
        <w:t>במחיר אשר ייקבע על ידו (ללא כל התערבות מצד נילוס) ומנגד יכול כל קמעונאי ל</w:t>
      </w:r>
      <w:r w:rsidR="00331A7D">
        <w:rPr>
          <w:rFonts w:ascii="Alef" w:eastAsia="Times New Roman" w:hAnsi="Alef" w:cs="Alef" w:hint="cs"/>
          <w:sz w:val="24"/>
          <w:szCs w:val="24"/>
          <w:rtl/>
        </w:rPr>
        <w:t xml:space="preserve">בחור מתוך מגוון </w:t>
      </w:r>
      <w:r>
        <w:rPr>
          <w:rFonts w:ascii="Alef" w:eastAsia="Times New Roman" w:hAnsi="Alef" w:cs="Alef" w:hint="cs"/>
          <w:sz w:val="24"/>
          <w:szCs w:val="24"/>
          <w:rtl/>
        </w:rPr>
        <w:t>המוצרים המוצעים ב</w:t>
      </w:r>
      <w:r w:rsidR="00331A7D">
        <w:rPr>
          <w:rFonts w:ascii="Alef" w:eastAsia="Times New Roman" w:hAnsi="Alef" w:cs="Alef" w:hint="cs"/>
          <w:sz w:val="24"/>
          <w:szCs w:val="24"/>
          <w:rtl/>
        </w:rPr>
        <w:t>זירת המסחר את המוצרים שהוא מעוניין לרכוש</w:t>
      </w:r>
      <w:r>
        <w:rPr>
          <w:rFonts w:ascii="Alef" w:eastAsia="Times New Roman" w:hAnsi="Alef" w:cs="Alef" w:hint="cs"/>
          <w:sz w:val="24"/>
          <w:szCs w:val="24"/>
          <w:rtl/>
        </w:rPr>
        <w:t>. לאחר ביצוע הזמנה על ידי הקמעונאי יופצו כל המוצרים אותם רכש</w:t>
      </w:r>
      <w:r w:rsidR="00FD47ED">
        <w:rPr>
          <w:rFonts w:ascii="Alef" w:eastAsia="Times New Roman" w:hAnsi="Alef" w:cs="Alef" w:hint="cs"/>
          <w:sz w:val="24"/>
          <w:szCs w:val="24"/>
          <w:rtl/>
        </w:rPr>
        <w:t xml:space="preserve"> הקמעונאי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באמצעות </w:t>
      </w:r>
      <w:r w:rsidR="00AA35BD">
        <w:rPr>
          <w:rFonts w:ascii="Alef" w:eastAsia="Times New Roman" w:hAnsi="Alef" w:cs="Alef" w:hint="cs"/>
          <w:sz w:val="24"/>
          <w:szCs w:val="24"/>
          <w:rtl/>
        </w:rPr>
        <w:t>בר הפצה המתמחה כאמור במתן פתרונות לוגיסטיקה והפצה</w:t>
      </w:r>
      <w:r w:rsidR="00FD47ED">
        <w:rPr>
          <w:rFonts w:ascii="Alef" w:eastAsia="Times New Roman" w:hAnsi="Alef" w:cs="Alef" w:hint="cs"/>
          <w:sz w:val="24"/>
          <w:szCs w:val="24"/>
          <w:rtl/>
        </w:rPr>
        <w:t xml:space="preserve">. בר הפצה </w:t>
      </w:r>
      <w:r w:rsidR="00141BF0">
        <w:rPr>
          <w:rFonts w:ascii="Alef" w:eastAsia="Times New Roman" w:hAnsi="Alef" w:cs="Alef" w:hint="cs"/>
          <w:sz w:val="24"/>
          <w:szCs w:val="24"/>
          <w:rtl/>
        </w:rPr>
        <w:t xml:space="preserve">תספק </w:t>
      </w:r>
      <w:r w:rsidR="00331A7D">
        <w:rPr>
          <w:rFonts w:ascii="Alef" w:eastAsia="Times New Roman" w:hAnsi="Alef" w:cs="Alef" w:hint="cs"/>
          <w:sz w:val="24"/>
          <w:szCs w:val="24"/>
          <w:rtl/>
        </w:rPr>
        <w:t>את ה</w:t>
      </w:r>
      <w:r w:rsidR="00141BF0">
        <w:rPr>
          <w:rFonts w:ascii="Alef" w:eastAsia="Times New Roman" w:hAnsi="Alef" w:cs="Alef" w:hint="cs"/>
          <w:sz w:val="24"/>
          <w:szCs w:val="24"/>
          <w:rtl/>
        </w:rPr>
        <w:t xml:space="preserve">שירותים </w:t>
      </w:r>
      <w:r w:rsidR="00331A7D">
        <w:rPr>
          <w:rFonts w:ascii="Alef" w:eastAsia="Times New Roman" w:hAnsi="Alef" w:cs="Alef" w:hint="cs"/>
          <w:sz w:val="24"/>
          <w:szCs w:val="24"/>
          <w:rtl/>
        </w:rPr>
        <w:t>ה</w:t>
      </w:r>
      <w:r w:rsidR="00141BF0">
        <w:rPr>
          <w:rFonts w:ascii="Alef" w:eastAsia="Times New Roman" w:hAnsi="Alef" w:cs="Alef" w:hint="cs"/>
          <w:sz w:val="24"/>
          <w:szCs w:val="24"/>
          <w:rtl/>
        </w:rPr>
        <w:t>אלה, ובכלל זה</w:t>
      </w:r>
      <w:r w:rsidR="00C5518E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331A7D">
        <w:rPr>
          <w:rFonts w:ascii="Alef" w:eastAsia="Times New Roman" w:hAnsi="Alef" w:cs="Alef" w:hint="cs"/>
          <w:sz w:val="24"/>
          <w:szCs w:val="24"/>
          <w:rtl/>
        </w:rPr>
        <w:t xml:space="preserve">את </w:t>
      </w:r>
      <w:r w:rsidR="00C5518E">
        <w:rPr>
          <w:rFonts w:ascii="Alef" w:eastAsia="Times New Roman" w:hAnsi="Alef" w:cs="Alef" w:hint="cs"/>
          <w:sz w:val="24"/>
          <w:szCs w:val="24"/>
          <w:rtl/>
        </w:rPr>
        <w:t>ליקוט המוצרים והגביה</w:t>
      </w:r>
      <w:r w:rsidR="001F44E5">
        <w:rPr>
          <w:rFonts w:ascii="Alef" w:eastAsia="Times New Roman" w:hAnsi="Alef" w:cs="Alef" w:hint="cs"/>
          <w:sz w:val="24"/>
          <w:szCs w:val="24"/>
          <w:rtl/>
        </w:rPr>
        <w:t>.</w:t>
      </w:r>
      <w:r w:rsidR="00A076A9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331A7D">
        <w:rPr>
          <w:rFonts w:ascii="Alef" w:eastAsia="Times New Roman" w:hAnsi="Alef" w:cs="Alef" w:hint="cs"/>
          <w:sz w:val="24"/>
          <w:szCs w:val="24"/>
          <w:rtl/>
        </w:rPr>
        <w:t xml:space="preserve">על פי האמור בבקשת הפטור, </w:t>
      </w:r>
      <w:r w:rsidR="00A076A9">
        <w:rPr>
          <w:rFonts w:ascii="Alef" w:eastAsia="Times New Roman" w:hAnsi="Alef" w:cs="Alef" w:hint="cs"/>
          <w:sz w:val="24"/>
          <w:szCs w:val="24"/>
          <w:rtl/>
        </w:rPr>
        <w:t xml:space="preserve">כל </w:t>
      </w:r>
      <w:r w:rsidR="00331A7D">
        <w:rPr>
          <w:rFonts w:ascii="Alef" w:eastAsia="Times New Roman" w:hAnsi="Alef" w:cs="Alef" w:hint="cs"/>
          <w:sz w:val="24"/>
          <w:szCs w:val="24"/>
          <w:rtl/>
        </w:rPr>
        <w:t xml:space="preserve">התהליך המתואר לעיל יתבצע 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ללא כל התערבות מצד הספקים שהם בעלי המניות בנילוס. </w:t>
      </w:r>
    </w:p>
    <w:p w14:paraId="50477687" w14:textId="649612D2" w:rsidR="002F480E" w:rsidRDefault="00A076A9" w:rsidP="002A6326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 xml:space="preserve">עוד מסרו הצדדים כי 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>עמלת הפצת המוצרים שיסופקו תשולם על ידי הספקים</w:t>
      </w:r>
      <w:r w:rsidR="00CA2309">
        <w:rPr>
          <w:rFonts w:ascii="Alef" w:eastAsia="Times New Roman" w:hAnsi="Alef" w:cs="Alef" w:hint="cs"/>
          <w:sz w:val="24"/>
          <w:szCs w:val="24"/>
          <w:rtl/>
        </w:rPr>
        <w:t>, כך ש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הקמעונאי </w:t>
      </w:r>
      <w:r w:rsidR="00CA2309">
        <w:rPr>
          <w:rFonts w:ascii="Alef" w:eastAsia="Times New Roman" w:hAnsi="Alef" w:cs="Alef" w:hint="cs"/>
          <w:sz w:val="24"/>
          <w:szCs w:val="24"/>
          <w:rtl/>
        </w:rPr>
        <w:t>לא יי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דרש לשלם תשלום כלשהו </w:t>
      </w:r>
      <w:r w:rsidR="00CA2309">
        <w:rPr>
          <w:rFonts w:ascii="Alef" w:eastAsia="Times New Roman" w:hAnsi="Alef" w:cs="Alef" w:hint="cs"/>
          <w:sz w:val="24"/>
          <w:szCs w:val="24"/>
          <w:rtl/>
        </w:rPr>
        <w:t xml:space="preserve">ישירות לנילוס, 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>זולת התשלום בעבור המוצרים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; 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עמלת </w:t>
      </w:r>
      <w:r w:rsidR="00CA2309">
        <w:rPr>
          <w:rFonts w:ascii="Alef" w:eastAsia="Times New Roman" w:hAnsi="Alef" w:cs="Alef" w:hint="cs"/>
          <w:sz w:val="24"/>
          <w:szCs w:val="24"/>
          <w:rtl/>
        </w:rPr>
        <w:t>ה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>הפצה תקבע על ידי פרמטרים שוויוניים בין כלל משתמשי נילוס, בין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אם הם בעלי מניות בנילוס </w:t>
      </w:r>
      <w:r w:rsidR="002A6326">
        <w:rPr>
          <w:rFonts w:ascii="Alef" w:eastAsia="Times New Roman" w:hAnsi="Alef" w:cs="Alef" w:hint="cs"/>
          <w:sz w:val="24"/>
          <w:szCs w:val="24"/>
          <w:rtl/>
        </w:rPr>
        <w:t xml:space="preserve">ובין אם </w:t>
      </w:r>
      <w:r>
        <w:rPr>
          <w:rFonts w:ascii="Alef" w:eastAsia="Times New Roman" w:hAnsi="Alef" w:cs="Alef" w:hint="cs"/>
          <w:sz w:val="24"/>
          <w:szCs w:val="24"/>
          <w:rtl/>
        </w:rPr>
        <w:t>לאו;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470F9D">
        <w:rPr>
          <w:rFonts w:ascii="Alef" w:eastAsia="Times New Roman" w:hAnsi="Alef" w:cs="Alef" w:hint="cs"/>
          <w:sz w:val="24"/>
          <w:szCs w:val="24"/>
          <w:rtl/>
        </w:rPr>
        <w:lastRenderedPageBreak/>
        <w:t>לא יועבר לספקים מידע על מתחריהם (לרבות כמויות, מחירים מלאי וכדומה) ולקמעונאים לקוחות נילוס לא יועבר מידע על קמעונאים אחרים</w:t>
      </w:r>
      <w:r w:rsidR="002A6326">
        <w:rPr>
          <w:rFonts w:ascii="Alef" w:eastAsia="Times New Roman" w:hAnsi="Alef" w:cs="Alef" w:hint="cs"/>
          <w:sz w:val="24"/>
          <w:szCs w:val="24"/>
          <w:rtl/>
        </w:rPr>
        <w:t>;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 נילוס לא </w:t>
      </w:r>
      <w:r w:rsidR="00CA2309">
        <w:rPr>
          <w:rFonts w:ascii="Alef" w:eastAsia="Times New Roman" w:hAnsi="Alef" w:cs="Alef" w:hint="cs"/>
          <w:sz w:val="24"/>
          <w:szCs w:val="24"/>
          <w:rtl/>
        </w:rPr>
        <w:t>תמנע מה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ספקים (לרבות בעלי מניות) מלהפיץ את מוצריהם באמצעות ערוצי הפצה אחרים. </w:t>
      </w:r>
    </w:p>
    <w:p w14:paraId="4F2E210D" w14:textId="44193145" w:rsidR="00470F9D" w:rsidRDefault="00FE0A1C" w:rsidP="00C81875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>ייאמר כבר בפתח הדברים</w:t>
      </w:r>
      <w:r w:rsidR="002F480E" w:rsidRPr="002F480E">
        <w:rPr>
          <w:rFonts w:ascii="Alef" w:eastAsia="Times New Roman" w:hAnsi="Alef" w:cs="Alef"/>
          <w:sz w:val="24"/>
          <w:szCs w:val="24"/>
          <w:rtl/>
        </w:rPr>
        <w:t xml:space="preserve">, כי </w:t>
      </w:r>
      <w:r w:rsidR="00B86C17">
        <w:rPr>
          <w:rFonts w:ascii="Alef" w:eastAsia="Times New Roman" w:hAnsi="Alef" w:cs="Alef" w:hint="cs"/>
          <w:sz w:val="24"/>
          <w:szCs w:val="24"/>
          <w:rtl/>
        </w:rPr>
        <w:t xml:space="preserve">הבחינה התחרותית </w:t>
      </w:r>
      <w:r w:rsidR="00C81875">
        <w:rPr>
          <w:rFonts w:ascii="Alef" w:eastAsia="Times New Roman" w:hAnsi="Alef" w:cs="Alef" w:hint="cs"/>
          <w:sz w:val="24"/>
          <w:szCs w:val="24"/>
          <w:rtl/>
        </w:rPr>
        <w:t xml:space="preserve">של ההסדר נסמכה על </w:t>
      </w:r>
      <w:r w:rsidR="00477B80">
        <w:rPr>
          <w:rFonts w:ascii="Alef" w:eastAsia="Times New Roman" w:hAnsi="Alef" w:cs="Alef" w:hint="cs"/>
          <w:sz w:val="24"/>
          <w:szCs w:val="24"/>
          <w:rtl/>
        </w:rPr>
        <w:t>מצגי הצדדים ביחס לאופן פעילות</w:t>
      </w:r>
      <w:r w:rsidR="000E1EFD">
        <w:rPr>
          <w:rFonts w:ascii="Alef" w:eastAsia="Times New Roman" w:hAnsi="Alef" w:cs="Alef" w:hint="cs"/>
          <w:sz w:val="24"/>
          <w:szCs w:val="24"/>
          <w:rtl/>
        </w:rPr>
        <w:t>ו</w:t>
      </w:r>
      <w:r w:rsidR="00477B80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0E1EFD">
        <w:rPr>
          <w:rFonts w:ascii="Alef" w:eastAsia="Times New Roman" w:hAnsi="Alef" w:cs="Alef" w:hint="cs"/>
          <w:sz w:val="24"/>
          <w:szCs w:val="24"/>
          <w:rtl/>
        </w:rPr>
        <w:t xml:space="preserve">העתידי של מיזם </w:t>
      </w:r>
      <w:r w:rsidR="00477B80">
        <w:rPr>
          <w:rFonts w:ascii="Alef" w:eastAsia="Times New Roman" w:hAnsi="Alef" w:cs="Alef" w:hint="cs"/>
          <w:sz w:val="24"/>
          <w:szCs w:val="24"/>
          <w:rtl/>
        </w:rPr>
        <w:t>נילוס</w:t>
      </w:r>
      <w:r w:rsidR="00C81875">
        <w:rPr>
          <w:rFonts w:ascii="Alef" w:eastAsia="Times New Roman" w:hAnsi="Alef" w:cs="Alef" w:hint="cs"/>
          <w:sz w:val="24"/>
          <w:szCs w:val="24"/>
          <w:rtl/>
        </w:rPr>
        <w:t>,</w:t>
      </w:r>
      <w:r w:rsidR="002F480E" w:rsidRPr="002F480E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477B80">
        <w:rPr>
          <w:rFonts w:ascii="Alef" w:eastAsia="Times New Roman" w:hAnsi="Alef" w:cs="Alef"/>
          <w:sz w:val="24"/>
          <w:szCs w:val="24"/>
          <w:rtl/>
        </w:rPr>
        <w:t xml:space="preserve">כך שכל שינוי </w:t>
      </w:r>
      <w:r w:rsidR="000E1EFD">
        <w:rPr>
          <w:rFonts w:ascii="Alef" w:eastAsia="Times New Roman" w:hAnsi="Alef" w:cs="Alef" w:hint="cs"/>
          <w:sz w:val="24"/>
          <w:szCs w:val="24"/>
          <w:rtl/>
        </w:rPr>
        <w:t xml:space="preserve">בפרט מהותי </w:t>
      </w:r>
      <w:r w:rsidR="00C81875">
        <w:rPr>
          <w:rFonts w:ascii="Alef" w:eastAsia="Times New Roman" w:hAnsi="Alef" w:cs="Alef" w:hint="cs"/>
          <w:sz w:val="24"/>
          <w:szCs w:val="24"/>
          <w:rtl/>
        </w:rPr>
        <w:t>בהסדר</w:t>
      </w:r>
      <w:r w:rsidR="000E1EFD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2F480E" w:rsidRPr="002F480E">
        <w:rPr>
          <w:rFonts w:ascii="Alef" w:eastAsia="Times New Roman" w:hAnsi="Alef" w:cs="Alef"/>
          <w:sz w:val="24"/>
          <w:szCs w:val="24"/>
          <w:rtl/>
        </w:rPr>
        <w:t xml:space="preserve">דינו כדין הסדר כובל חדש שאסור ללא היתר </w:t>
      </w:r>
      <w:r w:rsidR="00477B80">
        <w:rPr>
          <w:rFonts w:ascii="Alef" w:eastAsia="Times New Roman" w:hAnsi="Alef" w:cs="Alef" w:hint="cs"/>
          <w:sz w:val="24"/>
          <w:szCs w:val="24"/>
          <w:rtl/>
        </w:rPr>
        <w:t>כדין</w:t>
      </w:r>
      <w:r w:rsidR="002F480E" w:rsidRPr="002F480E">
        <w:rPr>
          <w:rFonts w:ascii="Alef" w:eastAsia="Times New Roman" w:hAnsi="Alef" w:cs="Alef"/>
          <w:sz w:val="24"/>
          <w:szCs w:val="24"/>
          <w:rtl/>
        </w:rPr>
        <w:t>.</w:t>
      </w:r>
      <w:r w:rsidR="00470F9D">
        <w:rPr>
          <w:rFonts w:ascii="Alef" w:eastAsia="Times New Roman" w:hAnsi="Alef" w:cs="Alef" w:hint="cs"/>
          <w:sz w:val="24"/>
          <w:szCs w:val="24"/>
          <w:rtl/>
        </w:rPr>
        <w:t xml:space="preserve"> </w:t>
      </w:r>
    </w:p>
    <w:p w14:paraId="580D2698" w14:textId="505F45D9" w:rsidR="006E0B1C" w:rsidRDefault="00477B80" w:rsidP="00470F9D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>לאור כל האמור</w:t>
      </w:r>
      <w:r w:rsidRPr="00477B80">
        <w:rPr>
          <w:rFonts w:ascii="Alef" w:eastAsia="Times New Roman" w:hAnsi="Alef" w:cs="Alef"/>
          <w:sz w:val="24"/>
          <w:szCs w:val="24"/>
          <w:rtl/>
        </w:rPr>
        <w:t>, אין מדובר בהסדר שעיקרו הפחתת התחרות או מניעתה ואין בו כבילות שאינן נחוצות למימוש עיקרו ומתקיימים תנאי סעיף 14(א)(2) לחוק התחרות.</w:t>
      </w:r>
    </w:p>
    <w:p w14:paraId="4DEFCA1A" w14:textId="5999F49D" w:rsidR="006E0B1C" w:rsidRPr="00A076A9" w:rsidRDefault="006E0B1C" w:rsidP="006E0B1C">
      <w:pPr>
        <w:spacing w:before="120" w:after="120" w:line="360" w:lineRule="auto"/>
        <w:jc w:val="both"/>
        <w:rPr>
          <w:rFonts w:ascii="Alef" w:eastAsia="Times New Roman" w:hAnsi="Alef" w:cs="Alef"/>
          <w:b/>
          <w:bCs/>
          <w:sz w:val="24"/>
          <w:szCs w:val="24"/>
          <w:rtl/>
        </w:rPr>
      </w:pPr>
      <w:r w:rsidRPr="0023184D">
        <w:rPr>
          <w:rFonts w:ascii="Alef" w:eastAsia="Times New Roman" w:hAnsi="Alef" w:cs="Alef"/>
          <w:b/>
          <w:bCs/>
          <w:sz w:val="24"/>
          <w:szCs w:val="24"/>
          <w:rtl/>
        </w:rPr>
        <w:t xml:space="preserve">4.2 </w:t>
      </w:r>
      <w:r>
        <w:rPr>
          <w:rFonts w:ascii="Alef" w:eastAsia="Times New Roman" w:hAnsi="Alef" w:cs="Alef" w:hint="cs"/>
          <w:b/>
          <w:bCs/>
          <w:sz w:val="24"/>
          <w:szCs w:val="24"/>
          <w:rtl/>
        </w:rPr>
        <w:t>השפעת ההסדר על התחרות</w:t>
      </w:r>
    </w:p>
    <w:p w14:paraId="51CF6C36" w14:textId="1CB9C0F9" w:rsidR="00F61A65" w:rsidRDefault="007E6578" w:rsidP="00FE0A1C">
      <w:pPr>
        <w:spacing w:before="120" w:after="120" w:line="360" w:lineRule="auto"/>
        <w:jc w:val="both"/>
        <w:rPr>
          <w:rFonts w:ascii="Alef" w:eastAsia="Times New Roman" w:hAnsi="Alef" w:cs="Alef"/>
          <w:color w:val="000000"/>
          <w:sz w:val="24"/>
          <w:szCs w:val="24"/>
          <w:rtl/>
          <w:lang w:eastAsia="he-IL"/>
        </w:rPr>
      </w:pPr>
      <w:r w:rsidRPr="00A076A9">
        <w:rPr>
          <w:rFonts w:ascii="Alef" w:eastAsia="Times New Roman" w:hAnsi="Alef" w:cs="Alef"/>
          <w:color w:val="000000"/>
          <w:sz w:val="24"/>
          <w:szCs w:val="24"/>
          <w:rtl/>
          <w:lang w:eastAsia="he-IL"/>
        </w:rPr>
        <w:lastRenderedPageBreak/>
        <w:t xml:space="preserve">תחום ההפצה מתאפיין במבנה עלויות קבועות משמעותיות כך </w:t>
      </w:r>
      <w:r w:rsidR="00C619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ש</w:t>
      </w:r>
      <w:r w:rsidRPr="00A076A9">
        <w:rPr>
          <w:rFonts w:ascii="Alef" w:eastAsia="Times New Roman" w:hAnsi="Alef" w:cs="Alef"/>
          <w:color w:val="000000"/>
          <w:sz w:val="24"/>
          <w:szCs w:val="24"/>
          <w:rtl/>
          <w:lang w:eastAsia="he-IL"/>
        </w:rPr>
        <w:t>מערכי הפצה נהנים מיתרונות משמעותיים לגודל</w:t>
      </w:r>
      <w:r w:rsidRPr="00A076A9">
        <w:rPr>
          <w:rFonts w:ascii="Alef" w:eastAsia="Times New Roman" w:hAnsi="Alef" w:cs="Alef"/>
          <w:color w:val="000000"/>
          <w:sz w:val="24"/>
          <w:szCs w:val="24"/>
          <w:lang w:eastAsia="he-IL"/>
        </w:rPr>
        <w:t>.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ה</w:t>
      </w:r>
      <w:r w:rsidR="00C619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מיזם צפוי ל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ה</w:t>
      </w:r>
      <w:r w:rsidR="00C619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פחית באופן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משמעותי </w:t>
      </w:r>
      <w:r w:rsidR="00C619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את ה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עלות השולית להפצה</w:t>
      </w:r>
      <w:r w:rsidR="00C619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, 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בין היתר מפני </w:t>
      </w:r>
      <w:r w:rsidR="00FE0A1C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שספקים לא יצטרכו לשלוח משאית נפרדת רק להם לנקודות הקצה הקמעונאיות </w:t>
      </w:r>
      <w:r w:rsidR="00C619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, </w:t>
      </w:r>
      <w:r w:rsidR="00CD3D80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וכך </w:t>
      </w:r>
      <w:r w:rsidR="00FE0A1C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הם </w:t>
      </w:r>
      <w:r w:rsidR="00CD3D80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צפוי</w:t>
      </w:r>
      <w:r w:rsidR="00FE0A1C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ים</w:t>
      </w:r>
      <w:r w:rsidR="00C619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להוזיל את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מחיר ההפצה </w:t>
      </w:r>
      <w:r w:rsidR="00C619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ו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להגדיל את היצע המוצרים שיוצעו לקמעונאים</w:t>
      </w:r>
      <w:r w:rsidR="00C619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קטנים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. </w:t>
      </w:r>
      <w:r w:rsidR="00EB33BE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יתרונות נוספים שעשויים לצמוח מהמיזם הם מתן אפשרות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לספקים </w:t>
      </w:r>
      <w:r w:rsidR="00EB33BE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רבים יותר </w:t>
      </w:r>
      <w:r w:rsidR="005667C1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להגיע ל</w:t>
      </w:r>
      <w:r w:rsidR="007F4B0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קמעונאים ש</w:t>
      </w:r>
      <w:r w:rsidR="00EB33BE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אינם עומדים כיום בדרישת המינימום, וה</w:t>
      </w:r>
      <w:r w:rsidR="007F4B0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יכולת של קמעונאים </w:t>
      </w:r>
      <w:proofErr w:type="spellStart"/>
      <w:r w:rsidR="007F4B0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לתחר</w:t>
      </w:r>
      <w:proofErr w:type="spellEnd"/>
      <w:r w:rsidR="007F4B0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בין מספר רב יותר של ספקים </w:t>
      </w:r>
      <w:r w:rsidR="007D3F69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בקלות יחסית. </w:t>
      </w:r>
      <w:r w:rsidR="007F4B0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כאמור</w:t>
      </w:r>
      <w:r w:rsidR="00CD3D80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,</w:t>
      </w:r>
      <w:r w:rsidR="007F4B0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הצדדים הבהירו כי </w:t>
      </w:r>
      <w:r w:rsidR="00F61A6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מחיר המוצרים </w:t>
      </w:r>
      <w:r w:rsidR="00CD3D80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שיוצע לקמעונאים </w:t>
      </w:r>
      <w:r w:rsidR="00F61A6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ייקבע על ידי כל ספק בנפרד וללא כל מעורבות מצד נילוס</w:t>
      </w:r>
      <w:r w:rsidR="007F4B0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. </w:t>
      </w:r>
    </w:p>
    <w:p w14:paraId="329DAB2C" w14:textId="1D2CC030" w:rsidR="00133E34" w:rsidRDefault="00B94D21" w:rsidP="002D0D7E">
      <w:pPr>
        <w:spacing w:before="120" w:after="120" w:line="360" w:lineRule="auto"/>
        <w:jc w:val="both"/>
        <w:rPr>
          <w:rFonts w:ascii="Alef" w:eastAsia="Times New Roman" w:hAnsi="Alef" w:cs="Alef"/>
          <w:color w:val="000000"/>
          <w:sz w:val="24"/>
          <w:szCs w:val="24"/>
          <w:rtl/>
          <w:lang w:eastAsia="he-IL"/>
        </w:rPr>
      </w:pP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lastRenderedPageBreak/>
        <w:t>עם זאת, בצד היעילות שבהסדר,</w:t>
      </w:r>
      <w:r w:rsidR="00F61A6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עשוי</w:t>
      </w: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ים</w:t>
      </w:r>
      <w:r w:rsidR="00F61A6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</w:t>
      </w: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להתעורר</w:t>
      </w:r>
      <w:r w:rsidR="00F61A6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מספר חששות תחרותיים</w:t>
      </w:r>
      <w:r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כתוצאה מיישומו</w:t>
      </w:r>
      <w:r w:rsidR="00F61A65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: </w:t>
      </w:r>
      <w:r w:rsidR="005755DA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חסימת </w:t>
      </w:r>
      <w:r w:rsidR="000C0C6F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ספקים</w:t>
      </w:r>
      <w:r w:rsidR="005755DA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על ידי נילוס; הפעלת כוח שוק, חד צדדי או מתואם, </w:t>
      </w:r>
      <w:r w:rsidR="00221EA3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על ידי ספקים כלפי קמעונאים וחשש</w:t>
      </w:r>
      <w:r w:rsidR="00133E3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כתוצאה מקיומו של שולחן משותף. </w:t>
      </w:r>
      <w:proofErr w:type="spellStart"/>
      <w:r w:rsidR="00133E3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הכל</w:t>
      </w:r>
      <w:proofErr w:type="spellEnd"/>
      <w:r w:rsidR="00133E34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 xml:space="preserve"> כפי שיוסבר להלן</w:t>
      </w:r>
      <w:r w:rsidR="002D0D7E">
        <w:rPr>
          <w:rFonts w:ascii="Alef" w:eastAsia="Times New Roman" w:hAnsi="Alef" w:cs="Alef" w:hint="cs"/>
          <w:color w:val="000000"/>
          <w:sz w:val="24"/>
          <w:szCs w:val="24"/>
          <w:rtl/>
          <w:lang w:eastAsia="he-IL"/>
        </w:rPr>
        <w:t>.</w:t>
      </w:r>
    </w:p>
    <w:p w14:paraId="2A4E9E7F" w14:textId="28AAF417" w:rsidR="00133E34" w:rsidRDefault="00133E34" w:rsidP="007D3F69">
      <w:pPr>
        <w:rPr>
          <w:rFonts w:ascii="Alef" w:eastAsia="Times New Roman" w:hAnsi="Alef" w:cs="Alef"/>
          <w:i/>
          <w:iCs/>
          <w:color w:val="000000"/>
          <w:sz w:val="24"/>
          <w:szCs w:val="24"/>
          <w:rtl/>
          <w:lang w:eastAsia="he-IL"/>
        </w:rPr>
      </w:pPr>
      <w:r w:rsidRPr="007D3F69">
        <w:rPr>
          <w:rFonts w:ascii="Alef" w:eastAsia="Times New Roman" w:hAnsi="Alef" w:cs="Alef" w:hint="eastAsia"/>
          <w:color w:val="000000"/>
          <w:sz w:val="24"/>
          <w:szCs w:val="24"/>
          <w:u w:val="single"/>
          <w:rtl/>
          <w:lang w:eastAsia="he-IL"/>
        </w:rPr>
        <w:t>חסימת</w:t>
      </w:r>
      <w:r w:rsidRPr="007D3F69">
        <w:rPr>
          <w:rFonts w:ascii="Alef" w:eastAsia="Times New Roman" w:hAnsi="Alef" w:cs="Alef"/>
          <w:color w:val="000000"/>
          <w:sz w:val="24"/>
          <w:szCs w:val="24"/>
          <w:u w:val="single"/>
          <w:rtl/>
          <w:lang w:eastAsia="he-IL"/>
        </w:rPr>
        <w:t xml:space="preserve"> </w:t>
      </w:r>
      <w:r w:rsidRPr="007D3F69">
        <w:rPr>
          <w:rFonts w:ascii="Alef" w:eastAsia="Times New Roman" w:hAnsi="Alef" w:cs="Alef" w:hint="eastAsia"/>
          <w:color w:val="000000"/>
          <w:sz w:val="24"/>
          <w:szCs w:val="24"/>
          <w:u w:val="single"/>
          <w:rtl/>
          <w:lang w:eastAsia="he-IL"/>
        </w:rPr>
        <w:t>ספקים</w:t>
      </w:r>
      <w:r w:rsidRPr="007D3F69">
        <w:rPr>
          <w:rFonts w:ascii="Alef" w:eastAsia="Times New Roman" w:hAnsi="Alef" w:cs="Alef"/>
          <w:color w:val="000000"/>
          <w:sz w:val="24"/>
          <w:szCs w:val="24"/>
          <w:u w:val="single"/>
          <w:rtl/>
          <w:lang w:eastAsia="he-IL"/>
        </w:rPr>
        <w:t xml:space="preserve"> </w:t>
      </w:r>
      <w:r w:rsidRPr="007D3F69">
        <w:rPr>
          <w:rFonts w:ascii="Alef" w:eastAsia="Times New Roman" w:hAnsi="Alef" w:cs="Alef" w:hint="eastAsia"/>
          <w:color w:val="000000"/>
          <w:sz w:val="24"/>
          <w:szCs w:val="24"/>
          <w:u w:val="single"/>
          <w:rtl/>
          <w:lang w:eastAsia="he-IL"/>
        </w:rPr>
        <w:t>על</w:t>
      </w:r>
      <w:r w:rsidRPr="007D3F69">
        <w:rPr>
          <w:rFonts w:ascii="Alef" w:eastAsia="Times New Roman" w:hAnsi="Alef" w:cs="Alef"/>
          <w:color w:val="000000"/>
          <w:sz w:val="24"/>
          <w:szCs w:val="24"/>
          <w:u w:val="single"/>
          <w:rtl/>
          <w:lang w:eastAsia="he-IL"/>
        </w:rPr>
        <w:t xml:space="preserve"> </w:t>
      </w:r>
      <w:r w:rsidRPr="007D3F69">
        <w:rPr>
          <w:rFonts w:ascii="Alef" w:eastAsia="Times New Roman" w:hAnsi="Alef" w:cs="Alef" w:hint="eastAsia"/>
          <w:color w:val="000000"/>
          <w:sz w:val="24"/>
          <w:szCs w:val="24"/>
          <w:u w:val="single"/>
          <w:rtl/>
          <w:lang w:eastAsia="he-IL"/>
        </w:rPr>
        <w:t>ידי</w:t>
      </w:r>
      <w:r w:rsidRPr="007D3F69">
        <w:rPr>
          <w:rFonts w:ascii="Alef" w:eastAsia="Times New Roman" w:hAnsi="Alef" w:cs="Alef"/>
          <w:color w:val="000000"/>
          <w:sz w:val="24"/>
          <w:szCs w:val="24"/>
          <w:u w:val="single"/>
          <w:rtl/>
          <w:lang w:eastAsia="he-IL"/>
        </w:rPr>
        <w:t xml:space="preserve"> </w:t>
      </w:r>
      <w:r w:rsidRPr="007D3F69">
        <w:rPr>
          <w:rFonts w:ascii="Alef" w:eastAsia="Times New Roman" w:hAnsi="Alef" w:cs="Alef" w:hint="eastAsia"/>
          <w:color w:val="000000"/>
          <w:sz w:val="24"/>
          <w:szCs w:val="24"/>
          <w:u w:val="single"/>
          <w:rtl/>
          <w:lang w:eastAsia="he-IL"/>
        </w:rPr>
        <w:t>נילוס</w:t>
      </w:r>
    </w:p>
    <w:p w14:paraId="650FBDEB" w14:textId="7729CC04" w:rsidR="0024769B" w:rsidRPr="00C926EF" w:rsidRDefault="00F12DFA" w:rsidP="00B16ACF">
      <w:pPr>
        <w:spacing w:before="120" w:after="120" w:line="360" w:lineRule="auto"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>כפי שהוסבר, מערכי הפצה נהנים מיתרונות משמעותיים לגודל</w:t>
      </w:r>
      <w:r w:rsidR="00B16ACF">
        <w:rPr>
          <w:rFonts w:ascii="Alef" w:eastAsia="Times New Roman" w:hAnsi="Alef" w:cs="Alef" w:hint="cs"/>
          <w:sz w:val="24"/>
          <w:szCs w:val="24"/>
          <w:rtl/>
        </w:rPr>
        <w:t xml:space="preserve"> ויתרונות לרשת.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לפיכך, ככל שנילוס תהפוך לגורם משמעותי </w:t>
      </w:r>
      <w:r w:rsidR="0089745C">
        <w:rPr>
          <w:rFonts w:ascii="Alef" w:eastAsia="Times New Roman" w:hAnsi="Alef" w:cs="Alef" w:hint="cs"/>
          <w:sz w:val="24"/>
          <w:szCs w:val="24"/>
          <w:rtl/>
        </w:rPr>
        <w:t>י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יהנו </w:t>
      </w:r>
      <w:proofErr w:type="spellStart"/>
      <w:r>
        <w:rPr>
          <w:rFonts w:ascii="Alef" w:eastAsia="Times New Roman" w:hAnsi="Alef" w:cs="Alef" w:hint="cs"/>
          <w:sz w:val="24"/>
          <w:szCs w:val="24"/>
          <w:rtl/>
        </w:rPr>
        <w:t>משתמשיה</w:t>
      </w:r>
      <w:proofErr w:type="spellEnd"/>
      <w:r>
        <w:rPr>
          <w:rFonts w:ascii="Alef" w:eastAsia="Times New Roman" w:hAnsi="Alef" w:cs="Alef" w:hint="cs"/>
          <w:sz w:val="24"/>
          <w:szCs w:val="24"/>
          <w:rtl/>
        </w:rPr>
        <w:t xml:space="preserve"> מעלות נמוכה יותר להפצת מוצריהם. </w:t>
      </w:r>
      <w:r w:rsidRPr="007D3F69">
        <w:rPr>
          <w:rFonts w:ascii="Alef" w:eastAsia="Times New Roman" w:hAnsi="Alef" w:cs="Alef"/>
          <w:sz w:val="24"/>
          <w:szCs w:val="24"/>
          <w:rtl/>
        </w:rPr>
        <w:t>מניעת האפשרות ל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הפיץ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באמצעות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הפלטפורמה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של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נילוס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, או הצבת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חסמים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בפני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המבקש לה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פיץ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באמצעות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נילוס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, עלולה להעמיד </w:t>
      </w:r>
      <w:r w:rsidR="00217A27" w:rsidRPr="007D3F69">
        <w:rPr>
          <w:rFonts w:ascii="Alef" w:eastAsia="Times New Roman" w:hAnsi="Alef" w:cs="Alef" w:hint="eastAsia"/>
          <w:sz w:val="24"/>
          <w:szCs w:val="24"/>
          <w:rtl/>
        </w:rPr>
        <w:t>ספקים</w:t>
      </w:r>
      <w:r w:rsidR="00217A27" w:rsidRPr="007D3F69">
        <w:rPr>
          <w:rFonts w:ascii="Alef" w:eastAsia="Times New Roman" w:hAnsi="Alef" w:cs="Alef"/>
          <w:sz w:val="24"/>
          <w:szCs w:val="24"/>
          <w:rtl/>
        </w:rPr>
        <w:t xml:space="preserve">, ובייחוד ספקים </w:t>
      </w:r>
      <w:r w:rsidR="00217A27" w:rsidRPr="007D3F69">
        <w:rPr>
          <w:rFonts w:ascii="Alef" w:eastAsia="Times New Roman" w:hAnsi="Alef" w:cs="Alef" w:hint="eastAsia"/>
          <w:sz w:val="24"/>
          <w:szCs w:val="24"/>
          <w:rtl/>
        </w:rPr>
        <w:t>קטנים</w:t>
      </w:r>
      <w:r w:rsidR="00217A27" w:rsidRPr="007D3F69">
        <w:rPr>
          <w:rFonts w:ascii="Alef" w:eastAsia="Times New Roman" w:hAnsi="Alef" w:cs="Alef"/>
          <w:sz w:val="24"/>
          <w:szCs w:val="24"/>
          <w:rtl/>
        </w:rPr>
        <w:t xml:space="preserve"> וחדשים, </w:t>
      </w:r>
      <w:r w:rsidRPr="007D3F69">
        <w:rPr>
          <w:rFonts w:ascii="Alef" w:eastAsia="Times New Roman" w:hAnsi="Alef" w:cs="Alef"/>
          <w:sz w:val="24"/>
          <w:szCs w:val="24"/>
          <w:rtl/>
        </w:rPr>
        <w:t>בנחיתות תחרותית קשה</w:t>
      </w:r>
      <w:r w:rsidR="00217A27" w:rsidRPr="007D3F69">
        <w:rPr>
          <w:rFonts w:ascii="Alef" w:eastAsia="Times New Roman" w:hAnsi="Alef" w:cs="Alef"/>
          <w:sz w:val="24"/>
          <w:szCs w:val="24"/>
          <w:rtl/>
        </w:rPr>
        <w:t xml:space="preserve">. </w:t>
      </w:r>
      <w:r w:rsidR="00B16ACF">
        <w:rPr>
          <w:rFonts w:ascii="Alef" w:eastAsia="Times New Roman" w:hAnsi="Alef" w:cs="Alef" w:hint="cs"/>
          <w:sz w:val="24"/>
          <w:szCs w:val="24"/>
          <w:rtl/>
        </w:rPr>
        <w:t xml:space="preserve">ככל שנילוס תצליח יותר ותהיה יעילה יותר, כך תגבר הנחיתות של ספקים שמצויים </w:t>
      </w:r>
      <w:r w:rsidR="00B16ACF">
        <w:rPr>
          <w:rFonts w:ascii="Alef" w:eastAsia="Times New Roman" w:hAnsi="Alef" w:cs="Alef" w:hint="cs"/>
          <w:sz w:val="24"/>
          <w:szCs w:val="24"/>
          <w:rtl/>
        </w:rPr>
        <w:lastRenderedPageBreak/>
        <w:t xml:space="preserve">מחוץ למערך ההפצה.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לפיכך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,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מצאתי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לנכון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להתנות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את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מתן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הפטור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בתנאים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7D3F69">
        <w:rPr>
          <w:rFonts w:ascii="Alef" w:eastAsia="Times New Roman" w:hAnsi="Alef" w:cs="Alef" w:hint="eastAsia"/>
          <w:sz w:val="24"/>
          <w:szCs w:val="24"/>
          <w:rtl/>
        </w:rPr>
        <w:t>לפיהם</w:t>
      </w:r>
      <w:r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C8001B" w:rsidRPr="007D3F69">
        <w:rPr>
          <w:rFonts w:ascii="Alef" w:eastAsia="Times New Roman" w:hAnsi="Alef" w:cs="Alef" w:hint="eastAsia"/>
          <w:sz w:val="24"/>
          <w:szCs w:val="24"/>
          <w:rtl/>
        </w:rPr>
        <w:t>נילוס</w:t>
      </w:r>
      <w:r w:rsidR="00C8001B" w:rsidRPr="007D3F69">
        <w:rPr>
          <w:rFonts w:ascii="Alef" w:eastAsia="Times New Roman" w:hAnsi="Alef" w:cs="Alef"/>
          <w:sz w:val="24"/>
          <w:szCs w:val="24"/>
          <w:rtl/>
        </w:rPr>
        <w:t xml:space="preserve"> תאפשר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לכל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ספק</w:t>
      </w:r>
      <w:r w:rsidR="0078194C">
        <w:rPr>
          <w:rFonts w:ascii="Alef" w:eastAsia="Times New Roman" w:hAnsi="Alef" w:cs="Alef" w:hint="cs"/>
          <w:sz w:val="24"/>
          <w:szCs w:val="24"/>
          <w:rtl/>
        </w:rPr>
        <w:t>, או סיטונאי,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המבקש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להשתמש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בשירותיה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להפצת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מוצריו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,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לעשות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כן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>. זאת מבלי להפלות בין הספקים השונים – בין אם</w:t>
      </w:r>
      <w:r w:rsidR="0024769B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246737" w:rsidRPr="007D3F69">
        <w:rPr>
          <w:rFonts w:ascii="Alef" w:eastAsia="Times New Roman" w:hAnsi="Alef" w:cs="Alef" w:hint="eastAsia"/>
          <w:sz w:val="24"/>
          <w:szCs w:val="24"/>
          <w:rtl/>
        </w:rPr>
        <w:t>בעצם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 היכולת לעשות שימוש במערכת </w:t>
      </w:r>
      <w:r w:rsidR="00246737" w:rsidRPr="00FA7222">
        <w:rPr>
          <w:rFonts w:ascii="Alef" w:eastAsia="Times New Roman" w:hAnsi="Alef" w:cs="Alef"/>
          <w:sz w:val="24"/>
          <w:szCs w:val="24"/>
          <w:rtl/>
        </w:rPr>
        <w:t xml:space="preserve">נילוס </w:t>
      </w:r>
      <w:r w:rsidR="00246737" w:rsidRPr="00722E1A">
        <w:rPr>
          <w:rFonts w:ascii="Alef" w:eastAsia="Times New Roman" w:hAnsi="Alef" w:cs="Alef"/>
          <w:sz w:val="24"/>
          <w:szCs w:val="24"/>
          <w:rtl/>
        </w:rPr>
        <w:t xml:space="preserve">ובין אם באמצעות עמלת ההפצה </w:t>
      </w:r>
      <w:r w:rsidR="0024769B" w:rsidRPr="00722E1A">
        <w:rPr>
          <w:rFonts w:ascii="Alef" w:eastAsia="Times New Roman" w:hAnsi="Alef" w:cs="Alef" w:hint="cs"/>
          <w:sz w:val="24"/>
          <w:szCs w:val="24"/>
          <w:rtl/>
        </w:rPr>
        <w:t>שתשולם על ידי הספק</w:t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>.</w:t>
      </w:r>
      <w:r w:rsidR="008031F6">
        <w:rPr>
          <w:rStyle w:val="FootnoteReference"/>
          <w:rFonts w:ascii="Alef" w:eastAsia="Times New Roman" w:hAnsi="Alef" w:cs="Alef"/>
          <w:sz w:val="24"/>
          <w:szCs w:val="24"/>
          <w:rtl/>
        </w:rPr>
        <w:footnoteReference w:id="4"/>
      </w:r>
      <w:r w:rsidR="00246737" w:rsidRPr="007D3F69">
        <w:rPr>
          <w:rFonts w:ascii="Alef" w:eastAsia="Times New Roman" w:hAnsi="Alef" w:cs="Alef"/>
          <w:sz w:val="24"/>
          <w:szCs w:val="24"/>
          <w:rtl/>
        </w:rPr>
        <w:t xml:space="preserve"> </w:t>
      </w:r>
    </w:p>
    <w:p w14:paraId="48A8267A" w14:textId="6B06203D" w:rsidR="00133E34" w:rsidRPr="007D3F69" w:rsidRDefault="00A061D2" w:rsidP="007D3F69">
      <w:pPr>
        <w:rPr>
          <w:rFonts w:ascii="Alef" w:eastAsia="Times New Roman" w:hAnsi="Alef" w:cs="Alef"/>
          <w:color w:val="000000"/>
          <w:sz w:val="24"/>
          <w:szCs w:val="24"/>
          <w:u w:val="single"/>
          <w:rtl/>
          <w:lang w:eastAsia="he-IL"/>
        </w:rPr>
      </w:pPr>
      <w:r w:rsidRPr="007D3F69">
        <w:rPr>
          <w:rFonts w:ascii="Alef" w:eastAsia="Times New Roman" w:hAnsi="Alef" w:cs="Alef" w:hint="eastAsia"/>
          <w:color w:val="000000"/>
          <w:sz w:val="24"/>
          <w:szCs w:val="24"/>
          <w:u w:val="single"/>
          <w:rtl/>
          <w:lang w:eastAsia="he-IL"/>
        </w:rPr>
        <w:t>הפעלת</w:t>
      </w:r>
      <w:r w:rsidRPr="007D3F69">
        <w:rPr>
          <w:rFonts w:ascii="Alef" w:eastAsia="Times New Roman" w:hAnsi="Alef" w:cs="Alef"/>
          <w:color w:val="000000"/>
          <w:sz w:val="24"/>
          <w:szCs w:val="24"/>
          <w:u w:val="single"/>
          <w:rtl/>
          <w:lang w:eastAsia="he-IL"/>
        </w:rPr>
        <w:t xml:space="preserve"> כוח שוק </w:t>
      </w:r>
      <w:r w:rsidR="00246737">
        <w:rPr>
          <w:rFonts w:ascii="Alef" w:eastAsia="Times New Roman" w:hAnsi="Alef" w:cs="Alef" w:hint="cs"/>
          <w:color w:val="000000"/>
          <w:sz w:val="24"/>
          <w:szCs w:val="24"/>
          <w:u w:val="single"/>
          <w:rtl/>
          <w:lang w:eastAsia="he-IL"/>
        </w:rPr>
        <w:t>מול</w:t>
      </w:r>
      <w:r w:rsidRPr="007D3F69">
        <w:rPr>
          <w:rFonts w:ascii="Alef" w:eastAsia="Times New Roman" w:hAnsi="Alef" w:cs="Alef"/>
          <w:color w:val="000000"/>
          <w:sz w:val="24"/>
          <w:szCs w:val="24"/>
          <w:u w:val="single"/>
          <w:rtl/>
          <w:lang w:eastAsia="he-IL"/>
        </w:rPr>
        <w:t xml:space="preserve"> קמעונאים</w:t>
      </w:r>
    </w:p>
    <w:p w14:paraId="017FFFED" w14:textId="17C60B77" w:rsidR="00722E1A" w:rsidRDefault="00F702D2" w:rsidP="00C35144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>איחוד פעילות של מספר רב של ספקים, שחלקם עשויים להיות גדולים ומשמעותיים, במסגרת נילוס עשוי להעלות חשש מפני הפעלת כוח שוק חד צדדי</w:t>
      </w:r>
      <w:r w:rsidR="00F20F90">
        <w:rPr>
          <w:rFonts w:ascii="Alef" w:eastAsia="Times New Roman" w:hAnsi="Alef" w:cs="Alef" w:hint="cs"/>
          <w:sz w:val="24"/>
          <w:szCs w:val="24"/>
          <w:rtl/>
        </w:rPr>
        <w:t>, או מתואם,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מול קמעונאיים</w:t>
      </w:r>
      <w:r w:rsidR="00F20F90">
        <w:rPr>
          <w:rFonts w:ascii="Alef" w:eastAsia="Times New Roman" w:hAnsi="Alef" w:cs="Alef" w:hint="cs"/>
          <w:sz w:val="24"/>
          <w:szCs w:val="24"/>
          <w:rtl/>
        </w:rPr>
        <w:t xml:space="preserve"> כתוצאה מפעילות השיווק המשותפת של הספקים במסגרת נילוס. החשש </w:t>
      </w:r>
      <w:r w:rsidR="00433398">
        <w:rPr>
          <w:rFonts w:ascii="Alef" w:eastAsia="Times New Roman" w:hAnsi="Alef" w:cs="Alef" w:hint="cs"/>
          <w:sz w:val="24"/>
          <w:szCs w:val="24"/>
          <w:rtl/>
        </w:rPr>
        <w:t>מהפעלת</w:t>
      </w:r>
      <w:r w:rsidR="00F20F90">
        <w:rPr>
          <w:rFonts w:ascii="Alef" w:eastAsia="Times New Roman" w:hAnsi="Alef" w:cs="Alef" w:hint="cs"/>
          <w:sz w:val="24"/>
          <w:szCs w:val="24"/>
          <w:rtl/>
        </w:rPr>
        <w:t xml:space="preserve"> כוח שוק כאמור עשוי לגדול </w:t>
      </w:r>
      <w:r w:rsidR="00F20F90">
        <w:rPr>
          <w:rFonts w:ascii="Alef" w:eastAsia="Times New Roman" w:hAnsi="Alef" w:cs="Alef" w:hint="cs"/>
          <w:sz w:val="24"/>
          <w:szCs w:val="24"/>
          <w:rtl/>
        </w:rPr>
        <w:lastRenderedPageBreak/>
        <w:t>ככל ש</w:t>
      </w:r>
      <w:r w:rsidR="00CB7E27">
        <w:rPr>
          <w:rFonts w:ascii="Alef" w:eastAsia="Times New Roman" w:hAnsi="Alef" w:cs="Alef" w:hint="cs"/>
          <w:sz w:val="24"/>
          <w:szCs w:val="24"/>
          <w:rtl/>
        </w:rPr>
        <w:t>המיזם יגדל</w:t>
      </w:r>
      <w:r w:rsidR="00F20F90">
        <w:rPr>
          <w:rFonts w:ascii="Alef" w:eastAsia="Times New Roman" w:hAnsi="Alef" w:cs="Alef" w:hint="cs"/>
          <w:sz w:val="24"/>
          <w:szCs w:val="24"/>
          <w:rtl/>
        </w:rPr>
        <w:t>.</w:t>
      </w:r>
      <w:r w:rsidR="004441BC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FA7222">
        <w:rPr>
          <w:rFonts w:ascii="Alef" w:eastAsia="Times New Roman" w:hAnsi="Alef" w:cs="Alef" w:hint="cs"/>
          <w:sz w:val="24"/>
          <w:szCs w:val="24"/>
          <w:rtl/>
        </w:rPr>
        <w:t>עם זאת, מפני</w:t>
      </w:r>
      <w:r w:rsidR="004441BC">
        <w:rPr>
          <w:rFonts w:ascii="Alef" w:eastAsia="Times New Roman" w:hAnsi="Alef" w:cs="Alef" w:hint="cs"/>
          <w:sz w:val="24"/>
          <w:szCs w:val="24"/>
          <w:rtl/>
        </w:rPr>
        <w:t xml:space="preserve"> שמיזם נילוס נמצא בראשיתו </w:t>
      </w:r>
      <w:r w:rsidR="00C35144">
        <w:rPr>
          <w:rFonts w:ascii="Alef" w:eastAsia="Times New Roman" w:hAnsi="Alef" w:cs="Alef" w:hint="cs"/>
          <w:sz w:val="24"/>
          <w:szCs w:val="24"/>
          <w:rtl/>
        </w:rPr>
        <w:t xml:space="preserve">מוקדם לבחון </w:t>
      </w:r>
      <w:r w:rsidR="00FA7222">
        <w:rPr>
          <w:rFonts w:ascii="Alef" w:eastAsia="Times New Roman" w:hAnsi="Alef" w:cs="Alef" w:hint="cs"/>
          <w:sz w:val="24"/>
          <w:szCs w:val="24"/>
          <w:rtl/>
        </w:rPr>
        <w:t xml:space="preserve">כבר בשלב זה </w:t>
      </w:r>
      <w:r w:rsidR="002A5320">
        <w:rPr>
          <w:rFonts w:ascii="Alef" w:eastAsia="Times New Roman" w:hAnsi="Alef" w:cs="Alef" w:hint="cs"/>
          <w:sz w:val="24"/>
          <w:szCs w:val="24"/>
          <w:rtl/>
        </w:rPr>
        <w:t>את השפעתו מול</w:t>
      </w:r>
      <w:r w:rsidR="00C35144">
        <w:rPr>
          <w:rFonts w:ascii="Alef" w:eastAsia="Times New Roman" w:hAnsi="Alef" w:cs="Alef" w:hint="cs"/>
          <w:sz w:val="24"/>
          <w:szCs w:val="24"/>
          <w:rtl/>
        </w:rPr>
        <w:t xml:space="preserve"> קמעונאים </w:t>
      </w:r>
      <w:r w:rsidR="002A5320">
        <w:rPr>
          <w:rFonts w:ascii="Alef" w:eastAsia="Times New Roman" w:hAnsi="Alef" w:cs="Alef" w:hint="cs"/>
          <w:sz w:val="24"/>
          <w:szCs w:val="24"/>
          <w:rtl/>
        </w:rPr>
        <w:t>והאם מתעורר חשש להפעלת כוח שוק מולם. לפיכך,</w:t>
      </w:r>
      <w:r w:rsidR="00C35144">
        <w:rPr>
          <w:rFonts w:ascii="Alef" w:eastAsia="Times New Roman" w:hAnsi="Alef" w:cs="Alef" w:hint="cs"/>
          <w:sz w:val="24"/>
          <w:szCs w:val="24"/>
          <w:rtl/>
        </w:rPr>
        <w:t xml:space="preserve"> ייתכן </w:t>
      </w:r>
      <w:r w:rsidR="005556CF">
        <w:rPr>
          <w:rFonts w:ascii="Alef" w:eastAsia="Times New Roman" w:hAnsi="Alef" w:cs="Alef" w:hint="cs"/>
          <w:sz w:val="24"/>
          <w:szCs w:val="24"/>
          <w:rtl/>
        </w:rPr>
        <w:t>ש</w:t>
      </w:r>
      <w:r w:rsidR="002A5320">
        <w:rPr>
          <w:rFonts w:ascii="Alef" w:eastAsia="Times New Roman" w:hAnsi="Alef" w:cs="Alef" w:hint="cs"/>
          <w:sz w:val="24"/>
          <w:szCs w:val="24"/>
          <w:rtl/>
        </w:rPr>
        <w:t xml:space="preserve">בעתיד </w:t>
      </w:r>
      <w:proofErr w:type="spellStart"/>
      <w:r w:rsidR="000D675B">
        <w:rPr>
          <w:rFonts w:ascii="Alef" w:eastAsia="Times New Roman" w:hAnsi="Alef" w:cs="Alef" w:hint="cs"/>
          <w:sz w:val="24"/>
          <w:szCs w:val="24"/>
          <w:rtl/>
        </w:rPr>
        <w:t>ינת</w:t>
      </w:r>
      <w:r w:rsidR="000D675B">
        <w:rPr>
          <w:rFonts w:ascii="Alef" w:eastAsia="Times New Roman" w:hAnsi="Alef" w:cs="Alef" w:hint="eastAsia"/>
          <w:sz w:val="24"/>
          <w:szCs w:val="24"/>
          <w:rtl/>
        </w:rPr>
        <w:t>ן</w:t>
      </w:r>
      <w:proofErr w:type="spellEnd"/>
      <w:r w:rsidR="002A5320">
        <w:rPr>
          <w:rFonts w:ascii="Alef" w:eastAsia="Times New Roman" w:hAnsi="Alef" w:cs="Alef" w:hint="cs"/>
          <w:sz w:val="24"/>
          <w:szCs w:val="24"/>
          <w:rtl/>
        </w:rPr>
        <w:t xml:space="preserve"> משקל רב יותר לחשש זה</w:t>
      </w:r>
      <w:r w:rsidR="00C35144">
        <w:rPr>
          <w:rFonts w:ascii="Alef" w:eastAsia="Times New Roman" w:hAnsi="Alef" w:cs="Alef" w:hint="cs"/>
          <w:sz w:val="24"/>
          <w:szCs w:val="24"/>
          <w:rtl/>
        </w:rPr>
        <w:t xml:space="preserve">. </w:t>
      </w:r>
    </w:p>
    <w:p w14:paraId="1ADCCA56" w14:textId="78BB0875" w:rsidR="00F702D2" w:rsidRDefault="00C35144" w:rsidP="00C35144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 xml:space="preserve">לא למותר לציין בהקשר זה כי </w:t>
      </w:r>
      <w:r w:rsidR="00F20F90">
        <w:rPr>
          <w:rFonts w:ascii="Alef" w:eastAsia="Times New Roman" w:hAnsi="Alef" w:cs="Alef" w:hint="cs"/>
          <w:sz w:val="24"/>
          <w:szCs w:val="24"/>
          <w:rtl/>
        </w:rPr>
        <w:t xml:space="preserve">נילוס אינה צפויה להיות מעורבת בכל צורה בקביעת מחיר המוצרים שישווקו ומחיר המוצרים, לרבות המבצעים, ייקבע על ידי כל ספק בנפרד ועל ידי אותו ספק בלבד. </w:t>
      </w:r>
      <w:r w:rsidR="002F480E">
        <w:rPr>
          <w:rFonts w:ascii="Alef" w:eastAsia="Times New Roman" w:hAnsi="Alef" w:cs="Alef" w:hint="cs"/>
          <w:sz w:val="24"/>
          <w:szCs w:val="24"/>
          <w:rtl/>
        </w:rPr>
        <w:t>כך גם לעניין מגוון המוצרים ויכולתו של ספק לבחור באופן חופשי בין ערוצי הפצה אחרים (בין אם בעצמו או באמצעות מפיץ אחר).</w:t>
      </w:r>
      <w:r w:rsidR="00F20F90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F702D2">
        <w:rPr>
          <w:rFonts w:ascii="Alef" w:eastAsia="Times New Roman" w:hAnsi="Alef" w:cs="Alef" w:hint="cs"/>
          <w:sz w:val="24"/>
          <w:szCs w:val="24"/>
          <w:rtl/>
        </w:rPr>
        <w:t xml:space="preserve"> </w:t>
      </w:r>
    </w:p>
    <w:p w14:paraId="4A068DAC" w14:textId="6563EB56" w:rsidR="001F2888" w:rsidRPr="003F674B" w:rsidRDefault="001F2888" w:rsidP="00582B41">
      <w:pPr>
        <w:rPr>
          <w:u w:val="single"/>
          <w:rtl/>
          <w:lang w:eastAsia="he-IL"/>
        </w:rPr>
      </w:pPr>
    </w:p>
    <w:p w14:paraId="0EB315CD" w14:textId="19ECC18A" w:rsidR="009612BC" w:rsidRPr="003F674B" w:rsidRDefault="009612BC" w:rsidP="00786392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  <w:u w:val="single"/>
          <w:rtl/>
        </w:rPr>
      </w:pPr>
      <w:r w:rsidRPr="003F674B">
        <w:rPr>
          <w:rFonts w:ascii="Alef" w:eastAsia="Times New Roman" w:hAnsi="Alef" w:cs="Alef" w:hint="eastAsia"/>
          <w:sz w:val="24"/>
          <w:szCs w:val="24"/>
          <w:u w:val="single"/>
          <w:rtl/>
        </w:rPr>
        <w:t>שולחן</w:t>
      </w:r>
      <w:r w:rsidRPr="003F674B">
        <w:rPr>
          <w:rFonts w:ascii="Alef" w:eastAsia="Times New Roman" w:hAnsi="Alef" w:cs="Alef"/>
          <w:sz w:val="24"/>
          <w:szCs w:val="24"/>
          <w:u w:val="single"/>
          <w:rtl/>
        </w:rPr>
        <w:t xml:space="preserve"> </w:t>
      </w:r>
      <w:r w:rsidRPr="003F674B">
        <w:rPr>
          <w:rFonts w:ascii="Alef" w:eastAsia="Times New Roman" w:hAnsi="Alef" w:cs="Alef" w:hint="eastAsia"/>
          <w:sz w:val="24"/>
          <w:szCs w:val="24"/>
          <w:u w:val="single"/>
          <w:rtl/>
        </w:rPr>
        <w:t>משותף</w:t>
      </w:r>
    </w:p>
    <w:p w14:paraId="66CC1DF4" w14:textId="28F8BF46" w:rsidR="002C6FBA" w:rsidRDefault="002C6FBA" w:rsidP="00635486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 xml:space="preserve">חבירתם של הצדדים </w:t>
      </w:r>
      <w:r w:rsidR="00635486">
        <w:rPr>
          <w:rFonts w:ascii="Alef" w:eastAsia="Times New Roman" w:hAnsi="Alef" w:cs="Alef" w:hint="cs"/>
          <w:sz w:val="24"/>
          <w:szCs w:val="24"/>
          <w:rtl/>
        </w:rPr>
        <w:t xml:space="preserve">מעלה חשש מפני 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צינון התחרות </w:t>
      </w:r>
      <w:r w:rsidR="00635486">
        <w:rPr>
          <w:rFonts w:ascii="Alef" w:eastAsia="Times New Roman" w:hAnsi="Alef" w:cs="Alef" w:hint="cs"/>
          <w:sz w:val="24"/>
          <w:szCs w:val="24"/>
          <w:rtl/>
        </w:rPr>
        <w:t>כתוצאה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מקיומו של שולחן משותף ו</w:t>
      </w:r>
      <w:r w:rsidR="00635486">
        <w:rPr>
          <w:rFonts w:ascii="Alef" w:eastAsia="Times New Roman" w:hAnsi="Alef" w:cs="Alef" w:hint="cs"/>
          <w:sz w:val="24"/>
          <w:szCs w:val="24"/>
          <w:rtl/>
        </w:rPr>
        <w:t xml:space="preserve">מפני </w:t>
      </w:r>
      <w:r>
        <w:rPr>
          <w:rFonts w:ascii="Alef" w:eastAsia="Times New Roman" w:hAnsi="Alef" w:cs="Alef" w:hint="cs"/>
          <w:sz w:val="24"/>
          <w:szCs w:val="24"/>
          <w:rtl/>
        </w:rPr>
        <w:t>העברת מידע רגיש תחרותית במסגרת המיזם מושא בקשת הפטור.</w:t>
      </w:r>
    </w:p>
    <w:p w14:paraId="07581173" w14:textId="5FA7FB26" w:rsidR="00340AC4" w:rsidRDefault="006D1476" w:rsidP="00872517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lastRenderedPageBreak/>
        <w:t>לעניין</w:t>
      </w:r>
      <w:r w:rsidR="002D0287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>
        <w:rPr>
          <w:rFonts w:ascii="Alef" w:eastAsia="Times New Roman" w:hAnsi="Alef" w:cs="Alef" w:hint="cs"/>
          <w:sz w:val="24"/>
          <w:szCs w:val="24"/>
          <w:rtl/>
        </w:rPr>
        <w:t>ה</w:t>
      </w:r>
      <w:r w:rsidR="002D0287">
        <w:rPr>
          <w:rFonts w:ascii="Alef" w:eastAsia="Times New Roman" w:hAnsi="Alef" w:cs="Alef" w:hint="cs"/>
          <w:sz w:val="24"/>
          <w:szCs w:val="24"/>
          <w:rtl/>
        </w:rPr>
        <w:t xml:space="preserve">חשש </w:t>
      </w:r>
      <w:r w:rsidR="002400A7">
        <w:rPr>
          <w:rFonts w:ascii="Alef" w:eastAsia="Times New Roman" w:hAnsi="Alef" w:cs="Alef" w:hint="cs"/>
          <w:sz w:val="24"/>
          <w:szCs w:val="24"/>
          <w:rtl/>
        </w:rPr>
        <w:t xml:space="preserve">לצינון התחרות 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בין בעלי המניות במיזם </w:t>
      </w:r>
      <w:r w:rsidR="002400A7">
        <w:rPr>
          <w:rFonts w:ascii="Alef" w:eastAsia="Times New Roman" w:hAnsi="Alef" w:cs="Alef" w:hint="cs"/>
          <w:sz w:val="24"/>
          <w:szCs w:val="24"/>
          <w:rtl/>
        </w:rPr>
        <w:t xml:space="preserve">בשווקים בהם הם מתחרים </w:t>
      </w:r>
      <w:r>
        <w:rPr>
          <w:rFonts w:ascii="Alef" w:eastAsia="Times New Roman" w:hAnsi="Alef" w:cs="Alef" w:hint="cs"/>
          <w:sz w:val="24"/>
          <w:szCs w:val="24"/>
          <w:rtl/>
        </w:rPr>
        <w:t>זה בזה:</w:t>
      </w:r>
      <w:r w:rsidR="002400A7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2D0287">
        <w:rPr>
          <w:rFonts w:ascii="Alef" w:eastAsia="Times New Roman" w:hAnsi="Alef" w:cs="Alef" w:hint="cs"/>
          <w:sz w:val="24"/>
          <w:szCs w:val="24"/>
          <w:rtl/>
        </w:rPr>
        <w:t xml:space="preserve">ככלל, </w:t>
      </w:r>
      <w:r w:rsidR="002D0287" w:rsidRPr="002D0287">
        <w:rPr>
          <w:rFonts w:ascii="Alef" w:eastAsia="Times New Roman" w:hAnsi="Alef" w:cs="Alef"/>
          <w:sz w:val="24"/>
          <w:szCs w:val="24"/>
          <w:rtl/>
        </w:rPr>
        <w:t>חבירה של עיקר המתחרים בשוק יחד, מעלה חשש כי שיתוף הפעולה יזלוג, ויגרום לפגיעה בתחרות בשווקים</w:t>
      </w:r>
      <w:r w:rsidR="002A117B">
        <w:rPr>
          <w:rFonts w:ascii="Alef" w:eastAsia="Times New Roman" w:hAnsi="Alef" w:cs="Alef"/>
          <w:sz w:val="24"/>
          <w:szCs w:val="24"/>
          <w:rtl/>
        </w:rPr>
        <w:t xml:space="preserve"> אחרים בהם מתחרים הצדדים להסדר.</w:t>
      </w:r>
      <w:r w:rsidR="002A117B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606E58">
        <w:rPr>
          <w:rFonts w:ascii="Alef" w:eastAsia="Times New Roman" w:hAnsi="Alef" w:cs="Alef" w:hint="cs"/>
          <w:sz w:val="24"/>
          <w:szCs w:val="24"/>
          <w:rtl/>
        </w:rPr>
        <w:t xml:space="preserve">ככל </w:t>
      </w:r>
      <w:r w:rsidR="00872517">
        <w:rPr>
          <w:rFonts w:ascii="Alef" w:eastAsia="Times New Roman" w:hAnsi="Alef" w:cs="Alef" w:hint="cs"/>
          <w:sz w:val="24"/>
          <w:szCs w:val="24"/>
          <w:rtl/>
        </w:rPr>
        <w:t>שמדובר במתחרים קרובים או</w:t>
      </w:r>
      <w:r w:rsidR="00606E58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872517">
        <w:rPr>
          <w:rFonts w:ascii="Alef" w:eastAsia="Times New Roman" w:hAnsi="Alef" w:cs="Alef" w:hint="cs"/>
          <w:sz w:val="24"/>
          <w:szCs w:val="24"/>
          <w:rtl/>
        </w:rPr>
        <w:t>ש</w:t>
      </w:r>
      <w:r w:rsidR="00606E58">
        <w:rPr>
          <w:rFonts w:ascii="Alef" w:eastAsia="Times New Roman" w:hAnsi="Alef" w:cs="Alef" w:hint="cs"/>
          <w:sz w:val="24"/>
          <w:szCs w:val="24"/>
          <w:rtl/>
        </w:rPr>
        <w:t xml:space="preserve">נתח השוק המצרפי של הצדדים בו הוא משמעותי יותר, כך החשש הופך משמעותי יותר. </w:t>
      </w:r>
      <w:r w:rsidR="009B5E00">
        <w:rPr>
          <w:rFonts w:ascii="Alef" w:eastAsia="Times New Roman" w:hAnsi="Alef" w:cs="Alef" w:hint="cs"/>
          <w:sz w:val="24"/>
          <w:szCs w:val="24"/>
          <w:rtl/>
        </w:rPr>
        <w:t>בנוסף ככל שהמיזם המשותף משמעותי יותר בהיקפו ביחס לכלל פעילותם של החברים לשולחן המשותף, כך החשש מפני השפעות השולחן המשותף גובר.</w:t>
      </w:r>
      <w:r w:rsidR="00872517">
        <w:rPr>
          <w:rStyle w:val="FootnoteReference"/>
          <w:rFonts w:ascii="Alef" w:eastAsia="Times New Roman" w:hAnsi="Alef" w:cs="Alef"/>
          <w:sz w:val="24"/>
          <w:szCs w:val="24"/>
          <w:rtl/>
        </w:rPr>
        <w:footnoteReference w:id="5"/>
      </w:r>
    </w:p>
    <w:p w14:paraId="6213E955" w14:textId="43F1D9A0" w:rsidR="00590114" w:rsidRDefault="00CE7B05" w:rsidP="00590114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lastRenderedPageBreak/>
        <w:t xml:space="preserve">על אף האמור, </w:t>
      </w:r>
      <w:r w:rsidR="00BC7511">
        <w:rPr>
          <w:rFonts w:ascii="Alef" w:eastAsia="Times New Roman" w:hAnsi="Alef" w:cs="Alef" w:hint="cs"/>
          <w:sz w:val="24"/>
          <w:szCs w:val="24"/>
          <w:rtl/>
        </w:rPr>
        <w:t xml:space="preserve">מהבחינה שערכה הרשות עולה </w:t>
      </w:r>
      <w:r>
        <w:rPr>
          <w:rFonts w:ascii="Alef" w:eastAsia="Times New Roman" w:hAnsi="Alef" w:cs="Alef" w:hint="cs"/>
          <w:sz w:val="24"/>
          <w:szCs w:val="24"/>
          <w:rtl/>
        </w:rPr>
        <w:t>כי</w:t>
      </w:r>
      <w:r w:rsidR="00F84A60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2A117B">
        <w:rPr>
          <w:rFonts w:ascii="Alef" w:eastAsia="Times New Roman" w:hAnsi="Alef" w:cs="Alef" w:hint="cs"/>
          <w:sz w:val="24"/>
          <w:szCs w:val="24"/>
          <w:rtl/>
        </w:rPr>
        <w:t>בשווקים בהם פעילים הצדדים למיזם</w:t>
      </w:r>
      <w:r w:rsidR="00C95CBA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722E1A">
        <w:rPr>
          <w:rFonts w:ascii="Alef" w:eastAsia="Times New Roman" w:hAnsi="Alef" w:cs="Alef" w:hint="cs"/>
          <w:sz w:val="24"/>
          <w:szCs w:val="24"/>
          <w:rtl/>
        </w:rPr>
        <w:t>הם א</w:t>
      </w:r>
      <w:r w:rsidR="00590114">
        <w:rPr>
          <w:rFonts w:ascii="Alef" w:eastAsia="Times New Roman" w:hAnsi="Alef" w:cs="Alef" w:hint="cs"/>
          <w:sz w:val="24"/>
          <w:szCs w:val="24"/>
          <w:rtl/>
        </w:rPr>
        <w:t>ינם המתחרים הקרובים והגדולים בו</w:t>
      </w:r>
      <w:r w:rsidR="00BC7511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2A117B">
        <w:rPr>
          <w:rFonts w:ascii="Alef" w:eastAsia="Times New Roman" w:hAnsi="Alef" w:cs="Alef" w:hint="cs"/>
          <w:sz w:val="24"/>
          <w:szCs w:val="24"/>
          <w:rtl/>
        </w:rPr>
        <w:t xml:space="preserve">וקיימים </w:t>
      </w:r>
      <w:r w:rsidR="00BC7511">
        <w:rPr>
          <w:rFonts w:ascii="Alef" w:eastAsia="Times New Roman" w:hAnsi="Alef" w:cs="Alef" w:hint="cs"/>
          <w:sz w:val="24"/>
          <w:szCs w:val="24"/>
          <w:rtl/>
        </w:rPr>
        <w:t>פרט אליה</w:t>
      </w:r>
      <w:r w:rsidR="00DA7799">
        <w:rPr>
          <w:rFonts w:ascii="Alef" w:eastAsia="Times New Roman" w:hAnsi="Alef" w:cs="Alef" w:hint="cs"/>
          <w:sz w:val="24"/>
          <w:szCs w:val="24"/>
          <w:rtl/>
        </w:rPr>
        <w:t>ם</w:t>
      </w:r>
      <w:r w:rsidR="00BC7511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2A117B">
        <w:rPr>
          <w:rFonts w:ascii="Alef" w:eastAsia="Times New Roman" w:hAnsi="Alef" w:cs="Alef" w:hint="cs"/>
          <w:sz w:val="24"/>
          <w:szCs w:val="24"/>
          <w:rtl/>
        </w:rPr>
        <w:t>מתחרים</w:t>
      </w:r>
      <w:r w:rsidR="00DA7799">
        <w:rPr>
          <w:rFonts w:ascii="Alef" w:eastAsia="Times New Roman" w:hAnsi="Alef" w:cs="Alef" w:hint="cs"/>
          <w:sz w:val="24"/>
          <w:szCs w:val="24"/>
          <w:rtl/>
        </w:rPr>
        <w:t xml:space="preserve"> נוספים</w:t>
      </w:r>
      <w:r w:rsidR="002A117B">
        <w:rPr>
          <w:rFonts w:ascii="Alef" w:eastAsia="Times New Roman" w:hAnsi="Alef" w:cs="Alef" w:hint="cs"/>
          <w:sz w:val="24"/>
          <w:szCs w:val="24"/>
          <w:rtl/>
        </w:rPr>
        <w:t>, חלקם גדו</w:t>
      </w:r>
      <w:r w:rsidR="00DA09AC">
        <w:rPr>
          <w:rFonts w:ascii="Alef" w:eastAsia="Times New Roman" w:hAnsi="Alef" w:cs="Alef" w:hint="cs"/>
          <w:sz w:val="24"/>
          <w:szCs w:val="24"/>
          <w:rtl/>
        </w:rPr>
        <w:t>ל</w:t>
      </w:r>
      <w:r w:rsidR="002A117B">
        <w:rPr>
          <w:rFonts w:ascii="Alef" w:eastAsia="Times New Roman" w:hAnsi="Alef" w:cs="Alef" w:hint="cs"/>
          <w:sz w:val="24"/>
          <w:szCs w:val="24"/>
          <w:rtl/>
        </w:rPr>
        <w:t xml:space="preserve">ים ומשמעותיים, שאינם </w:t>
      </w:r>
      <w:r w:rsidR="005C0880">
        <w:rPr>
          <w:rFonts w:ascii="Alef" w:eastAsia="Times New Roman" w:hAnsi="Alef" w:cs="Alef" w:hint="cs"/>
          <w:sz w:val="24"/>
          <w:szCs w:val="24"/>
          <w:rtl/>
        </w:rPr>
        <w:t>בעלי מניות ב</w:t>
      </w:r>
      <w:r w:rsidR="002A117B">
        <w:rPr>
          <w:rFonts w:ascii="Alef" w:eastAsia="Times New Roman" w:hAnsi="Alef" w:cs="Alef" w:hint="cs"/>
          <w:sz w:val="24"/>
          <w:szCs w:val="24"/>
          <w:rtl/>
        </w:rPr>
        <w:t>נילוס</w:t>
      </w:r>
      <w:r w:rsidR="00590114">
        <w:rPr>
          <w:rFonts w:ascii="Alef" w:eastAsia="Times New Roman" w:hAnsi="Alef" w:cs="Alef" w:hint="cs"/>
          <w:sz w:val="24"/>
          <w:szCs w:val="24"/>
          <w:rtl/>
        </w:rPr>
        <w:t>.</w:t>
      </w:r>
      <w:r w:rsidR="00590114">
        <w:rPr>
          <w:rStyle w:val="FootnoteReference"/>
          <w:rFonts w:ascii="Alef" w:eastAsia="Times New Roman" w:hAnsi="Alef" w:cs="Alef"/>
          <w:sz w:val="24"/>
          <w:szCs w:val="24"/>
          <w:rtl/>
        </w:rPr>
        <w:footnoteReference w:id="6"/>
      </w:r>
      <w:r w:rsidR="000B0C9C">
        <w:rPr>
          <w:rFonts w:ascii="Alef" w:eastAsia="Times New Roman" w:hAnsi="Alef" w:cs="Alef" w:hint="cs"/>
          <w:sz w:val="24"/>
          <w:szCs w:val="24"/>
          <w:rtl/>
        </w:rPr>
        <w:t xml:space="preserve"> יתר על כן, אף אחד מהצדדים למיזם המשותף לא מבטל את מערך ההפצה העצמאי שלו ובוודאי שלא </w:t>
      </w:r>
      <w:proofErr w:type="spellStart"/>
      <w:r w:rsidR="000B0C9C">
        <w:rPr>
          <w:rFonts w:ascii="Alef" w:eastAsia="Times New Roman" w:hAnsi="Alef" w:cs="Alef" w:hint="cs"/>
          <w:sz w:val="24"/>
          <w:szCs w:val="24"/>
          <w:rtl/>
        </w:rPr>
        <w:t>מחוייב</w:t>
      </w:r>
      <w:proofErr w:type="spellEnd"/>
      <w:r w:rsidR="000B0C9C">
        <w:rPr>
          <w:rFonts w:ascii="Alef" w:eastAsia="Times New Roman" w:hAnsi="Alef" w:cs="Alef" w:hint="cs"/>
          <w:sz w:val="24"/>
          <w:szCs w:val="24"/>
          <w:rtl/>
        </w:rPr>
        <w:t xml:space="preserve"> לעשות כן. לפיכך גם היקפו של המיזם אינו כזה שמייצר תמריצים לריסון התחרות. </w:t>
      </w:r>
    </w:p>
    <w:p w14:paraId="79FF2039" w14:textId="033C9284" w:rsidR="004A24CA" w:rsidRDefault="000B0C9C" w:rsidP="000B0C9C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>לעניין החשש</w:t>
      </w:r>
      <w:r w:rsidR="002400A7">
        <w:rPr>
          <w:rFonts w:ascii="Alef" w:eastAsia="Times New Roman" w:hAnsi="Alef" w:cs="Alef" w:hint="cs"/>
          <w:sz w:val="24"/>
          <w:szCs w:val="24"/>
          <w:rtl/>
        </w:rPr>
        <w:t xml:space="preserve"> שמא במסגרת השולחן המשותף יזלוג מידע רגיש תחרותית</w:t>
      </w:r>
      <w:r>
        <w:rPr>
          <w:rFonts w:ascii="Alef" w:eastAsia="Times New Roman" w:hAnsi="Alef" w:cs="Alef" w:hint="cs"/>
          <w:sz w:val="24"/>
          <w:szCs w:val="24"/>
          <w:rtl/>
        </w:rPr>
        <w:t>:</w:t>
      </w:r>
      <w:r w:rsidR="002400A7" w:rsidDel="002400A7">
        <w:rPr>
          <w:rFonts w:ascii="Alef" w:eastAsia="Times New Roman" w:hAnsi="Alef" w:cs="Alef" w:hint="cs"/>
          <w:sz w:val="24"/>
          <w:szCs w:val="24"/>
          <w:rtl/>
        </w:rPr>
        <w:t xml:space="preserve"> </w:t>
      </w:r>
    </w:p>
    <w:p w14:paraId="2063CE15" w14:textId="77777777" w:rsidR="003F674B" w:rsidRDefault="00C01CE0" w:rsidP="003F674B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  <w:rtl/>
        </w:rPr>
      </w:pPr>
      <w:r>
        <w:rPr>
          <w:rFonts w:ascii="Alef" w:eastAsia="Times New Roman" w:hAnsi="Alef" w:cs="Alef" w:hint="cs"/>
          <w:sz w:val="24"/>
          <w:szCs w:val="24"/>
          <w:rtl/>
        </w:rPr>
        <w:t xml:space="preserve">כפי שהוסבר, ממצגי הצדדים עולה </w:t>
      </w:r>
      <w:r w:rsidR="00340AC4">
        <w:rPr>
          <w:rFonts w:ascii="Alef" w:eastAsia="Times New Roman" w:hAnsi="Alef" w:cs="Alef" w:hint="cs"/>
          <w:sz w:val="24"/>
          <w:szCs w:val="24"/>
          <w:rtl/>
        </w:rPr>
        <w:t xml:space="preserve">כי 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הצדדים למיזם לקחו על עצמם מגבלות שנועדו למנוע את העברתו של מידע </w:t>
      </w:r>
      <w:r>
        <w:rPr>
          <w:rFonts w:ascii="Alef" w:eastAsia="Times New Roman" w:hAnsi="Alef" w:cs="Alef" w:hint="cs"/>
          <w:sz w:val="24"/>
          <w:szCs w:val="24"/>
          <w:rtl/>
        </w:rPr>
        <w:lastRenderedPageBreak/>
        <w:t xml:space="preserve">שעלול לפגוע בתחרות. כך למשך, </w:t>
      </w:r>
      <w:r w:rsidR="00927C45">
        <w:rPr>
          <w:rFonts w:ascii="Alef" w:eastAsia="Times New Roman" w:hAnsi="Alef" w:cs="Alef" w:hint="cs"/>
          <w:sz w:val="24"/>
          <w:szCs w:val="24"/>
          <w:rtl/>
        </w:rPr>
        <w:t xml:space="preserve">המיזם ינוהל במנגנון הרשאות מובנה המפריד בין הספקים כך שהספקים בעלי המניות לא יהיו חשופים למידע </w:t>
      </w:r>
      <w:r w:rsidR="00B37F6F">
        <w:rPr>
          <w:rFonts w:ascii="Alef" w:eastAsia="Times New Roman" w:hAnsi="Alef" w:cs="Alef" w:hint="cs"/>
          <w:sz w:val="24"/>
          <w:szCs w:val="24"/>
          <w:rtl/>
        </w:rPr>
        <w:t xml:space="preserve">תפעולי או מסחרי של ספקים אחרים </w:t>
      </w:r>
      <w:r w:rsidRPr="003F674B">
        <w:rPr>
          <w:rFonts w:ascii="Alef" w:eastAsia="Times New Roman" w:hAnsi="Alef" w:cs="Alef" w:hint="eastAsia"/>
          <w:sz w:val="24"/>
          <w:szCs w:val="24"/>
          <w:rtl/>
        </w:rPr>
        <w:t>ו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הספקים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בעלי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מניות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לא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ייקחו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חלק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בניהול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השוטף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של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B37F6F" w:rsidRPr="003F674B">
        <w:rPr>
          <w:rFonts w:ascii="Alef" w:eastAsia="Times New Roman" w:hAnsi="Alef" w:cs="Alef" w:hint="eastAsia"/>
          <w:sz w:val="24"/>
          <w:szCs w:val="24"/>
          <w:rtl/>
        </w:rPr>
        <w:t>המיזם</w:t>
      </w:r>
      <w:r w:rsidR="00B37F6F" w:rsidRPr="003F674B">
        <w:rPr>
          <w:rFonts w:ascii="Alef" w:eastAsia="Times New Roman" w:hAnsi="Alef" w:cs="Alef"/>
          <w:sz w:val="24"/>
          <w:szCs w:val="24"/>
          <w:rtl/>
        </w:rPr>
        <w:t>.</w:t>
      </w:r>
      <w:r w:rsidR="00B37F6F">
        <w:rPr>
          <w:rFonts w:ascii="Alef" w:eastAsia="Times New Roman" w:hAnsi="Alef" w:cs="Alef" w:hint="cs"/>
          <w:sz w:val="24"/>
          <w:szCs w:val="24"/>
          <w:rtl/>
        </w:rPr>
        <w:t xml:space="preserve"> </w:t>
      </w:r>
    </w:p>
    <w:p w14:paraId="555CC1DA" w14:textId="10EA5870" w:rsidR="00C95877" w:rsidRPr="00354DD7" w:rsidRDefault="00C01CE0" w:rsidP="0086136E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</w:rPr>
      </w:pPr>
      <w:r>
        <w:rPr>
          <w:rFonts w:ascii="Alef" w:eastAsia="Times New Roman" w:hAnsi="Alef" w:cs="Alef" w:hint="cs"/>
          <w:sz w:val="24"/>
          <w:szCs w:val="24"/>
          <w:rtl/>
        </w:rPr>
        <w:t>מצגי הצדדים בעניין זה הם פרט מהותי בהסדר</w:t>
      </w:r>
      <w:r w:rsidR="00C95877">
        <w:rPr>
          <w:rFonts w:ascii="Alef" w:eastAsia="Times New Roman" w:hAnsi="Alef" w:cs="Alef" w:hint="cs"/>
          <w:sz w:val="24"/>
          <w:szCs w:val="24"/>
          <w:rtl/>
        </w:rPr>
        <w:t xml:space="preserve"> שהובא לבחינתי</w:t>
      </w:r>
      <w:r w:rsidR="0086136E">
        <w:rPr>
          <w:rFonts w:ascii="Alef" w:eastAsia="Times New Roman" w:hAnsi="Alef" w:cs="Alef" w:hint="cs"/>
          <w:sz w:val="24"/>
          <w:szCs w:val="24"/>
          <w:rtl/>
        </w:rPr>
        <w:t>, ושינויים ידרוש את הבאתו לאישור מחדש</w:t>
      </w:r>
      <w:r w:rsidR="00C95877">
        <w:rPr>
          <w:rFonts w:ascii="Alef" w:eastAsia="Times New Roman" w:hAnsi="Alef" w:cs="Alef" w:hint="cs"/>
          <w:sz w:val="24"/>
          <w:szCs w:val="24"/>
          <w:rtl/>
        </w:rPr>
        <w:t>.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="00C95877">
        <w:rPr>
          <w:rFonts w:ascii="Alef" w:eastAsia="Times New Roman" w:hAnsi="Alef" w:cs="Alef" w:hint="cs"/>
          <w:sz w:val="24"/>
          <w:szCs w:val="24"/>
          <w:rtl/>
        </w:rPr>
        <w:t xml:space="preserve">כמו כן, </w:t>
      </w:r>
      <w:r w:rsidR="0086136E">
        <w:rPr>
          <w:rFonts w:ascii="Alef" w:eastAsia="Times New Roman" w:hAnsi="Alef" w:cs="Alef" w:hint="cs"/>
          <w:sz w:val="24"/>
          <w:szCs w:val="24"/>
          <w:rtl/>
        </w:rPr>
        <w:t xml:space="preserve">ממילא </w:t>
      </w:r>
      <w:r w:rsidR="00C95877" w:rsidRPr="003F674B">
        <w:rPr>
          <w:rFonts w:ascii="Alef" w:eastAsiaTheme="minorEastAsia" w:hAnsi="Alef" w:cs="Alef"/>
          <w:szCs w:val="24"/>
          <w:rtl/>
        </w:rPr>
        <w:t xml:space="preserve">אין בהחלטה זו כדי לאשר חריגה ממה שאושר בה במפורש, ובכלל זה אין בה כדי לאשר העברת מידע </w:t>
      </w:r>
      <w:r w:rsidR="000B0C9C">
        <w:rPr>
          <w:rFonts w:ascii="Alef" w:eastAsiaTheme="minorEastAsia" w:hAnsi="Alef" w:cs="Alef" w:hint="cs"/>
          <w:szCs w:val="24"/>
          <w:rtl/>
        </w:rPr>
        <w:t xml:space="preserve">תחרותי רגיש </w:t>
      </w:r>
      <w:r w:rsidR="00C95877" w:rsidRPr="003F674B">
        <w:rPr>
          <w:rFonts w:ascii="Alef" w:eastAsiaTheme="minorEastAsia" w:hAnsi="Alef" w:cs="Alef"/>
          <w:szCs w:val="24"/>
          <w:rtl/>
        </w:rPr>
        <w:t xml:space="preserve">בין </w:t>
      </w:r>
      <w:r w:rsidR="00C95877">
        <w:rPr>
          <w:rFonts w:ascii="Alef" w:eastAsia="Times New Roman" w:hAnsi="Alef" w:cs="Alef" w:hint="cs"/>
          <w:sz w:val="24"/>
          <w:szCs w:val="24"/>
          <w:rtl/>
        </w:rPr>
        <w:t>המחזיקים במיזם.</w:t>
      </w:r>
    </w:p>
    <w:p w14:paraId="40E21462" w14:textId="3BDAB44C" w:rsidR="002D0287" w:rsidRPr="00354DD7" w:rsidRDefault="00C95877" w:rsidP="0086136E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</w:rPr>
      </w:pPr>
      <w:r>
        <w:rPr>
          <w:rFonts w:ascii="Alef" w:eastAsia="Times New Roman" w:hAnsi="Alef" w:cs="Alef" w:hint="cs"/>
          <w:sz w:val="24"/>
          <w:szCs w:val="24"/>
          <w:rtl/>
        </w:rPr>
        <w:t xml:space="preserve">לפיכך, </w:t>
      </w:r>
      <w:r w:rsidR="007C7F52">
        <w:rPr>
          <w:rFonts w:ascii="Alef" w:eastAsia="Times New Roman" w:hAnsi="Alef" w:cs="Alef" w:hint="cs"/>
          <w:sz w:val="24"/>
          <w:szCs w:val="24"/>
          <w:rtl/>
        </w:rPr>
        <w:t xml:space="preserve">לא מצאתי לנכון </w:t>
      </w:r>
      <w:r w:rsidR="007C7F52" w:rsidRPr="007C7F52">
        <w:rPr>
          <w:rFonts w:ascii="Alef" w:eastAsia="Times New Roman" w:hAnsi="Alef" w:cs="Alef" w:hint="eastAsia"/>
          <w:sz w:val="24"/>
          <w:szCs w:val="24"/>
          <w:rtl/>
        </w:rPr>
        <w:t>לקבוע</w:t>
      </w:r>
      <w:r w:rsidR="007C7F52" w:rsidRPr="007C7F52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="007C7F52" w:rsidRPr="003F674B">
        <w:rPr>
          <w:rFonts w:ascii="Alef" w:eastAsiaTheme="minorEastAsia" w:hAnsi="Alef" w:cs="Alef" w:hint="eastAsia"/>
          <w:szCs w:val="24"/>
          <w:rtl/>
        </w:rPr>
        <w:t>תנאים</w:t>
      </w:r>
      <w:r w:rsidR="007C7F52" w:rsidRPr="003F674B">
        <w:rPr>
          <w:rFonts w:ascii="Alef" w:eastAsiaTheme="minorEastAsia" w:hAnsi="Alef" w:cs="Alef"/>
          <w:szCs w:val="24"/>
          <w:rtl/>
        </w:rPr>
        <w:t xml:space="preserve"> שמטרתם מניעת העברתו של מידע "רגיש </w:t>
      </w:r>
      <w:r w:rsidR="007C7F52" w:rsidRPr="003F674B">
        <w:rPr>
          <w:rFonts w:ascii="Alef" w:eastAsiaTheme="minorEastAsia" w:hAnsi="Alef" w:cs="Alef" w:hint="eastAsia"/>
          <w:szCs w:val="24"/>
          <w:rtl/>
        </w:rPr>
        <w:t>תחרותית</w:t>
      </w:r>
      <w:r w:rsidR="007C7F52" w:rsidRPr="003F674B">
        <w:rPr>
          <w:rFonts w:ascii="Alef" w:eastAsiaTheme="minorEastAsia" w:hAnsi="Alef" w:cs="Alef"/>
          <w:szCs w:val="24"/>
          <w:rtl/>
        </w:rPr>
        <w:t>"</w:t>
      </w:r>
      <w:r w:rsidR="0086136E">
        <w:rPr>
          <w:rFonts w:ascii="Alef" w:eastAsiaTheme="minorEastAsia" w:hAnsi="Alef" w:cs="Alef" w:hint="cs"/>
          <w:szCs w:val="24"/>
          <w:rtl/>
        </w:rPr>
        <w:t>.</w:t>
      </w:r>
      <w:r w:rsidR="007C7F52" w:rsidRPr="003F674B">
        <w:rPr>
          <w:rStyle w:val="FootnoteReference"/>
          <w:rFonts w:ascii="Alef" w:eastAsiaTheme="minorEastAsia" w:hAnsi="Alef" w:cs="Alef"/>
          <w:szCs w:val="24"/>
          <w:rtl/>
        </w:rPr>
        <w:footnoteReference w:id="7"/>
      </w:r>
      <w:r w:rsidR="002D0287" w:rsidRPr="003F674B">
        <w:rPr>
          <w:rFonts w:ascii="Alef" w:eastAsiaTheme="minorEastAsia" w:hAnsi="Alef" w:cs="Alef"/>
          <w:szCs w:val="24"/>
          <w:rtl/>
        </w:rPr>
        <w:t xml:space="preserve"> </w:t>
      </w:r>
    </w:p>
    <w:p w14:paraId="1EF853DF" w14:textId="7CF04E2A" w:rsidR="00590114" w:rsidRPr="001457BC" w:rsidRDefault="00952B96" w:rsidP="00BD10CC">
      <w:pPr>
        <w:spacing w:before="120" w:after="120" w:line="360" w:lineRule="auto"/>
        <w:contextualSpacing/>
        <w:jc w:val="both"/>
        <w:rPr>
          <w:rFonts w:ascii="Alef" w:eastAsia="Times New Roman" w:hAnsi="Alef" w:cs="Alef"/>
          <w:sz w:val="24"/>
          <w:szCs w:val="24"/>
        </w:rPr>
      </w:pPr>
      <w:r w:rsidRPr="00952B96">
        <w:rPr>
          <w:rFonts w:ascii="Alef" w:eastAsia="Times New Roman" w:hAnsi="Alef" w:cs="Alef"/>
          <w:sz w:val="24"/>
          <w:szCs w:val="24"/>
          <w:rtl/>
        </w:rPr>
        <w:lastRenderedPageBreak/>
        <w:t>לאור האמור ל</w:t>
      </w:r>
      <w:r>
        <w:rPr>
          <w:rFonts w:ascii="Alef" w:eastAsia="Times New Roman" w:hAnsi="Alef" w:cs="Alef"/>
          <w:sz w:val="24"/>
          <w:szCs w:val="24"/>
          <w:rtl/>
        </w:rPr>
        <w:t>עיל, שוכנעתי כ</w:t>
      </w:r>
      <w:r w:rsidR="00FF2359">
        <w:rPr>
          <w:rFonts w:ascii="Alef" w:eastAsia="Times New Roman" w:hAnsi="Alef" w:cs="Alef" w:hint="cs"/>
          <w:sz w:val="24"/>
          <w:szCs w:val="24"/>
          <w:rtl/>
        </w:rPr>
        <w:t>י בכפוף לתנאים שיפורטו להלן ההסדר</w:t>
      </w:r>
      <w:r>
        <w:rPr>
          <w:rFonts w:ascii="Alef" w:eastAsia="Times New Roman" w:hAnsi="Alef" w:cs="Alef" w:hint="cs"/>
          <w:sz w:val="24"/>
          <w:szCs w:val="24"/>
          <w:rtl/>
        </w:rPr>
        <w:t xml:space="preserve"> אינו פוגע פגיעה של ממש </w:t>
      </w:r>
      <w:r w:rsidRPr="00952B96">
        <w:rPr>
          <w:rFonts w:ascii="Alef" w:eastAsia="Times New Roman" w:hAnsi="Alef" w:cs="Alef"/>
          <w:sz w:val="24"/>
          <w:szCs w:val="24"/>
          <w:rtl/>
        </w:rPr>
        <w:t>בחלק ניכר של שוק המושפע ממנו.</w:t>
      </w:r>
    </w:p>
    <w:p w14:paraId="2CEDF4CB" w14:textId="77777777" w:rsidR="000C58B4" w:rsidRDefault="00651413" w:rsidP="000C58B4">
      <w:pPr>
        <w:pStyle w:val="ListParagraph"/>
        <w:numPr>
          <w:ilvl w:val="0"/>
          <w:numId w:val="6"/>
        </w:numPr>
        <w:spacing w:before="120" w:after="120" w:line="360" w:lineRule="auto"/>
        <w:jc w:val="both"/>
        <w:rPr>
          <w:rFonts w:ascii="Alef" w:eastAsia="Times New Roman" w:hAnsi="Alef" w:cs="Alef"/>
          <w:b/>
          <w:bCs/>
          <w:sz w:val="28"/>
          <w:szCs w:val="28"/>
        </w:rPr>
      </w:pPr>
      <w:r w:rsidRPr="000C58B4">
        <w:rPr>
          <w:rFonts w:ascii="Alef" w:eastAsia="Times New Roman" w:hAnsi="Alef" w:cs="Alef" w:hint="cs"/>
          <w:b/>
          <w:bCs/>
          <w:sz w:val="28"/>
          <w:szCs w:val="28"/>
          <w:rtl/>
        </w:rPr>
        <w:t>סוף דבר</w:t>
      </w:r>
    </w:p>
    <w:p w14:paraId="5D88128A" w14:textId="7AEBC2F5" w:rsidR="002D6495" w:rsidRPr="000C58B4" w:rsidRDefault="00CB2E82" w:rsidP="00AD6938">
      <w:pPr>
        <w:spacing w:before="120" w:after="120" w:line="360" w:lineRule="auto"/>
        <w:jc w:val="both"/>
        <w:rPr>
          <w:rFonts w:ascii="Alef" w:eastAsia="Times New Roman" w:hAnsi="Alef" w:cs="Alef"/>
          <w:b/>
          <w:bCs/>
          <w:sz w:val="28"/>
          <w:szCs w:val="28"/>
          <w:rtl/>
        </w:rPr>
      </w:pPr>
      <w:r w:rsidRPr="000C58B4">
        <w:rPr>
          <w:rFonts w:ascii="Alef" w:eastAsia="Times New Roman" w:hAnsi="Alef" w:cs="Alef"/>
          <w:sz w:val="24"/>
          <w:szCs w:val="24"/>
          <w:rtl/>
        </w:rPr>
        <w:t xml:space="preserve">לאחר </w:t>
      </w:r>
      <w:r w:rsidRPr="000C58B4">
        <w:rPr>
          <w:rFonts w:ascii="Alef" w:eastAsia="Times New Roman" w:hAnsi="Alef" w:cs="Alef" w:hint="cs"/>
          <w:sz w:val="24"/>
          <w:szCs w:val="24"/>
          <w:rtl/>
        </w:rPr>
        <w:t>שהתייעצתי</w:t>
      </w:r>
      <w:r w:rsidRPr="000C58B4">
        <w:rPr>
          <w:rFonts w:ascii="Alef" w:eastAsia="Times New Roman" w:hAnsi="Alef" w:cs="Alef"/>
          <w:sz w:val="24"/>
          <w:szCs w:val="24"/>
          <w:rtl/>
        </w:rPr>
        <w:t xml:space="preserve"> עם הוועדה לפטורים ולמיזוגים, ראיתי לנכון להשתמש בסמכות הנתונה לי בסעיף 14 לחוק ולהעניק את הפטור המבוקש</w:t>
      </w:r>
      <w:r w:rsidRPr="000C58B4">
        <w:rPr>
          <w:rFonts w:ascii="Alef" w:eastAsia="Times New Roman" w:hAnsi="Alef" w:cs="Alef" w:hint="cs"/>
          <w:sz w:val="24"/>
          <w:szCs w:val="24"/>
          <w:rtl/>
        </w:rPr>
        <w:t xml:space="preserve"> </w:t>
      </w:r>
      <w:r w:rsidRPr="000C58B4">
        <w:rPr>
          <w:rFonts w:ascii="Alef" w:eastAsia="Times New Roman" w:hAnsi="Alef" w:cs="Alef" w:hint="eastAsia"/>
          <w:sz w:val="24"/>
          <w:szCs w:val="24"/>
          <w:rtl/>
        </w:rPr>
        <w:t>לתקופה</w:t>
      </w:r>
      <w:r w:rsidRPr="000C58B4">
        <w:rPr>
          <w:rFonts w:ascii="Alef" w:eastAsia="Times New Roman" w:hAnsi="Alef" w:cs="Alef"/>
          <w:sz w:val="24"/>
          <w:szCs w:val="24"/>
          <w:rtl/>
        </w:rPr>
        <w:t xml:space="preserve"> של </w:t>
      </w:r>
      <w:r w:rsidR="007C7F52" w:rsidRPr="000C58B4">
        <w:rPr>
          <w:rFonts w:ascii="Alef" w:eastAsia="Times New Roman" w:hAnsi="Alef" w:cs="Alef" w:hint="cs"/>
          <w:sz w:val="24"/>
          <w:szCs w:val="24"/>
          <w:rtl/>
        </w:rPr>
        <w:t>6</w:t>
      </w:r>
      <w:r w:rsidR="007C7F52" w:rsidRPr="000C58B4">
        <w:rPr>
          <w:rFonts w:ascii="Alef" w:eastAsia="Times New Roman" w:hAnsi="Alef" w:cs="Alef"/>
          <w:sz w:val="24"/>
          <w:szCs w:val="24"/>
          <w:rtl/>
        </w:rPr>
        <w:t xml:space="preserve"> </w:t>
      </w:r>
      <w:r w:rsidRPr="000C58B4">
        <w:rPr>
          <w:rFonts w:ascii="Alef" w:eastAsia="Times New Roman" w:hAnsi="Alef" w:cs="Alef" w:hint="eastAsia"/>
          <w:sz w:val="24"/>
          <w:szCs w:val="24"/>
          <w:rtl/>
        </w:rPr>
        <w:t>שנים</w:t>
      </w:r>
      <w:r w:rsidR="00582B41" w:rsidRPr="000C58B4">
        <w:rPr>
          <w:rFonts w:ascii="Alef" w:eastAsia="Times New Roman" w:hAnsi="Alef" w:cs="Alef" w:hint="cs"/>
          <w:sz w:val="24"/>
          <w:szCs w:val="24"/>
          <w:rtl/>
        </w:rPr>
        <w:t xml:space="preserve">, </w:t>
      </w:r>
      <w:r w:rsidR="002D6495" w:rsidRPr="000C58B4">
        <w:rPr>
          <w:rFonts w:ascii="Alef" w:eastAsia="Times New Roman" w:hAnsi="Alef" w:cs="Alef"/>
          <w:sz w:val="24"/>
          <w:szCs w:val="24"/>
          <w:rtl/>
        </w:rPr>
        <w:t>בכפוף לתנאים שלהל</w:t>
      </w:r>
      <w:r w:rsidR="002D6495" w:rsidRPr="000C58B4">
        <w:rPr>
          <w:rFonts w:ascii="Alef" w:eastAsia="Times New Roman" w:hAnsi="Alef" w:cs="Alef" w:hint="eastAsia"/>
          <w:sz w:val="24"/>
          <w:szCs w:val="24"/>
          <w:rtl/>
        </w:rPr>
        <w:t>ן</w:t>
      </w:r>
      <w:r w:rsidR="002D6495" w:rsidRPr="000C58B4">
        <w:rPr>
          <w:rFonts w:ascii="Alef" w:eastAsia="Times New Roman" w:hAnsi="Alef" w:cs="Alef"/>
          <w:sz w:val="24"/>
          <w:szCs w:val="24"/>
          <w:rtl/>
        </w:rPr>
        <w:t>:</w:t>
      </w:r>
    </w:p>
    <w:p w14:paraId="0B41E325" w14:textId="77777777" w:rsidR="00990AC9" w:rsidRDefault="00990AC9" w:rsidP="00990AC9">
      <w:pPr>
        <w:spacing w:line="360" w:lineRule="auto"/>
        <w:jc w:val="both"/>
        <w:rPr>
          <w:rFonts w:ascii="Alef" w:hAnsi="Alef" w:cs="Alef"/>
          <w:sz w:val="24"/>
          <w:szCs w:val="24"/>
          <w:rtl/>
        </w:rPr>
      </w:pPr>
      <w:r w:rsidRPr="00E310AA">
        <w:rPr>
          <w:rFonts w:ascii="Alef" w:hAnsi="Alef" w:cs="Alef" w:hint="cs"/>
          <w:b/>
          <w:bCs/>
          <w:sz w:val="24"/>
          <w:szCs w:val="24"/>
          <w:u w:val="single"/>
          <w:rtl/>
        </w:rPr>
        <w:t>ואלו הם התנאים למתן הפטור</w:t>
      </w:r>
      <w:r w:rsidRPr="00E310AA">
        <w:rPr>
          <w:rFonts w:ascii="Alef" w:hAnsi="Alef" w:cs="Alef" w:hint="cs"/>
          <w:sz w:val="24"/>
          <w:szCs w:val="24"/>
          <w:u w:val="single"/>
          <w:rtl/>
        </w:rPr>
        <w:t>:</w:t>
      </w:r>
    </w:p>
    <w:p w14:paraId="79B3BD42" w14:textId="77777777" w:rsidR="00990AC9" w:rsidRPr="00303A3F" w:rsidRDefault="00990AC9" w:rsidP="00990AC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lef" w:hAnsi="Alef" w:cs="Alef"/>
          <w:sz w:val="24"/>
          <w:szCs w:val="24"/>
          <w:rtl/>
        </w:rPr>
      </w:pPr>
      <w:r w:rsidRPr="00303A3F">
        <w:rPr>
          <w:rFonts w:ascii="Alef" w:hAnsi="Alef" w:cs="Alef" w:hint="cs"/>
          <w:b/>
          <w:bCs/>
          <w:sz w:val="24"/>
          <w:szCs w:val="24"/>
          <w:rtl/>
        </w:rPr>
        <w:t>הגדרות:</w:t>
      </w:r>
    </w:p>
    <w:p w14:paraId="7F707D5E" w14:textId="77777777" w:rsidR="00990AC9" w:rsidRPr="00B55FF8" w:rsidRDefault="00990AC9" w:rsidP="00990AC9">
      <w:pPr>
        <w:spacing w:line="360" w:lineRule="auto"/>
        <w:jc w:val="both"/>
        <w:rPr>
          <w:rFonts w:ascii="Alef" w:hAnsi="Alef" w:cs="Alef"/>
          <w:noProof/>
          <w:sz w:val="24"/>
          <w:szCs w:val="24"/>
          <w:rtl/>
        </w:rPr>
      </w:pPr>
      <w:r>
        <w:rPr>
          <w:rFonts w:ascii="Alef" w:hAnsi="Alef" w:cs="Alef" w:hint="cs"/>
          <w:b/>
          <w:bCs/>
          <w:noProof/>
          <w:sz w:val="24"/>
          <w:szCs w:val="24"/>
          <w:rtl/>
        </w:rPr>
        <w:t>"</w:t>
      </w:r>
      <w:r w:rsidRPr="00B55FF8">
        <w:rPr>
          <w:rFonts w:ascii="Alef" w:hAnsi="Alef" w:cs="Alef"/>
          <w:b/>
          <w:bCs/>
          <w:noProof/>
          <w:sz w:val="24"/>
          <w:szCs w:val="24"/>
          <w:rtl/>
        </w:rPr>
        <w:t>בעלי המניות</w:t>
      </w:r>
      <w:r>
        <w:rPr>
          <w:rFonts w:ascii="Alef" w:hAnsi="Alef" w:cs="Alef" w:hint="cs"/>
          <w:noProof/>
          <w:sz w:val="24"/>
          <w:szCs w:val="24"/>
          <w:rtl/>
        </w:rPr>
        <w:t>"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– בעלי המניות של נילוס שהם גם ספקים</w:t>
      </w:r>
      <w:r>
        <w:rPr>
          <w:rFonts w:ascii="Alef" w:hAnsi="Alef" w:cs="Alef" w:hint="cs"/>
          <w:noProof/>
          <w:sz w:val="24"/>
          <w:szCs w:val="24"/>
          <w:rtl/>
        </w:rPr>
        <w:t>;</w:t>
      </w:r>
    </w:p>
    <w:p w14:paraId="19866AAC" w14:textId="77777777" w:rsidR="00990AC9" w:rsidRPr="00B55FF8" w:rsidRDefault="00990AC9" w:rsidP="00990AC9">
      <w:pPr>
        <w:spacing w:line="360" w:lineRule="auto"/>
        <w:jc w:val="both"/>
        <w:rPr>
          <w:rFonts w:ascii="Alef" w:hAnsi="Alef" w:cs="Alef"/>
          <w:sz w:val="24"/>
          <w:szCs w:val="24"/>
          <w:rtl/>
        </w:rPr>
      </w:pPr>
      <w:r>
        <w:rPr>
          <w:rFonts w:ascii="Alef" w:hAnsi="Alef" w:cs="Alef" w:hint="cs"/>
          <w:b/>
          <w:bCs/>
          <w:noProof/>
          <w:sz w:val="24"/>
          <w:szCs w:val="24"/>
          <w:rtl/>
        </w:rPr>
        <w:t>"</w:t>
      </w:r>
      <w:r w:rsidRPr="00B55FF8">
        <w:rPr>
          <w:rFonts w:ascii="Alef" w:hAnsi="Alef" w:cs="Alef"/>
          <w:b/>
          <w:bCs/>
          <w:noProof/>
          <w:sz w:val="24"/>
          <w:szCs w:val="24"/>
          <w:rtl/>
        </w:rPr>
        <w:t>הדרישות התפעוליות</w:t>
      </w:r>
      <w:r>
        <w:rPr>
          <w:rFonts w:ascii="Alef" w:hAnsi="Alef" w:cs="Alef" w:hint="cs"/>
          <w:b/>
          <w:bCs/>
          <w:noProof/>
          <w:sz w:val="24"/>
          <w:szCs w:val="24"/>
          <w:rtl/>
        </w:rPr>
        <w:t>"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– כל תנאי</w:t>
      </w:r>
      <w:r>
        <w:rPr>
          <w:rFonts w:ascii="Alef" w:hAnsi="Alef" w:cs="Alef" w:hint="cs"/>
          <w:noProof/>
          <w:sz w:val="24"/>
          <w:szCs w:val="24"/>
          <w:rtl/>
        </w:rPr>
        <w:t>, דרישה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או אמת מידת המוצב</w:t>
      </w:r>
      <w:r>
        <w:rPr>
          <w:rFonts w:ascii="Alef" w:hAnsi="Alef" w:cs="Alef" w:hint="cs"/>
          <w:noProof/>
          <w:sz w:val="24"/>
          <w:szCs w:val="24"/>
          <w:rtl/>
        </w:rPr>
        <w:t>ים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בפני ספק כתנאי להפצת מוצרי</w:t>
      </w:r>
      <w:r>
        <w:rPr>
          <w:rFonts w:ascii="Alef" w:hAnsi="Alef" w:cs="Alef" w:hint="cs"/>
          <w:noProof/>
          <w:sz w:val="24"/>
          <w:szCs w:val="24"/>
          <w:rtl/>
        </w:rPr>
        <w:t>ם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במסג</w:t>
      </w:r>
      <w:r>
        <w:rPr>
          <w:rFonts w:ascii="Alef" w:hAnsi="Alef" w:cs="Alef"/>
          <w:noProof/>
          <w:sz w:val="24"/>
          <w:szCs w:val="24"/>
          <w:rtl/>
        </w:rPr>
        <w:t>רת נילוס</w:t>
      </w:r>
      <w:r>
        <w:rPr>
          <w:rFonts w:ascii="Alef" w:hAnsi="Alef" w:cs="Alef" w:hint="cs"/>
          <w:noProof/>
          <w:sz w:val="24"/>
          <w:szCs w:val="24"/>
          <w:rtl/>
        </w:rPr>
        <w:t>;</w:t>
      </w:r>
      <w:r>
        <w:rPr>
          <w:rFonts w:ascii="Alef" w:hAnsi="Alef" w:cs="Alef" w:hint="cs"/>
          <w:sz w:val="24"/>
          <w:szCs w:val="24"/>
          <w:rtl/>
        </w:rPr>
        <w:t xml:space="preserve"> </w:t>
      </w:r>
    </w:p>
    <w:p w14:paraId="54B71523" w14:textId="77777777" w:rsidR="00990AC9" w:rsidRPr="00B55FF8" w:rsidRDefault="00990AC9" w:rsidP="00990AC9">
      <w:pPr>
        <w:spacing w:line="360" w:lineRule="auto"/>
        <w:jc w:val="both"/>
        <w:rPr>
          <w:rFonts w:ascii="Alef" w:hAnsi="Alef" w:cs="Alef"/>
          <w:noProof/>
          <w:sz w:val="24"/>
          <w:szCs w:val="24"/>
          <w:rtl/>
        </w:rPr>
      </w:pPr>
      <w:r>
        <w:rPr>
          <w:rFonts w:ascii="Alef" w:hAnsi="Alef" w:cs="Alef" w:hint="cs"/>
          <w:b/>
          <w:bCs/>
          <w:noProof/>
          <w:sz w:val="24"/>
          <w:szCs w:val="24"/>
          <w:rtl/>
        </w:rPr>
        <w:lastRenderedPageBreak/>
        <w:t>"</w:t>
      </w:r>
      <w:r w:rsidRPr="00B55FF8">
        <w:rPr>
          <w:rFonts w:ascii="Alef" w:hAnsi="Alef" w:cs="Alef"/>
          <w:b/>
          <w:bCs/>
          <w:noProof/>
          <w:sz w:val="24"/>
          <w:szCs w:val="24"/>
          <w:rtl/>
        </w:rPr>
        <w:t>לקוחות נילוס</w:t>
      </w:r>
      <w:r>
        <w:rPr>
          <w:rFonts w:ascii="Alef" w:hAnsi="Alef" w:cs="Alef" w:hint="cs"/>
          <w:b/>
          <w:bCs/>
          <w:noProof/>
          <w:sz w:val="24"/>
          <w:szCs w:val="24"/>
          <w:rtl/>
        </w:rPr>
        <w:t>"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– כל ספק שמפיץ </w:t>
      </w:r>
      <w:r>
        <w:rPr>
          <w:rFonts w:ascii="Alef" w:hAnsi="Alef" w:cs="Alef" w:hint="cs"/>
          <w:noProof/>
          <w:sz w:val="24"/>
          <w:szCs w:val="24"/>
          <w:rtl/>
        </w:rPr>
        <w:t>מוצרים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באמצעות נילוס וכל קמעונאי שמקבל</w:t>
      </w:r>
      <w:r>
        <w:rPr>
          <w:rFonts w:ascii="Alef" w:hAnsi="Alef" w:cs="Alef"/>
          <w:noProof/>
          <w:sz w:val="24"/>
          <w:szCs w:val="24"/>
          <w:rtl/>
        </w:rPr>
        <w:t xml:space="preserve"> מוצרים באמצעות נילוס</w:t>
      </w:r>
      <w:r>
        <w:rPr>
          <w:rFonts w:ascii="Alef" w:hAnsi="Alef" w:cs="Alef" w:hint="cs"/>
          <w:noProof/>
          <w:sz w:val="24"/>
          <w:szCs w:val="24"/>
          <w:rtl/>
        </w:rPr>
        <w:t>;</w:t>
      </w:r>
    </w:p>
    <w:p w14:paraId="0EB2B297" w14:textId="77777777" w:rsidR="00990AC9" w:rsidRPr="00FE1917" w:rsidRDefault="00990AC9" w:rsidP="00990AC9">
      <w:pPr>
        <w:spacing w:line="360" w:lineRule="auto"/>
        <w:jc w:val="both"/>
        <w:rPr>
          <w:rFonts w:ascii="Alef" w:hAnsi="Alef" w:cs="Alef"/>
          <w:sz w:val="24"/>
          <w:szCs w:val="24"/>
          <w:rtl/>
        </w:rPr>
      </w:pPr>
      <w:r>
        <w:rPr>
          <w:rFonts w:ascii="Alef" w:hAnsi="Alef" w:cs="Alef" w:hint="cs"/>
          <w:b/>
          <w:bCs/>
          <w:sz w:val="24"/>
          <w:szCs w:val="24"/>
          <w:rtl/>
        </w:rPr>
        <w:t xml:space="preserve">"הממונה" </w:t>
      </w:r>
      <w:r>
        <w:rPr>
          <w:rFonts w:ascii="Alef" w:hAnsi="Alef" w:cs="Alef"/>
          <w:b/>
          <w:bCs/>
          <w:sz w:val="24"/>
          <w:szCs w:val="24"/>
          <w:rtl/>
        </w:rPr>
        <w:t>–</w:t>
      </w:r>
      <w:r>
        <w:rPr>
          <w:rFonts w:ascii="Alef" w:hAnsi="Alef" w:cs="Alef" w:hint="cs"/>
          <w:b/>
          <w:bCs/>
          <w:sz w:val="24"/>
          <w:szCs w:val="24"/>
          <w:rtl/>
        </w:rPr>
        <w:t xml:space="preserve"> </w:t>
      </w:r>
      <w:r>
        <w:rPr>
          <w:rFonts w:ascii="Alef" w:hAnsi="Alef" w:cs="Alef" w:hint="cs"/>
          <w:sz w:val="24"/>
          <w:szCs w:val="24"/>
          <w:rtl/>
        </w:rPr>
        <w:t>הממונה על התחרות;</w:t>
      </w:r>
    </w:p>
    <w:p w14:paraId="7879FA48" w14:textId="77777777" w:rsidR="00990AC9" w:rsidRPr="00B55FF8" w:rsidRDefault="00990AC9" w:rsidP="00990AC9">
      <w:pPr>
        <w:spacing w:line="360" w:lineRule="auto"/>
        <w:jc w:val="both"/>
        <w:rPr>
          <w:rFonts w:ascii="Alef" w:hAnsi="Alef" w:cs="Alef"/>
          <w:noProof/>
          <w:sz w:val="24"/>
          <w:szCs w:val="24"/>
          <w:rtl/>
        </w:rPr>
      </w:pPr>
      <w:r>
        <w:rPr>
          <w:rFonts w:ascii="Alef" w:hAnsi="Alef" w:cs="Alef" w:hint="cs"/>
          <w:b/>
          <w:bCs/>
          <w:sz w:val="24"/>
          <w:szCs w:val="24"/>
          <w:rtl/>
        </w:rPr>
        <w:t>"</w:t>
      </w:r>
      <w:r w:rsidRPr="00B55FF8">
        <w:rPr>
          <w:rFonts w:ascii="Alef" w:hAnsi="Alef" w:cs="Alef"/>
          <w:b/>
          <w:bCs/>
          <w:sz w:val="24"/>
          <w:szCs w:val="24"/>
          <w:rtl/>
        </w:rPr>
        <w:t>נילוס</w:t>
      </w:r>
      <w:r>
        <w:rPr>
          <w:rFonts w:ascii="Alef" w:hAnsi="Alef" w:cs="Alef" w:hint="cs"/>
          <w:b/>
          <w:bCs/>
          <w:sz w:val="24"/>
          <w:szCs w:val="24"/>
          <w:rtl/>
        </w:rPr>
        <w:t>"</w:t>
      </w:r>
      <w:r w:rsidRPr="00B55FF8">
        <w:rPr>
          <w:rFonts w:ascii="Alef" w:hAnsi="Alef" w:cs="Alef"/>
          <w:sz w:val="24"/>
          <w:szCs w:val="24"/>
          <w:rtl/>
        </w:rPr>
        <w:t xml:space="preserve"> - </w:t>
      </w:r>
      <w:r w:rsidRPr="00B55FF8">
        <w:rPr>
          <w:rFonts w:ascii="Alef" w:hAnsi="Alef" w:cs="Alef"/>
          <w:noProof/>
          <w:sz w:val="24"/>
          <w:szCs w:val="24"/>
          <w:rtl/>
        </w:rPr>
        <w:t>נילוס (חברה בהקמה)</w:t>
      </w:r>
      <w:r>
        <w:rPr>
          <w:rFonts w:ascii="Alef" w:hAnsi="Alef" w:cs="Alef"/>
          <w:noProof/>
          <w:sz w:val="24"/>
          <w:szCs w:val="24"/>
          <w:rtl/>
        </w:rPr>
        <w:t>, המיזם מושא בקשה הפטור</w:t>
      </w:r>
      <w:r>
        <w:rPr>
          <w:rFonts w:ascii="Alef" w:hAnsi="Alef" w:cs="Alef" w:hint="cs"/>
          <w:noProof/>
          <w:sz w:val="24"/>
          <w:szCs w:val="24"/>
          <w:rtl/>
        </w:rPr>
        <w:t>;</w:t>
      </w:r>
    </w:p>
    <w:p w14:paraId="7A839B88" w14:textId="77777777" w:rsidR="00990AC9" w:rsidRPr="00B55FF8" w:rsidRDefault="00990AC9" w:rsidP="00990AC9">
      <w:pPr>
        <w:spacing w:line="360" w:lineRule="auto"/>
        <w:jc w:val="both"/>
        <w:rPr>
          <w:rFonts w:ascii="Alef" w:hAnsi="Alef" w:cs="Alef"/>
          <w:noProof/>
          <w:sz w:val="24"/>
          <w:szCs w:val="24"/>
          <w:rtl/>
        </w:rPr>
      </w:pPr>
      <w:r>
        <w:rPr>
          <w:rFonts w:ascii="Alef" w:hAnsi="Alef" w:cs="Alef" w:hint="cs"/>
          <w:b/>
          <w:bCs/>
          <w:noProof/>
          <w:sz w:val="24"/>
          <w:szCs w:val="24"/>
          <w:rtl/>
        </w:rPr>
        <w:t>"</w:t>
      </w:r>
      <w:r w:rsidRPr="00B55FF8">
        <w:rPr>
          <w:rFonts w:ascii="Alef" w:hAnsi="Alef" w:cs="Alef"/>
          <w:b/>
          <w:bCs/>
          <w:noProof/>
          <w:sz w:val="24"/>
          <w:szCs w:val="24"/>
          <w:rtl/>
        </w:rPr>
        <w:t>ספק</w:t>
      </w:r>
      <w:r>
        <w:rPr>
          <w:rFonts w:ascii="Alef" w:hAnsi="Alef" w:cs="Alef" w:hint="cs"/>
          <w:noProof/>
          <w:sz w:val="24"/>
          <w:szCs w:val="24"/>
          <w:rtl/>
        </w:rPr>
        <w:t>"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- כל מי </w:t>
      </w:r>
      <w:r>
        <w:rPr>
          <w:rFonts w:ascii="Alef" w:hAnsi="Alef" w:cs="Alef" w:hint="cs"/>
          <w:noProof/>
          <w:sz w:val="24"/>
          <w:szCs w:val="24"/>
          <w:rtl/>
        </w:rPr>
        <w:t>שמספק לקמעונאי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אחד או יותר </w:t>
      </w:r>
      <w:r>
        <w:rPr>
          <w:rFonts w:ascii="Alef" w:hAnsi="Alef" w:cs="Alef" w:hint="cs"/>
          <w:noProof/>
          <w:sz w:val="24"/>
          <w:szCs w:val="24"/>
          <w:rtl/>
        </w:rPr>
        <w:t>מסוגי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המוצרים הבאים</w:t>
      </w:r>
      <w:r>
        <w:rPr>
          <w:rFonts w:ascii="Alef" w:hAnsi="Alef" w:cs="Alef" w:hint="cs"/>
          <w:noProof/>
          <w:sz w:val="24"/>
          <w:szCs w:val="24"/>
          <w:rtl/>
        </w:rPr>
        <w:t xml:space="preserve"> לצורך מכירתם הלאה</w:t>
      </w:r>
      <w:r w:rsidRPr="00B55FF8">
        <w:rPr>
          <w:rFonts w:ascii="Alef" w:hAnsi="Alef" w:cs="Alef"/>
          <w:noProof/>
          <w:sz w:val="24"/>
          <w:szCs w:val="24"/>
          <w:rtl/>
        </w:rPr>
        <w:t>: מוצרי מזון, מוצרי טואלטיקה</w:t>
      </w:r>
      <w:r>
        <w:rPr>
          <w:rFonts w:ascii="Alef" w:hAnsi="Alef" w:cs="Alef" w:hint="cs"/>
          <w:noProof/>
          <w:sz w:val="24"/>
          <w:szCs w:val="24"/>
          <w:rtl/>
        </w:rPr>
        <w:t>, מוצרי ניקיון</w:t>
      </w:r>
      <w:r>
        <w:rPr>
          <w:rFonts w:ascii="Alef" w:hAnsi="Alef" w:cs="Alef"/>
          <w:noProof/>
          <w:sz w:val="24"/>
          <w:szCs w:val="24"/>
          <w:rtl/>
        </w:rPr>
        <w:t xml:space="preserve"> ומוצרי צריכה</w:t>
      </w:r>
      <w:r>
        <w:rPr>
          <w:rFonts w:ascii="Alef" w:hAnsi="Alef" w:cs="Alef" w:hint="cs"/>
          <w:noProof/>
          <w:sz w:val="24"/>
          <w:szCs w:val="24"/>
          <w:rtl/>
        </w:rPr>
        <w:t>;</w:t>
      </w:r>
    </w:p>
    <w:p w14:paraId="25F2A885" w14:textId="77777777" w:rsidR="00990AC9" w:rsidRPr="00B55FF8" w:rsidRDefault="00990AC9" w:rsidP="00990AC9">
      <w:pPr>
        <w:spacing w:line="360" w:lineRule="auto"/>
        <w:jc w:val="both"/>
        <w:rPr>
          <w:rFonts w:ascii="Alef" w:hAnsi="Alef" w:cs="Alef"/>
          <w:noProof/>
          <w:sz w:val="24"/>
          <w:szCs w:val="24"/>
          <w:rtl/>
        </w:rPr>
      </w:pPr>
      <w:r>
        <w:rPr>
          <w:rFonts w:ascii="Alef" w:hAnsi="Alef" w:cs="Alef" w:hint="cs"/>
          <w:b/>
          <w:bCs/>
          <w:noProof/>
          <w:sz w:val="24"/>
          <w:szCs w:val="24"/>
          <w:rtl/>
        </w:rPr>
        <w:t>"</w:t>
      </w:r>
      <w:r w:rsidRPr="00B55FF8">
        <w:rPr>
          <w:rFonts w:ascii="Alef" w:hAnsi="Alef" w:cs="Alef"/>
          <w:b/>
          <w:bCs/>
          <w:noProof/>
          <w:sz w:val="24"/>
          <w:szCs w:val="24"/>
          <w:rtl/>
        </w:rPr>
        <w:t>קמעונאי</w:t>
      </w:r>
      <w:r>
        <w:rPr>
          <w:rFonts w:ascii="Alef" w:hAnsi="Alef" w:cs="Alef" w:hint="cs"/>
          <w:b/>
          <w:bCs/>
          <w:noProof/>
          <w:sz w:val="24"/>
          <w:szCs w:val="24"/>
          <w:rtl/>
        </w:rPr>
        <w:t>"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– כל מי שמוכר </w:t>
      </w:r>
      <w:r>
        <w:rPr>
          <w:rFonts w:ascii="Alef" w:hAnsi="Alef" w:cs="Alef" w:hint="cs"/>
          <w:noProof/>
          <w:sz w:val="24"/>
          <w:szCs w:val="24"/>
          <w:rtl/>
        </w:rPr>
        <w:t xml:space="preserve">לצרכן הסופי 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אחד או יותר </w:t>
      </w:r>
      <w:r>
        <w:rPr>
          <w:rFonts w:ascii="Alef" w:hAnsi="Alef" w:cs="Alef" w:hint="cs"/>
          <w:noProof/>
          <w:sz w:val="24"/>
          <w:szCs w:val="24"/>
          <w:rtl/>
        </w:rPr>
        <w:t>מסוגי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 המוצרים הבאים: מוצרי מזון, מוצרי טואלטיקה</w:t>
      </w:r>
      <w:r>
        <w:rPr>
          <w:rFonts w:ascii="Alef" w:hAnsi="Alef" w:cs="Alef" w:hint="cs"/>
          <w:noProof/>
          <w:sz w:val="24"/>
          <w:szCs w:val="24"/>
          <w:rtl/>
        </w:rPr>
        <w:t>, מוצרי ניקיון</w:t>
      </w:r>
      <w:r>
        <w:rPr>
          <w:rFonts w:ascii="Alef" w:hAnsi="Alef" w:cs="Alef"/>
          <w:noProof/>
          <w:sz w:val="24"/>
          <w:szCs w:val="24"/>
          <w:rtl/>
        </w:rPr>
        <w:t xml:space="preserve"> ומוצרי צריכה</w:t>
      </w:r>
      <w:r w:rsidRPr="00B55FF8">
        <w:rPr>
          <w:rFonts w:ascii="Alef" w:hAnsi="Alef" w:cs="Alef"/>
          <w:noProof/>
          <w:sz w:val="24"/>
          <w:szCs w:val="24"/>
          <w:rtl/>
        </w:rPr>
        <w:t xml:space="preserve">. </w:t>
      </w:r>
    </w:p>
    <w:p w14:paraId="6937B062" w14:textId="14AE18BA" w:rsidR="00990AC9" w:rsidRPr="00F137AF" w:rsidRDefault="00990AC9" w:rsidP="00F137A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lef" w:hAnsi="Alef" w:cs="Alef"/>
          <w:sz w:val="24"/>
          <w:szCs w:val="24"/>
        </w:rPr>
      </w:pPr>
      <w:r w:rsidRPr="00F137AF">
        <w:rPr>
          <w:rFonts w:ascii="Alef" w:hAnsi="Alef" w:cs="Alef" w:hint="cs"/>
          <w:sz w:val="24"/>
          <w:szCs w:val="24"/>
          <w:rtl/>
        </w:rPr>
        <w:t xml:space="preserve">נילוס תאפשר לכל ספק המעוניין בכך, העומד בדרישות התפעוליות, להשתמש בשירותיה; </w:t>
      </w:r>
    </w:p>
    <w:p w14:paraId="1876970A" w14:textId="39060265" w:rsidR="00990AC9" w:rsidRPr="000D5B13" w:rsidRDefault="00990AC9" w:rsidP="00F137A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lef" w:hAnsi="Alef" w:cs="Alef"/>
          <w:sz w:val="24"/>
          <w:szCs w:val="24"/>
        </w:rPr>
      </w:pPr>
      <w:r w:rsidRPr="000D5B13">
        <w:rPr>
          <w:rFonts w:ascii="Alef" w:hAnsi="Alef" w:cs="Alef" w:hint="eastAsia"/>
          <w:sz w:val="24"/>
          <w:szCs w:val="24"/>
          <w:rtl/>
        </w:rPr>
        <w:lastRenderedPageBreak/>
        <w:t>מבלי</w:t>
      </w:r>
      <w:r w:rsidRPr="000D5B13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לגרוע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מכלליות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האמור</w:t>
      </w:r>
      <w:r w:rsidRPr="00903F47">
        <w:rPr>
          <w:rFonts w:ascii="Alef" w:hAnsi="Alef" w:cs="Alef"/>
          <w:sz w:val="24"/>
          <w:szCs w:val="24"/>
          <w:rtl/>
        </w:rPr>
        <w:t xml:space="preserve">, </w:t>
      </w:r>
      <w:r w:rsidRPr="00903F47">
        <w:rPr>
          <w:rFonts w:ascii="Alef" w:hAnsi="Alef" w:cs="Alef" w:hint="cs"/>
          <w:sz w:val="24"/>
          <w:szCs w:val="24"/>
          <w:rtl/>
        </w:rPr>
        <w:t>הדרישות התפעוליות יהיו סבירות</w:t>
      </w:r>
      <w:r>
        <w:rPr>
          <w:rFonts w:ascii="Alef" w:hAnsi="Alef" w:cs="Alef" w:hint="cs"/>
          <w:sz w:val="24"/>
          <w:szCs w:val="24"/>
          <w:rtl/>
        </w:rPr>
        <w:t>, אחידות, על פי קריטריונים שוויוניים וענייניים</w:t>
      </w:r>
      <w:r w:rsidRPr="00903F47">
        <w:rPr>
          <w:rFonts w:ascii="Alef" w:hAnsi="Alef" w:cs="Alef" w:hint="cs"/>
          <w:sz w:val="24"/>
          <w:szCs w:val="24"/>
          <w:rtl/>
        </w:rPr>
        <w:t xml:space="preserve"> ויאפשרו </w:t>
      </w:r>
      <w:r w:rsidR="0054762A">
        <w:rPr>
          <w:rFonts w:ascii="Alef" w:hAnsi="Alef" w:cs="Alef" w:hint="cs"/>
          <w:sz w:val="24"/>
          <w:szCs w:val="24"/>
          <w:rtl/>
        </w:rPr>
        <w:t>לכלל הספקים לפעול באמצעות נילוס;</w:t>
      </w:r>
    </w:p>
    <w:p w14:paraId="188D22A4" w14:textId="03CF4233" w:rsidR="00990AC9" w:rsidRPr="00FF1EA1" w:rsidRDefault="00990AC9" w:rsidP="00F137A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lef" w:hAnsi="Alef" w:cs="Alef"/>
          <w:sz w:val="24"/>
          <w:szCs w:val="24"/>
        </w:rPr>
      </w:pPr>
      <w:r>
        <w:rPr>
          <w:rFonts w:ascii="Alef" w:hAnsi="Alef" w:cs="Alef" w:hint="cs"/>
          <w:sz w:val="24"/>
          <w:szCs w:val="24"/>
          <w:rtl/>
        </w:rPr>
        <w:t xml:space="preserve">הדרישות התפעוליות </w:t>
      </w:r>
      <w:r w:rsidRPr="00FF1EA1">
        <w:rPr>
          <w:rFonts w:ascii="Alef" w:hAnsi="Alef" w:cs="Alef" w:hint="cs"/>
          <w:sz w:val="24"/>
          <w:szCs w:val="24"/>
          <w:rtl/>
        </w:rPr>
        <w:t xml:space="preserve">יפורסמו </w:t>
      </w:r>
      <w:r>
        <w:rPr>
          <w:rFonts w:ascii="Alef" w:hAnsi="Alef" w:cs="Alef" w:hint="cs"/>
          <w:sz w:val="24"/>
          <w:szCs w:val="24"/>
          <w:rtl/>
        </w:rPr>
        <w:t xml:space="preserve">במלואן באתר האינטרנט של </w:t>
      </w:r>
      <w:r w:rsidRPr="00FF1EA1">
        <w:rPr>
          <w:rFonts w:ascii="Alef" w:hAnsi="Alef" w:cs="Alef" w:hint="cs"/>
          <w:sz w:val="24"/>
          <w:szCs w:val="24"/>
          <w:rtl/>
        </w:rPr>
        <w:t>נילוס</w:t>
      </w:r>
      <w:r w:rsidR="0054762A">
        <w:rPr>
          <w:rFonts w:ascii="Alef" w:hAnsi="Alef" w:cs="Alef" w:hint="cs"/>
          <w:sz w:val="24"/>
          <w:szCs w:val="24"/>
          <w:rtl/>
        </w:rPr>
        <w:t xml:space="preserve"> טרם תחילת פעילות נילוס;</w:t>
      </w:r>
    </w:p>
    <w:p w14:paraId="7976B668" w14:textId="77777777" w:rsidR="00990AC9" w:rsidRPr="00FF1EA1" w:rsidRDefault="00990AC9" w:rsidP="00990AC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lef" w:hAnsi="Alef" w:cs="Alef"/>
          <w:sz w:val="24"/>
          <w:szCs w:val="24"/>
        </w:rPr>
      </w:pPr>
      <w:r>
        <w:rPr>
          <w:rFonts w:ascii="Alef" w:hAnsi="Alef" w:cs="Alef" w:hint="cs"/>
          <w:sz w:val="24"/>
          <w:szCs w:val="24"/>
          <w:rtl/>
        </w:rPr>
        <w:t>נילוס לא</w:t>
      </w:r>
      <w:r w:rsidRPr="00FF1EA1">
        <w:rPr>
          <w:rFonts w:ascii="Alef" w:hAnsi="Alef" w:cs="Alef" w:hint="cs"/>
          <w:sz w:val="24"/>
          <w:szCs w:val="24"/>
          <w:rtl/>
        </w:rPr>
        <w:t xml:space="preserve"> </w:t>
      </w:r>
      <w:r>
        <w:rPr>
          <w:rFonts w:ascii="Alef" w:hAnsi="Alef" w:cs="Alef" w:hint="cs"/>
          <w:sz w:val="24"/>
          <w:szCs w:val="24"/>
          <w:rtl/>
        </w:rPr>
        <w:t>ת</w:t>
      </w:r>
      <w:r w:rsidRPr="00FF1EA1">
        <w:rPr>
          <w:rFonts w:ascii="Alef" w:hAnsi="Alef" w:cs="Alef" w:hint="cs"/>
          <w:sz w:val="24"/>
          <w:szCs w:val="24"/>
          <w:rtl/>
        </w:rPr>
        <w:t xml:space="preserve">קדם או </w:t>
      </w:r>
      <w:proofErr w:type="spellStart"/>
      <w:r>
        <w:rPr>
          <w:rFonts w:ascii="Alef" w:hAnsi="Alef" w:cs="Alef" w:hint="cs"/>
          <w:sz w:val="24"/>
          <w:szCs w:val="24"/>
          <w:rtl/>
        </w:rPr>
        <w:t>ת</w:t>
      </w:r>
      <w:r w:rsidRPr="00FF1EA1">
        <w:rPr>
          <w:rFonts w:ascii="Alef" w:hAnsi="Alef" w:cs="Alef" w:hint="cs"/>
          <w:sz w:val="24"/>
          <w:szCs w:val="24"/>
          <w:rtl/>
        </w:rPr>
        <w:t>תעדף</w:t>
      </w:r>
      <w:proofErr w:type="spellEnd"/>
      <w:r w:rsidRPr="00FF1EA1">
        <w:rPr>
          <w:rFonts w:ascii="Alef" w:hAnsi="Alef" w:cs="Alef" w:hint="cs"/>
          <w:sz w:val="24"/>
          <w:szCs w:val="24"/>
          <w:rtl/>
        </w:rPr>
        <w:t xml:space="preserve"> מוצרים של ספק כלשהו </w:t>
      </w:r>
      <w:r w:rsidRPr="008940D3">
        <w:rPr>
          <w:rFonts w:ascii="Alef" w:hAnsi="Alef" w:cs="Alef"/>
          <w:sz w:val="24"/>
          <w:szCs w:val="24"/>
          <w:rtl/>
        </w:rPr>
        <w:t>על פני מוצרים של ספק אחר</w:t>
      </w:r>
      <w:r w:rsidRPr="00FF1EA1">
        <w:rPr>
          <w:rFonts w:ascii="Alef" w:hAnsi="Alef" w:cs="Alef" w:hint="cs"/>
          <w:sz w:val="24"/>
          <w:szCs w:val="24"/>
          <w:rtl/>
        </w:rPr>
        <w:t>;</w:t>
      </w:r>
    </w:p>
    <w:p w14:paraId="5A40A2E6" w14:textId="77777777" w:rsidR="00990AC9" w:rsidRDefault="00990AC9" w:rsidP="00990AC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lef" w:hAnsi="Alef" w:cs="Alef"/>
          <w:sz w:val="24"/>
          <w:szCs w:val="24"/>
        </w:rPr>
      </w:pPr>
      <w:r w:rsidRPr="008940D3">
        <w:rPr>
          <w:rFonts w:ascii="Alef" w:hAnsi="Alef" w:cs="Alef"/>
          <w:sz w:val="24"/>
          <w:szCs w:val="24"/>
          <w:rtl/>
        </w:rPr>
        <w:t>נילוס תגבה מכל הספקים המקבלים את שירותיה עמלות זהות</w:t>
      </w:r>
      <w:r w:rsidRPr="00903F47">
        <w:rPr>
          <w:rFonts w:ascii="Alef" w:hAnsi="Alef" w:cs="Alef"/>
          <w:sz w:val="24"/>
          <w:szCs w:val="24"/>
          <w:rtl/>
        </w:rPr>
        <w:t xml:space="preserve">, </w:t>
      </w:r>
      <w:r w:rsidRPr="00903F47">
        <w:rPr>
          <w:rFonts w:ascii="Alef" w:hAnsi="Alef" w:cs="Alef" w:hint="eastAsia"/>
          <w:sz w:val="24"/>
          <w:szCs w:val="24"/>
          <w:rtl/>
        </w:rPr>
        <w:t>אלא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אם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כן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קיים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הבדל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בעלויות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הישירות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הנובעות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ממתן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השירותים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הניתנים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על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ידי</w:t>
      </w:r>
      <w:r w:rsidRPr="00903F47">
        <w:rPr>
          <w:rFonts w:ascii="Alef" w:hAnsi="Alef" w:cs="Alef"/>
          <w:sz w:val="24"/>
          <w:szCs w:val="24"/>
          <w:rtl/>
        </w:rPr>
        <w:t xml:space="preserve"> </w:t>
      </w:r>
      <w:r w:rsidRPr="00903F47">
        <w:rPr>
          <w:rFonts w:ascii="Alef" w:hAnsi="Alef" w:cs="Alef" w:hint="eastAsia"/>
          <w:sz w:val="24"/>
          <w:szCs w:val="24"/>
          <w:rtl/>
        </w:rPr>
        <w:t>נילוס</w:t>
      </w:r>
      <w:r w:rsidRPr="00903F47">
        <w:rPr>
          <w:rFonts w:ascii="Alef" w:hAnsi="Alef" w:cs="Alef"/>
          <w:sz w:val="24"/>
          <w:szCs w:val="24"/>
          <w:rtl/>
        </w:rPr>
        <w:t xml:space="preserve"> וככל שההבדל במחיר ינבע באופן ישיר מההבדל בעלויות האמורות בלבד. </w:t>
      </w:r>
    </w:p>
    <w:p w14:paraId="7CB639C7" w14:textId="637C47CA" w:rsidR="00990AC9" w:rsidRPr="00903F47" w:rsidRDefault="00990AC9" w:rsidP="00990AC9">
      <w:pPr>
        <w:pStyle w:val="ListParagraph"/>
        <w:spacing w:line="360" w:lineRule="auto"/>
        <w:ind w:left="360"/>
        <w:jc w:val="both"/>
        <w:rPr>
          <w:rFonts w:ascii="Alef" w:hAnsi="Alef" w:cs="Alef"/>
          <w:sz w:val="24"/>
          <w:szCs w:val="24"/>
        </w:rPr>
      </w:pPr>
      <w:r>
        <w:rPr>
          <w:rFonts w:ascii="Alef" w:hAnsi="Alef" w:cs="Alef" w:hint="cs"/>
          <w:sz w:val="24"/>
          <w:szCs w:val="24"/>
          <w:rtl/>
        </w:rPr>
        <w:t xml:space="preserve">תנאי זה ייכנס לתוקף </w:t>
      </w:r>
      <w:r w:rsidR="0054762A">
        <w:rPr>
          <w:rFonts w:ascii="Alef" w:hAnsi="Alef" w:cs="Alef" w:hint="cs"/>
          <w:sz w:val="24"/>
          <w:szCs w:val="24"/>
          <w:rtl/>
        </w:rPr>
        <w:t>18 חודשים לאחר מתן החלטת הפטור;</w:t>
      </w:r>
    </w:p>
    <w:p w14:paraId="1123E353" w14:textId="3712FFF5" w:rsidR="00990AC9" w:rsidRPr="00BD10CC" w:rsidRDefault="00990AC9" w:rsidP="00BD10C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lef" w:hAnsi="Alef" w:cs="Alef"/>
          <w:sz w:val="24"/>
          <w:szCs w:val="24"/>
        </w:rPr>
      </w:pPr>
      <w:r>
        <w:rPr>
          <w:rFonts w:ascii="Alef" w:hAnsi="Alef" w:cs="Alef" w:hint="cs"/>
          <w:sz w:val="24"/>
          <w:szCs w:val="24"/>
          <w:rtl/>
        </w:rPr>
        <w:lastRenderedPageBreak/>
        <w:t>כל ספק בדבר תנאים אלו יבוא להכרעתה של הממונה.</w:t>
      </w:r>
    </w:p>
    <w:p w14:paraId="697C949A" w14:textId="4A5AD372" w:rsidR="00CB2E82" w:rsidRDefault="002D6495" w:rsidP="004F4543">
      <w:pPr>
        <w:spacing w:before="100" w:beforeAutospacing="1" w:after="100" w:afterAutospacing="1" w:line="360" w:lineRule="auto"/>
        <w:jc w:val="both"/>
        <w:rPr>
          <w:rFonts w:ascii="Alef" w:eastAsiaTheme="minorEastAsia" w:hAnsi="Alef" w:cs="Alef"/>
          <w:sz w:val="24"/>
          <w:szCs w:val="24"/>
          <w:rtl/>
        </w:rPr>
      </w:pPr>
      <w:r w:rsidRPr="00CB2E82">
        <w:rPr>
          <w:rFonts w:ascii="Alef" w:eastAsia="Times New Roman" w:hAnsi="Alef" w:cs="Alef"/>
          <w:sz w:val="24"/>
          <w:szCs w:val="24"/>
          <w:rtl/>
        </w:rPr>
        <w:t xml:space="preserve">החלטתי זו נתונה לערר בפני בית הדין לתחרות על ידי איגוד עסקי, ארגון צרכנים או כל אדם העלול להיפגע מההסדר הכובל עליו ניתן הפטור, בהתאם לסעיף 15(א) לחוק. </w:t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</w:p>
    <w:p w14:paraId="6B5DD29A" w14:textId="2505138B" w:rsidR="00CB2E82" w:rsidRDefault="00CB2E82" w:rsidP="00DE1350">
      <w:pPr>
        <w:spacing w:before="100" w:beforeAutospacing="1" w:after="100" w:afterAutospacing="1" w:line="276" w:lineRule="auto"/>
        <w:jc w:val="both"/>
        <w:rPr>
          <w:rFonts w:ascii="Alef" w:eastAsiaTheme="minorEastAsia" w:hAnsi="Alef" w:cs="Alef"/>
          <w:sz w:val="24"/>
          <w:szCs w:val="24"/>
          <w:rtl/>
        </w:rPr>
      </w:pP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/>
          <w:sz w:val="24"/>
          <w:szCs w:val="24"/>
          <w:rtl/>
        </w:rPr>
        <w:tab/>
      </w:r>
      <w:r w:rsidRPr="00CB2E82">
        <w:rPr>
          <w:rFonts w:ascii="Alef" w:eastAsiaTheme="minorEastAsia" w:hAnsi="Alef" w:cs="Alef" w:hint="cs"/>
          <w:sz w:val="24"/>
          <w:szCs w:val="24"/>
          <w:rtl/>
        </w:rPr>
        <w:t xml:space="preserve"> מיכל הלפרין</w:t>
      </w:r>
    </w:p>
    <w:p w14:paraId="0965450D" w14:textId="77777777" w:rsidR="00CB2E82" w:rsidRDefault="00CB2E82" w:rsidP="00DE1350">
      <w:pPr>
        <w:spacing w:before="100" w:beforeAutospacing="1" w:after="100" w:afterAutospacing="1" w:line="276" w:lineRule="auto"/>
        <w:jc w:val="both"/>
        <w:rPr>
          <w:rFonts w:ascii="Alef" w:eastAsiaTheme="minorEastAsia" w:hAnsi="Alef" w:cs="Alef"/>
          <w:sz w:val="24"/>
          <w:szCs w:val="24"/>
          <w:rtl/>
        </w:rPr>
      </w:pPr>
      <w:r w:rsidRPr="00CB2E82">
        <w:rPr>
          <w:rFonts w:ascii="Alef" w:eastAsiaTheme="minorEastAsia" w:hAnsi="Alef" w:cs="Alef" w:hint="cs"/>
          <w:sz w:val="24"/>
          <w:szCs w:val="24"/>
          <w:rtl/>
        </w:rPr>
        <w:t xml:space="preserve"> </w:t>
      </w:r>
      <w:r w:rsidRPr="00CB2E82">
        <w:rPr>
          <w:rFonts w:ascii="Alef" w:eastAsiaTheme="minorEastAsia" w:hAnsi="Alef" w:cs="Alef" w:hint="cs"/>
          <w:sz w:val="24"/>
          <w:szCs w:val="24"/>
          <w:rtl/>
        </w:rPr>
        <w:tab/>
      </w:r>
      <w:r w:rsidRPr="00CB2E82">
        <w:rPr>
          <w:rFonts w:ascii="Alef" w:eastAsiaTheme="minorEastAsia" w:hAnsi="Alef" w:cs="Alef" w:hint="cs"/>
          <w:sz w:val="24"/>
          <w:szCs w:val="24"/>
          <w:rtl/>
        </w:rPr>
        <w:tab/>
      </w:r>
      <w:r w:rsidRPr="00CB2E82">
        <w:rPr>
          <w:rFonts w:ascii="Alef" w:eastAsiaTheme="minorEastAsia" w:hAnsi="Alef" w:cs="Alef" w:hint="cs"/>
          <w:sz w:val="24"/>
          <w:szCs w:val="24"/>
          <w:rtl/>
        </w:rPr>
        <w:tab/>
      </w:r>
      <w:r w:rsidRPr="00CB2E82">
        <w:rPr>
          <w:rFonts w:ascii="Alef" w:eastAsiaTheme="minorEastAsia" w:hAnsi="Alef" w:cs="Alef" w:hint="cs"/>
          <w:sz w:val="24"/>
          <w:szCs w:val="24"/>
          <w:rtl/>
        </w:rPr>
        <w:tab/>
      </w:r>
      <w:r w:rsidRPr="00CB2E82">
        <w:rPr>
          <w:rFonts w:ascii="Alef" w:eastAsiaTheme="minorEastAsia" w:hAnsi="Alef" w:cs="Alef" w:hint="cs"/>
          <w:sz w:val="24"/>
          <w:szCs w:val="24"/>
          <w:rtl/>
        </w:rPr>
        <w:tab/>
      </w:r>
      <w:r w:rsidRPr="00CB2E82">
        <w:rPr>
          <w:rFonts w:ascii="Alef" w:eastAsiaTheme="minorEastAsia" w:hAnsi="Alef" w:cs="Alef" w:hint="cs"/>
          <w:sz w:val="24"/>
          <w:szCs w:val="24"/>
          <w:rtl/>
        </w:rPr>
        <w:tab/>
      </w:r>
      <w:r w:rsidRPr="00CB2E82">
        <w:rPr>
          <w:rFonts w:ascii="Alef" w:eastAsiaTheme="minorEastAsia" w:hAnsi="Alef" w:cs="Alef" w:hint="cs"/>
          <w:sz w:val="24"/>
          <w:szCs w:val="24"/>
          <w:rtl/>
        </w:rPr>
        <w:tab/>
      </w:r>
      <w:r w:rsidRPr="00CB2E82">
        <w:rPr>
          <w:rFonts w:ascii="Alef" w:eastAsiaTheme="minorEastAsia" w:hAnsi="Alef" w:cs="Alef" w:hint="cs"/>
          <w:sz w:val="24"/>
          <w:szCs w:val="24"/>
          <w:rtl/>
        </w:rPr>
        <w:tab/>
        <w:t xml:space="preserve">        הממונה על התחרות</w:t>
      </w:r>
    </w:p>
    <w:p w14:paraId="5FC167ED" w14:textId="7A104D24" w:rsidR="00E3302F" w:rsidRDefault="007B254F" w:rsidP="00F51402">
      <w:pPr>
        <w:spacing w:before="100" w:beforeAutospacing="1" w:after="100" w:afterAutospacing="1" w:line="240" w:lineRule="auto"/>
        <w:jc w:val="both"/>
        <w:rPr>
          <w:rFonts w:ascii="Alef" w:eastAsiaTheme="minorEastAsia" w:hAnsi="Alef" w:cs="Alef"/>
          <w:sz w:val="24"/>
          <w:szCs w:val="24"/>
          <w:rtl/>
        </w:rPr>
      </w:pPr>
      <w:r>
        <w:rPr>
          <w:rFonts w:ascii="Alef" w:eastAsiaTheme="minorEastAsia" w:hAnsi="Alef" w:cs="Alef" w:hint="eastAsia"/>
          <w:sz w:val="24"/>
          <w:szCs w:val="24"/>
          <w:rtl/>
        </w:rPr>
        <w:t>‏</w:t>
      </w:r>
      <w:r w:rsidR="002261E8">
        <w:rPr>
          <w:rFonts w:ascii="Alef" w:eastAsiaTheme="minorEastAsia" w:hAnsi="Alef" w:cs="Alef" w:hint="cs"/>
          <w:sz w:val="24"/>
          <w:szCs w:val="24"/>
          <w:rtl/>
        </w:rPr>
        <w:t xml:space="preserve">ירושלים, </w:t>
      </w:r>
      <w:r w:rsidR="002261E8">
        <w:rPr>
          <w:rFonts w:ascii="Alef" w:eastAsiaTheme="minorEastAsia" w:hAnsi="Alef" w:cs="Alef" w:hint="eastAsia"/>
          <w:sz w:val="24"/>
          <w:szCs w:val="24"/>
          <w:rtl/>
        </w:rPr>
        <w:t>‏</w:t>
      </w:r>
      <w:r w:rsidR="00F51402">
        <w:rPr>
          <w:rFonts w:ascii="Alef" w:eastAsiaTheme="minorEastAsia" w:hAnsi="Alef" w:cs="Alef" w:hint="eastAsia"/>
          <w:sz w:val="24"/>
          <w:szCs w:val="24"/>
          <w:rtl/>
        </w:rPr>
        <w:t>‏כ</w:t>
      </w:r>
      <w:r w:rsidR="00F51402">
        <w:rPr>
          <w:rFonts w:ascii="Alef" w:eastAsiaTheme="minorEastAsia" w:hAnsi="Alef" w:cs="Alef"/>
          <w:sz w:val="24"/>
          <w:szCs w:val="24"/>
          <w:rtl/>
        </w:rPr>
        <w:t>"ט טבת, תשפ"א</w:t>
      </w:r>
    </w:p>
    <w:p w14:paraId="42EA8546" w14:textId="3DE2D0FB" w:rsidR="005755DA" w:rsidRPr="00FC3EB8" w:rsidRDefault="002261E8" w:rsidP="004F4543">
      <w:pPr>
        <w:spacing w:before="100" w:beforeAutospacing="1" w:after="100" w:afterAutospacing="1" w:line="240" w:lineRule="auto"/>
        <w:jc w:val="both"/>
        <w:rPr>
          <w:rFonts w:ascii="Alef" w:eastAsiaTheme="minorEastAsia" w:hAnsi="Alef" w:cs="Alef"/>
          <w:sz w:val="24"/>
          <w:szCs w:val="24"/>
        </w:rPr>
      </w:pPr>
      <w:r>
        <w:rPr>
          <w:rFonts w:ascii="Alef" w:eastAsiaTheme="minorEastAsia" w:hAnsi="Alef" w:cs="Alef" w:hint="eastAsia"/>
          <w:sz w:val="24"/>
          <w:szCs w:val="24"/>
          <w:rtl/>
        </w:rPr>
        <w:t>‏</w:t>
      </w:r>
      <w:r>
        <w:rPr>
          <w:rFonts w:ascii="Alef" w:eastAsiaTheme="minorEastAsia" w:hAnsi="Alef" w:cs="Alef" w:hint="cs"/>
          <w:sz w:val="24"/>
          <w:szCs w:val="24"/>
          <w:rtl/>
        </w:rPr>
        <w:t>13</w:t>
      </w:r>
      <w:r>
        <w:rPr>
          <w:rFonts w:ascii="Alef" w:eastAsiaTheme="minorEastAsia" w:hAnsi="Alef" w:cs="Alef"/>
          <w:sz w:val="24"/>
          <w:szCs w:val="24"/>
          <w:rtl/>
        </w:rPr>
        <w:t xml:space="preserve"> ינואר, 2021</w:t>
      </w:r>
    </w:p>
    <w:sectPr w:rsidR="005755DA" w:rsidRPr="00FC3EB8" w:rsidSect="00427E2B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3A07B" w14:textId="77777777" w:rsidR="006A0F6E" w:rsidRDefault="006A0F6E" w:rsidP="00D74B48">
      <w:pPr>
        <w:spacing w:after="0" w:line="240" w:lineRule="auto"/>
      </w:pPr>
      <w:r>
        <w:separator/>
      </w:r>
    </w:p>
  </w:endnote>
  <w:endnote w:type="continuationSeparator" w:id="0">
    <w:p w14:paraId="4D1E0E00" w14:textId="77777777" w:rsidR="006A0F6E" w:rsidRDefault="006A0F6E" w:rsidP="00D74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B509B" w14:textId="77777777" w:rsidR="00CC2FA1" w:rsidRDefault="00CC2FA1" w:rsidP="00AD3572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513F8F7" wp14:editId="1A430994">
          <wp:simplePos x="0" y="0"/>
          <wp:positionH relativeFrom="page">
            <wp:align>right</wp:align>
          </wp:positionH>
          <wp:positionV relativeFrom="bottomMargin">
            <wp:posOffset>215661</wp:posOffset>
          </wp:positionV>
          <wp:extent cx="7548113" cy="933086"/>
          <wp:effectExtent l="0" t="0" r="0" b="635"/>
          <wp:wrapNone/>
          <wp:docPr id="5" name="תמונה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דף פירמה חדש להדפסה - עברית ואנגלית-04-0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113" cy="933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2FF206" w14:textId="77777777" w:rsidR="00CC2FA1" w:rsidRDefault="00CC2FA1" w:rsidP="00AD3572">
    <w:pPr>
      <w:pStyle w:val="Footer"/>
    </w:pPr>
  </w:p>
  <w:p w14:paraId="3D648DFF" w14:textId="77777777" w:rsidR="00CC2FA1" w:rsidRDefault="00CC2FA1" w:rsidP="00AD3572">
    <w:pPr>
      <w:pStyle w:val="Footer"/>
    </w:pPr>
  </w:p>
  <w:p w14:paraId="55A843DB" w14:textId="77777777" w:rsidR="00CC2FA1" w:rsidRDefault="00CC2FA1" w:rsidP="00AD3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05C13" w14:textId="77777777" w:rsidR="006A0F6E" w:rsidRDefault="006A0F6E" w:rsidP="00D74B48">
      <w:pPr>
        <w:spacing w:after="0" w:line="240" w:lineRule="auto"/>
      </w:pPr>
      <w:r>
        <w:separator/>
      </w:r>
    </w:p>
  </w:footnote>
  <w:footnote w:type="continuationSeparator" w:id="0">
    <w:p w14:paraId="020B70D8" w14:textId="77777777" w:rsidR="006A0F6E" w:rsidRDefault="006A0F6E" w:rsidP="00D74B48">
      <w:pPr>
        <w:spacing w:after="0" w:line="240" w:lineRule="auto"/>
      </w:pPr>
      <w:r>
        <w:continuationSeparator/>
      </w:r>
    </w:p>
  </w:footnote>
  <w:footnote w:id="1">
    <w:p w14:paraId="3E934B95" w14:textId="6873E21C" w:rsidR="004F4543" w:rsidRPr="004F4543" w:rsidRDefault="004F4543">
      <w:pPr>
        <w:pStyle w:val="FootnoteText"/>
        <w:rPr>
          <w:rFonts w:ascii="Alef" w:hAnsi="Alef" w:cs="Alef"/>
          <w:rtl/>
        </w:rPr>
      </w:pPr>
      <w:r w:rsidRPr="004F4543">
        <w:rPr>
          <w:rStyle w:val="FootnoteReference"/>
          <w:rFonts w:ascii="Alef" w:hAnsi="Alef" w:cs="Alef"/>
        </w:rPr>
        <w:footnoteRef/>
      </w:r>
      <w:r w:rsidRPr="004F4543">
        <w:rPr>
          <w:rFonts w:ascii="Alef" w:hAnsi="Alef" w:cs="Alef"/>
          <w:rtl/>
        </w:rPr>
        <w:t xml:space="preserve"> חברה המצויה בקשרי בעלות עם דיפלומט.</w:t>
      </w:r>
    </w:p>
  </w:footnote>
  <w:footnote w:id="2">
    <w:p w14:paraId="27EB469B" w14:textId="0DC33D19" w:rsidR="004F4543" w:rsidRDefault="004F4543">
      <w:pPr>
        <w:pStyle w:val="FootnoteText"/>
        <w:rPr>
          <w:rtl/>
        </w:rPr>
      </w:pPr>
      <w:r w:rsidRPr="004F4543">
        <w:rPr>
          <w:rStyle w:val="FootnoteReference"/>
          <w:rFonts w:ascii="Alef" w:hAnsi="Alef" w:cs="Alef"/>
        </w:rPr>
        <w:footnoteRef/>
      </w:r>
      <w:r w:rsidRPr="004F4543">
        <w:rPr>
          <w:rFonts w:ascii="Alef" w:hAnsi="Alef" w:cs="Alef"/>
          <w:rtl/>
        </w:rPr>
        <w:t xml:space="preserve"> חברה המצויה בקשרי בעלות עם </w:t>
      </w:r>
      <w:proofErr w:type="spellStart"/>
      <w:r w:rsidRPr="004F4543">
        <w:rPr>
          <w:rFonts w:ascii="Alef" w:hAnsi="Alef" w:cs="Alef"/>
          <w:rtl/>
        </w:rPr>
        <w:t>ליימן</w:t>
      </w:r>
      <w:proofErr w:type="spellEnd"/>
      <w:r w:rsidRPr="004F4543">
        <w:rPr>
          <w:rFonts w:ascii="Alef" w:hAnsi="Alef" w:cs="Alef"/>
          <w:rtl/>
        </w:rPr>
        <w:t xml:space="preserve"> </w:t>
      </w:r>
      <w:proofErr w:type="spellStart"/>
      <w:r w:rsidRPr="004F4543">
        <w:rPr>
          <w:rFonts w:ascii="Alef" w:hAnsi="Alef" w:cs="Alef"/>
          <w:rtl/>
        </w:rPr>
        <w:t>שליסל</w:t>
      </w:r>
      <w:proofErr w:type="spellEnd"/>
      <w:r w:rsidRPr="004F4543">
        <w:rPr>
          <w:rFonts w:ascii="Alef" w:hAnsi="Alef" w:cs="Alef"/>
          <w:rtl/>
        </w:rPr>
        <w:t>.</w:t>
      </w:r>
    </w:p>
  </w:footnote>
  <w:footnote w:id="3">
    <w:p w14:paraId="18D33155" w14:textId="3433D803" w:rsidR="00CC2FA1" w:rsidRPr="00540F48" w:rsidRDefault="00CC2FA1">
      <w:pPr>
        <w:pStyle w:val="FootnoteText"/>
        <w:rPr>
          <w:rFonts w:ascii="Alef" w:hAnsi="Alef" w:cs="Alef"/>
        </w:rPr>
      </w:pPr>
      <w:r w:rsidRPr="00540F48">
        <w:rPr>
          <w:rStyle w:val="FootnoteReference"/>
          <w:rFonts w:ascii="Alef" w:hAnsi="Alef" w:cs="Alef"/>
        </w:rPr>
        <w:footnoteRef/>
      </w:r>
      <w:r w:rsidRPr="00540F48">
        <w:rPr>
          <w:rFonts w:ascii="Alef" w:hAnsi="Alef" w:cs="Alef"/>
          <w:rtl/>
        </w:rPr>
        <w:t xml:space="preserve"> </w:t>
      </w:r>
      <w:r w:rsidRPr="00540F48">
        <w:rPr>
          <w:rFonts w:ascii="Alef" w:hAnsi="Alef" w:cs="Alef"/>
        </w:rPr>
        <w:t xml:space="preserve">Business to </w:t>
      </w:r>
      <w:proofErr w:type="gramStart"/>
      <w:r w:rsidRPr="00540F48">
        <w:rPr>
          <w:rFonts w:ascii="Alef" w:hAnsi="Alef" w:cs="Alef"/>
        </w:rPr>
        <w:t xml:space="preserve">Business </w:t>
      </w:r>
      <w:r w:rsidR="004F4543">
        <w:rPr>
          <w:rFonts w:ascii="Alef" w:hAnsi="Alef" w:cs="Alef" w:hint="cs"/>
          <w:rtl/>
        </w:rPr>
        <w:t>.</w:t>
      </w:r>
      <w:proofErr w:type="gramEnd"/>
    </w:p>
  </w:footnote>
  <w:footnote w:id="4">
    <w:p w14:paraId="2BCB8939" w14:textId="0A5CA3F9" w:rsidR="008031F6" w:rsidRPr="00540F48" w:rsidRDefault="008031F6">
      <w:pPr>
        <w:pStyle w:val="FootnoteText"/>
        <w:rPr>
          <w:rFonts w:ascii="Alef" w:hAnsi="Alef" w:cs="Alef"/>
        </w:rPr>
      </w:pPr>
      <w:r w:rsidRPr="00540F48">
        <w:rPr>
          <w:rStyle w:val="FootnoteReference"/>
          <w:rFonts w:ascii="Alef" w:hAnsi="Alef" w:cs="Alef"/>
        </w:rPr>
        <w:footnoteRef/>
      </w:r>
      <w:r w:rsidRPr="00540F48">
        <w:rPr>
          <w:rFonts w:ascii="Alef" w:hAnsi="Alef" w:cs="Alef"/>
          <w:rtl/>
        </w:rPr>
        <w:t xml:space="preserve"> התנאי המתייחס לעמלת ההפצה של נילוס יכנס לתוקף בתום שנה וחצי מיום מתן החלטתי</w:t>
      </w:r>
      <w:r w:rsidR="00B16ACF" w:rsidRPr="00540F48">
        <w:rPr>
          <w:rFonts w:ascii="Alef" w:hAnsi="Alef" w:cs="Alef"/>
          <w:rtl/>
        </w:rPr>
        <w:t xml:space="preserve"> על מנת לאפשר למיזם תקופת הקמה והתארגנות</w:t>
      </w:r>
      <w:r w:rsidRPr="00540F48">
        <w:rPr>
          <w:rFonts w:ascii="Alef" w:hAnsi="Alef" w:cs="Alef"/>
          <w:rtl/>
        </w:rPr>
        <w:t xml:space="preserve">. </w:t>
      </w:r>
    </w:p>
  </w:footnote>
  <w:footnote w:id="5">
    <w:p w14:paraId="72E17E49" w14:textId="3658BB0C" w:rsidR="00872517" w:rsidRPr="004F4543" w:rsidRDefault="00872517" w:rsidP="00540F48">
      <w:pPr>
        <w:pStyle w:val="FootnoteText"/>
        <w:rPr>
          <w:rFonts w:ascii="Alef" w:hAnsi="Alef" w:cs="Alef"/>
          <w:rtl/>
        </w:rPr>
      </w:pPr>
      <w:r w:rsidRPr="004F4543">
        <w:rPr>
          <w:rStyle w:val="FootnoteReference"/>
          <w:rFonts w:ascii="Alef" w:hAnsi="Alef" w:cs="Alef"/>
        </w:rPr>
        <w:footnoteRef/>
      </w:r>
      <w:r w:rsidRPr="004F4543">
        <w:rPr>
          <w:rFonts w:ascii="Alef" w:hAnsi="Alef" w:cs="Alef"/>
          <w:rtl/>
        </w:rPr>
        <w:t xml:space="preserve"> החלטה בדבר אי-מתן פטור מאישור הסדר כובל להסדר בין: </w:t>
      </w:r>
      <w:r w:rsidRPr="004F4543">
        <w:rPr>
          <w:rFonts w:ascii="Alef" w:hAnsi="Alef" w:cs="Alef"/>
          <w:b/>
          <w:bCs/>
          <w:rtl/>
        </w:rPr>
        <w:t>גרנית הכרמל השקעות בע"מ</w:t>
      </w:r>
      <w:proofErr w:type="spellStart"/>
      <w:r w:rsidRPr="004F4543">
        <w:rPr>
          <w:rFonts w:ascii="Alef" w:hAnsi="Alef" w:cs="Alef"/>
          <w:b/>
          <w:bCs/>
        </w:rPr>
        <w:t>Samedan</w:t>
      </w:r>
      <w:proofErr w:type="spellEnd"/>
      <w:r w:rsidRPr="004F4543">
        <w:rPr>
          <w:rFonts w:ascii="Alef" w:hAnsi="Alef" w:cs="Alef"/>
          <w:b/>
          <w:bCs/>
        </w:rPr>
        <w:t xml:space="preserve"> Mediterranean Sea Reading &amp; Bates Mediterranean</w:t>
      </w:r>
      <w:r w:rsidRPr="004F4543">
        <w:rPr>
          <w:rFonts w:ascii="Alef" w:hAnsi="Alef" w:cs="Alef"/>
          <w:b/>
          <w:bCs/>
          <w:rtl/>
        </w:rPr>
        <w:t xml:space="preserve"> דלק קידוחים (שותפות מוגבלת) אבנר חיפושי נפט (שותפות מוגבלת)</w:t>
      </w:r>
      <w:r w:rsidR="00540F48" w:rsidRPr="004F4543">
        <w:rPr>
          <w:rFonts w:ascii="Alef" w:hAnsi="Alef" w:cs="Alef"/>
          <w:rtl/>
        </w:rPr>
        <w:t xml:space="preserve"> (13.9.2000) </w:t>
      </w:r>
      <w:r w:rsidR="00540F48" w:rsidRPr="004F4543">
        <w:rPr>
          <w:rFonts w:ascii="Alef" w:hAnsi="Alef" w:cs="Alef" w:hint="eastAsia"/>
          <w:b/>
          <w:bCs/>
          <w:rtl/>
        </w:rPr>
        <w:t>רשות</w:t>
      </w:r>
      <w:r w:rsidR="00540F48" w:rsidRPr="004F4543">
        <w:rPr>
          <w:rFonts w:ascii="Alef" w:hAnsi="Alef" w:cs="Alef"/>
          <w:b/>
          <w:bCs/>
          <w:rtl/>
        </w:rPr>
        <w:t xml:space="preserve"> </w:t>
      </w:r>
      <w:r w:rsidR="00540F48" w:rsidRPr="004F4543">
        <w:rPr>
          <w:rFonts w:ascii="Alef" w:hAnsi="Alef" w:cs="Alef" w:hint="eastAsia"/>
          <w:b/>
          <w:bCs/>
          <w:rtl/>
        </w:rPr>
        <w:t>התחרות</w:t>
      </w:r>
      <w:r w:rsidR="00540F48" w:rsidRPr="004F4543">
        <w:rPr>
          <w:rFonts w:ascii="Alef" w:hAnsi="Alef" w:cs="Alef"/>
          <w:rtl/>
        </w:rPr>
        <w:t xml:space="preserve"> 3008959.</w:t>
      </w:r>
    </w:p>
  </w:footnote>
  <w:footnote w:id="6">
    <w:p w14:paraId="0411DAEA" w14:textId="23D58467" w:rsidR="00590114" w:rsidRPr="00540F48" w:rsidRDefault="00590114" w:rsidP="00590114">
      <w:pPr>
        <w:pStyle w:val="FootnoteText"/>
        <w:rPr>
          <w:rFonts w:ascii="Alef" w:hAnsi="Alef" w:cs="Alef"/>
          <w:rtl/>
        </w:rPr>
      </w:pPr>
      <w:r w:rsidRPr="00540F48">
        <w:rPr>
          <w:rStyle w:val="FootnoteReference"/>
          <w:rFonts w:ascii="Alef" w:hAnsi="Alef" w:cs="Alef"/>
        </w:rPr>
        <w:footnoteRef/>
      </w:r>
      <w:r w:rsidRPr="00540F48">
        <w:rPr>
          <w:rFonts w:ascii="Alef" w:hAnsi="Alef" w:cs="Alef"/>
          <w:rtl/>
        </w:rPr>
        <w:t xml:space="preserve"> בחלק מהשווקים אחד מחברי המיזם עשוי </w:t>
      </w:r>
      <w:proofErr w:type="spellStart"/>
      <w:r w:rsidRPr="00540F48">
        <w:rPr>
          <w:rFonts w:ascii="Alef" w:hAnsi="Alef" w:cs="Alef"/>
          <w:rtl/>
        </w:rPr>
        <w:t>להחשב</w:t>
      </w:r>
      <w:proofErr w:type="spellEnd"/>
      <w:r w:rsidRPr="00540F48">
        <w:rPr>
          <w:rFonts w:ascii="Alef" w:hAnsi="Alef" w:cs="Alef"/>
          <w:rtl/>
        </w:rPr>
        <w:t xml:space="preserve"> כבעל חלק משמעותי.</w:t>
      </w:r>
    </w:p>
  </w:footnote>
  <w:footnote w:id="7">
    <w:p w14:paraId="34C44AB6" w14:textId="44C7A57B" w:rsidR="007C7F52" w:rsidRPr="00540F48" w:rsidRDefault="007C7F52" w:rsidP="00582B41">
      <w:pPr>
        <w:pStyle w:val="FootnoteText"/>
        <w:rPr>
          <w:rFonts w:ascii="Alef" w:hAnsi="Alef" w:cs="Alef"/>
        </w:rPr>
      </w:pPr>
      <w:r w:rsidRPr="00540F48">
        <w:rPr>
          <w:rStyle w:val="FootnoteReference"/>
          <w:rFonts w:ascii="Alef" w:hAnsi="Alef" w:cs="Alef"/>
        </w:rPr>
        <w:footnoteRef/>
      </w:r>
      <w:r w:rsidRPr="00540F48">
        <w:rPr>
          <w:rFonts w:ascii="Alef" w:hAnsi="Alef" w:cs="Alef"/>
          <w:rtl/>
        </w:rPr>
        <w:t xml:space="preserve"> </w:t>
      </w:r>
      <w:r w:rsidR="00582B41" w:rsidRPr="00540F48">
        <w:rPr>
          <w:rFonts w:ascii="Alef" w:hAnsi="Alef" w:cs="Alef"/>
          <w:rtl/>
        </w:rPr>
        <w:t xml:space="preserve">לעניין זה השוו: גילוי דעת 2/14 "חשיפת מידע טרם עסקה בין מתחרים" (19.5.2014) </w:t>
      </w:r>
      <w:r w:rsidR="00582B41" w:rsidRPr="00540F48">
        <w:rPr>
          <w:rFonts w:ascii="Alef" w:hAnsi="Alef" w:cs="Alef"/>
          <w:b/>
          <w:bCs/>
          <w:rtl/>
        </w:rPr>
        <w:t>רשות התחרות</w:t>
      </w:r>
      <w:r w:rsidR="00582B41" w:rsidRPr="00540F48">
        <w:rPr>
          <w:rFonts w:ascii="Alef" w:hAnsi="Alef" w:cs="Alef"/>
          <w:rtl/>
        </w:rPr>
        <w:t xml:space="preserve"> 500618.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EDFFD" w14:textId="77777777" w:rsidR="00CC2FA1" w:rsidRDefault="00CC2FA1" w:rsidP="00374F0F">
    <w:pPr>
      <w:pStyle w:val="Header"/>
      <w:rPr>
        <w:noProof/>
      </w:rPr>
    </w:pPr>
    <w:r>
      <w:rPr>
        <w:noProof/>
        <w:rtl/>
      </w:rPr>
      <w:drawing>
        <wp:anchor distT="0" distB="0" distL="114300" distR="114300" simplePos="0" relativeHeight="251660288" behindDoc="1" locked="0" layoutInCell="1" allowOverlap="1" wp14:anchorId="4C107BC6" wp14:editId="2F6948A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0965" cy="1336724"/>
          <wp:effectExtent l="0" t="0" r="0" b="0"/>
          <wp:wrapSquare wrapText="bothSides"/>
          <wp:docPr id="2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דף פירמה חדש להדפסה - עברית ואנגלית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965" cy="13367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76758"/>
    <w:multiLevelType w:val="hybridMultilevel"/>
    <w:tmpl w:val="B45A818C"/>
    <w:lvl w:ilvl="0" w:tplc="E3A017B4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A1220"/>
    <w:multiLevelType w:val="multilevel"/>
    <w:tmpl w:val="00ECA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E07828"/>
    <w:multiLevelType w:val="hybridMultilevel"/>
    <w:tmpl w:val="624A04F6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2D5CDA"/>
    <w:multiLevelType w:val="hybridMultilevel"/>
    <w:tmpl w:val="7F8CA9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8C0FBE"/>
    <w:multiLevelType w:val="multilevel"/>
    <w:tmpl w:val="309C2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6400C66"/>
    <w:multiLevelType w:val="multilevel"/>
    <w:tmpl w:val="04090021"/>
    <w:lvl w:ilvl="0">
      <w:start w:val="1"/>
      <w:numFmt w:val="hebrew1"/>
      <w:lvlText w:val="%1."/>
      <w:lvlJc w:val="center"/>
      <w:pPr>
        <w:ind w:left="360" w:hanging="360"/>
      </w:pPr>
    </w:lvl>
    <w:lvl w:ilvl="1">
      <w:start w:val="1"/>
      <w:numFmt w:val="decimal"/>
      <w:lvlText w:val="%1.%2."/>
      <w:lvlJc w:val="center"/>
      <w:pPr>
        <w:ind w:left="720" w:hanging="360"/>
      </w:pPr>
    </w:lvl>
    <w:lvl w:ilvl="2">
      <w:start w:val="1"/>
      <w:numFmt w:val="hebrew1"/>
      <w:lvlText w:val="%1.%2.%3."/>
      <w:lvlJc w:val="center"/>
      <w:pPr>
        <w:ind w:left="1080" w:hanging="360"/>
      </w:pPr>
    </w:lvl>
    <w:lvl w:ilvl="3">
      <w:start w:val="1"/>
      <w:numFmt w:val="decimal"/>
      <w:lvlText w:val="%1.%2.%3.%4."/>
      <w:lvlJc w:val="center"/>
      <w:pPr>
        <w:ind w:left="1440" w:hanging="360"/>
      </w:pPr>
    </w:lvl>
    <w:lvl w:ilvl="4">
      <w:start w:val="1"/>
      <w:numFmt w:val="hebrew1"/>
      <w:lvlText w:val="%1.%2.%3.%4.%5."/>
      <w:lvlJc w:val="center"/>
      <w:pPr>
        <w:ind w:left="1800" w:hanging="360"/>
      </w:pPr>
    </w:lvl>
    <w:lvl w:ilvl="5">
      <w:start w:val="1"/>
      <w:numFmt w:val="decimal"/>
      <w:lvlText w:val="%1.%2.%3.%4.%5.%6."/>
      <w:lvlJc w:val="center"/>
      <w:pPr>
        <w:ind w:left="2160" w:hanging="360"/>
      </w:pPr>
    </w:lvl>
    <w:lvl w:ilvl="6">
      <w:start w:val="1"/>
      <w:numFmt w:val="hebrew1"/>
      <w:lvlText w:val="%1.%2.%3.%4.%5.%6.%7."/>
      <w:lvlJc w:val="center"/>
      <w:pPr>
        <w:ind w:left="2520" w:hanging="360"/>
      </w:pPr>
    </w:lvl>
    <w:lvl w:ilvl="7">
      <w:start w:val="1"/>
      <w:numFmt w:val="decimal"/>
      <w:lvlText w:val="%1.%2.%3.%4.%5.%6.%7.%8."/>
      <w:lvlJc w:val="center"/>
      <w:pPr>
        <w:ind w:left="2880" w:hanging="360"/>
      </w:pPr>
    </w:lvl>
    <w:lvl w:ilvl="8">
      <w:start w:val="1"/>
      <w:numFmt w:val="hebrew1"/>
      <w:lvlText w:val="%1.%2.%3.%4.%5.%6.%7.%8.%9."/>
      <w:lvlJc w:val="center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B48"/>
    <w:rsid w:val="00004D89"/>
    <w:rsid w:val="0000592E"/>
    <w:rsid w:val="00062D78"/>
    <w:rsid w:val="00063D0E"/>
    <w:rsid w:val="00066DE4"/>
    <w:rsid w:val="0008023B"/>
    <w:rsid w:val="000818BD"/>
    <w:rsid w:val="000876A7"/>
    <w:rsid w:val="00090201"/>
    <w:rsid w:val="000A6697"/>
    <w:rsid w:val="000A744D"/>
    <w:rsid w:val="000A788D"/>
    <w:rsid w:val="000B0C9C"/>
    <w:rsid w:val="000B3C8C"/>
    <w:rsid w:val="000C04AC"/>
    <w:rsid w:val="000C0C6F"/>
    <w:rsid w:val="000C58B4"/>
    <w:rsid w:val="000C5B47"/>
    <w:rsid w:val="000D675B"/>
    <w:rsid w:val="000E1EFD"/>
    <w:rsid w:val="000E6F70"/>
    <w:rsid w:val="000F7C9B"/>
    <w:rsid w:val="00112D9C"/>
    <w:rsid w:val="001175B2"/>
    <w:rsid w:val="00122D80"/>
    <w:rsid w:val="00133E34"/>
    <w:rsid w:val="00141BF0"/>
    <w:rsid w:val="00142BFB"/>
    <w:rsid w:val="001457BC"/>
    <w:rsid w:val="00146467"/>
    <w:rsid w:val="00154D32"/>
    <w:rsid w:val="00160B5C"/>
    <w:rsid w:val="001A6B1D"/>
    <w:rsid w:val="001D010B"/>
    <w:rsid w:val="001D46C2"/>
    <w:rsid w:val="001E11F9"/>
    <w:rsid w:val="001E14C3"/>
    <w:rsid w:val="001E2194"/>
    <w:rsid w:val="001F2888"/>
    <w:rsid w:val="001F44E5"/>
    <w:rsid w:val="001F5A4A"/>
    <w:rsid w:val="001F757D"/>
    <w:rsid w:val="00217A27"/>
    <w:rsid w:val="00221EA3"/>
    <w:rsid w:val="002224D9"/>
    <w:rsid w:val="00222B6A"/>
    <w:rsid w:val="002261E8"/>
    <w:rsid w:val="0023184D"/>
    <w:rsid w:val="00232351"/>
    <w:rsid w:val="00237B9A"/>
    <w:rsid w:val="002400A7"/>
    <w:rsid w:val="00246737"/>
    <w:rsid w:val="0024769B"/>
    <w:rsid w:val="00260681"/>
    <w:rsid w:val="00271DB3"/>
    <w:rsid w:val="00272433"/>
    <w:rsid w:val="00286315"/>
    <w:rsid w:val="002A117B"/>
    <w:rsid w:val="002A4CEC"/>
    <w:rsid w:val="002A5320"/>
    <w:rsid w:val="002A5E2C"/>
    <w:rsid w:val="002A6326"/>
    <w:rsid w:val="002B3AD8"/>
    <w:rsid w:val="002C6FBA"/>
    <w:rsid w:val="002D0287"/>
    <w:rsid w:val="002D0D7E"/>
    <w:rsid w:val="002D6495"/>
    <w:rsid w:val="002D6828"/>
    <w:rsid w:val="002E4881"/>
    <w:rsid w:val="002F0F8E"/>
    <w:rsid w:val="002F215B"/>
    <w:rsid w:val="002F480E"/>
    <w:rsid w:val="00310A3C"/>
    <w:rsid w:val="00331A7D"/>
    <w:rsid w:val="00340AC4"/>
    <w:rsid w:val="00344830"/>
    <w:rsid w:val="00347C6F"/>
    <w:rsid w:val="00354DD7"/>
    <w:rsid w:val="0037256A"/>
    <w:rsid w:val="00374F0F"/>
    <w:rsid w:val="003A3ED5"/>
    <w:rsid w:val="003B5B3C"/>
    <w:rsid w:val="003B7D3C"/>
    <w:rsid w:val="003C08AC"/>
    <w:rsid w:val="003E0BB5"/>
    <w:rsid w:val="003E17E8"/>
    <w:rsid w:val="003E50EE"/>
    <w:rsid w:val="003F172C"/>
    <w:rsid w:val="003F41E1"/>
    <w:rsid w:val="003F674B"/>
    <w:rsid w:val="004109A9"/>
    <w:rsid w:val="0041316A"/>
    <w:rsid w:val="004172C5"/>
    <w:rsid w:val="00427D7E"/>
    <w:rsid w:val="00427E2B"/>
    <w:rsid w:val="00433398"/>
    <w:rsid w:val="004441BC"/>
    <w:rsid w:val="004470A8"/>
    <w:rsid w:val="00464BBB"/>
    <w:rsid w:val="00470F9D"/>
    <w:rsid w:val="00471F3A"/>
    <w:rsid w:val="004761FC"/>
    <w:rsid w:val="00477B80"/>
    <w:rsid w:val="00487687"/>
    <w:rsid w:val="0049536C"/>
    <w:rsid w:val="00497D5A"/>
    <w:rsid w:val="004A24CA"/>
    <w:rsid w:val="004A4264"/>
    <w:rsid w:val="004A4FAB"/>
    <w:rsid w:val="004D10C4"/>
    <w:rsid w:val="004D268C"/>
    <w:rsid w:val="004D6AE4"/>
    <w:rsid w:val="004F02A4"/>
    <w:rsid w:val="004F4543"/>
    <w:rsid w:val="005002E9"/>
    <w:rsid w:val="0053572A"/>
    <w:rsid w:val="00540F48"/>
    <w:rsid w:val="005420CE"/>
    <w:rsid w:val="00546D12"/>
    <w:rsid w:val="0054762A"/>
    <w:rsid w:val="00553441"/>
    <w:rsid w:val="005556CF"/>
    <w:rsid w:val="00564AD7"/>
    <w:rsid w:val="005667C1"/>
    <w:rsid w:val="0056742A"/>
    <w:rsid w:val="0056758A"/>
    <w:rsid w:val="005755DA"/>
    <w:rsid w:val="00582B41"/>
    <w:rsid w:val="00590114"/>
    <w:rsid w:val="0059323E"/>
    <w:rsid w:val="0059787C"/>
    <w:rsid w:val="005A0CFF"/>
    <w:rsid w:val="005B19E8"/>
    <w:rsid w:val="005C0880"/>
    <w:rsid w:val="005D52F8"/>
    <w:rsid w:val="005E3302"/>
    <w:rsid w:val="005F6CD0"/>
    <w:rsid w:val="0060238B"/>
    <w:rsid w:val="00606E58"/>
    <w:rsid w:val="0062161E"/>
    <w:rsid w:val="00623362"/>
    <w:rsid w:val="00635486"/>
    <w:rsid w:val="00647B4A"/>
    <w:rsid w:val="00651413"/>
    <w:rsid w:val="006554B5"/>
    <w:rsid w:val="00660433"/>
    <w:rsid w:val="00664183"/>
    <w:rsid w:val="00687EAF"/>
    <w:rsid w:val="00692D3C"/>
    <w:rsid w:val="00692D6D"/>
    <w:rsid w:val="00697D96"/>
    <w:rsid w:val="006A0F6E"/>
    <w:rsid w:val="006A6AAE"/>
    <w:rsid w:val="006A7D11"/>
    <w:rsid w:val="006C02EE"/>
    <w:rsid w:val="006C07AE"/>
    <w:rsid w:val="006C0C1C"/>
    <w:rsid w:val="006D1476"/>
    <w:rsid w:val="006D792A"/>
    <w:rsid w:val="006E0B1C"/>
    <w:rsid w:val="007070C0"/>
    <w:rsid w:val="00722E1A"/>
    <w:rsid w:val="00734DF9"/>
    <w:rsid w:val="007604DC"/>
    <w:rsid w:val="0078194C"/>
    <w:rsid w:val="00786392"/>
    <w:rsid w:val="00790432"/>
    <w:rsid w:val="007937EA"/>
    <w:rsid w:val="007A76ED"/>
    <w:rsid w:val="007B0092"/>
    <w:rsid w:val="007B1978"/>
    <w:rsid w:val="007B254F"/>
    <w:rsid w:val="007B63B9"/>
    <w:rsid w:val="007C7692"/>
    <w:rsid w:val="007C7F52"/>
    <w:rsid w:val="007D1CF5"/>
    <w:rsid w:val="007D3F69"/>
    <w:rsid w:val="007E066E"/>
    <w:rsid w:val="007E127C"/>
    <w:rsid w:val="007E6578"/>
    <w:rsid w:val="007F4B04"/>
    <w:rsid w:val="008031F6"/>
    <w:rsid w:val="00814024"/>
    <w:rsid w:val="00816185"/>
    <w:rsid w:val="00816EAF"/>
    <w:rsid w:val="008321E5"/>
    <w:rsid w:val="00846CA8"/>
    <w:rsid w:val="00851D51"/>
    <w:rsid w:val="00856AA5"/>
    <w:rsid w:val="0086136E"/>
    <w:rsid w:val="00863989"/>
    <w:rsid w:val="00872517"/>
    <w:rsid w:val="00874DCA"/>
    <w:rsid w:val="00880E48"/>
    <w:rsid w:val="00893E1F"/>
    <w:rsid w:val="0089745C"/>
    <w:rsid w:val="008A71FA"/>
    <w:rsid w:val="008B042F"/>
    <w:rsid w:val="008B15F0"/>
    <w:rsid w:val="008B2466"/>
    <w:rsid w:val="008C2DAE"/>
    <w:rsid w:val="008C3575"/>
    <w:rsid w:val="008D31FF"/>
    <w:rsid w:val="009013F7"/>
    <w:rsid w:val="00915947"/>
    <w:rsid w:val="00921106"/>
    <w:rsid w:val="00921493"/>
    <w:rsid w:val="00924F42"/>
    <w:rsid w:val="00927C45"/>
    <w:rsid w:val="00940968"/>
    <w:rsid w:val="00940E93"/>
    <w:rsid w:val="00952B96"/>
    <w:rsid w:val="009612BC"/>
    <w:rsid w:val="0096196A"/>
    <w:rsid w:val="00964CF0"/>
    <w:rsid w:val="0096583B"/>
    <w:rsid w:val="0097515C"/>
    <w:rsid w:val="00990AC9"/>
    <w:rsid w:val="00992B6B"/>
    <w:rsid w:val="009A1BCA"/>
    <w:rsid w:val="009B0AB5"/>
    <w:rsid w:val="009B118E"/>
    <w:rsid w:val="009B4D61"/>
    <w:rsid w:val="009B5E00"/>
    <w:rsid w:val="009B6795"/>
    <w:rsid w:val="009C60F2"/>
    <w:rsid w:val="009C61C1"/>
    <w:rsid w:val="009D1DE9"/>
    <w:rsid w:val="009E5DB8"/>
    <w:rsid w:val="009E78A7"/>
    <w:rsid w:val="009F16C6"/>
    <w:rsid w:val="00A05DAC"/>
    <w:rsid w:val="00A061D2"/>
    <w:rsid w:val="00A076A9"/>
    <w:rsid w:val="00A13D1B"/>
    <w:rsid w:val="00A16190"/>
    <w:rsid w:val="00A1699F"/>
    <w:rsid w:val="00A16C63"/>
    <w:rsid w:val="00A22F8B"/>
    <w:rsid w:val="00A24847"/>
    <w:rsid w:val="00A5008D"/>
    <w:rsid w:val="00A50A09"/>
    <w:rsid w:val="00A51919"/>
    <w:rsid w:val="00A52425"/>
    <w:rsid w:val="00A5794D"/>
    <w:rsid w:val="00A72313"/>
    <w:rsid w:val="00A81D29"/>
    <w:rsid w:val="00A87FA5"/>
    <w:rsid w:val="00A9113D"/>
    <w:rsid w:val="00AA35BD"/>
    <w:rsid w:val="00AA3C0C"/>
    <w:rsid w:val="00AC53BE"/>
    <w:rsid w:val="00AC64DE"/>
    <w:rsid w:val="00AD3572"/>
    <w:rsid w:val="00AD6938"/>
    <w:rsid w:val="00AF4AF1"/>
    <w:rsid w:val="00AF566E"/>
    <w:rsid w:val="00B05EC1"/>
    <w:rsid w:val="00B16ACF"/>
    <w:rsid w:val="00B315BE"/>
    <w:rsid w:val="00B37B8C"/>
    <w:rsid w:val="00B37F6F"/>
    <w:rsid w:val="00B40676"/>
    <w:rsid w:val="00B46856"/>
    <w:rsid w:val="00B54FB9"/>
    <w:rsid w:val="00B564E5"/>
    <w:rsid w:val="00B74E2A"/>
    <w:rsid w:val="00B74FFF"/>
    <w:rsid w:val="00B77AED"/>
    <w:rsid w:val="00B86640"/>
    <w:rsid w:val="00B86C17"/>
    <w:rsid w:val="00B913FD"/>
    <w:rsid w:val="00B92171"/>
    <w:rsid w:val="00B94D21"/>
    <w:rsid w:val="00BB28A4"/>
    <w:rsid w:val="00BB5AA0"/>
    <w:rsid w:val="00BC58B1"/>
    <w:rsid w:val="00BC7511"/>
    <w:rsid w:val="00BD10CC"/>
    <w:rsid w:val="00BD52BC"/>
    <w:rsid w:val="00BE537E"/>
    <w:rsid w:val="00BF3FAE"/>
    <w:rsid w:val="00C01CE0"/>
    <w:rsid w:val="00C02C40"/>
    <w:rsid w:val="00C200D7"/>
    <w:rsid w:val="00C35144"/>
    <w:rsid w:val="00C367D1"/>
    <w:rsid w:val="00C47E34"/>
    <w:rsid w:val="00C54577"/>
    <w:rsid w:val="00C5518E"/>
    <w:rsid w:val="00C6196F"/>
    <w:rsid w:val="00C72B6E"/>
    <w:rsid w:val="00C8001B"/>
    <w:rsid w:val="00C81875"/>
    <w:rsid w:val="00C926EF"/>
    <w:rsid w:val="00C95877"/>
    <w:rsid w:val="00C95CBA"/>
    <w:rsid w:val="00CA0314"/>
    <w:rsid w:val="00CA2309"/>
    <w:rsid w:val="00CB2E82"/>
    <w:rsid w:val="00CB6616"/>
    <w:rsid w:val="00CB79B6"/>
    <w:rsid w:val="00CB7E27"/>
    <w:rsid w:val="00CC0DCD"/>
    <w:rsid w:val="00CC1B58"/>
    <w:rsid w:val="00CC2FA1"/>
    <w:rsid w:val="00CD2F46"/>
    <w:rsid w:val="00CD3D80"/>
    <w:rsid w:val="00CD521A"/>
    <w:rsid w:val="00CD5A74"/>
    <w:rsid w:val="00CE7B05"/>
    <w:rsid w:val="00D143CE"/>
    <w:rsid w:val="00D16C2F"/>
    <w:rsid w:val="00D263A1"/>
    <w:rsid w:val="00D30DEC"/>
    <w:rsid w:val="00D438C9"/>
    <w:rsid w:val="00D43ECB"/>
    <w:rsid w:val="00D46C83"/>
    <w:rsid w:val="00D479CD"/>
    <w:rsid w:val="00D616A3"/>
    <w:rsid w:val="00D63120"/>
    <w:rsid w:val="00D71290"/>
    <w:rsid w:val="00D743CF"/>
    <w:rsid w:val="00D74B48"/>
    <w:rsid w:val="00D85F54"/>
    <w:rsid w:val="00DA09AC"/>
    <w:rsid w:val="00DA1DAD"/>
    <w:rsid w:val="00DA7799"/>
    <w:rsid w:val="00DE0DAC"/>
    <w:rsid w:val="00DE1350"/>
    <w:rsid w:val="00DE6F7E"/>
    <w:rsid w:val="00DE732E"/>
    <w:rsid w:val="00DF320F"/>
    <w:rsid w:val="00DF716F"/>
    <w:rsid w:val="00E114BE"/>
    <w:rsid w:val="00E14835"/>
    <w:rsid w:val="00E168E7"/>
    <w:rsid w:val="00E24436"/>
    <w:rsid w:val="00E3302F"/>
    <w:rsid w:val="00E364EA"/>
    <w:rsid w:val="00E65684"/>
    <w:rsid w:val="00E8714C"/>
    <w:rsid w:val="00E92A0D"/>
    <w:rsid w:val="00EA0B6E"/>
    <w:rsid w:val="00EA5B35"/>
    <w:rsid w:val="00EA7A0E"/>
    <w:rsid w:val="00EB01BE"/>
    <w:rsid w:val="00EB0E8C"/>
    <w:rsid w:val="00EB33BE"/>
    <w:rsid w:val="00EB46E9"/>
    <w:rsid w:val="00EC2AF1"/>
    <w:rsid w:val="00EC46F5"/>
    <w:rsid w:val="00ED075A"/>
    <w:rsid w:val="00ED2554"/>
    <w:rsid w:val="00EF1B72"/>
    <w:rsid w:val="00F12DFA"/>
    <w:rsid w:val="00F137AF"/>
    <w:rsid w:val="00F15C4F"/>
    <w:rsid w:val="00F20F90"/>
    <w:rsid w:val="00F46426"/>
    <w:rsid w:val="00F51402"/>
    <w:rsid w:val="00F51A47"/>
    <w:rsid w:val="00F52E0E"/>
    <w:rsid w:val="00F61A65"/>
    <w:rsid w:val="00F63629"/>
    <w:rsid w:val="00F702D2"/>
    <w:rsid w:val="00F84A60"/>
    <w:rsid w:val="00F92623"/>
    <w:rsid w:val="00FA2FE4"/>
    <w:rsid w:val="00FA7222"/>
    <w:rsid w:val="00FB34AD"/>
    <w:rsid w:val="00FB6604"/>
    <w:rsid w:val="00FC13BB"/>
    <w:rsid w:val="00FC3EB8"/>
    <w:rsid w:val="00FD45B5"/>
    <w:rsid w:val="00FD47ED"/>
    <w:rsid w:val="00FD495E"/>
    <w:rsid w:val="00FE0A1C"/>
    <w:rsid w:val="00FF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C8FE24"/>
  <w15:chartTrackingRefBased/>
  <w15:docId w15:val="{4281012F-617F-47A4-B584-5339E4C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2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74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B48"/>
  </w:style>
  <w:style w:type="paragraph" w:styleId="Footer">
    <w:name w:val="footer"/>
    <w:basedOn w:val="Normal"/>
    <w:link w:val="FooterChar"/>
    <w:uiPriority w:val="99"/>
    <w:unhideWhenUsed/>
    <w:rsid w:val="00D74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B48"/>
  </w:style>
  <w:style w:type="paragraph" w:styleId="FootnoteText">
    <w:name w:val="footnote text"/>
    <w:basedOn w:val="Normal"/>
    <w:link w:val="FootnoteTextChar"/>
    <w:unhideWhenUsed/>
    <w:rsid w:val="00CB2E82"/>
    <w:pPr>
      <w:spacing w:after="0" w:line="240" w:lineRule="auto"/>
      <w:jc w:val="both"/>
    </w:pPr>
    <w:rPr>
      <w:rFonts w:ascii="David" w:eastAsia="Times New Roman" w:hAnsi="David" w:cs="David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2E82"/>
    <w:rPr>
      <w:rFonts w:ascii="David" w:eastAsia="Times New Roman" w:hAnsi="David" w:cs="David"/>
      <w:sz w:val="20"/>
      <w:szCs w:val="20"/>
    </w:rPr>
  </w:style>
  <w:style w:type="character" w:styleId="FootnoteReference">
    <w:name w:val="footnote reference"/>
    <w:aliases w:val="header 3"/>
    <w:basedOn w:val="DefaultParagraphFont"/>
    <w:unhideWhenUsed/>
    <w:rsid w:val="00CB2E8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2E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2E82"/>
    <w:pPr>
      <w:spacing w:after="120" w:line="240" w:lineRule="auto"/>
      <w:jc w:val="both"/>
    </w:pPr>
    <w:rPr>
      <w:rFonts w:ascii="David" w:eastAsia="Times New Roman" w:hAnsi="David" w:cs="David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2E82"/>
    <w:rPr>
      <w:rFonts w:ascii="David" w:eastAsia="Times New Roman" w:hAnsi="David" w:cs="Davi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E82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E82"/>
    <w:rPr>
      <w:rFonts w:ascii="Tahoma" w:hAnsi="Tahoma" w:cs="Tahoma"/>
      <w:sz w:val="18"/>
      <w:szCs w:val="18"/>
    </w:rPr>
  </w:style>
  <w:style w:type="paragraph" w:styleId="Title">
    <w:name w:val="Title"/>
    <w:basedOn w:val="Normal"/>
    <w:link w:val="TitleChar"/>
    <w:uiPriority w:val="10"/>
    <w:qFormat/>
    <w:rsid w:val="00CB2E82"/>
    <w:pPr>
      <w:bidi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B2E82"/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F16C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13D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13D"/>
    <w:rPr>
      <w:rFonts w:ascii="David" w:eastAsia="Times New Roman" w:hAnsi="David" w:cs="David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2C4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70F9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E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45086-6307-4B80-9CF1-F8369666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1793</Words>
  <Characters>8967</Characters>
  <Application>Microsoft Office Word</Application>
  <DocSecurity>4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Nofar hadar</dc:creator>
  <cp:keywords/>
  <dc:description/>
  <cp:lastModifiedBy>Melita Shafir</cp:lastModifiedBy>
  <cp:revision>2</cp:revision>
  <cp:lastPrinted>2020-07-01T13:55:00Z</cp:lastPrinted>
  <dcterms:created xsi:type="dcterms:W3CDTF">2021-01-14T08:33:00Z</dcterms:created>
  <dcterms:modified xsi:type="dcterms:W3CDTF">2021-01-14T08:33:00Z</dcterms:modified>
</cp:coreProperties>
</file>