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612" w:rsidRPr="00075465" w:rsidRDefault="00D24C38" w:rsidP="00075465">
      <w:pPr>
        <w:spacing w:after="0" w:line="240" w:lineRule="auto"/>
        <w:jc w:val="center"/>
        <w:rPr>
          <w:rFonts w:ascii="Alef" w:hAnsi="Alef" w:cs="Alef"/>
          <w:sz w:val="26"/>
          <w:szCs w:val="26"/>
          <w:rtl/>
        </w:rPr>
      </w:pPr>
      <w:bookmarkStart w:id="0" w:name="_GoBack"/>
      <w:r w:rsidRPr="00075465">
        <w:rPr>
          <w:rFonts w:ascii="Alef" w:hAnsi="Alef" w:cs="Alef"/>
          <w:b/>
          <w:bCs/>
          <w:sz w:val="26"/>
          <w:szCs w:val="26"/>
          <w:rtl/>
        </w:rPr>
        <w:t xml:space="preserve">החלטה בדבר מתן פטור בתנאים מאישור הסדר כובל בין: </w:t>
      </w:r>
      <w:r w:rsidRPr="00075465">
        <w:rPr>
          <w:rFonts w:ascii="Alef" w:hAnsi="Alef" w:cs="Alef"/>
          <w:b/>
          <w:bCs/>
          <w:sz w:val="26"/>
          <w:szCs w:val="26"/>
          <w:rtl/>
        </w:rPr>
        <w:br/>
      </w:r>
      <w:bookmarkEnd w:id="0"/>
      <w:r w:rsidRPr="00075465">
        <w:rPr>
          <w:rFonts w:ascii="Alef" w:hAnsi="Alef" w:cs="Alef"/>
          <w:b/>
          <w:bCs/>
          <w:sz w:val="26"/>
          <w:szCs w:val="26"/>
          <w:rtl/>
        </w:rPr>
        <w:t>בנק הפועלים בע"מ, בנק לאומי לישראל בע"מ, בנק דיסקונט לישראל בע"מ, הבנק הבינלאומי הראשון לישראל בע"מ ושירותי בנק אוטומטיים בע"מ (שבא)</w:t>
      </w:r>
    </w:p>
    <w:p w:rsidR="00755612" w:rsidRPr="00755612" w:rsidRDefault="00755612" w:rsidP="00075465">
      <w:pPr>
        <w:spacing w:after="0" w:line="240" w:lineRule="auto"/>
        <w:jc w:val="center"/>
        <w:rPr>
          <w:rFonts w:ascii="Alef" w:hAnsi="Alef" w:cs="Alef"/>
          <w:sz w:val="24"/>
          <w:szCs w:val="24"/>
        </w:rPr>
      </w:pPr>
    </w:p>
    <w:p w:rsidR="00D24C38" w:rsidRPr="00755612" w:rsidRDefault="00D24C38" w:rsidP="00075465">
      <w:pPr>
        <w:pStyle w:val="Heading1"/>
        <w:spacing w:before="0" w:after="0" w:line="240" w:lineRule="auto"/>
        <w:rPr>
          <w:rFonts w:ascii="Alef" w:hAnsi="Alef" w:cs="Alef"/>
        </w:rPr>
      </w:pPr>
      <w:r w:rsidRPr="00755612">
        <w:rPr>
          <w:rFonts w:ascii="Alef" w:hAnsi="Alef" w:cs="Alef"/>
          <w:rtl/>
        </w:rPr>
        <w:t>פתח דבר</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לפניי בקשת פטור לפי סעיף 14 לחוק התחרות הכלכלית, התשמ"ח-1988 (להלן</w:t>
      </w:r>
      <w:r w:rsidRPr="00755612">
        <w:rPr>
          <w:rStyle w:val="Strong"/>
          <w:rFonts w:ascii="Alef" w:hAnsi="Alef" w:cs="Alef"/>
          <w:sz w:val="24"/>
          <w:szCs w:val="24"/>
          <w:rtl/>
        </w:rPr>
        <w:t xml:space="preserve"> חוק התחרות הכלכלית</w:t>
      </w:r>
      <w:r w:rsidRPr="00755612">
        <w:rPr>
          <w:rFonts w:ascii="Alef" w:hAnsi="Alef" w:cs="Alef"/>
          <w:sz w:val="24"/>
          <w:szCs w:val="24"/>
          <w:rtl/>
        </w:rPr>
        <w:t>) להסדר שצדדים לו בנק הפועלים בע"מ, בנק לאומי לישראל בע"מ, בנק דיסקונט לישראל בע"מ, הבנק הבינלאומי הראשון לישראל בע"מ (להלן בהתאמה</w:t>
      </w:r>
      <w:r w:rsidRPr="00755612">
        <w:rPr>
          <w:rFonts w:ascii="Alef" w:hAnsi="Alef" w:cs="Alef"/>
          <w:b/>
          <w:bCs/>
          <w:sz w:val="24"/>
          <w:szCs w:val="24"/>
          <w:rtl/>
        </w:rPr>
        <w:t xml:space="preserve"> בנק הפועלים</w:t>
      </w:r>
      <w:r w:rsidRPr="00755612">
        <w:rPr>
          <w:rFonts w:ascii="Alef" w:hAnsi="Alef" w:cs="Alef"/>
          <w:sz w:val="24"/>
          <w:szCs w:val="24"/>
          <w:rtl/>
        </w:rPr>
        <w:t xml:space="preserve">, </w:t>
      </w:r>
      <w:r w:rsidRPr="00755612">
        <w:rPr>
          <w:rFonts w:ascii="Alef" w:hAnsi="Alef" w:cs="Alef"/>
          <w:b/>
          <w:bCs/>
          <w:sz w:val="24"/>
          <w:szCs w:val="24"/>
          <w:rtl/>
        </w:rPr>
        <w:t>בנק לאומי</w:t>
      </w:r>
      <w:r w:rsidRPr="00755612">
        <w:rPr>
          <w:rFonts w:ascii="Alef" w:hAnsi="Alef" w:cs="Alef"/>
          <w:sz w:val="24"/>
          <w:szCs w:val="24"/>
          <w:rtl/>
        </w:rPr>
        <w:t xml:space="preserve">, </w:t>
      </w:r>
      <w:r w:rsidRPr="00755612">
        <w:rPr>
          <w:rFonts w:ascii="Alef" w:hAnsi="Alef" w:cs="Alef"/>
          <w:b/>
          <w:bCs/>
          <w:sz w:val="24"/>
          <w:szCs w:val="24"/>
          <w:rtl/>
        </w:rPr>
        <w:t>בנק דיסקונט</w:t>
      </w:r>
      <w:r w:rsidRPr="00755612">
        <w:rPr>
          <w:rFonts w:ascii="Alef" w:hAnsi="Alef" w:cs="Alef"/>
          <w:sz w:val="24"/>
          <w:szCs w:val="24"/>
          <w:rtl/>
        </w:rPr>
        <w:t>, ו</w:t>
      </w:r>
      <w:r w:rsidRPr="00755612">
        <w:rPr>
          <w:rFonts w:ascii="Alef" w:hAnsi="Alef" w:cs="Alef"/>
          <w:b/>
          <w:bCs/>
          <w:sz w:val="24"/>
          <w:szCs w:val="24"/>
          <w:rtl/>
        </w:rPr>
        <w:t>הבנק הבינלאומי</w:t>
      </w:r>
      <w:r w:rsidRPr="00755612">
        <w:rPr>
          <w:rFonts w:ascii="Alef" w:hAnsi="Alef" w:cs="Alef"/>
          <w:sz w:val="24"/>
          <w:szCs w:val="24"/>
          <w:rtl/>
        </w:rPr>
        <w:t>, וביחד</w:t>
      </w:r>
      <w:r w:rsidRPr="00755612">
        <w:rPr>
          <w:rStyle w:val="Strong"/>
          <w:rFonts w:ascii="Alef" w:hAnsi="Alef" w:cs="Alef"/>
          <w:sz w:val="24"/>
          <w:szCs w:val="24"/>
          <w:rtl/>
        </w:rPr>
        <w:t xml:space="preserve"> הבנקים המחזיקים בשבא</w:t>
      </w:r>
      <w:r w:rsidRPr="00755612">
        <w:rPr>
          <w:rFonts w:ascii="Alef" w:hAnsi="Alef" w:cs="Alef"/>
          <w:sz w:val="24"/>
          <w:szCs w:val="24"/>
          <w:rtl/>
        </w:rPr>
        <w:t xml:space="preserve">) וחברת שירותי בנק אוטומטיים בע"מ (להלן </w:t>
      </w:r>
      <w:r w:rsidRPr="00755612">
        <w:rPr>
          <w:rStyle w:val="Strong"/>
          <w:rFonts w:ascii="Alef" w:hAnsi="Alef" w:cs="Alef"/>
          <w:sz w:val="24"/>
          <w:szCs w:val="24"/>
          <w:rtl/>
        </w:rPr>
        <w:t>שבא</w:t>
      </w:r>
      <w:r w:rsidRPr="00755612">
        <w:rPr>
          <w:rFonts w:ascii="Alef" w:hAnsi="Alef" w:cs="Alef"/>
          <w:sz w:val="24"/>
          <w:szCs w:val="24"/>
          <w:rtl/>
        </w:rPr>
        <w:t>), שעניינו פעולה משותפת של הבנקים במסגרת שבא. החלטת הפטור הראשונה בעניין שבא ניתנה ביום 18.6.2002 ומאז ניתנו מספר החלטות פטור נוספות, שהאחרונה שבהן ניתנה ביום 24.9.2017</w:t>
      </w:r>
      <w:r w:rsidRPr="00755612">
        <w:rPr>
          <w:rStyle w:val="FootnoteReference"/>
          <w:rFonts w:ascii="Alef" w:hAnsi="Alef" w:cs="Alef"/>
          <w:sz w:val="24"/>
          <w:szCs w:val="24"/>
          <w:rtl/>
        </w:rPr>
        <w:footnoteReference w:id="1"/>
      </w:r>
      <w:r w:rsidRPr="00755612">
        <w:rPr>
          <w:rFonts w:ascii="Alef" w:hAnsi="Alef" w:cs="Alef"/>
          <w:sz w:val="24"/>
          <w:szCs w:val="24"/>
          <w:rtl/>
        </w:rPr>
        <w:t xml:space="preserve"> (להלן</w:t>
      </w:r>
      <w:r w:rsidRPr="00755612">
        <w:rPr>
          <w:rFonts w:ascii="Alef" w:hAnsi="Alef" w:cs="Alef"/>
          <w:b/>
          <w:bCs/>
          <w:sz w:val="24"/>
          <w:szCs w:val="24"/>
          <w:rtl/>
        </w:rPr>
        <w:t xml:space="preserve"> הפטור הראשון</w:t>
      </w:r>
      <w:r w:rsidRPr="00755612">
        <w:rPr>
          <w:rFonts w:ascii="Alef" w:hAnsi="Alef" w:cs="Alef"/>
          <w:sz w:val="24"/>
          <w:szCs w:val="24"/>
          <w:rtl/>
        </w:rPr>
        <w:t xml:space="preserve"> ו</w:t>
      </w:r>
      <w:r w:rsidRPr="00755612">
        <w:rPr>
          <w:rFonts w:ascii="Alef" w:hAnsi="Alef" w:cs="Alef"/>
          <w:b/>
          <w:bCs/>
          <w:sz w:val="24"/>
          <w:szCs w:val="24"/>
          <w:rtl/>
        </w:rPr>
        <w:t>הפטור האחרון</w:t>
      </w:r>
      <w:r w:rsidRPr="00755612">
        <w:rPr>
          <w:rFonts w:ascii="Alef" w:hAnsi="Alef" w:cs="Alef"/>
          <w:sz w:val="24"/>
          <w:szCs w:val="24"/>
          <w:rtl/>
        </w:rPr>
        <w:t>, בהתאמה).</w:t>
      </w:r>
      <w:r w:rsidRPr="00755612">
        <w:rPr>
          <w:rFonts w:ascii="Alef" w:hAnsi="Alef" w:cs="Alef"/>
          <w:b/>
          <w:bCs/>
          <w:sz w:val="24"/>
          <w:szCs w:val="24"/>
          <w:rtl/>
        </w:rPr>
        <w:t xml:space="preserve"> </w:t>
      </w:r>
      <w:r w:rsidRPr="00755612">
        <w:rPr>
          <w:rFonts w:ascii="Alef" w:hAnsi="Alef" w:cs="Alef"/>
          <w:sz w:val="24"/>
          <w:szCs w:val="24"/>
          <w:rtl/>
        </w:rPr>
        <w:t xml:space="preserve">אציין כי הרקע להגשת בקשת בפטור במכתב שהוציאה רשות התחרות </w:t>
      </w:r>
      <w:proofErr w:type="spellStart"/>
      <w:r w:rsidRPr="00755612">
        <w:rPr>
          <w:rFonts w:ascii="Alef" w:hAnsi="Alef" w:cs="Alef"/>
          <w:sz w:val="24"/>
          <w:szCs w:val="24"/>
          <w:rtl/>
        </w:rPr>
        <w:t>לשבא</w:t>
      </w:r>
      <w:proofErr w:type="spellEnd"/>
      <w:r w:rsidRPr="00755612">
        <w:rPr>
          <w:rFonts w:ascii="Alef" w:hAnsi="Alef" w:cs="Alef"/>
          <w:sz w:val="24"/>
          <w:szCs w:val="24"/>
          <w:rtl/>
        </w:rPr>
        <w:t xml:space="preserve"> ביום 10.11.2019 על החרגת ההסדר מתחולת פטורי הסוג, כלומר דרישה כי ההסדר יבוא לבחינה פרטנית.  </w:t>
      </w:r>
    </w:p>
    <w:p w:rsidR="00075465" w:rsidRPr="00755612" w:rsidRDefault="00D24C38" w:rsidP="00710E29">
      <w:pPr>
        <w:spacing w:after="0" w:line="240" w:lineRule="auto"/>
        <w:jc w:val="both"/>
        <w:rPr>
          <w:rFonts w:ascii="Alef" w:eastAsia="David" w:hAnsi="Alef" w:cs="Alef"/>
          <w:kern w:val="36"/>
          <w:sz w:val="24"/>
          <w:szCs w:val="24"/>
          <w:rtl/>
        </w:rPr>
      </w:pPr>
      <w:r w:rsidRPr="00755612">
        <w:rPr>
          <w:rFonts w:ascii="Alef" w:eastAsia="David" w:hAnsi="Alef" w:cs="Alef"/>
          <w:kern w:val="36"/>
          <w:sz w:val="24"/>
          <w:szCs w:val="24"/>
          <w:rtl/>
        </w:rPr>
        <w:t>לאחר שבחנתי את ההסדר ואת הכבילות המצויות בו, כמו גם את השפעתו האפשרית על התחרות בשווקים הרלוונטיים, ולאחר שנועצתי בוועדה לפטורים ומיזוגים, שוכנעתי כי בכפוף לתנאים המופיעים בסיפא של החלטתי זו, אין בכבילות שבהסדר כדי לפגוע פגיעה של ממש בתחרות בשווקים הרלוונטיים; כמו כן, שוכנעתי כי עיקרו של ההסדר אינו בהפחתת התחרות או במניעתה, וכי אין בו כבילות שאינן נחוצות למימוש עיקרו. מטעמים אלו, ראוי ההסדר לפטור בתנאים לפי סעיף 14 לחוק ההגבלים העסקיים, על יסוד הנימוקים שיפורטו להלן.</w:t>
      </w:r>
    </w:p>
    <w:p w:rsidR="00D24C38" w:rsidRPr="00755612" w:rsidRDefault="00D24C38" w:rsidP="00075465">
      <w:pPr>
        <w:pStyle w:val="Heading1"/>
        <w:spacing w:before="0" w:after="0" w:line="240" w:lineRule="auto"/>
        <w:rPr>
          <w:rFonts w:ascii="Alef" w:hAnsi="Alef" w:cs="Alef"/>
        </w:rPr>
      </w:pPr>
      <w:r w:rsidRPr="00755612">
        <w:rPr>
          <w:rFonts w:ascii="Alef" w:hAnsi="Alef" w:cs="Alef"/>
          <w:rtl/>
        </w:rPr>
        <w:t>ההסדר והצדדים</w:t>
      </w:r>
    </w:p>
    <w:p w:rsidR="00D24C38" w:rsidRPr="00755612" w:rsidRDefault="00D24C38" w:rsidP="00075465">
      <w:pPr>
        <w:pStyle w:val="Heading2"/>
        <w:spacing w:after="0" w:line="240" w:lineRule="auto"/>
        <w:rPr>
          <w:rFonts w:ascii="Alef" w:hAnsi="Alef" w:cs="Alef"/>
          <w:rtl/>
        </w:rPr>
      </w:pPr>
      <w:r w:rsidRPr="00755612">
        <w:rPr>
          <w:rFonts w:ascii="Alef" w:hAnsi="Alef" w:cs="Alef"/>
          <w:rtl/>
        </w:rPr>
        <w:t xml:space="preserve">מבנה </w:t>
      </w:r>
      <w:proofErr w:type="spellStart"/>
      <w:r w:rsidRPr="00755612">
        <w:rPr>
          <w:rFonts w:ascii="Alef" w:hAnsi="Alef" w:cs="Alef"/>
          <w:rtl/>
        </w:rPr>
        <w:t>ההחזקות</w:t>
      </w:r>
      <w:proofErr w:type="spellEnd"/>
      <w:r w:rsidRPr="00755612">
        <w:rPr>
          <w:rFonts w:ascii="Alef" w:hAnsi="Alef" w:cs="Alef"/>
          <w:rtl/>
        </w:rPr>
        <w:t xml:space="preserve"> </w:t>
      </w:r>
      <w:proofErr w:type="spellStart"/>
      <w:r w:rsidRPr="00755612">
        <w:rPr>
          <w:rFonts w:ascii="Alef" w:hAnsi="Alef" w:cs="Alef"/>
          <w:rtl/>
        </w:rPr>
        <w:t>בשבא</w:t>
      </w:r>
      <w:proofErr w:type="spellEnd"/>
      <w:r w:rsidRPr="00755612">
        <w:rPr>
          <w:rFonts w:ascii="Alef" w:hAnsi="Alef" w:cs="Alef"/>
          <w:rtl/>
        </w:rPr>
        <w:t xml:space="preserve"> כיום</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b/>
          <w:bCs/>
          <w:sz w:val="24"/>
          <w:szCs w:val="24"/>
          <w:rtl/>
        </w:rPr>
        <w:t>שבא</w:t>
      </w:r>
      <w:r w:rsidRPr="00755612">
        <w:rPr>
          <w:rFonts w:ascii="Alef" w:hAnsi="Alef" w:cs="Alef"/>
          <w:sz w:val="24"/>
          <w:szCs w:val="24"/>
          <w:rtl/>
        </w:rPr>
        <w:t xml:space="preserve"> היא חברה ציבורית המפעילה מערכות המאפשרות, בין היתר, איסוף עסקאות בכרטיסי חיוב ממסופים בבתי עסק, העברת אישורים לעסקאות בכרטיסי חיוב, ממשק סליקה בין סולקים למנפיקים של כרטיסי חיוב וכן העברת אישורים לפעולות משיכת מזומן.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בעלי המניות בשבא נחלקים ל-3: בעלי עניין – הם בנק לאומי, בנק הפועלים, בנק דיסקונט וכן ויזה ומאסטרקארד המחזיקים ב-10% כל אחד וכן בנק הבינלאומי המחזיק ב-9.83% מהחברה; גופים מוסדיים המחזיקים ב-5.79%; וכן הציבור הרחב, המחזיק בכ-34.38% מהחברה. </w:t>
      </w:r>
    </w:p>
    <w:p w:rsidR="00075465" w:rsidRPr="00755612" w:rsidRDefault="00D24C38" w:rsidP="00710E29">
      <w:pPr>
        <w:spacing w:after="0" w:line="240" w:lineRule="auto"/>
        <w:jc w:val="both"/>
        <w:rPr>
          <w:rFonts w:ascii="Alef" w:eastAsia="David" w:hAnsi="Alef" w:cs="Alef"/>
          <w:kern w:val="36"/>
          <w:sz w:val="24"/>
          <w:szCs w:val="24"/>
          <w:rtl/>
        </w:rPr>
      </w:pPr>
      <w:r w:rsidRPr="00755612">
        <w:rPr>
          <w:rFonts w:ascii="Alef" w:hAnsi="Alef" w:cs="Alef"/>
          <w:sz w:val="24"/>
          <w:szCs w:val="24"/>
          <w:rtl/>
        </w:rPr>
        <w:lastRenderedPageBreak/>
        <w:t xml:space="preserve">הבנקים המחזיקים בשבא מתחרים ביניהם במגוון שירותי בנקאות, ובכלל זה הנפקת כרטיסי חיוב, כאשר חלקם המשותף בהנפקה עולה על 50% מסך היקף העסקאות. נוכח האמור, החזקתם המשותפת בשבא בשיעורים הנוכחיים מעלה חששות לפגיעה בתחרות, כפי שיורחב בהמשך. זאת, בשים לב לחלקם של הבנקים בהחזקה; לאינטרסים המשותפים שקיימים לבנקים, בפרט ביחס לשוק כרטיסי החיוב בישראל; להשפעה שעלולה להיות </w:t>
      </w:r>
      <w:proofErr w:type="spellStart"/>
      <w:r w:rsidRPr="00755612">
        <w:rPr>
          <w:rFonts w:ascii="Alef" w:hAnsi="Alef" w:cs="Alef"/>
          <w:sz w:val="24"/>
          <w:szCs w:val="24"/>
          <w:rtl/>
        </w:rPr>
        <w:t>להחזקותיהם</w:t>
      </w:r>
      <w:proofErr w:type="spellEnd"/>
      <w:r w:rsidRPr="00755612">
        <w:rPr>
          <w:rFonts w:ascii="Alef" w:hAnsi="Alef" w:cs="Alef"/>
          <w:sz w:val="24"/>
          <w:szCs w:val="24"/>
          <w:rtl/>
        </w:rPr>
        <w:t xml:space="preserve"> על מערך התמריצים של כל אחד מהם ועל יכולת ההשפעה </w:t>
      </w:r>
      <w:proofErr w:type="spellStart"/>
      <w:r w:rsidRPr="00755612">
        <w:rPr>
          <w:rFonts w:ascii="Alef" w:hAnsi="Alef" w:cs="Alef"/>
          <w:sz w:val="24"/>
          <w:szCs w:val="24"/>
          <w:rtl/>
        </w:rPr>
        <w:t>שהחזקותיהם</w:t>
      </w:r>
      <w:proofErr w:type="spellEnd"/>
      <w:r w:rsidRPr="00755612">
        <w:rPr>
          <w:rFonts w:ascii="Alef" w:hAnsi="Alef" w:cs="Alef"/>
          <w:sz w:val="24"/>
          <w:szCs w:val="24"/>
          <w:rtl/>
        </w:rPr>
        <w:t xml:space="preserve"> מקנות להם על אופן התנהלות של שבא. </w:t>
      </w:r>
    </w:p>
    <w:p w:rsidR="00D24C38" w:rsidRPr="00755612" w:rsidRDefault="00D24C38" w:rsidP="00075465">
      <w:pPr>
        <w:pStyle w:val="Heading2"/>
        <w:spacing w:after="0" w:line="240" w:lineRule="auto"/>
        <w:rPr>
          <w:rFonts w:ascii="Alef" w:hAnsi="Alef" w:cs="Alef"/>
        </w:rPr>
      </w:pPr>
      <w:r w:rsidRPr="00755612">
        <w:rPr>
          <w:rFonts w:ascii="Alef" w:hAnsi="Alef" w:cs="Alef"/>
          <w:rtl/>
        </w:rPr>
        <w:t>שינויים שחלו בשוק בתקופה האחרונה</w:t>
      </w:r>
      <w:r w:rsidRPr="00755612" w:rsidDel="001A7FA6">
        <w:rPr>
          <w:rFonts w:ascii="Alef" w:hAnsi="Alef" w:cs="Alef"/>
          <w:rtl/>
        </w:rPr>
        <w:t xml:space="preserve">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נכון למועד בחינת הפטור בשנת 2017, שבא הייתה חברה פרטית אשר הוחזקה במלואה על ידי הבנקים המחזיקים בה כעת ובנק מזרחי בשיעורים שונים. לצד אחזקות אלו, החזיקו חלק מהבנקים גם בחברות כרטיסי האשראי היחידות שפעלו בישראל – ישראכרט בע"מ (להלן</w:t>
      </w:r>
      <w:r w:rsidRPr="00755612">
        <w:rPr>
          <w:rFonts w:ascii="Alef" w:hAnsi="Alef" w:cs="Alef"/>
          <w:b/>
          <w:bCs/>
          <w:sz w:val="24"/>
          <w:szCs w:val="24"/>
          <w:rtl/>
        </w:rPr>
        <w:t xml:space="preserve"> ישראכרט</w:t>
      </w:r>
      <w:r w:rsidRPr="00755612">
        <w:rPr>
          <w:rFonts w:ascii="Alef" w:hAnsi="Alef" w:cs="Alef"/>
          <w:sz w:val="24"/>
          <w:szCs w:val="24"/>
          <w:rtl/>
        </w:rPr>
        <w:t xml:space="preserve">) הוחזקה בידי בנק הפועלים, לאומי קארד בע"מ (כתוארה דאז, כיום "מקס </w:t>
      </w:r>
      <w:proofErr w:type="spellStart"/>
      <w:r w:rsidRPr="00755612">
        <w:rPr>
          <w:rFonts w:ascii="Alef" w:hAnsi="Alef" w:cs="Alef"/>
          <w:sz w:val="24"/>
          <w:szCs w:val="24"/>
          <w:rtl/>
        </w:rPr>
        <w:t>איט</w:t>
      </w:r>
      <w:proofErr w:type="spellEnd"/>
      <w:r w:rsidRPr="00755612">
        <w:rPr>
          <w:rFonts w:ascii="Alef" w:hAnsi="Alef" w:cs="Alef"/>
          <w:sz w:val="24"/>
          <w:szCs w:val="24"/>
          <w:rtl/>
        </w:rPr>
        <w:t xml:space="preserve"> פיננסים בע"מ", להלן </w:t>
      </w:r>
      <w:r w:rsidRPr="00755612">
        <w:rPr>
          <w:rFonts w:ascii="Alef" w:hAnsi="Alef" w:cs="Alef"/>
          <w:b/>
          <w:bCs/>
          <w:sz w:val="24"/>
          <w:szCs w:val="24"/>
          <w:rtl/>
        </w:rPr>
        <w:t>מקס</w:t>
      </w:r>
      <w:r w:rsidRPr="00755612">
        <w:rPr>
          <w:rFonts w:ascii="Alef" w:hAnsi="Alef" w:cs="Alef"/>
          <w:sz w:val="24"/>
          <w:szCs w:val="24"/>
          <w:rtl/>
        </w:rPr>
        <w:t>) הוחזקה בידי בנק לאומי, וכרטיסי אשראי לישראל בע"מ (להלן</w:t>
      </w:r>
      <w:r w:rsidRPr="00755612">
        <w:rPr>
          <w:rFonts w:ascii="Alef" w:hAnsi="Alef" w:cs="Alef"/>
          <w:b/>
          <w:bCs/>
          <w:sz w:val="24"/>
          <w:szCs w:val="24"/>
          <w:rtl/>
        </w:rPr>
        <w:t xml:space="preserve"> כאל</w:t>
      </w:r>
      <w:r w:rsidRPr="00755612">
        <w:rPr>
          <w:rFonts w:ascii="Alef" w:hAnsi="Alef" w:cs="Alef"/>
          <w:sz w:val="24"/>
          <w:szCs w:val="24"/>
          <w:rtl/>
        </w:rPr>
        <w:t xml:space="preserve">) הוחזקה בידי בנק דיסקונט והבנק הבינלאומי (שליטה של בנק דיסקונט). במהלך בדיקת בקשת הפטור האחרון, ישבה על המדוכה הוועדה להגברת התחרות בשירותים הבנקאיים והפיננסיים הנפוצים בישראל (להלן </w:t>
      </w:r>
      <w:r w:rsidRPr="00755612">
        <w:rPr>
          <w:rFonts w:ascii="Alef" w:hAnsi="Alef" w:cs="Alef"/>
          <w:b/>
          <w:bCs/>
          <w:sz w:val="24"/>
          <w:szCs w:val="24"/>
          <w:rtl/>
        </w:rPr>
        <w:t>הוועדה להגברת התחרות</w:t>
      </w:r>
      <w:r w:rsidRPr="00755612">
        <w:rPr>
          <w:rFonts w:ascii="Alef" w:hAnsi="Alef" w:cs="Alef"/>
          <w:sz w:val="24"/>
          <w:szCs w:val="24"/>
          <w:rtl/>
        </w:rPr>
        <w:t xml:space="preserve">), במסגרתה נבחנו דרכים אפשריות להגברת התחרות בענף הבנקאות והפיננסיים. בעקבות המלצותיה, חוקק החוק להגברת התחרות ולצמצום הריכוזיות בשוק הבנקאות בישראל (תיקוני חקיקה) התשע"ז-2017 (להלן: </w:t>
      </w:r>
      <w:r w:rsidRPr="00755612">
        <w:rPr>
          <w:rFonts w:ascii="Alef" w:hAnsi="Alef" w:cs="Alef"/>
          <w:b/>
          <w:bCs/>
          <w:sz w:val="24"/>
          <w:szCs w:val="24"/>
          <w:rtl/>
        </w:rPr>
        <w:t>החוק להגברת התחרות בשוק הבנקאות</w:t>
      </w:r>
      <w:r w:rsidRPr="00755612">
        <w:rPr>
          <w:rFonts w:ascii="Alef" w:hAnsi="Alef" w:cs="Alef"/>
          <w:sz w:val="24"/>
          <w:szCs w:val="24"/>
          <w:rtl/>
        </w:rPr>
        <w:t xml:space="preserve">), אשר כולל מספר הוראות המשפיעות על תחום כרטיסי החיוב ועל מבנה הבעלות בשבא.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ראשית, נקבעו הוראות האוסרות על החזקה של יותר מ-10% מאמצעי השליטה בשבא בידי בעל מניות יחיד</w:t>
      </w:r>
      <w:r w:rsidRPr="00755612">
        <w:rPr>
          <w:rFonts w:ascii="Alef" w:hAnsi="Alef" w:cs="Alef"/>
          <w:b/>
          <w:bCs/>
          <w:sz w:val="24"/>
          <w:szCs w:val="24"/>
          <w:rtl/>
        </w:rPr>
        <w:t xml:space="preserve">, </w:t>
      </w:r>
      <w:r w:rsidRPr="00755612">
        <w:rPr>
          <w:rFonts w:ascii="Alef" w:hAnsi="Alef" w:cs="Alef"/>
          <w:sz w:val="24"/>
          <w:szCs w:val="24"/>
          <w:rtl/>
        </w:rPr>
        <w:t>מה שהוביל להפחתה של שיעור הבעלות של הבנקים בשבא. שנית, נקבע במסגרת הרפורמה כי בנק בעל היקף פעילות רחב לא יעסוק ולא יחזיק באמצעי שליטה בתאגיד העוסק בתפעול הנפקה של כרטיסי חיוב ובסליקה של עסקאות בכרטיסי חיוב, מה שהוביל להוצאת שתיים מתוך שלוש חברות כרטיסי האשראי מבעלות הבנקים, כאשר כאל נותרה בבעלות בנק דיסקונט והבנק הבינלאומי נכון לעת עתה.</w:t>
      </w:r>
      <w:r w:rsidRPr="00755612">
        <w:rPr>
          <w:rStyle w:val="FootnoteReference"/>
          <w:rFonts w:ascii="Alef" w:hAnsi="Alef" w:cs="Alef"/>
          <w:sz w:val="24"/>
          <w:szCs w:val="24"/>
          <w:rtl/>
        </w:rPr>
        <w:footnoteReference w:id="2"/>
      </w:r>
      <w:r w:rsidRPr="00755612">
        <w:rPr>
          <w:rFonts w:ascii="Alef" w:hAnsi="Alef" w:cs="Alef"/>
          <w:sz w:val="24"/>
          <w:szCs w:val="24"/>
          <w:rtl/>
        </w:rPr>
        <w:t xml:space="preserve">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לצד הרפורמה האמורה, ובמסגרת הפטור האחרון שניתן </w:t>
      </w:r>
      <w:proofErr w:type="spellStart"/>
      <w:r w:rsidRPr="00755612">
        <w:rPr>
          <w:rFonts w:ascii="Alef" w:hAnsi="Alef" w:cs="Alef"/>
          <w:sz w:val="24"/>
          <w:szCs w:val="24"/>
          <w:rtl/>
        </w:rPr>
        <w:t>לשבא</w:t>
      </w:r>
      <w:proofErr w:type="spellEnd"/>
      <w:r w:rsidRPr="00755612">
        <w:rPr>
          <w:rFonts w:ascii="Alef" w:hAnsi="Alef" w:cs="Alef"/>
          <w:sz w:val="24"/>
          <w:szCs w:val="24"/>
          <w:rtl/>
        </w:rPr>
        <w:t xml:space="preserve">, הוקמה העמותה לניהול פרוטוקול מסופי </w:t>
      </w:r>
      <w:proofErr w:type="spellStart"/>
      <w:r w:rsidRPr="00755612">
        <w:rPr>
          <w:rFonts w:ascii="Alef" w:hAnsi="Alef" w:cs="Alef"/>
          <w:sz w:val="24"/>
          <w:szCs w:val="24"/>
          <w:rtl/>
        </w:rPr>
        <w:t>אי.אם.וי</w:t>
      </w:r>
      <w:proofErr w:type="spellEnd"/>
      <w:r w:rsidRPr="00755612">
        <w:rPr>
          <w:rFonts w:ascii="Alef" w:hAnsi="Alef" w:cs="Alef"/>
          <w:sz w:val="24"/>
          <w:szCs w:val="24"/>
          <w:rtl/>
        </w:rPr>
        <w:t xml:space="preserve"> בישראל (להלן: "</w:t>
      </w:r>
      <w:r w:rsidRPr="00755612">
        <w:rPr>
          <w:rFonts w:ascii="Alef" w:hAnsi="Alef" w:cs="Alef"/>
          <w:b/>
          <w:bCs/>
          <w:sz w:val="24"/>
          <w:szCs w:val="24"/>
          <w:rtl/>
        </w:rPr>
        <w:t>עמותת הפרוטוקול</w:t>
      </w:r>
      <w:r w:rsidRPr="00755612">
        <w:rPr>
          <w:rFonts w:ascii="Alef" w:hAnsi="Alef" w:cs="Alef"/>
          <w:sz w:val="24"/>
          <w:szCs w:val="24"/>
          <w:rtl/>
        </w:rPr>
        <w:t xml:space="preserve">"), אליה הועברו בהדרגה כלל הסמכויות והזכויות באפיון פרוטוקול </w:t>
      </w:r>
      <w:r w:rsidRPr="00755612">
        <w:rPr>
          <w:rFonts w:ascii="Alef" w:hAnsi="Alef" w:cs="Alef"/>
          <w:sz w:val="24"/>
          <w:szCs w:val="24"/>
        </w:rPr>
        <w:t>EMV</w:t>
      </w:r>
      <w:r w:rsidRPr="00755612">
        <w:rPr>
          <w:rFonts w:ascii="Alef" w:hAnsi="Alef" w:cs="Alef"/>
          <w:sz w:val="24"/>
          <w:szCs w:val="24"/>
          <w:rtl/>
        </w:rPr>
        <w:t>, מתוך רצון לעודד שחקנים נוספים להיכנס לשוק האשראי בישראל (יורחב בהמשך).</w:t>
      </w:r>
    </w:p>
    <w:p w:rsidR="00075465" w:rsidRPr="00755612" w:rsidRDefault="00D24C38" w:rsidP="00710E29">
      <w:pPr>
        <w:spacing w:after="0" w:line="240" w:lineRule="auto"/>
        <w:jc w:val="both"/>
        <w:rPr>
          <w:rFonts w:ascii="Alef" w:hAnsi="Alef" w:cs="Alef"/>
          <w:sz w:val="24"/>
          <w:szCs w:val="24"/>
          <w:rtl/>
        </w:rPr>
      </w:pPr>
      <w:r w:rsidRPr="00755612">
        <w:rPr>
          <w:rFonts w:ascii="Alef" w:hAnsi="Alef" w:cs="Alef"/>
          <w:sz w:val="24"/>
          <w:szCs w:val="24"/>
          <w:rtl/>
        </w:rPr>
        <w:t xml:space="preserve">כמו כן, תחום כרטיסי החיוב עבר משימוש בפרוטוקול המבוסס על סליקת עסקאות דרך פס מגנטי לשימוש בפרוטוקול </w:t>
      </w:r>
      <w:r w:rsidRPr="00755612">
        <w:rPr>
          <w:rFonts w:ascii="Alef" w:hAnsi="Alef" w:cs="Alef"/>
          <w:sz w:val="24"/>
          <w:szCs w:val="24"/>
        </w:rPr>
        <w:t>EMV</w:t>
      </w:r>
      <w:r w:rsidRPr="00755612">
        <w:rPr>
          <w:rFonts w:ascii="Alef" w:hAnsi="Alef" w:cs="Alef"/>
          <w:sz w:val="24"/>
          <w:szCs w:val="24"/>
          <w:rtl/>
        </w:rPr>
        <w:t xml:space="preserve"> – פרוטוקול שמבוסס על פרוטוקול טכנולוגי בינלאומי המבוסס על תשלום באמצעות שבב או תשלום ללא מגע. על מנת לקדם את התשלום באמצעות ה-</w:t>
      </w:r>
      <w:r w:rsidRPr="00755612">
        <w:rPr>
          <w:rFonts w:ascii="Alef" w:hAnsi="Alef" w:cs="Alef"/>
          <w:sz w:val="24"/>
          <w:szCs w:val="24"/>
        </w:rPr>
        <w:t>EMV</w:t>
      </w:r>
      <w:r w:rsidRPr="00755612">
        <w:rPr>
          <w:rFonts w:ascii="Alef" w:hAnsi="Alef" w:cs="Alef"/>
          <w:sz w:val="24"/>
          <w:szCs w:val="24"/>
          <w:rtl/>
        </w:rPr>
        <w:t>, בנק ישראל קבע מתווה המחייב את הסולקים להפסיק בהדרגה את סליקת עסקאות בטכנולוגיה הישנה. נכון ליוני 2022, 98% ממסופי התשלום בישראל הוסבו למערכת ה-</w:t>
      </w:r>
      <w:r w:rsidRPr="00755612">
        <w:rPr>
          <w:rFonts w:ascii="Alef" w:hAnsi="Alef" w:cs="Alef"/>
          <w:sz w:val="24"/>
          <w:szCs w:val="24"/>
        </w:rPr>
        <w:t>EMV</w:t>
      </w:r>
      <w:r w:rsidRPr="00755612">
        <w:rPr>
          <w:rFonts w:ascii="Alef" w:hAnsi="Alef" w:cs="Alef"/>
          <w:sz w:val="24"/>
          <w:szCs w:val="24"/>
          <w:rtl/>
        </w:rPr>
        <w:t xml:space="preserve"> </w:t>
      </w:r>
      <w:r w:rsidRPr="00755612">
        <w:rPr>
          <w:rFonts w:ascii="Alef" w:hAnsi="Alef" w:cs="Alef"/>
          <w:sz w:val="24"/>
          <w:szCs w:val="24"/>
          <w:rtl/>
        </w:rPr>
        <w:lastRenderedPageBreak/>
        <w:t>וכ-88% מהעסקאות מבוצעות במערכת ה-</w:t>
      </w:r>
      <w:r w:rsidRPr="00755612">
        <w:rPr>
          <w:rFonts w:ascii="Alef" w:hAnsi="Alef" w:cs="Alef"/>
          <w:sz w:val="24"/>
          <w:szCs w:val="24"/>
        </w:rPr>
        <w:t>EMV</w:t>
      </w:r>
      <w:r w:rsidRPr="00755612">
        <w:rPr>
          <w:rFonts w:ascii="Alef" w:hAnsi="Alef" w:cs="Alef"/>
          <w:sz w:val="24"/>
          <w:szCs w:val="24"/>
          <w:rtl/>
        </w:rPr>
        <w:t>, כאשר חלק מצומצם ביותר של בתי עסק נתקלו במורכבות ביישום המעבר ונקבעו עבורם מתווים ספציפיים להשלמת המעבר.</w:t>
      </w:r>
      <w:r w:rsidRPr="00755612">
        <w:rPr>
          <w:rStyle w:val="FootnoteReference"/>
          <w:rFonts w:ascii="Alef" w:hAnsi="Alef" w:cs="Alef"/>
          <w:sz w:val="24"/>
          <w:szCs w:val="24"/>
          <w:rtl/>
        </w:rPr>
        <w:footnoteReference w:id="3"/>
      </w:r>
      <w:r w:rsidRPr="00755612">
        <w:rPr>
          <w:rFonts w:ascii="Alef" w:hAnsi="Alef" w:cs="Alef"/>
          <w:sz w:val="24"/>
          <w:szCs w:val="24"/>
          <w:rtl/>
        </w:rPr>
        <w:t xml:space="preserve"> </w:t>
      </w:r>
    </w:p>
    <w:p w:rsidR="00D24C38" w:rsidRPr="00755612" w:rsidRDefault="00D24C38" w:rsidP="00075465">
      <w:pPr>
        <w:pStyle w:val="ListParagraph"/>
        <w:numPr>
          <w:ilvl w:val="0"/>
          <w:numId w:val="4"/>
        </w:numPr>
        <w:spacing w:after="0" w:line="240" w:lineRule="auto"/>
        <w:rPr>
          <w:rFonts w:ascii="Alef" w:eastAsiaTheme="minorEastAsia" w:hAnsi="Alef" w:cs="Alef"/>
          <w:b/>
          <w:bCs/>
        </w:rPr>
      </w:pPr>
      <w:r w:rsidRPr="00755612">
        <w:rPr>
          <w:rFonts w:ascii="Alef" w:eastAsiaTheme="minorEastAsia" w:hAnsi="Alef" w:cs="Alef"/>
          <w:b/>
          <w:bCs/>
          <w:rtl/>
        </w:rPr>
        <w:t>פעילות שבא בתחום כרטיסי חיוב</w:t>
      </w:r>
    </w:p>
    <w:p w:rsidR="00D24C38" w:rsidRPr="00755612" w:rsidRDefault="00D24C38" w:rsidP="00075465">
      <w:pPr>
        <w:pStyle w:val="ListParagraph"/>
        <w:numPr>
          <w:ilvl w:val="1"/>
          <w:numId w:val="4"/>
        </w:numPr>
        <w:spacing w:after="0" w:line="240" w:lineRule="auto"/>
        <w:rPr>
          <w:rFonts w:ascii="Alef" w:eastAsiaTheme="minorEastAsia" w:hAnsi="Alef" w:cs="Alef"/>
          <w:b/>
          <w:bCs/>
          <w:u w:val="single"/>
        </w:rPr>
      </w:pPr>
      <w:r w:rsidRPr="00755612">
        <w:rPr>
          <w:rFonts w:ascii="Alef" w:eastAsiaTheme="minorEastAsia" w:hAnsi="Alef" w:cs="Alef"/>
          <w:b/>
          <w:bCs/>
          <w:u w:val="single"/>
          <w:rtl/>
        </w:rPr>
        <w:t>ענף כרטיסי חיוב – רקע כללי</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כרטיס חיוב הוא אמצעי תשלום המאפשר רכישת טובין או שירותים מאת ספק. קיימים שלושה סוגים בסיסיים של כרטיסי חיוב, הנבדלים מבחינת מועד חיוב חשבון מחזיק הכרטיס:</w:t>
      </w:r>
      <w:r w:rsidRPr="00755612">
        <w:rPr>
          <w:rFonts w:ascii="Alef" w:hAnsi="Alef" w:cs="Alef"/>
          <w:b/>
          <w:bCs/>
          <w:sz w:val="24"/>
          <w:szCs w:val="24"/>
          <w:rtl/>
        </w:rPr>
        <w:t xml:space="preserve"> כרטיס נטען</w:t>
      </w:r>
      <w:r w:rsidRPr="00755612">
        <w:rPr>
          <w:rFonts w:ascii="Alef" w:hAnsi="Alef" w:cs="Alef"/>
          <w:sz w:val="24"/>
          <w:szCs w:val="24"/>
          <w:rtl/>
        </w:rPr>
        <w:t xml:space="preserve"> (</w:t>
      </w:r>
      <w:r w:rsidRPr="00755612">
        <w:rPr>
          <w:rFonts w:ascii="Alef" w:hAnsi="Alef" w:cs="Alef"/>
          <w:sz w:val="24"/>
          <w:szCs w:val="24"/>
        </w:rPr>
        <w:t>prepaid card</w:t>
      </w:r>
      <w:r w:rsidRPr="00755612">
        <w:rPr>
          <w:rFonts w:ascii="Alef" w:hAnsi="Alef" w:cs="Alef"/>
          <w:sz w:val="24"/>
          <w:szCs w:val="24"/>
          <w:rtl/>
        </w:rPr>
        <w:t xml:space="preserve">) בו החיוב מבוצע לפני השימוש בכרטיס; </w:t>
      </w:r>
      <w:r w:rsidRPr="00755612">
        <w:rPr>
          <w:rFonts w:ascii="Alef" w:hAnsi="Alef" w:cs="Alef"/>
          <w:b/>
          <w:bCs/>
          <w:sz w:val="24"/>
          <w:szCs w:val="24"/>
          <w:rtl/>
        </w:rPr>
        <w:t xml:space="preserve">כרטיס חיוב </w:t>
      </w:r>
      <w:proofErr w:type="spellStart"/>
      <w:r w:rsidRPr="00755612">
        <w:rPr>
          <w:rFonts w:ascii="Alef" w:hAnsi="Alef" w:cs="Alef"/>
          <w:b/>
          <w:bCs/>
          <w:sz w:val="24"/>
          <w:szCs w:val="24"/>
          <w:rtl/>
        </w:rPr>
        <w:t>מיידי</w:t>
      </w:r>
      <w:proofErr w:type="spellEnd"/>
      <w:r w:rsidRPr="00755612">
        <w:rPr>
          <w:rFonts w:ascii="Alef" w:hAnsi="Alef" w:cs="Alef"/>
          <w:b/>
          <w:bCs/>
          <w:sz w:val="24"/>
          <w:szCs w:val="24"/>
          <w:rtl/>
        </w:rPr>
        <w:t xml:space="preserve"> </w:t>
      </w:r>
      <w:r w:rsidRPr="00755612">
        <w:rPr>
          <w:rFonts w:ascii="Alef" w:hAnsi="Alef" w:cs="Alef"/>
          <w:sz w:val="24"/>
          <w:szCs w:val="24"/>
          <w:rtl/>
        </w:rPr>
        <w:t>בו החיוב מבוצע בסמוך לאחר מועד השימוש; ו</w:t>
      </w:r>
      <w:r w:rsidRPr="00755612">
        <w:rPr>
          <w:rFonts w:ascii="Alef" w:hAnsi="Alef" w:cs="Alef"/>
          <w:b/>
          <w:bCs/>
          <w:sz w:val="24"/>
          <w:szCs w:val="24"/>
          <w:rtl/>
        </w:rPr>
        <w:t>כרטיס אשראי</w:t>
      </w:r>
      <w:r w:rsidRPr="00755612">
        <w:rPr>
          <w:rFonts w:ascii="Alef" w:hAnsi="Alef" w:cs="Alef"/>
          <w:sz w:val="24"/>
          <w:szCs w:val="24"/>
          <w:rtl/>
        </w:rPr>
        <w:t xml:space="preserve"> בו החיוב מבוצע בשלב מאוחר יותר, כאשר מקובל להבחין בין שני סוגים של כרטיס אשראי – </w:t>
      </w:r>
      <w:r w:rsidRPr="00755612">
        <w:rPr>
          <w:rFonts w:ascii="Alef" w:hAnsi="Alef" w:cs="Alef"/>
          <w:b/>
          <w:bCs/>
          <w:sz w:val="24"/>
          <w:szCs w:val="24"/>
          <w:rtl/>
        </w:rPr>
        <w:t>כרטיס חיוב נדחה</w:t>
      </w:r>
      <w:r w:rsidRPr="00755612">
        <w:rPr>
          <w:rFonts w:ascii="Alef" w:hAnsi="Alef" w:cs="Alef"/>
          <w:sz w:val="24"/>
          <w:szCs w:val="24"/>
          <w:rtl/>
        </w:rPr>
        <w:t xml:space="preserve"> בו יתרת החוב משולמת במלואה במועד קבוע מדי תקופה ו</w:t>
      </w:r>
      <w:r w:rsidRPr="00755612">
        <w:rPr>
          <w:rFonts w:ascii="Alef" w:hAnsi="Alef" w:cs="Alef"/>
          <w:b/>
          <w:bCs/>
          <w:sz w:val="24"/>
          <w:szCs w:val="24"/>
          <w:rtl/>
        </w:rPr>
        <w:t>כרטיס מתגלגל</w:t>
      </w:r>
      <w:r w:rsidRPr="00755612">
        <w:rPr>
          <w:rFonts w:ascii="Alef" w:hAnsi="Alef" w:cs="Alef"/>
          <w:sz w:val="24"/>
          <w:szCs w:val="24"/>
          <w:rtl/>
        </w:rPr>
        <w:t xml:space="preserve"> בו קיימת אפשרות לדחיית תשלום חלק מיתרת החוב לתקופות הבאות, תוך תשלום ריבית. מרבית הכרטיסים בישראל הם כרטיסי חיוב נדחה.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ביצוע עסקאות בכרטיסי חיוב נעשה על ידי מערכת הסכמית, בין ארבעה גורמים: </w:t>
      </w:r>
      <w:r w:rsidRPr="00755612">
        <w:rPr>
          <w:rFonts w:ascii="Alef" w:hAnsi="Alef" w:cs="Alef"/>
          <w:b/>
          <w:bCs/>
          <w:sz w:val="24"/>
          <w:szCs w:val="24"/>
          <w:rtl/>
        </w:rPr>
        <w:t>מנפיק</w:t>
      </w:r>
      <w:r w:rsidRPr="00755612">
        <w:rPr>
          <w:rFonts w:ascii="Alef" w:hAnsi="Alef" w:cs="Alef"/>
          <w:sz w:val="24"/>
          <w:szCs w:val="24"/>
          <w:rtl/>
        </w:rPr>
        <w:t xml:space="preserve">, </w:t>
      </w:r>
      <w:r w:rsidRPr="00755612">
        <w:rPr>
          <w:rFonts w:ascii="Alef" w:hAnsi="Alef" w:cs="Alef"/>
          <w:b/>
          <w:bCs/>
          <w:sz w:val="24"/>
          <w:szCs w:val="24"/>
          <w:rtl/>
        </w:rPr>
        <w:t>סולק</w:t>
      </w:r>
      <w:r w:rsidRPr="00755612">
        <w:rPr>
          <w:rFonts w:ascii="Alef" w:hAnsi="Alef" w:cs="Alef"/>
          <w:sz w:val="24"/>
          <w:szCs w:val="24"/>
          <w:rtl/>
        </w:rPr>
        <w:t xml:space="preserve">, </w:t>
      </w:r>
      <w:r w:rsidRPr="00755612">
        <w:rPr>
          <w:rFonts w:ascii="Alef" w:hAnsi="Alef" w:cs="Alef"/>
          <w:b/>
          <w:bCs/>
          <w:sz w:val="24"/>
          <w:szCs w:val="24"/>
          <w:rtl/>
        </w:rPr>
        <w:t>בית</w:t>
      </w:r>
      <w:r w:rsidRPr="00755612">
        <w:rPr>
          <w:rFonts w:ascii="Alef" w:hAnsi="Alef" w:cs="Alef"/>
          <w:sz w:val="24"/>
          <w:szCs w:val="24"/>
          <w:rtl/>
        </w:rPr>
        <w:t xml:space="preserve"> </w:t>
      </w:r>
      <w:r w:rsidRPr="00755612">
        <w:rPr>
          <w:rFonts w:ascii="Alef" w:hAnsi="Alef" w:cs="Alef"/>
          <w:b/>
          <w:bCs/>
          <w:sz w:val="24"/>
          <w:szCs w:val="24"/>
          <w:rtl/>
        </w:rPr>
        <w:t>עסק</w:t>
      </w:r>
      <w:r w:rsidRPr="00755612">
        <w:rPr>
          <w:rFonts w:ascii="Alef" w:hAnsi="Alef" w:cs="Alef"/>
          <w:sz w:val="24"/>
          <w:szCs w:val="24"/>
          <w:rtl/>
        </w:rPr>
        <w:t xml:space="preserve"> ו</w:t>
      </w:r>
      <w:r w:rsidRPr="00755612">
        <w:rPr>
          <w:rFonts w:ascii="Alef" w:hAnsi="Alef" w:cs="Alef"/>
          <w:b/>
          <w:bCs/>
          <w:sz w:val="24"/>
          <w:szCs w:val="24"/>
          <w:rtl/>
        </w:rPr>
        <w:t>צרכן</w:t>
      </w:r>
      <w:r w:rsidRPr="00755612">
        <w:rPr>
          <w:rFonts w:ascii="Alef" w:hAnsi="Alef" w:cs="Alef"/>
          <w:sz w:val="24"/>
          <w:szCs w:val="24"/>
          <w:rtl/>
        </w:rPr>
        <w:t xml:space="preserve">. כל אחד משחקנים אלה נוהג על פי כללים מוגדרים: המנפיק מנפיק כרטיס חיוב לצרכן; הצרכן משתמש בכרטיס כאמצעי תשלום בבית העסק ובית העסק מספק לצרכן טובין או שירותים; בית העסק מעביר לסולק את פרטי העסקה שבוצעה, </w:t>
      </w:r>
      <w:proofErr w:type="spellStart"/>
      <w:r w:rsidRPr="00755612">
        <w:rPr>
          <w:rFonts w:ascii="Alef" w:hAnsi="Alef" w:cs="Alef"/>
          <w:sz w:val="24"/>
          <w:szCs w:val="24"/>
          <w:rtl/>
        </w:rPr>
        <w:t>והסולק</w:t>
      </w:r>
      <w:proofErr w:type="spellEnd"/>
      <w:r w:rsidRPr="00755612">
        <w:rPr>
          <w:rFonts w:ascii="Alef" w:hAnsi="Alef" w:cs="Alef"/>
          <w:sz w:val="24"/>
          <w:szCs w:val="24"/>
          <w:rtl/>
        </w:rPr>
        <w:t xml:space="preserve">, הקשור בהסכם עם המנפיק, מתחייב להעביר לבית העסק את הכסף בגין העסקה, במועד שסוכם בהתאם לסוג כרטיס החיוב. במקביל, מתחייב המנפיק להעביר לסולק את התמורה עבור העסקה, אשר נגבית מהצרכן במועד שסוכם עמו.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בגין שירות זה גובה הסולק מבית העסק עמלה (</w:t>
      </w:r>
      <w:r w:rsidRPr="00755612">
        <w:rPr>
          <w:rFonts w:ascii="Alef" w:hAnsi="Alef" w:cs="Alef"/>
          <w:b/>
          <w:bCs/>
          <w:sz w:val="24"/>
          <w:szCs w:val="24"/>
          <w:rtl/>
        </w:rPr>
        <w:t>עמלת בית עסק</w:t>
      </w:r>
      <w:r w:rsidRPr="00755612">
        <w:rPr>
          <w:rFonts w:ascii="Alef" w:hAnsi="Alef" w:cs="Alef"/>
          <w:sz w:val="24"/>
          <w:szCs w:val="24"/>
          <w:rtl/>
        </w:rPr>
        <w:t xml:space="preserve">). מעמלה זו משלם </w:t>
      </w:r>
      <w:proofErr w:type="spellStart"/>
      <w:r w:rsidRPr="00755612">
        <w:rPr>
          <w:rFonts w:ascii="Alef" w:hAnsi="Alef" w:cs="Alef"/>
          <w:sz w:val="24"/>
          <w:szCs w:val="24"/>
          <w:rtl/>
        </w:rPr>
        <w:t>הסולק</w:t>
      </w:r>
      <w:proofErr w:type="spellEnd"/>
      <w:r w:rsidRPr="00755612">
        <w:rPr>
          <w:rFonts w:ascii="Alef" w:hAnsi="Alef" w:cs="Alef"/>
          <w:sz w:val="24"/>
          <w:szCs w:val="24"/>
          <w:rtl/>
        </w:rPr>
        <w:t xml:space="preserve"> למנפיק, במידה </w:t>
      </w:r>
      <w:proofErr w:type="spellStart"/>
      <w:r w:rsidRPr="00755612">
        <w:rPr>
          <w:rFonts w:ascii="Alef" w:hAnsi="Alef" w:cs="Alef"/>
          <w:sz w:val="24"/>
          <w:szCs w:val="24"/>
          <w:rtl/>
        </w:rPr>
        <w:t>שהסולק</w:t>
      </w:r>
      <w:proofErr w:type="spellEnd"/>
      <w:r w:rsidRPr="00755612">
        <w:rPr>
          <w:rFonts w:ascii="Alef" w:hAnsi="Alef" w:cs="Alef"/>
          <w:sz w:val="24"/>
          <w:szCs w:val="24"/>
          <w:rtl/>
        </w:rPr>
        <w:t xml:space="preserve"> והמנפיק הם גופים שונים, עמלה (</w:t>
      </w:r>
      <w:r w:rsidRPr="00755612">
        <w:rPr>
          <w:rFonts w:ascii="Alef" w:hAnsi="Alef" w:cs="Alef"/>
          <w:b/>
          <w:bCs/>
          <w:sz w:val="24"/>
          <w:szCs w:val="24"/>
          <w:rtl/>
        </w:rPr>
        <w:t>עמלה צולבת</w:t>
      </w:r>
      <w:r w:rsidRPr="00755612">
        <w:rPr>
          <w:rFonts w:ascii="Alef" w:hAnsi="Alef" w:cs="Alef"/>
          <w:sz w:val="24"/>
          <w:szCs w:val="24"/>
          <w:rtl/>
        </w:rPr>
        <w:t>)</w:t>
      </w:r>
      <w:r w:rsidRPr="00755612">
        <w:rPr>
          <w:rStyle w:val="FootnoteReference"/>
          <w:rFonts w:ascii="Alef" w:hAnsi="Alef" w:cs="Alef"/>
          <w:sz w:val="24"/>
          <w:szCs w:val="24"/>
          <w:rtl/>
        </w:rPr>
        <w:footnoteReference w:id="4"/>
      </w:r>
      <w:r w:rsidRPr="00755612">
        <w:rPr>
          <w:rFonts w:ascii="Alef" w:hAnsi="Alef" w:cs="Alef"/>
          <w:sz w:val="24"/>
          <w:szCs w:val="24"/>
          <w:rtl/>
        </w:rPr>
        <w:t xml:space="preserve"> והיתרה הינה חלקו של הסולק (</w:t>
      </w:r>
      <w:r w:rsidRPr="00755612">
        <w:rPr>
          <w:rFonts w:ascii="Alef" w:hAnsi="Alef" w:cs="Alef"/>
          <w:b/>
          <w:bCs/>
          <w:sz w:val="24"/>
          <w:szCs w:val="24"/>
          <w:rtl/>
        </w:rPr>
        <w:t>עמלת הסולק</w:t>
      </w:r>
      <w:r w:rsidRPr="00755612">
        <w:rPr>
          <w:rFonts w:ascii="Alef" w:hAnsi="Alef" w:cs="Alef"/>
          <w:sz w:val="24"/>
          <w:szCs w:val="24"/>
          <w:rtl/>
        </w:rPr>
        <w:t>). כמו כן, המנפיק גובה לעתים ממחזיק הכרטיס עמלת כרטיס בגין השירות שניתן לו.</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בישראל קיימות חמש חברות להן רישיון סליקה מטעם בנק ישראל, הן ישראכרט, מקס וכאל</w:t>
      </w:r>
      <w:r w:rsidRPr="00755612" w:rsidDel="003063E9">
        <w:rPr>
          <w:rFonts w:ascii="Alef" w:hAnsi="Alef" w:cs="Alef"/>
          <w:sz w:val="24"/>
          <w:szCs w:val="24"/>
          <w:rtl/>
        </w:rPr>
        <w:t xml:space="preserve"> </w:t>
      </w:r>
      <w:r w:rsidRPr="00755612">
        <w:rPr>
          <w:rFonts w:ascii="Alef" w:hAnsi="Alef" w:cs="Alef"/>
          <w:sz w:val="24"/>
          <w:szCs w:val="24"/>
          <w:rtl/>
        </w:rPr>
        <w:t>, וכן קארדקום בע"מ (להלן</w:t>
      </w:r>
      <w:r w:rsidRPr="00755612">
        <w:rPr>
          <w:rFonts w:ascii="Alef" w:hAnsi="Alef" w:cs="Alef"/>
          <w:b/>
          <w:bCs/>
          <w:sz w:val="24"/>
          <w:szCs w:val="24"/>
          <w:rtl/>
        </w:rPr>
        <w:t xml:space="preserve"> קארדקום</w:t>
      </w:r>
      <w:r w:rsidRPr="00755612">
        <w:rPr>
          <w:rFonts w:ascii="Alef" w:hAnsi="Alef" w:cs="Alef"/>
          <w:sz w:val="24"/>
          <w:szCs w:val="24"/>
          <w:rtl/>
        </w:rPr>
        <w:t>) וכן טרנזילה בע"מ (להלן</w:t>
      </w:r>
      <w:r w:rsidRPr="00755612">
        <w:rPr>
          <w:rFonts w:ascii="Alef" w:hAnsi="Alef" w:cs="Alef"/>
          <w:b/>
          <w:bCs/>
          <w:sz w:val="24"/>
          <w:szCs w:val="24"/>
          <w:rtl/>
        </w:rPr>
        <w:t xml:space="preserve"> טרנזילה</w:t>
      </w:r>
      <w:r w:rsidRPr="00755612">
        <w:rPr>
          <w:rFonts w:ascii="Alef" w:hAnsi="Alef" w:cs="Alef"/>
          <w:sz w:val="24"/>
          <w:szCs w:val="24"/>
          <w:rtl/>
        </w:rPr>
        <w:t xml:space="preserve">). במסגרת החוק להגברת התחרות, נאסר על הבנקים בעלי היקף פעילות רחב לעסוק בסליקה של כרטיסי חיוב. בצד ההנפקה, פועלות שלושת חברות כרטיסי האשראי לצד הבנקים. החוק להגברת התחרות התיר לבנקים בעלי היקף פעילות רחב לעסוק בהנפקה של כרטיסי חיוב, אבל אסר עליהם לעסוק בתפעול ההנפקה – היינו מתן כל השירותים הנלווים להנפקה, מלבד ההנפקה עצמה וקביעת התנאים העסקיים של הכרטיס. לבנקים האחרים הותר לעסוק בתפעול אבל בפועל רובם ככולם מהכרטיסים הבנקאיים מתופעלים בידי חברות כרטיסי האשראי.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הסולקים והמנפיקים קשורים ביניהם בהסכמים לסליקה צולבת של הכרטיסים המונפקים על ידם, אשר מאפשרים לכל אחת מהן לסלוק את כרטיסי החיוב המונפקים על ידי החברות </w:t>
      </w:r>
      <w:r w:rsidRPr="00755612">
        <w:rPr>
          <w:rFonts w:ascii="Alef" w:hAnsi="Alef" w:cs="Alef"/>
          <w:sz w:val="24"/>
          <w:szCs w:val="24"/>
          <w:rtl/>
        </w:rPr>
        <w:lastRenderedPageBreak/>
        <w:t>האחרות.</w:t>
      </w:r>
      <w:r w:rsidRPr="00755612">
        <w:rPr>
          <w:rStyle w:val="FootnoteReference"/>
          <w:rFonts w:ascii="Alef" w:hAnsi="Alef" w:cs="Alef"/>
          <w:sz w:val="24"/>
          <w:szCs w:val="24"/>
          <w:rtl/>
        </w:rPr>
        <w:footnoteReference w:id="5"/>
      </w:r>
      <w:r w:rsidRPr="00755612">
        <w:rPr>
          <w:rFonts w:ascii="Alef" w:hAnsi="Alef" w:cs="Alef"/>
          <w:sz w:val="24"/>
          <w:szCs w:val="24"/>
          <w:rtl/>
        </w:rPr>
        <w:t xml:space="preserve"> כפי שיוסבר להלן, </w:t>
      </w:r>
      <w:proofErr w:type="spellStart"/>
      <w:r w:rsidRPr="00755612">
        <w:rPr>
          <w:rFonts w:ascii="Alef" w:hAnsi="Alef" w:cs="Alef"/>
          <w:sz w:val="24"/>
          <w:szCs w:val="24"/>
          <w:rtl/>
        </w:rPr>
        <w:t>לשבא</w:t>
      </w:r>
      <w:proofErr w:type="spellEnd"/>
      <w:r w:rsidRPr="00755612">
        <w:rPr>
          <w:rFonts w:ascii="Alef" w:hAnsi="Alef" w:cs="Alef"/>
          <w:sz w:val="24"/>
          <w:szCs w:val="24"/>
          <w:rtl/>
        </w:rPr>
        <w:t xml:space="preserve"> תפקיד משמעותי בביצוע הסליקה הצולבת בין הסולקים והמנפיקים.</w:t>
      </w:r>
    </w:p>
    <w:p w:rsidR="00D24C38" w:rsidRPr="00755612" w:rsidRDefault="00D24C38" w:rsidP="00075465">
      <w:pPr>
        <w:pStyle w:val="ListParagraph"/>
        <w:numPr>
          <w:ilvl w:val="1"/>
          <w:numId w:val="4"/>
        </w:numPr>
        <w:spacing w:after="0" w:line="240" w:lineRule="auto"/>
        <w:rPr>
          <w:rFonts w:ascii="Alef" w:eastAsiaTheme="minorEastAsia" w:hAnsi="Alef" w:cs="Alef"/>
          <w:b/>
          <w:bCs/>
          <w:u w:val="single"/>
          <w:rtl/>
        </w:rPr>
      </w:pPr>
      <w:r w:rsidRPr="00755612">
        <w:rPr>
          <w:rFonts w:ascii="Alef" w:eastAsiaTheme="minorEastAsia" w:hAnsi="Alef" w:cs="Alef"/>
          <w:b/>
          <w:bCs/>
          <w:u w:val="single"/>
          <w:rtl/>
        </w:rPr>
        <w:t>ביצוע עסקה בכרטיס חיוב</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כפי שצוין לעיל, עסקה בכרטיס חיוב מתבצעת על ידי המנפיק המייצג את מחזיק הכרטיס, מהצד האחד, ועל ידי הסולק המספק שירותי סליקה לבית העסק, מהצד שני. קיימים שני סוגי עסקאות – כאשר העסקה מבוצעת בבית עסק שהגוף שמספק לו שירותי סליקה הוא גם מנפיק הכרטיס בו בוצעה העסקה ("</w:t>
      </w:r>
      <w:r w:rsidRPr="00755612">
        <w:rPr>
          <w:rFonts w:ascii="Alef" w:hAnsi="Alef" w:cs="Alef"/>
          <w:b/>
          <w:bCs/>
          <w:sz w:val="24"/>
          <w:szCs w:val="24"/>
          <w:rtl/>
        </w:rPr>
        <w:t>עסקת</w:t>
      </w:r>
      <w:r w:rsidRPr="00755612">
        <w:rPr>
          <w:rFonts w:ascii="Alef" w:hAnsi="Alef" w:cs="Alef"/>
          <w:sz w:val="24"/>
          <w:szCs w:val="24"/>
          <w:rtl/>
        </w:rPr>
        <w:t xml:space="preserve"> </w:t>
      </w:r>
      <w:r w:rsidRPr="00755612">
        <w:rPr>
          <w:rFonts w:ascii="Alef" w:hAnsi="Alef" w:cs="Alef"/>
          <w:b/>
          <w:bCs/>
          <w:sz w:val="24"/>
          <w:szCs w:val="24"/>
        </w:rPr>
        <w:t>ON US</w:t>
      </w:r>
      <w:r w:rsidRPr="00755612">
        <w:rPr>
          <w:rFonts w:ascii="Alef" w:hAnsi="Alef" w:cs="Alef"/>
          <w:sz w:val="24"/>
          <w:szCs w:val="24"/>
          <w:rtl/>
        </w:rPr>
        <w:t>") וכאשר העסקה מבוצעת בבית עסק שהגוף המספק לו שירותי סליקה אינו מנפיק הכרטיס בו בוצעה העסקה ("</w:t>
      </w:r>
      <w:r w:rsidRPr="00755612">
        <w:rPr>
          <w:rFonts w:ascii="Alef" w:hAnsi="Alef" w:cs="Alef"/>
          <w:b/>
          <w:bCs/>
          <w:sz w:val="24"/>
          <w:szCs w:val="24"/>
          <w:rtl/>
        </w:rPr>
        <w:t>עסקת סליקה צולבת</w:t>
      </w:r>
      <w:r w:rsidRPr="00755612">
        <w:rPr>
          <w:rFonts w:ascii="Alef" w:hAnsi="Alef" w:cs="Alef"/>
          <w:sz w:val="24"/>
          <w:szCs w:val="24"/>
          <w:rtl/>
        </w:rPr>
        <w:t>").</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עסקת סליקה צולבת מחייבת קישוריות בין הסולק והמנפיק במספר היבטים – הסולק נדרש לקבל את אישור המנפיק לביצוע העסקה; הסולק נדרש להעביר את המידע על אודות העסקאות שהתבצעו בכרטיסי המנפיק בבית העסק; וכן, נדרש להעביר את הכספים ביניהם. לצורך כך, מפעילה שבא מתג</w:t>
      </w:r>
      <w:r w:rsidRPr="00755612">
        <w:rPr>
          <w:rFonts w:ascii="Alef" w:hAnsi="Alef" w:cs="Alef"/>
          <w:b/>
          <w:bCs/>
          <w:sz w:val="24"/>
          <w:szCs w:val="24"/>
          <w:rtl/>
        </w:rPr>
        <w:t xml:space="preserve"> </w:t>
      </w:r>
      <w:r w:rsidRPr="00755612">
        <w:rPr>
          <w:rFonts w:ascii="Alef" w:hAnsi="Alef" w:cs="Alef"/>
          <w:sz w:val="24"/>
          <w:szCs w:val="24"/>
          <w:rtl/>
        </w:rPr>
        <w:t xml:space="preserve">המאפשר העברה של בקשות לאישור עסקאות בכרטיסי חיוב ומתן תשובה להן. כמו כן, שבא פועלת גם כמעבד של עסקאות בכרטיסי חיוב. במסגרת זו, היא מקושרת לכלל המסופים בבתי העסק ואוספת כלל העסקאות בכל סוגי כרטיסי החיוב ומעבדת אותן, לצורך העברתן למנפיקים לקבלת אישור והמשך הטיפול בעסקה, וכן מנתבת עסקאות </w:t>
      </w:r>
      <w:r w:rsidRPr="00755612">
        <w:rPr>
          <w:rFonts w:ascii="Alef" w:hAnsi="Alef" w:cs="Alef"/>
          <w:sz w:val="24"/>
          <w:szCs w:val="24"/>
        </w:rPr>
        <w:t>ON US</w:t>
      </w:r>
      <w:r w:rsidRPr="00755612">
        <w:rPr>
          <w:rFonts w:ascii="Alef" w:hAnsi="Alef" w:cs="Alef"/>
          <w:sz w:val="24"/>
          <w:szCs w:val="24"/>
          <w:rtl/>
        </w:rPr>
        <w:t xml:space="preserve"> לסולק אשר מטפל בעסקה בעצמו. עוד תחת פעילות העיבוד מבצעת שבא עבור הסולקים והמנפיקים התחשבנות יומית, זאת על רקע בחינת הזיכויים והחיובים של אלו לאלו על סמך המידע שאספה לאורך כל יום העסקים. בגין פעילות זו גובה שבא עמלת ממשק צד ג'. ביצוע הסילוקין, קרי העברות הכספים בין החברות, מתבצע על ידי הסולקים והמנפיקים באמצעות מערכת העברות הכספים של מרכז סליקה בנקאי בע"מ.</w:t>
      </w:r>
      <w:r w:rsidRPr="00755612">
        <w:rPr>
          <w:rStyle w:val="FootnoteReference"/>
          <w:rFonts w:ascii="Alef" w:hAnsi="Alef" w:cs="Alef"/>
          <w:sz w:val="24"/>
          <w:szCs w:val="24"/>
          <w:rtl/>
        </w:rPr>
        <w:footnoteReference w:id="6"/>
      </w:r>
      <w:r w:rsidRPr="00755612">
        <w:rPr>
          <w:rFonts w:ascii="Alef" w:hAnsi="Alef" w:cs="Alef"/>
          <w:sz w:val="24"/>
          <w:szCs w:val="24"/>
          <w:rtl/>
        </w:rPr>
        <w:t xml:space="preserve">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העסקאות בבתי העסק מבוצעות באמצעות מסופים המותקנים בהם. מסופים אלו מורכבים מרכיב תוכנה, המחבר בין בית העסק לבין המתג של שבא, ומרכיב חומרה, קורא כרטיסי חיוב.</w:t>
      </w:r>
      <w:r w:rsidRPr="00755612">
        <w:rPr>
          <w:rStyle w:val="FootnoteReference"/>
          <w:rFonts w:ascii="Alef" w:hAnsi="Alef" w:cs="Alef"/>
          <w:sz w:val="24"/>
          <w:szCs w:val="24"/>
          <w:rtl/>
        </w:rPr>
        <w:footnoteReference w:id="7"/>
      </w:r>
      <w:r w:rsidRPr="00755612">
        <w:rPr>
          <w:rFonts w:ascii="Alef" w:hAnsi="Alef" w:cs="Alef"/>
          <w:sz w:val="24"/>
          <w:szCs w:val="24"/>
          <w:rtl/>
        </w:rPr>
        <w:t xml:space="preserve"> בנוסף למסופים הפיזיים, קיימים חברות שעוסקות רק בצד התוכנה ומייצרות מוצר של "שער תשלומים" (</w:t>
      </w:r>
      <w:r w:rsidRPr="00755612">
        <w:rPr>
          <w:rFonts w:ascii="Alef" w:hAnsi="Alef" w:cs="Alef"/>
          <w:sz w:val="24"/>
          <w:szCs w:val="24"/>
        </w:rPr>
        <w:t>payment gateway</w:t>
      </w:r>
      <w:r w:rsidRPr="00755612">
        <w:rPr>
          <w:rFonts w:ascii="Alef" w:hAnsi="Alef" w:cs="Alef"/>
          <w:sz w:val="24"/>
          <w:szCs w:val="24"/>
          <w:rtl/>
        </w:rPr>
        <w:t xml:space="preserve">). מוצר זה משרת שתי מטרות עיקריות: משמש כ"מסוף וירטואלי" לעסקאות המבוצעות באופן מקוון; וכן מאפשר </w:t>
      </w:r>
      <w:proofErr w:type="spellStart"/>
      <w:r w:rsidRPr="00755612">
        <w:rPr>
          <w:rFonts w:ascii="Alef" w:hAnsi="Alef" w:cs="Alef"/>
          <w:sz w:val="24"/>
          <w:szCs w:val="24"/>
          <w:rtl/>
        </w:rPr>
        <w:t>לתכלל</w:t>
      </w:r>
      <w:proofErr w:type="spellEnd"/>
      <w:r w:rsidRPr="00755612">
        <w:rPr>
          <w:rFonts w:ascii="Alef" w:hAnsi="Alef" w:cs="Alef"/>
          <w:sz w:val="24"/>
          <w:szCs w:val="24"/>
          <w:rtl/>
        </w:rPr>
        <w:t xml:space="preserve"> מערך פעילות של מסופים רבים של בית עסק יחיד.</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בנוסף לפעילותה כמתג וכמעבד שבא פועלת גם כיצרנית של רכיבי התוכנה של  </w:t>
      </w:r>
      <w:r w:rsidRPr="00755612">
        <w:rPr>
          <w:rFonts w:ascii="Alef" w:hAnsi="Alef" w:cs="Alef"/>
          <w:sz w:val="24"/>
          <w:szCs w:val="24"/>
        </w:rPr>
        <w:t>EMV</w:t>
      </w:r>
      <w:r w:rsidRPr="00755612">
        <w:rPr>
          <w:rFonts w:ascii="Alef" w:hAnsi="Alef" w:cs="Alef"/>
          <w:sz w:val="24"/>
          <w:szCs w:val="24"/>
          <w:rtl/>
        </w:rPr>
        <w:t xml:space="preserve"> </w:t>
      </w:r>
      <w:proofErr w:type="spellStart"/>
      <w:r w:rsidRPr="00755612">
        <w:rPr>
          <w:rFonts w:ascii="Alef" w:hAnsi="Alef" w:cs="Alef"/>
          <w:sz w:val="24"/>
          <w:szCs w:val="24"/>
          <w:rtl/>
        </w:rPr>
        <w:t>ואשראית</w:t>
      </w:r>
      <w:proofErr w:type="spellEnd"/>
      <w:r w:rsidRPr="00755612">
        <w:rPr>
          <w:rFonts w:ascii="Alef" w:hAnsi="Alef" w:cs="Alef"/>
          <w:sz w:val="24"/>
          <w:szCs w:val="24"/>
          <w:rtl/>
        </w:rPr>
        <w:t xml:space="preserve"> </w:t>
      </w:r>
      <w:r w:rsidRPr="00755612">
        <w:rPr>
          <w:rFonts w:ascii="Alef" w:hAnsi="Alef" w:cs="Alef"/>
          <w:sz w:val="24"/>
          <w:szCs w:val="24"/>
        </w:rPr>
        <w:t>PC</w:t>
      </w:r>
      <w:r w:rsidRPr="00755612">
        <w:rPr>
          <w:rFonts w:ascii="Alef" w:hAnsi="Alef" w:cs="Alef"/>
          <w:sz w:val="24"/>
          <w:szCs w:val="24"/>
          <w:rtl/>
        </w:rPr>
        <w:t xml:space="preserve">, כאשר הראשונה עתידה להחליף באופן מלא את השנייה בתקופה הקרובה, כפי שהוזכר לעיל. תוכנות אלו משווקת על ידי מספר רב של מפיצים, מרביתם יצרני קופות ניהול לבתי </w:t>
      </w:r>
      <w:r w:rsidRPr="00755612">
        <w:rPr>
          <w:rFonts w:ascii="Alef" w:hAnsi="Alef" w:cs="Alef"/>
          <w:sz w:val="24"/>
          <w:szCs w:val="24"/>
          <w:rtl/>
        </w:rPr>
        <w:lastRenderedPageBreak/>
        <w:t xml:space="preserve">העסק. יצרני הקופות משלבים את התוכנות בתוך תוכנת הניהול, ומוסיפים רכיב חומרה לקריאת הכרטיסים המתחבר לתוכנת של </w:t>
      </w:r>
      <w:r w:rsidRPr="00755612">
        <w:rPr>
          <w:rFonts w:ascii="Alef" w:hAnsi="Alef" w:cs="Alef"/>
          <w:sz w:val="24"/>
          <w:szCs w:val="24"/>
        </w:rPr>
        <w:t>EMV</w:t>
      </w:r>
      <w:r w:rsidRPr="00755612">
        <w:rPr>
          <w:rFonts w:ascii="Alef" w:hAnsi="Alef" w:cs="Alef"/>
          <w:sz w:val="24"/>
          <w:szCs w:val="24"/>
          <w:rtl/>
        </w:rPr>
        <w:t>. כמו כן, המסוף בבית העסק יכול להיות מסוף אחוד המשלב את רכיב התוכנה בתוך קורא הכרטיסים.</w:t>
      </w:r>
    </w:p>
    <w:p w:rsidR="00D24C38" w:rsidRDefault="00D24C38" w:rsidP="00075465">
      <w:pPr>
        <w:spacing w:after="0" w:line="240" w:lineRule="auto"/>
        <w:jc w:val="both"/>
        <w:rPr>
          <w:rFonts w:ascii="Alef" w:hAnsi="Alef" w:cs="Alef"/>
          <w:sz w:val="24"/>
          <w:szCs w:val="24"/>
          <w:rtl/>
        </w:rPr>
      </w:pPr>
      <w:r w:rsidRPr="00755612">
        <w:rPr>
          <w:rFonts w:ascii="Alef" w:hAnsi="Alef" w:cs="Alef"/>
          <w:sz w:val="24"/>
          <w:szCs w:val="24"/>
          <w:rtl/>
        </w:rPr>
        <w:t>ניתן להתרשם מתהליך ביצוע עסקה בכרטיס חיוב, באמצעות התרשים הבא.</w:t>
      </w:r>
    </w:p>
    <w:p w:rsidR="00075465" w:rsidRPr="00755612" w:rsidRDefault="00075465" w:rsidP="00075465">
      <w:pPr>
        <w:spacing w:after="0" w:line="240" w:lineRule="auto"/>
        <w:jc w:val="both"/>
        <w:rPr>
          <w:rFonts w:ascii="Alef" w:hAnsi="Alef" w:cs="Alef"/>
          <w:sz w:val="24"/>
          <w:szCs w:val="24"/>
          <w:rtl/>
        </w:rPr>
      </w:pP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תרשים 1: תהליך ביצוע של עסקה בישראל</w:t>
      </w:r>
    </w:p>
    <w:p w:rsidR="00D24C38" w:rsidRPr="00755612" w:rsidRDefault="00D24C38" w:rsidP="00075465">
      <w:pPr>
        <w:spacing w:after="0" w:line="240" w:lineRule="auto"/>
        <w:jc w:val="both"/>
        <w:rPr>
          <w:rFonts w:ascii="Alef" w:hAnsi="Alef" w:cs="Alef"/>
          <w:b/>
          <w:bCs/>
          <w:sz w:val="24"/>
          <w:szCs w:val="24"/>
        </w:rPr>
      </w:pPr>
      <w:r w:rsidRPr="00755612">
        <w:rPr>
          <w:rFonts w:ascii="Alef" w:hAnsi="Alef" w:cs="Alef"/>
          <w:noProof/>
          <w:sz w:val="24"/>
          <w:szCs w:val="24"/>
        </w:rPr>
        <w:drawing>
          <wp:inline distT="0" distB="0" distL="0" distR="0" wp14:anchorId="5929BC4A" wp14:editId="31293EBF">
            <wp:extent cx="4004019" cy="2823667"/>
            <wp:effectExtent l="0" t="0" r="0" b="0"/>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010445" cy="2828199"/>
                    </a:xfrm>
                    <a:prstGeom prst="rect">
                      <a:avLst/>
                    </a:prstGeom>
                  </pic:spPr>
                </pic:pic>
              </a:graphicData>
            </a:graphic>
          </wp:inline>
        </w:drawing>
      </w:r>
    </w:p>
    <w:p w:rsidR="00075465" w:rsidRDefault="00075465" w:rsidP="00075465">
      <w:pPr>
        <w:spacing w:after="0" w:line="240" w:lineRule="auto"/>
        <w:jc w:val="both"/>
        <w:rPr>
          <w:rFonts w:ascii="Alef" w:hAnsi="Alef" w:cs="Alef"/>
          <w:sz w:val="24"/>
          <w:szCs w:val="24"/>
          <w:rtl/>
        </w:rPr>
      </w:pP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מהאמור לעיל עולה, כי ביצוע עסקה בכרטיס חיוב מחייב תקשורת בין גורמים שונים בשרשרת ביצוע עסקה – שבא, סולקים, מנפיקים, מסופים בבתי העסק (פיזיים ווירטואליים). התקשורת בין גורמים אלה נעשית באמצעות </w:t>
      </w:r>
      <w:r w:rsidRPr="00755612">
        <w:rPr>
          <w:rFonts w:ascii="Alef" w:hAnsi="Alef" w:cs="Alef"/>
          <w:b/>
          <w:bCs/>
          <w:sz w:val="24"/>
          <w:szCs w:val="24"/>
          <w:rtl/>
        </w:rPr>
        <w:t>פרוטוקול התקשורת</w:t>
      </w:r>
      <w:r w:rsidRPr="00755612">
        <w:rPr>
          <w:rFonts w:ascii="Alef" w:hAnsi="Alef" w:cs="Alef"/>
          <w:sz w:val="24"/>
          <w:szCs w:val="24"/>
          <w:rtl/>
        </w:rPr>
        <w:t xml:space="preserve">, המאפשר לכל הגורמים לתקשר ביניהם באותה "שפה".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נכון להיום, ועל רקע פעילות עמותת הפרוטוקול והמתווה של בנק ישראל, כמעט והושלמה הטמעת פרוטוקול </w:t>
      </w:r>
      <w:r w:rsidRPr="00755612">
        <w:rPr>
          <w:rFonts w:ascii="Alef" w:hAnsi="Alef" w:cs="Alef"/>
          <w:sz w:val="24"/>
          <w:szCs w:val="24"/>
        </w:rPr>
        <w:t>EMV</w:t>
      </w:r>
      <w:r w:rsidRPr="00755612">
        <w:rPr>
          <w:rFonts w:ascii="Alef" w:hAnsi="Alef" w:cs="Alef"/>
          <w:sz w:val="24"/>
          <w:szCs w:val="24"/>
          <w:rtl/>
        </w:rPr>
        <w:t xml:space="preserve"> בשוק הישראלי. לצד יתרונותיו הטכנולוגיים והחדשניים, הפרוטוקול האמור חשוף לשחקנים השונים בתחום כרטיסי החיוב, ובכך משפר את המצב הן עבור מתחרים קיימים והן עבור מתחרים פוטנציאליים המעוניינים להיכנס לאחד המקטעים של עסקת כרטיסי חיוב בישראל. </w:t>
      </w:r>
    </w:p>
    <w:p w:rsidR="00D24C38" w:rsidRPr="00755612" w:rsidRDefault="00D24C38" w:rsidP="00075465">
      <w:pPr>
        <w:spacing w:after="0" w:line="240" w:lineRule="auto"/>
        <w:jc w:val="both"/>
        <w:rPr>
          <w:rFonts w:ascii="Alef" w:hAnsi="Alef" w:cs="Alef"/>
          <w:b/>
          <w:bCs/>
          <w:sz w:val="24"/>
          <w:szCs w:val="24"/>
          <w:u w:val="single"/>
        </w:rPr>
      </w:pPr>
      <w:r w:rsidRPr="00755612">
        <w:rPr>
          <w:rFonts w:ascii="Alef" w:hAnsi="Alef" w:cs="Alef"/>
          <w:b/>
          <w:bCs/>
          <w:sz w:val="24"/>
          <w:szCs w:val="24"/>
          <w:u w:val="single"/>
          <w:rtl/>
        </w:rPr>
        <w:t xml:space="preserve">השפעת ההסדר על התחרות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שבא היא, למעשה, מיזם משותף בין מתחרים בתחום המשיק לתחום התחרות ביניהם. אמנם שתיים מתוך שלוש חברות כרטיסי האשראי כבר לא נמצאות בידי הבנקים ואולם הבנקים המחזיקים בשבא ממשיכים להתחרות ביניהם על הנפקת כרטיסי חיוב והבנקים מנפיקים את מרבית כרטיסי החיוב שבהם מבוצעים הרוב הגדול של העסקאות. בדומה לכך, אמנם נאסר על הבנקים לעסוק בעצמם בסליקת כרטיסי חיוב, אולם עשויים להיות להם אינטרסים תחרותיים באופן התפתחות תחום הסליקה, כגון אינטרס במניעת כניסה של שחקנים נוספים לתחום, ובפרט שחקנים שעשויים להיעזר בפעילות סליקה על מנת לחולל תחרות בתחומים אחרים שבהם הבנקים פועלים (כגון מתן אשראי לבתי עסק, תחום שגם הבנקים מתחרים בו).</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lastRenderedPageBreak/>
        <w:t xml:space="preserve">מטרתה העיקרית של שבא היא יצירת קישוריות בין הגורמים השונים בשרשרת הערך של עסקה בכרטיס חיוב. קישוריות זו מאפשרת לבצע סליקה צולבת בכרטיסי חיוב, המיטיבה עם התחרות שכן היא מאפשרת לבית עסק להתקשר בהסכם עם סולק אחד אשר </w:t>
      </w:r>
      <w:proofErr w:type="spellStart"/>
      <w:r w:rsidRPr="00755612">
        <w:rPr>
          <w:rFonts w:ascii="Alef" w:hAnsi="Alef" w:cs="Alef"/>
          <w:sz w:val="24"/>
          <w:szCs w:val="24"/>
          <w:rtl/>
        </w:rPr>
        <w:t>יסלוק</w:t>
      </w:r>
      <w:proofErr w:type="spellEnd"/>
      <w:r w:rsidRPr="00755612">
        <w:rPr>
          <w:rFonts w:ascii="Alef" w:hAnsi="Alef" w:cs="Alef"/>
          <w:sz w:val="24"/>
          <w:szCs w:val="24"/>
          <w:rtl/>
        </w:rPr>
        <w:t xml:space="preserve"> את כלל כרטיסי החיוב, להבדיל ממצב בו כל סולק מבצע סליקה רק של כרטיסים שהונפקו על ידו.</w:t>
      </w:r>
      <w:r w:rsidRPr="00755612">
        <w:rPr>
          <w:rStyle w:val="FootnoteReference"/>
          <w:rFonts w:ascii="Alef" w:hAnsi="Alef" w:cs="Alef"/>
          <w:sz w:val="24"/>
          <w:szCs w:val="24"/>
          <w:rtl/>
        </w:rPr>
        <w:footnoteReference w:id="8"/>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חשיבותה של שבא כשדרה המרכזית באמצעותה מתבצעות עסקאות בכרטיסי חיוב בישראל יוצרת גם תלות רבה בה מצד הגופים השונים הפועלים בתחום כרטיסי החיוב. כך, תלויים בשבא גופים שמבקשים להתחרות בה באופן ישיר, באחד או יותר מהמקטעים בהם היא פועלת כגון מיתוג עסקאות, איסוף ועיבוד של עסקאות וייצור תכנת מסופים. וכך, תלויים בשבא גם גופים שמבקשים להתחרות בבעלי מניותיה בתחום ההנפקה ואף גופים שבאמצעות העיסוק בסליקה עשויים להתחרות בבעלי המניות במוצרים בנקאיים נוספים.</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כפי שצוין לעיל, עקב חוק שטרום נערכו שינויים של ממש במבנה </w:t>
      </w:r>
      <w:proofErr w:type="spellStart"/>
      <w:r w:rsidRPr="00755612">
        <w:rPr>
          <w:rFonts w:ascii="Alef" w:hAnsi="Alef" w:cs="Alef"/>
          <w:sz w:val="24"/>
          <w:szCs w:val="24"/>
          <w:rtl/>
        </w:rPr>
        <w:t>ההחזקות</w:t>
      </w:r>
      <w:proofErr w:type="spellEnd"/>
      <w:r w:rsidRPr="00755612">
        <w:rPr>
          <w:rFonts w:ascii="Alef" w:hAnsi="Alef" w:cs="Alef"/>
          <w:sz w:val="24"/>
          <w:szCs w:val="24"/>
          <w:rtl/>
        </w:rPr>
        <w:t xml:space="preserve"> </w:t>
      </w:r>
      <w:proofErr w:type="spellStart"/>
      <w:r w:rsidRPr="00755612">
        <w:rPr>
          <w:rFonts w:ascii="Alef" w:hAnsi="Alef" w:cs="Alef"/>
          <w:sz w:val="24"/>
          <w:szCs w:val="24"/>
          <w:rtl/>
        </w:rPr>
        <w:t>בשבא</w:t>
      </w:r>
      <w:proofErr w:type="spellEnd"/>
      <w:r w:rsidRPr="00755612">
        <w:rPr>
          <w:rFonts w:ascii="Alef" w:hAnsi="Alef" w:cs="Alef"/>
          <w:sz w:val="24"/>
          <w:szCs w:val="24"/>
          <w:rtl/>
        </w:rPr>
        <w:t xml:space="preserve">. יש ברכישת מניות על ידי גופים נוספים ודילולם של בעלי המניות הקיימים כדי להחליש חלק מהחששות שעולים מהמיזם המשותף בין הבנקים, אך לא להפיג חששות אלו לחלוטין. זאת בשים לב לכך שהבנקים ממשיכים להחזיק ביחד ב-40% ממניות שבא, כאשר 20% נוספים מוחזקים בידי ויזה ומאסטרקארד, שאף להם אינטרסים בעולם הפיננסי, ויתר האחזקות מפוזרות בידי הציבור. בנוסף לכך, כשליש מהדירקטורים בשבא הוצעו על ידי הבנקים. יש באמור כדי להקנות לבנקים יכולת השפעה ממשית על אופן פעילותה של שבא. כך, למשל, עיון בפרוטוקולים של </w:t>
      </w:r>
      <w:proofErr w:type="spellStart"/>
      <w:r w:rsidRPr="00755612">
        <w:rPr>
          <w:rFonts w:ascii="Alef" w:hAnsi="Alef" w:cs="Alef"/>
          <w:sz w:val="24"/>
          <w:szCs w:val="24"/>
          <w:rtl/>
        </w:rPr>
        <w:t>אסיפות</w:t>
      </w:r>
      <w:proofErr w:type="spellEnd"/>
      <w:r w:rsidRPr="00755612">
        <w:rPr>
          <w:rFonts w:ascii="Alef" w:hAnsi="Alef" w:cs="Alef"/>
          <w:sz w:val="24"/>
          <w:szCs w:val="24"/>
          <w:rtl/>
        </w:rPr>
        <w:t xml:space="preserve"> כלליות של שבא מעלה כי נציגי הבנקים היו יותר מ-50% ממי שהצביע בפועל. זאת, לצד הזכויות של הבנקים להשתתף ברווחי שבא וההשפעה שעשויה להיות לכך על מערך התמריצים של כל אחד מהם.</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נציין כבר עכשיו כי ככל שחלקם של הבנקים היה נמוך יותר, כך שהיקף האחזקות של כל בנק לא היה עולה על 5%, נראה כי היה בכך כדי להפיג במידה ניכרת את החששות שעולים. מבלי להביע עמדה בשאלה האם באותן נסיבות ההסדר היה בגדר הסדר כובל אם לאו, נראה כי היה בכך לייתר את הצורך להפעיל את הסמכות לפי סעיף 15א(ז) לחוק כדי </w:t>
      </w:r>
      <w:proofErr w:type="spellStart"/>
      <w:r w:rsidRPr="00755612">
        <w:rPr>
          <w:rFonts w:ascii="Alef" w:hAnsi="Alef" w:cs="Alef"/>
          <w:sz w:val="24"/>
          <w:szCs w:val="24"/>
          <w:rtl/>
        </w:rPr>
        <w:t>להחריג</w:t>
      </w:r>
      <w:proofErr w:type="spellEnd"/>
      <w:r w:rsidRPr="00755612">
        <w:rPr>
          <w:rFonts w:ascii="Alef" w:hAnsi="Alef" w:cs="Alef"/>
          <w:sz w:val="24"/>
          <w:szCs w:val="24"/>
          <w:rtl/>
        </w:rPr>
        <w:t xml:space="preserve"> את ההסדר מתחולת פטורי הסוג ו"לקרוא" אותו לבחינה פרטנית. גם יתייתר הצורך בפטור הנוכחי.</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החשש המרכזי העולה מפעילות שבא כהסדר כובל בין מתחרים, ושייבחן להלן, הוא החשש מפני מניעת כניסה או העלאת חסמי הכניסה העומדים בפני מתחרים חדשים בענף כרטיסי החיוב, בכל אחד מהמקטעים בהם שבא פועלת – מיתוג, עיבוד ופיתוח תוכנת מסופים, וכן בפעילויות בהן פועלים בעלי המניות בשבא – היינו ההנפקה – או שיש לבעלי המניות אינטרס באופן פיתוחן – לרבות הסליקה. בעבר החשש האמור התבטא בשתי דרכים עיקריות: הדרך הראשונה, שימוש בפרוטוקול תקשורת אשר מקשה על כניסה של גופים חדשים, והדרך השנייה היא הערמת קשיים על חיבור של גופים חדשים למערכות שבא ועל פעילותם של גופים אלו.</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אולם כיום ובעקבות מימוש המתווה להוצאת הפרוטוקול מידי שבא שגובש בשיתוף עם בנק ישראל ועוגן בפטור הקודם, החשש הראשון כבר אינו רלוונטי ומהתנאים הנוכחיים הושמטו הסעיפים שהיו בפטורים קודמים שנגעו לתחום זה. משכך נתמקד בחשש השני. טרם נעבור </w:t>
      </w:r>
      <w:r w:rsidRPr="00755612">
        <w:rPr>
          <w:rFonts w:ascii="Alef" w:hAnsi="Alef" w:cs="Alef"/>
          <w:sz w:val="24"/>
          <w:szCs w:val="24"/>
          <w:rtl/>
        </w:rPr>
        <w:lastRenderedPageBreak/>
        <w:t xml:space="preserve">אליו, נציין כי ביום 9.8.2022 נגיד בנק ישראל הכריז על הפרוטוקול כמערכת מבוקרת לפי חוק מערכות תשלומים, התשס"ח-2008, הכרזה אשר לבנק ישראל תאפשר לפקח על המערכת, ובין היתר לצורך הקלה על שחקנים נוספים המבקשים להשתלב בשוק. הרשות תעקוב אחרי הפיקוח ותפעל לסייע לבנק ישראל בקידום התחרות בתחום בהקשר זה. </w:t>
      </w:r>
    </w:p>
    <w:p w:rsidR="00D24C38" w:rsidRPr="00755612" w:rsidRDefault="00D24C38" w:rsidP="00075465">
      <w:pPr>
        <w:spacing w:after="0" w:line="240" w:lineRule="auto"/>
        <w:jc w:val="both"/>
        <w:rPr>
          <w:rFonts w:ascii="Alef" w:hAnsi="Alef" w:cs="Alef"/>
          <w:sz w:val="24"/>
          <w:szCs w:val="24"/>
          <w:u w:val="single"/>
          <w:rtl/>
        </w:rPr>
      </w:pPr>
      <w:r w:rsidRPr="00755612">
        <w:rPr>
          <w:rFonts w:ascii="Alef" w:hAnsi="Alef" w:cs="Alef"/>
          <w:sz w:val="24"/>
          <w:szCs w:val="24"/>
          <w:u w:val="single"/>
          <w:rtl/>
        </w:rPr>
        <w:t>חיבור למערכות שבא</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כיום, שבא היא המתג ומעבד העסקאות בכרטיסי חיוב היחיד בישראל. על כן, הגישה למערכותיה מהווה רכיב הכרחי עבור גופים לצורך פעילותם בענף כרטיסי החיוב. נוכח היותה של שבא מיזם משותף בין מתחרים, עולה חשש מפני דחיקת גופים המתחרים בבעלי המניות בשבא. כפי שהוסבר לעיל, הדחיקה עשויה להתקיים במקטע ההנפקה, שבו הבנקים המחזיקים בשבא עוסקים באופן ישיר, או במקטע הסליקה, שבו הבנקים אינם עוסקים כיום אך עשוי להיות להם אינטרס במניעת כניסה של שחקנים שיאיימו עליהם בתחומי פעילות אחרים  (כגון מתן אשראי לבתי עסק).</w:t>
      </w:r>
      <w:r w:rsidRPr="00755612">
        <w:rPr>
          <w:rFonts w:ascii="Alef" w:hAnsi="Alef" w:cs="Alef"/>
          <w:color w:val="FF0000"/>
          <w:sz w:val="24"/>
          <w:szCs w:val="24"/>
          <w:rtl/>
        </w:rPr>
        <w:t xml:space="preserve"> </w:t>
      </w:r>
    </w:p>
    <w:p w:rsidR="00D24C38" w:rsidRPr="00755612" w:rsidRDefault="00D24C38" w:rsidP="00075465">
      <w:pPr>
        <w:spacing w:after="0" w:line="240" w:lineRule="auto"/>
        <w:jc w:val="both"/>
        <w:rPr>
          <w:rFonts w:ascii="Alef" w:hAnsi="Alef" w:cs="Alef"/>
          <w:color w:val="FF0000"/>
          <w:sz w:val="24"/>
          <w:szCs w:val="24"/>
          <w:rtl/>
        </w:rPr>
      </w:pPr>
      <w:r w:rsidRPr="00755612">
        <w:rPr>
          <w:rFonts w:ascii="Alef" w:hAnsi="Alef" w:cs="Alef"/>
          <w:sz w:val="24"/>
          <w:szCs w:val="24"/>
          <w:rtl/>
        </w:rPr>
        <w:t>כפי שהורחב לעיל, החשש מפני דחיקת גופים המתחרים בבעלי המניות בשבא פחת בשנים האחרונות, עקב הקטנת ההחזקה של הבנקים בשבא והפרדת שתיים מתוך שלוש מחברות כרטיסי האשראי מהבנקים שהחזיקו בהן. יחד עם זאת, כל עוד שבא מוחזקת, ולו חלקית, על ידי הבנקים חשש זה לא מופג לחלוטין.</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כמו כן, עולה חשש מדחיקה של גופים המתחרים בפעילות שבא כגון מתגים, מעבדים ויצרני תכנת מסופים, וזאת על ידי מניעת גישה לאחת או יותר ממערכות שבא או עיכוב במתן גישה למערכות אלו, בדרכים שונות ומגוונות, או על ידי פעולות הננקטות על ידי הבנקים החברים בשבא בשל האינטרסים שלהם בשבא. חשש זה עומד בעינו למרות השינויים שחלו בשוק בתקופה האחרונה. כך, לדוגמה, פעילותה של שבא הן כמתג והן כמעבד מעלה חשש כי היא תמנע או תקשה על פעילותו של גוף המבקש לפעול כמעבד (לרבות באופן חלקי, למשל בקשר עם סוגים מסוימים של עסקאות). גוף זה נדרש להתחבר למתג של שבא ולעתים גם לקבל שירותים משלימים משבא, </w:t>
      </w:r>
      <w:proofErr w:type="spellStart"/>
      <w:r w:rsidRPr="00755612">
        <w:rPr>
          <w:rFonts w:ascii="Alef" w:hAnsi="Alef" w:cs="Alef"/>
          <w:sz w:val="24"/>
          <w:szCs w:val="24"/>
          <w:rtl/>
        </w:rPr>
        <w:t>ולשבא</w:t>
      </w:r>
      <w:proofErr w:type="spellEnd"/>
      <w:r w:rsidRPr="00755612">
        <w:rPr>
          <w:rFonts w:ascii="Alef" w:hAnsi="Alef" w:cs="Alef"/>
          <w:sz w:val="24"/>
          <w:szCs w:val="24"/>
          <w:rtl/>
        </w:rPr>
        <w:t xml:space="preserve"> יש את היכולת להקשות עליו להתחרות בה בתחום העיבוד.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על מנת להתמודד עם החשש האמור מפני דחיקת מתחרים של שבא ושל בעלי מניותיה, קבעתי תנאים מפורטים בסיפא להחלטתי זו, אשר מחייבים את שבא לאפשר חיבור של כל גוף למערכותיה באופן שוויוני, בזמן סביר וללא השתת עלויות עבר. כמו כן, קבעתי כי על שבא להתאים את מערכותיה כך שיתאפשר חיבור של גופים רבים, לרבות גופים המעוניינים לספק שירותים מצומצמים יותר מאלו הניתנים כיום, כגון מנפיקים או סולקים המעוניינים לספק שירותים עבור סוגים מסוימים בלבד של כרטיסי חיוב או יצרנים המעוניינים לפתח תכנת מסופים שמותאמת לעסקאות אונליין בלבד.</w:t>
      </w:r>
      <w:r w:rsidRPr="00755612" w:rsidDel="00A505F0">
        <w:rPr>
          <w:rFonts w:ascii="Alef" w:hAnsi="Alef" w:cs="Alef"/>
          <w:sz w:val="24"/>
          <w:szCs w:val="24"/>
          <w:rtl/>
        </w:rPr>
        <w:t xml:space="preserve"> </w:t>
      </w:r>
      <w:r w:rsidRPr="00755612">
        <w:rPr>
          <w:rFonts w:ascii="Alef" w:hAnsi="Alef" w:cs="Alef"/>
          <w:sz w:val="24"/>
          <w:szCs w:val="24"/>
          <w:rtl/>
        </w:rPr>
        <w:t xml:space="preserve">מטרתן של הוראות אלו היא להבטיח ששחקנים חדשים יוכלו להתחבר למערכות שבא השונות, לאפשר לגופים מעין אלו להתחרות בשבא או בבעלי מניותיה במקטע אחד או יותר של שרשרת ביצוע עסקה בכרטיס חיוב, ובכלל זה לאפשר גם לגופים שמעוניינים לספק שירותים חלקיים ללקוחות לפעול בתחום. </w:t>
      </w:r>
    </w:p>
    <w:p w:rsidR="00075465" w:rsidRPr="00710E29" w:rsidRDefault="00D24C38" w:rsidP="00710E29">
      <w:pPr>
        <w:spacing w:after="0" w:line="240" w:lineRule="auto"/>
        <w:jc w:val="both"/>
        <w:rPr>
          <w:rFonts w:ascii="Alef" w:hAnsi="Alef" w:cs="Alef"/>
          <w:sz w:val="24"/>
          <w:szCs w:val="24"/>
          <w:rtl/>
        </w:rPr>
      </w:pPr>
      <w:r w:rsidRPr="00755612">
        <w:rPr>
          <w:rFonts w:ascii="Alef" w:hAnsi="Alef" w:cs="Alef"/>
          <w:sz w:val="24"/>
          <w:szCs w:val="24"/>
          <w:rtl/>
        </w:rPr>
        <w:t>אציין, כי תנאים אלו חלים לעת עתה</w:t>
      </w:r>
      <w:r w:rsidRPr="00755612">
        <w:rPr>
          <w:rFonts w:ascii="Alef" w:eastAsia="Times New Roman" w:hAnsi="Alef" w:cs="Alef"/>
          <w:sz w:val="24"/>
          <w:szCs w:val="24"/>
          <w:rtl/>
        </w:rPr>
        <w:t xml:space="preserve"> על </w:t>
      </w:r>
      <w:r w:rsidRPr="00755612">
        <w:rPr>
          <w:rFonts w:ascii="Alef" w:hAnsi="Alef" w:cs="Alef"/>
          <w:sz w:val="24"/>
          <w:szCs w:val="24"/>
          <w:rtl/>
        </w:rPr>
        <w:t xml:space="preserve">חיבור למתג כרטיסי חיוב ולמערכת איסוף ועיבוד עסקאות של שבא רק ככל שמדובר בעסקאות בכרטיסי חיוב בתקן </w:t>
      </w:r>
      <w:r w:rsidRPr="00755612">
        <w:rPr>
          <w:rFonts w:ascii="Alef" w:hAnsi="Alef" w:cs="Alef"/>
          <w:sz w:val="24"/>
          <w:szCs w:val="24"/>
        </w:rPr>
        <w:t>EMV</w:t>
      </w:r>
      <w:r w:rsidRPr="00755612">
        <w:rPr>
          <w:rFonts w:ascii="Alef" w:hAnsi="Alef" w:cs="Alef"/>
          <w:sz w:val="24"/>
          <w:szCs w:val="24"/>
          <w:rtl/>
        </w:rPr>
        <w:t xml:space="preserve">. זאת, נוכח העובדה כי השימוש בפרוטוקול הישן צפוי להסתיים בתקופה הקרובה, כך שגופים המבקשים להתחבר </w:t>
      </w:r>
      <w:r w:rsidRPr="00755612">
        <w:rPr>
          <w:rFonts w:ascii="Alef" w:hAnsi="Alef" w:cs="Alef"/>
          <w:sz w:val="24"/>
          <w:szCs w:val="24"/>
          <w:rtl/>
        </w:rPr>
        <w:lastRenderedPageBreak/>
        <w:t xml:space="preserve">למערכות שבא צפויים לבקש שהחיבור יהיה למערכות החדשות התומכות בתקן </w:t>
      </w:r>
      <w:r w:rsidRPr="00755612">
        <w:rPr>
          <w:rFonts w:ascii="Alef" w:hAnsi="Alef" w:cs="Alef"/>
          <w:sz w:val="24"/>
          <w:szCs w:val="24"/>
        </w:rPr>
        <w:t>EMV</w:t>
      </w:r>
      <w:r w:rsidRPr="00755612">
        <w:rPr>
          <w:rFonts w:ascii="Alef" w:hAnsi="Alef" w:cs="Alef"/>
          <w:sz w:val="24"/>
          <w:szCs w:val="24"/>
          <w:rtl/>
        </w:rPr>
        <w:t>. בכל מקרה חלות לעניין החיבור למערכות שבא, החדשות והישנות, הוראות חוק התחרות.</w:t>
      </w:r>
    </w:p>
    <w:p w:rsidR="00D24C38" w:rsidRPr="00755612" w:rsidRDefault="00D24C38" w:rsidP="00075465">
      <w:pPr>
        <w:spacing w:after="0" w:line="240" w:lineRule="auto"/>
        <w:jc w:val="both"/>
        <w:rPr>
          <w:rFonts w:ascii="Alef" w:hAnsi="Alef" w:cs="Alef"/>
          <w:sz w:val="24"/>
          <w:szCs w:val="24"/>
          <w:u w:val="single"/>
          <w:rtl/>
        </w:rPr>
      </w:pPr>
      <w:r w:rsidRPr="00755612">
        <w:rPr>
          <w:rFonts w:ascii="Alef" w:hAnsi="Alef" w:cs="Alef"/>
          <w:sz w:val="24"/>
          <w:szCs w:val="24"/>
          <w:u w:val="single"/>
          <w:rtl/>
        </w:rPr>
        <w:t xml:space="preserve">תוכנות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כאמור, שבא עוסקת בפיתוח של תוכנת מסופים הנקראת אשראית </w:t>
      </w:r>
      <w:r w:rsidRPr="00755612">
        <w:rPr>
          <w:rFonts w:ascii="Alef" w:hAnsi="Alef" w:cs="Alef"/>
          <w:sz w:val="24"/>
          <w:szCs w:val="24"/>
        </w:rPr>
        <w:t>PC</w:t>
      </w:r>
      <w:r w:rsidRPr="00755612">
        <w:rPr>
          <w:rFonts w:ascii="Alef" w:hAnsi="Alef" w:cs="Alef"/>
          <w:sz w:val="24"/>
          <w:szCs w:val="24"/>
          <w:rtl/>
        </w:rPr>
        <w:t xml:space="preserve"> וכן תוכנה ל- </w:t>
      </w:r>
      <w:r w:rsidRPr="00755612">
        <w:rPr>
          <w:rFonts w:ascii="Alef" w:hAnsi="Alef" w:cs="Alef"/>
          <w:sz w:val="24"/>
          <w:szCs w:val="24"/>
        </w:rPr>
        <w:t xml:space="preserve">EMV </w:t>
      </w:r>
      <w:r w:rsidRPr="00755612">
        <w:rPr>
          <w:rFonts w:ascii="Alef" w:hAnsi="Alef" w:cs="Alef"/>
          <w:sz w:val="24"/>
          <w:szCs w:val="24"/>
          <w:rtl/>
        </w:rPr>
        <w:t xml:space="preserve"> המשווקות על ידי מפיצים מורשים של שבא לבתי העסק; במקביל, פועלים בשוק יצרני תכנת מסופים נוספים. בדומה למתואר בפרק הקודם, גם בתחום זה עולה חשש מפני דחיקתם של היצרנים, המתחרים בשבא ובמקביל נזקקים לשירותיה. </w:t>
      </w:r>
    </w:p>
    <w:p w:rsidR="00D24C38" w:rsidRPr="00755612" w:rsidRDefault="00D24C38" w:rsidP="00075465">
      <w:pPr>
        <w:spacing w:after="0" w:line="240" w:lineRule="auto"/>
        <w:jc w:val="both"/>
        <w:rPr>
          <w:rFonts w:ascii="Alef" w:hAnsi="Alef" w:cs="Alef"/>
          <w:color w:val="FF0000"/>
          <w:sz w:val="24"/>
          <w:szCs w:val="24"/>
          <w:rtl/>
        </w:rPr>
      </w:pPr>
      <w:r w:rsidRPr="00755612">
        <w:rPr>
          <w:rFonts w:ascii="Alef" w:hAnsi="Alef" w:cs="Alef"/>
          <w:sz w:val="24"/>
          <w:szCs w:val="24"/>
          <w:rtl/>
        </w:rPr>
        <w:t xml:space="preserve">יש בהעברת הפרוטוקול לידי העמותה, כפי שתוארה לעיל, להפחית את החשש בפני דחיקתם של יצרנים, שכן במסגרת העמותה ניתנת לכל יצרני תוכנות המסופים אפשרות לקחת חלק באפיון הפרוטוקול. גם בחינת ההתאמה של תוכנה לפרוטוקול תיעשה בידי העמותה ולא בידי שבא, ושבא מבצעת רק בדיקות המוודאות את החיבור של התוכנות למערכותיה. </w:t>
      </w:r>
    </w:p>
    <w:p w:rsidR="00D24C38" w:rsidRPr="00710E29" w:rsidRDefault="00D24C38" w:rsidP="00710E29">
      <w:pPr>
        <w:spacing w:after="0" w:line="240" w:lineRule="auto"/>
        <w:jc w:val="both"/>
        <w:rPr>
          <w:rFonts w:ascii="Alef" w:hAnsi="Alef" w:cs="Alef"/>
          <w:sz w:val="24"/>
          <w:szCs w:val="24"/>
          <w:rtl/>
        </w:rPr>
      </w:pPr>
      <w:r w:rsidRPr="00755612">
        <w:rPr>
          <w:rFonts w:ascii="Alef" w:hAnsi="Alef" w:cs="Alef"/>
          <w:sz w:val="24"/>
          <w:szCs w:val="24"/>
          <w:rtl/>
        </w:rPr>
        <w:t xml:space="preserve">לצד האמור, רציתי לנכון להטיל תנאים האוסרים על שבא למנוע או לעכב את פעילותו של כל גוף שיאושר לפעול כיצרן על ידי העמותה ועומד בבדיקות החיבור למערכות שבא, מחייבים אותה להעביר מידע העשוי להיות רלוונטי ליצרנים וקובעים כי שינויים במערכותיה יתבצעו באופן המצמצם ככל שניתן את הפגיעה ביצרנים. </w:t>
      </w:r>
    </w:p>
    <w:p w:rsidR="00D24C38" w:rsidRPr="00755612" w:rsidRDefault="00D24C38" w:rsidP="00075465">
      <w:pPr>
        <w:pStyle w:val="ListParagraph"/>
        <w:numPr>
          <w:ilvl w:val="0"/>
          <w:numId w:val="4"/>
        </w:numPr>
        <w:spacing w:after="0" w:line="240" w:lineRule="auto"/>
        <w:rPr>
          <w:rFonts w:ascii="Alef" w:eastAsiaTheme="minorEastAsia" w:hAnsi="Alef" w:cs="Alef"/>
          <w:b/>
          <w:bCs/>
        </w:rPr>
      </w:pPr>
      <w:r w:rsidRPr="00755612">
        <w:rPr>
          <w:rFonts w:ascii="Alef" w:eastAsiaTheme="minorEastAsia" w:hAnsi="Alef" w:cs="Alef"/>
          <w:b/>
          <w:bCs/>
          <w:rtl/>
        </w:rPr>
        <w:t xml:space="preserve">פעילות שבא בתחום ה- </w:t>
      </w:r>
      <w:r w:rsidRPr="00755612">
        <w:rPr>
          <w:rFonts w:ascii="Alef" w:eastAsiaTheme="minorEastAsia" w:hAnsi="Alef" w:cs="Alef"/>
          <w:b/>
          <w:bCs/>
        </w:rPr>
        <w:t>ATM</w:t>
      </w:r>
    </w:p>
    <w:p w:rsidR="00D24C38" w:rsidRPr="00755612" w:rsidRDefault="00D24C38" w:rsidP="00075465">
      <w:pPr>
        <w:pStyle w:val="ListParagraph"/>
        <w:numPr>
          <w:ilvl w:val="1"/>
          <w:numId w:val="4"/>
        </w:numPr>
        <w:spacing w:after="0" w:line="240" w:lineRule="auto"/>
        <w:rPr>
          <w:rFonts w:ascii="Alef" w:eastAsiaTheme="minorEastAsia" w:hAnsi="Alef" w:cs="Alef"/>
          <w:b/>
          <w:bCs/>
        </w:rPr>
      </w:pPr>
      <w:r w:rsidRPr="00755612">
        <w:rPr>
          <w:rFonts w:ascii="Alef" w:hAnsi="Alef" w:cs="Alef"/>
          <w:b/>
          <w:bCs/>
          <w:u w:val="single"/>
          <w:rtl/>
        </w:rPr>
        <w:t>מכשירי בנק אוטומטיים – רקע</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מכשירי בנק אוטומטיים (</w:t>
      </w:r>
      <w:r w:rsidRPr="00755612">
        <w:rPr>
          <w:rFonts w:ascii="Alef" w:hAnsi="Alef" w:cs="Alef"/>
          <w:b/>
          <w:bCs/>
          <w:sz w:val="24"/>
          <w:szCs w:val="24"/>
        </w:rPr>
        <w:t>ATM</w:t>
      </w:r>
      <w:r w:rsidRPr="00755612">
        <w:rPr>
          <w:rFonts w:ascii="Alef" w:hAnsi="Alef" w:cs="Alef"/>
          <w:sz w:val="24"/>
          <w:szCs w:val="24"/>
          <w:rtl/>
        </w:rPr>
        <w:t xml:space="preserve">) הן מכונות המאפשרות משיכת מזומן מחשבון </w:t>
      </w:r>
      <w:proofErr w:type="spellStart"/>
      <w:r w:rsidRPr="00755612">
        <w:rPr>
          <w:rFonts w:ascii="Alef" w:hAnsi="Alef" w:cs="Alef"/>
          <w:sz w:val="24"/>
          <w:szCs w:val="24"/>
          <w:rtl/>
        </w:rPr>
        <w:t>העו"ש</w:t>
      </w:r>
      <w:proofErr w:type="spellEnd"/>
      <w:r w:rsidRPr="00755612">
        <w:rPr>
          <w:rFonts w:ascii="Alef" w:hAnsi="Alef" w:cs="Alef"/>
          <w:sz w:val="24"/>
          <w:szCs w:val="24"/>
          <w:rtl/>
        </w:rPr>
        <w:t xml:space="preserve"> של לקוח הבנק, באמצעות כרטיס המונפק על ידי הבנק שבו מתנהל חשבון הלקוח, אשר בדרך כלל משמש גם לצורך קבלת מידע וביצוע פעולות נוספות בחשבון הבנק של הלקוח. כיום, הנפקת כרטיסים אלו מתבצעת על ידי תאגידים בנקאיים וחברות כרטיסי האשראי, אולם לאור שינויים הצפויים ברגולציה בנוגע לנותני שירותי תשלום ונותני שירותי אשראי, קיימת אפשרות כי יקומו גופים נוספים שינפיקו כרטיסים בעלי פונקציונליות דומה, המקושרים לחשבון לקוח שאינו מנוהל על ידי תאגיד בנקאי.</w:t>
      </w:r>
    </w:p>
    <w:p w:rsidR="00075465" w:rsidRDefault="00D24C38" w:rsidP="00710E29">
      <w:pPr>
        <w:spacing w:after="0" w:line="240" w:lineRule="auto"/>
        <w:jc w:val="both"/>
        <w:rPr>
          <w:rFonts w:ascii="Alef" w:hAnsi="Alef" w:cs="Alef"/>
          <w:sz w:val="24"/>
          <w:szCs w:val="24"/>
          <w:rtl/>
        </w:rPr>
      </w:pPr>
      <w:r w:rsidRPr="00755612">
        <w:rPr>
          <w:rFonts w:ascii="Alef" w:hAnsi="Alef" w:cs="Alef"/>
          <w:sz w:val="24"/>
          <w:szCs w:val="24"/>
          <w:rtl/>
        </w:rPr>
        <w:t>לאור שינויים שונים ברגולציה הנוגעת לתחום מכשירי בנק אוטומטיים, אשר פורטה בהרחבה בהחלטת הפטור האחרון, בהם הסרת הפיקוח על גובה העמלה למשיכת מזומן ב-</w:t>
      </w:r>
      <w:r w:rsidRPr="00755612">
        <w:rPr>
          <w:rFonts w:ascii="Alef" w:hAnsi="Alef" w:cs="Alef"/>
          <w:sz w:val="24"/>
          <w:szCs w:val="24"/>
        </w:rPr>
        <w:t>ATM</w:t>
      </w:r>
      <w:r w:rsidRPr="00755612">
        <w:rPr>
          <w:rStyle w:val="FootnoteReference"/>
          <w:rFonts w:ascii="Alef" w:hAnsi="Alef" w:cs="Alef"/>
          <w:sz w:val="24"/>
          <w:szCs w:val="24"/>
          <w:rtl/>
        </w:rPr>
        <w:footnoteReference w:id="9"/>
      </w:r>
      <w:r w:rsidRPr="00755612">
        <w:rPr>
          <w:rFonts w:ascii="Alef" w:hAnsi="Alef" w:cs="Alef"/>
          <w:sz w:val="24"/>
          <w:szCs w:val="24"/>
          <w:rtl/>
        </w:rPr>
        <w:t xml:space="preserve">  וכן חיוב בנקים להציב מכשיר </w:t>
      </w:r>
      <w:r w:rsidRPr="00755612">
        <w:rPr>
          <w:rFonts w:ascii="Alef" w:hAnsi="Alef" w:cs="Alef"/>
          <w:sz w:val="24"/>
          <w:szCs w:val="24"/>
        </w:rPr>
        <w:t>ATM</w:t>
      </w:r>
      <w:r w:rsidRPr="00755612">
        <w:rPr>
          <w:rFonts w:ascii="Alef" w:hAnsi="Alef" w:cs="Alef"/>
          <w:sz w:val="24"/>
          <w:szCs w:val="24"/>
          <w:rtl/>
        </w:rPr>
        <w:t xml:space="preserve"> בקיר החיצוני של כל אחד מסניפיו,</w:t>
      </w:r>
      <w:r w:rsidRPr="00755612">
        <w:rPr>
          <w:rStyle w:val="FootnoteReference"/>
          <w:rFonts w:ascii="Alef" w:hAnsi="Alef" w:cs="Alef"/>
          <w:sz w:val="24"/>
          <w:szCs w:val="24"/>
          <w:rtl/>
        </w:rPr>
        <w:footnoteReference w:id="10"/>
      </w:r>
      <w:r w:rsidRPr="00755612">
        <w:rPr>
          <w:rFonts w:ascii="Alef" w:hAnsi="Alef" w:cs="Alef"/>
          <w:sz w:val="24"/>
          <w:szCs w:val="24"/>
          <w:rtl/>
        </w:rPr>
        <w:t xml:space="preserve"> חל גידול משמעותי בכמות מכשירי ה-</w:t>
      </w:r>
      <w:r w:rsidRPr="00755612">
        <w:rPr>
          <w:rFonts w:ascii="Alef" w:hAnsi="Alef" w:cs="Alef"/>
          <w:sz w:val="24"/>
          <w:szCs w:val="24"/>
        </w:rPr>
        <w:t>ATM</w:t>
      </w:r>
      <w:r w:rsidRPr="00755612">
        <w:rPr>
          <w:rFonts w:ascii="Alef" w:hAnsi="Alef" w:cs="Alef"/>
          <w:sz w:val="24"/>
          <w:szCs w:val="24"/>
          <w:rtl/>
        </w:rPr>
        <w:t xml:space="preserve"> בישראל, בעיקר בקרב </w:t>
      </w:r>
      <w:proofErr w:type="spellStart"/>
      <w:r w:rsidRPr="00755612">
        <w:rPr>
          <w:rFonts w:ascii="Alef" w:hAnsi="Alef" w:cs="Alef"/>
          <w:sz w:val="24"/>
          <w:szCs w:val="24"/>
          <w:rtl/>
        </w:rPr>
        <w:t>מתפעלי</w:t>
      </w:r>
      <w:proofErr w:type="spellEnd"/>
      <w:r w:rsidRPr="00755612">
        <w:rPr>
          <w:rFonts w:ascii="Alef" w:hAnsi="Alef" w:cs="Alef"/>
          <w:sz w:val="24"/>
          <w:szCs w:val="24"/>
          <w:rtl/>
        </w:rPr>
        <w:t xml:space="preserve"> </w:t>
      </w:r>
      <w:r w:rsidRPr="00755612">
        <w:rPr>
          <w:rFonts w:ascii="Alef" w:hAnsi="Alef" w:cs="Alef"/>
          <w:sz w:val="24"/>
          <w:szCs w:val="24"/>
        </w:rPr>
        <w:t>ATM</w:t>
      </w:r>
      <w:r w:rsidRPr="00755612">
        <w:rPr>
          <w:rFonts w:ascii="Alef" w:hAnsi="Alef" w:cs="Alef"/>
          <w:sz w:val="24"/>
          <w:szCs w:val="24"/>
          <w:rtl/>
        </w:rPr>
        <w:t xml:space="preserve"> שאינם תאגידים בנקאיים.</w:t>
      </w:r>
      <w:r w:rsidRPr="00755612">
        <w:rPr>
          <w:rStyle w:val="FootnoteReference"/>
          <w:rFonts w:ascii="Alef" w:hAnsi="Alef" w:cs="Alef"/>
          <w:sz w:val="24"/>
          <w:szCs w:val="24"/>
          <w:rtl/>
        </w:rPr>
        <w:footnoteReference w:id="11"/>
      </w:r>
    </w:p>
    <w:p w:rsidR="00710E29" w:rsidRDefault="00710E29" w:rsidP="00710E29">
      <w:pPr>
        <w:spacing w:after="0" w:line="240" w:lineRule="auto"/>
        <w:jc w:val="both"/>
        <w:rPr>
          <w:rFonts w:ascii="Alef" w:hAnsi="Alef" w:cs="Alef"/>
          <w:sz w:val="24"/>
          <w:szCs w:val="24"/>
          <w:rtl/>
        </w:rPr>
      </w:pPr>
    </w:p>
    <w:p w:rsidR="00710E29" w:rsidRDefault="00710E29" w:rsidP="00710E29">
      <w:pPr>
        <w:spacing w:after="0" w:line="240" w:lineRule="auto"/>
        <w:jc w:val="both"/>
        <w:rPr>
          <w:rFonts w:ascii="Alef" w:hAnsi="Alef" w:cs="Alef"/>
          <w:sz w:val="24"/>
          <w:szCs w:val="24"/>
          <w:rtl/>
        </w:rPr>
      </w:pPr>
    </w:p>
    <w:p w:rsidR="00710E29" w:rsidRPr="00755612" w:rsidRDefault="00710E29" w:rsidP="00710E29">
      <w:pPr>
        <w:spacing w:after="0" w:line="240" w:lineRule="auto"/>
        <w:jc w:val="both"/>
        <w:rPr>
          <w:rFonts w:ascii="Alef" w:hAnsi="Alef" w:cs="Alef"/>
          <w:sz w:val="24"/>
          <w:szCs w:val="24"/>
          <w:rtl/>
        </w:rPr>
      </w:pPr>
    </w:p>
    <w:p w:rsidR="00D24C38" w:rsidRPr="00755612" w:rsidRDefault="00D24C38" w:rsidP="00075465">
      <w:pPr>
        <w:pStyle w:val="ListParagraph"/>
        <w:numPr>
          <w:ilvl w:val="1"/>
          <w:numId w:val="4"/>
        </w:numPr>
        <w:spacing w:after="0" w:line="240" w:lineRule="auto"/>
        <w:rPr>
          <w:rFonts w:ascii="Alef" w:hAnsi="Alef" w:cs="Alef"/>
          <w:b/>
          <w:bCs/>
          <w:u w:val="single"/>
          <w:rtl/>
        </w:rPr>
      </w:pPr>
      <w:r w:rsidRPr="00755612">
        <w:rPr>
          <w:rFonts w:ascii="Alef" w:hAnsi="Alef" w:cs="Alef"/>
          <w:b/>
          <w:bCs/>
          <w:u w:val="single"/>
          <w:rtl/>
        </w:rPr>
        <w:lastRenderedPageBreak/>
        <w:t>פעילות שבא והסכם ההכרה ההדדית</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כאמור בהחלטת הפטור האחרון, במסגרת החלטה מיום </w:t>
      </w:r>
      <w:r w:rsidRPr="00755612">
        <w:rPr>
          <w:rStyle w:val="FootnoteReference"/>
          <w:rFonts w:ascii="Alef" w:hAnsi="Alef" w:cs="Alef"/>
          <w:sz w:val="24"/>
          <w:szCs w:val="24"/>
          <w:rtl/>
        </w:rPr>
        <w:footnoteReference w:id="12"/>
      </w:r>
      <w:r w:rsidRPr="00755612">
        <w:rPr>
          <w:rFonts w:ascii="Alef" w:hAnsi="Alef" w:cs="Alef"/>
          <w:sz w:val="24"/>
          <w:szCs w:val="24"/>
          <w:rtl/>
        </w:rPr>
        <w:t xml:space="preserve">20.9.2012 הורה הממונה </w:t>
      </w:r>
      <w:proofErr w:type="spellStart"/>
      <w:r w:rsidRPr="00755612">
        <w:rPr>
          <w:rFonts w:ascii="Alef" w:hAnsi="Alef" w:cs="Alef"/>
          <w:sz w:val="24"/>
          <w:szCs w:val="24"/>
          <w:rtl/>
        </w:rPr>
        <w:t>לשבא</w:t>
      </w:r>
      <w:proofErr w:type="spellEnd"/>
      <w:r w:rsidRPr="00755612">
        <w:rPr>
          <w:rFonts w:ascii="Alef" w:hAnsi="Alef" w:cs="Alef"/>
          <w:sz w:val="24"/>
          <w:szCs w:val="24"/>
          <w:rtl/>
        </w:rPr>
        <w:t xml:space="preserve"> למכור את כל מכשירי ה- </w:t>
      </w:r>
      <w:r w:rsidRPr="00755612">
        <w:rPr>
          <w:rFonts w:ascii="Alef" w:hAnsi="Alef" w:cs="Alef"/>
          <w:sz w:val="24"/>
          <w:szCs w:val="24"/>
        </w:rPr>
        <w:t>ATM</w:t>
      </w:r>
      <w:r w:rsidRPr="00755612">
        <w:rPr>
          <w:rFonts w:ascii="Alef" w:hAnsi="Alef" w:cs="Alef"/>
          <w:sz w:val="24"/>
          <w:szCs w:val="24"/>
          <w:rtl/>
        </w:rPr>
        <w:t>, כך שכיום שבא אינה מפעילה כספומטים בעצמה ופעילותה בתחום מתמקדת בהפעלת מערכות המאפשרות קישוריות בין הצדדים להסכם ההכרה ההדדית, כפי שיוסבר להלן.</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הסכם ההכרה ההדדית הוא הסכם בו קשורים בנקים בינם לבין עצמם, ומאפשר שימוש צולב ללקוחות הבנקים במכשירי ה-</w:t>
      </w:r>
      <w:r w:rsidRPr="00755612">
        <w:rPr>
          <w:rFonts w:ascii="Alef" w:hAnsi="Alef" w:cs="Alef"/>
          <w:sz w:val="24"/>
          <w:szCs w:val="24"/>
        </w:rPr>
        <w:t>ATM</w:t>
      </w:r>
      <w:r w:rsidRPr="00755612">
        <w:rPr>
          <w:rFonts w:ascii="Alef" w:hAnsi="Alef" w:cs="Alef"/>
          <w:sz w:val="24"/>
          <w:szCs w:val="24"/>
          <w:rtl/>
        </w:rPr>
        <w:t xml:space="preserve"> של הצדדים להסכם, בכפוף לתשלום עמלת משיכת מזומן בגובה 20 סנט, אותה משלם בנק שלקוחו ביצע משיכה לבנק המחזיק במכשיר ממנו בוצעה המשיכה.</w:t>
      </w:r>
      <w:r w:rsidRPr="00755612" w:rsidDel="0020399B">
        <w:rPr>
          <w:rFonts w:ascii="Alef" w:hAnsi="Alef" w:cs="Alef"/>
          <w:sz w:val="24"/>
          <w:szCs w:val="24"/>
          <w:rtl/>
        </w:rPr>
        <w:t xml:space="preserve"> </w:t>
      </w:r>
      <w:r w:rsidRPr="00755612">
        <w:rPr>
          <w:rFonts w:ascii="Alef" w:hAnsi="Alef" w:cs="Alef"/>
          <w:sz w:val="24"/>
          <w:szCs w:val="24"/>
          <w:rtl/>
        </w:rPr>
        <w:t xml:space="preserve">על מנת ליישם את הוראות הסכם ההכרה ההדדית, נדרשת קישוריות בין כלל הצדדים, בשני היבטים – הראשון, לצורך קבלת אישור בזמן ביצוע פעולת משיכת מזומן מהבנק בו מתנהל החשבון למתפעל ה- </w:t>
      </w:r>
      <w:r w:rsidRPr="00755612">
        <w:rPr>
          <w:rFonts w:ascii="Alef" w:hAnsi="Alef" w:cs="Alef"/>
          <w:sz w:val="24"/>
          <w:szCs w:val="24"/>
        </w:rPr>
        <w:t xml:space="preserve"> ATM</w:t>
      </w:r>
      <w:r w:rsidRPr="00755612">
        <w:rPr>
          <w:rFonts w:ascii="Alef" w:hAnsi="Alef" w:cs="Alef"/>
          <w:sz w:val="24"/>
          <w:szCs w:val="24"/>
          <w:rtl/>
        </w:rPr>
        <w:t>(להלן: "</w:t>
      </w:r>
      <w:r w:rsidRPr="00755612">
        <w:rPr>
          <w:rFonts w:ascii="Alef" w:hAnsi="Alef" w:cs="Alef"/>
          <w:b/>
          <w:bCs/>
          <w:sz w:val="24"/>
          <w:szCs w:val="24"/>
          <w:rtl/>
        </w:rPr>
        <w:t xml:space="preserve">מיתוג </w:t>
      </w:r>
      <w:r w:rsidRPr="00755612">
        <w:rPr>
          <w:rFonts w:ascii="Alef" w:hAnsi="Alef" w:cs="Alef"/>
          <w:b/>
          <w:bCs/>
          <w:sz w:val="24"/>
          <w:szCs w:val="24"/>
        </w:rPr>
        <w:t>ATM</w:t>
      </w:r>
      <w:r w:rsidRPr="00755612">
        <w:rPr>
          <w:rFonts w:ascii="Alef" w:hAnsi="Alef" w:cs="Alef"/>
          <w:sz w:val="24"/>
          <w:szCs w:val="24"/>
          <w:rtl/>
        </w:rPr>
        <w:t>"), פעילות המתבצעת כיום באמצעות מתג ה-</w:t>
      </w:r>
      <w:r w:rsidRPr="00755612">
        <w:rPr>
          <w:rFonts w:ascii="Alef" w:hAnsi="Alef" w:cs="Alef"/>
          <w:sz w:val="24"/>
          <w:szCs w:val="24"/>
        </w:rPr>
        <w:t>ATM</w:t>
      </w:r>
      <w:r w:rsidRPr="00755612">
        <w:rPr>
          <w:rFonts w:ascii="Alef" w:hAnsi="Alef" w:cs="Alef"/>
          <w:sz w:val="24"/>
          <w:szCs w:val="24"/>
          <w:rtl/>
        </w:rPr>
        <w:t xml:space="preserve"> שהוקם ומתופעל על ידי שבא; השני, לצורך העברת המידע והכספים בין הצדדים (להלן: "</w:t>
      </w:r>
      <w:r w:rsidRPr="00755612">
        <w:rPr>
          <w:rFonts w:ascii="Alef" w:hAnsi="Alef" w:cs="Alef"/>
          <w:b/>
          <w:bCs/>
          <w:sz w:val="24"/>
          <w:szCs w:val="24"/>
          <w:rtl/>
        </w:rPr>
        <w:t xml:space="preserve">סליקת </w:t>
      </w:r>
      <w:r w:rsidRPr="00755612">
        <w:rPr>
          <w:rFonts w:ascii="Alef" w:hAnsi="Alef" w:cs="Alef"/>
          <w:b/>
          <w:bCs/>
          <w:sz w:val="24"/>
          <w:szCs w:val="24"/>
        </w:rPr>
        <w:t>ATM</w:t>
      </w:r>
      <w:r w:rsidRPr="00755612">
        <w:rPr>
          <w:rFonts w:ascii="Alef" w:hAnsi="Alef" w:cs="Alef"/>
          <w:sz w:val="24"/>
          <w:szCs w:val="24"/>
          <w:rtl/>
        </w:rPr>
        <w:t xml:space="preserve">"), פעילות המתבצעת כיום, בהתאם להוראות הסכם ההכרה ההדדית, בחיבור בילטראלי בין כל שני בנקים.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למתג ה-</w:t>
      </w:r>
      <w:r w:rsidRPr="00755612">
        <w:rPr>
          <w:rFonts w:ascii="Alef" w:hAnsi="Alef" w:cs="Alef"/>
          <w:sz w:val="24"/>
          <w:szCs w:val="24"/>
        </w:rPr>
        <w:t xml:space="preserve">ATM </w:t>
      </w:r>
      <w:r w:rsidRPr="00755612">
        <w:rPr>
          <w:rFonts w:ascii="Alef" w:hAnsi="Alef" w:cs="Alef"/>
          <w:sz w:val="24"/>
          <w:szCs w:val="24"/>
          <w:rtl/>
        </w:rPr>
        <w:t xml:space="preserve"> מחוברים כיום הבנקים המחזיקים בשבא, בנק מזרחי, בנק יהב, בנק ירושלים ו-וואן זירו הבנק הדיגיטלי בע"מ; בנוסף, מחוברים למתג ה-</w:t>
      </w:r>
      <w:r w:rsidRPr="00755612">
        <w:rPr>
          <w:rFonts w:ascii="Alef" w:hAnsi="Alef" w:cs="Alef"/>
          <w:sz w:val="24"/>
          <w:szCs w:val="24"/>
        </w:rPr>
        <w:t>ATM</w:t>
      </w:r>
      <w:r w:rsidRPr="00755612">
        <w:rPr>
          <w:rFonts w:ascii="Alef" w:hAnsi="Alef" w:cs="Alef"/>
          <w:sz w:val="24"/>
          <w:szCs w:val="24"/>
          <w:rtl/>
        </w:rPr>
        <w:t xml:space="preserve"> גם כספומטים של מתפעלים חיצוניים כאמור, חלקם באופן ישיר וחלקם באופן עקיף.</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שבא אינה מבצעת כיום פעילות סליקת </w:t>
      </w:r>
      <w:r w:rsidRPr="00755612">
        <w:rPr>
          <w:rFonts w:ascii="Alef" w:hAnsi="Alef" w:cs="Alef"/>
          <w:sz w:val="24"/>
          <w:szCs w:val="24"/>
        </w:rPr>
        <w:t>ATM</w:t>
      </w:r>
      <w:r w:rsidRPr="00755612">
        <w:rPr>
          <w:rFonts w:ascii="Alef" w:hAnsi="Alef" w:cs="Alef"/>
          <w:sz w:val="24"/>
          <w:szCs w:val="24"/>
          <w:rtl/>
        </w:rPr>
        <w:t>, אך מבדיקת הרשות עלה כי שבא מתעתדת לפתח בעתיד מערכת מרכזית שתשמש לפעילות זו.</w:t>
      </w:r>
    </w:p>
    <w:p w:rsidR="00D24C38" w:rsidRPr="00755612" w:rsidRDefault="00D24C38" w:rsidP="00075465">
      <w:pPr>
        <w:pStyle w:val="ListParagraph"/>
        <w:numPr>
          <w:ilvl w:val="1"/>
          <w:numId w:val="4"/>
        </w:numPr>
        <w:spacing w:after="0" w:line="240" w:lineRule="auto"/>
        <w:rPr>
          <w:rFonts w:ascii="Alef" w:eastAsiaTheme="minorEastAsia" w:hAnsi="Alef" w:cs="Alef"/>
          <w:b/>
          <w:bCs/>
          <w:u w:val="single"/>
        </w:rPr>
      </w:pPr>
      <w:r w:rsidRPr="00755612">
        <w:rPr>
          <w:rFonts w:ascii="Alef" w:eastAsiaTheme="minorEastAsia" w:hAnsi="Alef" w:cs="Alef"/>
          <w:b/>
          <w:bCs/>
          <w:u w:val="single"/>
          <w:rtl/>
        </w:rPr>
        <w:t>השפעה על התחרות</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לפעילות שבא בתחום מיתוג ה-</w:t>
      </w:r>
      <w:r w:rsidRPr="00755612">
        <w:rPr>
          <w:rFonts w:ascii="Alef" w:hAnsi="Alef" w:cs="Alef"/>
          <w:sz w:val="24"/>
          <w:szCs w:val="24"/>
        </w:rPr>
        <w:t>ATM</w:t>
      </w:r>
      <w:r w:rsidRPr="00755612">
        <w:rPr>
          <w:rFonts w:ascii="Alef" w:hAnsi="Alef" w:cs="Alef"/>
          <w:sz w:val="24"/>
          <w:szCs w:val="24"/>
          <w:rtl/>
        </w:rPr>
        <w:t xml:space="preserve"> תועלת לצרכנים והשפעה חיובית על התחרות, שכן ההכרה ההדדית והקישוריות בין הבנקים מספקת לצרכנים מערכת </w:t>
      </w:r>
      <w:r w:rsidRPr="00755612">
        <w:rPr>
          <w:rFonts w:ascii="Alef" w:hAnsi="Alef" w:cs="Alef"/>
          <w:sz w:val="24"/>
          <w:szCs w:val="24"/>
        </w:rPr>
        <w:t>ATM</w:t>
      </w:r>
      <w:r w:rsidRPr="00755612">
        <w:rPr>
          <w:rFonts w:ascii="Alef" w:hAnsi="Alef" w:cs="Alef"/>
          <w:sz w:val="24"/>
          <w:szCs w:val="24"/>
          <w:rtl/>
        </w:rPr>
        <w:t xml:space="preserve"> רחבת היקף ובכך מיטיבה עם לקוחות כל הבנקים ועם לקוחות כלל המתפעלים של מכשירי בנק אוטומטיים. בפרט, מערכת זו מיטיבה עם לקוחות הבנקים הקטנים, אשר מתפעלים מספר נמוך יחסית של מכשירי בנק אוטומטיים בפרישה מוגבלת. בהיעדרה, תיפגע יכולת התחרות של הבנקים הללו בתחום הבנקאות הקמעונאית, שכן הם לא יהיו מסוגלים להעניק ללקוחותיהם שירות דומה לזה הניתן ללקוחות הבנקים הגדולים. באופן דומה, גם מתפעלים של מכשירי בנק אוטומטיים, וביתר שאת הקטנים </w:t>
      </w:r>
      <w:proofErr w:type="spellStart"/>
      <w:r w:rsidRPr="00755612">
        <w:rPr>
          <w:rFonts w:ascii="Alef" w:hAnsi="Alef" w:cs="Alef"/>
          <w:sz w:val="24"/>
          <w:szCs w:val="24"/>
          <w:rtl/>
        </w:rPr>
        <w:t>מביניהם</w:t>
      </w:r>
      <w:proofErr w:type="spellEnd"/>
      <w:r w:rsidRPr="00755612">
        <w:rPr>
          <w:rFonts w:ascii="Alef" w:hAnsi="Alef" w:cs="Alef"/>
          <w:sz w:val="24"/>
          <w:szCs w:val="24"/>
          <w:rtl/>
        </w:rPr>
        <w:t>, זקוקים לקישוריות עם מנפיקים, על מנת לספק ללקוחות בעלי חשבונות בבנקים שונים שירותי משיכת מזומן ממכשירי הבנק האוטומטיים שהם מתפעלים.</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אולם, נוכח פעילות בעלי מניותיה הנוכחיים של שבא כמנפיקים וכמתפעלים של מכשירי בנק אוטומטיים, פעילות שבא בתחום מעלה גם חשש מפני מניעת גישה של </w:t>
      </w:r>
      <w:proofErr w:type="spellStart"/>
      <w:r w:rsidRPr="00755612">
        <w:rPr>
          <w:rFonts w:ascii="Alef" w:hAnsi="Alef" w:cs="Alef"/>
          <w:sz w:val="24"/>
          <w:szCs w:val="24"/>
          <w:rtl/>
        </w:rPr>
        <w:t>מתפעלי</w:t>
      </w:r>
      <w:proofErr w:type="spellEnd"/>
      <w:r w:rsidRPr="00755612">
        <w:rPr>
          <w:rFonts w:ascii="Alef" w:hAnsi="Alef" w:cs="Alef"/>
          <w:sz w:val="24"/>
          <w:szCs w:val="24"/>
          <w:rtl/>
        </w:rPr>
        <w:t xml:space="preserve"> מכשירי בנק אוטומטיים, מן הצד האחד, ושל מנפיקים, מן הצד השני, למתג ה-</w:t>
      </w:r>
      <w:r w:rsidRPr="00755612">
        <w:rPr>
          <w:rFonts w:ascii="Alef" w:hAnsi="Alef" w:cs="Alef"/>
          <w:sz w:val="24"/>
          <w:szCs w:val="24"/>
        </w:rPr>
        <w:t>ATM</w:t>
      </w:r>
      <w:r w:rsidRPr="00755612">
        <w:rPr>
          <w:rFonts w:ascii="Alef" w:hAnsi="Alef" w:cs="Alef"/>
          <w:sz w:val="24"/>
          <w:szCs w:val="24"/>
          <w:rtl/>
        </w:rPr>
        <w:t>, באופן שיגרום לפגיעה ביכולתם להתחרות כל אחד בתחומו. בנוסף, מניעת גישה מתאגידים בנקאיים למתג ה-</w:t>
      </w:r>
      <w:r w:rsidRPr="00755612">
        <w:rPr>
          <w:rFonts w:ascii="Alef" w:hAnsi="Alef" w:cs="Alef"/>
          <w:sz w:val="24"/>
          <w:szCs w:val="24"/>
        </w:rPr>
        <w:t>ATM</w:t>
      </w:r>
      <w:r w:rsidRPr="00755612">
        <w:rPr>
          <w:rFonts w:ascii="Alef" w:hAnsi="Alef" w:cs="Alef"/>
          <w:sz w:val="24"/>
          <w:szCs w:val="24"/>
          <w:rtl/>
        </w:rPr>
        <w:t xml:space="preserve"> עשויה לפגוע לא רק ביכולתם להתחרות בתחום מכשירי הבנק האוטומטיים אלא גם ביכולתם </w:t>
      </w:r>
      <w:r w:rsidRPr="00755612">
        <w:rPr>
          <w:rFonts w:ascii="Alef" w:hAnsi="Alef" w:cs="Alef"/>
          <w:sz w:val="24"/>
          <w:szCs w:val="24"/>
          <w:rtl/>
        </w:rPr>
        <w:lastRenderedPageBreak/>
        <w:t>להתחרות בתחום הבנקאות הקמעונאית, שכן סל השירותים שיוכלו לספק ללקוחותיהם יהיה נחות.</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באופן דומה לדברים שצוינו לעניין פעילות שבא בתחום כרטיסי החיוב, הפחתת האחזקה של הבנקים בשבא הפחיתה את עוצמתו של חשש זה. יחד עם זאת, מאחר שמתעורר עדיין, גם ביחס למערכת זו, חשש מפני דחיקה, מצאתי לנכון להחיל גם עליה את התנאים שפורטו בפרק הקודם לעניין חיבור גופים למערכות שבא בתחום כרטיסי החיוב (מתג כרטיסי חיוב ומערכת איסוף ועיבוד עסקאות), בשינויים קלים</w:t>
      </w:r>
      <w:r w:rsidRPr="00755612">
        <w:rPr>
          <w:rFonts w:ascii="Alef" w:hAnsi="Alef" w:cs="Alef"/>
          <w:sz w:val="24"/>
          <w:szCs w:val="24"/>
        </w:rPr>
        <w:t>.</w:t>
      </w:r>
    </w:p>
    <w:p w:rsidR="00D24C38" w:rsidRPr="00755612" w:rsidRDefault="00D24C38" w:rsidP="00710E29">
      <w:pPr>
        <w:spacing w:after="0" w:line="240" w:lineRule="auto"/>
        <w:jc w:val="both"/>
        <w:rPr>
          <w:rFonts w:ascii="Alef" w:hAnsi="Alef" w:cs="Alef"/>
          <w:sz w:val="24"/>
          <w:szCs w:val="24"/>
          <w:rtl/>
        </w:rPr>
      </w:pPr>
      <w:r w:rsidRPr="00755612">
        <w:rPr>
          <w:rFonts w:ascii="Alef" w:hAnsi="Alef" w:cs="Alef"/>
          <w:sz w:val="24"/>
          <w:szCs w:val="24"/>
          <w:rtl/>
        </w:rPr>
        <w:t xml:space="preserve">לבסוף, אציין כי היעדרה של מערכת מרכזית לביצוע סליקת </w:t>
      </w:r>
      <w:r w:rsidRPr="00755612">
        <w:rPr>
          <w:rFonts w:ascii="Alef" w:hAnsi="Alef" w:cs="Alef"/>
          <w:sz w:val="24"/>
          <w:szCs w:val="24"/>
        </w:rPr>
        <w:t>ATM</w:t>
      </w:r>
      <w:r w:rsidRPr="00755612">
        <w:rPr>
          <w:rFonts w:ascii="Alef" w:hAnsi="Alef" w:cs="Alef"/>
          <w:sz w:val="24"/>
          <w:szCs w:val="24"/>
          <w:rtl/>
        </w:rPr>
        <w:t xml:space="preserve"> מקשה כיום על כניסה של </w:t>
      </w:r>
      <w:proofErr w:type="spellStart"/>
      <w:r w:rsidRPr="00755612">
        <w:rPr>
          <w:rFonts w:ascii="Alef" w:hAnsi="Alef" w:cs="Alef"/>
          <w:sz w:val="24"/>
          <w:szCs w:val="24"/>
          <w:rtl/>
        </w:rPr>
        <w:t>מתפעלי</w:t>
      </w:r>
      <w:proofErr w:type="spellEnd"/>
      <w:r w:rsidRPr="00755612">
        <w:rPr>
          <w:rFonts w:ascii="Alef" w:hAnsi="Alef" w:cs="Alef"/>
          <w:sz w:val="24"/>
          <w:szCs w:val="24"/>
          <w:rtl/>
        </w:rPr>
        <w:t xml:space="preserve"> מכשירי בנק אוטומטיים ומנפיקים, שכן היא מחייבת אותם לבצע חיבור לכל אחד מהבנקים, שעלותו גבוהה ואף צפויה לגדול ככל שייכנסו שחקנים נוספים לתחום, או להתחבר באמצעות בנק מארח, דבר היוצר תלות של מבקש החיבור במתחרה שלו. לעומת זאת, מערכת סליקה מרכזית מאפשרת חיבור לנקודה אחת, ובכך מקטינה את עלות הכניסה של שחקנים חדשים. עמדה זו הוצגה גם על ידי אגף מערכות תשלומים בבנק ישראל שתומך בהקמה של מערכת סליקה מרכזית,</w:t>
      </w:r>
      <w:r w:rsidRPr="00755612">
        <w:rPr>
          <w:rStyle w:val="FootnoteReference"/>
          <w:rFonts w:ascii="Alef" w:hAnsi="Alef" w:cs="Alef"/>
          <w:sz w:val="24"/>
          <w:szCs w:val="24"/>
          <w:rtl/>
        </w:rPr>
        <w:footnoteReference w:id="13"/>
      </w:r>
      <w:r w:rsidRPr="00755612">
        <w:rPr>
          <w:rFonts w:ascii="Alef" w:hAnsi="Alef" w:cs="Alef"/>
          <w:sz w:val="24"/>
          <w:szCs w:val="24"/>
          <w:rtl/>
        </w:rPr>
        <w:t xml:space="preserve"> ובדיקת הרשות העלתה כי ייתכן ושבא תקים מערכת סליקה מעין זו לעסקאות </w:t>
      </w:r>
      <w:r w:rsidRPr="00755612">
        <w:rPr>
          <w:rFonts w:ascii="Alef" w:hAnsi="Alef" w:cs="Alef"/>
          <w:sz w:val="24"/>
          <w:szCs w:val="24"/>
        </w:rPr>
        <w:t>ATM</w:t>
      </w:r>
      <w:r w:rsidRPr="00755612">
        <w:rPr>
          <w:rFonts w:ascii="Alef" w:hAnsi="Alef" w:cs="Alef"/>
          <w:sz w:val="24"/>
          <w:szCs w:val="24"/>
          <w:rtl/>
        </w:rPr>
        <w:t xml:space="preserve">. לאור האמור, החלטתי לקבוע בתנאים להחלטתי זו, כי שבא רשאית לעסוק גם בפעילות סליקת </w:t>
      </w:r>
      <w:r w:rsidRPr="00755612">
        <w:rPr>
          <w:rFonts w:ascii="Alef" w:hAnsi="Alef" w:cs="Alef"/>
          <w:sz w:val="24"/>
          <w:szCs w:val="24"/>
        </w:rPr>
        <w:t>ATM</w:t>
      </w:r>
      <w:r w:rsidRPr="00755612">
        <w:rPr>
          <w:rFonts w:ascii="Alef" w:hAnsi="Alef" w:cs="Alef"/>
          <w:sz w:val="24"/>
          <w:szCs w:val="24"/>
          <w:rtl/>
        </w:rPr>
        <w:t xml:space="preserve"> וכי לכשתוקם מערכת סליקת</w:t>
      </w:r>
      <w:r w:rsidRPr="00755612">
        <w:rPr>
          <w:rFonts w:ascii="Alef" w:hAnsi="Alef" w:cs="Alef"/>
          <w:sz w:val="24"/>
          <w:szCs w:val="24"/>
        </w:rPr>
        <w:t xml:space="preserve">ATM </w:t>
      </w:r>
      <w:r w:rsidRPr="00755612">
        <w:rPr>
          <w:rFonts w:ascii="Alef" w:hAnsi="Alef" w:cs="Alef"/>
          <w:sz w:val="24"/>
          <w:szCs w:val="24"/>
          <w:rtl/>
        </w:rPr>
        <w:t xml:space="preserve"> מרכזית, יחולו לגביה אותן הוראות המאפשרות לגופים להתחבר למערכת באופן שוויוני ובעלות ובזמן סבירים.</w:t>
      </w:r>
    </w:p>
    <w:p w:rsidR="00D24C38" w:rsidRPr="00755612" w:rsidRDefault="00D24C38" w:rsidP="00075465">
      <w:pPr>
        <w:pStyle w:val="ListParagraph"/>
        <w:numPr>
          <w:ilvl w:val="0"/>
          <w:numId w:val="4"/>
        </w:numPr>
        <w:spacing w:after="0" w:line="240" w:lineRule="auto"/>
        <w:rPr>
          <w:rFonts w:ascii="Alef" w:eastAsiaTheme="minorEastAsia" w:hAnsi="Alef" w:cs="Alef"/>
          <w:b/>
          <w:bCs/>
        </w:rPr>
      </w:pPr>
      <w:r w:rsidRPr="00755612">
        <w:rPr>
          <w:rFonts w:ascii="Alef" w:eastAsiaTheme="minorEastAsia" w:hAnsi="Alef" w:cs="Alef"/>
          <w:b/>
          <w:bCs/>
          <w:rtl/>
        </w:rPr>
        <w:t xml:space="preserve">הסמכות קצה לקצה לתקן </w:t>
      </w:r>
      <w:r w:rsidRPr="00755612">
        <w:rPr>
          <w:rFonts w:ascii="Alef" w:eastAsiaTheme="minorEastAsia" w:hAnsi="Alef" w:cs="Alef"/>
          <w:b/>
          <w:bCs/>
        </w:rPr>
        <w:t>EMV</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התנאים הקבועים בסיפא להחלטתי זו מאפשרים </w:t>
      </w:r>
      <w:proofErr w:type="spellStart"/>
      <w:r w:rsidRPr="00755612">
        <w:rPr>
          <w:rFonts w:ascii="Alef" w:hAnsi="Alef" w:cs="Alef"/>
          <w:sz w:val="24"/>
          <w:szCs w:val="24"/>
          <w:rtl/>
        </w:rPr>
        <w:t>לשבא</w:t>
      </w:r>
      <w:proofErr w:type="spellEnd"/>
      <w:r w:rsidRPr="00755612">
        <w:rPr>
          <w:rFonts w:ascii="Alef" w:hAnsi="Alef" w:cs="Alef"/>
          <w:sz w:val="24"/>
          <w:szCs w:val="24"/>
          <w:rtl/>
        </w:rPr>
        <w:t xml:space="preserve"> לבצע גם הסמכות קצה לקצה לסולקים ומסופים לצורך עמידה בתקן </w:t>
      </w:r>
      <w:r w:rsidRPr="00755612">
        <w:rPr>
          <w:rFonts w:ascii="Alef" w:hAnsi="Alef" w:cs="Alef"/>
          <w:sz w:val="24"/>
          <w:szCs w:val="24"/>
        </w:rPr>
        <w:t>EMV</w:t>
      </w:r>
      <w:r w:rsidRPr="00755612">
        <w:rPr>
          <w:rFonts w:ascii="Alef" w:hAnsi="Alef" w:cs="Alef"/>
          <w:sz w:val="24"/>
          <w:szCs w:val="24"/>
          <w:rtl/>
        </w:rPr>
        <w:t xml:space="preserve"> שנקבע על ידי הסכמות הבינלאומיות, וזאת לאחר שפעילות זו אושרה </w:t>
      </w:r>
      <w:proofErr w:type="spellStart"/>
      <w:r w:rsidRPr="00755612">
        <w:rPr>
          <w:rFonts w:ascii="Alef" w:hAnsi="Alef" w:cs="Alef"/>
          <w:sz w:val="24"/>
          <w:szCs w:val="24"/>
          <w:rtl/>
        </w:rPr>
        <w:t>לשבא</w:t>
      </w:r>
      <w:proofErr w:type="spellEnd"/>
      <w:r w:rsidRPr="00755612">
        <w:rPr>
          <w:rFonts w:ascii="Alef" w:hAnsi="Alef" w:cs="Alef"/>
          <w:sz w:val="24"/>
          <w:szCs w:val="24"/>
          <w:rtl/>
        </w:rPr>
        <w:t xml:space="preserve"> בהחלטת פטור מיום 21 אפריל 2016.</w:t>
      </w:r>
      <w:r w:rsidRPr="00755612">
        <w:rPr>
          <w:rStyle w:val="FootnoteReference"/>
          <w:rFonts w:ascii="Alef" w:hAnsi="Alef" w:cs="Alef"/>
          <w:sz w:val="24"/>
          <w:szCs w:val="24"/>
          <w:rtl/>
        </w:rPr>
        <w:footnoteReference w:id="14"/>
      </w:r>
      <w:r w:rsidRPr="00755612">
        <w:rPr>
          <w:rFonts w:ascii="Alef" w:hAnsi="Alef" w:cs="Alef"/>
          <w:sz w:val="24"/>
          <w:szCs w:val="24"/>
          <w:rtl/>
        </w:rPr>
        <w:t xml:space="preserve"> לצד היתרונות בביצוע הסמכות קצה לקצה לתקן</w:t>
      </w:r>
      <w:r w:rsidRPr="00755612">
        <w:rPr>
          <w:rFonts w:ascii="Alef" w:hAnsi="Alef" w:cs="Alef"/>
          <w:sz w:val="24"/>
          <w:szCs w:val="24"/>
        </w:rPr>
        <w:t xml:space="preserve">EMV </w:t>
      </w:r>
      <w:r w:rsidRPr="00755612">
        <w:rPr>
          <w:rFonts w:ascii="Alef" w:hAnsi="Alef" w:cs="Alef"/>
          <w:sz w:val="24"/>
          <w:szCs w:val="24"/>
          <w:rtl/>
        </w:rPr>
        <w:t xml:space="preserve"> על ידי שבא עלו חששות מפעילות זו, שפורטו בהחלטה האמורה, ובעיקר חשש מפני </w:t>
      </w:r>
      <w:proofErr w:type="spellStart"/>
      <w:r w:rsidRPr="00755612">
        <w:rPr>
          <w:rFonts w:ascii="Alef" w:hAnsi="Alef" w:cs="Alef"/>
          <w:sz w:val="24"/>
          <w:szCs w:val="24"/>
          <w:rtl/>
        </w:rPr>
        <w:t>תעדוף</w:t>
      </w:r>
      <w:proofErr w:type="spellEnd"/>
      <w:r w:rsidRPr="00755612">
        <w:rPr>
          <w:rFonts w:ascii="Alef" w:hAnsi="Alef" w:cs="Alef"/>
          <w:sz w:val="24"/>
          <w:szCs w:val="24"/>
          <w:rtl/>
        </w:rPr>
        <w:t xml:space="preserve"> של חלק </w:t>
      </w:r>
      <w:proofErr w:type="spellStart"/>
      <w:r w:rsidRPr="00755612">
        <w:rPr>
          <w:rFonts w:ascii="Alef" w:hAnsi="Alef" w:cs="Alef"/>
          <w:sz w:val="24"/>
          <w:szCs w:val="24"/>
          <w:rtl/>
        </w:rPr>
        <w:t>מהסולקים</w:t>
      </w:r>
      <w:proofErr w:type="spellEnd"/>
      <w:r w:rsidRPr="00755612">
        <w:rPr>
          <w:rFonts w:ascii="Alef" w:hAnsi="Alef" w:cs="Alef"/>
          <w:sz w:val="24"/>
          <w:szCs w:val="24"/>
          <w:rtl/>
        </w:rPr>
        <w:t xml:space="preserve"> בתהליך ההסמכה, וחשש מכך </w:t>
      </w:r>
      <w:proofErr w:type="spellStart"/>
      <w:r w:rsidRPr="00755612">
        <w:rPr>
          <w:rFonts w:ascii="Alef" w:hAnsi="Alef" w:cs="Alef"/>
          <w:sz w:val="24"/>
          <w:szCs w:val="24"/>
          <w:rtl/>
        </w:rPr>
        <w:t>ששבא</w:t>
      </w:r>
      <w:proofErr w:type="spellEnd"/>
      <w:r w:rsidRPr="00755612">
        <w:rPr>
          <w:rFonts w:ascii="Alef" w:hAnsi="Alef" w:cs="Alef"/>
          <w:sz w:val="24"/>
          <w:szCs w:val="24"/>
          <w:rtl/>
        </w:rPr>
        <w:t xml:space="preserve"> תקשה על הסמכה של מסופים של יצרנים המתחרים בשבא. לאור האמור, נקבעו תנאים שנועדו להתמודד עם החששות האמורים, אשר מחייבים את שבא להתנהל בשקיפות בתהליך ההסמכה ואוסרים עליה למנוע ביצוע תהליך הסמכה על ידי גופים אחרים.</w:t>
      </w:r>
    </w:p>
    <w:p w:rsidR="00075465" w:rsidRDefault="00D24C38" w:rsidP="00075465">
      <w:pPr>
        <w:spacing w:after="0" w:line="240" w:lineRule="auto"/>
        <w:jc w:val="both"/>
        <w:rPr>
          <w:rFonts w:ascii="Alef" w:hAnsi="Alef" w:cs="Alef"/>
          <w:b/>
          <w:bCs/>
          <w:sz w:val="24"/>
          <w:szCs w:val="24"/>
          <w:rtl/>
        </w:rPr>
      </w:pPr>
      <w:r w:rsidRPr="00755612">
        <w:rPr>
          <w:rFonts w:ascii="Alef" w:hAnsi="Alef" w:cs="Alef"/>
          <w:sz w:val="24"/>
          <w:szCs w:val="24"/>
          <w:rtl/>
        </w:rPr>
        <w:t xml:space="preserve">לעניין זה, שבא תפעל בהתאם למתואר באתר שלה, כפי שמתעדכן מעת לעת. מיותר לציין כי על שינוי או עדכון מהותי  בתהליך ההסמכה המתואר יחולו הוראות סעיף 16 לחוק. </w:t>
      </w:r>
    </w:p>
    <w:p w:rsidR="00710E29" w:rsidRDefault="00710E29" w:rsidP="00075465">
      <w:pPr>
        <w:spacing w:after="0" w:line="240" w:lineRule="auto"/>
        <w:jc w:val="both"/>
        <w:rPr>
          <w:rFonts w:ascii="Alef" w:hAnsi="Alef" w:cs="Alef"/>
          <w:b/>
          <w:bCs/>
          <w:sz w:val="24"/>
          <w:szCs w:val="24"/>
          <w:rtl/>
        </w:rPr>
      </w:pPr>
    </w:p>
    <w:p w:rsidR="00710E29" w:rsidRDefault="00710E29" w:rsidP="00075465">
      <w:pPr>
        <w:spacing w:after="0" w:line="240" w:lineRule="auto"/>
        <w:jc w:val="both"/>
        <w:rPr>
          <w:rFonts w:ascii="Alef" w:hAnsi="Alef" w:cs="Alef"/>
          <w:b/>
          <w:bCs/>
          <w:sz w:val="24"/>
          <w:szCs w:val="24"/>
          <w:rtl/>
        </w:rPr>
      </w:pPr>
    </w:p>
    <w:p w:rsidR="00710E29" w:rsidRPr="00755612" w:rsidRDefault="00710E29" w:rsidP="00075465">
      <w:pPr>
        <w:spacing w:after="0" w:line="240" w:lineRule="auto"/>
        <w:jc w:val="both"/>
        <w:rPr>
          <w:rFonts w:ascii="Alef" w:hAnsi="Alef" w:cs="Alef"/>
          <w:b/>
          <w:bCs/>
          <w:sz w:val="24"/>
          <w:szCs w:val="24"/>
          <w:rtl/>
        </w:rPr>
      </w:pPr>
    </w:p>
    <w:p w:rsidR="00D24C38" w:rsidRPr="00755612" w:rsidRDefault="00D24C38" w:rsidP="00075465">
      <w:pPr>
        <w:pStyle w:val="ListParagraph"/>
        <w:numPr>
          <w:ilvl w:val="0"/>
          <w:numId w:val="4"/>
        </w:numPr>
        <w:spacing w:after="0" w:line="240" w:lineRule="auto"/>
        <w:ind w:left="0"/>
        <w:rPr>
          <w:rFonts w:ascii="Alef" w:eastAsiaTheme="minorEastAsia" w:hAnsi="Alef" w:cs="Alef"/>
          <w:b/>
          <w:bCs/>
        </w:rPr>
      </w:pPr>
      <w:r w:rsidRPr="00755612">
        <w:rPr>
          <w:rFonts w:ascii="Alef" w:eastAsiaTheme="minorEastAsia" w:hAnsi="Alef" w:cs="Alef"/>
          <w:b/>
          <w:bCs/>
          <w:rtl/>
        </w:rPr>
        <w:lastRenderedPageBreak/>
        <w:t>בקשת שבא לתיקון התנאים</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במסגרת בקשת הפטור הנוכחית, על רקע השינויים שחלו בשוק ובפרט בשים לב לירידת אחזקות הבנקים בה, שבא ביקשה כי אבטל את התנאי אשר מגביל את תחומי הפעילות המותרים לה </w:t>
      </w:r>
      <w:proofErr w:type="spellStart"/>
      <w:r w:rsidRPr="00755612">
        <w:rPr>
          <w:rFonts w:ascii="Alef" w:hAnsi="Alef" w:cs="Alef"/>
          <w:sz w:val="24"/>
          <w:szCs w:val="24"/>
          <w:rtl/>
        </w:rPr>
        <w:t>ודמחייב</w:t>
      </w:r>
      <w:proofErr w:type="spellEnd"/>
      <w:r w:rsidRPr="00755612">
        <w:rPr>
          <w:rFonts w:ascii="Alef" w:hAnsi="Alef" w:cs="Alef"/>
          <w:sz w:val="24"/>
          <w:szCs w:val="24"/>
          <w:rtl/>
        </w:rPr>
        <w:t xml:space="preserve"> כי כניסתה לכל תחום פעילות נוסף תהיה כפופה לאישורי. </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לא מצאתי לנכון להיעתר לבקשה זאת. אמנם כאמור יש בשינוי במבנה האחזקות של שבא כדי להחליש חלק מהחששות שעולים מפעילותה. אולם, שבא נותרת מיזם משותף בין מתחרים בתחום המשיק באופן ישיר לתחומי הפעילות שבהם הם מתחרים. למעשה, כניסתה לכל תחום פעילות חדש דומה, מבחינת ההשפעה התחרותית, למיזם משותף חדש נוסף של הבנקים ומצריכה בחינה תחרותית.</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 xml:space="preserve">לסיום הניתוח אציין כי יש תנאים שנכללו בפטורים קודמים, כגון המגבלות על חלוקת דיבידנד בידי שבא, שהתייתרו נוכח השינויים שחלו בשוק. כמו כן ובדומה לפטור האחרון, לא כללתי תנאים המתייחסים לקשר בין בעלי המניות בשבא. ברי כי אין בהחלטה זו כדי לאשר חריגה ממה שאושר בה במפורש, ובכלל זה אין בה כדי לאשר העברת מידע בין הבנקים או מגעים ביניהם, אשר אינם הכרחיים לצורך פעילות שבא, ועשויים, </w:t>
      </w:r>
      <w:proofErr w:type="spellStart"/>
      <w:r w:rsidRPr="00755612">
        <w:rPr>
          <w:rFonts w:ascii="Alef" w:hAnsi="Alef" w:cs="Alef"/>
          <w:sz w:val="24"/>
          <w:szCs w:val="24"/>
          <w:rtl/>
        </w:rPr>
        <w:t>כלשעצמם</w:t>
      </w:r>
      <w:proofErr w:type="spellEnd"/>
      <w:r w:rsidRPr="00755612">
        <w:rPr>
          <w:rFonts w:ascii="Alef" w:hAnsi="Alef" w:cs="Alef"/>
          <w:sz w:val="24"/>
          <w:szCs w:val="24"/>
          <w:rtl/>
        </w:rPr>
        <w:t>, לעלות כדי הסדר כובל.</w:t>
      </w:r>
    </w:p>
    <w:p w:rsidR="00D24C38" w:rsidRPr="00755612" w:rsidRDefault="00D24C38" w:rsidP="00075465">
      <w:pPr>
        <w:pStyle w:val="ListParagraph"/>
        <w:numPr>
          <w:ilvl w:val="0"/>
          <w:numId w:val="4"/>
        </w:numPr>
        <w:spacing w:after="0" w:line="240" w:lineRule="auto"/>
        <w:rPr>
          <w:rFonts w:ascii="Alef" w:eastAsiaTheme="minorEastAsia" w:hAnsi="Alef" w:cs="Alef"/>
          <w:b/>
          <w:bCs/>
        </w:rPr>
      </w:pPr>
      <w:r w:rsidRPr="00755612">
        <w:rPr>
          <w:rFonts w:ascii="Alef" w:eastAsiaTheme="minorEastAsia" w:hAnsi="Alef" w:cs="Alef"/>
          <w:b/>
          <w:bCs/>
          <w:rtl/>
        </w:rPr>
        <w:t>סוף דבר</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sz w:val="24"/>
          <w:szCs w:val="24"/>
          <w:rtl/>
        </w:rPr>
        <w:t>מכל האמור לעיל, ולאחר שנועצתי בוועדה לפטורים ומיזוגים, ראיתי לנכון להשתמש בסמכות הנתונה לי בסעיף 14 ולהעניק את הפטור המבוקש עד ליום 31.12.2028, בכפוף לתנאים שיפורטו להלן.</w:t>
      </w:r>
    </w:p>
    <w:p w:rsidR="00D24C38" w:rsidRPr="00755612" w:rsidRDefault="00D24C38" w:rsidP="00075465">
      <w:pPr>
        <w:spacing w:after="0" w:line="240" w:lineRule="auto"/>
        <w:jc w:val="both"/>
        <w:rPr>
          <w:rFonts w:ascii="Alef" w:eastAsia="Times New Roman" w:hAnsi="Alef" w:cs="Alef"/>
          <w:sz w:val="24"/>
          <w:szCs w:val="24"/>
          <w:rtl/>
        </w:rPr>
      </w:pPr>
      <w:r w:rsidRPr="00755612">
        <w:rPr>
          <w:rFonts w:ascii="Alef" w:hAnsi="Alef" w:cs="Alef"/>
          <w:sz w:val="24"/>
          <w:szCs w:val="24"/>
          <w:rtl/>
        </w:rPr>
        <w:t>בהתאם לסעיף 15(א) לחוק ההגבלים העסקיים נתונה החלטתי זו לערר בתוך 45 יום בפני אב בית הדין להגבלים עסקיים על ידי איגוד עסקי, ארגון צרכנים או כל אדם העלול להיפגע מההסדר הכובל עליו ניתן הפטור.</w:t>
      </w:r>
      <w:r w:rsidRPr="00755612">
        <w:rPr>
          <w:rFonts w:ascii="Alef" w:eastAsia="Times New Roman" w:hAnsi="Alef" w:cs="Alef"/>
          <w:sz w:val="24"/>
          <w:szCs w:val="24"/>
          <w:rtl/>
        </w:rPr>
        <w:t xml:space="preserve"> </w:t>
      </w:r>
    </w:p>
    <w:p w:rsidR="00D24C38" w:rsidRPr="00755612" w:rsidRDefault="00D24C38" w:rsidP="00075465">
      <w:pPr>
        <w:spacing w:after="0" w:line="240" w:lineRule="auto"/>
        <w:jc w:val="both"/>
        <w:rPr>
          <w:rFonts w:ascii="Alef" w:hAnsi="Alef" w:cs="Alef"/>
          <w:b/>
          <w:bCs/>
          <w:sz w:val="24"/>
          <w:szCs w:val="24"/>
          <w:u w:val="single"/>
          <w:rtl/>
        </w:rPr>
      </w:pPr>
      <w:r w:rsidRPr="00755612">
        <w:rPr>
          <w:rFonts w:ascii="Alef" w:hAnsi="Alef" w:cs="Alef"/>
          <w:b/>
          <w:bCs/>
          <w:sz w:val="24"/>
          <w:szCs w:val="24"/>
          <w:u w:val="single"/>
          <w:rtl/>
        </w:rPr>
        <w:t>ואלו הם התנאים למתן הפטור:</w:t>
      </w:r>
    </w:p>
    <w:p w:rsidR="00D24C38" w:rsidRPr="00755612" w:rsidRDefault="00D24C38" w:rsidP="00075465">
      <w:pPr>
        <w:spacing w:after="0" w:line="240" w:lineRule="auto"/>
        <w:jc w:val="both"/>
        <w:rPr>
          <w:rFonts w:ascii="Alef" w:hAnsi="Alef" w:cs="Alef"/>
          <w:sz w:val="24"/>
          <w:szCs w:val="24"/>
          <w:rtl/>
        </w:rPr>
      </w:pPr>
      <w:r w:rsidRPr="00755612">
        <w:rPr>
          <w:rFonts w:ascii="Alef" w:hAnsi="Alef" w:cs="Alef"/>
          <w:b/>
          <w:bCs/>
          <w:sz w:val="24"/>
          <w:szCs w:val="24"/>
          <w:rtl/>
        </w:rPr>
        <w:t>הגדרות</w:t>
      </w:r>
      <w:r w:rsidRPr="00755612">
        <w:rPr>
          <w:rFonts w:ascii="Alef" w:hAnsi="Alef" w:cs="Alef"/>
          <w:sz w:val="24"/>
          <w:szCs w:val="24"/>
          <w:rtl/>
        </w:rPr>
        <w:t>:</w:t>
      </w:r>
    </w:p>
    <w:p w:rsidR="00D24C38" w:rsidRPr="00755612" w:rsidRDefault="00D24C38" w:rsidP="00075465">
      <w:pPr>
        <w:tabs>
          <w:tab w:val="left" w:pos="2373"/>
        </w:tabs>
        <w:spacing w:after="0" w:line="240" w:lineRule="auto"/>
        <w:jc w:val="both"/>
        <w:rPr>
          <w:rFonts w:ascii="Alef" w:hAnsi="Alef" w:cs="Alef"/>
          <w:sz w:val="24"/>
          <w:szCs w:val="24"/>
          <w:rtl/>
        </w:rPr>
      </w:pPr>
      <w:r w:rsidRPr="00755612">
        <w:rPr>
          <w:rFonts w:ascii="Alef" w:hAnsi="Alef" w:cs="Alef"/>
          <w:b/>
          <w:bCs/>
          <w:sz w:val="24"/>
          <w:szCs w:val="24"/>
          <w:rtl/>
        </w:rPr>
        <w:t>"חוק הבנקאות (רישוי)</w:t>
      </w:r>
      <w:r w:rsidRPr="00755612">
        <w:rPr>
          <w:rFonts w:ascii="Alef" w:hAnsi="Alef" w:cs="Alef"/>
          <w:sz w:val="24"/>
          <w:szCs w:val="24"/>
          <w:rtl/>
        </w:rPr>
        <w:t>" –</w:t>
      </w:r>
      <w:r w:rsidRPr="00755612">
        <w:rPr>
          <w:rFonts w:ascii="Alef" w:hAnsi="Alef" w:cs="Alef"/>
          <w:sz w:val="24"/>
          <w:szCs w:val="24"/>
          <w:rtl/>
        </w:rPr>
        <w:tab/>
        <w:t>חוק הבנקאות (רישוי), תשמ"א-1981;</w:t>
      </w:r>
    </w:p>
    <w:p w:rsidR="00D24C38" w:rsidRPr="00755612" w:rsidRDefault="00D24C38" w:rsidP="00075465">
      <w:pPr>
        <w:spacing w:after="0" w:line="240" w:lineRule="auto"/>
        <w:ind w:left="2268" w:hanging="2268"/>
        <w:jc w:val="both"/>
        <w:rPr>
          <w:rFonts w:ascii="Alef" w:hAnsi="Alef" w:cs="Alef"/>
          <w:b/>
          <w:bCs/>
          <w:sz w:val="24"/>
          <w:szCs w:val="24"/>
          <w:rtl/>
        </w:rPr>
      </w:pPr>
      <w:r w:rsidRPr="00755612">
        <w:rPr>
          <w:rFonts w:ascii="Alef" w:hAnsi="Alef" w:cs="Alef"/>
          <w:b/>
          <w:bCs/>
          <w:sz w:val="24"/>
          <w:szCs w:val="24"/>
          <w:rtl/>
        </w:rPr>
        <w:t xml:space="preserve">"חיבור" </w:t>
      </w:r>
      <w:r w:rsidRPr="00755612">
        <w:rPr>
          <w:rFonts w:ascii="Alef" w:hAnsi="Alef" w:cs="Alef"/>
          <w:sz w:val="24"/>
          <w:szCs w:val="24"/>
          <w:rtl/>
        </w:rPr>
        <w:t>–</w:t>
      </w:r>
      <w:r w:rsidRPr="00755612">
        <w:rPr>
          <w:rFonts w:ascii="Alef" w:hAnsi="Alef" w:cs="Alef"/>
          <w:b/>
          <w:bCs/>
          <w:sz w:val="24"/>
          <w:szCs w:val="24"/>
          <w:rtl/>
        </w:rPr>
        <w:t xml:space="preserve"> </w:t>
      </w:r>
      <w:r w:rsidRPr="00755612">
        <w:rPr>
          <w:rFonts w:ascii="Alef" w:hAnsi="Alef" w:cs="Alef"/>
          <w:b/>
          <w:bCs/>
          <w:sz w:val="24"/>
          <w:szCs w:val="24"/>
          <w:rtl/>
        </w:rPr>
        <w:tab/>
      </w:r>
      <w:r w:rsidRPr="00755612">
        <w:rPr>
          <w:rFonts w:ascii="Alef" w:hAnsi="Alef" w:cs="Alef"/>
          <w:sz w:val="24"/>
          <w:szCs w:val="24"/>
          <w:rtl/>
        </w:rPr>
        <w:t>לרבות חיבור עקיף;</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חיבור עקיף</w:t>
      </w:r>
      <w:r w:rsidRPr="00755612">
        <w:rPr>
          <w:rFonts w:ascii="Alef" w:hAnsi="Alef" w:cs="Alef"/>
          <w:sz w:val="24"/>
          <w:szCs w:val="24"/>
          <w:rtl/>
        </w:rPr>
        <w:t xml:space="preserve">" – </w:t>
      </w:r>
      <w:r w:rsidRPr="00755612">
        <w:rPr>
          <w:rFonts w:ascii="Alef" w:hAnsi="Alef" w:cs="Alef"/>
          <w:sz w:val="24"/>
          <w:szCs w:val="24"/>
          <w:rtl/>
        </w:rPr>
        <w:tab/>
        <w:t>חיבור לאחת או יותר ממערכות שבא באמצעות גוף המחובר למערכות אלה ישירות;</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יצרן</w:t>
      </w:r>
      <w:r w:rsidRPr="00755612">
        <w:rPr>
          <w:rFonts w:ascii="Alef" w:hAnsi="Alef" w:cs="Alef"/>
          <w:sz w:val="24"/>
          <w:szCs w:val="24"/>
          <w:rtl/>
        </w:rPr>
        <w:t xml:space="preserve">" – </w:t>
      </w:r>
      <w:r w:rsidRPr="00755612">
        <w:rPr>
          <w:rFonts w:ascii="Alef" w:hAnsi="Alef" w:cs="Alef"/>
          <w:sz w:val="24"/>
          <w:szCs w:val="24"/>
          <w:rtl/>
        </w:rPr>
        <w:tab/>
        <w:t>חברה המספקת תוכנה לסליקת עסקאות בכרטיסי חיוב המותקנת בבית עסק או פועלת בשירות בית עסק.</w:t>
      </w:r>
    </w:p>
    <w:p w:rsidR="00D24C38" w:rsidRPr="00755612" w:rsidRDefault="00D24C38" w:rsidP="00075465">
      <w:pPr>
        <w:tabs>
          <w:tab w:val="left" w:pos="2741"/>
        </w:tabs>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כרטיס אשראי</w:t>
      </w:r>
      <w:r w:rsidRPr="00755612">
        <w:rPr>
          <w:rFonts w:ascii="Alef" w:hAnsi="Alef" w:cs="Alef"/>
          <w:sz w:val="24"/>
          <w:szCs w:val="24"/>
          <w:rtl/>
        </w:rPr>
        <w:t xml:space="preserve">" – </w:t>
      </w:r>
      <w:r w:rsidRPr="00755612">
        <w:rPr>
          <w:rFonts w:ascii="Alef" w:hAnsi="Alef" w:cs="Alef"/>
          <w:sz w:val="24"/>
          <w:szCs w:val="24"/>
          <w:rtl/>
        </w:rPr>
        <w:tab/>
        <w:t xml:space="preserve">אמצעי תשלום שהוא לוחית או חפץ אחר לשימוש חוזר המיועדים לרכישת נכסים מאת ספק בלא תשלום </w:t>
      </w:r>
      <w:proofErr w:type="spellStart"/>
      <w:r w:rsidRPr="00755612">
        <w:rPr>
          <w:rFonts w:ascii="Alef" w:hAnsi="Alef" w:cs="Alef"/>
          <w:sz w:val="24"/>
          <w:szCs w:val="24"/>
          <w:rtl/>
        </w:rPr>
        <w:t>מיידי</w:t>
      </w:r>
      <w:proofErr w:type="spellEnd"/>
      <w:r w:rsidRPr="00755612">
        <w:rPr>
          <w:rFonts w:ascii="Alef" w:hAnsi="Alef" w:cs="Alef"/>
          <w:sz w:val="24"/>
          <w:szCs w:val="24"/>
          <w:rtl/>
        </w:rPr>
        <w:t xml:space="preserve"> של התמורה;</w:t>
      </w:r>
    </w:p>
    <w:p w:rsidR="00D24C38" w:rsidRPr="00755612" w:rsidRDefault="00D24C38" w:rsidP="00075465">
      <w:pPr>
        <w:tabs>
          <w:tab w:val="left" w:pos="2741"/>
        </w:tabs>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כרטיס בנק</w:t>
      </w:r>
      <w:r w:rsidRPr="00755612">
        <w:rPr>
          <w:rFonts w:ascii="Alef" w:hAnsi="Alef" w:cs="Alef"/>
          <w:sz w:val="24"/>
          <w:szCs w:val="24"/>
          <w:rtl/>
        </w:rPr>
        <w:t xml:space="preserve">" – </w:t>
      </w:r>
      <w:r w:rsidRPr="00755612">
        <w:rPr>
          <w:rFonts w:ascii="Alef" w:hAnsi="Alef" w:cs="Alef"/>
          <w:sz w:val="24"/>
          <w:szCs w:val="24"/>
          <w:rtl/>
        </w:rPr>
        <w:tab/>
        <w:t>אמצעי תשלום שהוא לוחית או חפץ אחר לשימוש חוזר, המיועדים למשיכת כסף באמצעות מכשירי בנק ממוכנים או לרכישת נכסים בדרך של חיוב חשבונו של לקוח בתאגיד בנקאי וזיכוי אדם אחר על ידי שימוש בכרטיס במכשיר המיועד לכך במקום עסקו של הספק;</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Cs/>
          <w:sz w:val="24"/>
          <w:szCs w:val="24"/>
          <w:rtl/>
        </w:rPr>
        <w:t>כרטיס חיוב</w:t>
      </w:r>
      <w:r w:rsidRPr="00755612">
        <w:rPr>
          <w:rFonts w:ascii="Alef" w:hAnsi="Alef" w:cs="Alef"/>
          <w:sz w:val="24"/>
          <w:szCs w:val="24"/>
          <w:rtl/>
        </w:rPr>
        <w:t>" –</w:t>
      </w:r>
      <w:r w:rsidRPr="00755612">
        <w:rPr>
          <w:rFonts w:ascii="Alef" w:hAnsi="Alef" w:cs="Alef"/>
          <w:sz w:val="24"/>
          <w:szCs w:val="24"/>
          <w:rtl/>
        </w:rPr>
        <w:tab/>
        <w:t xml:space="preserve">כרטיס אשראי, כרטיס בנק, כרטיס תשלום או </w:t>
      </w:r>
      <w:r w:rsidRPr="00755612">
        <w:rPr>
          <w:rFonts w:ascii="Alef" w:hAnsi="Alef" w:cs="Alef"/>
          <w:color w:val="000000"/>
          <w:sz w:val="24"/>
          <w:szCs w:val="24"/>
          <w:rtl/>
        </w:rPr>
        <w:t>לוחית או חפץ המיועד לרכישת נכסים</w:t>
      </w:r>
      <w:r w:rsidRPr="00755612">
        <w:rPr>
          <w:rFonts w:ascii="Alef" w:hAnsi="Alef" w:cs="Alef"/>
          <w:sz w:val="24"/>
          <w:szCs w:val="24"/>
          <w:rtl/>
        </w:rPr>
        <w:t>;</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lastRenderedPageBreak/>
        <w:t>"</w:t>
      </w:r>
      <w:r w:rsidRPr="00755612">
        <w:rPr>
          <w:rFonts w:ascii="Alef" w:hAnsi="Alef" w:cs="Alef"/>
          <w:b/>
          <w:bCs/>
          <w:sz w:val="24"/>
          <w:szCs w:val="24"/>
          <w:rtl/>
        </w:rPr>
        <w:t xml:space="preserve">כרטיס חיוב </w:t>
      </w:r>
      <w:proofErr w:type="spellStart"/>
      <w:r w:rsidRPr="00755612">
        <w:rPr>
          <w:rFonts w:ascii="Alef" w:hAnsi="Alef" w:cs="Alef"/>
          <w:b/>
          <w:bCs/>
          <w:sz w:val="24"/>
          <w:szCs w:val="24"/>
          <w:rtl/>
        </w:rPr>
        <w:t>מיידי</w:t>
      </w:r>
      <w:proofErr w:type="spellEnd"/>
      <w:r w:rsidRPr="00755612">
        <w:rPr>
          <w:rFonts w:ascii="Alef" w:hAnsi="Alef" w:cs="Alef"/>
          <w:sz w:val="24"/>
          <w:szCs w:val="24"/>
          <w:rtl/>
        </w:rPr>
        <w:t xml:space="preserve">" – </w:t>
      </w:r>
      <w:r w:rsidRPr="00755612">
        <w:rPr>
          <w:rFonts w:ascii="Alef" w:hAnsi="Alef" w:cs="Alef"/>
          <w:sz w:val="24"/>
          <w:szCs w:val="24"/>
          <w:rtl/>
        </w:rPr>
        <w:tab/>
        <w:t xml:space="preserve">כרטיס חיוב המיועד לרכישת נכסים מאת ספק, בתשלום </w:t>
      </w:r>
      <w:proofErr w:type="spellStart"/>
      <w:r w:rsidRPr="00755612">
        <w:rPr>
          <w:rFonts w:ascii="Alef" w:hAnsi="Alef" w:cs="Alef"/>
          <w:sz w:val="24"/>
          <w:szCs w:val="24"/>
          <w:rtl/>
        </w:rPr>
        <w:t>מיידי</w:t>
      </w:r>
      <w:proofErr w:type="spellEnd"/>
      <w:r w:rsidRPr="00755612">
        <w:rPr>
          <w:rFonts w:ascii="Alef" w:hAnsi="Alef" w:cs="Alef"/>
          <w:sz w:val="24"/>
          <w:szCs w:val="24"/>
          <w:rtl/>
        </w:rPr>
        <w:t xml:space="preserve"> של התמורה בידי הלקוח והעברתה באופן </w:t>
      </w:r>
      <w:proofErr w:type="spellStart"/>
      <w:r w:rsidRPr="00755612">
        <w:rPr>
          <w:rFonts w:ascii="Alef" w:hAnsi="Alef" w:cs="Alef"/>
          <w:sz w:val="24"/>
          <w:szCs w:val="24"/>
          <w:rtl/>
        </w:rPr>
        <w:t>מיידי</w:t>
      </w:r>
      <w:proofErr w:type="spellEnd"/>
      <w:r w:rsidRPr="00755612">
        <w:rPr>
          <w:rFonts w:ascii="Alef" w:hAnsi="Alef" w:cs="Alef"/>
          <w:sz w:val="24"/>
          <w:szCs w:val="24"/>
          <w:rtl/>
        </w:rPr>
        <w:t xml:space="preserve"> לספק;</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כרטיס תשלום</w:t>
      </w:r>
      <w:r w:rsidRPr="00755612">
        <w:rPr>
          <w:rFonts w:ascii="Alef" w:hAnsi="Alef" w:cs="Alef"/>
          <w:sz w:val="24"/>
          <w:szCs w:val="24"/>
          <w:rtl/>
        </w:rPr>
        <w:t xml:space="preserve">" – </w:t>
      </w:r>
      <w:r w:rsidRPr="00755612">
        <w:rPr>
          <w:rFonts w:ascii="Alef" w:hAnsi="Alef" w:cs="Alef"/>
          <w:sz w:val="24"/>
          <w:szCs w:val="24"/>
          <w:rtl/>
        </w:rPr>
        <w:tab/>
        <w:t>אמצעי תשלום שהוא לוחית או חפץ אחר לשימוש חוזר, המיועדים לרכישת נכסים מאת הספק, שניתן לצבור בהם ערך כספי בדרך של טעינה חוזרת, למעט לוחית או חפץ כאמור הניתנים לטעינה בכסף מזומן בלבד כאשר לא ניתן באמצעותם לחייב את חשבון הלקוח;</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הממונה</w:t>
      </w:r>
      <w:r w:rsidRPr="00755612">
        <w:rPr>
          <w:rFonts w:ascii="Alef" w:hAnsi="Alef" w:cs="Alef"/>
          <w:sz w:val="24"/>
          <w:szCs w:val="24"/>
          <w:rtl/>
        </w:rPr>
        <w:t xml:space="preserve">" – </w:t>
      </w:r>
      <w:r w:rsidRPr="00755612">
        <w:rPr>
          <w:rFonts w:ascii="Alef" w:hAnsi="Alef" w:cs="Alef"/>
          <w:sz w:val="24"/>
          <w:szCs w:val="24"/>
          <w:rtl/>
        </w:rPr>
        <w:tab/>
        <w:t>הממונה על התחרות;</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ממשק מועדונים</w:t>
      </w:r>
      <w:r w:rsidRPr="00755612">
        <w:rPr>
          <w:rFonts w:ascii="Alef" w:hAnsi="Alef" w:cs="Alef"/>
          <w:sz w:val="24"/>
          <w:szCs w:val="24"/>
          <w:rtl/>
        </w:rPr>
        <w:t xml:space="preserve">" – </w:t>
      </w:r>
      <w:r w:rsidRPr="00755612">
        <w:rPr>
          <w:rFonts w:ascii="Alef" w:hAnsi="Alef" w:cs="Alef"/>
          <w:sz w:val="24"/>
          <w:szCs w:val="24"/>
          <w:rtl/>
        </w:rPr>
        <w:tab/>
        <w:t>מערכת המאפשרת העברת מידע בין סולקים ומנפיקים בנוגע להטבות לחברי מועדונים של המנפיק ובתי העסק, בעת ביצוע עסקאות בכרטיסי חיוב;</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ממשק סליקה</w:t>
      </w:r>
      <w:r w:rsidRPr="00755612">
        <w:rPr>
          <w:rFonts w:ascii="Alef" w:hAnsi="Alef" w:cs="Alef"/>
          <w:sz w:val="24"/>
          <w:szCs w:val="24"/>
          <w:rtl/>
        </w:rPr>
        <w:t xml:space="preserve">" – </w:t>
      </w:r>
      <w:r w:rsidRPr="00755612">
        <w:rPr>
          <w:rFonts w:ascii="Alef" w:hAnsi="Alef" w:cs="Alef"/>
          <w:sz w:val="24"/>
          <w:szCs w:val="24"/>
          <w:rtl/>
        </w:rPr>
        <w:tab/>
        <w:t>מערכת המאפשרת העברת מידע בין גופים לצורך העברת כספים ביניהם;</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מנפיק</w:t>
      </w:r>
      <w:r w:rsidRPr="00755612">
        <w:rPr>
          <w:rFonts w:ascii="Alef" w:hAnsi="Alef" w:cs="Alef"/>
          <w:sz w:val="24"/>
          <w:szCs w:val="24"/>
          <w:rtl/>
        </w:rPr>
        <w:t>" –</w:t>
      </w:r>
      <w:r w:rsidRPr="00755612">
        <w:rPr>
          <w:rFonts w:ascii="Alef" w:hAnsi="Alef" w:cs="Alef"/>
          <w:sz w:val="24"/>
          <w:szCs w:val="24"/>
          <w:rtl/>
        </w:rPr>
        <w:tab/>
        <w:t>אדם שמתקשר בחוזה לשימוש בכרטיס חיוב עם לקוחות שהוא הנפיק להם כרטיס חיוב לשימושם;</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מערכות שבא</w:t>
      </w:r>
      <w:r w:rsidRPr="00755612">
        <w:rPr>
          <w:rFonts w:ascii="Alef" w:hAnsi="Alef" w:cs="Alef"/>
          <w:sz w:val="24"/>
          <w:szCs w:val="24"/>
          <w:rtl/>
        </w:rPr>
        <w:t xml:space="preserve">" – </w:t>
      </w:r>
      <w:r w:rsidRPr="00755612">
        <w:rPr>
          <w:rFonts w:ascii="Alef" w:hAnsi="Alef" w:cs="Alef"/>
          <w:sz w:val="24"/>
          <w:szCs w:val="24"/>
          <w:rtl/>
        </w:rPr>
        <w:tab/>
        <w:t xml:space="preserve">אחד או יותר מאלה: מתג </w:t>
      </w:r>
      <w:r w:rsidRPr="00755612">
        <w:rPr>
          <w:rFonts w:ascii="Alef" w:hAnsi="Alef" w:cs="Alef"/>
          <w:sz w:val="24"/>
          <w:szCs w:val="24"/>
        </w:rPr>
        <w:t>ATM</w:t>
      </w:r>
      <w:r w:rsidRPr="00755612">
        <w:rPr>
          <w:rFonts w:ascii="Alef" w:hAnsi="Alef" w:cs="Alef"/>
          <w:sz w:val="24"/>
          <w:szCs w:val="24"/>
          <w:rtl/>
        </w:rPr>
        <w:t xml:space="preserve">, מתג כרטיסי חיוב ומערכת איסוף ועיבוד עסקאות; </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מערכת איסוף ועיבוד עסקאות</w:t>
      </w:r>
      <w:r w:rsidRPr="00755612">
        <w:rPr>
          <w:rFonts w:ascii="Alef" w:hAnsi="Alef" w:cs="Alef"/>
          <w:sz w:val="24"/>
          <w:szCs w:val="24"/>
          <w:rtl/>
        </w:rPr>
        <w:t>" – איסוף עסקאות בכרטיסי חיוב ממסופים בבתי עסק לצורך סליקתן, ניהול המסופים בבתי עסק, וכן ביצוע פעולות טכניות הנדרשות לטיפול בעסקה בכרטיס חיוב;</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b/>
          <w:bCs/>
          <w:sz w:val="24"/>
          <w:szCs w:val="24"/>
          <w:rtl/>
        </w:rPr>
        <w:t>משתמש</w:t>
      </w:r>
      <w:r w:rsidRPr="00755612">
        <w:rPr>
          <w:rFonts w:ascii="Alef" w:hAnsi="Alef" w:cs="Alef"/>
          <w:sz w:val="24"/>
          <w:szCs w:val="24"/>
          <w:rtl/>
        </w:rPr>
        <w:t>" –</w:t>
      </w:r>
      <w:r w:rsidRPr="00755612">
        <w:rPr>
          <w:rFonts w:ascii="Alef" w:hAnsi="Alef" w:cs="Alef"/>
          <w:sz w:val="24"/>
          <w:szCs w:val="24"/>
          <w:rtl/>
        </w:rPr>
        <w:tab/>
        <w:t>גוף הפועל לאורך שרשרת ביצוע העסקה בכרטיסי חיוב;</w:t>
      </w:r>
      <w:r w:rsidRPr="00755612">
        <w:rPr>
          <w:rFonts w:ascii="Alef" w:hAnsi="Alef" w:cs="Alef"/>
          <w:sz w:val="24"/>
          <w:szCs w:val="24"/>
          <w:rtl/>
        </w:rPr>
        <w:tab/>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מתג כרטיסי חיוב</w:t>
      </w:r>
      <w:r w:rsidRPr="00755612">
        <w:rPr>
          <w:rFonts w:ascii="Alef" w:hAnsi="Alef" w:cs="Alef"/>
          <w:sz w:val="24"/>
          <w:szCs w:val="24"/>
          <w:rtl/>
        </w:rPr>
        <w:t>" –</w:t>
      </w:r>
      <w:r w:rsidRPr="00755612">
        <w:rPr>
          <w:rFonts w:ascii="Alef" w:hAnsi="Alef" w:cs="Alef"/>
          <w:sz w:val="24"/>
          <w:szCs w:val="24"/>
          <w:rtl/>
        </w:rPr>
        <w:tab/>
        <w:t>מערכת המאפשרת העברת אישורים לעסקאות בכרטיסי חיוב, הפעלת ממשק סליקה בין סולקים ומנפיקים, לצורך ביצוע סליקה צולבת בעסקאות בכרטיסי חיוב, לרבות הפעלת ממשק מועדונים;</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Cs/>
          <w:sz w:val="24"/>
          <w:szCs w:val="24"/>
          <w:rtl/>
        </w:rPr>
        <w:t>מתג</w:t>
      </w:r>
      <w:r w:rsidRPr="00755612">
        <w:rPr>
          <w:rFonts w:ascii="Alef" w:hAnsi="Alef" w:cs="Alef"/>
          <w:sz w:val="24"/>
          <w:szCs w:val="24"/>
          <w:rtl/>
        </w:rPr>
        <w:t xml:space="preserve"> </w:t>
      </w:r>
      <w:r w:rsidRPr="00755612">
        <w:rPr>
          <w:rFonts w:ascii="Alef" w:hAnsi="Alef" w:cs="Alef"/>
          <w:b/>
          <w:bCs/>
          <w:sz w:val="24"/>
          <w:szCs w:val="24"/>
        </w:rPr>
        <w:t>ATM</w:t>
      </w:r>
      <w:r w:rsidRPr="00755612">
        <w:rPr>
          <w:rFonts w:ascii="Alef" w:hAnsi="Alef" w:cs="Alef"/>
          <w:sz w:val="24"/>
          <w:szCs w:val="24"/>
          <w:rtl/>
        </w:rPr>
        <w:t xml:space="preserve">" – </w:t>
      </w:r>
      <w:r w:rsidRPr="00755612">
        <w:rPr>
          <w:rFonts w:ascii="Alef" w:hAnsi="Alef" w:cs="Alef"/>
          <w:sz w:val="24"/>
          <w:szCs w:val="24"/>
          <w:rtl/>
        </w:rPr>
        <w:tab/>
        <w:t xml:space="preserve">מערכת המאפשרת העברת אישורים לפעולות משיכת מזומן, בירור יתרות, וכן ככל שתאפשר זאת המערכת בעתיד הפעלת ממשק סליקה, בין מנפיקים </w:t>
      </w:r>
      <w:proofErr w:type="spellStart"/>
      <w:r w:rsidRPr="00755612">
        <w:rPr>
          <w:rFonts w:ascii="Alef" w:hAnsi="Alef" w:cs="Alef"/>
          <w:sz w:val="24"/>
          <w:szCs w:val="24"/>
          <w:rtl/>
        </w:rPr>
        <w:t>ומתפעלי</w:t>
      </w:r>
      <w:proofErr w:type="spellEnd"/>
      <w:r w:rsidRPr="00755612">
        <w:rPr>
          <w:rFonts w:ascii="Alef" w:hAnsi="Alef" w:cs="Alef"/>
          <w:sz w:val="24"/>
          <w:szCs w:val="24"/>
          <w:rtl/>
        </w:rPr>
        <w:t xml:space="preserve"> מכשירים אוטומטיים, לצורך ביצוע פעולות במכשירים אוטומטיים על ידי לקוחות שאינם לקוחותיו של מתפעל המכשירים האוטומטיים; וכן, ככל שתאפשר זאת המערכת בעתיד, העברת אישורים לעסקאות חיוב </w:t>
      </w:r>
      <w:proofErr w:type="spellStart"/>
      <w:r w:rsidRPr="00755612">
        <w:rPr>
          <w:rFonts w:ascii="Alef" w:hAnsi="Alef" w:cs="Alef"/>
          <w:sz w:val="24"/>
          <w:szCs w:val="24"/>
          <w:rtl/>
        </w:rPr>
        <w:t>מיידי</w:t>
      </w:r>
      <w:proofErr w:type="spellEnd"/>
      <w:r w:rsidRPr="00755612">
        <w:rPr>
          <w:rFonts w:ascii="Alef" w:hAnsi="Alef" w:cs="Alef"/>
          <w:sz w:val="24"/>
          <w:szCs w:val="24"/>
          <w:rtl/>
        </w:rPr>
        <w:t xml:space="preserve"> והפעלת ממשק סליקה בין מנפיקים </w:t>
      </w:r>
      <w:proofErr w:type="spellStart"/>
      <w:r w:rsidRPr="00755612">
        <w:rPr>
          <w:rFonts w:ascii="Alef" w:hAnsi="Alef" w:cs="Alef"/>
          <w:sz w:val="24"/>
          <w:szCs w:val="24"/>
          <w:rtl/>
        </w:rPr>
        <w:t>וסולקים</w:t>
      </w:r>
      <w:proofErr w:type="spellEnd"/>
      <w:r w:rsidRPr="00755612">
        <w:rPr>
          <w:rFonts w:ascii="Alef" w:hAnsi="Alef" w:cs="Alef"/>
          <w:sz w:val="24"/>
          <w:szCs w:val="24"/>
          <w:rtl/>
        </w:rPr>
        <w:t xml:space="preserve">, לצורך ביצוע סליקה צולבת בעסקאות בכרטיסי חיוב </w:t>
      </w:r>
      <w:proofErr w:type="spellStart"/>
      <w:r w:rsidRPr="00755612">
        <w:rPr>
          <w:rFonts w:ascii="Alef" w:hAnsi="Alef" w:cs="Alef"/>
          <w:sz w:val="24"/>
          <w:szCs w:val="24"/>
          <w:rtl/>
        </w:rPr>
        <w:t>מיידי</w:t>
      </w:r>
      <w:proofErr w:type="spellEnd"/>
      <w:r w:rsidRPr="00755612">
        <w:rPr>
          <w:rFonts w:ascii="Alef" w:hAnsi="Alef" w:cs="Alef"/>
          <w:sz w:val="24"/>
          <w:szCs w:val="24"/>
          <w:rtl/>
        </w:rPr>
        <w:t>;</w:t>
      </w:r>
    </w:p>
    <w:p w:rsidR="00D24C38" w:rsidRPr="00755612" w:rsidRDefault="00D24C38" w:rsidP="00075465">
      <w:pPr>
        <w:spacing w:after="0" w:line="240" w:lineRule="auto"/>
        <w:ind w:left="2268" w:hanging="2268"/>
        <w:jc w:val="both"/>
        <w:rPr>
          <w:rFonts w:ascii="Alef" w:hAnsi="Alef" w:cs="Alef"/>
          <w:b/>
          <w:bCs/>
          <w:sz w:val="24"/>
          <w:szCs w:val="24"/>
          <w:rtl/>
        </w:rPr>
      </w:pPr>
      <w:r w:rsidRPr="00755612">
        <w:rPr>
          <w:rFonts w:ascii="Alef" w:hAnsi="Alef" w:cs="Alef"/>
          <w:b/>
          <w:bCs/>
          <w:sz w:val="24"/>
          <w:szCs w:val="24"/>
          <w:rtl/>
        </w:rPr>
        <w:t xml:space="preserve">"מתפעל הנפקה" – </w:t>
      </w:r>
      <w:r w:rsidRPr="00755612">
        <w:rPr>
          <w:rFonts w:ascii="Alef" w:hAnsi="Alef" w:cs="Alef"/>
          <w:b/>
          <w:bCs/>
          <w:sz w:val="24"/>
          <w:szCs w:val="24"/>
          <w:rtl/>
        </w:rPr>
        <w:tab/>
      </w:r>
      <w:r w:rsidRPr="00755612">
        <w:rPr>
          <w:rFonts w:ascii="Alef" w:hAnsi="Alef" w:cs="Alef"/>
          <w:sz w:val="24"/>
          <w:szCs w:val="24"/>
          <w:rtl/>
        </w:rPr>
        <w:t>מי שעוסק בפעולות ובשירותים הנלווים להנפקת כרטיס חיוב, לרבות הפקת הכרטיס ותפעולו, ולמעט ההנפקה עצמה וקביעת העמלות והעלויות ללקוח הכרוכות בהפקת כרטיס החיוב והשימוש בו;</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סולק</w:t>
      </w:r>
      <w:r w:rsidRPr="00755612">
        <w:rPr>
          <w:rFonts w:ascii="Alef" w:hAnsi="Alef" w:cs="Alef"/>
          <w:sz w:val="24"/>
          <w:szCs w:val="24"/>
          <w:rtl/>
        </w:rPr>
        <w:t xml:space="preserve">" – </w:t>
      </w:r>
      <w:r w:rsidRPr="00755612">
        <w:rPr>
          <w:rFonts w:ascii="Alef" w:hAnsi="Alef" w:cs="Alef"/>
          <w:sz w:val="24"/>
          <w:szCs w:val="24"/>
          <w:rtl/>
        </w:rPr>
        <w:tab/>
        <w:t>מי שקיבל רישיון סליקה בהתאם לסעיף 36יא לחוק הבנקאות (רישוי);</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b/>
          <w:bCs/>
          <w:sz w:val="24"/>
          <w:szCs w:val="24"/>
          <w:rtl/>
        </w:rPr>
        <w:t>"סכמות בינלאומיות"</w:t>
      </w:r>
      <w:r w:rsidRPr="00755612">
        <w:rPr>
          <w:rFonts w:ascii="Alef" w:hAnsi="Alef" w:cs="Alef"/>
          <w:sz w:val="24"/>
          <w:szCs w:val="24"/>
          <w:rtl/>
        </w:rPr>
        <w:t xml:space="preserve"> –</w:t>
      </w:r>
      <w:r w:rsidRPr="00755612">
        <w:rPr>
          <w:rFonts w:ascii="Alef" w:hAnsi="Alef" w:cs="Alef"/>
          <w:sz w:val="24"/>
          <w:szCs w:val="24"/>
        </w:rPr>
        <w:t>Visa Europe Limited, MasterCard Inc., Diners Club International</w:t>
      </w:r>
      <w:r w:rsidRPr="00755612">
        <w:rPr>
          <w:rFonts w:ascii="Alef" w:hAnsi="Alef" w:cs="Alef"/>
          <w:sz w:val="24"/>
          <w:szCs w:val="24"/>
          <w:rtl/>
        </w:rPr>
        <w:t xml:space="preserve">, </w:t>
      </w:r>
      <w:r w:rsidRPr="00755612">
        <w:rPr>
          <w:rFonts w:ascii="Alef" w:hAnsi="Alef" w:cs="Alef"/>
          <w:sz w:val="24"/>
          <w:szCs w:val="24"/>
        </w:rPr>
        <w:t>Discover</w:t>
      </w:r>
      <w:r w:rsidRPr="00755612">
        <w:rPr>
          <w:rFonts w:ascii="Alef" w:hAnsi="Alef" w:cs="Alef"/>
          <w:sz w:val="24"/>
          <w:szCs w:val="24"/>
          <w:rtl/>
        </w:rPr>
        <w:t xml:space="preserve"> או מי מהן;</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lastRenderedPageBreak/>
        <w:t>"</w:t>
      </w:r>
      <w:r w:rsidRPr="00755612">
        <w:rPr>
          <w:rFonts w:ascii="Alef" w:hAnsi="Alef" w:cs="Alef"/>
          <w:b/>
          <w:bCs/>
          <w:sz w:val="24"/>
          <w:szCs w:val="24"/>
          <w:rtl/>
        </w:rPr>
        <w:t>סליקה צולבת</w:t>
      </w:r>
      <w:r w:rsidRPr="00755612">
        <w:rPr>
          <w:rFonts w:ascii="Alef" w:hAnsi="Alef" w:cs="Alef"/>
          <w:sz w:val="24"/>
          <w:szCs w:val="24"/>
          <w:rtl/>
        </w:rPr>
        <w:t>" –</w:t>
      </w:r>
      <w:r w:rsidRPr="00755612">
        <w:rPr>
          <w:rFonts w:ascii="Alef" w:hAnsi="Alef" w:cs="Alef"/>
          <w:sz w:val="24"/>
          <w:szCs w:val="24"/>
          <w:rtl/>
        </w:rPr>
        <w:tab/>
        <w:t>סליקה המבוצעת בידי מי שאינו המנפיק של כרטיס החיוב שבאמצעותו בוצעה העסקה;</w:t>
      </w:r>
    </w:p>
    <w:p w:rsidR="00D24C38" w:rsidRPr="00755612" w:rsidRDefault="00D24C38" w:rsidP="00075465">
      <w:pPr>
        <w:spacing w:after="0" w:line="240" w:lineRule="auto"/>
        <w:ind w:left="2268" w:hanging="2268"/>
        <w:jc w:val="both"/>
        <w:rPr>
          <w:rFonts w:ascii="Alef" w:hAnsi="Alef" w:cs="Alef"/>
          <w:sz w:val="24"/>
          <w:szCs w:val="24"/>
        </w:rPr>
      </w:pPr>
      <w:r w:rsidRPr="00755612">
        <w:rPr>
          <w:rFonts w:ascii="Alef" w:hAnsi="Alef" w:cs="Alef"/>
          <w:sz w:val="24"/>
          <w:szCs w:val="24"/>
          <w:rtl/>
        </w:rPr>
        <w:t>"</w:t>
      </w:r>
      <w:r w:rsidRPr="00755612">
        <w:rPr>
          <w:rFonts w:ascii="Alef" w:hAnsi="Alef" w:cs="Alef"/>
          <w:b/>
          <w:bCs/>
          <w:sz w:val="24"/>
          <w:szCs w:val="24"/>
          <w:rtl/>
        </w:rPr>
        <w:t>העמותה</w:t>
      </w:r>
      <w:r w:rsidRPr="00755612">
        <w:rPr>
          <w:rFonts w:ascii="Alef" w:hAnsi="Alef" w:cs="Alef"/>
          <w:sz w:val="24"/>
          <w:szCs w:val="24"/>
          <w:rtl/>
        </w:rPr>
        <w:t xml:space="preserve">" – </w:t>
      </w:r>
      <w:r w:rsidRPr="00755612">
        <w:rPr>
          <w:rFonts w:ascii="Alef" w:hAnsi="Alef" w:cs="Alef"/>
          <w:sz w:val="24"/>
          <w:szCs w:val="24"/>
          <w:rtl/>
        </w:rPr>
        <w:tab/>
        <w:t xml:space="preserve">העמותה לניהול פרוטוקול מסופי </w:t>
      </w:r>
      <w:proofErr w:type="spellStart"/>
      <w:r w:rsidRPr="00755612">
        <w:rPr>
          <w:rFonts w:ascii="Alef" w:hAnsi="Alef" w:cs="Alef"/>
          <w:sz w:val="24"/>
          <w:szCs w:val="24"/>
          <w:rtl/>
        </w:rPr>
        <w:t>אי.אם.וי</w:t>
      </w:r>
      <w:proofErr w:type="spellEnd"/>
      <w:r w:rsidRPr="00755612">
        <w:rPr>
          <w:rFonts w:ascii="Alef" w:hAnsi="Alef" w:cs="Alef"/>
          <w:sz w:val="24"/>
          <w:szCs w:val="24"/>
          <w:rtl/>
        </w:rPr>
        <w:t xml:space="preserve"> בישראל, </w:t>
      </w:r>
      <w:proofErr w:type="spellStart"/>
      <w:r w:rsidRPr="00755612">
        <w:rPr>
          <w:rFonts w:ascii="Alef" w:hAnsi="Alef" w:cs="Alef"/>
          <w:sz w:val="24"/>
          <w:szCs w:val="24"/>
          <w:rtl/>
        </w:rPr>
        <w:t>ע.ר</w:t>
      </w:r>
      <w:proofErr w:type="spellEnd"/>
      <w:r w:rsidRPr="00755612">
        <w:rPr>
          <w:rFonts w:ascii="Alef" w:hAnsi="Alef" w:cs="Alef"/>
          <w:sz w:val="24"/>
          <w:szCs w:val="24"/>
          <w:rtl/>
        </w:rPr>
        <w:t xml:space="preserve">. </w:t>
      </w:r>
      <w:r w:rsidRPr="00755612">
        <w:rPr>
          <w:rFonts w:ascii="Alef" w:hAnsi="Alef" w:cs="Alef"/>
          <w:color w:val="4C4C4C"/>
          <w:sz w:val="24"/>
          <w:szCs w:val="24"/>
          <w:shd w:val="clear" w:color="auto" w:fill="FFFFFF"/>
        </w:rPr>
        <w:t>580700219</w:t>
      </w:r>
      <w:r w:rsidRPr="00755612">
        <w:rPr>
          <w:rFonts w:ascii="Alef" w:hAnsi="Alef" w:cs="Alef"/>
          <w:sz w:val="24"/>
          <w:szCs w:val="24"/>
          <w:rtl/>
        </w:rPr>
        <w:t>;</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פעילות אשראית 96" –</w:t>
      </w:r>
      <w:r w:rsidRPr="00755612">
        <w:rPr>
          <w:rFonts w:ascii="Alef" w:hAnsi="Alef" w:cs="Alef"/>
          <w:sz w:val="24"/>
          <w:szCs w:val="24"/>
        </w:rPr>
        <w:t xml:space="preserve"> </w:t>
      </w:r>
      <w:r w:rsidRPr="00755612">
        <w:rPr>
          <w:rFonts w:ascii="Alef" w:hAnsi="Alef" w:cs="Alef"/>
          <w:sz w:val="24"/>
          <w:szCs w:val="24"/>
          <w:rtl/>
        </w:rPr>
        <w:t>תפעול של פרוטוקול אשראית 96 על פיתוחיו השונים;</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פעילות פרוטוקול</w:t>
      </w:r>
      <w:r w:rsidRPr="00755612">
        <w:rPr>
          <w:rFonts w:ascii="Alef" w:hAnsi="Alef" w:cs="Alef"/>
          <w:sz w:val="24"/>
          <w:szCs w:val="24"/>
          <w:rtl/>
        </w:rPr>
        <w:t xml:space="preserve">" – </w:t>
      </w:r>
      <w:r w:rsidRPr="00755612">
        <w:rPr>
          <w:rFonts w:ascii="Alef" w:hAnsi="Alef" w:cs="Alef"/>
          <w:sz w:val="24"/>
          <w:szCs w:val="24"/>
          <w:rtl/>
        </w:rPr>
        <w:tab/>
        <w:t>אפיון, פיתוח ותפעול פרוטוקול;</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פרוטוקול</w:t>
      </w:r>
      <w:r w:rsidRPr="00755612">
        <w:rPr>
          <w:rFonts w:ascii="Alef" w:hAnsi="Alef" w:cs="Alef"/>
          <w:sz w:val="24"/>
          <w:szCs w:val="24"/>
          <w:rtl/>
        </w:rPr>
        <w:t xml:space="preserve">" – </w:t>
      </w:r>
      <w:r w:rsidRPr="00755612">
        <w:rPr>
          <w:rFonts w:ascii="Alef" w:hAnsi="Alef" w:cs="Alef"/>
          <w:sz w:val="24"/>
          <w:szCs w:val="24"/>
          <w:rtl/>
        </w:rPr>
        <w:tab/>
        <w:t>מפרט טכנולוגי ומבנה מסר המשמש להעברת עסקאות ומידע בין גורמים בשרשרת ביצוע עסקה בכרטיס חיוב, למעט עסקה למשיכת מזומן ממכשירים אוטומטיים;</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 xml:space="preserve">פרוטוקול </w:t>
      </w:r>
      <w:r w:rsidRPr="00755612">
        <w:rPr>
          <w:rFonts w:ascii="Alef" w:hAnsi="Alef" w:cs="Alef"/>
          <w:b/>
          <w:bCs/>
          <w:sz w:val="24"/>
          <w:szCs w:val="24"/>
        </w:rPr>
        <w:t>EMV</w:t>
      </w:r>
      <w:r w:rsidRPr="00755612">
        <w:rPr>
          <w:rFonts w:ascii="Alef" w:hAnsi="Alef" w:cs="Alef"/>
          <w:sz w:val="24"/>
          <w:szCs w:val="24"/>
          <w:rtl/>
        </w:rPr>
        <w:t xml:space="preserve">" – </w:t>
      </w:r>
      <w:r w:rsidRPr="00755612">
        <w:rPr>
          <w:rFonts w:ascii="Alef" w:hAnsi="Alef" w:cs="Alef"/>
          <w:sz w:val="24"/>
          <w:szCs w:val="24"/>
          <w:rtl/>
        </w:rPr>
        <w:tab/>
        <w:t xml:space="preserve">פרוטוקול </w:t>
      </w:r>
      <w:r w:rsidRPr="00755612">
        <w:rPr>
          <w:rFonts w:ascii="Alef" w:hAnsi="Alef" w:cs="Alef"/>
          <w:sz w:val="24"/>
          <w:szCs w:val="24"/>
        </w:rPr>
        <w:t>EMV</w:t>
      </w:r>
      <w:r w:rsidRPr="00755612">
        <w:rPr>
          <w:rFonts w:ascii="Alef" w:hAnsi="Alef" w:cs="Alef"/>
          <w:sz w:val="24"/>
          <w:szCs w:val="24"/>
          <w:rtl/>
        </w:rPr>
        <w:t xml:space="preserve"> לרבות פרוטוקול ה-</w:t>
      </w:r>
      <w:proofErr w:type="spellStart"/>
      <w:r w:rsidRPr="00755612">
        <w:rPr>
          <w:rFonts w:ascii="Alef" w:hAnsi="Alef" w:cs="Alef"/>
          <w:sz w:val="24"/>
          <w:szCs w:val="24"/>
        </w:rPr>
        <w:t>Pinpad</w:t>
      </w:r>
      <w:proofErr w:type="spellEnd"/>
      <w:r w:rsidRPr="00755612">
        <w:rPr>
          <w:rFonts w:ascii="Alef" w:hAnsi="Alef" w:cs="Alef"/>
          <w:sz w:val="24"/>
          <w:szCs w:val="24"/>
          <w:rtl/>
        </w:rPr>
        <w:t>.</w:t>
      </w:r>
      <w:r w:rsidRPr="00755612" w:rsidDel="00DD5048">
        <w:rPr>
          <w:rFonts w:ascii="Alef" w:hAnsi="Alef" w:cs="Alef"/>
          <w:sz w:val="24"/>
          <w:szCs w:val="24"/>
          <w:highlight w:val="cyan"/>
          <w:rtl/>
        </w:rPr>
        <w:t xml:space="preserve"> </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שבא</w:t>
      </w:r>
      <w:r w:rsidRPr="00755612">
        <w:rPr>
          <w:rFonts w:ascii="Alef" w:hAnsi="Alef" w:cs="Alef"/>
          <w:sz w:val="24"/>
          <w:szCs w:val="24"/>
          <w:rtl/>
        </w:rPr>
        <w:t xml:space="preserve">" – </w:t>
      </w:r>
      <w:r w:rsidRPr="00755612">
        <w:rPr>
          <w:rFonts w:ascii="Alef" w:hAnsi="Alef" w:cs="Alef"/>
          <w:sz w:val="24"/>
          <w:szCs w:val="24"/>
          <w:rtl/>
        </w:rPr>
        <w:tab/>
        <w:t>שירותי בנק אוטומטיים בע"מ;</w:t>
      </w:r>
    </w:p>
    <w:p w:rsidR="00D24C38" w:rsidRPr="00755612" w:rsidRDefault="00D24C38" w:rsidP="00075465">
      <w:pPr>
        <w:spacing w:after="0" w:line="240" w:lineRule="auto"/>
        <w:ind w:left="2268" w:hanging="2268"/>
        <w:jc w:val="both"/>
        <w:rPr>
          <w:rFonts w:ascii="Alef" w:hAnsi="Alef" w:cs="Alef"/>
          <w:sz w:val="24"/>
          <w:szCs w:val="24"/>
          <w:rtl/>
        </w:rPr>
      </w:pPr>
      <w:r w:rsidRPr="00755612">
        <w:rPr>
          <w:rFonts w:ascii="Alef" w:hAnsi="Alef" w:cs="Alef"/>
          <w:sz w:val="24"/>
          <w:szCs w:val="24"/>
          <w:rtl/>
        </w:rPr>
        <w:t>"</w:t>
      </w:r>
      <w:r w:rsidRPr="00755612">
        <w:rPr>
          <w:rFonts w:ascii="Alef" w:hAnsi="Alef" w:cs="Alef"/>
          <w:b/>
          <w:bCs/>
          <w:sz w:val="24"/>
          <w:szCs w:val="24"/>
          <w:rtl/>
        </w:rPr>
        <w:t xml:space="preserve">שירותי הסמכה קצה לקצה לתקן </w:t>
      </w:r>
      <w:r w:rsidRPr="00755612">
        <w:rPr>
          <w:rFonts w:ascii="Alef" w:hAnsi="Alef" w:cs="Alef"/>
          <w:b/>
          <w:bCs/>
          <w:sz w:val="24"/>
          <w:szCs w:val="24"/>
        </w:rPr>
        <w:t>EMV</w:t>
      </w:r>
      <w:r w:rsidRPr="00755612">
        <w:rPr>
          <w:rFonts w:ascii="Alef" w:hAnsi="Alef" w:cs="Alef"/>
          <w:b/>
          <w:bCs/>
          <w:sz w:val="24"/>
          <w:szCs w:val="24"/>
          <w:rtl/>
        </w:rPr>
        <w:t xml:space="preserve">" – </w:t>
      </w:r>
      <w:r w:rsidRPr="00755612">
        <w:rPr>
          <w:rFonts w:ascii="Alef" w:hAnsi="Alef" w:cs="Alef"/>
          <w:sz w:val="24"/>
          <w:szCs w:val="24"/>
          <w:rtl/>
        </w:rPr>
        <w:t xml:space="preserve">ביצוע תהליך הסמכה למסוף תומך </w:t>
      </w:r>
      <w:r w:rsidRPr="00755612">
        <w:rPr>
          <w:rFonts w:ascii="Alef" w:hAnsi="Alef" w:cs="Alef"/>
          <w:sz w:val="24"/>
          <w:szCs w:val="24"/>
        </w:rPr>
        <w:t>EMV</w:t>
      </w:r>
      <w:r w:rsidRPr="00755612">
        <w:rPr>
          <w:rFonts w:ascii="Alef" w:hAnsi="Alef" w:cs="Alef"/>
          <w:sz w:val="24"/>
          <w:szCs w:val="24"/>
          <w:rtl/>
        </w:rPr>
        <w:t>, על פי דרישות הסכמות הבינלאומיות בשם סולקים ובהתאם למתואר באתר שבא;</w:t>
      </w:r>
    </w:p>
    <w:p w:rsidR="00D24C38" w:rsidRPr="00755612" w:rsidRDefault="00D24C38" w:rsidP="00075465">
      <w:pPr>
        <w:spacing w:after="0" w:line="240" w:lineRule="auto"/>
        <w:ind w:left="2268" w:hanging="2268"/>
        <w:jc w:val="both"/>
        <w:rPr>
          <w:rFonts w:ascii="Alef" w:hAnsi="Alef" w:cs="Alef"/>
          <w:b/>
          <w:bCs/>
          <w:sz w:val="24"/>
          <w:szCs w:val="24"/>
          <w:rtl/>
        </w:rPr>
      </w:pPr>
      <w:r w:rsidRPr="00755612">
        <w:rPr>
          <w:rFonts w:ascii="Alef" w:hAnsi="Alef" w:cs="Alef"/>
          <w:b/>
          <w:bCs/>
          <w:sz w:val="24"/>
          <w:szCs w:val="24"/>
          <w:rtl/>
        </w:rPr>
        <w:t>תחומי פעילות שבא</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שבא רשאית לעסוק בתחומי הפעילות הבאים בלבד:</w:t>
      </w:r>
    </w:p>
    <w:p w:rsidR="00D24C38" w:rsidRPr="00755612" w:rsidRDefault="00D24C38" w:rsidP="00075465">
      <w:pPr>
        <w:pStyle w:val="ListParagraph"/>
        <w:numPr>
          <w:ilvl w:val="1"/>
          <w:numId w:val="9"/>
        </w:numPr>
        <w:spacing w:after="0" w:line="240" w:lineRule="auto"/>
        <w:rPr>
          <w:rFonts w:ascii="Alef" w:hAnsi="Alef" w:cs="Alef"/>
        </w:rPr>
      </w:pPr>
      <w:r w:rsidRPr="00755612">
        <w:rPr>
          <w:rFonts w:ascii="Alef" w:hAnsi="Alef" w:cs="Alef"/>
          <w:rtl/>
        </w:rPr>
        <w:t xml:space="preserve">הפעלת מתג </w:t>
      </w:r>
      <w:r w:rsidRPr="00755612">
        <w:rPr>
          <w:rFonts w:ascii="Alef" w:hAnsi="Alef" w:cs="Alef"/>
        </w:rPr>
        <w:t>ATM</w:t>
      </w:r>
      <w:r w:rsidRPr="00755612">
        <w:rPr>
          <w:rFonts w:ascii="Alef" w:hAnsi="Alef" w:cs="Alef"/>
          <w:rtl/>
        </w:rPr>
        <w:t>;</w:t>
      </w:r>
    </w:p>
    <w:p w:rsidR="00D24C38" w:rsidRPr="00755612" w:rsidRDefault="00D24C38" w:rsidP="00075465">
      <w:pPr>
        <w:pStyle w:val="ListParagraph"/>
        <w:numPr>
          <w:ilvl w:val="1"/>
          <w:numId w:val="9"/>
        </w:numPr>
        <w:spacing w:after="0" w:line="240" w:lineRule="auto"/>
        <w:rPr>
          <w:rFonts w:ascii="Alef" w:hAnsi="Alef" w:cs="Alef"/>
        </w:rPr>
      </w:pPr>
      <w:r w:rsidRPr="00755612">
        <w:rPr>
          <w:rFonts w:ascii="Alef" w:hAnsi="Alef" w:cs="Alef"/>
          <w:rtl/>
        </w:rPr>
        <w:t>הפעלת מתג כרטיסי חיוב ומערכת איסוף ועיבוד עסקאות;</w:t>
      </w:r>
    </w:p>
    <w:p w:rsidR="00D24C38" w:rsidRPr="00755612" w:rsidRDefault="00D24C38" w:rsidP="00075465">
      <w:pPr>
        <w:pStyle w:val="ListParagraph"/>
        <w:numPr>
          <w:ilvl w:val="1"/>
          <w:numId w:val="9"/>
        </w:numPr>
        <w:spacing w:after="0" w:line="240" w:lineRule="auto"/>
        <w:rPr>
          <w:rFonts w:ascii="Alef" w:hAnsi="Alef" w:cs="Alef"/>
        </w:rPr>
      </w:pPr>
      <w:r w:rsidRPr="00755612">
        <w:rPr>
          <w:rFonts w:ascii="Alef" w:hAnsi="Alef" w:cs="Alef"/>
          <w:rtl/>
        </w:rPr>
        <w:t>עיסוק בפעילות פרוטוקול אשראית 96;</w:t>
      </w:r>
    </w:p>
    <w:p w:rsidR="00D24C38" w:rsidRPr="00755612" w:rsidRDefault="00D24C38" w:rsidP="00075465">
      <w:pPr>
        <w:pStyle w:val="ListParagraph"/>
        <w:numPr>
          <w:ilvl w:val="1"/>
          <w:numId w:val="9"/>
        </w:numPr>
        <w:spacing w:after="0" w:line="240" w:lineRule="auto"/>
        <w:rPr>
          <w:rFonts w:ascii="Alef" w:hAnsi="Alef" w:cs="Alef"/>
        </w:rPr>
      </w:pPr>
      <w:r w:rsidRPr="00755612">
        <w:rPr>
          <w:rFonts w:ascii="Alef" w:hAnsi="Alef" w:cs="Alef"/>
          <w:rtl/>
        </w:rPr>
        <w:t xml:space="preserve">פיתוח, תפעול והפצת תכנת אשראית </w:t>
      </w:r>
      <w:r w:rsidRPr="00755612">
        <w:rPr>
          <w:rFonts w:ascii="Alef" w:hAnsi="Alef" w:cs="Alef"/>
        </w:rPr>
        <w:t>PC</w:t>
      </w:r>
      <w:r w:rsidRPr="00755612">
        <w:rPr>
          <w:rFonts w:ascii="Alef" w:hAnsi="Alef" w:cs="Alef"/>
          <w:rtl/>
        </w:rPr>
        <w:t>;</w:t>
      </w:r>
    </w:p>
    <w:p w:rsidR="00D24C38" w:rsidRPr="00755612" w:rsidRDefault="00D24C38" w:rsidP="00075465">
      <w:pPr>
        <w:pStyle w:val="ListParagraph"/>
        <w:numPr>
          <w:ilvl w:val="1"/>
          <w:numId w:val="9"/>
        </w:numPr>
        <w:spacing w:after="0" w:line="240" w:lineRule="auto"/>
        <w:rPr>
          <w:rFonts w:ascii="Alef" w:hAnsi="Alef" w:cs="Alef"/>
        </w:rPr>
      </w:pPr>
      <w:r w:rsidRPr="00755612">
        <w:rPr>
          <w:rFonts w:ascii="Alef" w:hAnsi="Alef" w:cs="Alef"/>
          <w:rtl/>
        </w:rPr>
        <w:t xml:space="preserve">שירותי הסמכה קצה לקצה לתקן </w:t>
      </w:r>
      <w:r w:rsidRPr="00755612">
        <w:rPr>
          <w:rFonts w:ascii="Alef" w:hAnsi="Alef" w:cs="Alef"/>
        </w:rPr>
        <w:t>EMV</w:t>
      </w:r>
      <w:r w:rsidRPr="00755612">
        <w:rPr>
          <w:rFonts w:ascii="Alef" w:hAnsi="Alef" w:cs="Alef"/>
          <w:rtl/>
        </w:rPr>
        <w:t>;</w:t>
      </w:r>
    </w:p>
    <w:p w:rsidR="00D24C38" w:rsidRPr="00755612" w:rsidRDefault="00D24C38" w:rsidP="00075465">
      <w:pPr>
        <w:pStyle w:val="ListParagraph"/>
        <w:numPr>
          <w:ilvl w:val="1"/>
          <w:numId w:val="9"/>
        </w:numPr>
        <w:spacing w:after="0" w:line="240" w:lineRule="auto"/>
        <w:rPr>
          <w:rFonts w:ascii="Alef" w:hAnsi="Alef" w:cs="Alef"/>
        </w:rPr>
      </w:pPr>
      <w:r w:rsidRPr="00755612">
        <w:rPr>
          <w:rFonts w:ascii="Alef" w:hAnsi="Alef" w:cs="Alef"/>
          <w:rtl/>
        </w:rPr>
        <w:t>פעילות נלווית לתחומי הפעילות שלעיל;</w:t>
      </w:r>
    </w:p>
    <w:p w:rsidR="00D24C38" w:rsidRPr="00755612" w:rsidRDefault="00D24C38" w:rsidP="00075465">
      <w:pPr>
        <w:pStyle w:val="ListParagraph"/>
        <w:numPr>
          <w:ilvl w:val="1"/>
          <w:numId w:val="9"/>
        </w:numPr>
        <w:spacing w:after="0" w:line="240" w:lineRule="auto"/>
        <w:rPr>
          <w:rFonts w:ascii="Alef" w:hAnsi="Alef" w:cs="Alef"/>
        </w:rPr>
      </w:pPr>
      <w:r w:rsidRPr="00755612">
        <w:rPr>
          <w:rFonts w:ascii="Alef" w:hAnsi="Alef" w:cs="Alef"/>
          <w:rtl/>
        </w:rPr>
        <w:t>כל תחום פעילות שתאשר לה הממונה.</w:t>
      </w:r>
    </w:p>
    <w:p w:rsidR="00D24C38" w:rsidRPr="00755612" w:rsidRDefault="00D24C38" w:rsidP="00075465">
      <w:pPr>
        <w:spacing w:after="0" w:line="240" w:lineRule="auto"/>
        <w:jc w:val="both"/>
        <w:rPr>
          <w:rFonts w:ascii="Alef" w:hAnsi="Alef" w:cs="Alef"/>
          <w:b/>
          <w:bCs/>
          <w:sz w:val="24"/>
          <w:szCs w:val="24"/>
          <w:rtl/>
        </w:rPr>
      </w:pPr>
      <w:r w:rsidRPr="00755612">
        <w:rPr>
          <w:rFonts w:ascii="Alef" w:hAnsi="Alef" w:cs="Alef"/>
          <w:b/>
          <w:bCs/>
          <w:sz w:val="24"/>
          <w:szCs w:val="24"/>
          <w:rtl/>
        </w:rPr>
        <w:t>חיבור למערכות שבא</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דרישות החיבור למערכות שבא תהיינה שוויוניות ולא יקבעו באופן שעלול להקשות על החיבור מעבר לנדרש או באופן העלול לפגוע בתחרות.</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תפרסם באתר האינטרנט שלה את כל דרישות החיבור למערכות שבא, </w:t>
      </w:r>
      <w:r w:rsidRPr="00755612">
        <w:rPr>
          <w:rFonts w:ascii="Alef" w:eastAsia="Times New Roman" w:hAnsi="Alef" w:cs="Alef"/>
          <w:rtl/>
        </w:rPr>
        <w:t>למעט דרישות אשר פרסומן עלול לפגוע בביטחון מערכת התשלומים. שבא תאפשר מסירתם של מאפיינים אלו בכפוף לחתימה על הסכם התחייבות לסודיות.</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שבא לא תסרב לבקשה של כל גוף, הרשאי לכך על פי דין ועומד בדרישות החיבור, להתחבר למערכות שבא או רק לחלק מהן, ו</w:t>
      </w:r>
      <w:r w:rsidRPr="00755612">
        <w:rPr>
          <w:rFonts w:ascii="Alef" w:eastAsia="Times New Roman" w:hAnsi="Alef" w:cs="Alef"/>
          <w:rtl/>
        </w:rPr>
        <w:t>תבצע כל פעולה הנדרשת באופן סביר כדי לאפשר</w:t>
      </w:r>
      <w:r w:rsidRPr="00755612">
        <w:rPr>
          <w:rFonts w:ascii="Alef" w:hAnsi="Alef" w:cs="Alef"/>
          <w:rtl/>
        </w:rPr>
        <w:t xml:space="preserve"> זאת. </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תספק לכל גוף המבקש להתחבר למערכות שבא, הרשאי לכך על פי דין ואשר עומד בדרישות החיבור, כל מידע הקיים ברשותה והנחוץ לו באותו שלב לצורך החיבור תוך זמן סביר ולא יאוחר מ-30 ימים לאחר המועד בו פנה </w:t>
      </w:r>
      <w:proofErr w:type="spellStart"/>
      <w:r w:rsidRPr="00755612">
        <w:rPr>
          <w:rFonts w:ascii="Alef" w:hAnsi="Alef" w:cs="Alef"/>
          <w:rtl/>
        </w:rPr>
        <w:t>לשבא</w:t>
      </w:r>
      <w:proofErr w:type="spellEnd"/>
      <w:r w:rsidRPr="00755612">
        <w:rPr>
          <w:rFonts w:ascii="Alef" w:hAnsi="Alef" w:cs="Alef"/>
          <w:rtl/>
        </w:rPr>
        <w:t xml:space="preserve"> בבקשה לקבל את המידע.</w:t>
      </w:r>
    </w:p>
    <w:p w:rsidR="00D24C38" w:rsidRPr="00755612" w:rsidRDefault="00D24C38" w:rsidP="00075465">
      <w:pPr>
        <w:pStyle w:val="ListParagraph"/>
        <w:numPr>
          <w:ilvl w:val="0"/>
          <w:numId w:val="8"/>
        </w:numPr>
        <w:spacing w:after="0" w:line="240" w:lineRule="auto"/>
        <w:rPr>
          <w:rFonts w:ascii="Alef" w:eastAsia="Times New Roman" w:hAnsi="Alef" w:cs="Alef"/>
        </w:rPr>
      </w:pPr>
      <w:bookmarkStart w:id="1" w:name="_Ref365288398"/>
      <w:r w:rsidRPr="00755612">
        <w:rPr>
          <w:rFonts w:ascii="Alef" w:eastAsia="Times New Roman" w:hAnsi="Alef" w:cs="Alef"/>
          <w:rtl/>
        </w:rPr>
        <w:t>בכפוף לאמור בסעיף 5 לעיל, שבא תבצע חיבור למערכות שבא בתוך זמן סביר. מבלי לגרוע מכלליות האמור, יראו כזמן בלתי סביר חיבור האורך מעל 120 ימים מיום שהתקבלה בקשה לחיבור, אלא אם העיכוב נובע מהתנהלות של מי שמבקש להתחבר.</w:t>
      </w:r>
    </w:p>
    <w:p w:rsidR="00D24C38" w:rsidRPr="00755612" w:rsidRDefault="00D24C38" w:rsidP="00075465">
      <w:pPr>
        <w:pStyle w:val="ListParagraph"/>
        <w:numPr>
          <w:ilvl w:val="0"/>
          <w:numId w:val="8"/>
        </w:numPr>
        <w:spacing w:after="0" w:line="240" w:lineRule="auto"/>
        <w:rPr>
          <w:rFonts w:ascii="Alef" w:eastAsia="Times New Roman" w:hAnsi="Alef" w:cs="Alef"/>
        </w:rPr>
      </w:pPr>
      <w:r w:rsidRPr="00755612">
        <w:rPr>
          <w:rFonts w:ascii="Alef" w:hAnsi="Alef" w:cs="Alef"/>
          <w:rtl/>
        </w:rPr>
        <w:lastRenderedPageBreak/>
        <w:t xml:space="preserve">עלות החיבור למערכות שבא תכלול רק הוצאות הנובעות באופן ישיר מביצוע ההתאמות הנדרשות במערכות שבא לשם החיבור. למען הסר ספק, </w:t>
      </w:r>
      <w:r w:rsidRPr="00755612">
        <w:rPr>
          <w:rFonts w:ascii="Alef" w:eastAsia="Times New Roman" w:hAnsi="Alef" w:cs="Alef"/>
          <w:rtl/>
        </w:rPr>
        <w:t>שבא לא תגבה כל תשלום עבור עלויות עבר.</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תאפשר בכל זמן נתון חיבור של לכל הפחות 12 מנפיקים </w:t>
      </w:r>
      <w:proofErr w:type="spellStart"/>
      <w:r w:rsidRPr="00755612">
        <w:rPr>
          <w:rFonts w:ascii="Alef" w:hAnsi="Alef" w:cs="Alef"/>
          <w:rtl/>
        </w:rPr>
        <w:t>וסולקים</w:t>
      </w:r>
      <w:proofErr w:type="spellEnd"/>
      <w:r w:rsidRPr="00755612">
        <w:rPr>
          <w:rFonts w:ascii="Alef" w:hAnsi="Alef" w:cs="Alef"/>
          <w:rtl/>
        </w:rPr>
        <w:t xml:space="preserve"> למתג</w:t>
      </w:r>
      <w:r w:rsidRPr="00755612">
        <w:rPr>
          <w:rFonts w:ascii="Alef" w:hAnsi="Alef" w:cs="Alef"/>
        </w:rPr>
        <w:t xml:space="preserve"> </w:t>
      </w:r>
      <w:r w:rsidRPr="00755612">
        <w:rPr>
          <w:rFonts w:ascii="Alef" w:hAnsi="Alef" w:cs="Alef"/>
          <w:rtl/>
        </w:rPr>
        <w:t>כרטיסי חיוב ולמערכת איסוף ועיבוד עסקאות בכרטיסי חיוב. שבא תגדיל את מספר הגופים שמערכות אלו מאפשרות את חיבורם ב-6 נוספים לכל הפחות, וזאת בתוך חצי שנה מכל מועד בו יוותרו שני מקומות פנויים או פחות.</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תאפשר בכל זמן נתון חיבור של לכל הפחות 10 מנפיקים, סולקים או מפעילי מכשירים אוטומטים למתג </w:t>
      </w:r>
      <w:r w:rsidRPr="00755612">
        <w:rPr>
          <w:rFonts w:ascii="Alef" w:hAnsi="Alef" w:cs="Alef"/>
        </w:rPr>
        <w:t>ATM</w:t>
      </w:r>
      <w:r w:rsidRPr="00755612">
        <w:rPr>
          <w:rFonts w:ascii="Alef" w:hAnsi="Alef" w:cs="Alef"/>
          <w:rtl/>
        </w:rPr>
        <w:t xml:space="preserve">. שבא תגדיל את מספר הגופים שמתג </w:t>
      </w:r>
      <w:r w:rsidRPr="00755612">
        <w:rPr>
          <w:rFonts w:ascii="Alef" w:hAnsi="Alef" w:cs="Alef"/>
        </w:rPr>
        <w:t>ATM</w:t>
      </w:r>
      <w:r w:rsidRPr="00755612">
        <w:rPr>
          <w:rFonts w:ascii="Alef" w:hAnsi="Alef" w:cs="Alef"/>
          <w:rtl/>
        </w:rPr>
        <w:t xml:space="preserve"> מאפשר את חיבורם ב-5 נוספים לכל הפחות, וזאת בתוך חצי שנה מכל מועד בו יוותרו שני מקומות פנויים או פחות.</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שבא לא תתנה קבלת שירות מסוים ממנה בקבלת שירותים אחרים ממנה, אלא אם מתן שירות אחד ללא קבלת שירות אחר אינו אפשרי מבחינה טכנית;</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תאפשר לכל גוף לספק ללקוחותיו שירותים מצומצמים יותר מאלו הניתנים כיום, למעט שירותים שנקבעו כרכיבי חובה על ידי אגף מערכות תשלומים וסליקה בבנק ישראל. שבא תדרוש עמידה רק בבדיקות הנדרשות לצורך פעילות באופן זה. </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תבצע כל התאמה במערכותיה, הנדרשת לצורך עמידה בהוראות סעיפים 10-11 לעיל. </w:t>
      </w:r>
      <w:bookmarkEnd w:id="1"/>
      <w:r w:rsidRPr="00755612">
        <w:rPr>
          <w:rFonts w:ascii="Alef" w:hAnsi="Alef" w:cs="Alef"/>
          <w:rtl/>
        </w:rPr>
        <w:t xml:space="preserve">עלויות ההתאמה של מערכות שבא שיגבו על ידי שבא יכללו רק הוצאות הנובעות באופן ישיר מביצוע ההתאמות הנדרשות במערכות שבא. למען הסר ספק, </w:t>
      </w:r>
      <w:r w:rsidRPr="00755612">
        <w:rPr>
          <w:rFonts w:ascii="Alef" w:eastAsia="Times New Roman" w:hAnsi="Alef" w:cs="Alef"/>
          <w:rtl/>
        </w:rPr>
        <w:t>שבא לא תגבה כל תשלום עבור עלויות עבר.</w:t>
      </w:r>
    </w:p>
    <w:p w:rsidR="00D24C38" w:rsidRPr="00755612" w:rsidRDefault="00D24C38" w:rsidP="00075465">
      <w:pPr>
        <w:pStyle w:val="ListParagraph"/>
        <w:numPr>
          <w:ilvl w:val="0"/>
          <w:numId w:val="8"/>
        </w:numPr>
        <w:spacing w:after="0" w:line="240" w:lineRule="auto"/>
        <w:rPr>
          <w:rFonts w:ascii="Alef" w:eastAsia="Times New Roman" w:hAnsi="Alef" w:cs="Alef"/>
        </w:rPr>
      </w:pPr>
      <w:r w:rsidRPr="00755612">
        <w:rPr>
          <w:rFonts w:ascii="Alef" w:eastAsia="Times New Roman" w:hAnsi="Alef" w:cs="Alef"/>
          <w:rtl/>
        </w:rPr>
        <w:t>הוראות סעיפים 2-12 הנוגעות ל</w:t>
      </w:r>
      <w:r w:rsidRPr="00755612">
        <w:rPr>
          <w:rFonts w:ascii="Alef" w:eastAsiaTheme="minorEastAsia" w:hAnsi="Alef" w:cs="Alef"/>
          <w:rtl/>
        </w:rPr>
        <w:t xml:space="preserve">חיבור למתג כרטיסי חיוב ולמערכת איסוף ועיבוד עסקאות של שבא, יחולו, ככל שהממונה לא הודיעה אחרת, על עסקאות בכרטיסי חיוב בתקן </w:t>
      </w:r>
      <w:r w:rsidRPr="00755612">
        <w:rPr>
          <w:rFonts w:ascii="Alef" w:eastAsiaTheme="minorEastAsia" w:hAnsi="Alef" w:cs="Alef"/>
        </w:rPr>
        <w:t>EMV</w:t>
      </w:r>
      <w:r w:rsidRPr="00755612">
        <w:rPr>
          <w:rFonts w:ascii="Alef" w:eastAsiaTheme="minorEastAsia" w:hAnsi="Alef" w:cs="Alef"/>
          <w:rtl/>
        </w:rPr>
        <w:t xml:space="preserve"> בלבד.</w:t>
      </w:r>
    </w:p>
    <w:p w:rsidR="00D24C38" w:rsidRPr="00755612" w:rsidRDefault="00D24C38" w:rsidP="00075465">
      <w:pPr>
        <w:spacing w:after="0" w:line="240" w:lineRule="auto"/>
        <w:jc w:val="both"/>
        <w:rPr>
          <w:rFonts w:ascii="Alef" w:hAnsi="Alef" w:cs="Alef"/>
          <w:b/>
          <w:bCs/>
          <w:sz w:val="24"/>
          <w:szCs w:val="24"/>
          <w:rtl/>
        </w:rPr>
      </w:pPr>
      <w:r w:rsidRPr="00755612">
        <w:rPr>
          <w:rFonts w:ascii="Alef" w:hAnsi="Alef" w:cs="Alef"/>
          <w:b/>
          <w:bCs/>
          <w:sz w:val="24"/>
          <w:szCs w:val="24"/>
          <w:rtl/>
        </w:rPr>
        <w:t>פעילות מול יצרנים</w:t>
      </w:r>
    </w:p>
    <w:p w:rsidR="00D24C38" w:rsidRPr="00755612" w:rsidRDefault="00D24C38" w:rsidP="00075465">
      <w:pPr>
        <w:pStyle w:val="ListParagraph"/>
        <w:numPr>
          <w:ilvl w:val="0"/>
          <w:numId w:val="8"/>
        </w:numPr>
        <w:spacing w:after="0" w:line="240" w:lineRule="auto"/>
        <w:rPr>
          <w:rFonts w:ascii="Alef" w:hAnsi="Alef" w:cs="Alef"/>
          <w:rtl/>
        </w:rPr>
      </w:pPr>
      <w:r w:rsidRPr="00755612">
        <w:rPr>
          <w:rFonts w:ascii="Alef" w:hAnsi="Alef" w:cs="Alef"/>
          <w:rtl/>
        </w:rPr>
        <w:t>שבא לא תמנע או תעכב, במישרין או בעקיפין, את פעילותו של כל גוף שאושר לפעול כיצרן על ידי העמותה ובלבד שהוא עומד בבדיקות ובתנאי הסף לחיבור למערכות שבא. מבלי לגרוע מכלליות האמור, שבא לא תתנה חיבור מסוף של יצרן בתנאים שאינם נחוצים על מנת למנוע פגיעה במערכות שבא ובמשתמשים שלהן או על מנת לעמוד בהוראות דין או הוראות רגולטוריות המוטלות על שבא.</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שינויים במערכות שבא יבוצעו באופן המצמצם ככל הניתן את הפגיעה ביצרנים אחרים, לרבות בדרך של הטלת עלויות עודפות עליהם. </w:t>
      </w:r>
    </w:p>
    <w:p w:rsidR="00D24C38" w:rsidRDefault="00D24C38" w:rsidP="00075465">
      <w:pPr>
        <w:pStyle w:val="ListParagraph"/>
        <w:numPr>
          <w:ilvl w:val="0"/>
          <w:numId w:val="8"/>
        </w:numPr>
        <w:spacing w:after="0" w:line="240" w:lineRule="auto"/>
        <w:rPr>
          <w:rFonts w:ascii="Alef" w:hAnsi="Alef" w:cs="Alef"/>
        </w:rPr>
      </w:pPr>
      <w:r w:rsidRPr="00755612">
        <w:rPr>
          <w:rFonts w:ascii="Alef" w:hAnsi="Alef" w:cs="Alef"/>
          <w:rtl/>
        </w:rPr>
        <w:t>שבא תעביר ליצרן, לבקשתו, כל מידע השייך לצדדים שלישיים והמצוי ברשותה, אשר עשוי להיות רלוונטי לפעילותו כיצרן ובלבד שניתן לכך אישור של בעל המידע.</w:t>
      </w:r>
    </w:p>
    <w:p w:rsidR="00D24C38" w:rsidRPr="00755612" w:rsidRDefault="00D24C38" w:rsidP="00075465">
      <w:pPr>
        <w:spacing w:after="0" w:line="240" w:lineRule="auto"/>
        <w:jc w:val="both"/>
        <w:rPr>
          <w:rFonts w:ascii="Alef" w:hAnsi="Alef" w:cs="Alef"/>
          <w:b/>
          <w:bCs/>
          <w:sz w:val="24"/>
          <w:szCs w:val="24"/>
          <w:rtl/>
        </w:rPr>
      </w:pPr>
      <w:r w:rsidRPr="00755612">
        <w:rPr>
          <w:rFonts w:ascii="Alef" w:hAnsi="Alef" w:cs="Alef"/>
          <w:b/>
          <w:bCs/>
          <w:sz w:val="24"/>
          <w:szCs w:val="24"/>
          <w:rtl/>
        </w:rPr>
        <w:t xml:space="preserve">הסמכות קצה לקצה לתקן </w:t>
      </w:r>
      <w:r w:rsidRPr="00755612">
        <w:rPr>
          <w:rFonts w:ascii="Alef" w:hAnsi="Alef" w:cs="Alef"/>
          <w:b/>
          <w:bCs/>
          <w:sz w:val="24"/>
          <w:szCs w:val="24"/>
        </w:rPr>
        <w:t>EMV</w:t>
      </w:r>
    </w:p>
    <w:p w:rsidR="00D24C38" w:rsidRPr="00755612" w:rsidRDefault="00D24C38" w:rsidP="00075465">
      <w:pPr>
        <w:pStyle w:val="ListParagraph"/>
        <w:numPr>
          <w:ilvl w:val="0"/>
          <w:numId w:val="8"/>
        </w:numPr>
        <w:spacing w:after="0" w:line="240" w:lineRule="auto"/>
        <w:rPr>
          <w:rFonts w:ascii="Alef" w:hAnsi="Alef" w:cs="Alef"/>
          <w:rtl/>
        </w:rPr>
      </w:pPr>
      <w:r w:rsidRPr="00755612">
        <w:rPr>
          <w:rFonts w:ascii="Alef" w:hAnsi="Alef" w:cs="Alef"/>
          <w:rtl/>
        </w:rPr>
        <w:t xml:space="preserve">שבא לא תמנע או תעכב, במישרין או בעקיפין, במעשה או במחדל, ביצוע תהליך הסמכה קצה לקצה לצורך עמידה בתקן </w:t>
      </w:r>
      <w:r w:rsidRPr="00755612">
        <w:rPr>
          <w:rFonts w:ascii="Alef" w:hAnsi="Alef" w:cs="Alef"/>
        </w:rPr>
        <w:t>EMV</w:t>
      </w:r>
      <w:r w:rsidRPr="00755612">
        <w:rPr>
          <w:rFonts w:ascii="Alef" w:hAnsi="Alef" w:cs="Alef"/>
          <w:rtl/>
        </w:rPr>
        <w:t xml:space="preserve"> שנעשה שלא באמצעותה. מבלי לגרוע מכלליות האמור, שב"א לא תתנה חיבור מסוף של יצרן בתנאים שאינם נחוצים למניעת פגיעה </w:t>
      </w:r>
      <w:r w:rsidRPr="00755612">
        <w:rPr>
          <w:rFonts w:ascii="Alef" w:hAnsi="Alef" w:cs="Alef"/>
          <w:rtl/>
        </w:rPr>
        <w:lastRenderedPageBreak/>
        <w:t>במערכות שב"א ובמשתמשים שלהן או לצורך עמידה בהוראות דין או הוראות רגולטוריות המוטלות על שב"א</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תהליך הסמכת קצה לקצה לתקן </w:t>
      </w:r>
      <w:r w:rsidRPr="00755612">
        <w:rPr>
          <w:rFonts w:ascii="Alef" w:hAnsi="Alef" w:cs="Alef"/>
        </w:rPr>
        <w:t>EMV</w:t>
      </w:r>
      <w:r w:rsidRPr="00755612">
        <w:rPr>
          <w:rFonts w:ascii="Alef" w:hAnsi="Alef" w:cs="Alef"/>
          <w:rtl/>
        </w:rPr>
        <w:t xml:space="preserve"> על ידי שבא ייעשה באופן שוויוני לכל המוסמכים. </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תפרסם באתר האינטרנט שלה מידע בדבר שלבי הסמכת קצה לקצה לתקן </w:t>
      </w:r>
      <w:r w:rsidRPr="00755612">
        <w:rPr>
          <w:rFonts w:ascii="Alef" w:hAnsi="Alef" w:cs="Alef"/>
        </w:rPr>
        <w:t>EMV</w:t>
      </w:r>
      <w:r w:rsidRPr="00755612">
        <w:rPr>
          <w:rFonts w:ascii="Alef" w:hAnsi="Alef" w:cs="Alef"/>
          <w:rtl/>
        </w:rPr>
        <w:t xml:space="preserve"> ואת נהלי הבדיקות, לרבות התייחסות לבדיקות חוזרות.</w:t>
      </w:r>
    </w:p>
    <w:p w:rsidR="00D24C38" w:rsidRPr="00710E29" w:rsidRDefault="00D24C38" w:rsidP="00710E29">
      <w:pPr>
        <w:pStyle w:val="ListParagraph"/>
        <w:numPr>
          <w:ilvl w:val="0"/>
          <w:numId w:val="8"/>
        </w:numPr>
        <w:spacing w:after="0" w:line="240" w:lineRule="auto"/>
        <w:rPr>
          <w:rFonts w:ascii="Alef" w:hAnsi="Alef" w:cs="Alef"/>
          <w:rtl/>
        </w:rPr>
      </w:pPr>
      <w:r w:rsidRPr="00755612">
        <w:rPr>
          <w:rFonts w:ascii="Alef" w:hAnsi="Alef" w:cs="Alef"/>
          <w:rtl/>
        </w:rPr>
        <w:t>שבא תעמיד לרשות כל גוף הנמצא בתהליך הסמכה או שהגיש בקשה להסמכה, כל מידע הנוגע לתהליך ההסמכה שלו לרבות מידע הנוגע ללוחות הזמנים הצפויים וסדר הקדימויות בביצוע שלבי ההסמכה בין סולקים שונים ובין יצרנים שונים, לרבות שבא.</w:t>
      </w:r>
    </w:p>
    <w:p w:rsidR="00D24C38" w:rsidRPr="00755612" w:rsidRDefault="00D24C38" w:rsidP="00075465">
      <w:pPr>
        <w:spacing w:after="0" w:line="240" w:lineRule="auto"/>
        <w:jc w:val="both"/>
        <w:rPr>
          <w:rFonts w:ascii="Alef" w:hAnsi="Alef" w:cs="Alef"/>
          <w:b/>
          <w:bCs/>
          <w:sz w:val="24"/>
          <w:szCs w:val="24"/>
          <w:rtl/>
        </w:rPr>
      </w:pPr>
      <w:r w:rsidRPr="00755612">
        <w:rPr>
          <w:rFonts w:ascii="Alef" w:hAnsi="Alef" w:cs="Alef"/>
          <w:b/>
          <w:bCs/>
          <w:sz w:val="24"/>
          <w:szCs w:val="24"/>
          <w:rtl/>
        </w:rPr>
        <w:t>כללי</w:t>
      </w:r>
    </w:p>
    <w:p w:rsidR="00D24C38" w:rsidRPr="00755612" w:rsidRDefault="00D24C38" w:rsidP="00075465">
      <w:pPr>
        <w:pStyle w:val="ListParagraph"/>
        <w:numPr>
          <w:ilvl w:val="0"/>
          <w:numId w:val="8"/>
        </w:numPr>
        <w:spacing w:after="0" w:line="240" w:lineRule="auto"/>
        <w:rPr>
          <w:rFonts w:ascii="Alef" w:hAnsi="Alef" w:cs="Alef"/>
        </w:rPr>
      </w:pPr>
      <w:r w:rsidRPr="00755612">
        <w:rPr>
          <w:rFonts w:ascii="Alef" w:hAnsi="Alef" w:cs="Alef"/>
          <w:rtl/>
        </w:rPr>
        <w:t xml:space="preserve">שבא תפרסם באתר האינטרנט שלה תעריף לכל אחד מהשירותים שהיא מספקת במסגרת מערכות שבא כהגדרתה בסעיף ההגדרות. </w:t>
      </w:r>
    </w:p>
    <w:p w:rsidR="00D24C38" w:rsidRPr="00755612" w:rsidRDefault="00D24C38" w:rsidP="00075465">
      <w:pPr>
        <w:pStyle w:val="ListParagraph"/>
        <w:numPr>
          <w:ilvl w:val="0"/>
          <w:numId w:val="8"/>
        </w:numPr>
        <w:spacing w:after="0" w:line="240" w:lineRule="auto"/>
        <w:rPr>
          <w:rFonts w:ascii="Alef" w:eastAsia="Times New Roman" w:hAnsi="Alef" w:cs="Alef"/>
          <w:rtl/>
        </w:rPr>
      </w:pPr>
      <w:r w:rsidRPr="00755612">
        <w:rPr>
          <w:rFonts w:ascii="Alef" w:eastAsia="Times New Roman" w:hAnsi="Alef" w:cs="Alef"/>
          <w:rtl/>
        </w:rPr>
        <w:t>התעורר ספק בדבר פרשנותם או תחולתם של תנאים אלה, יובא הדבר להכרעת הממונה.</w:t>
      </w:r>
    </w:p>
    <w:p w:rsidR="00D24C38" w:rsidRDefault="00D24C38" w:rsidP="00075465">
      <w:pPr>
        <w:spacing w:after="0" w:line="240" w:lineRule="auto"/>
        <w:jc w:val="both"/>
        <w:rPr>
          <w:rFonts w:ascii="Alef" w:eastAsia="Times New Roman" w:hAnsi="Alef" w:cs="Alef"/>
          <w:sz w:val="24"/>
          <w:szCs w:val="24"/>
          <w:u w:val="single"/>
          <w:rtl/>
        </w:rPr>
      </w:pPr>
    </w:p>
    <w:p w:rsidR="00755612" w:rsidRPr="00755612" w:rsidRDefault="00755612" w:rsidP="00075465">
      <w:pPr>
        <w:spacing w:after="0" w:line="240" w:lineRule="auto"/>
        <w:jc w:val="both"/>
        <w:rPr>
          <w:rFonts w:ascii="Alef" w:eastAsia="Times New Roman" w:hAnsi="Alef" w:cs="Alef"/>
          <w:sz w:val="24"/>
          <w:szCs w:val="24"/>
          <w:u w:val="single"/>
          <w:rtl/>
        </w:rPr>
      </w:pPr>
    </w:p>
    <w:p w:rsidR="00755612" w:rsidRDefault="00755612" w:rsidP="00075465">
      <w:pPr>
        <w:tabs>
          <w:tab w:val="center" w:pos="6321"/>
        </w:tabs>
        <w:spacing w:after="0" w:line="240" w:lineRule="auto"/>
        <w:jc w:val="both"/>
        <w:rPr>
          <w:rFonts w:ascii="Alef" w:hAnsi="Alef" w:cs="Alef"/>
          <w:b/>
          <w:bCs/>
          <w:sz w:val="24"/>
          <w:szCs w:val="24"/>
          <w:rtl/>
        </w:rPr>
      </w:pPr>
    </w:p>
    <w:p w:rsidR="006F7497" w:rsidRPr="00755612" w:rsidRDefault="00D24C38" w:rsidP="00075465">
      <w:pPr>
        <w:tabs>
          <w:tab w:val="center" w:pos="6321"/>
        </w:tabs>
        <w:spacing w:after="0" w:line="240" w:lineRule="auto"/>
        <w:ind w:left="4529"/>
        <w:jc w:val="center"/>
        <w:rPr>
          <w:rFonts w:ascii="Alef" w:hAnsi="Alef" w:cs="Alef"/>
          <w:sz w:val="24"/>
          <w:szCs w:val="24"/>
          <w:rtl/>
        </w:rPr>
      </w:pPr>
      <w:r w:rsidRPr="00755612">
        <w:rPr>
          <w:rFonts w:ascii="Alef" w:hAnsi="Alef" w:cs="Alef"/>
          <w:sz w:val="24"/>
          <w:szCs w:val="24"/>
          <w:rtl/>
        </w:rPr>
        <w:t>מיכל כהן</w:t>
      </w:r>
    </w:p>
    <w:p w:rsidR="00755612" w:rsidRDefault="00755612" w:rsidP="00075465">
      <w:pPr>
        <w:tabs>
          <w:tab w:val="center" w:pos="6321"/>
        </w:tabs>
        <w:spacing w:after="0" w:line="240" w:lineRule="auto"/>
        <w:ind w:left="4529"/>
        <w:jc w:val="center"/>
        <w:rPr>
          <w:rFonts w:ascii="Alef" w:hAnsi="Alef" w:cs="Alef"/>
          <w:sz w:val="24"/>
          <w:szCs w:val="24"/>
          <w:rtl/>
        </w:rPr>
      </w:pPr>
    </w:p>
    <w:p w:rsidR="00755612" w:rsidRDefault="00755612" w:rsidP="00075465">
      <w:pPr>
        <w:tabs>
          <w:tab w:val="center" w:pos="6321"/>
        </w:tabs>
        <w:spacing w:after="0" w:line="240" w:lineRule="auto"/>
        <w:ind w:left="4529"/>
        <w:jc w:val="center"/>
        <w:rPr>
          <w:rFonts w:ascii="Alef" w:hAnsi="Alef" w:cs="Alef"/>
          <w:sz w:val="24"/>
          <w:szCs w:val="24"/>
          <w:rtl/>
        </w:rPr>
      </w:pPr>
    </w:p>
    <w:p w:rsidR="006F7497" w:rsidRPr="00755612" w:rsidRDefault="006F7497" w:rsidP="00075465">
      <w:pPr>
        <w:tabs>
          <w:tab w:val="center" w:pos="6321"/>
        </w:tabs>
        <w:spacing w:after="0" w:line="240" w:lineRule="auto"/>
        <w:ind w:left="4529"/>
        <w:jc w:val="center"/>
        <w:rPr>
          <w:rFonts w:ascii="Alef" w:hAnsi="Alef" w:cs="Alef"/>
          <w:sz w:val="24"/>
          <w:szCs w:val="24"/>
          <w:rtl/>
        </w:rPr>
      </w:pPr>
      <w:r w:rsidRPr="00755612">
        <w:rPr>
          <w:rFonts w:ascii="Alef" w:hAnsi="Alef" w:cs="Alef"/>
          <w:sz w:val="24"/>
          <w:szCs w:val="24"/>
          <w:rtl/>
        </w:rPr>
        <w:t>הממונה על התחרות</w:t>
      </w:r>
    </w:p>
    <w:p w:rsidR="00B32804" w:rsidRPr="00755612" w:rsidRDefault="00B32804" w:rsidP="00075465">
      <w:pPr>
        <w:tabs>
          <w:tab w:val="left" w:pos="6752"/>
        </w:tabs>
        <w:spacing w:after="0" w:line="240" w:lineRule="auto"/>
        <w:jc w:val="both"/>
        <w:rPr>
          <w:rFonts w:ascii="Alef" w:hAnsi="Alef" w:cs="Alef"/>
          <w:sz w:val="24"/>
          <w:szCs w:val="24"/>
          <w:rtl/>
        </w:rPr>
      </w:pPr>
    </w:p>
    <w:p w:rsidR="00755612" w:rsidRDefault="00755612" w:rsidP="00075465">
      <w:pPr>
        <w:tabs>
          <w:tab w:val="left" w:pos="6752"/>
        </w:tabs>
        <w:spacing w:after="0" w:line="240" w:lineRule="auto"/>
        <w:jc w:val="both"/>
        <w:rPr>
          <w:rFonts w:ascii="Alef" w:hAnsi="Alef" w:cs="Alef"/>
          <w:sz w:val="24"/>
          <w:szCs w:val="24"/>
          <w:rtl/>
        </w:rPr>
      </w:pPr>
    </w:p>
    <w:p w:rsidR="00755612" w:rsidRDefault="00755612" w:rsidP="00075465">
      <w:pPr>
        <w:tabs>
          <w:tab w:val="left" w:pos="6752"/>
        </w:tabs>
        <w:spacing w:after="0" w:line="240" w:lineRule="auto"/>
        <w:jc w:val="both"/>
        <w:rPr>
          <w:rFonts w:ascii="Alef" w:hAnsi="Alef" w:cs="Alef"/>
          <w:sz w:val="24"/>
          <w:szCs w:val="24"/>
          <w:rtl/>
        </w:rPr>
      </w:pPr>
    </w:p>
    <w:p w:rsidR="006F7497" w:rsidRPr="00755612" w:rsidRDefault="006F7497" w:rsidP="00075465">
      <w:pPr>
        <w:tabs>
          <w:tab w:val="left" w:pos="6752"/>
        </w:tabs>
        <w:spacing w:after="0" w:line="240" w:lineRule="auto"/>
        <w:jc w:val="both"/>
        <w:rPr>
          <w:rFonts w:ascii="Alef" w:hAnsi="Alef" w:cs="Alef"/>
          <w:sz w:val="24"/>
          <w:szCs w:val="24"/>
          <w:rtl/>
        </w:rPr>
      </w:pPr>
      <w:r w:rsidRPr="00755612">
        <w:rPr>
          <w:rFonts w:ascii="Alef" w:hAnsi="Alef" w:cs="Alef"/>
          <w:sz w:val="24"/>
          <w:szCs w:val="24"/>
          <w:rtl/>
        </w:rPr>
        <w:t xml:space="preserve">ירושלים, </w:t>
      </w:r>
      <w:r w:rsidRPr="00755612">
        <w:rPr>
          <w:rFonts w:ascii="Alef" w:hAnsi="Alef" w:cs="Alef"/>
          <w:sz w:val="24"/>
          <w:szCs w:val="24"/>
          <w:highlight w:val="yellow"/>
          <w:rtl/>
        </w:rPr>
        <w:t>‏</w:t>
      </w:r>
      <w:r w:rsidR="00AC503C" w:rsidRPr="00755612">
        <w:rPr>
          <w:rFonts w:ascii="Alef" w:hAnsi="Alef" w:cs="Alef"/>
          <w:sz w:val="24"/>
          <w:szCs w:val="24"/>
          <w:rtl/>
        </w:rPr>
        <w:t>‏ד' טבת, תשפ"ג</w:t>
      </w:r>
    </w:p>
    <w:p w:rsidR="006F7497" w:rsidRPr="00755612" w:rsidRDefault="00AC503C" w:rsidP="00075465">
      <w:pPr>
        <w:tabs>
          <w:tab w:val="left" w:pos="6752"/>
        </w:tabs>
        <w:spacing w:after="0" w:line="240" w:lineRule="auto"/>
        <w:jc w:val="both"/>
        <w:rPr>
          <w:rFonts w:ascii="Alef" w:hAnsi="Alef" w:cs="Alef"/>
          <w:sz w:val="24"/>
          <w:szCs w:val="24"/>
          <w:rtl/>
        </w:rPr>
      </w:pPr>
      <w:r w:rsidRPr="00755612">
        <w:rPr>
          <w:rFonts w:ascii="Alef" w:hAnsi="Alef" w:cs="Alef"/>
          <w:sz w:val="24"/>
          <w:szCs w:val="24"/>
          <w:rtl/>
        </w:rPr>
        <w:t>‏28 דצמבר, 2022</w:t>
      </w:r>
      <w:r w:rsidR="00B32804" w:rsidRPr="00755612">
        <w:rPr>
          <w:rFonts w:ascii="Alef" w:hAnsi="Alef" w:cs="Alef"/>
          <w:sz w:val="24"/>
          <w:szCs w:val="24"/>
          <w:rtl/>
        </w:rPr>
        <w:t xml:space="preserve"> </w:t>
      </w:r>
    </w:p>
    <w:sectPr w:rsidR="006F7497" w:rsidRPr="00755612" w:rsidSect="00755612">
      <w:footerReference w:type="default" r:id="rId8"/>
      <w:headerReference w:type="first" r:id="rId9"/>
      <w:footerReference w:type="first" r:id="rId10"/>
      <w:pgSz w:w="12240" w:h="15840"/>
      <w:pgMar w:top="1440" w:right="1800" w:bottom="1702"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DA9" w:rsidRDefault="00011DA9" w:rsidP="00183BC1">
      <w:pPr>
        <w:spacing w:after="0" w:line="240" w:lineRule="auto"/>
      </w:pPr>
      <w:r>
        <w:separator/>
      </w:r>
    </w:p>
  </w:endnote>
  <w:endnote w:type="continuationSeparator" w:id="0">
    <w:p w:rsidR="00011DA9" w:rsidRDefault="00011DA9" w:rsidP="00183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7161421"/>
      <w:docPartObj>
        <w:docPartGallery w:val="Page Numbers (Bottom of Page)"/>
        <w:docPartUnique/>
      </w:docPartObj>
    </w:sdtPr>
    <w:sdtEndPr/>
    <w:sdtContent>
      <w:p w:rsidR="00FF0084" w:rsidRDefault="00075465" w:rsidP="00075465">
        <w:pPr>
          <w:pStyle w:val="Footer"/>
          <w:jc w:val="center"/>
        </w:pPr>
        <w:r>
          <w:fldChar w:fldCharType="begin"/>
        </w:r>
        <w:r>
          <w:rPr>
            <w:cs/>
          </w:rPr>
          <w:instrText>PAGE   \* MERGEFORMAT</w:instrText>
        </w:r>
        <w:r>
          <w:fldChar w:fldCharType="separate"/>
        </w:r>
        <w:r w:rsidR="00710E29" w:rsidRPr="00710E29">
          <w:rPr>
            <w:noProof/>
            <w:lang w:val="he-IL"/>
          </w:rP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5612" w:rsidRDefault="00755612">
    <w:pPr>
      <w:pStyle w:val="Footer"/>
    </w:pPr>
    <w:r>
      <w:rPr>
        <w:noProof/>
      </w:rPr>
      <w:drawing>
        <wp:anchor distT="0" distB="0" distL="114300" distR="114300" simplePos="0" relativeHeight="251664384" behindDoc="1" locked="0" layoutInCell="1" allowOverlap="1" wp14:anchorId="0D5B7B64" wp14:editId="099962DB">
          <wp:simplePos x="0" y="0"/>
          <wp:positionH relativeFrom="page">
            <wp:posOffset>13914</wp:posOffset>
          </wp:positionH>
          <wp:positionV relativeFrom="page">
            <wp:posOffset>8977160</wp:posOffset>
          </wp:positionV>
          <wp:extent cx="7585710" cy="1047750"/>
          <wp:effectExtent l="0" t="0" r="0" b="0"/>
          <wp:wrapNone/>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דף פירמה עיצוב שני_דף פירמה חדש 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710" cy="10477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DA9" w:rsidRDefault="00011DA9" w:rsidP="00183BC1">
      <w:pPr>
        <w:spacing w:after="0" w:line="240" w:lineRule="auto"/>
      </w:pPr>
      <w:r>
        <w:separator/>
      </w:r>
    </w:p>
  </w:footnote>
  <w:footnote w:type="continuationSeparator" w:id="0">
    <w:p w:rsidR="00011DA9" w:rsidRDefault="00011DA9" w:rsidP="00183BC1">
      <w:pPr>
        <w:spacing w:after="0" w:line="240" w:lineRule="auto"/>
      </w:pPr>
      <w:r>
        <w:continuationSeparator/>
      </w:r>
    </w:p>
  </w:footnote>
  <w:footnote w:id="1">
    <w:p w:rsidR="00D24C38" w:rsidRPr="00075465" w:rsidRDefault="00D24C38" w:rsidP="00755612">
      <w:pPr>
        <w:pStyle w:val="FootnoteText"/>
        <w:spacing w:after="120"/>
        <w:jc w:val="both"/>
        <w:rPr>
          <w:rFonts w:ascii="Alef" w:hAnsi="Alef" w:cs="Alef"/>
          <w:rtl/>
        </w:rPr>
      </w:pPr>
      <w:r w:rsidRPr="00075465">
        <w:rPr>
          <w:rStyle w:val="FootnoteReference"/>
          <w:rFonts w:ascii="Alef" w:hAnsi="Alef" w:cs="Alef"/>
        </w:rPr>
        <w:footnoteRef/>
      </w:r>
      <w:r w:rsidRPr="00075465">
        <w:rPr>
          <w:rFonts w:ascii="Alef" w:hAnsi="Alef" w:cs="Alef"/>
          <w:rtl/>
        </w:rPr>
        <w:t xml:space="preserve"> החלטה לפי סעיף 14 לחוק ההגבלים העסקיים, התשמ"ח-1988 בדבר מתן פטור בתנאים מאישור הסדר כובל להסדר חברת שירותי בנק אוטומטיים בע"מ בין: בנק הפועלים בע"מ, בנק לאומי לישראל בע"מ, בנק מזרחי טפחות בע"מ, בנק דיסקונט לישראל בע"מ, הבנק הבינלאומי הראשון לישראל בע"מ</w:t>
      </w:r>
      <w:r w:rsidRPr="00075465">
        <w:rPr>
          <w:rFonts w:ascii="Alef" w:hAnsi="Alef" w:cs="Alef"/>
          <w:b/>
          <w:bCs/>
          <w:rtl/>
        </w:rPr>
        <w:t xml:space="preserve">, </w:t>
      </w:r>
      <w:r w:rsidRPr="00075465">
        <w:rPr>
          <w:rFonts w:ascii="Alef" w:hAnsi="Alef" w:cs="Alef"/>
          <w:rtl/>
        </w:rPr>
        <w:t>שירותי בנק אוטומטיים בע"מ</w:t>
      </w:r>
      <w:r w:rsidRPr="00075465">
        <w:rPr>
          <w:rFonts w:ascii="Alef" w:hAnsi="Alef" w:cs="Alef"/>
          <w:b/>
          <w:bCs/>
          <w:rtl/>
        </w:rPr>
        <w:t xml:space="preserve"> </w:t>
      </w:r>
      <w:r w:rsidRPr="00075465">
        <w:rPr>
          <w:rFonts w:ascii="Alef" w:hAnsi="Alef" w:cs="Alef"/>
          <w:rtl/>
        </w:rPr>
        <w:t>(</w:t>
      </w:r>
      <w:r w:rsidRPr="00075465">
        <w:rPr>
          <w:rFonts w:ascii="Alef" w:hAnsi="Alef" w:cs="Alef"/>
        </w:rPr>
        <w:t>24.09.2017</w:t>
      </w:r>
      <w:r w:rsidRPr="00075465">
        <w:rPr>
          <w:rFonts w:ascii="Alef" w:hAnsi="Alef" w:cs="Alef"/>
          <w:rtl/>
        </w:rPr>
        <w:t xml:space="preserve">) </w:t>
      </w:r>
      <w:r w:rsidRPr="00075465">
        <w:rPr>
          <w:rFonts w:ascii="Alef" w:hAnsi="Alef" w:cs="Alef"/>
          <w:b/>
          <w:bCs/>
          <w:rtl/>
        </w:rPr>
        <w:t xml:space="preserve">רשות התחרות </w:t>
      </w:r>
      <w:r w:rsidRPr="00075465">
        <w:rPr>
          <w:rFonts w:ascii="Alef" w:hAnsi="Alef" w:cs="Alef"/>
          <w:rtl/>
        </w:rPr>
        <w:t>501301.</w:t>
      </w:r>
    </w:p>
  </w:footnote>
  <w:footnote w:id="2">
    <w:p w:rsidR="00D24C38" w:rsidRPr="00075465" w:rsidRDefault="00D24C38" w:rsidP="00755612">
      <w:pPr>
        <w:pStyle w:val="FootnoteText"/>
        <w:spacing w:after="120"/>
        <w:jc w:val="both"/>
        <w:rPr>
          <w:rFonts w:ascii="Alef" w:hAnsi="Alef" w:cs="Alef"/>
          <w:rtl/>
        </w:rPr>
      </w:pPr>
      <w:r w:rsidRPr="00075465">
        <w:rPr>
          <w:rStyle w:val="FootnoteReference"/>
          <w:rFonts w:ascii="Alef" w:hAnsi="Alef" w:cs="Alef"/>
        </w:rPr>
        <w:footnoteRef/>
      </w:r>
      <w:r w:rsidRPr="00075465">
        <w:rPr>
          <w:rFonts w:ascii="Alef" w:hAnsi="Alef" w:cs="Alef"/>
          <w:rtl/>
        </w:rPr>
        <w:t xml:space="preserve"> על פי סעיף 11ב(ד) לחוק בנקאות (רישוי) התשמ"א-1981, כפי שתוקן במסגרת החוק להגברת התחרות, עד לתום 6 שנים מכניסת החוק להגברת התחרות לתוקף, שר האוצר רשאי, בהסכמת הנגיד ובאישור ועדת הכספים של הכנסת, לקבוע רף נמוך יותר להגדרת "בנק בעל היקף פעילות רחב", באופן שעשוי לחייב את בנק דיסקונט להיפרד </w:t>
      </w:r>
      <w:proofErr w:type="spellStart"/>
      <w:r w:rsidRPr="00075465">
        <w:rPr>
          <w:rFonts w:ascii="Alef" w:hAnsi="Alef" w:cs="Alef"/>
          <w:rtl/>
        </w:rPr>
        <w:t>מההחזקות</w:t>
      </w:r>
      <w:proofErr w:type="spellEnd"/>
      <w:r w:rsidRPr="00075465">
        <w:rPr>
          <w:rFonts w:ascii="Alef" w:hAnsi="Alef" w:cs="Alef"/>
          <w:rtl/>
        </w:rPr>
        <w:t xml:space="preserve"> </w:t>
      </w:r>
      <w:proofErr w:type="spellStart"/>
      <w:r w:rsidRPr="00075465">
        <w:rPr>
          <w:rFonts w:ascii="Alef" w:hAnsi="Alef" w:cs="Alef"/>
          <w:rtl/>
        </w:rPr>
        <w:t>בכאל</w:t>
      </w:r>
      <w:proofErr w:type="spellEnd"/>
      <w:r w:rsidRPr="00075465">
        <w:rPr>
          <w:rFonts w:ascii="Alef" w:hAnsi="Alef" w:cs="Alef"/>
          <w:rtl/>
        </w:rPr>
        <w:t xml:space="preserve">. </w:t>
      </w:r>
    </w:p>
  </w:footnote>
  <w:footnote w:id="3">
    <w:p w:rsidR="00D24C38" w:rsidRPr="00075465" w:rsidRDefault="00D24C38" w:rsidP="00755612">
      <w:pPr>
        <w:pStyle w:val="FootnoteText"/>
        <w:spacing w:after="120"/>
        <w:jc w:val="both"/>
        <w:rPr>
          <w:rFonts w:ascii="Alef" w:hAnsi="Alef" w:cs="Alef"/>
          <w:rtl/>
        </w:rPr>
      </w:pPr>
      <w:r w:rsidRPr="00075465">
        <w:rPr>
          <w:rStyle w:val="FootnoteReference"/>
          <w:rFonts w:ascii="Alef" w:hAnsi="Alef" w:cs="Alef"/>
        </w:rPr>
        <w:footnoteRef/>
      </w:r>
      <w:r w:rsidRPr="00075465">
        <w:rPr>
          <w:rFonts w:ascii="Alef" w:hAnsi="Alef" w:cs="Alef"/>
          <w:rtl/>
        </w:rPr>
        <w:t xml:space="preserve"> </w:t>
      </w:r>
      <w:r w:rsidRPr="00075465">
        <w:rPr>
          <w:rFonts w:ascii="Alef" w:hAnsi="Alef" w:cs="Alef"/>
        </w:rPr>
        <w:t>https://www.boi.org.il/he/NewsAndPublications/PressReleases/Pages/16-08-2022.aspx</w:t>
      </w:r>
    </w:p>
  </w:footnote>
  <w:footnote w:id="4">
    <w:p w:rsidR="00D24C38" w:rsidRPr="00075465" w:rsidRDefault="00D24C38" w:rsidP="00075465">
      <w:pPr>
        <w:pStyle w:val="FootnoteText"/>
        <w:spacing w:after="120"/>
        <w:rPr>
          <w:rFonts w:ascii="Alef" w:hAnsi="Alef" w:cs="Alef"/>
          <w:rtl/>
        </w:rPr>
      </w:pPr>
      <w:r w:rsidRPr="00075465">
        <w:rPr>
          <w:rStyle w:val="FootnoteReference"/>
          <w:rFonts w:ascii="Alef" w:hAnsi="Alef" w:cs="Alef"/>
        </w:rPr>
        <w:footnoteRef/>
      </w:r>
      <w:r w:rsidRPr="00075465">
        <w:rPr>
          <w:rFonts w:ascii="Alef" w:hAnsi="Alef" w:cs="Alef"/>
          <w:rtl/>
        </w:rPr>
        <w:t xml:space="preserve"> שיעור העמלה הצולבת נקבע בעבר על ידי בית הדין לתחרות וכיום על ידי בנק ישראל. כיום השיעור עומד על 0.55% וצפוי לרדת ל-0.5% ביום 1.1.2024. </w:t>
      </w:r>
      <w:hyperlink r:id="rId1" w:history="1">
        <w:r w:rsidRPr="00075465">
          <w:rPr>
            <w:rStyle w:val="Hyperlink"/>
            <w:rFonts w:ascii="Alef" w:hAnsi="Alef" w:cs="Alef"/>
          </w:rPr>
          <w:t>https://www.boi.org.il/he/NewsAndPublications/PressReleases/Pages/16-1-18.aspx</w:t>
        </w:r>
      </w:hyperlink>
      <w:r w:rsidRPr="00075465">
        <w:rPr>
          <w:rFonts w:ascii="Alef" w:hAnsi="Alef" w:cs="Alef"/>
          <w:rtl/>
        </w:rPr>
        <w:t xml:space="preserve"> </w:t>
      </w:r>
    </w:p>
  </w:footnote>
  <w:footnote w:id="5">
    <w:p w:rsidR="00D24C38" w:rsidRPr="00075465" w:rsidRDefault="00D24C38" w:rsidP="00755612">
      <w:pPr>
        <w:pStyle w:val="FootnoteText"/>
        <w:spacing w:after="120"/>
        <w:jc w:val="both"/>
        <w:rPr>
          <w:rFonts w:ascii="Alef" w:hAnsi="Alef" w:cs="Alef"/>
          <w:b/>
          <w:bCs/>
          <w:rtl/>
        </w:rPr>
      </w:pPr>
      <w:r w:rsidRPr="00075465">
        <w:rPr>
          <w:rStyle w:val="FootnoteReference"/>
          <w:rFonts w:ascii="Alef" w:hAnsi="Alef" w:cs="Alef"/>
        </w:rPr>
        <w:footnoteRef/>
      </w:r>
      <w:r w:rsidRPr="00075465">
        <w:rPr>
          <w:rFonts w:ascii="Alef" w:hAnsi="Alef" w:cs="Alef"/>
          <w:rtl/>
        </w:rPr>
        <w:t xml:space="preserve"> ר' החלטה לפי סעיף 14 לחוק ההגבלים העסקיים, התשמ"ל-1988 בדבר מתן פטור בתנאים מאישור הסדר כובל להסדר בין ישראכרט בע"מ, כרטיסי אשראי לישראל בע"מ ולאומי קארד בע"מ (16.5.2018) </w:t>
      </w:r>
      <w:r w:rsidRPr="00075465">
        <w:rPr>
          <w:rFonts w:ascii="Alef" w:hAnsi="Alef" w:cs="Alef"/>
          <w:b/>
          <w:bCs/>
          <w:rtl/>
        </w:rPr>
        <w:t>רשות התחרות</w:t>
      </w:r>
      <w:r w:rsidRPr="00075465">
        <w:rPr>
          <w:rFonts w:ascii="Alef" w:hAnsi="Alef" w:cs="Alef"/>
          <w:rtl/>
        </w:rPr>
        <w:t xml:space="preserve"> 501507</w:t>
      </w:r>
      <w:r w:rsidRPr="00075465">
        <w:rPr>
          <w:rFonts w:ascii="Alef" w:hAnsi="Alef" w:cs="Alef"/>
          <w:b/>
          <w:bCs/>
          <w:rtl/>
        </w:rPr>
        <w:t xml:space="preserve">. </w:t>
      </w:r>
      <w:r w:rsidRPr="00075465">
        <w:rPr>
          <w:rFonts w:ascii="Alef" w:hAnsi="Alef" w:cs="Alef"/>
          <w:b/>
          <w:bCs/>
        </w:rPr>
        <w:t>https://www.gov.il/he/departments/legalInfo/decisions009850</w:t>
      </w:r>
    </w:p>
  </w:footnote>
  <w:footnote w:id="6">
    <w:p w:rsidR="00D24C38" w:rsidRPr="00075465" w:rsidRDefault="00D24C38" w:rsidP="00755612">
      <w:pPr>
        <w:pStyle w:val="FootnoteText"/>
        <w:spacing w:after="120"/>
        <w:jc w:val="both"/>
        <w:rPr>
          <w:rFonts w:ascii="Alef" w:hAnsi="Alef" w:cs="Alef"/>
        </w:rPr>
      </w:pPr>
      <w:r w:rsidRPr="00075465">
        <w:rPr>
          <w:rStyle w:val="FootnoteReference"/>
          <w:rFonts w:ascii="Alef" w:hAnsi="Alef" w:cs="Alef"/>
        </w:rPr>
        <w:footnoteRef/>
      </w:r>
      <w:r w:rsidRPr="00075465">
        <w:rPr>
          <w:rFonts w:ascii="Alef" w:hAnsi="Alef" w:cs="Alef"/>
          <w:rtl/>
        </w:rPr>
        <w:t xml:space="preserve"> החלטה לפי סעיף 14 לחוק התחרות הכלכלית, התשמ"ח-1988 בדבר מתן פטור בתנאים מאישור הסדר כובל להסדר חברת מרכז סליקה בנקאי בע"מ בין: בנק הפועלים בע"מ, בנק לאומי לישראל בע"מ, בנק דיסקונט לישראל בע"מ, בנק המזרחי טפחות בע"מ והבנק הבינלאומי הראשון לישראל בע"מ (18.06.2020), </w:t>
      </w:r>
      <w:r w:rsidRPr="00075465">
        <w:rPr>
          <w:rFonts w:ascii="Alef" w:hAnsi="Alef" w:cs="Alef"/>
          <w:b/>
          <w:bCs/>
          <w:rtl/>
        </w:rPr>
        <w:t>הגבלים עסקיים</w:t>
      </w:r>
      <w:r w:rsidRPr="00075465">
        <w:rPr>
          <w:rFonts w:ascii="Alef" w:hAnsi="Alef" w:cs="Alef"/>
          <w:rtl/>
        </w:rPr>
        <w:t xml:space="preserve"> 501702 </w:t>
      </w:r>
    </w:p>
  </w:footnote>
  <w:footnote w:id="7">
    <w:p w:rsidR="00D24C38" w:rsidRPr="00075465" w:rsidRDefault="00D24C38" w:rsidP="00755612">
      <w:pPr>
        <w:pStyle w:val="FootnoteText"/>
        <w:spacing w:after="120"/>
        <w:jc w:val="both"/>
        <w:rPr>
          <w:rFonts w:ascii="Alef" w:hAnsi="Alef" w:cs="Alef"/>
          <w:rtl/>
        </w:rPr>
      </w:pPr>
      <w:r w:rsidRPr="00075465">
        <w:rPr>
          <w:rStyle w:val="FootnoteReference"/>
          <w:rFonts w:ascii="Alef" w:hAnsi="Alef" w:cs="Alef"/>
        </w:rPr>
        <w:footnoteRef/>
      </w:r>
      <w:r w:rsidRPr="00075465">
        <w:rPr>
          <w:rFonts w:ascii="Alef" w:hAnsi="Alef" w:cs="Alef"/>
          <w:rtl/>
        </w:rPr>
        <w:t xml:space="preserve"> חריג לכך הן עסקאות בכרטיס חסר, כמו עסקאות המתבצעות על גבי רשת האינטרנט או בטלפון, באמצעות מסירת פרטים על כרטיס האשראי של הצרכן. עסקאות אלו דורשות רכיב תוכנה בלבד.</w:t>
      </w:r>
    </w:p>
  </w:footnote>
  <w:footnote w:id="8">
    <w:p w:rsidR="00D24C38" w:rsidRPr="00075465" w:rsidRDefault="00D24C38" w:rsidP="00755612">
      <w:pPr>
        <w:pStyle w:val="FootnoteText"/>
        <w:spacing w:after="120"/>
        <w:jc w:val="both"/>
        <w:rPr>
          <w:rFonts w:ascii="Alef" w:hAnsi="Alef" w:cs="Alef"/>
        </w:rPr>
      </w:pPr>
      <w:r w:rsidRPr="00075465">
        <w:rPr>
          <w:rStyle w:val="FootnoteReference"/>
          <w:rFonts w:ascii="Alef" w:hAnsi="Alef" w:cs="Alef"/>
        </w:rPr>
        <w:footnoteRef/>
      </w:r>
      <w:r w:rsidRPr="00075465">
        <w:rPr>
          <w:rFonts w:ascii="Alef" w:hAnsi="Alef" w:cs="Alef"/>
          <w:rtl/>
        </w:rPr>
        <w:t xml:space="preserve"> </w:t>
      </w:r>
      <w:proofErr w:type="spellStart"/>
      <w:r w:rsidRPr="00075465">
        <w:rPr>
          <w:rFonts w:ascii="Alef" w:hAnsi="Alef" w:cs="Alef"/>
          <w:rtl/>
        </w:rPr>
        <w:t>ה"ע</w:t>
      </w:r>
      <w:proofErr w:type="spellEnd"/>
      <w:r w:rsidRPr="00075465">
        <w:rPr>
          <w:rFonts w:ascii="Alef" w:hAnsi="Alef" w:cs="Alef"/>
          <w:rtl/>
        </w:rPr>
        <w:t xml:space="preserve"> 4630/01 </w:t>
      </w:r>
      <w:r w:rsidRPr="00075465">
        <w:rPr>
          <w:rFonts w:ascii="Alef" w:hAnsi="Alef" w:cs="Alef"/>
          <w:b/>
          <w:bCs/>
          <w:rtl/>
        </w:rPr>
        <w:t xml:space="preserve">בנק לאומי לישראל ואח' נ' הממונה על ההגבלים העסקיים </w:t>
      </w:r>
      <w:r w:rsidRPr="00075465">
        <w:rPr>
          <w:rFonts w:ascii="Alef" w:hAnsi="Alef" w:cs="Alef"/>
          <w:rtl/>
        </w:rPr>
        <w:t xml:space="preserve">2006 </w:t>
      </w:r>
      <w:r w:rsidRPr="00075465">
        <w:rPr>
          <w:rFonts w:ascii="Alef" w:hAnsi="Alef" w:cs="Alef"/>
          <w:b/>
          <w:bCs/>
          <w:rtl/>
        </w:rPr>
        <w:t xml:space="preserve">הגבלים עסקיים </w:t>
      </w:r>
      <w:r w:rsidRPr="00075465">
        <w:rPr>
          <w:rFonts w:ascii="Alef" w:hAnsi="Alef" w:cs="Alef"/>
          <w:rtl/>
        </w:rPr>
        <w:t>5000592, פס' 8.</w:t>
      </w:r>
    </w:p>
  </w:footnote>
  <w:footnote w:id="9">
    <w:p w:rsidR="00D24C38" w:rsidRPr="00075465" w:rsidRDefault="00D24C38" w:rsidP="00755612">
      <w:pPr>
        <w:pStyle w:val="FootnoteText"/>
        <w:spacing w:after="120"/>
        <w:jc w:val="both"/>
        <w:rPr>
          <w:rFonts w:ascii="Alef" w:hAnsi="Alef" w:cs="Alef"/>
        </w:rPr>
      </w:pPr>
      <w:r w:rsidRPr="00075465">
        <w:rPr>
          <w:rStyle w:val="FootnoteReference"/>
          <w:rFonts w:ascii="Alef" w:hAnsi="Alef" w:cs="Alef"/>
        </w:rPr>
        <w:footnoteRef/>
      </w:r>
      <w:r w:rsidRPr="00075465">
        <w:rPr>
          <w:rFonts w:ascii="Alef" w:hAnsi="Alef" w:cs="Alef"/>
          <w:rtl/>
        </w:rPr>
        <w:t xml:space="preserve"> צו פיקוח על מחירי שירותים ומוצרים (הסרה חלקית של הפיקוח מעמלת משיכת מזומנים באמצעות מכשירים אוטומטיים), התשס"ה-2005. כספומטים מרוחקי סניף מוגדרים ככספומטים של תאגיד בנקאי המצויים במרחק של 500 מטרים או יותר מסניף של אותו תאגיד בנקאי.</w:t>
      </w:r>
    </w:p>
  </w:footnote>
  <w:footnote w:id="10">
    <w:p w:rsidR="00D24C38" w:rsidRPr="00075465" w:rsidRDefault="00D24C38" w:rsidP="00755612">
      <w:pPr>
        <w:pStyle w:val="FootnoteText"/>
        <w:spacing w:after="120"/>
        <w:jc w:val="both"/>
        <w:rPr>
          <w:rFonts w:ascii="Alef" w:hAnsi="Alef" w:cs="Alef"/>
        </w:rPr>
      </w:pPr>
      <w:r w:rsidRPr="00075465">
        <w:rPr>
          <w:rStyle w:val="FootnoteReference"/>
          <w:rFonts w:ascii="Alef" w:hAnsi="Alef" w:cs="Alef"/>
        </w:rPr>
        <w:footnoteRef/>
      </w:r>
      <w:r w:rsidRPr="00075465">
        <w:rPr>
          <w:rFonts w:ascii="Alef" w:hAnsi="Alef" w:cs="Alef"/>
          <w:rtl/>
        </w:rPr>
        <w:t xml:space="preserve"> הוראות ניהול בנקאי תקין 442 "משיכת מזומנים ממכשירי בנק אוטומטיים" (18.12.2015)</w:t>
      </w:r>
      <w:r w:rsidRPr="00075465">
        <w:rPr>
          <w:rFonts w:ascii="Alef" w:hAnsi="Alef" w:cs="Alef"/>
        </w:rPr>
        <w:t xml:space="preserve"> </w:t>
      </w:r>
      <w:hyperlink r:id="rId2" w:history="1">
        <w:r w:rsidRPr="00075465">
          <w:rPr>
            <w:rStyle w:val="Hyperlink"/>
            <w:rFonts w:ascii="Alef" w:hAnsi="Alef" w:cs="Alef"/>
          </w:rPr>
          <w:t>http://www.boi.org.il/he/BankingSupervision/SupervisorsDirectives/DocLib/442.pdf</w:t>
        </w:r>
      </w:hyperlink>
      <w:r w:rsidRPr="00075465">
        <w:rPr>
          <w:rFonts w:ascii="Alef" w:hAnsi="Alef" w:cs="Alef"/>
          <w:rtl/>
        </w:rPr>
        <w:t xml:space="preserve">. </w:t>
      </w:r>
    </w:p>
  </w:footnote>
  <w:footnote w:id="11">
    <w:p w:rsidR="00D24C38" w:rsidRPr="00075465" w:rsidRDefault="00D24C38" w:rsidP="00755612">
      <w:pPr>
        <w:pStyle w:val="FootnoteText"/>
        <w:spacing w:after="120"/>
        <w:jc w:val="both"/>
        <w:rPr>
          <w:rFonts w:ascii="Alef" w:hAnsi="Alef" w:cs="Alef"/>
        </w:rPr>
      </w:pPr>
      <w:r w:rsidRPr="00075465">
        <w:rPr>
          <w:rStyle w:val="FootnoteReference"/>
          <w:rFonts w:ascii="Alef" w:hAnsi="Alef" w:cs="Alef"/>
        </w:rPr>
        <w:footnoteRef/>
      </w:r>
      <w:r w:rsidRPr="00075465">
        <w:rPr>
          <w:rFonts w:ascii="Alef" w:hAnsi="Alef" w:cs="Alef"/>
          <w:rtl/>
        </w:rPr>
        <w:t xml:space="preserve"> עמי צדיק ומאיר </w:t>
      </w:r>
      <w:proofErr w:type="spellStart"/>
      <w:r w:rsidRPr="00075465">
        <w:rPr>
          <w:rFonts w:ascii="Alef" w:hAnsi="Alef" w:cs="Alef"/>
          <w:rtl/>
        </w:rPr>
        <w:t>אזנקוט</w:t>
      </w:r>
      <w:proofErr w:type="spellEnd"/>
      <w:r w:rsidRPr="00075465">
        <w:rPr>
          <w:rFonts w:ascii="Alef" w:hAnsi="Alef" w:cs="Alef"/>
          <w:rtl/>
        </w:rPr>
        <w:t xml:space="preserve">, </w:t>
      </w:r>
      <w:r w:rsidRPr="00075465">
        <w:rPr>
          <w:rFonts w:ascii="Alef" w:hAnsi="Alef" w:cs="Alef"/>
          <w:b/>
          <w:bCs/>
          <w:rtl/>
        </w:rPr>
        <w:t>תיאור וניתוח שוק המכשירים האוטומטיים למשיכת מזומן</w:t>
      </w:r>
      <w:r w:rsidRPr="00075465">
        <w:rPr>
          <w:rFonts w:ascii="Alef" w:hAnsi="Alef" w:cs="Alef"/>
          <w:rtl/>
        </w:rPr>
        <w:t xml:space="preserve"> (עמדות </w:t>
      </w:r>
      <w:r w:rsidRPr="00075465">
        <w:rPr>
          <w:rFonts w:ascii="Alef" w:hAnsi="Alef" w:cs="Alef"/>
        </w:rPr>
        <w:t>ATM</w:t>
      </w:r>
      <w:r w:rsidRPr="00075465">
        <w:rPr>
          <w:rFonts w:ascii="Alef" w:hAnsi="Alef" w:cs="Alef"/>
          <w:rtl/>
        </w:rPr>
        <w:t xml:space="preserve">), הכנסת, מרכז מחקר וידע, 2021) </w:t>
      </w:r>
    </w:p>
  </w:footnote>
  <w:footnote w:id="12">
    <w:p w:rsidR="00D24C38" w:rsidRPr="00075465" w:rsidRDefault="00D24C38" w:rsidP="00755612">
      <w:pPr>
        <w:pStyle w:val="FootnoteText"/>
        <w:spacing w:after="120"/>
        <w:jc w:val="both"/>
        <w:rPr>
          <w:rFonts w:ascii="Alef" w:hAnsi="Alef" w:cs="Alef"/>
          <w:rtl/>
        </w:rPr>
      </w:pPr>
      <w:r w:rsidRPr="00075465">
        <w:rPr>
          <w:rStyle w:val="FootnoteReference"/>
          <w:rFonts w:ascii="Alef" w:hAnsi="Alef" w:cs="Alef"/>
        </w:rPr>
        <w:footnoteRef/>
      </w:r>
      <w:r w:rsidRPr="00075465">
        <w:rPr>
          <w:rFonts w:ascii="Alef" w:hAnsi="Alef" w:cs="Alef"/>
          <w:rtl/>
        </w:rPr>
        <w:t xml:space="preserve"> החלטה לפי סעיף 14 לחוק ההגבלים העסקיים, התשמ"ח-1988 בדבר מתן פטור בתנאים מאישור הסדר כובל להסדר חברת שירותי בנק אוטומטיים בע"מ בין: בנק הפועלים בע"מ, בנק לאומי לישראל בע"מ, בנק מזרחי טפחות בע"מ, בנק דיסקונט בע"מ, הבנק הבינלאומי הראשון לישראל בע"מ</w:t>
      </w:r>
      <w:r w:rsidRPr="00075465">
        <w:rPr>
          <w:rFonts w:ascii="Alef" w:hAnsi="Alef" w:cs="Alef"/>
          <w:b/>
          <w:bCs/>
          <w:rtl/>
        </w:rPr>
        <w:t xml:space="preserve">, </w:t>
      </w:r>
      <w:r w:rsidRPr="00075465">
        <w:rPr>
          <w:rFonts w:ascii="Alef" w:hAnsi="Alef" w:cs="Alef"/>
          <w:rtl/>
        </w:rPr>
        <w:t>שירותי בנק אוטומטיים בע"מ</w:t>
      </w:r>
      <w:r w:rsidRPr="00075465">
        <w:rPr>
          <w:rFonts w:ascii="Alef" w:hAnsi="Alef" w:cs="Alef"/>
          <w:b/>
          <w:bCs/>
          <w:rtl/>
        </w:rPr>
        <w:t xml:space="preserve"> </w:t>
      </w:r>
      <w:r w:rsidRPr="00075465">
        <w:rPr>
          <w:rFonts w:ascii="Alef" w:hAnsi="Alef" w:cs="Alef"/>
          <w:rtl/>
        </w:rPr>
        <w:t xml:space="preserve">(20.9.2012) </w:t>
      </w:r>
      <w:r w:rsidRPr="00075465">
        <w:rPr>
          <w:rFonts w:ascii="Alef" w:hAnsi="Alef" w:cs="Alef"/>
          <w:b/>
          <w:bCs/>
          <w:rtl/>
        </w:rPr>
        <w:t xml:space="preserve">הגבלים עסקיים </w:t>
      </w:r>
      <w:r w:rsidRPr="00075465">
        <w:rPr>
          <w:rFonts w:ascii="Alef" w:hAnsi="Alef" w:cs="Alef"/>
          <w:rtl/>
        </w:rPr>
        <w:t>500224.</w:t>
      </w:r>
    </w:p>
  </w:footnote>
  <w:footnote w:id="13">
    <w:p w:rsidR="00D24C38" w:rsidRPr="00075465" w:rsidRDefault="00D24C38" w:rsidP="00755612">
      <w:pPr>
        <w:pStyle w:val="FootnoteText"/>
        <w:spacing w:after="120"/>
        <w:jc w:val="both"/>
        <w:rPr>
          <w:rFonts w:ascii="Alef" w:hAnsi="Alef" w:cs="Alef"/>
          <w:rtl/>
        </w:rPr>
      </w:pPr>
      <w:r w:rsidRPr="00075465">
        <w:rPr>
          <w:rStyle w:val="FootnoteReference"/>
          <w:rFonts w:ascii="Alef" w:hAnsi="Alef" w:cs="Alef"/>
        </w:rPr>
        <w:footnoteRef/>
      </w:r>
      <w:r w:rsidRPr="00075465">
        <w:rPr>
          <w:rFonts w:ascii="Alef" w:hAnsi="Alef" w:cs="Alef"/>
          <w:rtl/>
        </w:rPr>
        <w:t xml:space="preserve"> בנק ישראל </w:t>
      </w:r>
      <w:r w:rsidRPr="00075465">
        <w:rPr>
          <w:rFonts w:ascii="Alef" w:hAnsi="Alef" w:cs="Alef"/>
          <w:b/>
          <w:bCs/>
          <w:rtl/>
        </w:rPr>
        <w:t>שרשרת ביצוע עסקה בכרטיס חיוב – דו"ח סופי</w:t>
      </w:r>
      <w:r w:rsidRPr="00075465">
        <w:rPr>
          <w:rFonts w:ascii="Alef" w:hAnsi="Alef" w:cs="Alef"/>
          <w:rtl/>
        </w:rPr>
        <w:t xml:space="preserve"> (2016), עמ' 46.</w:t>
      </w:r>
    </w:p>
  </w:footnote>
  <w:footnote w:id="14">
    <w:p w:rsidR="00D24C38" w:rsidRPr="00075465" w:rsidRDefault="00D24C38" w:rsidP="00755612">
      <w:pPr>
        <w:spacing w:after="120"/>
        <w:rPr>
          <w:rFonts w:ascii="Alef" w:hAnsi="Alef" w:cs="Alef"/>
          <w:sz w:val="20"/>
          <w:szCs w:val="20"/>
        </w:rPr>
      </w:pPr>
      <w:r w:rsidRPr="00075465">
        <w:rPr>
          <w:rStyle w:val="FootnoteReference"/>
          <w:rFonts w:ascii="Alef" w:hAnsi="Alef" w:cs="Alef"/>
          <w:sz w:val="20"/>
          <w:szCs w:val="20"/>
        </w:rPr>
        <w:footnoteRef/>
      </w:r>
      <w:r w:rsidRPr="00075465">
        <w:rPr>
          <w:rFonts w:ascii="Alef" w:hAnsi="Alef" w:cs="Alef"/>
          <w:sz w:val="20"/>
          <w:szCs w:val="20"/>
          <w:rtl/>
        </w:rPr>
        <w:t xml:space="preserve"> החלטה לפי סעיף 14 לחוק ההגבלים העסקיים, התשמ"ח-1988 בדבר מתן פטור בתנאים מאישור הסדר כובל להסדר חברת שירותי בנק אוטומטיים בע"מ: בנק הפועלים בע"מ, בנק לאומי לישראל בע"מ, בנק מזרחי טפחות בע"מ, בנק דיסקונט בע"מ, הבנק הבינלאומי הראשון לישראל בע"מ, שירותי בנק אוטומטיים בע"מ (21.4.2016) </w:t>
      </w:r>
      <w:r w:rsidRPr="00075465">
        <w:rPr>
          <w:rFonts w:ascii="Alef" w:hAnsi="Alef" w:cs="Alef"/>
          <w:b/>
          <w:bCs/>
          <w:sz w:val="20"/>
          <w:szCs w:val="20"/>
          <w:rtl/>
        </w:rPr>
        <w:t>הגבלים עסקיים</w:t>
      </w:r>
      <w:r w:rsidRPr="00075465">
        <w:rPr>
          <w:rFonts w:ascii="Alef" w:hAnsi="Alef" w:cs="Alef"/>
          <w:sz w:val="20"/>
          <w:szCs w:val="20"/>
          <w:rtl/>
        </w:rPr>
        <w:t xml:space="preserve"> 500970.</w:t>
      </w:r>
    </w:p>
    <w:p w:rsidR="00D24C38" w:rsidRPr="00075465" w:rsidRDefault="00D24C38" w:rsidP="00755612">
      <w:pPr>
        <w:pStyle w:val="FootnoteText"/>
        <w:spacing w:after="120"/>
        <w:jc w:val="both"/>
        <w:rPr>
          <w:rFonts w:ascii="Alef" w:hAnsi="Alef" w:cs="Alef"/>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5612" w:rsidRDefault="00755612">
    <w:pPr>
      <w:pStyle w:val="Header"/>
    </w:pPr>
    <w:r>
      <w:rPr>
        <w:rFonts w:ascii="Alef" w:hAnsi="Alef" w:cs="Alef"/>
        <w:b/>
        <w:bCs/>
        <w:noProof/>
        <w:u w:val="single"/>
        <w:rtl/>
      </w:rPr>
      <w:drawing>
        <wp:anchor distT="0" distB="0" distL="114300" distR="114300" simplePos="0" relativeHeight="251662336" behindDoc="0" locked="0" layoutInCell="1" allowOverlap="1" wp14:anchorId="18B56330" wp14:editId="01AADE9D">
          <wp:simplePos x="0" y="0"/>
          <wp:positionH relativeFrom="page">
            <wp:posOffset>190500</wp:posOffset>
          </wp:positionH>
          <wp:positionV relativeFrom="paragraph">
            <wp:posOffset>-457200</wp:posOffset>
          </wp:positionV>
          <wp:extent cx="7562850" cy="1581785"/>
          <wp:effectExtent l="0" t="0" r="0" b="0"/>
          <wp:wrapSquare wrapText="bothSides"/>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תמונה 10"/>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5817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D5373"/>
    <w:multiLevelType w:val="hybridMultilevel"/>
    <w:tmpl w:val="799A9C9C"/>
    <w:lvl w:ilvl="0" w:tplc="E23E03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D5C69"/>
    <w:multiLevelType w:val="hybridMultilevel"/>
    <w:tmpl w:val="59544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014B0"/>
    <w:multiLevelType w:val="hybridMultilevel"/>
    <w:tmpl w:val="CD723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9757D"/>
    <w:multiLevelType w:val="hybridMultilevel"/>
    <w:tmpl w:val="642EC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4213B"/>
    <w:multiLevelType w:val="multilevel"/>
    <w:tmpl w:val="04090021"/>
    <w:lvl w:ilvl="0">
      <w:start w:val="1"/>
      <w:numFmt w:val="hebrew1"/>
      <w:lvlText w:val="%1."/>
      <w:lvlJc w:val="center"/>
      <w:pPr>
        <w:ind w:left="360" w:hanging="360"/>
      </w:pPr>
      <w:rPr>
        <w:rFonts w:hint="default"/>
      </w:r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5" w15:restartNumberingAfterBreak="0">
    <w:nsid w:val="4D323134"/>
    <w:multiLevelType w:val="multilevel"/>
    <w:tmpl w:val="B43E4B84"/>
    <w:lvl w:ilvl="0">
      <w:start w:val="1"/>
      <w:numFmt w:val="decimal"/>
      <w:lvlText w:val="%1."/>
      <w:lvlJc w:val="left"/>
      <w:pPr>
        <w:ind w:left="644" w:hanging="360"/>
      </w:pPr>
      <w:rPr>
        <w:rFonts w:asciiTheme="minorHAnsi" w:eastAsia="Times New Roman" w:hAnsiTheme="minorHAnsi" w:cs="David"/>
        <w:b w:val="0"/>
        <w:bCs w:val="0"/>
        <w:sz w:val="24"/>
        <w:lang w:val="en-US"/>
      </w:rPr>
    </w:lvl>
    <w:lvl w:ilvl="1">
      <w:start w:val="8"/>
      <w:numFmt w:val="decimal"/>
      <w:lvlText w:val="%1.%2"/>
      <w:lvlJc w:val="left"/>
      <w:pPr>
        <w:ind w:left="1080" w:hanging="360"/>
      </w:pPr>
      <w:rPr>
        <w:rFonts w:eastAsiaTheme="minorHAnsi" w:hint="default"/>
        <w:sz w:val="24"/>
      </w:rPr>
    </w:lvl>
    <w:lvl w:ilvl="2">
      <w:start w:val="1"/>
      <w:numFmt w:val="decimal"/>
      <w:lvlText w:val="%1.%2.%3"/>
      <w:lvlJc w:val="left"/>
      <w:pPr>
        <w:ind w:left="2160" w:hanging="720"/>
      </w:pPr>
      <w:rPr>
        <w:rFonts w:eastAsiaTheme="minorHAnsi" w:hint="default"/>
        <w:sz w:val="24"/>
      </w:rPr>
    </w:lvl>
    <w:lvl w:ilvl="3">
      <w:start w:val="1"/>
      <w:numFmt w:val="decimal"/>
      <w:lvlText w:val="%1.%2.%3.%4"/>
      <w:lvlJc w:val="left"/>
      <w:pPr>
        <w:ind w:left="2880" w:hanging="720"/>
      </w:pPr>
      <w:rPr>
        <w:rFonts w:eastAsiaTheme="minorHAnsi" w:hint="default"/>
        <w:sz w:val="24"/>
      </w:rPr>
    </w:lvl>
    <w:lvl w:ilvl="4">
      <w:start w:val="1"/>
      <w:numFmt w:val="decimal"/>
      <w:lvlText w:val="%1.%2.%3.%4.%5"/>
      <w:lvlJc w:val="left"/>
      <w:pPr>
        <w:ind w:left="3960" w:hanging="1080"/>
      </w:pPr>
      <w:rPr>
        <w:rFonts w:eastAsiaTheme="minorHAnsi" w:hint="default"/>
        <w:sz w:val="24"/>
      </w:rPr>
    </w:lvl>
    <w:lvl w:ilvl="5">
      <w:start w:val="1"/>
      <w:numFmt w:val="decimal"/>
      <w:lvlText w:val="%1.%2.%3.%4.%5.%6"/>
      <w:lvlJc w:val="left"/>
      <w:pPr>
        <w:ind w:left="4680" w:hanging="1080"/>
      </w:pPr>
      <w:rPr>
        <w:rFonts w:eastAsiaTheme="minorHAnsi" w:hint="default"/>
        <w:sz w:val="24"/>
      </w:rPr>
    </w:lvl>
    <w:lvl w:ilvl="6">
      <w:start w:val="1"/>
      <w:numFmt w:val="decimal"/>
      <w:lvlText w:val="%1.%2.%3.%4.%5.%6.%7"/>
      <w:lvlJc w:val="left"/>
      <w:pPr>
        <w:ind w:left="5760" w:hanging="1440"/>
      </w:pPr>
      <w:rPr>
        <w:rFonts w:eastAsiaTheme="minorHAnsi" w:hint="default"/>
        <w:sz w:val="24"/>
      </w:rPr>
    </w:lvl>
    <w:lvl w:ilvl="7">
      <w:start w:val="1"/>
      <w:numFmt w:val="decimal"/>
      <w:lvlText w:val="%1.%2.%3.%4.%5.%6.%7.%8"/>
      <w:lvlJc w:val="left"/>
      <w:pPr>
        <w:ind w:left="6480" w:hanging="1440"/>
      </w:pPr>
      <w:rPr>
        <w:rFonts w:eastAsiaTheme="minorHAnsi" w:hint="default"/>
        <w:sz w:val="24"/>
      </w:rPr>
    </w:lvl>
    <w:lvl w:ilvl="8">
      <w:start w:val="1"/>
      <w:numFmt w:val="decimal"/>
      <w:lvlText w:val="%1.%2.%3.%4.%5.%6.%7.%8.%9"/>
      <w:lvlJc w:val="left"/>
      <w:pPr>
        <w:ind w:left="7200" w:hanging="1440"/>
      </w:pPr>
      <w:rPr>
        <w:rFonts w:eastAsiaTheme="minorHAnsi" w:hint="default"/>
        <w:sz w:val="24"/>
      </w:rPr>
    </w:lvl>
  </w:abstractNum>
  <w:abstractNum w:abstractNumId="6" w15:restartNumberingAfterBreak="0">
    <w:nsid w:val="4D660C32"/>
    <w:multiLevelType w:val="multilevel"/>
    <w:tmpl w:val="EC342D04"/>
    <w:lvl w:ilvl="0">
      <w:start w:val="1"/>
      <w:numFmt w:val="hebrew1"/>
      <w:pStyle w:val="Heading1"/>
      <w:lvlText w:val="%1."/>
      <w:lvlJc w:val="center"/>
      <w:pPr>
        <w:ind w:left="360" w:hanging="360"/>
      </w:pPr>
      <w:rPr>
        <w:rFonts w:hint="default"/>
        <w:b w:val="0"/>
        <w:bCs/>
      </w:rPr>
    </w:lvl>
    <w:lvl w:ilvl="1">
      <w:start w:val="1"/>
      <w:numFmt w:val="decimal"/>
      <w:pStyle w:val="Heading2"/>
      <w:lvlText w:val="%1.%2."/>
      <w:lvlJc w:val="center"/>
      <w:pPr>
        <w:ind w:left="720" w:hanging="360"/>
      </w:pPr>
      <w:rPr>
        <w:b w:val="0"/>
        <w:bCs w:val="0"/>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7" w15:restartNumberingAfterBreak="0">
    <w:nsid w:val="584B7A34"/>
    <w:multiLevelType w:val="multilevel"/>
    <w:tmpl w:val="F26A8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9E84FD6"/>
    <w:multiLevelType w:val="multilevel"/>
    <w:tmpl w:val="CCF450AC"/>
    <w:lvl w:ilvl="0">
      <w:start w:val="1"/>
      <w:numFmt w:val="hebrew1"/>
      <w:lvlText w:val="%1."/>
      <w:lvlJc w:val="center"/>
      <w:pPr>
        <w:ind w:left="357" w:hanging="244"/>
      </w:pPr>
      <w:rPr>
        <w:rFonts w:hint="default"/>
        <w:b/>
        <w:bCs/>
      </w:rPr>
    </w:lvl>
    <w:lvl w:ilvl="1">
      <w:start w:val="1"/>
      <w:numFmt w:val="decimal"/>
      <w:lvlText w:val="%1.%2."/>
      <w:lvlJc w:val="center"/>
      <w:pPr>
        <w:ind w:left="386" w:hanging="244"/>
      </w:pPr>
      <w:rPr>
        <w:rFonts w:hint="default"/>
      </w:rPr>
    </w:lvl>
    <w:lvl w:ilvl="2">
      <w:start w:val="1"/>
      <w:numFmt w:val="hebrew1"/>
      <w:lvlText w:val="%1.%2.%3."/>
      <w:lvlJc w:val="center"/>
      <w:pPr>
        <w:ind w:left="1037" w:hanging="244"/>
      </w:pPr>
      <w:rPr>
        <w:rFonts w:hint="default"/>
      </w:rPr>
    </w:lvl>
    <w:lvl w:ilvl="3">
      <w:start w:val="1"/>
      <w:numFmt w:val="decimal"/>
      <w:lvlText w:val="%1.%2.%3.%4."/>
      <w:lvlJc w:val="center"/>
      <w:pPr>
        <w:ind w:left="1377" w:hanging="244"/>
      </w:pPr>
      <w:rPr>
        <w:rFonts w:hint="default"/>
      </w:rPr>
    </w:lvl>
    <w:lvl w:ilvl="4">
      <w:start w:val="1"/>
      <w:numFmt w:val="hebrew1"/>
      <w:lvlText w:val="%1.%2.%3.%4.%5."/>
      <w:lvlJc w:val="center"/>
      <w:pPr>
        <w:ind w:left="1717" w:hanging="244"/>
      </w:pPr>
      <w:rPr>
        <w:rFonts w:hint="default"/>
      </w:rPr>
    </w:lvl>
    <w:lvl w:ilvl="5">
      <w:start w:val="1"/>
      <w:numFmt w:val="decimal"/>
      <w:lvlText w:val="%1.%2.%3.%4.%5.%6."/>
      <w:lvlJc w:val="center"/>
      <w:pPr>
        <w:ind w:left="2057" w:hanging="244"/>
      </w:pPr>
      <w:rPr>
        <w:rFonts w:hint="default"/>
      </w:rPr>
    </w:lvl>
    <w:lvl w:ilvl="6">
      <w:start w:val="1"/>
      <w:numFmt w:val="hebrew1"/>
      <w:lvlText w:val="%1.%2.%3.%4.%5.%6.%7."/>
      <w:lvlJc w:val="center"/>
      <w:pPr>
        <w:ind w:left="2397" w:hanging="244"/>
      </w:pPr>
      <w:rPr>
        <w:rFonts w:hint="default"/>
      </w:rPr>
    </w:lvl>
    <w:lvl w:ilvl="7">
      <w:start w:val="1"/>
      <w:numFmt w:val="decimal"/>
      <w:lvlText w:val="%1.%2.%3.%4.%5.%6.%7.%8."/>
      <w:lvlJc w:val="center"/>
      <w:pPr>
        <w:ind w:left="2737" w:hanging="244"/>
      </w:pPr>
      <w:rPr>
        <w:rFonts w:hint="default"/>
      </w:rPr>
    </w:lvl>
    <w:lvl w:ilvl="8">
      <w:start w:val="1"/>
      <w:numFmt w:val="hebrew1"/>
      <w:lvlText w:val="%1.%2.%3.%4.%5.%6.%7.%8.%9."/>
      <w:lvlJc w:val="center"/>
      <w:pPr>
        <w:ind w:left="3077" w:hanging="244"/>
      </w:pPr>
      <w:rPr>
        <w:rFonts w:hint="default"/>
      </w:rPr>
    </w:lvl>
  </w:abstractNum>
  <w:abstractNum w:abstractNumId="9" w15:restartNumberingAfterBreak="0">
    <w:nsid w:val="78494D08"/>
    <w:multiLevelType w:val="multilevel"/>
    <w:tmpl w:val="CFF0DFE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num w:numId="1">
    <w:abstractNumId w:val="4"/>
  </w:num>
  <w:num w:numId="2">
    <w:abstractNumId w:val="8"/>
  </w:num>
  <w:num w:numId="3">
    <w:abstractNumId w:val="0"/>
  </w:num>
  <w:num w:numId="4">
    <w:abstractNumId w:val="6"/>
  </w:num>
  <w:num w:numId="5">
    <w:abstractNumId w:val="1"/>
  </w:num>
  <w:num w:numId="6">
    <w:abstractNumId w:val="3"/>
  </w:num>
  <w:num w:numId="7">
    <w:abstractNumId w:val="2"/>
  </w:num>
  <w:num w:numId="8">
    <w:abstractNumId w:val="5"/>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497"/>
    <w:rsid w:val="00011DA9"/>
    <w:rsid w:val="00075465"/>
    <w:rsid w:val="000C07FD"/>
    <w:rsid w:val="00183BC1"/>
    <w:rsid w:val="001C515E"/>
    <w:rsid w:val="001D2555"/>
    <w:rsid w:val="002003E2"/>
    <w:rsid w:val="002518F4"/>
    <w:rsid w:val="0039455E"/>
    <w:rsid w:val="003B4CB2"/>
    <w:rsid w:val="004934A5"/>
    <w:rsid w:val="006B05A7"/>
    <w:rsid w:val="006F7497"/>
    <w:rsid w:val="00710E29"/>
    <w:rsid w:val="00711ECA"/>
    <w:rsid w:val="00755612"/>
    <w:rsid w:val="007D1A5E"/>
    <w:rsid w:val="009D208C"/>
    <w:rsid w:val="00AB7719"/>
    <w:rsid w:val="00AC503C"/>
    <w:rsid w:val="00B32804"/>
    <w:rsid w:val="00CE13E4"/>
    <w:rsid w:val="00D24C38"/>
    <w:rsid w:val="00F1084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E59091-AC86-4233-9AE4-B3F5AB98A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paragraph" w:styleId="Heading1">
    <w:name w:val="heading 1"/>
    <w:basedOn w:val="ListParagraph"/>
    <w:next w:val="Normal"/>
    <w:link w:val="Heading1Char"/>
    <w:uiPriority w:val="9"/>
    <w:qFormat/>
    <w:rsid w:val="00D24C38"/>
    <w:pPr>
      <w:numPr>
        <w:numId w:val="4"/>
      </w:numPr>
      <w:spacing w:before="120" w:after="120"/>
      <w:outlineLvl w:val="0"/>
    </w:pPr>
    <w:rPr>
      <w:rFonts w:eastAsia="David"/>
      <w:b/>
      <w:bCs/>
      <w:kern w:val="36"/>
    </w:rPr>
  </w:style>
  <w:style w:type="paragraph" w:styleId="Heading2">
    <w:name w:val="heading 2"/>
    <w:basedOn w:val="ListParagraph"/>
    <w:next w:val="Normal"/>
    <w:link w:val="Heading2Char"/>
    <w:uiPriority w:val="9"/>
    <w:unhideWhenUsed/>
    <w:qFormat/>
    <w:rsid w:val="00D24C38"/>
    <w:pPr>
      <w:numPr>
        <w:ilvl w:val="1"/>
        <w:numId w:val="4"/>
      </w:numPr>
      <w:outlineLvl w:val="1"/>
    </w:pPr>
    <w:rPr>
      <w:rFonts w:asciiTheme="majorBidi" w:eastAsiaTheme="minorEastAsia" w:hAnsiTheme="majorBid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7497"/>
    <w:pPr>
      <w:tabs>
        <w:tab w:val="center" w:pos="4320"/>
        <w:tab w:val="right" w:pos="8640"/>
      </w:tabs>
      <w:bidi w:val="0"/>
      <w:spacing w:after="0" w:line="240" w:lineRule="auto"/>
      <w:jc w:val="both"/>
    </w:pPr>
    <w:rPr>
      <w:rFonts w:ascii="Calibri" w:eastAsiaTheme="minorHAnsi" w:hAnsi="Calibri" w:cs="David"/>
    </w:rPr>
  </w:style>
  <w:style w:type="character" w:customStyle="1" w:styleId="HeaderChar">
    <w:name w:val="Header Char"/>
    <w:basedOn w:val="DefaultParagraphFont"/>
    <w:link w:val="Header"/>
    <w:uiPriority w:val="99"/>
    <w:rsid w:val="006F7497"/>
    <w:rPr>
      <w:rFonts w:ascii="Calibri" w:eastAsiaTheme="minorHAnsi" w:hAnsi="Calibri" w:cs="David"/>
    </w:rPr>
  </w:style>
  <w:style w:type="paragraph" w:styleId="Footer">
    <w:name w:val="footer"/>
    <w:basedOn w:val="Normal"/>
    <w:link w:val="FooterChar"/>
    <w:uiPriority w:val="99"/>
    <w:unhideWhenUsed/>
    <w:rsid w:val="006F7497"/>
    <w:pPr>
      <w:tabs>
        <w:tab w:val="center" w:pos="4320"/>
        <w:tab w:val="right" w:pos="8640"/>
      </w:tabs>
      <w:bidi w:val="0"/>
      <w:spacing w:after="0" w:line="240" w:lineRule="auto"/>
      <w:jc w:val="both"/>
    </w:pPr>
    <w:rPr>
      <w:rFonts w:ascii="Calibri" w:eastAsiaTheme="minorHAnsi" w:hAnsi="Calibri" w:cs="David"/>
    </w:rPr>
  </w:style>
  <w:style w:type="character" w:customStyle="1" w:styleId="FooterChar">
    <w:name w:val="Footer Char"/>
    <w:basedOn w:val="DefaultParagraphFont"/>
    <w:link w:val="Footer"/>
    <w:uiPriority w:val="99"/>
    <w:rsid w:val="006F7497"/>
    <w:rPr>
      <w:rFonts w:ascii="Calibri" w:eastAsiaTheme="minorHAnsi" w:hAnsi="Calibri" w:cs="David"/>
    </w:rPr>
  </w:style>
  <w:style w:type="character" w:styleId="PlaceholderText">
    <w:name w:val="Placeholder Text"/>
    <w:basedOn w:val="DefaultParagraphFont"/>
    <w:uiPriority w:val="99"/>
    <w:semiHidden/>
    <w:rsid w:val="006F7497"/>
    <w:rPr>
      <w:color w:val="808080"/>
    </w:rPr>
  </w:style>
  <w:style w:type="character" w:styleId="FootnoteReference">
    <w:name w:val="footnote reference"/>
    <w:uiPriority w:val="99"/>
    <w:rsid w:val="00183BC1"/>
    <w:rPr>
      <w:vertAlign w:val="superscript"/>
    </w:rPr>
  </w:style>
  <w:style w:type="paragraph" w:styleId="BalloonText">
    <w:name w:val="Balloon Text"/>
    <w:basedOn w:val="Normal"/>
    <w:link w:val="BalloonTextChar"/>
    <w:uiPriority w:val="99"/>
    <w:semiHidden/>
    <w:unhideWhenUsed/>
    <w:rsid w:val="00B32804"/>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B32804"/>
    <w:rPr>
      <w:rFonts w:ascii="Tahoma" w:hAnsi="Tahoma" w:cs="Tahoma"/>
      <w:sz w:val="18"/>
      <w:szCs w:val="18"/>
    </w:rPr>
  </w:style>
  <w:style w:type="character" w:customStyle="1" w:styleId="Heading1Char">
    <w:name w:val="Heading 1 Char"/>
    <w:basedOn w:val="DefaultParagraphFont"/>
    <w:link w:val="Heading1"/>
    <w:uiPriority w:val="9"/>
    <w:rsid w:val="00D24C38"/>
    <w:rPr>
      <w:rFonts w:ascii="David" w:eastAsia="David" w:hAnsi="David" w:cs="David"/>
      <w:b/>
      <w:bCs/>
      <w:kern w:val="36"/>
      <w:sz w:val="24"/>
      <w:szCs w:val="24"/>
    </w:rPr>
  </w:style>
  <w:style w:type="character" w:customStyle="1" w:styleId="Heading2Char">
    <w:name w:val="Heading 2 Char"/>
    <w:basedOn w:val="DefaultParagraphFont"/>
    <w:link w:val="Heading2"/>
    <w:uiPriority w:val="9"/>
    <w:rsid w:val="00D24C38"/>
    <w:rPr>
      <w:rFonts w:asciiTheme="majorBidi" w:hAnsiTheme="majorBidi" w:cs="David"/>
      <w:sz w:val="24"/>
      <w:szCs w:val="24"/>
      <w:u w:val="single"/>
    </w:rPr>
  </w:style>
  <w:style w:type="paragraph" w:styleId="ListParagraph">
    <w:name w:val="List Paragraph"/>
    <w:basedOn w:val="Normal"/>
    <w:uiPriority w:val="34"/>
    <w:qFormat/>
    <w:rsid w:val="00D24C38"/>
    <w:pPr>
      <w:spacing w:line="360" w:lineRule="auto"/>
      <w:ind w:left="720"/>
      <w:contextualSpacing/>
      <w:jc w:val="both"/>
    </w:pPr>
    <w:rPr>
      <w:rFonts w:ascii="David" w:eastAsiaTheme="minorHAnsi" w:hAnsi="David" w:cs="David"/>
      <w:sz w:val="24"/>
      <w:szCs w:val="24"/>
    </w:rPr>
  </w:style>
  <w:style w:type="character" w:styleId="Strong">
    <w:name w:val="Strong"/>
    <w:basedOn w:val="DefaultParagraphFont"/>
    <w:uiPriority w:val="22"/>
    <w:qFormat/>
    <w:rsid w:val="00D24C38"/>
    <w:rPr>
      <w:b/>
      <w:bCs/>
    </w:rPr>
  </w:style>
  <w:style w:type="paragraph" w:styleId="NormalWeb">
    <w:name w:val="Normal (Web)"/>
    <w:basedOn w:val="Normal"/>
    <w:uiPriority w:val="99"/>
    <w:unhideWhenUsed/>
    <w:rsid w:val="00D24C38"/>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D24C38"/>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rsid w:val="00D24C38"/>
    <w:rPr>
      <w:rFonts w:eastAsiaTheme="minorHAnsi"/>
      <w:sz w:val="20"/>
      <w:szCs w:val="20"/>
    </w:rPr>
  </w:style>
  <w:style w:type="character" w:styleId="CommentReference">
    <w:name w:val="annotation reference"/>
    <w:basedOn w:val="DefaultParagraphFont"/>
    <w:uiPriority w:val="99"/>
    <w:semiHidden/>
    <w:unhideWhenUsed/>
    <w:rsid w:val="00D24C38"/>
    <w:rPr>
      <w:sz w:val="16"/>
      <w:szCs w:val="16"/>
    </w:rPr>
  </w:style>
  <w:style w:type="paragraph" w:styleId="CommentText">
    <w:name w:val="annotation text"/>
    <w:basedOn w:val="Normal"/>
    <w:link w:val="CommentTextChar"/>
    <w:uiPriority w:val="99"/>
    <w:unhideWhenUsed/>
    <w:rsid w:val="00D24C38"/>
    <w:pPr>
      <w:spacing w:line="240" w:lineRule="auto"/>
      <w:jc w:val="both"/>
    </w:pPr>
    <w:rPr>
      <w:rFonts w:ascii="David" w:eastAsiaTheme="minorHAnsi" w:hAnsi="David" w:cs="David"/>
      <w:sz w:val="20"/>
      <w:szCs w:val="20"/>
    </w:rPr>
  </w:style>
  <w:style w:type="character" w:customStyle="1" w:styleId="CommentTextChar">
    <w:name w:val="Comment Text Char"/>
    <w:basedOn w:val="DefaultParagraphFont"/>
    <w:link w:val="CommentText"/>
    <w:uiPriority w:val="99"/>
    <w:rsid w:val="00D24C38"/>
    <w:rPr>
      <w:rFonts w:ascii="David" w:eastAsiaTheme="minorHAnsi" w:hAnsi="David" w:cs="David"/>
      <w:sz w:val="20"/>
      <w:szCs w:val="20"/>
    </w:rPr>
  </w:style>
  <w:style w:type="paragraph" w:styleId="CommentSubject">
    <w:name w:val="annotation subject"/>
    <w:basedOn w:val="CommentText"/>
    <w:next w:val="CommentText"/>
    <w:link w:val="CommentSubjectChar"/>
    <w:uiPriority w:val="99"/>
    <w:semiHidden/>
    <w:unhideWhenUsed/>
    <w:rsid w:val="00D24C38"/>
    <w:rPr>
      <w:b/>
      <w:bCs/>
    </w:rPr>
  </w:style>
  <w:style w:type="character" w:customStyle="1" w:styleId="CommentSubjectChar">
    <w:name w:val="Comment Subject Char"/>
    <w:basedOn w:val="CommentTextChar"/>
    <w:link w:val="CommentSubject"/>
    <w:uiPriority w:val="99"/>
    <w:semiHidden/>
    <w:rsid w:val="00D24C38"/>
    <w:rPr>
      <w:rFonts w:ascii="David" w:eastAsiaTheme="minorHAnsi" w:hAnsi="David" w:cs="David"/>
      <w:b/>
      <w:bCs/>
      <w:sz w:val="20"/>
      <w:szCs w:val="20"/>
    </w:rPr>
  </w:style>
  <w:style w:type="character" w:styleId="Hyperlink">
    <w:name w:val="Hyperlink"/>
    <w:basedOn w:val="DefaultParagraphFont"/>
    <w:uiPriority w:val="99"/>
    <w:unhideWhenUsed/>
    <w:rsid w:val="00D24C38"/>
    <w:rPr>
      <w:color w:val="0563C1" w:themeColor="hyperlink"/>
      <w:u w:val="single"/>
    </w:rPr>
  </w:style>
  <w:style w:type="paragraph" w:styleId="Revision">
    <w:name w:val="Revision"/>
    <w:hidden/>
    <w:uiPriority w:val="99"/>
    <w:semiHidden/>
    <w:rsid w:val="00D24C38"/>
    <w:pPr>
      <w:spacing w:after="0" w:line="240" w:lineRule="auto"/>
    </w:pPr>
    <w:rPr>
      <w:rFonts w:ascii="David" w:eastAsiaTheme="minorHAnsi" w:hAnsi="David" w:cs="David"/>
      <w:sz w:val="24"/>
      <w:szCs w:val="24"/>
    </w:rPr>
  </w:style>
  <w:style w:type="character" w:customStyle="1" w:styleId="UnresolvedMention1">
    <w:name w:val="Unresolved Mention1"/>
    <w:basedOn w:val="DefaultParagraphFont"/>
    <w:uiPriority w:val="99"/>
    <w:semiHidden/>
    <w:unhideWhenUsed/>
    <w:rsid w:val="00D24C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www.boi.org.il/he/BankingSupervision/SupervisorsDirectives/DocLib/442.pdf" TargetMode="External"/><Relationship Id="rId1" Type="http://schemas.openxmlformats.org/officeDocument/2006/relationships/hyperlink" Target="https://www.boi.org.il/he/NewsAndPublications/PressReleases/Pages/16-1-18.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5109</Words>
  <Characters>25547</Characters>
  <Application>Microsoft Office Word</Application>
  <DocSecurity>4</DocSecurity>
  <Lines>212</Lines>
  <Paragraphs>61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30595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 Danino Lishka</dc:creator>
  <cp:keywords/>
  <dc:description>Created by the Microsoft Dynamics NAV report engine.</dc:description>
  <cp:lastModifiedBy>Melita Shafir</cp:lastModifiedBy>
  <cp:revision>2</cp:revision>
  <cp:lastPrinted>2022-12-28T11:32:00Z</cp:lastPrinted>
  <dcterms:created xsi:type="dcterms:W3CDTF">2023-01-01T10:13:00Z</dcterms:created>
  <dcterms:modified xsi:type="dcterms:W3CDTF">2023-01-01T10:13:00Z</dcterms:modified>
</cp:coreProperties>
</file>