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000" w:rsidRDefault="00AA5619">
      <w:pPr>
        <w:pStyle w:val="Header"/>
        <w:jc w:val="right"/>
        <w:divId w:val="1730568404"/>
      </w:pPr>
      <w:bookmarkStart w:id="0" w:name="_GoBack"/>
      <w:bookmarkEnd w:id="0"/>
    </w:p>
    <w:p w:rsidR="00000000" w:rsidRDefault="00AA5619">
      <w:pPr>
        <w:bidi/>
        <w:spacing w:before="120" w:line="360" w:lineRule="auto"/>
        <w:jc w:val="center"/>
        <w:outlineLvl w:val="0"/>
        <w:rPr>
          <w:rFonts w:hint="cs"/>
          <w:rtl/>
        </w:rPr>
      </w:pPr>
      <w:r>
        <w:rPr>
          <w:rStyle w:val="Strong"/>
          <w:rFonts w:eastAsia="Times New Roman" w:cs="David" w:hint="cs"/>
          <w:color w:val="000000"/>
          <w:sz w:val="30"/>
          <w:szCs w:val="28"/>
          <w:u w:val="single"/>
          <w:rtl/>
          <w:lang w:eastAsia="he-IL"/>
        </w:rPr>
        <w:t>החלטה בדבר מתן פטור בתנאים להסדר כובל</w:t>
      </w:r>
    </w:p>
    <w:p w:rsidR="00000000" w:rsidRDefault="00AA5619">
      <w:pPr>
        <w:bidi/>
        <w:spacing w:before="120" w:line="360" w:lineRule="auto"/>
        <w:jc w:val="center"/>
        <w:rPr>
          <w:rFonts w:hint="cs"/>
          <w:rtl/>
        </w:rPr>
      </w:pPr>
      <w:r>
        <w:rPr>
          <w:rStyle w:val="Strong"/>
          <w:rFonts w:eastAsia="Times New Roman" w:cs="David" w:hint="cs"/>
          <w:color w:val="000000"/>
          <w:sz w:val="30"/>
          <w:szCs w:val="28"/>
          <w:u w:val="single"/>
          <w:rtl/>
          <w:lang w:eastAsia="he-IL"/>
        </w:rPr>
        <w:t>בין השותפות במאגר הגז 'תמר' ובין משאב ייזום ופיתוח בע"מ</w:t>
      </w:r>
    </w:p>
    <w:p w:rsidR="00000000" w:rsidRDefault="00AA5619">
      <w:pPr>
        <w:bidi/>
        <w:ind w:left="26"/>
        <w:jc w:val="both"/>
        <w:rPr>
          <w:rFonts w:hint="cs"/>
          <w:rtl/>
        </w:rPr>
      </w:pPr>
      <w:r>
        <w:rPr>
          <w:rStyle w:val="Strong"/>
          <w:rFonts w:eastAsia="Times New Roman" w:cs="David" w:hint="cs"/>
          <w:color w:val="000000"/>
          <w:sz w:val="22"/>
          <w:rtl/>
          <w:lang w:eastAsia="he-IL"/>
        </w:rPr>
        <w:t> </w:t>
      </w:r>
    </w:p>
    <w:p w:rsidR="00000000" w:rsidRDefault="00AA5619">
      <w:pPr>
        <w:bidi/>
        <w:ind w:left="26"/>
        <w:jc w:val="both"/>
        <w:rPr>
          <w:rFonts w:hint="cs"/>
          <w:rtl/>
        </w:rPr>
      </w:pPr>
      <w:r>
        <w:rPr>
          <w:rStyle w:val="Strong"/>
          <w:rFonts w:eastAsia="Times New Roman" w:cs="David" w:hint="cs"/>
          <w:color w:val="000000"/>
          <w:sz w:val="28"/>
          <w:szCs w:val="28"/>
          <w:rtl/>
          <w:lang w:eastAsia="he-IL"/>
        </w:rPr>
        <w:t> </w:t>
      </w:r>
    </w:p>
    <w:p w:rsidR="00000000" w:rsidRDefault="00AA5619">
      <w:pPr>
        <w:bidi/>
        <w:spacing w:before="120" w:line="360" w:lineRule="auto"/>
        <w:ind w:left="360" w:hanging="360"/>
        <w:jc w:val="both"/>
        <w:rPr>
          <w:rFonts w:hint="cs"/>
          <w:rtl/>
        </w:rPr>
      </w:pPr>
      <w:r>
        <w:rPr>
          <w:rStyle w:val="Strong"/>
          <w:rFonts w:eastAsia="Times New Roman"/>
          <w:color w:val="000000"/>
          <w:sz w:val="28"/>
          <w:szCs w:val="28"/>
          <w:rtl/>
          <w:lang w:eastAsia="he-IL"/>
        </w:rPr>
        <w:t>1.</w:t>
      </w:r>
      <w:r>
        <w:rPr>
          <w:rStyle w:val="Strong"/>
          <w:rFonts w:eastAsia="Times New Roman"/>
          <w:color w:val="000000"/>
          <w:sz w:val="14"/>
          <w:szCs w:val="14"/>
          <w:rtl/>
          <w:lang w:eastAsia="he-IL"/>
        </w:rPr>
        <w:t xml:space="preserve">      </w:t>
      </w:r>
      <w:r>
        <w:rPr>
          <w:rStyle w:val="Strong"/>
          <w:rFonts w:eastAsia="Times New Roman" w:cs="David" w:hint="cs"/>
          <w:color w:val="000000"/>
          <w:sz w:val="28"/>
          <w:szCs w:val="28"/>
          <w:rtl/>
          <w:lang w:eastAsia="he-IL"/>
        </w:rPr>
        <w:t>פתח דבר</w:t>
      </w:r>
    </w:p>
    <w:p w:rsidR="00000000" w:rsidRDefault="00AA5619">
      <w:pPr>
        <w:pStyle w:val="FootnoteText"/>
        <w:bidi/>
        <w:rPr>
          <w:rFonts w:hint="cs"/>
          <w:rtl/>
        </w:rPr>
      </w:pPr>
      <w:r>
        <w:rPr>
          <w:rFonts w:cs="David" w:hint="cs"/>
          <w:color w:val="000000"/>
          <w:sz w:val="20"/>
          <w:rtl/>
        </w:rPr>
        <w:t>לפני בקשה למתן פטור לפי סעיף 14 לחוק ההגבלים העסקיים, התשמ"</w:t>
      </w:r>
      <w:r>
        <w:rPr>
          <w:rFonts w:cs="David" w:hint="cs"/>
          <w:color w:val="000000"/>
          <w:sz w:val="20"/>
          <w:rtl/>
        </w:rPr>
        <w:t xml:space="preserve">ח-1988 (להלן – </w:t>
      </w:r>
      <w:r>
        <w:rPr>
          <w:rStyle w:val="Strong"/>
          <w:rFonts w:cs="David" w:hint="cs"/>
          <w:color w:val="000000"/>
          <w:sz w:val="20"/>
          <w:rtl/>
        </w:rPr>
        <w:t>"החוק"</w:t>
      </w:r>
      <w:r>
        <w:rPr>
          <w:rFonts w:cs="David" w:hint="cs"/>
          <w:color w:val="000000"/>
          <w:sz w:val="20"/>
          <w:rtl/>
        </w:rPr>
        <w:t>), ביחס להסכם שנחתם ביום 9 בפברואר 2012 בין חברת משאב ייזום ופיתוח בע"מ (להלן: "</w:t>
      </w:r>
      <w:r>
        <w:rPr>
          <w:rStyle w:val="Strong"/>
          <w:rFonts w:cs="David" w:hint="cs"/>
          <w:color w:val="000000"/>
          <w:sz w:val="20"/>
          <w:rtl/>
        </w:rPr>
        <w:t>משאב</w:t>
      </w:r>
      <w:r>
        <w:rPr>
          <w:rFonts w:cs="David" w:hint="cs"/>
          <w:color w:val="000000"/>
          <w:sz w:val="20"/>
          <w:rtl/>
        </w:rPr>
        <w:t>") לבין השותפות בחזקת תמר: דלק קידוחים - שותפות מוגבלת ("</w:t>
      </w:r>
      <w:r>
        <w:rPr>
          <w:rStyle w:val="Strong"/>
          <w:rFonts w:cs="David" w:hint="cs"/>
          <w:color w:val="000000"/>
          <w:sz w:val="20"/>
          <w:rtl/>
        </w:rPr>
        <w:t>דלק קידוחים</w:t>
      </w:r>
      <w:r>
        <w:rPr>
          <w:rFonts w:cs="David" w:hint="cs"/>
          <w:color w:val="000000"/>
          <w:sz w:val="20"/>
          <w:rtl/>
        </w:rPr>
        <w:t>"), אבנר חיפושי גז ונפט - שותפות מוגבלת (להלן: "</w:t>
      </w:r>
      <w:r>
        <w:rPr>
          <w:rStyle w:val="Strong"/>
          <w:rFonts w:cs="David" w:hint="cs"/>
          <w:color w:val="000000"/>
          <w:sz w:val="20"/>
          <w:rtl/>
        </w:rPr>
        <w:t>אבנר</w:t>
      </w:r>
      <w:r>
        <w:rPr>
          <w:rFonts w:cs="David" w:hint="cs"/>
          <w:color w:val="000000"/>
          <w:sz w:val="20"/>
          <w:rtl/>
        </w:rPr>
        <w:t>"), ישראמקו נגב 2 – שותפות מוגב</w:t>
      </w:r>
      <w:r>
        <w:rPr>
          <w:rFonts w:cs="David" w:hint="cs"/>
          <w:color w:val="000000"/>
          <w:sz w:val="20"/>
          <w:rtl/>
        </w:rPr>
        <w:t>לת (להלן: "</w:t>
      </w:r>
      <w:r>
        <w:rPr>
          <w:rStyle w:val="Strong"/>
          <w:rFonts w:cs="David" w:hint="cs"/>
          <w:color w:val="000000"/>
          <w:sz w:val="20"/>
          <w:rtl/>
        </w:rPr>
        <w:t>ישראמקו</w:t>
      </w:r>
      <w:r>
        <w:rPr>
          <w:rFonts w:cs="David" w:hint="cs"/>
          <w:color w:val="000000"/>
          <w:sz w:val="20"/>
          <w:rtl/>
        </w:rPr>
        <w:t>"), דור חיפושי גז – שותפות מוגבלת (להלן: "</w:t>
      </w:r>
      <w:r>
        <w:rPr>
          <w:rStyle w:val="Strong"/>
          <w:rFonts w:cs="David" w:hint="cs"/>
          <w:color w:val="000000"/>
          <w:sz w:val="20"/>
          <w:rtl/>
        </w:rPr>
        <w:t>דור</w:t>
      </w:r>
      <w:r>
        <w:rPr>
          <w:rFonts w:cs="David" w:hint="cs"/>
          <w:color w:val="000000"/>
          <w:sz w:val="20"/>
          <w:rtl/>
        </w:rPr>
        <w:t xml:space="preserve">") וחברת </w:t>
      </w:r>
      <w:r>
        <w:rPr>
          <w:rFonts w:hint="cs"/>
          <w:color w:val="000000"/>
        </w:rPr>
        <w:t>Noble Energy Mediterranean LTD.</w:t>
      </w:r>
      <w:r>
        <w:rPr>
          <w:rFonts w:cs="David" w:hint="cs"/>
          <w:color w:val="000000"/>
          <w:sz w:val="20"/>
          <w:rtl/>
        </w:rPr>
        <w:t xml:space="preserve"> (להלן: "</w:t>
      </w:r>
      <w:r>
        <w:rPr>
          <w:rStyle w:val="Strong"/>
          <w:rFonts w:cs="David" w:hint="cs"/>
          <w:color w:val="000000"/>
          <w:sz w:val="20"/>
          <w:rtl/>
        </w:rPr>
        <w:t>נובל</w:t>
      </w:r>
      <w:r>
        <w:rPr>
          <w:rFonts w:cs="David" w:hint="cs"/>
          <w:color w:val="000000"/>
          <w:sz w:val="20"/>
          <w:rtl/>
        </w:rPr>
        <w:t>") אשר ייקראו להלן יחד "</w:t>
      </w:r>
      <w:r>
        <w:rPr>
          <w:rStyle w:val="Strong"/>
          <w:rFonts w:cs="David" w:hint="cs"/>
          <w:color w:val="000000"/>
          <w:sz w:val="20"/>
          <w:rtl/>
        </w:rPr>
        <w:t>שותפות תמר</w:t>
      </w:r>
      <w:r>
        <w:rPr>
          <w:rFonts w:cs="David" w:hint="cs"/>
          <w:color w:val="000000"/>
          <w:sz w:val="20"/>
          <w:rtl/>
        </w:rPr>
        <w:t>", לאספקת גז טבעי ממאגר הגז 'תמר' (להלן: "</w:t>
      </w:r>
      <w:r>
        <w:rPr>
          <w:rStyle w:val="Strong"/>
          <w:rFonts w:cs="David" w:hint="cs"/>
          <w:color w:val="000000"/>
          <w:sz w:val="20"/>
          <w:rtl/>
        </w:rPr>
        <w:t>תמר</w:t>
      </w:r>
      <w:r>
        <w:rPr>
          <w:rFonts w:cs="David" w:hint="cs"/>
          <w:color w:val="000000"/>
          <w:sz w:val="20"/>
          <w:rtl/>
        </w:rPr>
        <w:t>"), הצפויה להתחיל במהלך שנת 2013 (להלן: "</w:t>
      </w:r>
      <w:r>
        <w:rPr>
          <w:rStyle w:val="Strong"/>
          <w:rFonts w:cs="David" w:hint="cs"/>
          <w:color w:val="000000"/>
          <w:sz w:val="20"/>
          <w:rtl/>
        </w:rPr>
        <w:t>ההסכם</w:t>
      </w:r>
      <w:r>
        <w:rPr>
          <w:rFonts w:cs="David" w:hint="cs"/>
          <w:color w:val="000000"/>
          <w:sz w:val="20"/>
          <w:rtl/>
        </w:rPr>
        <w:t xml:space="preserve">"). </w:t>
      </w:r>
    </w:p>
    <w:p w:rsidR="00000000" w:rsidRDefault="00AA5619">
      <w:pPr>
        <w:bidi/>
        <w:spacing w:before="120" w:line="360" w:lineRule="auto"/>
        <w:jc w:val="both"/>
        <w:rPr>
          <w:rFonts w:hint="cs"/>
          <w:rtl/>
        </w:rPr>
      </w:pPr>
      <w:r>
        <w:rPr>
          <w:rFonts w:eastAsia="Times New Roman" w:cs="David" w:hint="cs"/>
          <w:sz w:val="22"/>
          <w:rtl/>
          <w:lang w:eastAsia="he-IL"/>
        </w:rPr>
        <w:t>לאחר שבחנת</w:t>
      </w:r>
      <w:r>
        <w:rPr>
          <w:rFonts w:eastAsia="Times New Roman" w:cs="David" w:hint="cs"/>
          <w:sz w:val="22"/>
          <w:rtl/>
          <w:lang w:eastAsia="he-IL"/>
        </w:rPr>
        <w:t xml:space="preserve">י את ההסדר ואת הכבילות המצויות בו, כמו גם את השפעתו האפשרית על התחרות בשווקים הרלוונטיים ולאחר שנועצתי בוועדה לפטורים ולמיזוגים, שוכנעתי כי עיקרו של ההסדר אינו בהפחתת התחרות או במניעתה, כי אין בו כבילות שאינן נחוצות למימוש עיקרו וכי אינו פוגע פגיעה של ממש </w:t>
      </w:r>
      <w:r>
        <w:rPr>
          <w:rFonts w:eastAsia="Times New Roman" w:cs="David" w:hint="cs"/>
          <w:sz w:val="22"/>
          <w:rtl/>
          <w:lang w:eastAsia="he-IL"/>
        </w:rPr>
        <w:t>בתחרות בשוק. מטעמים אלו ראוי ההסדר לפטור לפי סעיף 14 לחוק ההגבלים העסקיים, התשמ"ח-1988 (להלן: "</w:t>
      </w:r>
      <w:r>
        <w:rPr>
          <w:rStyle w:val="Strong"/>
          <w:rFonts w:eastAsia="Times New Roman" w:cs="David" w:hint="cs"/>
          <w:sz w:val="22"/>
          <w:rtl/>
          <w:lang w:eastAsia="he-IL"/>
        </w:rPr>
        <w:t>החוק</w:t>
      </w:r>
      <w:r>
        <w:rPr>
          <w:rFonts w:eastAsia="Times New Roman" w:cs="David" w:hint="cs"/>
          <w:sz w:val="22"/>
          <w:rtl/>
          <w:lang w:eastAsia="he-IL"/>
        </w:rPr>
        <w:t xml:space="preserve">"), זאת בכפוף לשורה של תנאים ומהנימוקים שיפורטו להלן. </w:t>
      </w:r>
    </w:p>
    <w:p w:rsidR="00000000" w:rsidRDefault="00AA5619">
      <w:pPr>
        <w:bidi/>
        <w:spacing w:before="120" w:line="360" w:lineRule="auto"/>
        <w:jc w:val="both"/>
        <w:rPr>
          <w:rFonts w:hint="cs"/>
          <w:rtl/>
        </w:rPr>
      </w:pPr>
      <w:r>
        <w:rPr>
          <w:rFonts w:eastAsia="Times New Roman" w:cs="David" w:hint="cs"/>
          <w:sz w:val="22"/>
          <w:rtl/>
          <w:lang w:eastAsia="he-IL"/>
        </w:rPr>
        <w:t> </w:t>
      </w:r>
    </w:p>
    <w:p w:rsidR="00000000" w:rsidRDefault="00AA5619">
      <w:pPr>
        <w:bidi/>
        <w:spacing w:before="120" w:line="360" w:lineRule="auto"/>
        <w:ind w:left="360" w:hanging="360"/>
        <w:jc w:val="both"/>
        <w:rPr>
          <w:rFonts w:hint="cs"/>
          <w:rtl/>
        </w:rPr>
      </w:pPr>
      <w:r>
        <w:rPr>
          <w:rStyle w:val="Strong"/>
          <w:rFonts w:eastAsia="Times New Roman"/>
          <w:color w:val="000000"/>
          <w:sz w:val="28"/>
          <w:szCs w:val="28"/>
          <w:rtl/>
          <w:lang w:eastAsia="he-IL"/>
        </w:rPr>
        <w:t>2.</w:t>
      </w:r>
      <w:r>
        <w:rPr>
          <w:rStyle w:val="Strong"/>
          <w:rFonts w:eastAsia="Times New Roman"/>
          <w:color w:val="000000"/>
          <w:sz w:val="14"/>
          <w:szCs w:val="14"/>
          <w:rtl/>
          <w:lang w:eastAsia="he-IL"/>
        </w:rPr>
        <w:t xml:space="preserve">      </w:t>
      </w:r>
      <w:r>
        <w:rPr>
          <w:rStyle w:val="Strong"/>
          <w:rFonts w:eastAsia="Times New Roman" w:cs="David" w:hint="cs"/>
          <w:sz w:val="28"/>
          <w:szCs w:val="28"/>
          <w:rtl/>
          <w:lang w:eastAsia="he-IL"/>
        </w:rPr>
        <w:t>רקע</w:t>
      </w:r>
      <w:r>
        <w:rPr>
          <w:rStyle w:val="Strong"/>
          <w:rFonts w:eastAsia="Times New Roman" w:cs="David" w:hint="cs"/>
          <w:color w:val="000000"/>
          <w:sz w:val="28"/>
          <w:szCs w:val="28"/>
          <w:rtl/>
          <w:lang w:eastAsia="he-IL"/>
        </w:rPr>
        <w:t xml:space="preserve"> </w:t>
      </w:r>
    </w:p>
    <w:p w:rsidR="00000000" w:rsidRDefault="00AA5619">
      <w:pPr>
        <w:bidi/>
        <w:spacing w:before="120" w:line="360" w:lineRule="auto"/>
        <w:jc w:val="both"/>
        <w:rPr>
          <w:rFonts w:hint="cs"/>
          <w:rtl/>
        </w:rPr>
      </w:pPr>
      <w:r>
        <w:rPr>
          <w:rFonts w:eastAsia="Times New Roman" w:cs="David" w:hint="cs"/>
          <w:color w:val="000000"/>
          <w:sz w:val="20"/>
          <w:rtl/>
          <w:lang w:eastAsia="he-IL"/>
        </w:rPr>
        <w:t xml:space="preserve">מצבורי הגז הטבעי אשר התגלו בשנים </w:t>
      </w:r>
      <w:r>
        <w:rPr>
          <w:rFonts w:eastAsia="Times New Roman" w:cs="David" w:hint="cs"/>
          <w:color w:val="000000"/>
          <w:sz w:val="20"/>
          <w:rtl/>
          <w:lang w:eastAsia="he-IL"/>
        </w:rPr>
        <w:t>האחרונות בשטחי המים הכלכליים של ישראל חוללו שינוי במשק האנרגיה הישראלי, אשר נהג להתבסס בעיקר על שימוש במוצרי נפט ופחם לייצור אנרגיה. הגז הטבעי משמש כמקור אנרגיה מרכזי בשל יתרונותיו, המתבטאים בניצולת גבוהה של אנרגיה וזיהום אוויר נמוך, יחסית למקורות אנרגיה א</w:t>
      </w:r>
      <w:r>
        <w:rPr>
          <w:rFonts w:eastAsia="Times New Roman" w:cs="David" w:hint="cs"/>
          <w:color w:val="000000"/>
          <w:sz w:val="20"/>
          <w:rtl/>
          <w:lang w:eastAsia="he-IL"/>
        </w:rPr>
        <w:t>חרים. בהתאם לנתונים שבפניי, הביקוש לגז טבעי הלך וגבר בעשור האחרון ואף צפוי לגבור משמעותית בשנים הקרובות.</w:t>
      </w:r>
    </w:p>
    <w:p w:rsidR="00000000" w:rsidRDefault="00AA5619">
      <w:pPr>
        <w:bidi/>
        <w:spacing w:before="120" w:line="360" w:lineRule="auto"/>
        <w:jc w:val="both"/>
        <w:rPr>
          <w:rFonts w:hint="cs"/>
          <w:rtl/>
        </w:rPr>
      </w:pPr>
      <w:r>
        <w:rPr>
          <w:rFonts w:eastAsia="Times New Roman" w:cs="David" w:hint="cs"/>
          <w:color w:val="000000"/>
          <w:sz w:val="20"/>
          <w:rtl/>
          <w:lang w:eastAsia="he-IL"/>
        </w:rPr>
        <w:t>תמר הינו מאגר הגז הטבעי היחיד בשטחי המים הכלכליים של ישראל, המסוגל לספק גז טבעי למשק הישראלי בשנים הקרובות, וזאת לאור התרוקנותו הצפויה של מאגר ים-תטיס.</w:t>
      </w:r>
      <w:r>
        <w:rPr>
          <w:rFonts w:eastAsia="Times New Roman" w:cs="David" w:hint="cs"/>
          <w:color w:val="000000"/>
          <w:sz w:val="20"/>
          <w:rtl/>
          <w:lang w:eastAsia="he-IL"/>
        </w:rPr>
        <w:t xml:space="preserve"> כבר במהלך שנת 2012, חתמו שותפות תמר על הסכמים לאספקת גז טבעי עם חברת החשמל לישראל בע"מ (להלן: "</w:t>
      </w:r>
      <w:r>
        <w:rPr>
          <w:rStyle w:val="Strong"/>
          <w:rFonts w:eastAsia="Times New Roman" w:cs="David" w:hint="cs"/>
          <w:color w:val="000000"/>
          <w:sz w:val="20"/>
          <w:rtl/>
          <w:lang w:eastAsia="he-IL"/>
        </w:rPr>
        <w:t>חברת החשמל</w:t>
      </w:r>
      <w:r>
        <w:rPr>
          <w:rFonts w:eastAsia="Times New Roman" w:cs="David" w:hint="cs"/>
          <w:color w:val="000000"/>
          <w:sz w:val="20"/>
          <w:rtl/>
          <w:lang w:eastAsia="he-IL"/>
        </w:rPr>
        <w:t>") שהינה צרכנית הגז הטבעי הגדולה והמשמעותית ביותר במשק הישראלי. כמו כן, נחתמו הסכמים לאספקת גז טבעי בין שותפות תמר לבין יצרני חשמל פרטיים המייצרים ומו</w:t>
      </w:r>
      <w:r>
        <w:rPr>
          <w:rFonts w:eastAsia="Times New Roman" w:cs="David" w:hint="cs"/>
          <w:color w:val="000000"/>
          <w:sz w:val="20"/>
          <w:rtl/>
          <w:lang w:eastAsia="he-IL"/>
        </w:rPr>
        <w:t xml:space="preserve">כרים חשמל ישירות לחברת החשמל או ללקוחות פרטיים וכן חברות תעשייתיות אשר הקימו </w:t>
      </w:r>
      <w:r>
        <w:rPr>
          <w:rFonts w:eastAsia="Times New Roman" w:cs="David" w:hint="cs"/>
          <w:color w:val="000000"/>
          <w:sz w:val="20"/>
          <w:rtl/>
          <w:lang w:eastAsia="he-IL"/>
        </w:rPr>
        <w:lastRenderedPageBreak/>
        <w:t>בחצרותיהן מערכות קוגנרציה אשר נועדו לספק קיטור וחשמל לתפעולן העצמי השוטף</w:t>
      </w:r>
      <w:r>
        <w:rPr>
          <w:rFonts w:eastAsia="Times New Roman" w:cs="David"/>
          <w:color w:val="000000"/>
          <w:sz w:val="20"/>
          <w:vertAlign w:val="superscript"/>
          <w:rtl/>
          <w:lang w:eastAsia="he-IL"/>
        </w:rPr>
        <w:footnoteReference w:id="1"/>
      </w:r>
      <w:r>
        <w:rPr>
          <w:rFonts w:eastAsia="Times New Roman" w:cs="David"/>
          <w:color w:val="000000"/>
          <w:sz w:val="20"/>
          <w:vertAlign w:val="superscript"/>
          <w:lang w:eastAsia="he-IL"/>
        </w:rPr>
        <w:t>[1]</w:t>
      </w:r>
      <w:r>
        <w:rPr>
          <w:rFonts w:eastAsia="Times New Roman" w:cs="David" w:hint="cs"/>
          <w:color w:val="000000"/>
          <w:sz w:val="20"/>
          <w:rtl/>
          <w:lang w:eastAsia="he-IL"/>
        </w:rPr>
        <w:t xml:space="preserve"> (להלן: "</w:t>
      </w:r>
      <w:r>
        <w:rPr>
          <w:rStyle w:val="Strong"/>
          <w:rFonts w:eastAsia="Times New Roman" w:cs="David" w:hint="cs"/>
          <w:color w:val="000000"/>
          <w:sz w:val="20"/>
          <w:rtl/>
          <w:lang w:eastAsia="he-IL"/>
        </w:rPr>
        <w:t>לקוחות תמר</w:t>
      </w:r>
      <w:r>
        <w:rPr>
          <w:rFonts w:eastAsia="Times New Roman" w:cs="David" w:hint="cs"/>
          <w:color w:val="000000"/>
          <w:sz w:val="20"/>
          <w:rtl/>
          <w:lang w:eastAsia="he-IL"/>
        </w:rPr>
        <w:t>"). זאת, בעוד שתמר טרם החלה להפיק ולספק גז טבעי למשק הישראלי בפועל, ושכאמור צפויה לה</w:t>
      </w:r>
      <w:r>
        <w:rPr>
          <w:rFonts w:eastAsia="Times New Roman" w:cs="David" w:hint="cs"/>
          <w:color w:val="000000"/>
          <w:sz w:val="20"/>
          <w:rtl/>
          <w:lang w:eastAsia="he-IL"/>
        </w:rPr>
        <w:t>תחיל לספק גז במהלך שנת 2013.</w:t>
      </w:r>
      <w:r>
        <w:rPr>
          <w:rFonts w:eastAsia="Times New Roman" w:cs="David"/>
          <w:color w:val="000000"/>
          <w:sz w:val="20"/>
          <w:vertAlign w:val="superscript"/>
          <w:rtl/>
          <w:lang w:eastAsia="he-IL"/>
        </w:rPr>
        <w:footnoteReference w:id="2"/>
      </w:r>
      <w:r>
        <w:rPr>
          <w:rFonts w:eastAsia="Times New Roman" w:cs="David"/>
          <w:color w:val="000000"/>
          <w:sz w:val="20"/>
          <w:vertAlign w:val="superscript"/>
          <w:lang w:eastAsia="he-IL"/>
        </w:rPr>
        <w:t>[2]</w:t>
      </w:r>
      <w:r>
        <w:rPr>
          <w:rFonts w:eastAsia="Times New Roman" w:cs="David" w:hint="cs"/>
          <w:color w:val="000000"/>
          <w:sz w:val="20"/>
          <w:rtl/>
          <w:lang w:eastAsia="he-IL"/>
        </w:rPr>
        <w:t xml:space="preserve"> </w:t>
      </w:r>
    </w:p>
    <w:p w:rsidR="00000000" w:rsidRDefault="00AA5619">
      <w:pPr>
        <w:bidi/>
        <w:spacing w:before="120" w:line="360" w:lineRule="auto"/>
        <w:jc w:val="both"/>
        <w:rPr>
          <w:rFonts w:hint="cs"/>
          <w:rtl/>
        </w:rPr>
      </w:pPr>
      <w:r>
        <w:rPr>
          <w:rFonts w:eastAsia="Times New Roman" w:cs="David" w:hint="cs"/>
          <w:color w:val="000000"/>
          <w:sz w:val="20"/>
          <w:rtl/>
          <w:lang w:eastAsia="he-IL"/>
        </w:rPr>
        <w:t>ההסכם נשוא בקשת הפטור דנא הינו חלק ממערך הסכמים לאספקת גז טבעי, אשר במסגרתם התקשרו שותפות תמר (להלן: "</w:t>
      </w:r>
      <w:r>
        <w:rPr>
          <w:rStyle w:val="Strong"/>
          <w:rFonts w:eastAsia="Times New Roman" w:cs="David" w:hint="cs"/>
          <w:color w:val="000000"/>
          <w:sz w:val="20"/>
          <w:rtl/>
          <w:lang w:eastAsia="he-IL"/>
        </w:rPr>
        <w:t>הסכמי הגז</w:t>
      </w:r>
      <w:r>
        <w:rPr>
          <w:rFonts w:eastAsia="Times New Roman" w:cs="David" w:hint="cs"/>
          <w:color w:val="000000"/>
          <w:sz w:val="20"/>
          <w:rtl/>
          <w:lang w:eastAsia="he-IL"/>
        </w:rPr>
        <w:t>"), ואשר חלקם קיבלו פטור בתנאים לפי סעיף 14 לחוק ביום 14 ביוני 2012 (להלן: "</w:t>
      </w:r>
      <w:r>
        <w:rPr>
          <w:rStyle w:val="Strong"/>
          <w:rFonts w:eastAsia="Times New Roman" w:cs="David" w:hint="cs"/>
          <w:color w:val="000000"/>
          <w:sz w:val="20"/>
          <w:rtl/>
          <w:lang w:eastAsia="he-IL"/>
        </w:rPr>
        <w:t>החלטות הפטור בעניין הסכמי הגז</w:t>
      </w:r>
      <w:r>
        <w:rPr>
          <w:rFonts w:eastAsia="Times New Roman" w:cs="David" w:hint="cs"/>
          <w:color w:val="000000"/>
          <w:sz w:val="20"/>
          <w:rtl/>
          <w:lang w:eastAsia="he-IL"/>
        </w:rPr>
        <w:t>").</w:t>
      </w:r>
      <w:r>
        <w:rPr>
          <w:rStyle w:val="FootnoteReference"/>
          <w:rFonts w:eastAsia="Times New Roman" w:cs="David"/>
          <w:color w:val="000000"/>
          <w:sz w:val="20"/>
          <w:rtl/>
          <w:lang w:eastAsia="he-IL"/>
        </w:rPr>
        <w:footnoteReference w:id="3"/>
      </w:r>
      <w:r>
        <w:rPr>
          <w:rStyle w:val="FootnoteReference"/>
          <w:rFonts w:eastAsia="Times New Roman" w:cs="David"/>
          <w:color w:val="000000"/>
          <w:sz w:val="20"/>
          <w:lang w:eastAsia="he-IL"/>
        </w:rPr>
        <w:t>[3]</w:t>
      </w:r>
    </w:p>
    <w:p w:rsidR="00000000" w:rsidRDefault="00AA5619">
      <w:pPr>
        <w:bidi/>
        <w:spacing w:before="120" w:line="360" w:lineRule="auto"/>
        <w:jc w:val="both"/>
        <w:rPr>
          <w:rFonts w:hint="cs"/>
          <w:rtl/>
        </w:rPr>
      </w:pPr>
      <w:r>
        <w:rPr>
          <w:rFonts w:eastAsia="Times New Roman" w:cs="David" w:hint="cs"/>
          <w:color w:val="000000"/>
          <w:sz w:val="20"/>
          <w:rtl/>
          <w:lang w:eastAsia="he-IL"/>
        </w:rPr>
        <w:t xml:space="preserve">כפי שפורט בהחלטות הפטור בעניין הסכמי הגז, עד לחודש אפריל 2012, אספקת הגז למשק הישראלי התבצעה על ידי שני מקורות לאספקת גז בלבד: פרויקט ים תטיס שבשליטת קבוצת דלק ונובל, וכן על ידי חברת הגז המצרית </w:t>
      </w:r>
      <w:r>
        <w:rPr>
          <w:rFonts w:eastAsia="Times New Roman" w:cs="David"/>
          <w:color w:val="000000"/>
          <w:lang w:eastAsia="he-IL"/>
        </w:rPr>
        <w:t>East Mediterranean Gas S.A.E</w:t>
      </w:r>
      <w:r>
        <w:rPr>
          <w:rFonts w:eastAsia="Times New Roman" w:cs="David" w:hint="cs"/>
          <w:color w:val="000000"/>
          <w:sz w:val="20"/>
          <w:rtl/>
          <w:lang w:eastAsia="he-IL"/>
        </w:rPr>
        <w:t xml:space="preserve"> (להלן: "</w:t>
      </w:r>
      <w:r>
        <w:rPr>
          <w:rStyle w:val="Strong"/>
          <w:rFonts w:eastAsia="Times New Roman" w:cs="David"/>
          <w:color w:val="000000"/>
          <w:sz w:val="20"/>
          <w:lang w:eastAsia="he-IL"/>
        </w:rPr>
        <w:t>EMG</w:t>
      </w:r>
      <w:r>
        <w:rPr>
          <w:rFonts w:eastAsia="Times New Roman" w:cs="David" w:hint="cs"/>
          <w:color w:val="000000"/>
          <w:sz w:val="20"/>
          <w:rtl/>
          <w:lang w:eastAsia="he-IL"/>
        </w:rPr>
        <w:t>").</w:t>
      </w:r>
      <w:r>
        <w:rPr>
          <w:rFonts w:eastAsia="Times New Roman" w:cs="David"/>
          <w:color w:val="000000"/>
          <w:sz w:val="20"/>
          <w:vertAlign w:val="superscript"/>
          <w:rtl/>
          <w:lang w:eastAsia="he-IL"/>
        </w:rPr>
        <w:footnoteReference w:id="4"/>
      </w:r>
      <w:r>
        <w:rPr>
          <w:rFonts w:eastAsia="Times New Roman" w:cs="David"/>
          <w:color w:val="000000"/>
          <w:sz w:val="20"/>
          <w:vertAlign w:val="superscript"/>
          <w:lang w:eastAsia="he-IL"/>
        </w:rPr>
        <w:t>[4]</w:t>
      </w:r>
      <w:r>
        <w:rPr>
          <w:rFonts w:eastAsia="Times New Roman" w:cs="David" w:hint="cs"/>
          <w:color w:val="000000"/>
          <w:sz w:val="20"/>
          <w:rtl/>
          <w:lang w:eastAsia="he-IL"/>
        </w:rPr>
        <w:t xml:space="preserve"> ברם, אספקת</w:t>
      </w:r>
      <w:r>
        <w:rPr>
          <w:rFonts w:eastAsia="Times New Roman" w:cs="David" w:hint="cs"/>
          <w:color w:val="000000"/>
          <w:sz w:val="20"/>
          <w:rtl/>
          <w:lang w:eastAsia="he-IL"/>
        </w:rPr>
        <w:t xml:space="preserve"> </w:t>
      </w:r>
      <w:r>
        <w:rPr>
          <w:rFonts w:eastAsia="Times New Roman" w:cs="David" w:hint="cs"/>
          <w:color w:val="000000"/>
          <w:rtl/>
          <w:lang w:eastAsia="he-IL"/>
        </w:rPr>
        <w:t>הגז מ-</w:t>
      </w:r>
      <w:r>
        <w:rPr>
          <w:rFonts w:eastAsia="Times New Roman" w:cs="David"/>
          <w:color w:val="000000"/>
          <w:lang w:eastAsia="he-IL"/>
        </w:rPr>
        <w:t>EMG</w:t>
      </w:r>
      <w:r>
        <w:rPr>
          <w:rFonts w:eastAsia="Times New Roman" w:cs="David" w:hint="cs"/>
          <w:color w:val="000000"/>
          <w:rtl/>
          <w:lang w:eastAsia="he-IL"/>
        </w:rPr>
        <w:t xml:space="preserve"> נתקלה בקשיים כבר במהלך שנת 2011 והופסקה כליל במהלך חודש אפריל 2012.</w:t>
      </w:r>
      <w:r>
        <w:rPr>
          <w:rFonts w:eastAsia="Times New Roman" w:cs="David" w:hint="cs"/>
          <w:color w:val="000000"/>
          <w:sz w:val="20"/>
          <w:rtl/>
          <w:lang w:eastAsia="he-IL"/>
        </w:rPr>
        <w:t xml:space="preserve"> במקביל, פרויקט ים תטיס מצוי בשלבי התכלות מתקדמים כך שאספקת הגז ממנו צפויה להיפסק במהלך שנת 2014 וממילא כיום מספק פרויקט ים תטיס גז טבעי אך ורק ללקוחות שכבר חתמו על חוזים לאספקת </w:t>
      </w:r>
      <w:r>
        <w:rPr>
          <w:rFonts w:eastAsia="Times New Roman" w:cs="David" w:hint="cs"/>
          <w:color w:val="000000"/>
          <w:sz w:val="20"/>
          <w:rtl/>
          <w:lang w:eastAsia="he-IL"/>
        </w:rPr>
        <w:t>הגז הטבעי בעבר, כך שלא צפויה עוד אספקת גז מפרויקט ים תטיס לצרכנים חדשים. אמנם, מלבד תמר, קיימים מאגרי גז נוספים שעשויים להתגלות</w:t>
      </w:r>
      <w:r>
        <w:rPr>
          <w:rFonts w:eastAsia="Times New Roman" w:cs="David"/>
          <w:color w:val="000000"/>
          <w:sz w:val="20"/>
          <w:vertAlign w:val="superscript"/>
          <w:rtl/>
          <w:lang w:eastAsia="he-IL"/>
        </w:rPr>
        <w:footnoteReference w:id="5"/>
      </w:r>
      <w:r>
        <w:rPr>
          <w:rFonts w:eastAsia="Times New Roman" w:cs="David"/>
          <w:color w:val="000000"/>
          <w:sz w:val="20"/>
          <w:vertAlign w:val="superscript"/>
          <w:lang w:eastAsia="he-IL"/>
        </w:rPr>
        <w:t>[5]</w:t>
      </w:r>
      <w:r>
        <w:rPr>
          <w:rFonts w:eastAsia="Times New Roman" w:cs="David" w:hint="cs"/>
          <w:color w:val="000000"/>
          <w:sz w:val="20"/>
          <w:rtl/>
          <w:lang w:eastAsia="he-IL"/>
        </w:rPr>
        <w:t xml:space="preserve"> כמאגרים לאספקת גז טבעי, אך אלו טרם הוכרזו כמאגרים ברי הפקה ועל כן, הסתברות יכולת ההפקה והשיווק של גז טבעי מאותם מאגרים עדיין</w:t>
      </w:r>
      <w:r>
        <w:rPr>
          <w:rFonts w:eastAsia="Times New Roman" w:cs="David" w:hint="cs"/>
          <w:color w:val="000000"/>
          <w:sz w:val="20"/>
          <w:rtl/>
          <w:lang w:eastAsia="he-IL"/>
        </w:rPr>
        <w:t xml:space="preserve"> מוטלת בספק. </w:t>
      </w:r>
    </w:p>
    <w:p w:rsidR="00000000" w:rsidRDefault="00AA5619">
      <w:pPr>
        <w:bidi/>
        <w:spacing w:before="120" w:line="360" w:lineRule="auto"/>
        <w:jc w:val="both"/>
        <w:rPr>
          <w:rFonts w:hint="cs"/>
          <w:rtl/>
        </w:rPr>
      </w:pPr>
      <w:r>
        <w:rPr>
          <w:rFonts w:eastAsia="Times New Roman" w:cs="David" w:hint="cs"/>
          <w:color w:val="000000"/>
          <w:sz w:val="20"/>
          <w:rtl/>
          <w:lang w:eastAsia="he-IL"/>
        </w:rPr>
        <w:t xml:space="preserve">נסיבות אלו הביאו לכך שהתחרות המוגבלת ממילא בענף הגז הטבעי הצטמצמה עוד יותר, וכיום שותפות תמר צפויה להיות ספק הגז הבלעדי במשק הישראלי, אף עוד בטרם החלה לספק גז טבעי בפועל. </w:t>
      </w:r>
    </w:p>
    <w:p w:rsidR="00000000" w:rsidRDefault="00AA5619">
      <w:pPr>
        <w:bidi/>
        <w:spacing w:before="120" w:line="360" w:lineRule="auto"/>
        <w:jc w:val="both"/>
        <w:rPr>
          <w:rFonts w:hint="cs"/>
          <w:rtl/>
        </w:rPr>
      </w:pPr>
      <w:r>
        <w:rPr>
          <w:rFonts w:eastAsia="Times New Roman" w:cs="David" w:hint="cs"/>
          <w:color w:val="000000"/>
          <w:sz w:val="20"/>
          <w:rtl/>
          <w:lang w:eastAsia="he-IL"/>
        </w:rPr>
        <w:t> </w:t>
      </w:r>
    </w:p>
    <w:p w:rsidR="00000000" w:rsidRDefault="00AA5619">
      <w:pPr>
        <w:bidi/>
        <w:spacing w:before="120" w:line="360" w:lineRule="auto"/>
        <w:jc w:val="both"/>
        <w:rPr>
          <w:rFonts w:hint="cs"/>
          <w:rtl/>
        </w:rPr>
      </w:pPr>
      <w:r>
        <w:rPr>
          <w:rFonts w:eastAsia="Times New Roman" w:cs="David" w:hint="cs"/>
          <w:color w:val="000000"/>
          <w:sz w:val="20"/>
          <w:rtl/>
          <w:lang w:eastAsia="he-IL"/>
        </w:rPr>
        <w:lastRenderedPageBreak/>
        <w:t> </w:t>
      </w:r>
    </w:p>
    <w:p w:rsidR="00000000" w:rsidRDefault="00AA5619">
      <w:pPr>
        <w:bidi/>
        <w:spacing w:before="120" w:line="360" w:lineRule="auto"/>
        <w:jc w:val="both"/>
        <w:rPr>
          <w:rFonts w:hint="cs"/>
          <w:rtl/>
        </w:rPr>
      </w:pPr>
      <w:r>
        <w:rPr>
          <w:rFonts w:eastAsia="Times New Roman" w:cs="David" w:hint="cs"/>
          <w:color w:val="000000"/>
          <w:sz w:val="20"/>
          <w:rtl/>
          <w:lang w:eastAsia="he-IL"/>
        </w:rPr>
        <w:t> </w:t>
      </w:r>
    </w:p>
    <w:p w:rsidR="00000000" w:rsidRDefault="00AA5619">
      <w:pPr>
        <w:bidi/>
        <w:spacing w:before="120" w:line="360" w:lineRule="auto"/>
        <w:jc w:val="both"/>
        <w:rPr>
          <w:rFonts w:hint="cs"/>
          <w:rtl/>
        </w:rPr>
      </w:pPr>
      <w:r>
        <w:rPr>
          <w:rFonts w:eastAsia="Times New Roman" w:cs="David" w:hint="cs"/>
          <w:color w:val="000000"/>
          <w:sz w:val="20"/>
          <w:rtl/>
          <w:lang w:eastAsia="he-IL"/>
        </w:rPr>
        <w:t> </w:t>
      </w:r>
    </w:p>
    <w:p w:rsidR="00000000" w:rsidRDefault="00AA5619">
      <w:pPr>
        <w:bidi/>
        <w:spacing w:before="100" w:beforeAutospacing="1"/>
        <w:jc w:val="both"/>
        <w:outlineLvl w:val="0"/>
        <w:rPr>
          <w:rFonts w:hint="cs"/>
          <w:rtl/>
        </w:rPr>
      </w:pPr>
      <w:r>
        <w:rPr>
          <w:rStyle w:val="Strong"/>
          <w:rFonts w:eastAsia="Times New Roman" w:cs="David" w:hint="cs"/>
          <w:color w:val="000000"/>
          <w:sz w:val="28"/>
          <w:szCs w:val="28"/>
          <w:rtl/>
          <w:lang w:eastAsia="he-IL"/>
        </w:rPr>
        <w:t> </w:t>
      </w:r>
    </w:p>
    <w:p w:rsidR="00000000" w:rsidRDefault="00AA5619">
      <w:pPr>
        <w:bidi/>
        <w:spacing w:before="120" w:line="360" w:lineRule="auto"/>
        <w:ind w:left="360" w:hanging="360"/>
        <w:jc w:val="both"/>
        <w:rPr>
          <w:rFonts w:hint="cs"/>
          <w:rtl/>
        </w:rPr>
      </w:pPr>
      <w:r>
        <w:rPr>
          <w:rStyle w:val="Strong"/>
          <w:rFonts w:eastAsia="Times New Roman"/>
          <w:color w:val="000000"/>
          <w:sz w:val="28"/>
          <w:szCs w:val="28"/>
          <w:rtl/>
          <w:lang w:eastAsia="he-IL"/>
        </w:rPr>
        <w:t>3.</w:t>
      </w:r>
      <w:r>
        <w:rPr>
          <w:rStyle w:val="Strong"/>
          <w:rFonts w:eastAsia="Times New Roman"/>
          <w:color w:val="000000"/>
          <w:sz w:val="14"/>
          <w:szCs w:val="14"/>
          <w:rtl/>
          <w:lang w:eastAsia="he-IL"/>
        </w:rPr>
        <w:t xml:space="preserve">      </w:t>
      </w:r>
      <w:r>
        <w:rPr>
          <w:rStyle w:val="Strong"/>
          <w:rFonts w:eastAsia="Times New Roman" w:cs="David" w:hint="cs"/>
          <w:color w:val="000000"/>
          <w:sz w:val="28"/>
          <w:szCs w:val="28"/>
          <w:rtl/>
          <w:lang w:eastAsia="he-IL"/>
        </w:rPr>
        <w:t xml:space="preserve">הצדדים </w:t>
      </w:r>
      <w:r>
        <w:rPr>
          <w:rStyle w:val="Strong"/>
          <w:rFonts w:eastAsia="Times New Roman" w:cs="David" w:hint="cs"/>
          <w:sz w:val="28"/>
          <w:szCs w:val="28"/>
          <w:rtl/>
          <w:lang w:eastAsia="he-IL"/>
        </w:rPr>
        <w:t>להסדר</w:t>
      </w:r>
    </w:p>
    <w:p w:rsidR="00000000" w:rsidRDefault="00AA5619">
      <w:pPr>
        <w:bidi/>
        <w:spacing w:before="100" w:beforeAutospacing="1"/>
        <w:jc w:val="both"/>
        <w:rPr>
          <w:rFonts w:hint="cs"/>
          <w:rtl/>
        </w:rPr>
      </w:pPr>
      <w:r>
        <w:rPr>
          <w:rStyle w:val="Strong"/>
          <w:rFonts w:eastAsia="Times New Roman" w:cs="David" w:hint="cs"/>
          <w:color w:val="000000"/>
          <w:sz w:val="22"/>
          <w:rtl/>
          <w:lang w:eastAsia="he-IL"/>
        </w:rPr>
        <w:t> </w:t>
      </w:r>
    </w:p>
    <w:p w:rsidR="00000000" w:rsidRDefault="00AA5619">
      <w:pPr>
        <w:bidi/>
        <w:spacing w:before="120" w:line="360" w:lineRule="auto"/>
        <w:jc w:val="both"/>
        <w:rPr>
          <w:rFonts w:hint="cs"/>
          <w:rtl/>
        </w:rPr>
      </w:pPr>
      <w:r>
        <w:rPr>
          <w:rStyle w:val="Strong"/>
          <w:rFonts w:eastAsia="Times New Roman" w:cs="David" w:hint="cs"/>
          <w:sz w:val="22"/>
          <w:rtl/>
          <w:lang w:eastAsia="he-IL"/>
        </w:rPr>
        <w:t xml:space="preserve">משאב </w:t>
      </w:r>
      <w:r>
        <w:rPr>
          <w:rFonts w:eastAsia="Times New Roman" w:cs="David" w:hint="cs"/>
          <w:sz w:val="22"/>
          <w:rtl/>
          <w:lang w:eastAsia="he-IL"/>
        </w:rPr>
        <w:t>הינה חברת אחזקות פרטית המוחזקת על ידי כלל תעשיות והשקעות בע"מ (75%) וסי. אר. אייטצ' (ישראל) בע"מ (25%). משאב מחזיקה במלוא הון המניות של חברת נשר מפעלי מלט ישראלים בע"מ (להלן: "</w:t>
      </w:r>
      <w:r>
        <w:rPr>
          <w:rStyle w:val="Strong"/>
          <w:rFonts w:eastAsia="Times New Roman" w:cs="David" w:hint="cs"/>
          <w:sz w:val="22"/>
          <w:rtl/>
          <w:lang w:eastAsia="he-IL"/>
        </w:rPr>
        <w:t>נשר</w:t>
      </w:r>
      <w:r>
        <w:rPr>
          <w:rFonts w:eastAsia="Times New Roman" w:cs="David" w:hint="cs"/>
          <w:sz w:val="22"/>
          <w:rtl/>
          <w:lang w:eastAsia="he-IL"/>
        </w:rPr>
        <w:t>"), אשר עוסקת בעצמה, ובאמצעות חברות שבשליטתה, בייצור ושיווק מלט וכן בפעילויות</w:t>
      </w:r>
      <w:r>
        <w:rPr>
          <w:rFonts w:eastAsia="Times New Roman" w:cs="David" w:hint="cs"/>
          <w:sz w:val="22"/>
          <w:rtl/>
          <w:lang w:eastAsia="he-IL"/>
        </w:rPr>
        <w:t xml:space="preserve"> נלוות נוספות. נשר מחזיקה ב-50% מהון המניות של חברת תעבורה אחזקות בע"מ.</w:t>
      </w:r>
    </w:p>
    <w:p w:rsidR="00000000" w:rsidRDefault="00AA5619">
      <w:pPr>
        <w:bidi/>
        <w:spacing w:before="120" w:line="360" w:lineRule="auto"/>
        <w:jc w:val="both"/>
        <w:rPr>
          <w:rFonts w:hint="cs"/>
          <w:rtl/>
        </w:rPr>
      </w:pPr>
      <w:r>
        <w:rPr>
          <w:rFonts w:eastAsia="Times New Roman" w:cs="David" w:hint="cs"/>
          <w:sz w:val="22"/>
          <w:rtl/>
          <w:lang w:eastAsia="he-IL"/>
        </w:rPr>
        <w:t>משאב השלימה הקמת תחנת כח לייצור חשמל באמצעות גז טבעי בשנת 2009, בשטח הסמוך למפעל נשר שברמלה, והחלה לצרוך חשמל מתחנת הכח האמורה לצרכי פעילותה השוטפת של נשר החל משנת 2010. על פי המידע שב</w:t>
      </w:r>
      <w:r>
        <w:rPr>
          <w:rFonts w:eastAsia="Times New Roman" w:cs="David" w:hint="cs"/>
          <w:sz w:val="22"/>
          <w:rtl/>
          <w:lang w:eastAsia="he-IL"/>
        </w:rPr>
        <w:t>פניי, משאב בוחנת בימים אלה את האפשרות להגדיל את היקף ייצור החשמל בתחנת הכח באמצעות השקעה בטורבינת גז נוספת וכן בטורבינת קיטור נוספת (להלן: "</w:t>
      </w:r>
      <w:r>
        <w:rPr>
          <w:rStyle w:val="Strong"/>
          <w:rFonts w:eastAsia="Times New Roman" w:cs="David" w:hint="cs"/>
          <w:sz w:val="22"/>
          <w:rtl/>
          <w:lang w:eastAsia="he-IL"/>
        </w:rPr>
        <w:t>הטורבינות</w:t>
      </w:r>
      <w:r>
        <w:rPr>
          <w:rFonts w:eastAsia="Times New Roman" w:cs="David" w:hint="cs"/>
          <w:sz w:val="22"/>
          <w:rtl/>
          <w:lang w:eastAsia="he-IL"/>
        </w:rPr>
        <w:t>"). אפשרות ההרחבה כאמור, מותנית בקבלת הרישיונות והאישורים מהגורמים הרלבנטיים. היה ומשאב תרחיב את היקף ייצור</w:t>
      </w:r>
      <w:r>
        <w:rPr>
          <w:rFonts w:eastAsia="Times New Roman" w:cs="David" w:hint="cs"/>
          <w:sz w:val="22"/>
          <w:rtl/>
          <w:lang w:eastAsia="he-IL"/>
        </w:rPr>
        <w:t xml:space="preserve"> החשמל כאמור, יוסב רישיונה הקיים של משאב באופן אשר יאפשר לה למכור חשמל ליצרנים נוספים, מלבד אספקה בלעדית למפעל נשר. </w:t>
      </w:r>
    </w:p>
    <w:p w:rsidR="00000000" w:rsidRDefault="00AA5619">
      <w:pPr>
        <w:bidi/>
        <w:spacing w:before="120" w:line="360" w:lineRule="auto"/>
        <w:jc w:val="both"/>
        <w:rPr>
          <w:rFonts w:hint="cs"/>
          <w:rtl/>
        </w:rPr>
      </w:pPr>
      <w:r>
        <w:rPr>
          <w:rStyle w:val="Strong"/>
          <w:rFonts w:eastAsia="Times New Roman" w:cs="David" w:hint="cs"/>
          <w:sz w:val="22"/>
          <w:rtl/>
          <w:lang w:eastAsia="he-IL"/>
        </w:rPr>
        <w:t> </w:t>
      </w:r>
    </w:p>
    <w:p w:rsidR="00000000" w:rsidRDefault="00AA5619">
      <w:pPr>
        <w:bidi/>
        <w:spacing w:before="120" w:line="360" w:lineRule="auto"/>
        <w:jc w:val="both"/>
        <w:rPr>
          <w:rFonts w:hint="cs"/>
          <w:rtl/>
        </w:rPr>
      </w:pPr>
      <w:r>
        <w:rPr>
          <w:rStyle w:val="Strong"/>
          <w:rFonts w:eastAsia="Times New Roman" w:cs="David" w:hint="cs"/>
          <w:sz w:val="22"/>
          <w:rtl/>
          <w:lang w:eastAsia="he-IL"/>
        </w:rPr>
        <w:t>השותפות בחזקת תמר</w:t>
      </w:r>
      <w:r>
        <w:rPr>
          <w:rFonts w:eastAsia="Times New Roman" w:cs="David"/>
          <w:sz w:val="22"/>
          <w:vertAlign w:val="superscript"/>
          <w:rtl/>
          <w:lang w:eastAsia="he-IL"/>
        </w:rPr>
        <w:footnoteReference w:id="6"/>
      </w:r>
      <w:r>
        <w:rPr>
          <w:rFonts w:eastAsia="Times New Roman" w:cs="David"/>
          <w:sz w:val="22"/>
          <w:vertAlign w:val="superscript"/>
          <w:lang w:eastAsia="he-IL"/>
        </w:rPr>
        <w:t>[6]</w:t>
      </w:r>
      <w:r>
        <w:rPr>
          <w:rFonts w:eastAsia="Times New Roman" w:cs="David" w:hint="cs"/>
          <w:sz w:val="22"/>
          <w:rtl/>
          <w:lang w:eastAsia="he-IL"/>
        </w:rPr>
        <w:t>:</w:t>
      </w:r>
    </w:p>
    <w:p w:rsidR="00000000" w:rsidRDefault="00AA5619">
      <w:pPr>
        <w:bidi/>
        <w:spacing w:before="120" w:line="360" w:lineRule="auto"/>
        <w:ind w:left="720" w:hanging="360"/>
        <w:jc w:val="both"/>
        <w:rPr>
          <w:rFonts w:hint="cs"/>
          <w:rtl/>
        </w:rPr>
      </w:pPr>
      <w:r>
        <w:rPr>
          <w:rFonts w:eastAsia="David" w:cs="David" w:hint="cs"/>
          <w:sz w:val="22"/>
          <w:rtl/>
          <w:lang w:eastAsia="he-IL"/>
        </w:rPr>
        <w:t>א.</w:t>
      </w:r>
      <w:r>
        <w:rPr>
          <w:rFonts w:eastAsia="David"/>
          <w:sz w:val="14"/>
          <w:szCs w:val="14"/>
          <w:rtl/>
          <w:lang w:eastAsia="he-IL"/>
        </w:rPr>
        <w:t xml:space="preserve">      </w:t>
      </w:r>
      <w:r>
        <w:rPr>
          <w:rStyle w:val="Strong"/>
          <w:rFonts w:eastAsia="Times New Roman" w:cs="David" w:hint="cs"/>
          <w:sz w:val="22"/>
          <w:rtl/>
          <w:lang w:eastAsia="he-IL"/>
        </w:rPr>
        <w:t>דלק קידוחים</w:t>
      </w:r>
      <w:r>
        <w:rPr>
          <w:rFonts w:eastAsia="Times New Roman" w:cs="David" w:hint="cs"/>
          <w:sz w:val="22"/>
          <w:rtl/>
          <w:lang w:eastAsia="he-IL"/>
        </w:rPr>
        <w:t xml:space="preserve"> </w:t>
      </w:r>
      <w:r>
        <w:rPr>
          <w:rStyle w:val="Strong"/>
          <w:rFonts w:eastAsia="Times New Roman" w:cs="David" w:hint="cs"/>
          <w:sz w:val="22"/>
          <w:rtl/>
          <w:lang w:eastAsia="he-IL"/>
        </w:rPr>
        <w:t>ואבנר</w:t>
      </w:r>
      <w:r>
        <w:rPr>
          <w:rFonts w:eastAsia="Times New Roman" w:cs="David" w:hint="cs"/>
          <w:sz w:val="22"/>
          <w:rtl/>
          <w:lang w:eastAsia="he-IL"/>
        </w:rPr>
        <w:t xml:space="preserve"> - שותפויות מוגבלות הפועלות בתחום חיפושי גז טבעי ונפט ונשלטות על ידי קבוצת דלק בע"</w:t>
      </w:r>
      <w:r>
        <w:rPr>
          <w:rFonts w:eastAsia="Times New Roman" w:cs="David" w:hint="cs"/>
          <w:sz w:val="22"/>
          <w:rtl/>
          <w:lang w:eastAsia="he-IL"/>
        </w:rPr>
        <w:t>מ (להלן: "</w:t>
      </w:r>
      <w:r>
        <w:rPr>
          <w:rStyle w:val="Strong"/>
          <w:rFonts w:eastAsia="Times New Roman" w:cs="David" w:hint="cs"/>
          <w:sz w:val="22"/>
          <w:rtl/>
          <w:lang w:eastAsia="he-IL"/>
        </w:rPr>
        <w:t>קבוצת דלק</w:t>
      </w:r>
      <w:r>
        <w:rPr>
          <w:rFonts w:eastAsia="Times New Roman" w:cs="David" w:hint="cs"/>
          <w:sz w:val="22"/>
          <w:rtl/>
          <w:lang w:eastAsia="he-IL"/>
        </w:rPr>
        <w:t>"). קבוצת דלק הינה חברה ציבורית הנסחרת בבורסה לניירות ערך בתל אביב ובבעלותה זכויות בהיתרים ורישיונות נוספים לחיפושי נפט וגז טבעי בישראל, הכוללים את הפרויקטים 'ים תטיס'</w:t>
      </w:r>
      <w:r>
        <w:rPr>
          <w:rFonts w:eastAsia="Times New Roman" w:cs="David"/>
          <w:lang w:eastAsia="he-IL"/>
        </w:rPr>
        <w:t>;</w:t>
      </w:r>
      <w:r>
        <w:rPr>
          <w:rFonts w:eastAsia="Times New Roman" w:cs="David" w:hint="cs"/>
          <w:sz w:val="22"/>
          <w:rtl/>
          <w:lang w:eastAsia="he-IL"/>
        </w:rPr>
        <w:t xml:space="preserve"> 'דלית'</w:t>
      </w:r>
      <w:r>
        <w:rPr>
          <w:rFonts w:eastAsia="Times New Roman" w:cs="David"/>
          <w:lang w:eastAsia="he-IL"/>
        </w:rPr>
        <w:t>;</w:t>
      </w:r>
      <w:r>
        <w:rPr>
          <w:rFonts w:eastAsia="Times New Roman" w:cs="David" w:hint="cs"/>
          <w:sz w:val="22"/>
          <w:rtl/>
          <w:lang w:eastAsia="he-IL"/>
        </w:rPr>
        <w:t xml:space="preserve"> 'לוויתן'</w:t>
      </w:r>
      <w:r>
        <w:rPr>
          <w:rFonts w:eastAsia="Times New Roman" w:cs="David"/>
          <w:lang w:eastAsia="he-IL"/>
        </w:rPr>
        <w:t>;</w:t>
      </w:r>
      <w:r>
        <w:rPr>
          <w:rFonts w:eastAsia="Times New Roman" w:cs="David" w:hint="cs"/>
          <w:sz w:val="22"/>
          <w:rtl/>
          <w:lang w:eastAsia="he-IL"/>
        </w:rPr>
        <w:t xml:space="preserve"> 'דולפין' 'תנין' ועוד. כמו כן, לקבוצת דלק זכויות בפ</w:t>
      </w:r>
      <w:r>
        <w:rPr>
          <w:rFonts w:eastAsia="Times New Roman" w:cs="David" w:hint="cs"/>
          <w:sz w:val="22"/>
          <w:rtl/>
          <w:lang w:eastAsia="he-IL"/>
        </w:rPr>
        <w:t xml:space="preserve">רויקט 'בלוק 12' הכולל את מאגר הגז 'אפרודיטה' הממוקם בשטח המים הכלכליים של קפריסין. </w:t>
      </w:r>
    </w:p>
    <w:p w:rsidR="00000000" w:rsidRDefault="00AA5619">
      <w:pPr>
        <w:bidi/>
        <w:spacing w:before="120" w:line="360" w:lineRule="auto"/>
        <w:ind w:left="720" w:hanging="360"/>
        <w:jc w:val="both"/>
        <w:rPr>
          <w:rFonts w:hint="cs"/>
          <w:rtl/>
        </w:rPr>
      </w:pPr>
      <w:r>
        <w:rPr>
          <w:rFonts w:eastAsia="David" w:cs="David" w:hint="cs"/>
          <w:sz w:val="22"/>
          <w:rtl/>
          <w:lang w:eastAsia="he-IL"/>
        </w:rPr>
        <w:t>ב.</w:t>
      </w:r>
      <w:r>
        <w:rPr>
          <w:rFonts w:eastAsia="David"/>
          <w:sz w:val="14"/>
          <w:szCs w:val="14"/>
          <w:rtl/>
          <w:lang w:eastAsia="he-IL"/>
        </w:rPr>
        <w:t xml:space="preserve">      </w:t>
      </w:r>
      <w:r>
        <w:rPr>
          <w:rStyle w:val="Strong"/>
          <w:rFonts w:eastAsia="Times New Roman" w:cs="David" w:hint="cs"/>
          <w:rtl/>
          <w:lang w:eastAsia="he-IL"/>
        </w:rPr>
        <w:t>נובל</w:t>
      </w:r>
      <w:r>
        <w:rPr>
          <w:rFonts w:eastAsia="Times New Roman" w:cs="David" w:hint="cs"/>
          <w:rtl/>
          <w:lang w:eastAsia="he-IL"/>
        </w:rPr>
        <w:t xml:space="preserve"> - הינה חברה הרשומה באיי קיימן והשייכת לקבוצת </w:t>
      </w:r>
      <w:r>
        <w:rPr>
          <w:rFonts w:eastAsia="Times New Roman" w:cs="David"/>
          <w:lang w:eastAsia="he-IL"/>
        </w:rPr>
        <w:t>Noble Energy Inc.</w:t>
      </w:r>
      <w:r>
        <w:rPr>
          <w:rFonts w:eastAsia="Times New Roman" w:cs="David" w:hint="cs"/>
          <w:rtl/>
          <w:lang w:eastAsia="he-IL"/>
        </w:rPr>
        <w:t xml:space="preserve"> העוסקת</w:t>
      </w:r>
      <w:r>
        <w:rPr>
          <w:rFonts w:eastAsia="Times New Roman" w:cs="David" w:hint="cs"/>
          <w:sz w:val="22"/>
          <w:rtl/>
          <w:lang w:eastAsia="he-IL"/>
        </w:rPr>
        <w:t xml:space="preserve"> בחיפוש, הפקה ומכירת נפט גולמי וגז טבעי ברחבי העולם. יצויין, כי נובל הינה המפעילה בפרויקט </w:t>
      </w:r>
      <w:r>
        <w:rPr>
          <w:rFonts w:eastAsia="Times New Roman" w:cs="David" w:hint="cs"/>
          <w:sz w:val="22"/>
          <w:rtl/>
          <w:lang w:eastAsia="he-IL"/>
        </w:rPr>
        <w:t xml:space="preserve">פיתוח מאגר תמר. </w:t>
      </w:r>
    </w:p>
    <w:p w:rsidR="00000000" w:rsidRDefault="00AA5619">
      <w:pPr>
        <w:bidi/>
        <w:spacing w:before="120" w:line="360" w:lineRule="auto"/>
        <w:ind w:left="720" w:hanging="360"/>
        <w:jc w:val="both"/>
        <w:rPr>
          <w:rFonts w:hint="cs"/>
          <w:rtl/>
        </w:rPr>
      </w:pPr>
      <w:r>
        <w:rPr>
          <w:rFonts w:eastAsia="David" w:cs="David" w:hint="cs"/>
          <w:sz w:val="22"/>
          <w:rtl/>
          <w:lang w:eastAsia="he-IL"/>
        </w:rPr>
        <w:t>ג.</w:t>
      </w:r>
      <w:r>
        <w:rPr>
          <w:rFonts w:eastAsia="David"/>
          <w:sz w:val="14"/>
          <w:szCs w:val="14"/>
          <w:rtl/>
          <w:lang w:eastAsia="he-IL"/>
        </w:rPr>
        <w:t xml:space="preserve">        </w:t>
      </w:r>
      <w:r>
        <w:rPr>
          <w:rStyle w:val="Strong"/>
          <w:rFonts w:eastAsia="Times New Roman" w:cs="David" w:hint="cs"/>
          <w:sz w:val="22"/>
          <w:rtl/>
          <w:lang w:eastAsia="he-IL"/>
        </w:rPr>
        <w:t>ישראמקו</w:t>
      </w:r>
      <w:r>
        <w:rPr>
          <w:rFonts w:eastAsia="Times New Roman" w:cs="David" w:hint="cs"/>
          <w:sz w:val="22"/>
          <w:rtl/>
          <w:lang w:eastAsia="he-IL"/>
        </w:rPr>
        <w:t xml:space="preserve"> - עוסקת בחיפושי נפט וגז בישראל, והינה בעלת זכויות בחזקות וברישיונות  'תמר', 'דלית', 'שמשון' ו-'דניאל'.</w:t>
      </w:r>
      <w:r>
        <w:rPr>
          <w:rStyle w:val="FootnoteReference"/>
          <w:rFonts w:eastAsia="Times New Roman" w:cs="David" w:hint="cs"/>
          <w:sz w:val="22"/>
          <w:rtl/>
          <w:lang w:eastAsia="he-IL"/>
        </w:rPr>
        <w:t xml:space="preserve"> </w:t>
      </w:r>
      <w:r>
        <w:rPr>
          <w:rStyle w:val="FootnoteReference"/>
          <w:rFonts w:eastAsia="Times New Roman" w:cs="David"/>
          <w:sz w:val="22"/>
          <w:rtl/>
          <w:lang w:eastAsia="he-IL"/>
        </w:rPr>
        <w:footnoteReference w:id="7"/>
      </w:r>
      <w:r>
        <w:rPr>
          <w:rStyle w:val="FootnoteReference"/>
          <w:rFonts w:eastAsia="Times New Roman" w:cs="David"/>
          <w:sz w:val="22"/>
          <w:lang w:eastAsia="he-IL"/>
        </w:rPr>
        <w:t>[7]</w:t>
      </w:r>
    </w:p>
    <w:p w:rsidR="00000000" w:rsidRDefault="00AA5619">
      <w:pPr>
        <w:bidi/>
        <w:spacing w:before="120" w:line="360" w:lineRule="auto"/>
        <w:ind w:left="720" w:hanging="360"/>
        <w:jc w:val="both"/>
        <w:rPr>
          <w:rFonts w:hint="cs"/>
          <w:rtl/>
        </w:rPr>
      </w:pPr>
      <w:r>
        <w:rPr>
          <w:rFonts w:eastAsia="David" w:cs="David" w:hint="cs"/>
          <w:sz w:val="22"/>
          <w:rtl/>
          <w:lang w:eastAsia="he-IL"/>
        </w:rPr>
        <w:t>ד.</w:t>
      </w:r>
      <w:r>
        <w:rPr>
          <w:rFonts w:eastAsia="David"/>
          <w:sz w:val="14"/>
          <w:szCs w:val="14"/>
          <w:rtl/>
          <w:lang w:eastAsia="he-IL"/>
        </w:rPr>
        <w:t xml:space="preserve">      </w:t>
      </w:r>
      <w:r>
        <w:rPr>
          <w:rStyle w:val="Strong"/>
          <w:rFonts w:eastAsia="Times New Roman" w:cs="David" w:hint="cs"/>
          <w:sz w:val="22"/>
          <w:rtl/>
          <w:lang w:eastAsia="he-IL"/>
        </w:rPr>
        <w:t>דור</w:t>
      </w:r>
      <w:r>
        <w:rPr>
          <w:rFonts w:eastAsia="Times New Roman" w:cs="David" w:hint="cs"/>
          <w:sz w:val="22"/>
          <w:rtl/>
          <w:lang w:eastAsia="he-IL"/>
        </w:rPr>
        <w:t xml:space="preserve"> - נשלטת על ידי חברת דור אלון בע"מ. לדור אלון בע"מ זכויות </w:t>
      </w:r>
      <w:r>
        <w:rPr>
          <w:rFonts w:eastAsia="Times New Roman" w:cs="David" w:hint="cs"/>
          <w:sz w:val="22"/>
          <w:rtl/>
          <w:lang w:eastAsia="he-IL"/>
        </w:rPr>
        <w:t>ברישיונות מאגרי הגז 'תמר' ו'דלית', ופעילותה כוללת בעלות בתחנות דלק וכן שיווק ואספקה של מוצרי דלק, הן לתחנות הדלק והן ללקוחות מוסדיים, תעשייתיים ופרטיים.</w:t>
      </w:r>
    </w:p>
    <w:p w:rsidR="00000000" w:rsidRDefault="00AA5619">
      <w:pPr>
        <w:bidi/>
        <w:spacing w:before="120" w:line="360" w:lineRule="auto"/>
        <w:ind w:left="360" w:hanging="360"/>
        <w:jc w:val="both"/>
        <w:rPr>
          <w:rFonts w:hint="cs"/>
          <w:rtl/>
        </w:rPr>
      </w:pPr>
      <w:r>
        <w:rPr>
          <w:rStyle w:val="Strong"/>
          <w:rFonts w:eastAsia="Times New Roman"/>
          <w:color w:val="000000"/>
          <w:sz w:val="28"/>
          <w:szCs w:val="28"/>
          <w:rtl/>
          <w:lang w:eastAsia="he-IL"/>
        </w:rPr>
        <w:t>4.</w:t>
      </w:r>
      <w:r>
        <w:rPr>
          <w:rStyle w:val="Strong"/>
          <w:rFonts w:eastAsia="Times New Roman"/>
          <w:color w:val="000000"/>
          <w:sz w:val="14"/>
          <w:szCs w:val="14"/>
          <w:rtl/>
          <w:lang w:eastAsia="he-IL"/>
        </w:rPr>
        <w:t xml:space="preserve">      </w:t>
      </w:r>
      <w:r>
        <w:rPr>
          <w:rStyle w:val="Strong"/>
          <w:rFonts w:eastAsia="Times New Roman" w:cs="David" w:hint="cs"/>
          <w:sz w:val="28"/>
          <w:szCs w:val="28"/>
          <w:rtl/>
          <w:lang w:eastAsia="he-IL"/>
        </w:rPr>
        <w:t>ההסדר</w:t>
      </w:r>
      <w:r>
        <w:rPr>
          <w:rStyle w:val="Strong"/>
          <w:rFonts w:eastAsia="Times New Roman" w:cs="David" w:hint="cs"/>
          <w:color w:val="000000"/>
          <w:sz w:val="28"/>
          <w:szCs w:val="28"/>
          <w:rtl/>
          <w:lang w:eastAsia="he-IL"/>
        </w:rPr>
        <w:t xml:space="preserve"> והשפעתו על התחרות</w:t>
      </w:r>
    </w:p>
    <w:p w:rsidR="00000000" w:rsidRDefault="00AA5619">
      <w:pPr>
        <w:bidi/>
        <w:spacing w:before="120" w:line="360" w:lineRule="auto"/>
        <w:jc w:val="both"/>
        <w:rPr>
          <w:rFonts w:hint="cs"/>
          <w:rtl/>
        </w:rPr>
      </w:pPr>
      <w:r>
        <w:rPr>
          <w:rFonts w:eastAsia="Times New Roman" w:cs="David" w:hint="cs"/>
          <w:color w:val="000000"/>
          <w:sz w:val="22"/>
          <w:rtl/>
          <w:lang w:eastAsia="he-IL"/>
        </w:rPr>
        <w:t xml:space="preserve">ההסכם שנחתם בין שותפות תמר לבין משאב, </w:t>
      </w:r>
      <w:r>
        <w:rPr>
          <w:rFonts w:eastAsia="Times New Roman" w:cs="David" w:hint="cs"/>
          <w:color w:val="000000"/>
          <w:sz w:val="22"/>
          <w:rtl/>
          <w:lang w:eastAsia="he-IL"/>
        </w:rPr>
        <w:t xml:space="preserve">העומד בפניי, מסדיר את תנאי אספקת הגז הטבעי בין שותפות תמר לתחנת הכוח של נשר. בהתאם להסכם, למשאב הוקנתה הזכות להודיע לשותפות תמר כי ברצונה להפחית את כמות הגז הטבעי הכוללת בהסכם ב-40%, אם יתברר כי לא תרחיב את תחנת הכח ברמלה ולא תקים את הטורבינות, כאמור. </w:t>
      </w:r>
    </w:p>
    <w:p w:rsidR="00000000" w:rsidRDefault="00AA5619">
      <w:pPr>
        <w:bidi/>
        <w:spacing w:before="120" w:line="360" w:lineRule="auto"/>
        <w:jc w:val="both"/>
        <w:rPr>
          <w:rFonts w:hint="cs"/>
          <w:rtl/>
        </w:rPr>
      </w:pPr>
      <w:r>
        <w:rPr>
          <w:rFonts w:eastAsia="Times New Roman" w:cs="David" w:hint="cs"/>
          <w:color w:val="000000"/>
          <w:sz w:val="22"/>
          <w:rtl/>
          <w:lang w:eastAsia="he-IL"/>
        </w:rPr>
        <w:t>ההס</w:t>
      </w:r>
      <w:r>
        <w:rPr>
          <w:rFonts w:eastAsia="Times New Roman" w:cs="David" w:hint="cs"/>
          <w:color w:val="000000"/>
          <w:sz w:val="22"/>
          <w:rtl/>
          <w:lang w:eastAsia="he-IL"/>
        </w:rPr>
        <w:t>כם קובע את כמויות אספקת הגז למשאב בכפוף לאפשרות הקמת הטורבינות, כך שעל פיו, למשאב קיימת אופציה להודיע לשותפות תמר על הפחתת הכמות, ככל שהטורבינות לא יוקמו. על פי דיווח משאב לבורסה</w:t>
      </w:r>
      <w:r>
        <w:rPr>
          <w:rStyle w:val="FootnoteReference"/>
          <w:rFonts w:eastAsia="Times New Roman" w:cs="David"/>
          <w:color w:val="000000"/>
          <w:sz w:val="22"/>
          <w:rtl/>
          <w:lang w:eastAsia="he-IL"/>
        </w:rPr>
        <w:footnoteReference w:id="8"/>
      </w:r>
      <w:r>
        <w:rPr>
          <w:rStyle w:val="FootnoteReference"/>
          <w:rFonts w:eastAsia="Times New Roman" w:cs="David"/>
          <w:color w:val="000000"/>
          <w:sz w:val="22"/>
          <w:lang w:eastAsia="he-IL"/>
        </w:rPr>
        <w:t>[8]</w:t>
      </w:r>
      <w:r>
        <w:rPr>
          <w:rFonts w:eastAsia="Times New Roman" w:cs="David" w:hint="cs"/>
          <w:color w:val="000000"/>
          <w:sz w:val="22"/>
          <w:rtl/>
          <w:lang w:eastAsia="he-IL"/>
        </w:rPr>
        <w:t xml:space="preserve"> מיום 03.06.2012, החליטה משאב שלא להודיע על הפחתת הכמות החוזית בהסכם. על כ</w:t>
      </w:r>
      <w:r>
        <w:rPr>
          <w:rFonts w:eastAsia="Times New Roman" w:cs="David" w:hint="cs"/>
          <w:color w:val="000000"/>
          <w:sz w:val="22"/>
          <w:rtl/>
          <w:lang w:eastAsia="he-IL"/>
        </w:rPr>
        <w:t xml:space="preserve">ן, החלטתי זו מתייחסת לכמויות הקבועות בהסכם, ללא התחשבות באפשרות הפחתת הכמות החוזית כאמור. </w:t>
      </w:r>
    </w:p>
    <w:p w:rsidR="00000000" w:rsidRDefault="00AA5619">
      <w:pPr>
        <w:bidi/>
        <w:spacing w:before="120" w:line="360" w:lineRule="auto"/>
        <w:jc w:val="both"/>
        <w:rPr>
          <w:rFonts w:hint="cs"/>
          <w:rtl/>
        </w:rPr>
      </w:pPr>
      <w:r>
        <w:rPr>
          <w:rFonts w:eastAsia="Times New Roman" w:cs="David" w:hint="cs"/>
          <w:color w:val="000000"/>
          <w:sz w:val="22"/>
          <w:rtl/>
          <w:lang w:eastAsia="he-IL"/>
        </w:rPr>
        <w:t xml:space="preserve">על פי ההסכם, שותפות תמר תספקנה למשאב כמות גז טבעי שנתית הנאמדת בכ-0.17 </w:t>
      </w:r>
      <w:r>
        <w:rPr>
          <w:rFonts w:eastAsia="Times New Roman" w:cs="David"/>
          <w:color w:val="000000"/>
          <w:lang w:eastAsia="he-IL"/>
        </w:rPr>
        <w:t>BCM</w:t>
      </w:r>
      <w:r>
        <w:rPr>
          <w:rFonts w:eastAsia="Times New Roman" w:cs="David"/>
          <w:color w:val="000000"/>
          <w:sz w:val="22"/>
          <w:vertAlign w:val="superscript"/>
          <w:rtl/>
          <w:lang w:eastAsia="he-IL"/>
        </w:rPr>
        <w:footnoteReference w:id="9"/>
      </w:r>
      <w:r>
        <w:rPr>
          <w:rFonts w:eastAsia="Times New Roman" w:cs="David"/>
          <w:color w:val="000000"/>
          <w:sz w:val="22"/>
          <w:vertAlign w:val="superscript"/>
          <w:lang w:eastAsia="he-IL"/>
        </w:rPr>
        <w:t>[9]</w:t>
      </w:r>
      <w:r>
        <w:rPr>
          <w:rFonts w:eastAsia="Times New Roman" w:cs="David" w:hint="cs"/>
          <w:color w:val="000000"/>
          <w:sz w:val="22"/>
          <w:rtl/>
          <w:lang w:eastAsia="he-IL"/>
        </w:rPr>
        <w:t xml:space="preserve">, למשך 15 שנים או עד למיצוי הכמות החוזית הכוללת בהסכם, הנאמדת בכ-2.55 </w:t>
      </w:r>
      <w:r>
        <w:rPr>
          <w:rFonts w:eastAsia="Times New Roman" w:cs="David"/>
          <w:color w:val="000000"/>
          <w:lang w:eastAsia="he-IL"/>
        </w:rPr>
        <w:t>BCM</w:t>
      </w:r>
      <w:r>
        <w:rPr>
          <w:rFonts w:eastAsia="Times New Roman" w:cs="David" w:hint="cs"/>
          <w:color w:val="000000"/>
          <w:sz w:val="22"/>
          <w:rtl/>
          <w:lang w:eastAsia="he-IL"/>
        </w:rPr>
        <w:t>. ההסכם כולל ה</w:t>
      </w:r>
      <w:r>
        <w:rPr>
          <w:rFonts w:eastAsia="Times New Roman" w:cs="David" w:hint="cs"/>
          <w:color w:val="000000"/>
          <w:sz w:val="22"/>
          <w:rtl/>
          <w:lang w:eastAsia="he-IL"/>
        </w:rPr>
        <w:t xml:space="preserve">תחייבות מצד משאב לשלם עבור כמות גז מינימלית אף בהיעדר צריכה בפועל, </w:t>
      </w:r>
      <w:r>
        <w:rPr>
          <w:rFonts w:eastAsia="Times New Roman" w:cs="David" w:hint="cs"/>
          <w:color w:val="000000"/>
          <w:rtl/>
          <w:lang w:eastAsia="he-IL"/>
        </w:rPr>
        <w:t xml:space="preserve">בדמות תניית </w:t>
      </w:r>
      <w:r>
        <w:rPr>
          <w:rFonts w:eastAsia="Times New Roman" w:cs="David"/>
          <w:color w:val="000000"/>
          <w:lang w:eastAsia="he-IL"/>
        </w:rPr>
        <w:t>Take or Pay</w:t>
      </w:r>
      <w:r>
        <w:rPr>
          <w:rFonts w:eastAsia="Times New Roman" w:cs="David" w:hint="cs"/>
          <w:color w:val="000000"/>
          <w:rtl/>
          <w:lang w:eastAsia="he-IL"/>
        </w:rPr>
        <w:t xml:space="preserve"> בשיעור של 80% מכמות מתואמת שנתית הקבועה בהסכם.</w:t>
      </w:r>
    </w:p>
    <w:p w:rsidR="00000000" w:rsidRDefault="00AA5619">
      <w:pPr>
        <w:bidi/>
        <w:spacing w:before="120" w:after="100" w:afterAutospacing="1" w:line="360" w:lineRule="auto"/>
        <w:jc w:val="both"/>
        <w:rPr>
          <w:rFonts w:hint="cs"/>
          <w:rtl/>
        </w:rPr>
      </w:pPr>
      <w:r>
        <w:rPr>
          <w:rFonts w:eastAsia="Times New Roman" w:cs="David" w:hint="cs"/>
          <w:color w:val="000000"/>
          <w:sz w:val="22"/>
          <w:rtl/>
          <w:lang w:eastAsia="he-IL"/>
        </w:rPr>
        <w:t xml:space="preserve">ההסכם אינו כולל מגבלה על מכירת גז טבעי על ידי משאב לצדדים שלישיים. על כן, כמויות גז טבעי אשר יירכשו על ידי משאב על פי </w:t>
      </w:r>
      <w:r>
        <w:rPr>
          <w:rFonts w:eastAsia="Times New Roman" w:cs="David" w:hint="cs"/>
          <w:color w:val="000000"/>
          <w:sz w:val="22"/>
          <w:rtl/>
          <w:lang w:eastAsia="he-IL"/>
        </w:rPr>
        <w:t xml:space="preserve">ההסכם ולא ייצרכו על ידה בפועל, יכולות להימכר על ידה לצדדים שלישיים. נוכח האמור לעיל, ככל שהטורבינות המתוכננות לא יוקמו, כ-40% מכמות הגז הטבעי הכוללת בהסכם תוצע למכירת משנה לצרכני גז אחרים על ידי משאב. </w:t>
      </w:r>
    </w:p>
    <w:p w:rsidR="00000000" w:rsidRDefault="00AA5619">
      <w:pPr>
        <w:bidi/>
        <w:spacing w:before="120" w:line="360" w:lineRule="auto"/>
        <w:jc w:val="both"/>
        <w:rPr>
          <w:rFonts w:hint="cs"/>
          <w:rtl/>
        </w:rPr>
      </w:pPr>
      <w:r>
        <w:rPr>
          <w:rFonts w:eastAsia="Times New Roman" w:cs="David" w:hint="cs"/>
          <w:color w:val="000000"/>
          <w:sz w:val="22"/>
          <w:rtl/>
          <w:lang w:eastAsia="he-IL"/>
        </w:rPr>
        <w:t>החששות התחרותיים שההסדר מקים קשורים לשוקי חיפוש הגז וא</w:t>
      </w:r>
      <w:r>
        <w:rPr>
          <w:rFonts w:eastAsia="Times New Roman" w:cs="David" w:hint="cs"/>
          <w:color w:val="000000"/>
          <w:sz w:val="22"/>
          <w:rtl/>
          <w:lang w:eastAsia="he-IL"/>
        </w:rPr>
        <w:t xml:space="preserve">ספקתו, נוכח משך ההסכם וכמות הגז שמשאב מתחייבת לרכוש במסגרתו מתוקף </w:t>
      </w:r>
      <w:r>
        <w:rPr>
          <w:rFonts w:eastAsia="Times New Roman" w:cs="David" w:hint="cs"/>
          <w:color w:val="000000"/>
          <w:rtl/>
          <w:lang w:eastAsia="he-IL"/>
        </w:rPr>
        <w:t>תניית ה-</w:t>
      </w:r>
      <w:r>
        <w:rPr>
          <w:rFonts w:eastAsia="Times New Roman" w:cs="David"/>
          <w:color w:val="000000"/>
          <w:lang w:eastAsia="he-IL"/>
        </w:rPr>
        <w:t>Take or Pay</w:t>
      </w:r>
      <w:r>
        <w:rPr>
          <w:rFonts w:eastAsia="Times New Roman" w:cs="David" w:hint="cs"/>
          <w:color w:val="000000"/>
          <w:rtl/>
          <w:lang w:eastAsia="he-IL"/>
        </w:rPr>
        <w:t>, המביאים לחסימת מרבית הביקוש לגז טבעי של משאב ב-15 השנים הקרובות.</w:t>
      </w:r>
    </w:p>
    <w:p w:rsidR="00000000" w:rsidRDefault="00AA5619">
      <w:pPr>
        <w:bidi/>
        <w:spacing w:before="120" w:line="360" w:lineRule="auto"/>
        <w:jc w:val="both"/>
        <w:rPr>
          <w:rFonts w:hint="cs"/>
          <w:rtl/>
        </w:rPr>
      </w:pPr>
      <w:r>
        <w:rPr>
          <w:rFonts w:eastAsia="Times New Roman" w:cs="David" w:hint="cs"/>
          <w:color w:val="000000"/>
          <w:rtl/>
          <w:lang w:eastAsia="he-IL"/>
        </w:rPr>
        <w:t xml:space="preserve">בנסיבות כאן, השוק הרלוונטי לבחינת השפעתו של ההסכם הוא השוק לאספקת גז טבעי לתחנת </w:t>
      </w:r>
      <w:r>
        <w:rPr>
          <w:rFonts w:eastAsia="Times New Roman" w:cs="David" w:hint="cs"/>
          <w:color w:val="000000"/>
          <w:rtl/>
          <w:lang w:eastAsia="he-IL"/>
        </w:rPr>
        <w:t>הכח של משאב. הגעתי למסקנה שאין תחליפים של ממש לגז טבעי לתחנת כח כדוגמתה של משאב. בנוסף, ביכולתו של מונופול באספקתו של גז זה ליישם אפליה בין כל אחד ואחד מלקוחותיו. בתנאים אלו קמה הצדקה להגדרת שוק רלוונטי לכל לקוח בנפרד.</w:t>
      </w:r>
      <w:r>
        <w:rPr>
          <w:rFonts w:eastAsia="Times New Roman" w:cs="David"/>
          <w:color w:val="000000"/>
          <w:vertAlign w:val="superscript"/>
          <w:rtl/>
          <w:lang w:eastAsia="he-IL"/>
        </w:rPr>
        <w:footnoteReference w:id="10"/>
      </w:r>
      <w:r>
        <w:rPr>
          <w:rFonts w:eastAsia="Times New Roman" w:cs="David"/>
          <w:color w:val="000000"/>
          <w:vertAlign w:val="superscript"/>
          <w:lang w:eastAsia="he-IL"/>
        </w:rPr>
        <w:t>[10]</w:t>
      </w:r>
      <w:r>
        <w:rPr>
          <w:rFonts w:eastAsia="Times New Roman" w:cs="David" w:hint="cs"/>
          <w:color w:val="000000"/>
          <w:rtl/>
          <w:lang w:eastAsia="he-IL"/>
        </w:rPr>
        <w:t xml:space="preserve"> ההסכם</w:t>
      </w:r>
      <w:r>
        <w:rPr>
          <w:rFonts w:eastAsia="Times New Roman" w:cs="David"/>
          <w:color w:val="000000"/>
          <w:lang w:eastAsia="he-IL"/>
        </w:rPr>
        <w:t xml:space="preserve"> </w:t>
      </w:r>
      <w:r>
        <w:rPr>
          <w:rFonts w:eastAsia="Times New Roman" w:cs="David" w:hint="cs"/>
          <w:color w:val="000000"/>
          <w:rtl/>
          <w:lang w:eastAsia="he-IL"/>
        </w:rPr>
        <w:t>שלפניי מקשה עד מאוד את האפ</w:t>
      </w:r>
      <w:r>
        <w:rPr>
          <w:rFonts w:eastAsia="Times New Roman" w:cs="David" w:hint="cs"/>
          <w:color w:val="000000"/>
          <w:rtl/>
          <w:lang w:eastAsia="he-IL"/>
        </w:rPr>
        <w:t xml:space="preserve">שרות של ספק גז עתידי להתחרות על הביקוש של תחנת משאב לגז, ובכך יש בו, בנוסחו הקיים, כדי להגביל ממשית את התחרות בשוק. </w:t>
      </w:r>
    </w:p>
    <w:p w:rsidR="00000000" w:rsidRDefault="00AA5619">
      <w:pPr>
        <w:bidi/>
        <w:spacing w:before="120" w:line="360" w:lineRule="auto"/>
        <w:jc w:val="both"/>
        <w:rPr>
          <w:rFonts w:hint="cs"/>
          <w:rtl/>
        </w:rPr>
      </w:pPr>
      <w:r>
        <w:rPr>
          <w:rFonts w:eastAsia="Times New Roman" w:cs="David" w:hint="cs"/>
          <w:color w:val="000000"/>
          <w:rtl/>
          <w:lang w:eastAsia="he-IL"/>
        </w:rPr>
        <w:t>בחינת ההשפעה התחרותית של ההסכם שלפניי צריכה להיעשות הן ביחס להשפעתו על התחרות בשוק הרלוונטי הנ"ל, נוכח היות משאב, כאמור, שוק רלוונטי לאספקת</w:t>
      </w:r>
      <w:r>
        <w:rPr>
          <w:rFonts w:eastAsia="Times New Roman" w:cs="David" w:hint="cs"/>
          <w:color w:val="000000"/>
          <w:rtl/>
          <w:lang w:eastAsia="he-IL"/>
        </w:rPr>
        <w:t xml:space="preserve"> גז, והן ביחס להשפעה הכוללת של הסכמי הגז על התחרות באספקת גז ובייצור חשמל.</w:t>
      </w:r>
    </w:p>
    <w:p w:rsidR="00000000" w:rsidRDefault="00AA5619">
      <w:pPr>
        <w:bidi/>
        <w:spacing w:before="120" w:line="360" w:lineRule="auto"/>
        <w:jc w:val="both"/>
        <w:rPr>
          <w:rFonts w:hint="cs"/>
          <w:rtl/>
        </w:rPr>
      </w:pPr>
      <w:r>
        <w:rPr>
          <w:rFonts w:eastAsia="Times New Roman" w:cs="David" w:hint="cs"/>
          <w:color w:val="000000"/>
          <w:rtl/>
          <w:lang w:eastAsia="he-IL"/>
        </w:rPr>
        <w:t>בעת מתן החלטה זו, הובאו לידיעתי מלבד ההסכם נשוא החלטה זו גם הסכמים לאספקת גז עם צרכני הגז הבאים: חברת החשמל לישראל בע"מ; דליה אנרגיות כוח בע"מ; אשדוד אנרגיה ורמת נגב אנרגיה מקבוצת א</w:t>
      </w:r>
      <w:r>
        <w:rPr>
          <w:rFonts w:eastAsia="Times New Roman" w:cs="David" w:hint="cs"/>
          <w:color w:val="000000"/>
          <w:rtl/>
          <w:lang w:eastAsia="he-IL"/>
        </w:rPr>
        <w:t>דלטק בע"מ; קבוצת נייר חדרה ופז בית זיקוק אשדוד בע"מ.</w:t>
      </w:r>
      <w:r>
        <w:rPr>
          <w:rStyle w:val="FootnoteReference"/>
          <w:rFonts w:eastAsia="Times New Roman" w:cs="David"/>
          <w:color w:val="000000"/>
          <w:rtl/>
          <w:lang w:eastAsia="he-IL"/>
        </w:rPr>
        <w:footnoteReference w:id="11"/>
      </w:r>
      <w:r>
        <w:rPr>
          <w:rStyle w:val="FootnoteReference"/>
          <w:rFonts w:eastAsia="Times New Roman" w:cs="David"/>
          <w:color w:val="000000"/>
          <w:lang w:eastAsia="he-IL"/>
        </w:rPr>
        <w:t>[11]</w:t>
      </w:r>
      <w:r>
        <w:rPr>
          <w:rFonts w:eastAsia="Times New Roman" w:cs="David" w:hint="cs"/>
          <w:color w:val="000000"/>
          <w:sz w:val="22"/>
          <w:rtl/>
          <w:lang w:eastAsia="he-IL"/>
        </w:rPr>
        <w:t xml:space="preserve"> </w:t>
      </w:r>
      <w:r>
        <w:rPr>
          <w:rFonts w:eastAsia="Times New Roman" w:cs="David" w:hint="cs"/>
          <w:color w:val="000000"/>
          <w:rtl/>
          <w:lang w:eastAsia="he-IL"/>
        </w:rPr>
        <w:t>בדומה להסכם עם משאב, משכם של הסכמים אלה וכמויות הגז הטבעי הכלולות בכל אחד מהם בדמות תניית ה-</w:t>
      </w:r>
      <w:r>
        <w:rPr>
          <w:rFonts w:eastAsia="Times New Roman" w:cs="David"/>
          <w:color w:val="000000"/>
          <w:lang w:eastAsia="he-IL"/>
        </w:rPr>
        <w:t>Take or Pay</w:t>
      </w:r>
      <w:r>
        <w:rPr>
          <w:rFonts w:eastAsia="Times New Roman" w:cs="David" w:hint="cs"/>
          <w:color w:val="000000"/>
          <w:rtl/>
          <w:lang w:eastAsia="he-IL"/>
        </w:rPr>
        <w:t>, חוסמים הלכה למעשה את מרבית הביקוש לגז טבעי של כל אחד מן הצרכנים החתומים על</w:t>
      </w:r>
      <w:r>
        <w:rPr>
          <w:rFonts w:eastAsia="Times New Roman" w:cs="David" w:hint="cs"/>
          <w:color w:val="000000"/>
          <w:sz w:val="22"/>
          <w:rtl/>
          <w:lang w:eastAsia="he-IL"/>
        </w:rPr>
        <w:t xml:space="preserve"> ההסכמים למשך שנים </w:t>
      </w:r>
      <w:r>
        <w:rPr>
          <w:rFonts w:eastAsia="Times New Roman" w:cs="David" w:hint="cs"/>
          <w:color w:val="000000"/>
          <w:sz w:val="22"/>
          <w:rtl/>
          <w:lang w:eastAsia="he-IL"/>
        </w:rPr>
        <w:t xml:space="preserve">רבות, באופן שעלול לפגוע בתמריץ לכניסתו של ספק גז טבעי נוסף בעתיד, וביכולתם של צרכני הגז השונים  לתחר בין ספקי גז טבעי שונים בעת שאלה ייכנסו לשוק בעתיד. השפעתם התחרותית של הסכמים אלה הינה בחסימת חלק משמעותי מהביקוש של כל מצרכני הגז עבור ספקי גז אחרים בשנים </w:t>
      </w:r>
      <w:r>
        <w:rPr>
          <w:rFonts w:eastAsia="Times New Roman" w:cs="David" w:hint="cs"/>
          <w:color w:val="000000"/>
          <w:sz w:val="22"/>
          <w:rtl/>
          <w:lang w:eastAsia="he-IL"/>
        </w:rPr>
        <w:t xml:space="preserve">הבאות. </w:t>
      </w:r>
    </w:p>
    <w:p w:rsidR="00000000" w:rsidRDefault="00AA5619">
      <w:pPr>
        <w:bidi/>
        <w:spacing w:before="120" w:line="360" w:lineRule="auto"/>
        <w:jc w:val="both"/>
        <w:rPr>
          <w:rFonts w:hint="cs"/>
          <w:rtl/>
        </w:rPr>
      </w:pPr>
      <w:r>
        <w:rPr>
          <w:rFonts w:eastAsia="Times New Roman" w:cs="David" w:hint="cs"/>
          <w:color w:val="000000"/>
          <w:sz w:val="22"/>
          <w:rtl/>
          <w:lang w:eastAsia="he-IL"/>
        </w:rPr>
        <w:t>לאחר שבחנתי את ההסדר שלפניי, ואת הסכמי הגז האחרים לאספקת גז טבעי ממאגר תמר אשר הובאו לעיוני, ולאחר התייעצות עם הרשות לשירותים ציבוריים – חשמל, הגעתי לכלל המסקנה כי יש להעניק פטור להסדר בכפוף לשורה של תנאים. תנאים אלה נועדו להפיג את החששות התחרותיים</w:t>
      </w:r>
      <w:r>
        <w:rPr>
          <w:rFonts w:eastAsia="Times New Roman" w:cs="David" w:hint="cs"/>
          <w:color w:val="000000"/>
          <w:sz w:val="22"/>
          <w:rtl/>
          <w:lang w:eastAsia="he-IL"/>
        </w:rPr>
        <w:t xml:space="preserve"> שמעלה ההסדר שלפני והם נגזרים ממתווה כללי אשר הנחה אותי ביחס </w:t>
      </w:r>
      <w:r>
        <w:rPr>
          <w:rFonts w:eastAsia="Times New Roman" w:cs="David" w:hint="cs"/>
          <w:color w:val="000000"/>
          <w:sz w:val="20"/>
          <w:rtl/>
          <w:lang w:eastAsia="he-IL"/>
        </w:rPr>
        <w:t>להחלטות הפטור בעניין הסכמי הגז</w:t>
      </w:r>
      <w:r>
        <w:rPr>
          <w:rFonts w:eastAsia="Times New Roman" w:cs="David" w:hint="cs"/>
          <w:color w:val="000000"/>
          <w:sz w:val="22"/>
          <w:rtl/>
          <w:lang w:eastAsia="he-IL"/>
        </w:rPr>
        <w:t xml:space="preserve"> ואף ינחה אותי ביחס להסכמי גז אחרים שיובאו לבחינתי, וזאת כמובן בכפוף לבחינה פרטנית של כל אחד ואחד מהם. </w:t>
      </w:r>
    </w:p>
    <w:p w:rsidR="00000000" w:rsidRDefault="00AA5619">
      <w:pPr>
        <w:bidi/>
        <w:spacing w:before="120" w:line="360" w:lineRule="auto"/>
        <w:jc w:val="both"/>
        <w:rPr>
          <w:rFonts w:hint="cs"/>
          <w:rtl/>
        </w:rPr>
      </w:pPr>
      <w:r>
        <w:rPr>
          <w:rFonts w:eastAsia="Times New Roman" w:cs="David" w:hint="cs"/>
          <w:color w:val="000000"/>
          <w:sz w:val="22"/>
          <w:rtl/>
          <w:lang w:eastAsia="he-IL"/>
        </w:rPr>
        <w:t>בטרם אגש לפירוט התנאים אעמוד בקצרה על המתווה הכללי אשר ממנו נ</w:t>
      </w:r>
      <w:r>
        <w:rPr>
          <w:rFonts w:eastAsia="Times New Roman" w:cs="David" w:hint="cs"/>
          <w:color w:val="000000"/>
          <w:sz w:val="22"/>
          <w:rtl/>
          <w:lang w:eastAsia="he-IL"/>
        </w:rPr>
        <w:t xml:space="preserve">גזרו התנאים שלהלן ועל הרציונל העומד בבסיסם. </w:t>
      </w:r>
    </w:p>
    <w:p w:rsidR="00000000" w:rsidRDefault="00AA5619">
      <w:pPr>
        <w:bidi/>
        <w:spacing w:before="120" w:line="360" w:lineRule="auto"/>
        <w:jc w:val="both"/>
        <w:rPr>
          <w:rFonts w:hint="cs"/>
          <w:rtl/>
        </w:rPr>
      </w:pPr>
      <w:r>
        <w:rPr>
          <w:rFonts w:eastAsia="Times New Roman" w:cs="David" w:hint="cs"/>
          <w:color w:val="000000"/>
          <w:sz w:val="22"/>
          <w:rtl/>
          <w:lang w:eastAsia="he-IL"/>
        </w:rPr>
        <w:t>ראשית, יידרשו תיקונים בהסכם, ללא שינוי או הרעת יתר התנאים המסחריים בו. במסגרת תיקונים אלה, וכפי שהובהר בהחלטות הפטור בעניין הסכמי הגז, ניתנת לכל צרכני הגז, מלבד חברת חשמל, האפשרות לבחור בין קיצור מראש של משך ההס</w:t>
      </w:r>
      <w:r>
        <w:rPr>
          <w:rFonts w:eastAsia="Times New Roman" w:cs="David" w:hint="cs"/>
          <w:color w:val="000000"/>
          <w:sz w:val="22"/>
          <w:rtl/>
          <w:lang w:eastAsia="he-IL"/>
        </w:rPr>
        <w:t>כם והעמדתו על 7 שנים מיום אספקת הגז בפועל (להלן: "</w:t>
      </w:r>
      <w:r>
        <w:rPr>
          <w:rStyle w:val="Strong"/>
          <w:rFonts w:eastAsia="Times New Roman" w:cs="David" w:hint="cs"/>
          <w:color w:val="000000"/>
          <w:sz w:val="22"/>
          <w:rtl/>
          <w:lang w:eastAsia="he-IL"/>
        </w:rPr>
        <w:t>חלופת קיצור ההסכם</w:t>
      </w:r>
      <w:r>
        <w:rPr>
          <w:rFonts w:eastAsia="Times New Roman" w:cs="David" w:hint="cs"/>
          <w:color w:val="000000"/>
          <w:sz w:val="22"/>
          <w:rtl/>
          <w:lang w:eastAsia="he-IL"/>
        </w:rPr>
        <w:t>"), לבין מתן הודעה, במסגרת חלון זמנים כמפורט בתנאים להלן, על הפחתת כמות הגז בהסכם, באופן שהכמות המינימאלית עליה יחויב לשלם צרכן הגז (</w:t>
      </w:r>
      <w:r>
        <w:rPr>
          <w:rFonts w:eastAsia="Times New Roman" w:cs="David"/>
          <w:color w:val="000000"/>
          <w:lang w:eastAsia="he-IL"/>
        </w:rPr>
        <w:t>Take or Pay</w:t>
      </w:r>
      <w:r>
        <w:rPr>
          <w:rFonts w:eastAsia="Times New Roman" w:cs="David" w:hint="cs"/>
          <w:color w:val="000000"/>
          <w:sz w:val="22"/>
          <w:rtl/>
          <w:lang w:eastAsia="he-IL"/>
        </w:rPr>
        <w:t>) לא תעלה על 50% מכמות הצריכה בפועל הממוצעת ש</w:t>
      </w:r>
      <w:r>
        <w:rPr>
          <w:rFonts w:eastAsia="Times New Roman" w:cs="David" w:hint="cs"/>
          <w:color w:val="000000"/>
          <w:sz w:val="22"/>
          <w:rtl/>
          <w:lang w:eastAsia="he-IL"/>
        </w:rPr>
        <w:t>ל אותו צרכן גז בשלוש השנים שקדמו למועד הודעתו (להלן: "</w:t>
      </w:r>
      <w:r>
        <w:rPr>
          <w:rStyle w:val="Strong"/>
          <w:rFonts w:eastAsia="Times New Roman" w:cs="David" w:hint="cs"/>
          <w:color w:val="000000"/>
          <w:sz w:val="22"/>
          <w:rtl/>
          <w:lang w:eastAsia="he-IL"/>
        </w:rPr>
        <w:t>חלופת הפחתת הכמות</w:t>
      </w:r>
      <w:r>
        <w:rPr>
          <w:rFonts w:eastAsia="Times New Roman" w:cs="David" w:hint="cs"/>
          <w:color w:val="000000"/>
          <w:sz w:val="22"/>
          <w:rtl/>
          <w:lang w:eastAsia="he-IL"/>
        </w:rPr>
        <w:t xml:space="preserve">"). משמעות הדבר היא כי ההסכם בין הצדדים חייב להתקצר לתקופה של שבע שנים, או לכלול אופציה להקטנת הכמות הנרכשת כאמור על פי המועדים הנקובים בהחלטה. </w:t>
      </w:r>
    </w:p>
    <w:p w:rsidR="00000000" w:rsidRDefault="00AA5619">
      <w:pPr>
        <w:bidi/>
        <w:spacing w:before="120" w:line="360" w:lineRule="auto"/>
        <w:jc w:val="both"/>
        <w:rPr>
          <w:rFonts w:hint="cs"/>
          <w:rtl/>
        </w:rPr>
      </w:pPr>
      <w:r>
        <w:rPr>
          <w:rFonts w:eastAsia="Times New Roman" w:cs="David" w:hint="cs"/>
          <w:color w:val="000000"/>
          <w:sz w:val="22"/>
          <w:rtl/>
          <w:lang w:eastAsia="he-IL"/>
        </w:rPr>
        <w:t>בחירה במסלול הקיצור משמעותה כי ההסכם שיי</w:t>
      </w:r>
      <w:r>
        <w:rPr>
          <w:rFonts w:eastAsia="Times New Roman" w:cs="David" w:hint="cs"/>
          <w:color w:val="000000"/>
          <w:sz w:val="22"/>
          <w:rtl/>
          <w:lang w:eastAsia="he-IL"/>
        </w:rPr>
        <w:t>חתם בין הצדדים יבוא לסיומו בחלוף שבע שנים ממועד האספקה בפועל. במילים אחרות, אם תיבחר אפשרות זו, על ההסכם להיות מקוצר בפועל לתקופה של שבע שנים, וזאת מבלי שלמשאב, או לשותפות תמר, עומדת האפשרות לוותר על קיצור זה או לשנותו. מנגד, בחירה במסלול הפחתת הכמות, משמע</w:t>
      </w:r>
      <w:r>
        <w:rPr>
          <w:rFonts w:eastAsia="Times New Roman" w:cs="David" w:hint="cs"/>
          <w:color w:val="000000"/>
          <w:sz w:val="22"/>
          <w:rtl/>
          <w:lang w:eastAsia="he-IL"/>
        </w:rPr>
        <w:t>ותה כי ההסכם שייחתם בין הצדדים יכלול אופציה, שתעניק למשאב אפשרות חד-צדדית להודיע בכל עת במהלך התקופה המתוארת בתנאים שיפורטו להלן, כי בכוונתה להפחית את כמות הרכישה החל משנה ממועד ההודעה ועד לסוף תקופת ההסכם. משאב תוכל, בבוא העת, ולפי שיקול דעתה, להחליט אם ל</w:t>
      </w:r>
      <w:r>
        <w:rPr>
          <w:rFonts w:eastAsia="Times New Roman" w:cs="David" w:hint="cs"/>
          <w:color w:val="000000"/>
          <w:sz w:val="22"/>
          <w:rtl/>
          <w:lang w:eastAsia="he-IL"/>
        </w:rPr>
        <w:t>ממש את האופציה להפחתת הכמות אם לאו. עם קביעת הכמות המינימאלית עליה תחויב משאב לשלם בהתאם לחלופת הפחתת הכמות, יעודכנו כמות הגז השנתית וכמות הגז הכוללת בהסכם בהתאם.</w:t>
      </w:r>
    </w:p>
    <w:p w:rsidR="00000000" w:rsidRDefault="00AA5619">
      <w:pPr>
        <w:bidi/>
        <w:spacing w:before="120" w:line="360" w:lineRule="auto"/>
        <w:jc w:val="both"/>
        <w:rPr>
          <w:rFonts w:hint="cs"/>
          <w:rtl/>
        </w:rPr>
      </w:pPr>
      <w:r>
        <w:rPr>
          <w:rFonts w:eastAsia="Times New Roman" w:cs="David" w:hint="cs"/>
          <w:color w:val="000000"/>
          <w:sz w:val="22"/>
          <w:rtl/>
          <w:lang w:eastAsia="he-IL"/>
        </w:rPr>
        <w:t xml:space="preserve">תכליתם של תנאים אלו הינה לחשוף לתחרות </w:t>
      </w:r>
      <w:r>
        <w:rPr>
          <w:rFonts w:eastAsia="Times New Roman" w:cs="David" w:hint="cs"/>
          <w:color w:val="000000"/>
          <w:sz w:val="22"/>
          <w:rtl/>
          <w:lang w:eastAsia="he-IL"/>
        </w:rPr>
        <w:t xml:space="preserve">כמות מהותית וגדולה של ביקוש לגז טבעי במועד בו צפויה כניסה של ספק גז נוסף ולהותיר גמישות וכוח מיקוח עתידי בידי צרכן הגז. </w:t>
      </w:r>
    </w:p>
    <w:p w:rsidR="00000000" w:rsidRDefault="00AA5619">
      <w:pPr>
        <w:bidi/>
        <w:spacing w:before="120" w:line="360" w:lineRule="auto"/>
        <w:jc w:val="both"/>
        <w:rPr>
          <w:rFonts w:hint="cs"/>
          <w:rtl/>
        </w:rPr>
      </w:pPr>
      <w:r>
        <w:rPr>
          <w:rFonts w:eastAsia="Times New Roman" w:cs="David" w:hint="cs"/>
          <w:color w:val="000000"/>
          <w:sz w:val="22"/>
          <w:rtl/>
          <w:lang w:eastAsia="he-IL"/>
        </w:rPr>
        <w:t>בנוסף, שותפות תמר תידרשנה להביא לאישור מערך ההגבלים העסקיים את כל ההסכמים לאספקת  גז טבעי בהם היא קשורה או תתקשר בעתיד.</w:t>
      </w:r>
    </w:p>
    <w:p w:rsidR="00000000" w:rsidRDefault="00AA5619">
      <w:pPr>
        <w:bidi/>
        <w:spacing w:before="120" w:line="360" w:lineRule="auto"/>
        <w:jc w:val="both"/>
        <w:rPr>
          <w:rFonts w:hint="cs"/>
          <w:rtl/>
        </w:rPr>
      </w:pPr>
      <w:r>
        <w:rPr>
          <w:rFonts w:eastAsia="Times New Roman" w:cs="David" w:hint="cs"/>
          <w:color w:val="000000"/>
          <w:sz w:val="22"/>
          <w:rtl/>
          <w:lang w:eastAsia="he-IL"/>
        </w:rPr>
        <w:t>מתווה זה אינו צ</w:t>
      </w:r>
      <w:r>
        <w:rPr>
          <w:rFonts w:eastAsia="Times New Roman" w:cs="David" w:hint="cs"/>
          <w:color w:val="000000"/>
          <w:sz w:val="22"/>
          <w:rtl/>
          <w:lang w:eastAsia="he-IL"/>
        </w:rPr>
        <w:t>פוי לעכב את כניסתה של תמר לשוק (דבר שהיה מוביל לרכישת מקורות אנרגיה אחרים ויקרים הרבה יותר), ובה בעת, יש בו כדי לצמצם את משך ההתקשרויות או את כמויות הגז שנקבעו במסגרתן, בתנאי שוק בו קיים ספק גז טבעי יחיד, תוך יצירת הזדמנות הן לספק גז עתידי להתחרות מול שותפ</w:t>
      </w:r>
      <w:r>
        <w:rPr>
          <w:rFonts w:eastAsia="Times New Roman" w:cs="David" w:hint="cs"/>
          <w:color w:val="000000"/>
          <w:sz w:val="22"/>
          <w:rtl/>
          <w:lang w:eastAsia="he-IL"/>
        </w:rPr>
        <w:t xml:space="preserve">ות תמר על לקוחות אלה, והן לאותם צרכני גז לתחר בין יותר מספק אחד לגבי חלק משמעותי מתקופת ההסכם. זאת, במועד שבו סביר להניח כי ניתן יהיה לדעת ברמת וודאות מספקת מהי הסתברות כניסתו של ספק גז עתידי לשוק. </w:t>
      </w:r>
    </w:p>
    <w:p w:rsidR="00000000" w:rsidRDefault="00AA5619">
      <w:pPr>
        <w:bidi/>
        <w:spacing w:before="120" w:line="360" w:lineRule="auto"/>
        <w:jc w:val="both"/>
        <w:rPr>
          <w:rFonts w:hint="cs"/>
          <w:rtl/>
        </w:rPr>
      </w:pPr>
      <w:r>
        <w:rPr>
          <w:rFonts w:eastAsia="Times New Roman" w:cs="David" w:hint="cs"/>
          <w:color w:val="000000"/>
          <w:sz w:val="22"/>
          <w:rtl/>
          <w:lang w:eastAsia="he-IL"/>
        </w:rPr>
        <w:t>הרשות בדקה גם אם ההסדר עלול לפגוע בתחרות במקטע ייצור החשמ</w:t>
      </w:r>
      <w:r>
        <w:rPr>
          <w:rFonts w:eastAsia="Times New Roman" w:cs="David" w:hint="cs"/>
          <w:color w:val="000000"/>
          <w:sz w:val="22"/>
          <w:rtl/>
          <w:lang w:eastAsia="he-IL"/>
        </w:rPr>
        <w:t>ל ובמקטע מפעלי התעשייה אשר הגז הטבעי משמש תשומה מרכזית בפעילותם השוטפת. זאת, לאור קיומה של מגבלת קיבולת בצינור ההולכה ובמתקן הקבלה של הגז הטבעי המצוי בחוף אשדוד, העלולה להתממש בשנת 2015 (להלן: "</w:t>
      </w:r>
      <w:r>
        <w:rPr>
          <w:rStyle w:val="Strong"/>
          <w:rFonts w:eastAsia="Times New Roman" w:cs="David" w:hint="cs"/>
          <w:color w:val="000000"/>
          <w:sz w:val="22"/>
          <w:rtl/>
          <w:lang w:eastAsia="he-IL"/>
        </w:rPr>
        <w:t>מגבלת התשתית</w:t>
      </w:r>
      <w:r>
        <w:rPr>
          <w:rFonts w:eastAsia="Times New Roman" w:cs="David" w:hint="cs"/>
          <w:color w:val="000000"/>
          <w:sz w:val="22"/>
          <w:rtl/>
          <w:lang w:eastAsia="he-IL"/>
        </w:rPr>
        <w:t>") שכתוצאה ממנה, חלק מהביקוש לגז טבעי עלול להיוותר</w:t>
      </w:r>
      <w:r>
        <w:rPr>
          <w:rFonts w:eastAsia="Times New Roman" w:cs="David" w:hint="cs"/>
          <w:color w:val="000000"/>
          <w:sz w:val="22"/>
          <w:rtl/>
          <w:lang w:eastAsia="he-IL"/>
        </w:rPr>
        <w:t xml:space="preserve"> ללא מענה.</w:t>
      </w:r>
    </w:p>
    <w:p w:rsidR="00000000" w:rsidRDefault="00AA5619">
      <w:pPr>
        <w:bidi/>
        <w:spacing w:before="120" w:line="360" w:lineRule="auto"/>
        <w:jc w:val="both"/>
        <w:rPr>
          <w:rFonts w:hint="cs"/>
          <w:rtl/>
        </w:rPr>
      </w:pPr>
      <w:r>
        <w:rPr>
          <w:rFonts w:eastAsia="Times New Roman" w:cs="David" w:hint="cs"/>
          <w:color w:val="000000"/>
          <w:sz w:val="22"/>
          <w:rtl/>
          <w:lang w:eastAsia="he-IL"/>
        </w:rPr>
        <w:t>אולם, לעת הזו, ועד שחברת דליה תחל את פעילותה הצפויה במהלך שנת 2015, מצאתי שמגבלת התשתית אינה צפויה למנוע אספקת גז על ידי שותפות תמר לצרכני גז אחרים. באשר לתקופה החל מתחילת פעילותה של דליה, רשמתי לפני את התחייבותה של שותפות תמר לפעול בהקדם האפשרי</w:t>
      </w:r>
      <w:r>
        <w:rPr>
          <w:rFonts w:eastAsia="Times New Roman" w:cs="David" w:hint="cs"/>
          <w:color w:val="000000"/>
          <w:sz w:val="22"/>
          <w:rtl/>
          <w:lang w:eastAsia="he-IL"/>
        </w:rPr>
        <w:t xml:space="preserve"> להרחיב את קיבולת התשתית ואת התחייבותה לעשות כן היה וחברת חשמל תממש את האופציה הקבועה בהסכם בינה לבין שותפות תמר. לאור בחינת רשות ההגבלים העסקיים אשר העלתה כי בהינתן התנאים אותם אטיל בהחלטה למתן פטור מאישור הסדר כובל בהתאם לסעיף 14 לחוק, ביחס להסכם בין שות</w:t>
      </w:r>
      <w:r>
        <w:rPr>
          <w:rFonts w:eastAsia="Times New Roman" w:cs="David" w:hint="cs"/>
          <w:color w:val="000000"/>
          <w:sz w:val="22"/>
          <w:rtl/>
          <w:lang w:eastAsia="he-IL"/>
        </w:rPr>
        <w:t xml:space="preserve">פות תמר ובין חברת החשמל,  ההסתברות למימוש מלא או חלקי של האופציה הקבועה בהסכם חברת חשמל היא גבוהה, נחה דעתי כי אין בהסדר שלפני כדי לפגוע פגיעה של ממש בתחרות בשווקים אלו. </w:t>
      </w:r>
    </w:p>
    <w:p w:rsidR="00000000" w:rsidRDefault="00AA5619">
      <w:pPr>
        <w:bidi/>
        <w:spacing w:before="120" w:line="360" w:lineRule="auto"/>
        <w:jc w:val="both"/>
        <w:rPr>
          <w:rFonts w:hint="cs"/>
          <w:rtl/>
        </w:rPr>
      </w:pPr>
      <w:r>
        <w:rPr>
          <w:rFonts w:eastAsia="Times New Roman" w:cs="David" w:hint="cs"/>
          <w:color w:val="000000"/>
          <w:sz w:val="22"/>
          <w:rtl/>
          <w:lang w:eastAsia="he-IL"/>
        </w:rPr>
        <w:t> </w:t>
      </w:r>
    </w:p>
    <w:p w:rsidR="00000000" w:rsidRDefault="00AA5619">
      <w:pPr>
        <w:bidi/>
        <w:spacing w:before="120" w:line="360" w:lineRule="auto"/>
        <w:jc w:val="both"/>
        <w:rPr>
          <w:rFonts w:hint="cs"/>
          <w:rtl/>
        </w:rPr>
      </w:pPr>
      <w:r>
        <w:rPr>
          <w:rFonts w:eastAsia="Times New Roman" w:cs="David" w:hint="cs"/>
          <w:color w:val="000000"/>
          <w:sz w:val="22"/>
          <w:rtl/>
          <w:lang w:eastAsia="he-IL"/>
        </w:rPr>
        <w:t>לאור כל האמור, נחה דעתי כי ההסדר ראוי לפטור בכפוף לתנאים שיפרטו להלן.</w:t>
      </w:r>
    </w:p>
    <w:p w:rsidR="00000000" w:rsidRDefault="00AA5619">
      <w:pPr>
        <w:bidi/>
        <w:spacing w:before="120" w:line="360" w:lineRule="auto"/>
        <w:jc w:val="both"/>
        <w:rPr>
          <w:rFonts w:hint="cs"/>
          <w:rtl/>
        </w:rPr>
      </w:pPr>
      <w:r>
        <w:rPr>
          <w:rFonts w:eastAsia="Times New Roman" w:cs="David" w:hint="cs"/>
          <w:color w:val="000000"/>
          <w:sz w:val="22"/>
          <w:rtl/>
          <w:lang w:eastAsia="he-IL"/>
        </w:rPr>
        <w:t> </w:t>
      </w:r>
    </w:p>
    <w:p w:rsidR="00000000" w:rsidRDefault="00AA5619">
      <w:pPr>
        <w:bidi/>
        <w:spacing w:before="120" w:line="360" w:lineRule="auto"/>
        <w:jc w:val="both"/>
        <w:rPr>
          <w:rFonts w:hint="cs"/>
          <w:rtl/>
        </w:rPr>
      </w:pPr>
      <w:r>
        <w:rPr>
          <w:rFonts w:eastAsia="Times New Roman" w:cs="David" w:hint="cs"/>
          <w:color w:val="000000"/>
          <w:sz w:val="22"/>
          <w:rtl/>
          <w:lang w:eastAsia="he-IL"/>
        </w:rPr>
        <w:t> </w:t>
      </w:r>
    </w:p>
    <w:p w:rsidR="00000000" w:rsidRDefault="00AA5619">
      <w:pPr>
        <w:bidi/>
        <w:spacing w:before="120" w:line="360" w:lineRule="auto"/>
        <w:jc w:val="both"/>
        <w:rPr>
          <w:rFonts w:hint="cs"/>
          <w:rtl/>
        </w:rPr>
      </w:pPr>
      <w:r>
        <w:rPr>
          <w:rFonts w:eastAsia="Times New Roman" w:cs="David" w:hint="cs"/>
          <w:color w:val="000000"/>
          <w:sz w:val="22"/>
          <w:rtl/>
          <w:lang w:eastAsia="he-IL"/>
        </w:rPr>
        <w:t> </w:t>
      </w:r>
    </w:p>
    <w:p w:rsidR="00000000" w:rsidRDefault="00AA5619">
      <w:pPr>
        <w:bidi/>
        <w:spacing w:before="120" w:line="360" w:lineRule="auto"/>
        <w:jc w:val="both"/>
        <w:rPr>
          <w:rFonts w:hint="cs"/>
          <w:rtl/>
        </w:rPr>
      </w:pPr>
      <w:r>
        <w:rPr>
          <w:rFonts w:eastAsia="Times New Roman" w:cs="David" w:hint="cs"/>
          <w:color w:val="000000"/>
          <w:sz w:val="22"/>
          <w:rtl/>
          <w:lang w:eastAsia="he-IL"/>
        </w:rPr>
        <w:t> </w:t>
      </w:r>
    </w:p>
    <w:p w:rsidR="00000000" w:rsidRDefault="00AA5619">
      <w:pPr>
        <w:bidi/>
        <w:spacing w:before="120" w:line="360" w:lineRule="auto"/>
        <w:jc w:val="both"/>
        <w:rPr>
          <w:rFonts w:hint="cs"/>
          <w:rtl/>
        </w:rPr>
      </w:pPr>
      <w:r>
        <w:rPr>
          <w:rFonts w:eastAsia="Times New Roman" w:cs="David" w:hint="cs"/>
          <w:color w:val="000000"/>
          <w:sz w:val="22"/>
          <w:rtl/>
          <w:lang w:eastAsia="he-IL"/>
        </w:rPr>
        <w:t> </w:t>
      </w:r>
    </w:p>
    <w:p w:rsidR="00000000" w:rsidRDefault="00AA5619">
      <w:pPr>
        <w:bidi/>
        <w:spacing w:before="120" w:line="360" w:lineRule="auto"/>
        <w:jc w:val="both"/>
        <w:rPr>
          <w:rFonts w:hint="cs"/>
          <w:rtl/>
        </w:rPr>
      </w:pPr>
      <w:r>
        <w:rPr>
          <w:rFonts w:eastAsia="Times New Roman" w:cs="David" w:hint="cs"/>
          <w:color w:val="000000"/>
          <w:sz w:val="22"/>
          <w:rtl/>
          <w:lang w:eastAsia="he-IL"/>
        </w:rPr>
        <w:t> </w:t>
      </w:r>
    </w:p>
    <w:p w:rsidR="00000000" w:rsidRDefault="00AA5619">
      <w:pPr>
        <w:bidi/>
        <w:spacing w:before="120" w:line="360" w:lineRule="auto"/>
        <w:ind w:left="360" w:hanging="360"/>
        <w:jc w:val="both"/>
        <w:rPr>
          <w:rFonts w:hint="cs"/>
          <w:rtl/>
        </w:rPr>
      </w:pPr>
      <w:r>
        <w:rPr>
          <w:rStyle w:val="Strong"/>
          <w:rFonts w:eastAsia="Times New Roman"/>
          <w:sz w:val="28"/>
          <w:szCs w:val="28"/>
          <w:rtl/>
          <w:lang w:eastAsia="he-IL"/>
        </w:rPr>
        <w:t>5.</w:t>
      </w:r>
      <w:r>
        <w:rPr>
          <w:rStyle w:val="Strong"/>
          <w:rFonts w:eastAsia="Times New Roman"/>
          <w:sz w:val="14"/>
          <w:szCs w:val="14"/>
          <w:rtl/>
          <w:lang w:eastAsia="he-IL"/>
        </w:rPr>
        <w:t xml:space="preserve">      </w:t>
      </w:r>
      <w:r>
        <w:rPr>
          <w:rStyle w:val="Strong"/>
          <w:rFonts w:eastAsia="Times New Roman" w:cs="David" w:hint="cs"/>
          <w:sz w:val="28"/>
          <w:szCs w:val="28"/>
          <w:rtl/>
          <w:lang w:eastAsia="he-IL"/>
        </w:rPr>
        <w:t>התנאים</w:t>
      </w:r>
    </w:p>
    <w:p w:rsidR="00000000" w:rsidRDefault="00AA5619">
      <w:pPr>
        <w:bidi/>
        <w:spacing w:before="120" w:line="360" w:lineRule="auto"/>
        <w:ind w:left="720" w:hanging="360"/>
        <w:jc w:val="both"/>
        <w:rPr>
          <w:rFonts w:hint="cs"/>
          <w:rtl/>
        </w:rPr>
      </w:pPr>
      <w:r>
        <w:rPr>
          <w:rStyle w:val="Strong"/>
          <w:rFonts w:eastAsia="David" w:cs="David" w:hint="cs"/>
          <w:rtl/>
          <w:lang w:eastAsia="he-IL"/>
        </w:rPr>
        <w:t>א.</w:t>
      </w:r>
      <w:r>
        <w:rPr>
          <w:rStyle w:val="Strong"/>
          <w:rFonts w:eastAsia="David"/>
          <w:sz w:val="14"/>
          <w:szCs w:val="14"/>
          <w:rtl/>
          <w:lang w:eastAsia="he-IL"/>
        </w:rPr>
        <w:t xml:space="preserve">      </w:t>
      </w:r>
      <w:r>
        <w:rPr>
          <w:rStyle w:val="Strong"/>
          <w:rFonts w:eastAsia="Times New Roman" w:cs="David" w:hint="cs"/>
          <w:u w:val="single"/>
          <w:rtl/>
          <w:lang w:eastAsia="he-IL"/>
        </w:rPr>
        <w:t>הגדרות:</w:t>
      </w:r>
    </w:p>
    <w:p w:rsidR="00000000" w:rsidRDefault="00AA5619">
      <w:pPr>
        <w:bidi/>
        <w:spacing w:before="120" w:line="360" w:lineRule="auto"/>
        <w:ind w:left="2153" w:hanging="1785"/>
        <w:jc w:val="both"/>
        <w:rPr>
          <w:rFonts w:hint="cs"/>
          <w:rtl/>
        </w:rPr>
      </w:pPr>
      <w:r>
        <w:rPr>
          <w:rFonts w:eastAsia="Times New Roman" w:cs="David" w:hint="cs"/>
          <w:rtl/>
          <w:lang w:eastAsia="he-IL"/>
        </w:rPr>
        <w:t>"</w:t>
      </w:r>
      <w:r>
        <w:rPr>
          <w:rStyle w:val="Strong"/>
          <w:rFonts w:eastAsia="Times New Roman" w:cs="David" w:hint="cs"/>
          <w:rtl/>
          <w:lang w:eastAsia="he-IL"/>
        </w:rPr>
        <w:t>ההסכם</w:t>
      </w:r>
      <w:r>
        <w:rPr>
          <w:rFonts w:eastAsia="Times New Roman" w:cs="David" w:hint="cs"/>
          <w:rtl/>
          <w:lang w:eastAsia="he-IL"/>
        </w:rPr>
        <w:t xml:space="preserve">" – </w:t>
      </w:r>
      <w:r>
        <w:rPr>
          <w:rFonts w:eastAsia="Times New Roman" w:cs="David" w:hint="cs"/>
          <w:rtl/>
          <w:lang w:eastAsia="he-IL"/>
        </w:rPr>
        <w:tab/>
        <w:t>הסכם מיום 9 בפברואר 2012 אשר נחתם בין חברת משאב ייזום ופיתוח בע"מ לבין שותפות תמר לאספקת גז טבעי, כפי שצורף לבקשת הפטור;</w:t>
      </w:r>
    </w:p>
    <w:p w:rsidR="00000000" w:rsidRDefault="00AA5619">
      <w:pPr>
        <w:bidi/>
        <w:spacing w:before="120" w:line="360" w:lineRule="auto"/>
        <w:ind w:left="2153" w:hanging="1785"/>
        <w:jc w:val="both"/>
        <w:rPr>
          <w:rFonts w:hint="cs"/>
          <w:rtl/>
        </w:rPr>
      </w:pPr>
      <w:r>
        <w:rPr>
          <w:rFonts w:eastAsia="Times New Roman" w:cs="David" w:hint="cs"/>
          <w:rtl/>
          <w:lang w:eastAsia="he-IL"/>
        </w:rPr>
        <w:t>"</w:t>
      </w:r>
      <w:r>
        <w:rPr>
          <w:rStyle w:val="Strong"/>
          <w:rFonts w:eastAsia="Times New Roman" w:cs="David" w:hint="cs"/>
          <w:rtl/>
          <w:lang w:eastAsia="he-IL"/>
        </w:rPr>
        <w:t>הכמות השנתית</w:t>
      </w:r>
      <w:r>
        <w:rPr>
          <w:rFonts w:eastAsia="Times New Roman" w:cs="David" w:hint="cs"/>
          <w:rtl/>
          <w:lang w:eastAsia="he-IL"/>
        </w:rPr>
        <w:t>" – כמות הגז הטבעי השנתית בהתאם לקבוע בהסכם;</w:t>
      </w:r>
    </w:p>
    <w:p w:rsidR="00000000" w:rsidRDefault="00AA5619">
      <w:pPr>
        <w:bidi/>
        <w:spacing w:before="120" w:line="360" w:lineRule="auto"/>
        <w:ind w:firstLine="368"/>
        <w:jc w:val="both"/>
        <w:rPr>
          <w:rFonts w:hint="cs"/>
          <w:rtl/>
        </w:rPr>
      </w:pPr>
      <w:r>
        <w:rPr>
          <w:rFonts w:eastAsia="Times New Roman" w:cs="David" w:hint="cs"/>
          <w:rtl/>
          <w:lang w:eastAsia="he-IL"/>
        </w:rPr>
        <w:t>"</w:t>
      </w:r>
      <w:r>
        <w:rPr>
          <w:rStyle w:val="Strong"/>
          <w:rFonts w:eastAsia="Times New Roman" w:cs="David" w:hint="cs"/>
          <w:rtl/>
          <w:lang w:eastAsia="he-IL"/>
        </w:rPr>
        <w:t>הממונה</w:t>
      </w:r>
      <w:r>
        <w:rPr>
          <w:rFonts w:eastAsia="Times New Roman" w:cs="David" w:hint="cs"/>
          <w:rtl/>
          <w:lang w:eastAsia="he-IL"/>
        </w:rPr>
        <w:t xml:space="preserve">" – </w:t>
      </w:r>
      <w:r>
        <w:rPr>
          <w:rFonts w:eastAsia="Times New Roman" w:cs="David" w:hint="cs"/>
          <w:rtl/>
          <w:lang w:eastAsia="he-IL"/>
        </w:rPr>
        <w:tab/>
      </w:r>
      <w:r>
        <w:rPr>
          <w:rFonts w:eastAsia="Times New Roman" w:cs="David" w:hint="cs"/>
          <w:rtl/>
          <w:lang w:eastAsia="he-IL"/>
        </w:rPr>
        <w:t>הממונה על ההגבלים העסקיים</w:t>
      </w:r>
      <w:r>
        <w:rPr>
          <w:rFonts w:eastAsia="Times New Roman" w:cs="David"/>
          <w:lang w:eastAsia="he-IL"/>
        </w:rPr>
        <w:t>;</w:t>
      </w:r>
    </w:p>
    <w:p w:rsidR="00000000" w:rsidRDefault="00AA5619">
      <w:pPr>
        <w:bidi/>
        <w:spacing w:before="120" w:line="360" w:lineRule="auto"/>
        <w:ind w:left="2210" w:hanging="1842"/>
        <w:jc w:val="both"/>
        <w:rPr>
          <w:rFonts w:hint="cs"/>
          <w:rtl/>
        </w:rPr>
      </w:pPr>
      <w:r>
        <w:rPr>
          <w:rFonts w:eastAsia="Times New Roman" w:cs="David" w:hint="cs"/>
          <w:rtl/>
          <w:lang w:eastAsia="he-IL"/>
        </w:rPr>
        <w:t>"</w:t>
      </w:r>
      <w:r>
        <w:rPr>
          <w:rStyle w:val="Strong"/>
          <w:rFonts w:eastAsia="Times New Roman" w:cs="David" w:hint="cs"/>
          <w:rtl/>
          <w:lang w:eastAsia="he-IL"/>
        </w:rPr>
        <w:t>מועד אספקת הגז הטבעי</w:t>
      </w:r>
      <w:r>
        <w:rPr>
          <w:rFonts w:eastAsia="Times New Roman" w:cs="David" w:hint="cs"/>
          <w:rtl/>
          <w:lang w:eastAsia="he-IL"/>
        </w:rPr>
        <w:t>" – מועד תחילת האספקה בפועל של גז טבעי למשאב, לא כולל תקופת הניסיון וההרצה;</w:t>
      </w:r>
    </w:p>
    <w:p w:rsidR="00000000" w:rsidRDefault="00AA5619">
      <w:pPr>
        <w:bidi/>
        <w:spacing w:before="120" w:line="360" w:lineRule="auto"/>
        <w:ind w:left="1224" w:hanging="856"/>
        <w:jc w:val="both"/>
        <w:rPr>
          <w:rFonts w:hint="cs"/>
          <w:rtl/>
        </w:rPr>
      </w:pPr>
      <w:r>
        <w:rPr>
          <w:rFonts w:eastAsia="Times New Roman" w:cs="David" w:hint="cs"/>
          <w:rtl/>
          <w:lang w:eastAsia="he-IL"/>
        </w:rPr>
        <w:t>"</w:t>
      </w:r>
      <w:r>
        <w:rPr>
          <w:rStyle w:val="Strong"/>
          <w:rFonts w:eastAsia="Times New Roman" w:cs="David" w:hint="cs"/>
          <w:rtl/>
          <w:lang w:eastAsia="he-IL"/>
        </w:rPr>
        <w:t>משאב</w:t>
      </w:r>
      <w:r>
        <w:rPr>
          <w:rFonts w:eastAsia="Times New Roman" w:cs="David" w:hint="cs"/>
          <w:rtl/>
          <w:lang w:eastAsia="he-IL"/>
        </w:rPr>
        <w:t xml:space="preserve">" – </w:t>
      </w:r>
      <w:r>
        <w:rPr>
          <w:rFonts w:eastAsia="Times New Roman" w:cs="David" w:hint="cs"/>
          <w:rtl/>
          <w:lang w:eastAsia="he-IL"/>
        </w:rPr>
        <w:tab/>
      </w:r>
      <w:r>
        <w:rPr>
          <w:rFonts w:eastAsia="Times New Roman" w:cs="David" w:hint="cs"/>
          <w:rtl/>
          <w:lang w:eastAsia="he-IL"/>
        </w:rPr>
        <w:tab/>
        <w:t>חברת משאב ייזום ופיתוח בע"מ</w:t>
      </w:r>
      <w:r>
        <w:rPr>
          <w:rFonts w:eastAsia="Times New Roman" w:cs="David"/>
          <w:lang w:eastAsia="he-IL"/>
        </w:rPr>
        <w:t>;</w:t>
      </w:r>
    </w:p>
    <w:p w:rsidR="00000000" w:rsidRDefault="00AA5619">
      <w:pPr>
        <w:bidi/>
        <w:spacing w:before="120" w:line="360" w:lineRule="auto"/>
        <w:ind w:firstLine="368"/>
        <w:jc w:val="both"/>
        <w:rPr>
          <w:rFonts w:hint="cs"/>
          <w:rtl/>
        </w:rPr>
      </w:pPr>
      <w:r>
        <w:rPr>
          <w:rFonts w:eastAsia="Times New Roman" w:cs="David" w:hint="cs"/>
          <w:rtl/>
          <w:lang w:eastAsia="he-IL"/>
        </w:rPr>
        <w:t>"</w:t>
      </w:r>
      <w:r>
        <w:rPr>
          <w:rStyle w:val="Strong"/>
          <w:rFonts w:eastAsia="Times New Roman" w:cs="David" w:hint="cs"/>
          <w:rtl/>
          <w:lang w:eastAsia="he-IL"/>
        </w:rPr>
        <w:t>שותפות תמר</w:t>
      </w:r>
      <w:r>
        <w:rPr>
          <w:rFonts w:eastAsia="Times New Roman" w:cs="David" w:hint="cs"/>
          <w:rtl/>
          <w:lang w:eastAsia="he-IL"/>
        </w:rPr>
        <w:t xml:space="preserve">"  - </w:t>
      </w:r>
    </w:p>
    <w:p w:rsidR="00000000" w:rsidRDefault="00AA5619">
      <w:pPr>
        <w:bidi/>
        <w:spacing w:before="120" w:line="360" w:lineRule="auto"/>
        <w:ind w:left="2210"/>
        <w:rPr>
          <w:rFonts w:hint="cs"/>
          <w:rtl/>
        </w:rPr>
      </w:pPr>
      <w:r>
        <w:rPr>
          <w:rFonts w:eastAsia="Times New Roman"/>
          <w:rtl/>
          <w:lang w:eastAsia="he-IL"/>
        </w:rPr>
        <w:t>(1)</w:t>
      </w:r>
      <w:r>
        <w:rPr>
          <w:rFonts w:eastAsia="Times New Roman"/>
          <w:sz w:val="14"/>
          <w:szCs w:val="14"/>
          <w:rtl/>
          <w:lang w:eastAsia="he-IL"/>
        </w:rPr>
        <w:t xml:space="preserve">               </w:t>
      </w:r>
      <w:r>
        <w:rPr>
          <w:rFonts w:eastAsia="Times New Roman" w:cs="David" w:hint="cs"/>
          <w:rtl/>
          <w:lang w:eastAsia="he-IL"/>
        </w:rPr>
        <w:t>"דלק קידוחים" – דלק קידוחים – שותפות מוגבלת;</w:t>
      </w:r>
    </w:p>
    <w:p w:rsidR="00000000" w:rsidRDefault="00AA5619">
      <w:pPr>
        <w:bidi/>
        <w:spacing w:before="120" w:line="360" w:lineRule="auto"/>
        <w:ind w:left="2210"/>
        <w:rPr>
          <w:rFonts w:hint="cs"/>
          <w:rtl/>
        </w:rPr>
      </w:pPr>
      <w:r>
        <w:rPr>
          <w:rFonts w:eastAsia="Times New Roman"/>
          <w:rtl/>
          <w:lang w:eastAsia="he-IL"/>
        </w:rPr>
        <w:t>(2)</w:t>
      </w:r>
      <w:r>
        <w:rPr>
          <w:rFonts w:eastAsia="Times New Roman"/>
          <w:sz w:val="14"/>
          <w:szCs w:val="14"/>
          <w:rtl/>
          <w:lang w:eastAsia="he-IL"/>
        </w:rPr>
        <w:t>         </w:t>
      </w:r>
      <w:r>
        <w:rPr>
          <w:rFonts w:eastAsia="Times New Roman"/>
          <w:sz w:val="14"/>
          <w:szCs w:val="14"/>
          <w:rtl/>
          <w:lang w:eastAsia="he-IL"/>
        </w:rPr>
        <w:t xml:space="preserve">      </w:t>
      </w:r>
      <w:r>
        <w:rPr>
          <w:rFonts w:eastAsia="Times New Roman" w:cs="David" w:hint="cs"/>
          <w:rtl/>
          <w:lang w:eastAsia="he-IL"/>
        </w:rPr>
        <w:t>"אבנר" –  אבנר חיפושי גז ונפט – שותפות מוגבלת;</w:t>
      </w:r>
    </w:p>
    <w:p w:rsidR="00000000" w:rsidRDefault="00AA5619">
      <w:pPr>
        <w:bidi/>
        <w:spacing w:before="120" w:line="360" w:lineRule="auto"/>
        <w:ind w:left="2210"/>
        <w:rPr>
          <w:rFonts w:hint="cs"/>
          <w:rtl/>
        </w:rPr>
      </w:pPr>
      <w:r>
        <w:rPr>
          <w:rFonts w:eastAsia="Times New Roman"/>
          <w:rtl/>
          <w:lang w:eastAsia="he-IL"/>
        </w:rPr>
        <w:t>(3)</w:t>
      </w:r>
      <w:r>
        <w:rPr>
          <w:rFonts w:eastAsia="Times New Roman"/>
          <w:sz w:val="14"/>
          <w:szCs w:val="14"/>
          <w:rtl/>
          <w:lang w:eastAsia="he-IL"/>
        </w:rPr>
        <w:t xml:space="preserve">               </w:t>
      </w:r>
      <w:r>
        <w:rPr>
          <w:rFonts w:eastAsia="Times New Roman" w:cs="David" w:hint="cs"/>
          <w:rtl/>
          <w:lang w:eastAsia="he-IL"/>
        </w:rPr>
        <w:t>"ישראמקו" – ישראמקו נגב 2 – שותפות מוגבלת;</w:t>
      </w:r>
    </w:p>
    <w:p w:rsidR="00000000" w:rsidRDefault="00AA5619">
      <w:pPr>
        <w:bidi/>
        <w:spacing w:before="120" w:line="360" w:lineRule="auto"/>
        <w:ind w:left="2210"/>
        <w:rPr>
          <w:rFonts w:hint="cs"/>
          <w:rtl/>
        </w:rPr>
      </w:pPr>
      <w:r>
        <w:rPr>
          <w:rFonts w:eastAsia="Times New Roman"/>
          <w:rtl/>
          <w:lang w:eastAsia="he-IL"/>
        </w:rPr>
        <w:t>(4)</w:t>
      </w:r>
      <w:r>
        <w:rPr>
          <w:rFonts w:eastAsia="Times New Roman"/>
          <w:sz w:val="14"/>
          <w:szCs w:val="14"/>
          <w:rtl/>
          <w:lang w:eastAsia="he-IL"/>
        </w:rPr>
        <w:t xml:space="preserve">               </w:t>
      </w:r>
      <w:r>
        <w:rPr>
          <w:rFonts w:eastAsia="Times New Roman" w:cs="David" w:hint="cs"/>
          <w:rtl/>
          <w:lang w:eastAsia="he-IL"/>
        </w:rPr>
        <w:t>"דור" –  דור חיפושי גז – שותפות מוגבלת;</w:t>
      </w:r>
    </w:p>
    <w:p w:rsidR="00000000" w:rsidRDefault="00AA5619">
      <w:pPr>
        <w:bidi/>
        <w:spacing w:before="120" w:line="360" w:lineRule="auto"/>
        <w:ind w:left="2210"/>
        <w:rPr>
          <w:rFonts w:hint="cs"/>
          <w:rtl/>
        </w:rPr>
      </w:pPr>
      <w:r>
        <w:rPr>
          <w:rFonts w:eastAsia="Times New Roman"/>
          <w:rtl/>
          <w:lang w:eastAsia="he-IL"/>
        </w:rPr>
        <w:t>(5)</w:t>
      </w:r>
      <w:r>
        <w:rPr>
          <w:rFonts w:eastAsia="Times New Roman"/>
          <w:sz w:val="14"/>
          <w:szCs w:val="14"/>
          <w:rtl/>
          <w:lang w:eastAsia="he-IL"/>
        </w:rPr>
        <w:t xml:space="preserve">               </w:t>
      </w:r>
      <w:r>
        <w:rPr>
          <w:rFonts w:eastAsia="Times New Roman" w:cs="David" w:hint="cs"/>
          <w:rtl/>
          <w:lang w:eastAsia="he-IL"/>
        </w:rPr>
        <w:t xml:space="preserve">"נובל" – חברת </w:t>
      </w:r>
      <w:r>
        <w:rPr>
          <w:rFonts w:eastAsia="Times New Roman" w:cs="David"/>
          <w:lang w:eastAsia="he-IL"/>
        </w:rPr>
        <w:t>Noble Energy Mediterranean LTD</w:t>
      </w:r>
      <w:r>
        <w:rPr>
          <w:rFonts w:eastAsia="Times New Roman" w:cs="David" w:hint="cs"/>
          <w:rtl/>
          <w:lang w:eastAsia="he-IL"/>
        </w:rPr>
        <w:t>;</w:t>
      </w:r>
    </w:p>
    <w:p w:rsidR="00000000" w:rsidRDefault="00AA5619">
      <w:pPr>
        <w:bidi/>
        <w:spacing w:before="120" w:line="360" w:lineRule="auto"/>
        <w:ind w:left="2210"/>
        <w:jc w:val="both"/>
        <w:rPr>
          <w:rFonts w:hint="cs"/>
          <w:rtl/>
        </w:rPr>
      </w:pPr>
      <w:r>
        <w:rPr>
          <w:rFonts w:eastAsia="Times New Roman" w:cs="David" w:hint="cs"/>
          <w:rtl/>
          <w:lang w:eastAsia="he-IL"/>
        </w:rPr>
        <w:t>וכן כל אדם המחזיק בז</w:t>
      </w:r>
      <w:r>
        <w:rPr>
          <w:rFonts w:eastAsia="Times New Roman" w:cs="David" w:hint="cs"/>
          <w:rtl/>
          <w:lang w:eastAsia="he-IL"/>
        </w:rPr>
        <w:t>כויות נפט כמשמעות מונח זה בחוק הנפט, התשי"ב – 1952 במאגר 'תמר', בהווה או בעתיד - ביחד ולחוד</w:t>
      </w:r>
      <w:r>
        <w:rPr>
          <w:rFonts w:eastAsia="Times New Roman" w:cs="David"/>
          <w:lang w:eastAsia="he-IL"/>
        </w:rPr>
        <w:t>;</w:t>
      </w:r>
    </w:p>
    <w:p w:rsidR="00000000" w:rsidRDefault="00AA5619">
      <w:pPr>
        <w:bidi/>
        <w:spacing w:before="120" w:line="360" w:lineRule="auto"/>
        <w:ind w:left="2160" w:hanging="1440"/>
        <w:jc w:val="both"/>
        <w:rPr>
          <w:rFonts w:hint="cs"/>
          <w:rtl/>
        </w:rPr>
      </w:pPr>
      <w:r>
        <w:rPr>
          <w:rFonts w:eastAsia="Times New Roman" w:cs="David" w:hint="cs"/>
          <w:rtl/>
          <w:lang w:eastAsia="he-IL"/>
        </w:rPr>
        <w:t>"</w:t>
      </w:r>
      <w:r>
        <w:rPr>
          <w:rStyle w:val="Strong"/>
          <w:rFonts w:eastAsia="Times New Roman" w:cs="David" w:hint="cs"/>
          <w:rtl/>
          <w:lang w:eastAsia="he-IL"/>
        </w:rPr>
        <w:t>תקופת ההסכם</w:t>
      </w:r>
      <w:r>
        <w:rPr>
          <w:rFonts w:eastAsia="Times New Roman" w:cs="David" w:hint="cs"/>
          <w:rtl/>
          <w:lang w:eastAsia="he-IL"/>
        </w:rPr>
        <w:t>" – התקופה שחלה עם סיום תקופת ההרצה (</w:t>
      </w:r>
      <w:r>
        <w:rPr>
          <w:rFonts w:eastAsia="Times New Roman" w:cs="David"/>
          <w:lang w:eastAsia="he-IL"/>
        </w:rPr>
        <w:t>Flow</w:t>
      </w:r>
      <w:r>
        <w:rPr>
          <w:rFonts w:eastAsia="Times New Roman" w:cs="David" w:hint="cs"/>
          <w:rtl/>
          <w:lang w:eastAsia="he-IL"/>
        </w:rPr>
        <w:t xml:space="preserve">), כהגדרתה בהסכם והמסתיימת בתום 15 שנים; </w:t>
      </w:r>
    </w:p>
    <w:p w:rsidR="00000000" w:rsidRDefault="00AA5619">
      <w:pPr>
        <w:bidi/>
        <w:spacing w:before="120" w:line="360" w:lineRule="auto"/>
        <w:ind w:left="2160" w:hanging="1440"/>
        <w:jc w:val="both"/>
        <w:rPr>
          <w:rFonts w:hint="cs"/>
          <w:rtl/>
        </w:rPr>
      </w:pPr>
      <w:r>
        <w:rPr>
          <w:rFonts w:eastAsia="Times New Roman" w:cs="David" w:hint="cs"/>
          <w:rtl/>
          <w:lang w:eastAsia="he-IL"/>
        </w:rPr>
        <w:t>"</w:t>
      </w:r>
      <w:r>
        <w:rPr>
          <w:rStyle w:val="Strong"/>
          <w:rFonts w:eastAsia="Times New Roman" w:cs="David" w:hint="cs"/>
          <w:rtl/>
          <w:lang w:eastAsia="he-IL"/>
        </w:rPr>
        <w:t xml:space="preserve">תניית </w:t>
      </w:r>
      <w:r>
        <w:rPr>
          <w:rStyle w:val="Strong"/>
          <w:rFonts w:eastAsia="Times New Roman" w:cs="David"/>
          <w:lang w:eastAsia="he-IL"/>
        </w:rPr>
        <w:t>Take or Pay</w:t>
      </w:r>
      <w:r>
        <w:rPr>
          <w:rFonts w:eastAsia="Times New Roman" w:cs="David" w:hint="cs"/>
          <w:rtl/>
          <w:lang w:eastAsia="he-IL"/>
        </w:rPr>
        <w:t>" – התחייבות צרכן הגז הטבעי לשלם</w:t>
      </w:r>
      <w:r>
        <w:rPr>
          <w:rFonts w:eastAsia="Times New Roman" w:cs="David"/>
          <w:lang w:eastAsia="he-IL"/>
        </w:rPr>
        <w:t xml:space="preserve"> </w:t>
      </w:r>
      <w:r>
        <w:rPr>
          <w:rFonts w:eastAsia="Times New Roman" w:cs="David" w:hint="cs"/>
          <w:rtl/>
          <w:lang w:eastAsia="he-IL"/>
        </w:rPr>
        <w:t>עבור כמות שנתית מ</w:t>
      </w:r>
      <w:r>
        <w:rPr>
          <w:rFonts w:eastAsia="Times New Roman" w:cs="David" w:hint="cs"/>
          <w:rtl/>
          <w:lang w:eastAsia="he-IL"/>
        </w:rPr>
        <w:t xml:space="preserve">ינימאלית של גז טבעי משותפות תמר, אף בהיעדר צריכה בפועל. </w:t>
      </w:r>
    </w:p>
    <w:p w:rsidR="00000000" w:rsidRDefault="00AA5619">
      <w:pPr>
        <w:bidi/>
        <w:spacing w:before="120" w:line="360" w:lineRule="auto"/>
        <w:ind w:left="2160" w:hanging="1440"/>
        <w:jc w:val="both"/>
        <w:rPr>
          <w:rFonts w:hint="cs"/>
          <w:rtl/>
        </w:rPr>
      </w:pPr>
      <w:r>
        <w:rPr>
          <w:rFonts w:eastAsia="Times New Roman" w:cs="David" w:hint="cs"/>
          <w:rtl/>
          <w:lang w:eastAsia="he-IL"/>
        </w:rPr>
        <w:t> </w:t>
      </w:r>
    </w:p>
    <w:p w:rsidR="00000000" w:rsidRDefault="00AA5619">
      <w:pPr>
        <w:bidi/>
        <w:spacing w:before="120" w:line="360" w:lineRule="auto"/>
        <w:ind w:left="720" w:hanging="360"/>
        <w:jc w:val="both"/>
        <w:rPr>
          <w:rFonts w:hint="cs"/>
          <w:rtl/>
        </w:rPr>
      </w:pPr>
      <w:r>
        <w:rPr>
          <w:rStyle w:val="Strong"/>
          <w:rFonts w:eastAsia="David" w:cs="David" w:hint="cs"/>
          <w:rtl/>
          <w:lang w:eastAsia="he-IL"/>
        </w:rPr>
        <w:t>ב.</w:t>
      </w:r>
      <w:r>
        <w:rPr>
          <w:rStyle w:val="Strong"/>
          <w:rFonts w:eastAsia="David"/>
          <w:sz w:val="14"/>
          <w:szCs w:val="14"/>
          <w:rtl/>
          <w:lang w:eastAsia="he-IL"/>
        </w:rPr>
        <w:t xml:space="preserve">      </w:t>
      </w:r>
      <w:r>
        <w:rPr>
          <w:rStyle w:val="Strong"/>
          <w:rFonts w:eastAsia="Times New Roman" w:cs="David" w:hint="cs"/>
          <w:u w:val="single"/>
          <w:rtl/>
          <w:lang w:eastAsia="he-IL"/>
        </w:rPr>
        <w:t>התנאים</w:t>
      </w:r>
    </w:p>
    <w:p w:rsidR="00000000" w:rsidRDefault="00AA5619">
      <w:pPr>
        <w:numPr>
          <w:ilvl w:val="0"/>
          <w:numId w:val="1"/>
        </w:numPr>
        <w:bidi/>
        <w:spacing w:before="120" w:line="360" w:lineRule="auto"/>
        <w:jc w:val="both"/>
        <w:rPr>
          <w:rFonts w:eastAsia="Times New Roman" w:hint="cs"/>
          <w:rtl/>
        </w:rPr>
      </w:pPr>
      <w:r>
        <w:rPr>
          <w:rFonts w:eastAsia="Times New Roman" w:cs="David" w:hint="cs"/>
          <w:rtl/>
          <w:lang w:eastAsia="he-IL"/>
        </w:rPr>
        <w:t>למשאב תועמד האפשרות לבחור באחת משתי האפשרויות הבאות כדלקמן:</w:t>
      </w:r>
    </w:p>
    <w:p w:rsidR="00000000" w:rsidRDefault="00AA5619">
      <w:pPr>
        <w:bidi/>
        <w:spacing w:before="120" w:line="360" w:lineRule="auto"/>
        <w:ind w:left="1502" w:hanging="709"/>
        <w:jc w:val="both"/>
        <w:rPr>
          <w:rFonts w:hint="cs"/>
          <w:rtl/>
        </w:rPr>
      </w:pPr>
      <w:r>
        <w:rPr>
          <w:rFonts w:eastAsia="Times New Roman"/>
          <w:rtl/>
          <w:lang w:eastAsia="he-IL"/>
        </w:rPr>
        <w:t>(א)</w:t>
      </w:r>
      <w:r>
        <w:rPr>
          <w:rFonts w:eastAsia="Times New Roman"/>
          <w:sz w:val="14"/>
          <w:szCs w:val="14"/>
          <w:rtl/>
          <w:lang w:eastAsia="he-IL"/>
        </w:rPr>
        <w:t xml:space="preserve">               </w:t>
      </w:r>
      <w:r>
        <w:rPr>
          <w:rFonts w:eastAsia="Times New Roman" w:cs="David" w:hint="cs"/>
          <w:rtl/>
          <w:lang w:eastAsia="he-IL"/>
        </w:rPr>
        <w:t xml:space="preserve"> קיצור תקופת ההסכם והעמדתה על 7 שנים, החל ממועד אספקת הגז הטבעי; </w:t>
      </w:r>
    </w:p>
    <w:p w:rsidR="00000000" w:rsidRDefault="00AA5619">
      <w:pPr>
        <w:bidi/>
        <w:spacing w:before="120" w:line="360" w:lineRule="auto"/>
        <w:ind w:firstLine="720"/>
        <w:jc w:val="both"/>
        <w:rPr>
          <w:rFonts w:hint="cs"/>
          <w:rtl/>
        </w:rPr>
      </w:pPr>
      <w:r>
        <w:rPr>
          <w:rFonts w:eastAsia="Times New Roman" w:cs="David" w:hint="cs"/>
          <w:rtl/>
          <w:lang w:eastAsia="he-IL"/>
        </w:rPr>
        <w:t xml:space="preserve">או לחלופין - </w:t>
      </w:r>
    </w:p>
    <w:p w:rsidR="00000000" w:rsidRDefault="00AA5619">
      <w:pPr>
        <w:bidi/>
        <w:spacing w:before="120" w:line="360" w:lineRule="auto"/>
        <w:ind w:left="1502" w:hanging="709"/>
        <w:jc w:val="both"/>
        <w:rPr>
          <w:rFonts w:hint="cs"/>
          <w:rtl/>
        </w:rPr>
      </w:pPr>
      <w:r>
        <w:rPr>
          <w:rFonts w:eastAsia="Times New Roman"/>
          <w:rtl/>
          <w:lang w:eastAsia="he-IL"/>
        </w:rPr>
        <w:t>(ב)</w:t>
      </w:r>
      <w:r>
        <w:rPr>
          <w:rFonts w:eastAsia="Times New Roman"/>
          <w:sz w:val="14"/>
          <w:szCs w:val="14"/>
          <w:rtl/>
          <w:lang w:eastAsia="he-IL"/>
        </w:rPr>
        <w:t xml:space="preserve">                </w:t>
      </w:r>
      <w:r>
        <w:rPr>
          <w:rFonts w:eastAsia="Times New Roman" w:cs="David" w:hint="cs"/>
          <w:rtl/>
          <w:lang w:eastAsia="he-IL"/>
        </w:rPr>
        <w:t xml:space="preserve"> </w:t>
      </w:r>
      <w:r>
        <w:rPr>
          <w:rFonts w:eastAsia="Times New Roman" w:cs="David" w:hint="cs"/>
          <w:rtl/>
          <w:lang w:eastAsia="he-IL"/>
        </w:rPr>
        <w:t xml:space="preserve">הפחתת כמות הגז הנקובה בתניית </w:t>
      </w:r>
      <w:r>
        <w:rPr>
          <w:rFonts w:eastAsia="Times New Roman" w:cs="David"/>
          <w:lang w:eastAsia="he-IL"/>
        </w:rPr>
        <w:t>Take or Pay</w:t>
      </w:r>
      <w:r>
        <w:rPr>
          <w:rFonts w:eastAsia="Times New Roman" w:cs="David" w:hint="cs"/>
          <w:rtl/>
          <w:lang w:eastAsia="he-IL"/>
        </w:rPr>
        <w:t xml:space="preserve"> לכמות השווה למחצית מכמות הצריכה השנתית הממוצעת של משאב בפועל בשלוש השנים שקדמו למועד ההודעה (להלן: "</w:t>
      </w:r>
      <w:r>
        <w:rPr>
          <w:rStyle w:val="Strong"/>
          <w:rFonts w:eastAsia="Times New Roman" w:cs="David" w:hint="cs"/>
          <w:rtl/>
          <w:lang w:eastAsia="he-IL"/>
        </w:rPr>
        <w:t>הכמות האפקטיבית</w:t>
      </w:r>
      <w:r>
        <w:rPr>
          <w:rFonts w:eastAsia="Times New Roman" w:cs="David" w:hint="cs"/>
          <w:rtl/>
          <w:lang w:eastAsia="he-IL"/>
        </w:rPr>
        <w:t>"). הפחתת כמות הרכישה תיכנס לתוקף לאחר שנה ממועד מתן הודעה כאמור, ועד לסוף תקופת ההסכם לפי העניין (ל</w:t>
      </w:r>
      <w:r>
        <w:rPr>
          <w:rFonts w:eastAsia="Times New Roman" w:cs="David" w:hint="cs"/>
          <w:rtl/>
          <w:lang w:eastAsia="he-IL"/>
        </w:rPr>
        <w:t>הלן: "</w:t>
      </w:r>
      <w:r>
        <w:rPr>
          <w:rStyle w:val="Strong"/>
          <w:rFonts w:eastAsia="Times New Roman" w:cs="David" w:hint="cs"/>
          <w:rtl/>
          <w:lang w:eastAsia="he-IL"/>
        </w:rPr>
        <w:t>הפחתת כמות הרכישה</w:t>
      </w:r>
      <w:r>
        <w:rPr>
          <w:rFonts w:eastAsia="Times New Roman" w:cs="David" w:hint="cs"/>
          <w:rtl/>
          <w:lang w:eastAsia="he-IL"/>
        </w:rPr>
        <w:t xml:space="preserve">"). הודעה על הפחתת כמות הרכישה תתאפשר בכל עת במהלך התקופה שסיומה מאוחר יותר מבין שתי התקופות שלהלן: </w:t>
      </w:r>
    </w:p>
    <w:p w:rsidR="00000000" w:rsidRDefault="00AA5619">
      <w:pPr>
        <w:bidi/>
        <w:spacing w:before="120" w:line="360" w:lineRule="auto"/>
        <w:ind w:left="2514" w:hanging="856"/>
        <w:jc w:val="both"/>
        <w:rPr>
          <w:rFonts w:hint="cs"/>
          <w:rtl/>
        </w:rPr>
      </w:pPr>
      <w:r>
        <w:rPr>
          <w:rFonts w:eastAsia="Times New Roman"/>
          <w:rtl/>
          <w:lang w:eastAsia="he-IL"/>
        </w:rPr>
        <w:t>(1)</w:t>
      </w:r>
      <w:r>
        <w:rPr>
          <w:rFonts w:eastAsia="Times New Roman"/>
          <w:sz w:val="14"/>
          <w:szCs w:val="14"/>
          <w:rtl/>
          <w:lang w:eastAsia="he-IL"/>
        </w:rPr>
        <w:t xml:space="preserve">                     </w:t>
      </w:r>
      <w:r>
        <w:rPr>
          <w:rFonts w:eastAsia="Times New Roman" w:cs="David" w:hint="cs"/>
          <w:rtl/>
          <w:lang w:eastAsia="he-IL"/>
        </w:rPr>
        <w:t>התקופה שמיום 1/1/2018 ועד ליום 31/12/2020</w:t>
      </w:r>
      <w:r>
        <w:rPr>
          <w:rFonts w:eastAsia="Times New Roman" w:cs="David"/>
          <w:lang w:eastAsia="he-IL"/>
        </w:rPr>
        <w:t>;</w:t>
      </w:r>
    </w:p>
    <w:p w:rsidR="00000000" w:rsidRDefault="00AA5619">
      <w:pPr>
        <w:bidi/>
        <w:spacing w:before="120" w:line="360" w:lineRule="auto"/>
        <w:ind w:left="1944" w:hanging="286"/>
        <w:jc w:val="both"/>
        <w:rPr>
          <w:rFonts w:hint="cs"/>
          <w:rtl/>
        </w:rPr>
      </w:pPr>
      <w:r>
        <w:rPr>
          <w:rFonts w:eastAsia="Times New Roman" w:cs="David" w:hint="cs"/>
          <w:rtl/>
          <w:lang w:eastAsia="he-IL"/>
        </w:rPr>
        <w:t xml:space="preserve">או </w:t>
      </w:r>
    </w:p>
    <w:p w:rsidR="00000000" w:rsidRDefault="00AA5619">
      <w:pPr>
        <w:bidi/>
        <w:spacing w:before="120" w:line="360" w:lineRule="auto"/>
        <w:ind w:left="2210" w:hanging="552"/>
        <w:jc w:val="both"/>
        <w:rPr>
          <w:rFonts w:hint="cs"/>
          <w:rtl/>
        </w:rPr>
      </w:pPr>
      <w:r>
        <w:rPr>
          <w:rFonts w:eastAsia="Times New Roman"/>
          <w:rtl/>
          <w:lang w:eastAsia="he-IL"/>
        </w:rPr>
        <w:t>(2)</w:t>
      </w:r>
      <w:r>
        <w:rPr>
          <w:rFonts w:eastAsia="Times New Roman"/>
          <w:sz w:val="14"/>
          <w:szCs w:val="14"/>
          <w:rtl/>
          <w:lang w:eastAsia="he-IL"/>
        </w:rPr>
        <w:t xml:space="preserve">           </w:t>
      </w:r>
      <w:r>
        <w:rPr>
          <w:rFonts w:eastAsia="Times New Roman" w:cs="David" w:hint="cs"/>
          <w:rtl/>
          <w:lang w:eastAsia="he-IL"/>
        </w:rPr>
        <w:t xml:space="preserve">התקופה שראשיתה בתחילת השנה החמישית ממועד אספקת </w:t>
      </w:r>
      <w:r>
        <w:rPr>
          <w:rFonts w:eastAsia="Times New Roman" w:cs="David" w:hint="cs"/>
          <w:rtl/>
          <w:lang w:eastAsia="he-IL"/>
        </w:rPr>
        <w:t>הגז הטבעי וסיומה בתום השנה השביעית כאמור.</w:t>
      </w:r>
    </w:p>
    <w:p w:rsidR="00000000" w:rsidRDefault="00AA5619">
      <w:pPr>
        <w:bidi/>
        <w:spacing w:before="120" w:line="360" w:lineRule="auto"/>
        <w:ind w:left="1440"/>
        <w:jc w:val="both"/>
        <w:rPr>
          <w:rFonts w:hint="cs"/>
          <w:rtl/>
        </w:rPr>
      </w:pPr>
      <w:r>
        <w:rPr>
          <w:rFonts w:eastAsia="Times New Roman" w:cs="David" w:hint="cs"/>
          <w:rtl/>
          <w:lang w:eastAsia="he-IL"/>
        </w:rPr>
        <w:t>עם קביעת הכמות המינימלית עליה תחוייב משאב לשלם בהתאם לכמות האפקטיבית בכל אחד מן ההסכמים לפי העניין, תעודכנה כמות הגז השנתית וכמות הגז הכוללת בכל אחד מן ההסכמים בהתאם.</w:t>
      </w:r>
    </w:p>
    <w:p w:rsidR="00000000" w:rsidRDefault="00AA5619">
      <w:pPr>
        <w:bidi/>
        <w:spacing w:before="120" w:line="360" w:lineRule="auto"/>
        <w:ind w:left="1502" w:hanging="709"/>
        <w:jc w:val="both"/>
        <w:rPr>
          <w:rFonts w:hint="cs"/>
          <w:rtl/>
        </w:rPr>
      </w:pPr>
      <w:r>
        <w:rPr>
          <w:rFonts w:eastAsia="Times New Roman"/>
          <w:rtl/>
          <w:lang w:eastAsia="he-IL"/>
        </w:rPr>
        <w:t>(ג)</w:t>
      </w:r>
      <w:r>
        <w:rPr>
          <w:rFonts w:eastAsia="Times New Roman"/>
          <w:sz w:val="14"/>
          <w:szCs w:val="14"/>
          <w:rtl/>
          <w:lang w:eastAsia="he-IL"/>
        </w:rPr>
        <w:t xml:space="preserve">                 </w:t>
      </w:r>
      <w:r>
        <w:rPr>
          <w:rFonts w:eastAsia="Times New Roman" w:cs="David" w:hint="cs"/>
          <w:rtl/>
          <w:lang w:eastAsia="he-IL"/>
        </w:rPr>
        <w:t xml:space="preserve"> הודעה על בחירתה של משאב תי</w:t>
      </w:r>
      <w:r>
        <w:rPr>
          <w:rFonts w:eastAsia="Times New Roman" w:cs="David" w:hint="cs"/>
          <w:rtl/>
          <w:lang w:eastAsia="he-IL"/>
        </w:rPr>
        <w:t xml:space="preserve">מסר לשותפות תמר עד ליום 12.11.2012. למען הסר ספק יובהר, כי בחישוב כמות הצריכה השנתית הממוצעת של משאב בשלוש השנים שקדמו למתן ההודעה כאמור בסעיף 1(ב), לא יכללו כמויות שאותן רכשה משאב משותפות תמר אך מכרה אותן הלאה לצדדים שלישיים. </w:t>
      </w:r>
    </w:p>
    <w:p w:rsidR="00000000" w:rsidRDefault="00AA5619">
      <w:pPr>
        <w:numPr>
          <w:ilvl w:val="0"/>
          <w:numId w:val="2"/>
        </w:numPr>
        <w:bidi/>
        <w:spacing w:before="120" w:line="360" w:lineRule="auto"/>
        <w:jc w:val="both"/>
        <w:rPr>
          <w:rFonts w:eastAsia="Times New Roman" w:hint="cs"/>
          <w:rtl/>
        </w:rPr>
      </w:pPr>
      <w:r>
        <w:rPr>
          <w:rFonts w:eastAsia="Times New Roman" w:cs="David" w:hint="cs"/>
          <w:rtl/>
          <w:lang w:eastAsia="he-IL"/>
        </w:rPr>
        <w:t>לא תחול כל מגבלה על משאב בנו</w:t>
      </w:r>
      <w:r>
        <w:rPr>
          <w:rFonts w:eastAsia="Times New Roman" w:cs="David" w:hint="cs"/>
          <w:rtl/>
          <w:lang w:eastAsia="he-IL"/>
        </w:rPr>
        <w:t xml:space="preserve">גע לרכישת גז טבעי על ידה מכל ספק גז טבעי אחר שאינו שותפות תמר. </w:t>
      </w:r>
    </w:p>
    <w:p w:rsidR="00000000" w:rsidRDefault="00AA5619">
      <w:pPr>
        <w:numPr>
          <w:ilvl w:val="0"/>
          <w:numId w:val="2"/>
        </w:numPr>
        <w:bidi/>
        <w:spacing w:before="120" w:line="360" w:lineRule="auto"/>
        <w:jc w:val="both"/>
        <w:rPr>
          <w:rFonts w:eastAsia="Times New Roman" w:hint="cs"/>
          <w:rtl/>
        </w:rPr>
      </w:pPr>
      <w:r>
        <w:rPr>
          <w:rFonts w:eastAsia="Times New Roman" w:cs="David" w:hint="cs"/>
          <w:rtl/>
          <w:lang w:eastAsia="he-IL"/>
        </w:rPr>
        <w:t>שאר תנאי ההסכם לא ישונו בכל דרך שהיא אשר מרעה את מצבה של משאב, ובכלל זה לא ישונו לרעת משאב המחיר ותנאי התשלום, תנאי האספקה ומועדיה, כמויות האספקה, הוספת הגבלות על מכירת גז לצדדים שלישיים על יד</w:t>
      </w:r>
      <w:r>
        <w:rPr>
          <w:rFonts w:eastAsia="Times New Roman" w:cs="David" w:hint="cs"/>
          <w:rtl/>
          <w:lang w:eastAsia="he-IL"/>
        </w:rPr>
        <w:t>י משאב וכו'.</w:t>
      </w:r>
    </w:p>
    <w:p w:rsidR="00000000" w:rsidRDefault="00AA5619">
      <w:pPr>
        <w:numPr>
          <w:ilvl w:val="0"/>
          <w:numId w:val="2"/>
        </w:numPr>
        <w:bidi/>
        <w:spacing w:before="120" w:line="360" w:lineRule="auto"/>
        <w:jc w:val="both"/>
        <w:rPr>
          <w:rFonts w:eastAsia="Times New Roman" w:hint="cs"/>
          <w:rtl/>
        </w:rPr>
      </w:pPr>
      <w:r>
        <w:rPr>
          <w:rFonts w:eastAsia="Times New Roman" w:cs="David" w:hint="cs"/>
          <w:rtl/>
          <w:lang w:eastAsia="he-IL"/>
        </w:rPr>
        <w:t>שותפות תמר, לא תתקשרנה, במישרין או בעקיפין, בכל הסכם לאספקת גז ממאגר 'תמר' ללא קבלת היתר מראש ממערך הפיקוח על הגבלים עסקיים.</w:t>
      </w:r>
    </w:p>
    <w:p w:rsidR="00000000" w:rsidRDefault="00AA5619">
      <w:pPr>
        <w:numPr>
          <w:ilvl w:val="0"/>
          <w:numId w:val="2"/>
        </w:numPr>
        <w:bidi/>
        <w:spacing w:before="120" w:line="360" w:lineRule="auto"/>
        <w:jc w:val="both"/>
        <w:rPr>
          <w:rFonts w:eastAsia="Times New Roman" w:hint="cs"/>
          <w:rtl/>
        </w:rPr>
      </w:pPr>
      <w:r>
        <w:rPr>
          <w:rFonts w:eastAsia="Times New Roman" w:cs="David" w:hint="cs"/>
          <w:rtl/>
          <w:lang w:eastAsia="he-IL"/>
        </w:rPr>
        <w:t>התעורר ספק בדבר פרשנותם או תחולתם של תנאים אלו, יובא הדבר להכרעת הממונה.</w:t>
      </w:r>
    </w:p>
    <w:p w:rsidR="00000000" w:rsidRDefault="00AA5619">
      <w:pPr>
        <w:bidi/>
        <w:spacing w:before="120" w:line="360" w:lineRule="auto"/>
        <w:jc w:val="both"/>
        <w:rPr>
          <w:rFonts w:hint="cs"/>
          <w:rtl/>
        </w:rPr>
      </w:pPr>
      <w:r>
        <w:rPr>
          <w:rFonts w:eastAsia="Times New Roman" w:cs="David" w:hint="cs"/>
          <w:rtl/>
          <w:lang w:eastAsia="he-IL"/>
        </w:rPr>
        <w:t> </w:t>
      </w:r>
    </w:p>
    <w:p w:rsidR="00000000" w:rsidRDefault="00AA5619">
      <w:pPr>
        <w:bidi/>
        <w:spacing w:before="120" w:line="360" w:lineRule="auto"/>
        <w:jc w:val="both"/>
        <w:rPr>
          <w:rFonts w:hint="cs"/>
          <w:rtl/>
        </w:rPr>
      </w:pPr>
      <w:r>
        <w:rPr>
          <w:rFonts w:eastAsia="Times New Roman" w:cs="David" w:hint="cs"/>
          <w:rtl/>
          <w:lang w:eastAsia="he-IL"/>
        </w:rPr>
        <w:t> </w:t>
      </w:r>
    </w:p>
    <w:p w:rsidR="00000000" w:rsidRDefault="00AA5619">
      <w:pPr>
        <w:bidi/>
        <w:spacing w:before="120" w:line="360" w:lineRule="auto"/>
        <w:jc w:val="both"/>
        <w:rPr>
          <w:rFonts w:hint="cs"/>
          <w:rtl/>
        </w:rPr>
      </w:pPr>
      <w:r>
        <w:rPr>
          <w:rFonts w:eastAsia="Times New Roman" w:cs="David" w:hint="cs"/>
          <w:rtl/>
          <w:lang w:eastAsia="he-IL"/>
        </w:rPr>
        <w:t> </w:t>
      </w:r>
    </w:p>
    <w:p w:rsidR="00000000" w:rsidRDefault="00AA5619">
      <w:pPr>
        <w:bidi/>
        <w:spacing w:before="120" w:line="360" w:lineRule="auto"/>
        <w:jc w:val="both"/>
        <w:rPr>
          <w:rFonts w:hint="cs"/>
          <w:rtl/>
        </w:rPr>
      </w:pPr>
      <w:r>
        <w:rPr>
          <w:rFonts w:eastAsia="Times New Roman" w:cs="David" w:hint="cs"/>
          <w:rtl/>
          <w:lang w:eastAsia="he-IL"/>
        </w:rPr>
        <w:t> </w:t>
      </w:r>
    </w:p>
    <w:p w:rsidR="00000000" w:rsidRDefault="00AA5619">
      <w:pPr>
        <w:bidi/>
        <w:spacing w:before="120" w:line="360" w:lineRule="auto"/>
        <w:jc w:val="both"/>
        <w:rPr>
          <w:rFonts w:hint="cs"/>
          <w:rtl/>
        </w:rPr>
      </w:pPr>
      <w:r>
        <w:rPr>
          <w:rFonts w:eastAsia="Times New Roman" w:cs="David" w:hint="cs"/>
          <w:rtl/>
          <w:lang w:eastAsia="he-IL"/>
        </w:rPr>
        <w:t> </w:t>
      </w:r>
    </w:p>
    <w:p w:rsidR="00000000" w:rsidRDefault="00AA5619">
      <w:pPr>
        <w:bidi/>
        <w:spacing w:before="120" w:line="360" w:lineRule="auto"/>
        <w:jc w:val="both"/>
        <w:rPr>
          <w:rFonts w:hint="cs"/>
          <w:rtl/>
        </w:rPr>
      </w:pPr>
      <w:r>
        <w:rPr>
          <w:rFonts w:eastAsia="Times New Roman" w:cs="David" w:hint="cs"/>
          <w:rtl/>
          <w:lang w:eastAsia="he-IL"/>
        </w:rPr>
        <w:t> </w:t>
      </w:r>
    </w:p>
    <w:p w:rsidR="00000000" w:rsidRDefault="00AA5619">
      <w:pPr>
        <w:bidi/>
        <w:spacing w:before="120" w:line="360" w:lineRule="auto"/>
        <w:jc w:val="both"/>
        <w:rPr>
          <w:rFonts w:hint="cs"/>
          <w:rtl/>
        </w:rPr>
      </w:pPr>
      <w:r>
        <w:rPr>
          <w:rFonts w:eastAsia="Times New Roman" w:cs="David" w:hint="cs"/>
          <w:rtl/>
          <w:lang w:eastAsia="he-IL"/>
        </w:rPr>
        <w:t> </w:t>
      </w:r>
    </w:p>
    <w:p w:rsidR="00000000" w:rsidRDefault="00AA5619">
      <w:pPr>
        <w:bidi/>
        <w:spacing w:before="120" w:line="360" w:lineRule="auto"/>
        <w:jc w:val="both"/>
        <w:rPr>
          <w:rFonts w:hint="cs"/>
          <w:rtl/>
        </w:rPr>
      </w:pPr>
      <w:r>
        <w:rPr>
          <w:rFonts w:eastAsia="Times New Roman" w:cs="David" w:hint="cs"/>
          <w:rtl/>
          <w:lang w:eastAsia="he-IL"/>
        </w:rPr>
        <w:t> </w:t>
      </w:r>
    </w:p>
    <w:p w:rsidR="00000000" w:rsidRDefault="00AA5619">
      <w:pPr>
        <w:bidi/>
        <w:spacing w:before="120" w:line="360" w:lineRule="auto"/>
        <w:jc w:val="both"/>
        <w:rPr>
          <w:rFonts w:hint="cs"/>
          <w:rtl/>
        </w:rPr>
      </w:pPr>
      <w:r>
        <w:rPr>
          <w:rFonts w:eastAsia="Times New Roman" w:cs="David" w:hint="cs"/>
          <w:rtl/>
          <w:lang w:eastAsia="he-IL"/>
        </w:rPr>
        <w:t> </w:t>
      </w:r>
    </w:p>
    <w:p w:rsidR="00000000" w:rsidRDefault="00AA5619">
      <w:pPr>
        <w:bidi/>
        <w:spacing w:before="120" w:line="360" w:lineRule="auto"/>
        <w:jc w:val="both"/>
        <w:rPr>
          <w:rFonts w:hint="cs"/>
          <w:rtl/>
        </w:rPr>
      </w:pPr>
      <w:r>
        <w:rPr>
          <w:rFonts w:eastAsia="Times New Roman" w:cs="David" w:hint="cs"/>
          <w:rtl/>
          <w:lang w:eastAsia="he-IL"/>
        </w:rPr>
        <w:t> </w:t>
      </w:r>
    </w:p>
    <w:p w:rsidR="00000000" w:rsidRDefault="00AA5619">
      <w:pPr>
        <w:bidi/>
        <w:spacing w:before="120" w:line="360" w:lineRule="auto"/>
        <w:ind w:left="360" w:hanging="360"/>
        <w:jc w:val="both"/>
        <w:rPr>
          <w:rFonts w:hint="cs"/>
          <w:rtl/>
        </w:rPr>
      </w:pPr>
      <w:r>
        <w:rPr>
          <w:rStyle w:val="Strong"/>
          <w:rFonts w:eastAsia="Times New Roman"/>
          <w:sz w:val="28"/>
          <w:szCs w:val="28"/>
          <w:rtl/>
          <w:lang w:eastAsia="he-IL"/>
        </w:rPr>
        <w:t>6.</w:t>
      </w:r>
      <w:r>
        <w:rPr>
          <w:rStyle w:val="Strong"/>
          <w:rFonts w:eastAsia="Times New Roman"/>
          <w:sz w:val="14"/>
          <w:szCs w:val="14"/>
          <w:rtl/>
          <w:lang w:eastAsia="he-IL"/>
        </w:rPr>
        <w:t xml:space="preserve">      </w:t>
      </w:r>
      <w:r>
        <w:rPr>
          <w:rStyle w:val="Strong"/>
          <w:rFonts w:eastAsia="Times New Roman" w:cs="David" w:hint="cs"/>
          <w:sz w:val="28"/>
          <w:szCs w:val="28"/>
          <w:rtl/>
          <w:lang w:eastAsia="he-IL"/>
        </w:rPr>
        <w:t>סוף דבר</w:t>
      </w:r>
    </w:p>
    <w:p w:rsidR="00000000" w:rsidRDefault="00AA5619">
      <w:pPr>
        <w:bidi/>
        <w:spacing w:before="120" w:line="360" w:lineRule="auto"/>
        <w:jc w:val="both"/>
        <w:rPr>
          <w:rFonts w:hint="cs"/>
          <w:rtl/>
        </w:rPr>
      </w:pPr>
      <w:r>
        <w:rPr>
          <w:rFonts w:eastAsia="Times New Roman" w:cs="David" w:hint="cs"/>
          <w:color w:val="000000"/>
          <w:sz w:val="22"/>
          <w:rtl/>
          <w:lang w:eastAsia="he-IL"/>
        </w:rPr>
        <w:t>לאחר שנועצתי בוועדה לפטורים ומיזוגים, ראיתי לנכון להשתמש בסמכות הנתונה לי בסעיף 14 לחוק ולהעניק את הפטור המבוקש ביחס לנושאים שפורטו לעיל, בכפוף לתנאים האמורים בגוף החלטתי זו.</w:t>
      </w:r>
    </w:p>
    <w:p w:rsidR="00000000" w:rsidRDefault="00AA5619">
      <w:pPr>
        <w:bidi/>
        <w:spacing w:before="120" w:line="360" w:lineRule="auto"/>
        <w:jc w:val="both"/>
        <w:rPr>
          <w:rFonts w:hint="cs"/>
          <w:rtl/>
        </w:rPr>
      </w:pPr>
      <w:r>
        <w:rPr>
          <w:rFonts w:eastAsia="Times New Roman" w:cs="David" w:hint="cs"/>
          <w:color w:val="000000"/>
          <w:sz w:val="22"/>
          <w:rtl/>
          <w:lang w:eastAsia="he-IL"/>
        </w:rPr>
        <w:t>בהתאם לסעיף 15(א) לחוק נתונה החלטתי זו לערר בפני אב בית הדין להגבלים עסקיים על יד</w:t>
      </w:r>
      <w:r>
        <w:rPr>
          <w:rFonts w:eastAsia="Times New Roman" w:cs="David" w:hint="cs"/>
          <w:color w:val="000000"/>
          <w:sz w:val="22"/>
          <w:rtl/>
          <w:lang w:eastAsia="he-IL"/>
        </w:rPr>
        <w:t>י איגוד עסקי, ארגון צרכנים או כל אדם העלול להיפגע מההסדר הכובל עליו ניתן הפטור.</w:t>
      </w:r>
    </w:p>
    <w:p w:rsidR="00000000" w:rsidRDefault="00AA5619">
      <w:pPr>
        <w:bidi/>
        <w:spacing w:before="120" w:line="360" w:lineRule="auto"/>
        <w:jc w:val="both"/>
        <w:rPr>
          <w:rFonts w:hint="cs"/>
          <w:rtl/>
        </w:rPr>
      </w:pPr>
      <w:r>
        <w:rPr>
          <w:rFonts w:eastAsia="Times New Roman" w:cs="David" w:hint="cs"/>
          <w:color w:val="000000"/>
          <w:sz w:val="22"/>
          <w:rtl/>
          <w:lang w:eastAsia="he-IL"/>
        </w:rPr>
        <w:t> </w:t>
      </w:r>
    </w:p>
    <w:p w:rsidR="00000000" w:rsidRDefault="00AA5619">
      <w:pPr>
        <w:tabs>
          <w:tab w:val="left" w:pos="720"/>
          <w:tab w:val="center" w:pos="4153"/>
          <w:tab w:val="right" w:pos="8306"/>
        </w:tabs>
        <w:bidi/>
        <w:spacing w:before="240" w:line="360" w:lineRule="auto"/>
        <w:ind w:left="290" w:hanging="360"/>
        <w:jc w:val="both"/>
        <w:rPr>
          <w:rFonts w:hint="cs"/>
          <w:rtl/>
        </w:rPr>
      </w:pPr>
      <w:r>
        <w:rPr>
          <w:rFonts w:eastAsia="Times New Roman" w:cs="David" w:hint="cs"/>
          <w:sz w:val="22"/>
          <w:rtl/>
          <w:lang w:eastAsia="he-IL"/>
        </w:rPr>
        <w:t xml:space="preserve">                                                                                       פרופ' דיויד גילה </w:t>
      </w:r>
    </w:p>
    <w:p w:rsidR="00000000" w:rsidRDefault="00AA5619">
      <w:pPr>
        <w:tabs>
          <w:tab w:val="left" w:pos="720"/>
          <w:tab w:val="center" w:pos="4153"/>
          <w:tab w:val="right" w:pos="8306"/>
        </w:tabs>
        <w:bidi/>
        <w:spacing w:before="120" w:line="360" w:lineRule="auto"/>
        <w:ind w:left="4532"/>
        <w:jc w:val="both"/>
        <w:rPr>
          <w:rFonts w:hint="cs"/>
          <w:rtl/>
        </w:rPr>
      </w:pPr>
      <w:r>
        <w:rPr>
          <w:rFonts w:eastAsia="Times New Roman" w:cs="David" w:hint="cs"/>
          <w:sz w:val="22"/>
          <w:rtl/>
          <w:lang w:eastAsia="he-IL"/>
        </w:rPr>
        <w:t xml:space="preserve"> הממונה על הגבלים עסקיים </w:t>
      </w:r>
    </w:p>
    <w:p w:rsidR="00000000" w:rsidRDefault="00AA5619">
      <w:pPr>
        <w:bidi/>
        <w:spacing w:before="120" w:line="360" w:lineRule="auto"/>
        <w:ind w:left="26"/>
        <w:jc w:val="both"/>
        <w:rPr>
          <w:rFonts w:hint="cs"/>
          <w:rtl/>
        </w:rPr>
      </w:pPr>
      <w:r>
        <w:rPr>
          <w:rFonts w:eastAsia="Times New Roman" w:cs="David" w:hint="cs"/>
          <w:color w:val="000000"/>
          <w:sz w:val="22"/>
          <w:rtl/>
          <w:lang w:eastAsia="he-IL"/>
        </w:rPr>
        <w:t>ירושלים,‏ ב' אלול, תשע"ב</w:t>
      </w:r>
    </w:p>
    <w:p w:rsidR="00000000" w:rsidRDefault="00AA5619">
      <w:pPr>
        <w:bidi/>
        <w:spacing w:before="100" w:beforeAutospacing="1" w:after="100" w:afterAutospacing="1"/>
        <w:jc w:val="both"/>
        <w:rPr>
          <w:rFonts w:hint="cs"/>
          <w:rtl/>
        </w:rPr>
      </w:pPr>
      <w:r>
        <w:rPr>
          <w:rFonts w:eastAsia="Times New Roman" w:cs="David" w:hint="cs"/>
          <w:color w:val="000000"/>
          <w:sz w:val="22"/>
          <w:highlight w:val="yellow"/>
          <w:rtl/>
          <w:lang w:eastAsia="he-IL"/>
        </w:rPr>
        <w:t>‏</w:t>
      </w:r>
      <w:r>
        <w:rPr>
          <w:rFonts w:eastAsia="Times New Roman" w:cs="David" w:hint="cs"/>
          <w:color w:val="000000"/>
          <w:sz w:val="22"/>
          <w:rtl/>
          <w:lang w:eastAsia="he-IL"/>
        </w:rPr>
        <w:t>20 אוגוסט 2012</w:t>
      </w:r>
    </w:p>
    <w:p w:rsidR="00000000" w:rsidRDefault="00AA5619">
      <w:pPr>
        <w:bidi/>
        <w:spacing w:before="120" w:line="360" w:lineRule="auto"/>
        <w:ind w:left="26"/>
        <w:jc w:val="both"/>
        <w:rPr>
          <w:rFonts w:hint="cs"/>
          <w:rtl/>
        </w:rPr>
      </w:pPr>
      <w:r>
        <w:rPr>
          <w:rFonts w:ascii="Calibri" w:hAnsi="Calibri" w:cs="Arial"/>
          <w:rtl/>
        </w:rPr>
        <w:t> </w:t>
      </w:r>
    </w:p>
    <w:p w:rsidR="00000000" w:rsidRDefault="00AA5619">
      <w:pPr>
        <w:bidi/>
        <w:divId w:val="428695833"/>
        <w:rPr>
          <w:rFonts w:eastAsia="Times New Roman" w:hint="cs"/>
          <w:rtl/>
        </w:rPr>
      </w:pPr>
      <w:r>
        <w:rPr>
          <w:rFonts w:eastAsia="Times New Roman" w:hint="cs"/>
          <w:rtl/>
        </w:rPr>
        <w:br w:type="textWrapping" w:clear="all"/>
      </w:r>
    </w:p>
    <w:p w:rsidR="00000000" w:rsidRDefault="00AA5619">
      <w:pPr>
        <w:bidi/>
        <w:divId w:val="428695833"/>
        <w:rPr>
          <w:rFonts w:eastAsia="Times New Roman" w:hint="cs"/>
          <w:rtl/>
        </w:rPr>
      </w:pPr>
      <w:r>
        <w:rPr>
          <w:rFonts w:eastAsia="Times New Roman" w:hint="cs"/>
        </w:rPr>
        <w:pict>
          <v:rect id="_x0000_i1025" style="width:110.7pt;height:.6pt" o:hrpct="330" o:hralign="right" o:hrstd="t" o:hr="t" fillcolor="#a0a0a0" stroked="f"/>
        </w:pict>
      </w:r>
    </w:p>
    <w:p w:rsidR="00000000" w:rsidRDefault="00AA5619">
      <w:pPr>
        <w:pStyle w:val="Footer"/>
        <w:divId w:val="823738755"/>
        <w:rPr>
          <w:rFonts w:hint="cs"/>
          <w:szCs w:val="14"/>
          <w:rtl/>
        </w:rPr>
      </w:pPr>
    </w:p>
    <w:p w:rsidR="00000000" w:rsidRDefault="00AA5619">
      <w:pPr>
        <w:divId w:val="823738755"/>
        <w:rPr>
          <w:rFonts w:eastAsia="Times New Roman" w:hint="cs"/>
        </w:rPr>
      </w:pPr>
      <w:r>
        <w:rPr>
          <w:rFonts w:eastAsia="Times New Roman" w:hint="cs"/>
        </w:rPr>
        <w:t>\</w:t>
      </w:r>
    </w:p>
    <w:sectPr w:rsidR="00000000">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AA5619">
      <w:r>
        <w:separator/>
      </w:r>
    </w:p>
  </w:endnote>
  <w:endnote w:type="continuationSeparator" w:id="0">
    <w:p w:rsidR="00000000" w:rsidRDefault="00AA5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B1"/>
    <w:family w:val="swiss"/>
    <w:pitch w:val="variable"/>
    <w:sig w:usb0="00000801" w:usb1="00000000" w:usb2="00000000" w:usb3="00000000" w:csb0="0000002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AA5619">
      <w:r>
        <w:separator/>
      </w:r>
    </w:p>
  </w:footnote>
  <w:footnote w:type="continuationSeparator" w:id="0">
    <w:p w:rsidR="00000000" w:rsidRDefault="00AA5619">
      <w:r>
        <w:continuationSeparator/>
      </w:r>
    </w:p>
  </w:footnote>
  <w:footnote w:id="1">
    <w:p w:rsidR="00000000" w:rsidRDefault="00AA5619">
      <w:pPr>
        <w:pStyle w:val="FootnoteText"/>
        <w:bidi/>
        <w:rPr>
          <w:rFonts w:hint="cs"/>
          <w:rtl/>
        </w:rPr>
      </w:pPr>
      <w:r>
        <w:rPr>
          <w:rStyle w:val="FootnoteReference"/>
        </w:rPr>
        <w:footnoteRef/>
      </w:r>
      <w:r>
        <w:rPr>
          <w:rStyle w:val="FootnoteReference"/>
          <w:rFonts w:eastAsia="Times New Roman" w:cs="David"/>
          <w:sz w:val="20"/>
          <w:szCs w:val="20"/>
          <w:lang w:eastAsia="he-IL"/>
        </w:rPr>
        <w:t>[1]</w:t>
      </w:r>
      <w:r>
        <w:rPr>
          <w:rFonts w:cs="David" w:hint="cs"/>
          <w:rtl/>
        </w:rPr>
        <w:t xml:space="preserve"> חלק מהמפעלים המייצרים חשמל בתהליכי </w:t>
      </w:r>
      <w:r>
        <w:rPr>
          <w:rFonts w:cs="David" w:hint="cs"/>
          <w:rtl/>
        </w:rPr>
        <w:t>קוגנרציה לשימוש עצמי, מוכרים את עודפיהם לחברת חשמל ולצרכני חשמל אחרים. מפעלי קוגנרציה מצויים כיום בבית הזיקוק לנפט חיפה</w:t>
      </w:r>
      <w:r>
        <w:rPr>
          <w:rFonts w:hint="cs"/>
        </w:rPr>
        <w:t>;</w:t>
      </w:r>
      <w:r>
        <w:rPr>
          <w:rFonts w:cs="David" w:hint="cs"/>
          <w:rtl/>
        </w:rPr>
        <w:t xml:space="preserve"> מפעלי נייר חדרה</w:t>
      </w:r>
      <w:r>
        <w:rPr>
          <w:rFonts w:hint="cs"/>
        </w:rPr>
        <w:t>;</w:t>
      </w:r>
      <w:r>
        <w:rPr>
          <w:rFonts w:cs="David" w:hint="cs"/>
          <w:rtl/>
        </w:rPr>
        <w:t xml:space="preserve"> מפעלי ים המלח ועוד.</w:t>
      </w:r>
    </w:p>
  </w:footnote>
  <w:footnote w:id="2">
    <w:p w:rsidR="00000000" w:rsidRDefault="00AA5619">
      <w:pPr>
        <w:pStyle w:val="FootnoteText"/>
        <w:bidi/>
        <w:rPr>
          <w:rFonts w:hint="cs"/>
          <w:rtl/>
        </w:rPr>
      </w:pPr>
      <w:r>
        <w:rPr>
          <w:rStyle w:val="FootnoteReference"/>
        </w:rPr>
        <w:footnoteRef/>
      </w:r>
      <w:r>
        <w:rPr>
          <w:rStyle w:val="FootnoteReference"/>
          <w:rFonts w:eastAsia="Times New Roman" w:cs="David"/>
          <w:sz w:val="20"/>
          <w:szCs w:val="20"/>
          <w:lang w:eastAsia="he-IL"/>
        </w:rPr>
        <w:t>[2]</w:t>
      </w:r>
      <w:r>
        <w:rPr>
          <w:rFonts w:cs="David" w:hint="cs"/>
          <w:rtl/>
        </w:rPr>
        <w:t xml:space="preserve"> בימים אלה מקיים הממונה על הגבלים עסקיים שימוע להכרזה על שותפות תמר כמונופול באספקת גז טבעי.</w:t>
      </w:r>
    </w:p>
  </w:footnote>
  <w:footnote w:id="3">
    <w:p w:rsidR="00000000" w:rsidRDefault="00AA5619">
      <w:pPr>
        <w:pStyle w:val="FootnoteText"/>
        <w:bidi/>
        <w:rPr>
          <w:rFonts w:hint="cs"/>
          <w:rtl/>
        </w:rPr>
      </w:pPr>
      <w:r>
        <w:rPr>
          <w:rStyle w:val="FootnoteReference"/>
        </w:rPr>
        <w:footnoteRef/>
      </w:r>
      <w:r>
        <w:rPr>
          <w:rStyle w:val="FootnoteReference"/>
          <w:rFonts w:eastAsia="Times New Roman" w:cs="David"/>
          <w:sz w:val="20"/>
          <w:szCs w:val="20"/>
          <w:lang w:eastAsia="he-IL"/>
        </w:rPr>
        <w:t>[3]</w:t>
      </w:r>
      <w:r>
        <w:rPr>
          <w:rFonts w:cs="David" w:hint="cs"/>
          <w:rtl/>
        </w:rPr>
        <w:t xml:space="preserve"> ראה את החלטות הממונה בדבר מתן פטור מאישור הסדר כובל לפי סעיף 14 לחוק ההגבלים העסקיים, התשמ"ח-1988 להסדרים שבין שותפות תמר לבין - חברת החשמל לישראל בע"מ,</w:t>
      </w:r>
      <w:r>
        <w:rPr>
          <w:rStyle w:val="Strong"/>
          <w:rFonts w:hint="cs"/>
        </w:rPr>
        <w:t xml:space="preserve"> </w:t>
      </w:r>
      <w:r>
        <w:rPr>
          <w:rStyle w:val="Strong"/>
          <w:rFonts w:cs="David" w:hint="cs"/>
          <w:rtl/>
        </w:rPr>
        <w:t xml:space="preserve"> הגבלים עסקיים</w:t>
      </w:r>
      <w:r>
        <w:rPr>
          <w:rFonts w:cs="David" w:hint="cs"/>
          <w:rtl/>
        </w:rPr>
        <w:t xml:space="preserve"> 5001978; חברת דליה אנרגיות כח בע"מ, </w:t>
      </w:r>
      <w:r>
        <w:rPr>
          <w:rStyle w:val="Strong"/>
          <w:rFonts w:cs="David" w:hint="cs"/>
          <w:rtl/>
        </w:rPr>
        <w:t>הגבלים עסקיים</w:t>
      </w:r>
      <w:r>
        <w:rPr>
          <w:rFonts w:cs="David" w:hint="cs"/>
          <w:rtl/>
        </w:rPr>
        <w:t xml:space="preserve"> 5001976; ואשדוד אנרגיה בע"מ ורמת נ</w:t>
      </w:r>
      <w:r>
        <w:rPr>
          <w:rFonts w:cs="David" w:hint="cs"/>
          <w:rtl/>
        </w:rPr>
        <w:t xml:space="preserve">גב בע"מ מקבוצת אדלטק בע"מ, </w:t>
      </w:r>
      <w:r>
        <w:rPr>
          <w:rStyle w:val="Strong"/>
          <w:rFonts w:cs="David" w:hint="cs"/>
          <w:rtl/>
        </w:rPr>
        <w:t>הגבלים עסקיים</w:t>
      </w:r>
      <w:r>
        <w:rPr>
          <w:rFonts w:cs="David" w:hint="cs"/>
          <w:rtl/>
        </w:rPr>
        <w:t xml:space="preserve"> 5001977. </w:t>
      </w:r>
    </w:p>
  </w:footnote>
  <w:footnote w:id="4">
    <w:p w:rsidR="00000000" w:rsidRDefault="00AA5619">
      <w:pPr>
        <w:pStyle w:val="FootnoteText"/>
        <w:bidi/>
        <w:rPr>
          <w:rFonts w:hint="cs"/>
          <w:rtl/>
        </w:rPr>
      </w:pPr>
      <w:r>
        <w:rPr>
          <w:rStyle w:val="FootnoteReference"/>
        </w:rPr>
        <w:footnoteRef/>
      </w:r>
      <w:r>
        <w:rPr>
          <w:rStyle w:val="FootnoteReference"/>
          <w:rFonts w:eastAsia="Times New Roman" w:cs="David"/>
          <w:sz w:val="20"/>
          <w:szCs w:val="20"/>
          <w:lang w:eastAsia="he-IL"/>
        </w:rPr>
        <w:t>[4]</w:t>
      </w:r>
      <w:r>
        <w:rPr>
          <w:rFonts w:cs="David" w:hint="cs"/>
          <w:rtl/>
        </w:rPr>
        <w:t xml:space="preserve"> יצויין, כי קבוצות אמפל ומרחב שבשליטת יוסי מימן מחזיקה בכ-20% מהזכויות בחברת </w:t>
      </w:r>
      <w:r>
        <w:rPr>
          <w:rFonts w:hint="cs"/>
        </w:rPr>
        <w:t>EMG</w:t>
      </w:r>
      <w:r>
        <w:rPr>
          <w:rFonts w:cs="David" w:hint="cs"/>
          <w:rtl/>
        </w:rPr>
        <w:t>.</w:t>
      </w:r>
    </w:p>
  </w:footnote>
  <w:footnote w:id="5">
    <w:p w:rsidR="00000000" w:rsidRDefault="00AA5619">
      <w:pPr>
        <w:pStyle w:val="FootnoteText"/>
        <w:bidi/>
        <w:rPr>
          <w:rFonts w:hint="cs"/>
          <w:rtl/>
        </w:rPr>
      </w:pPr>
      <w:r>
        <w:rPr>
          <w:rStyle w:val="FootnoteReference"/>
        </w:rPr>
        <w:footnoteRef/>
      </w:r>
      <w:r>
        <w:rPr>
          <w:rStyle w:val="FootnoteReference"/>
          <w:rFonts w:eastAsia="Times New Roman" w:cs="David"/>
          <w:sz w:val="20"/>
          <w:szCs w:val="20"/>
          <w:lang w:eastAsia="he-IL"/>
        </w:rPr>
        <w:t>[5]</w:t>
      </w:r>
      <w:r>
        <w:rPr>
          <w:rFonts w:cs="David" w:hint="cs"/>
          <w:rtl/>
        </w:rPr>
        <w:t xml:space="preserve"> חלק ממאגרים אלה הוכרו כתגליות. להגדרות ולסוגי הזכויות המוענקים לגופים העוסקים בתחום הנפט והגז הטבעי והנוגעים לתחום</w:t>
      </w:r>
      <w:r>
        <w:rPr>
          <w:rFonts w:cs="David" w:hint="cs"/>
          <w:rtl/>
        </w:rPr>
        <w:t xml:space="preserve"> זה (היתרים מוקדמים, רישיונות וחזקות) וכן להרחבה בעניין אישור הממונה על ענייני הנפט לגבי הוכחת יכולת הפקה מסחרית, וכן לגבי חובות הקידוח, הפיתוח, ההפקה והשיווק החלות על הגופים העוסקים בתחום הנפט והגז- ראה את חוק הנפט, התשי"ב – 1952 (להלן: "</w:t>
      </w:r>
      <w:r>
        <w:rPr>
          <w:rStyle w:val="Strong"/>
          <w:rFonts w:cs="David" w:hint="cs"/>
          <w:rtl/>
        </w:rPr>
        <w:t>חוק הנפט</w:t>
      </w:r>
      <w:r>
        <w:rPr>
          <w:rFonts w:cs="David" w:hint="cs"/>
          <w:rtl/>
        </w:rPr>
        <w:t xml:space="preserve">"). </w:t>
      </w:r>
    </w:p>
  </w:footnote>
  <w:footnote w:id="6">
    <w:p w:rsidR="00000000" w:rsidRDefault="00AA5619">
      <w:pPr>
        <w:pStyle w:val="FootnoteText"/>
        <w:bidi/>
        <w:rPr>
          <w:rFonts w:hint="cs"/>
          <w:rtl/>
        </w:rPr>
      </w:pPr>
      <w:r>
        <w:rPr>
          <w:rStyle w:val="FootnoteReference"/>
        </w:rPr>
        <w:footnoteRef/>
      </w:r>
      <w:r>
        <w:rPr>
          <w:rStyle w:val="FootnoteReference"/>
          <w:rFonts w:eastAsia="Times New Roman" w:cs="David"/>
          <w:sz w:val="20"/>
          <w:szCs w:val="20"/>
          <w:lang w:eastAsia="he-IL"/>
        </w:rPr>
        <w:t>[6]</w:t>
      </w:r>
      <w:r>
        <w:rPr>
          <w:rFonts w:cs="David" w:hint="cs"/>
          <w:rtl/>
        </w:rPr>
        <w:t xml:space="preserve"> ביום 22.8.2006 ניתן לשותפות תמר פטור מאישור הסדר כובל לפי סעיף 14 לחוק ההגבלים העסקיים, התשמ"ח-1988  </w:t>
      </w:r>
      <w:r>
        <w:rPr>
          <w:rStyle w:val="Strong"/>
          <w:rFonts w:cs="David" w:hint="cs"/>
          <w:rtl/>
        </w:rPr>
        <w:t>הגבלים עסקיים</w:t>
      </w:r>
      <w:r>
        <w:rPr>
          <w:rFonts w:cs="David" w:hint="cs"/>
          <w:rtl/>
        </w:rPr>
        <w:t>, 5000445.</w:t>
      </w:r>
    </w:p>
  </w:footnote>
  <w:footnote w:id="7">
    <w:p w:rsidR="00000000" w:rsidRDefault="00AA5619">
      <w:pPr>
        <w:pStyle w:val="FootnoteText"/>
        <w:bidi/>
        <w:rPr>
          <w:rFonts w:hint="cs"/>
          <w:rtl/>
        </w:rPr>
      </w:pPr>
      <w:r>
        <w:rPr>
          <w:rStyle w:val="FootnoteReference"/>
        </w:rPr>
        <w:footnoteRef/>
      </w:r>
      <w:r>
        <w:rPr>
          <w:rStyle w:val="FootnoteReference"/>
          <w:rFonts w:eastAsia="Times New Roman" w:cs="David"/>
          <w:sz w:val="20"/>
          <w:szCs w:val="20"/>
          <w:lang w:eastAsia="he-IL"/>
        </w:rPr>
        <w:t>[7]</w:t>
      </w:r>
      <w:r>
        <w:rPr>
          <w:rFonts w:cs="David" w:hint="cs"/>
          <w:rtl/>
        </w:rPr>
        <w:t xml:space="preserve"> ראה ה"ש 5 </w:t>
      </w:r>
      <w:r>
        <w:rPr>
          <w:rStyle w:val="Strong"/>
          <w:rFonts w:cs="David" w:hint="cs"/>
          <w:rtl/>
        </w:rPr>
        <w:t>לעיל</w:t>
      </w:r>
      <w:r>
        <w:rPr>
          <w:rFonts w:cs="David" w:hint="cs"/>
          <w:rtl/>
        </w:rPr>
        <w:t>.</w:t>
      </w:r>
    </w:p>
  </w:footnote>
  <w:footnote w:id="8">
    <w:p w:rsidR="00000000" w:rsidRDefault="00AA5619">
      <w:pPr>
        <w:pStyle w:val="FootnoteText"/>
        <w:bidi/>
        <w:rPr>
          <w:rFonts w:hint="cs"/>
          <w:rtl/>
        </w:rPr>
      </w:pPr>
      <w:r>
        <w:rPr>
          <w:rStyle w:val="FootnoteReference"/>
        </w:rPr>
        <w:footnoteRef/>
      </w:r>
      <w:r>
        <w:rPr>
          <w:rStyle w:val="FootnoteReference"/>
          <w:rFonts w:eastAsia="Times New Roman" w:cs="David"/>
          <w:sz w:val="20"/>
          <w:szCs w:val="20"/>
          <w:lang w:eastAsia="he-IL"/>
        </w:rPr>
        <w:t>[8]</w:t>
      </w:r>
      <w:r>
        <w:rPr>
          <w:rFonts w:cs="David" w:hint="cs"/>
          <w:rtl/>
        </w:rPr>
        <w:t xml:space="preserve"> דוח מיידי של חברת כלל תעשיות והשקעות בע"מ מיום 03/06/2012 באתר רשות ניירות ערך (מגנא הפצה).</w:t>
      </w:r>
    </w:p>
  </w:footnote>
  <w:footnote w:id="9">
    <w:p w:rsidR="00000000" w:rsidRDefault="00AA5619">
      <w:pPr>
        <w:pStyle w:val="FootnoteText"/>
        <w:bidi/>
        <w:rPr>
          <w:rFonts w:hint="cs"/>
          <w:rtl/>
        </w:rPr>
      </w:pPr>
      <w:r>
        <w:rPr>
          <w:rStyle w:val="FootnoteReference"/>
        </w:rPr>
        <w:footnoteRef/>
      </w:r>
      <w:r>
        <w:rPr>
          <w:rStyle w:val="FootnoteReference"/>
          <w:rFonts w:eastAsia="Times New Roman" w:cs="David"/>
          <w:sz w:val="20"/>
          <w:szCs w:val="20"/>
          <w:lang w:eastAsia="he-IL"/>
        </w:rPr>
        <w:t>[9]</w:t>
      </w:r>
      <w:r>
        <w:rPr>
          <w:rFonts w:cs="David" w:hint="cs"/>
          <w:rtl/>
        </w:rPr>
        <w:t xml:space="preserve"> המונח  </w:t>
      </w:r>
      <w:r>
        <w:rPr>
          <w:rFonts w:hint="cs"/>
        </w:rPr>
        <w:t>BCM</w:t>
      </w:r>
      <w:r>
        <w:rPr>
          <w:rFonts w:cs="David" w:hint="cs"/>
          <w:rtl/>
        </w:rPr>
        <w:t xml:space="preserve"> מבטא יחידת מידה של גז טבעי– </w:t>
      </w:r>
      <w:r>
        <w:rPr>
          <w:rFonts w:hint="cs"/>
        </w:rPr>
        <w:t>Billion Cubic Meters</w:t>
      </w:r>
      <w:r>
        <w:rPr>
          <w:rFonts w:cs="David" w:hint="cs"/>
          <w:rtl/>
        </w:rPr>
        <w:t xml:space="preserve"> (מיליארד מטר מעוקב).</w:t>
      </w:r>
    </w:p>
  </w:footnote>
  <w:footnote w:id="10">
    <w:p w:rsidR="00000000" w:rsidRDefault="00AA5619">
      <w:pPr>
        <w:pStyle w:val="FootnoteText"/>
        <w:bidi/>
        <w:rPr>
          <w:rFonts w:hint="cs"/>
          <w:rtl/>
        </w:rPr>
      </w:pPr>
      <w:r>
        <w:rPr>
          <w:rStyle w:val="FootnoteReference"/>
        </w:rPr>
        <w:footnoteRef/>
      </w:r>
      <w:r>
        <w:rPr>
          <w:rStyle w:val="FootnoteReference"/>
          <w:rFonts w:eastAsia="Times New Roman" w:cs="David"/>
          <w:sz w:val="20"/>
          <w:szCs w:val="20"/>
          <w:lang w:eastAsia="he-IL"/>
        </w:rPr>
        <w:t>[10]</w:t>
      </w:r>
      <w:r>
        <w:rPr>
          <w:rFonts w:cs="David" w:hint="cs"/>
          <w:rtl/>
        </w:rPr>
        <w:t xml:space="preserve"> בעניין זה ראה את גילוי הדעת 1/11 בעניין הנחיות לניתוח תחרותי של מיזוגים אופקיים 2009: </w:t>
      </w:r>
      <w:r>
        <w:rPr>
          <w:rStyle w:val="Strong"/>
          <w:rFonts w:cs="David" w:hint="cs"/>
          <w:rtl/>
        </w:rPr>
        <w:t>הגבלים עסקיים</w:t>
      </w:r>
      <w:r>
        <w:rPr>
          <w:rFonts w:cs="David" w:hint="cs"/>
          <w:rtl/>
        </w:rPr>
        <w:t xml:space="preserve"> </w:t>
      </w:r>
      <w:r>
        <w:rPr>
          <w:rFonts w:hint="cs"/>
        </w:rPr>
        <w:t>5001543</w:t>
      </w:r>
      <w:r>
        <w:rPr>
          <w:rFonts w:cs="David" w:hint="cs"/>
          <w:rtl/>
        </w:rPr>
        <w:t xml:space="preserve">. </w:t>
      </w:r>
    </w:p>
  </w:footnote>
  <w:footnote w:id="11">
    <w:p w:rsidR="00000000" w:rsidRDefault="00AA5619">
      <w:pPr>
        <w:pStyle w:val="FootnoteText"/>
        <w:bidi/>
        <w:rPr>
          <w:rFonts w:hint="cs"/>
          <w:rtl/>
        </w:rPr>
      </w:pPr>
      <w:r>
        <w:rPr>
          <w:rStyle w:val="FootnoteReference"/>
        </w:rPr>
        <w:footnoteRef/>
      </w:r>
      <w:r>
        <w:rPr>
          <w:rStyle w:val="FootnoteReference"/>
          <w:rFonts w:eastAsia="Times New Roman" w:cs="David"/>
          <w:sz w:val="20"/>
          <w:szCs w:val="20"/>
          <w:lang w:eastAsia="he-IL"/>
        </w:rPr>
        <w:t>[11]</w:t>
      </w:r>
      <w:r>
        <w:rPr>
          <w:rFonts w:cs="David" w:hint="cs"/>
          <w:rtl/>
        </w:rPr>
        <w:t xml:space="preserve"> ראה ה"ש 3 </w:t>
      </w:r>
      <w:r>
        <w:rPr>
          <w:rStyle w:val="Strong"/>
          <w:rFonts w:cs="David" w:hint="cs"/>
          <w:rtl/>
        </w:rPr>
        <w:t>לעיל</w:t>
      </w:r>
      <w:r>
        <w:rPr>
          <w:rFonts w:cs="David" w:hint="cs"/>
          <w:rtl/>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B470FF"/>
    <w:multiLevelType w:val="multilevel"/>
    <w:tmpl w:val="49C6AA6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6E800BD"/>
    <w:multiLevelType w:val="multilevel"/>
    <w:tmpl w:val="11AC7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AA5619"/>
    <w:rsid w:val="00AA56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1350CC8-2E5A-4059-A158-841E13421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spacing w:before="100" w:beforeAutospacing="1" w:after="100" w:afterAutospacing="1"/>
    </w:pPr>
  </w:style>
  <w:style w:type="paragraph" w:styleId="Header">
    <w:name w:val="header"/>
    <w:basedOn w:val="Normal"/>
    <w:link w:val="HeaderChar"/>
    <w:uiPriority w:val="99"/>
    <w:semiHidden/>
    <w:unhideWhenUsed/>
    <w:pPr>
      <w:spacing w:before="100" w:beforeAutospacing="1" w:after="100" w:afterAutospacing="1"/>
    </w:pPr>
  </w:style>
  <w:style w:type="character" w:customStyle="1" w:styleId="HeaderChar">
    <w:name w:val="Header Char"/>
    <w:basedOn w:val="DefaultParagraphFont"/>
    <w:link w:val="Header"/>
    <w:uiPriority w:val="99"/>
    <w:semiHidden/>
    <w:rPr>
      <w:rFonts w:eastAsiaTheme="minorEastAsia"/>
      <w:sz w:val="24"/>
      <w:szCs w:val="24"/>
    </w:rPr>
  </w:style>
  <w:style w:type="character" w:styleId="Strong">
    <w:name w:val="Strong"/>
    <w:basedOn w:val="DefaultParagraphFont"/>
    <w:uiPriority w:val="22"/>
    <w:qFormat/>
    <w:rPr>
      <w:b/>
      <w:bCs/>
    </w:rPr>
  </w:style>
  <w:style w:type="paragraph" w:styleId="FootnoteText">
    <w:name w:val="footnote text"/>
    <w:basedOn w:val="Normal"/>
    <w:link w:val="FootnoteTextChar"/>
    <w:uiPriority w:val="99"/>
    <w:semiHidden/>
    <w:unhideWhenUsed/>
    <w:pPr>
      <w:spacing w:before="100" w:beforeAutospacing="1" w:after="100" w:afterAutospacing="1"/>
    </w:pPr>
  </w:style>
  <w:style w:type="character" w:customStyle="1" w:styleId="FootnoteTextChar">
    <w:name w:val="Footnote Text Char"/>
    <w:basedOn w:val="DefaultParagraphFont"/>
    <w:link w:val="FootnoteText"/>
    <w:uiPriority w:val="99"/>
    <w:semiHidden/>
    <w:rPr>
      <w:rFonts w:eastAsiaTheme="minorEastAsia"/>
    </w:rPr>
  </w:style>
  <w:style w:type="character" w:styleId="FootnoteReference">
    <w:name w:val="footnote reference"/>
    <w:basedOn w:val="DefaultParagraphFont"/>
    <w:uiPriority w:val="99"/>
    <w:semiHidden/>
    <w:unhideWhenUsed/>
  </w:style>
  <w:style w:type="paragraph" w:styleId="Footer">
    <w:name w:val="footer"/>
    <w:basedOn w:val="Normal"/>
    <w:link w:val="FooterChar"/>
    <w:uiPriority w:val="99"/>
    <w:semiHidden/>
    <w:unhideWhenUsed/>
    <w:pPr>
      <w:spacing w:before="100" w:beforeAutospacing="1" w:after="100" w:afterAutospacing="1"/>
    </w:pPr>
  </w:style>
  <w:style w:type="character" w:customStyle="1" w:styleId="FooterChar">
    <w:name w:val="Footer Char"/>
    <w:basedOn w:val="DefaultParagraphFont"/>
    <w:link w:val="Footer"/>
    <w:uiPriority w:val="99"/>
    <w:semiHidden/>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695833">
      <w:marLeft w:val="0"/>
      <w:marRight w:val="0"/>
      <w:marTop w:val="0"/>
      <w:marBottom w:val="0"/>
      <w:divBdr>
        <w:top w:val="none" w:sz="0" w:space="0" w:color="auto"/>
        <w:left w:val="none" w:sz="0" w:space="0" w:color="auto"/>
        <w:bottom w:val="none" w:sz="0" w:space="0" w:color="auto"/>
        <w:right w:val="none" w:sz="0" w:space="0" w:color="auto"/>
      </w:divBdr>
    </w:div>
    <w:div w:id="823738755">
      <w:marLeft w:val="0"/>
      <w:marRight w:val="0"/>
      <w:marTop w:val="0"/>
      <w:marBottom w:val="0"/>
      <w:divBdr>
        <w:top w:val="none" w:sz="0" w:space="0" w:color="auto"/>
        <w:left w:val="none" w:sz="0" w:space="0" w:color="auto"/>
        <w:bottom w:val="none" w:sz="0" w:space="0" w:color="auto"/>
        <w:right w:val="none" w:sz="0" w:space="0" w:color="auto"/>
      </w:divBdr>
    </w:div>
    <w:div w:id="1730568404">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2611</Words>
  <Characters>12642</Characters>
  <Application>Microsoft Office Word</Application>
  <DocSecurity>0</DocSecurity>
  <Lines>105</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Melita Shafir</dc:creator>
  <cp:keywords/>
  <dc:description/>
  <cp:lastModifiedBy>Melita Shafir</cp:lastModifiedBy>
  <cp:revision>2</cp:revision>
  <dcterms:created xsi:type="dcterms:W3CDTF">2019-08-07T08:58:00Z</dcterms:created>
  <dcterms:modified xsi:type="dcterms:W3CDTF">2019-08-07T08:58:00Z</dcterms:modified>
</cp:coreProperties>
</file>