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C9525A">
      <w:pPr>
        <w:pStyle w:val="Header"/>
        <w:jc w:val="right"/>
        <w:divId w:val="508450968"/>
      </w:pPr>
      <w:bookmarkStart w:id="0" w:name="_GoBack"/>
      <w:bookmarkEnd w:id="0"/>
    </w:p>
    <w:p w:rsidR="00000000" w:rsidRDefault="00C9525A">
      <w:pPr>
        <w:bidi/>
        <w:spacing w:before="120" w:line="360" w:lineRule="auto"/>
        <w:jc w:val="center"/>
        <w:outlineLvl w:val="0"/>
        <w:rPr>
          <w:rFonts w:hint="cs"/>
          <w:rtl/>
        </w:rPr>
      </w:pPr>
      <w:r>
        <w:rPr>
          <w:rStyle w:val="Strong"/>
          <w:rFonts w:eastAsia="Times New Roman" w:cs="David" w:hint="cs"/>
          <w:color w:val="000000"/>
          <w:sz w:val="30"/>
          <w:szCs w:val="28"/>
          <w:u w:val="single"/>
          <w:rtl/>
          <w:lang w:eastAsia="he-IL"/>
        </w:rPr>
        <w:t>החלטה בדבר מתן פטור בתנאים להסדר כובל</w:t>
      </w:r>
    </w:p>
    <w:p w:rsidR="00000000" w:rsidRDefault="00C9525A">
      <w:pPr>
        <w:bidi/>
        <w:spacing w:before="120" w:line="360" w:lineRule="auto"/>
        <w:jc w:val="center"/>
        <w:rPr>
          <w:rFonts w:hint="cs"/>
          <w:rtl/>
        </w:rPr>
      </w:pPr>
      <w:r>
        <w:rPr>
          <w:rStyle w:val="Strong"/>
          <w:rFonts w:eastAsia="Times New Roman" w:cs="David" w:hint="cs"/>
          <w:color w:val="000000"/>
          <w:sz w:val="30"/>
          <w:szCs w:val="28"/>
          <w:u w:val="single"/>
          <w:rtl/>
          <w:lang w:eastAsia="he-IL"/>
        </w:rPr>
        <w:t>בין השותפות במאגר הגז 'תמר' ובין דליה אנרגיות כח בע"מ</w:t>
      </w:r>
    </w:p>
    <w:p w:rsidR="00000000" w:rsidRDefault="00C9525A">
      <w:pPr>
        <w:bidi/>
        <w:ind w:left="26"/>
        <w:jc w:val="both"/>
        <w:rPr>
          <w:rFonts w:hint="cs"/>
          <w:rtl/>
        </w:rPr>
      </w:pPr>
      <w:r>
        <w:rPr>
          <w:rStyle w:val="Strong"/>
          <w:rFonts w:eastAsia="Times New Roman" w:cs="David" w:hint="cs"/>
          <w:color w:val="000000"/>
          <w:sz w:val="22"/>
          <w:rtl/>
          <w:lang w:eastAsia="he-IL"/>
        </w:rPr>
        <w:t> </w:t>
      </w:r>
    </w:p>
    <w:p w:rsidR="00000000" w:rsidRDefault="00C9525A">
      <w:pPr>
        <w:bidi/>
        <w:ind w:left="26"/>
        <w:jc w:val="both"/>
        <w:rPr>
          <w:rFonts w:hint="cs"/>
          <w:rtl/>
        </w:rPr>
      </w:pPr>
      <w:r>
        <w:rPr>
          <w:rStyle w:val="Strong"/>
          <w:rFonts w:eastAsia="Times New Roman" w:cs="David" w:hint="cs"/>
          <w:color w:val="000000"/>
          <w:sz w:val="28"/>
          <w:szCs w:val="28"/>
          <w:rtl/>
          <w:lang w:eastAsia="he-IL"/>
        </w:rPr>
        <w:t> </w:t>
      </w:r>
    </w:p>
    <w:p w:rsidR="00000000" w:rsidRDefault="00C9525A">
      <w:pPr>
        <w:bidi/>
        <w:spacing w:before="120" w:line="360" w:lineRule="auto"/>
        <w:ind w:left="360" w:hanging="360"/>
        <w:jc w:val="both"/>
        <w:rPr>
          <w:rFonts w:hint="cs"/>
          <w:rtl/>
        </w:rPr>
      </w:pPr>
      <w:r>
        <w:rPr>
          <w:rStyle w:val="Strong"/>
          <w:rFonts w:eastAsia="Times New Roman"/>
          <w:color w:val="000000"/>
          <w:sz w:val="28"/>
          <w:szCs w:val="28"/>
          <w:rtl/>
          <w:lang w:eastAsia="he-IL"/>
        </w:rPr>
        <w:t>1.</w:t>
      </w:r>
      <w:r>
        <w:rPr>
          <w:rStyle w:val="Strong"/>
          <w:rFonts w:eastAsia="Times New Roman"/>
          <w:color w:val="000000"/>
          <w:sz w:val="14"/>
          <w:szCs w:val="14"/>
          <w:rtl/>
          <w:lang w:eastAsia="he-IL"/>
        </w:rPr>
        <w:t xml:space="preserve">      </w:t>
      </w:r>
      <w:r>
        <w:rPr>
          <w:rStyle w:val="Strong"/>
          <w:rFonts w:eastAsia="Times New Roman" w:cs="David" w:hint="cs"/>
          <w:color w:val="000000"/>
          <w:sz w:val="28"/>
          <w:szCs w:val="28"/>
          <w:rtl/>
          <w:lang w:eastAsia="he-IL"/>
        </w:rPr>
        <w:t>פתח דבר</w:t>
      </w:r>
    </w:p>
    <w:p w:rsidR="00000000" w:rsidRDefault="00C9525A">
      <w:pPr>
        <w:pStyle w:val="FootnoteText"/>
        <w:bidi/>
        <w:rPr>
          <w:rFonts w:hint="cs"/>
          <w:rtl/>
        </w:rPr>
      </w:pPr>
      <w:r>
        <w:rPr>
          <w:rFonts w:cs="David" w:hint="cs"/>
          <w:color w:val="000000"/>
          <w:sz w:val="20"/>
          <w:rtl/>
        </w:rPr>
        <w:t xml:space="preserve">לפני בקשה למתן פטור לפי סעיף 14 לחוק ההגבלים העסקיים, התשמ"ח-1988 (להלן </w:t>
      </w:r>
      <w:r>
        <w:rPr>
          <w:rFonts w:cs="David" w:hint="cs"/>
          <w:color w:val="000000"/>
          <w:sz w:val="20"/>
          <w:rtl/>
        </w:rPr>
        <w:t xml:space="preserve">– </w:t>
      </w:r>
      <w:r>
        <w:rPr>
          <w:rStyle w:val="Strong"/>
          <w:rFonts w:cs="David" w:hint="cs"/>
          <w:color w:val="000000"/>
          <w:sz w:val="20"/>
          <w:rtl/>
        </w:rPr>
        <w:t>"החוק"</w:t>
      </w:r>
      <w:r>
        <w:rPr>
          <w:rFonts w:cs="David" w:hint="cs"/>
          <w:color w:val="000000"/>
          <w:sz w:val="20"/>
          <w:rtl/>
        </w:rPr>
        <w:t>), להסכם בין דליה אנרגיות כח בע"מ (להלן: "</w:t>
      </w:r>
      <w:r>
        <w:rPr>
          <w:rStyle w:val="Strong"/>
          <w:rFonts w:cs="David" w:hint="cs"/>
          <w:color w:val="000000"/>
          <w:sz w:val="20"/>
          <w:rtl/>
        </w:rPr>
        <w:t>דליה</w:t>
      </w:r>
      <w:r>
        <w:rPr>
          <w:rFonts w:cs="David" w:hint="cs"/>
          <w:color w:val="000000"/>
          <w:sz w:val="20"/>
          <w:rtl/>
        </w:rPr>
        <w:t>") מצד אחד, ובין השותפות בחזקת תמר: דלק קידוחים - שותפות מוגבלת ("</w:t>
      </w:r>
      <w:r>
        <w:rPr>
          <w:rStyle w:val="Strong"/>
          <w:rFonts w:cs="David" w:hint="cs"/>
          <w:color w:val="000000"/>
          <w:sz w:val="20"/>
          <w:rtl/>
        </w:rPr>
        <w:t>דלק קידוחים</w:t>
      </w:r>
      <w:r>
        <w:rPr>
          <w:rFonts w:cs="David" w:hint="cs"/>
          <w:color w:val="000000"/>
          <w:sz w:val="20"/>
          <w:rtl/>
        </w:rPr>
        <w:t>"), אבנר חיפושי גז ונפט - שותפות מוגבלת (להלן: "</w:t>
      </w:r>
      <w:r>
        <w:rPr>
          <w:rStyle w:val="Strong"/>
          <w:rFonts w:cs="David" w:hint="cs"/>
          <w:color w:val="000000"/>
          <w:sz w:val="20"/>
          <w:rtl/>
        </w:rPr>
        <w:t>אבנר</w:t>
      </w:r>
      <w:r>
        <w:rPr>
          <w:rFonts w:cs="David" w:hint="cs"/>
          <w:color w:val="000000"/>
          <w:sz w:val="20"/>
          <w:rtl/>
        </w:rPr>
        <w:t>"), ישראמקו נגב 2 – שותפות מוגבלת (להלן: "</w:t>
      </w:r>
      <w:r>
        <w:rPr>
          <w:rStyle w:val="Strong"/>
          <w:rFonts w:cs="David" w:hint="cs"/>
          <w:color w:val="000000"/>
          <w:sz w:val="20"/>
          <w:rtl/>
        </w:rPr>
        <w:t>ישראמקו</w:t>
      </w:r>
      <w:r>
        <w:rPr>
          <w:rFonts w:cs="David" w:hint="cs"/>
          <w:color w:val="000000"/>
          <w:sz w:val="20"/>
          <w:rtl/>
        </w:rPr>
        <w:t>"), דור חיפושי גז – שותפ</w:t>
      </w:r>
      <w:r>
        <w:rPr>
          <w:rFonts w:cs="David" w:hint="cs"/>
          <w:color w:val="000000"/>
          <w:sz w:val="20"/>
          <w:rtl/>
        </w:rPr>
        <w:t>ות מוגבלת (להלן: "</w:t>
      </w:r>
      <w:r>
        <w:rPr>
          <w:rStyle w:val="Strong"/>
          <w:rFonts w:cs="David" w:hint="cs"/>
          <w:color w:val="000000"/>
          <w:sz w:val="20"/>
          <w:rtl/>
        </w:rPr>
        <w:t>דור</w:t>
      </w:r>
      <w:r>
        <w:rPr>
          <w:rFonts w:cs="David" w:hint="cs"/>
          <w:color w:val="000000"/>
          <w:sz w:val="20"/>
          <w:rtl/>
        </w:rPr>
        <w:t xml:space="preserve">") וחברת </w:t>
      </w:r>
      <w:r>
        <w:rPr>
          <w:rFonts w:hint="cs"/>
          <w:color w:val="000000"/>
        </w:rPr>
        <w:t>Noble Energy Mediterranean LTD.</w:t>
      </w:r>
      <w:r>
        <w:rPr>
          <w:rFonts w:cs="David" w:hint="cs"/>
          <w:color w:val="000000"/>
          <w:sz w:val="20"/>
          <w:rtl/>
        </w:rPr>
        <w:t xml:space="preserve"> (להלן: "</w:t>
      </w:r>
      <w:r>
        <w:rPr>
          <w:rStyle w:val="Strong"/>
          <w:rFonts w:cs="David" w:hint="cs"/>
          <w:color w:val="000000"/>
          <w:sz w:val="20"/>
          <w:rtl/>
        </w:rPr>
        <w:t>נובל</w:t>
      </w:r>
      <w:r>
        <w:rPr>
          <w:rFonts w:cs="David" w:hint="cs"/>
          <w:color w:val="000000"/>
          <w:sz w:val="20"/>
          <w:rtl/>
        </w:rPr>
        <w:t>") אשר ייקראו להלן יחד "</w:t>
      </w:r>
      <w:r>
        <w:rPr>
          <w:rStyle w:val="Strong"/>
          <w:rFonts w:cs="David" w:hint="cs"/>
          <w:color w:val="000000"/>
          <w:sz w:val="20"/>
          <w:rtl/>
        </w:rPr>
        <w:t>שותפות תמר</w:t>
      </w:r>
      <w:r>
        <w:rPr>
          <w:rFonts w:cs="David" w:hint="cs"/>
          <w:color w:val="000000"/>
          <w:sz w:val="20"/>
          <w:rtl/>
        </w:rPr>
        <w:t>" מצד שני, לאספקת גז טבעי ממאגר הגז 'תמר' (להלן: "</w:t>
      </w:r>
      <w:r>
        <w:rPr>
          <w:rStyle w:val="Strong"/>
          <w:rFonts w:cs="David" w:hint="cs"/>
          <w:color w:val="000000"/>
          <w:sz w:val="20"/>
          <w:rtl/>
        </w:rPr>
        <w:t>תמר</w:t>
      </w:r>
      <w:r>
        <w:rPr>
          <w:rFonts w:cs="David" w:hint="cs"/>
          <w:color w:val="000000"/>
          <w:sz w:val="20"/>
          <w:rtl/>
        </w:rPr>
        <w:t>"), הצפויה להתחיל במהלך שנת 2013 (להלן: "</w:t>
      </w:r>
      <w:r>
        <w:rPr>
          <w:rStyle w:val="Strong"/>
          <w:rFonts w:cs="David" w:hint="cs"/>
          <w:color w:val="000000"/>
          <w:sz w:val="20"/>
          <w:rtl/>
        </w:rPr>
        <w:t>ההסכם</w:t>
      </w:r>
      <w:r>
        <w:rPr>
          <w:rFonts w:cs="David" w:hint="cs"/>
          <w:color w:val="000000"/>
          <w:sz w:val="20"/>
          <w:rtl/>
        </w:rPr>
        <w:t xml:space="preserve">"). </w:t>
      </w:r>
    </w:p>
    <w:p w:rsidR="00000000" w:rsidRDefault="00C9525A">
      <w:pPr>
        <w:bidi/>
        <w:spacing w:before="120" w:line="360" w:lineRule="auto"/>
        <w:jc w:val="both"/>
        <w:rPr>
          <w:rFonts w:hint="cs"/>
          <w:rtl/>
        </w:rPr>
      </w:pPr>
      <w:r>
        <w:rPr>
          <w:rFonts w:eastAsia="Times New Roman" w:cs="David" w:hint="cs"/>
          <w:sz w:val="22"/>
          <w:rtl/>
          <w:lang w:eastAsia="he-IL"/>
        </w:rPr>
        <w:t>לאחר שבחנתי את ההסדר ואת הכבילות המצויות בו,</w:t>
      </w:r>
      <w:r>
        <w:rPr>
          <w:rFonts w:eastAsia="Times New Roman" w:cs="David" w:hint="cs"/>
          <w:sz w:val="22"/>
          <w:rtl/>
          <w:lang w:eastAsia="he-IL"/>
        </w:rPr>
        <w:t xml:space="preserve"> כמו גם את השפעתן האפשרית על התחרות בשווקים הרלוונטיים ולאחר שנועצתי בוועדה לפטורים ולמיזוגים, שוכנעתי כי עיקרו של ההסדר אינו בהפחתת התחרות או במניעתה, כי אין בו כבילות שאינן נחוצות למימוש עיקרו וכי אין ההסדר פוגע פגיעה של ממש בתחרות בשוק. מטעמים אלו ראוי </w:t>
      </w:r>
      <w:r>
        <w:rPr>
          <w:rFonts w:eastAsia="Times New Roman" w:cs="David" w:hint="cs"/>
          <w:sz w:val="22"/>
          <w:rtl/>
          <w:lang w:eastAsia="he-IL"/>
        </w:rPr>
        <w:t>ההסדר לפטור לפי סעיף 14 לחוק ההגבלים העסקיים, התשמ"ח-1988 (להלן: "</w:t>
      </w:r>
      <w:r>
        <w:rPr>
          <w:rStyle w:val="Strong"/>
          <w:rFonts w:eastAsia="Times New Roman" w:cs="David" w:hint="cs"/>
          <w:sz w:val="22"/>
          <w:rtl/>
          <w:lang w:eastAsia="he-IL"/>
        </w:rPr>
        <w:t>החוק</w:t>
      </w:r>
      <w:r>
        <w:rPr>
          <w:rFonts w:eastAsia="Times New Roman" w:cs="David" w:hint="cs"/>
          <w:sz w:val="22"/>
          <w:rtl/>
          <w:lang w:eastAsia="he-IL"/>
        </w:rPr>
        <w:t xml:space="preserve">"), זאת בכפוף לשורה של תנאים ומהנימוקים שיפורטו להלן. </w:t>
      </w:r>
    </w:p>
    <w:p w:rsidR="00000000" w:rsidRDefault="00C9525A">
      <w:pPr>
        <w:bidi/>
        <w:spacing w:before="120" w:line="360" w:lineRule="auto"/>
        <w:jc w:val="both"/>
        <w:rPr>
          <w:rFonts w:hint="cs"/>
          <w:rtl/>
        </w:rPr>
      </w:pPr>
      <w:r>
        <w:rPr>
          <w:rFonts w:eastAsia="Times New Roman" w:cs="David" w:hint="cs"/>
          <w:sz w:val="22"/>
          <w:rtl/>
          <w:lang w:eastAsia="he-IL"/>
        </w:rPr>
        <w:t> </w:t>
      </w:r>
    </w:p>
    <w:p w:rsidR="00000000" w:rsidRDefault="00C9525A">
      <w:pPr>
        <w:bidi/>
        <w:spacing w:before="120" w:line="360" w:lineRule="auto"/>
        <w:ind w:left="360" w:hanging="360"/>
        <w:jc w:val="both"/>
        <w:rPr>
          <w:rFonts w:hint="cs"/>
          <w:rtl/>
        </w:rPr>
      </w:pPr>
      <w:r>
        <w:rPr>
          <w:rStyle w:val="Strong"/>
          <w:rFonts w:eastAsia="Times New Roman"/>
          <w:color w:val="000000"/>
          <w:sz w:val="28"/>
          <w:szCs w:val="28"/>
          <w:rtl/>
          <w:lang w:eastAsia="he-IL"/>
        </w:rPr>
        <w:t>2.</w:t>
      </w:r>
      <w:r>
        <w:rPr>
          <w:rStyle w:val="Strong"/>
          <w:rFonts w:eastAsia="Times New Roman"/>
          <w:color w:val="000000"/>
          <w:sz w:val="14"/>
          <w:szCs w:val="14"/>
          <w:rtl/>
          <w:lang w:eastAsia="he-IL"/>
        </w:rPr>
        <w:t xml:space="preserve">      </w:t>
      </w:r>
      <w:r>
        <w:rPr>
          <w:rStyle w:val="Strong"/>
          <w:rFonts w:eastAsia="Times New Roman" w:cs="David" w:hint="cs"/>
          <w:sz w:val="28"/>
          <w:szCs w:val="28"/>
          <w:rtl/>
          <w:lang w:eastAsia="he-IL"/>
        </w:rPr>
        <w:t>רקע</w:t>
      </w:r>
      <w:r>
        <w:rPr>
          <w:rStyle w:val="Strong"/>
          <w:rFonts w:eastAsia="Times New Roman" w:cs="David" w:hint="cs"/>
          <w:color w:val="000000"/>
          <w:sz w:val="28"/>
          <w:szCs w:val="28"/>
          <w:rtl/>
          <w:lang w:eastAsia="he-IL"/>
        </w:rPr>
        <w:t xml:space="preserve"> </w:t>
      </w:r>
    </w:p>
    <w:p w:rsidR="00000000" w:rsidRDefault="00C9525A">
      <w:pPr>
        <w:bidi/>
        <w:spacing w:before="120" w:line="360" w:lineRule="auto"/>
        <w:jc w:val="both"/>
        <w:rPr>
          <w:rFonts w:hint="cs"/>
          <w:rtl/>
        </w:rPr>
      </w:pPr>
      <w:r>
        <w:rPr>
          <w:rFonts w:eastAsia="Times New Roman" w:cs="David" w:hint="cs"/>
          <w:color w:val="000000"/>
          <w:sz w:val="20"/>
          <w:rtl/>
          <w:lang w:eastAsia="he-IL"/>
        </w:rPr>
        <w:t>מצבורי הגז הטבעי אשר התגלו בשנים האחרונות בשטחי המים הכלכליים של ישראל חוללו שינוי במשק האנרגיה הישראלי, אשר נהג להתבסס בעיקר על שימוש במוצרי נפט ופחם לייצור אנרגיה. כיום, הגז הטבעי משמש כמקור אנרגיה מרכזי בשל יתרונותיו, המתבטאים בניצולת גבוהה של אנרגיה וז</w:t>
      </w:r>
      <w:r>
        <w:rPr>
          <w:rFonts w:eastAsia="Times New Roman" w:cs="David" w:hint="cs"/>
          <w:color w:val="000000"/>
          <w:sz w:val="20"/>
          <w:rtl/>
          <w:lang w:eastAsia="he-IL"/>
        </w:rPr>
        <w:t>יהום אוויר נמוך, יחסית למקורות אנרגיה אחרים. בהתאם לנתונים שבפניי, הביקוש לגז טבעי הלך וגבר בעשור האחרון ואף צפוי לגבור משמעותית בשנים הקרובות.</w:t>
      </w:r>
    </w:p>
    <w:p w:rsidR="00000000" w:rsidRDefault="00C9525A">
      <w:pPr>
        <w:bidi/>
        <w:spacing w:before="120" w:line="360" w:lineRule="auto"/>
        <w:jc w:val="both"/>
        <w:rPr>
          <w:rFonts w:hint="cs"/>
          <w:rtl/>
        </w:rPr>
      </w:pPr>
      <w:r>
        <w:rPr>
          <w:rFonts w:eastAsia="Times New Roman" w:cs="David" w:hint="cs"/>
          <w:color w:val="000000"/>
          <w:sz w:val="20"/>
          <w:rtl/>
          <w:lang w:eastAsia="he-IL"/>
        </w:rPr>
        <w:t>תמר הינו מאגר הגז הטבעי היחיד בשטחי המים הכלכליים של ישראל, המסוגל לספק גז טבעי למשק הישראלי בשנים הקרובות, וזאת</w:t>
      </w:r>
      <w:r>
        <w:rPr>
          <w:rFonts w:eastAsia="Times New Roman" w:cs="David" w:hint="cs"/>
          <w:color w:val="000000"/>
          <w:sz w:val="20"/>
          <w:rtl/>
          <w:lang w:eastAsia="he-IL"/>
        </w:rPr>
        <w:t xml:space="preserve"> לאור התרוקנותו הצפויה של מאגר ים-תטיס. כבר במהלך שנת 2012, חתמו שותפות תמר על הסכמים לאספקת גז טבעי עם חברת החשמל לישראל בע"מ (להלן: "</w:t>
      </w:r>
      <w:r>
        <w:rPr>
          <w:rStyle w:val="Strong"/>
          <w:rFonts w:eastAsia="Times New Roman" w:cs="David" w:hint="cs"/>
          <w:color w:val="000000"/>
          <w:sz w:val="20"/>
          <w:rtl/>
          <w:lang w:eastAsia="he-IL"/>
        </w:rPr>
        <w:t>חברת החשמל</w:t>
      </w:r>
      <w:r>
        <w:rPr>
          <w:rFonts w:eastAsia="Times New Roman" w:cs="David" w:hint="cs"/>
          <w:color w:val="000000"/>
          <w:sz w:val="20"/>
          <w:rtl/>
          <w:lang w:eastAsia="he-IL"/>
        </w:rPr>
        <w:t xml:space="preserve">") שהינה צרכנית הגז הטבעי הגדולה והמשמעותית ביותר במשק הישראלי. כמו כן, נחתמו הסכמים לאספקת גז טבעי בין שותפות </w:t>
      </w:r>
      <w:r>
        <w:rPr>
          <w:rFonts w:eastAsia="Times New Roman" w:cs="David" w:hint="cs"/>
          <w:color w:val="000000"/>
          <w:sz w:val="20"/>
          <w:rtl/>
          <w:lang w:eastAsia="he-IL"/>
        </w:rPr>
        <w:t xml:space="preserve">תמר לבין יצרני חשמל פרטיים המייצרים ומוכרים חשמל ישירות לחברת החשמל או ללקוחות פרטיים וכן חברות תעשייתיות אשר הקימו </w:t>
      </w:r>
      <w:r>
        <w:rPr>
          <w:rFonts w:eastAsia="Times New Roman" w:cs="David" w:hint="cs"/>
          <w:color w:val="000000"/>
          <w:sz w:val="20"/>
          <w:rtl/>
          <w:lang w:eastAsia="he-IL"/>
        </w:rPr>
        <w:lastRenderedPageBreak/>
        <w:t>בחצרותיהן מערכות קוגנרציה אשר נועדו לספק קיטור וחשמל לתפעולן העצמי השוטף</w:t>
      </w:r>
      <w:r>
        <w:rPr>
          <w:rFonts w:eastAsia="Times New Roman" w:cs="David"/>
          <w:color w:val="000000"/>
          <w:sz w:val="20"/>
          <w:vertAlign w:val="superscript"/>
          <w:rtl/>
          <w:lang w:eastAsia="he-IL"/>
        </w:rPr>
        <w:footnoteReference w:id="1"/>
      </w:r>
      <w:r>
        <w:rPr>
          <w:rFonts w:eastAsia="Times New Roman" w:cs="David"/>
          <w:color w:val="000000"/>
          <w:sz w:val="20"/>
          <w:vertAlign w:val="superscript"/>
          <w:lang w:eastAsia="he-IL"/>
        </w:rPr>
        <w:t>[1]</w:t>
      </w:r>
      <w:r>
        <w:rPr>
          <w:rFonts w:eastAsia="Times New Roman" w:cs="David" w:hint="cs"/>
          <w:color w:val="000000"/>
          <w:sz w:val="20"/>
          <w:rtl/>
          <w:lang w:eastAsia="he-IL"/>
        </w:rPr>
        <w:t xml:space="preserve"> (להלן: "</w:t>
      </w:r>
      <w:r>
        <w:rPr>
          <w:rStyle w:val="Strong"/>
          <w:rFonts w:eastAsia="Times New Roman" w:cs="David" w:hint="cs"/>
          <w:color w:val="000000"/>
          <w:sz w:val="20"/>
          <w:rtl/>
          <w:lang w:eastAsia="he-IL"/>
        </w:rPr>
        <w:t>לקוחות תמר</w:t>
      </w:r>
      <w:r>
        <w:rPr>
          <w:rFonts w:eastAsia="Times New Roman" w:cs="David" w:hint="cs"/>
          <w:color w:val="000000"/>
          <w:sz w:val="20"/>
          <w:rtl/>
          <w:lang w:eastAsia="he-IL"/>
        </w:rPr>
        <w:t>"). זאת, בעוד שתמר טרם החלה להפיק ולספק גז טב</w:t>
      </w:r>
      <w:r>
        <w:rPr>
          <w:rFonts w:eastAsia="Times New Roman" w:cs="David" w:hint="cs"/>
          <w:color w:val="000000"/>
          <w:sz w:val="20"/>
          <w:rtl/>
          <w:lang w:eastAsia="he-IL"/>
        </w:rPr>
        <w:t>עי למשק הישראלי בפועל, ושכאמור צפויה להתחיל לספק גז במהלך שנת 2013.</w:t>
      </w:r>
      <w:r>
        <w:rPr>
          <w:rFonts w:eastAsia="Times New Roman" w:cs="David"/>
          <w:color w:val="000000"/>
          <w:sz w:val="20"/>
          <w:vertAlign w:val="superscript"/>
          <w:rtl/>
          <w:lang w:eastAsia="he-IL"/>
        </w:rPr>
        <w:footnoteReference w:id="2"/>
      </w:r>
      <w:r>
        <w:rPr>
          <w:rFonts w:eastAsia="Times New Roman" w:cs="David"/>
          <w:color w:val="000000"/>
          <w:sz w:val="20"/>
          <w:vertAlign w:val="superscript"/>
          <w:lang w:eastAsia="he-IL"/>
        </w:rPr>
        <w:t>[2]</w:t>
      </w:r>
      <w:r>
        <w:rPr>
          <w:rFonts w:eastAsia="Times New Roman" w:cs="David" w:hint="cs"/>
          <w:color w:val="000000"/>
          <w:sz w:val="20"/>
          <w:rtl/>
          <w:lang w:eastAsia="he-IL"/>
        </w:rPr>
        <w:t xml:space="preserve"> </w:t>
      </w:r>
    </w:p>
    <w:p w:rsidR="00000000" w:rsidRDefault="00C9525A">
      <w:pPr>
        <w:bidi/>
        <w:spacing w:before="120" w:line="360" w:lineRule="auto"/>
        <w:jc w:val="both"/>
        <w:rPr>
          <w:rFonts w:hint="cs"/>
          <w:rtl/>
        </w:rPr>
      </w:pPr>
      <w:r>
        <w:rPr>
          <w:rFonts w:eastAsia="Times New Roman" w:cs="David" w:hint="cs"/>
          <w:color w:val="000000"/>
          <w:sz w:val="20"/>
          <w:rtl/>
          <w:lang w:eastAsia="he-IL"/>
        </w:rPr>
        <w:t>מלבד ההסכם נשוא בקשת הפטור דנא, על פי המצגים שהובאו לפניי נכון למועד מתן החלטתי זו, שותפות תמר התקשרו בהסכמים לאספקת גז עם צרכני הגז הבאים: חברת החשמל לישראל בע"מ; אשדוד אנרגיה ורמת נ</w:t>
      </w:r>
      <w:r>
        <w:rPr>
          <w:rFonts w:eastAsia="Times New Roman" w:cs="David" w:hint="cs"/>
          <w:color w:val="000000"/>
          <w:sz w:val="20"/>
          <w:rtl/>
          <w:lang w:eastAsia="he-IL"/>
        </w:rPr>
        <w:t>גב אנרגיה מקבוצת אדלטק בע"מ; קבוצת נייר חדרה, חברת משאב בע"מ ופז בית זיקוק אשדוד בע"מ. הסכמים אלו עמדו לנגד עיני בעת מתן החלטה זו (להלן: "</w:t>
      </w:r>
      <w:r>
        <w:rPr>
          <w:rStyle w:val="Strong"/>
          <w:rFonts w:eastAsia="Times New Roman" w:cs="David" w:hint="cs"/>
          <w:color w:val="000000"/>
          <w:sz w:val="20"/>
          <w:rtl/>
          <w:lang w:eastAsia="he-IL"/>
        </w:rPr>
        <w:t>הסכמי הגז</w:t>
      </w:r>
      <w:r>
        <w:rPr>
          <w:rFonts w:eastAsia="Times New Roman" w:cs="David" w:hint="cs"/>
          <w:color w:val="000000"/>
          <w:sz w:val="20"/>
          <w:rtl/>
          <w:lang w:eastAsia="he-IL"/>
        </w:rPr>
        <w:t>").</w:t>
      </w:r>
    </w:p>
    <w:p w:rsidR="00000000" w:rsidRDefault="00C9525A">
      <w:pPr>
        <w:bidi/>
        <w:spacing w:before="120" w:line="360" w:lineRule="auto"/>
        <w:jc w:val="both"/>
        <w:rPr>
          <w:rFonts w:hint="cs"/>
          <w:rtl/>
        </w:rPr>
      </w:pPr>
      <w:r>
        <w:rPr>
          <w:rFonts w:eastAsia="Times New Roman" w:cs="David" w:hint="cs"/>
          <w:color w:val="000000"/>
          <w:sz w:val="20"/>
          <w:rtl/>
          <w:lang w:eastAsia="he-IL"/>
        </w:rPr>
        <w:t xml:space="preserve">עד לחודש אפריל 2012, אספקת הגז למשק הישראלי התבצעה על ידי שני מקורות לאספקת גז בלבד: פרויקט ים תטיס שבשליטת קבוצת דלק ונובל, וכן על ידי חברת הגז המצרית-ישראלית </w:t>
      </w:r>
      <w:r>
        <w:rPr>
          <w:rFonts w:eastAsia="Times New Roman" w:cs="David"/>
          <w:color w:val="000000"/>
          <w:lang w:eastAsia="he-IL"/>
        </w:rPr>
        <w:t>East Mediterranean Gas S.A.E</w:t>
      </w:r>
      <w:r>
        <w:rPr>
          <w:rFonts w:eastAsia="Times New Roman" w:cs="David" w:hint="cs"/>
          <w:color w:val="000000"/>
          <w:sz w:val="20"/>
          <w:rtl/>
          <w:lang w:eastAsia="he-IL"/>
        </w:rPr>
        <w:t xml:space="preserve"> (להלן: "</w:t>
      </w:r>
      <w:r>
        <w:rPr>
          <w:rStyle w:val="Strong"/>
          <w:rFonts w:eastAsia="Times New Roman" w:cs="David"/>
          <w:color w:val="000000"/>
          <w:sz w:val="20"/>
          <w:lang w:eastAsia="he-IL"/>
        </w:rPr>
        <w:t>EMG</w:t>
      </w:r>
      <w:r>
        <w:rPr>
          <w:rFonts w:eastAsia="Times New Roman" w:cs="David" w:hint="cs"/>
          <w:color w:val="000000"/>
          <w:sz w:val="20"/>
          <w:rtl/>
          <w:lang w:eastAsia="he-IL"/>
        </w:rPr>
        <w:t>").</w:t>
      </w:r>
      <w:r>
        <w:rPr>
          <w:rFonts w:eastAsia="Times New Roman" w:cs="David"/>
          <w:color w:val="000000"/>
          <w:sz w:val="20"/>
          <w:vertAlign w:val="superscript"/>
          <w:rtl/>
          <w:lang w:eastAsia="he-IL"/>
        </w:rPr>
        <w:footnoteReference w:id="3"/>
      </w:r>
      <w:r>
        <w:rPr>
          <w:rFonts w:eastAsia="Times New Roman" w:cs="David"/>
          <w:color w:val="000000"/>
          <w:sz w:val="20"/>
          <w:vertAlign w:val="superscript"/>
          <w:lang w:eastAsia="he-IL"/>
        </w:rPr>
        <w:t>[3]</w:t>
      </w:r>
      <w:r>
        <w:rPr>
          <w:rFonts w:eastAsia="Times New Roman" w:cs="David" w:hint="cs"/>
          <w:color w:val="000000"/>
          <w:sz w:val="20"/>
          <w:rtl/>
          <w:lang w:eastAsia="he-IL"/>
        </w:rPr>
        <w:t xml:space="preserve"> ברם, אספקת </w:t>
      </w:r>
      <w:r>
        <w:rPr>
          <w:rFonts w:eastAsia="Times New Roman" w:cs="David" w:hint="cs"/>
          <w:color w:val="000000"/>
          <w:rtl/>
          <w:lang w:eastAsia="he-IL"/>
        </w:rPr>
        <w:t>הגז מ-</w:t>
      </w:r>
      <w:r>
        <w:rPr>
          <w:rFonts w:eastAsia="Times New Roman" w:cs="David"/>
          <w:color w:val="000000"/>
          <w:lang w:eastAsia="he-IL"/>
        </w:rPr>
        <w:t>EMG</w:t>
      </w:r>
      <w:r>
        <w:rPr>
          <w:rFonts w:eastAsia="Times New Roman" w:cs="David" w:hint="cs"/>
          <w:color w:val="000000"/>
          <w:rtl/>
          <w:lang w:eastAsia="he-IL"/>
        </w:rPr>
        <w:t xml:space="preserve"> נתקלה בקשיים כבר במהלך שנת </w:t>
      </w:r>
      <w:r>
        <w:rPr>
          <w:rFonts w:eastAsia="Times New Roman" w:cs="David" w:hint="cs"/>
          <w:color w:val="000000"/>
          <w:rtl/>
          <w:lang w:eastAsia="he-IL"/>
        </w:rPr>
        <w:t>2011 והופסקה כליל במהלך חודש אפריל 2012.</w:t>
      </w:r>
      <w:r>
        <w:rPr>
          <w:rFonts w:eastAsia="Times New Roman" w:cs="David" w:hint="cs"/>
          <w:color w:val="000000"/>
          <w:sz w:val="20"/>
          <w:rtl/>
          <w:lang w:eastAsia="he-IL"/>
        </w:rPr>
        <w:t xml:space="preserve"> במקביל, פרויקט ים תטיס מצוי בשלבי התכלות מתקדמים כך שאספקת הגז ממנו צפויה להיפסק במהלך שנת 2014 וממילא כיום מספק פרויקט ים תטיס גז טבעי אך ורק ללקוחות שכבר חתמו על חוזים לאספקת הגז הטבעי בעבר, כך שלא צפויה עוד אספקת</w:t>
      </w:r>
      <w:r>
        <w:rPr>
          <w:rFonts w:eastAsia="Times New Roman" w:cs="David" w:hint="cs"/>
          <w:color w:val="000000"/>
          <w:sz w:val="20"/>
          <w:rtl/>
          <w:lang w:eastAsia="he-IL"/>
        </w:rPr>
        <w:t xml:space="preserve"> גז מפרויקט ים תטיס לצרכנים חדשים. אמנם, מלבד תמר, קיימים מאגרי גז נוספים שעשויים להתגלות</w:t>
      </w:r>
      <w:r>
        <w:rPr>
          <w:rFonts w:eastAsia="Times New Roman" w:cs="David"/>
          <w:color w:val="000000"/>
          <w:sz w:val="20"/>
          <w:vertAlign w:val="superscript"/>
          <w:rtl/>
          <w:lang w:eastAsia="he-IL"/>
        </w:rPr>
        <w:footnoteReference w:id="4"/>
      </w:r>
      <w:r>
        <w:rPr>
          <w:rFonts w:eastAsia="Times New Roman" w:cs="David"/>
          <w:color w:val="000000"/>
          <w:sz w:val="20"/>
          <w:vertAlign w:val="superscript"/>
          <w:lang w:eastAsia="he-IL"/>
        </w:rPr>
        <w:t>[4]</w:t>
      </w:r>
      <w:r>
        <w:rPr>
          <w:rFonts w:eastAsia="Times New Roman" w:cs="David" w:hint="cs"/>
          <w:color w:val="000000"/>
          <w:sz w:val="20"/>
          <w:rtl/>
          <w:lang w:eastAsia="he-IL"/>
        </w:rPr>
        <w:t xml:space="preserve"> כמאגרים לאספקת גז טבעי, אך אלו טרם הוכרזו כמאגרים ברי הפקה ועל כן, הסתברות יכולת ההפקה והשיווק של גז טבעי מאותם מאגרים עדיין מוטלת בספק. </w:t>
      </w:r>
    </w:p>
    <w:p w:rsidR="00000000" w:rsidRDefault="00C9525A">
      <w:pPr>
        <w:bidi/>
        <w:spacing w:before="120" w:line="360" w:lineRule="auto"/>
        <w:jc w:val="both"/>
        <w:rPr>
          <w:rFonts w:hint="cs"/>
          <w:rtl/>
        </w:rPr>
      </w:pPr>
      <w:r>
        <w:rPr>
          <w:rFonts w:eastAsia="Times New Roman" w:cs="David" w:hint="cs"/>
          <w:color w:val="000000"/>
          <w:sz w:val="20"/>
          <w:rtl/>
          <w:lang w:eastAsia="he-IL"/>
        </w:rPr>
        <w:t>נסיבות אלו הביאו לכך שהת</w:t>
      </w:r>
      <w:r>
        <w:rPr>
          <w:rFonts w:eastAsia="Times New Roman" w:cs="David" w:hint="cs"/>
          <w:color w:val="000000"/>
          <w:sz w:val="20"/>
          <w:rtl/>
          <w:lang w:eastAsia="he-IL"/>
        </w:rPr>
        <w:t xml:space="preserve">חרות המוגבלת ממילא בענף הגז הטבעי הצטמצמה עוד יותר, וכיום שותפות תמר צפויה להיות ספק הגז הבלעדי במשק הישראלי, אף עוד בטרם החלה לספק גז טבעי בפועל. </w:t>
      </w:r>
    </w:p>
    <w:p w:rsidR="00000000" w:rsidRDefault="00C9525A">
      <w:pPr>
        <w:bidi/>
        <w:spacing w:before="120" w:line="360" w:lineRule="auto"/>
        <w:jc w:val="both"/>
        <w:rPr>
          <w:rFonts w:hint="cs"/>
          <w:rtl/>
        </w:rPr>
      </w:pPr>
      <w:r>
        <w:rPr>
          <w:rFonts w:eastAsia="Times New Roman" w:cs="David" w:hint="cs"/>
          <w:color w:val="000000"/>
          <w:sz w:val="20"/>
          <w:rtl/>
          <w:lang w:eastAsia="he-IL"/>
        </w:rPr>
        <w:t> </w:t>
      </w:r>
    </w:p>
    <w:p w:rsidR="00000000" w:rsidRDefault="00C9525A">
      <w:pPr>
        <w:bidi/>
        <w:spacing w:before="120" w:line="360" w:lineRule="auto"/>
        <w:jc w:val="both"/>
        <w:rPr>
          <w:rFonts w:hint="cs"/>
          <w:rtl/>
        </w:rPr>
      </w:pPr>
      <w:r>
        <w:rPr>
          <w:rFonts w:eastAsia="Times New Roman" w:cs="David" w:hint="cs"/>
          <w:color w:val="000000"/>
          <w:sz w:val="20"/>
          <w:rtl/>
          <w:lang w:eastAsia="he-IL"/>
        </w:rPr>
        <w:t> </w:t>
      </w:r>
    </w:p>
    <w:p w:rsidR="00000000" w:rsidRDefault="00C9525A">
      <w:pPr>
        <w:bidi/>
        <w:spacing w:before="120" w:line="360" w:lineRule="auto"/>
        <w:jc w:val="both"/>
        <w:rPr>
          <w:rFonts w:hint="cs"/>
          <w:rtl/>
        </w:rPr>
      </w:pPr>
      <w:r>
        <w:rPr>
          <w:rFonts w:eastAsia="Times New Roman" w:cs="David" w:hint="cs"/>
          <w:color w:val="000000"/>
          <w:sz w:val="20"/>
          <w:rtl/>
          <w:lang w:eastAsia="he-IL"/>
        </w:rPr>
        <w:lastRenderedPageBreak/>
        <w:t> </w:t>
      </w:r>
    </w:p>
    <w:p w:rsidR="00000000" w:rsidRDefault="00C9525A">
      <w:pPr>
        <w:bidi/>
        <w:spacing w:before="120" w:line="360" w:lineRule="auto"/>
        <w:jc w:val="both"/>
        <w:rPr>
          <w:rFonts w:hint="cs"/>
          <w:rtl/>
        </w:rPr>
      </w:pPr>
      <w:r>
        <w:rPr>
          <w:rFonts w:eastAsia="Times New Roman" w:cs="David" w:hint="cs"/>
          <w:color w:val="000000"/>
          <w:sz w:val="20"/>
          <w:rtl/>
          <w:lang w:eastAsia="he-IL"/>
        </w:rPr>
        <w:t> </w:t>
      </w:r>
    </w:p>
    <w:p w:rsidR="00000000" w:rsidRDefault="00C9525A">
      <w:pPr>
        <w:bidi/>
        <w:spacing w:before="120" w:line="360" w:lineRule="auto"/>
        <w:jc w:val="both"/>
        <w:rPr>
          <w:rFonts w:hint="cs"/>
          <w:rtl/>
        </w:rPr>
      </w:pPr>
      <w:r>
        <w:rPr>
          <w:rFonts w:eastAsia="Times New Roman" w:cs="David" w:hint="cs"/>
          <w:color w:val="000000"/>
          <w:sz w:val="20"/>
          <w:rtl/>
          <w:lang w:eastAsia="he-IL"/>
        </w:rPr>
        <w:t> </w:t>
      </w:r>
    </w:p>
    <w:p w:rsidR="00000000" w:rsidRDefault="00C9525A">
      <w:pPr>
        <w:bidi/>
        <w:spacing w:before="100" w:beforeAutospacing="1"/>
        <w:jc w:val="both"/>
        <w:outlineLvl w:val="0"/>
        <w:rPr>
          <w:rFonts w:hint="cs"/>
          <w:rtl/>
        </w:rPr>
      </w:pPr>
      <w:r>
        <w:rPr>
          <w:rStyle w:val="Strong"/>
          <w:rFonts w:eastAsia="Times New Roman" w:cs="David" w:hint="cs"/>
          <w:color w:val="000000"/>
          <w:sz w:val="28"/>
          <w:szCs w:val="28"/>
          <w:rtl/>
          <w:lang w:eastAsia="he-IL"/>
        </w:rPr>
        <w:t> </w:t>
      </w:r>
    </w:p>
    <w:p w:rsidR="00000000" w:rsidRDefault="00C9525A">
      <w:pPr>
        <w:bidi/>
        <w:spacing w:before="120" w:line="360" w:lineRule="auto"/>
        <w:ind w:left="360" w:hanging="360"/>
        <w:jc w:val="both"/>
        <w:rPr>
          <w:rFonts w:hint="cs"/>
          <w:rtl/>
        </w:rPr>
      </w:pPr>
      <w:r>
        <w:rPr>
          <w:rStyle w:val="Strong"/>
          <w:rFonts w:eastAsia="Times New Roman"/>
          <w:color w:val="000000"/>
          <w:sz w:val="28"/>
          <w:szCs w:val="28"/>
          <w:rtl/>
          <w:lang w:eastAsia="he-IL"/>
        </w:rPr>
        <w:t>3.</w:t>
      </w:r>
      <w:r>
        <w:rPr>
          <w:rStyle w:val="Strong"/>
          <w:rFonts w:eastAsia="Times New Roman"/>
          <w:color w:val="000000"/>
          <w:sz w:val="14"/>
          <w:szCs w:val="14"/>
          <w:rtl/>
          <w:lang w:eastAsia="he-IL"/>
        </w:rPr>
        <w:t xml:space="preserve">      </w:t>
      </w:r>
      <w:r>
        <w:rPr>
          <w:rStyle w:val="Strong"/>
          <w:rFonts w:eastAsia="Times New Roman" w:cs="David" w:hint="cs"/>
          <w:color w:val="000000"/>
          <w:sz w:val="28"/>
          <w:szCs w:val="28"/>
          <w:rtl/>
          <w:lang w:eastAsia="he-IL"/>
        </w:rPr>
        <w:t xml:space="preserve">הצדדים </w:t>
      </w:r>
      <w:r>
        <w:rPr>
          <w:rStyle w:val="Strong"/>
          <w:rFonts w:eastAsia="Times New Roman" w:cs="David" w:hint="cs"/>
          <w:sz w:val="28"/>
          <w:szCs w:val="28"/>
          <w:rtl/>
          <w:lang w:eastAsia="he-IL"/>
        </w:rPr>
        <w:t>להסדר</w:t>
      </w:r>
    </w:p>
    <w:p w:rsidR="00000000" w:rsidRDefault="00C9525A">
      <w:pPr>
        <w:bidi/>
        <w:spacing w:before="100" w:beforeAutospacing="1"/>
        <w:jc w:val="both"/>
        <w:rPr>
          <w:rFonts w:hint="cs"/>
          <w:rtl/>
        </w:rPr>
      </w:pPr>
      <w:r>
        <w:rPr>
          <w:rStyle w:val="Strong"/>
          <w:rFonts w:eastAsia="Times New Roman" w:cs="David" w:hint="cs"/>
          <w:color w:val="000000"/>
          <w:sz w:val="22"/>
          <w:rtl/>
          <w:lang w:eastAsia="he-IL"/>
        </w:rPr>
        <w:t> </w:t>
      </w:r>
    </w:p>
    <w:p w:rsidR="00000000" w:rsidRDefault="00C9525A">
      <w:pPr>
        <w:bidi/>
        <w:spacing w:before="120" w:line="360" w:lineRule="auto"/>
        <w:jc w:val="both"/>
        <w:rPr>
          <w:rFonts w:hint="cs"/>
          <w:rtl/>
        </w:rPr>
      </w:pPr>
      <w:r>
        <w:rPr>
          <w:rStyle w:val="Strong"/>
          <w:rFonts w:eastAsia="Times New Roman" w:cs="David" w:hint="cs"/>
          <w:sz w:val="22"/>
          <w:rtl/>
          <w:lang w:eastAsia="he-IL"/>
        </w:rPr>
        <w:t>דליה</w:t>
      </w:r>
      <w:r>
        <w:rPr>
          <w:rFonts w:eastAsia="Times New Roman" w:cs="David" w:hint="cs"/>
          <w:sz w:val="22"/>
          <w:rtl/>
          <w:lang w:eastAsia="he-IL"/>
        </w:rPr>
        <w:t xml:space="preserve"> </w:t>
      </w:r>
      <w:r>
        <w:rPr>
          <w:rFonts w:eastAsia="Times New Roman" w:cs="David" w:hint="cs"/>
          <w:sz w:val="22"/>
          <w:rtl/>
          <w:lang w:eastAsia="he-IL"/>
        </w:rPr>
        <w:t>הינה חברה פרטית הנמצאת בעיצומה של הקמת תחנת כח המונעת בגז טבעי באזור צפית שבדרום השפלה. דליה הינה חברה בבעלות משותפת של חירם אפסילון בע"מ (43.3%)</w:t>
      </w:r>
      <w:r>
        <w:rPr>
          <w:rFonts w:eastAsia="Times New Roman" w:cs="David"/>
          <w:lang w:eastAsia="he-IL"/>
        </w:rPr>
        <w:t>;</w:t>
      </w:r>
      <w:r>
        <w:rPr>
          <w:rFonts w:eastAsia="Times New Roman" w:cs="David" w:hint="cs"/>
          <w:sz w:val="22"/>
          <w:rtl/>
          <w:lang w:eastAsia="he-IL"/>
        </w:rPr>
        <w:t xml:space="preserve"> משק אנרגיה בע"מ (43.3%)</w:t>
      </w:r>
      <w:r>
        <w:rPr>
          <w:rFonts w:eastAsia="Times New Roman" w:cs="David"/>
          <w:lang w:eastAsia="he-IL"/>
        </w:rPr>
        <w:t>;</w:t>
      </w:r>
      <w:r>
        <w:rPr>
          <w:rFonts w:eastAsia="Times New Roman" w:cs="David" w:hint="cs"/>
          <w:sz w:val="22"/>
          <w:rtl/>
          <w:lang w:eastAsia="he-IL"/>
        </w:rPr>
        <w:t xml:space="preserve"> קרן תשתיות לישראל (10%) וסיגמא אפסילון בע"מ (3%). פרויקט הקמת תחנת הכח של דליה הוגדר</w:t>
      </w:r>
      <w:r>
        <w:rPr>
          <w:rFonts w:eastAsia="Times New Roman" w:cs="David" w:hint="cs"/>
          <w:sz w:val="22"/>
          <w:rtl/>
          <w:lang w:eastAsia="he-IL"/>
        </w:rPr>
        <w:t xml:space="preserve"> על ידי ממשלת ישראל כפרויקט תשתיות לאומי ומכוח הגדרה זו, הוגש הפרויקט לאישור תכנוני סטטוטורי בוועדה לתשתיות לאומיות.</w:t>
      </w:r>
      <w:r>
        <w:rPr>
          <w:rFonts w:eastAsia="Times New Roman" w:cs="David"/>
          <w:sz w:val="22"/>
          <w:vertAlign w:val="superscript"/>
          <w:rtl/>
          <w:lang w:eastAsia="he-IL"/>
        </w:rPr>
        <w:footnoteReference w:id="5"/>
      </w:r>
      <w:r>
        <w:rPr>
          <w:rFonts w:eastAsia="Times New Roman" w:cs="David"/>
          <w:sz w:val="22"/>
          <w:vertAlign w:val="superscript"/>
          <w:lang w:eastAsia="he-IL"/>
        </w:rPr>
        <w:t>[5]</w:t>
      </w:r>
      <w:r>
        <w:rPr>
          <w:rFonts w:eastAsia="Times New Roman" w:cs="David" w:hint="cs"/>
          <w:sz w:val="22"/>
          <w:rtl/>
          <w:lang w:eastAsia="he-IL"/>
        </w:rPr>
        <w:t xml:space="preserve"> בהתאם לנתונים שבפניי, כ-90% מכלל ייצור החשמל של דליה יימכרו לחברת החשמל. יתר החשמל שתייצר דליה, יימכר לצרכנים פרטיים או לחברת החשמל, בה</w:t>
      </w:r>
      <w:r>
        <w:rPr>
          <w:rFonts w:eastAsia="Times New Roman" w:cs="David" w:hint="cs"/>
          <w:sz w:val="22"/>
          <w:rtl/>
          <w:lang w:eastAsia="he-IL"/>
        </w:rPr>
        <w:t xml:space="preserve">תאם לביקושים המשתנים שלה.  </w:t>
      </w:r>
    </w:p>
    <w:p w:rsidR="00000000" w:rsidRDefault="00C9525A">
      <w:pPr>
        <w:bidi/>
        <w:spacing w:before="120" w:line="360" w:lineRule="auto"/>
        <w:jc w:val="both"/>
        <w:rPr>
          <w:rFonts w:hint="cs"/>
          <w:rtl/>
        </w:rPr>
      </w:pPr>
      <w:r>
        <w:rPr>
          <w:rFonts w:eastAsia="Times New Roman" w:cs="David" w:hint="cs"/>
          <w:sz w:val="22"/>
          <w:rtl/>
          <w:lang w:eastAsia="he-IL"/>
        </w:rPr>
        <w:t> </w:t>
      </w:r>
    </w:p>
    <w:p w:rsidR="00000000" w:rsidRDefault="00C9525A">
      <w:pPr>
        <w:bidi/>
        <w:spacing w:before="120" w:line="360" w:lineRule="auto"/>
        <w:jc w:val="both"/>
        <w:rPr>
          <w:rFonts w:hint="cs"/>
          <w:rtl/>
        </w:rPr>
      </w:pPr>
      <w:r>
        <w:rPr>
          <w:rStyle w:val="Strong"/>
          <w:rFonts w:eastAsia="Times New Roman" w:cs="David" w:hint="cs"/>
          <w:sz w:val="22"/>
          <w:rtl/>
          <w:lang w:eastAsia="he-IL"/>
        </w:rPr>
        <w:t>השותפות בחזקת תמר</w:t>
      </w:r>
      <w:r>
        <w:rPr>
          <w:rFonts w:eastAsia="Times New Roman" w:cs="David"/>
          <w:sz w:val="22"/>
          <w:vertAlign w:val="superscript"/>
          <w:rtl/>
          <w:lang w:eastAsia="he-IL"/>
        </w:rPr>
        <w:footnoteReference w:id="6"/>
      </w:r>
      <w:r>
        <w:rPr>
          <w:rFonts w:eastAsia="Times New Roman" w:cs="David"/>
          <w:sz w:val="22"/>
          <w:vertAlign w:val="superscript"/>
          <w:lang w:eastAsia="he-IL"/>
        </w:rPr>
        <w:t>[6]</w:t>
      </w:r>
      <w:r>
        <w:rPr>
          <w:rFonts w:eastAsia="Times New Roman" w:cs="David" w:hint="cs"/>
          <w:sz w:val="22"/>
          <w:rtl/>
          <w:lang w:eastAsia="he-IL"/>
        </w:rPr>
        <w:t>:</w:t>
      </w:r>
    </w:p>
    <w:p w:rsidR="00000000" w:rsidRDefault="00C9525A">
      <w:pPr>
        <w:bidi/>
        <w:spacing w:before="120" w:line="360" w:lineRule="auto"/>
        <w:ind w:left="720" w:hanging="360"/>
        <w:jc w:val="both"/>
        <w:rPr>
          <w:rFonts w:hint="cs"/>
          <w:rtl/>
        </w:rPr>
      </w:pPr>
      <w:r>
        <w:rPr>
          <w:rFonts w:eastAsia="David" w:cs="David" w:hint="cs"/>
          <w:sz w:val="22"/>
          <w:rtl/>
          <w:lang w:eastAsia="he-IL"/>
        </w:rPr>
        <w:t>א.</w:t>
      </w:r>
      <w:r>
        <w:rPr>
          <w:rFonts w:eastAsia="David"/>
          <w:sz w:val="14"/>
          <w:szCs w:val="14"/>
          <w:rtl/>
          <w:lang w:eastAsia="he-IL"/>
        </w:rPr>
        <w:t xml:space="preserve">      </w:t>
      </w:r>
      <w:r>
        <w:rPr>
          <w:rStyle w:val="Strong"/>
          <w:rFonts w:eastAsia="Times New Roman" w:cs="David" w:hint="cs"/>
          <w:sz w:val="22"/>
          <w:rtl/>
          <w:lang w:eastAsia="he-IL"/>
        </w:rPr>
        <w:t>דלק קידוחים</w:t>
      </w:r>
      <w:r>
        <w:rPr>
          <w:rFonts w:eastAsia="Times New Roman" w:cs="David" w:hint="cs"/>
          <w:sz w:val="22"/>
          <w:rtl/>
          <w:lang w:eastAsia="he-IL"/>
        </w:rPr>
        <w:t xml:space="preserve"> </w:t>
      </w:r>
      <w:r>
        <w:rPr>
          <w:rStyle w:val="Strong"/>
          <w:rFonts w:eastAsia="Times New Roman" w:cs="David" w:hint="cs"/>
          <w:sz w:val="22"/>
          <w:rtl/>
          <w:lang w:eastAsia="he-IL"/>
        </w:rPr>
        <w:t>ואבנר</w:t>
      </w:r>
      <w:r>
        <w:rPr>
          <w:rFonts w:eastAsia="Times New Roman" w:cs="David" w:hint="cs"/>
          <w:sz w:val="22"/>
          <w:rtl/>
          <w:lang w:eastAsia="he-IL"/>
        </w:rPr>
        <w:t xml:space="preserve"> - שותפויות מוגבלות הפועלות בתחום חיפושי גז טבעי ונפט ונשלטות על ידי קבוצת דלק בע"מ ("</w:t>
      </w:r>
      <w:r>
        <w:rPr>
          <w:rStyle w:val="Strong"/>
          <w:rFonts w:eastAsia="Times New Roman" w:cs="David" w:hint="cs"/>
          <w:sz w:val="22"/>
          <w:rtl/>
          <w:lang w:eastAsia="he-IL"/>
        </w:rPr>
        <w:t>קבוצת דלק</w:t>
      </w:r>
      <w:r>
        <w:rPr>
          <w:rFonts w:eastAsia="Times New Roman" w:cs="David" w:hint="cs"/>
          <w:sz w:val="22"/>
          <w:rtl/>
          <w:lang w:eastAsia="he-IL"/>
        </w:rPr>
        <w:t>"</w:t>
      </w:r>
      <w:r>
        <w:rPr>
          <w:rFonts w:eastAsia="Times New Roman" w:cs="David" w:hint="cs"/>
          <w:sz w:val="22"/>
          <w:rtl/>
          <w:lang w:eastAsia="he-IL"/>
        </w:rPr>
        <w:t>). קבוצת דלק הינה חברה ציבורית הנסחרת בבורסה לניירות ערך בתל אביב ובבעלותה זכויות בהיתרים ורישיונות נוספים לחיפושי נפט וגז טבעי בישראל, הכוללים את הפרויקטים 'ים תטיס'</w:t>
      </w:r>
      <w:r>
        <w:rPr>
          <w:rFonts w:eastAsia="Times New Roman" w:cs="David"/>
          <w:lang w:eastAsia="he-IL"/>
        </w:rPr>
        <w:t>;</w:t>
      </w:r>
      <w:r>
        <w:rPr>
          <w:rFonts w:eastAsia="Times New Roman" w:cs="David" w:hint="cs"/>
          <w:sz w:val="22"/>
          <w:rtl/>
          <w:lang w:eastAsia="he-IL"/>
        </w:rPr>
        <w:t xml:space="preserve"> 'דלית'</w:t>
      </w:r>
      <w:r>
        <w:rPr>
          <w:rFonts w:eastAsia="Times New Roman" w:cs="David"/>
          <w:lang w:eastAsia="he-IL"/>
        </w:rPr>
        <w:t>;</w:t>
      </w:r>
      <w:r>
        <w:rPr>
          <w:rFonts w:eastAsia="Times New Roman" w:cs="David" w:hint="cs"/>
          <w:sz w:val="22"/>
          <w:rtl/>
          <w:lang w:eastAsia="he-IL"/>
        </w:rPr>
        <w:t xml:space="preserve"> 'לוויתן'</w:t>
      </w:r>
      <w:r>
        <w:rPr>
          <w:rFonts w:eastAsia="Times New Roman" w:cs="David"/>
          <w:lang w:eastAsia="he-IL"/>
        </w:rPr>
        <w:t>;</w:t>
      </w:r>
      <w:r>
        <w:rPr>
          <w:rFonts w:eastAsia="Times New Roman" w:cs="David" w:hint="cs"/>
          <w:sz w:val="22"/>
          <w:rtl/>
          <w:lang w:eastAsia="he-IL"/>
        </w:rPr>
        <w:t xml:space="preserve"> 'דולפין' 'תנין' ועוד. כמו כן, לקבוצת דלק זכויות בפרויקט 'בלוק 12' הכול</w:t>
      </w:r>
      <w:r>
        <w:rPr>
          <w:rFonts w:eastAsia="Times New Roman" w:cs="David" w:hint="cs"/>
          <w:sz w:val="22"/>
          <w:rtl/>
          <w:lang w:eastAsia="he-IL"/>
        </w:rPr>
        <w:t xml:space="preserve">ל את מאגר הגז 'אפרודיטה' הממוקם בשטח המים הכלכליים של קפריסין. </w:t>
      </w:r>
    </w:p>
    <w:p w:rsidR="00000000" w:rsidRDefault="00C9525A">
      <w:pPr>
        <w:bidi/>
        <w:spacing w:before="120" w:line="360" w:lineRule="auto"/>
        <w:ind w:left="720" w:hanging="360"/>
        <w:jc w:val="both"/>
        <w:rPr>
          <w:rFonts w:hint="cs"/>
          <w:rtl/>
        </w:rPr>
      </w:pPr>
      <w:r>
        <w:rPr>
          <w:rFonts w:eastAsia="David" w:cs="David" w:hint="cs"/>
          <w:sz w:val="22"/>
          <w:rtl/>
          <w:lang w:eastAsia="he-IL"/>
        </w:rPr>
        <w:t>ב.</w:t>
      </w:r>
      <w:r>
        <w:rPr>
          <w:rFonts w:eastAsia="David"/>
          <w:sz w:val="14"/>
          <w:szCs w:val="14"/>
          <w:rtl/>
          <w:lang w:eastAsia="he-IL"/>
        </w:rPr>
        <w:t xml:space="preserve">      </w:t>
      </w:r>
      <w:r>
        <w:rPr>
          <w:rStyle w:val="Strong"/>
          <w:rFonts w:eastAsia="Times New Roman" w:cs="David" w:hint="cs"/>
          <w:rtl/>
          <w:lang w:eastAsia="he-IL"/>
        </w:rPr>
        <w:t>נובל</w:t>
      </w:r>
      <w:r>
        <w:rPr>
          <w:rFonts w:eastAsia="Times New Roman" w:cs="David" w:hint="cs"/>
          <w:rtl/>
          <w:lang w:eastAsia="he-IL"/>
        </w:rPr>
        <w:t xml:space="preserve"> - הינה חברה הרשומה באיי קיימן והשייכת לקבוצת </w:t>
      </w:r>
      <w:r>
        <w:rPr>
          <w:rFonts w:eastAsia="Times New Roman" w:cs="David"/>
          <w:lang w:eastAsia="he-IL"/>
        </w:rPr>
        <w:t>Noble Energy Inc.</w:t>
      </w:r>
      <w:r>
        <w:rPr>
          <w:rFonts w:eastAsia="Times New Roman" w:cs="David" w:hint="cs"/>
          <w:rtl/>
          <w:lang w:eastAsia="he-IL"/>
        </w:rPr>
        <w:t xml:space="preserve"> העוסקת</w:t>
      </w:r>
      <w:r>
        <w:rPr>
          <w:rFonts w:eastAsia="Times New Roman" w:cs="David" w:hint="cs"/>
          <w:sz w:val="22"/>
          <w:rtl/>
          <w:lang w:eastAsia="he-IL"/>
        </w:rPr>
        <w:t xml:space="preserve"> בחיפוש, הפקה ומכירת נפט גולמי וגז טבעי ברחבי העולם. יצויין, כי נובל הינה המפעילה בפרויקט פיתוח מאגר תמר. </w:t>
      </w:r>
    </w:p>
    <w:p w:rsidR="00000000" w:rsidRDefault="00C9525A">
      <w:pPr>
        <w:bidi/>
        <w:spacing w:before="120" w:line="360" w:lineRule="auto"/>
        <w:ind w:left="720" w:hanging="360"/>
        <w:jc w:val="both"/>
        <w:rPr>
          <w:rFonts w:hint="cs"/>
          <w:rtl/>
        </w:rPr>
      </w:pPr>
      <w:r>
        <w:rPr>
          <w:rFonts w:eastAsia="David" w:cs="David" w:hint="cs"/>
          <w:sz w:val="22"/>
          <w:rtl/>
          <w:lang w:eastAsia="he-IL"/>
        </w:rPr>
        <w:t>ג.</w:t>
      </w:r>
      <w:r>
        <w:rPr>
          <w:rFonts w:eastAsia="David"/>
          <w:sz w:val="14"/>
          <w:szCs w:val="14"/>
          <w:rtl/>
          <w:lang w:eastAsia="he-IL"/>
        </w:rPr>
        <w:t> </w:t>
      </w:r>
      <w:r>
        <w:rPr>
          <w:rFonts w:eastAsia="David"/>
          <w:sz w:val="14"/>
          <w:szCs w:val="14"/>
          <w:rtl/>
          <w:lang w:eastAsia="he-IL"/>
        </w:rPr>
        <w:t xml:space="preserve">       </w:t>
      </w:r>
      <w:r>
        <w:rPr>
          <w:rStyle w:val="Strong"/>
          <w:rFonts w:eastAsia="Times New Roman" w:cs="David" w:hint="cs"/>
          <w:sz w:val="22"/>
          <w:rtl/>
          <w:lang w:eastAsia="he-IL"/>
        </w:rPr>
        <w:t>ישראמקו</w:t>
      </w:r>
      <w:r>
        <w:rPr>
          <w:rFonts w:eastAsia="Times New Roman" w:cs="David" w:hint="cs"/>
          <w:sz w:val="22"/>
          <w:rtl/>
          <w:lang w:eastAsia="he-IL"/>
        </w:rPr>
        <w:t xml:space="preserve"> - עוסקת בחיפושי נפט וגז בישראל, והינה בעלת זכויות בחזקות וברישיונות  'תמר', 'דלית', 'שמשון' ו-'דניאל'.</w:t>
      </w:r>
      <w:r>
        <w:rPr>
          <w:rStyle w:val="FootnoteReference"/>
          <w:rFonts w:eastAsia="Times New Roman" w:cs="David" w:hint="cs"/>
          <w:sz w:val="22"/>
          <w:rtl/>
          <w:lang w:eastAsia="he-IL"/>
        </w:rPr>
        <w:t xml:space="preserve"> </w:t>
      </w:r>
      <w:r>
        <w:rPr>
          <w:rStyle w:val="FootnoteReference"/>
          <w:rFonts w:eastAsia="Times New Roman" w:cs="David"/>
          <w:sz w:val="22"/>
          <w:rtl/>
          <w:lang w:eastAsia="he-IL"/>
        </w:rPr>
        <w:footnoteReference w:id="7"/>
      </w:r>
      <w:r>
        <w:rPr>
          <w:rStyle w:val="FootnoteReference"/>
          <w:rFonts w:eastAsia="Times New Roman" w:cs="David"/>
          <w:sz w:val="22"/>
          <w:lang w:eastAsia="he-IL"/>
        </w:rPr>
        <w:t>[7]</w:t>
      </w:r>
    </w:p>
    <w:p w:rsidR="00000000" w:rsidRDefault="00C9525A">
      <w:pPr>
        <w:bidi/>
        <w:spacing w:before="120" w:line="360" w:lineRule="auto"/>
        <w:ind w:left="720" w:hanging="360"/>
        <w:jc w:val="both"/>
        <w:rPr>
          <w:rFonts w:hint="cs"/>
          <w:rtl/>
        </w:rPr>
      </w:pPr>
      <w:r>
        <w:rPr>
          <w:rFonts w:eastAsia="David" w:cs="David" w:hint="cs"/>
          <w:sz w:val="22"/>
          <w:rtl/>
          <w:lang w:eastAsia="he-IL"/>
        </w:rPr>
        <w:t>ד.</w:t>
      </w:r>
      <w:r>
        <w:rPr>
          <w:rFonts w:eastAsia="David"/>
          <w:sz w:val="14"/>
          <w:szCs w:val="14"/>
          <w:rtl/>
          <w:lang w:eastAsia="he-IL"/>
        </w:rPr>
        <w:t xml:space="preserve">      </w:t>
      </w:r>
      <w:r>
        <w:rPr>
          <w:rStyle w:val="Strong"/>
          <w:rFonts w:eastAsia="Times New Roman" w:cs="David" w:hint="cs"/>
          <w:sz w:val="22"/>
          <w:rtl/>
          <w:lang w:eastAsia="he-IL"/>
        </w:rPr>
        <w:t>דור</w:t>
      </w:r>
      <w:r>
        <w:rPr>
          <w:rFonts w:eastAsia="Times New Roman" w:cs="David" w:hint="cs"/>
          <w:sz w:val="22"/>
          <w:rtl/>
          <w:lang w:eastAsia="he-IL"/>
        </w:rPr>
        <w:t xml:space="preserve"> - נשלטת על ידי חברת דור אלון בע"מ. לדור אלון בע"מ זכויות ברישיונות מאגרי הגז 'תמר' ו'דלית', ופעילותה כוללת בעלות בתחנות ד</w:t>
      </w:r>
      <w:r>
        <w:rPr>
          <w:rFonts w:eastAsia="Times New Roman" w:cs="David" w:hint="cs"/>
          <w:sz w:val="22"/>
          <w:rtl/>
          <w:lang w:eastAsia="he-IL"/>
        </w:rPr>
        <w:t>לק וכן שיווק ואספקה של מוצרי דלק, הן לתחנות הדלק והן ללקוחות מוסדיים, תעשייתיים ופרטיים.</w:t>
      </w:r>
    </w:p>
    <w:p w:rsidR="00000000" w:rsidRDefault="00C9525A">
      <w:pPr>
        <w:bidi/>
        <w:spacing w:before="120" w:line="360" w:lineRule="auto"/>
        <w:ind w:left="720"/>
        <w:jc w:val="both"/>
        <w:rPr>
          <w:rFonts w:hint="cs"/>
          <w:rtl/>
        </w:rPr>
      </w:pPr>
      <w:r>
        <w:rPr>
          <w:rFonts w:eastAsia="Times New Roman" w:cs="David"/>
          <w:lang w:eastAsia="he-IL"/>
        </w:rPr>
        <w:t> </w:t>
      </w:r>
    </w:p>
    <w:p w:rsidR="00000000" w:rsidRDefault="00C9525A">
      <w:pPr>
        <w:bidi/>
        <w:spacing w:before="120" w:line="360" w:lineRule="auto"/>
        <w:jc w:val="both"/>
        <w:rPr>
          <w:rFonts w:hint="cs"/>
          <w:rtl/>
        </w:rPr>
      </w:pPr>
      <w:r>
        <w:rPr>
          <w:rStyle w:val="Strong"/>
          <w:rFonts w:eastAsia="Times New Roman" w:cs="David" w:hint="cs"/>
          <w:color w:val="000000"/>
          <w:sz w:val="22"/>
          <w:rtl/>
          <w:lang w:eastAsia="he-IL"/>
        </w:rPr>
        <w:t> </w:t>
      </w:r>
    </w:p>
    <w:p w:rsidR="00000000" w:rsidRDefault="00C9525A">
      <w:pPr>
        <w:bidi/>
        <w:spacing w:before="120" w:line="360" w:lineRule="auto"/>
        <w:ind w:left="360" w:hanging="360"/>
        <w:jc w:val="both"/>
        <w:rPr>
          <w:rFonts w:hint="cs"/>
          <w:rtl/>
        </w:rPr>
      </w:pPr>
      <w:r>
        <w:rPr>
          <w:rStyle w:val="Strong"/>
          <w:rFonts w:eastAsia="Times New Roman"/>
          <w:color w:val="000000"/>
          <w:sz w:val="28"/>
          <w:szCs w:val="28"/>
          <w:rtl/>
          <w:lang w:eastAsia="he-IL"/>
        </w:rPr>
        <w:t>4.</w:t>
      </w:r>
      <w:r>
        <w:rPr>
          <w:rStyle w:val="Strong"/>
          <w:rFonts w:eastAsia="Times New Roman"/>
          <w:color w:val="000000"/>
          <w:sz w:val="14"/>
          <w:szCs w:val="14"/>
          <w:rtl/>
          <w:lang w:eastAsia="he-IL"/>
        </w:rPr>
        <w:t xml:space="preserve">      </w:t>
      </w:r>
      <w:r>
        <w:rPr>
          <w:rStyle w:val="Strong"/>
          <w:rFonts w:eastAsia="Times New Roman" w:cs="David" w:hint="cs"/>
          <w:sz w:val="28"/>
          <w:szCs w:val="28"/>
          <w:rtl/>
          <w:lang w:eastAsia="he-IL"/>
        </w:rPr>
        <w:t>ההסדר</w:t>
      </w:r>
      <w:r>
        <w:rPr>
          <w:rStyle w:val="Strong"/>
          <w:rFonts w:eastAsia="Times New Roman" w:cs="David" w:hint="cs"/>
          <w:color w:val="000000"/>
          <w:sz w:val="28"/>
          <w:szCs w:val="28"/>
          <w:rtl/>
          <w:lang w:eastAsia="he-IL"/>
        </w:rPr>
        <w:t xml:space="preserve"> והשפעתו על התחרות</w:t>
      </w:r>
    </w:p>
    <w:p w:rsidR="00000000" w:rsidRDefault="00C9525A">
      <w:pPr>
        <w:bidi/>
        <w:spacing w:before="120" w:line="360" w:lineRule="auto"/>
        <w:jc w:val="both"/>
        <w:rPr>
          <w:rFonts w:hint="cs"/>
          <w:rtl/>
        </w:rPr>
      </w:pPr>
      <w:r>
        <w:rPr>
          <w:rFonts w:eastAsia="Times New Roman" w:cs="David" w:hint="cs"/>
          <w:color w:val="000000"/>
          <w:sz w:val="22"/>
          <w:rtl/>
          <w:lang w:eastAsia="he-IL"/>
        </w:rPr>
        <w:t xml:space="preserve">ההסכם שבפניי מסדיר את תנאי אספקת הגז הטבעי בין שותפות תמר לדליה. על פי ההסכם, שותפות תמר תספקנה כמות גז טבעי שנתית הנאמדת בכ-1.23 </w:t>
      </w:r>
      <w:r>
        <w:rPr>
          <w:rFonts w:eastAsia="Times New Roman" w:cs="David"/>
          <w:color w:val="000000"/>
          <w:lang w:eastAsia="he-IL"/>
        </w:rPr>
        <w:t>BCM</w:t>
      </w:r>
      <w:r>
        <w:rPr>
          <w:rFonts w:eastAsia="Times New Roman" w:cs="David"/>
          <w:color w:val="000000"/>
          <w:sz w:val="22"/>
          <w:vertAlign w:val="superscript"/>
          <w:rtl/>
          <w:lang w:eastAsia="he-IL"/>
        </w:rPr>
        <w:footnoteReference w:id="8"/>
      </w:r>
      <w:r>
        <w:rPr>
          <w:rFonts w:eastAsia="Times New Roman" w:cs="David"/>
          <w:color w:val="000000"/>
          <w:sz w:val="22"/>
          <w:vertAlign w:val="superscript"/>
          <w:lang w:eastAsia="he-IL"/>
        </w:rPr>
        <w:t>[8]</w:t>
      </w:r>
      <w:r>
        <w:rPr>
          <w:rFonts w:eastAsia="Times New Roman" w:cs="David" w:hint="cs"/>
          <w:color w:val="000000"/>
          <w:sz w:val="22"/>
          <w:rtl/>
          <w:lang w:eastAsia="he-IL"/>
        </w:rPr>
        <w:t xml:space="preserve">, למשך 17 שנים או עד למיצוי הכמות החוזית הכוללת בהסכם, הנאמדת בכ-21 </w:t>
      </w:r>
      <w:r>
        <w:rPr>
          <w:rFonts w:eastAsia="Times New Roman" w:cs="David"/>
          <w:color w:val="000000"/>
          <w:lang w:eastAsia="he-IL"/>
        </w:rPr>
        <w:t>BCM</w:t>
      </w:r>
      <w:r>
        <w:rPr>
          <w:rFonts w:eastAsia="Times New Roman" w:cs="David" w:hint="cs"/>
          <w:color w:val="000000"/>
          <w:sz w:val="22"/>
          <w:rtl/>
          <w:lang w:eastAsia="he-IL"/>
        </w:rPr>
        <w:t xml:space="preserve">. ההסכם כולל התחייבות מצד דליה לשלם עבור כמות גז מינימלית אף בהיעדר צריכה בפועל, </w:t>
      </w:r>
      <w:r>
        <w:rPr>
          <w:rFonts w:eastAsia="Times New Roman" w:cs="David" w:hint="cs"/>
          <w:color w:val="000000"/>
          <w:rtl/>
          <w:lang w:eastAsia="he-IL"/>
        </w:rPr>
        <w:t xml:space="preserve">בדמות תניית </w:t>
      </w:r>
      <w:r>
        <w:rPr>
          <w:rFonts w:eastAsia="Times New Roman" w:cs="David"/>
          <w:color w:val="000000"/>
          <w:lang w:eastAsia="he-IL"/>
        </w:rPr>
        <w:t>Take or Pay</w:t>
      </w:r>
      <w:r>
        <w:rPr>
          <w:rFonts w:eastAsia="Times New Roman" w:cs="David" w:hint="cs"/>
          <w:color w:val="000000"/>
          <w:rtl/>
          <w:lang w:eastAsia="he-IL"/>
        </w:rPr>
        <w:t xml:space="preserve"> בשיעור של 65% מכמות מתואמת שנתית הקבועה בהסכם, החלה עד לסוף שנת 2015 (כ-0</w:t>
      </w:r>
      <w:r>
        <w:rPr>
          <w:rFonts w:eastAsia="Times New Roman" w:cs="David" w:hint="cs"/>
          <w:color w:val="000000"/>
          <w:rtl/>
          <w:lang w:eastAsia="he-IL"/>
        </w:rPr>
        <w:t xml:space="preserve">.74 </w:t>
      </w:r>
      <w:r>
        <w:rPr>
          <w:rFonts w:eastAsia="Times New Roman" w:cs="David"/>
          <w:color w:val="000000"/>
          <w:lang w:eastAsia="he-IL"/>
        </w:rPr>
        <w:t>BCM</w:t>
      </w:r>
      <w:r>
        <w:rPr>
          <w:rFonts w:eastAsia="Times New Roman" w:cs="David" w:hint="cs"/>
          <w:color w:val="000000"/>
          <w:rtl/>
          <w:lang w:eastAsia="he-IL"/>
        </w:rPr>
        <w:t xml:space="preserve"> בשנה) ואשר משתנה ל- 60% החל מתחילת שנת 2016 ועד לתום תקופת ההסכם (כ-0.73 </w:t>
      </w:r>
      <w:r>
        <w:rPr>
          <w:rFonts w:eastAsia="Times New Roman" w:cs="David"/>
          <w:color w:val="000000"/>
          <w:lang w:eastAsia="he-IL"/>
        </w:rPr>
        <w:t>BCM</w:t>
      </w:r>
      <w:r>
        <w:rPr>
          <w:rFonts w:eastAsia="Times New Roman" w:cs="David" w:hint="cs"/>
          <w:color w:val="000000"/>
          <w:rtl/>
          <w:lang w:eastAsia="he-IL"/>
        </w:rPr>
        <w:t xml:space="preserve"> בשנה). </w:t>
      </w:r>
    </w:p>
    <w:p w:rsidR="00000000" w:rsidRDefault="00C9525A">
      <w:pPr>
        <w:bidi/>
        <w:spacing w:before="120" w:line="360" w:lineRule="auto"/>
        <w:jc w:val="both"/>
        <w:rPr>
          <w:rFonts w:hint="cs"/>
          <w:rtl/>
        </w:rPr>
      </w:pPr>
      <w:r>
        <w:rPr>
          <w:rFonts w:eastAsia="Times New Roman" w:cs="David" w:hint="cs"/>
          <w:color w:val="000000"/>
          <w:sz w:val="22"/>
          <w:rtl/>
          <w:lang w:eastAsia="he-IL"/>
        </w:rPr>
        <w:t xml:space="preserve">החשש התחרותי שההסדר מקים קשור בראש ובראשונה לשוק חיפוש הגז ואספקתו, נוכח העובדה כי משך ההסכם, וכפועל יוצא מכך, כמות הגז שדליה מתחייבת לרכוש במסגרתו מתוקף </w:t>
      </w:r>
      <w:r>
        <w:rPr>
          <w:rFonts w:eastAsia="Times New Roman" w:cs="David" w:hint="cs"/>
          <w:color w:val="000000"/>
          <w:rtl/>
          <w:lang w:eastAsia="he-IL"/>
        </w:rPr>
        <w:t>תניית ה-</w:t>
      </w:r>
      <w:r>
        <w:rPr>
          <w:rFonts w:eastAsia="Times New Roman" w:cs="David"/>
          <w:color w:val="000000"/>
          <w:lang w:eastAsia="he-IL"/>
        </w:rPr>
        <w:t>T</w:t>
      </w:r>
      <w:r>
        <w:rPr>
          <w:rFonts w:eastAsia="Times New Roman" w:cs="David"/>
          <w:color w:val="000000"/>
          <w:lang w:eastAsia="he-IL"/>
        </w:rPr>
        <w:t>ake or Pay</w:t>
      </w:r>
      <w:r>
        <w:rPr>
          <w:rFonts w:eastAsia="Times New Roman" w:cs="David" w:hint="cs"/>
          <w:color w:val="000000"/>
          <w:rtl/>
          <w:lang w:eastAsia="he-IL"/>
        </w:rPr>
        <w:t xml:space="preserve">, מביאים לחסימת מרבית הביקוש לגז טבעי של דליה ב-17 השנים הקרובות. שכן, כמות הגז בהסכם הנקבעת על ידי שיעור ה- </w:t>
      </w:r>
      <w:r>
        <w:rPr>
          <w:rFonts w:eastAsia="Times New Roman" w:cs="David"/>
          <w:color w:val="000000"/>
          <w:lang w:eastAsia="he-IL"/>
        </w:rPr>
        <w:t>Take or Pay</w:t>
      </w:r>
      <w:r>
        <w:rPr>
          <w:rFonts w:eastAsia="Times New Roman" w:cs="David" w:hint="cs"/>
          <w:color w:val="000000"/>
          <w:rtl/>
          <w:lang w:eastAsia="he-IL"/>
        </w:rPr>
        <w:t xml:space="preserve"> קובעת, הלכה למעשה, את היקף הביקוש הנחסם באותו הסכם מפניהם של ספקי גז מתחרים. </w:t>
      </w:r>
    </w:p>
    <w:p w:rsidR="00000000" w:rsidRDefault="00C9525A">
      <w:pPr>
        <w:bidi/>
        <w:spacing w:before="120" w:line="360" w:lineRule="auto"/>
        <w:jc w:val="both"/>
        <w:rPr>
          <w:rFonts w:hint="cs"/>
          <w:rtl/>
        </w:rPr>
      </w:pPr>
      <w:r>
        <w:rPr>
          <w:rFonts w:eastAsia="Times New Roman" w:cs="David" w:hint="cs"/>
          <w:color w:val="000000"/>
          <w:rtl/>
          <w:lang w:eastAsia="he-IL"/>
        </w:rPr>
        <w:t xml:space="preserve">בנסיבות כאן, השוק הרלוונטי לבחינת השפעתו של ההסכם הוא השוק לאספקת גז טבעי לתחנת הכח דליה. שכן, עמדתי היא שאין תחליפים של ממש לגז טבעי לתחנות הכח כדוגמתה של דליה וכן ברי וברור שביכולתו של מונופול היפותטי באספקתו של גז זה, ליישם אפליה מושלמת בין כל אחד ואחד </w:t>
      </w:r>
      <w:r>
        <w:rPr>
          <w:rFonts w:eastAsia="Times New Roman" w:cs="David" w:hint="cs"/>
          <w:color w:val="000000"/>
          <w:rtl/>
          <w:lang w:eastAsia="he-IL"/>
        </w:rPr>
        <w:t>מלקוחותיו. בתנאים אלו קמה הצדקה ברורה להגדרת שוק רלוונטי לכל לקוח בנפרד.</w:t>
      </w:r>
      <w:r>
        <w:rPr>
          <w:rFonts w:eastAsia="Times New Roman" w:cs="David"/>
          <w:color w:val="000000"/>
          <w:vertAlign w:val="superscript"/>
          <w:rtl/>
          <w:lang w:eastAsia="he-IL"/>
        </w:rPr>
        <w:footnoteReference w:id="9"/>
      </w:r>
      <w:r>
        <w:rPr>
          <w:rFonts w:eastAsia="Times New Roman" w:cs="David"/>
          <w:color w:val="000000"/>
          <w:vertAlign w:val="superscript"/>
          <w:lang w:eastAsia="he-IL"/>
        </w:rPr>
        <w:t>[9]</w:t>
      </w:r>
      <w:r>
        <w:rPr>
          <w:rFonts w:eastAsia="Times New Roman" w:cs="David" w:hint="cs"/>
          <w:color w:val="000000"/>
          <w:rtl/>
          <w:lang w:eastAsia="he-IL"/>
        </w:rPr>
        <w:t xml:space="preserve"> משעמדנו על הגדרת השוק, ברי וברור שההסכם שלפניי מקשה עד מאוד את האפשרות של ספק גז עתידי להתחרות על הביקוש של תחנת הכח דליה ובכך יש בו, בנוסחו הקיים, כדי להגביל את התחרות בשוק. </w:t>
      </w:r>
    </w:p>
    <w:p w:rsidR="00000000" w:rsidRDefault="00C9525A">
      <w:pPr>
        <w:bidi/>
        <w:spacing w:before="120" w:line="360" w:lineRule="auto"/>
        <w:jc w:val="both"/>
        <w:rPr>
          <w:rFonts w:hint="cs"/>
          <w:rtl/>
        </w:rPr>
      </w:pPr>
      <w:r>
        <w:rPr>
          <w:rFonts w:eastAsia="Times New Roman" w:cs="David" w:hint="cs"/>
          <w:color w:val="000000"/>
          <w:rtl/>
          <w:lang w:eastAsia="he-IL"/>
        </w:rPr>
        <w:t>כאמ</w:t>
      </w:r>
      <w:r>
        <w:rPr>
          <w:rFonts w:eastAsia="Times New Roman" w:cs="David" w:hint="cs"/>
          <w:color w:val="000000"/>
          <w:rtl/>
          <w:lang w:eastAsia="he-IL"/>
        </w:rPr>
        <w:t>ור, בעת מתן החלטה זו, עמדו לפניי גם שאר הסכמי הגז. בדומה להסכם עם דליה, משכם של הסכמים אלה וכמויות הגז הטבעי הכלולות בכל אחד מהם בדמות תניית ה-</w:t>
      </w:r>
      <w:r>
        <w:rPr>
          <w:rFonts w:eastAsia="Times New Roman" w:cs="David"/>
          <w:color w:val="000000"/>
          <w:lang w:eastAsia="he-IL"/>
        </w:rPr>
        <w:t>Take or Pay</w:t>
      </w:r>
      <w:r>
        <w:rPr>
          <w:rFonts w:eastAsia="Times New Roman" w:cs="David" w:hint="cs"/>
          <w:color w:val="000000"/>
          <w:rtl/>
          <w:lang w:eastAsia="he-IL"/>
        </w:rPr>
        <w:t>, חוסמים הלכה למעשה את מרבית הביקוש לגז טבעי של כל אחד מן הצרכנים החתומים על</w:t>
      </w:r>
      <w:r>
        <w:rPr>
          <w:rFonts w:eastAsia="Times New Roman" w:cs="David" w:hint="cs"/>
          <w:color w:val="000000"/>
          <w:sz w:val="22"/>
          <w:rtl/>
          <w:lang w:eastAsia="he-IL"/>
        </w:rPr>
        <w:t xml:space="preserve"> ההסכמים למשך שנים רבות, ב</w:t>
      </w:r>
      <w:r>
        <w:rPr>
          <w:rFonts w:eastAsia="Times New Roman" w:cs="David" w:hint="cs"/>
          <w:color w:val="000000"/>
          <w:sz w:val="22"/>
          <w:rtl/>
          <w:lang w:eastAsia="he-IL"/>
        </w:rPr>
        <w:t xml:space="preserve">אופן שעלול לפגוע בתמריץ לכניסתו של ספק גז טבעי נוסף בעתיד. למעשה, השפעתו התחרותית של ההסכם דנא, כמו גם השפעתו של כל אחד משאר הסכמי הגז הינה בחסימת חלק משמעותי מהביקוש של כל אחד מהם לגז טבעי במשק הישראלי בשנים הבאות. </w:t>
      </w:r>
    </w:p>
    <w:p w:rsidR="00000000" w:rsidRDefault="00C9525A">
      <w:pPr>
        <w:bidi/>
        <w:spacing w:before="120" w:line="360" w:lineRule="auto"/>
        <w:jc w:val="both"/>
        <w:rPr>
          <w:rFonts w:hint="cs"/>
          <w:rtl/>
        </w:rPr>
      </w:pPr>
      <w:r>
        <w:rPr>
          <w:rFonts w:eastAsia="Times New Roman" w:cs="David" w:hint="cs"/>
          <w:color w:val="000000"/>
          <w:sz w:val="22"/>
          <w:rtl/>
          <w:lang w:eastAsia="he-IL"/>
        </w:rPr>
        <w:t xml:space="preserve">על הבעייתיות הגלומה בהסכמים ארוכי טווח </w:t>
      </w:r>
      <w:r>
        <w:rPr>
          <w:rFonts w:eastAsia="Times New Roman" w:cs="David" w:hint="cs"/>
          <w:color w:val="000000"/>
          <w:sz w:val="22"/>
          <w:rtl/>
          <w:lang w:eastAsia="he-IL"/>
        </w:rPr>
        <w:t xml:space="preserve">לאספקת גז טבעי והשפעתם על התחרותיות בשוק אספקת הגז, ניתן ללמוד מדבריו של המלומד </w:t>
      </w:r>
      <w:r>
        <w:rPr>
          <w:rFonts w:eastAsia="Times New Roman" w:cs="David"/>
          <w:color w:val="000000"/>
          <w:lang w:eastAsia="he-IL"/>
        </w:rPr>
        <w:t>Cameron</w:t>
      </w:r>
      <w:r>
        <w:rPr>
          <w:rFonts w:eastAsia="Times New Roman" w:cs="David" w:hint="cs"/>
          <w:color w:val="000000"/>
          <w:sz w:val="22"/>
          <w:rtl/>
          <w:lang w:eastAsia="he-IL"/>
        </w:rPr>
        <w:t xml:space="preserve"> בספרו </w:t>
      </w:r>
      <w:r>
        <w:rPr>
          <w:rFonts w:eastAsia="Times New Roman" w:cs="David"/>
          <w:color w:val="000000"/>
          <w:lang w:eastAsia="he-IL"/>
        </w:rPr>
        <w:t>Competition in Energy Markets</w:t>
      </w:r>
      <w:r>
        <w:rPr>
          <w:rFonts w:eastAsia="Times New Roman" w:cs="David" w:hint="cs"/>
          <w:color w:val="000000"/>
          <w:sz w:val="22"/>
          <w:rtl/>
          <w:lang w:eastAsia="he-IL"/>
        </w:rPr>
        <w:t>:</w:t>
      </w:r>
    </w:p>
    <w:p w:rsidR="00000000" w:rsidRDefault="00C9525A">
      <w:pPr>
        <w:spacing w:before="120"/>
        <w:ind w:left="851" w:right="1219"/>
        <w:jc w:val="both"/>
        <w:rPr>
          <w:rFonts w:hint="cs"/>
          <w:rtl/>
        </w:rPr>
      </w:pPr>
      <w:r>
        <w:rPr>
          <w:rFonts w:eastAsia="Times New Roman" w:cs="David" w:hint="cs"/>
          <w:color w:val="000000"/>
          <w:rtl/>
          <w:lang w:eastAsia="he-IL"/>
        </w:rPr>
        <w:t>"</w:t>
      </w:r>
      <w:r>
        <w:rPr>
          <w:rFonts w:eastAsia="Times New Roman" w:cs="David"/>
          <w:color w:val="000000"/>
          <w:lang w:eastAsia="he-IL"/>
        </w:rPr>
        <w:t>Contracts for gas supply have been concluded on terms which provide incentives to customers not to switch to alternative suppliers</w:t>
      </w:r>
      <w:r>
        <w:rPr>
          <w:rFonts w:eastAsia="Times New Roman" w:cs="David"/>
          <w:color w:val="000000"/>
          <w:lang w:eastAsia="he-IL"/>
        </w:rPr>
        <w:t>. These are long-term contracts with many years to run and which therefore lock in consumers who might otherwise seek to benefit from competition developing in the sector. Such contracts can also delay the ability of alternative suppliers to build up their</w:t>
      </w:r>
      <w:r>
        <w:rPr>
          <w:rFonts w:eastAsia="Times New Roman" w:cs="David"/>
          <w:color w:val="000000"/>
          <w:lang w:eastAsia="he-IL"/>
        </w:rPr>
        <w:t xml:space="preserve"> market share to compete effectively, allowing incumbents to benefit from economies of scale in the gas supply market (the high cost of balancing and flexibility declines as supplied gas volumes increase). These contracts may therefore have the effect of f</w:t>
      </w:r>
      <w:r>
        <w:rPr>
          <w:rFonts w:eastAsia="Times New Roman" w:cs="David"/>
          <w:color w:val="000000"/>
          <w:lang w:eastAsia="he-IL"/>
        </w:rPr>
        <w:t>oreclosing the markets to would-be market entrants. If the contracts are not indispensable to generate countervailing benefits to consumers, they may give rise to competition concerns</w:t>
      </w:r>
      <w:r>
        <w:rPr>
          <w:rFonts w:eastAsia="Times New Roman" w:cs="David"/>
          <w:color w:val="000000"/>
          <w:vertAlign w:val="superscript"/>
          <w:rtl/>
          <w:lang w:eastAsia="he-IL"/>
        </w:rPr>
        <w:footnoteReference w:id="10"/>
      </w:r>
      <w:r>
        <w:rPr>
          <w:rFonts w:eastAsia="Times New Roman" w:cs="David"/>
          <w:color w:val="000000"/>
          <w:vertAlign w:val="superscript"/>
          <w:lang w:eastAsia="he-IL"/>
        </w:rPr>
        <w:t>[10]</w:t>
      </w:r>
      <w:r>
        <w:rPr>
          <w:rFonts w:eastAsia="Times New Roman" w:cs="David" w:hint="cs"/>
          <w:color w:val="000000"/>
          <w:rtl/>
          <w:lang w:eastAsia="he-IL"/>
        </w:rPr>
        <w:t>."</w:t>
      </w:r>
    </w:p>
    <w:p w:rsidR="00000000" w:rsidRDefault="00C9525A">
      <w:pPr>
        <w:bidi/>
        <w:spacing w:before="120" w:line="360" w:lineRule="auto"/>
        <w:jc w:val="both"/>
        <w:rPr>
          <w:rFonts w:hint="cs"/>
        </w:rPr>
      </w:pPr>
      <w:r>
        <w:rPr>
          <w:rFonts w:eastAsia="Times New Roman" w:cs="David" w:hint="cs"/>
          <w:color w:val="000000"/>
          <w:sz w:val="22"/>
          <w:rtl/>
          <w:lang w:eastAsia="he-IL"/>
        </w:rPr>
        <w:t> </w:t>
      </w:r>
    </w:p>
    <w:p w:rsidR="00000000" w:rsidRDefault="00C9525A">
      <w:pPr>
        <w:bidi/>
        <w:spacing w:before="120" w:line="360" w:lineRule="auto"/>
        <w:jc w:val="both"/>
        <w:rPr>
          <w:rFonts w:hint="cs"/>
          <w:rtl/>
        </w:rPr>
      </w:pPr>
      <w:r>
        <w:rPr>
          <w:rFonts w:eastAsia="Times New Roman" w:cs="David" w:hint="cs"/>
          <w:color w:val="000000"/>
          <w:sz w:val="22"/>
          <w:rtl/>
          <w:lang w:eastAsia="he-IL"/>
        </w:rPr>
        <w:t>בנוסף לחשש לפגיעה התחרותית במקטע אספקת הגז הטבעי, קיים חשש עתיד</w:t>
      </w:r>
      <w:r>
        <w:rPr>
          <w:rFonts w:eastAsia="Times New Roman" w:cs="David" w:hint="cs"/>
          <w:color w:val="000000"/>
          <w:sz w:val="22"/>
          <w:rtl/>
          <w:lang w:eastAsia="he-IL"/>
        </w:rPr>
        <w:t>י הנוגע לתחרות במקטע ייצור החשמל ובין מפעלי התעשייה, אשר הגז הטבעי מהווה תשומה מרכזית בפעילותם השוטפת. חשש זה נובע מקיומה של מגבלת קיבולת בצינורות ההזרמה ובמתקן הקבלה של הגז הטבעי המצוי בחוף אשדוד, העלולה להתממש בשנת 2015 (להלן: "</w:t>
      </w:r>
      <w:r>
        <w:rPr>
          <w:rStyle w:val="Strong"/>
          <w:rFonts w:eastAsia="Times New Roman" w:cs="David" w:hint="cs"/>
          <w:color w:val="000000"/>
          <w:sz w:val="22"/>
          <w:rtl/>
          <w:lang w:eastAsia="he-IL"/>
        </w:rPr>
        <w:t>מגבלת התשתית</w:t>
      </w:r>
      <w:r>
        <w:rPr>
          <w:rFonts w:eastAsia="Times New Roman" w:cs="David" w:hint="cs"/>
          <w:color w:val="000000"/>
          <w:sz w:val="22"/>
          <w:rtl/>
          <w:lang w:eastAsia="he-IL"/>
        </w:rPr>
        <w:t xml:space="preserve">"). </w:t>
      </w:r>
    </w:p>
    <w:p w:rsidR="00000000" w:rsidRDefault="00C9525A">
      <w:pPr>
        <w:bidi/>
        <w:spacing w:before="120" w:line="360" w:lineRule="auto"/>
        <w:jc w:val="both"/>
        <w:rPr>
          <w:rFonts w:hint="cs"/>
          <w:rtl/>
        </w:rPr>
      </w:pPr>
      <w:r>
        <w:rPr>
          <w:rFonts w:eastAsia="Times New Roman" w:cs="David" w:hint="cs"/>
          <w:color w:val="000000"/>
          <w:sz w:val="22"/>
          <w:rtl/>
          <w:lang w:eastAsia="he-IL"/>
        </w:rPr>
        <w:t>על אף שכמ</w:t>
      </w:r>
      <w:r>
        <w:rPr>
          <w:rFonts w:eastAsia="Times New Roman" w:cs="David" w:hint="cs"/>
          <w:color w:val="000000"/>
          <w:sz w:val="22"/>
          <w:rtl/>
          <w:lang w:eastAsia="he-IL"/>
        </w:rPr>
        <w:t>ויות הגז הטבעי במאגר תמר יכולות לספק את כלל הביקוש לגז טבעי במשק הישראלי לשנים הקרובות, מגבלת התשתית יוצרת מציאות של מחסור לפיה לא ניתן מבחינה טכנית לעשות זאת. על כן, במצב הנוכחי ונוכח מגבלת התשתית, הביקוש לגז טבעי בשנת 2015 צפוי להיות גבוה מכמות הגז שניתן</w:t>
      </w:r>
      <w:r>
        <w:rPr>
          <w:rFonts w:eastAsia="Times New Roman" w:cs="David" w:hint="cs"/>
          <w:color w:val="000000"/>
          <w:sz w:val="22"/>
          <w:rtl/>
          <w:lang w:eastAsia="he-IL"/>
        </w:rPr>
        <w:t xml:space="preserve"> לספק למשק כיום. </w:t>
      </w:r>
    </w:p>
    <w:p w:rsidR="00000000" w:rsidRDefault="00C9525A">
      <w:pPr>
        <w:bidi/>
        <w:spacing w:before="120" w:line="360" w:lineRule="auto"/>
        <w:jc w:val="both"/>
        <w:rPr>
          <w:rFonts w:hint="cs"/>
          <w:rtl/>
        </w:rPr>
      </w:pPr>
      <w:r>
        <w:rPr>
          <w:rFonts w:eastAsia="Times New Roman" w:cs="David" w:hint="cs"/>
          <w:color w:val="000000"/>
          <w:sz w:val="22"/>
          <w:rtl/>
          <w:lang w:eastAsia="he-IL"/>
        </w:rPr>
        <w:t>לצד החששות התחרותיים שההסדר מעלה כאמור, יש ליתן את הדעת למאפייניו של ענף הגז הטבעי הכרוך בהשקעות הון עצומות, הן מצד ספקי הגז המשקיעים בחיפושי הגז ובהפקתו, והן מצד יצרני החשמל ומפעלי התעשייה (להלן: "</w:t>
      </w:r>
      <w:r>
        <w:rPr>
          <w:rStyle w:val="Strong"/>
          <w:rFonts w:eastAsia="Times New Roman" w:cs="David" w:hint="cs"/>
          <w:color w:val="000000"/>
          <w:sz w:val="22"/>
          <w:rtl/>
          <w:lang w:eastAsia="he-IL"/>
        </w:rPr>
        <w:t>צרכני הגז הטבעי</w:t>
      </w:r>
      <w:r>
        <w:rPr>
          <w:rFonts w:eastAsia="Times New Roman" w:cs="David" w:hint="cs"/>
          <w:color w:val="000000"/>
          <w:sz w:val="22"/>
          <w:rtl/>
          <w:lang w:eastAsia="he-IL"/>
        </w:rPr>
        <w:t xml:space="preserve">") המשקיעים בהקמה ובהסבה </w:t>
      </w:r>
      <w:r>
        <w:rPr>
          <w:rFonts w:eastAsia="Times New Roman" w:cs="David" w:hint="cs"/>
          <w:color w:val="000000"/>
          <w:sz w:val="22"/>
          <w:rtl/>
          <w:lang w:eastAsia="he-IL"/>
        </w:rPr>
        <w:t>של תחנות כוח להפקת אנרגיה בשימוש בגז טבעי. מאפיינים אלה מביאים הרבה פעמים לזהות אינטרסים בין ספק הגז וצרכן הגז, באשר לרצונם להתקשר בהסכמים ארוכי טווח הכוללים הבטחה של כמות גז מינימאלית, עליה מתחייב צרכן הגז לשלם אף אם לא צרך אותה בפועל. התחייבות זו נועדה ל</w:t>
      </w:r>
      <w:r>
        <w:rPr>
          <w:rFonts w:eastAsia="Times New Roman" w:cs="David" w:hint="cs"/>
          <w:color w:val="000000"/>
          <w:sz w:val="22"/>
          <w:rtl/>
          <w:lang w:eastAsia="he-IL"/>
        </w:rPr>
        <w:t>הבטיח ביקוש מספק לצורך הבטחת המימון הנדרש לפרוייקט הפקת הגז הטבעי, והיא אף מסייעת לצרכן הגז בהשגת המימון הדרוש לו, שכן היא מלמדת על הסתברות ההצלחה של הקמת המתקנים הדרושים לייצור אנרגיה, אשר נסמכים במידה רבה, על אספקה קבועה של גז טבעי.</w:t>
      </w:r>
      <w:r>
        <w:rPr>
          <w:rFonts w:eastAsia="Times New Roman" w:cs="David"/>
          <w:color w:val="000000"/>
          <w:sz w:val="22"/>
          <w:vertAlign w:val="superscript"/>
          <w:rtl/>
          <w:lang w:eastAsia="he-IL"/>
        </w:rPr>
        <w:footnoteReference w:id="11"/>
      </w:r>
      <w:r>
        <w:rPr>
          <w:rFonts w:eastAsia="Times New Roman" w:cs="David"/>
          <w:color w:val="000000"/>
          <w:sz w:val="22"/>
          <w:vertAlign w:val="superscript"/>
          <w:lang w:eastAsia="he-IL"/>
        </w:rPr>
        <w:t>[11]</w:t>
      </w:r>
      <w:r>
        <w:rPr>
          <w:rFonts w:eastAsia="Times New Roman" w:cs="David" w:hint="cs"/>
          <w:color w:val="000000"/>
          <w:sz w:val="22"/>
          <w:rtl/>
          <w:lang w:eastAsia="he-IL"/>
        </w:rPr>
        <w:t xml:space="preserve">  </w:t>
      </w:r>
    </w:p>
    <w:p w:rsidR="00000000" w:rsidRDefault="00C9525A">
      <w:pPr>
        <w:bidi/>
        <w:spacing w:before="120" w:line="360" w:lineRule="auto"/>
        <w:jc w:val="both"/>
        <w:rPr>
          <w:rFonts w:hint="cs"/>
          <w:rtl/>
        </w:rPr>
      </w:pPr>
      <w:r>
        <w:rPr>
          <w:rFonts w:eastAsia="Times New Roman" w:cs="David" w:hint="cs"/>
          <w:color w:val="000000"/>
          <w:sz w:val="22"/>
          <w:rtl/>
          <w:lang w:eastAsia="he-IL"/>
        </w:rPr>
        <w:t>ככלל, במסגרת ב</w:t>
      </w:r>
      <w:r>
        <w:rPr>
          <w:rFonts w:eastAsia="Times New Roman" w:cs="David" w:hint="cs"/>
          <w:color w:val="000000"/>
          <w:sz w:val="22"/>
          <w:rtl/>
          <w:lang w:eastAsia="he-IL"/>
        </w:rPr>
        <w:t>חינת ההשלכות התחרותיות של הסכמים לאספקת גז טבעי ממאגרים ותשתיות חדשים, נהוג להעניק משקל לאילוצי המימון (של הספק ושל הצרכן) ולהסתברות הסיכוי שהפרויקט לא ייצא אל הפועל כמתוכנן אם הצדדים לא יוכלו להבטיח את כמויות הגז הטבעי ואת משכו של הסכם אספקת הגז. עיכוב בא</w:t>
      </w:r>
      <w:r>
        <w:rPr>
          <w:rFonts w:eastAsia="Times New Roman" w:cs="David" w:hint="cs"/>
          <w:color w:val="000000"/>
          <w:sz w:val="22"/>
          <w:rtl/>
          <w:lang w:eastAsia="he-IL"/>
        </w:rPr>
        <w:t xml:space="preserve">ספקת גז מתמר עלול, בסבירות גבוהה, לחייב את הלקוחות לרכוש מקורות אנרגיה יקרים באופן משמעותי, בין שמדובר בדלקים (סולר או מזוט) ובין שמדובר בגז ממקורות אחרים.  </w:t>
      </w:r>
    </w:p>
    <w:p w:rsidR="00000000" w:rsidRDefault="00C9525A">
      <w:pPr>
        <w:bidi/>
        <w:spacing w:before="120" w:line="360" w:lineRule="auto"/>
        <w:jc w:val="both"/>
        <w:rPr>
          <w:rFonts w:hint="cs"/>
          <w:rtl/>
        </w:rPr>
      </w:pPr>
      <w:r>
        <w:rPr>
          <w:rFonts w:eastAsia="Times New Roman" w:cs="David" w:hint="cs"/>
          <w:color w:val="000000"/>
          <w:sz w:val="22"/>
          <w:rtl/>
          <w:lang w:eastAsia="he-IL"/>
        </w:rPr>
        <w:t>זאת, להבדיל מחוזים לאספקת גז טבעי מתשתיות קיימות, אשר לגביהם, בדרך כלל, נעדרת ההצדקה בדבר הבטחת המימון לשם הקמת התשתית.</w:t>
      </w:r>
      <w:r>
        <w:rPr>
          <w:rFonts w:eastAsia="Times New Roman" w:cs="David"/>
          <w:color w:val="000000"/>
          <w:sz w:val="22"/>
          <w:vertAlign w:val="superscript"/>
          <w:rtl/>
          <w:lang w:eastAsia="he-IL"/>
        </w:rPr>
        <w:footnoteReference w:id="12"/>
      </w:r>
      <w:r>
        <w:rPr>
          <w:rFonts w:eastAsia="Times New Roman" w:cs="David"/>
          <w:color w:val="000000"/>
          <w:sz w:val="22"/>
          <w:vertAlign w:val="superscript"/>
          <w:lang w:eastAsia="he-IL"/>
        </w:rPr>
        <w:t>[12]</w:t>
      </w:r>
      <w:r>
        <w:rPr>
          <w:rFonts w:eastAsia="Times New Roman" w:cs="David" w:hint="cs"/>
          <w:color w:val="000000"/>
          <w:sz w:val="22"/>
          <w:rtl/>
          <w:lang w:eastAsia="he-IL"/>
        </w:rPr>
        <w:t xml:space="preserve"> </w:t>
      </w:r>
    </w:p>
    <w:p w:rsidR="00000000" w:rsidRDefault="00C9525A">
      <w:pPr>
        <w:bidi/>
        <w:spacing w:before="120" w:line="360" w:lineRule="auto"/>
        <w:jc w:val="both"/>
        <w:rPr>
          <w:rFonts w:hint="cs"/>
          <w:rtl/>
        </w:rPr>
      </w:pPr>
      <w:r>
        <w:rPr>
          <w:rFonts w:eastAsia="Times New Roman" w:cs="David" w:hint="cs"/>
          <w:color w:val="000000"/>
          <w:sz w:val="22"/>
          <w:rtl/>
          <w:lang w:eastAsia="he-IL"/>
        </w:rPr>
        <w:t>להמחשה, במאגרי הגז הטבעי 'לויתן', 'תנין' ו'דולפין' גז טבעי, אך הם טרם הוכרזו כמאגרים ברי הפקה. על פי המידע שלפניי, אספקת גז טבעי מ</w:t>
      </w:r>
      <w:r>
        <w:rPr>
          <w:rFonts w:eastAsia="Times New Roman" w:cs="David" w:hint="cs"/>
          <w:color w:val="000000"/>
          <w:sz w:val="22"/>
          <w:rtl/>
          <w:lang w:eastAsia="he-IL"/>
        </w:rPr>
        <w:t>מאגרים אלה עשויה להתחיל בשנת 2017 לכל המוקדם. אולם, פיתוחם כרוך כאמור בהשקעות הון עצומות. לפיכך, כניסתם (או כניסתה של כל תגלית דומה אחרת) לשוק בעתיד, מותנית, במידה רבה, בהבטחת ביקוש מספק, שיש בו לתמוך באפשרות השגת מימון לפיתוח המאגרים ולתמרץ יזמים בתחום לה</w:t>
      </w:r>
      <w:r>
        <w:rPr>
          <w:rFonts w:eastAsia="Times New Roman" w:cs="David" w:hint="cs"/>
          <w:color w:val="000000"/>
          <w:sz w:val="22"/>
          <w:rtl/>
          <w:lang w:eastAsia="he-IL"/>
        </w:rPr>
        <w:t xml:space="preserve">יכנס לשוק. </w:t>
      </w:r>
    </w:p>
    <w:p w:rsidR="00000000" w:rsidRDefault="00C9525A">
      <w:pPr>
        <w:bidi/>
        <w:spacing w:before="120" w:line="360" w:lineRule="auto"/>
        <w:jc w:val="both"/>
        <w:rPr>
          <w:rFonts w:hint="cs"/>
          <w:rtl/>
        </w:rPr>
      </w:pPr>
      <w:r>
        <w:rPr>
          <w:rFonts w:eastAsia="Times New Roman" w:cs="David" w:hint="cs"/>
          <w:color w:val="000000"/>
          <w:sz w:val="22"/>
          <w:rtl/>
          <w:lang w:eastAsia="he-IL"/>
        </w:rPr>
        <w:t xml:space="preserve">בחינת ההשפעה התחרותית של ההסכם שלפניי צריכה להיעשות הן ביחס להשפעתו שלו על התחרות, נוכח היותה של דליה, כאמור, שוק רלוונטי לאספקת גז בפני עצמה, והן ביחס להשפעה הכוללת של הסכמי הגז על התחרות באספקת גז ובייצור חשמל. </w:t>
      </w:r>
    </w:p>
    <w:p w:rsidR="00000000" w:rsidRDefault="00C9525A">
      <w:pPr>
        <w:bidi/>
        <w:spacing w:before="120" w:line="360" w:lineRule="auto"/>
        <w:jc w:val="both"/>
        <w:rPr>
          <w:rFonts w:hint="cs"/>
          <w:rtl/>
        </w:rPr>
      </w:pPr>
      <w:r>
        <w:rPr>
          <w:rFonts w:eastAsia="Times New Roman" w:cs="David" w:hint="cs"/>
          <w:color w:val="000000"/>
          <w:sz w:val="22"/>
          <w:rtl/>
          <w:lang w:eastAsia="he-IL"/>
        </w:rPr>
        <w:t>לאור האמור, לאחר שבחנתי את ההסדר שלפניי, ואת הסכמי הגז לאספקת גז טבעי ממאגר תמר אשר הובאו לעיוני, ולאחר התייעצות עם הרשות לשירותים ציבוריים – חשמל, הגעתי לכלל המסקנה כי יש להעניק פטור להסדר בכפוף לשורה של תנאים. תנאים אלה נועדו להפיג את החששות התחרותיים שמ</w:t>
      </w:r>
      <w:r>
        <w:rPr>
          <w:rFonts w:eastAsia="Times New Roman" w:cs="David" w:hint="cs"/>
          <w:color w:val="000000"/>
          <w:sz w:val="22"/>
          <w:rtl/>
          <w:lang w:eastAsia="he-IL"/>
        </w:rPr>
        <w:t xml:space="preserve">עלה ההסדר שלפני והם נגזרים ממתווה כללי אשר ינחה אותי ביחס להסכמי גז אחרים שיובאו לבחינתי, וזאת כמובן בכפוף לבחינה פרטנית של כל אחד ואחד מהם ולשמיעה של כל צד מעוניין. </w:t>
      </w:r>
    </w:p>
    <w:p w:rsidR="00000000" w:rsidRDefault="00C9525A">
      <w:pPr>
        <w:bidi/>
        <w:spacing w:before="120" w:line="360" w:lineRule="auto"/>
        <w:jc w:val="both"/>
        <w:rPr>
          <w:rFonts w:hint="cs"/>
          <w:rtl/>
        </w:rPr>
      </w:pPr>
      <w:r>
        <w:rPr>
          <w:rFonts w:eastAsia="Times New Roman" w:cs="David" w:hint="cs"/>
          <w:color w:val="000000"/>
          <w:sz w:val="22"/>
          <w:rtl/>
          <w:lang w:eastAsia="he-IL"/>
        </w:rPr>
        <w:t>בטרם אגש לפירוט התנאים אעמוד בקצרה על המתווה הכללי אשר ממנו נגזרו התנאים שלהלן ועל הרציונ</w:t>
      </w:r>
      <w:r>
        <w:rPr>
          <w:rFonts w:eastAsia="Times New Roman" w:cs="David" w:hint="cs"/>
          <w:color w:val="000000"/>
          <w:sz w:val="22"/>
          <w:rtl/>
          <w:lang w:eastAsia="he-IL"/>
        </w:rPr>
        <w:t xml:space="preserve">ל העומד בבסיסו. </w:t>
      </w:r>
    </w:p>
    <w:p w:rsidR="00000000" w:rsidRDefault="00C9525A">
      <w:pPr>
        <w:bidi/>
        <w:spacing w:before="120" w:line="360" w:lineRule="auto"/>
        <w:jc w:val="both"/>
        <w:rPr>
          <w:rFonts w:hint="cs"/>
          <w:rtl/>
        </w:rPr>
      </w:pPr>
      <w:r>
        <w:rPr>
          <w:rFonts w:eastAsia="Times New Roman" w:cs="David" w:hint="cs"/>
          <w:color w:val="000000"/>
          <w:sz w:val="22"/>
          <w:rtl/>
          <w:lang w:eastAsia="he-IL"/>
        </w:rPr>
        <w:t>ראשית, יידרשו תיקונים נקודתיים בהסכמי הגז, ללא שינוי יתר התנאים המסחריים בהם. במסגרת תיקונים אלה, תינתן לכל צרכני הגז, מלבד חברת חשמל, האפשרות לבחור בין קיצור מראש של משך ההסכם והעמדתו על 7 שנים מיום אספקת הגז בפועל (להלן: "</w:t>
      </w:r>
      <w:r>
        <w:rPr>
          <w:rStyle w:val="Strong"/>
          <w:rFonts w:eastAsia="Times New Roman" w:cs="David" w:hint="cs"/>
          <w:color w:val="000000"/>
          <w:sz w:val="22"/>
          <w:rtl/>
          <w:lang w:eastAsia="he-IL"/>
        </w:rPr>
        <w:t>חלופת קיצור ההס</w:t>
      </w:r>
      <w:r>
        <w:rPr>
          <w:rStyle w:val="Strong"/>
          <w:rFonts w:eastAsia="Times New Roman" w:cs="David" w:hint="cs"/>
          <w:color w:val="000000"/>
          <w:sz w:val="22"/>
          <w:rtl/>
          <w:lang w:eastAsia="he-IL"/>
        </w:rPr>
        <w:t>כם</w:t>
      </w:r>
      <w:r>
        <w:rPr>
          <w:rFonts w:eastAsia="Times New Roman" w:cs="David" w:hint="cs"/>
          <w:color w:val="000000"/>
          <w:sz w:val="22"/>
          <w:rtl/>
          <w:lang w:eastAsia="he-IL"/>
        </w:rPr>
        <w:t>"), לבין מתן הודעה, במסגרת חלון זמנים כמפורט בתנאים להלן, על הפחתת כמות הגז בהסכם, באופן שהכמות המינימאלית עליה יחויב לשלם צרכן הגז (</w:t>
      </w:r>
      <w:r>
        <w:rPr>
          <w:rFonts w:eastAsia="Times New Roman" w:cs="David"/>
          <w:color w:val="000000"/>
          <w:lang w:eastAsia="he-IL"/>
        </w:rPr>
        <w:t>Take or Pay</w:t>
      </w:r>
      <w:r>
        <w:rPr>
          <w:rFonts w:eastAsia="Times New Roman" w:cs="David" w:hint="cs"/>
          <w:color w:val="000000"/>
          <w:sz w:val="22"/>
          <w:rtl/>
          <w:lang w:eastAsia="he-IL"/>
        </w:rPr>
        <w:t>) לא תעלה על 50% מכמות הצריכה בפועל הממוצעת של אותו צרכן גז בשלוש השנים שקדמו למועד הודעתו (להלן: "</w:t>
      </w:r>
      <w:r>
        <w:rPr>
          <w:rStyle w:val="Strong"/>
          <w:rFonts w:eastAsia="Times New Roman" w:cs="David" w:hint="cs"/>
          <w:color w:val="000000"/>
          <w:sz w:val="22"/>
          <w:rtl/>
          <w:lang w:eastAsia="he-IL"/>
        </w:rPr>
        <w:t>חלופת הפחתת</w:t>
      </w:r>
      <w:r>
        <w:rPr>
          <w:rStyle w:val="Strong"/>
          <w:rFonts w:eastAsia="Times New Roman" w:cs="David" w:hint="cs"/>
          <w:color w:val="000000"/>
          <w:sz w:val="22"/>
          <w:rtl/>
          <w:lang w:eastAsia="he-IL"/>
        </w:rPr>
        <w:t xml:space="preserve"> הכמות</w:t>
      </w:r>
      <w:r>
        <w:rPr>
          <w:rFonts w:eastAsia="Times New Roman" w:cs="David" w:hint="cs"/>
          <w:color w:val="000000"/>
          <w:sz w:val="22"/>
          <w:rtl/>
          <w:lang w:eastAsia="he-IL"/>
        </w:rPr>
        <w:t xml:space="preserve">"). </w:t>
      </w:r>
    </w:p>
    <w:p w:rsidR="00000000" w:rsidRDefault="00C9525A">
      <w:pPr>
        <w:bidi/>
        <w:spacing w:before="120" w:line="360" w:lineRule="auto"/>
        <w:jc w:val="both"/>
        <w:rPr>
          <w:rFonts w:hint="cs"/>
          <w:rtl/>
        </w:rPr>
      </w:pPr>
      <w:r>
        <w:rPr>
          <w:rFonts w:eastAsia="Times New Roman" w:cs="David" w:hint="cs"/>
          <w:color w:val="000000"/>
          <w:sz w:val="22"/>
          <w:rtl/>
          <w:lang w:eastAsia="he-IL"/>
        </w:rPr>
        <w:t xml:space="preserve">עם קביעת הכמות המינימאלית עליה יחויב צרכן הגז לשלם בהתאם לחלופת הפחתת הכמות, יעודכנו כמות הגז השנתית וכמות הגז הכוללת בהסכם בהתאם. </w:t>
      </w:r>
    </w:p>
    <w:p w:rsidR="00000000" w:rsidRDefault="00C9525A">
      <w:pPr>
        <w:bidi/>
        <w:spacing w:before="120" w:line="360" w:lineRule="auto"/>
        <w:jc w:val="both"/>
        <w:rPr>
          <w:rFonts w:hint="cs"/>
          <w:rtl/>
        </w:rPr>
      </w:pPr>
      <w:r>
        <w:rPr>
          <w:rFonts w:eastAsia="Times New Roman" w:cs="David" w:hint="cs"/>
          <w:color w:val="000000"/>
          <w:sz w:val="22"/>
          <w:rtl/>
          <w:lang w:eastAsia="he-IL"/>
        </w:rPr>
        <w:t>תכליתם של תנאים אלו הינה לחשוף לתחרות כמות מהותית וגדולה של ביקוש לגז טבעי במועד בו צפויה כניסה של ספק גז נוסף ול</w:t>
      </w:r>
      <w:r>
        <w:rPr>
          <w:rFonts w:eastAsia="Times New Roman" w:cs="David" w:hint="cs"/>
          <w:color w:val="000000"/>
          <w:sz w:val="22"/>
          <w:rtl/>
          <w:lang w:eastAsia="he-IL"/>
        </w:rPr>
        <w:t xml:space="preserve">הותיר גמישות וכוח מיקוח עתידי בידי צרכן הגז. </w:t>
      </w:r>
    </w:p>
    <w:p w:rsidR="00000000" w:rsidRDefault="00C9525A">
      <w:pPr>
        <w:bidi/>
        <w:spacing w:before="120" w:line="360" w:lineRule="auto"/>
        <w:jc w:val="both"/>
        <w:rPr>
          <w:rFonts w:hint="cs"/>
          <w:rtl/>
        </w:rPr>
      </w:pPr>
      <w:r>
        <w:rPr>
          <w:rFonts w:eastAsia="Times New Roman" w:cs="David" w:hint="cs"/>
          <w:color w:val="000000"/>
          <w:sz w:val="22"/>
          <w:rtl/>
          <w:lang w:eastAsia="he-IL"/>
        </w:rPr>
        <w:t xml:space="preserve">עוד במסגרת התיקונים, יותר לצרכני גז טבעי מלבד חברת חשמל, למכור גז טבעי אשר נרכש על ידם משותפות תמר לצרכני החלוקה (כהגדרת מונח זה בתנאים) כמפורט בתנאים, בהיקף של עד 15% מכמות הגז השנתית (וזאת ללא שינוי במחירו), </w:t>
      </w:r>
      <w:r>
        <w:rPr>
          <w:rFonts w:eastAsia="Times New Roman" w:cs="David" w:hint="cs"/>
          <w:color w:val="000000"/>
          <w:sz w:val="22"/>
          <w:rtl/>
          <w:lang w:eastAsia="he-IL"/>
        </w:rPr>
        <w:t xml:space="preserve">וכן יוסרו כל המגבלות בהסכם על רכישת גז טבעי מספקי גז אחרים.  </w:t>
      </w:r>
    </w:p>
    <w:p w:rsidR="00000000" w:rsidRDefault="00C9525A">
      <w:pPr>
        <w:bidi/>
        <w:spacing w:before="120" w:line="360" w:lineRule="auto"/>
        <w:jc w:val="both"/>
        <w:rPr>
          <w:rFonts w:hint="cs"/>
          <w:rtl/>
        </w:rPr>
      </w:pPr>
      <w:r>
        <w:rPr>
          <w:rFonts w:eastAsia="Times New Roman" w:cs="David" w:hint="cs"/>
          <w:color w:val="000000"/>
          <w:sz w:val="22"/>
          <w:rtl/>
          <w:lang w:eastAsia="he-IL"/>
        </w:rPr>
        <w:t>תכליתו של תנאי זה באפשרות ליצירת שוק משני לגז טבעי במסגרתו יוכלו צרכני הגז הגדולים להתחרות בשותפות תמר במכירת גז לצרכני רשת החלוקה וכמו כן בהענקת גמישות מסוימת לצרכני גז אלה, בדרך של צמצום העלוי</w:t>
      </w:r>
      <w:r>
        <w:rPr>
          <w:rFonts w:eastAsia="Times New Roman" w:cs="David" w:hint="cs"/>
          <w:color w:val="000000"/>
          <w:sz w:val="22"/>
          <w:rtl/>
          <w:lang w:eastAsia="he-IL"/>
        </w:rPr>
        <w:t xml:space="preserve">ות הנובעות מתניית ה- </w:t>
      </w:r>
      <w:r>
        <w:rPr>
          <w:rFonts w:eastAsia="Times New Roman" w:cs="David"/>
          <w:color w:val="000000"/>
          <w:lang w:eastAsia="he-IL"/>
        </w:rPr>
        <w:t>Take or Pay</w:t>
      </w:r>
      <w:r>
        <w:rPr>
          <w:rFonts w:eastAsia="Times New Roman" w:cs="David" w:hint="cs"/>
          <w:color w:val="000000"/>
          <w:sz w:val="22"/>
          <w:rtl/>
          <w:lang w:eastAsia="he-IL"/>
        </w:rPr>
        <w:t xml:space="preserve"> באותם מקרים בהם צריכת הגז על ידם נמוכה מהכמות המינימאלית עליה התחייבו לשלם. בנוסף, בהינתן מגבלת התשתית, שוק משני לאספקת גז טבעי עשוי לתת פתרון לחלק מהצרכנים שאין באפשרותם לרכוש את מלוא הביקוש שלהם ברגע נתון בשל היקפן של ההת</w:t>
      </w:r>
      <w:r>
        <w:rPr>
          <w:rFonts w:eastAsia="Times New Roman" w:cs="David" w:hint="cs"/>
          <w:color w:val="000000"/>
          <w:sz w:val="22"/>
          <w:rtl/>
          <w:lang w:eastAsia="he-IL"/>
        </w:rPr>
        <w:t xml:space="preserve">חייבויות לספק גז שלקחה על עצמה שותפות תמר, ביחס לקיבולת התשתית. </w:t>
      </w:r>
    </w:p>
    <w:p w:rsidR="00000000" w:rsidRDefault="00C9525A">
      <w:pPr>
        <w:bidi/>
        <w:spacing w:before="120" w:line="360" w:lineRule="auto"/>
        <w:jc w:val="both"/>
        <w:rPr>
          <w:rFonts w:hint="cs"/>
          <w:rtl/>
        </w:rPr>
      </w:pPr>
      <w:r>
        <w:rPr>
          <w:rFonts w:eastAsia="Times New Roman" w:cs="David" w:hint="cs"/>
          <w:color w:val="000000"/>
          <w:sz w:val="22"/>
          <w:rtl/>
          <w:lang w:eastAsia="he-IL"/>
        </w:rPr>
        <w:t>בנוסף, שותפות תמר תידרשנה להביא לאישור מערך ההגבלים העסקיים את כל ההסכמים לאספקת  גז טבעי בהם היא קשורה או תתקשר בעתיד.</w:t>
      </w:r>
    </w:p>
    <w:p w:rsidR="00000000" w:rsidRDefault="00C9525A">
      <w:pPr>
        <w:bidi/>
        <w:spacing w:before="120" w:line="360" w:lineRule="auto"/>
        <w:jc w:val="both"/>
        <w:rPr>
          <w:rFonts w:hint="cs"/>
          <w:rtl/>
        </w:rPr>
      </w:pPr>
      <w:r>
        <w:rPr>
          <w:rFonts w:eastAsia="Times New Roman" w:cs="David" w:hint="cs"/>
          <w:color w:val="000000"/>
          <w:sz w:val="22"/>
          <w:rtl/>
          <w:lang w:eastAsia="he-IL"/>
        </w:rPr>
        <w:t>מתווה זה, אינו צפוי לעכב את כניסתה של תמר לשוק (דבר שהיה מוביל לרכישת מ</w:t>
      </w:r>
      <w:r>
        <w:rPr>
          <w:rFonts w:eastAsia="Times New Roman" w:cs="David" w:hint="cs"/>
          <w:color w:val="000000"/>
          <w:sz w:val="22"/>
          <w:rtl/>
          <w:lang w:eastAsia="he-IL"/>
        </w:rPr>
        <w:t xml:space="preserve">קורות אנרגיה אחרים ויקרים הרבה יותר), ובה בעת, יש בו כדי לצמצם את משך ההתקשרויות או את כמויות הגז שנקבעו במסגרתן, בתנאי שוק בו קיים ספק גז טבעי יחיד, תוך יצירת הזדמנות הן לספק גז עתידי להתחרות מול שותפות תמר על לקוחות אלה, והן לאותם צרכני גז לתחר בין יותר </w:t>
      </w:r>
      <w:r>
        <w:rPr>
          <w:rFonts w:eastAsia="Times New Roman" w:cs="David" w:hint="cs"/>
          <w:color w:val="000000"/>
          <w:sz w:val="22"/>
          <w:rtl/>
          <w:lang w:eastAsia="he-IL"/>
        </w:rPr>
        <w:t xml:space="preserve">מספק אחד לגבי חלק משמעותי מתקופת ההסכם. זאת, במועד שבו סביר להניח כי ניתן יהיה לדעת ברמת וודאות מספקת מהי הסתברות כניסתו של ספק גז עתידי לשוק. </w:t>
      </w:r>
    </w:p>
    <w:p w:rsidR="00000000" w:rsidRDefault="00C9525A">
      <w:pPr>
        <w:bidi/>
        <w:spacing w:before="120" w:line="360" w:lineRule="auto"/>
        <w:jc w:val="both"/>
        <w:rPr>
          <w:rFonts w:hint="cs"/>
          <w:rtl/>
        </w:rPr>
      </w:pPr>
      <w:r>
        <w:rPr>
          <w:rFonts w:eastAsia="Times New Roman" w:cs="David" w:hint="cs"/>
          <w:color w:val="000000"/>
          <w:sz w:val="22"/>
          <w:rtl/>
          <w:lang w:eastAsia="he-IL"/>
        </w:rPr>
        <w:t xml:space="preserve">באשר לחששות התחרותיים הנוגעים לתחום ייצור החשמל ולשווקי המשך, הרי שלעת הזו ועד שחברת דליה תחל את פעילותה הצפויה </w:t>
      </w:r>
      <w:r>
        <w:rPr>
          <w:rFonts w:eastAsia="Times New Roman" w:cs="David" w:hint="cs"/>
          <w:color w:val="000000"/>
          <w:sz w:val="22"/>
          <w:rtl/>
          <w:lang w:eastAsia="he-IL"/>
        </w:rPr>
        <w:t>במהלך שנת 2015, מצאתי שמגבלת התשתית אינה צפויה למנוע אספקת גז על ידי שותפות תמר לצרכני גז אחרים עד למועד זה. באשר לתקופה החל מתחילת פעילותה של דליה, רשמתי לפני את התחייבותה של שותפות תמר לפעול בהקדם האפשרי להרחיב את קיבולת התשתית ואת התחייבותה לעשות כן היה</w:t>
      </w:r>
      <w:r>
        <w:rPr>
          <w:rFonts w:eastAsia="Times New Roman" w:cs="David" w:hint="cs"/>
          <w:color w:val="000000"/>
          <w:sz w:val="22"/>
          <w:rtl/>
          <w:lang w:eastAsia="he-IL"/>
        </w:rPr>
        <w:t xml:space="preserve"> וחברת חשמל תממש את האופציה הקבועה בהסכם בינה לבין שותפות תמר. לאור בחינת רשות ההגבלים העסקיים אשר העלתה כי בהינתן התנאים אותם אטיל בהחלטה למתן פטור מאישור הסדר כובל בהתאם לסעיף 14 לחוק, ביחס להסכם בין שותפות תמר ובין חברת החשמל,  ההסתברות למימוש מלא או חל</w:t>
      </w:r>
      <w:r>
        <w:rPr>
          <w:rFonts w:eastAsia="Times New Roman" w:cs="David" w:hint="cs"/>
          <w:color w:val="000000"/>
          <w:sz w:val="22"/>
          <w:rtl/>
          <w:lang w:eastAsia="he-IL"/>
        </w:rPr>
        <w:t xml:space="preserve">קי של האופציה הקבועה בהסכם חברת חשמל היא גבוהה, נחה דעתי כי אין בהסדר שלפני, כדי לפגוע פגיעה של ממש בתחרות בשווקים אלו. מכל מקום, אדגיש כי אין בהחלטתי זו כדי למנוע מהגורמים המוסמכים במדינה להסדיר את נושא הקצאת והגדלת הקיבולת אם וככל שזו תהא במחסור. </w:t>
      </w:r>
    </w:p>
    <w:p w:rsidR="00000000" w:rsidRDefault="00C9525A">
      <w:pPr>
        <w:bidi/>
        <w:spacing w:before="120" w:line="360" w:lineRule="auto"/>
        <w:jc w:val="both"/>
        <w:rPr>
          <w:rFonts w:hint="cs"/>
          <w:rtl/>
        </w:rPr>
      </w:pPr>
      <w:r>
        <w:rPr>
          <w:rFonts w:eastAsia="Times New Roman" w:cs="David" w:hint="cs"/>
          <w:color w:val="000000"/>
          <w:sz w:val="22"/>
          <w:rtl/>
          <w:lang w:eastAsia="he-IL"/>
        </w:rPr>
        <w:t>לאור כ</w:t>
      </w:r>
      <w:r>
        <w:rPr>
          <w:rFonts w:eastAsia="Times New Roman" w:cs="David" w:hint="cs"/>
          <w:color w:val="000000"/>
          <w:sz w:val="22"/>
          <w:rtl/>
          <w:lang w:eastAsia="he-IL"/>
        </w:rPr>
        <w:t>ל האמור, נחה דעתי כי ההסדר ראוי לפטור בכפוף לתנאים שיפרטו להלן.</w:t>
      </w:r>
    </w:p>
    <w:p w:rsidR="00000000" w:rsidRDefault="00C9525A">
      <w:pPr>
        <w:tabs>
          <w:tab w:val="num" w:pos="720"/>
        </w:tabs>
        <w:bidi/>
        <w:spacing w:before="120" w:line="360" w:lineRule="auto"/>
        <w:jc w:val="both"/>
        <w:rPr>
          <w:rFonts w:hint="cs"/>
          <w:rtl/>
        </w:rPr>
      </w:pPr>
      <w:r>
        <w:rPr>
          <w:rStyle w:val="Strong"/>
          <w:rFonts w:eastAsia="Times New Roman" w:cs="David" w:hint="cs"/>
          <w:sz w:val="28"/>
          <w:szCs w:val="28"/>
          <w:rtl/>
          <w:lang w:eastAsia="he-IL"/>
        </w:rPr>
        <w:t> </w:t>
      </w:r>
    </w:p>
    <w:p w:rsidR="00000000" w:rsidRDefault="00C9525A">
      <w:pPr>
        <w:tabs>
          <w:tab w:val="num" w:pos="720"/>
        </w:tabs>
        <w:bidi/>
        <w:spacing w:before="120" w:line="360" w:lineRule="auto"/>
        <w:jc w:val="both"/>
        <w:rPr>
          <w:rFonts w:hint="cs"/>
          <w:rtl/>
        </w:rPr>
      </w:pPr>
      <w:r>
        <w:rPr>
          <w:rStyle w:val="Strong"/>
          <w:rFonts w:eastAsia="Times New Roman" w:cs="David" w:hint="cs"/>
          <w:sz w:val="28"/>
          <w:szCs w:val="28"/>
          <w:rtl/>
          <w:lang w:eastAsia="he-IL"/>
        </w:rPr>
        <w:t> </w:t>
      </w:r>
    </w:p>
    <w:p w:rsidR="00000000" w:rsidRDefault="00C9525A">
      <w:pPr>
        <w:tabs>
          <w:tab w:val="num" w:pos="720"/>
        </w:tabs>
        <w:bidi/>
        <w:spacing w:before="120" w:line="360" w:lineRule="auto"/>
        <w:jc w:val="both"/>
        <w:rPr>
          <w:rFonts w:hint="cs"/>
          <w:rtl/>
        </w:rPr>
      </w:pPr>
      <w:r>
        <w:rPr>
          <w:rStyle w:val="Strong"/>
          <w:rFonts w:eastAsia="Times New Roman" w:cs="David" w:hint="cs"/>
          <w:sz w:val="28"/>
          <w:szCs w:val="28"/>
          <w:rtl/>
          <w:lang w:eastAsia="he-IL"/>
        </w:rPr>
        <w:t> </w:t>
      </w:r>
    </w:p>
    <w:p w:rsidR="00000000" w:rsidRDefault="00C9525A">
      <w:pPr>
        <w:bidi/>
        <w:spacing w:before="120" w:line="360" w:lineRule="auto"/>
        <w:ind w:left="360" w:hanging="360"/>
        <w:jc w:val="both"/>
        <w:rPr>
          <w:rFonts w:hint="cs"/>
          <w:rtl/>
        </w:rPr>
      </w:pPr>
      <w:r>
        <w:rPr>
          <w:rStyle w:val="Strong"/>
          <w:rFonts w:eastAsia="Times New Roman"/>
          <w:sz w:val="28"/>
          <w:szCs w:val="28"/>
          <w:rtl/>
          <w:lang w:eastAsia="he-IL"/>
        </w:rPr>
        <w:t>5.</w:t>
      </w:r>
      <w:r>
        <w:rPr>
          <w:rStyle w:val="Strong"/>
          <w:rFonts w:eastAsia="Times New Roman"/>
          <w:sz w:val="14"/>
          <w:szCs w:val="14"/>
          <w:rtl/>
          <w:lang w:eastAsia="he-IL"/>
        </w:rPr>
        <w:t xml:space="preserve">      </w:t>
      </w:r>
      <w:r>
        <w:rPr>
          <w:rStyle w:val="Strong"/>
          <w:rFonts w:eastAsia="Times New Roman" w:cs="David" w:hint="cs"/>
          <w:sz w:val="28"/>
          <w:szCs w:val="28"/>
          <w:rtl/>
          <w:lang w:eastAsia="he-IL"/>
        </w:rPr>
        <w:t>התנאים</w:t>
      </w:r>
    </w:p>
    <w:p w:rsidR="00000000" w:rsidRDefault="00C9525A">
      <w:pPr>
        <w:bidi/>
        <w:spacing w:before="120" w:line="360" w:lineRule="auto"/>
        <w:ind w:left="720" w:hanging="360"/>
        <w:jc w:val="both"/>
        <w:rPr>
          <w:rFonts w:hint="cs"/>
          <w:rtl/>
        </w:rPr>
      </w:pPr>
      <w:r>
        <w:rPr>
          <w:rStyle w:val="Strong"/>
          <w:rFonts w:eastAsia="David" w:cs="David" w:hint="cs"/>
          <w:rtl/>
          <w:lang w:eastAsia="he-IL"/>
        </w:rPr>
        <w:t>א.</w:t>
      </w:r>
      <w:r>
        <w:rPr>
          <w:rStyle w:val="Strong"/>
          <w:rFonts w:eastAsia="David"/>
          <w:sz w:val="14"/>
          <w:szCs w:val="14"/>
          <w:rtl/>
          <w:lang w:eastAsia="he-IL"/>
        </w:rPr>
        <w:t xml:space="preserve">      </w:t>
      </w:r>
      <w:r>
        <w:rPr>
          <w:rStyle w:val="Strong"/>
          <w:rFonts w:eastAsia="Times New Roman" w:cs="David" w:hint="cs"/>
          <w:u w:val="single"/>
          <w:rtl/>
          <w:lang w:eastAsia="he-IL"/>
        </w:rPr>
        <w:t>הגדרות:</w:t>
      </w:r>
    </w:p>
    <w:p w:rsidR="00000000" w:rsidRDefault="00C9525A">
      <w:pPr>
        <w:bidi/>
        <w:spacing w:before="120" w:line="360" w:lineRule="auto"/>
        <w:ind w:left="1224" w:hanging="856"/>
        <w:jc w:val="both"/>
        <w:rPr>
          <w:rFonts w:hint="cs"/>
          <w:rtl/>
        </w:rPr>
      </w:pPr>
      <w:r>
        <w:rPr>
          <w:rFonts w:eastAsia="Times New Roman" w:cs="David" w:hint="cs"/>
          <w:rtl/>
          <w:lang w:eastAsia="he-IL"/>
        </w:rPr>
        <w:t>"</w:t>
      </w:r>
      <w:r>
        <w:rPr>
          <w:rStyle w:val="Strong"/>
          <w:rFonts w:eastAsia="Times New Roman" w:cs="David" w:hint="cs"/>
          <w:rtl/>
          <w:lang w:eastAsia="he-IL"/>
        </w:rPr>
        <w:t>דליה</w:t>
      </w:r>
      <w:r>
        <w:rPr>
          <w:rFonts w:eastAsia="Times New Roman" w:cs="David" w:hint="cs"/>
          <w:rtl/>
          <w:lang w:eastAsia="he-IL"/>
        </w:rPr>
        <w:t xml:space="preserve">" – </w:t>
      </w:r>
      <w:r>
        <w:rPr>
          <w:rFonts w:eastAsia="Times New Roman" w:cs="David" w:hint="cs"/>
          <w:rtl/>
          <w:lang w:eastAsia="he-IL"/>
        </w:rPr>
        <w:tab/>
      </w:r>
      <w:r>
        <w:rPr>
          <w:rFonts w:eastAsia="Times New Roman" w:cs="David" w:hint="cs"/>
          <w:rtl/>
          <w:lang w:eastAsia="he-IL"/>
        </w:rPr>
        <w:tab/>
        <w:t>דליה אנרגיות כח בע"מ</w:t>
      </w:r>
      <w:r>
        <w:rPr>
          <w:rFonts w:eastAsia="Times New Roman" w:cs="David"/>
          <w:lang w:eastAsia="he-IL"/>
        </w:rPr>
        <w:t>;</w:t>
      </w:r>
    </w:p>
    <w:p w:rsidR="00000000" w:rsidRDefault="00C9525A">
      <w:pPr>
        <w:bidi/>
        <w:spacing w:before="120" w:line="360" w:lineRule="auto"/>
        <w:ind w:left="2153" w:hanging="1785"/>
        <w:jc w:val="both"/>
        <w:rPr>
          <w:rFonts w:hint="cs"/>
          <w:rtl/>
        </w:rPr>
      </w:pPr>
      <w:r>
        <w:rPr>
          <w:rFonts w:eastAsia="Times New Roman" w:cs="David" w:hint="cs"/>
          <w:rtl/>
          <w:lang w:eastAsia="he-IL"/>
        </w:rPr>
        <w:t>"</w:t>
      </w:r>
      <w:r>
        <w:rPr>
          <w:rStyle w:val="Strong"/>
          <w:rFonts w:eastAsia="Times New Roman" w:cs="David" w:hint="cs"/>
          <w:rtl/>
          <w:lang w:eastAsia="he-IL"/>
        </w:rPr>
        <w:t>ההסכם</w:t>
      </w:r>
      <w:r>
        <w:rPr>
          <w:rFonts w:eastAsia="Times New Roman" w:cs="David" w:hint="cs"/>
          <w:rtl/>
          <w:lang w:eastAsia="he-IL"/>
        </w:rPr>
        <w:t xml:space="preserve">" – </w:t>
      </w:r>
      <w:r>
        <w:rPr>
          <w:rFonts w:eastAsia="Times New Roman" w:cs="David" w:hint="cs"/>
          <w:rtl/>
          <w:lang w:eastAsia="he-IL"/>
        </w:rPr>
        <w:tab/>
        <w:t>ההסכם מיום 8 בינואר 2012 אשר נחתם בין דליה לבין שותפות תמר לאספקת גז טבעי כפי שצורף לבקשת הפטור;</w:t>
      </w:r>
    </w:p>
    <w:p w:rsidR="00000000" w:rsidRDefault="00C9525A">
      <w:pPr>
        <w:bidi/>
        <w:spacing w:before="120" w:line="360" w:lineRule="auto"/>
        <w:ind w:left="2153" w:hanging="1785"/>
        <w:jc w:val="both"/>
        <w:rPr>
          <w:rFonts w:hint="cs"/>
          <w:rtl/>
        </w:rPr>
      </w:pPr>
      <w:r>
        <w:rPr>
          <w:rFonts w:eastAsia="Times New Roman" w:cs="David" w:hint="cs"/>
          <w:rtl/>
          <w:lang w:eastAsia="he-IL"/>
        </w:rPr>
        <w:t>"</w:t>
      </w:r>
      <w:r>
        <w:rPr>
          <w:rStyle w:val="Strong"/>
          <w:rFonts w:eastAsia="Times New Roman" w:cs="David" w:hint="cs"/>
          <w:rtl/>
          <w:lang w:eastAsia="he-IL"/>
        </w:rPr>
        <w:t>הכמות השנתית</w:t>
      </w:r>
      <w:r>
        <w:rPr>
          <w:rFonts w:eastAsia="Times New Roman" w:cs="David" w:hint="cs"/>
          <w:rtl/>
          <w:lang w:eastAsia="he-IL"/>
        </w:rPr>
        <w:t>"</w:t>
      </w:r>
      <w:r>
        <w:rPr>
          <w:rFonts w:eastAsia="Times New Roman" w:cs="David" w:hint="cs"/>
          <w:rtl/>
          <w:lang w:eastAsia="he-IL"/>
        </w:rPr>
        <w:t xml:space="preserve"> – כמות הגז הטבעי השנתית בהתאם לקבוע בהסכם</w:t>
      </w:r>
      <w:r>
        <w:rPr>
          <w:rFonts w:eastAsia="Times New Roman" w:cs="David"/>
          <w:lang w:eastAsia="he-IL"/>
        </w:rPr>
        <w:t>;</w:t>
      </w:r>
    </w:p>
    <w:p w:rsidR="00000000" w:rsidRDefault="00C9525A">
      <w:pPr>
        <w:bidi/>
        <w:spacing w:before="120" w:line="360" w:lineRule="auto"/>
        <w:ind w:firstLine="368"/>
        <w:jc w:val="both"/>
        <w:rPr>
          <w:rFonts w:hint="cs"/>
          <w:rtl/>
        </w:rPr>
      </w:pPr>
      <w:r>
        <w:rPr>
          <w:rFonts w:eastAsia="Times New Roman" w:cs="David" w:hint="cs"/>
          <w:rtl/>
          <w:lang w:eastAsia="he-IL"/>
        </w:rPr>
        <w:t>"</w:t>
      </w:r>
      <w:r>
        <w:rPr>
          <w:rStyle w:val="Strong"/>
          <w:rFonts w:eastAsia="Times New Roman" w:cs="David" w:hint="cs"/>
          <w:rtl/>
          <w:lang w:eastAsia="he-IL"/>
        </w:rPr>
        <w:t>הממונה</w:t>
      </w:r>
      <w:r>
        <w:rPr>
          <w:rFonts w:eastAsia="Times New Roman" w:cs="David" w:hint="cs"/>
          <w:rtl/>
          <w:lang w:eastAsia="he-IL"/>
        </w:rPr>
        <w:t xml:space="preserve">" – </w:t>
      </w:r>
      <w:r>
        <w:rPr>
          <w:rFonts w:eastAsia="Times New Roman" w:cs="David" w:hint="cs"/>
          <w:rtl/>
          <w:lang w:eastAsia="he-IL"/>
        </w:rPr>
        <w:tab/>
        <w:t>הממונה על ההגבלים העסקיים</w:t>
      </w:r>
      <w:r>
        <w:rPr>
          <w:rFonts w:eastAsia="Times New Roman" w:cs="David"/>
          <w:lang w:eastAsia="he-IL"/>
        </w:rPr>
        <w:t>;</w:t>
      </w:r>
    </w:p>
    <w:p w:rsidR="00000000" w:rsidRDefault="00C9525A">
      <w:pPr>
        <w:bidi/>
        <w:spacing w:before="120" w:line="360" w:lineRule="auto"/>
        <w:ind w:left="2210" w:hanging="1842"/>
        <w:jc w:val="both"/>
        <w:rPr>
          <w:rFonts w:hint="cs"/>
          <w:rtl/>
        </w:rPr>
      </w:pPr>
      <w:r>
        <w:rPr>
          <w:rFonts w:eastAsia="Times New Roman" w:cs="David" w:hint="cs"/>
          <w:rtl/>
          <w:lang w:eastAsia="he-IL"/>
        </w:rPr>
        <w:t>"</w:t>
      </w:r>
      <w:r>
        <w:rPr>
          <w:rStyle w:val="Strong"/>
          <w:rFonts w:eastAsia="Times New Roman" w:cs="David" w:hint="cs"/>
          <w:rtl/>
          <w:lang w:eastAsia="he-IL"/>
        </w:rPr>
        <w:t>מועד אספקת הגז הטבעי</w:t>
      </w:r>
      <w:r>
        <w:rPr>
          <w:rFonts w:eastAsia="Times New Roman" w:cs="David" w:hint="cs"/>
          <w:rtl/>
          <w:lang w:eastAsia="he-IL"/>
        </w:rPr>
        <w:t>" – מועד תחילת האספקה בפועל של גז טבעי לדליה, לא כולל תקופת הניסיון וההרצה;</w:t>
      </w:r>
    </w:p>
    <w:p w:rsidR="00000000" w:rsidRDefault="00C9525A">
      <w:pPr>
        <w:bidi/>
        <w:spacing w:before="120" w:line="360" w:lineRule="auto"/>
        <w:ind w:left="2210" w:hanging="1842"/>
        <w:jc w:val="both"/>
        <w:rPr>
          <w:rFonts w:hint="cs"/>
          <w:rtl/>
        </w:rPr>
      </w:pPr>
      <w:r>
        <w:rPr>
          <w:rFonts w:eastAsia="Times New Roman" w:cs="David" w:hint="cs"/>
          <w:rtl/>
          <w:lang w:eastAsia="he-IL"/>
        </w:rPr>
        <w:t>"</w:t>
      </w:r>
      <w:r>
        <w:rPr>
          <w:rStyle w:val="Strong"/>
          <w:rFonts w:eastAsia="Times New Roman" w:cs="David" w:hint="cs"/>
          <w:rtl/>
          <w:lang w:eastAsia="he-IL"/>
        </w:rPr>
        <w:t>צרכני חלוקה</w:t>
      </w:r>
      <w:r>
        <w:rPr>
          <w:rFonts w:eastAsia="Times New Roman" w:cs="David" w:hint="cs"/>
          <w:rtl/>
          <w:lang w:eastAsia="he-IL"/>
        </w:rPr>
        <w:t xml:space="preserve">" – </w:t>
      </w:r>
      <w:r>
        <w:rPr>
          <w:rFonts w:eastAsia="Times New Roman" w:cs="David" w:hint="cs"/>
          <w:rtl/>
          <w:lang w:eastAsia="he-IL"/>
        </w:rPr>
        <w:tab/>
        <w:t>כל צרכן גז המחובר למערכת החלוקה או כל משווק גז העוסק ברכישת</w:t>
      </w:r>
      <w:r>
        <w:rPr>
          <w:rFonts w:eastAsia="Times New Roman" w:cs="David" w:hint="cs"/>
          <w:rtl/>
          <w:lang w:eastAsia="he-IL"/>
        </w:rPr>
        <w:t xml:space="preserve"> גז והפצתו לצרכנים;</w:t>
      </w:r>
    </w:p>
    <w:p w:rsidR="00000000" w:rsidRDefault="00C9525A">
      <w:pPr>
        <w:bidi/>
        <w:spacing w:before="120" w:line="360" w:lineRule="auto"/>
        <w:ind w:firstLine="368"/>
        <w:jc w:val="both"/>
        <w:rPr>
          <w:rFonts w:hint="cs"/>
          <w:rtl/>
        </w:rPr>
      </w:pPr>
      <w:r>
        <w:rPr>
          <w:rFonts w:eastAsia="Times New Roman" w:cs="David" w:hint="cs"/>
          <w:rtl/>
          <w:lang w:eastAsia="he-IL"/>
        </w:rPr>
        <w:t>"</w:t>
      </w:r>
      <w:r>
        <w:rPr>
          <w:rStyle w:val="Strong"/>
          <w:rFonts w:eastAsia="Times New Roman" w:cs="David" w:hint="cs"/>
          <w:rtl/>
          <w:lang w:eastAsia="he-IL"/>
        </w:rPr>
        <w:t>שותפות תמר</w:t>
      </w:r>
      <w:r>
        <w:rPr>
          <w:rFonts w:eastAsia="Times New Roman" w:cs="David" w:hint="cs"/>
          <w:rtl/>
          <w:lang w:eastAsia="he-IL"/>
        </w:rPr>
        <w:t xml:space="preserve">"  - </w:t>
      </w:r>
    </w:p>
    <w:p w:rsidR="00000000" w:rsidRDefault="00C9525A">
      <w:pPr>
        <w:bidi/>
        <w:spacing w:before="120" w:line="360" w:lineRule="auto"/>
        <w:ind w:left="2210"/>
        <w:rPr>
          <w:rFonts w:hint="cs"/>
          <w:rtl/>
        </w:rPr>
      </w:pPr>
      <w:r>
        <w:rPr>
          <w:rFonts w:eastAsia="Times New Roman"/>
          <w:rtl/>
          <w:lang w:eastAsia="he-IL"/>
        </w:rPr>
        <w:t>(1)</w:t>
      </w:r>
      <w:r>
        <w:rPr>
          <w:rFonts w:eastAsia="Times New Roman"/>
          <w:sz w:val="14"/>
          <w:szCs w:val="14"/>
          <w:rtl/>
          <w:lang w:eastAsia="he-IL"/>
        </w:rPr>
        <w:t xml:space="preserve">               </w:t>
      </w:r>
      <w:r>
        <w:rPr>
          <w:rFonts w:eastAsia="Times New Roman" w:cs="David" w:hint="cs"/>
          <w:rtl/>
          <w:lang w:eastAsia="he-IL"/>
        </w:rPr>
        <w:t>"דלק קידוחים" – דלק קידוחים – שותפות מוגבלת;</w:t>
      </w:r>
    </w:p>
    <w:p w:rsidR="00000000" w:rsidRDefault="00C9525A">
      <w:pPr>
        <w:bidi/>
        <w:spacing w:before="120" w:line="360" w:lineRule="auto"/>
        <w:ind w:left="2210"/>
        <w:rPr>
          <w:rFonts w:hint="cs"/>
          <w:rtl/>
        </w:rPr>
      </w:pPr>
      <w:r>
        <w:rPr>
          <w:rFonts w:eastAsia="Times New Roman"/>
          <w:rtl/>
          <w:lang w:eastAsia="he-IL"/>
        </w:rPr>
        <w:t>(2)</w:t>
      </w:r>
      <w:r>
        <w:rPr>
          <w:rFonts w:eastAsia="Times New Roman"/>
          <w:sz w:val="14"/>
          <w:szCs w:val="14"/>
          <w:rtl/>
          <w:lang w:eastAsia="he-IL"/>
        </w:rPr>
        <w:t xml:space="preserve">               </w:t>
      </w:r>
      <w:r>
        <w:rPr>
          <w:rFonts w:eastAsia="Times New Roman" w:cs="David" w:hint="cs"/>
          <w:rtl/>
          <w:lang w:eastAsia="he-IL"/>
        </w:rPr>
        <w:t>"אבנר" –  אבנר חיפושי גז ונפט – שותפות מוגבלת;</w:t>
      </w:r>
    </w:p>
    <w:p w:rsidR="00000000" w:rsidRDefault="00C9525A">
      <w:pPr>
        <w:bidi/>
        <w:spacing w:before="120" w:line="360" w:lineRule="auto"/>
        <w:ind w:left="2210"/>
        <w:rPr>
          <w:rFonts w:hint="cs"/>
          <w:rtl/>
        </w:rPr>
      </w:pPr>
      <w:r>
        <w:rPr>
          <w:rFonts w:eastAsia="Times New Roman"/>
          <w:rtl/>
          <w:lang w:eastAsia="he-IL"/>
        </w:rPr>
        <w:t>(3)</w:t>
      </w:r>
      <w:r>
        <w:rPr>
          <w:rFonts w:eastAsia="Times New Roman"/>
          <w:sz w:val="14"/>
          <w:szCs w:val="14"/>
          <w:rtl/>
          <w:lang w:eastAsia="he-IL"/>
        </w:rPr>
        <w:t xml:space="preserve">               </w:t>
      </w:r>
      <w:r>
        <w:rPr>
          <w:rFonts w:eastAsia="Times New Roman" w:cs="David" w:hint="cs"/>
          <w:rtl/>
          <w:lang w:eastAsia="he-IL"/>
        </w:rPr>
        <w:t>"ישראמקו" – ישראמקו נגב 2 – שותפות מוגבלת;</w:t>
      </w:r>
    </w:p>
    <w:p w:rsidR="00000000" w:rsidRDefault="00C9525A">
      <w:pPr>
        <w:bidi/>
        <w:spacing w:before="120" w:line="360" w:lineRule="auto"/>
        <w:ind w:left="2210"/>
        <w:rPr>
          <w:rFonts w:hint="cs"/>
          <w:rtl/>
        </w:rPr>
      </w:pPr>
      <w:r>
        <w:rPr>
          <w:rFonts w:eastAsia="Times New Roman"/>
          <w:rtl/>
          <w:lang w:eastAsia="he-IL"/>
        </w:rPr>
        <w:t>(4)</w:t>
      </w:r>
      <w:r>
        <w:rPr>
          <w:rFonts w:eastAsia="Times New Roman"/>
          <w:sz w:val="14"/>
          <w:szCs w:val="14"/>
          <w:rtl/>
          <w:lang w:eastAsia="he-IL"/>
        </w:rPr>
        <w:t xml:space="preserve">               </w:t>
      </w:r>
      <w:r>
        <w:rPr>
          <w:rFonts w:eastAsia="Times New Roman" w:cs="David" w:hint="cs"/>
          <w:rtl/>
          <w:lang w:eastAsia="he-IL"/>
        </w:rPr>
        <w:t xml:space="preserve">"דור" –  </w:t>
      </w:r>
      <w:r>
        <w:rPr>
          <w:rFonts w:eastAsia="Times New Roman" w:cs="David" w:hint="cs"/>
          <w:rtl/>
          <w:lang w:eastAsia="he-IL"/>
        </w:rPr>
        <w:t>דור חיפושי גז – שותפות מוגבלת;</w:t>
      </w:r>
    </w:p>
    <w:p w:rsidR="00000000" w:rsidRDefault="00C9525A">
      <w:pPr>
        <w:bidi/>
        <w:spacing w:before="120" w:line="360" w:lineRule="auto"/>
        <w:ind w:left="2210"/>
        <w:rPr>
          <w:rFonts w:hint="cs"/>
          <w:rtl/>
        </w:rPr>
      </w:pPr>
      <w:r>
        <w:rPr>
          <w:rFonts w:eastAsia="Times New Roman"/>
          <w:rtl/>
          <w:lang w:eastAsia="he-IL"/>
        </w:rPr>
        <w:t>(5)</w:t>
      </w:r>
      <w:r>
        <w:rPr>
          <w:rFonts w:eastAsia="Times New Roman"/>
          <w:sz w:val="14"/>
          <w:szCs w:val="14"/>
          <w:rtl/>
          <w:lang w:eastAsia="he-IL"/>
        </w:rPr>
        <w:t xml:space="preserve">               </w:t>
      </w:r>
      <w:r>
        <w:rPr>
          <w:rFonts w:eastAsia="Times New Roman" w:cs="David" w:hint="cs"/>
          <w:rtl/>
          <w:lang w:eastAsia="he-IL"/>
        </w:rPr>
        <w:t xml:space="preserve">"נובל" – חברת </w:t>
      </w:r>
      <w:r>
        <w:rPr>
          <w:rFonts w:eastAsia="Times New Roman" w:cs="David"/>
          <w:lang w:eastAsia="he-IL"/>
        </w:rPr>
        <w:t>Noble Energy Mediterranean LTD</w:t>
      </w:r>
      <w:r>
        <w:rPr>
          <w:rFonts w:eastAsia="Times New Roman" w:cs="David" w:hint="cs"/>
          <w:rtl/>
          <w:lang w:eastAsia="he-IL"/>
        </w:rPr>
        <w:t>;</w:t>
      </w:r>
    </w:p>
    <w:p w:rsidR="00000000" w:rsidRDefault="00C9525A">
      <w:pPr>
        <w:bidi/>
        <w:spacing w:before="120" w:line="360" w:lineRule="auto"/>
        <w:ind w:left="2210"/>
        <w:jc w:val="both"/>
        <w:rPr>
          <w:rFonts w:hint="cs"/>
          <w:rtl/>
        </w:rPr>
      </w:pPr>
      <w:r>
        <w:rPr>
          <w:rFonts w:eastAsia="Times New Roman" w:cs="David" w:hint="cs"/>
          <w:rtl/>
          <w:lang w:eastAsia="he-IL"/>
        </w:rPr>
        <w:t>וכן כל אדם המחזיק בזכויות נפט כמשמעות מונח זה בחוק הנפט, התשי"ב – 1952 במאגר 'תמר', בהווה או בעתיד - ביחד ולחוד</w:t>
      </w:r>
      <w:r>
        <w:rPr>
          <w:rFonts w:eastAsia="Times New Roman" w:cs="David"/>
          <w:lang w:eastAsia="he-IL"/>
        </w:rPr>
        <w:t>;</w:t>
      </w:r>
    </w:p>
    <w:p w:rsidR="00000000" w:rsidRDefault="00C9525A">
      <w:pPr>
        <w:bidi/>
        <w:spacing w:before="120" w:line="360" w:lineRule="auto"/>
        <w:ind w:left="2160" w:hanging="1440"/>
        <w:jc w:val="both"/>
        <w:rPr>
          <w:rFonts w:hint="cs"/>
          <w:rtl/>
        </w:rPr>
      </w:pPr>
      <w:r>
        <w:rPr>
          <w:rFonts w:eastAsia="Times New Roman" w:cs="David" w:hint="cs"/>
          <w:rtl/>
          <w:lang w:eastAsia="he-IL"/>
        </w:rPr>
        <w:t>"</w:t>
      </w:r>
      <w:r>
        <w:rPr>
          <w:rStyle w:val="Strong"/>
          <w:rFonts w:eastAsia="Times New Roman" w:cs="David" w:hint="cs"/>
          <w:rtl/>
          <w:lang w:eastAsia="he-IL"/>
        </w:rPr>
        <w:t>תקופת ההסכם</w:t>
      </w:r>
      <w:r>
        <w:rPr>
          <w:rFonts w:eastAsia="Times New Roman" w:cs="David" w:hint="cs"/>
          <w:rtl/>
          <w:lang w:eastAsia="he-IL"/>
        </w:rPr>
        <w:t xml:space="preserve">" – התקופה שחלה עם סיום תקופת ההרצה </w:t>
      </w:r>
      <w:r>
        <w:rPr>
          <w:rFonts w:eastAsia="Times New Roman" w:cs="David" w:hint="cs"/>
          <w:rtl/>
          <w:lang w:eastAsia="he-IL"/>
        </w:rPr>
        <w:t>(</w:t>
      </w:r>
      <w:r>
        <w:rPr>
          <w:rFonts w:eastAsia="Times New Roman" w:cs="David"/>
          <w:lang w:eastAsia="he-IL"/>
        </w:rPr>
        <w:t>Flow</w:t>
      </w:r>
      <w:r>
        <w:rPr>
          <w:rFonts w:eastAsia="Times New Roman" w:cs="David" w:hint="cs"/>
          <w:rtl/>
          <w:lang w:eastAsia="he-IL"/>
        </w:rPr>
        <w:t xml:space="preserve">), כהגדרתה בהסכם והמסתיימת בתום 17 שנים. </w:t>
      </w:r>
    </w:p>
    <w:p w:rsidR="00000000" w:rsidRDefault="00C9525A">
      <w:pPr>
        <w:bidi/>
        <w:spacing w:before="120" w:line="360" w:lineRule="auto"/>
        <w:ind w:left="2160" w:hanging="1440"/>
        <w:jc w:val="both"/>
        <w:rPr>
          <w:rFonts w:hint="cs"/>
          <w:rtl/>
        </w:rPr>
      </w:pPr>
      <w:r>
        <w:rPr>
          <w:rFonts w:eastAsia="Times New Roman" w:cs="David" w:hint="cs"/>
          <w:rtl/>
          <w:lang w:eastAsia="he-IL"/>
        </w:rPr>
        <w:t>"</w:t>
      </w:r>
      <w:r>
        <w:rPr>
          <w:rStyle w:val="Strong"/>
          <w:rFonts w:eastAsia="Times New Roman" w:cs="David" w:hint="cs"/>
          <w:rtl/>
          <w:lang w:eastAsia="he-IL"/>
        </w:rPr>
        <w:t xml:space="preserve">תניית </w:t>
      </w:r>
      <w:r>
        <w:rPr>
          <w:rStyle w:val="Strong"/>
          <w:rFonts w:eastAsia="Times New Roman" w:cs="David"/>
          <w:lang w:eastAsia="he-IL"/>
        </w:rPr>
        <w:t>Take or Pay</w:t>
      </w:r>
      <w:r>
        <w:rPr>
          <w:rFonts w:eastAsia="Times New Roman" w:cs="David" w:hint="cs"/>
          <w:rtl/>
          <w:lang w:eastAsia="he-IL"/>
        </w:rPr>
        <w:t>" – התחייבות צרכן הגז הטבעי לשלם</w:t>
      </w:r>
      <w:r>
        <w:rPr>
          <w:rFonts w:eastAsia="Times New Roman" w:cs="David"/>
          <w:lang w:eastAsia="he-IL"/>
        </w:rPr>
        <w:t xml:space="preserve"> </w:t>
      </w:r>
      <w:r>
        <w:rPr>
          <w:rFonts w:eastAsia="Times New Roman" w:cs="David" w:hint="cs"/>
          <w:rtl/>
          <w:lang w:eastAsia="he-IL"/>
        </w:rPr>
        <w:t xml:space="preserve">עבור כמות שנתית מינימאלית של גז טבעי משותפות תמר, אף בהיעדר צריכה בפועל. </w:t>
      </w:r>
    </w:p>
    <w:p w:rsidR="00000000" w:rsidRDefault="00C9525A">
      <w:pPr>
        <w:bidi/>
        <w:spacing w:before="120" w:line="360" w:lineRule="auto"/>
        <w:ind w:left="720" w:hanging="360"/>
        <w:jc w:val="both"/>
        <w:rPr>
          <w:rFonts w:hint="cs"/>
          <w:rtl/>
        </w:rPr>
      </w:pPr>
      <w:r>
        <w:rPr>
          <w:rStyle w:val="Strong"/>
          <w:rFonts w:eastAsia="David" w:cs="David" w:hint="cs"/>
          <w:rtl/>
          <w:lang w:eastAsia="he-IL"/>
        </w:rPr>
        <w:t>ב.</w:t>
      </w:r>
      <w:r>
        <w:rPr>
          <w:rStyle w:val="Strong"/>
          <w:rFonts w:eastAsia="David"/>
          <w:sz w:val="14"/>
          <w:szCs w:val="14"/>
          <w:rtl/>
          <w:lang w:eastAsia="he-IL"/>
        </w:rPr>
        <w:t xml:space="preserve">      </w:t>
      </w:r>
      <w:r>
        <w:rPr>
          <w:rStyle w:val="Strong"/>
          <w:rFonts w:eastAsia="Times New Roman" w:cs="David" w:hint="cs"/>
          <w:u w:val="single"/>
          <w:rtl/>
          <w:lang w:eastAsia="he-IL"/>
        </w:rPr>
        <w:t>התנאים</w:t>
      </w:r>
    </w:p>
    <w:p w:rsidR="00000000" w:rsidRDefault="00C9525A">
      <w:pPr>
        <w:numPr>
          <w:ilvl w:val="0"/>
          <w:numId w:val="1"/>
        </w:numPr>
        <w:bidi/>
        <w:spacing w:before="120" w:line="360" w:lineRule="auto"/>
        <w:jc w:val="both"/>
        <w:rPr>
          <w:rFonts w:eastAsia="Times New Roman" w:hint="cs"/>
          <w:rtl/>
        </w:rPr>
      </w:pPr>
      <w:r>
        <w:rPr>
          <w:rFonts w:eastAsia="Times New Roman" w:cs="David" w:hint="cs"/>
          <w:rtl/>
          <w:lang w:eastAsia="he-IL"/>
        </w:rPr>
        <w:t>לדליה תועמד האפשרות לבחור באחת משתי האפשרויות הבאות כדלקמן:</w:t>
      </w:r>
    </w:p>
    <w:p w:rsidR="00000000" w:rsidRDefault="00C9525A">
      <w:pPr>
        <w:bidi/>
        <w:spacing w:before="120" w:line="360" w:lineRule="auto"/>
        <w:ind w:left="1502" w:hanging="709"/>
        <w:jc w:val="both"/>
        <w:rPr>
          <w:rFonts w:hint="cs"/>
          <w:rtl/>
        </w:rPr>
      </w:pPr>
      <w:r>
        <w:rPr>
          <w:rFonts w:eastAsia="Times New Roman"/>
          <w:rtl/>
          <w:lang w:eastAsia="he-IL"/>
        </w:rPr>
        <w:t>(א)</w:t>
      </w:r>
      <w:r>
        <w:rPr>
          <w:rFonts w:eastAsia="Times New Roman"/>
          <w:sz w:val="14"/>
          <w:szCs w:val="14"/>
          <w:rtl/>
          <w:lang w:eastAsia="he-IL"/>
        </w:rPr>
        <w:t>      </w:t>
      </w:r>
      <w:r>
        <w:rPr>
          <w:rFonts w:eastAsia="Times New Roman"/>
          <w:sz w:val="14"/>
          <w:szCs w:val="14"/>
          <w:rtl/>
          <w:lang w:eastAsia="he-IL"/>
        </w:rPr>
        <w:t xml:space="preserve">         </w:t>
      </w:r>
      <w:r>
        <w:rPr>
          <w:rFonts w:eastAsia="Times New Roman" w:cs="David" w:hint="cs"/>
          <w:rtl/>
          <w:lang w:eastAsia="he-IL"/>
        </w:rPr>
        <w:t xml:space="preserve">קיצור תקופת ההסכם והעמדתה על 7 שנים, החל ממועד אספקת הגז הטבעי; </w:t>
      </w:r>
    </w:p>
    <w:p w:rsidR="00000000" w:rsidRDefault="00C9525A">
      <w:pPr>
        <w:bidi/>
        <w:spacing w:before="120" w:line="360" w:lineRule="auto"/>
        <w:ind w:firstLine="720"/>
        <w:jc w:val="both"/>
        <w:rPr>
          <w:rFonts w:hint="cs"/>
          <w:rtl/>
        </w:rPr>
      </w:pPr>
      <w:r>
        <w:rPr>
          <w:rFonts w:eastAsia="Times New Roman" w:cs="David" w:hint="cs"/>
          <w:rtl/>
          <w:lang w:eastAsia="he-IL"/>
        </w:rPr>
        <w:t xml:space="preserve">או לחלופין - </w:t>
      </w:r>
    </w:p>
    <w:p w:rsidR="00000000" w:rsidRDefault="00C9525A">
      <w:pPr>
        <w:bidi/>
        <w:spacing w:before="120" w:line="360" w:lineRule="auto"/>
        <w:ind w:left="1502" w:hanging="709"/>
        <w:jc w:val="both"/>
        <w:rPr>
          <w:rFonts w:hint="cs"/>
          <w:rtl/>
        </w:rPr>
      </w:pPr>
      <w:r>
        <w:rPr>
          <w:rFonts w:eastAsia="Times New Roman"/>
          <w:rtl/>
          <w:lang w:eastAsia="he-IL"/>
        </w:rPr>
        <w:t>(ב)</w:t>
      </w:r>
      <w:r>
        <w:rPr>
          <w:rFonts w:eastAsia="Times New Roman"/>
          <w:sz w:val="14"/>
          <w:szCs w:val="14"/>
          <w:rtl/>
          <w:lang w:eastAsia="he-IL"/>
        </w:rPr>
        <w:t xml:space="preserve">                </w:t>
      </w:r>
      <w:r>
        <w:rPr>
          <w:rFonts w:eastAsia="Times New Roman" w:cs="David" w:hint="cs"/>
          <w:rtl/>
          <w:lang w:eastAsia="he-IL"/>
        </w:rPr>
        <w:t xml:space="preserve"> הפחתת כמות הגז הנקובה בתניית ה-</w:t>
      </w:r>
      <w:r>
        <w:rPr>
          <w:rFonts w:eastAsia="Times New Roman" w:cs="David"/>
          <w:lang w:eastAsia="he-IL"/>
        </w:rPr>
        <w:t>Take or Pay</w:t>
      </w:r>
      <w:r>
        <w:rPr>
          <w:rFonts w:eastAsia="Times New Roman" w:cs="David" w:hint="cs"/>
          <w:rtl/>
          <w:lang w:eastAsia="he-IL"/>
        </w:rPr>
        <w:t xml:space="preserve"> לכמות השווה למחצית מכמות הצריכה השנתית הממוצעת של דליה בפועל בשלוש השנים שקדמו למועד ההודעה ("</w:t>
      </w:r>
      <w:r>
        <w:rPr>
          <w:rStyle w:val="Strong"/>
          <w:rFonts w:eastAsia="Times New Roman" w:cs="David" w:hint="cs"/>
          <w:rtl/>
          <w:lang w:eastAsia="he-IL"/>
        </w:rPr>
        <w:t>הכמות האפקט</w:t>
      </w:r>
      <w:r>
        <w:rPr>
          <w:rStyle w:val="Strong"/>
          <w:rFonts w:eastAsia="Times New Roman" w:cs="David" w:hint="cs"/>
          <w:rtl/>
          <w:lang w:eastAsia="he-IL"/>
        </w:rPr>
        <w:t>יבית</w:t>
      </w:r>
      <w:r>
        <w:rPr>
          <w:rFonts w:eastAsia="Times New Roman" w:cs="David" w:hint="cs"/>
          <w:rtl/>
          <w:lang w:eastAsia="he-IL"/>
        </w:rPr>
        <w:t>"). הפחתת כמות הרכישה תיכנס לתוקף לאחר שנה ממועד מתן הודעה כאמור, ועד לסוף תקופת ההסכם (להלן: "</w:t>
      </w:r>
      <w:r>
        <w:rPr>
          <w:rStyle w:val="Strong"/>
          <w:rFonts w:eastAsia="Times New Roman" w:cs="David" w:hint="cs"/>
          <w:rtl/>
          <w:lang w:eastAsia="he-IL"/>
        </w:rPr>
        <w:t>הפחתת כמות הרכישה</w:t>
      </w:r>
      <w:r>
        <w:rPr>
          <w:rFonts w:eastAsia="Times New Roman" w:cs="David" w:hint="cs"/>
          <w:rtl/>
          <w:lang w:eastAsia="he-IL"/>
        </w:rPr>
        <w:t xml:space="preserve">"). הודעה על הפחתת כמות הרכישה תתאפשר בכל עת במהלך התקופה שסיומה המאוחרת יותר מבין שתי התקופות שלהלן: </w:t>
      </w:r>
    </w:p>
    <w:p w:rsidR="00000000" w:rsidRDefault="00C9525A">
      <w:pPr>
        <w:bidi/>
        <w:spacing w:before="120" w:line="360" w:lineRule="auto"/>
        <w:ind w:left="2514" w:hanging="856"/>
        <w:jc w:val="both"/>
        <w:rPr>
          <w:rFonts w:hint="cs"/>
          <w:rtl/>
        </w:rPr>
      </w:pPr>
      <w:r>
        <w:rPr>
          <w:rFonts w:eastAsia="Times New Roman"/>
          <w:rtl/>
          <w:lang w:eastAsia="he-IL"/>
        </w:rPr>
        <w:t>(1)</w:t>
      </w:r>
      <w:r>
        <w:rPr>
          <w:rFonts w:eastAsia="Times New Roman"/>
          <w:sz w:val="14"/>
          <w:szCs w:val="14"/>
          <w:rtl/>
          <w:lang w:eastAsia="he-IL"/>
        </w:rPr>
        <w:t xml:space="preserve">                     </w:t>
      </w:r>
      <w:r>
        <w:rPr>
          <w:rFonts w:eastAsia="Times New Roman" w:cs="David" w:hint="cs"/>
          <w:rtl/>
          <w:lang w:eastAsia="he-IL"/>
        </w:rPr>
        <w:t xml:space="preserve">התקופה שמיום </w:t>
      </w:r>
      <w:r>
        <w:rPr>
          <w:rFonts w:eastAsia="Times New Roman" w:cs="David" w:hint="cs"/>
          <w:rtl/>
          <w:lang w:eastAsia="he-IL"/>
        </w:rPr>
        <w:t>1/1/2018 ועד ליום 31/12/2020</w:t>
      </w:r>
      <w:r>
        <w:rPr>
          <w:rFonts w:eastAsia="Times New Roman" w:cs="David"/>
          <w:lang w:eastAsia="he-IL"/>
        </w:rPr>
        <w:t>;</w:t>
      </w:r>
    </w:p>
    <w:p w:rsidR="00000000" w:rsidRDefault="00C9525A">
      <w:pPr>
        <w:bidi/>
        <w:spacing w:before="120" w:line="360" w:lineRule="auto"/>
        <w:ind w:left="1944" w:hanging="286"/>
        <w:jc w:val="both"/>
        <w:rPr>
          <w:rFonts w:hint="cs"/>
          <w:rtl/>
        </w:rPr>
      </w:pPr>
      <w:r>
        <w:rPr>
          <w:rFonts w:eastAsia="Times New Roman" w:cs="David" w:hint="cs"/>
          <w:rtl/>
          <w:lang w:eastAsia="he-IL"/>
        </w:rPr>
        <w:t xml:space="preserve">או </w:t>
      </w:r>
    </w:p>
    <w:p w:rsidR="00000000" w:rsidRDefault="00C9525A">
      <w:pPr>
        <w:bidi/>
        <w:spacing w:before="120" w:line="360" w:lineRule="auto"/>
        <w:ind w:left="2210" w:hanging="552"/>
        <w:jc w:val="both"/>
        <w:rPr>
          <w:rFonts w:hint="cs"/>
          <w:rtl/>
        </w:rPr>
      </w:pPr>
      <w:r>
        <w:rPr>
          <w:rFonts w:eastAsia="Times New Roman"/>
          <w:rtl/>
          <w:lang w:eastAsia="he-IL"/>
        </w:rPr>
        <w:t>(2)</w:t>
      </w:r>
      <w:r>
        <w:rPr>
          <w:rFonts w:eastAsia="Times New Roman"/>
          <w:sz w:val="14"/>
          <w:szCs w:val="14"/>
          <w:rtl/>
          <w:lang w:eastAsia="he-IL"/>
        </w:rPr>
        <w:t xml:space="preserve">           </w:t>
      </w:r>
      <w:r>
        <w:rPr>
          <w:rFonts w:eastAsia="Times New Roman" w:cs="David" w:hint="cs"/>
          <w:rtl/>
          <w:lang w:eastAsia="he-IL"/>
        </w:rPr>
        <w:t>התקופה שראשיתה בתחילת השנה החמישית ממועד אספקת הגז הטבעי וסיומה בתום השנה השביעית כאמור.</w:t>
      </w:r>
    </w:p>
    <w:p w:rsidR="00000000" w:rsidRDefault="00C9525A">
      <w:pPr>
        <w:bidi/>
        <w:spacing w:before="120" w:line="360" w:lineRule="auto"/>
        <w:ind w:left="1658"/>
        <w:jc w:val="both"/>
        <w:rPr>
          <w:rFonts w:hint="cs"/>
          <w:rtl/>
        </w:rPr>
      </w:pPr>
      <w:r>
        <w:rPr>
          <w:rFonts w:eastAsia="Times New Roman" w:cs="David" w:hint="cs"/>
          <w:rtl/>
          <w:lang w:eastAsia="he-IL"/>
        </w:rPr>
        <w:t>עם קביעת הכמות המינימלית עליה תחויב דליה לשלם בהתאם לכמות האפקטיבית כאמור, תעודכנה כמות הגז השנתית וכמות הגז הכוללת בהסכם בהתאם.</w:t>
      </w:r>
    </w:p>
    <w:p w:rsidR="00000000" w:rsidRDefault="00C9525A">
      <w:pPr>
        <w:bidi/>
        <w:spacing w:before="120" w:line="360" w:lineRule="auto"/>
        <w:ind w:left="1502" w:hanging="709"/>
        <w:jc w:val="both"/>
        <w:rPr>
          <w:rFonts w:hint="cs"/>
          <w:rtl/>
        </w:rPr>
      </w:pPr>
      <w:r>
        <w:rPr>
          <w:rFonts w:eastAsia="Times New Roman"/>
          <w:rtl/>
          <w:lang w:eastAsia="he-IL"/>
        </w:rPr>
        <w:t>(ג)</w:t>
      </w:r>
      <w:r>
        <w:rPr>
          <w:rFonts w:eastAsia="Times New Roman"/>
          <w:sz w:val="14"/>
          <w:szCs w:val="14"/>
          <w:rtl/>
          <w:lang w:eastAsia="he-IL"/>
        </w:rPr>
        <w:t xml:space="preserve">                 </w:t>
      </w:r>
      <w:r>
        <w:rPr>
          <w:rFonts w:eastAsia="Times New Roman" w:cs="David" w:hint="cs"/>
          <w:rtl/>
          <w:lang w:eastAsia="he-IL"/>
        </w:rPr>
        <w:t xml:space="preserve"> הודעה על בחירתה של דליה תימסר לשותפות תמר עד ליום 1.10.2012. למען הסר ספק יובהר, כי בחישוב כמות הצריכה השנ</w:t>
      </w:r>
      <w:r>
        <w:rPr>
          <w:rFonts w:eastAsia="Times New Roman" w:cs="David" w:hint="cs"/>
          <w:rtl/>
          <w:lang w:eastAsia="he-IL"/>
        </w:rPr>
        <w:t xml:space="preserve">תית הממוצעת של דליה בשלוש השנים שקדמו למתן ההודעה, לא יכללו כמויות שאותן רכשה דליה משותפות תמר אך מכרה אותן הלאה לצרכני חלוקה. </w:t>
      </w:r>
    </w:p>
    <w:p w:rsidR="00000000" w:rsidRDefault="00C9525A">
      <w:pPr>
        <w:numPr>
          <w:ilvl w:val="0"/>
          <w:numId w:val="2"/>
        </w:numPr>
        <w:bidi/>
        <w:spacing w:before="120" w:line="360" w:lineRule="auto"/>
        <w:jc w:val="both"/>
        <w:rPr>
          <w:rFonts w:eastAsia="Times New Roman" w:hint="cs"/>
          <w:rtl/>
        </w:rPr>
      </w:pPr>
      <w:r>
        <w:rPr>
          <w:rFonts w:eastAsia="Times New Roman" w:cs="David" w:hint="cs"/>
          <w:rtl/>
          <w:lang w:eastAsia="he-IL"/>
        </w:rPr>
        <w:t xml:space="preserve">לדליה יתאפשר למכור גז טבעי המיועד לשימוש צרכני חלוקה, וזאת עד להיקף של 15% מכמות הגז השנתית בכל שנה. </w:t>
      </w:r>
    </w:p>
    <w:p w:rsidR="00000000" w:rsidRDefault="00C9525A">
      <w:pPr>
        <w:numPr>
          <w:ilvl w:val="0"/>
          <w:numId w:val="2"/>
        </w:numPr>
        <w:bidi/>
        <w:spacing w:before="120" w:line="360" w:lineRule="auto"/>
        <w:jc w:val="both"/>
        <w:rPr>
          <w:rFonts w:eastAsia="Times New Roman" w:hint="cs"/>
          <w:rtl/>
        </w:rPr>
      </w:pPr>
      <w:r>
        <w:rPr>
          <w:rFonts w:eastAsia="Times New Roman" w:cs="David" w:hint="cs"/>
          <w:rtl/>
          <w:lang w:eastAsia="he-IL"/>
        </w:rPr>
        <w:t>לא תחול כל מגבלה על דליה בנוגע לרכישת גז טבעי מכל ספק גז טבעי אחר שאינו שותפות תמר.</w:t>
      </w:r>
    </w:p>
    <w:p w:rsidR="00000000" w:rsidRDefault="00C9525A">
      <w:pPr>
        <w:numPr>
          <w:ilvl w:val="0"/>
          <w:numId w:val="2"/>
        </w:numPr>
        <w:bidi/>
        <w:spacing w:before="120" w:line="360" w:lineRule="auto"/>
        <w:jc w:val="both"/>
        <w:rPr>
          <w:rFonts w:eastAsia="Times New Roman" w:hint="cs"/>
          <w:rtl/>
        </w:rPr>
      </w:pPr>
      <w:r>
        <w:rPr>
          <w:rFonts w:eastAsia="Times New Roman" w:cs="David" w:hint="cs"/>
          <w:rtl/>
          <w:lang w:eastAsia="he-IL"/>
        </w:rPr>
        <w:t>שאר תנאי ההסכם לא ישונו בכל דרך שהיא אשר מרעה את מצבה של דליה, ובכלל זה לא ישונו לרעת דליה המחיר ותנאי התשלום, תנאי ההספקה ומועדיה, כמויות האספקה וכו'.</w:t>
      </w:r>
    </w:p>
    <w:p w:rsidR="00000000" w:rsidRDefault="00C9525A">
      <w:pPr>
        <w:numPr>
          <w:ilvl w:val="0"/>
          <w:numId w:val="2"/>
        </w:numPr>
        <w:bidi/>
        <w:spacing w:before="120" w:line="360" w:lineRule="auto"/>
        <w:jc w:val="both"/>
        <w:rPr>
          <w:rFonts w:eastAsia="Times New Roman" w:hint="cs"/>
          <w:rtl/>
        </w:rPr>
      </w:pPr>
      <w:r>
        <w:rPr>
          <w:rFonts w:eastAsia="Times New Roman" w:cs="David" w:hint="cs"/>
          <w:rtl/>
          <w:lang w:eastAsia="he-IL"/>
        </w:rPr>
        <w:t>כל עוד לא מסופק בפוע</w:t>
      </w:r>
      <w:r>
        <w:rPr>
          <w:rFonts w:eastAsia="Times New Roman" w:cs="David" w:hint="cs"/>
          <w:rtl/>
          <w:lang w:eastAsia="he-IL"/>
        </w:rPr>
        <w:t>ל גז לדליה, שותפות תמר יציעו למכירה גז טבעי לצרכני גז אשר טרם התקשרו עמן בהסכמים לאספקת גז טבעי, בתנאים מסחריים הדומים לתנאי ההסכם, וזאת עד לניצול מלוא הקיבולת הפנויה בתשתית ההולכה והקבלה אליה מחובר מאגר 'תמר'.</w:t>
      </w:r>
    </w:p>
    <w:p w:rsidR="00000000" w:rsidRDefault="00C9525A">
      <w:pPr>
        <w:numPr>
          <w:ilvl w:val="0"/>
          <w:numId w:val="2"/>
        </w:numPr>
        <w:bidi/>
        <w:spacing w:before="120" w:line="360" w:lineRule="auto"/>
        <w:jc w:val="both"/>
        <w:rPr>
          <w:rFonts w:eastAsia="Times New Roman" w:hint="cs"/>
          <w:rtl/>
        </w:rPr>
      </w:pPr>
      <w:r>
        <w:rPr>
          <w:rFonts w:eastAsia="Times New Roman" w:cs="David" w:hint="cs"/>
          <w:rtl/>
          <w:lang w:eastAsia="he-IL"/>
        </w:rPr>
        <w:t xml:space="preserve"> שותפות תמר, לא תתקשרנה, במישרין או בעקיפין, </w:t>
      </w:r>
      <w:r>
        <w:rPr>
          <w:rFonts w:eastAsia="Times New Roman" w:cs="David" w:hint="cs"/>
          <w:rtl/>
          <w:lang w:eastAsia="he-IL"/>
        </w:rPr>
        <w:t>בכל הסכם לאספקת גז ממאגר 'תמר' ללא קבלת היתר מראש ממערך הפיקוח על הגבלים עסקיים.</w:t>
      </w:r>
    </w:p>
    <w:p w:rsidR="00000000" w:rsidRDefault="00C9525A">
      <w:pPr>
        <w:numPr>
          <w:ilvl w:val="0"/>
          <w:numId w:val="2"/>
        </w:numPr>
        <w:bidi/>
        <w:spacing w:before="120" w:line="360" w:lineRule="auto"/>
        <w:jc w:val="both"/>
        <w:rPr>
          <w:rFonts w:eastAsia="Times New Roman" w:hint="cs"/>
          <w:rtl/>
        </w:rPr>
      </w:pPr>
      <w:r>
        <w:rPr>
          <w:rFonts w:eastAsia="Times New Roman" w:cs="David" w:hint="cs"/>
          <w:rtl/>
          <w:lang w:eastAsia="he-IL"/>
        </w:rPr>
        <w:t>התעורר ספק בדבר פרשנותם או תחולתם של תנאים אלו, יובא הדבר להכרעת הממונה.</w:t>
      </w:r>
    </w:p>
    <w:p w:rsidR="00000000" w:rsidRDefault="00C9525A">
      <w:pPr>
        <w:bidi/>
        <w:spacing w:before="120" w:line="360" w:lineRule="auto"/>
        <w:ind w:left="720"/>
        <w:jc w:val="both"/>
        <w:rPr>
          <w:rFonts w:hint="cs"/>
          <w:rtl/>
        </w:rPr>
      </w:pPr>
      <w:r>
        <w:rPr>
          <w:rStyle w:val="Strong"/>
          <w:rFonts w:eastAsia="Times New Roman" w:cs="David" w:hint="cs"/>
          <w:rtl/>
          <w:lang w:eastAsia="he-IL"/>
        </w:rPr>
        <w:t> </w:t>
      </w:r>
    </w:p>
    <w:p w:rsidR="00000000" w:rsidRDefault="00C9525A">
      <w:pPr>
        <w:bidi/>
        <w:spacing w:before="120" w:line="360" w:lineRule="auto"/>
        <w:ind w:left="720"/>
        <w:jc w:val="both"/>
        <w:rPr>
          <w:rFonts w:hint="cs"/>
          <w:rtl/>
        </w:rPr>
      </w:pPr>
      <w:r>
        <w:rPr>
          <w:rStyle w:val="Strong"/>
          <w:rFonts w:eastAsia="Times New Roman" w:cs="David" w:hint="cs"/>
          <w:rtl/>
          <w:lang w:eastAsia="he-IL"/>
        </w:rPr>
        <w:t> </w:t>
      </w:r>
    </w:p>
    <w:p w:rsidR="00000000" w:rsidRDefault="00C9525A">
      <w:pPr>
        <w:bidi/>
        <w:spacing w:before="120" w:line="360" w:lineRule="auto"/>
        <w:ind w:left="720"/>
        <w:jc w:val="both"/>
        <w:rPr>
          <w:rFonts w:hint="cs"/>
          <w:rtl/>
        </w:rPr>
      </w:pPr>
      <w:r>
        <w:rPr>
          <w:rStyle w:val="Strong"/>
          <w:rFonts w:eastAsia="Times New Roman" w:cs="David" w:hint="cs"/>
          <w:rtl/>
          <w:lang w:eastAsia="he-IL"/>
        </w:rPr>
        <w:t> </w:t>
      </w:r>
    </w:p>
    <w:p w:rsidR="00000000" w:rsidRDefault="00C9525A">
      <w:pPr>
        <w:bidi/>
        <w:spacing w:before="120" w:line="360" w:lineRule="auto"/>
        <w:ind w:left="720"/>
        <w:jc w:val="both"/>
        <w:rPr>
          <w:rFonts w:hint="cs"/>
          <w:rtl/>
        </w:rPr>
      </w:pPr>
      <w:r>
        <w:rPr>
          <w:rStyle w:val="Strong"/>
          <w:rFonts w:eastAsia="Times New Roman" w:cs="David" w:hint="cs"/>
          <w:rtl/>
          <w:lang w:eastAsia="he-IL"/>
        </w:rPr>
        <w:t> </w:t>
      </w:r>
    </w:p>
    <w:p w:rsidR="00000000" w:rsidRDefault="00C9525A">
      <w:pPr>
        <w:bidi/>
        <w:spacing w:before="120" w:line="360" w:lineRule="auto"/>
        <w:ind w:left="360" w:hanging="360"/>
        <w:jc w:val="both"/>
        <w:rPr>
          <w:rFonts w:hint="cs"/>
          <w:rtl/>
        </w:rPr>
      </w:pPr>
      <w:r>
        <w:rPr>
          <w:rStyle w:val="Strong"/>
          <w:rFonts w:eastAsia="Times New Roman"/>
          <w:sz w:val="28"/>
          <w:szCs w:val="28"/>
          <w:rtl/>
          <w:lang w:eastAsia="he-IL"/>
        </w:rPr>
        <w:t>6.</w:t>
      </w:r>
      <w:r>
        <w:rPr>
          <w:rStyle w:val="Strong"/>
          <w:rFonts w:eastAsia="Times New Roman"/>
          <w:sz w:val="14"/>
          <w:szCs w:val="14"/>
          <w:rtl/>
          <w:lang w:eastAsia="he-IL"/>
        </w:rPr>
        <w:t xml:space="preserve">      </w:t>
      </w:r>
      <w:r>
        <w:rPr>
          <w:rStyle w:val="Strong"/>
          <w:rFonts w:eastAsia="Times New Roman" w:cs="David" w:hint="cs"/>
          <w:sz w:val="28"/>
          <w:szCs w:val="28"/>
          <w:rtl/>
          <w:lang w:eastAsia="he-IL"/>
        </w:rPr>
        <w:t>סוף דבר</w:t>
      </w:r>
    </w:p>
    <w:p w:rsidR="00000000" w:rsidRDefault="00C9525A">
      <w:pPr>
        <w:bidi/>
        <w:spacing w:before="120" w:line="360" w:lineRule="auto"/>
        <w:jc w:val="both"/>
        <w:rPr>
          <w:rFonts w:hint="cs"/>
          <w:rtl/>
        </w:rPr>
      </w:pPr>
      <w:r>
        <w:rPr>
          <w:rFonts w:eastAsia="Times New Roman" w:cs="David" w:hint="cs"/>
          <w:color w:val="000000"/>
          <w:sz w:val="22"/>
          <w:rtl/>
          <w:lang w:eastAsia="he-IL"/>
        </w:rPr>
        <w:t>לאחר שנועצתי בוועדה לפטורים ומיזוגים, ראיתי לנכון להשתמש בסמכות הנתונה לי בסעי</w:t>
      </w:r>
      <w:r>
        <w:rPr>
          <w:rFonts w:eastAsia="Times New Roman" w:cs="David" w:hint="cs"/>
          <w:color w:val="000000"/>
          <w:sz w:val="22"/>
          <w:rtl/>
          <w:lang w:eastAsia="he-IL"/>
        </w:rPr>
        <w:t>ף 14 לחוק ולהעניק את הפטור המבוקש ביחס לנושאים שפורטו לעיל, בכפוף לתנאים האמורים בגוף החלטתי זו.</w:t>
      </w:r>
    </w:p>
    <w:p w:rsidR="00000000" w:rsidRDefault="00C9525A">
      <w:pPr>
        <w:bidi/>
        <w:spacing w:before="120" w:line="360" w:lineRule="auto"/>
        <w:jc w:val="both"/>
        <w:rPr>
          <w:rFonts w:hint="cs"/>
          <w:rtl/>
        </w:rPr>
      </w:pPr>
      <w:r>
        <w:rPr>
          <w:rFonts w:eastAsia="Times New Roman" w:cs="David" w:hint="cs"/>
          <w:color w:val="000000"/>
          <w:sz w:val="22"/>
          <w:rtl/>
          <w:lang w:eastAsia="he-IL"/>
        </w:rPr>
        <w:t>בהתאם לסעיף 15(א) לחוק נתונה החלטתי זו לערר בפני אב בית הדין להגבלים עסקיים על ידי איגוד עסקי, ארגון צרכנים או כל אדם העלול להיפגע מההסדר הכובל עליו ניתן הפטור</w:t>
      </w:r>
      <w:r>
        <w:rPr>
          <w:rFonts w:eastAsia="Times New Roman" w:cs="David" w:hint="cs"/>
          <w:color w:val="000000"/>
          <w:sz w:val="22"/>
          <w:rtl/>
          <w:lang w:eastAsia="he-IL"/>
        </w:rPr>
        <w:t>.</w:t>
      </w:r>
    </w:p>
    <w:p w:rsidR="00000000" w:rsidRDefault="00C9525A">
      <w:pPr>
        <w:tabs>
          <w:tab w:val="left" w:pos="720"/>
          <w:tab w:val="center" w:pos="4153"/>
          <w:tab w:val="right" w:pos="8306"/>
        </w:tabs>
        <w:bidi/>
        <w:spacing w:before="240" w:line="360" w:lineRule="auto"/>
        <w:jc w:val="both"/>
        <w:rPr>
          <w:rFonts w:hint="cs"/>
          <w:rtl/>
        </w:rPr>
      </w:pPr>
      <w:r>
        <w:rPr>
          <w:rFonts w:eastAsia="Times New Roman" w:cs="David" w:hint="cs"/>
          <w:sz w:val="22"/>
          <w:rtl/>
          <w:lang w:eastAsia="he-IL"/>
        </w:rPr>
        <w:t> </w:t>
      </w:r>
    </w:p>
    <w:p w:rsidR="00000000" w:rsidRDefault="00C9525A">
      <w:pPr>
        <w:tabs>
          <w:tab w:val="left" w:pos="720"/>
          <w:tab w:val="center" w:pos="4153"/>
          <w:tab w:val="right" w:pos="8306"/>
        </w:tabs>
        <w:bidi/>
        <w:spacing w:before="240" w:line="360" w:lineRule="auto"/>
        <w:jc w:val="both"/>
        <w:rPr>
          <w:rFonts w:hint="cs"/>
          <w:rtl/>
        </w:rPr>
      </w:pPr>
      <w:r>
        <w:rPr>
          <w:rFonts w:eastAsia="Times New Roman" w:cs="David" w:hint="cs"/>
          <w:sz w:val="22"/>
          <w:rtl/>
          <w:lang w:eastAsia="he-IL"/>
        </w:rPr>
        <w:t> </w:t>
      </w:r>
    </w:p>
    <w:p w:rsidR="00000000" w:rsidRDefault="00C9525A">
      <w:pPr>
        <w:tabs>
          <w:tab w:val="left" w:pos="720"/>
          <w:tab w:val="center" w:pos="4153"/>
          <w:tab w:val="right" w:pos="8306"/>
        </w:tabs>
        <w:bidi/>
        <w:spacing w:before="240" w:line="360" w:lineRule="auto"/>
        <w:jc w:val="both"/>
        <w:rPr>
          <w:rFonts w:hint="cs"/>
          <w:rtl/>
        </w:rPr>
      </w:pPr>
      <w:r>
        <w:rPr>
          <w:rFonts w:eastAsia="Times New Roman" w:cs="David" w:hint="cs"/>
          <w:sz w:val="22"/>
          <w:rtl/>
          <w:lang w:eastAsia="he-IL"/>
        </w:rPr>
        <w:t> </w:t>
      </w:r>
    </w:p>
    <w:p w:rsidR="00000000" w:rsidRDefault="00C9525A">
      <w:pPr>
        <w:tabs>
          <w:tab w:val="left" w:pos="720"/>
          <w:tab w:val="center" w:pos="4153"/>
          <w:tab w:val="right" w:pos="8306"/>
        </w:tabs>
        <w:bidi/>
        <w:spacing w:before="240" w:line="360" w:lineRule="auto"/>
        <w:ind w:left="290" w:hanging="360"/>
        <w:jc w:val="both"/>
        <w:rPr>
          <w:rFonts w:hint="cs"/>
          <w:rtl/>
        </w:rPr>
      </w:pPr>
      <w:r>
        <w:rPr>
          <w:rFonts w:eastAsia="Times New Roman" w:cs="David" w:hint="cs"/>
          <w:sz w:val="22"/>
          <w:rtl/>
          <w:lang w:eastAsia="he-IL"/>
        </w:rPr>
        <w:t xml:space="preserve">                                                                                       פרופ' דיויד גילה </w:t>
      </w:r>
    </w:p>
    <w:p w:rsidR="00000000" w:rsidRDefault="00C9525A">
      <w:pPr>
        <w:tabs>
          <w:tab w:val="left" w:pos="720"/>
          <w:tab w:val="center" w:pos="4153"/>
          <w:tab w:val="right" w:pos="8306"/>
        </w:tabs>
        <w:bidi/>
        <w:spacing w:before="120" w:line="360" w:lineRule="auto"/>
        <w:ind w:left="4532"/>
        <w:jc w:val="both"/>
        <w:rPr>
          <w:rFonts w:hint="cs"/>
          <w:rtl/>
        </w:rPr>
      </w:pPr>
      <w:r>
        <w:rPr>
          <w:rFonts w:eastAsia="Times New Roman" w:cs="David" w:hint="cs"/>
          <w:sz w:val="22"/>
          <w:rtl/>
          <w:lang w:eastAsia="he-IL"/>
        </w:rPr>
        <w:t xml:space="preserve"> הממונה על הגבלים עסקיים </w:t>
      </w:r>
    </w:p>
    <w:p w:rsidR="00000000" w:rsidRDefault="00C9525A">
      <w:pPr>
        <w:bidi/>
        <w:spacing w:before="120" w:line="360" w:lineRule="auto"/>
        <w:ind w:left="26"/>
        <w:jc w:val="both"/>
        <w:rPr>
          <w:rFonts w:hint="cs"/>
          <w:rtl/>
        </w:rPr>
      </w:pPr>
      <w:r>
        <w:rPr>
          <w:rFonts w:eastAsia="Times New Roman" w:cs="David" w:hint="cs"/>
          <w:color w:val="000000"/>
          <w:sz w:val="22"/>
          <w:rtl/>
          <w:lang w:eastAsia="he-IL"/>
        </w:rPr>
        <w:t> </w:t>
      </w:r>
    </w:p>
    <w:p w:rsidR="00000000" w:rsidRDefault="00C9525A">
      <w:pPr>
        <w:bidi/>
        <w:spacing w:before="120" w:line="360" w:lineRule="auto"/>
        <w:ind w:left="26"/>
        <w:jc w:val="both"/>
        <w:rPr>
          <w:rFonts w:hint="cs"/>
          <w:rtl/>
        </w:rPr>
      </w:pPr>
      <w:r>
        <w:rPr>
          <w:rFonts w:eastAsia="Times New Roman" w:cs="David" w:hint="cs"/>
          <w:color w:val="000000"/>
          <w:sz w:val="22"/>
          <w:rtl/>
          <w:lang w:eastAsia="he-IL"/>
        </w:rPr>
        <w:t>ירושלים, ‏כ"ד סיון תשע"ב</w:t>
      </w:r>
    </w:p>
    <w:p w:rsidR="00000000" w:rsidRDefault="00C9525A">
      <w:pPr>
        <w:bidi/>
        <w:spacing w:before="100" w:beforeAutospacing="1" w:after="100" w:afterAutospacing="1"/>
        <w:jc w:val="both"/>
        <w:rPr>
          <w:rFonts w:hint="cs"/>
          <w:rtl/>
        </w:rPr>
      </w:pPr>
      <w:r>
        <w:rPr>
          <w:rFonts w:eastAsia="Times New Roman" w:cs="David" w:hint="cs"/>
          <w:color w:val="000000"/>
          <w:sz w:val="22"/>
          <w:rtl/>
          <w:lang w:eastAsia="he-IL"/>
        </w:rPr>
        <w:t>‏14 יוני, 2012</w:t>
      </w:r>
    </w:p>
    <w:p w:rsidR="00000000" w:rsidRDefault="00C9525A">
      <w:pPr>
        <w:bidi/>
        <w:divId w:val="1044062181"/>
        <w:rPr>
          <w:rFonts w:eastAsia="Times New Roman" w:hint="cs"/>
          <w:rtl/>
        </w:rPr>
      </w:pPr>
      <w:r>
        <w:rPr>
          <w:rFonts w:eastAsia="Times New Roman" w:hint="cs"/>
          <w:rtl/>
        </w:rPr>
        <w:br w:type="textWrapping" w:clear="all"/>
      </w:r>
    </w:p>
    <w:p w:rsidR="00000000" w:rsidRDefault="00C9525A">
      <w:pPr>
        <w:bidi/>
        <w:divId w:val="1044062181"/>
        <w:rPr>
          <w:rFonts w:eastAsia="Times New Roman" w:hint="cs"/>
          <w:rtl/>
        </w:rPr>
      </w:pPr>
      <w:r>
        <w:rPr>
          <w:rFonts w:eastAsia="Times New Roman" w:hint="cs"/>
        </w:rPr>
        <w:pict>
          <v:rect id="_x0000_i1025" style="width:110.7pt;height:.6pt" o:hrpct="330" o:hralign="right" o:hrstd="t" o:hr="t" fillcolor="#a0a0a0" stroked="f"/>
        </w:pict>
      </w:r>
    </w:p>
    <w:p w:rsidR="00000000" w:rsidRDefault="00C9525A">
      <w:pPr>
        <w:pStyle w:val="Footer"/>
        <w:divId w:val="742794487"/>
        <w:rPr>
          <w:rFonts w:hint="cs"/>
          <w:szCs w:val="14"/>
          <w:rtl/>
        </w:rPr>
      </w:pPr>
    </w:p>
    <w:p w:rsidR="00000000" w:rsidRDefault="00C9525A">
      <w:pPr>
        <w:divId w:val="742794487"/>
        <w:rPr>
          <w:rFonts w:eastAsia="Times New Roman" w:hint="cs"/>
        </w:rPr>
      </w:pPr>
      <w:r>
        <w:rPr>
          <w:rFonts w:eastAsia="Times New Roman" w:hint="cs"/>
        </w:rPr>
        <w:t>\</w:t>
      </w:r>
    </w:p>
    <w:sectPr w:rsidR="0000000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C9525A">
      <w:r>
        <w:separator/>
      </w:r>
    </w:p>
  </w:endnote>
  <w:endnote w:type="continuationSeparator" w:id="0">
    <w:p w:rsidR="00000000" w:rsidRDefault="00C95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C9525A">
      <w:r>
        <w:separator/>
      </w:r>
    </w:p>
  </w:footnote>
  <w:footnote w:type="continuationSeparator" w:id="0">
    <w:p w:rsidR="00000000" w:rsidRDefault="00C9525A">
      <w:r>
        <w:continuationSeparator/>
      </w:r>
    </w:p>
  </w:footnote>
  <w:footnote w:id="1">
    <w:p w:rsidR="00000000" w:rsidRDefault="00C9525A">
      <w:pPr>
        <w:pStyle w:val="FootnoteText"/>
        <w:bidi/>
        <w:rPr>
          <w:rFonts w:hint="cs"/>
          <w:rtl/>
        </w:rPr>
      </w:pPr>
      <w:r>
        <w:rPr>
          <w:rStyle w:val="FootnoteReference"/>
        </w:rPr>
        <w:footnoteRef/>
      </w:r>
      <w:r>
        <w:rPr>
          <w:rStyle w:val="FootnoteReference"/>
          <w:rFonts w:eastAsia="Times New Roman" w:cs="David"/>
          <w:sz w:val="20"/>
          <w:szCs w:val="20"/>
          <w:lang w:eastAsia="he-IL"/>
        </w:rPr>
        <w:t>[1]</w:t>
      </w:r>
      <w:r>
        <w:rPr>
          <w:rFonts w:cs="David" w:hint="cs"/>
          <w:rtl/>
        </w:rPr>
        <w:t xml:space="preserve"> </w:t>
      </w:r>
      <w:r>
        <w:rPr>
          <w:rFonts w:cs="David" w:hint="cs"/>
          <w:rtl/>
        </w:rPr>
        <w:t>יצויין, כי חלק מהמפעלים המייצרים חשמל בתהליכי קוגנרציה לשימוש עצמי, מוכרים את עודפיהם לחברת חשמל. מפעלי קוגנרציה מצויים כיום בבית הזיקוק לנפט חיפה</w:t>
      </w:r>
      <w:r>
        <w:rPr>
          <w:rFonts w:hint="cs"/>
        </w:rPr>
        <w:t>;</w:t>
      </w:r>
      <w:r>
        <w:rPr>
          <w:rFonts w:cs="David" w:hint="cs"/>
          <w:rtl/>
        </w:rPr>
        <w:t xml:space="preserve"> מפעלי נייר חדרה</w:t>
      </w:r>
      <w:r>
        <w:rPr>
          <w:rFonts w:hint="cs"/>
        </w:rPr>
        <w:t>;</w:t>
      </w:r>
      <w:r>
        <w:rPr>
          <w:rFonts w:cs="David" w:hint="cs"/>
          <w:rtl/>
        </w:rPr>
        <w:t xml:space="preserve"> מפעלי ים המלח ועוד.</w:t>
      </w:r>
    </w:p>
  </w:footnote>
  <w:footnote w:id="2">
    <w:p w:rsidR="00000000" w:rsidRDefault="00C9525A">
      <w:pPr>
        <w:pStyle w:val="FootnoteText"/>
        <w:bidi/>
        <w:rPr>
          <w:rFonts w:hint="cs"/>
          <w:rtl/>
        </w:rPr>
      </w:pPr>
      <w:r>
        <w:rPr>
          <w:rStyle w:val="FootnoteReference"/>
        </w:rPr>
        <w:footnoteRef/>
      </w:r>
      <w:r>
        <w:rPr>
          <w:rStyle w:val="FootnoteReference"/>
          <w:rFonts w:eastAsia="Times New Roman" w:cs="David"/>
          <w:sz w:val="20"/>
          <w:szCs w:val="20"/>
          <w:lang w:eastAsia="he-IL"/>
        </w:rPr>
        <w:t>[2]</w:t>
      </w:r>
      <w:r>
        <w:rPr>
          <w:rFonts w:cs="David" w:hint="cs"/>
          <w:rtl/>
        </w:rPr>
        <w:t xml:space="preserve"> בימים אלה מקיים הממונה על הגבלים עסקיים שימוע להכרזה על שותפות תמר</w:t>
      </w:r>
      <w:r>
        <w:rPr>
          <w:rFonts w:cs="David" w:hint="cs"/>
          <w:rtl/>
        </w:rPr>
        <w:t xml:space="preserve"> כמונופול באספקת גז טבעי. </w:t>
      </w:r>
    </w:p>
  </w:footnote>
  <w:footnote w:id="3">
    <w:p w:rsidR="00000000" w:rsidRDefault="00C9525A">
      <w:pPr>
        <w:pStyle w:val="FootnoteText"/>
        <w:bidi/>
        <w:rPr>
          <w:rFonts w:hint="cs"/>
          <w:rtl/>
        </w:rPr>
      </w:pPr>
      <w:r>
        <w:rPr>
          <w:rStyle w:val="FootnoteReference"/>
        </w:rPr>
        <w:footnoteRef/>
      </w:r>
      <w:r>
        <w:rPr>
          <w:rStyle w:val="FootnoteReference"/>
          <w:rFonts w:eastAsia="Times New Roman" w:cs="David"/>
          <w:sz w:val="20"/>
          <w:szCs w:val="20"/>
          <w:lang w:eastAsia="he-IL"/>
        </w:rPr>
        <w:t>[3]</w:t>
      </w:r>
      <w:r>
        <w:rPr>
          <w:rFonts w:cs="David" w:hint="cs"/>
          <w:rtl/>
        </w:rPr>
        <w:t xml:space="preserve"> יצויין, כי קבוצות אמפל ומרחב שבשליטת יוסי מימן מחזיקות בכ-20% מהזכויות בחברת </w:t>
      </w:r>
      <w:r>
        <w:rPr>
          <w:rFonts w:hint="cs"/>
        </w:rPr>
        <w:t>EMG</w:t>
      </w:r>
      <w:r>
        <w:rPr>
          <w:rFonts w:cs="David" w:hint="cs"/>
          <w:rtl/>
        </w:rPr>
        <w:t>.</w:t>
      </w:r>
    </w:p>
  </w:footnote>
  <w:footnote w:id="4">
    <w:p w:rsidR="00000000" w:rsidRDefault="00C9525A">
      <w:pPr>
        <w:pStyle w:val="FootnoteText"/>
        <w:bidi/>
        <w:rPr>
          <w:rFonts w:hint="cs"/>
          <w:rtl/>
        </w:rPr>
      </w:pPr>
      <w:r>
        <w:rPr>
          <w:rStyle w:val="FootnoteReference"/>
        </w:rPr>
        <w:footnoteRef/>
      </w:r>
      <w:r>
        <w:rPr>
          <w:rStyle w:val="FootnoteReference"/>
          <w:rFonts w:eastAsia="Times New Roman" w:cs="David"/>
          <w:sz w:val="20"/>
          <w:szCs w:val="20"/>
          <w:lang w:eastAsia="he-IL"/>
        </w:rPr>
        <w:t>[4]</w:t>
      </w:r>
      <w:r>
        <w:rPr>
          <w:rFonts w:cs="David" w:hint="cs"/>
          <w:rtl/>
        </w:rPr>
        <w:t xml:space="preserve"> חלק ממאגרים אלה הוכרו כתגליות. להגדרות ולסוגי הזכויות המוענקים לגופים העוסקים בתחום הנפט והגז הטבעי והנוגעים לתחום זה (היתרים מוקדמים, רי</w:t>
      </w:r>
      <w:r>
        <w:rPr>
          <w:rFonts w:cs="David" w:hint="cs"/>
          <w:rtl/>
        </w:rPr>
        <w:t>שיונות וחזקות) וכן להרחבה בעניין אישור הממונה על ענייני הנפט לעניין הוכחת יכולת הפקה מסחרית, וכן בעניין חובות הקדיחה, הפיתוח, ההפקה והשיווק החלות על הגופים העוסקים בתחום הנפט והגז- ראה את חוק הנפט, התשי"ב – 1952 (להלן: "</w:t>
      </w:r>
      <w:r>
        <w:rPr>
          <w:rStyle w:val="Strong"/>
          <w:rFonts w:cs="David" w:hint="cs"/>
          <w:rtl/>
        </w:rPr>
        <w:t>חוק הנפט</w:t>
      </w:r>
      <w:r>
        <w:rPr>
          <w:rFonts w:cs="David" w:hint="cs"/>
          <w:rtl/>
        </w:rPr>
        <w:t xml:space="preserve">"). </w:t>
      </w:r>
    </w:p>
  </w:footnote>
  <w:footnote w:id="5">
    <w:p w:rsidR="00000000" w:rsidRDefault="00C9525A">
      <w:pPr>
        <w:pStyle w:val="FootnoteText"/>
        <w:bidi/>
        <w:rPr>
          <w:rFonts w:hint="cs"/>
          <w:rtl/>
        </w:rPr>
      </w:pPr>
      <w:r>
        <w:rPr>
          <w:rStyle w:val="FootnoteReference"/>
        </w:rPr>
        <w:footnoteRef/>
      </w:r>
      <w:r>
        <w:rPr>
          <w:rStyle w:val="FootnoteReference"/>
          <w:rFonts w:eastAsia="Times New Roman" w:cs="David"/>
          <w:sz w:val="20"/>
          <w:szCs w:val="20"/>
          <w:lang w:eastAsia="he-IL"/>
        </w:rPr>
        <w:t>[5]</w:t>
      </w:r>
      <w:r>
        <w:rPr>
          <w:rFonts w:cs="David" w:hint="cs"/>
          <w:rtl/>
        </w:rPr>
        <w:t xml:space="preserve"> בהתאם למידע שנמסר </w:t>
      </w:r>
      <w:r>
        <w:rPr>
          <w:rFonts w:cs="David" w:hint="cs"/>
          <w:rtl/>
        </w:rPr>
        <w:t>על ידי דליה, ביום 16.3.2008 הוכרז הפרויקט כפרויקט תשתיות לאומי</w:t>
      </w:r>
      <w:r>
        <w:rPr>
          <w:rFonts w:hint="cs"/>
        </w:rPr>
        <w:t>;</w:t>
      </w:r>
      <w:r>
        <w:rPr>
          <w:rFonts w:cs="David" w:hint="cs"/>
          <w:rtl/>
        </w:rPr>
        <w:t xml:space="preserve"> וביום 21.7.2011 העניקה הממשלה תוקף לתכנית תת"ל 29 א', המציעה הקמת תחנת כח המוסקת בגז טבעי, העתידה לספק 870 מגוואט שעה באמצעות התפלת 2 טורבינות במחזור משולב, המהווים כ-6%-7% מייצור החשמל בישראל</w:t>
      </w:r>
      <w:r>
        <w:rPr>
          <w:rFonts w:cs="David" w:hint="cs"/>
          <w:rtl/>
        </w:rPr>
        <w:t>.</w:t>
      </w:r>
    </w:p>
  </w:footnote>
  <w:footnote w:id="6">
    <w:p w:rsidR="00000000" w:rsidRDefault="00C9525A">
      <w:pPr>
        <w:pStyle w:val="FootnoteText"/>
        <w:bidi/>
        <w:rPr>
          <w:rFonts w:hint="cs"/>
          <w:rtl/>
        </w:rPr>
      </w:pPr>
      <w:r>
        <w:rPr>
          <w:rStyle w:val="FootnoteReference"/>
        </w:rPr>
        <w:footnoteRef/>
      </w:r>
      <w:r>
        <w:rPr>
          <w:rStyle w:val="FootnoteReference"/>
          <w:rFonts w:eastAsia="Times New Roman" w:cs="David"/>
          <w:sz w:val="20"/>
          <w:szCs w:val="20"/>
          <w:lang w:eastAsia="he-IL"/>
        </w:rPr>
        <w:t>[6]</w:t>
      </w:r>
      <w:r>
        <w:rPr>
          <w:rFonts w:cs="David" w:hint="cs"/>
          <w:rtl/>
        </w:rPr>
        <w:t xml:space="preserve"> ביום 22.8.2006 ניתן לשותפות תמר פטור מאישור הסדר כובל לפי סעיף 14 לחוק ההגבלים העסקיים, התשמ"ח-1988  </w:t>
      </w:r>
      <w:r>
        <w:rPr>
          <w:rStyle w:val="Strong"/>
          <w:rFonts w:cs="David" w:hint="cs"/>
          <w:rtl/>
        </w:rPr>
        <w:t>הגבלים עסקיים</w:t>
      </w:r>
      <w:r>
        <w:rPr>
          <w:rFonts w:cs="David" w:hint="cs"/>
          <w:rtl/>
        </w:rPr>
        <w:t>, 5000445.</w:t>
      </w:r>
    </w:p>
  </w:footnote>
  <w:footnote w:id="7">
    <w:p w:rsidR="00000000" w:rsidRDefault="00C9525A">
      <w:pPr>
        <w:pStyle w:val="FootnoteText"/>
        <w:bidi/>
        <w:rPr>
          <w:rFonts w:hint="cs"/>
          <w:rtl/>
        </w:rPr>
      </w:pPr>
      <w:r>
        <w:rPr>
          <w:rStyle w:val="FootnoteReference"/>
        </w:rPr>
        <w:footnoteRef/>
      </w:r>
      <w:r>
        <w:rPr>
          <w:rStyle w:val="FootnoteReference"/>
          <w:rFonts w:eastAsia="Times New Roman" w:cs="David"/>
          <w:sz w:val="20"/>
          <w:szCs w:val="20"/>
          <w:lang w:eastAsia="he-IL"/>
        </w:rPr>
        <w:t>[7]</w:t>
      </w:r>
      <w:r>
        <w:rPr>
          <w:rFonts w:cs="David" w:hint="cs"/>
          <w:rtl/>
        </w:rPr>
        <w:t xml:space="preserve"> ראה ה"ש 4 </w:t>
      </w:r>
      <w:r>
        <w:rPr>
          <w:rStyle w:val="Strong"/>
          <w:rFonts w:cs="David" w:hint="cs"/>
          <w:rtl/>
        </w:rPr>
        <w:t>לעיל</w:t>
      </w:r>
      <w:r>
        <w:rPr>
          <w:rFonts w:cs="David" w:hint="cs"/>
          <w:rtl/>
        </w:rPr>
        <w:t>.</w:t>
      </w:r>
    </w:p>
  </w:footnote>
  <w:footnote w:id="8">
    <w:p w:rsidR="00000000" w:rsidRDefault="00C9525A">
      <w:pPr>
        <w:pStyle w:val="FootnoteText"/>
        <w:bidi/>
        <w:rPr>
          <w:rFonts w:hint="cs"/>
          <w:rtl/>
        </w:rPr>
      </w:pPr>
      <w:r>
        <w:rPr>
          <w:rStyle w:val="FootnoteReference"/>
        </w:rPr>
        <w:footnoteRef/>
      </w:r>
      <w:r>
        <w:rPr>
          <w:rStyle w:val="FootnoteReference"/>
          <w:rFonts w:eastAsia="Times New Roman" w:cs="David"/>
          <w:sz w:val="20"/>
          <w:szCs w:val="20"/>
          <w:lang w:eastAsia="he-IL"/>
        </w:rPr>
        <w:t>[8]</w:t>
      </w:r>
      <w:r>
        <w:rPr>
          <w:rFonts w:cs="David" w:hint="cs"/>
          <w:rtl/>
        </w:rPr>
        <w:t xml:space="preserve">המונח  </w:t>
      </w:r>
      <w:r>
        <w:rPr>
          <w:rFonts w:hint="cs"/>
        </w:rPr>
        <w:t>BCM</w:t>
      </w:r>
      <w:r>
        <w:rPr>
          <w:rFonts w:cs="David" w:hint="cs"/>
          <w:rtl/>
        </w:rPr>
        <w:t xml:space="preserve"> מבטא יחידת מידה של גז טבעי– </w:t>
      </w:r>
      <w:r>
        <w:rPr>
          <w:rFonts w:hint="cs"/>
        </w:rPr>
        <w:t>Billion Cubic Meters</w:t>
      </w:r>
      <w:r>
        <w:rPr>
          <w:rFonts w:cs="David" w:hint="cs"/>
          <w:rtl/>
        </w:rPr>
        <w:t xml:space="preserve"> (מיליארד מטר מעוקב).</w:t>
      </w:r>
    </w:p>
  </w:footnote>
  <w:footnote w:id="9">
    <w:p w:rsidR="00000000" w:rsidRDefault="00C9525A">
      <w:pPr>
        <w:pStyle w:val="FootnoteText"/>
        <w:bidi/>
        <w:rPr>
          <w:rFonts w:hint="cs"/>
          <w:rtl/>
        </w:rPr>
      </w:pPr>
      <w:r>
        <w:rPr>
          <w:rStyle w:val="FootnoteReference"/>
        </w:rPr>
        <w:footnoteRef/>
      </w:r>
      <w:r>
        <w:rPr>
          <w:rStyle w:val="FootnoteReference"/>
          <w:rFonts w:eastAsia="Times New Roman" w:cs="David"/>
          <w:sz w:val="20"/>
          <w:szCs w:val="20"/>
          <w:lang w:eastAsia="he-IL"/>
        </w:rPr>
        <w:t>[9]</w:t>
      </w:r>
      <w:r>
        <w:rPr>
          <w:rFonts w:cs="David" w:hint="cs"/>
          <w:rtl/>
        </w:rPr>
        <w:t xml:space="preserve"> בעניין זה ראה</w:t>
      </w:r>
      <w:r>
        <w:rPr>
          <w:rFonts w:cs="David" w:hint="cs"/>
          <w:rtl/>
        </w:rPr>
        <w:t xml:space="preserve"> את גילוי הדעת 1/11 בעניין הנחיות לניתוח תחרותי של מיזוגים אופקיים 2009: </w:t>
      </w:r>
      <w:r>
        <w:rPr>
          <w:rStyle w:val="Strong"/>
          <w:rFonts w:cs="David" w:hint="cs"/>
          <w:rtl/>
        </w:rPr>
        <w:t>הגבלים עסקיים</w:t>
      </w:r>
      <w:r>
        <w:rPr>
          <w:rFonts w:cs="David" w:hint="cs"/>
          <w:rtl/>
        </w:rPr>
        <w:t xml:space="preserve"> </w:t>
      </w:r>
      <w:r>
        <w:rPr>
          <w:rFonts w:hint="cs"/>
        </w:rPr>
        <w:t>5001543</w:t>
      </w:r>
      <w:r>
        <w:rPr>
          <w:rFonts w:cs="David" w:hint="cs"/>
          <w:rtl/>
        </w:rPr>
        <w:t xml:space="preserve">. </w:t>
      </w:r>
    </w:p>
  </w:footnote>
  <w:footnote w:id="10">
    <w:p w:rsidR="00000000" w:rsidRDefault="00C9525A">
      <w:pPr>
        <w:spacing w:before="100" w:beforeAutospacing="1" w:after="100" w:afterAutospacing="1"/>
        <w:jc w:val="both"/>
        <w:rPr>
          <w:rFonts w:hint="cs"/>
          <w:rtl/>
        </w:rPr>
      </w:pPr>
      <w:r>
        <w:rPr>
          <w:rStyle w:val="FootnoteReference"/>
        </w:rPr>
        <w:footnoteRef/>
      </w:r>
      <w:r>
        <w:rPr>
          <w:rStyle w:val="FootnoteReference"/>
          <w:rFonts w:ascii="Calibri" w:eastAsia="Calibri" w:hAnsi="Calibri" w:cs="Arial"/>
          <w:sz w:val="22"/>
          <w:szCs w:val="22"/>
        </w:rPr>
        <w:t>[10]</w:t>
      </w:r>
      <w:r>
        <w:rPr>
          <w:rFonts w:cs="David" w:hint="cs"/>
          <w:sz w:val="20"/>
          <w:szCs w:val="20"/>
        </w:rPr>
        <w:t xml:space="preserve">Peter D. Cameron, </w:t>
      </w:r>
      <w:r>
        <w:rPr>
          <w:rStyle w:val="Emphasis"/>
          <w:rFonts w:cs="David" w:hint="cs"/>
          <w:sz w:val="20"/>
          <w:szCs w:val="20"/>
        </w:rPr>
        <w:t>Competition in Energy Markets - Law and Regulation in the European Union</w:t>
      </w:r>
      <w:r>
        <w:rPr>
          <w:rFonts w:cs="David" w:hint="cs"/>
          <w:sz w:val="20"/>
          <w:szCs w:val="20"/>
        </w:rPr>
        <w:t xml:space="preserve"> (2nd ed. 2007) – 325.</w:t>
      </w:r>
    </w:p>
  </w:footnote>
  <w:footnote w:id="11">
    <w:p w:rsidR="00000000" w:rsidRDefault="00C9525A">
      <w:pPr>
        <w:pStyle w:val="FootnoteText"/>
        <w:jc w:val="both"/>
        <w:rPr>
          <w:rFonts w:hint="cs"/>
        </w:rPr>
      </w:pPr>
      <w:r>
        <w:rPr>
          <w:rStyle w:val="FootnoteReference"/>
        </w:rPr>
        <w:footnoteRef/>
      </w:r>
      <w:r>
        <w:rPr>
          <w:rStyle w:val="FootnoteReference"/>
          <w:rFonts w:eastAsia="Times New Roman" w:cs="David"/>
          <w:sz w:val="20"/>
          <w:szCs w:val="20"/>
          <w:lang w:eastAsia="he-IL"/>
        </w:rPr>
        <w:t>[11]</w:t>
      </w:r>
      <w:r>
        <w:rPr>
          <w:rFonts w:ascii="Calibri" w:eastAsia="Calibri" w:hAnsi="Calibri" w:cs="David"/>
        </w:rPr>
        <w:t>Kim Talus "</w:t>
      </w:r>
      <w:r>
        <w:rPr>
          <w:rFonts w:ascii="Calibri" w:eastAsia="Calibri" w:hAnsi="Calibri" w:cs="David"/>
        </w:rPr>
        <w:t xml:space="preserve">Long Term Natural Gas Contracts and Antitrust Law in the European Union and the United States", </w:t>
      </w:r>
      <w:r>
        <w:rPr>
          <w:rStyle w:val="Emphasis"/>
          <w:rFonts w:ascii="Calibri" w:eastAsia="Calibri" w:hAnsi="Calibri" w:cs="David"/>
        </w:rPr>
        <w:t>Oxford Journals World Energy Law Bus</w:t>
      </w:r>
      <w:r>
        <w:rPr>
          <w:rFonts w:ascii="Calibri" w:eastAsia="Calibri" w:hAnsi="Calibri" w:cs="David"/>
        </w:rPr>
        <w:t xml:space="preserve"> (2011) 4 (3): 260-315</w:t>
      </w:r>
    </w:p>
  </w:footnote>
  <w:footnote w:id="12">
    <w:p w:rsidR="00000000" w:rsidRDefault="00C9525A">
      <w:pPr>
        <w:spacing w:before="100" w:beforeAutospacing="1" w:after="100" w:afterAutospacing="1"/>
        <w:jc w:val="both"/>
        <w:rPr>
          <w:rFonts w:hint="cs"/>
        </w:rPr>
      </w:pPr>
      <w:r>
        <w:rPr>
          <w:rStyle w:val="FootnoteReference"/>
        </w:rPr>
        <w:footnoteRef/>
      </w:r>
      <w:r>
        <w:rPr>
          <w:rStyle w:val="FootnoteReference"/>
          <w:rFonts w:ascii="Calibri" w:eastAsia="Calibri" w:hAnsi="Calibri" w:cs="Arial"/>
          <w:sz w:val="22"/>
          <w:szCs w:val="22"/>
        </w:rPr>
        <w:t>[12]</w:t>
      </w:r>
      <w:r>
        <w:rPr>
          <w:rFonts w:ascii="Calibri" w:hAnsi="Calibri" w:cs="Arial"/>
          <w:rtl/>
        </w:rPr>
        <w:t xml:space="preserve"> </w:t>
      </w:r>
      <w:r>
        <w:rPr>
          <w:rFonts w:cs="David" w:hint="cs"/>
          <w:sz w:val="20"/>
          <w:szCs w:val="20"/>
        </w:rPr>
        <w:t xml:space="preserve">J. Faull, A. Nikpay </w:t>
      </w:r>
      <w:r>
        <w:rPr>
          <w:rStyle w:val="Emphasis"/>
          <w:rFonts w:cs="David" w:hint="cs"/>
          <w:sz w:val="20"/>
          <w:szCs w:val="20"/>
        </w:rPr>
        <w:t>the EC Law of Competition</w:t>
      </w:r>
      <w:r>
        <w:rPr>
          <w:rFonts w:cs="David" w:hint="cs"/>
          <w:sz w:val="20"/>
          <w:szCs w:val="20"/>
        </w:rPr>
        <w:t xml:space="preserve"> (2nd ed. 2007) – 1462-1464</w:t>
      </w:r>
    </w:p>
    <w:p w:rsidR="00000000" w:rsidRDefault="00C9525A">
      <w:pPr>
        <w:pStyle w:val="FootnoteText"/>
        <w:bidi/>
        <w:rPr>
          <w:rFonts w:hint="cs"/>
        </w:rPr>
      </w:pPr>
      <w:r>
        <w:rPr>
          <w:rFonts w:hint="cs"/>
        </w:rPr>
        <w: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F73BD"/>
    <w:multiLevelType w:val="multilevel"/>
    <w:tmpl w:val="CDD86A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8277B65"/>
    <w:multiLevelType w:val="multilevel"/>
    <w:tmpl w:val="59126C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25A"/>
    <w:rsid w:val="00C9525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2AAF8ED-ADA1-4E06-9D56-9568E8551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table" w:customStyle="1" w:styleId="a">
    <w:name w:val="טבלה רגילה"/>
    <w:uiPriority w:val="99"/>
    <w:semiHidden/>
    <w:rPr>
      <w:rFonts w:ascii="Calibri" w:hAnsi="Calibri" w:cs="Arial"/>
    </w:rPr>
    <w:tblPr>
      <w:tblCellMar>
        <w:top w:w="0" w:type="dxa"/>
        <w:left w:w="108" w:type="dxa"/>
        <w:bottom w:w="0" w:type="dxa"/>
        <w:right w:w="108" w:type="dxa"/>
      </w:tblCellMar>
    </w:tblPr>
  </w:style>
  <w:style w:type="character" w:styleId="Strong">
    <w:name w:val="Strong"/>
    <w:basedOn w:val="DefaultParagraphFont"/>
    <w:uiPriority w:val="22"/>
    <w:qFormat/>
    <w:rPr>
      <w:b/>
      <w:bCs/>
    </w:rPr>
  </w:style>
  <w:style w:type="paragraph" w:styleId="FootnoteText">
    <w:name w:val="footnote text"/>
    <w:basedOn w:val="Normal"/>
    <w:link w:val="FootnoteTextChar"/>
    <w:semiHidden/>
    <w:unhideWhenUsed/>
    <w:pPr>
      <w:spacing w:before="100" w:beforeAutospacing="1" w:after="100" w:afterAutospacing="1"/>
    </w:pPr>
  </w:style>
  <w:style w:type="character" w:customStyle="1" w:styleId="FootnoteTextChar">
    <w:name w:val="Footnote Text Char"/>
    <w:basedOn w:val="DefaultParagraphFont"/>
    <w:link w:val="FootnoteText"/>
    <w:semiHidden/>
    <w:rPr>
      <w:rFonts w:eastAsiaTheme="minorEastAsia"/>
    </w:rPr>
  </w:style>
  <w:style w:type="character" w:styleId="FootnoteReference">
    <w:name w:val="footnote reference"/>
    <w:basedOn w:val="DefaultParagraphFont"/>
    <w:semiHidden/>
    <w:unhideWhenUsed/>
  </w:style>
  <w:style w:type="character" w:styleId="Emphasis">
    <w:name w:val="Emphasis"/>
    <w:basedOn w:val="DefaultParagraphFont"/>
    <w:uiPriority w:val="20"/>
    <w:qFormat/>
    <w:rPr>
      <w:i/>
      <w:iCs/>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450968">
      <w:marLeft w:val="0"/>
      <w:marRight w:val="0"/>
      <w:marTop w:val="0"/>
      <w:marBottom w:val="0"/>
      <w:divBdr>
        <w:top w:val="none" w:sz="0" w:space="0" w:color="auto"/>
        <w:left w:val="none" w:sz="0" w:space="0" w:color="auto"/>
        <w:bottom w:val="none" w:sz="0" w:space="0" w:color="auto"/>
        <w:right w:val="none" w:sz="0" w:space="0" w:color="auto"/>
      </w:divBdr>
    </w:div>
    <w:div w:id="742794487">
      <w:marLeft w:val="0"/>
      <w:marRight w:val="0"/>
      <w:marTop w:val="0"/>
      <w:marBottom w:val="0"/>
      <w:divBdr>
        <w:top w:val="none" w:sz="0" w:space="0" w:color="auto"/>
        <w:left w:val="none" w:sz="0" w:space="0" w:color="auto"/>
        <w:bottom w:val="none" w:sz="0" w:space="0" w:color="auto"/>
        <w:right w:val="none" w:sz="0" w:space="0" w:color="auto"/>
      </w:divBdr>
    </w:div>
    <w:div w:id="104406218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3009</Words>
  <Characters>14589</Characters>
  <Application>Microsoft Office Word</Application>
  <DocSecurity>0</DocSecurity>
  <Lines>121</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2019-08-07T09:42:00Z</dcterms:created>
  <dcterms:modified xsi:type="dcterms:W3CDTF">2019-08-07T09:42:00Z</dcterms:modified>
</cp:coreProperties>
</file>