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22DFD">
      <w:pPr>
        <w:pStyle w:val="Header"/>
        <w:jc w:val="right"/>
        <w:divId w:val="1787384457"/>
      </w:pPr>
      <w:bookmarkStart w:id="0" w:name="_GoBack"/>
      <w:bookmarkEnd w:id="0"/>
    </w:p>
    <w:p w:rsidR="00000000" w:rsidRDefault="00C22DFD">
      <w:pPr>
        <w:pStyle w:val="BodyText"/>
        <w:bidi/>
        <w:spacing w:before="0" w:beforeAutospacing="0" w:after="120" w:afterAutospacing="0"/>
        <w:jc w:val="center"/>
        <w:rPr>
          <w:rFonts w:hint="cs"/>
          <w:rtl/>
        </w:rPr>
      </w:pPr>
      <w:r>
        <w:rPr>
          <w:rStyle w:val="Strong"/>
          <w:rFonts w:cs="David" w:hint="cs"/>
          <w:sz w:val="32"/>
          <w:szCs w:val="32"/>
          <w:rtl/>
        </w:rPr>
        <w:t xml:space="preserve">החלטה לפי סעיף 14 לחוק ההגבלים העסקיים, התשמ"ח-1988 </w:t>
      </w:r>
    </w:p>
    <w:p w:rsidR="00000000" w:rsidRDefault="00C22DFD">
      <w:pPr>
        <w:pStyle w:val="BodyText"/>
        <w:bidi/>
        <w:spacing w:before="0" w:beforeAutospacing="0" w:after="120" w:afterAutospacing="0"/>
        <w:jc w:val="center"/>
        <w:rPr>
          <w:rFonts w:hint="cs"/>
          <w:rtl/>
        </w:rPr>
      </w:pPr>
      <w:r>
        <w:rPr>
          <w:rStyle w:val="Strong"/>
          <w:rFonts w:cs="David" w:hint="cs"/>
          <w:sz w:val="32"/>
          <w:szCs w:val="32"/>
          <w:rtl/>
        </w:rPr>
        <w:t>בדבר מתן פטור בתנאים מאישור הסדר כובל להסדר חברת מרכז סליקה בנקאי בע"מ בין:</w:t>
      </w:r>
    </w:p>
    <w:p w:rsidR="00000000" w:rsidRDefault="00C22DFD">
      <w:pPr>
        <w:pStyle w:val="BodyText"/>
        <w:bidi/>
        <w:spacing w:before="0" w:beforeAutospacing="0" w:after="120" w:afterAutospacing="0"/>
        <w:jc w:val="center"/>
        <w:rPr>
          <w:rFonts w:hint="cs"/>
          <w:rtl/>
        </w:rPr>
      </w:pPr>
      <w:r>
        <w:rPr>
          <w:rStyle w:val="Strong"/>
          <w:rFonts w:cs="David" w:hint="cs"/>
          <w:sz w:val="28"/>
          <w:szCs w:val="28"/>
          <w:u w:val="single"/>
          <w:rtl/>
        </w:rPr>
        <w:t>בנק הפועלים בע"מ, בנק לאומי לישראל בע"</w:t>
      </w:r>
      <w:r>
        <w:rPr>
          <w:rStyle w:val="Strong"/>
          <w:rFonts w:cs="David" w:hint="cs"/>
          <w:sz w:val="28"/>
          <w:szCs w:val="28"/>
          <w:u w:val="single"/>
          <w:rtl/>
        </w:rPr>
        <w:t>מ, בנק דיסקונט לישראל בע"מ, בנק המזרחי טפחות בע"מ והבנק הבינלאומי הראשון לישראל בע"מ, מרכז סליקה בנקאי בע"מ</w:t>
      </w:r>
    </w:p>
    <w:p w:rsidR="00000000" w:rsidRDefault="00C22DFD">
      <w:pPr>
        <w:pStyle w:val="Heading1"/>
        <w:bidi/>
        <w:spacing w:before="120" w:beforeAutospacing="0" w:after="0" w:afterAutospacing="0"/>
        <w:ind w:left="509" w:right="389" w:hanging="480"/>
        <w:rPr>
          <w:rFonts w:eastAsia="Times New Roman" w:hint="cs"/>
          <w:rtl/>
        </w:rPr>
      </w:pPr>
      <w:r>
        <w:rPr>
          <w:rStyle w:val="Strong"/>
          <w:rFonts w:eastAsia="David" w:cs="David" w:hint="cs"/>
          <w:bCs/>
          <w:sz w:val="22"/>
          <w:szCs w:val="28"/>
          <w:rtl/>
        </w:rPr>
        <w:t>א.</w:t>
      </w:r>
      <w:r>
        <w:rPr>
          <w:rStyle w:val="Strong"/>
          <w:rFonts w:eastAsia="David"/>
          <w:bCs/>
          <w:sz w:val="14"/>
          <w:szCs w:val="14"/>
          <w:rtl/>
        </w:rPr>
        <w:t xml:space="preserve">        </w:t>
      </w:r>
      <w:r>
        <w:rPr>
          <w:rStyle w:val="Strong"/>
          <w:rFonts w:eastAsia="Times New Roman" w:cs="David" w:hint="cs"/>
          <w:bCs/>
          <w:sz w:val="22"/>
          <w:szCs w:val="28"/>
          <w:rtl/>
        </w:rPr>
        <w:t xml:space="preserve">פתח דבר </w:t>
      </w:r>
    </w:p>
    <w:p w:rsidR="00000000" w:rsidRDefault="00C22DFD">
      <w:pPr>
        <w:bidi/>
        <w:spacing w:before="120" w:after="100" w:afterAutospacing="1" w:line="360" w:lineRule="auto"/>
        <w:jc w:val="both"/>
        <w:rPr>
          <w:rFonts w:hint="cs"/>
          <w:rtl/>
        </w:rPr>
      </w:pPr>
      <w:r>
        <w:rPr>
          <w:rFonts w:cs="David" w:hint="cs"/>
          <w:rtl/>
        </w:rPr>
        <w:t>ביום 25 בספטמבר 2011 הונחה לפניי בקשת פטור לפי סעיף 14 לחוק ההגבלים העסקיים, התשמ"ח-1988 (להלן: "</w:t>
      </w:r>
      <w:r>
        <w:rPr>
          <w:rStyle w:val="Strong"/>
          <w:rFonts w:cs="David" w:hint="cs"/>
          <w:rtl/>
        </w:rPr>
        <w:t>החוק</w:t>
      </w:r>
      <w:r>
        <w:rPr>
          <w:rFonts w:cs="David" w:hint="cs"/>
          <w:rtl/>
        </w:rPr>
        <w:t>" או "</w:t>
      </w:r>
      <w:r>
        <w:rPr>
          <w:rStyle w:val="Strong"/>
          <w:rFonts w:cs="David" w:hint="cs"/>
          <w:rtl/>
        </w:rPr>
        <w:t>חוק ההגבלים העסקיים</w:t>
      </w:r>
      <w:r>
        <w:rPr>
          <w:rFonts w:cs="David" w:hint="cs"/>
          <w:rtl/>
        </w:rPr>
        <w:t xml:space="preserve">") </w:t>
      </w:r>
      <w:r>
        <w:rPr>
          <w:rFonts w:cs="David" w:hint="cs"/>
          <w:rtl/>
        </w:rPr>
        <w:t>להסדר שצדדים לו בנק הפועלים בע"מ ("</w:t>
      </w:r>
      <w:r>
        <w:rPr>
          <w:rStyle w:val="Strong"/>
          <w:rFonts w:cs="David" w:hint="cs"/>
          <w:rtl/>
        </w:rPr>
        <w:t>בנק הפועלים</w:t>
      </w:r>
      <w:r>
        <w:rPr>
          <w:rFonts w:cs="David" w:hint="cs"/>
          <w:rtl/>
        </w:rPr>
        <w:t>"), בנק לאומי לישראל בע"מ ("</w:t>
      </w:r>
      <w:r>
        <w:rPr>
          <w:rStyle w:val="Strong"/>
          <w:rFonts w:cs="David" w:hint="cs"/>
          <w:rtl/>
        </w:rPr>
        <w:t>בנק לאומי</w:t>
      </w:r>
      <w:r>
        <w:rPr>
          <w:rFonts w:cs="David" w:hint="cs"/>
          <w:rtl/>
        </w:rPr>
        <w:t>"), בנק דיסקונט בע"מ ("</w:t>
      </w:r>
      <w:r>
        <w:rPr>
          <w:rStyle w:val="Strong"/>
          <w:rFonts w:cs="David" w:hint="cs"/>
          <w:rtl/>
        </w:rPr>
        <w:t>בנק דיסקונט</w:t>
      </w:r>
      <w:r>
        <w:rPr>
          <w:rFonts w:cs="David" w:hint="cs"/>
          <w:rtl/>
        </w:rPr>
        <w:t>"), בנק מזרחי טפחות בע"מ ("</w:t>
      </w:r>
      <w:r>
        <w:rPr>
          <w:rStyle w:val="Strong"/>
          <w:rFonts w:cs="David" w:hint="cs"/>
          <w:rtl/>
        </w:rPr>
        <w:t>בנק מזרחי</w:t>
      </w:r>
      <w:r>
        <w:rPr>
          <w:rFonts w:cs="David" w:hint="cs"/>
          <w:rtl/>
        </w:rPr>
        <w:t>"), הבנק הבינלאומי הראשון לישראל בע"מ ("</w:t>
      </w:r>
      <w:r>
        <w:rPr>
          <w:rStyle w:val="Strong"/>
          <w:rFonts w:cs="David" w:hint="cs"/>
          <w:rtl/>
        </w:rPr>
        <w:t>בנק הבינלאומי</w:t>
      </w:r>
      <w:r>
        <w:rPr>
          <w:rFonts w:cs="David" w:hint="cs"/>
          <w:rtl/>
        </w:rPr>
        <w:t>") וחברת מרכז סליקה בנקאי בע"מ (להלן: "</w:t>
      </w:r>
      <w:r>
        <w:rPr>
          <w:rStyle w:val="Strong"/>
          <w:rFonts w:cs="David" w:hint="cs"/>
          <w:rtl/>
        </w:rPr>
        <w:t>מסב</w:t>
      </w:r>
      <w:r>
        <w:rPr>
          <w:rFonts w:cs="David" w:hint="cs"/>
          <w:rtl/>
        </w:rPr>
        <w:t>"), שעני</w:t>
      </w:r>
      <w:r>
        <w:rPr>
          <w:rFonts w:cs="David" w:hint="cs"/>
          <w:rtl/>
        </w:rPr>
        <w:t>ינו בעלות משותפת בחברת מסב.</w:t>
      </w:r>
    </w:p>
    <w:p w:rsidR="00000000" w:rsidRDefault="00C22DFD">
      <w:pPr>
        <w:bidi/>
        <w:spacing w:before="120" w:after="100" w:afterAutospacing="1" w:line="360" w:lineRule="auto"/>
        <w:jc w:val="both"/>
        <w:rPr>
          <w:rFonts w:hint="cs"/>
          <w:rtl/>
        </w:rPr>
      </w:pPr>
      <w:r>
        <w:rPr>
          <w:rFonts w:cs="David" w:hint="cs"/>
          <w:rtl/>
        </w:rPr>
        <w:t>בקשה זו הנה בקשת הפטור הרביעית בנושא זה. הפטור המקורי ניתן ביום 20 ביוני 2002 לתקופה של שנתיים</w:t>
      </w:r>
      <w:r>
        <w:rPr>
          <w:rStyle w:val="FootnoteReference"/>
          <w:rFonts w:cs="David"/>
          <w:sz w:val="22"/>
          <w:vertAlign w:val="superscript"/>
          <w:rtl/>
        </w:rPr>
        <w:footnoteReference w:id="1"/>
      </w:r>
      <w:r>
        <w:rPr>
          <w:rStyle w:val="FootnoteReference"/>
          <w:rFonts w:eastAsia="Times New Roman" w:cs="David" w:hint="cs"/>
          <w:sz w:val="22"/>
          <w:vertAlign w:val="superscript"/>
        </w:rPr>
        <w:t>[1]</w:t>
      </w:r>
      <w:r>
        <w:rPr>
          <w:rFonts w:cs="David" w:hint="cs"/>
          <w:rtl/>
        </w:rPr>
        <w:t xml:space="preserve"> ומאז ניתנו שני פטורים נוספים כאשר האחרון פקע ביום 5 בנובמבר 2011. כמו כן, ביום 13 במרץ 2005 הוענק למסב פטור נוסף אשר אפשר לה להרח</w:t>
      </w:r>
      <w:r>
        <w:rPr>
          <w:rFonts w:cs="David" w:hint="cs"/>
          <w:rtl/>
        </w:rPr>
        <w:t>יב את פעילותה גם לתחום מעבר עמיתים בין קופות גמל. גם פטור זה הוארך פעמיים נוספת ולאחרונה ביום 11 באוגוסט 2010.</w:t>
      </w:r>
      <w:r>
        <w:rPr>
          <w:rStyle w:val="FootnoteReference"/>
          <w:rFonts w:cs="David"/>
          <w:sz w:val="22"/>
          <w:vertAlign w:val="superscript"/>
          <w:rtl/>
        </w:rPr>
        <w:footnoteReference w:id="2"/>
      </w:r>
      <w:r>
        <w:rPr>
          <w:rStyle w:val="FootnoteReference"/>
          <w:rFonts w:eastAsia="Times New Roman" w:cs="David" w:hint="cs"/>
          <w:sz w:val="22"/>
          <w:vertAlign w:val="superscript"/>
        </w:rPr>
        <w:t>[2]</w:t>
      </w:r>
      <w:r>
        <w:rPr>
          <w:rFonts w:cs="David" w:hint="cs"/>
          <w:rtl/>
        </w:rPr>
        <w:t xml:space="preserve"> </w:t>
      </w:r>
    </w:p>
    <w:p w:rsidR="00000000" w:rsidRDefault="00C22DFD">
      <w:pPr>
        <w:bidi/>
        <w:spacing w:before="120" w:after="100" w:afterAutospacing="1" w:line="360" w:lineRule="auto"/>
        <w:jc w:val="both"/>
        <w:rPr>
          <w:rFonts w:hint="cs"/>
          <w:rtl/>
        </w:rPr>
      </w:pPr>
      <w:r>
        <w:rPr>
          <w:rFonts w:cs="David" w:hint="cs"/>
          <w:rtl/>
        </w:rPr>
        <w:t xml:space="preserve">טרם פקיעתו של הפטור, הוגשה כאמור ביום 25 בספטמבר 2011 בקשת פטור נוספת. נוכח המועד בו הוגשה הבקשה, חל מועד פקיעת הפטור קודם למועד למתן החלטה </w:t>
      </w:r>
      <w:r>
        <w:rPr>
          <w:rFonts w:cs="David" w:hint="cs"/>
          <w:rtl/>
        </w:rPr>
        <w:t>על פי סעיף 14א לחוק. על-מנת לאפשר לרשות ההגבלים העסקיים (להלן: "</w:t>
      </w:r>
      <w:r>
        <w:rPr>
          <w:rStyle w:val="Strong"/>
          <w:rFonts w:cs="David" w:hint="cs"/>
          <w:rtl/>
        </w:rPr>
        <w:t>הרשות</w:t>
      </w:r>
      <w:r>
        <w:rPr>
          <w:rFonts w:cs="David" w:hint="cs"/>
          <w:rtl/>
        </w:rPr>
        <w:t>") לסיים את הליך בדיקת בקשת הפטור הנוכחית ועל מנת שתהא לצדדים שהות להישמע בפני הארכתי את הפטור, על תנאיו, לתקופות קצרות נוספות עד ליום 22 במאי 2012.</w:t>
      </w:r>
    </w:p>
    <w:p w:rsidR="00000000" w:rsidRDefault="00C22DFD">
      <w:pPr>
        <w:bidi/>
        <w:spacing w:before="120" w:after="100" w:afterAutospacing="1" w:line="360" w:lineRule="auto"/>
        <w:jc w:val="both"/>
        <w:rPr>
          <w:rFonts w:hint="cs"/>
          <w:rtl/>
        </w:rPr>
      </w:pPr>
      <w:r>
        <w:rPr>
          <w:rFonts w:cs="David" w:hint="cs"/>
          <w:rtl/>
        </w:rPr>
        <w:t>כיום, בחלוף 10 שנים ממועד מתן הפטור המ</w:t>
      </w:r>
      <w:r>
        <w:rPr>
          <w:rFonts w:cs="David" w:hint="cs"/>
          <w:rtl/>
        </w:rPr>
        <w:t xml:space="preserve">קורי, ערכתי בחינה מחודשת של הפטור המבוקש, על תנאיו.  </w:t>
      </w:r>
    </w:p>
    <w:p w:rsidR="00000000" w:rsidRDefault="00C22DFD">
      <w:pPr>
        <w:overflowPunct w:val="0"/>
        <w:autoSpaceDE w:val="0"/>
        <w:autoSpaceDN w:val="0"/>
        <w:bidi/>
        <w:adjustRightInd w:val="0"/>
        <w:spacing w:before="120" w:after="100" w:afterAutospacing="1" w:line="360" w:lineRule="auto"/>
        <w:jc w:val="both"/>
        <w:rPr>
          <w:rFonts w:hint="cs"/>
          <w:rtl/>
        </w:rPr>
      </w:pPr>
      <w:r>
        <w:rPr>
          <w:rFonts w:cs="David" w:hint="cs"/>
          <w:rtl/>
        </w:rPr>
        <w:t xml:space="preserve">לאחר שבחנתי את ההסדר ואת הכבילות המצויות בו, כמו גם את השפעתן האפשרית על התחרות בשוק הרלוונטי ולאחר שנועצתי בוועדה לפטורים ולמיזוגים, שוכנעתי כי אף שההסדר חל על חלק </w:t>
      </w:r>
      <w:r>
        <w:rPr>
          <w:rFonts w:cs="David" w:hint="cs"/>
          <w:rtl/>
        </w:rPr>
        <w:lastRenderedPageBreak/>
        <w:t>ניכר מהשוק, הרי שבכפוף לקיום מלא ושלם</w:t>
      </w:r>
      <w:r>
        <w:rPr>
          <w:rFonts w:cs="David" w:hint="cs"/>
          <w:rtl/>
        </w:rPr>
        <w:t xml:space="preserve"> של כל התנאים המופיעים בסיפא להחלטתי, הכבילות שבו אינן פוגעות פגיעה של ממש בתחרות בשוק כאמור. כן באתי למסקנה כי עיקרו של ההסדר אינו בהפחתת התחרות או במניעתה, וכי בכפוף לתנאים ולהגבלות המפורטים בסיפא להחלטתי ומהווים חלק בלתי נפרד ממנה, אין בהסדר כבילות שאינ</w:t>
      </w:r>
      <w:r>
        <w:rPr>
          <w:rFonts w:cs="David" w:hint="cs"/>
          <w:rtl/>
        </w:rPr>
        <w:t>ן נחוצות למימוש עיקרו. מטעמים אלה והנימוקים שיפורטו להלן, ראיתי ליתן פטור בתנאים להסדר דנא.</w:t>
      </w:r>
    </w:p>
    <w:p w:rsidR="00000000" w:rsidRDefault="00C22DFD">
      <w:pPr>
        <w:bidi/>
        <w:spacing w:before="120" w:after="100" w:afterAutospacing="1" w:line="360" w:lineRule="auto"/>
        <w:jc w:val="both"/>
        <w:rPr>
          <w:rFonts w:hint="cs"/>
          <w:rtl/>
        </w:rPr>
      </w:pPr>
      <w:r>
        <w:rPr>
          <w:rFonts w:cs="David" w:hint="cs"/>
          <w:rtl/>
        </w:rPr>
        <w:t xml:space="preserve">עיקר הדברים הוא כדלקמן. </w:t>
      </w:r>
    </w:p>
    <w:p w:rsidR="00000000" w:rsidRDefault="00C22DFD">
      <w:pPr>
        <w:pStyle w:val="Heading1"/>
        <w:bidi/>
        <w:spacing w:before="120" w:beforeAutospacing="0" w:after="0" w:afterAutospacing="0"/>
        <w:ind w:left="509" w:right="389" w:hanging="480"/>
        <w:rPr>
          <w:rFonts w:eastAsia="Times New Roman" w:hint="cs"/>
          <w:rtl/>
        </w:rPr>
      </w:pPr>
      <w:r>
        <w:rPr>
          <w:rStyle w:val="Strong"/>
          <w:rFonts w:eastAsia="David" w:cs="David" w:hint="cs"/>
          <w:bCs/>
          <w:sz w:val="22"/>
          <w:szCs w:val="28"/>
          <w:rtl/>
        </w:rPr>
        <w:t>ב.</w:t>
      </w:r>
      <w:r>
        <w:rPr>
          <w:rStyle w:val="Strong"/>
          <w:rFonts w:eastAsia="David"/>
          <w:bCs/>
          <w:sz w:val="14"/>
          <w:szCs w:val="14"/>
          <w:rtl/>
        </w:rPr>
        <w:t xml:space="preserve">         </w:t>
      </w:r>
      <w:r>
        <w:rPr>
          <w:rStyle w:val="Strong"/>
          <w:rFonts w:eastAsia="Times New Roman" w:cs="David" w:hint="cs"/>
          <w:bCs/>
          <w:sz w:val="22"/>
          <w:szCs w:val="28"/>
          <w:rtl/>
        </w:rPr>
        <w:t>ההסדר</w:t>
      </w:r>
    </w:p>
    <w:p w:rsidR="00000000" w:rsidRDefault="00C22DFD">
      <w:pPr>
        <w:bidi/>
        <w:spacing w:before="120" w:after="100" w:afterAutospacing="1" w:line="360" w:lineRule="auto"/>
        <w:jc w:val="both"/>
        <w:rPr>
          <w:rFonts w:hint="cs"/>
          <w:rtl/>
        </w:rPr>
      </w:pPr>
      <w:r>
        <w:rPr>
          <w:rFonts w:cs="David" w:hint="cs"/>
          <w:rtl/>
        </w:rPr>
        <w:t>הצדדים להסדר מחזיקים במשותף במסב, בהתאם למפורט להלן: בנק הפועלים, בנק לאומי ובנק דיסקונט מחזיקים כל אחד ב-25% ממניות מסב, ובנק המזרחי והבנק הבינלאומי מחזיקים כל אחד ב-12.5% ממניות מסב. לפי תקנות ההתאגדות של מסב רשאי כל מי שמחזיק ב-10% ממניותיה למנות חבר אח</w:t>
      </w:r>
      <w:r>
        <w:rPr>
          <w:rFonts w:cs="David" w:hint="cs"/>
          <w:rtl/>
        </w:rPr>
        <w:t xml:space="preserve">ד בדירקטוריון מסב. </w:t>
      </w:r>
    </w:p>
    <w:p w:rsidR="00000000" w:rsidRDefault="00C22DFD">
      <w:pPr>
        <w:bidi/>
        <w:spacing w:before="120" w:after="100" w:afterAutospacing="1" w:line="360" w:lineRule="auto"/>
        <w:jc w:val="both"/>
        <w:rPr>
          <w:rFonts w:hint="cs"/>
          <w:rtl/>
        </w:rPr>
      </w:pPr>
      <w:r>
        <w:rPr>
          <w:rFonts w:cs="David" w:hint="cs"/>
          <w:rtl/>
        </w:rPr>
        <w:t>תחומי עיסוקה של מסב הינם: סליקת חיובים וזיכויים בין הבנקים ולקוחותיהם, מתן שירותי מיתוג למאגרי מידע, שירותי העברת עמיתים בין קופות גמל ושירותי העברת ממסרים.</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24"/>
          <w:szCs w:val="24"/>
          <w:rtl/>
        </w:rPr>
        <w:t>ב.1 סליקת חיובים וזיכויים</w:t>
      </w:r>
    </w:p>
    <w:p w:rsidR="00000000" w:rsidRDefault="00C22DFD">
      <w:pPr>
        <w:bidi/>
        <w:spacing w:before="120" w:after="100" w:afterAutospacing="1" w:line="360" w:lineRule="auto"/>
        <w:jc w:val="both"/>
        <w:rPr>
          <w:rFonts w:hint="cs"/>
          <w:rtl/>
        </w:rPr>
      </w:pPr>
      <w:r>
        <w:rPr>
          <w:rFonts w:cs="David" w:hint="cs"/>
          <w:rtl/>
        </w:rPr>
        <w:t xml:space="preserve">שירותי המסלקה נוגעים לסליקת חיובים וזיכויים המועברים </w:t>
      </w:r>
      <w:r>
        <w:rPr>
          <w:rFonts w:cs="David" w:hint="cs"/>
          <w:rtl/>
        </w:rPr>
        <w:t>באמצעים אלקטרונים. במסגרת זו פועלות במסב שלוש מערכות: מערכת לסליקת חיובים על פי הרשאה בין בנקים ולקוחותיהם של בנקים שונים, המועברים על ידי בנקים (במישרין או באמצעות לקוחותיהם) לשם חיוב חשבונות אחרים המתנהלים בבנקים אחרים. השירות כולל גם החזרת חיובים שלא כו</w:t>
      </w:r>
      <w:r>
        <w:rPr>
          <w:rFonts w:cs="David" w:hint="cs"/>
          <w:rtl/>
        </w:rPr>
        <w:t>בדו; מערכת סליקת זיכויים בין בנקים ולקוחותיהם של בנקים שונים, המועברים על ידי בנקים (במישרין או באמצעות לקוחותיהם) לשם זיכוי חשבונות אחרים המתנהלים בבנקים אחרים (כגון העברת משכורות ותשלומים לספקים); ומערכת לסליקת זיכויים של עמיתים בקופות גמל (הן הפרשות העו</w:t>
      </w:r>
      <w:r>
        <w:rPr>
          <w:rFonts w:cs="David" w:hint="cs"/>
          <w:rtl/>
        </w:rPr>
        <w:t>בדים והן הפרשות המעבידים לקופות הגמל).</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24"/>
          <w:szCs w:val="24"/>
          <w:rtl/>
        </w:rPr>
        <w:t xml:space="preserve">ב.2 </w:t>
      </w:r>
      <w:r>
        <w:rPr>
          <w:rFonts w:eastAsia="David" w:cs="David" w:hint="cs"/>
          <w:sz w:val="14"/>
          <w:szCs w:val="14"/>
          <w:rtl/>
        </w:rPr>
        <w:t xml:space="preserve"> </w:t>
      </w:r>
      <w:r>
        <w:rPr>
          <w:rFonts w:eastAsia="Times New Roman" w:cs="David" w:hint="cs"/>
          <w:sz w:val="24"/>
          <w:szCs w:val="24"/>
          <w:rtl/>
        </w:rPr>
        <w:t>שירותי מיתוג למאגרי מידע</w:t>
      </w:r>
    </w:p>
    <w:p w:rsidR="00000000" w:rsidRDefault="00C22DFD">
      <w:pPr>
        <w:bidi/>
        <w:spacing w:before="120" w:after="100" w:afterAutospacing="1" w:line="360" w:lineRule="auto"/>
        <w:jc w:val="both"/>
        <w:rPr>
          <w:rFonts w:hint="cs"/>
          <w:rtl/>
        </w:rPr>
      </w:pPr>
      <w:r>
        <w:rPr>
          <w:rFonts w:cs="David" w:hint="cs"/>
          <w:rtl/>
        </w:rPr>
        <w:t>שירותי המיתוג מאפשרים גישה באמצעים אלקטרונים למאגרי מידע שונים: מאגרי מרשם האוכלוסין, לשם קבלת מידע הנדרש לפעילות הבנקים כגון שאילתות לאימות נתוני זהות; מאגר משרד התחבורה - רשות הרישוי, ל</w:t>
      </w:r>
      <w:r>
        <w:rPr>
          <w:rFonts w:cs="David" w:hint="cs"/>
          <w:rtl/>
        </w:rPr>
        <w:t xml:space="preserve">שם רישום וביטול שעבודים על כלי רכב ממונעים; מאגר רשם החברות (באמצעות קו מנחה), לשם הצגת שאילתות שונות על חברות; ומאגר משרד הבטחון, לשם ביצוע תשלומים על פי חוק קליטת חיילים משוחררים, התשנ"ד-1994. </w:t>
      </w:r>
    </w:p>
    <w:p w:rsidR="00000000" w:rsidRDefault="00C22DFD">
      <w:pPr>
        <w:bidi/>
        <w:spacing w:before="120" w:after="100" w:afterAutospacing="1" w:line="360" w:lineRule="auto"/>
        <w:jc w:val="both"/>
        <w:rPr>
          <w:rFonts w:hint="cs"/>
          <w:rtl/>
        </w:rPr>
      </w:pPr>
      <w:r>
        <w:rPr>
          <w:rFonts w:cs="David" w:hint="cs"/>
          <w:rtl/>
        </w:rPr>
        <w:t>בעקבות פניית מסב בשנת 2010 הורחב הפטור הקודם כך שהותר לה להע</w:t>
      </w:r>
      <w:r>
        <w:rPr>
          <w:rFonts w:cs="David" w:hint="cs"/>
          <w:rtl/>
        </w:rPr>
        <w:t>ניק את שירותי המיתוג למאגר רשות הרישוי גם לחברות כרטיסי האשראי. זאת, בכדי לאפשר יצירת שעבוד על כלי רכב שבבעלות לקוחותיה במסגרת העמדת אשראי ללקוח על-ידי החברה.</w:t>
      </w:r>
    </w:p>
    <w:p w:rsidR="00000000" w:rsidRDefault="00C22DFD">
      <w:pPr>
        <w:bidi/>
        <w:spacing w:before="120" w:after="100" w:afterAutospacing="1" w:line="360" w:lineRule="auto"/>
        <w:jc w:val="both"/>
        <w:rPr>
          <w:rFonts w:hint="cs"/>
          <w:rtl/>
        </w:rPr>
      </w:pPr>
      <w:r>
        <w:rPr>
          <w:rFonts w:cs="David" w:hint="cs"/>
          <w:rtl/>
        </w:rPr>
        <w:t> </w:t>
      </w:r>
    </w:p>
    <w:p w:rsidR="00000000" w:rsidRDefault="00C22DFD">
      <w:pPr>
        <w:bidi/>
        <w:spacing w:before="120" w:after="100" w:afterAutospacing="1" w:line="360" w:lineRule="auto"/>
        <w:jc w:val="both"/>
        <w:rPr>
          <w:rFonts w:hint="cs"/>
          <w:rtl/>
        </w:rPr>
      </w:pPr>
      <w:r>
        <w:rPr>
          <w:rFonts w:cs="David" w:hint="cs"/>
          <w:rtl/>
        </w:rPr>
        <w:lastRenderedPageBreak/>
        <w:t> </w:t>
      </w:r>
    </w:p>
    <w:p w:rsidR="00000000" w:rsidRDefault="00C22DFD">
      <w:pPr>
        <w:bidi/>
        <w:spacing w:before="120" w:after="100" w:afterAutospacing="1" w:line="360" w:lineRule="auto"/>
        <w:jc w:val="both"/>
        <w:rPr>
          <w:rFonts w:hint="cs"/>
          <w:rtl/>
        </w:rPr>
      </w:pPr>
      <w:r>
        <w:rPr>
          <w:rFonts w:cs="David" w:hint="cs"/>
          <w:rtl/>
        </w:rPr>
        <w:t> </w:t>
      </w:r>
    </w:p>
    <w:p w:rsidR="00000000" w:rsidRDefault="00C22DFD">
      <w:pPr>
        <w:bidi/>
        <w:spacing w:before="120" w:after="100" w:afterAutospacing="1" w:line="360" w:lineRule="auto"/>
        <w:jc w:val="both"/>
        <w:rPr>
          <w:rFonts w:hint="cs"/>
          <w:rtl/>
        </w:rPr>
      </w:pPr>
      <w:r>
        <w:rPr>
          <w:rFonts w:cs="David" w:hint="cs"/>
          <w:rtl/>
        </w:rPr>
        <w:t> </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24"/>
          <w:szCs w:val="24"/>
          <w:rtl/>
        </w:rPr>
        <w:t>ב.3. שירותי העברת עמיתים בין קופות גמל</w:t>
      </w:r>
    </w:p>
    <w:p w:rsidR="00000000" w:rsidRDefault="00C22DFD">
      <w:pPr>
        <w:bidi/>
        <w:spacing w:before="120" w:after="100" w:afterAutospacing="1" w:line="360" w:lineRule="auto"/>
        <w:jc w:val="both"/>
        <w:rPr>
          <w:rFonts w:hint="cs"/>
          <w:rtl/>
        </w:rPr>
      </w:pPr>
      <w:r>
        <w:rPr>
          <w:rFonts w:cs="David" w:hint="cs"/>
          <w:rtl/>
        </w:rPr>
        <w:t>מערכת מסב להעברת עמיתים בין קופות גמל, מאפשרת להעב</w:t>
      </w:r>
      <w:r>
        <w:rPr>
          <w:rFonts w:cs="David" w:hint="cs"/>
          <w:rtl/>
        </w:rPr>
        <w:t>יר את קבצי המידע הנדרשים על פי נוהל של משרד האוצר</w:t>
      </w:r>
      <w:r>
        <w:rPr>
          <w:vertAlign w:val="superscript"/>
          <w:rtl/>
        </w:rPr>
        <w:footnoteReference w:id="3"/>
      </w:r>
      <w:r>
        <w:rPr>
          <w:rFonts w:eastAsia="Times New Roman"/>
          <w:vertAlign w:val="superscript"/>
        </w:rPr>
        <w:t>[3]</w:t>
      </w:r>
      <w:r>
        <w:rPr>
          <w:rFonts w:cs="David" w:hint="cs"/>
          <w:rtl/>
        </w:rPr>
        <w:t xml:space="preserve"> בצורה מאובטחת, לעדכן את התנועות הכספיות הנובעות מהקובץ האלקטרוני, וכן לזכות ולחייב כל קופה וקופה בסכום המתאים, כך שנוצר סנכרון מלא בין המידע המועבר ובין התנועות הכספיות. </w:t>
      </w:r>
    </w:p>
    <w:p w:rsidR="00000000" w:rsidRDefault="00C22DFD">
      <w:pPr>
        <w:bidi/>
        <w:spacing w:before="120" w:after="100" w:afterAutospacing="1" w:line="360" w:lineRule="auto"/>
        <w:jc w:val="both"/>
        <w:rPr>
          <w:rFonts w:hint="cs"/>
          <w:rtl/>
        </w:rPr>
      </w:pPr>
      <w:r>
        <w:rPr>
          <w:rFonts w:cs="David" w:hint="cs"/>
          <w:rtl/>
        </w:rPr>
        <w:t>כפי שפורט בפטורים הקודמים,  הסד</w:t>
      </w:r>
      <w:r>
        <w:rPr>
          <w:rFonts w:cs="David" w:hint="cs"/>
          <w:rtl/>
        </w:rPr>
        <w:t>ר זה בא להקל על  מעבר חופשי של עמיתים בין קופות הגמל השונות ובכך להגביר את התחרותיות בתחום זה.</w:t>
      </w:r>
    </w:p>
    <w:p w:rsidR="00000000" w:rsidRDefault="00C22DFD">
      <w:pPr>
        <w:overflowPunct w:val="0"/>
        <w:bidi/>
        <w:adjustRightInd w:val="0"/>
        <w:spacing w:before="120" w:after="100" w:afterAutospacing="1"/>
        <w:rPr>
          <w:rFonts w:hint="cs"/>
          <w:rtl/>
        </w:rPr>
      </w:pPr>
      <w:r>
        <w:rPr>
          <w:rStyle w:val="Strong"/>
          <w:rFonts w:cs="David" w:hint="cs"/>
          <w:sz w:val="22"/>
          <w:rtl/>
        </w:rPr>
        <w:t xml:space="preserve"> ב.4 שירותים נוספים</w:t>
      </w:r>
    </w:p>
    <w:p w:rsidR="00000000" w:rsidRDefault="00C22DFD">
      <w:pPr>
        <w:bidi/>
        <w:spacing w:before="120" w:after="100" w:afterAutospacing="1" w:line="360" w:lineRule="auto"/>
        <w:jc w:val="both"/>
        <w:rPr>
          <w:rFonts w:hint="cs"/>
          <w:rtl/>
        </w:rPr>
      </w:pPr>
      <w:r>
        <w:rPr>
          <w:rFonts w:cs="David" w:hint="cs"/>
          <w:rtl/>
        </w:rPr>
        <w:t xml:space="preserve">מסב מעניקה שרותי העברת ממסרים אלקטרונים במערכת תיבות דואר מאובטחת. במסגרת השירות נשלח לבית עסק ולתאגידים המספקים שירותי ניכיון קובץ המפרט את העסקאות שבוצעו בכל מסוף (או מסוף אשר משויך לתאגיד המספק שירותי ניכיון) ביום העסקים הקודם. </w:t>
      </w:r>
    </w:p>
    <w:p w:rsidR="00000000" w:rsidRDefault="00C22DFD">
      <w:pPr>
        <w:overflowPunct w:val="0"/>
        <w:bidi/>
        <w:adjustRightInd w:val="0"/>
        <w:spacing w:before="120" w:after="100" w:afterAutospacing="1"/>
        <w:rPr>
          <w:rFonts w:hint="cs"/>
          <w:rtl/>
        </w:rPr>
      </w:pPr>
      <w:r>
        <w:rPr>
          <w:rFonts w:cs="David" w:hint="cs"/>
          <w:sz w:val="22"/>
          <w:rtl/>
        </w:rPr>
        <w:t> </w:t>
      </w:r>
    </w:p>
    <w:p w:rsidR="00000000" w:rsidRDefault="00C22DFD">
      <w:pPr>
        <w:pStyle w:val="Heading1"/>
        <w:bidi/>
        <w:spacing w:before="120" w:beforeAutospacing="0" w:after="0" w:afterAutospacing="0"/>
        <w:ind w:left="509" w:right="389" w:hanging="480"/>
        <w:rPr>
          <w:rFonts w:eastAsia="Times New Roman" w:hint="cs"/>
          <w:rtl/>
        </w:rPr>
      </w:pPr>
      <w:r>
        <w:rPr>
          <w:rStyle w:val="Strong"/>
          <w:rFonts w:eastAsia="David" w:cs="David" w:hint="cs"/>
          <w:bCs/>
          <w:sz w:val="22"/>
          <w:szCs w:val="28"/>
          <w:rtl/>
        </w:rPr>
        <w:t>ג.</w:t>
      </w:r>
      <w:r>
        <w:rPr>
          <w:rStyle w:val="Strong"/>
          <w:rFonts w:eastAsia="David"/>
          <w:bCs/>
          <w:sz w:val="14"/>
          <w:szCs w:val="14"/>
          <w:rtl/>
        </w:rPr>
        <w:t xml:space="preserve">          </w:t>
      </w:r>
      <w:r>
        <w:rPr>
          <w:rStyle w:val="Strong"/>
          <w:rFonts w:eastAsia="Times New Roman" w:cs="David" w:hint="cs"/>
          <w:bCs/>
          <w:sz w:val="22"/>
          <w:szCs w:val="28"/>
          <w:rtl/>
        </w:rPr>
        <w:t>השפעת ההסד</w:t>
      </w:r>
      <w:r>
        <w:rPr>
          <w:rStyle w:val="Strong"/>
          <w:rFonts w:eastAsia="Times New Roman" w:cs="David" w:hint="cs"/>
          <w:bCs/>
          <w:sz w:val="22"/>
          <w:szCs w:val="28"/>
          <w:rtl/>
        </w:rPr>
        <w:t>ר על התחרות</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14"/>
          <w:szCs w:val="14"/>
          <w:rtl/>
        </w:rPr>
        <w:t xml:space="preserve">  </w:t>
      </w:r>
      <w:r>
        <w:rPr>
          <w:rFonts w:eastAsia="David" w:cs="David" w:hint="cs"/>
          <w:sz w:val="24"/>
          <w:szCs w:val="24"/>
          <w:rtl/>
        </w:rPr>
        <w:t>ג.1.</w:t>
      </w:r>
      <w:r>
        <w:rPr>
          <w:rFonts w:eastAsia="David" w:cs="David" w:hint="cs"/>
          <w:sz w:val="14"/>
          <w:szCs w:val="14"/>
          <w:rtl/>
        </w:rPr>
        <w:t xml:space="preserve">            </w:t>
      </w:r>
      <w:r>
        <w:rPr>
          <w:rFonts w:eastAsia="Times New Roman" w:cs="David" w:hint="cs"/>
          <w:sz w:val="24"/>
          <w:szCs w:val="24"/>
          <w:rtl/>
        </w:rPr>
        <w:t>כללי</w:t>
      </w:r>
    </w:p>
    <w:p w:rsidR="00000000" w:rsidRDefault="00C22DFD">
      <w:pPr>
        <w:bidi/>
        <w:spacing w:before="120" w:after="100" w:afterAutospacing="1" w:line="360" w:lineRule="auto"/>
        <w:jc w:val="both"/>
        <w:rPr>
          <w:rFonts w:hint="cs"/>
          <w:rtl/>
        </w:rPr>
      </w:pPr>
      <w:r>
        <w:rPr>
          <w:rFonts w:cs="David" w:hint="cs"/>
          <w:sz w:val="22"/>
          <w:rtl/>
        </w:rPr>
        <w:t>ההסדר הנדון דומה בהיבטיו להסדר בעניין שירותי בנק אוטומטיים בע"מ (להלן: "</w:t>
      </w:r>
      <w:r>
        <w:rPr>
          <w:rStyle w:val="Strong"/>
          <w:rFonts w:cs="David" w:hint="cs"/>
          <w:sz w:val="22"/>
          <w:rtl/>
        </w:rPr>
        <w:t>שבא</w:t>
      </w:r>
      <w:r>
        <w:rPr>
          <w:rFonts w:cs="David" w:hint="cs"/>
          <w:sz w:val="22"/>
          <w:rtl/>
        </w:rPr>
        <w:t xml:space="preserve">"). כמו </w:t>
      </w:r>
      <w:r>
        <w:rPr>
          <w:rFonts w:cs="David" w:hint="cs"/>
          <w:rtl/>
        </w:rPr>
        <w:t xml:space="preserve">בהסדר שבא גם כאן מדובר במיזם משותף שבמסגרתו חברו חמשת הבנקים הגדולים שפועלים בישראל. </w:t>
      </w:r>
    </w:p>
    <w:p w:rsidR="00000000" w:rsidRDefault="00C22DFD">
      <w:pPr>
        <w:bidi/>
        <w:spacing w:before="120" w:after="100" w:afterAutospacing="1" w:line="360" w:lineRule="auto"/>
        <w:jc w:val="both"/>
        <w:rPr>
          <w:rFonts w:hint="cs"/>
          <w:rtl/>
        </w:rPr>
      </w:pPr>
      <w:r>
        <w:rPr>
          <w:rFonts w:cs="David" w:hint="cs"/>
          <w:rtl/>
        </w:rPr>
        <w:t>בשל החששות שמעלה חבירת הבנקים - חששות הנוגעים לתחומי פעילותו של המיזם; וחששות הנוגעים לתחומי הפעילות של הורי המיזם וחברות קשורות להם - נקבעו בתנאי פטור תנאים דומים לאלה שנקבעו אף בעניין שבא.</w:t>
      </w:r>
    </w:p>
    <w:p w:rsidR="00000000" w:rsidRDefault="00C22DFD">
      <w:pPr>
        <w:bidi/>
        <w:spacing w:before="120" w:after="100" w:afterAutospacing="1" w:line="360" w:lineRule="auto"/>
        <w:jc w:val="both"/>
        <w:rPr>
          <w:rFonts w:hint="cs"/>
          <w:rtl/>
        </w:rPr>
      </w:pPr>
      <w:r>
        <w:rPr>
          <w:rFonts w:cs="David" w:hint="cs"/>
          <w:rtl/>
        </w:rPr>
        <w:t>להלן אעמוד על ההשפעה הטמונה בחבירה ככל שמדובר בהיבטים הייחודיים ל</w:t>
      </w:r>
      <w:r>
        <w:rPr>
          <w:rFonts w:cs="David" w:hint="cs"/>
          <w:rtl/>
        </w:rPr>
        <w:t>פעילות מסב.</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14"/>
          <w:szCs w:val="14"/>
          <w:rtl/>
        </w:rPr>
        <w:t xml:space="preserve">  </w:t>
      </w:r>
      <w:r>
        <w:rPr>
          <w:rFonts w:eastAsia="David" w:cs="David" w:hint="cs"/>
          <w:sz w:val="24"/>
          <w:szCs w:val="24"/>
          <w:rtl/>
        </w:rPr>
        <w:t>ג.2.</w:t>
      </w:r>
      <w:r>
        <w:rPr>
          <w:rFonts w:eastAsia="David" w:cs="David" w:hint="cs"/>
          <w:sz w:val="14"/>
          <w:szCs w:val="14"/>
          <w:rtl/>
        </w:rPr>
        <w:t xml:space="preserve">            </w:t>
      </w:r>
      <w:r>
        <w:rPr>
          <w:rFonts w:eastAsia="Times New Roman" w:cs="David" w:hint="cs"/>
          <w:sz w:val="24"/>
          <w:szCs w:val="24"/>
          <w:rtl/>
        </w:rPr>
        <w:t xml:space="preserve">סליקת חיובים וזיכויים </w:t>
      </w:r>
    </w:p>
    <w:p w:rsidR="00000000" w:rsidRDefault="00C22DFD">
      <w:pPr>
        <w:bidi/>
        <w:spacing w:before="120" w:after="100" w:afterAutospacing="1" w:line="360" w:lineRule="auto"/>
        <w:jc w:val="both"/>
        <w:rPr>
          <w:rFonts w:hint="cs"/>
          <w:rtl/>
        </w:rPr>
      </w:pPr>
      <w:r>
        <w:rPr>
          <w:rFonts w:cs="David" w:hint="cs"/>
          <w:sz w:val="22"/>
          <w:rtl/>
        </w:rPr>
        <w:t xml:space="preserve">למערכת הבנקאות מאפיינים מסוימים של מערכת רשת: לקוחות הבנקים מקיימים בינם לבין עצמם פעילות עסקית הכרוכה בהעברת סכומי כסף. על מנת שפעילות עסקית זו תתבצע ללא תלות </w:t>
      </w:r>
      <w:r>
        <w:rPr>
          <w:rFonts w:cs="David" w:hint="cs"/>
          <w:sz w:val="22"/>
          <w:rtl/>
        </w:rPr>
        <w:lastRenderedPageBreak/>
        <w:t>בזהות הבנקים בהם מתנהלים חשבונותיהם של הלקו</w:t>
      </w:r>
      <w:r>
        <w:rPr>
          <w:rFonts w:cs="David" w:hint="cs"/>
          <w:sz w:val="22"/>
          <w:rtl/>
        </w:rPr>
        <w:t xml:space="preserve">חות, על הבנקים להיות מסוגלים להידבר זה עם זה, וכן לזכות ולחייב את חשבונות לקוחותיהם, כפועל יוצא של הפעילות העסקית המתנהלת ביניהם. שיתוף פעולה זה שבין הבנקים, המתבצע באמצעות מסב, הינו יעיל, חיוני ורצוי למערכת כולה. </w:t>
      </w:r>
    </w:p>
    <w:p w:rsidR="00000000" w:rsidRDefault="00C22DFD">
      <w:pPr>
        <w:bidi/>
        <w:spacing w:before="120" w:after="100" w:afterAutospacing="1" w:line="360" w:lineRule="auto"/>
        <w:jc w:val="both"/>
        <w:rPr>
          <w:rFonts w:hint="cs"/>
          <w:rtl/>
        </w:rPr>
      </w:pPr>
      <w:r>
        <w:rPr>
          <w:rFonts w:cs="David" w:hint="cs"/>
          <w:sz w:val="22"/>
          <w:rtl/>
        </w:rPr>
        <w:t>למעשה משמשת מסב כמסלקה המטפלת בקליטת חיוב</w:t>
      </w:r>
      <w:r>
        <w:rPr>
          <w:rFonts w:cs="David" w:hint="cs"/>
          <w:sz w:val="22"/>
          <w:rtl/>
        </w:rPr>
        <w:t>ים וזיכויים מהבנקים ולקוחותיהם, אשר מוצגים למסב באמצעות מדיה מגנטית, ואשר מכוונת אותם ליעדיהם. פעילותה של מסב משתרעת על פני מיליוני תנועות מידי חודש, ובסכומים של עשרות מיליארדי ₪. היקפי הפעילות העצומים הללו והאחריות הכרוכה בניהולם, ממחישים את חשיבות התקינו</w:t>
      </w:r>
      <w:r>
        <w:rPr>
          <w:rFonts w:cs="David" w:hint="cs"/>
          <w:sz w:val="22"/>
          <w:rtl/>
        </w:rPr>
        <w:t xml:space="preserve">ת בפעילות מסב למערך התשלומים במשק.  </w:t>
      </w:r>
    </w:p>
    <w:p w:rsidR="00000000" w:rsidRDefault="00C22DFD">
      <w:pPr>
        <w:bidi/>
        <w:spacing w:before="120" w:after="100" w:afterAutospacing="1" w:line="360" w:lineRule="auto"/>
        <w:jc w:val="both"/>
        <w:rPr>
          <w:rFonts w:hint="cs"/>
          <w:rtl/>
        </w:rPr>
      </w:pPr>
      <w:r>
        <w:rPr>
          <w:rFonts w:cs="David" w:hint="cs"/>
          <w:sz w:val="22"/>
          <w:rtl/>
        </w:rPr>
        <w:t>בשל נימוקים אלה שוכנעתי כי יש להאריך את תוקף הפטור לפעילותה של מסב כמסלקה אלקטרונית, בכפוף למספר תנאים שיבטיחו גישה חופשית ושוויונית לכל תאגיד בנקאי שהוא חבר המסלקה הבין- בנקאית שליד בנק ישראל וללקוחותיו, בתקופת זמן סבי</w:t>
      </w:r>
      <w:r>
        <w:rPr>
          <w:rFonts w:cs="David" w:hint="cs"/>
          <w:sz w:val="22"/>
          <w:rtl/>
        </w:rPr>
        <w:t>רה וללא גביית דמי התחברות. גם כאן, כמו בפטור שבא, בכוונתי להוסיף ולבחון מה, אם בכלל, הוא שיעור העלויות התוספתיות הנובעות באופן ישיר מהתאמת המערכות, שרשאית מסב לדרוש ממצטרפים חדשים, במהלך תקופת הפטור הנוכחי. יש לציין כי קיים בעיני ספק של ממש האם גביית עלויו</w:t>
      </w:r>
      <w:r>
        <w:rPr>
          <w:rFonts w:cs="David" w:hint="cs"/>
          <w:sz w:val="22"/>
          <w:rtl/>
        </w:rPr>
        <w:t>ת תוספתיות כאמור היא מוצדקת.</w:t>
      </w:r>
    </w:p>
    <w:p w:rsidR="00000000" w:rsidRDefault="00C22DFD">
      <w:pPr>
        <w:pStyle w:val="Heading2"/>
        <w:bidi/>
        <w:spacing w:before="240" w:beforeAutospacing="0" w:after="60" w:afterAutospacing="0"/>
        <w:ind w:left="360" w:right="749" w:hanging="154"/>
        <w:rPr>
          <w:rFonts w:eastAsia="Times New Roman" w:hint="cs"/>
          <w:rtl/>
        </w:rPr>
      </w:pPr>
      <w:r>
        <w:rPr>
          <w:rFonts w:eastAsia="Times New Roman" w:cs="David" w:hint="cs"/>
          <w:sz w:val="24"/>
          <w:szCs w:val="24"/>
          <w:rtl/>
        </w:rPr>
        <w:t>ג.3 שירותי מיתוג למאגרי מידע</w:t>
      </w:r>
    </w:p>
    <w:p w:rsidR="00000000" w:rsidRDefault="00C22DFD">
      <w:pPr>
        <w:bidi/>
        <w:spacing w:before="120" w:after="100" w:afterAutospacing="1" w:line="360" w:lineRule="auto"/>
        <w:jc w:val="both"/>
        <w:rPr>
          <w:rFonts w:hint="cs"/>
          <w:rtl/>
        </w:rPr>
      </w:pPr>
      <w:r>
        <w:rPr>
          <w:rFonts w:cs="David" w:hint="cs"/>
          <w:sz w:val="22"/>
          <w:rtl/>
        </w:rPr>
        <w:t>מהטעמים המפורטים לעיל אף שוכנעתי כי יש לאפשר למסב להמשיך ולהעניק לבנקים שירותי מיתוג למאגרי מידע, בכפוף למספר תנאים שיבטיחו גישה חופשית ושוויונית לכל תאגיד בנקאי, בתקופת זמן סבירה וללא גביית דמי התח</w:t>
      </w:r>
      <w:r>
        <w:rPr>
          <w:rFonts w:cs="David" w:hint="cs"/>
          <w:sz w:val="22"/>
          <w:rtl/>
        </w:rPr>
        <w:t>ברות. גם בהקשר זה, במהלך תקופת הפטור הנוכחי בכוונתי להוסיף ולבחון מהו, אם בכלל, שיעור העלויות התוספתיות הנובעות באופן ישיר מהתאמת המערכות, שרשאית מסב לדרוש ממצטרפים חדשים.</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24"/>
          <w:szCs w:val="24"/>
          <w:rtl/>
        </w:rPr>
        <w:t>ג.4 שירותי העברת עמיתים בין קופות גמל</w:t>
      </w:r>
    </w:p>
    <w:p w:rsidR="00000000" w:rsidRDefault="00C22DFD">
      <w:pPr>
        <w:bidi/>
        <w:spacing w:before="120" w:after="100" w:afterAutospacing="1" w:line="360" w:lineRule="auto"/>
        <w:jc w:val="both"/>
        <w:rPr>
          <w:rFonts w:hint="cs"/>
          <w:rtl/>
        </w:rPr>
      </w:pPr>
      <w:r>
        <w:rPr>
          <w:rFonts w:cs="David" w:hint="cs"/>
          <w:rtl/>
        </w:rPr>
        <w:t>כאמור, שירותי העברת עמיתים בין קופות גמל נועדו</w:t>
      </w:r>
      <w:r>
        <w:rPr>
          <w:rFonts w:cs="David" w:hint="cs"/>
          <w:rtl/>
        </w:rPr>
        <w:t xml:space="preserve"> להקל על מעבר חופשי של עמיתים בין קופות הגמל השונות ובכך להגביר את התחרותיות בתחום זה. עם זאת, בעבר נמנע מקופות גמל אשר לא ניהלו את נכסיהן בבנקים לקבל שירותים מהמערכת הנדונה, בעקבות תנאי רישיונה של מסב כחברת שירותים משותפת המפוקחת על-ידי בנק ישראל. מצב דבר</w:t>
      </w:r>
      <w:r>
        <w:rPr>
          <w:rFonts w:cs="David" w:hint="cs"/>
          <w:rtl/>
        </w:rPr>
        <w:t>ים זה עורר את החשש כי קופות חוץ בנקאיות אשר אינן מנהלות את נכסיהן בתאגיד בנקאי לא יוכלו ליהנות מיתרונותיה של המערכת ויעמדו בנחיתות תחרותית. בעקבות מעורבות רשות ההגבלים העסקיים הבהיר בנק ישראל כי מסב יכולה להעניק את השירותים הנדונים גם לגופים חוץ-בנקאיים.</w:t>
      </w:r>
    </w:p>
    <w:p w:rsidR="00000000" w:rsidRDefault="00C22DFD">
      <w:pPr>
        <w:bidi/>
        <w:spacing w:before="120" w:after="100" w:afterAutospacing="1" w:line="360" w:lineRule="auto"/>
        <w:jc w:val="both"/>
        <w:rPr>
          <w:rFonts w:hint="cs"/>
          <w:rtl/>
        </w:rPr>
      </w:pPr>
      <w:r>
        <w:rPr>
          <w:rFonts w:cs="David" w:hint="cs"/>
          <w:rtl/>
        </w:rPr>
        <w:t>ע</w:t>
      </w:r>
      <w:r>
        <w:rPr>
          <w:rFonts w:cs="David" w:hint="cs"/>
          <w:rtl/>
        </w:rPr>
        <w:t xml:space="preserve">ל כן, ראיתי לנכון להמשיך ולהתנות את הפטור לשירותי העברת עמיתים בין היתר בכך שרישיונה של מסב יאפשר לה להעניק שירותים אלו לגופים חוץ-בנקאיים, וזאת למקרה בו תעלה טענה כלשהי כאילו נמנע ממסב בעתיד להעניק שירותים אלו על-פי תנאי רישיונה, מכל סיבה שהיא. </w:t>
      </w:r>
    </w:p>
    <w:p w:rsidR="00000000" w:rsidRDefault="00C22DFD">
      <w:pPr>
        <w:bidi/>
        <w:spacing w:before="120" w:after="100" w:afterAutospacing="1" w:line="360" w:lineRule="auto"/>
        <w:jc w:val="both"/>
        <w:rPr>
          <w:rFonts w:hint="cs"/>
          <w:rtl/>
        </w:rPr>
      </w:pPr>
      <w:r>
        <w:rPr>
          <w:rFonts w:cs="David" w:hint="cs"/>
          <w:rtl/>
        </w:rPr>
        <w:lastRenderedPageBreak/>
        <w:t>כמו כן, ת</w:t>
      </w:r>
      <w:r>
        <w:rPr>
          <w:rFonts w:cs="David" w:hint="cs"/>
          <w:rtl/>
        </w:rPr>
        <w:t xml:space="preserve">נאי לפטור הינו מתן גישה חופשית לכל קופת גמל לשירותי העברת עמיתים המסופקים על ידי מסב, בתנאים שאינם גרועים מהתנאים שמעניקה מסב לבנקים. </w:t>
      </w:r>
    </w:p>
    <w:p w:rsidR="00000000" w:rsidRDefault="00C22DFD">
      <w:pPr>
        <w:pStyle w:val="Heading2"/>
        <w:bidi/>
        <w:spacing w:before="240" w:beforeAutospacing="0" w:after="60" w:afterAutospacing="0"/>
        <w:ind w:left="360" w:right="749" w:hanging="154"/>
        <w:rPr>
          <w:rFonts w:eastAsia="Times New Roman" w:hint="cs"/>
          <w:rtl/>
        </w:rPr>
      </w:pPr>
      <w:r>
        <w:rPr>
          <w:rFonts w:eastAsia="David" w:cs="David" w:hint="cs"/>
          <w:sz w:val="24"/>
          <w:szCs w:val="24"/>
          <w:rtl/>
        </w:rPr>
        <w:t>ג.5 שירותים נוספים</w:t>
      </w:r>
    </w:p>
    <w:p w:rsidR="00000000" w:rsidRDefault="00C22DFD">
      <w:pPr>
        <w:bidi/>
        <w:spacing w:before="120" w:after="100" w:afterAutospacing="1" w:line="360" w:lineRule="auto"/>
        <w:jc w:val="both"/>
        <w:rPr>
          <w:rFonts w:hint="cs"/>
          <w:rtl/>
        </w:rPr>
      </w:pPr>
      <w:r>
        <w:rPr>
          <w:rFonts w:cs="David" w:hint="cs"/>
          <w:sz w:val="22"/>
          <w:rtl/>
        </w:rPr>
        <w:t>נכון להיום, מחירון שירותי העברת ממסרים אלקטרונים במערכת תיבות דואר מאובטחת קובע מחירים שונים ללקוחות ש</w:t>
      </w:r>
      <w:r>
        <w:rPr>
          <w:rFonts w:cs="David" w:hint="cs"/>
          <w:sz w:val="22"/>
          <w:rtl/>
        </w:rPr>
        <w:t xml:space="preserve">ונים ובכלל זה ניתנות הנחות כמות ומתבצע תמחור המושפע ממספר התווים (ביטים) של הממסר. </w:t>
      </w:r>
    </w:p>
    <w:p w:rsidR="00000000" w:rsidRDefault="00C22DFD">
      <w:pPr>
        <w:bidi/>
        <w:spacing w:before="120" w:after="100" w:afterAutospacing="1" w:line="360" w:lineRule="auto"/>
        <w:jc w:val="both"/>
        <w:rPr>
          <w:rFonts w:hint="cs"/>
          <w:rtl/>
        </w:rPr>
      </w:pPr>
      <w:r>
        <w:rPr>
          <w:rFonts w:cs="David" w:hint="cs"/>
          <w:sz w:val="22"/>
          <w:rtl/>
        </w:rPr>
        <w:t>נוכח מעמדה הדומיננטי של מסב באספקת השירות ונוכח מעמדם של הוריה בתחומים המקבלים שירותים ממסב, עולה חשש משימוש במעמד זה באופן שיפגע בצרכן-המשתמש שהוא גם מתחרה בתחומים אלו. פגיעה זו עשויה להתבטא, בין היתר, בגביית עמלות גבוהות, ללא קשר לעלויות. משכך, הוריתי למ</w:t>
      </w:r>
      <w:r>
        <w:rPr>
          <w:rFonts w:cs="David" w:hint="cs"/>
          <w:sz w:val="22"/>
          <w:rtl/>
        </w:rPr>
        <w:t xml:space="preserve">סב כי העמלות בגין שירותי העברת ממסרים שתגבה מסב מכל מי שמקבל ממנה שירותים יוכלו להיות שונות רק בהתבסס על שוני בעלויות השירותים האמורים. כן ניתנה למסב תקופת זמן להערכות ליישום התנאים האמורים. </w:t>
      </w:r>
    </w:p>
    <w:p w:rsidR="00000000" w:rsidRDefault="00C22DFD">
      <w:pPr>
        <w:bidi/>
        <w:spacing w:before="120" w:after="100" w:afterAutospacing="1" w:line="360" w:lineRule="auto"/>
        <w:jc w:val="both"/>
        <w:rPr>
          <w:rFonts w:hint="cs"/>
          <w:rtl/>
        </w:rPr>
      </w:pPr>
      <w:r>
        <w:rPr>
          <w:rFonts w:cs="David" w:hint="cs"/>
          <w:sz w:val="22"/>
          <w:rtl/>
        </w:rPr>
        <w:t>תנאי נוסף שאת תוקפו ראיתי לנכון להאריך ענייננו בשקיפות העמלות שג</w:t>
      </w:r>
      <w:r>
        <w:rPr>
          <w:rFonts w:cs="David" w:hint="cs"/>
          <w:sz w:val="22"/>
          <w:rtl/>
        </w:rPr>
        <w:t>ובה מסב: על מנת שלקוחותיהם של הבנקים יקבלו מידע בדבר העמלות המשתלמות למסב, חויבו הבנקים לפרט בכתב ללקוחותיהם את שיעורי העמלות המשתלמים על ידם.</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pStyle w:val="Heading1"/>
        <w:bidi/>
        <w:spacing w:before="120" w:beforeAutospacing="0" w:after="0" w:afterAutospacing="0"/>
        <w:ind w:left="509" w:right="389" w:hanging="480"/>
        <w:rPr>
          <w:rFonts w:eastAsia="Times New Roman" w:hint="cs"/>
          <w:rtl/>
        </w:rPr>
      </w:pPr>
      <w:r>
        <w:rPr>
          <w:rStyle w:val="Strong"/>
          <w:rFonts w:eastAsia="David" w:cs="David" w:hint="cs"/>
          <w:bCs/>
          <w:sz w:val="22"/>
          <w:szCs w:val="28"/>
          <w:rtl/>
        </w:rPr>
        <w:t>ד.</w:t>
      </w:r>
      <w:r>
        <w:rPr>
          <w:rStyle w:val="Strong"/>
          <w:rFonts w:eastAsia="David"/>
          <w:bCs/>
          <w:sz w:val="14"/>
          <w:szCs w:val="14"/>
          <w:rtl/>
        </w:rPr>
        <w:t xml:space="preserve">         </w:t>
      </w:r>
      <w:r>
        <w:rPr>
          <w:rStyle w:val="Strong"/>
          <w:rFonts w:eastAsia="Times New Roman" w:cs="David" w:hint="cs"/>
          <w:bCs/>
          <w:sz w:val="22"/>
          <w:szCs w:val="28"/>
          <w:rtl/>
        </w:rPr>
        <w:t>סוף דבר</w:t>
      </w:r>
    </w:p>
    <w:p w:rsidR="00000000" w:rsidRDefault="00C22DFD">
      <w:pPr>
        <w:bidi/>
        <w:spacing w:before="120" w:after="100" w:afterAutospacing="1" w:line="360" w:lineRule="auto"/>
        <w:jc w:val="both"/>
        <w:rPr>
          <w:rFonts w:hint="cs"/>
          <w:rtl/>
        </w:rPr>
      </w:pPr>
      <w:r>
        <w:rPr>
          <w:rFonts w:cs="David" w:hint="cs"/>
          <w:sz w:val="22"/>
          <w:rtl/>
        </w:rPr>
        <w:t>לאחר שנועצתי בועדה לפטורים ומיזוגים, ראיתי לנכון להשתמש בסמכות הנתונה לי בסעיף 14 לחוק ההגבל</w:t>
      </w:r>
      <w:r>
        <w:rPr>
          <w:rFonts w:cs="David" w:hint="cs"/>
          <w:sz w:val="22"/>
          <w:rtl/>
        </w:rPr>
        <w:t xml:space="preserve">ים העסקיים להאריך את תוקפו של הפטור למשך 4 חודשים נוספים מהיום, בכפוף לתנאים שלהלן: </w:t>
      </w:r>
    </w:p>
    <w:p w:rsidR="00000000" w:rsidRDefault="00C22DFD">
      <w:pPr>
        <w:bidi/>
        <w:spacing w:before="100" w:beforeAutospacing="1" w:after="120"/>
        <w:jc w:val="both"/>
        <w:rPr>
          <w:rFonts w:hint="cs"/>
          <w:rtl/>
        </w:rPr>
      </w:pPr>
      <w:r>
        <w:rPr>
          <w:rStyle w:val="Strong"/>
          <w:rFonts w:cs="David" w:hint="cs"/>
          <w:bCs w:val="0"/>
          <w:rtl/>
        </w:rPr>
        <w:t> </w:t>
      </w:r>
    </w:p>
    <w:p w:rsidR="00000000" w:rsidRDefault="00C22DFD">
      <w:pPr>
        <w:bidi/>
        <w:spacing w:before="100" w:beforeAutospacing="1" w:after="120"/>
        <w:jc w:val="both"/>
        <w:rPr>
          <w:rFonts w:hint="cs"/>
          <w:rtl/>
        </w:rPr>
      </w:pPr>
      <w:r>
        <w:rPr>
          <w:rStyle w:val="Strong"/>
          <w:rFonts w:cs="David" w:hint="cs"/>
          <w:b w:val="0"/>
          <w:rtl/>
        </w:rPr>
        <w:t>הגדרות</w:t>
      </w:r>
    </w:p>
    <w:p w:rsidR="00000000" w:rsidRDefault="00C22DFD">
      <w:pPr>
        <w:bidi/>
        <w:spacing w:before="100" w:beforeAutospacing="1" w:after="120"/>
        <w:jc w:val="both"/>
        <w:rPr>
          <w:rFonts w:hint="cs"/>
          <w:rtl/>
        </w:rPr>
      </w:pPr>
      <w:r>
        <w:rPr>
          <w:rFonts w:cs="David" w:hint="cs"/>
          <w:rtl/>
        </w:rPr>
        <w:t xml:space="preserve">בתנאים אלה יהיו למונחים הבאים הפירוש המופיע לצדם להלן: </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בנק בינלאומי</w:t>
      </w:r>
      <w:r>
        <w:rPr>
          <w:rFonts w:cs="David" w:hint="cs"/>
          <w:rtl/>
        </w:rPr>
        <w:t xml:space="preserve">" - </w:t>
      </w:r>
      <w:r>
        <w:rPr>
          <w:rFonts w:cs="David" w:hint="cs"/>
          <w:rtl/>
        </w:rPr>
        <w:tab/>
        <w:t xml:space="preserve">בנק הבינלאומי הראשון לישראל בע"מ </w:t>
      </w:r>
      <w:r>
        <w:rPr>
          <w:rFonts w:cs="David" w:hint="cs"/>
          <w:sz w:val="22"/>
          <w:rtl/>
        </w:rPr>
        <w:t>כל אדם השולט בו וכל תאגיד הנשלט על ידי מי מהם</w:t>
      </w:r>
      <w:r>
        <w:rPr>
          <w:rFonts w:cs="David" w:hint="cs"/>
          <w:rtl/>
        </w:rPr>
        <w:t>;</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בנק דיסקונט</w:t>
      </w:r>
      <w:r>
        <w:rPr>
          <w:rFonts w:cs="David" w:hint="cs"/>
          <w:rtl/>
        </w:rPr>
        <w:t xml:space="preserve">" - </w:t>
      </w:r>
      <w:r>
        <w:rPr>
          <w:rFonts w:cs="David" w:hint="cs"/>
          <w:rtl/>
        </w:rPr>
        <w:tab/>
        <w:t xml:space="preserve">בנק דיסקונט בע"מ </w:t>
      </w:r>
      <w:r>
        <w:rPr>
          <w:rFonts w:cs="David" w:hint="cs"/>
          <w:sz w:val="22"/>
          <w:rtl/>
        </w:rPr>
        <w:t>כל אדם השולט בו וכל תאגיד הנשלט על ידי מי מהם</w:t>
      </w:r>
      <w:r>
        <w:rPr>
          <w:rFonts w:cs="David" w:hint="cs"/>
          <w:rtl/>
        </w:rPr>
        <w:t xml:space="preserve">;  </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בנק הפועלים</w:t>
      </w:r>
      <w:r>
        <w:rPr>
          <w:rFonts w:cs="David" w:hint="cs"/>
          <w:rtl/>
        </w:rPr>
        <w:t xml:space="preserve">" - </w:t>
      </w:r>
      <w:r>
        <w:rPr>
          <w:rFonts w:cs="David" w:hint="cs"/>
          <w:rtl/>
        </w:rPr>
        <w:tab/>
        <w:t xml:space="preserve">בנק הפועלים בע"מ </w:t>
      </w:r>
      <w:r>
        <w:rPr>
          <w:rFonts w:cs="David" w:hint="cs"/>
          <w:sz w:val="22"/>
          <w:rtl/>
        </w:rPr>
        <w:t>כל אדם השולט בו וכל תאגיד הנשלט על ידי מי מהם</w:t>
      </w:r>
      <w:r>
        <w:rPr>
          <w:rFonts w:cs="David" w:hint="cs"/>
          <w:rtl/>
        </w:rPr>
        <w:t>;</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בנק המזרחי</w:t>
      </w:r>
      <w:r>
        <w:rPr>
          <w:rFonts w:cs="David" w:hint="cs"/>
          <w:rtl/>
        </w:rPr>
        <w:t xml:space="preserve">" - </w:t>
      </w:r>
      <w:r>
        <w:rPr>
          <w:rFonts w:cs="David" w:hint="cs"/>
          <w:rtl/>
        </w:rPr>
        <w:tab/>
        <w:t xml:space="preserve">בנק מזרחי טפחות בע"מ </w:t>
      </w:r>
      <w:r>
        <w:rPr>
          <w:rFonts w:cs="David" w:hint="cs"/>
          <w:sz w:val="22"/>
          <w:rtl/>
        </w:rPr>
        <w:t>כל אדם השולט בו וכל תאגיד הנשלט על ידי מי מהם</w:t>
      </w:r>
      <w:r>
        <w:rPr>
          <w:rFonts w:cs="David" w:hint="cs"/>
          <w:rtl/>
        </w:rPr>
        <w:t>;</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בנק לאומ</w:t>
      </w:r>
      <w:r>
        <w:rPr>
          <w:rStyle w:val="Strong"/>
          <w:rFonts w:cs="David" w:hint="cs"/>
          <w:b w:val="0"/>
          <w:rtl/>
        </w:rPr>
        <w:t>י</w:t>
      </w:r>
      <w:r>
        <w:rPr>
          <w:rFonts w:cs="David" w:hint="cs"/>
          <w:rtl/>
        </w:rPr>
        <w:t>" -</w:t>
      </w:r>
      <w:r>
        <w:rPr>
          <w:rFonts w:cs="David" w:hint="cs"/>
          <w:rtl/>
        </w:rPr>
        <w:tab/>
        <w:t xml:space="preserve">בנק לאומי לישראל בע"מ </w:t>
      </w:r>
      <w:r>
        <w:rPr>
          <w:rFonts w:cs="David" w:hint="cs"/>
          <w:sz w:val="22"/>
          <w:rtl/>
        </w:rPr>
        <w:t>כל אדם השולט בו וכל תאגיד הנשלט על ידי מי מהם</w:t>
      </w:r>
      <w:r>
        <w:rPr>
          <w:rFonts w:cs="David" w:hint="cs"/>
          <w:rtl/>
        </w:rPr>
        <w:t>;</w:t>
      </w:r>
    </w:p>
    <w:p w:rsidR="00000000" w:rsidRDefault="00C22DFD">
      <w:pPr>
        <w:bidi/>
        <w:spacing w:after="120"/>
        <w:ind w:left="2268" w:hanging="2268"/>
        <w:jc w:val="both"/>
        <w:rPr>
          <w:rFonts w:hint="cs"/>
          <w:rtl/>
        </w:rPr>
      </w:pPr>
      <w:r>
        <w:rPr>
          <w:rStyle w:val="Strong"/>
          <w:rFonts w:cs="David" w:hint="cs"/>
          <w:bCs w:val="0"/>
          <w:sz w:val="22"/>
          <w:rtl/>
        </w:rPr>
        <w:lastRenderedPageBreak/>
        <w:t>"</w:t>
      </w:r>
      <w:r>
        <w:rPr>
          <w:rStyle w:val="Strong"/>
          <w:rFonts w:cs="David" w:hint="cs"/>
          <w:b w:val="0"/>
          <w:sz w:val="22"/>
          <w:rtl/>
        </w:rPr>
        <w:t>גוף מנהל</w:t>
      </w:r>
      <w:r>
        <w:rPr>
          <w:rFonts w:cs="David" w:hint="cs"/>
          <w:sz w:val="22"/>
          <w:rtl/>
        </w:rPr>
        <w:t>"; "</w:t>
      </w:r>
      <w:r>
        <w:rPr>
          <w:rStyle w:val="Strong"/>
          <w:rFonts w:cs="David" w:hint="cs"/>
          <w:b w:val="0"/>
          <w:sz w:val="22"/>
          <w:rtl/>
        </w:rPr>
        <w:t>קופה מעבירה</w:t>
      </w:r>
      <w:r>
        <w:rPr>
          <w:rFonts w:cs="David" w:hint="cs"/>
          <w:sz w:val="22"/>
          <w:rtl/>
        </w:rPr>
        <w:t>"; "</w:t>
      </w:r>
      <w:r>
        <w:rPr>
          <w:rStyle w:val="Strong"/>
          <w:rFonts w:cs="David" w:hint="cs"/>
          <w:b w:val="0"/>
          <w:sz w:val="22"/>
          <w:rtl/>
        </w:rPr>
        <w:t>קופה מקבלת</w:t>
      </w:r>
      <w:r>
        <w:rPr>
          <w:rFonts w:cs="David" w:hint="cs"/>
          <w:sz w:val="22"/>
          <w:rtl/>
        </w:rPr>
        <w:t>", להלן ביחד גם "</w:t>
      </w:r>
      <w:r>
        <w:rPr>
          <w:rStyle w:val="Strong"/>
          <w:rFonts w:cs="David" w:hint="cs"/>
          <w:b w:val="0"/>
          <w:sz w:val="22"/>
          <w:rtl/>
        </w:rPr>
        <w:t>קופת גמל</w:t>
      </w:r>
      <w:r>
        <w:rPr>
          <w:rFonts w:cs="David" w:hint="cs"/>
          <w:sz w:val="22"/>
          <w:rtl/>
        </w:rPr>
        <w:t>"– כהגדרתם בתקנות הפיקוח על שירותים פיננסיים (קופות גמל) (העברת כספים בין קופות גמל), תשס"ח-2008</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הבנקים</w:t>
      </w:r>
      <w:r>
        <w:rPr>
          <w:rFonts w:cs="David" w:hint="cs"/>
          <w:rtl/>
        </w:rPr>
        <w:t xml:space="preserve">" - </w:t>
      </w:r>
      <w:r>
        <w:rPr>
          <w:rFonts w:cs="David" w:hint="cs"/>
          <w:rtl/>
        </w:rPr>
        <w:tab/>
        <w:t>אחד או יות</w:t>
      </w:r>
      <w:r>
        <w:rPr>
          <w:rFonts w:cs="David" w:hint="cs"/>
          <w:rtl/>
        </w:rPr>
        <w:t xml:space="preserve">ר מאלה: בנק בינלאומי, בנק דיסקונט, בנק הפועלים, בנק מזרחי, בנק לאומי; </w:t>
      </w:r>
    </w:p>
    <w:p w:rsidR="00000000" w:rsidRDefault="00C22DFD">
      <w:pPr>
        <w:bidi/>
        <w:spacing w:after="120"/>
        <w:ind w:left="2268" w:hanging="2268"/>
        <w:jc w:val="both"/>
        <w:rPr>
          <w:rFonts w:hint="cs"/>
          <w:rtl/>
        </w:rPr>
      </w:pPr>
      <w:r>
        <w:rPr>
          <w:rFonts w:cs="David" w:hint="cs"/>
          <w:sz w:val="22"/>
          <w:rtl/>
        </w:rPr>
        <w:t>"</w:t>
      </w:r>
      <w:r>
        <w:rPr>
          <w:rStyle w:val="Strong"/>
          <w:rFonts w:cs="David" w:hint="cs"/>
          <w:b w:val="0"/>
          <w:rtl/>
        </w:rPr>
        <w:t>מסב</w:t>
      </w:r>
      <w:r>
        <w:rPr>
          <w:rFonts w:cs="David" w:hint="cs"/>
          <w:sz w:val="22"/>
          <w:rtl/>
        </w:rPr>
        <w:t xml:space="preserve">" - </w:t>
      </w:r>
      <w:r>
        <w:rPr>
          <w:rFonts w:cs="David" w:hint="cs"/>
          <w:sz w:val="22"/>
          <w:rtl/>
        </w:rPr>
        <w:tab/>
        <w:t>מרכז סליקה בנקאי בע"מ וכל תאגיד הנשלט על ידה;</w:t>
      </w:r>
    </w:p>
    <w:p w:rsidR="00000000" w:rsidRDefault="00C22DFD">
      <w:pPr>
        <w:bidi/>
        <w:spacing w:after="120"/>
        <w:ind w:left="2268" w:hanging="2268"/>
        <w:jc w:val="both"/>
        <w:rPr>
          <w:rFonts w:hint="cs"/>
          <w:rtl/>
        </w:rPr>
      </w:pPr>
      <w:r>
        <w:rPr>
          <w:rFonts w:cs="David" w:hint="cs"/>
          <w:rtl/>
        </w:rPr>
        <w:t>"</w:t>
      </w:r>
      <w:r>
        <w:rPr>
          <w:rStyle w:val="Strong"/>
          <w:rFonts w:cs="David" w:hint="cs"/>
          <w:b w:val="0"/>
          <w:rtl/>
        </w:rPr>
        <w:t>נושא משרה/דירקטור</w:t>
      </w:r>
      <w:r>
        <w:rPr>
          <w:rFonts w:cs="David" w:hint="cs"/>
          <w:rtl/>
        </w:rPr>
        <w:t>" - כהגדרתו של מונח זה בחוק החברות, התשנ"ט-1999;</w:t>
      </w:r>
    </w:p>
    <w:p w:rsidR="00000000" w:rsidRDefault="00C22DFD">
      <w:pPr>
        <w:bidi/>
        <w:spacing w:before="120"/>
        <w:ind w:left="2268" w:hanging="2268"/>
        <w:jc w:val="both"/>
        <w:rPr>
          <w:rFonts w:hint="cs"/>
          <w:rtl/>
        </w:rPr>
      </w:pPr>
      <w:r>
        <w:rPr>
          <w:rFonts w:cs="David" w:hint="cs"/>
          <w:sz w:val="22"/>
          <w:rtl/>
        </w:rPr>
        <w:t>"</w:t>
      </w:r>
      <w:r>
        <w:rPr>
          <w:rStyle w:val="Strong"/>
          <w:rFonts w:cs="David" w:hint="cs"/>
          <w:b w:val="0"/>
          <w:sz w:val="22"/>
          <w:rtl/>
        </w:rPr>
        <w:t>סליקת חיובים וזיכויים</w:t>
      </w:r>
      <w:r>
        <w:rPr>
          <w:rFonts w:cs="David" w:hint="cs"/>
          <w:sz w:val="22"/>
          <w:rtl/>
        </w:rPr>
        <w:t>" - סליקת זיכויים וסליקת חיובים על פי הרש</w:t>
      </w:r>
      <w:r>
        <w:rPr>
          <w:rFonts w:cs="David" w:hint="cs"/>
          <w:sz w:val="22"/>
          <w:rtl/>
        </w:rPr>
        <w:t xml:space="preserve">אה בין בנקים ולקוחותיהם של בנקים שונים, המועברים על ידי בנקים (במישרין או באמצעות לקוחותיהם) לשם חיוב או זיכוי של חשבונות אחרים המתנהלים בבנקים אחרים, ובכלל זה גם החזרת חיובים שלא כובדו; סליקת זיכויים של עמיתים בקופות גמל; שירותי הפצת אישורי הבנקים לבקשות </w:t>
      </w:r>
      <w:r>
        <w:rPr>
          <w:rFonts w:cs="David" w:hint="cs"/>
          <w:sz w:val="22"/>
          <w:rtl/>
        </w:rPr>
        <w:t xml:space="preserve">לחיובים על פי הרשאה. </w:t>
      </w:r>
    </w:p>
    <w:p w:rsidR="00000000" w:rsidRDefault="00C22DFD">
      <w:pPr>
        <w:bidi/>
        <w:spacing w:before="120"/>
        <w:ind w:left="2268" w:hanging="2268"/>
        <w:jc w:val="both"/>
        <w:rPr>
          <w:rFonts w:hint="cs"/>
          <w:rtl/>
        </w:rPr>
      </w:pPr>
      <w:r>
        <w:rPr>
          <w:rFonts w:cs="David" w:hint="cs"/>
          <w:sz w:val="22"/>
          <w:rtl/>
        </w:rPr>
        <w:t>"</w:t>
      </w:r>
      <w:r>
        <w:rPr>
          <w:rStyle w:val="Strong"/>
          <w:rFonts w:cs="David" w:hint="cs"/>
          <w:b w:val="0"/>
          <w:sz w:val="22"/>
          <w:rtl/>
        </w:rPr>
        <w:t>שירותי העברת ממסרים</w:t>
      </w:r>
      <w:r>
        <w:rPr>
          <w:rFonts w:cs="David" w:hint="cs"/>
          <w:sz w:val="22"/>
          <w:rtl/>
        </w:rPr>
        <w:t>" - שירותי העברת ממסרים על ידי לקוחות הבנקים לבנקים ומן הבנקים ללקוחות, לרבות העברת מסרים ונתונים למנויים לשירות ובינם לבין עצמם במערכת תיבת דואר מאובטחת;</w:t>
      </w:r>
    </w:p>
    <w:p w:rsidR="00000000" w:rsidRDefault="00C22DFD">
      <w:pPr>
        <w:bidi/>
        <w:spacing w:before="120"/>
        <w:ind w:left="2268" w:hanging="2268"/>
        <w:jc w:val="both"/>
        <w:rPr>
          <w:rFonts w:hint="cs"/>
          <w:rtl/>
        </w:rPr>
      </w:pPr>
      <w:r>
        <w:rPr>
          <w:rFonts w:cs="David" w:hint="cs"/>
          <w:sz w:val="22"/>
          <w:rtl/>
        </w:rPr>
        <w:t>"</w:t>
      </w:r>
      <w:r>
        <w:rPr>
          <w:rStyle w:val="Strong"/>
          <w:rFonts w:cs="David" w:hint="cs"/>
          <w:sz w:val="22"/>
          <w:rtl/>
        </w:rPr>
        <w:t>שירותי העברת עמיתים</w:t>
      </w:r>
      <w:r>
        <w:rPr>
          <w:rFonts w:cs="David" w:hint="cs"/>
          <w:sz w:val="22"/>
          <w:rtl/>
        </w:rPr>
        <w:t xml:space="preserve">" –  </w:t>
      </w:r>
      <w:r>
        <w:rPr>
          <w:rFonts w:cs="David" w:hint="cs"/>
          <w:sz w:val="22"/>
          <w:rtl/>
        </w:rPr>
        <w:t xml:space="preserve">שירותי טיפול בסליקת כספים וקבצי מידע במסגרת מעבר עמיתים בין קופות גמל. </w:t>
      </w:r>
    </w:p>
    <w:p w:rsidR="00000000" w:rsidRDefault="00C22DFD">
      <w:pPr>
        <w:bidi/>
        <w:spacing w:before="120"/>
        <w:ind w:left="2268" w:hanging="2268"/>
        <w:jc w:val="both"/>
        <w:rPr>
          <w:rFonts w:hint="cs"/>
          <w:rtl/>
        </w:rPr>
      </w:pPr>
      <w:r>
        <w:rPr>
          <w:rFonts w:cs="David" w:hint="cs"/>
          <w:sz w:val="22"/>
          <w:rtl/>
        </w:rPr>
        <w:t>"</w:t>
      </w:r>
      <w:r>
        <w:rPr>
          <w:rStyle w:val="Strong"/>
          <w:rFonts w:cs="David" w:hint="cs"/>
          <w:b w:val="0"/>
          <w:sz w:val="22"/>
          <w:rtl/>
        </w:rPr>
        <w:t>שירותי מיתוג למאגרי מידע</w:t>
      </w:r>
      <w:r>
        <w:rPr>
          <w:rFonts w:cs="David" w:hint="cs"/>
          <w:sz w:val="22"/>
          <w:rtl/>
        </w:rPr>
        <w:t>" -  שירותי גישה באמצעים אלקטרוניים למאגרי המידע האלה, המתנהלים על פי דין: מאגרי מרשם האוכלוסין, מאגר משרד התחבורה - רשות הרישוי, מאגר רשם החברות ומאגר משרד הב</w:t>
      </w:r>
      <w:r>
        <w:rPr>
          <w:rFonts w:cs="David" w:hint="cs"/>
          <w:sz w:val="22"/>
          <w:rtl/>
        </w:rPr>
        <w:t>טחון;</w:t>
      </w:r>
    </w:p>
    <w:p w:rsidR="00000000" w:rsidRDefault="00C22DFD">
      <w:pPr>
        <w:bidi/>
        <w:spacing w:before="120"/>
        <w:ind w:left="2268" w:hanging="2268"/>
        <w:jc w:val="both"/>
        <w:rPr>
          <w:rFonts w:hint="cs"/>
          <w:rtl/>
        </w:rPr>
      </w:pPr>
      <w:r>
        <w:rPr>
          <w:rFonts w:cs="David" w:hint="cs"/>
          <w:sz w:val="22"/>
          <w:rtl/>
        </w:rPr>
        <w:t>"</w:t>
      </w:r>
      <w:r>
        <w:rPr>
          <w:rStyle w:val="Strong"/>
          <w:rFonts w:cs="David" w:hint="cs"/>
          <w:rtl/>
        </w:rPr>
        <w:t>שליטה</w:t>
      </w:r>
      <w:r>
        <w:rPr>
          <w:rFonts w:cs="David" w:hint="cs"/>
          <w:sz w:val="22"/>
          <w:rtl/>
        </w:rPr>
        <w:t xml:space="preserve">" - </w:t>
      </w:r>
      <w:r>
        <w:rPr>
          <w:rFonts w:cs="David" w:hint="cs"/>
          <w:rtl/>
        </w:rPr>
        <w:t xml:space="preserve">                  כהגדרתה בכללי ההגבלים העסקיים (הוראות והגדרות כלליות), התשס"ו-2006</w:t>
      </w:r>
    </w:p>
    <w:p w:rsidR="00000000" w:rsidRDefault="00C22DFD">
      <w:pPr>
        <w:bidi/>
        <w:spacing w:before="120"/>
        <w:ind w:left="2268" w:hanging="2268"/>
        <w:jc w:val="both"/>
        <w:rPr>
          <w:rFonts w:hint="cs"/>
          <w:rtl/>
        </w:rPr>
      </w:pPr>
      <w:r>
        <w:rPr>
          <w:rFonts w:cs="David" w:hint="cs"/>
          <w:sz w:val="22"/>
          <w:rtl/>
        </w:rPr>
        <w:t>"</w:t>
      </w:r>
      <w:r>
        <w:rPr>
          <w:rStyle w:val="Strong"/>
          <w:rFonts w:cs="David" w:hint="cs"/>
          <w:b w:val="0"/>
          <w:sz w:val="22"/>
          <w:rtl/>
        </w:rPr>
        <w:t>תאגיד בנקאי</w:t>
      </w:r>
      <w:r>
        <w:rPr>
          <w:rFonts w:cs="David" w:hint="cs"/>
          <w:sz w:val="22"/>
          <w:rtl/>
        </w:rPr>
        <w:t xml:space="preserve">" - </w:t>
      </w:r>
      <w:r>
        <w:rPr>
          <w:rFonts w:cs="David" w:hint="cs"/>
          <w:sz w:val="22"/>
          <w:rtl/>
        </w:rPr>
        <w:tab/>
        <w:t>כהגדרתו של מונח זה בחוק הבנקאות (רישוי), התשמ"א-1981, וכן בנק ישראל ובנק הדואר;</w:t>
      </w:r>
    </w:p>
    <w:p w:rsidR="00000000" w:rsidRDefault="00C22DFD">
      <w:pPr>
        <w:bidi/>
        <w:spacing w:before="120"/>
        <w:ind w:left="2268" w:hanging="2268"/>
        <w:jc w:val="both"/>
        <w:rPr>
          <w:rFonts w:hint="cs"/>
          <w:rtl/>
        </w:rPr>
      </w:pPr>
      <w:r>
        <w:rPr>
          <w:rFonts w:cs="David" w:hint="cs"/>
          <w:sz w:val="22"/>
          <w:rtl/>
        </w:rPr>
        <w:t>"</w:t>
      </w:r>
      <w:r>
        <w:rPr>
          <w:rStyle w:val="Strong"/>
          <w:rFonts w:cs="David" w:hint="cs"/>
          <w:b w:val="0"/>
          <w:sz w:val="22"/>
          <w:rtl/>
        </w:rPr>
        <w:t>תחומי הפעילות</w:t>
      </w:r>
      <w:r>
        <w:rPr>
          <w:rFonts w:cs="David" w:hint="cs"/>
          <w:sz w:val="22"/>
          <w:rtl/>
        </w:rPr>
        <w:t xml:space="preserve">" - </w:t>
      </w:r>
      <w:r>
        <w:rPr>
          <w:rFonts w:cs="David" w:hint="cs"/>
          <w:sz w:val="22"/>
          <w:rtl/>
        </w:rPr>
        <w:tab/>
      </w:r>
      <w:r>
        <w:rPr>
          <w:rFonts w:cs="David" w:hint="cs"/>
          <w:sz w:val="22"/>
          <w:rtl/>
        </w:rPr>
        <w:t xml:space="preserve">סליקת חיובים וזיכויים, שירותי מיתוג למאגרי מידע, שירותי העברת עמיתים ושירותי העברת ממסרים, כהגדרתם לעיל; </w:t>
      </w:r>
    </w:p>
    <w:p w:rsidR="00000000" w:rsidRDefault="00C22DFD">
      <w:pPr>
        <w:bidi/>
        <w:spacing w:before="100" w:beforeAutospacing="1" w:after="120"/>
        <w:jc w:val="both"/>
        <w:rPr>
          <w:rFonts w:hint="cs"/>
          <w:rtl/>
        </w:rPr>
      </w:pPr>
      <w:r>
        <w:rPr>
          <w:rFonts w:cs="David" w:hint="cs"/>
          <w:rtl/>
        </w:rPr>
        <w:t>למונחים אחרים שבתנאים אלה תהא המשמעות הנודעת להם בכללי ההגבלים העסקיים (הוראות והגדרות כלליות), התשס"ו-2006.</w:t>
      </w:r>
    </w:p>
    <w:p w:rsidR="00000000" w:rsidRDefault="00C22DFD">
      <w:pPr>
        <w:bidi/>
        <w:spacing w:before="100" w:beforeAutospacing="1" w:after="120"/>
        <w:rPr>
          <w:rFonts w:hint="cs"/>
          <w:rtl/>
        </w:rPr>
      </w:pPr>
      <w:r>
        <w:rPr>
          <w:rStyle w:val="Strong"/>
          <w:rFonts w:cs="David" w:hint="cs"/>
          <w:rtl/>
        </w:rPr>
        <w:t> </w:t>
      </w:r>
    </w:p>
    <w:p w:rsidR="00000000" w:rsidRDefault="00C22DFD">
      <w:pPr>
        <w:bidi/>
        <w:spacing w:before="100" w:beforeAutospacing="1" w:after="120"/>
        <w:rPr>
          <w:rFonts w:hint="cs"/>
          <w:rtl/>
        </w:rPr>
      </w:pPr>
      <w:r>
        <w:rPr>
          <w:rStyle w:val="Strong"/>
          <w:rFonts w:cs="David" w:hint="cs"/>
          <w:rtl/>
        </w:rPr>
        <w:t>הבעלות במסב</w:t>
      </w:r>
    </w:p>
    <w:p w:rsidR="00000000" w:rsidRDefault="00C22DFD">
      <w:pPr>
        <w:numPr>
          <w:ilvl w:val="0"/>
          <w:numId w:val="1"/>
        </w:numPr>
        <w:bidi/>
        <w:spacing w:before="100" w:beforeAutospacing="1" w:after="120"/>
        <w:ind w:left="1440"/>
        <w:jc w:val="both"/>
        <w:rPr>
          <w:rFonts w:eastAsia="Times New Roman" w:hint="cs"/>
          <w:rtl/>
        </w:rPr>
      </w:pPr>
      <w:r>
        <w:rPr>
          <w:rFonts w:eastAsia="Times New Roman" w:cs="David" w:hint="cs"/>
          <w:rtl/>
        </w:rPr>
        <w:t>כל עוד מסב מוחזקת על ידי יו</w:t>
      </w:r>
      <w:r>
        <w:rPr>
          <w:rFonts w:eastAsia="Times New Roman" w:cs="David" w:hint="cs"/>
          <w:rtl/>
        </w:rPr>
        <w:t>תר מאחד הבנקים או כל עוד יותר מאחד הבנקים מחזיק זכות שליטה במסב  - מסב תעסוק בתחומי הפעילות כהגדרתם לעיל ובהם בלבד, והיא תעשה כן בהתאם לתנאים אלה. חרגה מסב מתחומי הפעילות - יפקע הפטור.</w:t>
      </w:r>
    </w:p>
    <w:p w:rsidR="00000000" w:rsidRDefault="00C22DFD">
      <w:pPr>
        <w:numPr>
          <w:ilvl w:val="0"/>
          <w:numId w:val="2"/>
        </w:numPr>
        <w:tabs>
          <w:tab w:val="left" w:pos="5045"/>
        </w:tabs>
        <w:bidi/>
        <w:spacing w:before="100" w:beforeAutospacing="1" w:after="120"/>
        <w:ind w:left="1440"/>
        <w:jc w:val="both"/>
        <w:rPr>
          <w:rFonts w:eastAsia="Times New Roman" w:hint="cs"/>
          <w:rtl/>
        </w:rPr>
      </w:pPr>
      <w:r>
        <w:rPr>
          <w:rFonts w:eastAsia="Times New Roman" w:cs="David" w:hint="cs"/>
          <w:rtl/>
        </w:rPr>
        <w:t>מסב לא תחלק רווחים או תקבולים או הטבות מכל סוג שהוא לבנקים או למי שמחזי</w:t>
      </w:r>
      <w:r>
        <w:rPr>
          <w:rFonts w:eastAsia="Times New Roman" w:cs="David" w:hint="cs"/>
          <w:rtl/>
        </w:rPr>
        <w:t>ק זכות שליטה בה. מבלי לפגוע בכלליות האמור לעיל, מסב לא תעניק לבנקים או למי שמחזיק זכות שליטה בה  דיבידנד, דמי ניהול, ריבית בגין החזר הלוואה בשיעור העולה על הריבית המקובלת במשק לעסקה הרלבנטית או כל הטבה אחרת, במישרין או בעקיפין וכן, לא תעניק הנחה אשר הנהנים</w:t>
      </w:r>
      <w:r>
        <w:rPr>
          <w:rFonts w:eastAsia="Times New Roman" w:cs="David" w:hint="cs"/>
          <w:rtl/>
        </w:rPr>
        <w:t xml:space="preserve"> ממנה יהיו בפועל רק הבנקים או מי שמחזיק זכות שליטה בה (ולא לקוחות אחרים של מסב). </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מסב לא תעניק לדירקטורים שהם תאגידים המכהנים בה כל שכר או כל טובת הנאה אחרת, בקשר לתפקידם כדירקטורים.</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הבנקים לא ימנו לדירקטוריון מסב אדם שהנו בעל עניין בבנק ו/או חבר הנהלת הבנ</w:t>
      </w:r>
      <w:r>
        <w:rPr>
          <w:rFonts w:eastAsia="Times New Roman" w:cs="David" w:hint="cs"/>
          <w:rtl/>
        </w:rPr>
        <w:t xml:space="preserve">ק ו/או נושא משרה בתחומי המסחר, החשבות ו/או הקמעונאות בבנק. </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lastRenderedPageBreak/>
        <w:t xml:space="preserve">הבנקים לא יעבירו ביניהם במישרין או בעקיפין, לרבות באמצעות נציגיהם במסב, כל מידע שהעברתו עלולה לגרוע מן התחרות ביניהם, בפועל או בכוח. </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מבלי לגרוע מכלליות האמור, לא יועבר בין הבנקים, לרבות באמצעות נ</w:t>
      </w:r>
      <w:r>
        <w:rPr>
          <w:rFonts w:eastAsia="Times New Roman" w:cs="David" w:hint="cs"/>
          <w:rtl/>
        </w:rPr>
        <w:t>ציגיהם במסב, מידע הכולל פרטים הנוגעים לתכניות עסקיות כלליות או פרטניות של הבנקים, בין בעבר ובין בעתיד; מידע הנוגע לעלויות, לתמחור ולמחירים הנגבים על ידי הבנקים או משולמים על ידי הבנקים; מידע בדבר מאפייני שירותים בנקאיים ואחרים שמעניקים הבנקים; בסיסי נתונים</w:t>
      </w:r>
      <w:r>
        <w:rPr>
          <w:rFonts w:eastAsia="Times New Roman" w:cs="David" w:hint="cs"/>
          <w:rtl/>
        </w:rPr>
        <w:t xml:space="preserve"> שבידי הבנקים; מידע על לקוחות של הבנקים; מידע בדבר הפוזיציות הפיננסיות של הבנקים; או מידע על תנאי אשראי או התקשרויות בעבר או בעתיד, למעט מידע כאמור שהיה לנחלת הרבים. </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המגעים בין נציגי הבנקים במסגרת מסב יעשו באופן המצמצם כל חשש להפחתת התחרות בכוח או בפועל ב</w:t>
      </w:r>
      <w:r>
        <w:rPr>
          <w:rFonts w:eastAsia="Times New Roman" w:cs="David" w:hint="cs"/>
          <w:rtl/>
        </w:rPr>
        <w:t>ין הבנקים, כולם או מקצתם; בכלל זה, מגעים בין הבנקים במסגרת מסב ייערכו בין בעלי התפקידים ההכרחיים לשם תפעולה השוטף של מסב בלבד ולשם כך בלבד.</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 xml:space="preserve">כל ההחלטות המהותיות של הבנקים הנוגעות למסב, וההחלטות של מוסדות הניהול של מסב </w:t>
      </w:r>
      <w:r>
        <w:rPr>
          <w:rFonts w:eastAsia="Times New Roman" w:cs="David" w:hint="cs"/>
          <w:rtl/>
        </w:rPr>
        <w:t xml:space="preserve">(דירקטוריון, ועדת דירקטורים, אסיפה כללית), יתועדו בכתב טרם או בעת עשייתן כך שכל החלטה תישמר ותומצא לממונה מיד בסמוך לדרישה מטעמו בעניין זה; מבלי לגרוע מכלליות האמור, יתועד פרוטוקול מלא מכל פגישה בין הבנקים בקשר למסב, כולם או מקצתם. </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אדם שמונה כדירקטור במסב</w:t>
      </w:r>
      <w:r>
        <w:rPr>
          <w:rFonts w:eastAsia="Times New Roman" w:cs="David" w:hint="cs"/>
          <w:rtl/>
        </w:rPr>
        <w:t xml:space="preserve"> וכן, מנכ"ל מסב ומנכ"ל כל אחד מהבנקים יחתום טרם תחילת ביצוע תפקידו על כתב התחייבות בנוסח המצורף לתנאים אלה כנספח א'. כתב ההתחייבות יועבר לרשות ההגבלים העסקיים 30 יום לאחר חתימתו. לעניין סעיף זה:  "הבנקים"-  בנק הבינלאומי הראשון לישראל בע"מ, בנק דיסקונט בע"</w:t>
      </w:r>
      <w:r>
        <w:rPr>
          <w:rFonts w:eastAsia="Times New Roman" w:cs="David" w:hint="cs"/>
          <w:rtl/>
        </w:rPr>
        <w:t>מ, בנק הפועלים בע"מ, בנק מזרחי טפחות בע"מ, בנק לאומי לישראל בע"מ;</w:t>
      </w:r>
    </w:p>
    <w:p w:rsidR="00000000" w:rsidRDefault="00C22DFD">
      <w:pPr>
        <w:numPr>
          <w:ilvl w:val="0"/>
          <w:numId w:val="2"/>
        </w:numPr>
        <w:bidi/>
        <w:spacing w:before="100" w:beforeAutospacing="1" w:after="120"/>
        <w:ind w:left="1440"/>
        <w:jc w:val="both"/>
        <w:rPr>
          <w:rFonts w:eastAsia="Times New Roman" w:hint="cs"/>
          <w:rtl/>
        </w:rPr>
      </w:pPr>
      <w:r>
        <w:rPr>
          <w:rFonts w:eastAsia="Times New Roman" w:cs="David" w:hint="cs"/>
          <w:rtl/>
        </w:rPr>
        <w:t xml:space="preserve">מובהר בזאת כי אין באמור בתנאים אלה כדי למנוע ממנהלו הכללי של בנק להתעדכן באשר לפעולותיו של הדירקטור הפועל מטעמו במסב.  </w:t>
      </w:r>
    </w:p>
    <w:p w:rsidR="00000000" w:rsidRDefault="00C22DFD">
      <w:pPr>
        <w:pStyle w:val="Heading4"/>
        <w:tabs>
          <w:tab w:val="left" w:pos="720"/>
        </w:tabs>
        <w:bidi/>
        <w:spacing w:before="240" w:beforeAutospacing="0" w:after="60" w:afterAutospacing="0"/>
        <w:ind w:right="389"/>
        <w:jc w:val="both"/>
        <w:rPr>
          <w:rFonts w:eastAsia="Times New Roman" w:hint="cs"/>
          <w:rtl/>
        </w:rPr>
      </w:pPr>
      <w:bookmarkStart w:id="1" w:name="_Ref9949596"/>
      <w:r>
        <w:rPr>
          <w:rFonts w:eastAsia="Times New Roman" w:cs="David" w:hint="cs"/>
          <w:rtl/>
        </w:rPr>
        <w:t> </w:t>
      </w:r>
    </w:p>
    <w:p w:rsidR="00000000" w:rsidRDefault="00C22DFD">
      <w:pPr>
        <w:pStyle w:val="Heading4"/>
        <w:tabs>
          <w:tab w:val="left" w:pos="720"/>
        </w:tabs>
        <w:bidi/>
        <w:spacing w:before="240" w:beforeAutospacing="0" w:after="60" w:afterAutospacing="0"/>
        <w:ind w:right="389"/>
        <w:jc w:val="both"/>
        <w:rPr>
          <w:rFonts w:eastAsia="Times New Roman" w:hint="cs"/>
          <w:rtl/>
        </w:rPr>
      </w:pPr>
      <w:r>
        <w:rPr>
          <w:rFonts w:eastAsia="Times New Roman" w:cs="David" w:hint="cs"/>
          <w:rtl/>
        </w:rPr>
        <w:t>סליקת חיובים וזיכויים ושירותי העברת ממסרים</w:t>
      </w:r>
    </w:p>
    <w:p w:rsidR="00000000" w:rsidRDefault="00C22DFD">
      <w:pPr>
        <w:numPr>
          <w:ilvl w:val="0"/>
          <w:numId w:val="3"/>
        </w:numPr>
        <w:bidi/>
        <w:spacing w:before="100" w:beforeAutospacing="1" w:after="120"/>
        <w:ind w:left="1440"/>
        <w:jc w:val="both"/>
        <w:rPr>
          <w:rFonts w:eastAsia="Times New Roman" w:hint="cs"/>
          <w:rtl/>
        </w:rPr>
      </w:pPr>
      <w:bookmarkStart w:id="2" w:name="_Ref11728241"/>
      <w:bookmarkStart w:id="3" w:name="_Ref9953171"/>
      <w:r>
        <w:rPr>
          <w:rFonts w:eastAsia="Times New Roman" w:cs="David" w:hint="cs"/>
          <w:sz w:val="22"/>
          <w:rtl/>
        </w:rPr>
        <w:t>הבנקים ומסב יבצעו כל פעול</w:t>
      </w:r>
      <w:r>
        <w:rPr>
          <w:rFonts w:eastAsia="Times New Roman" w:cs="David" w:hint="cs"/>
          <w:sz w:val="22"/>
          <w:rtl/>
        </w:rPr>
        <w:t xml:space="preserve">ה הנדרשת כדי לאפשר לכל תאגיד בנקאי שהוא חבר המסלקה הבין- בנקאית שליד בנק ישראל וללקוחותיו, גישה לשירותי סליקת חיובים וזיכויים ושירותי העברת ממסרים המסופקים על ידי מסב. הגישה תינתן בתנאים שאינם גרועים מהתנאים שמעניקה מסב לבנקים. </w:t>
      </w:r>
    </w:p>
    <w:p w:rsidR="00000000" w:rsidRDefault="00C22DFD">
      <w:pPr>
        <w:numPr>
          <w:ilvl w:val="0"/>
          <w:numId w:val="3"/>
        </w:numPr>
        <w:bidi/>
        <w:spacing w:before="100" w:beforeAutospacing="1" w:after="120"/>
        <w:ind w:left="1440"/>
        <w:jc w:val="both"/>
        <w:rPr>
          <w:rFonts w:eastAsia="Times New Roman" w:hint="cs"/>
          <w:rtl/>
        </w:rPr>
      </w:pPr>
      <w:bookmarkStart w:id="4" w:name="_Ref323835980"/>
      <w:r>
        <w:rPr>
          <w:rFonts w:eastAsia="Times New Roman" w:cs="David" w:hint="cs"/>
          <w:sz w:val="22"/>
          <w:rtl/>
        </w:rPr>
        <w:t>העמלות בגין שירותי סליקת חי</w:t>
      </w:r>
      <w:r>
        <w:rPr>
          <w:rFonts w:eastAsia="Times New Roman" w:cs="David" w:hint="cs"/>
          <w:sz w:val="22"/>
          <w:rtl/>
        </w:rPr>
        <w:t xml:space="preserve">ובים וזיכויים ושירותי העברת ממסרים שתגבה מסב </w:t>
      </w:r>
      <w:r>
        <w:rPr>
          <w:rFonts w:eastAsia="Times New Roman" w:cs="David" w:hint="cs"/>
          <w:rtl/>
        </w:rPr>
        <w:t>מכל מקבל שירותים אלה תהיינה זהות</w:t>
      </w:r>
      <w:bookmarkEnd w:id="2"/>
      <w:r>
        <w:rPr>
          <w:rFonts w:eastAsia="Times New Roman" w:cs="David" w:hint="cs"/>
          <w:rtl/>
        </w:rPr>
        <w:t xml:space="preserve"> לכל מקבלי השירותים אלא אם כן קיים הבדל בעלויות הישירות הנובעות ממתן השירות וככל שההבדל במחיר ינבע באופן ישיר מההבדל בעלויות האמורות בלבד</w:t>
      </w:r>
      <w:r>
        <w:rPr>
          <w:rFonts w:eastAsia="Times New Roman" w:cs="David" w:hint="cs"/>
          <w:sz w:val="22"/>
          <w:rtl/>
        </w:rPr>
        <w:t>.</w:t>
      </w:r>
      <w:bookmarkEnd w:id="4"/>
      <w:bookmarkEnd w:id="3"/>
      <w:bookmarkEnd w:id="1"/>
    </w:p>
    <w:p w:rsidR="00000000" w:rsidRDefault="00C22DFD">
      <w:pPr>
        <w:bidi/>
        <w:spacing w:before="120" w:after="100" w:afterAutospacing="1"/>
        <w:jc w:val="both"/>
        <w:rPr>
          <w:rFonts w:hint="cs"/>
          <w:rtl/>
        </w:rPr>
      </w:pPr>
      <w:r>
        <w:rPr>
          <w:rStyle w:val="Strong"/>
          <w:rFonts w:cs="David" w:hint="cs"/>
          <w:b w:val="0"/>
          <w:rtl/>
        </w:rPr>
        <w:t> </w:t>
      </w:r>
    </w:p>
    <w:p w:rsidR="00000000" w:rsidRDefault="00C22DFD">
      <w:pPr>
        <w:bidi/>
        <w:spacing w:before="120" w:after="100" w:afterAutospacing="1"/>
        <w:jc w:val="both"/>
        <w:rPr>
          <w:rFonts w:hint="cs"/>
          <w:rtl/>
        </w:rPr>
      </w:pPr>
      <w:r>
        <w:rPr>
          <w:rStyle w:val="Strong"/>
          <w:rFonts w:cs="David" w:hint="cs"/>
          <w:b w:val="0"/>
          <w:rtl/>
        </w:rPr>
        <w:t xml:space="preserve">שירותי מיתוג </w:t>
      </w:r>
      <w:r>
        <w:rPr>
          <w:rStyle w:val="Strong"/>
          <w:rFonts w:cs="David" w:hint="cs"/>
          <w:b w:val="0"/>
          <w:sz w:val="22"/>
          <w:rtl/>
        </w:rPr>
        <w:t>למאגרי מידע</w:t>
      </w:r>
    </w:p>
    <w:p w:rsidR="00000000" w:rsidRDefault="00C22DFD">
      <w:pPr>
        <w:numPr>
          <w:ilvl w:val="0"/>
          <w:numId w:val="4"/>
        </w:numPr>
        <w:bidi/>
        <w:spacing w:before="100" w:beforeAutospacing="1" w:after="120"/>
        <w:ind w:left="1440"/>
        <w:jc w:val="both"/>
        <w:rPr>
          <w:rFonts w:eastAsia="Times New Roman" w:hint="cs"/>
          <w:rtl/>
        </w:rPr>
      </w:pPr>
      <w:bookmarkStart w:id="5" w:name="_Ref10372527"/>
      <w:r>
        <w:rPr>
          <w:rFonts w:eastAsia="Times New Roman" w:cs="David" w:hint="cs"/>
          <w:sz w:val="22"/>
          <w:rtl/>
        </w:rPr>
        <w:t>הבנקים ומסב י</w:t>
      </w:r>
      <w:r>
        <w:rPr>
          <w:rFonts w:eastAsia="Times New Roman" w:cs="David" w:hint="cs"/>
          <w:sz w:val="22"/>
          <w:rtl/>
        </w:rPr>
        <w:t>בצעו כל פעולה הנדרשת כדי לאפשר לכל תאגיד בנקאי גישה לשירותי מיתוג למאגרי מידע המסופקים על ידי מסב וכן כדי לאפשר לכל חברת כרטיסי אשראי שהיא תאגיד עזר לפי חוק הבנקאות (רישוי), התשמ"א-1981 (להלן: "</w:t>
      </w:r>
      <w:r>
        <w:rPr>
          <w:rStyle w:val="Strong"/>
          <w:rFonts w:eastAsia="Times New Roman" w:cs="David" w:hint="cs"/>
          <w:bCs w:val="0"/>
          <w:sz w:val="22"/>
          <w:rtl/>
        </w:rPr>
        <w:t>חברת כרטיסי אשראי</w:t>
      </w:r>
      <w:r>
        <w:rPr>
          <w:rFonts w:eastAsia="Times New Roman" w:cs="David" w:hint="cs"/>
          <w:sz w:val="22"/>
          <w:rtl/>
        </w:rPr>
        <w:t>") גישה לשירותי המיתוג של מאגר משרד התחבורה –</w:t>
      </w:r>
      <w:r>
        <w:rPr>
          <w:rFonts w:eastAsia="Times New Roman" w:cs="David" w:hint="cs"/>
          <w:sz w:val="22"/>
          <w:rtl/>
        </w:rPr>
        <w:t xml:space="preserve"> רשות הרישוי המסופקים על ידי מסב. הגישה תינתן בתנאים שאינם גרועים מהתנאים שמעניקה מסב לבנקים. </w:t>
      </w:r>
    </w:p>
    <w:p w:rsidR="00000000" w:rsidRDefault="00C22DFD">
      <w:pPr>
        <w:numPr>
          <w:ilvl w:val="0"/>
          <w:numId w:val="4"/>
        </w:numPr>
        <w:bidi/>
        <w:spacing w:before="100" w:beforeAutospacing="1" w:after="120"/>
        <w:ind w:left="1440"/>
        <w:jc w:val="both"/>
        <w:rPr>
          <w:rFonts w:eastAsia="Times New Roman" w:hint="cs"/>
          <w:rtl/>
        </w:rPr>
      </w:pPr>
      <w:bookmarkStart w:id="6" w:name="_Ref323835992"/>
      <w:r>
        <w:rPr>
          <w:rFonts w:eastAsia="Times New Roman" w:cs="David" w:hint="cs"/>
          <w:sz w:val="22"/>
          <w:rtl/>
        </w:rPr>
        <w:lastRenderedPageBreak/>
        <w:t xml:space="preserve">העמלות בגין שירותי מיתוג למאגרי מידע שתגבה מסב </w:t>
      </w:r>
      <w:r>
        <w:rPr>
          <w:rFonts w:eastAsia="Times New Roman" w:cs="David" w:hint="cs"/>
          <w:rtl/>
        </w:rPr>
        <w:t>מכל מקבל שירותים אלה תהיינה זהות</w:t>
      </w:r>
      <w:bookmarkEnd w:id="6"/>
      <w:bookmarkEnd w:id="5"/>
      <w:r>
        <w:rPr>
          <w:rFonts w:eastAsia="Times New Roman" w:cs="David" w:hint="cs"/>
          <w:sz w:val="22"/>
          <w:rtl/>
        </w:rPr>
        <w:t xml:space="preserve"> </w:t>
      </w:r>
      <w:r>
        <w:rPr>
          <w:rFonts w:eastAsia="Times New Roman" w:cs="David" w:hint="cs"/>
          <w:rtl/>
        </w:rPr>
        <w:t>לכל מקבלי השירותים אלא אם כן קיים הבדל בעלויות הישירות הנובעות ממתן השירות וככל ש</w:t>
      </w:r>
      <w:r>
        <w:rPr>
          <w:rFonts w:eastAsia="Times New Roman" w:cs="David" w:hint="cs"/>
          <w:rtl/>
        </w:rPr>
        <w:t>ההבדל במחיר ינבע באופן ישיר מההבדל בעלויות האמורות בלבד</w:t>
      </w:r>
      <w:r>
        <w:rPr>
          <w:rFonts w:eastAsia="Times New Roman" w:cs="David" w:hint="cs"/>
          <w:sz w:val="22"/>
          <w:rtl/>
        </w:rPr>
        <w:t>.</w:t>
      </w:r>
    </w:p>
    <w:p w:rsidR="00000000" w:rsidRDefault="00C22DFD">
      <w:pPr>
        <w:bidi/>
        <w:spacing w:before="120" w:after="100" w:afterAutospacing="1"/>
        <w:jc w:val="both"/>
        <w:rPr>
          <w:rFonts w:hint="cs"/>
          <w:rtl/>
        </w:rPr>
      </w:pPr>
      <w:r>
        <w:rPr>
          <w:rStyle w:val="Strong"/>
          <w:rFonts w:cs="David" w:hint="cs"/>
          <w:b w:val="0"/>
          <w:rtl/>
        </w:rPr>
        <w:t> </w:t>
      </w:r>
    </w:p>
    <w:p w:rsidR="00000000" w:rsidRDefault="00C22DFD">
      <w:pPr>
        <w:bidi/>
        <w:spacing w:before="120" w:after="100" w:afterAutospacing="1"/>
        <w:jc w:val="both"/>
        <w:rPr>
          <w:rFonts w:hint="cs"/>
          <w:rtl/>
        </w:rPr>
      </w:pPr>
      <w:r>
        <w:rPr>
          <w:rStyle w:val="Strong"/>
          <w:rFonts w:cs="David" w:hint="cs"/>
          <w:b w:val="0"/>
          <w:rtl/>
        </w:rPr>
        <w:t>שירותי העברת עמיתים</w:t>
      </w:r>
    </w:p>
    <w:p w:rsidR="00000000" w:rsidRDefault="00C22DFD">
      <w:pPr>
        <w:numPr>
          <w:ilvl w:val="0"/>
          <w:numId w:val="5"/>
        </w:numPr>
        <w:bidi/>
        <w:spacing w:before="100" w:beforeAutospacing="1" w:after="120"/>
        <w:ind w:left="1440"/>
        <w:jc w:val="both"/>
        <w:rPr>
          <w:rFonts w:eastAsia="Times New Roman" w:hint="cs"/>
          <w:rtl/>
        </w:rPr>
      </w:pPr>
      <w:r>
        <w:rPr>
          <w:rFonts w:eastAsia="Times New Roman" w:cs="David" w:hint="cs"/>
          <w:sz w:val="22"/>
          <w:rtl/>
        </w:rPr>
        <w:t xml:space="preserve">הבנקים ומסב יבצעו כל פעולה הנדרשת כדי לאפשר לכל קופת גמל גישה לשירותי העברת עמיתים המסופקים על ידי מסב. הגישה תינתן בתנאים שאינם גרועים מהתנאים שמעניקה מסב לבנקים. </w:t>
      </w:r>
    </w:p>
    <w:p w:rsidR="00000000" w:rsidRDefault="00C22DFD">
      <w:pPr>
        <w:numPr>
          <w:ilvl w:val="0"/>
          <w:numId w:val="5"/>
        </w:numPr>
        <w:bidi/>
        <w:spacing w:before="100" w:beforeAutospacing="1" w:after="120"/>
        <w:ind w:left="1440"/>
        <w:jc w:val="both"/>
        <w:rPr>
          <w:rFonts w:eastAsia="Times New Roman" w:hint="cs"/>
          <w:rtl/>
        </w:rPr>
      </w:pPr>
      <w:bookmarkStart w:id="7" w:name="_Ref325025213"/>
      <w:r>
        <w:rPr>
          <w:rFonts w:eastAsia="Times New Roman" w:cs="David" w:hint="cs"/>
          <w:sz w:val="22"/>
          <w:rtl/>
        </w:rPr>
        <w:t xml:space="preserve">מסב לא תגבה </w:t>
      </w:r>
      <w:r>
        <w:rPr>
          <w:rFonts w:eastAsia="Times New Roman" w:cs="David" w:hint="cs"/>
          <w:sz w:val="22"/>
          <w:rtl/>
        </w:rPr>
        <w:t>עמלות שונות מהקופה המעבירה ומהקופה המקבלת, אלא ככל שקיימים הבדלים בעלויות הכרוכות במתן שירותים אלה, ורק לאחר שהציגה את העלויות בפני הממונה על הגבלים עסקיים וקיבלה את אישורו.</w:t>
      </w:r>
      <w:bookmarkEnd w:id="7"/>
      <w:r>
        <w:rPr>
          <w:rFonts w:eastAsia="Times New Roman" w:cs="David" w:hint="cs"/>
          <w:sz w:val="22"/>
          <w:rtl/>
        </w:rPr>
        <w:t xml:space="preserve"> </w:t>
      </w:r>
    </w:p>
    <w:p w:rsidR="00000000" w:rsidRDefault="00C22DFD">
      <w:pPr>
        <w:pStyle w:val="Heading4"/>
        <w:tabs>
          <w:tab w:val="left" w:pos="720"/>
        </w:tabs>
        <w:bidi/>
        <w:spacing w:before="240" w:beforeAutospacing="0" w:after="60" w:afterAutospacing="0"/>
        <w:ind w:right="389"/>
        <w:jc w:val="both"/>
        <w:rPr>
          <w:rFonts w:eastAsia="Times New Roman" w:hint="cs"/>
          <w:rtl/>
        </w:rPr>
      </w:pPr>
      <w:r>
        <w:rPr>
          <w:rFonts w:eastAsia="Times New Roman" w:cs="David" w:hint="cs"/>
          <w:rtl/>
        </w:rPr>
        <w:t> </w:t>
      </w:r>
    </w:p>
    <w:p w:rsidR="00000000" w:rsidRDefault="00C22DFD">
      <w:pPr>
        <w:pStyle w:val="Heading4"/>
        <w:tabs>
          <w:tab w:val="left" w:pos="720"/>
        </w:tabs>
        <w:bidi/>
        <w:spacing w:before="240" w:beforeAutospacing="0" w:after="60" w:afterAutospacing="0"/>
        <w:ind w:right="389"/>
        <w:jc w:val="both"/>
        <w:rPr>
          <w:rFonts w:eastAsia="Times New Roman" w:hint="cs"/>
          <w:rtl/>
        </w:rPr>
      </w:pPr>
      <w:r>
        <w:rPr>
          <w:rFonts w:eastAsia="Times New Roman" w:cs="David" w:hint="cs"/>
          <w:rtl/>
        </w:rPr>
        <w:t>הצגת מידע ללקוח בדבר עמלות מסב</w:t>
      </w:r>
    </w:p>
    <w:p w:rsidR="00000000" w:rsidRDefault="00C22DFD">
      <w:pPr>
        <w:numPr>
          <w:ilvl w:val="0"/>
          <w:numId w:val="6"/>
        </w:numPr>
        <w:bidi/>
        <w:spacing w:before="100" w:beforeAutospacing="1" w:after="120"/>
        <w:ind w:left="1440"/>
        <w:jc w:val="both"/>
        <w:rPr>
          <w:rFonts w:eastAsia="Times New Roman" w:hint="cs"/>
          <w:rtl/>
        </w:rPr>
      </w:pPr>
      <w:bookmarkStart w:id="8" w:name="_Ref11728266"/>
      <w:r>
        <w:rPr>
          <w:rFonts w:eastAsia="Times New Roman" w:cs="David" w:hint="cs"/>
          <w:sz w:val="22"/>
          <w:rtl/>
        </w:rPr>
        <w:t xml:space="preserve">ככל שיגבו הבנקים </w:t>
      </w:r>
      <w:r>
        <w:rPr>
          <w:rFonts w:eastAsia="Times New Roman" w:cs="David" w:hint="cs"/>
          <w:sz w:val="22"/>
          <w:rtl/>
        </w:rPr>
        <w:t>מלקוחותיהם עמלה בגין שירותים בגינם משלמים הבנקים עמלה למסב, יציגו הבנקים לכל לקוח ולקוח מידע מלא בכתב.</w:t>
      </w:r>
      <w:bookmarkEnd w:id="8"/>
    </w:p>
    <w:p w:rsidR="00000000" w:rsidRDefault="00C22DFD">
      <w:pPr>
        <w:numPr>
          <w:ilvl w:val="0"/>
          <w:numId w:val="6"/>
        </w:numPr>
        <w:bidi/>
        <w:spacing w:before="100" w:beforeAutospacing="1" w:after="120"/>
        <w:ind w:left="1440"/>
        <w:jc w:val="both"/>
        <w:rPr>
          <w:rFonts w:eastAsia="Times New Roman" w:hint="cs"/>
          <w:rtl/>
        </w:rPr>
      </w:pPr>
      <w:r>
        <w:rPr>
          <w:rFonts w:eastAsia="Times New Roman" w:cs="David" w:hint="cs"/>
          <w:sz w:val="22"/>
          <w:rtl/>
        </w:rPr>
        <w:t>לעניין זה הצגת "מידע מלא" - פירוט של העמלה שהבנק חויב בה על ידי מסב.</w:t>
      </w:r>
    </w:p>
    <w:p w:rsidR="00000000" w:rsidRDefault="00C22DFD">
      <w:pPr>
        <w:bidi/>
        <w:spacing w:before="100" w:beforeAutospacing="1" w:after="120"/>
        <w:rPr>
          <w:rFonts w:hint="cs"/>
          <w:rtl/>
        </w:rPr>
      </w:pPr>
      <w:r>
        <w:rPr>
          <w:rStyle w:val="Strong"/>
          <w:rFonts w:cs="David" w:hint="cs"/>
          <w:rtl/>
        </w:rPr>
        <w:t> </w:t>
      </w:r>
    </w:p>
    <w:p w:rsidR="00000000" w:rsidRDefault="00C22DFD">
      <w:pPr>
        <w:bidi/>
        <w:spacing w:before="100" w:beforeAutospacing="1" w:after="120"/>
        <w:rPr>
          <w:rFonts w:hint="cs"/>
          <w:rtl/>
        </w:rPr>
      </w:pPr>
      <w:r>
        <w:rPr>
          <w:rStyle w:val="Strong"/>
          <w:rFonts w:cs="David" w:hint="cs"/>
          <w:rtl/>
        </w:rPr>
        <w:t>איסור על גביית דמי התחברות</w:t>
      </w:r>
    </w:p>
    <w:p w:rsidR="00000000" w:rsidRDefault="00C22DFD">
      <w:pPr>
        <w:numPr>
          <w:ilvl w:val="0"/>
          <w:numId w:val="7"/>
        </w:numPr>
        <w:bidi/>
        <w:spacing w:before="100" w:beforeAutospacing="1" w:after="120"/>
        <w:ind w:left="1440"/>
        <w:jc w:val="both"/>
        <w:rPr>
          <w:rFonts w:eastAsia="Times New Roman" w:hint="cs"/>
          <w:rtl/>
        </w:rPr>
      </w:pPr>
      <w:r>
        <w:rPr>
          <w:rFonts w:eastAsia="Times New Roman" w:cs="David" w:hint="cs"/>
          <w:rtl/>
        </w:rPr>
        <w:t>מסב אינה רשאית לגבות כל תשלום בגין התחברות מאדם שיבקש ל</w:t>
      </w:r>
      <w:r>
        <w:rPr>
          <w:rFonts w:eastAsia="Times New Roman" w:cs="David" w:hint="cs"/>
          <w:rtl/>
        </w:rPr>
        <w:t xml:space="preserve">עשות שימוש במערכת למתן לשירותי </w:t>
      </w:r>
      <w:r>
        <w:rPr>
          <w:rFonts w:eastAsia="Times New Roman" w:cs="David" w:hint="cs"/>
          <w:sz w:val="22"/>
          <w:rtl/>
        </w:rPr>
        <w:t>סליקת חיובים וזיכויים, שירותי מיתוג למאגרי מידע, שירותי העברת ממסרים</w:t>
      </w:r>
      <w:r>
        <w:rPr>
          <w:rFonts w:eastAsia="Times New Roman" w:cs="David" w:hint="cs"/>
          <w:rtl/>
        </w:rPr>
        <w:t xml:space="preserve"> ושירותי העברת עמיתים (להלן: "</w:t>
      </w:r>
      <w:r>
        <w:rPr>
          <w:rStyle w:val="Strong"/>
          <w:rFonts w:eastAsia="Times New Roman" w:cs="David" w:hint="cs"/>
          <w:b w:val="0"/>
          <w:rtl/>
        </w:rPr>
        <w:t>המערכות</w:t>
      </w:r>
      <w:r>
        <w:rPr>
          <w:rFonts w:eastAsia="Times New Roman" w:cs="David" w:hint="cs"/>
          <w:rtl/>
        </w:rPr>
        <w:t>") בכלל זה לא תהיה מסב רשאית לגבות תשלום עבור עלויות שנשאה בעבר.</w:t>
      </w:r>
    </w:p>
    <w:p w:rsidR="00000000" w:rsidRDefault="00C22DFD">
      <w:pPr>
        <w:numPr>
          <w:ilvl w:val="0"/>
          <w:numId w:val="7"/>
        </w:numPr>
        <w:bidi/>
        <w:spacing w:before="100" w:beforeAutospacing="1" w:after="120"/>
        <w:ind w:left="1440"/>
        <w:jc w:val="both"/>
        <w:rPr>
          <w:rFonts w:eastAsia="Times New Roman" w:hint="cs"/>
          <w:rtl/>
        </w:rPr>
      </w:pPr>
      <w:r>
        <w:rPr>
          <w:rFonts w:eastAsia="Times New Roman" w:cs="David" w:hint="cs"/>
          <w:rtl/>
        </w:rPr>
        <w:t xml:space="preserve">עד למתן הכרעה אחרת של הממונה על הגבלים עסקיים מסב תהיה </w:t>
      </w:r>
      <w:r>
        <w:rPr>
          <w:rFonts w:eastAsia="Times New Roman" w:cs="David" w:hint="cs"/>
          <w:rtl/>
        </w:rPr>
        <w:t xml:space="preserve">רשאית לגבות את העלויות התוספתיות שיהיו כרוכות במתן גישה כאמור בפסקאות </w:t>
      </w:r>
      <w:r>
        <w:rPr>
          <w:rFonts w:ascii="David" w:eastAsia="Times New Roman" w:hAnsi="David" w:cs="David" w:hint="cs"/>
        </w:rPr>
        <w:t>‎11</w:t>
      </w:r>
      <w:r>
        <w:rPr>
          <w:rFonts w:eastAsia="Times New Roman" w:cs="David" w:hint="cs"/>
          <w:rtl/>
        </w:rPr>
        <w:t xml:space="preserve"> - </w:t>
      </w:r>
      <w:r>
        <w:rPr>
          <w:rFonts w:eastAsia="Times New Roman" w:cs="David" w:hint="cs"/>
        </w:rPr>
        <w:t>‎16</w:t>
      </w:r>
      <w:r>
        <w:rPr>
          <w:rStyle w:val="Strong"/>
          <w:rFonts w:eastAsia="Times New Roman" w:cs="David" w:hint="cs"/>
          <w:rtl/>
        </w:rPr>
        <w:t xml:space="preserve"> </w:t>
      </w:r>
      <w:r>
        <w:rPr>
          <w:rFonts w:eastAsia="Times New Roman" w:cs="David" w:hint="cs"/>
          <w:rtl/>
        </w:rPr>
        <w:t>לעיל למערכות, ואשר ינבעו באופן ישיר מביצוע ההתאמות הנדרשות במערכות בלבד. ככל שיבקש אדם לקבל גישה כאמור, תציג מסב בפניו ובפני הממונה פירוט מדויק של האופן בו חושבה עלות מתן הגישה</w:t>
      </w:r>
      <w:r>
        <w:rPr>
          <w:rFonts w:eastAsia="Times New Roman" w:cs="David" w:hint="cs"/>
          <w:rtl/>
        </w:rPr>
        <w:t xml:space="preserve">. </w:t>
      </w:r>
      <w:r>
        <w:rPr>
          <w:rStyle w:val="Strong"/>
          <w:rFonts w:eastAsia="Times New Roman" w:cs="David" w:hint="cs"/>
          <w:rtl/>
        </w:rPr>
        <w:t xml:space="preserve"> </w:t>
      </w:r>
    </w:p>
    <w:p w:rsidR="00000000" w:rsidRDefault="00C22DFD">
      <w:pPr>
        <w:bidi/>
        <w:spacing w:before="100" w:beforeAutospacing="1" w:after="120"/>
        <w:rPr>
          <w:rFonts w:hint="cs"/>
          <w:rtl/>
        </w:rPr>
      </w:pPr>
      <w:r>
        <w:rPr>
          <w:rStyle w:val="Strong"/>
          <w:rFonts w:cs="David" w:hint="cs"/>
          <w:rtl/>
        </w:rPr>
        <w:t> </w:t>
      </w:r>
    </w:p>
    <w:p w:rsidR="00000000" w:rsidRDefault="00C22DFD">
      <w:pPr>
        <w:bidi/>
        <w:spacing w:before="100" w:beforeAutospacing="1" w:after="120"/>
        <w:rPr>
          <w:rFonts w:hint="cs"/>
          <w:rtl/>
        </w:rPr>
      </w:pPr>
      <w:r>
        <w:rPr>
          <w:rStyle w:val="Strong"/>
          <w:rFonts w:cs="David" w:hint="cs"/>
          <w:rtl/>
        </w:rPr>
        <w:t>כללי</w:t>
      </w:r>
    </w:p>
    <w:p w:rsidR="00000000" w:rsidRDefault="00C22DFD">
      <w:pPr>
        <w:numPr>
          <w:ilvl w:val="0"/>
          <w:numId w:val="8"/>
        </w:numPr>
        <w:bidi/>
        <w:spacing w:before="100" w:beforeAutospacing="1" w:after="120"/>
        <w:ind w:left="1440"/>
        <w:jc w:val="both"/>
        <w:rPr>
          <w:rFonts w:eastAsia="Times New Roman" w:hint="cs"/>
          <w:rtl/>
        </w:rPr>
      </w:pPr>
      <w:r>
        <w:rPr>
          <w:rFonts w:eastAsia="Times New Roman" w:cs="David" w:hint="cs"/>
          <w:rtl/>
        </w:rPr>
        <w:t xml:space="preserve">הבנקים ומסב יעמידו לרשות כל אדם כל מידע הנחוץ באופן סביר כדי לוודא כי התנאים המפורטים לעיל אכן מתקיימים בתחום פעילותו של מבקש המידע. </w:t>
      </w:r>
    </w:p>
    <w:p w:rsidR="00000000" w:rsidRDefault="00C22DFD">
      <w:pPr>
        <w:numPr>
          <w:ilvl w:val="0"/>
          <w:numId w:val="8"/>
        </w:numPr>
        <w:bidi/>
        <w:spacing w:before="100" w:beforeAutospacing="1" w:after="120"/>
        <w:ind w:left="1440"/>
        <w:jc w:val="both"/>
        <w:rPr>
          <w:rFonts w:eastAsia="Times New Roman" w:hint="cs"/>
          <w:rtl/>
        </w:rPr>
      </w:pPr>
      <w:r>
        <w:rPr>
          <w:rFonts w:eastAsia="Times New Roman" w:cs="David" w:hint="cs"/>
          <w:rtl/>
        </w:rPr>
        <w:t xml:space="preserve">הדו"חות הכספיים של מסב ותעריפוני השירותים השונים שמספקת מסב יפורסמו באתר האינטרנט שלה. </w:t>
      </w:r>
    </w:p>
    <w:p w:rsidR="00000000" w:rsidRDefault="00C22DFD">
      <w:pPr>
        <w:numPr>
          <w:ilvl w:val="0"/>
          <w:numId w:val="8"/>
        </w:numPr>
        <w:bidi/>
        <w:spacing w:before="100" w:beforeAutospacing="1" w:after="120"/>
        <w:ind w:left="1440"/>
        <w:jc w:val="both"/>
        <w:rPr>
          <w:rFonts w:eastAsia="Times New Roman" w:hint="cs"/>
          <w:rtl/>
        </w:rPr>
      </w:pPr>
      <w:r>
        <w:rPr>
          <w:rFonts w:eastAsia="Times New Roman" w:cs="David" w:hint="cs"/>
          <w:rtl/>
        </w:rPr>
        <w:t>סעיפים 2 (לעניין האיסור</w:t>
      </w:r>
      <w:r>
        <w:rPr>
          <w:rFonts w:eastAsia="Times New Roman" w:cs="David" w:hint="cs"/>
          <w:rtl/>
        </w:rPr>
        <w:t xml:space="preserve"> על מתן הנחות), </w:t>
      </w:r>
      <w:r>
        <w:rPr>
          <w:rFonts w:ascii="David" w:eastAsia="Times New Roman" w:hAnsi="David" w:cs="David" w:hint="cs"/>
        </w:rPr>
        <w:t>‎12</w:t>
      </w:r>
      <w:r>
        <w:rPr>
          <w:rFonts w:eastAsia="Times New Roman" w:cs="David" w:hint="cs"/>
          <w:rtl/>
        </w:rPr>
        <w:t xml:space="preserve">, לתנאים אלו יחולו החל מיום 1.10.2012. </w:t>
      </w:r>
    </w:p>
    <w:p w:rsidR="00000000" w:rsidRDefault="00C22DFD">
      <w:pPr>
        <w:numPr>
          <w:ilvl w:val="0"/>
          <w:numId w:val="8"/>
        </w:numPr>
        <w:bidi/>
        <w:spacing w:before="100" w:beforeAutospacing="1" w:after="120"/>
        <w:ind w:left="1440"/>
        <w:jc w:val="both"/>
        <w:rPr>
          <w:rFonts w:eastAsia="Times New Roman" w:hint="cs"/>
          <w:rtl/>
        </w:rPr>
      </w:pPr>
      <w:r>
        <w:rPr>
          <w:rFonts w:eastAsia="Times New Roman" w:cs="David" w:hint="cs"/>
          <w:rtl/>
        </w:rPr>
        <w:t>התעורר ספק בדבר פרשנותם או תחולתם של תנאים אלה - יובא הדבר להכרעת הממונה.</w:t>
      </w:r>
    </w:p>
    <w:p w:rsidR="00000000" w:rsidRDefault="00C22DFD">
      <w:pPr>
        <w:numPr>
          <w:ilvl w:val="0"/>
          <w:numId w:val="8"/>
        </w:numPr>
        <w:bidi/>
        <w:spacing w:before="100" w:beforeAutospacing="1" w:after="120"/>
        <w:ind w:left="1440"/>
        <w:jc w:val="both"/>
        <w:rPr>
          <w:rFonts w:eastAsia="Times New Roman" w:hint="cs"/>
          <w:rtl/>
        </w:rPr>
      </w:pPr>
      <w:r>
        <w:rPr>
          <w:rFonts w:eastAsia="Times New Roman" w:cs="David" w:hint="cs"/>
          <w:rtl/>
        </w:rPr>
        <w:lastRenderedPageBreak/>
        <w:t xml:space="preserve">כל ספק בדבר תחולתם של תנאים אלה, פרשנותם או בדבר דרך יישומם - יובא להכרעת הממונה.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xml:space="preserve">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עליו ניתן הפטור.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00" w:beforeAutospacing="1" w:after="100" w:afterAutospacing="1"/>
        <w:ind w:left="5045"/>
        <w:jc w:val="center"/>
        <w:rPr>
          <w:rFonts w:hint="cs"/>
          <w:rtl/>
        </w:rPr>
      </w:pPr>
      <w:r>
        <w:rPr>
          <w:rFonts w:cs="David" w:hint="cs"/>
          <w:sz w:val="22"/>
          <w:rtl/>
        </w:rPr>
        <w:t>פרופ' דיויד גילה</w:t>
      </w:r>
    </w:p>
    <w:p w:rsidR="00000000" w:rsidRDefault="00C22DFD">
      <w:pPr>
        <w:bidi/>
        <w:spacing w:before="100" w:beforeAutospacing="1" w:after="100" w:afterAutospacing="1"/>
        <w:ind w:left="5045"/>
        <w:jc w:val="center"/>
        <w:rPr>
          <w:rFonts w:hint="cs"/>
          <w:rtl/>
        </w:rPr>
      </w:pPr>
      <w:r>
        <w:rPr>
          <w:rFonts w:cs="David" w:hint="cs"/>
          <w:sz w:val="22"/>
          <w:rtl/>
        </w:rPr>
        <w:t>הממונה על ההגבלים העסקיים</w:t>
      </w:r>
    </w:p>
    <w:p w:rsidR="00000000" w:rsidRDefault="00C22DFD">
      <w:pPr>
        <w:bidi/>
        <w:spacing w:before="100" w:beforeAutospacing="1" w:after="100" w:afterAutospacing="1"/>
        <w:ind w:left="5045"/>
        <w:jc w:val="center"/>
        <w:rPr>
          <w:rFonts w:hint="cs"/>
          <w:rtl/>
        </w:rPr>
      </w:pPr>
      <w:r>
        <w:rPr>
          <w:rFonts w:cs="David" w:hint="cs"/>
          <w:sz w:val="22"/>
          <w:rtl/>
        </w:rPr>
        <w:t> </w:t>
      </w:r>
    </w:p>
    <w:p w:rsidR="00000000" w:rsidRDefault="00C22DFD">
      <w:pPr>
        <w:bidi/>
        <w:spacing w:before="100" w:beforeAutospacing="1" w:after="100" w:afterAutospacing="1"/>
        <w:jc w:val="both"/>
        <w:rPr>
          <w:rFonts w:hint="cs"/>
          <w:rtl/>
        </w:rPr>
      </w:pPr>
      <w:r>
        <w:rPr>
          <w:rFonts w:cs="David" w:hint="cs"/>
          <w:sz w:val="22"/>
          <w:rtl/>
        </w:rPr>
        <w:t>ירושלים, ‏ ‏א' בסיוון תשע"ב</w:t>
      </w:r>
    </w:p>
    <w:p w:rsidR="00000000" w:rsidRDefault="00C22DFD">
      <w:pPr>
        <w:bidi/>
        <w:spacing w:before="100" w:beforeAutospacing="1" w:after="100" w:afterAutospacing="1"/>
        <w:jc w:val="both"/>
        <w:rPr>
          <w:rFonts w:hint="cs"/>
          <w:rtl/>
        </w:rPr>
      </w:pPr>
      <w:r>
        <w:rPr>
          <w:rFonts w:cs="David" w:hint="cs"/>
          <w:sz w:val="22"/>
          <w:rtl/>
        </w:rPr>
        <w:t xml:space="preserve"> </w:t>
      </w:r>
      <w:r>
        <w:rPr>
          <w:rFonts w:cs="David" w:hint="cs"/>
          <w:sz w:val="22"/>
          <w:rtl/>
        </w:rPr>
        <w:t xml:space="preserve">                22 במאי 2012</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00" w:beforeAutospacing="1" w:after="120"/>
        <w:jc w:val="center"/>
        <w:rPr>
          <w:rFonts w:hint="cs"/>
          <w:rtl/>
        </w:rPr>
      </w:pPr>
      <w:r>
        <w:rPr>
          <w:rFonts w:eastAsia="Times New Roman" w:cs="David" w:hint="cs"/>
          <w:bCs/>
          <w:u w:val="single"/>
          <w:rtl/>
        </w:rPr>
        <w:br w:type="page"/>
      </w:r>
      <w:r>
        <w:rPr>
          <w:rStyle w:val="Strong"/>
          <w:rFonts w:cs="David" w:hint="cs"/>
          <w:b w:val="0"/>
          <w:u w:val="single"/>
          <w:rtl/>
        </w:rPr>
        <w:lastRenderedPageBreak/>
        <w:t>נספח א'</w:t>
      </w:r>
    </w:p>
    <w:p w:rsidR="00000000" w:rsidRDefault="00C22DFD">
      <w:pPr>
        <w:bidi/>
        <w:spacing w:before="100" w:beforeAutospacing="1" w:after="120"/>
        <w:rPr>
          <w:rFonts w:hint="cs"/>
          <w:rtl/>
        </w:rPr>
      </w:pPr>
      <w:r>
        <w:rPr>
          <w:rFonts w:cs="David" w:hint="cs"/>
          <w:rtl/>
        </w:rPr>
        <w:t>אני החתום/ה מטה, ......................., נושא/ת ת.ז. שמספרה ....................., המשמש/ת כ.........................  , מצהיר/ה בזה ומתחייב/ת כדלקמן:</w:t>
      </w:r>
    </w:p>
    <w:p w:rsidR="00000000" w:rsidRDefault="00C22DFD">
      <w:pPr>
        <w:bidi/>
        <w:spacing w:before="100" w:beforeAutospacing="1" w:after="120"/>
        <w:rPr>
          <w:rFonts w:hint="cs"/>
          <w:rtl/>
        </w:rPr>
      </w:pPr>
      <w:r>
        <w:rPr>
          <w:rFonts w:cs="David" w:hint="cs"/>
          <w:rtl/>
        </w:rPr>
        <w:t> </w:t>
      </w:r>
    </w:p>
    <w:p w:rsidR="00000000" w:rsidRDefault="00C22DFD">
      <w:pPr>
        <w:bidi/>
        <w:spacing w:after="120"/>
        <w:ind w:left="500" w:hanging="360"/>
        <w:jc w:val="both"/>
        <w:rPr>
          <w:rFonts w:hint="cs"/>
          <w:rtl/>
        </w:rPr>
      </w:pPr>
      <w:r>
        <w:rPr>
          <w:rFonts w:hint="cs"/>
          <w:rtl/>
        </w:rPr>
        <w:t>1.</w:t>
      </w:r>
      <w:r>
        <w:rPr>
          <w:sz w:val="14"/>
          <w:szCs w:val="14"/>
          <w:rtl/>
        </w:rPr>
        <w:t xml:space="preserve">       </w:t>
      </w:r>
      <w:r>
        <w:rPr>
          <w:rFonts w:cs="David" w:hint="cs"/>
          <w:rtl/>
        </w:rPr>
        <w:t>קראתי במלואם את תנאי הממונה על הגבלים עסקיים למתן פטור מאישור בית הדין להסדר שעניינו – מרכז סליקה בנקאי בע"מ (תיק פטור 8676).</w:t>
      </w:r>
    </w:p>
    <w:p w:rsidR="00000000" w:rsidRDefault="00C22DFD">
      <w:pPr>
        <w:bidi/>
        <w:spacing w:after="120"/>
        <w:ind w:left="500" w:hanging="360"/>
        <w:jc w:val="both"/>
        <w:rPr>
          <w:rFonts w:hint="cs"/>
          <w:rtl/>
        </w:rPr>
      </w:pPr>
      <w:r>
        <w:rPr>
          <w:rFonts w:hint="cs"/>
          <w:rtl/>
        </w:rPr>
        <w:t>2.</w:t>
      </w:r>
      <w:r>
        <w:rPr>
          <w:sz w:val="14"/>
          <w:szCs w:val="14"/>
          <w:rtl/>
        </w:rPr>
        <w:t xml:space="preserve">       </w:t>
      </w:r>
      <w:r>
        <w:rPr>
          <w:rFonts w:cs="David" w:hint="cs"/>
          <w:rtl/>
        </w:rPr>
        <w:t>אני מודע/ת לכך כי קיום דווקני של כל התנאים הללו הוא הבסיס לקבלת פטור הממונה על הגבלים עסקיים להסדר זה.</w:t>
      </w:r>
    </w:p>
    <w:p w:rsidR="00000000" w:rsidRDefault="00C22DFD">
      <w:pPr>
        <w:bidi/>
        <w:spacing w:after="120"/>
        <w:ind w:left="500" w:hanging="360"/>
        <w:jc w:val="both"/>
        <w:rPr>
          <w:rFonts w:hint="cs"/>
          <w:rtl/>
        </w:rPr>
      </w:pPr>
      <w:r>
        <w:rPr>
          <w:rFonts w:hint="cs"/>
          <w:rtl/>
        </w:rPr>
        <w:t>3.</w:t>
      </w:r>
      <w:r>
        <w:rPr>
          <w:sz w:val="14"/>
          <w:szCs w:val="14"/>
          <w:rtl/>
        </w:rPr>
        <w:t xml:space="preserve">       </w:t>
      </w:r>
      <w:r>
        <w:rPr>
          <w:rFonts w:cs="David" w:hint="cs"/>
          <w:rtl/>
        </w:rPr>
        <w:t>ידוע לי כ</w:t>
      </w:r>
      <w:r>
        <w:rPr>
          <w:rFonts w:cs="David" w:hint="cs"/>
          <w:rtl/>
        </w:rPr>
        <w:t xml:space="preserve">י הפרת התנאים הנזכרים מהווה עבירה פלילית על פי חוק ההגבלים העסקיים, התשמ"ח - 1988, שעונשה עד שלוש שנות מאסר. </w:t>
      </w:r>
    </w:p>
    <w:p w:rsidR="00000000" w:rsidRDefault="00C22DFD">
      <w:pPr>
        <w:bidi/>
        <w:spacing w:after="120"/>
        <w:ind w:left="500" w:hanging="360"/>
        <w:jc w:val="both"/>
        <w:rPr>
          <w:rFonts w:hint="cs"/>
          <w:rtl/>
        </w:rPr>
      </w:pPr>
      <w:r>
        <w:rPr>
          <w:rFonts w:hint="cs"/>
          <w:rtl/>
        </w:rPr>
        <w:t>4.</w:t>
      </w:r>
      <w:r>
        <w:rPr>
          <w:sz w:val="14"/>
          <w:szCs w:val="14"/>
          <w:rtl/>
        </w:rPr>
        <w:t xml:space="preserve">       </w:t>
      </w:r>
      <w:r>
        <w:rPr>
          <w:rFonts w:cs="David" w:hint="cs"/>
          <w:rtl/>
        </w:rPr>
        <w:t>אני מתחייב/ת כי במסגרת תפקידי לא אתן ידי, במעשה או במחדל, להפרת תנאי מתנאים אלה.</w:t>
      </w:r>
    </w:p>
    <w:p w:rsidR="00000000" w:rsidRDefault="00C22DFD">
      <w:pPr>
        <w:bidi/>
        <w:spacing w:before="100" w:beforeAutospacing="1" w:after="120"/>
        <w:rPr>
          <w:rFonts w:hint="cs"/>
          <w:rtl/>
        </w:rPr>
      </w:pPr>
      <w:r>
        <w:rPr>
          <w:rFonts w:cs="David" w:hint="cs"/>
          <w:rtl/>
        </w:rPr>
        <w:t> </w:t>
      </w:r>
    </w:p>
    <w:tbl>
      <w:tblPr>
        <w:tblStyle w:val="a"/>
        <w:bidiVisual/>
        <w:tblW w:w="0" w:type="auto"/>
        <w:jc w:val="center"/>
        <w:tblInd w:w="0" w:type="dxa"/>
        <w:tblLook w:val="04A0" w:firstRow="1" w:lastRow="0" w:firstColumn="1" w:lastColumn="0" w:noHBand="0" w:noVBand="1"/>
      </w:tblPr>
      <w:tblGrid>
        <w:gridCol w:w="1668"/>
        <w:gridCol w:w="1652"/>
        <w:gridCol w:w="1663"/>
        <w:gridCol w:w="1653"/>
        <w:gridCol w:w="1670"/>
      </w:tblGrid>
      <w:tr w:rsidR="00000000">
        <w:trPr>
          <w:jc w:val="center"/>
        </w:trPr>
        <w:tc>
          <w:tcPr>
            <w:tcW w:w="1705" w:type="dxa"/>
            <w:tcBorders>
              <w:top w:val="nil"/>
              <w:left w:val="nil"/>
              <w:bottom w:val="single" w:sz="4" w:space="0" w:color="auto"/>
              <w:right w:val="nil"/>
            </w:tcBorders>
            <w:hideMark/>
          </w:tcPr>
          <w:p w:rsidR="00000000" w:rsidRDefault="00C22DFD">
            <w:pPr>
              <w:bidi/>
              <w:spacing w:before="100" w:beforeAutospacing="1" w:after="120"/>
              <w:rPr>
                <w:rFonts w:hint="cs"/>
                <w:sz w:val="20"/>
                <w:szCs w:val="20"/>
                <w:rtl/>
              </w:rPr>
            </w:pPr>
            <w:r>
              <w:rPr>
                <w:rFonts w:cs="David"/>
                <w:sz w:val="20"/>
                <w:szCs w:val="20"/>
              </w:rPr>
              <w:t> </w:t>
            </w:r>
          </w:p>
        </w:tc>
        <w:tc>
          <w:tcPr>
            <w:tcW w:w="1705" w:type="dxa"/>
            <w:hideMark/>
          </w:tcPr>
          <w:p w:rsidR="00000000" w:rsidRDefault="00C22DFD">
            <w:pPr>
              <w:bidi/>
              <w:spacing w:before="100" w:beforeAutospacing="1" w:after="120"/>
              <w:rPr>
                <w:sz w:val="20"/>
                <w:szCs w:val="20"/>
                <w:rtl/>
              </w:rPr>
            </w:pPr>
            <w:r>
              <w:rPr>
                <w:rFonts w:cs="David"/>
                <w:sz w:val="20"/>
                <w:szCs w:val="20"/>
              </w:rPr>
              <w:t> </w:t>
            </w:r>
          </w:p>
        </w:tc>
        <w:tc>
          <w:tcPr>
            <w:tcW w:w="1706" w:type="dxa"/>
            <w:tcBorders>
              <w:top w:val="nil"/>
              <w:left w:val="nil"/>
              <w:bottom w:val="single" w:sz="4" w:space="0" w:color="auto"/>
              <w:right w:val="nil"/>
            </w:tcBorders>
            <w:hideMark/>
          </w:tcPr>
          <w:p w:rsidR="00000000" w:rsidRDefault="00C22DFD">
            <w:pPr>
              <w:bidi/>
              <w:spacing w:before="100" w:beforeAutospacing="1" w:after="120"/>
              <w:rPr>
                <w:sz w:val="20"/>
                <w:szCs w:val="20"/>
                <w:rtl/>
              </w:rPr>
            </w:pPr>
            <w:r>
              <w:rPr>
                <w:rFonts w:cs="David"/>
                <w:sz w:val="20"/>
                <w:szCs w:val="20"/>
              </w:rPr>
              <w:t> </w:t>
            </w:r>
          </w:p>
        </w:tc>
        <w:tc>
          <w:tcPr>
            <w:tcW w:w="1706" w:type="dxa"/>
            <w:hideMark/>
          </w:tcPr>
          <w:p w:rsidR="00000000" w:rsidRDefault="00C22DFD">
            <w:pPr>
              <w:bidi/>
              <w:spacing w:before="100" w:beforeAutospacing="1" w:after="120"/>
              <w:rPr>
                <w:sz w:val="20"/>
                <w:szCs w:val="20"/>
                <w:rtl/>
              </w:rPr>
            </w:pPr>
            <w:r>
              <w:rPr>
                <w:rFonts w:cs="David"/>
                <w:sz w:val="20"/>
                <w:szCs w:val="20"/>
              </w:rPr>
              <w:t> </w:t>
            </w:r>
          </w:p>
        </w:tc>
        <w:tc>
          <w:tcPr>
            <w:tcW w:w="1706" w:type="dxa"/>
            <w:tcBorders>
              <w:top w:val="nil"/>
              <w:left w:val="nil"/>
              <w:bottom w:val="single" w:sz="4" w:space="0" w:color="auto"/>
              <w:right w:val="nil"/>
            </w:tcBorders>
            <w:hideMark/>
          </w:tcPr>
          <w:p w:rsidR="00000000" w:rsidRDefault="00C22DFD">
            <w:pPr>
              <w:bidi/>
              <w:spacing w:before="100" w:beforeAutospacing="1" w:after="120"/>
              <w:rPr>
                <w:sz w:val="20"/>
                <w:szCs w:val="20"/>
                <w:rtl/>
              </w:rPr>
            </w:pPr>
            <w:r>
              <w:rPr>
                <w:rFonts w:cs="David"/>
                <w:sz w:val="20"/>
                <w:szCs w:val="20"/>
              </w:rPr>
              <w:t> </w:t>
            </w:r>
          </w:p>
        </w:tc>
      </w:tr>
      <w:tr w:rsidR="00000000">
        <w:trPr>
          <w:jc w:val="center"/>
        </w:trPr>
        <w:tc>
          <w:tcPr>
            <w:tcW w:w="1705" w:type="dxa"/>
            <w:tcBorders>
              <w:top w:val="single" w:sz="4" w:space="0" w:color="auto"/>
              <w:left w:val="nil"/>
              <w:bottom w:val="nil"/>
              <w:right w:val="nil"/>
            </w:tcBorders>
            <w:hideMark/>
          </w:tcPr>
          <w:p w:rsidR="00000000" w:rsidRDefault="00C22DFD">
            <w:pPr>
              <w:bidi/>
              <w:spacing w:before="100" w:beforeAutospacing="1" w:after="120"/>
              <w:rPr>
                <w:sz w:val="20"/>
                <w:szCs w:val="20"/>
                <w:rtl/>
              </w:rPr>
            </w:pPr>
            <w:r>
              <w:rPr>
                <w:rFonts w:cs="David" w:hint="cs"/>
                <w:sz w:val="20"/>
                <w:szCs w:val="20"/>
                <w:rtl/>
              </w:rPr>
              <w:t>תאריך</w:t>
            </w:r>
          </w:p>
        </w:tc>
        <w:tc>
          <w:tcPr>
            <w:tcW w:w="1705" w:type="dxa"/>
            <w:hideMark/>
          </w:tcPr>
          <w:p w:rsidR="00000000" w:rsidRDefault="00C22DFD">
            <w:pPr>
              <w:bidi/>
              <w:spacing w:before="100" w:beforeAutospacing="1" w:after="120"/>
              <w:rPr>
                <w:sz w:val="20"/>
                <w:szCs w:val="20"/>
                <w:rtl/>
              </w:rPr>
            </w:pPr>
            <w:r>
              <w:rPr>
                <w:rFonts w:cs="David"/>
                <w:sz w:val="20"/>
                <w:szCs w:val="20"/>
              </w:rPr>
              <w:t> </w:t>
            </w:r>
          </w:p>
        </w:tc>
        <w:tc>
          <w:tcPr>
            <w:tcW w:w="1706" w:type="dxa"/>
            <w:tcBorders>
              <w:top w:val="single" w:sz="4" w:space="0" w:color="auto"/>
              <w:left w:val="nil"/>
              <w:bottom w:val="nil"/>
              <w:right w:val="nil"/>
            </w:tcBorders>
            <w:hideMark/>
          </w:tcPr>
          <w:p w:rsidR="00000000" w:rsidRDefault="00C22DFD">
            <w:pPr>
              <w:bidi/>
              <w:spacing w:before="100" w:beforeAutospacing="1" w:after="120"/>
              <w:rPr>
                <w:sz w:val="20"/>
                <w:szCs w:val="20"/>
                <w:rtl/>
              </w:rPr>
            </w:pPr>
            <w:r>
              <w:rPr>
                <w:rFonts w:cs="David" w:hint="cs"/>
                <w:sz w:val="20"/>
                <w:szCs w:val="20"/>
                <w:rtl/>
              </w:rPr>
              <w:t>שם מלא</w:t>
            </w:r>
          </w:p>
        </w:tc>
        <w:tc>
          <w:tcPr>
            <w:tcW w:w="1706" w:type="dxa"/>
            <w:hideMark/>
          </w:tcPr>
          <w:p w:rsidR="00000000" w:rsidRDefault="00C22DFD">
            <w:pPr>
              <w:bidi/>
              <w:spacing w:before="100" w:beforeAutospacing="1" w:after="120"/>
              <w:rPr>
                <w:sz w:val="20"/>
                <w:szCs w:val="20"/>
                <w:rtl/>
              </w:rPr>
            </w:pPr>
            <w:r>
              <w:rPr>
                <w:rFonts w:cs="David"/>
                <w:sz w:val="20"/>
                <w:szCs w:val="20"/>
              </w:rPr>
              <w:t> </w:t>
            </w:r>
          </w:p>
        </w:tc>
        <w:tc>
          <w:tcPr>
            <w:tcW w:w="1706" w:type="dxa"/>
            <w:tcBorders>
              <w:top w:val="single" w:sz="4" w:space="0" w:color="auto"/>
              <w:left w:val="nil"/>
              <w:bottom w:val="nil"/>
              <w:right w:val="nil"/>
            </w:tcBorders>
            <w:hideMark/>
          </w:tcPr>
          <w:p w:rsidR="00000000" w:rsidRDefault="00C22DFD">
            <w:pPr>
              <w:bidi/>
              <w:spacing w:before="100" w:beforeAutospacing="1" w:after="120"/>
              <w:rPr>
                <w:sz w:val="20"/>
                <w:szCs w:val="20"/>
                <w:rtl/>
              </w:rPr>
            </w:pPr>
            <w:r>
              <w:rPr>
                <w:rFonts w:cs="David" w:hint="cs"/>
                <w:sz w:val="20"/>
                <w:szCs w:val="20"/>
                <w:rtl/>
              </w:rPr>
              <w:t>חתימה</w:t>
            </w:r>
          </w:p>
        </w:tc>
      </w:tr>
    </w:tbl>
    <w:p w:rsidR="00000000" w:rsidRDefault="00C22DFD">
      <w:pPr>
        <w:bidi/>
        <w:spacing w:before="100" w:beforeAutospacing="1" w:after="120"/>
        <w:rPr>
          <w:rtl/>
        </w:rPr>
      </w:pPr>
      <w:r>
        <w:rPr>
          <w:rFonts w:cs="David" w:hint="cs"/>
          <w:rtl/>
        </w:rPr>
        <w:t> </w:t>
      </w:r>
    </w:p>
    <w:p w:rsidR="00000000" w:rsidRDefault="00C22DFD">
      <w:pPr>
        <w:bidi/>
        <w:spacing w:before="100" w:beforeAutospacing="1" w:after="120"/>
        <w:jc w:val="center"/>
        <w:rPr>
          <w:rFonts w:hint="cs"/>
          <w:rtl/>
        </w:rPr>
      </w:pPr>
      <w:r>
        <w:rPr>
          <w:rStyle w:val="Strong"/>
          <w:rFonts w:cs="David" w:hint="cs"/>
          <w:bCs w:val="0"/>
          <w:rtl/>
        </w:rPr>
        <w:t>אישור</w:t>
      </w:r>
    </w:p>
    <w:p w:rsidR="00000000" w:rsidRDefault="00C22DFD">
      <w:pPr>
        <w:bidi/>
        <w:spacing w:before="100" w:beforeAutospacing="1" w:after="120"/>
        <w:rPr>
          <w:rFonts w:hint="cs"/>
          <w:rtl/>
        </w:rPr>
      </w:pPr>
      <w:r>
        <w:rPr>
          <w:rFonts w:cs="David" w:hint="cs"/>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C22DFD">
      <w:pPr>
        <w:bidi/>
        <w:spacing w:before="100" w:beforeAutospacing="1" w:after="120"/>
        <w:rPr>
          <w:rFonts w:hint="cs"/>
          <w:rtl/>
        </w:rPr>
      </w:pPr>
      <w:r>
        <w:rPr>
          <w:rFonts w:cs="David" w:hint="cs"/>
          <w:rtl/>
        </w:rPr>
        <w:t> </w:t>
      </w:r>
    </w:p>
    <w:p w:rsidR="00000000" w:rsidRDefault="00C22DFD">
      <w:pPr>
        <w:bidi/>
        <w:spacing w:before="100" w:beforeAutospacing="1" w:after="100" w:afterAutospacing="1"/>
        <w:ind w:left="5103"/>
        <w:jc w:val="center"/>
        <w:rPr>
          <w:rFonts w:hint="cs"/>
          <w:rtl/>
        </w:rPr>
      </w:pPr>
      <w:r>
        <w:rPr>
          <w:rFonts w:cs="David" w:hint="cs"/>
          <w:rtl/>
        </w:rPr>
        <w:t>____________</w:t>
      </w:r>
      <w:r>
        <w:rPr>
          <w:rFonts w:cs="David" w:hint="cs"/>
          <w:rtl/>
        </w:rPr>
        <w:t>______</w:t>
      </w:r>
    </w:p>
    <w:p w:rsidR="00000000" w:rsidRDefault="00C22DFD">
      <w:pPr>
        <w:bidi/>
        <w:spacing w:before="100" w:beforeAutospacing="1" w:after="100" w:afterAutospacing="1"/>
        <w:ind w:left="5103"/>
        <w:jc w:val="center"/>
        <w:rPr>
          <w:rFonts w:hint="cs"/>
          <w:rtl/>
        </w:rPr>
      </w:pPr>
      <w:r>
        <w:rPr>
          <w:rFonts w:cs="David" w:hint="cs"/>
          <w:rtl/>
        </w:rPr>
        <w:t>________,עו"ד</w:t>
      </w:r>
    </w:p>
    <w:p w:rsidR="00000000" w:rsidRDefault="00C22DFD">
      <w:pPr>
        <w:bidi/>
        <w:spacing w:before="100" w:beforeAutospacing="1" w:after="100" w:afterAutospacing="1"/>
        <w:ind w:left="5103"/>
        <w:jc w:val="center"/>
        <w:rPr>
          <w:rFonts w:hint="cs"/>
          <w:rtl/>
        </w:rPr>
      </w:pPr>
      <w:r>
        <w:rPr>
          <w:rFonts w:cs="David" w:hint="cs"/>
          <w:rtl/>
        </w:rPr>
        <w:t>מ.ר. ________</w:t>
      </w:r>
    </w:p>
    <w:p w:rsidR="00000000" w:rsidRDefault="00C22DFD">
      <w:pPr>
        <w:bidi/>
        <w:spacing w:before="100" w:beforeAutospacing="1" w:after="120"/>
        <w:rPr>
          <w:rFonts w:hint="cs"/>
          <w:rtl/>
        </w:rPr>
      </w:pPr>
      <w:r>
        <w:rPr>
          <w:rFonts w:cs="David" w:hint="cs"/>
        </w:rPr>
        <w:br w:type="textWrapping" w:clear="all"/>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spacing w:before="120" w:after="100" w:afterAutospacing="1" w:line="360" w:lineRule="auto"/>
        <w:jc w:val="both"/>
        <w:rPr>
          <w:rFonts w:hint="cs"/>
          <w:rtl/>
        </w:rPr>
      </w:pPr>
      <w:r>
        <w:rPr>
          <w:rFonts w:cs="David" w:hint="cs"/>
          <w:sz w:val="22"/>
          <w:rtl/>
        </w:rPr>
        <w:t> </w:t>
      </w:r>
    </w:p>
    <w:p w:rsidR="00000000" w:rsidRDefault="00C22DFD">
      <w:pPr>
        <w:bidi/>
        <w:divId w:val="1526406200"/>
        <w:rPr>
          <w:rFonts w:eastAsia="Times New Roman" w:hint="cs"/>
          <w:rtl/>
        </w:rPr>
      </w:pPr>
      <w:r>
        <w:rPr>
          <w:rFonts w:eastAsia="Times New Roman" w:hint="cs"/>
          <w:rtl/>
        </w:rPr>
        <w:br w:type="textWrapping" w:clear="all"/>
      </w:r>
    </w:p>
    <w:p w:rsidR="00000000" w:rsidRDefault="00C22DFD">
      <w:pPr>
        <w:bidi/>
        <w:divId w:val="1526406200"/>
        <w:rPr>
          <w:rFonts w:eastAsia="Times New Roman" w:hint="cs"/>
          <w:rtl/>
        </w:rPr>
      </w:pPr>
      <w:r>
        <w:rPr>
          <w:rFonts w:eastAsia="Times New Roman" w:hint="cs"/>
        </w:rPr>
        <w:pict>
          <v:rect id="_x0000_i1025" style="width:157.6pt;height:.6pt" o:hrpct="330" o:hrstd="t" o:hr="t" fillcolor="#a0a0a0" stroked="f"/>
        </w:pict>
      </w:r>
    </w:p>
    <w:p w:rsidR="00000000" w:rsidRDefault="00C22DFD">
      <w:pPr>
        <w:pStyle w:val="Footer"/>
        <w:divId w:val="513155343"/>
        <w:rPr>
          <w:rFonts w:hint="cs"/>
          <w:szCs w:val="14"/>
          <w:rtl/>
        </w:rPr>
      </w:pPr>
    </w:p>
    <w:p w:rsidR="00000000" w:rsidRDefault="00C22DFD">
      <w:pPr>
        <w:divId w:val="513155343"/>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22DFD">
      <w:r>
        <w:separator/>
      </w:r>
    </w:p>
  </w:endnote>
  <w:endnote w:type="continuationSeparator" w:id="0">
    <w:p w:rsidR="00000000" w:rsidRDefault="00C2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22DFD">
      <w:r>
        <w:separator/>
      </w:r>
    </w:p>
  </w:footnote>
  <w:footnote w:type="continuationSeparator" w:id="0">
    <w:p w:rsidR="00000000" w:rsidRDefault="00C22DFD">
      <w:r>
        <w:continuationSeparator/>
      </w:r>
    </w:p>
  </w:footnote>
  <w:footnote w:id="1">
    <w:p w:rsidR="00000000" w:rsidRDefault="00C22DFD">
      <w:pPr>
        <w:pStyle w:val="FootnoteText"/>
        <w:bidi/>
        <w:spacing w:before="0" w:beforeAutospacing="0" w:after="0" w:afterAutospacing="0"/>
        <w:jc w:val="both"/>
        <w:rPr>
          <w:rFonts w:hint="cs"/>
          <w:rtl/>
        </w:rPr>
      </w:pPr>
      <w:r>
        <w:rPr>
          <w:rStyle w:val="FootnoteReference"/>
          <w:rFonts w:cs="David"/>
          <w:sz w:val="20"/>
          <w:szCs w:val="20"/>
          <w:vertAlign w:val="superscript"/>
        </w:rPr>
        <w:footnoteRef/>
      </w:r>
      <w:r>
        <w:rPr>
          <w:rStyle w:val="FootnoteReference"/>
          <w:rFonts w:eastAsia="Times New Roman" w:cs="David" w:hint="cs"/>
          <w:sz w:val="20"/>
          <w:szCs w:val="20"/>
          <w:vertAlign w:val="superscript"/>
        </w:rPr>
        <w:t>[1]</w:t>
      </w:r>
      <w:r>
        <w:rPr>
          <w:rFonts w:cs="David" w:hint="cs"/>
          <w:sz w:val="20"/>
          <w:szCs w:val="20"/>
          <w:vertAlign w:val="superscript"/>
          <w:rtl/>
        </w:rPr>
        <w:t xml:space="preserve"> </w:t>
      </w:r>
      <w:r>
        <w:rPr>
          <w:rFonts w:cs="David" w:hint="cs"/>
          <w:sz w:val="20"/>
          <w:szCs w:val="20"/>
          <w:rtl/>
        </w:rPr>
        <w:t>החלטה לפי סעיף 14 לחוק ההגבלים העסקיים, התשמ"</w:t>
      </w:r>
      <w:r>
        <w:rPr>
          <w:rFonts w:cs="David" w:hint="cs"/>
          <w:sz w:val="20"/>
          <w:szCs w:val="20"/>
          <w:rtl/>
        </w:rPr>
        <w:t xml:space="preserve">ח-1988 בדבר מתן פטור בתנאים מאישור הסדר כובל להסדר בעניין מרכז סליקה בנקאי בע"מ: </w:t>
      </w:r>
      <w:r>
        <w:rPr>
          <w:rStyle w:val="Strong"/>
          <w:rFonts w:cs="David" w:hint="cs"/>
          <w:sz w:val="20"/>
          <w:szCs w:val="20"/>
          <w:rtl/>
        </w:rPr>
        <w:t xml:space="preserve">בנק הפועלים בע"מ, בנק לאומי לישראל בע"מ, בנק המזרחי המאוחד בע"מ, בנק דיסקונט בע"מ, הבנק הבינלאומי הראשון לישראל בע"מ; </w:t>
      </w:r>
      <w:r>
        <w:rPr>
          <w:rFonts w:cs="David" w:hint="cs"/>
          <w:sz w:val="20"/>
          <w:szCs w:val="20"/>
          <w:rtl/>
        </w:rPr>
        <w:t>2002</w:t>
      </w:r>
      <w:r>
        <w:rPr>
          <w:rStyle w:val="Strong"/>
          <w:rFonts w:cs="David" w:hint="cs"/>
          <w:sz w:val="20"/>
          <w:szCs w:val="20"/>
          <w:rtl/>
        </w:rPr>
        <w:t xml:space="preserve">  </w:t>
      </w:r>
      <w:r>
        <w:rPr>
          <w:rFonts w:cs="David" w:hint="cs"/>
          <w:sz w:val="20"/>
          <w:szCs w:val="20"/>
          <w:rtl/>
        </w:rPr>
        <w:t>הגבלים עסקיים 3014681.</w:t>
      </w:r>
    </w:p>
  </w:footnote>
  <w:footnote w:id="2">
    <w:p w:rsidR="00000000" w:rsidRDefault="00C22DFD">
      <w:pPr>
        <w:pStyle w:val="FootnoteText"/>
        <w:bidi/>
        <w:spacing w:before="0" w:beforeAutospacing="0" w:after="0" w:afterAutospacing="0"/>
        <w:jc w:val="both"/>
        <w:rPr>
          <w:rFonts w:hint="cs"/>
          <w:rtl/>
        </w:rPr>
      </w:pPr>
      <w:r>
        <w:rPr>
          <w:rStyle w:val="FootnoteReference"/>
          <w:rFonts w:cs="David"/>
          <w:sz w:val="20"/>
          <w:szCs w:val="20"/>
          <w:vertAlign w:val="superscript"/>
        </w:rPr>
        <w:footnoteRef/>
      </w:r>
      <w:r>
        <w:rPr>
          <w:rStyle w:val="FootnoteReference"/>
          <w:rFonts w:eastAsia="Times New Roman" w:cs="David" w:hint="cs"/>
          <w:sz w:val="20"/>
          <w:szCs w:val="20"/>
          <w:vertAlign w:val="superscript"/>
        </w:rPr>
        <w:t>[2]</w:t>
      </w:r>
      <w:r>
        <w:rPr>
          <w:rStyle w:val="FootnoteReference"/>
          <w:rFonts w:cs="David" w:hint="cs"/>
          <w:sz w:val="20"/>
          <w:szCs w:val="20"/>
          <w:vertAlign w:val="superscript"/>
        </w:rPr>
        <w:t xml:space="preserve"> </w:t>
      </w:r>
      <w:r>
        <w:rPr>
          <w:rFonts w:cs="David" w:hint="cs"/>
          <w:sz w:val="20"/>
          <w:szCs w:val="20"/>
          <w:vertAlign w:val="superscript"/>
          <w:rtl/>
        </w:rPr>
        <w:t xml:space="preserve"> </w:t>
      </w:r>
      <w:r>
        <w:rPr>
          <w:rFonts w:cs="David" w:hint="cs"/>
          <w:sz w:val="20"/>
          <w:szCs w:val="20"/>
          <w:rtl/>
        </w:rPr>
        <w:t xml:space="preserve">החלטה לפי סעיף 14 לחוק ההגבלים העסקיים, התשמ"ח-1988 בדבר מתן פטור בתנאים מאישור הסדר כובל להסדר בעניין מרכז סליקה בנקאי בע"מ: </w:t>
      </w:r>
      <w:r>
        <w:rPr>
          <w:rStyle w:val="Strong"/>
          <w:rFonts w:cs="David" w:hint="cs"/>
          <w:sz w:val="20"/>
          <w:szCs w:val="20"/>
          <w:rtl/>
        </w:rPr>
        <w:t xml:space="preserve">בנק הפועלים בע"מ, בנק לאומי לישראל בע"מ, בנק המזרחי המאוחד בע"מ, בנק דיסקונט בע"מ, הבנק הבינלאומי הראשון לישראל בע"מ; </w:t>
      </w:r>
      <w:r>
        <w:rPr>
          <w:rStyle w:val="Strong"/>
          <w:rFonts w:cs="David" w:hint="cs"/>
          <w:b w:val="0"/>
          <w:bCs w:val="0"/>
          <w:sz w:val="20"/>
          <w:szCs w:val="20"/>
          <w:rtl/>
        </w:rPr>
        <w:t xml:space="preserve">2005 </w:t>
      </w:r>
      <w:r>
        <w:rPr>
          <w:rStyle w:val="Strong"/>
          <w:rFonts w:cs="David" w:hint="cs"/>
          <w:sz w:val="20"/>
          <w:szCs w:val="20"/>
          <w:rtl/>
        </w:rPr>
        <w:t xml:space="preserve">הגבלים </w:t>
      </w:r>
      <w:r>
        <w:rPr>
          <w:rStyle w:val="Strong"/>
          <w:rFonts w:cs="David" w:hint="cs"/>
          <w:sz w:val="20"/>
          <w:szCs w:val="20"/>
          <w:rtl/>
        </w:rPr>
        <w:t>עסקיים</w:t>
      </w:r>
      <w:r>
        <w:rPr>
          <w:rStyle w:val="Strong"/>
          <w:rFonts w:cs="David" w:hint="cs"/>
          <w:b w:val="0"/>
          <w:bCs w:val="0"/>
          <w:sz w:val="20"/>
          <w:szCs w:val="20"/>
          <w:rtl/>
        </w:rPr>
        <w:t xml:space="preserve"> 5000023; </w:t>
      </w:r>
      <w:r>
        <w:rPr>
          <w:rFonts w:cs="David" w:hint="cs"/>
          <w:sz w:val="20"/>
          <w:szCs w:val="20"/>
          <w:rtl/>
        </w:rPr>
        <w:t xml:space="preserve">החלטה לפי סעיף 14 לחוק ההגבלים העסקיים, התשמ"ח-1988 בדבר מתן פטור בתנאים מאישור הסדר כובל להסדר בעניין מרכז סליקה בנקאי בע"מ: </w:t>
      </w:r>
      <w:r>
        <w:rPr>
          <w:rStyle w:val="Strong"/>
          <w:rFonts w:cs="David" w:hint="cs"/>
          <w:sz w:val="20"/>
          <w:szCs w:val="20"/>
          <w:rtl/>
        </w:rPr>
        <w:t>בנק הפועלים בע"מ, בנק לאומי לישראל בע"מ, בנק המזרחי המאוחד בע"מ, בנק דיסקונט בע"מ, הבנק הבינלאומי הראשון לישראל בע</w:t>
      </w:r>
      <w:r>
        <w:rPr>
          <w:rStyle w:val="Strong"/>
          <w:rFonts w:cs="David" w:hint="cs"/>
          <w:sz w:val="20"/>
          <w:szCs w:val="20"/>
          <w:rtl/>
        </w:rPr>
        <w:t xml:space="preserve">"מ; </w:t>
      </w:r>
      <w:r>
        <w:rPr>
          <w:rStyle w:val="Strong"/>
          <w:rFonts w:cs="David" w:hint="cs"/>
          <w:b w:val="0"/>
          <w:bCs w:val="0"/>
          <w:sz w:val="20"/>
          <w:szCs w:val="20"/>
          <w:rtl/>
        </w:rPr>
        <w:t xml:space="preserve">2006 </w:t>
      </w:r>
      <w:r>
        <w:rPr>
          <w:rStyle w:val="Strong"/>
          <w:rFonts w:cs="David" w:hint="cs"/>
          <w:sz w:val="20"/>
          <w:szCs w:val="20"/>
          <w:rtl/>
        </w:rPr>
        <w:t>הגבלים עסקיים</w:t>
      </w:r>
      <w:r>
        <w:rPr>
          <w:rStyle w:val="Strong"/>
          <w:rFonts w:cs="David" w:hint="cs"/>
          <w:b w:val="0"/>
          <w:bCs w:val="0"/>
          <w:sz w:val="20"/>
          <w:szCs w:val="20"/>
          <w:rtl/>
        </w:rPr>
        <w:t xml:space="preserve"> 5000696</w:t>
      </w:r>
      <w:r>
        <w:rPr>
          <w:rFonts w:cs="David" w:hint="cs"/>
          <w:sz w:val="20"/>
          <w:szCs w:val="20"/>
          <w:vertAlign w:val="superscript"/>
          <w:rtl/>
        </w:rPr>
        <w:t xml:space="preserve">.; </w:t>
      </w:r>
      <w:r>
        <w:rPr>
          <w:rFonts w:cs="David" w:hint="cs"/>
          <w:sz w:val="20"/>
          <w:szCs w:val="20"/>
          <w:rtl/>
        </w:rPr>
        <w:t xml:space="preserve">החלטה לפי סעיף 14 לחוק ההגבלים העסקיים, התשמ"ח-1988 בדבר מתן פטור בתנאים מאישור הסדר כובל להסדר בעניין מרכז סליקה בנקאי בע"מ: </w:t>
      </w:r>
      <w:r>
        <w:rPr>
          <w:rStyle w:val="Strong"/>
          <w:rFonts w:cs="David" w:hint="cs"/>
          <w:sz w:val="20"/>
          <w:szCs w:val="20"/>
          <w:rtl/>
        </w:rPr>
        <w:t>בנק הפועלים בע"מ, בנק לאומי לישראל בע"מ, בנק המזרחי המאוחד בע"מ, בנק דיסקונט בע"מ, הבנק הבינלאומי</w:t>
      </w:r>
      <w:r>
        <w:rPr>
          <w:rStyle w:val="Strong"/>
          <w:rFonts w:cs="David" w:hint="cs"/>
          <w:sz w:val="20"/>
          <w:szCs w:val="20"/>
          <w:rtl/>
        </w:rPr>
        <w:t xml:space="preserve"> הראשון לישראל בע"מ; </w:t>
      </w:r>
      <w:r>
        <w:rPr>
          <w:rStyle w:val="Strong"/>
          <w:rFonts w:cs="David" w:hint="cs"/>
          <w:b w:val="0"/>
          <w:bCs w:val="0"/>
          <w:sz w:val="20"/>
          <w:szCs w:val="20"/>
          <w:rtl/>
        </w:rPr>
        <w:t xml:space="preserve">2010 </w:t>
      </w:r>
      <w:r>
        <w:rPr>
          <w:rStyle w:val="Strong"/>
          <w:rFonts w:cs="David" w:hint="cs"/>
          <w:sz w:val="20"/>
          <w:szCs w:val="20"/>
          <w:rtl/>
        </w:rPr>
        <w:t>הגבלים עסקיים</w:t>
      </w:r>
      <w:r>
        <w:rPr>
          <w:rStyle w:val="Strong"/>
          <w:rFonts w:cs="David" w:hint="cs"/>
          <w:b w:val="0"/>
          <w:bCs w:val="0"/>
          <w:sz w:val="20"/>
          <w:szCs w:val="20"/>
          <w:rtl/>
        </w:rPr>
        <w:t xml:space="preserve"> 5001649.</w:t>
      </w:r>
    </w:p>
  </w:footnote>
  <w:footnote w:id="3">
    <w:p w:rsidR="00000000" w:rsidRDefault="00C22DFD">
      <w:pPr>
        <w:pStyle w:val="FootnoteText"/>
        <w:bidi/>
        <w:spacing w:before="120" w:beforeAutospacing="0" w:after="0" w:afterAutospacing="0"/>
        <w:jc w:val="both"/>
        <w:rPr>
          <w:rFonts w:hint="cs"/>
          <w:rtl/>
        </w:rPr>
      </w:pPr>
      <w:r>
        <w:rPr>
          <w:rStyle w:val="FootnoteReference"/>
          <w:vertAlign w:val="superscript"/>
        </w:rPr>
        <w:footnoteRef/>
      </w:r>
      <w:r>
        <w:rPr>
          <w:rStyle w:val="FootnoteReference"/>
          <w:rFonts w:eastAsia="Times New Roman" w:hint="cs"/>
          <w:vertAlign w:val="superscript"/>
        </w:rPr>
        <w:t>[3]</w:t>
      </w:r>
      <w:r>
        <w:rPr>
          <w:rFonts w:cs="David" w:hint="cs"/>
          <w:sz w:val="22"/>
          <w:szCs w:val="20"/>
          <w:rtl/>
        </w:rPr>
        <w:t xml:space="preserve"> הנהלים פורסמו לראשונה בחוזר גמל שמספרו 2005-2-3, אשר הוחלף מאוחר יותר בחוזר גופים מוסדיים </w:t>
      </w:r>
      <w:r>
        <w:rPr>
          <w:rFonts w:cs="David" w:hint="cs"/>
          <w:sz w:val="22"/>
          <w:szCs w:val="20"/>
          <w:rtl/>
        </w:rPr>
        <w:br/>
        <w:t xml:space="preserve">2008-9-11 "העברת כספים בין קופות גמל". החוזר מפורסם באתר האינטרנט של משרד האוצר בכתובת </w:t>
      </w:r>
      <w:hyperlink r:id="rId1" w:anchor="top" w:history="1">
        <w:r>
          <w:rPr>
            <w:rStyle w:val="Hyperlink"/>
            <w:rFonts w:hint="cs"/>
            <w:sz w:val="20"/>
            <w:szCs w:val="18"/>
          </w:rPr>
          <w:t>http://ozar.mof.gov.il/hon/2001/general/hozrim.asp#top</w:t>
        </w:r>
      </w:hyperlink>
      <w:r>
        <w:rPr>
          <w:rFonts w:cs="David" w:hint="cs"/>
          <w:sz w:val="22"/>
          <w:szCs w:val="20"/>
          <w:rt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32934"/>
    <w:multiLevelType w:val="multilevel"/>
    <w:tmpl w:val="B964D42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F42873"/>
    <w:multiLevelType w:val="multilevel"/>
    <w:tmpl w:val="1770AC6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0872C2"/>
    <w:multiLevelType w:val="multilevel"/>
    <w:tmpl w:val="91F60E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8D1E5E"/>
    <w:multiLevelType w:val="multilevel"/>
    <w:tmpl w:val="5C7C710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EE2ABA"/>
    <w:multiLevelType w:val="multilevel"/>
    <w:tmpl w:val="B1885F3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5075B6"/>
    <w:multiLevelType w:val="multilevel"/>
    <w:tmpl w:val="1A8E4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172493"/>
    <w:multiLevelType w:val="multilevel"/>
    <w:tmpl w:val="C6146A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FB2443"/>
    <w:multiLevelType w:val="multilevel"/>
    <w:tmpl w:val="A37443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6"/>
  </w:num>
  <w:num w:numId="4">
    <w:abstractNumId w:val="7"/>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961"/>
    <w:rsid w:val="00664961"/>
    <w:rsid w:val="00C22D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61F141-E3D7-49E9-99EB-2567F7B2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pPr>
      <w:spacing w:before="100" w:beforeAutospacing="1" w:after="100" w:afterAutospacing="1"/>
      <w:outlineLvl w:val="1"/>
    </w:pPr>
    <w:rPr>
      <w:b/>
      <w:bCs/>
      <w:sz w:val="36"/>
      <w:szCs w:val="36"/>
    </w:rPr>
  </w:style>
  <w:style w:type="paragraph" w:styleId="Heading4">
    <w:name w:val="heading 4"/>
    <w:basedOn w:val="Normal"/>
    <w:link w:val="Heading4Char"/>
    <w:uiPriority w:val="99"/>
    <w:semiHidden/>
    <w:unhideWhenUsed/>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table" w:customStyle="1" w:styleId="a">
    <w:name w:val="טבלה רגילה"/>
    <w:uiPriority w:val="99"/>
    <w:semiHidden/>
    <w:tblPr>
      <w:tblCellMar>
        <w:top w:w="0" w:type="dxa"/>
        <w:left w:w="108" w:type="dxa"/>
        <w:bottom w:w="0" w:type="dxa"/>
        <w:right w:w="108" w:type="dxa"/>
      </w:tblCellMar>
    </w:tbl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styleId="Strong">
    <w:name w:val="Strong"/>
    <w:basedOn w:val="DefaultParagraphFont"/>
    <w:uiPriority w:val="99"/>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FootnoteReference">
    <w:name w:val="footnote reference"/>
    <w:basedOn w:val="DefaultParagraphFon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9"/>
    <w:semiHidden/>
    <w:rPr>
      <w:rFonts w:asciiTheme="majorHAnsi" w:eastAsiaTheme="majorEastAsia" w:hAnsiTheme="majorHAnsi" w:cstheme="majorBidi"/>
      <w:i/>
      <w:iCs/>
      <w:color w:val="2E74B5" w:themeColor="accent1" w:themeShade="BF"/>
      <w:sz w:val="24"/>
      <w:szCs w:val="24"/>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5343">
      <w:marLeft w:val="0"/>
      <w:marRight w:val="0"/>
      <w:marTop w:val="0"/>
      <w:marBottom w:val="0"/>
      <w:divBdr>
        <w:top w:val="none" w:sz="0" w:space="0" w:color="auto"/>
        <w:left w:val="none" w:sz="0" w:space="0" w:color="auto"/>
        <w:bottom w:val="none" w:sz="0" w:space="0" w:color="auto"/>
        <w:right w:val="none" w:sz="0" w:space="0" w:color="auto"/>
      </w:divBdr>
    </w:div>
    <w:div w:id="1526406200">
      <w:marLeft w:val="0"/>
      <w:marRight w:val="0"/>
      <w:marTop w:val="0"/>
      <w:marBottom w:val="0"/>
      <w:divBdr>
        <w:top w:val="none" w:sz="0" w:space="0" w:color="auto"/>
        <w:left w:val="none" w:sz="0" w:space="0" w:color="auto"/>
        <w:bottom w:val="none" w:sz="0" w:space="0" w:color="auto"/>
        <w:right w:val="none" w:sz="0" w:space="0" w:color="auto"/>
      </w:divBdr>
    </w:div>
    <w:div w:id="178738445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ozar.mof.gov.il/hon/2001/general/hozrim.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2928</Words>
  <Characters>14489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2019-08-07T11:36:00Z</dcterms:created>
  <dcterms:modified xsi:type="dcterms:W3CDTF">2019-08-07T11:36:00Z</dcterms:modified>
</cp:coreProperties>
</file>