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8204F7">
      <w:pPr>
        <w:pStyle w:val="Header"/>
        <w:jc w:val="right"/>
        <w:divId w:val="1879273145"/>
      </w:pPr>
      <w:bookmarkStart w:id="0" w:name="_GoBack"/>
      <w:bookmarkEnd w:id="0"/>
    </w:p>
    <w:p w:rsidR="00000000" w:rsidRDefault="008204F7">
      <w:pPr>
        <w:bidi/>
        <w:spacing w:before="120" w:line="360" w:lineRule="auto"/>
        <w:jc w:val="center"/>
        <w:outlineLvl w:val="0"/>
        <w:divId w:val="2029796878"/>
        <w:rPr>
          <w:rFonts w:eastAsia="Times New Roman" w:cs="David" w:hint="cs"/>
          <w:b/>
          <w:bCs/>
          <w:color w:val="000000"/>
          <w:sz w:val="32"/>
          <w:szCs w:val="32"/>
          <w:rtl/>
          <w:lang w:eastAsia="he-IL"/>
        </w:rPr>
      </w:pPr>
      <w:r>
        <w:rPr>
          <w:rFonts w:eastAsia="Times New Roman" w:cs="David" w:hint="cs"/>
          <w:b/>
          <w:bCs/>
          <w:color w:val="000000"/>
          <w:sz w:val="34"/>
          <w:szCs w:val="32"/>
          <w:u w:val="single"/>
          <w:rtl/>
          <w:lang w:eastAsia="he-IL"/>
        </w:rPr>
        <w:t xml:space="preserve"> החלטה בדבר מתן פטור בתנאים להסדרים כובלים</w:t>
      </w:r>
      <w:r>
        <w:rPr>
          <w:rFonts w:eastAsia="Times New Roman" w:cs="David" w:hint="cs"/>
          <w:b/>
          <w:bCs/>
          <w:color w:val="000000"/>
          <w:sz w:val="34"/>
          <w:szCs w:val="32"/>
          <w:u w:val="single"/>
          <w:rtl/>
          <w:lang w:eastAsia="he-IL"/>
        </w:rPr>
        <w:br/>
        <w:t xml:space="preserve">בין השותפות במאגר הגז 'תמר' ובין צרכני גז טבעי </w:t>
      </w:r>
    </w:p>
    <w:p w:rsidR="00000000" w:rsidRDefault="008204F7">
      <w:pPr>
        <w:bidi/>
        <w:spacing w:before="120" w:line="360" w:lineRule="auto"/>
        <w:outlineLvl w:val="0"/>
        <w:divId w:val="2029796878"/>
        <w:rPr>
          <w:rFonts w:eastAsia="Times New Roman" w:cs="David" w:hint="cs"/>
          <w:b/>
          <w:bCs/>
          <w:color w:val="000000"/>
          <w:sz w:val="28"/>
          <w:szCs w:val="28"/>
          <w:rtl/>
          <w:lang w:eastAsia="he-IL"/>
        </w:rPr>
      </w:pPr>
      <w:r>
        <w:rPr>
          <w:rFonts w:eastAsia="Times New Roman" w:cs="David" w:hint="cs"/>
          <w:b/>
          <w:bCs/>
          <w:color w:val="000000"/>
          <w:sz w:val="28"/>
          <w:szCs w:val="28"/>
          <w:rtl/>
          <w:lang w:eastAsia="he-IL"/>
        </w:rPr>
        <w:t>פתח דבר</w:t>
      </w:r>
    </w:p>
    <w:p w:rsidR="00000000" w:rsidRDefault="008204F7">
      <w:pPr>
        <w:pStyle w:val="FootnoteText"/>
        <w:bidi/>
        <w:divId w:val="2029796878"/>
        <w:rPr>
          <w:rFonts w:cs="David"/>
          <w:color w:val="000000"/>
          <w:sz w:val="20"/>
        </w:rPr>
      </w:pPr>
      <w:r>
        <w:rPr>
          <w:rFonts w:cs="David" w:hint="cs"/>
          <w:color w:val="000000"/>
          <w:sz w:val="20"/>
          <w:rtl/>
        </w:rPr>
        <w:t>לפניי תשע בקשות למתן פטור לפי סעיף 14 לחוק ההגבלים העסקיים, התשמ"ח-1988 (להלן: "</w:t>
      </w:r>
      <w:r>
        <w:rPr>
          <w:rFonts w:cs="David" w:hint="cs"/>
          <w:b/>
          <w:bCs/>
          <w:color w:val="000000"/>
          <w:sz w:val="20"/>
          <w:rtl/>
        </w:rPr>
        <w:t>החוק</w:t>
      </w:r>
      <w:r>
        <w:rPr>
          <w:rFonts w:cs="David" w:hint="cs"/>
          <w:color w:val="000000"/>
          <w:sz w:val="20"/>
          <w:rtl/>
        </w:rPr>
        <w:t>"</w:t>
      </w:r>
      <w:r>
        <w:rPr>
          <w:rFonts w:cs="David" w:hint="cs"/>
          <w:color w:val="000000"/>
          <w:sz w:val="20"/>
          <w:rtl/>
        </w:rPr>
        <w:t>), ביחס להסכמים לאספקת גז טבעי ממאגר הגז 'תמר' (להלן: "</w:t>
      </w:r>
      <w:r>
        <w:rPr>
          <w:rFonts w:cs="David" w:hint="cs"/>
          <w:b/>
          <w:bCs/>
          <w:color w:val="000000"/>
          <w:sz w:val="20"/>
          <w:rtl/>
        </w:rPr>
        <w:t>תמר</w:t>
      </w:r>
      <w:r>
        <w:rPr>
          <w:rFonts w:cs="David" w:hint="cs"/>
          <w:color w:val="000000"/>
          <w:sz w:val="20"/>
          <w:rtl/>
        </w:rPr>
        <w:t>" ו"</w:t>
      </w:r>
      <w:r>
        <w:rPr>
          <w:rFonts w:cs="David" w:hint="cs"/>
          <w:b/>
          <w:bCs/>
          <w:color w:val="000000"/>
          <w:sz w:val="20"/>
          <w:rtl/>
        </w:rPr>
        <w:t>ההסכמים</w:t>
      </w:r>
      <w:r>
        <w:rPr>
          <w:rFonts w:cs="David" w:hint="cs"/>
          <w:color w:val="000000"/>
          <w:sz w:val="20"/>
          <w:rtl/>
        </w:rPr>
        <w:t>" בהתאמה) שנחתמו בין השותפות בחזקת תמר: דלק קידוחים – שותפות מוגבלת ("</w:t>
      </w:r>
      <w:r>
        <w:rPr>
          <w:rFonts w:cs="David" w:hint="cs"/>
          <w:b/>
          <w:bCs/>
          <w:color w:val="000000"/>
          <w:sz w:val="20"/>
          <w:rtl/>
        </w:rPr>
        <w:t>דלק קידוחים</w:t>
      </w:r>
      <w:r>
        <w:rPr>
          <w:rFonts w:cs="David" w:hint="cs"/>
          <w:color w:val="000000"/>
          <w:sz w:val="20"/>
          <w:rtl/>
        </w:rPr>
        <w:t>"), אבנר חיפושי נפט – שותפות מוגבלת (להלן: "</w:t>
      </w:r>
      <w:r>
        <w:rPr>
          <w:rFonts w:cs="David" w:hint="cs"/>
          <w:b/>
          <w:bCs/>
          <w:color w:val="000000"/>
          <w:sz w:val="20"/>
          <w:rtl/>
        </w:rPr>
        <w:t>אבנר</w:t>
      </w:r>
      <w:r>
        <w:rPr>
          <w:rFonts w:cs="David" w:hint="cs"/>
          <w:color w:val="000000"/>
          <w:sz w:val="20"/>
          <w:rtl/>
        </w:rPr>
        <w:t>"), ישראמקו נגב 2 – שותפות מוגבלת (להלן: "</w:t>
      </w:r>
      <w:r>
        <w:rPr>
          <w:rFonts w:cs="David" w:hint="cs"/>
          <w:b/>
          <w:bCs/>
          <w:color w:val="000000"/>
          <w:sz w:val="20"/>
          <w:rtl/>
        </w:rPr>
        <w:t>ישראמקו</w:t>
      </w:r>
      <w:r>
        <w:rPr>
          <w:rFonts w:cs="David" w:hint="cs"/>
          <w:color w:val="000000"/>
          <w:sz w:val="20"/>
          <w:rtl/>
        </w:rPr>
        <w:t>"), דור ח</w:t>
      </w:r>
      <w:r>
        <w:rPr>
          <w:rFonts w:cs="David" w:hint="cs"/>
          <w:color w:val="000000"/>
          <w:sz w:val="20"/>
          <w:rtl/>
        </w:rPr>
        <w:t>יפושי גז – שותפות מוגבלת (להלן: "</w:t>
      </w:r>
      <w:r>
        <w:rPr>
          <w:rFonts w:cs="David" w:hint="cs"/>
          <w:b/>
          <w:bCs/>
          <w:color w:val="000000"/>
          <w:sz w:val="20"/>
          <w:rtl/>
        </w:rPr>
        <w:t>דור</w:t>
      </w:r>
      <w:r>
        <w:rPr>
          <w:rFonts w:cs="David" w:hint="cs"/>
          <w:color w:val="000000"/>
          <w:sz w:val="20"/>
          <w:rtl/>
        </w:rPr>
        <w:t>") וחברת</w:t>
      </w:r>
      <w:r>
        <w:rPr>
          <w:rFonts w:hint="cs"/>
          <w:color w:val="000000"/>
        </w:rPr>
        <w:t>Noble Energy Mediterranean LTD.</w:t>
      </w:r>
      <w:r>
        <w:rPr>
          <w:rFonts w:cs="David" w:hint="cs"/>
          <w:color w:val="000000"/>
          <w:sz w:val="20"/>
          <w:rtl/>
        </w:rPr>
        <w:t xml:space="preserve"> (להלן: "</w:t>
      </w:r>
      <w:r>
        <w:rPr>
          <w:rFonts w:cs="David" w:hint="cs"/>
          <w:b/>
          <w:bCs/>
          <w:color w:val="000000"/>
          <w:sz w:val="20"/>
          <w:rtl/>
        </w:rPr>
        <w:t>נובל</w:t>
      </w:r>
      <w:r>
        <w:rPr>
          <w:rFonts w:cs="David" w:hint="cs"/>
          <w:color w:val="000000"/>
          <w:sz w:val="20"/>
          <w:rtl/>
        </w:rPr>
        <w:t>") אשר ייקראו להלן יחד "</w:t>
      </w:r>
      <w:r>
        <w:rPr>
          <w:rFonts w:cs="David" w:hint="cs"/>
          <w:b/>
          <w:bCs/>
          <w:color w:val="000000"/>
          <w:sz w:val="20"/>
          <w:rtl/>
        </w:rPr>
        <w:t>שותפות תמר</w:t>
      </w:r>
      <w:r>
        <w:rPr>
          <w:rFonts w:cs="David" w:hint="cs"/>
          <w:color w:val="000000"/>
          <w:sz w:val="20"/>
          <w:rtl/>
        </w:rPr>
        <w:t>", לבין כל אחת מהחברות הבאות: או.פי.סי בע"מ; דוראד אנרגיה בע"מ; ג'י. פי גלובל פאוור בע"מ; איי.פי.פי רמת גבריאל בע"מ; איי.פי.פי אלון תב</w:t>
      </w:r>
      <w:r>
        <w:rPr>
          <w:rFonts w:cs="David" w:hint="cs"/>
          <w:color w:val="000000"/>
          <w:sz w:val="20"/>
          <w:rtl/>
        </w:rPr>
        <w:t>ור בע"מ; איי.פי.פי דלק שורק בע"מ; אלון מרכזי אנרגיה ש.מ; פז בתי זיקוק אשדוד בע"מ ושניב תעשיות נייר בע"מ (להלן יחד: "</w:t>
      </w:r>
      <w:r>
        <w:rPr>
          <w:rFonts w:cs="David" w:hint="cs"/>
          <w:b/>
          <w:bCs/>
          <w:color w:val="000000"/>
          <w:sz w:val="20"/>
          <w:rtl/>
        </w:rPr>
        <w:t>הצרכנים</w:t>
      </w:r>
      <w:r>
        <w:rPr>
          <w:rFonts w:cs="David" w:hint="cs"/>
          <w:color w:val="000000"/>
          <w:sz w:val="20"/>
          <w:rtl/>
        </w:rPr>
        <w:t>").</w:t>
      </w:r>
    </w:p>
    <w:p w:rsidR="00000000" w:rsidRDefault="008204F7">
      <w:pPr>
        <w:bidi/>
        <w:spacing w:before="120" w:line="360" w:lineRule="auto"/>
        <w:jc w:val="both"/>
        <w:divId w:val="2029796878"/>
        <w:rPr>
          <w:rFonts w:eastAsia="Times New Roman" w:cs="David" w:hint="cs"/>
          <w:sz w:val="22"/>
          <w:rtl/>
          <w:lang w:eastAsia="he-IL"/>
        </w:rPr>
      </w:pPr>
      <w:r>
        <w:rPr>
          <w:rFonts w:eastAsia="Times New Roman" w:cs="David" w:hint="cs"/>
          <w:sz w:val="22"/>
          <w:rtl/>
          <w:lang w:eastAsia="he-IL"/>
        </w:rPr>
        <w:t>לאחר שבחנתי את ההסדרים ואת הכבילות המצויות בהם, כמו גם את השפעתם האפשרית על התחרות בשווקים הרלוונטיים ולאחר שנועצתי בוועדה לפטורי</w:t>
      </w:r>
      <w:r>
        <w:rPr>
          <w:rFonts w:eastAsia="Times New Roman" w:cs="David" w:hint="cs"/>
          <w:sz w:val="22"/>
          <w:rtl/>
          <w:lang w:eastAsia="he-IL"/>
        </w:rPr>
        <w:t>ם ולמיזוגים, שוכנעתי כי עיקרם של ההסדרים אינו בהפחתת התחרות או במניעתה, כי אין בהם כבילות שאינן נחוצות למימוש עיקרם וכי אינם פוגעים פגיעה של ממש בתחרות בשוק. מטעמים אלו ראויים ההסדרים לפטור לפי סעיף 14 לחוק, זאת בכפוף לשורה של תנאים ומהנימוקים שיפורטו להלן</w:t>
      </w:r>
      <w:r>
        <w:rPr>
          <w:rFonts w:eastAsia="Times New Roman" w:cs="David" w:hint="cs"/>
          <w:sz w:val="22"/>
          <w:rtl/>
          <w:lang w:eastAsia="he-IL"/>
        </w:rPr>
        <w:t xml:space="preserve">. </w:t>
      </w:r>
    </w:p>
    <w:p w:rsidR="00000000" w:rsidRDefault="008204F7">
      <w:pPr>
        <w:numPr>
          <w:ilvl w:val="0"/>
          <w:numId w:val="1"/>
        </w:numPr>
        <w:bidi/>
        <w:spacing w:before="120" w:line="360" w:lineRule="auto"/>
        <w:ind w:left="360"/>
        <w:jc w:val="both"/>
        <w:divId w:val="2029796878"/>
        <w:rPr>
          <w:rFonts w:eastAsia="Times New Roman" w:cs="David" w:hint="cs"/>
          <w:b/>
          <w:bCs/>
          <w:color w:val="000000"/>
          <w:sz w:val="28"/>
          <w:szCs w:val="28"/>
          <w:rtl/>
          <w:lang w:eastAsia="he-IL"/>
        </w:rPr>
      </w:pPr>
      <w:r>
        <w:rPr>
          <w:rFonts w:eastAsia="Times New Roman" w:cs="David" w:hint="cs"/>
          <w:b/>
          <w:bCs/>
          <w:sz w:val="28"/>
          <w:szCs w:val="28"/>
          <w:rtl/>
          <w:lang w:eastAsia="he-IL"/>
        </w:rPr>
        <w:t>רקע</w:t>
      </w:r>
      <w:r>
        <w:rPr>
          <w:rFonts w:eastAsia="Times New Roman" w:cs="David" w:hint="cs"/>
          <w:b/>
          <w:bCs/>
          <w:color w:val="000000"/>
          <w:sz w:val="28"/>
          <w:szCs w:val="28"/>
          <w:rtl/>
          <w:lang w:eastAsia="he-IL"/>
        </w:rPr>
        <w:t xml:space="preserve"> </w:t>
      </w:r>
    </w:p>
    <w:p w:rsidR="00000000" w:rsidRDefault="008204F7">
      <w:pPr>
        <w:pStyle w:val="FootnoteText"/>
        <w:bidi/>
        <w:divId w:val="2029796878"/>
        <w:rPr>
          <w:rFonts w:cs="David" w:hint="cs"/>
          <w:color w:val="000000"/>
          <w:sz w:val="20"/>
          <w:rtl/>
        </w:rPr>
      </w:pPr>
      <w:r>
        <w:rPr>
          <w:rFonts w:cs="David" w:hint="cs"/>
          <w:color w:val="000000"/>
          <w:sz w:val="20"/>
          <w:rtl/>
        </w:rPr>
        <w:t>ביום 13 בנובמבר 2012 הכריז הממונה על הגבלים עסקיים על דלק קידוחים, אבנר, נובל, ישראמקו ודור, ביחד ולחוד, כבעלות מונופולין באספקת גז טבעי שלא עבר תהליך הנזלה בישראל, בתקופה שתחילתה ביולי 2013 או במועד תחילת האספקה המסחרית ממאגר תמר, לפי המוקדם (להלן:</w:t>
      </w:r>
      <w:r>
        <w:rPr>
          <w:rFonts w:hint="cs"/>
          <w:color w:val="000000"/>
        </w:rPr>
        <w:t xml:space="preserve"> </w:t>
      </w:r>
      <w:r>
        <w:rPr>
          <w:rFonts w:cs="David" w:hint="cs"/>
          <w:color w:val="000000"/>
          <w:sz w:val="20"/>
          <w:rtl/>
        </w:rPr>
        <w:t>"</w:t>
      </w:r>
      <w:r>
        <w:rPr>
          <w:rFonts w:cs="David" w:hint="cs"/>
          <w:b/>
          <w:bCs/>
          <w:color w:val="000000"/>
          <w:sz w:val="20"/>
          <w:rtl/>
        </w:rPr>
        <w:t>הכרזת</w:t>
      </w:r>
      <w:r>
        <w:rPr>
          <w:rFonts w:cs="David" w:hint="cs"/>
          <w:b/>
          <w:bCs/>
          <w:color w:val="000000"/>
          <w:sz w:val="20"/>
          <w:rtl/>
        </w:rPr>
        <w:t xml:space="preserve"> המונופולין</w:t>
      </w:r>
      <w:r>
        <w:rPr>
          <w:rFonts w:cs="David" w:hint="cs"/>
          <w:color w:val="000000"/>
          <w:sz w:val="20"/>
          <w:rtl/>
        </w:rPr>
        <w:t>").</w:t>
      </w:r>
      <w:r>
        <w:rPr>
          <w:rFonts w:cs="David"/>
          <w:color w:val="000000"/>
          <w:vertAlign w:val="superscript"/>
          <w:rtl/>
        </w:rPr>
        <w:footnoteReference w:id="1"/>
      </w:r>
      <w:r>
        <w:rPr>
          <w:rFonts w:cs="David" w:hint="cs"/>
          <w:color w:val="000000"/>
          <w:sz w:val="20"/>
          <w:rtl/>
        </w:rPr>
        <w:t xml:space="preserve"> </w:t>
      </w:r>
    </w:p>
    <w:p w:rsidR="00000000" w:rsidRDefault="008204F7">
      <w:pPr>
        <w:bidi/>
        <w:spacing w:before="120" w:line="360" w:lineRule="auto"/>
        <w:jc w:val="both"/>
        <w:divId w:val="2029796878"/>
        <w:rPr>
          <w:rFonts w:cs="David" w:hint="cs"/>
          <w:color w:val="000000"/>
          <w:sz w:val="22"/>
          <w:rtl/>
        </w:rPr>
      </w:pPr>
      <w:r>
        <w:rPr>
          <w:rFonts w:cs="David" w:hint="cs"/>
          <w:rtl/>
          <w:lang w:eastAsia="he-IL"/>
        </w:rPr>
        <w:t xml:space="preserve">בנוסף, המאגר המשמעותי הנוסף שהתגלה במים הכלכליים של ישראל, הוא מאגר לוויתן, נשלט על ידי אותם גורמים השולטים </w:t>
      </w:r>
      <w:r>
        <w:rPr>
          <w:rFonts w:eastAsia="Times New Roman" w:cs="David" w:hint="cs"/>
          <w:color w:val="000000"/>
          <w:sz w:val="20"/>
          <w:rtl/>
          <w:lang w:eastAsia="he-IL"/>
        </w:rPr>
        <w:t>במאגר</w:t>
      </w:r>
      <w:r>
        <w:rPr>
          <w:rFonts w:cs="David" w:hint="cs"/>
          <w:rtl/>
          <w:lang w:eastAsia="he-IL"/>
        </w:rPr>
        <w:t xml:space="preserve"> תמר.</w:t>
      </w:r>
      <w:r>
        <w:rPr>
          <w:rStyle w:val="FootnoteReference"/>
          <w:rFonts w:cs="David"/>
          <w:rtl/>
          <w:lang w:eastAsia="he-IL"/>
        </w:rPr>
        <w:footnoteReference w:id="2"/>
      </w:r>
      <w:r>
        <w:rPr>
          <w:rFonts w:cs="David" w:hint="cs"/>
          <w:rtl/>
          <w:lang w:eastAsia="he-IL"/>
        </w:rPr>
        <w:t xml:space="preserve"> זהו המצב הנוכחי גם ביחס לשני מאגרים קטנים יותר – כריש ותנין.</w:t>
      </w:r>
      <w:r>
        <w:rPr>
          <w:rStyle w:val="FootnoteReference"/>
          <w:rFonts w:cs="David"/>
          <w:rtl/>
          <w:lang w:eastAsia="he-IL"/>
        </w:rPr>
        <w:footnoteReference w:id="3"/>
      </w:r>
    </w:p>
    <w:p w:rsidR="00000000" w:rsidRDefault="008204F7">
      <w:pPr>
        <w:pStyle w:val="FootnoteText"/>
        <w:bidi/>
        <w:divId w:val="2029796878"/>
        <w:rPr>
          <w:rFonts w:cs="David" w:hint="cs"/>
          <w:color w:val="000000"/>
          <w:sz w:val="20"/>
          <w:rtl/>
        </w:rPr>
      </w:pPr>
      <w:r>
        <w:rPr>
          <w:rFonts w:cs="David" w:hint="cs"/>
          <w:color w:val="000000"/>
          <w:sz w:val="20"/>
          <w:rtl/>
        </w:rPr>
        <w:t>מאגר תמר החל לספק גז טבעי בישראל בשנת 2013, אולם כבר במהל</w:t>
      </w:r>
      <w:r>
        <w:rPr>
          <w:rFonts w:cs="David" w:hint="cs"/>
          <w:color w:val="000000"/>
          <w:sz w:val="20"/>
          <w:rtl/>
        </w:rPr>
        <w:t>ך שנת 2012 התקשרו שותפות תמר במערך הסכמים לאספקת גז טבעי (להלן: "</w:t>
      </w:r>
      <w:r>
        <w:rPr>
          <w:rFonts w:cs="David" w:hint="cs"/>
          <w:b/>
          <w:bCs/>
          <w:color w:val="000000"/>
          <w:sz w:val="20"/>
          <w:rtl/>
        </w:rPr>
        <w:t>הסכמי הגז</w:t>
      </w:r>
      <w:r>
        <w:rPr>
          <w:rFonts w:cs="David" w:hint="cs"/>
          <w:color w:val="000000"/>
          <w:sz w:val="20"/>
          <w:rtl/>
        </w:rPr>
        <w:t xml:space="preserve">"). חלק מהסכמים אלה </w:t>
      </w:r>
      <w:r>
        <w:rPr>
          <w:rFonts w:cs="David" w:hint="cs"/>
          <w:color w:val="000000"/>
          <w:sz w:val="20"/>
          <w:rtl/>
        </w:rPr>
        <w:lastRenderedPageBreak/>
        <w:t>הובאו לבחינת רשות ההגבלים העסקיים במסגרת בקשות לפטור בהתאם לסעיף 14 לחוק, ולאחר שנבחנו ניתן להם פטור מאישור בית הדין בכפוף לשורה של תנאים (להלן: "</w:t>
      </w:r>
      <w:r>
        <w:rPr>
          <w:rFonts w:cs="David" w:hint="cs"/>
          <w:b/>
          <w:bCs/>
          <w:color w:val="000000"/>
          <w:sz w:val="20"/>
          <w:rtl/>
        </w:rPr>
        <w:t>החלטות הפטור הקו</w:t>
      </w:r>
      <w:r>
        <w:rPr>
          <w:rFonts w:cs="David" w:hint="cs"/>
          <w:b/>
          <w:bCs/>
          <w:color w:val="000000"/>
          <w:sz w:val="20"/>
          <w:rtl/>
        </w:rPr>
        <w:t>דמות</w:t>
      </w:r>
      <w:r>
        <w:rPr>
          <w:rFonts w:cs="David" w:hint="cs"/>
          <w:color w:val="000000"/>
          <w:sz w:val="20"/>
          <w:rtl/>
        </w:rPr>
        <w:t>").</w:t>
      </w:r>
      <w:r>
        <w:rPr>
          <w:rStyle w:val="FootnoteReference"/>
          <w:rFonts w:cs="David"/>
          <w:color w:val="000000"/>
          <w:sz w:val="20"/>
          <w:rtl/>
        </w:rPr>
        <w:footnoteReference w:id="4"/>
      </w:r>
      <w:r>
        <w:rPr>
          <w:rFonts w:cs="David" w:hint="cs"/>
          <w:color w:val="000000"/>
          <w:sz w:val="20"/>
          <w:rtl/>
        </w:rPr>
        <w:t xml:space="preserve"> כפי שהובהר בהחלטות הפטור הקודמות, החשש התחרותי העיקרי שהעלו הסכמי הגז נגע לפגיעה בתמריצים של ספקי גז טבעי עתידיים להשקיע בחיפוש ובפיתוח מאגרים נוספים, נוכח התקשרות שותפות תמר בהסכמים ארוכי טווח, שבמסגרתם התחייבו צרכני הגז הטבעי לרכוש כמות מינימאלי</w:t>
      </w:r>
      <w:r>
        <w:rPr>
          <w:rFonts w:cs="David" w:hint="cs"/>
          <w:color w:val="000000"/>
          <w:sz w:val="20"/>
          <w:rtl/>
        </w:rPr>
        <w:t xml:space="preserve">ת של גז, באופן שעלול היה לחסום את מרבית הביקוש לגז טבעי במשק.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התנאים שנקבעו בהחלטות הפטור הקודמות נועדו להפיג את החשש האמור על-ידי שחרור חלק מהיקפי הביקוש לגז טבעי לתחרות בתקופה בה צפויים היו להיכנס המתחרים החדשים לשוק, בין באמצעות קיצור תקופת ההסכמים שמ</w:t>
      </w:r>
      <w:r>
        <w:rPr>
          <w:rFonts w:eastAsia="Times New Roman" w:cs="David" w:hint="cs"/>
          <w:color w:val="000000"/>
          <w:sz w:val="20"/>
          <w:rtl/>
          <w:lang w:eastAsia="he-IL"/>
        </w:rPr>
        <w:t xml:space="preserve">ול מאגר תמר ובין באמצעות הפחתת כמות הגז הטבעי הנרכשת במסגרתם. זאת, תוך התחשבות באילוצי המימון של שותפות תמר – באשר לפיתוח מאגר הגז מן הצד האחד, ושל לקוחותיה – באשר להקמת תחנות כוח לייצור חשמל מן הצד השני.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כאמור, מערך השיקולים בקביעת פרקי הזמן לפתיחת הביקו</w:t>
      </w:r>
      <w:r>
        <w:rPr>
          <w:rFonts w:eastAsia="Times New Roman" w:cs="David" w:hint="cs"/>
          <w:color w:val="000000"/>
          <w:sz w:val="20"/>
          <w:rtl/>
          <w:lang w:eastAsia="he-IL"/>
        </w:rPr>
        <w:t xml:space="preserve">ש לגז טבעי לתחרות, התבסס על הערכת כניסתו של ספק גז טבעי נוסף לשוק בשנים 2018-2020, נוכח ההערכות ששררו ערב מתן החלטות הפטור הקודמות באשר למציאת ופיתוח שדות גז נוספים. התנאים בהחלטות הפטור הקודמות עוצבו כך שיענו על הצורך להבטיח ביקוש שיורי מספק לכניסתו לשוק </w:t>
      </w:r>
      <w:r>
        <w:rPr>
          <w:rFonts w:eastAsia="Times New Roman" w:cs="David" w:hint="cs"/>
          <w:color w:val="000000"/>
          <w:sz w:val="20"/>
          <w:rtl/>
          <w:lang w:eastAsia="he-IL"/>
        </w:rPr>
        <w:t>של ספק גז עתידי, בראש ובראשונה ביקוש מצד חברת החשמל לישראל בע"מ (להלן: "</w:t>
      </w:r>
      <w:r>
        <w:rPr>
          <w:rFonts w:eastAsia="Times New Roman" w:cs="David" w:hint="cs"/>
          <w:b/>
          <w:bCs/>
          <w:color w:val="000000"/>
          <w:sz w:val="20"/>
          <w:rtl/>
          <w:lang w:eastAsia="he-IL"/>
        </w:rPr>
        <w:t>חברת החשמל</w:t>
      </w:r>
      <w:r>
        <w:rPr>
          <w:rFonts w:eastAsia="Times New Roman" w:cs="David" w:hint="cs"/>
          <w:color w:val="000000"/>
          <w:sz w:val="20"/>
          <w:rtl/>
          <w:lang w:eastAsia="he-IL"/>
        </w:rPr>
        <w:t xml:space="preserve">"), צרכנית הגז הטבעי הגדולה והמשמעותית בישראל, וכן מצד יצרני חשמל פרטיים ומפעלי תעשייה. </w:t>
      </w:r>
    </w:p>
    <w:p w:rsidR="00000000" w:rsidRDefault="008204F7">
      <w:pPr>
        <w:bidi/>
        <w:spacing w:before="120" w:line="360" w:lineRule="auto"/>
        <w:jc w:val="both"/>
        <w:divId w:val="2029796878"/>
        <w:rPr>
          <w:rFonts w:cs="David" w:hint="cs"/>
          <w:rtl/>
          <w:lang w:eastAsia="he-IL"/>
        </w:rPr>
      </w:pPr>
      <w:r>
        <w:rPr>
          <w:rFonts w:cs="David" w:hint="cs"/>
          <w:rtl/>
          <w:lang w:eastAsia="he-IL"/>
        </w:rPr>
        <w:t>הציפייה למציאתם של מאגרי גז נוספים על ידי גורמים בלתי קשורים ללווייתן ותמר הכזיבה עד כה. חיפושי גז שנערכו בשנים האחרונות על ידי גורמים שאינם קשורים לגורמים הדומיננטיים בתחום הסתיימו בכישלון.</w:t>
      </w:r>
      <w:r>
        <w:rPr>
          <w:rStyle w:val="FootnoteReference"/>
          <w:rFonts w:cs="David"/>
          <w:rtl/>
          <w:lang w:eastAsia="he-IL"/>
        </w:rPr>
        <w:footnoteReference w:id="5"/>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rtl/>
          <w:lang w:eastAsia="he-IL"/>
        </w:rPr>
        <w:t xml:space="preserve">יחד עם זאת, ביום </w:t>
      </w:r>
      <w:r>
        <w:rPr>
          <w:rFonts w:cs="David" w:hint="cs"/>
          <w:color w:val="000000"/>
          <w:rtl/>
        </w:rPr>
        <w:t xml:space="preserve">16 באוגוסט 2015 </w:t>
      </w:r>
      <w:r>
        <w:rPr>
          <w:rFonts w:eastAsia="Times New Roman" w:cs="David" w:hint="cs"/>
          <w:color w:val="000000"/>
          <w:rtl/>
          <w:lang w:eastAsia="he-IL"/>
        </w:rPr>
        <w:t xml:space="preserve">התקבלה החלטת ממשלה מספר </w:t>
      </w:r>
      <w:r>
        <w:rPr>
          <w:rFonts w:cs="David" w:hint="cs"/>
          <w:rtl/>
        </w:rPr>
        <w:t xml:space="preserve">476 </w:t>
      </w:r>
      <w:r>
        <w:rPr>
          <w:rFonts w:eastAsia="Times New Roman" w:cs="David" w:hint="cs"/>
          <w:color w:val="000000"/>
          <w:rtl/>
          <w:lang w:eastAsia="he-IL"/>
        </w:rPr>
        <w:t xml:space="preserve">בעניין </w:t>
      </w:r>
      <w:r>
        <w:rPr>
          <w:rFonts w:cs="David" w:hint="cs"/>
          <w:rtl/>
        </w:rPr>
        <w:t xml:space="preserve">"מתווה להגדלת כמות הגז הטבעי המופקת משדה הגז הטבעי "תמר" ופיתוח </w:t>
      </w:r>
      <w:r>
        <w:rPr>
          <w:rFonts w:cs="David" w:hint="cs"/>
          <w:rtl/>
          <w:lang w:eastAsia="he-IL"/>
        </w:rPr>
        <w:t>מהיר</w:t>
      </w:r>
      <w:r>
        <w:rPr>
          <w:rFonts w:cs="David" w:hint="cs"/>
          <w:rtl/>
        </w:rPr>
        <w:t xml:space="preserve"> של שדות הגז הטבעי "לוויתן", </w:t>
      </w:r>
      <w:r>
        <w:rPr>
          <w:rFonts w:cs="David" w:hint="cs"/>
          <w:rtl/>
        </w:rPr>
        <w:lastRenderedPageBreak/>
        <w:t>"כריש" ו"תנין" שדות גז טבעי נוספים" (להלן: "</w:t>
      </w:r>
      <w:r>
        <w:rPr>
          <w:rFonts w:cs="David" w:hint="cs"/>
          <w:b/>
          <w:bCs/>
          <w:rtl/>
        </w:rPr>
        <w:t>החלטת הממשלה</w:t>
      </w:r>
      <w:r>
        <w:rPr>
          <w:rFonts w:cs="David" w:hint="cs"/>
          <w:rtl/>
        </w:rPr>
        <w:t>")</w:t>
      </w:r>
      <w:r>
        <w:rPr>
          <w:rFonts w:eastAsia="Times New Roman" w:cs="David" w:hint="cs"/>
          <w:color w:val="000000"/>
          <w:rtl/>
          <w:lang w:eastAsia="he-IL"/>
        </w:rPr>
        <w:t>.</w:t>
      </w:r>
      <w:r>
        <w:rPr>
          <w:rStyle w:val="FootnoteReference"/>
          <w:rFonts w:eastAsia="Times New Roman" w:cs="David"/>
          <w:color w:val="000000"/>
          <w:rtl/>
          <w:lang w:eastAsia="he-IL"/>
        </w:rPr>
        <w:footnoteReference w:id="6"/>
      </w:r>
      <w:r>
        <w:rPr>
          <w:rFonts w:eastAsia="Times New Roman" w:cs="David" w:hint="cs"/>
          <w:color w:val="000000"/>
          <w:rtl/>
          <w:lang w:eastAsia="he-IL"/>
        </w:rPr>
        <w:t xml:space="preserve"> במסגרת החלטת הממשלה, הוחלט לפטור את השותפות במאגר לוויתן מחלק מהוראות חוק ההגבלים העסקיים מ</w:t>
      </w:r>
      <w:r>
        <w:rPr>
          <w:rFonts w:eastAsia="Times New Roman" w:cs="David" w:hint="cs"/>
          <w:color w:val="000000"/>
          <w:rtl/>
          <w:lang w:eastAsia="he-IL"/>
        </w:rPr>
        <w:t xml:space="preserve">כח סעיף 52 לחוק, בין היתר בתנאי שדלק ונובל ימכרו לצד שלישי ובלתי קשור את זכויותיהן במאגרי הגז הטבעי "כריש" ו"תנין" תוך זמן קצוב </w:t>
      </w:r>
      <w:r>
        <w:rPr>
          <w:rFonts w:cs="David" w:hint="cs"/>
          <w:rtl/>
        </w:rPr>
        <w:t>(סעיף ז' וכן נספח א' להחלטת הממשלה).</w:t>
      </w:r>
      <w:r>
        <w:rPr>
          <w:rFonts w:eastAsia="Times New Roman" w:cs="David" w:hint="cs"/>
          <w:color w:val="000000"/>
          <w:sz w:val="20"/>
          <w:rtl/>
          <w:lang w:eastAsia="he-IL"/>
        </w:rPr>
        <w:t xml:space="preserve"> ביום 17 בדצמבר 2015 חתם ראש הממשלה וממלא מקום שר הכלכלה על החלטת פטור לפי סעיף 52 לחוק.</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 xml:space="preserve">על </w:t>
      </w:r>
      <w:r>
        <w:rPr>
          <w:rFonts w:eastAsia="Times New Roman" w:cs="David" w:hint="cs"/>
          <w:color w:val="000000"/>
          <w:sz w:val="20"/>
          <w:rtl/>
          <w:lang w:eastAsia="he-IL"/>
        </w:rPr>
        <w:t>פי המידע שבפניי, הערכת הגורמים המקצועיים בממשלה היא כי לאחר השלמת העברת זכויותיהן של דלק ונובל במאגרים כריש ותנין, הלה צפויים להתחיל בהפקה מסחרית של גז טבעי בתוך פרק זמן של כארבע שנים. על כן וכפי שיפורט להלן, הגעתי לכלל מסקנה כי בכפוף לעדכון חלון הזמנים בו</w:t>
      </w:r>
      <w:r>
        <w:rPr>
          <w:rFonts w:eastAsia="Times New Roman" w:cs="David" w:hint="cs"/>
          <w:color w:val="000000"/>
          <w:sz w:val="20"/>
          <w:rtl/>
          <w:lang w:eastAsia="he-IL"/>
        </w:rPr>
        <w:t xml:space="preserve"> צפויה כניסתו של ספק גז טבעי נוסף למשק, התנאי אשר נקבע בהחלטות הפטור הקודמות המעניק </w:t>
      </w:r>
      <w:r>
        <w:rPr>
          <w:rFonts w:eastAsia="Times New Roman" w:cs="David" w:hint="cs"/>
          <w:color w:val="000000"/>
          <w:sz w:val="22"/>
          <w:rtl/>
          <w:lang w:eastAsia="he-IL"/>
        </w:rPr>
        <w:t>אופציה לצרכנים להודיע על הפחתת כמות הגז בהסכם (להלן: "</w:t>
      </w:r>
      <w:r>
        <w:rPr>
          <w:rFonts w:eastAsia="Times New Roman" w:cs="David" w:hint="cs"/>
          <w:b/>
          <w:bCs/>
          <w:color w:val="000000"/>
          <w:sz w:val="22"/>
          <w:rtl/>
          <w:lang w:eastAsia="he-IL"/>
        </w:rPr>
        <w:t>חלופת הפחתת הכמות</w:t>
      </w:r>
      <w:r>
        <w:rPr>
          <w:rFonts w:eastAsia="Times New Roman" w:cs="David" w:hint="cs"/>
          <w:color w:val="000000"/>
          <w:sz w:val="22"/>
          <w:rtl/>
          <w:lang w:eastAsia="he-IL"/>
        </w:rPr>
        <w:t>")</w:t>
      </w:r>
      <w:r>
        <w:rPr>
          <w:rFonts w:eastAsia="Times New Roman" w:cs="David" w:hint="cs"/>
          <w:color w:val="000000"/>
          <w:sz w:val="20"/>
          <w:rtl/>
          <w:lang w:eastAsia="he-IL"/>
        </w:rPr>
        <w:t>, ואשר נכלל בהסכמים שלפניי, צפוי להותיר ביקוש שיורי מספק לצורך הבטחת כניסתו של ספק חדש לשוק ויכולתו</w:t>
      </w:r>
      <w:r>
        <w:rPr>
          <w:rFonts w:eastAsia="Times New Roman" w:cs="David" w:hint="cs"/>
          <w:color w:val="000000"/>
          <w:sz w:val="20"/>
          <w:rtl/>
          <w:lang w:eastAsia="he-IL"/>
        </w:rPr>
        <w:t xml:space="preserve"> להתחרות על ליבם של צרכני הגז הטבעי מול שותפות תמר ושותפות לווייתן.</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כמו כן, קיימים הסכמים נוספים שהובאו לבחינתי, אשר משכם קצר יותר וכמויות הגז הטבעי שיסופקו במסגרתם נמוכות יותר והם עתידים לפוג עוד בטרם כניסתו הצפויה, כאמור, של שחקן נוסף לשוק הגז הטבעי (להל</w:t>
      </w:r>
      <w:r>
        <w:rPr>
          <w:rFonts w:eastAsia="Times New Roman" w:cs="David" w:hint="cs"/>
          <w:color w:val="000000"/>
          <w:sz w:val="20"/>
          <w:rtl/>
          <w:lang w:eastAsia="he-IL"/>
        </w:rPr>
        <w:t>ן: "</w:t>
      </w:r>
      <w:r>
        <w:rPr>
          <w:rFonts w:eastAsia="Times New Roman" w:cs="David" w:hint="cs"/>
          <w:b/>
          <w:bCs/>
          <w:color w:val="000000"/>
          <w:sz w:val="20"/>
          <w:rtl/>
          <w:lang w:eastAsia="he-IL"/>
        </w:rPr>
        <w:t>הסכמים קצרים</w:t>
      </w:r>
      <w:r>
        <w:rPr>
          <w:rFonts w:eastAsia="Times New Roman" w:cs="David" w:hint="cs"/>
          <w:color w:val="000000"/>
          <w:sz w:val="20"/>
          <w:rtl/>
          <w:lang w:eastAsia="he-IL"/>
        </w:rPr>
        <w:t>"). הסכמים אלה אינם מקימים חששות תחרותיים בהקשר של הותרת ביקוש שיורי מספק לצורך הבטחת כניסתו של ספק גז טבעי חדש לשוק ולכן, בכפוף לעמידתם ביתר התנאים שייקבעו בסיפא להחלטתי זו, הם אינם טעונים בקשת פטור מאישור הסדר כובל.</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 xml:space="preserve">כפי שיובהר כעת, בחינת </w:t>
      </w:r>
      <w:r>
        <w:rPr>
          <w:rFonts w:eastAsia="Times New Roman" w:cs="David" w:hint="cs"/>
          <w:color w:val="000000"/>
          <w:sz w:val="20"/>
          <w:rtl/>
          <w:lang w:eastAsia="he-IL"/>
        </w:rPr>
        <w:t xml:space="preserve">ההסכמים שבפניי מלמדת כי מתכונתם שונה במקצת מן ההסכמים מושאי החלטות הפטור הקודמות, וכי חלק מן ההבהרות שניתנו לשותפות תמר ביחס להחלטות הקודמות לא הוטמעו בהסכמים שלפניי כדבעי. להלן אעמוד על הכבילות שנותרו בהסכמים, ואת החשש שהן מקימות לפגיעה בתחרות. </w:t>
      </w:r>
    </w:p>
    <w:p w:rsidR="00000000" w:rsidRDefault="008204F7">
      <w:pPr>
        <w:numPr>
          <w:ilvl w:val="0"/>
          <w:numId w:val="1"/>
        </w:numPr>
        <w:bidi/>
        <w:spacing w:before="120" w:line="360" w:lineRule="auto"/>
        <w:ind w:left="360"/>
        <w:jc w:val="both"/>
        <w:divId w:val="2029796878"/>
        <w:rPr>
          <w:rFonts w:eastAsia="Times New Roman" w:cs="David" w:hint="cs"/>
          <w:b/>
          <w:bCs/>
          <w:color w:val="000000"/>
          <w:sz w:val="28"/>
          <w:szCs w:val="28"/>
          <w:rtl/>
          <w:lang w:eastAsia="he-IL"/>
        </w:rPr>
      </w:pPr>
      <w:r>
        <w:rPr>
          <w:rFonts w:eastAsia="Times New Roman" w:cs="David" w:hint="cs"/>
          <w:b/>
          <w:bCs/>
          <w:color w:val="000000"/>
          <w:sz w:val="28"/>
          <w:szCs w:val="28"/>
          <w:rtl/>
          <w:lang w:eastAsia="he-IL"/>
        </w:rPr>
        <w:t xml:space="preserve">הצדדים </w:t>
      </w:r>
    </w:p>
    <w:p w:rsidR="00000000" w:rsidRDefault="008204F7">
      <w:pPr>
        <w:bidi/>
        <w:spacing w:before="120" w:line="360" w:lineRule="auto"/>
        <w:jc w:val="both"/>
        <w:divId w:val="2029796878"/>
        <w:rPr>
          <w:rFonts w:eastAsia="Times New Roman" w:cs="David" w:hint="cs"/>
          <w:sz w:val="22"/>
          <w:rtl/>
          <w:lang w:eastAsia="he-IL"/>
        </w:rPr>
      </w:pPr>
      <w:r>
        <w:rPr>
          <w:rFonts w:eastAsia="Times New Roman" w:cs="David" w:hint="cs"/>
          <w:b/>
          <w:bCs/>
          <w:sz w:val="22"/>
          <w:rtl/>
          <w:lang w:eastAsia="he-IL"/>
        </w:rPr>
        <w:t>ה</w:t>
      </w:r>
      <w:r>
        <w:rPr>
          <w:rFonts w:eastAsia="Times New Roman" w:cs="David" w:hint="cs"/>
          <w:b/>
          <w:bCs/>
          <w:sz w:val="22"/>
          <w:rtl/>
          <w:lang w:eastAsia="he-IL"/>
        </w:rPr>
        <w:t>שותפות בחזקת תמר:</w:t>
      </w:r>
      <w:r>
        <w:rPr>
          <w:rFonts w:eastAsia="Times New Roman" w:cs="David"/>
          <w:sz w:val="22"/>
          <w:vertAlign w:val="superscript"/>
          <w:rtl/>
          <w:lang w:eastAsia="he-IL"/>
        </w:rPr>
        <w:footnoteReference w:id="7"/>
      </w:r>
    </w:p>
    <w:p w:rsidR="00000000" w:rsidRDefault="008204F7">
      <w:pPr>
        <w:numPr>
          <w:ilvl w:val="0"/>
          <w:numId w:val="2"/>
        </w:numPr>
        <w:bidi/>
        <w:spacing w:before="120" w:line="360" w:lineRule="auto"/>
        <w:jc w:val="both"/>
        <w:divId w:val="2029796878"/>
        <w:rPr>
          <w:rFonts w:eastAsia="Times New Roman" w:cs="David" w:hint="cs"/>
          <w:rtl/>
          <w:lang w:eastAsia="he-IL"/>
        </w:rPr>
      </w:pPr>
      <w:r>
        <w:rPr>
          <w:rFonts w:eastAsia="Times New Roman" w:cs="David" w:hint="cs"/>
          <w:b/>
          <w:bCs/>
          <w:sz w:val="22"/>
          <w:rtl/>
          <w:lang w:eastAsia="he-IL"/>
        </w:rPr>
        <w:t>דלק קידוחים</w:t>
      </w:r>
      <w:r>
        <w:rPr>
          <w:rFonts w:eastAsia="Times New Roman" w:cs="David" w:hint="cs"/>
          <w:sz w:val="22"/>
          <w:rtl/>
          <w:lang w:eastAsia="he-IL"/>
        </w:rPr>
        <w:t xml:space="preserve"> </w:t>
      </w:r>
      <w:r>
        <w:rPr>
          <w:rFonts w:eastAsia="Times New Roman" w:cs="David" w:hint="cs"/>
          <w:b/>
          <w:bCs/>
          <w:sz w:val="22"/>
          <w:rtl/>
          <w:lang w:eastAsia="he-IL"/>
        </w:rPr>
        <w:t>ואבנר</w:t>
      </w:r>
      <w:r>
        <w:rPr>
          <w:rFonts w:eastAsia="Times New Roman" w:cs="David" w:hint="cs"/>
          <w:sz w:val="22"/>
          <w:rtl/>
          <w:lang w:eastAsia="he-IL"/>
        </w:rPr>
        <w:t xml:space="preserve"> - שותפויות מוגבלות הפועלות העוסקות בחיפוש, הפקה ומכירה של גז טבעי ונפט ונשלטות על ידי קבוצת דלק בע"מ (להלן: "</w:t>
      </w:r>
      <w:r>
        <w:rPr>
          <w:rFonts w:eastAsia="Times New Roman" w:cs="David" w:hint="cs"/>
          <w:b/>
          <w:bCs/>
          <w:sz w:val="22"/>
          <w:rtl/>
          <w:lang w:eastAsia="he-IL"/>
        </w:rPr>
        <w:t>קבוצת דלק</w:t>
      </w:r>
      <w:r>
        <w:rPr>
          <w:rFonts w:eastAsia="Times New Roman" w:cs="David" w:hint="cs"/>
          <w:sz w:val="22"/>
          <w:rtl/>
          <w:lang w:eastAsia="he-IL"/>
        </w:rPr>
        <w:t>"). לשותפויות זכויות בפרויקטים: 'ים תטיס', 'תמר', 'לוויתן', 'תנין' ו'כריש'</w:t>
      </w:r>
      <w:r>
        <w:rPr>
          <w:rFonts w:eastAsia="Times New Roman" w:cs="David" w:hint="cs"/>
          <w:sz w:val="22"/>
          <w:rtl/>
          <w:lang w:eastAsia="he-IL"/>
        </w:rPr>
        <w:t xml:space="preserve">. כמו כן, לקבוצת דלק זכויות </w:t>
      </w:r>
      <w:r>
        <w:rPr>
          <w:rFonts w:eastAsia="Times New Roman" w:cs="David" w:hint="cs"/>
          <w:sz w:val="22"/>
          <w:rtl/>
          <w:lang w:eastAsia="he-IL"/>
        </w:rPr>
        <w:lastRenderedPageBreak/>
        <w:t xml:space="preserve">בפרויקט 'בלוק 12' הכולל את מאגר הגז 'אפרודיטה' הממוקם ברובו בשטח המים הכלכליים של קפריסין. </w:t>
      </w:r>
    </w:p>
    <w:p w:rsidR="00000000" w:rsidRDefault="008204F7">
      <w:pPr>
        <w:numPr>
          <w:ilvl w:val="0"/>
          <w:numId w:val="2"/>
        </w:numPr>
        <w:bidi/>
        <w:spacing w:before="120" w:line="360" w:lineRule="auto"/>
        <w:jc w:val="both"/>
        <w:divId w:val="2029796878"/>
        <w:rPr>
          <w:rFonts w:eastAsia="Times New Roman" w:cs="David"/>
          <w:lang w:eastAsia="he-IL"/>
        </w:rPr>
      </w:pPr>
      <w:r>
        <w:rPr>
          <w:rFonts w:eastAsia="Times New Roman" w:cs="David" w:hint="cs"/>
          <w:b/>
          <w:bCs/>
          <w:rtl/>
          <w:lang w:eastAsia="he-IL"/>
        </w:rPr>
        <w:t>נובל</w:t>
      </w:r>
      <w:r>
        <w:rPr>
          <w:rFonts w:eastAsia="Times New Roman" w:cs="David" w:hint="cs"/>
          <w:rtl/>
          <w:lang w:eastAsia="he-IL"/>
        </w:rPr>
        <w:t xml:space="preserve"> - הינה חברה הרשומה באיי קיימן והשייכת לקבוצת </w:t>
      </w:r>
      <w:r>
        <w:rPr>
          <w:rFonts w:eastAsia="Times New Roman" w:cs="David"/>
          <w:color w:val="000000"/>
          <w:sz w:val="20"/>
          <w:lang w:eastAsia="he-IL"/>
        </w:rPr>
        <w:t>Noble Energy Inc.</w:t>
      </w:r>
      <w:r>
        <w:rPr>
          <w:rFonts w:eastAsia="Times New Roman" w:cs="David" w:hint="cs"/>
          <w:color w:val="000000"/>
          <w:sz w:val="20"/>
          <w:rtl/>
          <w:lang w:eastAsia="he-IL"/>
        </w:rPr>
        <w:t xml:space="preserve"> </w:t>
      </w:r>
      <w:r>
        <w:rPr>
          <w:rFonts w:eastAsia="Times New Roman" w:cs="David" w:hint="cs"/>
          <w:rtl/>
          <w:lang w:eastAsia="he-IL"/>
        </w:rPr>
        <w:t>העוסקת</w:t>
      </w:r>
      <w:r>
        <w:rPr>
          <w:rFonts w:eastAsia="Times New Roman" w:cs="David" w:hint="cs"/>
          <w:sz w:val="22"/>
          <w:rtl/>
          <w:lang w:eastAsia="he-IL"/>
        </w:rPr>
        <w:t xml:space="preserve"> בחיפוש, הפקה ומכירת גז טבעי ונפט בישראל וברחבי העולם. החברה ה</w:t>
      </w:r>
      <w:r>
        <w:rPr>
          <w:rFonts w:eastAsia="Times New Roman" w:cs="David" w:hint="cs"/>
          <w:sz w:val="22"/>
          <w:rtl/>
          <w:lang w:eastAsia="he-IL"/>
        </w:rPr>
        <w:t xml:space="preserve">יא בעלת זכויות ומשמשת כמפעילה בכל הפרויקטים בהם יש לדלק קידוחים ולאבנר זכויות. </w:t>
      </w:r>
    </w:p>
    <w:p w:rsidR="00000000" w:rsidRDefault="008204F7">
      <w:pPr>
        <w:numPr>
          <w:ilvl w:val="0"/>
          <w:numId w:val="2"/>
        </w:numPr>
        <w:bidi/>
        <w:spacing w:before="120" w:line="360" w:lineRule="auto"/>
        <w:jc w:val="both"/>
        <w:divId w:val="2029796878"/>
        <w:rPr>
          <w:rFonts w:eastAsia="Times New Roman" w:cs="David"/>
          <w:lang w:eastAsia="he-IL"/>
        </w:rPr>
      </w:pPr>
      <w:r>
        <w:rPr>
          <w:rFonts w:eastAsia="Times New Roman" w:cs="David" w:hint="cs"/>
          <w:b/>
          <w:bCs/>
          <w:sz w:val="22"/>
          <w:rtl/>
          <w:lang w:eastAsia="he-IL"/>
        </w:rPr>
        <w:t>ישראמקו</w:t>
      </w:r>
      <w:r>
        <w:rPr>
          <w:rFonts w:eastAsia="Times New Roman" w:cs="David" w:hint="cs"/>
          <w:sz w:val="22"/>
          <w:rtl/>
          <w:lang w:eastAsia="he-IL"/>
        </w:rPr>
        <w:t xml:space="preserve"> – שותפות מוגבלת העוסקת בחיפוש, הפקה ומכירה של נפט וגז טבעי בישראל, והינה בעלת זכויות בפרויקטים 'תמר', 'דלית', 'שמשון' ו-'דניאל'.</w:t>
      </w:r>
      <w:r>
        <w:rPr>
          <w:rStyle w:val="FootnoteReference"/>
          <w:rFonts w:eastAsia="Times New Roman" w:cs="David" w:hint="cs"/>
          <w:sz w:val="22"/>
          <w:rtl/>
          <w:lang w:eastAsia="he-IL"/>
        </w:rPr>
        <w:t xml:space="preserve"> </w:t>
      </w:r>
    </w:p>
    <w:p w:rsidR="00000000" w:rsidRDefault="008204F7">
      <w:pPr>
        <w:numPr>
          <w:ilvl w:val="0"/>
          <w:numId w:val="2"/>
        </w:numPr>
        <w:bidi/>
        <w:spacing w:before="120" w:line="360" w:lineRule="auto"/>
        <w:jc w:val="both"/>
        <w:divId w:val="2029796878"/>
        <w:rPr>
          <w:rFonts w:eastAsia="Times New Roman" w:cs="David"/>
          <w:lang w:eastAsia="he-IL"/>
        </w:rPr>
      </w:pPr>
      <w:r>
        <w:rPr>
          <w:rFonts w:eastAsia="Times New Roman" w:cs="David" w:hint="cs"/>
          <w:b/>
          <w:bCs/>
          <w:sz w:val="22"/>
          <w:rtl/>
          <w:lang w:eastAsia="he-IL"/>
        </w:rPr>
        <w:t>דור</w:t>
      </w:r>
      <w:r>
        <w:rPr>
          <w:rFonts w:eastAsia="Times New Roman" w:cs="David" w:hint="cs"/>
          <w:sz w:val="22"/>
          <w:rtl/>
          <w:lang w:eastAsia="he-IL"/>
        </w:rPr>
        <w:t xml:space="preserve"> – שותפות מוגבלת הנשלטת על ידי חברת</w:t>
      </w:r>
      <w:r>
        <w:rPr>
          <w:rFonts w:eastAsia="Times New Roman" w:cs="David" w:hint="cs"/>
          <w:sz w:val="22"/>
          <w:rtl/>
          <w:lang w:eastAsia="he-IL"/>
        </w:rPr>
        <w:t xml:space="preserve"> דור אלון בע"מ. לדור זכויות בפרויקטים 'תמר' ו'דלית', ופעילותה כוללת בנוסף בעלות בתחנות דלק וכן שיווק ואספקה של מוצרי דלק, הן לתחנות הדלק והן ללקוחות מוסדיים, תעשייתיים ופרטיים.</w:t>
      </w:r>
    </w:p>
    <w:p w:rsidR="00000000" w:rsidRDefault="008204F7">
      <w:pPr>
        <w:bidi/>
        <w:spacing w:before="120" w:line="360" w:lineRule="auto"/>
        <w:jc w:val="both"/>
        <w:divId w:val="2029796878"/>
        <w:rPr>
          <w:rFonts w:eastAsia="Times New Roman" w:cs="David"/>
          <w:sz w:val="22"/>
          <w:lang w:eastAsia="he-IL"/>
        </w:rPr>
      </w:pPr>
      <w:r>
        <w:rPr>
          <w:rFonts w:eastAsia="Times New Roman" w:cs="David" w:hint="cs"/>
          <w:b/>
          <w:bCs/>
          <w:sz w:val="22"/>
          <w:rtl/>
          <w:lang w:eastAsia="he-IL"/>
        </w:rPr>
        <w:t>הצרכנים</w:t>
      </w:r>
      <w:r>
        <w:rPr>
          <w:rFonts w:eastAsia="Times New Roman" w:cs="David" w:hint="cs"/>
          <w:sz w:val="22"/>
          <w:rtl/>
          <w:lang w:eastAsia="he-IL"/>
        </w:rPr>
        <w:t>:</w:t>
      </w:r>
    </w:p>
    <w:p w:rsidR="00000000" w:rsidRDefault="008204F7">
      <w:pPr>
        <w:bidi/>
        <w:spacing w:before="120" w:line="360" w:lineRule="auto"/>
        <w:jc w:val="both"/>
        <w:divId w:val="2029796878"/>
        <w:rPr>
          <w:rFonts w:eastAsia="Times New Roman" w:cs="David" w:hint="cs"/>
          <w:rtl/>
          <w:lang w:eastAsia="he-IL"/>
        </w:rPr>
      </w:pPr>
      <w:r>
        <w:rPr>
          <w:rFonts w:eastAsia="Times New Roman" w:cs="David" w:hint="cs"/>
          <w:sz w:val="22"/>
          <w:rtl/>
          <w:lang w:eastAsia="he-IL"/>
        </w:rPr>
        <w:t>רשימת הצרכנים שלעיל כוללת יצרני חשמל פרטיים, דוגמת חברת דוראד וחברת או</w:t>
      </w:r>
      <w:r>
        <w:rPr>
          <w:rFonts w:eastAsia="Times New Roman" w:cs="David" w:hint="cs"/>
          <w:sz w:val="22"/>
          <w:rtl/>
          <w:lang w:eastAsia="he-IL"/>
        </w:rPr>
        <w:t>.פי.סי, אשר הגז הטבעי משמש עבורם תשומה לייצור חשמל, המסופק דרך רשת החשמל הארצית ללקוחות פרטיים או לחברת החשמל לישראל בע"מ (להלן: "</w:t>
      </w:r>
      <w:r>
        <w:rPr>
          <w:rFonts w:eastAsia="Times New Roman" w:cs="David" w:hint="cs"/>
          <w:b/>
          <w:bCs/>
          <w:sz w:val="22"/>
          <w:rtl/>
          <w:lang w:eastAsia="he-IL"/>
        </w:rPr>
        <w:t>יח"פים</w:t>
      </w:r>
      <w:r>
        <w:rPr>
          <w:rFonts w:eastAsia="Times New Roman" w:cs="David" w:hint="cs"/>
          <w:sz w:val="22"/>
          <w:rtl/>
          <w:lang w:eastAsia="he-IL"/>
        </w:rPr>
        <w:t>"). יתר הצרכנים המופיעים ברשימה שלעיל הם מפעלי תעשייה עתירי אנרגיה, אשר הגז הטבעי משמש עבורם תשומה זולה וחלופית לדלקים כ</w:t>
      </w:r>
      <w:r>
        <w:rPr>
          <w:rFonts w:eastAsia="Times New Roman" w:cs="David" w:hint="cs"/>
          <w:sz w:val="22"/>
          <w:rtl/>
          <w:lang w:eastAsia="he-IL"/>
        </w:rPr>
        <w:t>גון מזוט וסולר לצרכי ייצור אנרגיה, ובכלל זה הפקת קיטור, ייצור חום או חשמל, לשימושם הפרטי (להלן: "</w:t>
      </w:r>
      <w:r>
        <w:rPr>
          <w:rFonts w:eastAsia="Times New Roman" w:cs="David" w:hint="cs"/>
          <w:b/>
          <w:bCs/>
          <w:sz w:val="22"/>
          <w:rtl/>
          <w:lang w:eastAsia="he-IL"/>
        </w:rPr>
        <w:t>מפעלי התעשייה</w:t>
      </w:r>
      <w:r>
        <w:rPr>
          <w:rFonts w:eastAsia="Times New Roman" w:cs="David" w:hint="cs"/>
          <w:sz w:val="22"/>
          <w:rtl/>
          <w:lang w:eastAsia="he-IL"/>
        </w:rPr>
        <w:t>").</w:t>
      </w:r>
    </w:p>
    <w:p w:rsidR="00000000" w:rsidRDefault="008204F7">
      <w:pPr>
        <w:numPr>
          <w:ilvl w:val="0"/>
          <w:numId w:val="1"/>
        </w:numPr>
        <w:bidi/>
        <w:spacing w:before="120" w:line="360" w:lineRule="auto"/>
        <w:ind w:left="360"/>
        <w:jc w:val="both"/>
        <w:divId w:val="2029796878"/>
        <w:rPr>
          <w:rFonts w:eastAsia="Times New Roman" w:cs="David"/>
          <w:b/>
          <w:bCs/>
          <w:color w:val="000000"/>
          <w:sz w:val="28"/>
          <w:szCs w:val="28"/>
          <w:lang w:eastAsia="he-IL"/>
        </w:rPr>
      </w:pPr>
      <w:r>
        <w:rPr>
          <w:rFonts w:eastAsia="Times New Roman" w:cs="David" w:hint="cs"/>
          <w:b/>
          <w:bCs/>
          <w:sz w:val="28"/>
          <w:szCs w:val="28"/>
          <w:rtl/>
          <w:lang w:eastAsia="he-IL"/>
        </w:rPr>
        <w:t>ההסדרים</w:t>
      </w:r>
      <w:r>
        <w:rPr>
          <w:rFonts w:eastAsia="Times New Roman" w:cs="David" w:hint="cs"/>
          <w:b/>
          <w:bCs/>
          <w:color w:val="000000"/>
          <w:sz w:val="28"/>
          <w:szCs w:val="28"/>
          <w:rtl/>
          <w:lang w:eastAsia="he-IL"/>
        </w:rPr>
        <w:t xml:space="preserve"> והכבילות בהם</w:t>
      </w:r>
    </w:p>
    <w:p w:rsidR="00000000" w:rsidRDefault="008204F7">
      <w:pPr>
        <w:bidi/>
        <w:spacing w:before="100" w:beforeAutospacing="1" w:after="100" w:afterAutospacing="1"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ההסכמים מסדירים את תנאי אספקת הגז הטבעי בין שותפות תמר לבין הצרכנים, למשך תקופות הנעות בין חמש-עשרה לשש-עשרה שנים, כך שאספקת הגז הטבעי לצרכנים מתמר מכוחם צפויה להימשך גם לאחר כניסתו הצפויה של ספק גז טבעי לשוק, שכאמור צפויה להתרחש בתוך ארבע שנים ממועד העברת</w:t>
      </w:r>
      <w:r>
        <w:rPr>
          <w:rFonts w:eastAsia="Times New Roman" w:cs="David" w:hint="cs"/>
          <w:color w:val="000000"/>
          <w:sz w:val="20"/>
          <w:rtl/>
          <w:lang w:eastAsia="he-IL"/>
        </w:rPr>
        <w:t xml:space="preserve"> הזכויות של דלק ונובל במאגרים 'כריש' ו'תנין'.</w:t>
      </w:r>
      <w:r>
        <w:rPr>
          <w:rStyle w:val="FootnoteReference"/>
          <w:rFonts w:eastAsia="Times New Roman" w:cs="David"/>
          <w:color w:val="000000"/>
          <w:sz w:val="20"/>
          <w:rtl/>
          <w:lang w:eastAsia="he-IL"/>
        </w:rPr>
        <w:footnoteReference w:id="8"/>
      </w:r>
      <w:r>
        <w:rPr>
          <w:rFonts w:eastAsia="Times New Roman" w:cs="David" w:hint="cs"/>
          <w:color w:val="000000"/>
          <w:sz w:val="20"/>
          <w:rtl/>
          <w:lang w:eastAsia="he-IL"/>
        </w:rPr>
        <w:t xml:space="preserve">  </w:t>
      </w:r>
    </w:p>
    <w:p w:rsidR="00000000" w:rsidRDefault="008204F7">
      <w:pPr>
        <w:bidi/>
        <w:spacing w:before="100" w:beforeAutospacing="1" w:after="100" w:afterAutospacing="1" w:line="360" w:lineRule="auto"/>
        <w:jc w:val="both"/>
        <w:divId w:val="2029796878"/>
        <w:rPr>
          <w:rFonts w:eastAsia="Times New Roman" w:cs="David" w:hint="cs"/>
          <w:color w:val="000000"/>
          <w:sz w:val="22"/>
          <w:rtl/>
          <w:lang w:eastAsia="he-IL"/>
        </w:rPr>
      </w:pPr>
      <w:r>
        <w:rPr>
          <w:rFonts w:eastAsia="Times New Roman" w:cs="David" w:hint="cs"/>
          <w:color w:val="000000"/>
          <w:sz w:val="20"/>
          <w:rtl/>
          <w:lang w:eastAsia="he-IL"/>
        </w:rPr>
        <w:t xml:space="preserve">המכנה המשותף להסכמים שבפניי הוא שלגבי חלק מתקופת ההסכם, כמות הגז המסופקת לצרכנים נעשית במתכונת אספקה בלתי יציבה. נסביר. </w:t>
      </w:r>
    </w:p>
    <w:p w:rsidR="00000000" w:rsidRDefault="008204F7">
      <w:pPr>
        <w:bidi/>
        <w:spacing w:before="100" w:beforeAutospacing="1" w:after="100" w:afterAutospacing="1" w:line="360" w:lineRule="auto"/>
        <w:jc w:val="both"/>
        <w:divId w:val="2029796878"/>
        <w:rPr>
          <w:rFonts w:eastAsia="Times New Roman" w:cs="David" w:hint="cs"/>
          <w:color w:val="000000"/>
          <w:sz w:val="22"/>
          <w:rtl/>
          <w:lang w:eastAsia="he-IL"/>
        </w:rPr>
      </w:pPr>
      <w:r>
        <w:rPr>
          <w:rFonts w:eastAsia="Times New Roman" w:cs="David" w:hint="cs"/>
          <w:color w:val="000000"/>
          <w:sz w:val="22"/>
          <w:rtl/>
          <w:lang w:eastAsia="he-IL"/>
        </w:rPr>
        <w:t xml:space="preserve">כפי שפורט בהחלטות הפטור הקודמות, במסגרת ההסכמים נקבעו שתי מתכונות אספקה: מתכונת אספקה </w:t>
      </w:r>
      <w:r>
        <w:rPr>
          <w:rFonts w:eastAsia="Times New Roman" w:cs="David" w:hint="cs"/>
          <w:color w:val="000000"/>
          <w:sz w:val="22"/>
          <w:rtl/>
          <w:lang w:eastAsia="he-IL"/>
        </w:rPr>
        <w:t xml:space="preserve">יציבה, לפיה שותפות תמר תספקנה לצרכנים כמות גז טבעי שנתית על בסיס יציב </w:t>
      </w:r>
      <w:r>
        <w:rPr>
          <w:rFonts w:eastAsia="Times New Roman" w:cs="David"/>
          <w:color w:val="000000"/>
          <w:lang w:eastAsia="he-IL"/>
        </w:rPr>
        <w:t>(</w:t>
      </w:r>
      <w:r>
        <w:rPr>
          <w:rFonts w:eastAsia="Times New Roman" w:cs="David"/>
          <w:color w:val="000000"/>
          <w:sz w:val="20"/>
          <w:lang w:eastAsia="he-IL"/>
        </w:rPr>
        <w:t>Firm Basis</w:t>
      </w:r>
      <w:r>
        <w:rPr>
          <w:rFonts w:eastAsia="Times New Roman" w:cs="David"/>
          <w:color w:val="000000"/>
          <w:lang w:eastAsia="he-IL"/>
        </w:rPr>
        <w:t>)</w:t>
      </w:r>
      <w:r>
        <w:rPr>
          <w:rFonts w:eastAsia="Times New Roman" w:cs="David" w:hint="cs"/>
          <w:color w:val="000000"/>
          <w:sz w:val="22"/>
          <w:rtl/>
          <w:lang w:eastAsia="he-IL"/>
        </w:rPr>
        <w:t xml:space="preserve"> בחלוקה לכמות אספקה על בסיס שעתי, יומי ושנתי כמפורט בכל אחד מההסכמים (להלן: "</w:t>
      </w:r>
      <w:r>
        <w:rPr>
          <w:rFonts w:eastAsia="Times New Roman" w:cs="David" w:hint="cs"/>
          <w:b/>
          <w:bCs/>
          <w:color w:val="000000"/>
          <w:sz w:val="22"/>
          <w:rtl/>
          <w:lang w:eastAsia="he-IL"/>
        </w:rPr>
        <w:t>אספקה במתכונת יציבה</w:t>
      </w:r>
      <w:r>
        <w:rPr>
          <w:rFonts w:eastAsia="Times New Roman" w:cs="David" w:hint="cs"/>
          <w:color w:val="000000"/>
          <w:sz w:val="22"/>
          <w:rtl/>
          <w:lang w:eastAsia="he-IL"/>
        </w:rPr>
        <w:t>"); ומתכונת אספקה בלתי יציבה (</w:t>
      </w:r>
      <w:r>
        <w:rPr>
          <w:rFonts w:eastAsia="Times New Roman" w:cs="David"/>
          <w:color w:val="000000"/>
          <w:sz w:val="20"/>
          <w:lang w:eastAsia="he-IL"/>
        </w:rPr>
        <w:t>Interruptible</w:t>
      </w:r>
      <w:r>
        <w:rPr>
          <w:rFonts w:eastAsia="Times New Roman" w:cs="David" w:hint="cs"/>
          <w:color w:val="000000"/>
          <w:sz w:val="22"/>
          <w:rtl/>
          <w:lang w:eastAsia="he-IL"/>
        </w:rPr>
        <w:t>), לפיה שותפות תמר תספקנה לצרכנים ג</w:t>
      </w:r>
      <w:r>
        <w:rPr>
          <w:rFonts w:eastAsia="Times New Roman" w:cs="David" w:hint="cs"/>
          <w:color w:val="000000"/>
          <w:sz w:val="22"/>
          <w:rtl/>
          <w:lang w:eastAsia="he-IL"/>
        </w:rPr>
        <w:t>ז טבעי שלא על בסיס ידוע מראש (להלן: "</w:t>
      </w:r>
      <w:r>
        <w:rPr>
          <w:rFonts w:eastAsia="Times New Roman" w:cs="David" w:hint="cs"/>
          <w:b/>
          <w:bCs/>
          <w:color w:val="000000"/>
          <w:sz w:val="22"/>
          <w:rtl/>
          <w:lang w:eastAsia="he-IL"/>
        </w:rPr>
        <w:t>אספקה במתכונת בלתי יציבה</w:t>
      </w:r>
      <w:r>
        <w:rPr>
          <w:rFonts w:eastAsia="Times New Roman" w:cs="David" w:hint="cs"/>
          <w:color w:val="000000"/>
          <w:sz w:val="22"/>
          <w:rtl/>
          <w:lang w:eastAsia="he-IL"/>
        </w:rPr>
        <w:t xml:space="preserve">"). </w:t>
      </w:r>
      <w:r>
        <w:rPr>
          <w:rFonts w:eastAsia="Times New Roman" w:cs="David" w:hint="cs"/>
          <w:color w:val="000000"/>
          <w:sz w:val="22"/>
          <w:rtl/>
          <w:lang w:eastAsia="he-IL"/>
        </w:rPr>
        <w:lastRenderedPageBreak/>
        <w:t>בכל אחד מההסכמים הוגדרו פרקי הזמן שבהם אספקת הגז הטבעי תהא על פי כל אחת משתי המתכונות הנ"ל. תקופת האספקה במתכונת בלתי יציבה תחל במועד אספקת הגז הטבעי לחברת דליה אנרגיות כח בע"מ (להלן: "</w:t>
      </w:r>
      <w:r>
        <w:rPr>
          <w:rFonts w:eastAsia="Times New Roman" w:cs="David" w:hint="cs"/>
          <w:b/>
          <w:bCs/>
          <w:color w:val="000000"/>
          <w:sz w:val="22"/>
          <w:rtl/>
          <w:lang w:eastAsia="he-IL"/>
        </w:rPr>
        <w:t>דליה</w:t>
      </w:r>
      <w:r>
        <w:rPr>
          <w:rFonts w:eastAsia="Times New Roman" w:cs="David" w:hint="cs"/>
          <w:color w:val="000000"/>
          <w:sz w:val="22"/>
          <w:rtl/>
          <w:lang w:eastAsia="he-IL"/>
        </w:rPr>
        <w:t>")</w:t>
      </w:r>
      <w:r>
        <w:rPr>
          <w:rFonts w:eastAsia="Times New Roman" w:cs="David" w:hint="cs"/>
          <w:color w:val="000000"/>
          <w:sz w:val="22"/>
          <w:rtl/>
          <w:lang w:eastAsia="he-IL"/>
        </w:rPr>
        <w:t>, שכבר החלה,</w:t>
      </w:r>
      <w:r>
        <w:rPr>
          <w:rStyle w:val="FootnoteReference"/>
          <w:rFonts w:eastAsia="Times New Roman" w:cs="David"/>
          <w:color w:val="000000"/>
          <w:sz w:val="22"/>
          <w:rtl/>
          <w:lang w:eastAsia="he-IL"/>
        </w:rPr>
        <w:footnoteReference w:id="9"/>
      </w:r>
      <w:r>
        <w:rPr>
          <w:rFonts w:eastAsia="Times New Roman" w:cs="David" w:hint="cs"/>
          <w:color w:val="000000"/>
          <w:sz w:val="22"/>
          <w:rtl/>
          <w:lang w:eastAsia="he-IL"/>
        </w:rPr>
        <w:t xml:space="preserve"> ותסתיים במועד שבו תורחב יכולת אספקת הגז הטבעי ממאגר תמר, או במועד בו שותפות תמר יודיעו לצרכנים כי ניתן יהיה לספק את כמויות הגז החוזיות על בסיס יציב, לפי המוקדם (להלן: "</w:t>
      </w:r>
      <w:r>
        <w:rPr>
          <w:rFonts w:eastAsia="Times New Roman" w:cs="David" w:hint="cs"/>
          <w:b/>
          <w:bCs/>
          <w:color w:val="000000"/>
          <w:sz w:val="22"/>
          <w:rtl/>
          <w:lang w:eastAsia="he-IL"/>
        </w:rPr>
        <w:t>תקופת האספקה במתכונת בלתי יציבה</w:t>
      </w:r>
      <w:r>
        <w:rPr>
          <w:rFonts w:eastAsia="Times New Roman" w:cs="David" w:hint="cs"/>
          <w:color w:val="000000"/>
          <w:sz w:val="22"/>
          <w:rtl/>
          <w:lang w:eastAsia="he-IL"/>
        </w:rPr>
        <w:t xml:space="preserve">"). </w:t>
      </w:r>
    </w:p>
    <w:p w:rsidR="00000000" w:rsidRDefault="008204F7">
      <w:pPr>
        <w:bidi/>
        <w:spacing w:before="100" w:beforeAutospacing="1" w:after="100" w:afterAutospacing="1" w:line="360" w:lineRule="auto"/>
        <w:jc w:val="both"/>
        <w:divId w:val="2029796878"/>
        <w:rPr>
          <w:rFonts w:eastAsia="Times New Roman" w:cs="David" w:hint="cs"/>
          <w:color w:val="000000"/>
          <w:sz w:val="22"/>
          <w:rtl/>
          <w:lang w:eastAsia="he-IL"/>
        </w:rPr>
      </w:pPr>
      <w:r>
        <w:rPr>
          <w:rFonts w:eastAsia="Times New Roman" w:cs="David" w:hint="cs"/>
          <w:color w:val="000000"/>
          <w:sz w:val="22"/>
          <w:rtl/>
          <w:lang w:eastAsia="he-IL"/>
        </w:rPr>
        <w:t>על פי ההסכמים, במהלך תקופת האספקה במתכ</w:t>
      </w:r>
      <w:r>
        <w:rPr>
          <w:rFonts w:eastAsia="Times New Roman" w:cs="David" w:hint="cs"/>
          <w:color w:val="000000"/>
          <w:sz w:val="22"/>
          <w:rtl/>
          <w:lang w:eastAsia="he-IL"/>
        </w:rPr>
        <w:t>ונת בלתי יציבה אספקת הגז הטבעי לצרכנים אלו היא בעדיפות משנית להתחייבויותיהן של שותפות תמר לאספקת גז טבעי על פי הסכמים קודמים עליהם חתמו, וכן להתחייבות לאספקת גז טבעי למספר צרכני גז טבעי של פרויקט 'ים תטיס' (להלן יחד: "</w:t>
      </w:r>
      <w:r>
        <w:rPr>
          <w:rFonts w:eastAsia="Times New Roman" w:cs="David" w:hint="cs"/>
          <w:b/>
          <w:bCs/>
          <w:color w:val="000000"/>
          <w:sz w:val="22"/>
          <w:rtl/>
          <w:lang w:eastAsia="he-IL"/>
        </w:rPr>
        <w:t>הסכמי אספקת הגז הקודמים</w:t>
      </w:r>
      <w:r>
        <w:rPr>
          <w:rFonts w:eastAsia="Times New Roman" w:cs="David" w:hint="cs"/>
          <w:color w:val="000000"/>
          <w:sz w:val="22"/>
          <w:rtl/>
          <w:lang w:eastAsia="he-IL"/>
        </w:rPr>
        <w:t>").</w:t>
      </w:r>
      <w:r>
        <w:rPr>
          <w:rStyle w:val="FootnoteReference"/>
          <w:rFonts w:eastAsia="Times New Roman" w:cs="David"/>
          <w:color w:val="000000"/>
          <w:sz w:val="22"/>
          <w:rtl/>
          <w:lang w:eastAsia="he-IL"/>
        </w:rPr>
        <w:footnoteReference w:id="10"/>
      </w:r>
      <w:r>
        <w:rPr>
          <w:rFonts w:eastAsia="Times New Roman" w:cs="David" w:hint="cs"/>
          <w:color w:val="000000"/>
          <w:sz w:val="22"/>
          <w:rtl/>
          <w:lang w:eastAsia="he-IL"/>
        </w:rPr>
        <w:t xml:space="preserve"> </w:t>
      </w:r>
    </w:p>
    <w:p w:rsidR="00000000" w:rsidRDefault="008204F7">
      <w:pPr>
        <w:bidi/>
        <w:spacing w:before="100" w:beforeAutospacing="1" w:after="100" w:afterAutospacing="1" w:line="360" w:lineRule="auto"/>
        <w:jc w:val="both"/>
        <w:divId w:val="2029796878"/>
        <w:rPr>
          <w:rFonts w:eastAsia="Times New Roman" w:cs="David" w:hint="cs"/>
          <w:color w:val="000000"/>
          <w:rtl/>
          <w:lang w:eastAsia="he-IL"/>
        </w:rPr>
      </w:pPr>
      <w:r>
        <w:rPr>
          <w:rFonts w:eastAsia="Times New Roman" w:cs="David" w:hint="cs"/>
          <w:color w:val="000000"/>
          <w:sz w:val="22"/>
          <w:rtl/>
          <w:lang w:eastAsia="he-IL"/>
        </w:rPr>
        <w:t>כל אחד מה</w:t>
      </w:r>
      <w:r>
        <w:rPr>
          <w:rFonts w:eastAsia="Times New Roman" w:cs="David" w:hint="cs"/>
          <w:color w:val="000000"/>
          <w:sz w:val="22"/>
          <w:rtl/>
          <w:lang w:eastAsia="he-IL"/>
        </w:rPr>
        <w:t xml:space="preserve">הסכמים שבפניי כולל התחייבות מצד הצרכנים לשלם עבור כמות גז מינימלית אף בהיעדר צריכה בפועל </w:t>
      </w:r>
      <w:r>
        <w:rPr>
          <w:rFonts w:eastAsia="Times New Roman" w:cs="David" w:hint="cs"/>
          <w:color w:val="000000"/>
          <w:rtl/>
          <w:lang w:eastAsia="he-IL"/>
        </w:rPr>
        <w:t xml:space="preserve">בדמות תניית </w:t>
      </w:r>
      <w:r>
        <w:rPr>
          <w:rFonts w:eastAsia="Times New Roman" w:cs="David"/>
          <w:color w:val="000000"/>
          <w:sz w:val="20"/>
          <w:lang w:eastAsia="he-IL"/>
        </w:rPr>
        <w:t>Take or Pay</w:t>
      </w:r>
      <w:r>
        <w:rPr>
          <w:rFonts w:eastAsia="Times New Roman" w:cs="David" w:hint="cs"/>
          <w:color w:val="000000"/>
          <w:rtl/>
          <w:lang w:eastAsia="he-IL"/>
        </w:rPr>
        <w:t xml:space="preserve">, בשיעור שבין 60%-80% מכמות מתואמת שנתית הקבועה בכל אחד מן ההסכמים. על פי ההסכמים, תניית ה- </w:t>
      </w:r>
      <w:r>
        <w:rPr>
          <w:rFonts w:eastAsia="Times New Roman" w:cs="David"/>
          <w:color w:val="000000"/>
          <w:sz w:val="20"/>
          <w:lang w:eastAsia="he-IL"/>
        </w:rPr>
        <w:t>Take or Pay</w:t>
      </w:r>
      <w:r>
        <w:rPr>
          <w:rFonts w:eastAsia="Times New Roman" w:cs="David" w:hint="cs"/>
          <w:color w:val="000000"/>
          <w:rtl/>
          <w:lang w:eastAsia="he-IL"/>
        </w:rPr>
        <w:t xml:space="preserve"> לא תחול במהלך תקופת האספקה במתכונת בלתי </w:t>
      </w:r>
      <w:r>
        <w:rPr>
          <w:rFonts w:eastAsia="Times New Roman" w:cs="David" w:hint="cs"/>
          <w:color w:val="000000"/>
          <w:rtl/>
          <w:lang w:eastAsia="he-IL"/>
        </w:rPr>
        <w:t xml:space="preserve">יציבה, אולם תמר רשאית, בחלוף פרק זמן מסוים שנקבע בהסכמים, לדרוש יישום תניית </w:t>
      </w:r>
      <w:r>
        <w:rPr>
          <w:rFonts w:eastAsia="Times New Roman" w:cs="David"/>
          <w:color w:val="000000"/>
          <w:sz w:val="20"/>
          <w:lang w:eastAsia="he-IL"/>
        </w:rPr>
        <w:t>Take or Pay</w:t>
      </w:r>
      <w:r>
        <w:rPr>
          <w:rFonts w:eastAsia="Times New Roman" w:cs="David" w:hint="cs"/>
          <w:color w:val="000000"/>
          <w:sz w:val="20"/>
          <w:rtl/>
          <w:lang w:eastAsia="he-IL"/>
        </w:rPr>
        <w:t xml:space="preserve"> </w:t>
      </w:r>
      <w:r>
        <w:rPr>
          <w:rFonts w:eastAsia="Times New Roman" w:cs="David" w:hint="cs"/>
          <w:color w:val="000000"/>
          <w:rtl/>
          <w:lang w:eastAsia="he-IL"/>
        </w:rPr>
        <w:t>למשך שארית תקופת האספקה במתכונת בלתי יציבה, בכפוף להתאמות הנדרשות ביחס לכמות הגז הטבעי אשר טרם סופקה לצרכנים ובכפוף לכמות הגז הטבעי אשר ביכולתן של שותפות תמר לספק על בס</w:t>
      </w:r>
      <w:r>
        <w:rPr>
          <w:rFonts w:eastAsia="Times New Roman" w:cs="David" w:hint="cs"/>
          <w:color w:val="000000"/>
          <w:rtl/>
          <w:lang w:eastAsia="he-IL"/>
        </w:rPr>
        <w:t xml:space="preserve">יס יציב. </w:t>
      </w:r>
    </w:p>
    <w:p w:rsidR="00000000" w:rsidRDefault="008204F7">
      <w:pPr>
        <w:bidi/>
        <w:spacing w:before="120" w:line="360" w:lineRule="auto"/>
        <w:jc w:val="both"/>
        <w:divId w:val="2029796878"/>
        <w:rPr>
          <w:rFonts w:eastAsia="Times New Roman" w:cs="David" w:hint="cs"/>
          <w:color w:val="000000"/>
          <w:rtl/>
          <w:lang w:eastAsia="he-IL"/>
        </w:rPr>
      </w:pPr>
      <w:r>
        <w:rPr>
          <w:rFonts w:eastAsia="Times New Roman" w:cs="David" w:hint="cs"/>
          <w:color w:val="000000"/>
          <w:rtl/>
          <w:lang w:eastAsia="he-IL"/>
        </w:rPr>
        <w:t xml:space="preserve">חלק מההסכמים כוללים תניה המגבילה את הצרכנים מלהתקשר עם ספקי גז אחרים במהלך תקופת האספקה במתכונת בלתי יציבה, ביחס לכמויות הגז הטבעי הכלולות בהם. על פי תניה זו, שותפות תמר רשאיות לסיים את ההתקשרות עם הצרכנים, במידה שבמהלך תקופת האספקה במתכונת בלתי </w:t>
      </w:r>
      <w:r>
        <w:rPr>
          <w:rFonts w:eastAsia="Times New Roman" w:cs="David" w:hint="cs"/>
          <w:color w:val="000000"/>
          <w:rtl/>
          <w:lang w:eastAsia="he-IL"/>
        </w:rPr>
        <w:t xml:space="preserve">יציבה יתקשרו עם ספק גז אחר בהסכם לרכישת גז טבעי במתכונת אספקה יציבה למשך תקופה העולה על שנתיים. </w:t>
      </w:r>
    </w:p>
    <w:p w:rsidR="00000000" w:rsidRDefault="008204F7">
      <w:pPr>
        <w:bidi/>
        <w:spacing w:before="120" w:line="360" w:lineRule="auto"/>
        <w:jc w:val="both"/>
        <w:divId w:val="2029796878"/>
        <w:rPr>
          <w:rFonts w:eastAsia="Times New Roman" w:cs="David" w:hint="cs"/>
          <w:color w:val="000000"/>
          <w:sz w:val="22"/>
          <w:rtl/>
          <w:lang w:eastAsia="he-IL"/>
        </w:rPr>
      </w:pPr>
      <w:r>
        <w:rPr>
          <w:rFonts w:eastAsia="Times New Roman" w:cs="David" w:hint="cs"/>
          <w:color w:val="000000"/>
          <w:sz w:val="22"/>
          <w:rtl/>
          <w:lang w:eastAsia="he-IL"/>
        </w:rPr>
        <w:t>כמו כן, בהסכמים שבפניי, בנוסחם הנוכחי, נכללת הוראה המתירה לצרכנים למכור במכירת משנה לצרכני רשת החלוקה</w:t>
      </w:r>
      <w:r>
        <w:rPr>
          <w:rStyle w:val="FootnoteReference"/>
          <w:rFonts w:eastAsia="Times New Roman" w:cs="David"/>
          <w:color w:val="000000"/>
          <w:rtl/>
          <w:lang w:eastAsia="he-IL"/>
        </w:rPr>
        <w:footnoteReference w:id="11"/>
      </w:r>
      <w:r>
        <w:rPr>
          <w:rFonts w:eastAsia="Times New Roman" w:cs="David" w:hint="cs"/>
          <w:color w:val="000000"/>
          <w:rtl/>
          <w:lang w:eastAsia="he-IL"/>
        </w:rPr>
        <w:t xml:space="preserve"> </w:t>
      </w:r>
      <w:r>
        <w:rPr>
          <w:rFonts w:eastAsia="Times New Roman" w:cs="David" w:hint="cs"/>
          <w:color w:val="000000"/>
          <w:sz w:val="22"/>
          <w:rtl/>
          <w:lang w:eastAsia="he-IL"/>
        </w:rPr>
        <w:t xml:space="preserve">כמות גז טבעי לפי הגבוה מבין השניים: היקף של 15% מכמות הגז השנתית </w:t>
      </w:r>
      <w:r>
        <w:rPr>
          <w:rFonts w:eastAsia="Times New Roman" w:cs="David" w:hint="cs"/>
          <w:color w:val="000000"/>
          <w:sz w:val="22"/>
          <w:rtl/>
          <w:lang w:eastAsia="he-IL"/>
        </w:rPr>
        <w:lastRenderedPageBreak/>
        <w:t xml:space="preserve">בהסכם, או, במצב שבו </w:t>
      </w:r>
      <w:r>
        <w:rPr>
          <w:rFonts w:cs="David" w:hint="cs"/>
          <w:rtl/>
        </w:rPr>
        <w:t xml:space="preserve">הצרכן </w:t>
      </w:r>
      <w:r>
        <w:rPr>
          <w:rFonts w:eastAsia="Times New Roman" w:cs="David" w:hint="cs"/>
          <w:rtl/>
          <w:lang w:eastAsia="he-IL"/>
        </w:rPr>
        <w:t xml:space="preserve">לא ניצל את מלוא הכמות עליה התחייב הצרכן לשלם מתוקף תניית </w:t>
      </w:r>
      <w:r>
        <w:rPr>
          <w:rFonts w:eastAsia="Times New Roman" w:cs="David"/>
          <w:color w:val="000000"/>
          <w:sz w:val="20"/>
          <w:lang w:eastAsia="he-IL"/>
        </w:rPr>
        <w:t>Take or Pay</w:t>
      </w:r>
      <w:r>
        <w:rPr>
          <w:rFonts w:eastAsia="Times New Roman" w:cs="David" w:hint="cs"/>
          <w:rtl/>
          <w:lang w:eastAsia="he-IL"/>
        </w:rPr>
        <w:t>, הוא יוכל למכור גז טבעי במכירה משנית עד לכמות זו, אף אם כמות הגז שתותר לו למכור במכירה משנית תעל</w:t>
      </w:r>
      <w:r>
        <w:rPr>
          <w:rFonts w:eastAsia="Times New Roman" w:cs="David" w:hint="cs"/>
          <w:rtl/>
          <w:lang w:eastAsia="he-IL"/>
        </w:rPr>
        <w:t>ה על 15% מהכמות השנתית לאותה שנה.</w:t>
      </w:r>
      <w:r>
        <w:rPr>
          <w:rFonts w:eastAsia="Times New Roman" w:cs="David" w:hint="cs"/>
          <w:color w:val="000000"/>
          <w:sz w:val="22"/>
          <w:rtl/>
          <w:lang w:eastAsia="he-IL"/>
        </w:rPr>
        <w:t xml:space="preserve"> </w:t>
      </w:r>
    </w:p>
    <w:p w:rsidR="00000000" w:rsidRDefault="008204F7">
      <w:pPr>
        <w:bidi/>
        <w:spacing w:before="120" w:line="360" w:lineRule="auto"/>
        <w:jc w:val="both"/>
        <w:divId w:val="2029796878"/>
        <w:rPr>
          <w:rFonts w:eastAsia="Times New Roman" w:cs="David" w:hint="cs"/>
          <w:b/>
          <w:bCs/>
          <w:sz w:val="28"/>
          <w:szCs w:val="28"/>
          <w:rtl/>
          <w:lang w:eastAsia="he-IL"/>
        </w:rPr>
      </w:pPr>
      <w:r>
        <w:rPr>
          <w:rFonts w:eastAsia="Times New Roman" w:cs="David" w:hint="cs"/>
          <w:color w:val="000000"/>
          <w:sz w:val="22"/>
          <w:rtl/>
          <w:lang w:eastAsia="he-IL"/>
        </w:rPr>
        <w:t>בנוסף, על פי ההסכמים, האפשרות העומדת בפני הצרכנים למכור גז טבעי במכירת משנה היא לצרכני חלוקה בלבד.</w:t>
      </w:r>
      <w:r>
        <w:rPr>
          <w:rFonts w:eastAsia="Times New Roman" w:cs="David" w:hint="cs"/>
          <w:color w:val="000000"/>
          <w:sz w:val="20"/>
          <w:rtl/>
          <w:lang w:eastAsia="he-IL"/>
        </w:rPr>
        <w:t xml:space="preserve"> </w:t>
      </w:r>
    </w:p>
    <w:p w:rsidR="00000000" w:rsidRDefault="008204F7">
      <w:pPr>
        <w:numPr>
          <w:ilvl w:val="0"/>
          <w:numId w:val="1"/>
        </w:numPr>
        <w:bidi/>
        <w:spacing w:before="120" w:line="360" w:lineRule="auto"/>
        <w:ind w:left="360"/>
        <w:jc w:val="both"/>
        <w:divId w:val="2029796878"/>
        <w:rPr>
          <w:rFonts w:eastAsia="Times New Roman" w:cs="David"/>
          <w:b/>
          <w:bCs/>
          <w:sz w:val="28"/>
          <w:szCs w:val="28"/>
          <w:lang w:eastAsia="he-IL"/>
        </w:rPr>
      </w:pPr>
      <w:r>
        <w:rPr>
          <w:rFonts w:eastAsia="Times New Roman" w:cs="David" w:hint="cs"/>
          <w:b/>
          <w:bCs/>
          <w:sz w:val="28"/>
          <w:szCs w:val="28"/>
          <w:rtl/>
          <w:lang w:eastAsia="he-IL"/>
        </w:rPr>
        <w:t>השפעת ההסדר על התחרות</w:t>
      </w:r>
    </w:p>
    <w:p w:rsidR="00000000" w:rsidRDefault="008204F7">
      <w:pPr>
        <w:bidi/>
        <w:spacing w:before="120" w:after="100" w:afterAutospacing="1" w:line="360" w:lineRule="auto"/>
        <w:jc w:val="both"/>
        <w:divId w:val="2029796878"/>
        <w:rPr>
          <w:rFonts w:eastAsia="Times New Roman" w:cs="David" w:hint="cs"/>
          <w:color w:val="000000"/>
          <w:rtl/>
          <w:lang w:eastAsia="he-IL"/>
        </w:rPr>
      </w:pPr>
      <w:r>
        <w:rPr>
          <w:rFonts w:eastAsia="Times New Roman" w:cs="David" w:hint="cs"/>
          <w:color w:val="000000"/>
          <w:sz w:val="22"/>
          <w:rtl/>
          <w:lang w:eastAsia="he-IL"/>
        </w:rPr>
        <w:t>החששות התחרותיים שההסכמים מקימים קשורים בעיקרם לשוק הגז הטבעי ואספקתו, וזאת נוכח משכם הארוך של ההסכ</w:t>
      </w:r>
      <w:r>
        <w:rPr>
          <w:rFonts w:eastAsia="Times New Roman" w:cs="David" w:hint="cs"/>
          <w:color w:val="000000"/>
          <w:sz w:val="22"/>
          <w:rtl/>
          <w:lang w:eastAsia="he-IL"/>
        </w:rPr>
        <w:t xml:space="preserve">מים וכמות הגז שהצרכנים מתחייבים לרכוש במסגרתם מתוקף </w:t>
      </w:r>
      <w:r>
        <w:rPr>
          <w:rFonts w:eastAsia="Times New Roman" w:cs="David" w:hint="cs"/>
          <w:color w:val="000000"/>
          <w:rtl/>
          <w:lang w:eastAsia="he-IL"/>
        </w:rPr>
        <w:t>תניות ה-</w:t>
      </w:r>
      <w:r>
        <w:rPr>
          <w:rFonts w:eastAsia="Times New Roman" w:cs="David"/>
          <w:color w:val="000000"/>
          <w:sz w:val="20"/>
          <w:lang w:eastAsia="he-IL"/>
        </w:rPr>
        <w:t>Take or Pay</w:t>
      </w:r>
      <w:r>
        <w:rPr>
          <w:rFonts w:eastAsia="Times New Roman" w:cs="David" w:hint="cs"/>
          <w:color w:val="000000"/>
          <w:rtl/>
          <w:lang w:eastAsia="he-IL"/>
        </w:rPr>
        <w:t>. החשש הוא שהסכמים אלה צפויים לחסום את מרבית הביקוש של הצרכנים לגז טבעי בשנים הקרובות ולהקשות בכך על כניסתו של ספק גז עצמאי נוסף למשק. חששות אלה והתנאים להפגתם, פורטו בהחלטות הפטור הקוד</w:t>
      </w:r>
      <w:r>
        <w:rPr>
          <w:rFonts w:eastAsia="Times New Roman" w:cs="David" w:hint="cs"/>
          <w:color w:val="000000"/>
          <w:rtl/>
          <w:lang w:eastAsia="he-IL"/>
        </w:rPr>
        <w:t xml:space="preserve">מות, ואינני רואה צורך להרחיב על כך במסגרת החלטה זו, בין היתר נוכח הטמעת חלק מן התנאים שנקבעו שם בהסכמים דנן.  </w:t>
      </w:r>
    </w:p>
    <w:p w:rsidR="00000000" w:rsidRDefault="008204F7">
      <w:pPr>
        <w:bidi/>
        <w:spacing w:before="120" w:after="100" w:afterAutospacing="1" w:line="360" w:lineRule="auto"/>
        <w:jc w:val="both"/>
        <w:divId w:val="2029796878"/>
        <w:rPr>
          <w:rFonts w:eastAsia="Times New Roman" w:cs="David" w:hint="cs"/>
          <w:color w:val="000000"/>
          <w:rtl/>
          <w:lang w:eastAsia="he-IL"/>
        </w:rPr>
      </w:pPr>
      <w:r>
        <w:rPr>
          <w:rFonts w:eastAsia="Times New Roman" w:cs="David" w:hint="cs"/>
          <w:color w:val="000000"/>
          <w:rtl/>
          <w:lang w:eastAsia="he-IL"/>
        </w:rPr>
        <w:t>אף על פי שבכל אחד מההסכמים שבפניי הוטמע התנאי שנקבע בהחלטות הפטור הקודמות באשר להפחתת כמות הגז הטבעי הנצרכת על ידי הצרכנים (להלן: "</w:t>
      </w:r>
      <w:r>
        <w:rPr>
          <w:rFonts w:eastAsia="Times New Roman" w:cs="David" w:hint="cs"/>
          <w:b/>
          <w:bCs/>
          <w:color w:val="000000"/>
          <w:rtl/>
          <w:lang w:eastAsia="he-IL"/>
        </w:rPr>
        <w:t>ההודעה בדבר הפ</w:t>
      </w:r>
      <w:r>
        <w:rPr>
          <w:rFonts w:eastAsia="Times New Roman" w:cs="David" w:hint="cs"/>
          <w:b/>
          <w:bCs/>
          <w:color w:val="000000"/>
          <w:rtl/>
          <w:lang w:eastAsia="he-IL"/>
        </w:rPr>
        <w:t>חתת הכמות</w:t>
      </w:r>
      <w:r>
        <w:rPr>
          <w:rFonts w:eastAsia="Times New Roman" w:cs="David" w:hint="cs"/>
          <w:color w:val="000000"/>
          <w:rtl/>
          <w:lang w:eastAsia="he-IL"/>
        </w:rPr>
        <w:t>"), הרי שבהתאם להחלטת הממשלה ולהערכות הגורמים המקצועיים בממשלה ביחס לכניסתו של ספק גז טבעי נוסף לשוק, יש לעדכן את חלון הזמנים ביחס למועד מתן ההודעה בדבר הפחתת הכמות. כך, חלף חלון הזמנים שנקבע בסעיף 1.ב לתנאי החלטות הפטור הקודמות, הצרכנים יוכלו למס</w:t>
      </w:r>
      <w:r>
        <w:rPr>
          <w:rFonts w:eastAsia="Times New Roman" w:cs="David" w:hint="cs"/>
          <w:color w:val="000000"/>
          <w:rtl/>
          <w:lang w:eastAsia="he-IL"/>
        </w:rPr>
        <w:t xml:space="preserve">ור לשותפות תמר הודעה בדבר הפחתת הכמות בכל עת במהלך התקופה </w:t>
      </w:r>
      <w:r>
        <w:rPr>
          <w:rFonts w:cs="David" w:hint="cs"/>
          <w:rtl/>
        </w:rPr>
        <w:t xml:space="preserve">שראשיתה בתחילת השנה החמישית ממועד אספקת הגז הטבעי לכל אחד מהצרכנים וסיומה בתום השנה השביעית כאמור או בתקופה שבין ה-1 בינואר 2020 ועד ל-31 בדצמבר 2022, לפי המאוחר. חלון הזמנים המעודכן </w:t>
      </w:r>
      <w:r>
        <w:rPr>
          <w:rFonts w:eastAsia="Times New Roman" w:cs="David" w:hint="cs"/>
          <w:rtl/>
          <w:lang w:eastAsia="he-IL"/>
        </w:rPr>
        <w:t xml:space="preserve">נסמך על ההערכה </w:t>
      </w:r>
      <w:r>
        <w:rPr>
          <w:rFonts w:eastAsia="Times New Roman" w:cs="David" w:hint="cs"/>
          <w:rtl/>
          <w:lang w:eastAsia="he-IL"/>
        </w:rPr>
        <w:t xml:space="preserve">לפיה עד למועד זה תחל הפקת גז מסחרית </w:t>
      </w:r>
      <w:r>
        <w:rPr>
          <w:rFonts w:eastAsia="Times New Roman" w:cs="David" w:hint="cs"/>
          <w:color w:val="000000"/>
          <w:rtl/>
          <w:lang w:eastAsia="he-IL"/>
        </w:rPr>
        <w:t>במאגרים 'כריש' ו'תנין'. יחד עם זאת, מטבע הדברים מועד זה עשוי להתעדכן בהתאם להתפתחויות.</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נוסף על האמור, בהחלטות הפטור הקודמות הוסברה בהרחבה החשיבות הקיימת בנסיבות הנוכחיות ביצירת שוק משני לגז טבעי, שבמסגרתו יוכלו צרכני הגז</w:t>
      </w:r>
      <w:r>
        <w:rPr>
          <w:rFonts w:eastAsia="Times New Roman" w:cs="David" w:hint="cs"/>
          <w:color w:val="000000"/>
          <w:sz w:val="20"/>
          <w:rtl/>
          <w:lang w:eastAsia="he-IL"/>
        </w:rPr>
        <w:t xml:space="preserve"> המשמעותיים להתחרות בשותפות תמר במכירת גז לצרכני רשת החלוקה, וכן תוארה החשיבות שבהענקת גמישות מסוימת לצרכני גז אלה. דברים אלה יפים לא רק ביחס למכירה משנית של גז טבעי לצרכני רשת החלוקה, אלא גם ביחס למכירה משנית לצרכני ההולכה.</w:t>
      </w:r>
      <w:r>
        <w:rPr>
          <w:rStyle w:val="FootnoteReference"/>
          <w:rFonts w:eastAsia="Times New Roman" w:cs="David"/>
          <w:color w:val="000000"/>
          <w:sz w:val="20"/>
          <w:rtl/>
          <w:lang w:eastAsia="he-IL"/>
        </w:rPr>
        <w:footnoteReference w:id="12"/>
      </w:r>
      <w:r>
        <w:rPr>
          <w:rFonts w:eastAsia="Times New Roman" w:cs="David" w:hint="cs"/>
          <w:color w:val="000000"/>
          <w:sz w:val="20"/>
          <w:rtl/>
          <w:lang w:eastAsia="he-IL"/>
        </w:rPr>
        <w:t xml:space="preserve">  על כן, על-פי התנאים שלהלן, לצ</w:t>
      </w:r>
      <w:r>
        <w:rPr>
          <w:rFonts w:eastAsia="Times New Roman" w:cs="David" w:hint="cs"/>
          <w:color w:val="000000"/>
          <w:sz w:val="20"/>
          <w:rtl/>
          <w:lang w:eastAsia="he-IL"/>
        </w:rPr>
        <w:t xml:space="preserve">רכנים יתאפשר למכור גז טבעי הן לצרכני רשת החלוקה והן לצרכני רשת ההולכה של הגז הטבעי, וזאת </w:t>
      </w:r>
      <w:r>
        <w:rPr>
          <w:rFonts w:eastAsia="Times New Roman" w:cs="David" w:hint="cs"/>
          <w:rtl/>
          <w:lang w:eastAsia="he-IL"/>
        </w:rPr>
        <w:t xml:space="preserve">עד למיצוי כמות הגז הקבועה בתניית </w:t>
      </w:r>
      <w:r>
        <w:rPr>
          <w:rFonts w:eastAsia="Times New Roman" w:cs="David"/>
          <w:color w:val="000000"/>
          <w:lang w:eastAsia="he-IL"/>
        </w:rPr>
        <w:t>Take or Pay</w:t>
      </w:r>
      <w:r>
        <w:rPr>
          <w:rFonts w:eastAsia="Times New Roman" w:cs="David" w:hint="cs"/>
          <w:rtl/>
          <w:lang w:eastAsia="he-IL"/>
        </w:rPr>
        <w:t>, ללא מגבלה ומבלי שינוי בתנאים המסחריים בהסכם</w:t>
      </w:r>
      <w:r>
        <w:rPr>
          <w:rFonts w:eastAsia="Times New Roman" w:cs="David" w:hint="cs"/>
          <w:color w:val="000000"/>
          <w:sz w:val="20"/>
          <w:rtl/>
          <w:lang w:eastAsia="he-IL"/>
        </w:rPr>
        <w:t>.</w:t>
      </w:r>
      <w:r>
        <w:rPr>
          <w:rStyle w:val="FootnoteReference"/>
          <w:rFonts w:eastAsia="Times New Roman" w:cs="David" w:hint="cs"/>
          <w:color w:val="000000"/>
          <w:sz w:val="20"/>
          <w:rtl/>
          <w:lang w:eastAsia="he-IL"/>
        </w:rPr>
        <w:t xml:space="preserve"> </w:t>
      </w:r>
    </w:p>
    <w:p w:rsidR="00000000" w:rsidRDefault="008204F7">
      <w:pPr>
        <w:bidi/>
        <w:spacing w:before="120" w:line="360" w:lineRule="auto"/>
        <w:jc w:val="both"/>
        <w:divId w:val="2029796878"/>
        <w:rPr>
          <w:rFonts w:eastAsia="Times New Roman" w:cs="David" w:hint="cs"/>
          <w:color w:val="000000"/>
          <w:sz w:val="22"/>
          <w:rtl/>
          <w:lang w:eastAsia="he-IL"/>
        </w:rPr>
      </w:pPr>
      <w:r>
        <w:rPr>
          <w:rFonts w:eastAsia="Times New Roman" w:cs="David" w:hint="cs"/>
          <w:color w:val="000000"/>
          <w:sz w:val="20"/>
          <w:rtl/>
          <w:lang w:eastAsia="he-IL"/>
        </w:rPr>
        <w:t xml:space="preserve">בנוסף, </w:t>
      </w:r>
      <w:r>
        <w:rPr>
          <w:rFonts w:eastAsia="Times New Roman" w:cs="David" w:hint="cs"/>
          <w:rtl/>
          <w:lang w:eastAsia="he-IL"/>
        </w:rPr>
        <w:t xml:space="preserve">מקום בו הפער בין כמות הגז הטבעי אותה מתחייב הצרכן לרכוש משותפות תמר מתוקף תניית </w:t>
      </w:r>
      <w:r>
        <w:rPr>
          <w:rFonts w:eastAsia="Times New Roman" w:cs="David"/>
          <w:color w:val="000000"/>
          <w:lang w:eastAsia="he-IL"/>
        </w:rPr>
        <w:t>Take or Pay</w:t>
      </w:r>
      <w:r>
        <w:rPr>
          <w:rFonts w:eastAsia="Times New Roman" w:cs="David" w:hint="cs"/>
          <w:color w:val="000000"/>
          <w:rtl/>
          <w:lang w:eastAsia="he-IL"/>
        </w:rPr>
        <w:t xml:space="preserve"> </w:t>
      </w:r>
      <w:r>
        <w:rPr>
          <w:rFonts w:eastAsia="Times New Roman" w:cs="David" w:hint="cs"/>
          <w:rtl/>
          <w:lang w:eastAsia="he-IL"/>
        </w:rPr>
        <w:t xml:space="preserve">לבין כמות הגז הטבעי שיצרוך צרכן הגז בפועל קטן מהכמות השווה למכפלת </w:t>
      </w:r>
      <w:r>
        <w:rPr>
          <w:rFonts w:eastAsia="Times New Roman" w:cs="David" w:hint="cs"/>
          <w:rtl/>
          <w:lang w:eastAsia="he-IL"/>
        </w:rPr>
        <w:lastRenderedPageBreak/>
        <w:t>כמות הגז השנתית הקבועה בהסכם ב-15%, לצרכן</w:t>
      </w:r>
      <w:r>
        <w:rPr>
          <w:rFonts w:eastAsia="Times New Roman" w:cs="David" w:hint="cs"/>
          <w:color w:val="000000"/>
          <w:sz w:val="20"/>
          <w:rtl/>
          <w:lang w:eastAsia="he-IL"/>
        </w:rPr>
        <w:t xml:space="preserve"> יתאפשר למכור גז טבעי לצרכני הולכה וחלוקה בהיקף של לפחות </w:t>
      </w:r>
      <w:r>
        <w:rPr>
          <w:rFonts w:eastAsia="Times New Roman" w:cs="David" w:hint="cs"/>
          <w:color w:val="000000"/>
          <w:sz w:val="20"/>
          <w:rtl/>
          <w:lang w:eastAsia="he-IL"/>
        </w:rPr>
        <w:t xml:space="preserve">15% מכמות הגז השנתית הקבועה בהסכם, גם אם לצורך כך תחרוג כמות הגז הנצרכת מהכמות שנקבעה בתניית </w:t>
      </w:r>
      <w:r>
        <w:rPr>
          <w:rFonts w:eastAsia="Times New Roman" w:cs="David"/>
          <w:color w:val="000000"/>
          <w:lang w:eastAsia="he-IL"/>
        </w:rPr>
        <w:t>Take or Pay</w:t>
      </w:r>
      <w:r>
        <w:rPr>
          <w:rFonts w:eastAsia="Times New Roman" w:cs="David" w:hint="cs"/>
          <w:rtl/>
          <w:lang w:eastAsia="he-IL"/>
        </w:rPr>
        <w:t>, במטרה לאפשר מכירה של גז בהיקף מינימלי על-ידי הצרכן.</w:t>
      </w:r>
      <w:r>
        <w:rPr>
          <w:rFonts w:eastAsia="Times New Roman" w:cs="David" w:hint="cs"/>
          <w:color w:val="000000"/>
          <w:sz w:val="20"/>
          <w:rtl/>
          <w:lang w:eastAsia="he-IL"/>
        </w:rPr>
        <w:t xml:space="preserve"> הכל, ללא שינוי בתנאים המסחריים שנקבעו בין הצדדים.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כן יובהר, כי כמות הגז הטבעי שתירכש ותימכר על יד</w:t>
      </w:r>
      <w:r>
        <w:rPr>
          <w:rFonts w:eastAsia="Times New Roman" w:cs="David" w:hint="cs"/>
          <w:color w:val="000000"/>
          <w:sz w:val="20"/>
          <w:rtl/>
          <w:lang w:eastAsia="he-IL"/>
        </w:rPr>
        <w:t xml:space="preserve">י הצרכנים במכירת משנה תיחשב כצריכה עצמית לצורך חישוב הכמות המינימאלית לרכישה בתניית </w:t>
      </w:r>
      <w:r>
        <w:rPr>
          <w:rFonts w:eastAsia="Times New Roman" w:cs="David"/>
          <w:color w:val="000000"/>
          <w:lang w:eastAsia="he-IL"/>
        </w:rPr>
        <w:t>Take or Pay</w:t>
      </w:r>
      <w:r>
        <w:rPr>
          <w:rFonts w:eastAsia="Times New Roman" w:cs="David" w:hint="cs"/>
          <w:color w:val="000000"/>
          <w:sz w:val="20"/>
          <w:rtl/>
          <w:lang w:eastAsia="he-IL"/>
        </w:rPr>
        <w:t xml:space="preserve">.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 xml:space="preserve">להמחשת הדברים נביא דוגמה מספרית. נניח שכמות הגז השנתית הקבועה בהסכם היא 1 </w:t>
      </w:r>
      <w:r>
        <w:rPr>
          <w:rFonts w:eastAsia="Times New Roman" w:cs="David"/>
          <w:color w:val="000000"/>
          <w:sz w:val="20"/>
          <w:lang w:eastAsia="he-IL"/>
        </w:rPr>
        <w:t>BCM</w:t>
      </w:r>
      <w:r>
        <w:rPr>
          <w:rFonts w:eastAsia="Times New Roman" w:cs="David" w:hint="cs"/>
          <w:color w:val="000000"/>
          <w:sz w:val="20"/>
          <w:rtl/>
          <w:lang w:eastAsia="he-IL"/>
        </w:rPr>
        <w:t>; שיעור ה-</w:t>
      </w:r>
      <w:r>
        <w:rPr>
          <w:rFonts w:eastAsia="Times New Roman" w:cs="David"/>
          <w:color w:val="000000"/>
          <w:lang w:eastAsia="he-IL"/>
        </w:rPr>
        <w:t>Take or Pay</w:t>
      </w:r>
      <w:r>
        <w:rPr>
          <w:rFonts w:eastAsia="Times New Roman" w:cs="David" w:hint="cs"/>
          <w:color w:val="000000"/>
          <w:sz w:val="20"/>
          <w:rtl/>
          <w:lang w:eastAsia="he-IL"/>
        </w:rPr>
        <w:t xml:space="preserve"> הוא 80% ולפיכך כמות הגז עליה הצרכן התחייב לשלם אף מבלי שצר</w:t>
      </w:r>
      <w:r>
        <w:rPr>
          <w:rFonts w:eastAsia="Times New Roman" w:cs="David" w:hint="cs"/>
          <w:color w:val="000000"/>
          <w:sz w:val="20"/>
          <w:rtl/>
          <w:lang w:eastAsia="he-IL"/>
        </w:rPr>
        <w:t xml:space="preserve">ך אותה בפועל היא 0.8 </w:t>
      </w:r>
      <w:r>
        <w:rPr>
          <w:rFonts w:eastAsia="Times New Roman" w:cs="David"/>
          <w:color w:val="000000"/>
          <w:sz w:val="20"/>
          <w:lang w:eastAsia="he-IL"/>
        </w:rPr>
        <w:t>BCM</w:t>
      </w:r>
      <w:r>
        <w:rPr>
          <w:rFonts w:eastAsia="Times New Roman" w:cs="David" w:hint="cs"/>
          <w:color w:val="000000"/>
          <w:sz w:val="20"/>
          <w:rtl/>
          <w:lang w:eastAsia="he-IL"/>
        </w:rPr>
        <w:t xml:space="preserve">; כעת נניח מקרה בו כמות הגז שצרך הצרכן בפועל היא 0.5 </w:t>
      </w:r>
      <w:r>
        <w:rPr>
          <w:rFonts w:eastAsia="Times New Roman" w:cs="David"/>
          <w:color w:val="000000"/>
          <w:sz w:val="20"/>
          <w:lang w:eastAsia="he-IL"/>
        </w:rPr>
        <w:t>BCM</w:t>
      </w:r>
      <w:r>
        <w:rPr>
          <w:rFonts w:eastAsia="Times New Roman" w:cs="David" w:hint="cs"/>
          <w:color w:val="000000"/>
          <w:sz w:val="20"/>
          <w:rtl/>
          <w:lang w:eastAsia="he-IL"/>
        </w:rPr>
        <w:t xml:space="preserve">. במקרה זה, הפער בין 0.8 ל-0.5 </w:t>
      </w:r>
      <w:r>
        <w:rPr>
          <w:rFonts w:eastAsia="Times New Roman" w:cs="David"/>
          <w:color w:val="000000"/>
          <w:sz w:val="20"/>
          <w:lang w:eastAsia="he-IL"/>
        </w:rPr>
        <w:t>BCM</w:t>
      </w:r>
      <w:r>
        <w:rPr>
          <w:rFonts w:eastAsia="Times New Roman" w:cs="David" w:hint="cs"/>
          <w:color w:val="000000"/>
          <w:sz w:val="20"/>
          <w:rtl/>
          <w:lang w:eastAsia="he-IL"/>
        </w:rPr>
        <w:t xml:space="preserve"> (0.3 </w:t>
      </w:r>
      <w:r>
        <w:rPr>
          <w:rFonts w:eastAsia="Times New Roman" w:cs="David"/>
          <w:color w:val="000000"/>
          <w:sz w:val="20"/>
          <w:lang w:eastAsia="he-IL"/>
        </w:rPr>
        <w:t>BCM</w:t>
      </w:r>
      <w:r>
        <w:rPr>
          <w:rFonts w:eastAsia="Times New Roman" w:cs="David" w:hint="cs"/>
          <w:color w:val="000000"/>
          <w:sz w:val="20"/>
          <w:rtl/>
          <w:lang w:eastAsia="he-IL"/>
        </w:rPr>
        <w:t xml:space="preserve">) גדול מ-15% מכמות הצריכה השנתית (0.15 </w:t>
      </w:r>
      <w:r>
        <w:rPr>
          <w:rFonts w:eastAsia="Times New Roman" w:cs="David"/>
          <w:color w:val="000000"/>
          <w:sz w:val="20"/>
          <w:lang w:eastAsia="he-IL"/>
        </w:rPr>
        <w:t>BCM</w:t>
      </w:r>
      <w:r>
        <w:rPr>
          <w:rFonts w:eastAsia="Times New Roman" w:cs="David" w:hint="cs"/>
          <w:color w:val="000000"/>
          <w:sz w:val="20"/>
          <w:rtl/>
          <w:lang w:eastAsia="he-IL"/>
        </w:rPr>
        <w:t xml:space="preserve">) והצרכן יהיה רשאי למכור במכירת משנה את כל הכמות שבפער (0.3 </w:t>
      </w:r>
      <w:r>
        <w:rPr>
          <w:rFonts w:eastAsia="Times New Roman" w:cs="David"/>
          <w:color w:val="000000"/>
          <w:sz w:val="20"/>
          <w:lang w:eastAsia="he-IL"/>
        </w:rPr>
        <w:t>BCM</w:t>
      </w:r>
      <w:r>
        <w:rPr>
          <w:rFonts w:eastAsia="Times New Roman" w:cs="David" w:hint="cs"/>
          <w:color w:val="000000"/>
          <w:sz w:val="20"/>
          <w:rtl/>
          <w:lang w:eastAsia="he-IL"/>
        </w:rPr>
        <w:t xml:space="preserve">). כמו כן, אותם 0.3 </w:t>
      </w:r>
      <w:r>
        <w:rPr>
          <w:rFonts w:eastAsia="Times New Roman" w:cs="David"/>
          <w:color w:val="000000"/>
          <w:sz w:val="20"/>
          <w:lang w:eastAsia="he-IL"/>
        </w:rPr>
        <w:t>BCM</w:t>
      </w:r>
      <w:r>
        <w:rPr>
          <w:rFonts w:eastAsia="Times New Roman" w:cs="David" w:hint="cs"/>
          <w:color w:val="000000"/>
          <w:sz w:val="20"/>
          <w:rtl/>
          <w:lang w:eastAsia="he-IL"/>
        </w:rPr>
        <w:t xml:space="preserve"> ימכר</w:t>
      </w:r>
      <w:r>
        <w:rPr>
          <w:rFonts w:eastAsia="Times New Roman" w:cs="David" w:hint="cs"/>
          <w:color w:val="000000"/>
          <w:sz w:val="20"/>
          <w:rtl/>
          <w:lang w:eastAsia="he-IL"/>
        </w:rPr>
        <w:t xml:space="preserve">ו לצרכן באותם תנאים מסחריים שחלים על הרכישה לצריכתו העצמית ויחושבו כצריכה עצמית של אותו צרכן במסגרת ההתחשבנות שלו מול שותפות 'תמר' לגבי יישום תניית </w:t>
      </w:r>
      <w:r>
        <w:rPr>
          <w:rFonts w:eastAsia="Times New Roman" w:cs="David"/>
          <w:color w:val="000000"/>
          <w:lang w:eastAsia="he-IL"/>
        </w:rPr>
        <w:t>Take or Pay</w:t>
      </w:r>
      <w:r>
        <w:rPr>
          <w:rFonts w:eastAsia="Times New Roman" w:cs="David" w:hint="cs"/>
          <w:color w:val="000000"/>
          <w:sz w:val="20"/>
          <w:rtl/>
          <w:lang w:eastAsia="he-IL"/>
        </w:rPr>
        <w:t xml:space="preserve">.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 xml:space="preserve">כעת נשנה הנחה אחת ונניח תחתיה שכמות הגז הטבעי שצרך הצרכן בפועל היא 0.75 </w:t>
      </w:r>
      <w:r>
        <w:rPr>
          <w:rFonts w:eastAsia="Times New Roman" w:cs="David"/>
          <w:color w:val="000000"/>
          <w:sz w:val="20"/>
          <w:lang w:eastAsia="he-IL"/>
        </w:rPr>
        <w:t>BCM</w:t>
      </w:r>
      <w:r>
        <w:rPr>
          <w:rFonts w:eastAsia="Times New Roman" w:cs="David" w:hint="cs"/>
          <w:color w:val="000000"/>
          <w:sz w:val="20"/>
          <w:rtl/>
          <w:lang w:eastAsia="he-IL"/>
        </w:rPr>
        <w:t>, כך שהפער בין 0.75</w:t>
      </w:r>
      <w:r>
        <w:rPr>
          <w:rFonts w:eastAsia="Times New Roman" w:cs="David" w:hint="cs"/>
          <w:color w:val="000000"/>
          <w:sz w:val="20"/>
          <w:rtl/>
          <w:lang w:eastAsia="he-IL"/>
        </w:rPr>
        <w:t xml:space="preserve"> ל-0.8 </w:t>
      </w:r>
      <w:r>
        <w:rPr>
          <w:rFonts w:eastAsia="Times New Roman" w:cs="David"/>
          <w:color w:val="000000"/>
          <w:sz w:val="20"/>
          <w:lang w:eastAsia="he-IL"/>
        </w:rPr>
        <w:t>BCM</w:t>
      </w:r>
      <w:r>
        <w:rPr>
          <w:rFonts w:eastAsia="Times New Roman" w:cs="David" w:hint="cs"/>
          <w:color w:val="000000"/>
          <w:sz w:val="20"/>
          <w:rtl/>
          <w:lang w:eastAsia="he-IL"/>
        </w:rPr>
        <w:t xml:space="preserve"> (0.05 </w:t>
      </w:r>
      <w:r>
        <w:rPr>
          <w:rFonts w:eastAsia="Times New Roman" w:cs="David"/>
          <w:color w:val="000000"/>
          <w:sz w:val="20"/>
          <w:lang w:eastAsia="he-IL"/>
        </w:rPr>
        <w:t>BCM</w:t>
      </w:r>
      <w:r>
        <w:rPr>
          <w:rFonts w:eastAsia="Times New Roman" w:cs="David" w:hint="cs"/>
          <w:color w:val="000000"/>
          <w:sz w:val="20"/>
          <w:rtl/>
          <w:lang w:eastAsia="he-IL"/>
        </w:rPr>
        <w:t xml:space="preserve">) קטן מ-15% מכמות הצריכה השנתית (0.15 </w:t>
      </w:r>
      <w:r>
        <w:rPr>
          <w:rFonts w:eastAsia="Times New Roman" w:cs="David"/>
          <w:color w:val="000000"/>
          <w:sz w:val="20"/>
          <w:lang w:eastAsia="he-IL"/>
        </w:rPr>
        <w:t>BCM</w:t>
      </w:r>
      <w:r>
        <w:rPr>
          <w:rFonts w:eastAsia="Times New Roman" w:cs="David" w:hint="cs"/>
          <w:color w:val="000000"/>
          <w:sz w:val="20"/>
          <w:rtl/>
          <w:lang w:eastAsia="he-IL"/>
        </w:rPr>
        <w:t xml:space="preserve">). במקרה זה יהיה רשאי הצרכן למכור במכירת משנה 0.15 </w:t>
      </w:r>
      <w:r>
        <w:rPr>
          <w:rFonts w:eastAsia="Times New Roman" w:cs="David"/>
          <w:color w:val="000000"/>
          <w:sz w:val="20"/>
          <w:lang w:eastAsia="he-IL"/>
        </w:rPr>
        <w:t xml:space="preserve">BCM </w:t>
      </w:r>
      <w:r>
        <w:rPr>
          <w:rFonts w:eastAsia="Times New Roman" w:cs="David" w:hint="cs"/>
          <w:color w:val="000000"/>
          <w:sz w:val="20"/>
          <w:rtl/>
          <w:lang w:eastAsia="he-IL"/>
        </w:rPr>
        <w:t xml:space="preserve"> שהם 15% מכמות הגז השנתית הקבועה בהסכם, וזאת מעבר לאותם 0.75 </w:t>
      </w:r>
      <w:r>
        <w:rPr>
          <w:rFonts w:eastAsia="Times New Roman" w:cs="David"/>
          <w:color w:val="000000"/>
          <w:sz w:val="20"/>
          <w:lang w:eastAsia="he-IL"/>
        </w:rPr>
        <w:t>BCM</w:t>
      </w:r>
      <w:r>
        <w:rPr>
          <w:rFonts w:eastAsia="Times New Roman" w:cs="David" w:hint="cs"/>
          <w:color w:val="000000"/>
          <w:sz w:val="20"/>
          <w:rtl/>
          <w:lang w:eastAsia="he-IL"/>
        </w:rPr>
        <w:t xml:space="preserve"> אותם רכש לשימושו העצמי (ובסך הכל 0.9 </w:t>
      </w:r>
      <w:r>
        <w:rPr>
          <w:rFonts w:eastAsia="Times New Roman" w:cs="David"/>
          <w:color w:val="000000"/>
          <w:sz w:val="20"/>
          <w:lang w:eastAsia="he-IL"/>
        </w:rPr>
        <w:t>BCM</w:t>
      </w:r>
      <w:r>
        <w:rPr>
          <w:rFonts w:eastAsia="Times New Roman" w:cs="David" w:hint="cs"/>
          <w:color w:val="000000"/>
          <w:sz w:val="20"/>
          <w:rtl/>
          <w:lang w:eastAsia="he-IL"/>
        </w:rPr>
        <w:t xml:space="preserve">). גם במקרה זה אותם 0.15 </w:t>
      </w:r>
      <w:r>
        <w:rPr>
          <w:rFonts w:eastAsia="Times New Roman" w:cs="David"/>
          <w:color w:val="000000"/>
          <w:sz w:val="20"/>
          <w:lang w:eastAsia="he-IL"/>
        </w:rPr>
        <w:t>BCM</w:t>
      </w:r>
      <w:r>
        <w:rPr>
          <w:rFonts w:eastAsia="Times New Roman" w:cs="David" w:hint="cs"/>
          <w:color w:val="000000"/>
          <w:sz w:val="20"/>
          <w:rtl/>
          <w:lang w:eastAsia="he-IL"/>
        </w:rPr>
        <w:t xml:space="preserve"> ימכרו </w:t>
      </w:r>
      <w:r>
        <w:rPr>
          <w:rFonts w:eastAsia="Times New Roman" w:cs="David" w:hint="cs"/>
          <w:color w:val="000000"/>
          <w:sz w:val="20"/>
          <w:rtl/>
          <w:lang w:eastAsia="he-IL"/>
        </w:rPr>
        <w:t xml:space="preserve">באותם תנאים מסחריים שחלים על הרכישה לצריכתו העצמית ויחושבו כצריכה עצמית של אותו צרכן במסגרת ההתחשבנות שלו מול שותפות 'תמר' לגבי יישום תניית </w:t>
      </w:r>
      <w:r>
        <w:rPr>
          <w:rFonts w:eastAsia="Times New Roman" w:cs="David"/>
          <w:color w:val="000000"/>
          <w:lang w:eastAsia="he-IL"/>
        </w:rPr>
        <w:t>Take or Pay</w:t>
      </w:r>
      <w:r>
        <w:rPr>
          <w:rFonts w:eastAsia="Times New Roman" w:cs="David" w:hint="cs"/>
          <w:color w:val="000000"/>
          <w:sz w:val="20"/>
          <w:rtl/>
          <w:lang w:eastAsia="he-IL"/>
        </w:rPr>
        <w:t xml:space="preserve">.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יצוין גם, כי שותפות תמר הבהירו בפניי כי הצרכנים אינם מחויבים לשלם עבור כמות גז שלא נצרכה על ידם בפועל,</w:t>
      </w:r>
      <w:r>
        <w:rPr>
          <w:rFonts w:eastAsia="Times New Roman" w:cs="David" w:hint="cs"/>
          <w:color w:val="000000"/>
          <w:sz w:val="20"/>
          <w:rtl/>
          <w:lang w:eastAsia="he-IL"/>
        </w:rPr>
        <w:t xml:space="preserve"> כך שאף אם צרכן הזמין כמות מסוימת והתברר כי שותפות תמר אינן יכולות לספק את הכמות הדרושה לו, הוא לא יהיו מחויב לצרוך ולשלם על אותה כמות. </w:t>
      </w:r>
    </w:p>
    <w:p w:rsidR="00000000" w:rsidRDefault="008204F7">
      <w:pPr>
        <w:bidi/>
        <w:spacing w:before="120" w:line="360" w:lineRule="auto"/>
        <w:jc w:val="both"/>
        <w:divId w:val="2029796878"/>
        <w:rPr>
          <w:rFonts w:eastAsia="Times New Roman" w:cs="David" w:hint="cs"/>
          <w:color w:val="000000"/>
          <w:sz w:val="20"/>
          <w:rtl/>
          <w:lang w:eastAsia="he-IL"/>
        </w:rPr>
      </w:pPr>
      <w:r>
        <w:rPr>
          <w:rFonts w:eastAsia="Times New Roman" w:cs="David" w:hint="cs"/>
          <w:color w:val="000000"/>
          <w:sz w:val="20"/>
          <w:rtl/>
          <w:lang w:eastAsia="he-IL"/>
        </w:rPr>
        <w:t>לבסוף, לא שוכנעתי כי קיימת הצדקה להגביל את הצרכנים מלרכוש גז טבעי מספק גז טבעי אחר, בין אם במתכונת יציבה ובין במתכונת ב</w:t>
      </w:r>
      <w:r>
        <w:rPr>
          <w:rFonts w:eastAsia="Times New Roman" w:cs="David" w:hint="cs"/>
          <w:color w:val="000000"/>
          <w:sz w:val="20"/>
          <w:rtl/>
          <w:lang w:eastAsia="he-IL"/>
        </w:rPr>
        <w:t xml:space="preserve">לתי יציבה, במהלך תקופת האספקה במתכונת בלתי יציבה ובכלל. הגבלה זו מהווה פגיעה בתחרות שעשויה לקום בין שותפות תמר לבין שותפויות גז אחרות, ועל כן, מצאתי לנכון לאסור על הגבלה זו בהסכמים. </w:t>
      </w:r>
    </w:p>
    <w:p w:rsidR="00000000" w:rsidRDefault="008204F7">
      <w:pPr>
        <w:bidi/>
        <w:spacing w:before="120" w:after="100" w:afterAutospacing="1" w:line="360" w:lineRule="auto"/>
        <w:jc w:val="both"/>
        <w:divId w:val="2029796878"/>
        <w:rPr>
          <w:rFonts w:eastAsia="Times New Roman" w:cs="David" w:hint="cs"/>
          <w:color w:val="000000"/>
          <w:sz w:val="20"/>
          <w:rtl/>
          <w:lang w:eastAsia="he-IL"/>
        </w:rPr>
      </w:pPr>
      <w:r>
        <w:rPr>
          <w:rFonts w:eastAsia="Times New Roman" w:cs="David" w:hint="cs"/>
          <w:color w:val="000000"/>
          <w:sz w:val="22"/>
          <w:rtl/>
          <w:lang w:eastAsia="he-IL"/>
        </w:rPr>
        <w:t xml:space="preserve">לאור האמור ולאחר שבחנתי את ההסדרים שלפניי, </w:t>
      </w:r>
      <w:r>
        <w:rPr>
          <w:rFonts w:eastAsia="Times New Roman" w:cs="David" w:hint="cs"/>
          <w:color w:val="000000"/>
          <w:sz w:val="20"/>
          <w:rtl/>
          <w:lang w:eastAsia="he-IL"/>
        </w:rPr>
        <w:t xml:space="preserve">הגעתי למסקנה כי יש להעניק להם </w:t>
      </w:r>
      <w:r>
        <w:rPr>
          <w:rFonts w:eastAsia="Times New Roman" w:cs="David" w:hint="cs"/>
          <w:color w:val="000000"/>
          <w:sz w:val="20"/>
          <w:rtl/>
          <w:lang w:eastAsia="he-IL"/>
        </w:rPr>
        <w:t xml:space="preserve">פטור בכפוף לתנאים אשר נועדו להפיג את החששות התחרותיים המתוארים לעיל. </w:t>
      </w:r>
    </w:p>
    <w:p w:rsidR="00000000" w:rsidRDefault="008204F7">
      <w:pPr>
        <w:numPr>
          <w:ilvl w:val="0"/>
          <w:numId w:val="1"/>
        </w:numPr>
        <w:bidi/>
        <w:spacing w:before="120" w:line="360" w:lineRule="auto"/>
        <w:ind w:left="360"/>
        <w:jc w:val="both"/>
        <w:divId w:val="2029796878"/>
        <w:rPr>
          <w:rFonts w:eastAsia="Times New Roman" w:cs="David" w:hint="cs"/>
          <w:b/>
          <w:bCs/>
          <w:sz w:val="28"/>
          <w:szCs w:val="28"/>
          <w:rtl/>
          <w:lang w:eastAsia="he-IL"/>
        </w:rPr>
      </w:pPr>
      <w:r>
        <w:rPr>
          <w:rFonts w:eastAsia="Times New Roman" w:cs="David" w:hint="cs"/>
          <w:b/>
          <w:bCs/>
          <w:sz w:val="28"/>
          <w:szCs w:val="28"/>
          <w:rtl/>
          <w:lang w:eastAsia="he-IL"/>
        </w:rPr>
        <w:t>סוף דבר</w:t>
      </w:r>
    </w:p>
    <w:p w:rsidR="00000000" w:rsidRDefault="008204F7">
      <w:pPr>
        <w:bidi/>
        <w:spacing w:before="120" w:line="360" w:lineRule="auto"/>
        <w:jc w:val="both"/>
        <w:divId w:val="2029796878"/>
        <w:rPr>
          <w:rFonts w:eastAsia="Times New Roman" w:cs="David" w:hint="cs"/>
          <w:color w:val="000000"/>
          <w:sz w:val="22"/>
          <w:rtl/>
          <w:lang w:eastAsia="he-IL"/>
        </w:rPr>
      </w:pPr>
      <w:r>
        <w:rPr>
          <w:rFonts w:eastAsia="Times New Roman" w:cs="David" w:hint="cs"/>
          <w:color w:val="000000"/>
          <w:sz w:val="22"/>
          <w:rtl/>
          <w:lang w:eastAsia="he-IL"/>
        </w:rPr>
        <w:t>לאחר שנועצתי בוועדה לפטורים ומיזוגים, ראיתי לנכון להשתמש בסמכות הנתונה לי בסעיף 14 לחוק ולהעניק את הפטור המבוקש, בכפוף לתנאים המפורטים להלן:</w:t>
      </w:r>
    </w:p>
    <w:p w:rsidR="00000000" w:rsidRDefault="008204F7">
      <w:pPr>
        <w:numPr>
          <w:ilvl w:val="0"/>
          <w:numId w:val="3"/>
        </w:numPr>
        <w:bidi/>
        <w:spacing w:before="120" w:line="360" w:lineRule="auto"/>
        <w:jc w:val="both"/>
        <w:divId w:val="2029796878"/>
        <w:rPr>
          <w:rFonts w:eastAsia="Times New Roman" w:cs="David" w:hint="cs"/>
          <w:b/>
          <w:bCs/>
          <w:u w:val="single"/>
          <w:rtl/>
          <w:lang w:eastAsia="he-IL"/>
        </w:rPr>
      </w:pPr>
      <w:r>
        <w:rPr>
          <w:rFonts w:eastAsia="Times New Roman" w:cs="David" w:hint="cs"/>
          <w:b/>
          <w:bCs/>
          <w:u w:val="single"/>
          <w:rtl/>
          <w:lang w:eastAsia="he-IL"/>
        </w:rPr>
        <w:t>הגדרות:</w:t>
      </w:r>
    </w:p>
    <w:p w:rsidR="00000000" w:rsidRDefault="008204F7">
      <w:pPr>
        <w:bidi/>
        <w:spacing w:before="120" w:line="360" w:lineRule="auto"/>
        <w:ind w:left="2160" w:hanging="2160"/>
        <w:jc w:val="both"/>
        <w:divId w:val="2029796878"/>
        <w:rPr>
          <w:rFonts w:eastAsia="Times New Roman" w:cs="David"/>
          <w:lang w:eastAsia="he-IL"/>
        </w:rPr>
      </w:pPr>
      <w:r>
        <w:rPr>
          <w:rFonts w:eastAsia="Times New Roman" w:cs="David" w:hint="cs"/>
          <w:rtl/>
          <w:lang w:eastAsia="he-IL"/>
        </w:rPr>
        <w:lastRenderedPageBreak/>
        <w:t>"</w:t>
      </w:r>
      <w:r>
        <w:rPr>
          <w:rFonts w:eastAsia="Times New Roman" w:cs="David" w:hint="cs"/>
          <w:b/>
          <w:bCs/>
          <w:rtl/>
          <w:lang w:eastAsia="he-IL"/>
        </w:rPr>
        <w:t>ההסכם</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 xml:space="preserve">הסכם לאספקת גז טבעי אשר נחתם עם כל אחד מהצרכנים לבין שותפות תמר, כפי שצורף לבקשת הפטור; </w:t>
      </w:r>
    </w:p>
    <w:p w:rsidR="00000000" w:rsidRDefault="008204F7">
      <w:pPr>
        <w:bidi/>
        <w:spacing w:before="120" w:line="360" w:lineRule="auto"/>
        <w:jc w:val="both"/>
        <w:divId w:val="2029796878"/>
        <w:rPr>
          <w:rFonts w:cs="David"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 xml:space="preserve">" – </w:t>
      </w:r>
      <w:r>
        <w:rPr>
          <w:rFonts w:eastAsia="Times New Roman" w:cs="David" w:hint="cs"/>
          <w:rtl/>
          <w:lang w:eastAsia="he-IL"/>
        </w:rPr>
        <w:tab/>
        <w:t xml:space="preserve">כמות הגז הטבעי השנתית אותה מתחייבות שותפות תמר לספק לצרכן </w:t>
      </w:r>
      <w:r>
        <w:rPr>
          <w:rFonts w:eastAsia="Times New Roman" w:cs="David" w:hint="cs"/>
          <w:rtl/>
          <w:lang w:eastAsia="he-IL"/>
        </w:rPr>
        <w:tab/>
      </w:r>
      <w:r>
        <w:rPr>
          <w:rFonts w:eastAsia="Times New Roman" w:cs="David" w:hint="cs"/>
          <w:rtl/>
          <w:lang w:eastAsia="he-IL"/>
        </w:rPr>
        <w:tab/>
      </w:r>
      <w:r>
        <w:rPr>
          <w:rFonts w:eastAsia="Times New Roman" w:cs="David" w:hint="cs"/>
          <w:rtl/>
          <w:lang w:eastAsia="he-IL"/>
        </w:rPr>
        <w:tab/>
        <w:t>בהתאם לקבוע בהסכם;</w:t>
      </w:r>
    </w:p>
    <w:p w:rsidR="00000000" w:rsidRDefault="008204F7">
      <w:pPr>
        <w:bidi/>
        <w:spacing w:before="120" w:line="360" w:lineRule="auto"/>
        <w:jc w:val="both"/>
        <w:divId w:val="2029796878"/>
        <w:rPr>
          <w:rFonts w:eastAsia="Times New Roman" w:cs="David" w:hint="cs"/>
          <w:rtl/>
          <w:lang w:eastAsia="he-IL"/>
        </w:rPr>
      </w:pPr>
      <w:r>
        <w:rPr>
          <w:rFonts w:eastAsia="Times New Roman" w:cs="David" w:hint="cs"/>
          <w:rtl/>
          <w:lang w:eastAsia="he-IL"/>
        </w:rPr>
        <w:t>"</w:t>
      </w:r>
      <w:r>
        <w:rPr>
          <w:rFonts w:eastAsia="Times New Roman" w:cs="David" w:hint="cs"/>
          <w:b/>
          <w:bCs/>
          <w:rtl/>
          <w:lang w:eastAsia="he-IL"/>
        </w:rPr>
        <w:t>הממונה</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ab/>
        <w:t>הממונה על הגבלים עסקיים</w:t>
      </w:r>
      <w:r>
        <w:rPr>
          <w:rFonts w:eastAsia="Times New Roman" w:cs="David"/>
          <w:lang w:eastAsia="he-IL"/>
        </w:rPr>
        <w:t>;</w:t>
      </w:r>
    </w:p>
    <w:p w:rsidR="00000000" w:rsidRDefault="008204F7">
      <w:pPr>
        <w:bidi/>
        <w:spacing w:before="120" w:after="120" w:line="360" w:lineRule="auto"/>
        <w:ind w:left="2160" w:hanging="2160"/>
        <w:jc w:val="both"/>
        <w:divId w:val="2029796878"/>
        <w:rPr>
          <w:rFonts w:eastAsia="Times New Roman" w:cs="David" w:hint="cs"/>
          <w:rtl/>
          <w:lang w:eastAsia="he-IL"/>
        </w:rPr>
      </w:pPr>
      <w:r>
        <w:rPr>
          <w:rFonts w:eastAsia="Times New Roman" w:cs="David" w:hint="cs"/>
          <w:rtl/>
          <w:lang w:eastAsia="he-IL"/>
        </w:rPr>
        <w:t>"</w:t>
      </w:r>
      <w:r>
        <w:rPr>
          <w:rFonts w:eastAsia="Times New Roman" w:cs="David" w:hint="cs"/>
          <w:b/>
          <w:bCs/>
          <w:rtl/>
          <w:lang w:eastAsia="he-IL"/>
        </w:rPr>
        <w:t>מאגר</w:t>
      </w:r>
      <w:r>
        <w:rPr>
          <w:rFonts w:eastAsia="Times New Roman" w:cs="David" w:hint="cs"/>
          <w:rtl/>
          <w:lang w:eastAsia="he-IL"/>
        </w:rPr>
        <w:t xml:space="preserve"> </w:t>
      </w:r>
      <w:r>
        <w:rPr>
          <w:rFonts w:eastAsia="Times New Roman" w:cs="David" w:hint="cs"/>
          <w:b/>
          <w:bCs/>
          <w:rtl/>
          <w:lang w:eastAsia="he-IL"/>
        </w:rPr>
        <w:t>תמר</w:t>
      </w:r>
      <w:r>
        <w:rPr>
          <w:rFonts w:eastAsia="Times New Roman" w:cs="David" w:hint="cs"/>
          <w:rtl/>
          <w:lang w:eastAsia="he-IL"/>
        </w:rPr>
        <w:t xml:space="preserve">" – </w:t>
      </w:r>
      <w:r>
        <w:rPr>
          <w:rFonts w:eastAsia="Times New Roman" w:cs="David" w:hint="cs"/>
          <w:rtl/>
        </w:rPr>
        <w:t xml:space="preserve">           </w:t>
      </w:r>
      <w:r>
        <w:rPr>
          <w:rFonts w:eastAsia="Times New Roman" w:cs="David" w:hint="cs"/>
          <w:rtl/>
        </w:rPr>
        <w:tab/>
      </w:r>
      <w:r>
        <w:rPr>
          <w:rFonts w:cs="David" w:hint="cs"/>
          <w:rtl/>
        </w:rPr>
        <w:t xml:space="preserve">מאגר גז טבעי הנמצא בשטח חזקות תמר </w:t>
      </w:r>
      <w:r>
        <w:rPr>
          <w:rFonts w:cs="David"/>
        </w:rPr>
        <w:t>I/12</w:t>
      </w:r>
      <w:r>
        <w:rPr>
          <w:rFonts w:cs="David" w:hint="cs"/>
          <w:rtl/>
        </w:rPr>
        <w:t xml:space="preserve"> ודלית </w:t>
      </w:r>
      <w:r>
        <w:rPr>
          <w:rFonts w:cs="David"/>
        </w:rPr>
        <w:t>I/13</w:t>
      </w:r>
      <w:r>
        <w:rPr>
          <w:rFonts w:eastAsia="Times New Roman" w:cs="David" w:hint="cs"/>
          <w:rtl/>
          <w:lang w:eastAsia="he-IL"/>
        </w:rPr>
        <w:t>;</w:t>
      </w:r>
    </w:p>
    <w:p w:rsidR="00000000" w:rsidRDefault="008204F7">
      <w:pPr>
        <w:bidi/>
        <w:spacing w:before="120" w:after="120" w:line="360" w:lineRule="auto"/>
        <w:ind w:left="2160" w:hanging="2160"/>
        <w:jc w:val="both"/>
        <w:divId w:val="2029796878"/>
        <w:rPr>
          <w:rFonts w:eastAsia="Times New Roman" w:cs="David" w:hint="cs"/>
          <w:rtl/>
          <w:lang w:eastAsia="he-IL"/>
        </w:rPr>
      </w:pPr>
      <w:r>
        <w:rPr>
          <w:rFonts w:eastAsia="Times New Roman" w:cs="David" w:hint="cs"/>
          <w:b/>
          <w:bCs/>
          <w:rtl/>
          <w:lang w:eastAsia="he-IL"/>
        </w:rPr>
        <w:t>"מועד אספקת הגז הטבעי"</w:t>
      </w:r>
      <w:r>
        <w:rPr>
          <w:rFonts w:eastAsia="Times New Roman" w:cs="David" w:hint="cs"/>
          <w:rtl/>
          <w:lang w:eastAsia="he-IL"/>
        </w:rPr>
        <w:t xml:space="preserve"> – מועד תחילת אספקה בפועל של גז טבעי לכל אחד מהצרכנים, לא כולל תקופת הניסיון וההרצה;</w:t>
      </w:r>
    </w:p>
    <w:p w:rsidR="00000000" w:rsidRDefault="008204F7">
      <w:pPr>
        <w:bidi/>
        <w:spacing w:before="120" w:line="360" w:lineRule="auto"/>
        <w:jc w:val="both"/>
        <w:divId w:val="2029796878"/>
        <w:rPr>
          <w:rFonts w:eastAsia="Times New Roman" w:cs="David" w:hint="cs"/>
          <w:rtl/>
          <w:lang w:eastAsia="he-IL"/>
        </w:rPr>
      </w:pPr>
      <w:r>
        <w:rPr>
          <w:rFonts w:eastAsia="Times New Roman" w:cs="David" w:hint="cs"/>
          <w:rtl/>
          <w:lang w:eastAsia="he-IL"/>
        </w:rPr>
        <w:t>"</w:t>
      </w:r>
      <w:r>
        <w:rPr>
          <w:rFonts w:eastAsia="Times New Roman" w:cs="David" w:hint="cs"/>
          <w:b/>
          <w:bCs/>
          <w:rtl/>
          <w:lang w:eastAsia="he-IL"/>
        </w:rPr>
        <w:t>צרכן</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ab/>
        <w:t>כל אחד מהבאים: או.פי.סי רותם בע"מ; דוראד אנרגיה בע"מ; ג'י. פי</w:t>
      </w:r>
      <w:r>
        <w:rPr>
          <w:rFonts w:eastAsia="Times New Roman" w:cs="David" w:hint="cs"/>
          <w:rtl/>
          <w:lang w:eastAsia="he-IL"/>
        </w:rPr>
        <w:tab/>
      </w:r>
      <w:r>
        <w:rPr>
          <w:rFonts w:eastAsia="Times New Roman" w:cs="David" w:hint="cs"/>
          <w:rtl/>
          <w:lang w:eastAsia="he-IL"/>
        </w:rPr>
        <w:tab/>
      </w:r>
      <w:r>
        <w:rPr>
          <w:rFonts w:eastAsia="Times New Roman" w:cs="David" w:hint="cs"/>
          <w:rtl/>
          <w:lang w:eastAsia="he-IL"/>
        </w:rPr>
        <w:tab/>
        <w:t>גלובל פאוור בע"מ; איי.פ</w:t>
      </w:r>
      <w:r>
        <w:rPr>
          <w:rFonts w:eastAsia="Times New Roman" w:cs="David" w:hint="cs"/>
          <w:rtl/>
          <w:lang w:eastAsia="he-IL"/>
        </w:rPr>
        <w:t xml:space="preserve">י.פי רמת גבריאל בע"מ; איי.פי.פי אלון תבור </w:t>
      </w:r>
      <w:r>
        <w:rPr>
          <w:rFonts w:eastAsia="Times New Roman" w:cs="David" w:hint="cs"/>
          <w:rtl/>
          <w:lang w:eastAsia="he-IL"/>
        </w:rPr>
        <w:tab/>
        <w:t xml:space="preserve"> </w:t>
      </w:r>
      <w:r>
        <w:rPr>
          <w:rFonts w:eastAsia="Times New Roman" w:cs="David" w:hint="cs"/>
          <w:rtl/>
          <w:lang w:eastAsia="he-IL"/>
        </w:rPr>
        <w:tab/>
      </w:r>
      <w:r>
        <w:rPr>
          <w:rFonts w:eastAsia="Times New Roman" w:cs="David" w:hint="cs"/>
          <w:rtl/>
          <w:lang w:eastAsia="he-IL"/>
        </w:rPr>
        <w:tab/>
        <w:t>בע"מ; איי.פי.פי דלק שורק בע"מ; אלון מרכזי אנרגיה ש.מ; פז בתי</w:t>
      </w:r>
      <w:r>
        <w:rPr>
          <w:rFonts w:eastAsia="Times New Roman" w:cs="David" w:hint="cs"/>
          <w:rtl/>
          <w:lang w:eastAsia="he-IL"/>
        </w:rPr>
        <w:tab/>
      </w:r>
      <w:r>
        <w:rPr>
          <w:rFonts w:eastAsia="Times New Roman" w:cs="David" w:hint="cs"/>
          <w:rtl/>
          <w:lang w:eastAsia="he-IL"/>
        </w:rPr>
        <w:tab/>
      </w:r>
      <w:r>
        <w:rPr>
          <w:rFonts w:eastAsia="Times New Roman" w:cs="David" w:hint="cs"/>
          <w:rtl/>
          <w:lang w:eastAsia="he-IL"/>
        </w:rPr>
        <w:tab/>
      </w:r>
      <w:r>
        <w:rPr>
          <w:rFonts w:eastAsia="Times New Roman" w:cs="David" w:hint="cs"/>
          <w:rtl/>
          <w:lang w:eastAsia="he-IL"/>
        </w:rPr>
        <w:tab/>
        <w:t>זיקוק אשדוד בע"מ ושניב תעשיות נייר בע"מ;</w:t>
      </w:r>
    </w:p>
    <w:p w:rsidR="00000000" w:rsidRDefault="008204F7">
      <w:pPr>
        <w:tabs>
          <w:tab w:val="left" w:pos="2774"/>
        </w:tabs>
        <w:bidi/>
        <w:spacing w:before="120"/>
        <w:jc w:val="both"/>
        <w:divId w:val="2029796878"/>
        <w:rPr>
          <w:rFonts w:eastAsia="Times New Roman" w:cs="David" w:hint="cs"/>
          <w:rtl/>
          <w:lang w:eastAsia="he-IL"/>
        </w:rPr>
      </w:pPr>
      <w:r>
        <w:rPr>
          <w:rFonts w:eastAsia="Times New Roman" w:cs="David" w:hint="cs"/>
          <w:rtl/>
          <w:lang w:eastAsia="he-IL"/>
        </w:rPr>
        <w:t>"</w:t>
      </w:r>
      <w:r>
        <w:rPr>
          <w:rFonts w:eastAsia="Times New Roman" w:cs="David" w:hint="cs"/>
          <w:b/>
          <w:bCs/>
          <w:rtl/>
          <w:lang w:eastAsia="he-IL"/>
        </w:rPr>
        <w:t>שותפות תמר</w:t>
      </w:r>
      <w:r>
        <w:rPr>
          <w:rFonts w:eastAsia="Times New Roman" w:cs="David" w:hint="cs"/>
          <w:rtl/>
          <w:lang w:eastAsia="he-IL"/>
        </w:rPr>
        <w:t>"  –</w:t>
      </w:r>
      <w:r>
        <w:rPr>
          <w:rFonts w:eastAsia="Times New Roman" w:cs="David" w:hint="cs"/>
          <w:rtl/>
          <w:lang w:eastAsia="he-IL"/>
        </w:rPr>
        <w:tab/>
      </w:r>
    </w:p>
    <w:p w:rsidR="00000000" w:rsidRDefault="008204F7">
      <w:pPr>
        <w:pStyle w:val="FootnoteText"/>
        <w:numPr>
          <w:ilvl w:val="0"/>
          <w:numId w:val="4"/>
        </w:numPr>
        <w:bidi/>
        <w:ind w:left="2570" w:right="720"/>
        <w:divId w:val="2029796878"/>
        <w:rPr>
          <w:rFonts w:cs="David" w:hint="cs"/>
          <w:color w:val="000000"/>
          <w:sz w:val="20"/>
          <w:rtl/>
        </w:rPr>
      </w:pPr>
      <w:r>
        <w:rPr>
          <w:rFonts w:cs="David" w:hint="cs"/>
          <w:color w:val="000000"/>
          <w:sz w:val="20"/>
          <w:rtl/>
        </w:rPr>
        <w:t>"דלק קידוחים" – דלק קידוחים – שותפות מוגבלת;</w:t>
      </w:r>
    </w:p>
    <w:p w:rsidR="00000000" w:rsidRDefault="008204F7">
      <w:pPr>
        <w:pStyle w:val="FootnoteText"/>
        <w:numPr>
          <w:ilvl w:val="0"/>
          <w:numId w:val="4"/>
        </w:numPr>
        <w:bidi/>
        <w:ind w:left="2570" w:right="720"/>
        <w:divId w:val="2029796878"/>
        <w:rPr>
          <w:rFonts w:cs="David" w:hint="cs"/>
          <w:color w:val="000000"/>
          <w:sz w:val="20"/>
          <w:rtl/>
        </w:rPr>
      </w:pPr>
      <w:r>
        <w:rPr>
          <w:rFonts w:cs="David" w:hint="cs"/>
          <w:color w:val="000000"/>
          <w:sz w:val="20"/>
          <w:rtl/>
        </w:rPr>
        <w:t>"אבנר" –  אבנר חיפושי נפט – שותפות מוגבלת;</w:t>
      </w:r>
    </w:p>
    <w:p w:rsidR="00000000" w:rsidRDefault="008204F7">
      <w:pPr>
        <w:pStyle w:val="FootnoteText"/>
        <w:numPr>
          <w:ilvl w:val="0"/>
          <w:numId w:val="4"/>
        </w:numPr>
        <w:bidi/>
        <w:ind w:left="2570" w:right="720"/>
        <w:divId w:val="2029796878"/>
        <w:rPr>
          <w:rFonts w:cs="David" w:hint="cs"/>
          <w:color w:val="000000"/>
          <w:sz w:val="20"/>
          <w:rtl/>
        </w:rPr>
      </w:pPr>
      <w:r>
        <w:rPr>
          <w:rFonts w:cs="David" w:hint="cs"/>
          <w:color w:val="000000"/>
          <w:sz w:val="20"/>
          <w:rtl/>
        </w:rPr>
        <w:t>"ישראמקו" – ישראמקו נגב 2 – שותפות מוגבלת;</w:t>
      </w:r>
    </w:p>
    <w:p w:rsidR="00000000" w:rsidRDefault="008204F7">
      <w:pPr>
        <w:pStyle w:val="FootnoteText"/>
        <w:numPr>
          <w:ilvl w:val="0"/>
          <w:numId w:val="4"/>
        </w:numPr>
        <w:bidi/>
        <w:ind w:left="2570" w:right="720"/>
        <w:divId w:val="2029796878"/>
        <w:rPr>
          <w:rFonts w:cs="David" w:hint="cs"/>
          <w:color w:val="000000"/>
          <w:sz w:val="20"/>
          <w:rtl/>
        </w:rPr>
      </w:pPr>
      <w:r>
        <w:rPr>
          <w:rFonts w:cs="David" w:hint="cs"/>
          <w:color w:val="000000"/>
          <w:sz w:val="20"/>
          <w:rtl/>
        </w:rPr>
        <w:t>"דור" –  דור חיפושי גז – שותפות מוגבלת;</w:t>
      </w:r>
    </w:p>
    <w:p w:rsidR="00000000" w:rsidRDefault="008204F7">
      <w:pPr>
        <w:pStyle w:val="FootnoteText"/>
        <w:numPr>
          <w:ilvl w:val="0"/>
          <w:numId w:val="4"/>
        </w:numPr>
        <w:bidi/>
        <w:ind w:left="2570" w:right="720"/>
        <w:divId w:val="2029796878"/>
        <w:rPr>
          <w:rFonts w:cs="David" w:hint="cs"/>
          <w:rtl/>
        </w:rPr>
      </w:pPr>
      <w:r>
        <w:rPr>
          <w:rFonts w:cs="David" w:hint="cs"/>
          <w:color w:val="000000"/>
          <w:sz w:val="20"/>
          <w:rtl/>
        </w:rPr>
        <w:t xml:space="preserve">"נובל" – חברת </w:t>
      </w:r>
      <w:r>
        <w:rPr>
          <w:rFonts w:hint="cs"/>
          <w:color w:val="000000"/>
        </w:rPr>
        <w:t>Noble Energy Mediterranean LTD</w:t>
      </w:r>
      <w:r>
        <w:rPr>
          <w:rFonts w:cs="David" w:hint="cs"/>
          <w:color w:val="000000"/>
          <w:sz w:val="20"/>
          <w:rtl/>
        </w:rPr>
        <w:t>;</w:t>
      </w:r>
    </w:p>
    <w:p w:rsidR="00000000" w:rsidRDefault="008204F7">
      <w:pPr>
        <w:bidi/>
        <w:spacing w:before="120" w:line="360" w:lineRule="auto"/>
        <w:ind w:left="2210"/>
        <w:jc w:val="both"/>
        <w:divId w:val="2029796878"/>
        <w:rPr>
          <w:rFonts w:eastAsia="Times New Roman" w:cs="David" w:hint="cs"/>
          <w:rtl/>
          <w:lang w:eastAsia="he-IL"/>
        </w:rPr>
      </w:pPr>
      <w:r>
        <w:rPr>
          <w:rFonts w:eastAsia="Times New Roman" w:cs="David" w:hint="cs"/>
          <w:rtl/>
          <w:lang w:eastAsia="he-IL"/>
        </w:rPr>
        <w:t>וכן כל אדם המחזיק בזכויות נפט כמשמעות מונח זה בחוק הנפט, תשי"ב-1952 במאגר 'תמר', בהווה או בעתיד, ביחד ולחוד</w:t>
      </w:r>
      <w:r>
        <w:rPr>
          <w:rFonts w:eastAsia="Times New Roman" w:cs="David"/>
          <w:lang w:eastAsia="he-IL"/>
        </w:rPr>
        <w:t>;</w:t>
      </w:r>
    </w:p>
    <w:p w:rsidR="00000000" w:rsidRDefault="008204F7">
      <w:pPr>
        <w:bidi/>
        <w:spacing w:before="120" w:line="360" w:lineRule="auto"/>
        <w:jc w:val="both"/>
        <w:divId w:val="2029796878"/>
        <w:rPr>
          <w:rFonts w:eastAsia="Times New Roman" w:cs="David" w:hint="cs"/>
          <w:rtl/>
          <w:lang w:eastAsia="he-IL"/>
        </w:rPr>
      </w:pPr>
      <w:r>
        <w:rPr>
          <w:rFonts w:eastAsia="Times New Roman" w:cs="David" w:hint="cs"/>
          <w:rtl/>
          <w:lang w:eastAsia="he-IL"/>
        </w:rPr>
        <w:t>"</w:t>
      </w:r>
      <w:r>
        <w:rPr>
          <w:rFonts w:eastAsia="Times New Roman" w:cs="David" w:hint="cs"/>
          <w:b/>
          <w:bCs/>
          <w:rtl/>
          <w:lang w:eastAsia="he-IL"/>
        </w:rPr>
        <w:t xml:space="preserve">תניית </w:t>
      </w:r>
      <w:r>
        <w:rPr>
          <w:rFonts w:eastAsia="Times New Roman" w:cs="David"/>
          <w:b/>
          <w:bCs/>
          <w:lang w:eastAsia="he-IL"/>
        </w:rPr>
        <w:t>Take or Pay</w:t>
      </w:r>
      <w:r>
        <w:rPr>
          <w:rFonts w:eastAsia="Times New Roman" w:cs="David" w:hint="cs"/>
          <w:rtl/>
          <w:lang w:eastAsia="he-IL"/>
        </w:rPr>
        <w:t xml:space="preserve">" – התחייבות צרכן הגז הטבעי לשלם עבור כמות שנתית מינימאלית של גז </w:t>
      </w:r>
      <w:r>
        <w:rPr>
          <w:rFonts w:eastAsia="Times New Roman" w:cs="David" w:hint="cs"/>
          <w:rtl/>
          <w:lang w:eastAsia="he-IL"/>
        </w:rPr>
        <w:tab/>
      </w:r>
      <w:r>
        <w:rPr>
          <w:rFonts w:eastAsia="Times New Roman" w:cs="David" w:hint="cs"/>
          <w:rtl/>
          <w:lang w:eastAsia="he-IL"/>
        </w:rPr>
        <w:tab/>
      </w:r>
      <w:r>
        <w:rPr>
          <w:rFonts w:eastAsia="Times New Roman" w:cs="David" w:hint="cs"/>
          <w:rtl/>
          <w:lang w:eastAsia="he-IL"/>
        </w:rPr>
        <w:tab/>
        <w:t>טבעי, אף בהיעדר צריכה בפועל;</w:t>
      </w:r>
    </w:p>
    <w:p w:rsidR="00000000" w:rsidRDefault="008204F7">
      <w:pPr>
        <w:numPr>
          <w:ilvl w:val="0"/>
          <w:numId w:val="3"/>
        </w:numPr>
        <w:bidi/>
        <w:spacing w:before="120" w:line="360" w:lineRule="auto"/>
        <w:jc w:val="both"/>
        <w:divId w:val="2029796878"/>
        <w:rPr>
          <w:rFonts w:eastAsia="Times New Roman" w:cs="David" w:hint="cs"/>
          <w:b/>
          <w:bCs/>
          <w:u w:val="single"/>
          <w:rtl/>
          <w:lang w:eastAsia="he-IL"/>
        </w:rPr>
      </w:pPr>
      <w:r>
        <w:rPr>
          <w:rFonts w:eastAsia="Times New Roman" w:cs="David" w:hint="cs"/>
          <w:b/>
          <w:bCs/>
          <w:u w:val="single"/>
          <w:rtl/>
          <w:lang w:eastAsia="he-IL"/>
        </w:rPr>
        <w:t>התנאים</w:t>
      </w:r>
    </w:p>
    <w:p w:rsidR="00000000" w:rsidRDefault="008204F7">
      <w:pPr>
        <w:numPr>
          <w:ilvl w:val="0"/>
          <w:numId w:val="5"/>
        </w:numPr>
        <w:bidi/>
        <w:spacing w:before="120" w:line="360" w:lineRule="auto"/>
        <w:ind w:right="720"/>
        <w:jc w:val="both"/>
        <w:divId w:val="2029796878"/>
        <w:rPr>
          <w:rFonts w:eastAsia="Times New Roman" w:cs="David" w:hint="cs"/>
          <w:rtl/>
          <w:lang w:eastAsia="he-IL"/>
        </w:rPr>
      </w:pPr>
      <w:r>
        <w:rPr>
          <w:rFonts w:eastAsia="Times New Roman" w:cs="David" w:hint="cs"/>
          <w:rtl/>
          <w:lang w:eastAsia="he-IL"/>
        </w:rPr>
        <w:t>לצרכן תעמוד האפשרות להודיע לשותפות תמר על בחירתו בדבר הפחתת כמות הגז הטבעי הנקובה בתניית ה-</w:t>
      </w:r>
      <w:r>
        <w:rPr>
          <w:rFonts w:eastAsia="Times New Roman" w:cs="David"/>
          <w:lang w:eastAsia="he-IL"/>
        </w:rPr>
        <w:t>Take or Pay</w:t>
      </w:r>
      <w:r>
        <w:rPr>
          <w:rFonts w:eastAsia="Times New Roman" w:cs="David" w:hint="cs"/>
          <w:rtl/>
          <w:lang w:eastAsia="he-IL"/>
        </w:rPr>
        <w:t xml:space="preserve"> עד לכמות השווה למחצית מכמות הצריכה השנתית הממוצעת</w:t>
      </w:r>
      <w:r>
        <w:rPr>
          <w:rFonts w:eastAsia="Times New Roman" w:cs="David" w:hint="cs"/>
          <w:rtl/>
          <w:lang w:eastAsia="he-IL"/>
        </w:rPr>
        <w:t xml:space="preserve"> שלו בשלוש השנים שקדמו למועד ההודעה</w:t>
      </w:r>
      <w:r>
        <w:rPr>
          <w:rFonts w:eastAsia="Times New Roman" w:cs="David" w:hint="cs"/>
          <w:rtl/>
        </w:rPr>
        <w:t xml:space="preserve"> </w:t>
      </w:r>
      <w:r>
        <w:rPr>
          <w:rFonts w:eastAsia="Times New Roman" w:cs="David" w:hint="cs"/>
          <w:rtl/>
          <w:lang w:eastAsia="he-IL"/>
        </w:rPr>
        <w:t>(להלן: "</w:t>
      </w:r>
      <w:r>
        <w:rPr>
          <w:rFonts w:eastAsia="Times New Roman" w:cs="David" w:hint="cs"/>
          <w:b/>
          <w:bCs/>
          <w:rtl/>
          <w:lang w:eastAsia="he-IL"/>
        </w:rPr>
        <w:t>הפחתת כמות הרכישה</w:t>
      </w:r>
      <w:r>
        <w:rPr>
          <w:rFonts w:eastAsia="Times New Roman" w:cs="David" w:hint="cs"/>
          <w:rtl/>
          <w:lang w:eastAsia="he-IL"/>
        </w:rPr>
        <w:t xml:space="preserve">"). </w:t>
      </w:r>
      <w:r>
        <w:rPr>
          <w:rFonts w:eastAsia="Times New Roman" w:cs="David" w:hint="cs"/>
          <w:rtl/>
        </w:rPr>
        <w:t xml:space="preserve">הודעה על הפחתת כמות הרכישה תתאפשר בכל עת במהלך התקופה שסיומה מאוחר יותר מבין שתי התקופות שלהלן: </w:t>
      </w:r>
    </w:p>
    <w:p w:rsidR="00000000" w:rsidRDefault="008204F7">
      <w:pPr>
        <w:pStyle w:val="ListParagraph"/>
        <w:numPr>
          <w:ilvl w:val="1"/>
          <w:numId w:val="6"/>
        </w:numPr>
        <w:bidi/>
        <w:spacing w:before="120" w:beforeAutospacing="0" w:after="120" w:afterAutospacing="0" w:line="360" w:lineRule="auto"/>
        <w:ind w:left="1104" w:hanging="384"/>
        <w:contextualSpacing/>
        <w:jc w:val="both"/>
        <w:divId w:val="2029796878"/>
        <w:rPr>
          <w:rFonts w:cs="David"/>
          <w:lang w:eastAsia="he-IL"/>
        </w:rPr>
      </w:pPr>
      <w:r>
        <w:rPr>
          <w:rFonts w:cs="David" w:hint="cs"/>
          <w:rtl/>
        </w:rPr>
        <w:t>התקופה שמיום 31.12.2022 ועד ליום 1.1.2020;</w:t>
      </w:r>
      <w:r>
        <w:rPr>
          <w:rStyle w:val="FootnoteReference"/>
          <w:rFonts w:cs="David"/>
          <w:rtl/>
          <w:lang w:eastAsia="he-IL"/>
        </w:rPr>
        <w:footnoteReference w:id="13"/>
      </w:r>
      <w:r>
        <w:rPr>
          <w:rFonts w:cs="David" w:hint="cs"/>
          <w:rtl/>
          <w:lang w:eastAsia="he-IL"/>
        </w:rPr>
        <w:t xml:space="preserve"> </w:t>
      </w:r>
    </w:p>
    <w:p w:rsidR="00000000" w:rsidRDefault="008204F7">
      <w:pPr>
        <w:pStyle w:val="ListParagraph"/>
        <w:bidi/>
        <w:spacing w:before="120" w:beforeAutospacing="0" w:after="120" w:afterAutospacing="0" w:line="360" w:lineRule="auto"/>
        <w:ind w:left="736"/>
        <w:contextualSpacing/>
        <w:jc w:val="both"/>
        <w:divId w:val="2029796878"/>
        <w:rPr>
          <w:rFonts w:cs="David"/>
          <w:b/>
          <w:bCs/>
          <w:lang w:eastAsia="he-IL"/>
        </w:rPr>
      </w:pPr>
      <w:r>
        <w:rPr>
          <w:rFonts w:cs="David" w:hint="cs"/>
          <w:b/>
          <w:bCs/>
          <w:rtl/>
          <w:lang w:eastAsia="he-IL"/>
        </w:rPr>
        <w:t>או</w:t>
      </w:r>
    </w:p>
    <w:p w:rsidR="00000000" w:rsidRDefault="008204F7">
      <w:pPr>
        <w:pStyle w:val="ListParagraph"/>
        <w:numPr>
          <w:ilvl w:val="1"/>
          <w:numId w:val="6"/>
        </w:numPr>
        <w:bidi/>
        <w:spacing w:before="120" w:beforeAutospacing="0" w:after="120" w:afterAutospacing="0" w:line="360" w:lineRule="auto"/>
        <w:ind w:left="1104" w:hanging="384"/>
        <w:contextualSpacing/>
        <w:jc w:val="both"/>
        <w:divId w:val="2029796878"/>
        <w:rPr>
          <w:rFonts w:cs="David"/>
          <w:lang w:eastAsia="he-IL"/>
        </w:rPr>
      </w:pPr>
      <w:r>
        <w:rPr>
          <w:rFonts w:cs="David" w:hint="cs"/>
          <w:rtl/>
        </w:rPr>
        <w:lastRenderedPageBreak/>
        <w:t xml:space="preserve">התקופה שראשיתה בתחילת השנה החמישית ממועד אספקת הגז הטבעי וסיומה בתום השנה השביעית כאמור. </w:t>
      </w:r>
    </w:p>
    <w:p w:rsidR="00000000" w:rsidRDefault="008204F7">
      <w:pPr>
        <w:pStyle w:val="ListParagraph"/>
        <w:bidi/>
        <w:spacing w:before="120" w:beforeAutospacing="0" w:after="120" w:afterAutospacing="0" w:line="360" w:lineRule="auto"/>
        <w:ind w:left="736"/>
        <w:contextualSpacing/>
        <w:jc w:val="both"/>
        <w:divId w:val="2029796878"/>
        <w:rPr>
          <w:rFonts w:cs="David"/>
          <w:lang w:eastAsia="he-IL"/>
        </w:rPr>
      </w:pPr>
      <w:r>
        <w:rPr>
          <w:rFonts w:cs="David" w:hint="cs"/>
          <w:rtl/>
          <w:lang w:eastAsia="he-IL"/>
        </w:rPr>
        <w:t>ההודעה</w:t>
      </w:r>
      <w:r>
        <w:rPr>
          <w:rFonts w:cs="David" w:hint="cs"/>
          <w:rtl/>
        </w:rPr>
        <w:t xml:space="preserve"> על הפחתת כמות הרכישה </w:t>
      </w:r>
      <w:r>
        <w:rPr>
          <w:rFonts w:cs="David" w:hint="cs"/>
          <w:rtl/>
          <w:lang w:eastAsia="he-IL"/>
        </w:rPr>
        <w:t xml:space="preserve">תיכנס לתוקף לאחר שנה ממועד מתן הודעה כאמור ועד לסוף תקופת ההסכם. </w:t>
      </w:r>
    </w:p>
    <w:p w:rsidR="00000000" w:rsidRDefault="008204F7">
      <w:pPr>
        <w:bidi/>
        <w:spacing w:before="120" w:line="360" w:lineRule="auto"/>
        <w:ind w:left="720"/>
        <w:jc w:val="both"/>
        <w:divId w:val="2029796878"/>
        <w:rPr>
          <w:rFonts w:eastAsia="Times New Roman" w:cs="David"/>
          <w:lang w:eastAsia="he-IL"/>
        </w:rPr>
      </w:pPr>
      <w:r>
        <w:rPr>
          <w:rFonts w:cs="David" w:hint="cs"/>
          <w:rtl/>
        </w:rPr>
        <w:t xml:space="preserve">עם קביעת הכמות המינימלית עליה יחוייב </w:t>
      </w:r>
      <w:r>
        <w:rPr>
          <w:rFonts w:cs="David" w:hint="cs"/>
          <w:color w:val="000000"/>
          <w:rtl/>
        </w:rPr>
        <w:t xml:space="preserve">הצרכן </w:t>
      </w:r>
      <w:r>
        <w:rPr>
          <w:rFonts w:cs="David" w:hint="cs"/>
          <w:rtl/>
        </w:rPr>
        <w:t>לשלם בהתאם להפחתת כמות הרכישה</w:t>
      </w:r>
      <w:r>
        <w:rPr>
          <w:rFonts w:cs="David" w:hint="cs"/>
          <w:rtl/>
        </w:rPr>
        <w:t>, תעודכנה כמות הגז השנתית וכמות הגז הכוללת בהסכם.</w:t>
      </w:r>
      <w:r>
        <w:rPr>
          <w:rFonts w:eastAsia="Times New Roman" w:cs="David" w:hint="cs"/>
          <w:rtl/>
          <w:lang w:eastAsia="he-IL"/>
        </w:rPr>
        <w:t xml:space="preserve"> </w:t>
      </w:r>
    </w:p>
    <w:p w:rsidR="00000000" w:rsidRDefault="008204F7">
      <w:pPr>
        <w:numPr>
          <w:ilvl w:val="0"/>
          <w:numId w:val="5"/>
        </w:numPr>
        <w:bidi/>
        <w:spacing w:before="120" w:line="360" w:lineRule="auto"/>
        <w:ind w:left="1076" w:hanging="716"/>
        <w:jc w:val="both"/>
        <w:divId w:val="2029796878"/>
        <w:rPr>
          <w:rFonts w:eastAsia="Times New Roman" w:cs="David" w:hint="cs"/>
          <w:rtl/>
          <w:lang w:eastAsia="he-IL"/>
        </w:rPr>
      </w:pPr>
      <w:r>
        <w:rPr>
          <w:rFonts w:cs="David" w:hint="cs"/>
          <w:rtl/>
          <w:lang w:eastAsia="he-IL"/>
        </w:rPr>
        <w:t xml:space="preserve">מבלי לגרוע ומבלי לשנות מכל הוראה אחרת בהסכם המתירה לצרכן למכור גז טבעי שרכש משותפות תמר, </w:t>
      </w:r>
      <w:r>
        <w:rPr>
          <w:rFonts w:eastAsia="Times New Roman" w:cs="David" w:hint="cs"/>
          <w:rtl/>
          <w:lang w:eastAsia="he-IL"/>
        </w:rPr>
        <w:t>יחולו ההוראות הבאות:</w:t>
      </w:r>
    </w:p>
    <w:p w:rsidR="00000000" w:rsidRDefault="008204F7">
      <w:pPr>
        <w:pStyle w:val="ListParagraph"/>
        <w:numPr>
          <w:ilvl w:val="1"/>
          <w:numId w:val="6"/>
        </w:numPr>
        <w:bidi/>
        <w:spacing w:before="120" w:beforeAutospacing="0" w:after="120" w:afterAutospacing="0" w:line="360" w:lineRule="auto"/>
        <w:ind w:left="1444" w:hanging="708"/>
        <w:contextualSpacing/>
        <w:jc w:val="both"/>
        <w:divId w:val="2029796878"/>
        <w:rPr>
          <w:rFonts w:cs="David"/>
        </w:rPr>
      </w:pPr>
      <w:r>
        <w:rPr>
          <w:rFonts w:cs="David" w:hint="cs"/>
          <w:rtl/>
          <w:lang w:eastAsia="he-IL"/>
        </w:rPr>
        <w:t>לצרכן יתאפשר למכור גז טבעי שרכש משותפות תמר במכירה משנית בכפוף</w:t>
      </w:r>
      <w:r>
        <w:rPr>
          <w:rFonts w:cs="David" w:hint="cs"/>
          <w:rtl/>
        </w:rPr>
        <w:t xml:space="preserve"> להוראות הבאות:</w:t>
      </w:r>
    </w:p>
    <w:p w:rsidR="00000000" w:rsidRDefault="008204F7">
      <w:pPr>
        <w:pStyle w:val="ListParagraph"/>
        <w:numPr>
          <w:ilvl w:val="0"/>
          <w:numId w:val="7"/>
        </w:numPr>
        <w:bidi/>
        <w:spacing w:before="120" w:beforeAutospacing="0" w:after="120" w:afterAutospacing="0" w:line="360" w:lineRule="auto"/>
        <w:ind w:left="1800"/>
        <w:contextualSpacing/>
        <w:jc w:val="both"/>
        <w:divId w:val="2029796878"/>
        <w:rPr>
          <w:rFonts w:cs="David"/>
        </w:rPr>
      </w:pPr>
      <w:r>
        <w:rPr>
          <w:rFonts w:cs="David" w:hint="cs"/>
          <w:rtl/>
          <w:lang w:eastAsia="he-IL"/>
        </w:rPr>
        <w:t xml:space="preserve">אם הפער בין הכמות הקבועה בתניית </w:t>
      </w:r>
      <w:r>
        <w:rPr>
          <w:rFonts w:cs="David"/>
          <w:lang w:eastAsia="he-IL"/>
        </w:rPr>
        <w:t>Take or Pay</w:t>
      </w:r>
      <w:r>
        <w:rPr>
          <w:rFonts w:cs="David" w:hint="cs"/>
          <w:rtl/>
          <w:lang w:eastAsia="he-IL"/>
        </w:rPr>
        <w:t xml:space="preserve"> לכמות שתידרש לצרכן לשימושו העצמי קטן ממכפלת הכמות השנתית ב-15%, יוכל הצרכן לחרוג מהכמות הקבועה בתניית </w:t>
      </w:r>
      <w:r>
        <w:rPr>
          <w:rFonts w:cs="David"/>
          <w:lang w:eastAsia="he-IL"/>
        </w:rPr>
        <w:t>Take or Pay</w:t>
      </w:r>
      <w:r>
        <w:rPr>
          <w:rFonts w:cs="David" w:hint="cs"/>
          <w:rtl/>
          <w:lang w:eastAsia="he-IL"/>
        </w:rPr>
        <w:t xml:space="preserve">, באופן שיאפשר לו למכור גז טבעי במכירה משנית בהיקף של לפחות 15% מהכמות השנתית לאותה שנה. </w:t>
      </w:r>
    </w:p>
    <w:p w:rsidR="00000000" w:rsidRDefault="008204F7">
      <w:pPr>
        <w:pStyle w:val="ListParagraph"/>
        <w:numPr>
          <w:ilvl w:val="0"/>
          <w:numId w:val="7"/>
        </w:numPr>
        <w:bidi/>
        <w:spacing w:before="120" w:beforeAutospacing="0" w:after="120" w:afterAutospacing="0" w:line="360" w:lineRule="auto"/>
        <w:ind w:left="1800"/>
        <w:contextualSpacing/>
        <w:jc w:val="both"/>
        <w:divId w:val="2029796878"/>
        <w:rPr>
          <w:rFonts w:cs="David"/>
        </w:rPr>
      </w:pPr>
      <w:r>
        <w:rPr>
          <w:rFonts w:cs="David" w:hint="cs"/>
          <w:rtl/>
          <w:lang w:eastAsia="he-IL"/>
        </w:rPr>
        <w:t>לא ניצל ה</w:t>
      </w:r>
      <w:r>
        <w:rPr>
          <w:rFonts w:cs="David" w:hint="cs"/>
          <w:rtl/>
          <w:lang w:eastAsia="he-IL"/>
        </w:rPr>
        <w:t xml:space="preserve">צרכן את מלוא הכמות הקבועה בתניית </w:t>
      </w:r>
      <w:r>
        <w:rPr>
          <w:rFonts w:cs="David"/>
          <w:lang w:eastAsia="he-IL"/>
        </w:rPr>
        <w:t>Take or Pay</w:t>
      </w:r>
      <w:r>
        <w:rPr>
          <w:rFonts w:cs="David" w:hint="cs"/>
          <w:rtl/>
          <w:lang w:eastAsia="he-IL"/>
        </w:rPr>
        <w:t xml:space="preserve">, יוכל הצרכן למכור גז טבעי במכירה משנית עד לכמות הקבועה בתניית </w:t>
      </w:r>
      <w:r>
        <w:rPr>
          <w:rFonts w:cs="David"/>
          <w:lang w:eastAsia="he-IL"/>
        </w:rPr>
        <w:t>Take or Pay</w:t>
      </w:r>
      <w:r>
        <w:rPr>
          <w:rFonts w:cs="David" w:hint="cs"/>
          <w:rtl/>
          <w:lang w:eastAsia="he-IL"/>
        </w:rPr>
        <w:t>, וזאת אף אם כמות הגז שתותר לו למכור במכירה משנית תעלה על 15% מהכמות השנתית לאותה שנה.</w:t>
      </w:r>
    </w:p>
    <w:p w:rsidR="00000000" w:rsidRDefault="008204F7">
      <w:pPr>
        <w:pStyle w:val="ListParagraph"/>
        <w:numPr>
          <w:ilvl w:val="0"/>
          <w:numId w:val="7"/>
        </w:numPr>
        <w:bidi/>
        <w:spacing w:before="120" w:beforeAutospacing="0" w:after="120" w:afterAutospacing="0" w:line="360" w:lineRule="auto"/>
        <w:ind w:left="1800"/>
        <w:contextualSpacing/>
        <w:jc w:val="both"/>
        <w:divId w:val="2029796878"/>
        <w:rPr>
          <w:rFonts w:cs="David"/>
        </w:rPr>
      </w:pPr>
      <w:r>
        <w:rPr>
          <w:rFonts w:cs="David" w:hint="cs"/>
          <w:rtl/>
        </w:rPr>
        <w:t xml:space="preserve">הצדדים לא יחילו כל מגבלה על מחיר המכירה בו ימכור הצרכן את הגז הטבעי במכירה משנית. </w:t>
      </w:r>
    </w:p>
    <w:p w:rsidR="00000000" w:rsidRDefault="008204F7">
      <w:pPr>
        <w:pStyle w:val="ListParagraph"/>
        <w:numPr>
          <w:ilvl w:val="1"/>
          <w:numId w:val="6"/>
        </w:numPr>
        <w:bidi/>
        <w:spacing w:before="120" w:beforeAutospacing="0" w:after="120" w:afterAutospacing="0" w:line="360" w:lineRule="auto"/>
        <w:ind w:left="1444" w:hanging="708"/>
        <w:contextualSpacing/>
        <w:jc w:val="both"/>
        <w:divId w:val="2029796878"/>
        <w:rPr>
          <w:rFonts w:cs="David"/>
          <w:lang w:eastAsia="he-IL"/>
        </w:rPr>
      </w:pPr>
      <w:r>
        <w:rPr>
          <w:rFonts w:cs="David" w:hint="cs"/>
          <w:color w:val="000000"/>
          <w:sz w:val="20"/>
          <w:rtl/>
          <w:lang w:eastAsia="he-IL"/>
        </w:rPr>
        <w:t xml:space="preserve">כמות גז טבעי שתירכש ותימכר על ידי הצרכן לצדדים שלישיים תיחשב כצריכה עצמית לצורך חישוב הכמות המינימאלית לרכישה על פי תניית </w:t>
      </w:r>
      <w:r>
        <w:rPr>
          <w:rFonts w:cs="David"/>
          <w:lang w:eastAsia="he-IL"/>
        </w:rPr>
        <w:t>Take or Pay</w:t>
      </w:r>
      <w:r>
        <w:rPr>
          <w:rFonts w:cs="David" w:hint="cs"/>
          <w:rtl/>
          <w:lang w:eastAsia="he-IL"/>
        </w:rPr>
        <w:t xml:space="preserve">. </w:t>
      </w:r>
    </w:p>
    <w:p w:rsidR="00000000" w:rsidRDefault="008204F7">
      <w:pPr>
        <w:numPr>
          <w:ilvl w:val="0"/>
          <w:numId w:val="5"/>
        </w:numPr>
        <w:bidi/>
        <w:spacing w:before="120" w:line="360" w:lineRule="auto"/>
        <w:ind w:right="720"/>
        <w:jc w:val="both"/>
        <w:divId w:val="2029796878"/>
        <w:rPr>
          <w:rFonts w:eastAsia="Times New Roman" w:cs="David"/>
          <w:lang w:eastAsia="he-IL"/>
        </w:rPr>
      </w:pPr>
      <w:r>
        <w:rPr>
          <w:rFonts w:eastAsia="Times New Roman" w:cs="David" w:hint="cs"/>
          <w:rtl/>
          <w:lang w:eastAsia="he-IL"/>
        </w:rPr>
        <w:t>לא תחול על הצרכן כל מגבלה בנוגע לרכיש</w:t>
      </w:r>
      <w:r>
        <w:rPr>
          <w:rFonts w:eastAsia="Times New Roman" w:cs="David" w:hint="cs"/>
          <w:rtl/>
          <w:lang w:eastAsia="he-IL"/>
        </w:rPr>
        <w:t>ת גז טבעי מכל ספק גז טבעי אחר.</w:t>
      </w:r>
    </w:p>
    <w:p w:rsidR="00000000" w:rsidRDefault="008204F7">
      <w:pPr>
        <w:numPr>
          <w:ilvl w:val="0"/>
          <w:numId w:val="5"/>
        </w:numPr>
        <w:bidi/>
        <w:spacing w:before="120" w:line="360" w:lineRule="auto"/>
        <w:ind w:right="720"/>
        <w:jc w:val="both"/>
        <w:divId w:val="2029796878"/>
        <w:rPr>
          <w:rFonts w:eastAsia="Times New Roman" w:cs="David"/>
          <w:lang w:eastAsia="he-IL"/>
        </w:rPr>
      </w:pPr>
      <w:r>
        <w:rPr>
          <w:rFonts w:eastAsia="Times New Roman" w:cs="David" w:hint="cs"/>
          <w:rtl/>
          <w:lang w:eastAsia="he-IL"/>
        </w:rPr>
        <w:t>תנאי החלטה זו לא יביאו לשינוי שאר תנאי ההסכם בכל דרך שהיא אשר מרעה את מצבו של הצרכן, ובכלל זה לא ישונו לרעתו המחיר ותנאי התשלום, תנאי האספקה ומועדיה, כמויות האספקה, הוספת הגבלות על מכירת גז לצדדים שלישיים וכד'.</w:t>
      </w:r>
    </w:p>
    <w:p w:rsidR="00000000" w:rsidRDefault="008204F7">
      <w:pPr>
        <w:numPr>
          <w:ilvl w:val="0"/>
          <w:numId w:val="5"/>
        </w:numPr>
        <w:bidi/>
        <w:spacing w:before="120" w:line="360" w:lineRule="auto"/>
        <w:ind w:right="720"/>
        <w:jc w:val="both"/>
        <w:divId w:val="2029796878"/>
        <w:rPr>
          <w:rFonts w:eastAsia="Times New Roman" w:cs="David"/>
          <w:lang w:eastAsia="he-IL"/>
        </w:rPr>
      </w:pPr>
      <w:r>
        <w:rPr>
          <w:rFonts w:eastAsia="Times New Roman" w:cs="David" w:hint="cs"/>
          <w:rtl/>
          <w:lang w:eastAsia="he-IL"/>
        </w:rPr>
        <w:t xml:space="preserve">שותפות תמר לא </w:t>
      </w:r>
      <w:r>
        <w:rPr>
          <w:rFonts w:eastAsia="Times New Roman" w:cs="David" w:hint="cs"/>
          <w:rtl/>
          <w:lang w:eastAsia="he-IL"/>
        </w:rPr>
        <w:t xml:space="preserve">תתקשרנה, במישרין או בעקיפין, בכל הסכם לאספקת גז ממאגר 'תמר' ללא קבלת היתר ממערך הפיקוח על הגבלים עסקיים. </w:t>
      </w:r>
    </w:p>
    <w:p w:rsidR="00000000" w:rsidRDefault="008204F7">
      <w:pPr>
        <w:numPr>
          <w:ilvl w:val="0"/>
          <w:numId w:val="5"/>
        </w:numPr>
        <w:bidi/>
        <w:spacing w:before="120" w:line="360" w:lineRule="auto"/>
        <w:ind w:right="720"/>
        <w:jc w:val="both"/>
        <w:divId w:val="2029796878"/>
        <w:rPr>
          <w:rFonts w:eastAsia="Times New Roman" w:cs="David"/>
          <w:lang w:eastAsia="he-IL"/>
        </w:rPr>
      </w:pPr>
      <w:r>
        <w:rPr>
          <w:rFonts w:eastAsia="Times New Roman" w:cs="David" w:hint="cs"/>
          <w:rtl/>
          <w:lang w:eastAsia="he-IL"/>
        </w:rPr>
        <w:t>התעורר ספק בדבר פרשנותם או תחולתם של תנאים אלו, יובא הדבר להכרעת הממונה.</w:t>
      </w:r>
    </w:p>
    <w:p w:rsidR="00000000" w:rsidRDefault="008204F7">
      <w:pPr>
        <w:bidi/>
        <w:spacing w:before="120" w:line="360" w:lineRule="auto"/>
        <w:jc w:val="both"/>
        <w:divId w:val="2029796878"/>
        <w:rPr>
          <w:rFonts w:eastAsia="Times New Roman" w:cs="David"/>
          <w:color w:val="000000"/>
          <w:sz w:val="22"/>
          <w:lang w:eastAsia="he-IL"/>
        </w:rPr>
      </w:pPr>
      <w:r>
        <w:rPr>
          <w:rFonts w:eastAsia="Times New Roman" w:cs="David" w:hint="cs"/>
          <w:color w:val="000000"/>
          <w:sz w:val="22"/>
          <w:rtl/>
          <w:lang w:eastAsia="he-IL"/>
        </w:rPr>
        <w:t>בהתאם לסעיף 15(א) לחוק נתונה החלטתי זו לערר בפני אב בית הדין להגבלים עסקיים ע</w:t>
      </w:r>
      <w:r>
        <w:rPr>
          <w:rFonts w:eastAsia="Times New Roman" w:cs="David" w:hint="cs"/>
          <w:color w:val="000000"/>
          <w:sz w:val="22"/>
          <w:rtl/>
          <w:lang w:eastAsia="he-IL"/>
        </w:rPr>
        <w:t>ל ידי איגוד עסקי, ארגון צרכנים או כל אדם העלול להיפגע מההסדר הכובל עליו ניתן הפטור.</w:t>
      </w:r>
    </w:p>
    <w:p w:rsidR="00000000" w:rsidRDefault="008204F7">
      <w:pPr>
        <w:tabs>
          <w:tab w:val="left" w:pos="720"/>
          <w:tab w:val="center" w:pos="4153"/>
          <w:tab w:val="right" w:pos="8306"/>
        </w:tabs>
        <w:bidi/>
        <w:spacing w:before="240" w:line="360" w:lineRule="auto"/>
        <w:ind w:left="290" w:hanging="360"/>
        <w:jc w:val="both"/>
        <w:divId w:val="2029796878"/>
        <w:rPr>
          <w:rFonts w:eastAsia="Times New Roman" w:cs="David" w:hint="cs"/>
          <w:sz w:val="22"/>
          <w:rtl/>
          <w:lang w:eastAsia="he-IL"/>
        </w:rPr>
      </w:pPr>
      <w:r>
        <w:rPr>
          <w:rFonts w:eastAsia="Times New Roman" w:cs="David" w:hint="cs"/>
          <w:sz w:val="22"/>
          <w:rtl/>
          <w:lang w:eastAsia="he-IL"/>
        </w:rPr>
        <w:lastRenderedPageBreak/>
        <w:tab/>
      </w:r>
      <w:r>
        <w:rPr>
          <w:rFonts w:eastAsia="Times New Roman" w:cs="David" w:hint="cs"/>
          <w:sz w:val="22"/>
          <w:rtl/>
          <w:lang w:eastAsia="he-IL"/>
        </w:rPr>
        <w:tab/>
      </w:r>
      <w:r>
        <w:rPr>
          <w:rFonts w:eastAsia="Times New Roman" w:cs="David" w:hint="cs"/>
          <w:sz w:val="22"/>
          <w:rtl/>
          <w:lang w:eastAsia="he-IL"/>
        </w:rPr>
        <w:tab/>
        <w:t xml:space="preserve">                                                                                 </w:t>
      </w:r>
    </w:p>
    <w:p w:rsidR="00000000" w:rsidRDefault="008204F7">
      <w:pPr>
        <w:tabs>
          <w:tab w:val="left" w:pos="720"/>
          <w:tab w:val="center" w:pos="4153"/>
          <w:tab w:val="right" w:pos="8306"/>
        </w:tabs>
        <w:bidi/>
        <w:spacing w:before="240" w:line="360" w:lineRule="auto"/>
        <w:ind w:left="290" w:hanging="360"/>
        <w:jc w:val="both"/>
        <w:divId w:val="2029796878"/>
        <w:rPr>
          <w:rFonts w:eastAsia="Times New Roman" w:cs="David" w:hint="cs"/>
          <w:sz w:val="22"/>
          <w:rtl/>
          <w:lang w:eastAsia="he-IL"/>
        </w:rPr>
      </w:pPr>
    </w:p>
    <w:p w:rsidR="00000000" w:rsidRDefault="008204F7">
      <w:pPr>
        <w:tabs>
          <w:tab w:val="center" w:pos="4153"/>
          <w:tab w:val="right" w:pos="8306"/>
        </w:tabs>
        <w:bidi/>
        <w:spacing w:before="240" w:line="360" w:lineRule="auto"/>
        <w:ind w:left="5187"/>
        <w:jc w:val="center"/>
        <w:divId w:val="2029796878"/>
        <w:rPr>
          <w:rFonts w:eastAsia="Times New Roman" w:cs="David" w:hint="cs"/>
          <w:sz w:val="22"/>
          <w:rtl/>
          <w:lang w:eastAsia="he-IL"/>
        </w:rPr>
      </w:pPr>
      <w:r>
        <w:rPr>
          <w:rFonts w:eastAsia="Times New Roman" w:cs="David" w:hint="cs"/>
          <w:sz w:val="22"/>
          <w:rtl/>
          <w:lang w:eastAsia="he-IL"/>
        </w:rPr>
        <w:t>אורי שוורץ</w:t>
      </w:r>
    </w:p>
    <w:p w:rsidR="00000000" w:rsidRDefault="008204F7">
      <w:pPr>
        <w:tabs>
          <w:tab w:val="center" w:pos="4153"/>
          <w:tab w:val="right" w:pos="8306"/>
        </w:tabs>
        <w:bidi/>
        <w:spacing w:before="240" w:line="360" w:lineRule="auto"/>
        <w:ind w:left="5187"/>
        <w:jc w:val="center"/>
        <w:divId w:val="2029796878"/>
        <w:rPr>
          <w:rFonts w:eastAsia="Times New Roman" w:cs="David" w:hint="cs"/>
          <w:sz w:val="22"/>
          <w:rtl/>
          <w:lang w:eastAsia="he-IL"/>
        </w:rPr>
      </w:pPr>
      <w:r>
        <w:rPr>
          <w:rFonts w:eastAsia="Times New Roman" w:cs="David" w:hint="cs"/>
          <w:sz w:val="22"/>
          <w:rtl/>
          <w:lang w:eastAsia="he-IL"/>
        </w:rPr>
        <w:t>הממונה על הגבלים עסקיים (בפועל)</w:t>
      </w:r>
    </w:p>
    <w:p w:rsidR="00000000" w:rsidRDefault="008204F7">
      <w:pPr>
        <w:tabs>
          <w:tab w:val="left" w:pos="720"/>
          <w:tab w:val="center" w:pos="4153"/>
          <w:tab w:val="right" w:pos="8306"/>
        </w:tabs>
        <w:bidi/>
        <w:spacing w:before="240"/>
        <w:ind w:left="290" w:hanging="360"/>
        <w:jc w:val="both"/>
        <w:divId w:val="2029796878"/>
        <w:rPr>
          <w:rFonts w:eastAsia="Times New Roman" w:cs="David" w:hint="cs"/>
          <w:sz w:val="22"/>
          <w:rtl/>
          <w:lang w:eastAsia="he-IL"/>
        </w:rPr>
      </w:pPr>
      <w:r>
        <w:rPr>
          <w:rFonts w:eastAsia="Times New Roman" w:cs="David" w:hint="cs"/>
          <w:sz w:val="22"/>
          <w:rtl/>
          <w:lang w:eastAsia="he-IL"/>
        </w:rPr>
        <w:t>ירושלים, ‏ט"ו טבת תשע"ו</w:t>
      </w:r>
    </w:p>
    <w:p w:rsidR="00000000" w:rsidRDefault="008204F7">
      <w:pPr>
        <w:tabs>
          <w:tab w:val="left" w:pos="720"/>
          <w:tab w:val="center" w:pos="4153"/>
          <w:tab w:val="right" w:pos="8306"/>
        </w:tabs>
        <w:bidi/>
        <w:spacing w:before="240"/>
        <w:ind w:left="290" w:hanging="360"/>
        <w:jc w:val="both"/>
        <w:divId w:val="2029796878"/>
        <w:rPr>
          <w:rFonts w:ascii="Calibri" w:hAnsi="Calibri" w:cs="Arial" w:hint="cs"/>
          <w:rtl/>
        </w:rPr>
      </w:pPr>
      <w:r>
        <w:rPr>
          <w:rFonts w:eastAsia="Times New Roman" w:cs="David" w:hint="cs"/>
          <w:sz w:val="22"/>
          <w:rtl/>
          <w:lang w:eastAsia="he-IL"/>
        </w:rPr>
        <w:t xml:space="preserve">             ‏</w:t>
      </w:r>
      <w:r>
        <w:rPr>
          <w:rFonts w:eastAsia="Times New Roman" w:cs="David" w:hint="cs"/>
          <w:sz w:val="22"/>
          <w:rtl/>
          <w:lang w:eastAsia="he-IL"/>
        </w:rPr>
        <w:t>27 בדצמבר 2015</w:t>
      </w:r>
    </w:p>
    <w:p w:rsidR="00000000" w:rsidRDefault="008204F7">
      <w:pPr>
        <w:pStyle w:val="Footer"/>
        <w:divId w:val="1205827319"/>
        <w:rPr>
          <w:rFonts w:hint="cs"/>
          <w:szCs w:val="14"/>
          <w:rtl/>
        </w:rPr>
      </w:pPr>
    </w:p>
    <w:p w:rsidR="008204F7" w:rsidRDefault="008204F7">
      <w:pPr>
        <w:divId w:val="1205827319"/>
        <w:rPr>
          <w:rFonts w:eastAsia="Times New Roman" w:hint="cs"/>
        </w:rPr>
      </w:pPr>
      <w:r>
        <w:rPr>
          <w:rFonts w:eastAsia="Times New Roman" w:hint="cs"/>
        </w:rPr>
        <w:t>\</w:t>
      </w:r>
    </w:p>
    <w:sectPr w:rsidR="008204F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4F7" w:rsidRDefault="008204F7">
      <w:r>
        <w:separator/>
      </w:r>
    </w:p>
  </w:endnote>
  <w:endnote w:type="continuationSeparator" w:id="0">
    <w:p w:rsidR="008204F7" w:rsidRDefault="0082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4F7" w:rsidRDefault="008204F7">
      <w:r>
        <w:separator/>
      </w:r>
    </w:p>
  </w:footnote>
  <w:footnote w:type="continuationSeparator" w:id="0">
    <w:p w:rsidR="008204F7" w:rsidRDefault="008204F7">
      <w:r>
        <w:continuationSeparator/>
      </w:r>
    </w:p>
  </w:footnote>
  <w:footnote w:id="1">
    <w:p w:rsidR="00000000" w:rsidRDefault="008204F7">
      <w:pPr>
        <w:pStyle w:val="FootnoteText"/>
        <w:bidi/>
        <w:rPr>
          <w:rFonts w:cs="David"/>
          <w:rtl/>
        </w:rPr>
      </w:pPr>
      <w:r>
        <w:rPr>
          <w:rStyle w:val="FootnoteReference"/>
        </w:rPr>
        <w:footnoteRef/>
      </w:r>
      <w:r>
        <w:rPr>
          <w:rFonts w:cs="David" w:hint="cs"/>
          <w:rtl/>
        </w:rPr>
        <w:t xml:space="preserve"> ראו החלטת הממונה בדבר קיום מונופולין:</w:t>
      </w:r>
      <w:r>
        <w:rPr>
          <w:rFonts w:hint="cs"/>
        </w:rPr>
        <w:t xml:space="preserve"> </w:t>
      </w:r>
      <w:r>
        <w:rPr>
          <w:rFonts w:cs="David" w:hint="cs"/>
          <w:rtl/>
        </w:rPr>
        <w:t xml:space="preserve">דלק קידוחים שותפות מוגבלת יחד עם אבנר חיפושי גז ונפט שותפות מוגבלת, </w:t>
      </w:r>
      <w:r>
        <w:rPr>
          <w:rFonts w:hint="cs"/>
        </w:rPr>
        <w:t>Noble Energy Mediterranean</w:t>
      </w:r>
      <w:r>
        <w:rPr>
          <w:rFonts w:cs="David" w:hint="cs"/>
          <w:rtl/>
        </w:rPr>
        <w:t xml:space="preserve">, ישראמקו נגב 2 שותפות מוגבלת ודור חיפושי גז שותפות מוגבלת (13.11.2012)  </w:t>
      </w:r>
      <w:r>
        <w:rPr>
          <w:rFonts w:cs="David" w:hint="cs"/>
          <w:b/>
          <w:bCs/>
          <w:rtl/>
        </w:rPr>
        <w:t>הגבלים עסקיים</w:t>
      </w:r>
      <w:r>
        <w:rPr>
          <w:rFonts w:cs="David" w:hint="cs"/>
          <w:rtl/>
        </w:rPr>
        <w:t xml:space="preserve"> 500249. </w:t>
      </w:r>
    </w:p>
  </w:footnote>
  <w:footnote w:id="2">
    <w:p w:rsidR="00000000" w:rsidRDefault="008204F7">
      <w:pPr>
        <w:pStyle w:val="FootnoteText"/>
        <w:bidi/>
        <w:rPr>
          <w:rFonts w:cs="David" w:hint="cs"/>
          <w:rtl/>
        </w:rPr>
      </w:pPr>
      <w:r>
        <w:rPr>
          <w:rStyle w:val="FootnoteReference"/>
        </w:rPr>
        <w:footnoteRef/>
      </w:r>
      <w:r>
        <w:rPr>
          <w:rFonts w:cs="David" w:hint="cs"/>
          <w:rtl/>
        </w:rPr>
        <w:t xml:space="preserve"> במאגר תמר</w:t>
      </w:r>
      <w:r>
        <w:rPr>
          <w:rFonts w:cs="David" w:hint="cs"/>
          <w:rtl/>
        </w:rPr>
        <w:t xml:space="preserve"> מחזיקות נובל (36%), דלק קידוחים ואבנר (31.25%), ישראמקו (28.75%) ודור (4%) במאגר לוויתן מחזיקות קבוצת דלק (45.34%), נובל (39.66%) וכן רציו חיפושי נפט (1992) – שותפות מוגבלת (15%) (להלן: "</w:t>
      </w:r>
      <w:r>
        <w:rPr>
          <w:rFonts w:cs="David" w:hint="cs"/>
          <w:b/>
          <w:bCs/>
          <w:rtl/>
        </w:rPr>
        <w:t>רציו</w:t>
      </w:r>
      <w:r>
        <w:rPr>
          <w:rFonts w:cs="David" w:hint="cs"/>
          <w:rtl/>
        </w:rPr>
        <w:t>").</w:t>
      </w:r>
    </w:p>
  </w:footnote>
  <w:footnote w:id="3">
    <w:p w:rsidR="00000000" w:rsidRDefault="008204F7">
      <w:pPr>
        <w:pStyle w:val="FootnoteText"/>
        <w:bidi/>
        <w:rPr>
          <w:rFonts w:hint="cs"/>
          <w:rtl/>
        </w:rPr>
      </w:pPr>
      <w:r>
        <w:rPr>
          <w:rStyle w:val="FootnoteReference"/>
        </w:rPr>
        <w:footnoteRef/>
      </w:r>
      <w:r>
        <w:rPr>
          <w:rFonts w:cs="David" w:hint="cs"/>
          <w:rtl/>
        </w:rPr>
        <w:t xml:space="preserve"> מאגר "כריש" מצוי בשטח רישיון 366/"אלון </w:t>
      </w:r>
      <w:r>
        <w:rPr>
          <w:rFonts w:hint="cs"/>
        </w:rPr>
        <w:t>C</w:t>
      </w:r>
      <w:r>
        <w:rPr>
          <w:rFonts w:cs="David" w:hint="cs"/>
          <w:rtl/>
        </w:rPr>
        <w:t>" ומאגר "תנין" מצו</w:t>
      </w:r>
      <w:r>
        <w:rPr>
          <w:rFonts w:cs="David" w:hint="cs"/>
          <w:rtl/>
        </w:rPr>
        <w:t xml:space="preserve">י בשטח רישיון 364/"אלון </w:t>
      </w:r>
      <w:r>
        <w:rPr>
          <w:rFonts w:hint="cs"/>
        </w:rPr>
        <w:t>A</w:t>
      </w:r>
      <w:r>
        <w:rPr>
          <w:rFonts w:cs="David" w:hint="cs"/>
          <w:rtl/>
        </w:rPr>
        <w:t xml:space="preserve">", רישיונות המוחזקים על ידי קבוצת דלק (52.95%) ונובל (47.05%). </w:t>
      </w:r>
    </w:p>
  </w:footnote>
  <w:footnote w:id="4">
    <w:p w:rsidR="00000000" w:rsidRDefault="008204F7">
      <w:pPr>
        <w:pStyle w:val="FootnoteText"/>
        <w:bidi/>
        <w:rPr>
          <w:rFonts w:cs="David" w:hint="cs"/>
        </w:rPr>
      </w:pPr>
      <w:r>
        <w:rPr>
          <w:rStyle w:val="FootnoteReference"/>
        </w:rPr>
        <w:footnoteRef/>
      </w:r>
      <w:r>
        <w:rPr>
          <w:rFonts w:cs="David" w:hint="cs"/>
          <w:rtl/>
        </w:rPr>
        <w:t xml:space="preserve"> ראו החלטות הממונה בדבר מתן פטור מאישור הסדר כובל לפי סעיף 14 לחוק ההגבלים העסקיים, התשמ"ח-1988 להסדרים שבין שותפות תמר לבין - חברת החשמל לישראל בע"מ (14.6.12)</w:t>
      </w:r>
      <w:r>
        <w:rPr>
          <w:rFonts w:cs="David" w:hint="cs"/>
          <w:b/>
          <w:bCs/>
          <w:rtl/>
        </w:rPr>
        <w:t xml:space="preserve"> </w:t>
      </w:r>
      <w:r>
        <w:rPr>
          <w:rFonts w:cs="David" w:hint="cs"/>
          <w:b/>
          <w:bCs/>
          <w:rtl/>
        </w:rPr>
        <w:t>הגבלים עסקיים</w:t>
      </w:r>
      <w:r>
        <w:rPr>
          <w:rFonts w:cs="David" w:hint="cs"/>
          <w:rtl/>
        </w:rPr>
        <w:t xml:space="preserve"> 5001978; חברת דליה אנרגיות כח בע"מ (14.6.12) </w:t>
      </w:r>
      <w:r>
        <w:rPr>
          <w:rFonts w:cs="David" w:hint="cs"/>
          <w:b/>
          <w:bCs/>
          <w:rtl/>
        </w:rPr>
        <w:t>הגבלים עסקיים</w:t>
      </w:r>
      <w:r>
        <w:rPr>
          <w:rFonts w:cs="David" w:hint="cs"/>
          <w:rtl/>
        </w:rPr>
        <w:t xml:space="preserve"> 5001976; אשדוד אנרגיה בע"מ ורמת נגב בע"מ מקבוצת אדלטק בע"מ (14.6.12) </w:t>
      </w:r>
      <w:r>
        <w:rPr>
          <w:rFonts w:cs="David" w:hint="cs"/>
          <w:b/>
          <w:bCs/>
          <w:rtl/>
        </w:rPr>
        <w:t>הגבלים עסקיים</w:t>
      </w:r>
      <w:r>
        <w:rPr>
          <w:rFonts w:cs="David" w:hint="cs"/>
          <w:rtl/>
        </w:rPr>
        <w:t xml:space="preserve"> 5001977; חברת נייר חדרה בע"מ (20.8.12) </w:t>
      </w:r>
      <w:r>
        <w:rPr>
          <w:rFonts w:cs="David" w:hint="cs"/>
          <w:b/>
          <w:bCs/>
          <w:rtl/>
        </w:rPr>
        <w:t>הגבלים עסקיים</w:t>
      </w:r>
      <w:r>
        <w:rPr>
          <w:rFonts w:cs="David" w:hint="cs"/>
          <w:rtl/>
        </w:rPr>
        <w:t xml:space="preserve"> 500216 וחברת משאב ייזום ופיתוח בע"מ (20.8.12) </w:t>
      </w:r>
      <w:r>
        <w:rPr>
          <w:rFonts w:cs="David" w:hint="cs"/>
          <w:b/>
          <w:bCs/>
          <w:rtl/>
        </w:rPr>
        <w:t>ה</w:t>
      </w:r>
      <w:r>
        <w:rPr>
          <w:rFonts w:cs="David" w:hint="cs"/>
          <w:b/>
          <w:bCs/>
          <w:rtl/>
        </w:rPr>
        <w:t>גבלים עסקיים</w:t>
      </w:r>
      <w:r>
        <w:rPr>
          <w:rFonts w:cs="David" w:hint="cs"/>
          <w:rtl/>
        </w:rPr>
        <w:t xml:space="preserve"> 500125. </w:t>
      </w:r>
      <w:r>
        <w:rPr>
          <w:rFonts w:cs="David" w:hint="cs"/>
          <w:rtl/>
        </w:rPr>
        <w:tab/>
      </w:r>
    </w:p>
  </w:footnote>
  <w:footnote w:id="5">
    <w:p w:rsidR="00000000" w:rsidRDefault="008204F7">
      <w:pPr>
        <w:pStyle w:val="FootnoteText"/>
        <w:bidi/>
        <w:rPr>
          <w:rFonts w:cs="David" w:hint="cs"/>
          <w:rtl/>
        </w:rPr>
      </w:pPr>
      <w:r>
        <w:rPr>
          <w:rStyle w:val="FootnoteReference"/>
        </w:rPr>
        <w:footnoteRef/>
      </w:r>
      <w:r>
        <w:rPr>
          <w:rFonts w:cs="David" w:hint="cs"/>
          <w:rtl/>
        </w:rPr>
        <w:t xml:space="preserve"> רישיון 347/"מירה" נמצא יבש ובהתאם לכך ננטש, ראו דיווח של הכשרת הישוב בישראל – אנרגיה בע"מ, מיום 16.9.2012: </w:t>
      </w:r>
      <w:hyperlink r:id="rId1" w:anchor="?id=012734&amp;reference=2012-01-239346" w:history="1">
        <w:r>
          <w:rPr>
            <w:rStyle w:val="Hyperlink"/>
            <w:rFonts w:hint="cs"/>
          </w:rPr>
          <w:t>https://www.magna.isa.gov.il/details.aspx?id=012734&amp;reference=2012-01-239346#?id=012734&amp;reference=2012-01-239346</w:t>
        </w:r>
      </w:hyperlink>
      <w:r>
        <w:rPr>
          <w:rFonts w:cs="David" w:hint="cs"/>
          <w:rtl/>
        </w:rPr>
        <w:t xml:space="preserve"> ; רישיון 348/"שרה" נמצא יבש ובהתאם לכך ננטש, ראו דיווח של הכשרת הישוב בישראל – אנרגיה בע"מ, מיום 20.10.2012: </w:t>
      </w:r>
      <w:hyperlink r:id="rId2" w:anchor="?id=012734&amp;reference=2012-01-259734" w:history="1">
        <w:r>
          <w:rPr>
            <w:rStyle w:val="Hyperlink"/>
            <w:rFonts w:hint="cs"/>
          </w:rPr>
          <w:t>https://www.magna.isa.gov.il/details.aspx?id=012734&amp;reference=2012-01-259734#?id=012734&amp;reference=2012-01-259734</w:t>
        </w:r>
      </w:hyperlink>
      <w:r>
        <w:rPr>
          <w:rFonts w:cs="David" w:hint="cs"/>
          <w:rtl/>
        </w:rPr>
        <w:t>; רישיון 387/"שמן" נמצא יבש ובהתאם</w:t>
      </w:r>
      <w:r>
        <w:rPr>
          <w:rFonts w:cs="David" w:hint="cs"/>
          <w:rtl/>
        </w:rPr>
        <w:t xml:space="preserve"> לכך ננטש, ראו דיווח של שמן משאבי נפט וגז בע"מ, מיום 16.10.2013: </w:t>
      </w:r>
      <w:hyperlink r:id="rId3" w:history="1">
        <w:r>
          <w:rPr>
            <w:rStyle w:val="Hyperlink"/>
            <w:rFonts w:hint="cs"/>
          </w:rPr>
          <w:t>http://maya.tase.co.il/bursa/report.asp?report_cd=849831-00&amp;Type=Pdf</w:t>
        </w:r>
      </w:hyperlink>
      <w:r>
        <w:rPr>
          <w:rFonts w:cs="David" w:hint="cs"/>
          <w:rtl/>
        </w:rPr>
        <w:t>; רישיונות 371/"עדיתיה", 372/"ללה", 37</w:t>
      </w:r>
      <w:r>
        <w:rPr>
          <w:rFonts w:cs="David" w:hint="cs"/>
          <w:rtl/>
        </w:rPr>
        <w:t>3/"יהב" ו-374/"יועד", המהווים חלק מרישיונות פלאג'יק פקעו ביום 1.9.2013 אולם המחזיקות הגישו בקשה לשנות את גבולות הרישיונות כך שיוחזרו למדינה, למעט רישיון יועד שלגביו הוגשה בקשה להארכת תוקף, ראו דיווח של הזדמנות ישראלית – מקורות אנרגיה שותפות מוגבלת, דו"ח תק</w:t>
      </w:r>
      <w:r>
        <w:rPr>
          <w:rFonts w:cs="David" w:hint="cs"/>
          <w:rtl/>
        </w:rPr>
        <w:t xml:space="preserve">ופתי לשנת 2014: </w:t>
      </w:r>
      <w:hyperlink r:id="rId4" w:history="1">
        <w:r>
          <w:rPr>
            <w:rStyle w:val="Hyperlink"/>
            <w:rFonts w:hint="cs"/>
          </w:rPr>
          <w:t>http://maya.tase.co.il/bursa/report.asp?report_cd=955383-00&amp;Type=Pdf</w:t>
        </w:r>
      </w:hyperlink>
      <w:r>
        <w:rPr>
          <w:rFonts w:cs="David" w:hint="cs"/>
          <w:rtl/>
        </w:rPr>
        <w:t xml:space="preserve">.     </w:t>
      </w:r>
    </w:p>
  </w:footnote>
  <w:footnote w:id="6">
    <w:p w:rsidR="00000000" w:rsidRDefault="008204F7">
      <w:pPr>
        <w:pStyle w:val="FootnoteText"/>
        <w:bidi/>
        <w:rPr>
          <w:rFonts w:hint="cs"/>
          <w:rtl/>
        </w:rPr>
      </w:pPr>
      <w:r>
        <w:rPr>
          <w:rStyle w:val="FootnoteReference"/>
        </w:rPr>
        <w:footnoteRef/>
      </w:r>
      <w:r>
        <w:rPr>
          <w:rFonts w:cs="David" w:hint="cs"/>
          <w:rtl/>
        </w:rPr>
        <w:t xml:space="preserve"> החלטת ממשלה מספר 476 בעניין "מתווה להגדלת כמות הגז הטבעי המופקת משדה הגז הטבעי</w:t>
      </w:r>
      <w:r>
        <w:rPr>
          <w:rFonts w:cs="David" w:hint="cs"/>
          <w:rtl/>
        </w:rPr>
        <w:t xml:space="preserve"> "תמר" ופיתוח מהיר של שדות הגז הטבעי "לוויתן", "כריש" ו"תנין" שדות גז טבעי נוספים" בכתובת: </w:t>
      </w:r>
      <w:hyperlink r:id="rId5" w:history="1">
        <w:r>
          <w:rPr>
            <w:rStyle w:val="Hyperlink"/>
            <w:rFonts w:hint="cs"/>
          </w:rPr>
          <w:t>http://www.pmo.gov.il/Secretary/GovDecisions/2015/Pages/dec476.aspx</w:t>
        </w:r>
      </w:hyperlink>
      <w:r>
        <w:rPr>
          <w:rFonts w:cs="David" w:hint="cs"/>
          <w:rtl/>
        </w:rPr>
        <w:t xml:space="preserve">.  </w:t>
      </w:r>
    </w:p>
  </w:footnote>
  <w:footnote w:id="7">
    <w:p w:rsidR="00000000" w:rsidRDefault="008204F7">
      <w:pPr>
        <w:pStyle w:val="FootnoteText"/>
        <w:bidi/>
        <w:rPr>
          <w:rFonts w:hint="cs"/>
        </w:rPr>
      </w:pPr>
      <w:r>
        <w:rPr>
          <w:rStyle w:val="FootnoteReference"/>
        </w:rPr>
        <w:footnoteRef/>
      </w:r>
      <w:r>
        <w:rPr>
          <w:rFonts w:cs="David" w:hint="cs"/>
          <w:rtl/>
        </w:rPr>
        <w:t xml:space="preserve"> ראו החלט</w:t>
      </w:r>
      <w:r>
        <w:rPr>
          <w:rFonts w:cs="David" w:hint="cs"/>
          <w:rtl/>
        </w:rPr>
        <w:t>ת הממונה בדבר פטור מאישור הסדר כובל לפי סעיף 14 לחוק ההגבלים העסקיים, התשמ"ח-1988, להסדר שבין דלק קידוחים (שותפות מוגבלת); אבנר חיפושי נפט וגז (שותפות מוגבלת); ישראמקו נגב - 2 (שותפות מוגבלת); אס.טי.איקס (2000) (שותפות מוגבלת); דור חיפושי גז (שותפות מוגבלת</w:t>
      </w:r>
      <w:r>
        <w:rPr>
          <w:rFonts w:cs="David" w:hint="cs"/>
          <w:rtl/>
        </w:rPr>
        <w:t xml:space="preserve">) ודור כימיקלים בע"מ (22.8.06)  </w:t>
      </w:r>
      <w:r>
        <w:rPr>
          <w:rFonts w:cs="David" w:hint="cs"/>
          <w:b/>
          <w:bCs/>
          <w:rtl/>
        </w:rPr>
        <w:t>הגבלים עסקיים</w:t>
      </w:r>
      <w:r>
        <w:rPr>
          <w:rFonts w:cs="David" w:hint="cs"/>
          <w:rtl/>
        </w:rPr>
        <w:t xml:space="preserve">, 5000445. </w:t>
      </w:r>
    </w:p>
  </w:footnote>
  <w:footnote w:id="8">
    <w:p w:rsidR="00000000" w:rsidRDefault="008204F7">
      <w:pPr>
        <w:pStyle w:val="FootnoteText"/>
        <w:bidi/>
        <w:rPr>
          <w:rFonts w:cs="David" w:hint="cs"/>
        </w:rPr>
      </w:pPr>
      <w:r>
        <w:rPr>
          <w:vertAlign w:val="superscript"/>
        </w:rPr>
        <w:footnoteRef/>
      </w:r>
      <w:r>
        <w:rPr>
          <w:rFonts w:cs="David" w:hint="cs"/>
          <w:vertAlign w:val="superscript"/>
          <w:rtl/>
        </w:rPr>
        <w:t xml:space="preserve"> </w:t>
      </w:r>
      <w:r>
        <w:rPr>
          <w:rFonts w:cs="David" w:hint="cs"/>
          <w:rtl/>
        </w:rPr>
        <w:t xml:space="preserve">בהתאם לנספח א' להחלטת הממשלה בה"ש 6 </w:t>
      </w:r>
      <w:r>
        <w:rPr>
          <w:rFonts w:cs="David" w:hint="cs"/>
          <w:b/>
          <w:bCs/>
          <w:rtl/>
        </w:rPr>
        <w:t>לעיל</w:t>
      </w:r>
      <w:r>
        <w:rPr>
          <w:rFonts w:cs="David" w:hint="cs"/>
          <w:rtl/>
        </w:rPr>
        <w:t>, מועד העברת הזכויות של דלק ונובל במאגרים 'כריש' ו'תנין' צפוי להתקיים בתוך 14 חודשים מהמועד המאוחר מבין שני האירועים הבאים: (1) הפעלת הסמכות לפי סעיף 52 לחוק</w:t>
      </w:r>
      <w:r>
        <w:rPr>
          <w:rFonts w:cs="David" w:hint="cs"/>
          <w:rtl/>
        </w:rPr>
        <w:t xml:space="preserve"> ההגבלים העסקיים ו-(2) פרסום טיוטת הסדרה חדשה על ידי הממונה על הנפט בנוגע לתנאי הכשירות למפעיל מאגר גז טבעי. </w:t>
      </w:r>
    </w:p>
  </w:footnote>
  <w:footnote w:id="9">
    <w:p w:rsidR="00000000" w:rsidRDefault="008204F7">
      <w:pPr>
        <w:pStyle w:val="FootnoteText"/>
        <w:bidi/>
        <w:rPr>
          <w:rFonts w:hint="cs"/>
          <w:rtl/>
        </w:rPr>
      </w:pPr>
      <w:r>
        <w:rPr>
          <w:rStyle w:val="FootnoteReference"/>
        </w:rPr>
        <w:footnoteRef/>
      </w:r>
      <w:r>
        <w:rPr>
          <w:rFonts w:cs="David" w:hint="cs"/>
          <w:rtl/>
        </w:rPr>
        <w:t xml:space="preserve"> כמפורט בהחלטות הפטור הקודמות, הפעלתה המסחרית של תחנת הכח של חברת דליה אנרגיות כח בע"מ (להלן: "</w:t>
      </w:r>
      <w:r>
        <w:rPr>
          <w:rFonts w:cs="David" w:hint="cs"/>
          <w:b/>
          <w:bCs/>
          <w:rtl/>
        </w:rPr>
        <w:t>דליה</w:t>
      </w:r>
      <w:r>
        <w:rPr>
          <w:rFonts w:cs="David" w:hint="cs"/>
          <w:rtl/>
        </w:rPr>
        <w:t>"), אשר החלה כבר במהלך שנת 2015, צפויה למנוע א</w:t>
      </w:r>
      <w:r>
        <w:rPr>
          <w:rFonts w:cs="David" w:hint="cs"/>
          <w:rtl/>
        </w:rPr>
        <w:t xml:space="preserve">ספקת גז על ידי שותפות תמר לצרכני גז אחרים נוכח מגבלות הקיבולת של צינור אספקת הגז.  </w:t>
      </w:r>
    </w:p>
  </w:footnote>
  <w:footnote w:id="10">
    <w:p w:rsidR="00000000" w:rsidRDefault="008204F7">
      <w:pPr>
        <w:pStyle w:val="FootnoteText"/>
        <w:bidi/>
        <w:rPr>
          <w:rFonts w:cs="David" w:hint="cs"/>
        </w:rPr>
      </w:pPr>
      <w:r>
        <w:rPr>
          <w:rStyle w:val="FootnoteReference"/>
        </w:rPr>
        <w:footnoteRef/>
      </w:r>
      <w:r>
        <w:rPr>
          <w:rFonts w:cs="David" w:hint="cs"/>
          <w:rtl/>
        </w:rPr>
        <w:t xml:space="preserve"> כמויות הגז הטבעי הנקובות בהסכמי אספקת הגז הקודמים הזוכים לעדיפות באספקת גז טבעי על פני ההסכם שבפניי הם הסכמי אספקת הגז בין השותפות ברישיון ים תטיס לבין החברות הבאות: חברת</w:t>
      </w:r>
      <w:r>
        <w:rPr>
          <w:rFonts w:cs="David" w:hint="cs"/>
          <w:rtl/>
        </w:rPr>
        <w:t xml:space="preserve"> החשמל; חברת בתי זיקוק נפט בע"מ; פז בתי הזיקוק נפט אשדוד בע"מ; חברת נייר חדרה בע"מ; חברת מפעלי ים המלח בע"מ; וחברת אי.פי.פי דלק אשקלון בע"מ (להלן: "</w:t>
      </w:r>
      <w:r>
        <w:rPr>
          <w:rFonts w:cs="David" w:hint="cs"/>
          <w:b/>
          <w:bCs/>
          <w:rtl/>
        </w:rPr>
        <w:t>הסכמי ים-תטיס</w:t>
      </w:r>
      <w:r>
        <w:rPr>
          <w:rFonts w:cs="David" w:hint="cs"/>
          <w:rtl/>
        </w:rPr>
        <w:t>"), וכן הסכמי אספקת הגז בין השותפות ברישיון תמר לבין החברות הבאות: חברת החשמל בע"מ; דליה אנרגיו</w:t>
      </w:r>
      <w:r>
        <w:rPr>
          <w:rFonts w:cs="David" w:hint="cs"/>
          <w:rtl/>
        </w:rPr>
        <w:t>ת כח בע"מ; רמת נגב ואשדוד אנרגיה מקבוצת אדלטק בע"מ; משאב ייזום ופיתוח בע"מ; ונייר חדרה בע"מ.</w:t>
      </w:r>
    </w:p>
  </w:footnote>
  <w:footnote w:id="11">
    <w:p w:rsidR="00000000" w:rsidRDefault="008204F7">
      <w:pPr>
        <w:pStyle w:val="FootnoteText"/>
        <w:bidi/>
        <w:rPr>
          <w:rFonts w:cs="David" w:hint="cs"/>
          <w:rtl/>
        </w:rPr>
      </w:pPr>
      <w:r>
        <w:rPr>
          <w:rStyle w:val="FootnoteReference"/>
        </w:rPr>
        <w:footnoteRef/>
      </w:r>
      <w:r>
        <w:rPr>
          <w:rFonts w:cs="David" w:hint="cs"/>
          <w:rtl/>
        </w:rPr>
        <w:t xml:space="preserve"> רשת החלוקה מוזנת על ידי מערכת ההולכה ומספקת גז טבעי בלחץ נמוך (עד 16 בר), בעיקר לאזורי תעשייה וצרכנים קטנים, והיא מתוכננת, מוקמת ומופעלת על ידי בעל רישיון חלוקה </w:t>
      </w:r>
      <w:r>
        <w:rPr>
          <w:rFonts w:cs="David" w:hint="cs"/>
          <w:rtl/>
        </w:rPr>
        <w:t>ומצויה בבעלותו ובאחריותו. בישראל קיימים סך הכל שישה אזורי רישיונות חלוקה במסגרתם מסופק גז טבעי למפעלי תעשייה וצרכנים קטנים.</w:t>
      </w:r>
    </w:p>
  </w:footnote>
  <w:footnote w:id="12">
    <w:p w:rsidR="00000000" w:rsidRDefault="008204F7">
      <w:pPr>
        <w:pStyle w:val="FootnoteText"/>
        <w:bidi/>
        <w:rPr>
          <w:rFonts w:cs="David" w:hint="cs"/>
          <w:rtl/>
        </w:rPr>
      </w:pPr>
      <w:r>
        <w:rPr>
          <w:vertAlign w:val="superscript"/>
        </w:rPr>
        <w:footnoteRef/>
      </w:r>
      <w:r>
        <w:rPr>
          <w:rFonts w:cs="David" w:hint="cs"/>
          <w:vertAlign w:val="superscript"/>
          <w:rtl/>
        </w:rPr>
        <w:t xml:space="preserve"> </w:t>
      </w:r>
      <w:r>
        <w:rPr>
          <w:rFonts w:cs="David" w:hint="cs"/>
          <w:rtl/>
        </w:rPr>
        <w:t xml:space="preserve">רשת ההולכה מובילה את הגז בלחץ גבוה (מעל 16 בר) מנקודת האספקה היישר לאתרי הצרכנים הראשיים כגון תחנות כוח ומפעלי תעשייה גדולים, ואל </w:t>
      </w:r>
      <w:r>
        <w:rPr>
          <w:rFonts w:cs="David" w:hint="cs"/>
          <w:rtl/>
        </w:rPr>
        <w:t xml:space="preserve">מוקדי חלוקה שמהם ניתן לשווק את הגז לצרכנים משניים קטנים יותר. </w:t>
      </w:r>
    </w:p>
  </w:footnote>
  <w:footnote w:id="13">
    <w:p w:rsidR="00000000" w:rsidRDefault="008204F7">
      <w:pPr>
        <w:pStyle w:val="FootnoteText"/>
        <w:bidi/>
        <w:rPr>
          <w:rFonts w:cs="David" w:hint="cs"/>
          <w:rtl/>
        </w:rPr>
      </w:pPr>
      <w:r>
        <w:rPr>
          <w:rStyle w:val="FootnoteReference"/>
        </w:rPr>
        <w:footnoteRef/>
      </w:r>
      <w:r>
        <w:rPr>
          <w:rFonts w:cs="David" w:hint="cs"/>
          <w:rtl/>
        </w:rPr>
        <w:t xml:space="preserve"> המועד המנוי בס"ק א' יותאם על ידי הממונה ככל שיקבע שהתקיים שינוי נסיבות.</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05E75"/>
    <w:multiLevelType w:val="multilevel"/>
    <w:tmpl w:val="F84C3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96C67D3"/>
    <w:multiLevelType w:val="multilevel"/>
    <w:tmpl w:val="D12E5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A3C21FF"/>
    <w:multiLevelType w:val="multilevel"/>
    <w:tmpl w:val="B80061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C3F566B"/>
    <w:multiLevelType w:val="multilevel"/>
    <w:tmpl w:val="19A08D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F161FBD"/>
    <w:multiLevelType w:val="multilevel"/>
    <w:tmpl w:val="B69AA4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1AA1434"/>
    <w:multiLevelType w:val="multilevel"/>
    <w:tmpl w:val="9DAEA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35E6AAF"/>
    <w:multiLevelType w:val="multilevel"/>
    <w:tmpl w:val="0E8C6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4655B8"/>
    <w:rsid w:val="004655B8"/>
    <w:rsid w:val="00820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BABD23-A16A-4868-9AAF-36238D9D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FootnoteReference">
    <w:name w:val="footnote reference"/>
    <w:basedOn w:val="DefaultParagraphFont"/>
    <w:uiPriority w:val="99"/>
    <w:semiHidden/>
    <w:unhideWhenUsed/>
  </w:style>
  <w:style w:type="character" w:styleId="Strong">
    <w:name w:val="Strong"/>
    <w:basedOn w:val="DefaultParagraphFont"/>
    <w:uiPriority w:val="22"/>
    <w:qFormat/>
    <w:rPr>
      <w:b/>
      <w:bCs/>
    </w:rPr>
  </w:style>
  <w:style w:type="paragraph" w:styleId="ListParagraph">
    <w:name w:val="List Paragraph"/>
    <w:basedOn w:val="Normal"/>
    <w:uiPriority w:val="34"/>
    <w:qFormat/>
    <w:pPr>
      <w:spacing w:before="100" w:beforeAutospacing="1" w:after="100" w:afterAutospacing="1"/>
    </w:p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827319">
      <w:marLeft w:val="0"/>
      <w:marRight w:val="0"/>
      <w:marTop w:val="0"/>
      <w:marBottom w:val="0"/>
      <w:divBdr>
        <w:top w:val="none" w:sz="0" w:space="0" w:color="auto"/>
        <w:left w:val="none" w:sz="0" w:space="0" w:color="auto"/>
        <w:bottom w:val="none" w:sz="0" w:space="0" w:color="auto"/>
        <w:right w:val="none" w:sz="0" w:space="0" w:color="auto"/>
      </w:divBdr>
    </w:div>
    <w:div w:id="1879273145">
      <w:marLeft w:val="0"/>
      <w:marRight w:val="0"/>
      <w:marTop w:val="0"/>
      <w:marBottom w:val="0"/>
      <w:divBdr>
        <w:top w:val="none" w:sz="0" w:space="0" w:color="auto"/>
        <w:left w:val="none" w:sz="0" w:space="0" w:color="auto"/>
        <w:bottom w:val="none" w:sz="0" w:space="0" w:color="auto"/>
        <w:right w:val="none" w:sz="0" w:space="0" w:color="auto"/>
      </w:divBdr>
    </w:div>
    <w:div w:id="202979687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maya.tase.co.il/bursa/report.asp?report_cd=849831-00&amp;Type=Pdf" TargetMode="External"/><Relationship Id="rId2" Type="http://schemas.openxmlformats.org/officeDocument/2006/relationships/hyperlink" Target="https://www.magna.isa.gov.il/details.aspx?id=012734&amp;reference=2012-01-259734" TargetMode="External"/><Relationship Id="rId1" Type="http://schemas.openxmlformats.org/officeDocument/2006/relationships/hyperlink" Target="https://www.magna.isa.gov.il/details.aspx?id=012734&amp;reference=2012-01-239346" TargetMode="External"/><Relationship Id="rId5" Type="http://schemas.openxmlformats.org/officeDocument/2006/relationships/hyperlink" Target="http://www.pmo.gov.il/Secretary/GovDecisions/2015/Pages/dec476.aspx" TargetMode="External"/><Relationship Id="rId4" Type="http://schemas.openxmlformats.org/officeDocument/2006/relationships/hyperlink" Target="http://maya.tase.co.il/bursa/report.asp?report_cd=955383-00&amp;Typ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2895</Words>
  <Characters>14477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2019-07-27T12:03:00Z</dcterms:created>
  <dcterms:modified xsi:type="dcterms:W3CDTF">2019-07-27T12:03:00Z</dcterms:modified>
</cp:coreProperties>
</file>