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EC4B2F" w14:textId="77777777" w:rsidR="000C35BA" w:rsidRDefault="000C35BA" w:rsidP="000C35BA">
      <w:pPr>
        <w:spacing w:before="0" w:after="0"/>
        <w:jc w:val="center"/>
        <w:rPr>
          <w:b/>
          <w:bCs/>
          <w:szCs w:val="32"/>
        </w:rPr>
      </w:pPr>
      <w:bookmarkStart w:id="0" w:name="to_string"/>
      <w:bookmarkStart w:id="1" w:name="_GoBack"/>
      <w:bookmarkEnd w:id="1"/>
      <w:r>
        <w:rPr>
          <w:rFonts w:hint="cs"/>
          <w:b/>
          <w:bCs/>
          <w:szCs w:val="32"/>
          <w:rtl/>
        </w:rPr>
        <w:t xml:space="preserve">החלטה לפי סעיף 14 לחוק ההגבלים העסקיים, התשמ"ח - 1988 </w:t>
      </w:r>
    </w:p>
    <w:p w14:paraId="3F0D4E8C" w14:textId="77777777" w:rsidR="000C35BA" w:rsidRDefault="000C35BA" w:rsidP="000C35BA">
      <w:pPr>
        <w:spacing w:before="0" w:after="0"/>
        <w:jc w:val="center"/>
        <w:rPr>
          <w:b/>
          <w:bCs/>
          <w:szCs w:val="32"/>
          <w:rtl/>
        </w:rPr>
      </w:pPr>
      <w:r>
        <w:rPr>
          <w:rFonts w:hint="cs"/>
          <w:b/>
          <w:bCs/>
          <w:szCs w:val="32"/>
          <w:rtl/>
        </w:rPr>
        <w:t>בדבר מתן פטור בתנאים מאישור הסדר כובל שצדדים לו</w:t>
      </w:r>
    </w:p>
    <w:p w14:paraId="7C8B3017" w14:textId="77777777" w:rsidR="000C35BA" w:rsidRDefault="000C35BA" w:rsidP="000C35BA">
      <w:pPr>
        <w:spacing w:before="0" w:after="0"/>
        <w:jc w:val="center"/>
        <w:rPr>
          <w:b/>
          <w:bCs/>
          <w:szCs w:val="32"/>
          <w:rtl/>
        </w:rPr>
      </w:pPr>
      <w:r>
        <w:rPr>
          <w:rFonts w:hint="cs"/>
          <w:b/>
          <w:bCs/>
          <w:szCs w:val="32"/>
          <w:u w:val="single"/>
          <w:rtl/>
        </w:rPr>
        <w:t>ארגון התעופה הבינלאומי (</w:t>
      </w:r>
      <w:r>
        <w:rPr>
          <w:b/>
          <w:bCs/>
          <w:sz w:val="28"/>
          <w:szCs w:val="40"/>
          <w:u w:val="single"/>
        </w:rPr>
        <w:t>International Air Transport Association</w:t>
      </w:r>
      <w:r>
        <w:rPr>
          <w:rFonts w:hint="cs"/>
          <w:b/>
          <w:bCs/>
          <w:szCs w:val="32"/>
          <w:u w:val="single"/>
          <w:rtl/>
        </w:rPr>
        <w:t xml:space="preserve">) וחברות תעופה </w:t>
      </w:r>
    </w:p>
    <w:p w14:paraId="02C0DD64" w14:textId="77777777" w:rsidR="000C35BA" w:rsidRDefault="000C35BA" w:rsidP="000C35BA">
      <w:pPr>
        <w:pStyle w:val="1"/>
        <w:rPr>
          <w:rtl/>
        </w:rPr>
      </w:pPr>
      <w:r>
        <w:rPr>
          <w:rFonts w:hint="cs"/>
          <w:rtl/>
        </w:rPr>
        <w:t xml:space="preserve">א. </w:t>
      </w:r>
      <w:r>
        <w:rPr>
          <w:rFonts w:hint="cs"/>
          <w:u w:val="single"/>
          <w:rtl/>
        </w:rPr>
        <w:t>פתח דבר</w:t>
      </w:r>
    </w:p>
    <w:p w14:paraId="3BFA02B2" w14:textId="721A3660" w:rsidR="000C35BA" w:rsidRDefault="000C35BA" w:rsidP="002C5B97">
      <w:pPr>
        <w:rPr>
          <w:rtl/>
        </w:rPr>
      </w:pPr>
      <w:r>
        <w:rPr>
          <w:rFonts w:hint="cs"/>
          <w:rtl/>
        </w:rPr>
        <w:t>מונחת בפניי בקשה למתן פטור לפי סעיף 14 לחוק ההגבלים העסקיים, התשמ"ח-1988 (להלן: "</w:t>
      </w:r>
      <w:r>
        <w:rPr>
          <w:rFonts w:hint="cs"/>
          <w:b/>
          <w:bCs/>
          <w:rtl/>
        </w:rPr>
        <w:t>החוק</w:t>
      </w:r>
      <w:r>
        <w:rPr>
          <w:rFonts w:hint="cs"/>
          <w:rtl/>
        </w:rPr>
        <w:t>"), להסדר שהצדדים לו הם ארגון התעופה הבינלאומי (</w:t>
      </w:r>
      <w:r>
        <w:t>International Air Transport Association</w:t>
      </w:r>
      <w:r>
        <w:rPr>
          <w:rFonts w:hint="cs"/>
          <w:rtl/>
        </w:rPr>
        <w:t>) (להלן: "</w:t>
      </w:r>
      <w:r>
        <w:rPr>
          <w:rFonts w:hint="cs"/>
          <w:b/>
          <w:bCs/>
          <w:rtl/>
        </w:rPr>
        <w:t>יאט"א</w:t>
      </w:r>
      <w:r>
        <w:rPr>
          <w:rFonts w:hint="cs"/>
          <w:rtl/>
        </w:rPr>
        <w:t xml:space="preserve">") וחברות תעופה. ההסדר מכונן תכנית סליקה מרכזית ממוחשבת, המסדירה את הליכי הדיווח, ההתחשבנות והתשלום בין סוכני מטען, </w:t>
      </w:r>
      <w:r>
        <w:rPr>
          <w:rFonts w:hint="cs"/>
          <w:sz w:val="22"/>
          <w:rtl/>
        </w:rPr>
        <w:t>שעמדו בהליך הבדיקה והאישור על פי הקריטריונים הקבועים על יד</w:t>
      </w:r>
      <w:r>
        <w:rPr>
          <w:rFonts w:hint="cs"/>
          <w:rtl/>
        </w:rPr>
        <w:t>י יאט"א, ועמיתים</w:t>
      </w:r>
      <w:r>
        <w:rPr>
          <w:rStyle w:val="ab"/>
          <w:rtl/>
        </w:rPr>
        <w:footnoteReference w:id="2"/>
      </w:r>
      <w:r>
        <w:rPr>
          <w:rFonts w:hint="cs"/>
          <w:rtl/>
        </w:rPr>
        <w:t xml:space="preserve"> המציעים שירותיהם לציבור ומשתמשים בשירותי תובלה באויר, ובין חברות התעופה שהצטרפו להסדר, באמצעות תכנית הנקראת</w:t>
      </w:r>
      <w:r w:rsidR="0041549A">
        <w:rPr>
          <w:rFonts w:hint="cs"/>
          <w:rtl/>
        </w:rPr>
        <w:t xml:space="preserve"> </w:t>
      </w:r>
      <w:r>
        <w:t>Cargo Account Settlement System</w:t>
      </w:r>
      <w:r>
        <w:rPr>
          <w:rFonts w:hint="cs"/>
          <w:rtl/>
        </w:rPr>
        <w:t xml:space="preserve"> ובקיצור "תכנית ה-</w:t>
      </w:r>
      <w:r>
        <w:t>CASS</w:t>
      </w:r>
      <w:r>
        <w:rPr>
          <w:rFonts w:hint="cs"/>
          <w:rtl/>
        </w:rPr>
        <w:t>" (להלן: "</w:t>
      </w:r>
      <w:r>
        <w:rPr>
          <w:rFonts w:hint="cs"/>
          <w:b/>
          <w:bCs/>
          <w:rtl/>
        </w:rPr>
        <w:t>התכנית</w:t>
      </w:r>
      <w:r>
        <w:rPr>
          <w:rFonts w:hint="cs"/>
          <w:rtl/>
        </w:rPr>
        <w:t xml:space="preserve">"). </w:t>
      </w:r>
    </w:p>
    <w:p w14:paraId="01463771" w14:textId="77777777" w:rsidR="000C35BA" w:rsidRDefault="000C35BA" w:rsidP="000C35BA">
      <w:pPr>
        <w:rPr>
          <w:rtl/>
        </w:rPr>
      </w:pPr>
      <w:r>
        <w:rPr>
          <w:rFonts w:hint="cs"/>
          <w:rtl/>
        </w:rPr>
        <w:t>להסדר האמור ניתן פטור בתנאים בשנת 2011</w:t>
      </w:r>
      <w:r>
        <w:rPr>
          <w:rFonts w:hint="cs"/>
        </w:rPr>
        <w:t xml:space="preserve"> </w:t>
      </w:r>
      <w:r>
        <w:rPr>
          <w:rFonts w:hint="cs"/>
          <w:rtl/>
        </w:rPr>
        <w:t>(להלן: "</w:t>
      </w:r>
      <w:r>
        <w:rPr>
          <w:rFonts w:hint="cs"/>
          <w:b/>
          <w:bCs/>
          <w:rtl/>
        </w:rPr>
        <w:t>החלטת הפטור הקודמת"</w:t>
      </w:r>
      <w:r>
        <w:rPr>
          <w:rFonts w:hint="cs"/>
          <w:rtl/>
        </w:rPr>
        <w:t>).</w:t>
      </w:r>
      <w:r>
        <w:rPr>
          <w:rStyle w:val="ab"/>
          <w:rtl/>
        </w:rPr>
        <w:footnoteReference w:id="3"/>
      </w:r>
      <w:r>
        <w:rPr>
          <w:rFonts w:hint="cs"/>
          <w:rtl/>
        </w:rPr>
        <w:t xml:space="preserve"> החלטת הפטור הקודמת הותנתה בשורה של תנאים ותוקפה הוגבל לשלוש שנים, מכאן הבקשה שבפניי.</w:t>
      </w:r>
    </w:p>
    <w:p w14:paraId="7DC9AD2F" w14:textId="3EB4F19C" w:rsidR="000C35BA" w:rsidRDefault="000C35BA" w:rsidP="00812D37">
      <w:pPr>
        <w:widowControl w:val="0"/>
        <w:overflowPunct w:val="0"/>
        <w:adjustRightInd w:val="0"/>
        <w:rPr>
          <w:rtl/>
        </w:rPr>
      </w:pPr>
      <w:r>
        <w:rPr>
          <w:rFonts w:hint="cs"/>
          <w:rtl/>
        </w:rPr>
        <w:t xml:space="preserve">במסגרת ההסדר האמור, מבקשת יאט"א להוסיף על ההסדר מושא החלטת הפטור הקודמת ולשווק מוצר מידע, המכונה </w:t>
      </w:r>
      <w:r>
        <w:t>CargoIS</w:t>
      </w:r>
      <w:r w:rsidR="002C5B97">
        <w:rPr>
          <w:rFonts w:hint="cs"/>
          <w:rtl/>
        </w:rPr>
        <w:t xml:space="preserve"> (להלן: </w:t>
      </w:r>
      <w:r w:rsidR="002C5B97" w:rsidRPr="0041549A">
        <w:rPr>
          <w:rFonts w:hint="cs"/>
          <w:rtl/>
        </w:rPr>
        <w:t>"</w:t>
      </w:r>
      <w:r w:rsidR="002C5B97">
        <w:rPr>
          <w:rFonts w:hint="cs"/>
          <w:b/>
          <w:bCs/>
          <w:rtl/>
        </w:rPr>
        <w:t>מוצר המידע</w:t>
      </w:r>
      <w:r w:rsidR="002C5B97" w:rsidRPr="0041549A">
        <w:rPr>
          <w:rFonts w:hint="cs"/>
          <w:rtl/>
        </w:rPr>
        <w:t>"</w:t>
      </w:r>
      <w:r w:rsidR="002C5B97">
        <w:rPr>
          <w:rFonts w:hint="cs"/>
          <w:rtl/>
        </w:rPr>
        <w:t>).</w:t>
      </w:r>
      <w:r w:rsidR="002C5B97" w:rsidRPr="002C5B97">
        <w:rPr>
          <w:rtl/>
        </w:rPr>
        <w:t xml:space="preserve"> מוצר המידע </w:t>
      </w:r>
      <w:r w:rsidR="00A569BC">
        <w:rPr>
          <w:rFonts w:hint="cs"/>
          <w:rtl/>
        </w:rPr>
        <w:t>מהווה</w:t>
      </w:r>
      <w:r w:rsidR="00917A20">
        <w:rPr>
          <w:rFonts w:hint="cs"/>
          <w:rtl/>
        </w:rPr>
        <w:t xml:space="preserve"> </w:t>
      </w:r>
      <w:r w:rsidR="00A569BC">
        <w:rPr>
          <w:rFonts w:hint="cs"/>
          <w:rtl/>
        </w:rPr>
        <w:t xml:space="preserve">עיבוד של </w:t>
      </w:r>
      <w:r w:rsidR="002C5B97">
        <w:rPr>
          <w:rFonts w:hint="cs"/>
          <w:rtl/>
        </w:rPr>
        <w:t xml:space="preserve">מידע שנאסף בתוכנית ביחס </w:t>
      </w:r>
      <w:r w:rsidR="002C5B97" w:rsidRPr="0041549A">
        <w:rPr>
          <w:rFonts w:hint="cs"/>
          <w:rtl/>
        </w:rPr>
        <w:t>ל</w:t>
      </w:r>
      <w:r w:rsidR="002C5B97" w:rsidRPr="0041549A">
        <w:rPr>
          <w:rFonts w:hint="eastAsia"/>
          <w:rtl/>
        </w:rPr>
        <w:t>פעילות</w:t>
      </w:r>
      <w:r w:rsidR="002C5B97" w:rsidRPr="0041549A">
        <w:rPr>
          <w:rtl/>
        </w:rPr>
        <w:t xml:space="preserve"> </w:t>
      </w:r>
      <w:r w:rsidR="002C5B97" w:rsidRPr="0041549A">
        <w:rPr>
          <w:rFonts w:hint="eastAsia"/>
          <w:rtl/>
        </w:rPr>
        <w:t>ב</w:t>
      </w:r>
      <w:r w:rsidR="00812D37" w:rsidRPr="0041549A">
        <w:rPr>
          <w:rFonts w:hint="cs"/>
          <w:rtl/>
        </w:rPr>
        <w:t xml:space="preserve">קווי </w:t>
      </w:r>
      <w:r w:rsidR="002C5B97" w:rsidRPr="0041549A">
        <w:rPr>
          <w:rFonts w:hint="eastAsia"/>
          <w:rtl/>
        </w:rPr>
        <w:t>תובל</w:t>
      </w:r>
      <w:r w:rsidR="00812D37" w:rsidRPr="0041549A">
        <w:rPr>
          <w:rFonts w:hint="cs"/>
          <w:rtl/>
        </w:rPr>
        <w:t>ת מטען</w:t>
      </w:r>
      <w:r w:rsidR="002C5B97" w:rsidRPr="0041549A">
        <w:rPr>
          <w:rtl/>
        </w:rPr>
        <w:t xml:space="preserve"> </w:t>
      </w:r>
      <w:r w:rsidR="002C5B97" w:rsidRPr="0041549A">
        <w:rPr>
          <w:rFonts w:hint="eastAsia"/>
          <w:rtl/>
        </w:rPr>
        <w:t>באויר</w:t>
      </w:r>
      <w:r w:rsidR="002C5B97">
        <w:rPr>
          <w:rFonts w:hint="cs"/>
          <w:rtl/>
        </w:rPr>
        <w:t>, ונועד לסייע לרוכשי המוצר</w:t>
      </w:r>
      <w:r w:rsidR="002C5B97" w:rsidRPr="002C5B97">
        <w:rPr>
          <w:rtl/>
        </w:rPr>
        <w:t xml:space="preserve"> לנתח את </w:t>
      </w:r>
      <w:r w:rsidR="00812D37">
        <w:rPr>
          <w:rFonts w:hint="cs"/>
          <w:rtl/>
        </w:rPr>
        <w:t>הפעילות בקווים</w:t>
      </w:r>
      <w:r w:rsidR="002C5B97" w:rsidRPr="002C5B97">
        <w:rPr>
          <w:rtl/>
        </w:rPr>
        <w:t xml:space="preserve"> ו</w:t>
      </w:r>
      <w:r w:rsidR="003D17EB">
        <w:rPr>
          <w:rFonts w:hint="cs"/>
          <w:rtl/>
        </w:rPr>
        <w:t xml:space="preserve">כך </w:t>
      </w:r>
      <w:r w:rsidR="002C5B97" w:rsidRPr="002C5B97">
        <w:rPr>
          <w:rtl/>
        </w:rPr>
        <w:t>לתכנן את צעדיהם בצורה מושכלת</w:t>
      </w:r>
      <w:r w:rsidR="002D37C1">
        <w:rPr>
          <w:rFonts w:hint="cs"/>
          <w:rtl/>
        </w:rPr>
        <w:t>.</w:t>
      </w:r>
      <w:r>
        <w:rPr>
          <w:rFonts w:hint="cs"/>
          <w:rtl/>
        </w:rPr>
        <w:t xml:space="preserve"> </w:t>
      </w:r>
    </w:p>
    <w:p w14:paraId="3D05DAB0" w14:textId="77777777" w:rsidR="000C35BA" w:rsidRDefault="000C35BA" w:rsidP="009964F4">
      <w:pPr>
        <w:widowControl w:val="0"/>
        <w:overflowPunct w:val="0"/>
        <w:adjustRightInd w:val="0"/>
        <w:rPr>
          <w:rtl/>
        </w:rPr>
      </w:pPr>
      <w:r>
        <w:rPr>
          <w:rFonts w:hint="cs"/>
          <w:rtl/>
        </w:rPr>
        <w:t xml:space="preserve">לאחר שבחנתי את ההסדר והכבילות המצויות בו, כמו גם את השפעתן האפשרית על התחרות בשוק הרלוונטי, ולאחר שנועצתי בועדה לפטורים ולמיזוגים, הגעתי למסקנה, כי בכפוף לקיום התנאים שבסיפא להחלטתי, אין </w:t>
      </w:r>
      <w:r w:rsidR="009964F4">
        <w:rPr>
          <w:rFonts w:hint="cs"/>
          <w:rtl/>
        </w:rPr>
        <w:t>ב</w:t>
      </w:r>
      <w:r>
        <w:rPr>
          <w:rFonts w:hint="cs"/>
          <w:rtl/>
        </w:rPr>
        <w:t xml:space="preserve">כבילות שבהסדר </w:t>
      </w:r>
      <w:r w:rsidR="009964F4">
        <w:rPr>
          <w:rFonts w:hint="cs"/>
          <w:rtl/>
        </w:rPr>
        <w:t>כדי לפגוע</w:t>
      </w:r>
      <w:r>
        <w:rPr>
          <w:rFonts w:hint="cs"/>
          <w:rtl/>
        </w:rPr>
        <w:t xml:space="preserve"> פגיעה של ממש בתחרות בשווקים הרלוונטיים, כי עיקרו של ההסדר אינו בהפחתת התחרות או במניעתה, וכי אין בו כבילות שאינן נחוצות למימוש עיקרו. מטעמים אלה מצאתי כי יש להעניק לצדדים פטור בתנאים לפי סעיף 14 לחוק מהנימוקים המפורטים להלן. </w:t>
      </w:r>
    </w:p>
    <w:p w14:paraId="24A365A2" w14:textId="77777777" w:rsidR="000C35BA" w:rsidRDefault="000C35BA" w:rsidP="000C35BA">
      <w:pPr>
        <w:pStyle w:val="1"/>
        <w:rPr>
          <w:rtl/>
        </w:rPr>
      </w:pPr>
      <w:r>
        <w:rPr>
          <w:rFonts w:hint="cs"/>
          <w:rtl/>
        </w:rPr>
        <w:lastRenderedPageBreak/>
        <w:t xml:space="preserve">ב. </w:t>
      </w:r>
      <w:r>
        <w:rPr>
          <w:rFonts w:hint="cs"/>
          <w:u w:val="single"/>
          <w:rtl/>
        </w:rPr>
        <w:t>ההסדר והצדדים לו</w:t>
      </w:r>
    </w:p>
    <w:p w14:paraId="2B7ECD92" w14:textId="6F2AA09E" w:rsidR="000C35BA" w:rsidRDefault="000C35BA" w:rsidP="00EF37B2">
      <w:pPr>
        <w:rPr>
          <w:rtl/>
        </w:rPr>
      </w:pPr>
      <w:r>
        <w:rPr>
          <w:rFonts w:hint="cs"/>
          <w:rtl/>
        </w:rPr>
        <w:t>תיאורו של ההסדר, פועלם של הצדדים לו והנימוקים בגינם נמצא כי הוא ראוי לפטור בתנאים הובאו בהחלטת הפטור הקודמת</w:t>
      </w:r>
      <w:r w:rsidR="0042002B">
        <w:rPr>
          <w:rFonts w:hint="cs"/>
          <w:rtl/>
        </w:rPr>
        <w:t xml:space="preserve"> וכל אלה מקובלים עלי גם כעת</w:t>
      </w:r>
      <w:r>
        <w:rPr>
          <w:rFonts w:hint="cs"/>
          <w:rtl/>
        </w:rPr>
        <w:t>.</w:t>
      </w:r>
      <w:r w:rsidR="00917A20">
        <w:rPr>
          <w:rFonts w:hint="cs"/>
          <w:rtl/>
        </w:rPr>
        <w:t xml:space="preserve"> </w:t>
      </w:r>
      <w:r>
        <w:rPr>
          <w:rFonts w:hint="cs"/>
          <w:rtl/>
        </w:rPr>
        <w:t xml:space="preserve">ההסדר מכונן תכנית סליקה המספקת שירותי דיווח, התחשבנות וגבייה מרוכזים של חיובים הנובעים מעסקאות שבוצעו בין כ-60 סוכני מטען מורשי יאט"א בישראל ועמיתים (סוכני מטען מורשים ועמיתים יחד להלן: </w:t>
      </w:r>
      <w:r>
        <w:rPr>
          <w:rFonts w:hint="cs"/>
          <w:b/>
          <w:bCs/>
          <w:rtl/>
        </w:rPr>
        <w:t>"הסוכנים"</w:t>
      </w:r>
      <w:r>
        <w:rPr>
          <w:rFonts w:hint="cs"/>
          <w:rtl/>
        </w:rPr>
        <w:t>), לבין 14 חברות התעופה החברות בתכנית בישראל.</w:t>
      </w:r>
      <w:r>
        <w:rPr>
          <w:rStyle w:val="ab"/>
          <w:rtl/>
        </w:rPr>
        <w:footnoteReference w:id="4"/>
      </w:r>
      <w:r>
        <w:rPr>
          <w:rFonts w:hint="cs"/>
          <w:rtl/>
        </w:rPr>
        <w:t xml:space="preserve"> </w:t>
      </w:r>
    </w:p>
    <w:p w14:paraId="3AA12C16" w14:textId="4663E280" w:rsidR="000C35BA" w:rsidRDefault="000C35BA" w:rsidP="00EB4936">
      <w:pPr>
        <w:rPr>
          <w:rtl/>
        </w:rPr>
      </w:pPr>
      <w:r>
        <w:rPr>
          <w:rFonts w:hint="cs"/>
          <w:rtl/>
        </w:rPr>
        <w:t xml:space="preserve">חברות התעופה החברות בתכנית מזינות פעמיים בחודש את המידע שנאסף אצלן על עסקאותיהן עם הסוכנים המחוברים לתכנית, והתכנית מאגדת את החיובים הרלוונטיים עבור כל סוכן ומעבירה לכל אחד מהם דרישת תשלום ופירוט של כלל החיובים כלפי חברות התעופה הפעילות בתכנית (בניכוי עמלות המגיעות לסוכן מאת חברת התעופה). יתרונה העיקרי של התכנית הוא בחסכון בעלויות העסקה: במקום העברות כספים רבות בין סוכנים לחברות תעופה, מעביר כל סוכן תשלום אחד </w:t>
      </w:r>
      <w:r w:rsidR="00EB4936">
        <w:rPr>
          <w:rFonts w:hint="cs"/>
          <w:rtl/>
        </w:rPr>
        <w:t>למסלקה</w:t>
      </w:r>
      <w:r>
        <w:rPr>
          <w:rFonts w:hint="cs"/>
          <w:rtl/>
        </w:rPr>
        <w:t>, ואילו כל חברת תעופה מקבלת תשלום אחד מרוכז מה</w:t>
      </w:r>
      <w:r w:rsidR="00EB4936">
        <w:rPr>
          <w:rFonts w:hint="cs"/>
          <w:rtl/>
        </w:rPr>
        <w:t>מסלקה</w:t>
      </w:r>
      <w:r>
        <w:rPr>
          <w:rFonts w:hint="cs"/>
          <w:rtl/>
        </w:rPr>
        <w:t xml:space="preserve">. זאת, חלף הליכי התחשבנות, תשלום ודיווח פרטניים של כל סוכן וסוכן מול כל אחת מחברות התעופה. </w:t>
      </w:r>
      <w:r w:rsidR="00917A20">
        <w:rPr>
          <w:rFonts w:hint="cs"/>
          <w:rtl/>
        </w:rPr>
        <w:t xml:space="preserve">התכנית </w:t>
      </w:r>
      <w:r w:rsidR="008E5201">
        <w:rPr>
          <w:rFonts w:hint="cs"/>
          <w:rtl/>
        </w:rPr>
        <w:t>מביאה</w:t>
      </w:r>
      <w:r w:rsidR="00917A20">
        <w:rPr>
          <w:rFonts w:hint="cs"/>
          <w:rtl/>
        </w:rPr>
        <w:t xml:space="preserve"> </w:t>
      </w:r>
      <w:r w:rsidR="008E5201">
        <w:rPr>
          <w:rFonts w:hint="cs"/>
          <w:rtl/>
        </w:rPr>
        <w:t>ל</w:t>
      </w:r>
      <w:r>
        <w:rPr>
          <w:rFonts w:hint="cs"/>
          <w:rtl/>
        </w:rPr>
        <w:t>חסכון ב</w:t>
      </w:r>
      <w:r w:rsidR="0042002B">
        <w:rPr>
          <w:rFonts w:hint="cs"/>
          <w:rtl/>
        </w:rPr>
        <w:t>עלויות העסקה</w:t>
      </w:r>
      <w:r w:rsidR="00917A20">
        <w:rPr>
          <w:rFonts w:hint="cs"/>
          <w:rtl/>
        </w:rPr>
        <w:t xml:space="preserve"> </w:t>
      </w:r>
      <w:r w:rsidR="008E5201">
        <w:rPr>
          <w:rFonts w:hint="cs"/>
          <w:rtl/>
        </w:rPr>
        <w:t>הן בשל החיסכון</w:t>
      </w:r>
      <w:r w:rsidR="00917A20">
        <w:rPr>
          <w:rFonts w:hint="cs"/>
          <w:rtl/>
        </w:rPr>
        <w:t xml:space="preserve"> </w:t>
      </w:r>
      <w:r w:rsidR="008E5201">
        <w:rPr>
          <w:rFonts w:hint="cs"/>
          <w:rtl/>
        </w:rPr>
        <w:t>ב</w:t>
      </w:r>
      <w:r w:rsidR="00917A20">
        <w:rPr>
          <w:rFonts w:hint="cs"/>
          <w:rtl/>
        </w:rPr>
        <w:t>העברות כספים רבות</w:t>
      </w:r>
      <w:r>
        <w:rPr>
          <w:rFonts w:hint="cs"/>
          <w:rtl/>
        </w:rPr>
        <w:t xml:space="preserve"> </w:t>
      </w:r>
      <w:r w:rsidR="008E5201">
        <w:rPr>
          <w:rFonts w:hint="cs"/>
          <w:rtl/>
        </w:rPr>
        <w:t>והן מאחר שהיא מאפשרת גבייה מרוכזת ויעילה</w:t>
      </w:r>
      <w:r>
        <w:rPr>
          <w:rFonts w:hint="cs"/>
          <w:rtl/>
        </w:rPr>
        <w:t xml:space="preserve"> </w:t>
      </w:r>
      <w:r w:rsidR="008E5201">
        <w:rPr>
          <w:rFonts w:hint="cs"/>
          <w:rtl/>
        </w:rPr>
        <w:t xml:space="preserve">של </w:t>
      </w:r>
      <w:r>
        <w:rPr>
          <w:rFonts w:hint="cs"/>
          <w:rtl/>
        </w:rPr>
        <w:t xml:space="preserve">חובות סוכני המטען על ידי חברות התעופה, במקום גביה פרטנית מכל סוכן. </w:t>
      </w:r>
    </w:p>
    <w:p w14:paraId="54251DDC" w14:textId="77777777" w:rsidR="000C35BA" w:rsidRDefault="000C35BA" w:rsidP="000C35BA">
      <w:pPr>
        <w:rPr>
          <w:rtl/>
        </w:rPr>
      </w:pPr>
      <w:r>
        <w:rPr>
          <w:rFonts w:hint="cs"/>
          <w:rtl/>
        </w:rPr>
        <w:t xml:space="preserve">כך, מביאה התכנית לפישוט הליכי הדיווח והתשלום, יוצרת סדרי עבודה אחידים ומאפשרת מעקב ובקרה טובים הן של הסוכנים והן של חברות התעופה על התשלומים עבור שירותי התובלה באויר. בתנאי תחרות, החיסכון הטמון בהפעלת התכנית עשוי להביא להוזלת עלויות שילוח המטען עבור לקוחות הקצה. </w:t>
      </w:r>
    </w:p>
    <w:p w14:paraId="2EF760E8" w14:textId="77777777" w:rsidR="000C35BA" w:rsidRDefault="000C35BA" w:rsidP="009660BE">
      <w:pPr>
        <w:rPr>
          <w:rtl/>
        </w:rPr>
      </w:pPr>
      <w:r>
        <w:rPr>
          <w:rFonts w:hint="cs"/>
          <w:rtl/>
        </w:rPr>
        <w:t>יצויין, כי הרחבת השימוש בתכנית</w:t>
      </w:r>
      <w:r w:rsidR="00BE6B9D">
        <w:rPr>
          <w:rFonts w:hint="cs"/>
          <w:rtl/>
        </w:rPr>
        <w:t xml:space="preserve"> </w:t>
      </w:r>
      <w:r>
        <w:rPr>
          <w:rFonts w:hint="cs"/>
          <w:rtl/>
        </w:rPr>
        <w:t xml:space="preserve">לחברות תעופה ומשלחים נוספים, </w:t>
      </w:r>
      <w:r w:rsidR="005A1465">
        <w:rPr>
          <w:rFonts w:hint="cs"/>
          <w:rtl/>
        </w:rPr>
        <w:t xml:space="preserve">צפויה להגביר </w:t>
      </w:r>
      <w:r>
        <w:rPr>
          <w:rFonts w:hint="cs"/>
          <w:rtl/>
        </w:rPr>
        <w:t xml:space="preserve">את יעילות התכנית, בין היתר, בחסכון שהיא מאפשרת בעלויות העסקה. </w:t>
      </w:r>
    </w:p>
    <w:p w14:paraId="634D71E8" w14:textId="77777777" w:rsidR="000C35BA" w:rsidRDefault="000C35BA" w:rsidP="000C35BA">
      <w:pPr>
        <w:rPr>
          <w:rtl/>
        </w:rPr>
      </w:pPr>
      <w:r>
        <w:rPr>
          <w:rFonts w:hint="cs"/>
          <w:rtl/>
        </w:rPr>
        <w:t>לאור כל זאת, שוכנעתי כי עיקרו של ההסדר אינו בהפחתת התחרות או במניעתה.</w:t>
      </w:r>
    </w:p>
    <w:p w14:paraId="2D17B204" w14:textId="77777777" w:rsidR="000C35BA" w:rsidRDefault="000C35BA" w:rsidP="000C35BA">
      <w:pPr>
        <w:pStyle w:val="1"/>
        <w:rPr>
          <w:u w:val="single"/>
          <w:rtl/>
        </w:rPr>
      </w:pPr>
      <w:r>
        <w:rPr>
          <w:rFonts w:hint="cs"/>
          <w:u w:val="single"/>
          <w:rtl/>
        </w:rPr>
        <w:t xml:space="preserve">ג. השפעת ההסדר על התחרות </w:t>
      </w:r>
    </w:p>
    <w:p w14:paraId="01150A0A" w14:textId="18004ECC" w:rsidR="000C35BA" w:rsidRDefault="000C35BA" w:rsidP="006C0375">
      <w:pPr>
        <w:rPr>
          <w:rtl/>
        </w:rPr>
      </w:pPr>
      <w:r>
        <w:rPr>
          <w:rFonts w:hint="cs"/>
          <w:rtl/>
        </w:rPr>
        <w:t xml:space="preserve">החשש העיקרי שההסדר מעלה הוא מיכולתן של חברות התעופה החברות בתכנית להפעיל כוח שוק מצרפי כלפי </w:t>
      </w:r>
      <w:r w:rsidRPr="006C0375">
        <w:rPr>
          <w:rFonts w:hint="eastAsia"/>
          <w:rtl/>
        </w:rPr>
        <w:t>סוכנים</w:t>
      </w:r>
      <w:r w:rsidR="00F151AB" w:rsidRPr="006C0375">
        <w:rPr>
          <w:rFonts w:hint="cs"/>
          <w:rtl/>
        </w:rPr>
        <w:t>. לכאורה,</w:t>
      </w:r>
      <w:r w:rsidRPr="006C0375">
        <w:rPr>
          <w:rtl/>
        </w:rPr>
        <w:t xml:space="preserve"> </w:t>
      </w:r>
      <w:r w:rsidR="00F151AB" w:rsidRPr="006C0375">
        <w:rPr>
          <w:rFonts w:hint="cs"/>
          <w:rtl/>
        </w:rPr>
        <w:t>די</w:t>
      </w:r>
      <w:r w:rsidR="002F07BB" w:rsidRPr="006C0375">
        <w:rPr>
          <w:rFonts w:hint="cs"/>
          <w:rtl/>
        </w:rPr>
        <w:t xml:space="preserve"> באיום</w:t>
      </w:r>
      <w:r w:rsidRPr="006C0375">
        <w:rPr>
          <w:rtl/>
        </w:rPr>
        <w:t xml:space="preserve"> </w:t>
      </w:r>
      <w:r w:rsidR="002F07BB" w:rsidRPr="006C0375">
        <w:rPr>
          <w:rFonts w:hint="cs"/>
          <w:rtl/>
        </w:rPr>
        <w:t>ב</w:t>
      </w:r>
      <w:r w:rsidRPr="006C0375">
        <w:rPr>
          <w:rFonts w:hint="eastAsia"/>
          <w:rtl/>
        </w:rPr>
        <w:t>הפסקת</w:t>
      </w:r>
      <w:r w:rsidRPr="006C0375">
        <w:rPr>
          <w:rtl/>
        </w:rPr>
        <w:t xml:space="preserve"> </w:t>
      </w:r>
      <w:r w:rsidRPr="006C0375">
        <w:rPr>
          <w:rFonts w:hint="eastAsia"/>
          <w:rtl/>
        </w:rPr>
        <w:t>פעילות</w:t>
      </w:r>
      <w:r w:rsidR="00F151AB" w:rsidRPr="006C0375">
        <w:rPr>
          <w:rFonts w:hint="cs"/>
          <w:rtl/>
        </w:rPr>
        <w:t>ו של סוכן</w:t>
      </w:r>
      <w:r w:rsidRPr="006C0375">
        <w:rPr>
          <w:rtl/>
        </w:rPr>
        <w:t xml:space="preserve"> </w:t>
      </w:r>
      <w:r w:rsidRPr="006C0375">
        <w:rPr>
          <w:rFonts w:hint="eastAsia"/>
          <w:rtl/>
        </w:rPr>
        <w:t>בתכנית</w:t>
      </w:r>
      <w:r w:rsidR="00F151AB">
        <w:rPr>
          <w:rFonts w:hint="cs"/>
          <w:rtl/>
        </w:rPr>
        <w:t>, הכרוכה, מטבע הדברים, בפגיעה ביחסי המסחר עם כלל חברות התעופה שבתכנית,</w:t>
      </w:r>
      <w:r w:rsidR="002F07BB">
        <w:rPr>
          <w:rFonts w:hint="cs"/>
          <w:rtl/>
        </w:rPr>
        <w:t xml:space="preserve"> </w:t>
      </w:r>
      <w:r w:rsidR="00E64799">
        <w:rPr>
          <w:rFonts w:hint="cs"/>
          <w:rtl/>
        </w:rPr>
        <w:t>כדי</w:t>
      </w:r>
      <w:r w:rsidR="002F07BB">
        <w:rPr>
          <w:rFonts w:hint="cs"/>
          <w:rtl/>
        </w:rPr>
        <w:t xml:space="preserve"> לאל</w:t>
      </w:r>
      <w:r w:rsidR="00C66F48">
        <w:rPr>
          <w:rFonts w:hint="cs"/>
          <w:rtl/>
        </w:rPr>
        <w:t>צ</w:t>
      </w:r>
      <w:r w:rsidR="00F151AB">
        <w:rPr>
          <w:rFonts w:hint="cs"/>
          <w:rtl/>
        </w:rPr>
        <w:t>ו</w:t>
      </w:r>
      <w:r w:rsidR="002F07BB">
        <w:rPr>
          <w:rFonts w:hint="cs"/>
          <w:rtl/>
        </w:rPr>
        <w:t xml:space="preserve"> ל</w:t>
      </w:r>
      <w:r w:rsidR="00F151AB">
        <w:rPr>
          <w:rFonts w:hint="cs"/>
          <w:rtl/>
        </w:rPr>
        <w:t>הסכים להתקשר עם</w:t>
      </w:r>
      <w:r w:rsidR="002F07BB">
        <w:rPr>
          <w:rFonts w:hint="cs"/>
          <w:rtl/>
        </w:rPr>
        <w:t xml:space="preserve"> </w:t>
      </w:r>
      <w:r w:rsidR="00C66F48">
        <w:rPr>
          <w:rFonts w:hint="cs"/>
          <w:rtl/>
        </w:rPr>
        <w:t>חברות התעופה</w:t>
      </w:r>
      <w:r w:rsidR="002F07BB">
        <w:rPr>
          <w:rFonts w:hint="cs"/>
          <w:rtl/>
        </w:rPr>
        <w:t xml:space="preserve"> </w:t>
      </w:r>
      <w:r w:rsidR="00F151AB">
        <w:rPr>
          <w:rFonts w:hint="cs"/>
          <w:rtl/>
        </w:rPr>
        <w:t>ב</w:t>
      </w:r>
      <w:r w:rsidR="002F07BB">
        <w:rPr>
          <w:rFonts w:hint="cs"/>
          <w:rtl/>
        </w:rPr>
        <w:t xml:space="preserve">תנאים מסחריים </w:t>
      </w:r>
      <w:r w:rsidR="00F151AB">
        <w:rPr>
          <w:rFonts w:hint="cs"/>
          <w:rtl/>
        </w:rPr>
        <w:t>נחותים מבחינת</w:t>
      </w:r>
      <w:r w:rsidR="005D7F8D">
        <w:rPr>
          <w:rFonts w:hint="cs"/>
          <w:rtl/>
        </w:rPr>
        <w:t>ו</w:t>
      </w:r>
      <w:r w:rsidR="00F151AB">
        <w:rPr>
          <w:rFonts w:hint="cs"/>
          <w:rtl/>
        </w:rPr>
        <w:t xml:space="preserve"> או לגבות מ</w:t>
      </w:r>
      <w:r w:rsidR="006C0375">
        <w:rPr>
          <w:rFonts w:hint="cs"/>
          <w:rtl/>
        </w:rPr>
        <w:t>מנו</w:t>
      </w:r>
      <w:r w:rsidR="00F151AB">
        <w:rPr>
          <w:rFonts w:hint="cs"/>
          <w:rtl/>
        </w:rPr>
        <w:t xml:space="preserve"> דמי שימוש גבוהים בגין החיבור לתכנית.</w:t>
      </w:r>
      <w:r w:rsidR="00C66F48">
        <w:rPr>
          <w:rFonts w:hint="cs"/>
          <w:rtl/>
        </w:rPr>
        <w:t xml:space="preserve"> </w:t>
      </w:r>
      <w:r w:rsidR="00F151AB">
        <w:rPr>
          <w:rFonts w:hint="cs"/>
          <w:rtl/>
        </w:rPr>
        <w:t>בפרט</w:t>
      </w:r>
      <w:r w:rsidR="00C66F48">
        <w:rPr>
          <w:rFonts w:hint="cs"/>
          <w:rtl/>
        </w:rPr>
        <w:t xml:space="preserve"> קיים חשש </w:t>
      </w:r>
      <w:r w:rsidR="00F151AB">
        <w:rPr>
          <w:rFonts w:hint="cs"/>
          <w:rtl/>
        </w:rPr>
        <w:t>שסוכן</w:t>
      </w:r>
      <w:r w:rsidR="00C66F48">
        <w:rPr>
          <w:rFonts w:hint="cs"/>
          <w:rtl/>
        </w:rPr>
        <w:t xml:space="preserve"> י</w:t>
      </w:r>
      <w:r w:rsidR="00F151AB">
        <w:rPr>
          <w:rFonts w:hint="cs"/>
          <w:rtl/>
        </w:rPr>
        <w:t>אולץ</w:t>
      </w:r>
      <w:r w:rsidR="00C66F48">
        <w:rPr>
          <w:rFonts w:hint="cs"/>
          <w:rtl/>
        </w:rPr>
        <w:t xml:space="preserve"> לשלם לחברת תעופה פלונית סכומים שאין </w:t>
      </w:r>
      <w:r w:rsidR="00F151AB">
        <w:rPr>
          <w:rFonts w:hint="cs"/>
          <w:rtl/>
        </w:rPr>
        <w:t>לו</w:t>
      </w:r>
      <w:r w:rsidR="00C66F48">
        <w:rPr>
          <w:rFonts w:hint="cs"/>
          <w:rtl/>
        </w:rPr>
        <w:t xml:space="preserve"> חובה לשלמם</w:t>
      </w:r>
      <w:r w:rsidR="00F151AB">
        <w:rPr>
          <w:rFonts w:hint="cs"/>
          <w:rtl/>
        </w:rPr>
        <w:t>, והכל</w:t>
      </w:r>
      <w:r w:rsidR="00C66F48">
        <w:rPr>
          <w:rFonts w:hint="cs"/>
          <w:rtl/>
        </w:rPr>
        <w:t xml:space="preserve"> על מנת לה</w:t>
      </w:r>
      <w:r w:rsidR="00F151AB">
        <w:rPr>
          <w:rFonts w:hint="cs"/>
          <w:rtl/>
        </w:rPr>
        <w:t>י</w:t>
      </w:r>
      <w:r w:rsidR="00C66F48">
        <w:rPr>
          <w:rFonts w:hint="cs"/>
          <w:rtl/>
        </w:rPr>
        <w:t>מנע מניתוק מהתכנית</w:t>
      </w:r>
      <w:r w:rsidR="00F151AB">
        <w:rPr>
          <w:rFonts w:hint="cs"/>
          <w:rtl/>
        </w:rPr>
        <w:t>.</w:t>
      </w:r>
      <w:r w:rsidR="005D7F8D">
        <w:rPr>
          <w:rFonts w:hint="cs"/>
          <w:rtl/>
        </w:rPr>
        <w:t xml:space="preserve"> </w:t>
      </w:r>
      <w:r w:rsidR="002B2126">
        <w:rPr>
          <w:rFonts w:hint="cs"/>
          <w:rtl/>
        </w:rPr>
        <w:t xml:space="preserve">חשש זה עלול להתממש גם בדרך של </w:t>
      </w:r>
      <w:r w:rsidR="002B2126">
        <w:rPr>
          <w:rFonts w:hint="cs"/>
          <w:rtl/>
        </w:rPr>
        <w:lastRenderedPageBreak/>
        <w:t>העברת מידע</w:t>
      </w:r>
      <w:r w:rsidR="006216EE">
        <w:rPr>
          <w:rFonts w:hint="cs"/>
          <w:rtl/>
        </w:rPr>
        <w:t xml:space="preserve"> בקשר למוסר התשלומים של</w:t>
      </w:r>
      <w:r w:rsidR="002B2126">
        <w:rPr>
          <w:rFonts w:hint="cs"/>
          <w:rtl/>
        </w:rPr>
        <w:t xml:space="preserve"> </w:t>
      </w:r>
      <w:r w:rsidR="00B4099B">
        <w:rPr>
          <w:rFonts w:hint="cs"/>
          <w:rtl/>
        </w:rPr>
        <w:t xml:space="preserve">סוכן </w:t>
      </w:r>
      <w:r w:rsidR="006216EE">
        <w:rPr>
          <w:rFonts w:hint="cs"/>
          <w:rtl/>
        </w:rPr>
        <w:t>במסגרת</w:t>
      </w:r>
      <w:r w:rsidR="002B2126">
        <w:rPr>
          <w:rFonts w:hint="cs"/>
          <w:rtl/>
        </w:rPr>
        <w:t xml:space="preserve"> </w:t>
      </w:r>
      <w:r w:rsidR="006216EE">
        <w:rPr>
          <w:rFonts w:hint="cs"/>
          <w:rtl/>
        </w:rPr>
        <w:t>ה</w:t>
      </w:r>
      <w:r w:rsidR="002B2126">
        <w:rPr>
          <w:rFonts w:hint="cs"/>
          <w:rtl/>
        </w:rPr>
        <w:t>ת</w:t>
      </w:r>
      <w:r w:rsidR="00D60EC9">
        <w:rPr>
          <w:rFonts w:hint="cs"/>
          <w:rtl/>
        </w:rPr>
        <w:t>כנית</w:t>
      </w:r>
      <w:r w:rsidR="009660BE">
        <w:rPr>
          <w:rFonts w:hint="cs"/>
          <w:rtl/>
        </w:rPr>
        <w:t xml:space="preserve"> לחברות התעופה החברות בתכנית</w:t>
      </w:r>
      <w:r w:rsidR="002B2126">
        <w:rPr>
          <w:rFonts w:hint="cs"/>
          <w:rtl/>
        </w:rPr>
        <w:t xml:space="preserve">. </w:t>
      </w:r>
      <w:r>
        <w:rPr>
          <w:rFonts w:hint="cs"/>
          <w:rtl/>
        </w:rPr>
        <w:t xml:space="preserve">כן עולה חשש מהפעלת כח שוק כלפי חברות תעופה או כלפי סוכנים הפעילים בתכנית במטרה לכפות עליהן לבצע את כל עסקאותיהם בתכנית, וכך לדחוק חברות תעופה וסוכנים שאינם פעילים בתכנית. בנוסף, קיים חשש כי מידע המועבר בתכנית, לרבות במסגרת מוצר המידע, יקל על תיאום בין חברות התעופה, </w:t>
      </w:r>
      <w:r w:rsidRPr="00F8092A">
        <w:rPr>
          <w:rFonts w:hint="eastAsia"/>
          <w:rtl/>
        </w:rPr>
        <w:t>וכן</w:t>
      </w:r>
      <w:r w:rsidRPr="00F8092A">
        <w:rPr>
          <w:rtl/>
        </w:rPr>
        <w:t xml:space="preserve"> </w:t>
      </w:r>
      <w:r w:rsidRPr="00F8092A">
        <w:rPr>
          <w:rFonts w:hint="eastAsia"/>
          <w:rtl/>
        </w:rPr>
        <w:t>כי</w:t>
      </w:r>
      <w:r w:rsidRPr="00F8092A">
        <w:rPr>
          <w:rtl/>
        </w:rPr>
        <w:t xml:space="preserve"> </w:t>
      </w:r>
      <w:r w:rsidRPr="00F8092A">
        <w:rPr>
          <w:rFonts w:hint="eastAsia"/>
          <w:rtl/>
        </w:rPr>
        <w:t>באמצעות</w:t>
      </w:r>
      <w:r w:rsidRPr="00F8092A">
        <w:rPr>
          <w:rtl/>
        </w:rPr>
        <w:t xml:space="preserve"> </w:t>
      </w:r>
      <w:r w:rsidRPr="00F8092A">
        <w:rPr>
          <w:rFonts w:hint="eastAsia"/>
          <w:rtl/>
        </w:rPr>
        <w:t>מידע</w:t>
      </w:r>
      <w:r w:rsidRPr="00F8092A">
        <w:rPr>
          <w:rtl/>
        </w:rPr>
        <w:t xml:space="preserve"> </w:t>
      </w:r>
      <w:r w:rsidRPr="00F8092A">
        <w:rPr>
          <w:rFonts w:hint="eastAsia"/>
          <w:rtl/>
        </w:rPr>
        <w:t>זה</w:t>
      </w:r>
      <w:r w:rsidRPr="00F8092A">
        <w:rPr>
          <w:rtl/>
        </w:rPr>
        <w:t xml:space="preserve"> </w:t>
      </w:r>
      <w:r w:rsidRPr="00F8092A">
        <w:rPr>
          <w:rFonts w:hint="eastAsia"/>
          <w:rtl/>
        </w:rPr>
        <w:t>יפעילו</w:t>
      </w:r>
      <w:r w:rsidRPr="00F8092A">
        <w:rPr>
          <w:rtl/>
        </w:rPr>
        <w:t xml:space="preserve"> </w:t>
      </w:r>
      <w:r w:rsidRPr="00F8092A">
        <w:rPr>
          <w:rFonts w:hint="eastAsia"/>
          <w:rtl/>
        </w:rPr>
        <w:t>חברות</w:t>
      </w:r>
      <w:r w:rsidRPr="00F8092A">
        <w:rPr>
          <w:rtl/>
        </w:rPr>
        <w:t xml:space="preserve"> </w:t>
      </w:r>
      <w:r w:rsidRPr="00F8092A">
        <w:rPr>
          <w:rFonts w:hint="eastAsia"/>
          <w:rtl/>
        </w:rPr>
        <w:t>תעופה</w:t>
      </w:r>
      <w:r w:rsidRPr="00F8092A">
        <w:rPr>
          <w:rtl/>
        </w:rPr>
        <w:t xml:space="preserve"> </w:t>
      </w:r>
      <w:r w:rsidR="004A467B" w:rsidRPr="00F8092A">
        <w:rPr>
          <w:rFonts w:hint="cs"/>
          <w:rtl/>
        </w:rPr>
        <w:t>בעלות פעילות נרחב</w:t>
      </w:r>
      <w:r w:rsidR="003D17EB" w:rsidRPr="00F8092A">
        <w:rPr>
          <w:rFonts w:hint="cs"/>
          <w:rtl/>
        </w:rPr>
        <w:t>ת בקווי מטען מסויימים</w:t>
      </w:r>
      <w:r w:rsidR="004A467B" w:rsidRPr="00F8092A">
        <w:rPr>
          <w:rFonts w:hint="cs"/>
          <w:rtl/>
        </w:rPr>
        <w:t xml:space="preserve"> </w:t>
      </w:r>
      <w:r w:rsidRPr="00F8092A">
        <w:rPr>
          <w:rFonts w:hint="eastAsia"/>
          <w:rtl/>
        </w:rPr>
        <w:t>כוח</w:t>
      </w:r>
      <w:r w:rsidRPr="00F8092A">
        <w:rPr>
          <w:rtl/>
        </w:rPr>
        <w:t xml:space="preserve"> </w:t>
      </w:r>
      <w:r w:rsidRPr="00F8092A">
        <w:rPr>
          <w:rFonts w:hint="eastAsia"/>
          <w:rtl/>
        </w:rPr>
        <w:t>שוק</w:t>
      </w:r>
      <w:r w:rsidRPr="00F8092A">
        <w:rPr>
          <w:rtl/>
        </w:rPr>
        <w:t xml:space="preserve"> </w:t>
      </w:r>
      <w:r w:rsidR="00A71AF4" w:rsidRPr="00F8092A">
        <w:rPr>
          <w:rFonts w:hint="cs"/>
          <w:rtl/>
        </w:rPr>
        <w:t xml:space="preserve">כלפי </w:t>
      </w:r>
      <w:r w:rsidR="003D17EB" w:rsidRPr="00F8092A">
        <w:rPr>
          <w:rFonts w:hint="eastAsia"/>
          <w:rtl/>
        </w:rPr>
        <w:t>סוכ</w:t>
      </w:r>
      <w:r w:rsidR="003D17EB" w:rsidRPr="00F8092A">
        <w:rPr>
          <w:rFonts w:hint="cs"/>
          <w:rtl/>
        </w:rPr>
        <w:t>ן הפועל בקווים אלו</w:t>
      </w:r>
      <w:r w:rsidR="003D17EB" w:rsidRPr="00F8092A">
        <w:rPr>
          <w:rtl/>
        </w:rPr>
        <w:t xml:space="preserve"> </w:t>
      </w:r>
      <w:r w:rsidRPr="00F8092A">
        <w:rPr>
          <w:rFonts w:hint="eastAsia"/>
          <w:rtl/>
        </w:rPr>
        <w:t>כדי</w:t>
      </w:r>
      <w:r w:rsidRPr="00F8092A">
        <w:rPr>
          <w:rtl/>
        </w:rPr>
        <w:t xml:space="preserve"> </w:t>
      </w:r>
      <w:r w:rsidRPr="00F8092A">
        <w:rPr>
          <w:rFonts w:hint="eastAsia"/>
          <w:rtl/>
        </w:rPr>
        <w:t>ש</w:t>
      </w:r>
      <w:r w:rsidR="003D17EB" w:rsidRPr="00F8092A">
        <w:rPr>
          <w:rFonts w:hint="cs"/>
          <w:rtl/>
        </w:rPr>
        <w:t>זה</w:t>
      </w:r>
      <w:r w:rsidRPr="00F8092A">
        <w:rPr>
          <w:rtl/>
        </w:rPr>
        <w:t xml:space="preserve"> </w:t>
      </w:r>
      <w:r w:rsidRPr="00F8092A">
        <w:rPr>
          <w:rFonts w:hint="eastAsia"/>
          <w:rtl/>
        </w:rPr>
        <w:t>יסיט</w:t>
      </w:r>
      <w:r w:rsidRPr="00F8092A">
        <w:rPr>
          <w:rtl/>
        </w:rPr>
        <w:t xml:space="preserve"> </w:t>
      </w:r>
      <w:r w:rsidRPr="00F8092A">
        <w:rPr>
          <w:rFonts w:hint="eastAsia"/>
          <w:rtl/>
        </w:rPr>
        <w:t>את</w:t>
      </w:r>
      <w:r w:rsidRPr="00F8092A">
        <w:rPr>
          <w:rtl/>
        </w:rPr>
        <w:t xml:space="preserve"> </w:t>
      </w:r>
      <w:r w:rsidRPr="00F8092A">
        <w:rPr>
          <w:rFonts w:hint="eastAsia"/>
          <w:rtl/>
        </w:rPr>
        <w:t>פעילות</w:t>
      </w:r>
      <w:r w:rsidR="004A467B" w:rsidRPr="00F8092A">
        <w:rPr>
          <w:rFonts w:hint="cs"/>
          <w:rtl/>
        </w:rPr>
        <w:t xml:space="preserve"> השילוח </w:t>
      </w:r>
      <w:r w:rsidR="004033C8" w:rsidRPr="00F8092A">
        <w:rPr>
          <w:rFonts w:hint="cs"/>
          <w:rtl/>
        </w:rPr>
        <w:t>של</w:t>
      </w:r>
      <w:r w:rsidR="003D17EB" w:rsidRPr="00F8092A">
        <w:rPr>
          <w:rFonts w:hint="cs"/>
          <w:rtl/>
        </w:rPr>
        <w:t>ו</w:t>
      </w:r>
      <w:r w:rsidR="004033C8" w:rsidRPr="00F8092A">
        <w:rPr>
          <w:rFonts w:hint="cs"/>
          <w:rtl/>
        </w:rPr>
        <w:t xml:space="preserve"> </w:t>
      </w:r>
      <w:r w:rsidR="004A467B" w:rsidRPr="00F8092A">
        <w:rPr>
          <w:rFonts w:hint="cs"/>
          <w:rtl/>
        </w:rPr>
        <w:t>מחברות תעופה אחרות</w:t>
      </w:r>
      <w:r w:rsidRPr="00F8092A">
        <w:rPr>
          <w:rtl/>
        </w:rPr>
        <w:t xml:space="preserve"> </w:t>
      </w:r>
      <w:r w:rsidRPr="00F8092A">
        <w:rPr>
          <w:rFonts w:hint="eastAsia"/>
          <w:rtl/>
        </w:rPr>
        <w:t>אליהן</w:t>
      </w:r>
      <w:r>
        <w:rPr>
          <w:rFonts w:hint="cs"/>
          <w:rtl/>
        </w:rPr>
        <w:t xml:space="preserve">. לבסוף, קיים חשש שמא ישתמשו חברות התעופה בתכנית </w:t>
      </w:r>
      <w:r w:rsidR="00AD3116">
        <w:rPr>
          <w:rFonts w:hint="cs"/>
          <w:rtl/>
        </w:rPr>
        <w:t xml:space="preserve">כפלטפורמה </w:t>
      </w:r>
      <w:r>
        <w:rPr>
          <w:rFonts w:hint="cs"/>
          <w:rtl/>
        </w:rPr>
        <w:t>לשיתוף פעולה</w:t>
      </w:r>
      <w:r w:rsidR="00AD3116">
        <w:rPr>
          <w:rFonts w:hint="cs"/>
          <w:rtl/>
        </w:rPr>
        <w:t xml:space="preserve"> </w:t>
      </w:r>
      <w:r w:rsidR="003D17EB">
        <w:rPr>
          <w:rFonts w:hint="cs"/>
          <w:rtl/>
        </w:rPr>
        <w:t xml:space="preserve">החורג מההסדר </w:t>
      </w:r>
      <w:r w:rsidR="00AD3116">
        <w:rPr>
          <w:rFonts w:hint="cs"/>
          <w:rtl/>
        </w:rPr>
        <w:t>ביניהן</w:t>
      </w:r>
      <w:r>
        <w:rPr>
          <w:rFonts w:hint="cs"/>
          <w:rtl/>
        </w:rPr>
        <w:t xml:space="preserve"> באופן העלול לפגוע בתחרות. </w:t>
      </w:r>
    </w:p>
    <w:p w14:paraId="1F2ED928" w14:textId="77777777" w:rsidR="000C35BA" w:rsidRDefault="000C35BA" w:rsidP="000C35BA">
      <w:pPr>
        <w:rPr>
          <w:rtl/>
        </w:rPr>
      </w:pPr>
      <w:r>
        <w:rPr>
          <w:rFonts w:hint="cs"/>
          <w:rtl/>
        </w:rPr>
        <w:t>אולם, כפי שיפורט להלן, על אף החששות שלעיל, הגעתי למסקנה כי בכפוף לתנאים בהם הותנה ההסדר, אין בהסדר כדי לפגוע פגיעה של ממש בתחרות בשווקים הרלוונטיים וכי הוא ראוי לפטור.</w:t>
      </w:r>
    </w:p>
    <w:p w14:paraId="634D9DDC" w14:textId="77777777" w:rsidR="000C35BA" w:rsidRDefault="000C35BA" w:rsidP="000C35BA">
      <w:pPr>
        <w:rPr>
          <w:b/>
          <w:bCs/>
          <w:u w:val="single"/>
          <w:rtl/>
        </w:rPr>
      </w:pPr>
      <w:r>
        <w:rPr>
          <w:rFonts w:hint="cs"/>
          <w:b/>
          <w:bCs/>
          <w:u w:val="single"/>
          <w:rtl/>
        </w:rPr>
        <w:t>היעדר חשש להפעלת כוח שוק כלפי סוכנים</w:t>
      </w:r>
    </w:p>
    <w:p w14:paraId="1D5568ED" w14:textId="3EC2B2A0" w:rsidR="00B02F9F" w:rsidRDefault="00AD76F4" w:rsidP="004C69B0">
      <w:pPr>
        <w:rPr>
          <w:rtl/>
        </w:rPr>
      </w:pPr>
      <w:r>
        <w:rPr>
          <w:rFonts w:hint="cs"/>
          <w:rtl/>
        </w:rPr>
        <w:t xml:space="preserve">נתייחס תחילה </w:t>
      </w:r>
      <w:r w:rsidR="00E12202">
        <w:rPr>
          <w:rFonts w:hint="cs"/>
          <w:rtl/>
        </w:rPr>
        <w:t xml:space="preserve">לחשש </w:t>
      </w:r>
      <w:r w:rsidR="000C35BA">
        <w:rPr>
          <w:rFonts w:hint="cs"/>
          <w:rtl/>
        </w:rPr>
        <w:t>כי חברות תעופה יעשו שימוש בכוחן המצרפי</w:t>
      </w:r>
      <w:r w:rsidR="00F151AB">
        <w:rPr>
          <w:rFonts w:hint="cs"/>
          <w:rtl/>
        </w:rPr>
        <w:t>,</w:t>
      </w:r>
      <w:r w:rsidR="000C35BA">
        <w:rPr>
          <w:rFonts w:hint="cs"/>
          <w:rtl/>
        </w:rPr>
        <w:t xml:space="preserve"> </w:t>
      </w:r>
      <w:r w:rsidR="00C66F48">
        <w:rPr>
          <w:rFonts w:hint="cs"/>
          <w:rtl/>
        </w:rPr>
        <w:t>ולו באיום ב</w:t>
      </w:r>
      <w:r w:rsidR="000C35BA">
        <w:rPr>
          <w:rFonts w:hint="cs"/>
          <w:rtl/>
        </w:rPr>
        <w:t>הפסקת פעילות סוכן בתכנית</w:t>
      </w:r>
      <w:r w:rsidR="00C66F48">
        <w:rPr>
          <w:rFonts w:hint="cs"/>
          <w:rtl/>
        </w:rPr>
        <w:t xml:space="preserve"> במטרה לאלצ</w:t>
      </w:r>
      <w:r w:rsidR="005D7F8D">
        <w:rPr>
          <w:rFonts w:hint="cs"/>
          <w:rtl/>
        </w:rPr>
        <w:t>ו</w:t>
      </w:r>
      <w:r w:rsidR="00C66F48">
        <w:rPr>
          <w:rFonts w:hint="cs"/>
          <w:rtl/>
        </w:rPr>
        <w:t xml:space="preserve"> להעניק לחברות התעופה</w:t>
      </w:r>
      <w:r w:rsidR="00F151AB">
        <w:rPr>
          <w:rFonts w:hint="cs"/>
          <w:rtl/>
        </w:rPr>
        <w:t xml:space="preserve">, כולן או חלקן, </w:t>
      </w:r>
      <w:r w:rsidR="00C66F48">
        <w:rPr>
          <w:rFonts w:hint="cs"/>
          <w:rtl/>
        </w:rPr>
        <w:t>תנאים מסחריים טובים יותר</w:t>
      </w:r>
      <w:r w:rsidR="00E8159B">
        <w:rPr>
          <w:rFonts w:hint="cs"/>
          <w:rtl/>
        </w:rPr>
        <w:t xml:space="preserve">. כאמור, </w:t>
      </w:r>
      <w:r w:rsidR="005D7F8D">
        <w:rPr>
          <w:rFonts w:hint="cs"/>
          <w:rtl/>
        </w:rPr>
        <w:t>נ</w:t>
      </w:r>
      <w:r w:rsidR="00E8159B">
        <w:rPr>
          <w:rFonts w:hint="cs"/>
          <w:rtl/>
        </w:rPr>
        <w:t>בחנ</w:t>
      </w:r>
      <w:r w:rsidR="005D7F8D">
        <w:rPr>
          <w:rFonts w:hint="cs"/>
          <w:rtl/>
        </w:rPr>
        <w:t>ה</w:t>
      </w:r>
      <w:r w:rsidR="00E8159B">
        <w:rPr>
          <w:rFonts w:hint="cs"/>
          <w:rtl/>
        </w:rPr>
        <w:t xml:space="preserve"> </w:t>
      </w:r>
      <w:r w:rsidR="00E64799">
        <w:rPr>
          <w:rFonts w:hint="cs"/>
          <w:rtl/>
        </w:rPr>
        <w:t>גם ה</w:t>
      </w:r>
      <w:r w:rsidR="00E8159B">
        <w:rPr>
          <w:rFonts w:hint="cs"/>
          <w:rtl/>
        </w:rPr>
        <w:t xml:space="preserve">אפשרות שחשש זה יתממש </w:t>
      </w:r>
      <w:r w:rsidR="00256F8B">
        <w:rPr>
          <w:rFonts w:hint="cs"/>
          <w:rtl/>
        </w:rPr>
        <w:t>באמצעות העברת מידע ביחס לסוכן</w:t>
      </w:r>
      <w:r w:rsidR="009660BE">
        <w:rPr>
          <w:rFonts w:hint="cs"/>
          <w:rtl/>
        </w:rPr>
        <w:t xml:space="preserve"> </w:t>
      </w:r>
      <w:r w:rsidR="00122CB7">
        <w:rPr>
          <w:rFonts w:hint="cs"/>
          <w:rtl/>
        </w:rPr>
        <w:t xml:space="preserve">שאיחר או שנמנע מלשלם את חובו </w:t>
      </w:r>
      <w:r w:rsidR="009660BE">
        <w:rPr>
          <w:rFonts w:hint="cs"/>
          <w:rtl/>
        </w:rPr>
        <w:t>לחברות התעופה</w:t>
      </w:r>
      <w:r w:rsidR="00A15A22">
        <w:rPr>
          <w:rFonts w:hint="cs"/>
          <w:rtl/>
        </w:rPr>
        <w:t xml:space="preserve"> או על דרך של הפסקת פעילותו של סוכן אך בשל מחלוקת פרטנית בינו לבין חברת תעופה ספציפית ביחס לחיובים המיועדים לגבייה באמצעות המערכת.</w:t>
      </w:r>
      <w:r w:rsidR="003D459A">
        <w:rPr>
          <w:rFonts w:hint="cs"/>
          <w:rtl/>
        </w:rPr>
        <w:t xml:space="preserve"> </w:t>
      </w:r>
    </w:p>
    <w:p w14:paraId="2D6080D8" w14:textId="4E947E97" w:rsidR="00A15A22" w:rsidRDefault="00A15A22" w:rsidP="004C69B0">
      <w:pPr>
        <w:rPr>
          <w:rtl/>
        </w:rPr>
      </w:pPr>
      <w:r>
        <w:rPr>
          <w:rFonts w:hint="cs"/>
          <w:rtl/>
        </w:rPr>
        <w:t>ראשית,</w:t>
      </w:r>
      <w:r w:rsidR="00CF19C4">
        <w:rPr>
          <w:rFonts w:hint="cs"/>
          <w:rtl/>
        </w:rPr>
        <w:t xml:space="preserve"> לעניין החשש לפגיעה בתנאי המסחר בין חברות התעופה והסוכנים, יודגש שההסדר</w:t>
      </w:r>
      <w:r>
        <w:rPr>
          <w:rFonts w:hint="cs"/>
          <w:rtl/>
        </w:rPr>
        <w:t xml:space="preserve"> איננו נוגע למחירי השילוח </w:t>
      </w:r>
      <w:r w:rsidR="00E64799">
        <w:rPr>
          <w:rFonts w:hint="cs"/>
          <w:rtl/>
        </w:rPr>
        <w:t>או גובה ה</w:t>
      </w:r>
      <w:r w:rsidR="005D7F8D">
        <w:rPr>
          <w:rFonts w:hint="cs"/>
          <w:rtl/>
        </w:rPr>
        <w:t xml:space="preserve">עמלות, </w:t>
      </w:r>
      <w:r w:rsidR="00CF19C4">
        <w:rPr>
          <w:rFonts w:hint="cs"/>
          <w:rtl/>
        </w:rPr>
        <w:t>תדירות הטיסות, קיבולת המטענים</w:t>
      </w:r>
      <w:r>
        <w:rPr>
          <w:rFonts w:hint="cs"/>
          <w:rtl/>
        </w:rPr>
        <w:t xml:space="preserve"> וכיו"ב תנאי מסחר פרטניים החלים בהתקשרויות בין חברות התעופה והסוכנים. על מנת להפיג את החשש באופן סופי, התניתי את הפטור בתנאי האוסר על </w:t>
      </w:r>
      <w:r w:rsidRPr="00B02F9F">
        <w:rPr>
          <w:rtl/>
        </w:rPr>
        <w:t>יאט"א ל</w:t>
      </w:r>
      <w:r>
        <w:rPr>
          <w:rFonts w:hint="cs"/>
          <w:rtl/>
        </w:rPr>
        <w:t>ה</w:t>
      </w:r>
      <w:r w:rsidRPr="00B02F9F">
        <w:rPr>
          <w:rtl/>
        </w:rPr>
        <w:t xml:space="preserve">תערב בדרך כלשהי בהתקשרות בין סוכן </w:t>
      </w:r>
      <w:r>
        <w:rPr>
          <w:rFonts w:hint="cs"/>
          <w:rtl/>
        </w:rPr>
        <w:t>ל</w:t>
      </w:r>
      <w:r w:rsidRPr="00B02F9F">
        <w:rPr>
          <w:rtl/>
        </w:rPr>
        <w:t>בין חברת תעופה בקשר עם תנאי התקשרות מסחריים בי</w:t>
      </w:r>
      <w:r>
        <w:rPr>
          <w:rFonts w:hint="cs"/>
          <w:rtl/>
        </w:rPr>
        <w:t>ניהם</w:t>
      </w:r>
      <w:r w:rsidRPr="00B02F9F">
        <w:rPr>
          <w:rtl/>
        </w:rPr>
        <w:t>.</w:t>
      </w:r>
    </w:p>
    <w:p w14:paraId="327B6C49" w14:textId="30ECA1AC" w:rsidR="000C35BA" w:rsidRDefault="00CF19C4" w:rsidP="00CF19C4">
      <w:pPr>
        <w:rPr>
          <w:rtl/>
        </w:rPr>
      </w:pPr>
      <w:r>
        <w:rPr>
          <w:rFonts w:hint="cs"/>
          <w:rtl/>
        </w:rPr>
        <w:t xml:space="preserve">לעניין החשש מהפסקת פעילותם של סוכנים במסגרת התכנית, </w:t>
      </w:r>
      <w:r w:rsidR="00AD76F4">
        <w:rPr>
          <w:rFonts w:hint="cs"/>
          <w:rtl/>
        </w:rPr>
        <w:t>כהערה מקדימה ניתן לתהות האם</w:t>
      </w:r>
      <w:r w:rsidR="003D459A">
        <w:rPr>
          <w:rFonts w:hint="cs"/>
          <w:rtl/>
        </w:rPr>
        <w:t xml:space="preserve"> </w:t>
      </w:r>
      <w:r w:rsidR="000C35BA">
        <w:rPr>
          <w:rFonts w:hint="cs"/>
          <w:rtl/>
        </w:rPr>
        <w:t>משלכל חברת תעופה יש</w:t>
      </w:r>
      <w:r w:rsidR="003305A5">
        <w:rPr>
          <w:rFonts w:hint="cs"/>
          <w:rtl/>
        </w:rPr>
        <w:t>,</w:t>
      </w:r>
      <w:r w:rsidR="000C35BA">
        <w:rPr>
          <w:rFonts w:hint="cs"/>
          <w:rtl/>
        </w:rPr>
        <w:t xml:space="preserve"> מטבע הדברים, עניין בקיום יחסי מסחר תקינים עם מספר מרבי של סוכנים המקשרים בינה לבין הצרכנים</w:t>
      </w:r>
      <w:r w:rsidR="003D459A">
        <w:rPr>
          <w:rFonts w:hint="cs"/>
          <w:rtl/>
        </w:rPr>
        <w:t xml:space="preserve">, </w:t>
      </w:r>
      <w:r w:rsidR="006D0D04">
        <w:rPr>
          <w:rFonts w:hint="cs"/>
          <w:rtl/>
        </w:rPr>
        <w:t>יש לה</w:t>
      </w:r>
      <w:r w:rsidR="00AD76F4">
        <w:rPr>
          <w:rFonts w:hint="cs"/>
          <w:rtl/>
        </w:rPr>
        <w:t>ן</w:t>
      </w:r>
      <w:r w:rsidR="006D0D04">
        <w:rPr>
          <w:rFonts w:hint="cs"/>
          <w:rtl/>
        </w:rPr>
        <w:t xml:space="preserve"> עניין בניתוק סוכנים. </w:t>
      </w:r>
      <w:r w:rsidR="004732D4">
        <w:rPr>
          <w:rFonts w:hint="cs"/>
          <w:rtl/>
        </w:rPr>
        <w:t>מכל מקום</w:t>
      </w:r>
      <w:r w:rsidR="000C35BA">
        <w:rPr>
          <w:rFonts w:hint="cs"/>
          <w:rtl/>
        </w:rPr>
        <w:t xml:space="preserve">, החשש שמא חברות התעופה ינצלו את כוחן הקולקטיבי כלפי סוכן בודד מופג גם לאור ההוראות המכוננות את ההסדר, בהן נכללו </w:t>
      </w:r>
      <w:r w:rsidR="00595E2F">
        <w:rPr>
          <w:rFonts w:hint="cs"/>
          <w:rtl/>
        </w:rPr>
        <w:t>הסדרים שונים לגבי</w:t>
      </w:r>
      <w:r w:rsidR="000C35BA">
        <w:rPr>
          <w:rFonts w:hint="cs"/>
          <w:rtl/>
        </w:rPr>
        <w:t xml:space="preserve"> אופן בירור</w:t>
      </w:r>
      <w:r w:rsidR="009D7C8C">
        <w:rPr>
          <w:rFonts w:hint="cs"/>
          <w:rtl/>
        </w:rPr>
        <w:t>ם</w:t>
      </w:r>
      <w:r w:rsidR="00A172CA">
        <w:rPr>
          <w:rFonts w:hint="cs"/>
          <w:rtl/>
        </w:rPr>
        <w:t xml:space="preserve"> </w:t>
      </w:r>
      <w:r w:rsidR="00A172CA" w:rsidRPr="00F8092A">
        <w:rPr>
          <w:rFonts w:hint="eastAsia"/>
          <w:rtl/>
        </w:rPr>
        <w:t>של</w:t>
      </w:r>
      <w:r w:rsidR="00A172CA" w:rsidRPr="00F8092A">
        <w:rPr>
          <w:rtl/>
        </w:rPr>
        <w:t xml:space="preserve"> </w:t>
      </w:r>
      <w:r w:rsidR="00A172CA" w:rsidRPr="00F8092A">
        <w:rPr>
          <w:rFonts w:hint="eastAsia"/>
          <w:rtl/>
        </w:rPr>
        <w:t>מחלוקות</w:t>
      </w:r>
      <w:r w:rsidR="00F8092A">
        <w:rPr>
          <w:rFonts w:hint="cs"/>
          <w:rtl/>
        </w:rPr>
        <w:t xml:space="preserve"> </w:t>
      </w:r>
      <w:r w:rsidR="008E5201">
        <w:rPr>
          <w:rFonts w:hint="cs"/>
          <w:rtl/>
        </w:rPr>
        <w:t xml:space="preserve">וסכסוכים פרטניים </w:t>
      </w:r>
      <w:r w:rsidR="000C35BA">
        <w:rPr>
          <w:rFonts w:hint="cs"/>
          <w:rtl/>
        </w:rPr>
        <w:t>בין חברת תעופה לסוכן במנותק ממערכת היחסים של הסוכן עם חברות התעופה האחרות החברות בהסדר. בין היתר, קיים</w:t>
      </w:r>
      <w:r w:rsidR="00A172CA">
        <w:rPr>
          <w:rFonts w:hint="cs"/>
          <w:rtl/>
        </w:rPr>
        <w:t xml:space="preserve"> בהסדר</w:t>
      </w:r>
      <w:r w:rsidR="000C35BA">
        <w:rPr>
          <w:rFonts w:hint="cs"/>
          <w:rtl/>
        </w:rPr>
        <w:t xml:space="preserve"> מנגנון לתיקון טעויות בתקופה המכונה</w:t>
      </w:r>
      <w:r w:rsidR="000C35BA">
        <w:t xml:space="preserve">"Correction Period" </w:t>
      </w:r>
      <w:r w:rsidR="000C35BA">
        <w:rPr>
          <w:rFonts w:hint="cs"/>
          <w:rtl/>
        </w:rPr>
        <w:t>.</w:t>
      </w:r>
      <w:r w:rsidR="000C35BA">
        <w:rPr>
          <w:rFonts w:hint="cs"/>
        </w:rPr>
        <w:t xml:space="preserve"> </w:t>
      </w:r>
      <w:r w:rsidR="000C35BA">
        <w:rPr>
          <w:rFonts w:hint="cs"/>
          <w:rtl/>
        </w:rPr>
        <w:t>במהלך התקופה</w:t>
      </w:r>
      <w:r w:rsidR="00595E2F">
        <w:rPr>
          <w:rFonts w:hint="cs"/>
          <w:rtl/>
        </w:rPr>
        <w:t>,</w:t>
      </w:r>
      <w:r w:rsidR="000C35BA">
        <w:rPr>
          <w:rFonts w:hint="cs"/>
          <w:rtl/>
        </w:rPr>
        <w:t xml:space="preserve"> רשאי סוכן לתקן חיוב שהוזן לתכנית באופן שגוי על ידי חברת תעופה, ובהעדר תגובה של חברת התעופה, יתוקן החיוב לפי בקשת הסוכן. מנגנון נוסף הקיים בתכנית הוא מנגנון ההחזר (</w:t>
      </w:r>
      <w:r w:rsidR="000C35BA">
        <w:t>"Refund"</w:t>
      </w:r>
      <w:r w:rsidR="000C35BA">
        <w:rPr>
          <w:rFonts w:hint="cs"/>
          <w:rtl/>
        </w:rPr>
        <w:t xml:space="preserve">). מנגנון זה מאפשר לסוכן לקבל החזר במקרים בהם בירור פרטני מול חברת התעופה מעלה שהסוכן זכאי לקבל החזר בגין מחלוקת שנתגלעה לאחר ביצוע התשלום. </w:t>
      </w:r>
    </w:p>
    <w:p w14:paraId="43F5EAA3" w14:textId="10E63CCA" w:rsidR="000C35BA" w:rsidRDefault="000C35BA" w:rsidP="002E1274">
      <w:pPr>
        <w:rPr>
          <w:rtl/>
        </w:rPr>
      </w:pPr>
      <w:r>
        <w:rPr>
          <w:rFonts w:hint="cs"/>
          <w:rtl/>
        </w:rPr>
        <w:t xml:space="preserve">בנוסף למנגנונים אלה ראיתי לנכון להטיל תנאי שתכליתו להסדיר את אופן בירור המחלוקות בין סוכנים לחברות תעופה. התנאי מאפשר לסוכן להודיע ליאט"א ולחברת התעופה הרלוונטית כי </w:t>
      </w:r>
      <w:r>
        <w:rPr>
          <w:rFonts w:hint="cs"/>
          <w:rtl/>
        </w:rPr>
        <w:lastRenderedPageBreak/>
        <w:t>הוא חולק, מכל סיבה שהיא, על חיוב בו חויב בתכנית (</w:t>
      </w:r>
      <w:r>
        <w:t>"Dispute"</w:t>
      </w:r>
      <w:r>
        <w:rPr>
          <w:rFonts w:hint="cs"/>
          <w:rtl/>
        </w:rPr>
        <w:t>). אותו חיוב שנוי במחלוקת י</w:t>
      </w:r>
      <w:r w:rsidR="00595E2F">
        <w:rPr>
          <w:rFonts w:hint="cs"/>
          <w:rtl/>
        </w:rPr>
        <w:t>י</w:t>
      </w:r>
      <w:r>
        <w:rPr>
          <w:rFonts w:hint="cs"/>
          <w:rtl/>
        </w:rPr>
        <w:t xml:space="preserve">גרע מהתכנית, כך שהמחלוקת תנוהל באופן ישיר בין הסוכן לבין חברת התעופה ללא כל התערבות  </w:t>
      </w:r>
      <w:r w:rsidR="003051EC">
        <w:rPr>
          <w:rFonts w:hint="cs"/>
          <w:rtl/>
        </w:rPr>
        <w:t xml:space="preserve">של </w:t>
      </w:r>
      <w:r>
        <w:rPr>
          <w:rFonts w:hint="cs"/>
          <w:rtl/>
        </w:rPr>
        <w:t xml:space="preserve">יאט"א, חברות התעופה החברות בהסדר או כל גורם אחר. </w:t>
      </w:r>
    </w:p>
    <w:p w14:paraId="4C3738F2" w14:textId="6BB6B951" w:rsidR="000C35BA" w:rsidRDefault="000C35BA" w:rsidP="002E1274">
      <w:pPr>
        <w:rPr>
          <w:rtl/>
        </w:rPr>
      </w:pPr>
      <w:r>
        <w:rPr>
          <w:rFonts w:hint="cs"/>
          <w:rtl/>
        </w:rPr>
        <w:t>בנוסף לתנאי</w:t>
      </w:r>
      <w:r w:rsidR="002E1274">
        <w:rPr>
          <w:rFonts w:hint="cs"/>
          <w:rtl/>
        </w:rPr>
        <w:t>ם</w:t>
      </w:r>
      <w:r>
        <w:rPr>
          <w:rFonts w:hint="cs"/>
          <w:rtl/>
        </w:rPr>
        <w:t xml:space="preserve"> </w:t>
      </w:r>
      <w:r w:rsidR="002E1274">
        <w:rPr>
          <w:rFonts w:hint="cs"/>
          <w:rtl/>
        </w:rPr>
        <w:t>אלו</w:t>
      </w:r>
      <w:r>
        <w:rPr>
          <w:rFonts w:hint="cs"/>
          <w:rtl/>
        </w:rPr>
        <w:t>, קבעתי בפטור תנאים נוספים שנועדו להפיג את החשש מניצול כוח</w:t>
      </w:r>
      <w:r w:rsidR="00BF6F2C">
        <w:rPr>
          <w:rFonts w:hint="cs"/>
          <w:rtl/>
        </w:rPr>
        <w:t>ן</w:t>
      </w:r>
      <w:r>
        <w:rPr>
          <w:rFonts w:hint="cs"/>
          <w:rtl/>
        </w:rPr>
        <w:t xml:space="preserve"> המצרפי של חברות התעופה כלפי הסוכנים, בהם: תנאים המגבילים את יכולתה של יאט"א לנתק סוכן מהתכנית במצבים של טעות שאינה תלויה בסוכן; תנאים המחייבים מתן הודעה לסוכן על אי-ביצועו של תשלום או ביצוע תשלום בחסר; וכאלה המחייבים את יאט"א בתיעוד כל הפסקת פעילות של סוכן בתכנית</w:t>
      </w:r>
      <w:r w:rsidR="00B93720">
        <w:rPr>
          <w:rFonts w:hint="cs"/>
          <w:rtl/>
        </w:rPr>
        <w:t xml:space="preserve">, כמו גם תיעוד </w:t>
      </w:r>
      <w:r w:rsidR="005C3786">
        <w:rPr>
          <w:rFonts w:hint="cs"/>
          <w:rtl/>
        </w:rPr>
        <w:t xml:space="preserve">מפורט של </w:t>
      </w:r>
      <w:r w:rsidR="00B93720">
        <w:rPr>
          <w:rFonts w:hint="cs"/>
          <w:rtl/>
        </w:rPr>
        <w:t>כל פניה, תלונה או בקשה, שהתקבלו אצלה בנוגע לתכנית</w:t>
      </w:r>
      <w:r>
        <w:rPr>
          <w:rFonts w:hint="cs"/>
          <w:rtl/>
        </w:rPr>
        <w:t>.</w:t>
      </w:r>
    </w:p>
    <w:p w14:paraId="7D906B8F" w14:textId="2D73D673" w:rsidR="000C35BA" w:rsidRDefault="000C35BA" w:rsidP="00CF19C4">
      <w:pPr>
        <w:rPr>
          <w:rtl/>
        </w:rPr>
      </w:pPr>
      <w:r>
        <w:rPr>
          <w:rFonts w:hint="cs"/>
          <w:rtl/>
        </w:rPr>
        <w:t>לא למותר לציין, כי אין כל מניעה מקיום מו"מ פרטני</w:t>
      </w:r>
      <w:r>
        <w:rPr>
          <w:rFonts w:hint="cs"/>
        </w:rPr>
        <w:t xml:space="preserve"> </w:t>
      </w:r>
      <w:r>
        <w:rPr>
          <w:rFonts w:hint="cs"/>
          <w:rtl/>
        </w:rPr>
        <w:t>ישיר בין סוכן וחברת תעופה מחוץ לתכנית במטרה להביא לתיקון חיוב או דחיית מועד תשלום שהוזן למערכת</w:t>
      </w:r>
      <w:r w:rsidR="00CF19C4">
        <w:rPr>
          <w:rFonts w:hint="cs"/>
          <w:rtl/>
        </w:rPr>
        <w:t>. כאמור,</w:t>
      </w:r>
      <w:r>
        <w:rPr>
          <w:rFonts w:hint="cs"/>
          <w:rtl/>
        </w:rPr>
        <w:t xml:space="preserve"> על-פי </w:t>
      </w:r>
      <w:r w:rsidR="0016586A">
        <w:rPr>
          <w:rFonts w:hint="cs"/>
          <w:rtl/>
        </w:rPr>
        <w:t>תנאי הפטור שלהלן</w:t>
      </w:r>
      <w:r>
        <w:rPr>
          <w:rFonts w:hint="cs"/>
          <w:rtl/>
        </w:rPr>
        <w:t xml:space="preserve">, על יאט"א ועל חברות התעופה אשר אינן נוגעות בדבר חל איסור להתערב במו"מ כאמור.  </w:t>
      </w:r>
    </w:p>
    <w:p w14:paraId="287B5060" w14:textId="467DFB7B" w:rsidR="000C35BA" w:rsidRDefault="000C35BA" w:rsidP="00B02F9F">
      <w:pPr>
        <w:rPr>
          <w:rtl/>
        </w:rPr>
      </w:pPr>
      <w:r>
        <w:rPr>
          <w:rFonts w:eastAsiaTheme="minorEastAsia" w:hint="cs"/>
          <w:rtl/>
        </w:rPr>
        <w:t xml:space="preserve">מעבר לנדרש </w:t>
      </w:r>
      <w:r w:rsidR="00415AFA">
        <w:rPr>
          <w:rFonts w:eastAsiaTheme="minorEastAsia" w:hint="cs"/>
          <w:rtl/>
        </w:rPr>
        <w:t>אציין</w:t>
      </w:r>
      <w:r>
        <w:rPr>
          <w:rFonts w:eastAsiaTheme="minorEastAsia" w:hint="cs"/>
          <w:rtl/>
        </w:rPr>
        <w:t>, כי במועד מתן החלטתי זו החשש הנ"ל מוקהה גם נוכח קיומה של תחרות מצד חברות תעופה שאינן פעילות בתכנית.</w:t>
      </w:r>
      <w:r w:rsidR="00F37F25">
        <w:rPr>
          <w:rFonts w:eastAsiaTheme="minorEastAsia" w:hint="cs"/>
          <w:rtl/>
        </w:rPr>
        <w:t xml:space="preserve"> </w:t>
      </w:r>
      <w:r>
        <w:rPr>
          <w:rFonts w:eastAsiaTheme="minorEastAsia" w:hint="cs"/>
          <w:rtl/>
        </w:rPr>
        <w:t xml:space="preserve">בנסיבות אלה, מופחתת התלות של הסוכנים, בין שהם מחוברים לתכנית ובין שהם אינם, בחברות התעופה הפועלות בתכנית. תנאי הפטור שלהלן אינם מאפשרים ליאט"א להגביל התקשרויות בין סוכנים המחוברים לתכנית לחברות התעופה שאינן מחוברות לה, ולהיפך – התנאים אינם מאפשרים להגביל חברת תעופה הפועלת בתכנית מלהתקשר עם סוכנים שאינם מחוברים לה. אין גם הוראה בהסדר המגבילה התחשבנות וסליקה ישירות (שלא באמצעות התכנית) בין חברות התעופה והסוכנים המחוברים לתכנית. ואולם, גם בהנחה כי יחברו להסדר חברות תעופה נוספות שאינן חברות בו כיום, החשש המתואר מופג מהטעמים </w:t>
      </w:r>
      <w:r w:rsidR="00B634CD">
        <w:rPr>
          <w:rFonts w:eastAsiaTheme="minorEastAsia" w:hint="cs"/>
          <w:rtl/>
        </w:rPr>
        <w:t>שפורטו לעיל</w:t>
      </w:r>
      <w:r>
        <w:rPr>
          <w:rFonts w:eastAsiaTheme="minorEastAsia" w:hint="cs"/>
          <w:rtl/>
        </w:rPr>
        <w:t xml:space="preserve">, בכפוף לתנאים, כאמור. </w:t>
      </w:r>
    </w:p>
    <w:p w14:paraId="1DC73D6E" w14:textId="77777777" w:rsidR="000C35BA" w:rsidRDefault="000C35BA" w:rsidP="008C76C7">
      <w:pPr>
        <w:rPr>
          <w:rtl/>
        </w:rPr>
      </w:pPr>
      <w:r>
        <w:rPr>
          <w:rFonts w:hint="cs"/>
          <w:sz w:val="22"/>
          <w:rtl/>
        </w:rPr>
        <w:t xml:space="preserve">באשר לחשש </w:t>
      </w:r>
      <w:r>
        <w:rPr>
          <w:rFonts w:hint="cs"/>
          <w:rtl/>
        </w:rPr>
        <w:t xml:space="preserve">מיכולתן של חברות התעופה החברות בתכנית להפעיל כוח שוק מצרפי כלפי סוכנים בדרך של גביית דמי שימוש גבוהים לתכנית, הרי שנכון לעת הזו קיימת תחרות על לב הסוכנים מצד חברות תעופה הפועלות מחוץ לתכנית, ומשכך מדובר בחשש </w:t>
      </w:r>
      <w:r w:rsidRPr="006873AF">
        <w:rPr>
          <w:rFonts w:hint="cs"/>
          <w:rtl/>
        </w:rPr>
        <w:t>רחוק</w:t>
      </w:r>
      <w:r>
        <w:rPr>
          <w:rFonts w:hint="cs"/>
          <w:sz w:val="22"/>
          <w:rtl/>
        </w:rPr>
        <w:t>.</w:t>
      </w:r>
      <w:r>
        <w:rPr>
          <w:rFonts w:hint="cs"/>
          <w:rtl/>
        </w:rPr>
        <w:t xml:space="preserve"> יחד עם זאת, שוכנעתי כי חשש זה מופג גם לו ירבו חברות התעופה שיצטרפו לתכנית, נוכח התחייבות הצדדים להסדר שלא לגבות דמי חיבור כלשהם מסוכנים בגין השימוש בתכנית, למעט </w:t>
      </w:r>
      <w:r w:rsidR="008C76C7">
        <w:rPr>
          <w:rFonts w:hint="cs"/>
          <w:rtl/>
        </w:rPr>
        <w:t xml:space="preserve">דמי חבר </w:t>
      </w:r>
      <w:r>
        <w:rPr>
          <w:rFonts w:hint="cs"/>
          <w:rtl/>
        </w:rPr>
        <w:t>שנתי</w:t>
      </w:r>
      <w:r w:rsidR="008C76C7">
        <w:rPr>
          <w:rFonts w:hint="cs"/>
          <w:rtl/>
        </w:rPr>
        <w:t>ים, הנהוגים היום</w:t>
      </w:r>
      <w:r>
        <w:rPr>
          <w:rFonts w:hint="cs"/>
          <w:rtl/>
        </w:rPr>
        <w:t xml:space="preserve">, </w:t>
      </w:r>
      <w:r w:rsidR="008C76C7">
        <w:rPr>
          <w:rFonts w:hint="cs"/>
          <w:rtl/>
        </w:rPr>
        <w:t xml:space="preserve">ושמחירם </w:t>
      </w:r>
      <w:r>
        <w:rPr>
          <w:rFonts w:hint="cs"/>
          <w:rtl/>
        </w:rPr>
        <w:t>לא יעלה מעבר לעדכון מדד המחירים לצרכן.</w:t>
      </w:r>
      <w:r>
        <w:rPr>
          <w:rStyle w:val="ab"/>
          <w:rtl/>
        </w:rPr>
        <w:footnoteReference w:id="5"/>
      </w:r>
      <w:r>
        <w:rPr>
          <w:rFonts w:hint="cs"/>
          <w:rtl/>
        </w:rPr>
        <w:t xml:space="preserve"> </w:t>
      </w:r>
    </w:p>
    <w:p w14:paraId="7F8C7488" w14:textId="77777777" w:rsidR="000C35BA" w:rsidRDefault="000C35BA" w:rsidP="000C35BA">
      <w:pPr>
        <w:rPr>
          <w:b/>
          <w:bCs/>
          <w:u w:val="single"/>
          <w:rtl/>
        </w:rPr>
      </w:pPr>
      <w:r>
        <w:rPr>
          <w:rFonts w:hint="cs"/>
          <w:b/>
          <w:bCs/>
          <w:u w:val="single"/>
          <w:rtl/>
        </w:rPr>
        <w:t>היעדר חשש מדחיקת חברות תעופה או סוכנים שאינם פעילים במערכת</w:t>
      </w:r>
    </w:p>
    <w:p w14:paraId="4A5F81DD" w14:textId="26326A4A" w:rsidR="00FB7365" w:rsidRDefault="00B93720" w:rsidP="00415AFA">
      <w:pPr>
        <w:rPr>
          <w:rFonts w:eastAsiaTheme="minorEastAsia"/>
          <w:rtl/>
        </w:rPr>
      </w:pPr>
      <w:r>
        <w:rPr>
          <w:rFonts w:eastAsiaTheme="minorEastAsia" w:hint="cs"/>
          <w:rtl/>
        </w:rPr>
        <w:t xml:space="preserve">שוכנעתי כי החשש </w:t>
      </w:r>
      <w:r w:rsidR="000C35BA">
        <w:rPr>
          <w:rFonts w:hint="cs"/>
          <w:rtl/>
        </w:rPr>
        <w:t>מהפעלת כח שוק כלפי חברות תעופה או כלפי סוכנים הפעילים בתכנית במטרה לאלצם לבצע את כל עסקאותיהם בתכנית, וכך לדחוק חברות תעופה וסוכנים שאינם פעילים בתכנית, מופג</w:t>
      </w:r>
      <w:r>
        <w:rPr>
          <w:rFonts w:hint="cs"/>
          <w:rtl/>
        </w:rPr>
        <w:t xml:space="preserve"> אף הוא</w:t>
      </w:r>
      <w:r w:rsidR="000C35BA">
        <w:rPr>
          <w:rFonts w:hint="cs"/>
          <w:rtl/>
        </w:rPr>
        <w:t xml:space="preserve">. </w:t>
      </w:r>
      <w:r w:rsidR="000C35BA">
        <w:rPr>
          <w:rFonts w:eastAsiaTheme="minorEastAsia" w:hint="cs"/>
          <w:rtl/>
        </w:rPr>
        <w:t>ראשית</w:t>
      </w:r>
      <w:r w:rsidR="006046D9">
        <w:rPr>
          <w:rFonts w:eastAsiaTheme="minorEastAsia" w:hint="cs"/>
          <w:rtl/>
        </w:rPr>
        <w:t>,</w:t>
      </w:r>
      <w:r w:rsidR="0049257F">
        <w:rPr>
          <w:rFonts w:eastAsiaTheme="minorEastAsia" w:hint="cs"/>
          <w:rtl/>
        </w:rPr>
        <w:t xml:space="preserve"> </w:t>
      </w:r>
      <w:r w:rsidR="00415AFA">
        <w:rPr>
          <w:rFonts w:eastAsiaTheme="minorEastAsia" w:hint="cs"/>
          <w:rtl/>
        </w:rPr>
        <w:t>א</w:t>
      </w:r>
      <w:r w:rsidR="0049257F">
        <w:rPr>
          <w:rFonts w:eastAsiaTheme="minorEastAsia" w:hint="cs"/>
          <w:rtl/>
        </w:rPr>
        <w:t xml:space="preserve">ציין כי </w:t>
      </w:r>
      <w:r w:rsidR="006758EB">
        <w:rPr>
          <w:rFonts w:eastAsiaTheme="minorEastAsia" w:hint="cs"/>
          <w:rtl/>
        </w:rPr>
        <w:t>ספק אם יש לחברות התעופה עניין בדחיקת סוכנים</w:t>
      </w:r>
      <w:r w:rsidR="0049257F">
        <w:rPr>
          <w:rFonts w:eastAsiaTheme="minorEastAsia" w:hint="cs"/>
          <w:rtl/>
        </w:rPr>
        <w:t>, שכן</w:t>
      </w:r>
      <w:r w:rsidR="000C35BA">
        <w:rPr>
          <w:rFonts w:eastAsiaTheme="minorEastAsia" w:hint="cs"/>
          <w:rtl/>
        </w:rPr>
        <w:t xml:space="preserve"> לחבר</w:t>
      </w:r>
      <w:r w:rsidR="00854CF3">
        <w:rPr>
          <w:rFonts w:eastAsiaTheme="minorEastAsia" w:hint="cs"/>
          <w:rtl/>
        </w:rPr>
        <w:t>ו</w:t>
      </w:r>
      <w:r w:rsidR="000C35BA">
        <w:rPr>
          <w:rFonts w:eastAsiaTheme="minorEastAsia" w:hint="cs"/>
          <w:rtl/>
        </w:rPr>
        <w:t xml:space="preserve">ת </w:t>
      </w:r>
      <w:r w:rsidR="00854CF3">
        <w:rPr>
          <w:rFonts w:eastAsiaTheme="minorEastAsia" w:hint="cs"/>
          <w:rtl/>
        </w:rPr>
        <w:t>ה</w:t>
      </w:r>
      <w:r w:rsidR="000C35BA">
        <w:rPr>
          <w:rFonts w:eastAsiaTheme="minorEastAsia" w:hint="cs"/>
          <w:rtl/>
        </w:rPr>
        <w:t xml:space="preserve">תעופה עניין בהתקשרות עם מספר מרבי של סוכנים, גם כאלה שאינם בתכנית; באופן דומה, גם לסוכנים עניין בהתקשרות עם מספר מרבי של חברות תעופה. </w:t>
      </w:r>
    </w:p>
    <w:p w14:paraId="4D05C9E2" w14:textId="1940314C" w:rsidR="00FB7365" w:rsidRDefault="00FB7365" w:rsidP="00B02F9F">
      <w:pPr>
        <w:rPr>
          <w:rtl/>
        </w:rPr>
      </w:pPr>
      <w:r>
        <w:rPr>
          <w:rFonts w:eastAsiaTheme="minorEastAsia" w:hint="cs"/>
          <w:rtl/>
        </w:rPr>
        <w:lastRenderedPageBreak/>
        <w:t xml:space="preserve">עוד </w:t>
      </w:r>
      <w:r w:rsidR="00415AFA">
        <w:rPr>
          <w:rFonts w:eastAsiaTheme="minorEastAsia" w:hint="cs"/>
          <w:rtl/>
        </w:rPr>
        <w:t xml:space="preserve">אציין </w:t>
      </w:r>
      <w:r>
        <w:rPr>
          <w:rFonts w:eastAsiaTheme="minorEastAsia" w:hint="cs"/>
          <w:rtl/>
        </w:rPr>
        <w:t xml:space="preserve">כי </w:t>
      </w:r>
      <w:r>
        <w:rPr>
          <w:rFonts w:hint="cs"/>
          <w:rtl/>
        </w:rPr>
        <w:t xml:space="preserve">במועד מתן החלטתי זו, כאמור לעיל, קיימת </w:t>
      </w:r>
      <w:r>
        <w:rPr>
          <w:rFonts w:eastAsiaTheme="minorEastAsia" w:hint="cs"/>
          <w:rtl/>
        </w:rPr>
        <w:t>תחרות ממשית מצד חברות תעופה שאינ</w:t>
      </w:r>
      <w:r w:rsidR="006758EB">
        <w:rPr>
          <w:rFonts w:eastAsiaTheme="minorEastAsia" w:hint="cs"/>
          <w:rtl/>
        </w:rPr>
        <w:t>ן</w:t>
      </w:r>
      <w:r>
        <w:rPr>
          <w:rFonts w:eastAsiaTheme="minorEastAsia" w:hint="cs"/>
          <w:rtl/>
        </w:rPr>
        <w:t xml:space="preserve"> פעיל</w:t>
      </w:r>
      <w:r w:rsidR="006758EB">
        <w:rPr>
          <w:rFonts w:eastAsiaTheme="minorEastAsia" w:hint="cs"/>
          <w:rtl/>
        </w:rPr>
        <w:t>ות</w:t>
      </w:r>
      <w:r>
        <w:rPr>
          <w:rFonts w:eastAsiaTheme="minorEastAsia" w:hint="cs"/>
          <w:rtl/>
        </w:rPr>
        <w:t xml:space="preserve"> בתכנית. במציאות זו, </w:t>
      </w:r>
      <w:r w:rsidRPr="006873AF">
        <w:rPr>
          <w:rFonts w:eastAsiaTheme="minorEastAsia" w:hint="eastAsia"/>
          <w:rtl/>
        </w:rPr>
        <w:t>ככל</w:t>
      </w:r>
      <w:r w:rsidRPr="006873AF">
        <w:rPr>
          <w:rFonts w:eastAsiaTheme="minorEastAsia"/>
          <w:rtl/>
        </w:rPr>
        <w:t xml:space="preserve"> </w:t>
      </w:r>
      <w:r w:rsidRPr="006873AF">
        <w:rPr>
          <w:rFonts w:eastAsiaTheme="minorEastAsia" w:hint="eastAsia"/>
          <w:rtl/>
        </w:rPr>
        <w:t>שקיים</w:t>
      </w:r>
      <w:r w:rsidRPr="006873AF">
        <w:rPr>
          <w:rFonts w:eastAsiaTheme="minorEastAsia"/>
          <w:rtl/>
        </w:rPr>
        <w:t xml:space="preserve"> </w:t>
      </w:r>
      <w:r w:rsidRPr="006873AF">
        <w:rPr>
          <w:rFonts w:eastAsiaTheme="minorEastAsia" w:hint="eastAsia"/>
          <w:rtl/>
        </w:rPr>
        <w:t>חשש</w:t>
      </w:r>
      <w:r w:rsidRPr="006873AF">
        <w:rPr>
          <w:rFonts w:eastAsiaTheme="minorEastAsia"/>
          <w:rtl/>
        </w:rPr>
        <w:t xml:space="preserve"> כי אלו ידחקו על ידי חברות התעופה והסוכנים הפעילים בתכנית</w:t>
      </w:r>
      <w:r w:rsidRPr="006873AF">
        <w:rPr>
          <w:rtl/>
        </w:rPr>
        <w:t xml:space="preserve">, </w:t>
      </w:r>
      <w:r w:rsidRPr="006873AF">
        <w:rPr>
          <w:rFonts w:hint="eastAsia"/>
          <w:rtl/>
        </w:rPr>
        <w:t>הרי</w:t>
      </w:r>
      <w:r w:rsidRPr="006873AF">
        <w:rPr>
          <w:rtl/>
        </w:rPr>
        <w:t xml:space="preserve"> </w:t>
      </w:r>
      <w:r w:rsidRPr="006873AF">
        <w:rPr>
          <w:rFonts w:hint="eastAsia"/>
          <w:rtl/>
        </w:rPr>
        <w:t>שהוא</w:t>
      </w:r>
      <w:r w:rsidRPr="006873AF">
        <w:rPr>
          <w:rtl/>
        </w:rPr>
        <w:t xml:space="preserve"> </w:t>
      </w:r>
      <w:r w:rsidRPr="006873AF">
        <w:rPr>
          <w:rFonts w:hint="eastAsia"/>
          <w:rtl/>
        </w:rPr>
        <w:t>חשש</w:t>
      </w:r>
      <w:r w:rsidRPr="006873AF">
        <w:rPr>
          <w:rtl/>
        </w:rPr>
        <w:t xml:space="preserve"> </w:t>
      </w:r>
      <w:r w:rsidRPr="006873AF">
        <w:rPr>
          <w:rFonts w:hint="eastAsia"/>
          <w:rtl/>
        </w:rPr>
        <w:t>קל</w:t>
      </w:r>
      <w:r w:rsidRPr="006873AF">
        <w:rPr>
          <w:rtl/>
        </w:rPr>
        <w:t xml:space="preserve"> </w:t>
      </w:r>
      <w:r w:rsidRPr="006873AF">
        <w:rPr>
          <w:rFonts w:hint="eastAsia"/>
          <w:rtl/>
        </w:rPr>
        <w:t>בלבד</w:t>
      </w:r>
      <w:r>
        <w:rPr>
          <w:rFonts w:hint="cs"/>
          <w:rtl/>
        </w:rPr>
        <w:t>.</w:t>
      </w:r>
      <w:r w:rsidR="00F37F25">
        <w:rPr>
          <w:rFonts w:hint="cs"/>
          <w:rtl/>
        </w:rPr>
        <w:t xml:space="preserve"> </w:t>
      </w:r>
    </w:p>
    <w:p w14:paraId="721ED1B1" w14:textId="6F5370E8" w:rsidR="0049257F" w:rsidRDefault="000C35BA" w:rsidP="00CF19C4">
      <w:pPr>
        <w:rPr>
          <w:rtl/>
        </w:rPr>
      </w:pPr>
      <w:r>
        <w:rPr>
          <w:rFonts w:eastAsiaTheme="minorEastAsia" w:hint="cs"/>
          <w:rtl/>
        </w:rPr>
        <w:t>מכל מקום,</w:t>
      </w:r>
      <w:r w:rsidR="00FB7365">
        <w:rPr>
          <w:rFonts w:eastAsiaTheme="minorEastAsia" w:hint="cs"/>
          <w:rtl/>
        </w:rPr>
        <w:t xml:space="preserve"> וגם לו יחברו להסדר חברות תעופה וסוכנים נוספים</w:t>
      </w:r>
      <w:r w:rsidR="00AA7831">
        <w:rPr>
          <w:rFonts w:eastAsiaTheme="minorEastAsia" w:hint="cs"/>
          <w:rtl/>
        </w:rPr>
        <w:t xml:space="preserve"> וייווצר מצב שיקשה על חברות תעופה וסוכנים שאינם בתכנית לפעול </w:t>
      </w:r>
      <w:r w:rsidR="00CF19C4">
        <w:rPr>
          <w:rFonts w:eastAsiaTheme="minorEastAsia" w:hint="cs"/>
          <w:rtl/>
        </w:rPr>
        <w:t>בתחום</w:t>
      </w:r>
      <w:r w:rsidR="00FB7365">
        <w:rPr>
          <w:rFonts w:eastAsiaTheme="minorEastAsia" w:hint="cs"/>
          <w:rtl/>
        </w:rPr>
        <w:t>,</w:t>
      </w:r>
      <w:r>
        <w:rPr>
          <w:rFonts w:eastAsiaTheme="minorEastAsia" w:hint="cs"/>
          <w:rtl/>
        </w:rPr>
        <w:t xml:space="preserve"> </w:t>
      </w:r>
      <w:r w:rsidR="00FB7365">
        <w:rPr>
          <w:rFonts w:eastAsiaTheme="minorEastAsia" w:hint="cs"/>
          <w:rtl/>
        </w:rPr>
        <w:t>הרי ש</w:t>
      </w:r>
      <w:r>
        <w:rPr>
          <w:rFonts w:eastAsiaTheme="minorEastAsia" w:hint="cs"/>
          <w:rtl/>
        </w:rPr>
        <w:t xml:space="preserve">חשש זה זוכה למענה </w:t>
      </w:r>
      <w:r>
        <w:rPr>
          <w:rFonts w:hint="cs"/>
          <w:rtl/>
        </w:rPr>
        <w:t>בתנאים, בהם תנאי המחייב חיבור של כל סוכן</w:t>
      </w:r>
      <w:r w:rsidR="00D83261">
        <w:rPr>
          <w:rFonts w:hint="cs"/>
          <w:rtl/>
        </w:rPr>
        <w:t xml:space="preserve"> מטען מורשה יאט"א</w:t>
      </w:r>
      <w:r w:rsidR="00A7328F">
        <w:rPr>
          <w:rFonts w:hint="cs"/>
          <w:rtl/>
        </w:rPr>
        <w:t>, של כל עמית</w:t>
      </w:r>
      <w:r>
        <w:rPr>
          <w:rFonts w:hint="cs"/>
          <w:rtl/>
        </w:rPr>
        <w:t xml:space="preserve"> ושל כל חברת תעופה לתכנית </w:t>
      </w:r>
      <w:r w:rsidR="00B042B4">
        <w:rPr>
          <w:rFonts w:hint="cs"/>
          <w:rtl/>
        </w:rPr>
        <w:t xml:space="preserve">בתנאים שוויוניים </w:t>
      </w:r>
      <w:r>
        <w:rPr>
          <w:rFonts w:hint="cs"/>
          <w:rtl/>
        </w:rPr>
        <w:t xml:space="preserve">ותנאי האוסר על יאט"א להגביל התקשרות של </w:t>
      </w:r>
      <w:r>
        <w:rPr>
          <w:rFonts w:eastAsiaTheme="minorEastAsia" w:hint="cs"/>
          <w:rtl/>
        </w:rPr>
        <w:t>חברות תעופה עם סוכנים שלא באמצעות התכנית</w:t>
      </w:r>
      <w:r w:rsidR="00B93720">
        <w:rPr>
          <w:rFonts w:eastAsiaTheme="minorEastAsia" w:hint="cs"/>
          <w:rtl/>
        </w:rPr>
        <w:t>.</w:t>
      </w:r>
      <w:r w:rsidR="002E1274">
        <w:rPr>
          <w:rFonts w:eastAsiaTheme="minorEastAsia" w:hint="cs"/>
          <w:rtl/>
        </w:rPr>
        <w:t xml:space="preserve"> כך, סוכ</w:t>
      </w:r>
      <w:r w:rsidR="00AA7831">
        <w:rPr>
          <w:rFonts w:eastAsiaTheme="minorEastAsia" w:hint="cs"/>
          <w:rtl/>
        </w:rPr>
        <w:t>נים</w:t>
      </w:r>
      <w:r w:rsidR="002E1274">
        <w:rPr>
          <w:rFonts w:eastAsiaTheme="minorEastAsia" w:hint="cs"/>
          <w:rtl/>
        </w:rPr>
        <w:t xml:space="preserve"> או חבר</w:t>
      </w:r>
      <w:r w:rsidR="00AA7831">
        <w:rPr>
          <w:rFonts w:eastAsiaTheme="minorEastAsia" w:hint="cs"/>
          <w:rtl/>
        </w:rPr>
        <w:t>ו</w:t>
      </w:r>
      <w:r w:rsidR="002E1274">
        <w:rPr>
          <w:rFonts w:eastAsiaTheme="minorEastAsia" w:hint="cs"/>
          <w:rtl/>
        </w:rPr>
        <w:t xml:space="preserve">ת תעופה שאינם </w:t>
      </w:r>
      <w:r w:rsidR="00AA7831">
        <w:rPr>
          <w:rFonts w:eastAsiaTheme="minorEastAsia" w:hint="cs"/>
          <w:rtl/>
        </w:rPr>
        <w:t>חבר</w:t>
      </w:r>
      <w:r w:rsidR="002E1274">
        <w:rPr>
          <w:rFonts w:eastAsiaTheme="minorEastAsia" w:hint="cs"/>
          <w:rtl/>
        </w:rPr>
        <w:t>ים בתכנית</w:t>
      </w:r>
      <w:r w:rsidR="00AA7831">
        <w:rPr>
          <w:rFonts w:eastAsiaTheme="minorEastAsia" w:hint="cs"/>
          <w:rtl/>
        </w:rPr>
        <w:t xml:space="preserve"> </w:t>
      </w:r>
      <w:r w:rsidR="00CF19C4">
        <w:rPr>
          <w:rFonts w:eastAsiaTheme="minorEastAsia" w:hint="cs"/>
          <w:rtl/>
        </w:rPr>
        <w:t xml:space="preserve">יוכלו </w:t>
      </w:r>
      <w:r w:rsidR="00AA7831">
        <w:rPr>
          <w:rFonts w:eastAsiaTheme="minorEastAsia" w:hint="cs"/>
          <w:rtl/>
        </w:rPr>
        <w:t>להמשיך להתקשר מחוץ לתכנית</w:t>
      </w:r>
      <w:r w:rsidR="002E1274">
        <w:rPr>
          <w:rFonts w:eastAsiaTheme="minorEastAsia" w:hint="cs"/>
          <w:rtl/>
        </w:rPr>
        <w:t>,</w:t>
      </w:r>
      <w:r w:rsidR="00AA7831">
        <w:rPr>
          <w:rFonts w:eastAsiaTheme="minorEastAsia" w:hint="cs"/>
          <w:rtl/>
        </w:rPr>
        <w:t xml:space="preserve"> או שלחילופין הם</w:t>
      </w:r>
      <w:r w:rsidR="002E1274">
        <w:rPr>
          <w:rFonts w:eastAsiaTheme="minorEastAsia" w:hint="cs"/>
          <w:rtl/>
        </w:rPr>
        <w:t xml:space="preserve"> יוכל</w:t>
      </w:r>
      <w:r w:rsidR="00B54994">
        <w:rPr>
          <w:rFonts w:eastAsiaTheme="minorEastAsia" w:hint="cs"/>
          <w:rtl/>
        </w:rPr>
        <w:t>ו</w:t>
      </w:r>
      <w:r w:rsidR="00AA7831">
        <w:rPr>
          <w:rFonts w:eastAsiaTheme="minorEastAsia" w:hint="cs"/>
          <w:rtl/>
        </w:rPr>
        <w:t xml:space="preserve"> ל</w:t>
      </w:r>
      <w:r w:rsidR="002E1274">
        <w:rPr>
          <w:rFonts w:eastAsiaTheme="minorEastAsia" w:hint="cs"/>
          <w:rtl/>
        </w:rPr>
        <w:t xml:space="preserve">הצטרף </w:t>
      </w:r>
      <w:r w:rsidR="00AA7831">
        <w:rPr>
          <w:rFonts w:eastAsiaTheme="minorEastAsia" w:hint="cs"/>
          <w:rtl/>
        </w:rPr>
        <w:t xml:space="preserve">לתכנית </w:t>
      </w:r>
      <w:r w:rsidR="00CF19C4">
        <w:rPr>
          <w:rFonts w:eastAsiaTheme="minorEastAsia" w:hint="cs"/>
          <w:rtl/>
        </w:rPr>
        <w:t>ב</w:t>
      </w:r>
      <w:r w:rsidR="00AA7831">
        <w:rPr>
          <w:rFonts w:eastAsiaTheme="minorEastAsia" w:hint="cs"/>
          <w:rtl/>
        </w:rPr>
        <w:t>תנאים שוויוניים</w:t>
      </w:r>
      <w:r w:rsidR="00CF19C4">
        <w:rPr>
          <w:rFonts w:eastAsiaTheme="minorEastAsia" w:hint="cs"/>
          <w:rtl/>
        </w:rPr>
        <w:t xml:space="preserve"> כאמור</w:t>
      </w:r>
      <w:r w:rsidR="00B54994">
        <w:rPr>
          <w:rFonts w:eastAsiaTheme="minorEastAsia" w:hint="cs"/>
          <w:rtl/>
        </w:rPr>
        <w:t>, ככל שיבקשו לעשות זאת</w:t>
      </w:r>
      <w:r w:rsidR="002E1274">
        <w:rPr>
          <w:rFonts w:eastAsiaTheme="minorEastAsia" w:hint="cs"/>
          <w:rtl/>
        </w:rPr>
        <w:t>.</w:t>
      </w:r>
      <w:r>
        <w:rPr>
          <w:rFonts w:eastAsiaTheme="minorEastAsia" w:hint="cs"/>
          <w:rtl/>
        </w:rPr>
        <w:t xml:space="preserve"> במצב דברים זה </w:t>
      </w:r>
      <w:r w:rsidR="005C3786">
        <w:rPr>
          <w:rFonts w:eastAsiaTheme="minorEastAsia" w:hint="cs"/>
          <w:rtl/>
        </w:rPr>
        <w:t xml:space="preserve">מופג </w:t>
      </w:r>
      <w:r>
        <w:rPr>
          <w:rFonts w:eastAsiaTheme="minorEastAsia" w:hint="cs"/>
          <w:rtl/>
        </w:rPr>
        <w:t>החשש האמור.</w:t>
      </w:r>
      <w:r w:rsidR="000E6596">
        <w:rPr>
          <w:rFonts w:eastAsiaTheme="minorEastAsia" w:hint="cs"/>
          <w:rtl/>
        </w:rPr>
        <w:t xml:space="preserve"> </w:t>
      </w:r>
    </w:p>
    <w:p w14:paraId="235F7767" w14:textId="77777777" w:rsidR="000C35BA" w:rsidRDefault="000C35BA" w:rsidP="000C35BA">
      <w:pPr>
        <w:rPr>
          <w:rFonts w:eastAsiaTheme="minorEastAsia"/>
          <w:b/>
          <w:bCs/>
          <w:u w:val="single"/>
          <w:rtl/>
        </w:rPr>
      </w:pPr>
      <w:r>
        <w:rPr>
          <w:rFonts w:eastAsiaTheme="minorEastAsia" w:hint="cs"/>
          <w:b/>
          <w:bCs/>
          <w:u w:val="single"/>
          <w:rtl/>
        </w:rPr>
        <w:t>היעדר חשש מתיאום כתוצאה משיתוף פעולה בין מתחרים</w:t>
      </w:r>
    </w:p>
    <w:p w14:paraId="207466E3" w14:textId="2DBFD020" w:rsidR="000C35BA" w:rsidRDefault="000C35BA" w:rsidP="000E0F78">
      <w:pPr>
        <w:rPr>
          <w:rFonts w:eastAsiaTheme="minorEastAsia"/>
          <w:rtl/>
        </w:rPr>
      </w:pPr>
      <w:r>
        <w:rPr>
          <w:rFonts w:hint="cs"/>
          <w:sz w:val="24"/>
          <w:rtl/>
        </w:rPr>
        <w:t>מצאתי כי הואיל ומדובר בשיתוף פעולה ממוקד ומצומצם לצורך ההסדר המתואר</w:t>
      </w:r>
      <w:r w:rsidR="00B93720">
        <w:rPr>
          <w:rFonts w:hint="cs"/>
          <w:sz w:val="24"/>
          <w:rtl/>
        </w:rPr>
        <w:t>,</w:t>
      </w:r>
      <w:r>
        <w:rPr>
          <w:rFonts w:hint="cs"/>
          <w:sz w:val="24"/>
          <w:rtl/>
        </w:rPr>
        <w:t xml:space="preserve"> </w:t>
      </w:r>
      <w:r>
        <w:rPr>
          <w:rFonts w:eastAsiaTheme="minorEastAsia" w:hint="cs"/>
          <w:rtl/>
        </w:rPr>
        <w:t>שעניינו מערכת ממוכנת לסליקה ודיווח על תשלומים, ספק אם התכנית יכולה לשמש מסד לתיאום אפקטיבי בין חברות התעופה המתחרות, בתחומים החורגים מתחום פעילות התכנית. בנוסף, במטרה להפיג את החשש משיתוף פעולה ותיאום בין חברות התעופה</w:t>
      </w:r>
      <w:r w:rsidR="00DC519D">
        <w:rPr>
          <w:rFonts w:eastAsiaTheme="minorEastAsia" w:hint="cs"/>
          <w:rtl/>
        </w:rPr>
        <w:t xml:space="preserve"> שעלו</w:t>
      </w:r>
      <w:r w:rsidR="009D0729">
        <w:rPr>
          <w:rFonts w:eastAsiaTheme="minorEastAsia" w:hint="cs"/>
          <w:rtl/>
        </w:rPr>
        <w:t>ל</w:t>
      </w:r>
      <w:r w:rsidR="00DC519D">
        <w:rPr>
          <w:rFonts w:eastAsiaTheme="minorEastAsia" w:hint="cs"/>
          <w:rtl/>
        </w:rPr>
        <w:t xml:space="preserve"> לעלות משיתוף המידע שבתכנית</w:t>
      </w:r>
      <w:r>
        <w:rPr>
          <w:rFonts w:eastAsiaTheme="minorEastAsia" w:hint="cs"/>
          <w:rtl/>
        </w:rPr>
        <w:t xml:space="preserve">, </w:t>
      </w:r>
      <w:r w:rsidRPr="004F53A6">
        <w:rPr>
          <w:rFonts w:eastAsiaTheme="minorEastAsia" w:hint="eastAsia"/>
          <w:rtl/>
        </w:rPr>
        <w:t>ראיתי</w:t>
      </w:r>
      <w:r w:rsidRPr="004F53A6">
        <w:rPr>
          <w:rFonts w:eastAsiaTheme="minorEastAsia"/>
          <w:rtl/>
        </w:rPr>
        <w:t xml:space="preserve"> לנכון להטיל תנאים </w:t>
      </w:r>
      <w:r w:rsidR="00F37D19" w:rsidRPr="004F53A6">
        <w:rPr>
          <w:rFonts w:eastAsiaTheme="minorEastAsia" w:hint="cs"/>
          <w:rtl/>
        </w:rPr>
        <w:t xml:space="preserve">המגבילים את </w:t>
      </w:r>
      <w:r w:rsidR="000E0F78" w:rsidRPr="004F53A6">
        <w:rPr>
          <w:rFonts w:eastAsiaTheme="minorEastAsia" w:hint="cs"/>
          <w:rtl/>
        </w:rPr>
        <w:t xml:space="preserve">סוג </w:t>
      </w:r>
      <w:r w:rsidR="00F37D19" w:rsidRPr="004F53A6">
        <w:rPr>
          <w:rFonts w:eastAsiaTheme="minorEastAsia" w:hint="cs"/>
          <w:rtl/>
        </w:rPr>
        <w:t>המידע המועבר ב</w:t>
      </w:r>
      <w:r w:rsidR="001D50B8" w:rsidRPr="004F53A6">
        <w:rPr>
          <w:rFonts w:eastAsiaTheme="minorEastAsia" w:hint="cs"/>
          <w:rtl/>
        </w:rPr>
        <w:t xml:space="preserve">ין </w:t>
      </w:r>
      <w:r w:rsidR="0027304C" w:rsidRPr="004F53A6">
        <w:rPr>
          <w:rFonts w:eastAsiaTheme="minorEastAsia" w:hint="cs"/>
          <w:rtl/>
        </w:rPr>
        <w:t>הצדדים להסדר</w:t>
      </w:r>
      <w:r w:rsidR="00A7328F" w:rsidRPr="004F53A6">
        <w:rPr>
          <w:rFonts w:eastAsiaTheme="minorEastAsia" w:hint="cs"/>
          <w:rtl/>
        </w:rPr>
        <w:t xml:space="preserve"> כתוצאה מהתכנית</w:t>
      </w:r>
      <w:r w:rsidR="001D50B8" w:rsidRPr="004F53A6">
        <w:rPr>
          <w:rFonts w:eastAsiaTheme="minorEastAsia" w:hint="cs"/>
          <w:rtl/>
        </w:rPr>
        <w:t>, כ</w:t>
      </w:r>
      <w:r w:rsidR="0027304C" w:rsidRPr="004F53A6">
        <w:rPr>
          <w:rFonts w:eastAsiaTheme="minorEastAsia" w:hint="cs"/>
          <w:rtl/>
        </w:rPr>
        <w:t>מ</w:t>
      </w:r>
      <w:r w:rsidR="001D50B8" w:rsidRPr="004F53A6">
        <w:rPr>
          <w:rFonts w:eastAsiaTheme="minorEastAsia" w:hint="cs"/>
          <w:rtl/>
        </w:rPr>
        <w:t xml:space="preserve">פורט </w:t>
      </w:r>
      <w:r w:rsidR="0027304C" w:rsidRPr="004F53A6">
        <w:rPr>
          <w:rFonts w:eastAsiaTheme="minorEastAsia" w:hint="cs"/>
          <w:rtl/>
        </w:rPr>
        <w:t>בת</w:t>
      </w:r>
      <w:r w:rsidR="000E0F78" w:rsidRPr="004F53A6">
        <w:rPr>
          <w:rFonts w:eastAsiaTheme="minorEastAsia" w:hint="cs"/>
          <w:rtl/>
        </w:rPr>
        <w:t>נ</w:t>
      </w:r>
      <w:r w:rsidR="0027304C" w:rsidRPr="004F53A6">
        <w:rPr>
          <w:rFonts w:eastAsiaTheme="minorEastAsia" w:hint="cs"/>
          <w:rtl/>
        </w:rPr>
        <w:t xml:space="preserve">אי הפטור </w:t>
      </w:r>
      <w:r w:rsidR="001D50B8" w:rsidRPr="004F53A6">
        <w:rPr>
          <w:rFonts w:eastAsiaTheme="minorEastAsia" w:hint="cs"/>
          <w:rtl/>
        </w:rPr>
        <w:t>להלן</w:t>
      </w:r>
      <w:r>
        <w:rPr>
          <w:rFonts w:eastAsiaTheme="minorEastAsia" w:hint="cs"/>
          <w:rtl/>
        </w:rPr>
        <w:t>.</w:t>
      </w:r>
    </w:p>
    <w:p w14:paraId="7260F98D" w14:textId="77777777" w:rsidR="000C35BA" w:rsidRDefault="000C35BA" w:rsidP="000C35BA">
      <w:pPr>
        <w:rPr>
          <w:rFonts w:eastAsiaTheme="minorEastAsia"/>
          <w:b/>
          <w:bCs/>
          <w:u w:val="single"/>
          <w:rtl/>
        </w:rPr>
      </w:pPr>
      <w:r>
        <w:rPr>
          <w:rFonts w:eastAsiaTheme="minorEastAsia" w:hint="cs"/>
          <w:b/>
          <w:bCs/>
          <w:u w:val="single"/>
          <w:rtl/>
        </w:rPr>
        <w:t>היעדר חשש כתוצאה ממכירת מוצרי מידע</w:t>
      </w:r>
    </w:p>
    <w:p w14:paraId="0D529168" w14:textId="3F4336C8" w:rsidR="00A318B8" w:rsidRDefault="000C35BA" w:rsidP="004F53A6">
      <w:pPr>
        <w:rPr>
          <w:sz w:val="22"/>
          <w:rtl/>
        </w:rPr>
      </w:pPr>
      <w:r>
        <w:rPr>
          <w:rFonts w:eastAsiaTheme="minorEastAsia" w:hint="cs"/>
          <w:rtl/>
        </w:rPr>
        <w:t>כאמור לעיל, יאט"א מבקשת למכור מוצר מידע המבוסס על המידע שנאגר בתכנית</w:t>
      </w:r>
      <w:r w:rsidR="00A318B8">
        <w:rPr>
          <w:rFonts w:eastAsiaTheme="minorEastAsia" w:hint="cs"/>
          <w:rtl/>
        </w:rPr>
        <w:t xml:space="preserve"> ומעניק ל</w:t>
      </w:r>
      <w:r w:rsidR="00E70F67">
        <w:rPr>
          <w:rFonts w:eastAsiaTheme="minorEastAsia" w:hint="cs"/>
          <w:rtl/>
        </w:rPr>
        <w:t xml:space="preserve">משתמש </w:t>
      </w:r>
      <w:r w:rsidR="00A318B8">
        <w:rPr>
          <w:rFonts w:eastAsiaTheme="minorEastAsia" w:hint="cs"/>
          <w:rtl/>
        </w:rPr>
        <w:t>נתונים המ</w:t>
      </w:r>
      <w:r w:rsidR="00F638CA">
        <w:rPr>
          <w:rFonts w:eastAsiaTheme="minorEastAsia" w:hint="cs"/>
          <w:rtl/>
        </w:rPr>
        <w:t>ציגי</w:t>
      </w:r>
      <w:r w:rsidR="00A318B8">
        <w:rPr>
          <w:rFonts w:eastAsiaTheme="minorEastAsia" w:hint="cs"/>
          <w:rtl/>
        </w:rPr>
        <w:t xml:space="preserve">ם תמונת מצב </w:t>
      </w:r>
      <w:r w:rsidR="00D3302B">
        <w:rPr>
          <w:rFonts w:eastAsiaTheme="minorEastAsia" w:hint="cs"/>
          <w:rtl/>
        </w:rPr>
        <w:t>של</w:t>
      </w:r>
      <w:r w:rsidR="00A318B8">
        <w:rPr>
          <w:rFonts w:eastAsiaTheme="minorEastAsia" w:hint="cs"/>
          <w:rtl/>
        </w:rPr>
        <w:t xml:space="preserve"> פעילות</w:t>
      </w:r>
      <w:r w:rsidR="00934D5D">
        <w:rPr>
          <w:rFonts w:eastAsiaTheme="minorEastAsia" w:hint="cs"/>
          <w:rtl/>
        </w:rPr>
        <w:t xml:space="preserve"> סוכנים וחברות תעופה (להלן: "</w:t>
      </w:r>
      <w:r w:rsidR="00934D5D" w:rsidRPr="003051EC">
        <w:rPr>
          <w:rFonts w:eastAsiaTheme="minorEastAsia" w:hint="eastAsia"/>
          <w:b/>
          <w:bCs/>
          <w:rtl/>
        </w:rPr>
        <w:t>שחקנים</w:t>
      </w:r>
      <w:r w:rsidR="00934D5D">
        <w:rPr>
          <w:rFonts w:eastAsiaTheme="minorEastAsia" w:hint="cs"/>
          <w:rtl/>
        </w:rPr>
        <w:t>"),</w:t>
      </w:r>
      <w:r w:rsidR="00A318B8">
        <w:rPr>
          <w:rFonts w:eastAsiaTheme="minorEastAsia" w:hint="cs"/>
          <w:rtl/>
        </w:rPr>
        <w:t xml:space="preserve"> בקווי הובלת </w:t>
      </w:r>
      <w:r w:rsidR="006876FE">
        <w:rPr>
          <w:rFonts w:eastAsiaTheme="minorEastAsia" w:hint="cs"/>
          <w:rtl/>
        </w:rPr>
        <w:t>ה</w:t>
      </w:r>
      <w:r w:rsidR="00A318B8">
        <w:rPr>
          <w:rFonts w:eastAsiaTheme="minorEastAsia" w:hint="cs"/>
          <w:rtl/>
        </w:rPr>
        <w:t>מטען</w:t>
      </w:r>
      <w:r>
        <w:rPr>
          <w:rFonts w:eastAsiaTheme="minorEastAsia" w:hint="cs"/>
          <w:rtl/>
        </w:rPr>
        <w:t xml:space="preserve">. </w:t>
      </w:r>
      <w:r w:rsidR="00934D5D">
        <w:rPr>
          <w:rFonts w:hint="cs"/>
          <w:sz w:val="22"/>
          <w:rtl/>
        </w:rPr>
        <w:t>מוצר המידע יאפשר ל</w:t>
      </w:r>
      <w:r w:rsidR="00A318B8">
        <w:rPr>
          <w:rFonts w:hint="cs"/>
          <w:sz w:val="22"/>
          <w:rtl/>
        </w:rPr>
        <w:t xml:space="preserve">משתמש לקבל </w:t>
      </w:r>
      <w:r w:rsidR="00E70F67">
        <w:rPr>
          <w:rFonts w:hint="cs"/>
          <w:sz w:val="22"/>
          <w:rtl/>
        </w:rPr>
        <w:t>מידע על</w:t>
      </w:r>
      <w:r w:rsidR="00A318B8">
        <w:rPr>
          <w:rFonts w:hint="cs"/>
          <w:sz w:val="22"/>
          <w:rtl/>
        </w:rPr>
        <w:t xml:space="preserve"> מספר</w:t>
      </w:r>
      <w:r w:rsidR="00F638CA">
        <w:rPr>
          <w:rFonts w:hint="cs"/>
          <w:sz w:val="22"/>
          <w:rtl/>
        </w:rPr>
        <w:t>ם</w:t>
      </w:r>
      <w:r w:rsidR="00A318B8">
        <w:rPr>
          <w:rFonts w:hint="cs"/>
          <w:sz w:val="22"/>
          <w:rtl/>
        </w:rPr>
        <w:t xml:space="preserve"> ומשקל</w:t>
      </w:r>
      <w:r w:rsidR="00F638CA">
        <w:rPr>
          <w:rFonts w:hint="cs"/>
          <w:sz w:val="22"/>
          <w:rtl/>
        </w:rPr>
        <w:t>ם</w:t>
      </w:r>
      <w:r w:rsidR="00A318B8">
        <w:rPr>
          <w:rFonts w:hint="cs"/>
          <w:sz w:val="22"/>
          <w:rtl/>
        </w:rPr>
        <w:t xml:space="preserve"> </w:t>
      </w:r>
      <w:r w:rsidR="00F638CA">
        <w:rPr>
          <w:rFonts w:hint="cs"/>
          <w:sz w:val="22"/>
          <w:rtl/>
        </w:rPr>
        <w:t>ה</w:t>
      </w:r>
      <w:r w:rsidR="00D3302B">
        <w:rPr>
          <w:rFonts w:hint="cs"/>
          <w:sz w:val="22"/>
          <w:rtl/>
        </w:rPr>
        <w:t xml:space="preserve">כולל של </w:t>
      </w:r>
      <w:r w:rsidR="00A318B8">
        <w:rPr>
          <w:rFonts w:hint="cs"/>
          <w:sz w:val="22"/>
          <w:rtl/>
        </w:rPr>
        <w:t>שטרי המטען ששלח</w:t>
      </w:r>
      <w:r w:rsidR="00934D5D">
        <w:rPr>
          <w:rFonts w:hint="cs"/>
          <w:sz w:val="22"/>
          <w:rtl/>
        </w:rPr>
        <w:t xml:space="preserve"> שחקן</w:t>
      </w:r>
      <w:r w:rsidR="00A318B8">
        <w:rPr>
          <w:rFonts w:hint="cs"/>
          <w:sz w:val="22"/>
          <w:rtl/>
        </w:rPr>
        <w:t xml:space="preserve"> בקו</w:t>
      </w:r>
      <w:r w:rsidR="00D3302B">
        <w:rPr>
          <w:rFonts w:hint="cs"/>
          <w:sz w:val="22"/>
          <w:rtl/>
        </w:rPr>
        <w:t xml:space="preserve"> מסויים</w:t>
      </w:r>
      <w:r w:rsidR="00A318B8">
        <w:rPr>
          <w:rFonts w:hint="cs"/>
          <w:sz w:val="22"/>
          <w:rtl/>
        </w:rPr>
        <w:t xml:space="preserve">, </w:t>
      </w:r>
      <w:r w:rsidR="00D3302B">
        <w:rPr>
          <w:rFonts w:hint="cs"/>
          <w:sz w:val="22"/>
          <w:rtl/>
        </w:rPr>
        <w:t xml:space="preserve">וכן את סך היקפם הכספי </w:t>
      </w:r>
      <w:r w:rsidR="00A318B8">
        <w:rPr>
          <w:rFonts w:hint="cs"/>
          <w:sz w:val="22"/>
          <w:rtl/>
        </w:rPr>
        <w:t>וס</w:t>
      </w:r>
      <w:r w:rsidR="00D3302B">
        <w:rPr>
          <w:rFonts w:hint="cs"/>
          <w:sz w:val="22"/>
          <w:rtl/>
        </w:rPr>
        <w:t>ך</w:t>
      </w:r>
      <w:r w:rsidR="00A318B8">
        <w:rPr>
          <w:rFonts w:hint="cs"/>
          <w:sz w:val="22"/>
          <w:rtl/>
        </w:rPr>
        <w:t xml:space="preserve"> ההיטלים ש</w:t>
      </w:r>
      <w:r w:rsidR="00D3302B">
        <w:rPr>
          <w:rFonts w:hint="cs"/>
          <w:sz w:val="22"/>
          <w:rtl/>
        </w:rPr>
        <w:t>שולמו עבורם</w:t>
      </w:r>
      <w:r w:rsidR="00A318B8">
        <w:rPr>
          <w:rFonts w:hint="cs"/>
          <w:sz w:val="22"/>
          <w:rtl/>
        </w:rPr>
        <w:t xml:space="preserve">. </w:t>
      </w:r>
      <w:r w:rsidR="00F638CA">
        <w:rPr>
          <w:rFonts w:hint="cs"/>
          <w:sz w:val="22"/>
          <w:rtl/>
        </w:rPr>
        <w:t>נתונים אלו</w:t>
      </w:r>
      <w:r w:rsidR="00D3302B">
        <w:rPr>
          <w:rFonts w:hint="cs"/>
          <w:sz w:val="22"/>
          <w:rtl/>
        </w:rPr>
        <w:t xml:space="preserve"> </w:t>
      </w:r>
      <w:r w:rsidR="00F638CA">
        <w:rPr>
          <w:rFonts w:hint="cs"/>
          <w:sz w:val="22"/>
          <w:rtl/>
        </w:rPr>
        <w:t>ניתנים להפקה</w:t>
      </w:r>
      <w:r w:rsidR="00934D5D">
        <w:rPr>
          <w:rFonts w:hint="cs"/>
          <w:sz w:val="22"/>
          <w:rtl/>
        </w:rPr>
        <w:t xml:space="preserve"> במסגרת מוצר המידע,</w:t>
      </w:r>
      <w:r w:rsidR="00F638CA">
        <w:rPr>
          <w:rFonts w:hint="cs"/>
          <w:sz w:val="22"/>
          <w:rtl/>
        </w:rPr>
        <w:t xml:space="preserve"> </w:t>
      </w:r>
      <w:r w:rsidR="00D3302B">
        <w:rPr>
          <w:rFonts w:hint="cs"/>
          <w:sz w:val="22"/>
          <w:rtl/>
        </w:rPr>
        <w:t xml:space="preserve">גם </w:t>
      </w:r>
      <w:r w:rsidR="00934D5D">
        <w:rPr>
          <w:rFonts w:hint="cs"/>
          <w:sz w:val="22"/>
          <w:rtl/>
        </w:rPr>
        <w:t xml:space="preserve">בחתכים לפי משקלים שונים, וכדוגמא: מספר שטרי המטען בחתך משקל של </w:t>
      </w:r>
      <w:r w:rsidR="00D83261">
        <w:rPr>
          <w:rFonts w:hint="cs"/>
          <w:sz w:val="22"/>
          <w:rtl/>
        </w:rPr>
        <w:t>100</w:t>
      </w:r>
      <w:r w:rsidR="00934D5D">
        <w:rPr>
          <w:rFonts w:hint="cs"/>
          <w:sz w:val="22"/>
          <w:rtl/>
        </w:rPr>
        <w:t>-</w:t>
      </w:r>
      <w:r w:rsidR="00D83261">
        <w:rPr>
          <w:rFonts w:hint="cs"/>
          <w:sz w:val="22"/>
          <w:rtl/>
        </w:rPr>
        <w:t xml:space="preserve">150 </w:t>
      </w:r>
      <w:r w:rsidR="00934D5D">
        <w:rPr>
          <w:rFonts w:hint="cs"/>
          <w:sz w:val="22"/>
          <w:rtl/>
        </w:rPr>
        <w:t>ק"ג, ששלח סוכן</w:t>
      </w:r>
      <w:r w:rsidR="00DA52BE">
        <w:rPr>
          <w:rFonts w:hint="cs"/>
          <w:sz w:val="22"/>
          <w:rtl/>
        </w:rPr>
        <w:t xml:space="preserve"> א'</w:t>
      </w:r>
      <w:r w:rsidR="00934D5D">
        <w:rPr>
          <w:rFonts w:hint="cs"/>
          <w:sz w:val="22"/>
          <w:rtl/>
        </w:rPr>
        <w:t xml:space="preserve"> בקו </w:t>
      </w:r>
      <w:r w:rsidR="00DA52BE">
        <w:rPr>
          <w:rFonts w:hint="cs"/>
          <w:sz w:val="22"/>
          <w:rtl/>
        </w:rPr>
        <w:t>מסויים בחודש ינואר</w:t>
      </w:r>
      <w:r w:rsidR="00934D5D">
        <w:rPr>
          <w:rFonts w:hint="cs"/>
          <w:sz w:val="22"/>
          <w:rtl/>
        </w:rPr>
        <w:t xml:space="preserve">, התשלום הכולל ששולם בגין </w:t>
      </w:r>
      <w:r w:rsidR="004F53A6">
        <w:rPr>
          <w:rFonts w:hint="cs"/>
          <w:sz w:val="22"/>
          <w:rtl/>
        </w:rPr>
        <w:t xml:space="preserve">שטרי </w:t>
      </w:r>
      <w:r w:rsidR="00934D5D">
        <w:rPr>
          <w:rFonts w:hint="cs"/>
          <w:sz w:val="22"/>
          <w:rtl/>
        </w:rPr>
        <w:t xml:space="preserve">מטען </w:t>
      </w:r>
      <w:r w:rsidR="004F53A6">
        <w:rPr>
          <w:rFonts w:hint="cs"/>
          <w:sz w:val="22"/>
          <w:rtl/>
        </w:rPr>
        <w:t>אלו</w:t>
      </w:r>
      <w:r w:rsidR="00934D5D">
        <w:rPr>
          <w:rFonts w:hint="cs"/>
          <w:sz w:val="22"/>
          <w:rtl/>
        </w:rPr>
        <w:t xml:space="preserve"> וסך ההיטלים ששולמו בגינ</w:t>
      </w:r>
      <w:r w:rsidR="004F53A6">
        <w:rPr>
          <w:rFonts w:hint="cs"/>
          <w:sz w:val="22"/>
          <w:rtl/>
        </w:rPr>
        <w:t>ם</w:t>
      </w:r>
      <w:r w:rsidR="00A318B8">
        <w:rPr>
          <w:rFonts w:hint="cs"/>
          <w:sz w:val="22"/>
          <w:rtl/>
        </w:rPr>
        <w:t xml:space="preserve">. </w:t>
      </w:r>
    </w:p>
    <w:p w14:paraId="44A06AC8" w14:textId="46ABADDA" w:rsidR="00E70F67" w:rsidRDefault="00A7328F" w:rsidP="00B84C49">
      <w:pPr>
        <w:rPr>
          <w:rFonts w:eastAsiaTheme="minorEastAsia"/>
          <w:rtl/>
        </w:rPr>
      </w:pPr>
      <w:r>
        <w:rPr>
          <w:rFonts w:eastAsiaTheme="minorEastAsia" w:hint="cs"/>
          <w:rtl/>
        </w:rPr>
        <w:t>המידע ש</w:t>
      </w:r>
      <w:r w:rsidR="004F53A6">
        <w:rPr>
          <w:rFonts w:eastAsiaTheme="minorEastAsia" w:hint="cs"/>
          <w:rtl/>
        </w:rPr>
        <w:t>ב</w:t>
      </w:r>
      <w:r w:rsidR="004179CD">
        <w:rPr>
          <w:rFonts w:eastAsiaTheme="minorEastAsia" w:hint="cs"/>
          <w:rtl/>
        </w:rPr>
        <w:t xml:space="preserve">מוצר המידע נועד לסייע </w:t>
      </w:r>
      <w:r w:rsidR="00F638CA">
        <w:rPr>
          <w:rFonts w:eastAsiaTheme="minorEastAsia" w:hint="cs"/>
          <w:rtl/>
        </w:rPr>
        <w:t>למשתמשי</w:t>
      </w:r>
      <w:r w:rsidR="000F559E">
        <w:rPr>
          <w:rFonts w:eastAsiaTheme="minorEastAsia" w:hint="cs"/>
          <w:rtl/>
        </w:rPr>
        <w:t>ם בו</w:t>
      </w:r>
      <w:r w:rsidR="00F638CA">
        <w:rPr>
          <w:rFonts w:eastAsiaTheme="minorEastAsia" w:hint="cs"/>
          <w:rtl/>
        </w:rPr>
        <w:t xml:space="preserve"> </w:t>
      </w:r>
      <w:r w:rsidR="004179CD">
        <w:rPr>
          <w:rFonts w:eastAsiaTheme="minorEastAsia" w:hint="cs"/>
          <w:rtl/>
        </w:rPr>
        <w:t>לנתח את שוק</w:t>
      </w:r>
      <w:r w:rsidR="000F559E">
        <w:rPr>
          <w:rFonts w:eastAsiaTheme="minorEastAsia" w:hint="cs"/>
          <w:rtl/>
        </w:rPr>
        <w:t>י</w:t>
      </w:r>
      <w:r w:rsidR="004179CD">
        <w:rPr>
          <w:rFonts w:eastAsiaTheme="minorEastAsia" w:hint="cs"/>
          <w:rtl/>
        </w:rPr>
        <w:t xml:space="preserve"> הובלת המטען</w:t>
      </w:r>
      <w:r w:rsidR="00E70F67">
        <w:rPr>
          <w:rFonts w:eastAsiaTheme="minorEastAsia" w:hint="cs"/>
          <w:rtl/>
        </w:rPr>
        <w:t xml:space="preserve"> </w:t>
      </w:r>
      <w:r w:rsidR="004179CD">
        <w:rPr>
          <w:rFonts w:eastAsiaTheme="minorEastAsia" w:hint="cs"/>
          <w:rtl/>
        </w:rPr>
        <w:t xml:space="preserve">ולתכנן את צעדיהם בצורה מושכלת. לשם המחשה, חברת תעופה שתקבל מידע מפורט ביחס לפעילות </w:t>
      </w:r>
      <w:r w:rsidR="00DA52BE">
        <w:rPr>
          <w:rFonts w:eastAsiaTheme="minorEastAsia" w:hint="cs"/>
          <w:rtl/>
        </w:rPr>
        <w:t xml:space="preserve">סוכנים </w:t>
      </w:r>
      <w:r w:rsidR="004179CD">
        <w:rPr>
          <w:rFonts w:eastAsiaTheme="minorEastAsia" w:hint="cs"/>
          <w:rtl/>
        </w:rPr>
        <w:t>בקווים בהם היא פועלת וכן מידע כללי ביחס לקווים אחרים, תוכל לבחון, לדוגמא, אם לנסות להגדיל את נפח פעילותה בקווים אלו (למשל על-ידי מתן תמריצים לסוכני מטען על-מנת שיפעלו בקו או ירחיבו את פעילותם בו) וכיצד להיערך לכך מבחינת קיבולת המטען שברשותה. כמו כן, חברות התעופה יוכלו לזהות, לפנות ולתחר בין סוכנים בעלי נפח הפעילות הדרוש לה</w:t>
      </w:r>
      <w:r>
        <w:rPr>
          <w:rFonts w:eastAsiaTheme="minorEastAsia" w:hint="cs"/>
          <w:rtl/>
        </w:rPr>
        <w:t>ן</w:t>
      </w:r>
      <w:r w:rsidR="004179CD">
        <w:rPr>
          <w:rFonts w:eastAsiaTheme="minorEastAsia" w:hint="cs"/>
          <w:rtl/>
        </w:rPr>
        <w:t xml:space="preserve"> בקו מסויים, ולהציע להם שירותים במחיר אטרקטיבי.</w:t>
      </w:r>
      <w:r w:rsidR="00E70F67">
        <w:rPr>
          <w:rFonts w:eastAsiaTheme="minorEastAsia" w:hint="cs"/>
          <w:rtl/>
        </w:rPr>
        <w:t xml:space="preserve"> </w:t>
      </w:r>
    </w:p>
    <w:p w14:paraId="5F4EFE8A" w14:textId="0919A459" w:rsidR="00F638CA" w:rsidRDefault="00E70F67" w:rsidP="004C625F">
      <w:pPr>
        <w:rPr>
          <w:rFonts w:eastAsiaTheme="minorEastAsia"/>
          <w:rtl/>
        </w:rPr>
      </w:pPr>
      <w:r>
        <w:rPr>
          <w:rFonts w:eastAsiaTheme="minorEastAsia" w:hint="cs"/>
          <w:rtl/>
        </w:rPr>
        <w:t>היקפם הכספי של המשלוחים</w:t>
      </w:r>
      <w:r w:rsidR="000C35BA">
        <w:rPr>
          <w:rFonts w:eastAsiaTheme="minorEastAsia" w:hint="cs"/>
          <w:rtl/>
        </w:rPr>
        <w:t xml:space="preserve"> וההיטלים שבמוצר</w:t>
      </w:r>
      <w:r>
        <w:rPr>
          <w:rFonts w:eastAsiaTheme="minorEastAsia" w:hint="cs"/>
          <w:rtl/>
        </w:rPr>
        <w:t xml:space="preserve"> המידע</w:t>
      </w:r>
      <w:r w:rsidR="000C35BA">
        <w:rPr>
          <w:rFonts w:eastAsiaTheme="minorEastAsia" w:hint="cs"/>
          <w:rtl/>
        </w:rPr>
        <w:t xml:space="preserve"> מ</w:t>
      </w:r>
      <w:r>
        <w:rPr>
          <w:rFonts w:eastAsiaTheme="minorEastAsia" w:hint="cs"/>
          <w:rtl/>
        </w:rPr>
        <w:t>וצגי</w:t>
      </w:r>
      <w:r w:rsidR="000C35BA">
        <w:rPr>
          <w:rFonts w:eastAsiaTheme="minorEastAsia" w:hint="cs"/>
          <w:rtl/>
        </w:rPr>
        <w:t xml:space="preserve">ם בחלוקה חודשית, ולא ניתן להסיק מהם מחיר שנגבה עבור מטען מסויים ואף לא מחיר שנגבה עבור סוג מטען מסויים. כמו כן, בשל שונות רבה בין סוגי המשלוחים, בהם משלוחים הדורשים אבטחה מיוחדת, </w:t>
      </w:r>
      <w:r w:rsidR="005069BC">
        <w:rPr>
          <w:rFonts w:eastAsiaTheme="minorEastAsia" w:hint="cs"/>
          <w:rtl/>
        </w:rPr>
        <w:t xml:space="preserve">מטענים מסוכנים, </w:t>
      </w:r>
      <w:r w:rsidR="000C35BA">
        <w:rPr>
          <w:rFonts w:eastAsiaTheme="minorEastAsia" w:hint="cs"/>
          <w:rtl/>
        </w:rPr>
        <w:t>משלוחים הדורשים קירור, משלוחים דחופים וכד',</w:t>
      </w:r>
      <w:r w:rsidR="005069BC">
        <w:rPr>
          <w:rFonts w:eastAsiaTheme="minorEastAsia" w:hint="cs"/>
          <w:rtl/>
        </w:rPr>
        <w:t xml:space="preserve"> כמו גם שונות במחיר המשלוח בשל </w:t>
      </w:r>
      <w:r w:rsidR="005069BC">
        <w:rPr>
          <w:rFonts w:eastAsiaTheme="minorEastAsia" w:hint="cs"/>
          <w:rtl/>
        </w:rPr>
        <w:lastRenderedPageBreak/>
        <w:t>מועד המשלוח או בשל דרישות ביחס לנתיב הטיסה</w:t>
      </w:r>
      <w:r w:rsidR="004D3AB7">
        <w:rPr>
          <w:rFonts w:eastAsiaTheme="minorEastAsia" w:hint="cs"/>
          <w:rtl/>
        </w:rPr>
        <w:t>,</w:t>
      </w:r>
      <w:r w:rsidR="005069BC">
        <w:rPr>
          <w:rFonts w:eastAsiaTheme="minorEastAsia" w:hint="cs"/>
          <w:rtl/>
        </w:rPr>
        <w:t xml:space="preserve"> </w:t>
      </w:r>
      <w:r w:rsidR="000C35BA">
        <w:rPr>
          <w:rFonts w:eastAsiaTheme="minorEastAsia" w:hint="cs"/>
          <w:rtl/>
        </w:rPr>
        <w:t xml:space="preserve">לא ניתן להסיק </w:t>
      </w:r>
      <w:r w:rsidR="00F638CA">
        <w:rPr>
          <w:rFonts w:eastAsiaTheme="minorEastAsia" w:hint="cs"/>
          <w:rtl/>
        </w:rPr>
        <w:t>מהנתונים ש</w:t>
      </w:r>
      <w:r w:rsidR="00750C6C">
        <w:rPr>
          <w:rFonts w:eastAsiaTheme="minorEastAsia" w:hint="cs"/>
          <w:rtl/>
        </w:rPr>
        <w:t>במוצרי המידע</w:t>
      </w:r>
      <w:r w:rsidR="000C35BA">
        <w:rPr>
          <w:rFonts w:eastAsiaTheme="minorEastAsia" w:hint="cs"/>
          <w:rtl/>
        </w:rPr>
        <w:t xml:space="preserve"> מחירים ממשיים הנגבים עבור הטסת מטענים בקו המטען</w:t>
      </w:r>
      <w:r>
        <w:rPr>
          <w:rFonts w:eastAsiaTheme="minorEastAsia" w:hint="cs"/>
          <w:rtl/>
        </w:rPr>
        <w:t xml:space="preserve">, אלא לקבל תמונה על </w:t>
      </w:r>
      <w:r w:rsidR="000F559E">
        <w:rPr>
          <w:rFonts w:eastAsiaTheme="minorEastAsia" w:hint="cs"/>
          <w:rtl/>
        </w:rPr>
        <w:t>פעילות ב</w:t>
      </w:r>
      <w:r>
        <w:rPr>
          <w:rFonts w:eastAsiaTheme="minorEastAsia" w:hint="cs"/>
          <w:rtl/>
        </w:rPr>
        <w:t>קו בלבד</w:t>
      </w:r>
      <w:r w:rsidR="000C35BA">
        <w:rPr>
          <w:rFonts w:eastAsiaTheme="minorEastAsia" w:hint="cs"/>
          <w:rtl/>
        </w:rPr>
        <w:t xml:space="preserve">. </w:t>
      </w:r>
      <w:r w:rsidR="00B70C31">
        <w:rPr>
          <w:rFonts w:eastAsiaTheme="minorEastAsia" w:hint="cs"/>
          <w:rtl/>
        </w:rPr>
        <w:t xml:space="preserve">כמו כן, נמסר לנו כי מוצר המידע אינו מאפשר לחברת תעופה </w:t>
      </w:r>
      <w:r w:rsidR="008E5201">
        <w:rPr>
          <w:rFonts w:eastAsiaTheme="minorEastAsia" w:hint="cs"/>
          <w:rtl/>
        </w:rPr>
        <w:t>גישה</w:t>
      </w:r>
      <w:r w:rsidR="00B70C31">
        <w:rPr>
          <w:rFonts w:eastAsiaTheme="minorEastAsia" w:hint="cs"/>
          <w:rtl/>
        </w:rPr>
        <w:t xml:space="preserve"> </w:t>
      </w:r>
      <w:r w:rsidR="008E5201">
        <w:rPr>
          <w:rFonts w:eastAsiaTheme="minorEastAsia" w:hint="cs"/>
          <w:rtl/>
        </w:rPr>
        <w:t>ל</w:t>
      </w:r>
      <w:r w:rsidR="00B70C31">
        <w:rPr>
          <w:rFonts w:eastAsiaTheme="minorEastAsia" w:hint="cs"/>
          <w:rtl/>
        </w:rPr>
        <w:t>מידע</w:t>
      </w:r>
      <w:r w:rsidR="008E5201">
        <w:rPr>
          <w:rFonts w:eastAsiaTheme="minorEastAsia" w:hint="cs"/>
          <w:rtl/>
        </w:rPr>
        <w:t xml:space="preserve"> פרטני</w:t>
      </w:r>
      <w:r w:rsidR="00B70C31">
        <w:rPr>
          <w:rFonts w:eastAsiaTheme="minorEastAsia" w:hint="cs"/>
          <w:rtl/>
        </w:rPr>
        <w:t xml:space="preserve"> שנוגע לחברת תעופה אחרת</w:t>
      </w:r>
      <w:r w:rsidR="008E5201">
        <w:rPr>
          <w:rFonts w:eastAsiaTheme="minorEastAsia" w:hint="cs"/>
          <w:rtl/>
        </w:rPr>
        <w:t xml:space="preserve">; באופן סימטרי, </w:t>
      </w:r>
      <w:r w:rsidR="004C625F">
        <w:rPr>
          <w:rFonts w:eastAsiaTheme="minorEastAsia" w:hint="cs"/>
          <w:rtl/>
        </w:rPr>
        <w:t>המידע לא מאפשר ל</w:t>
      </w:r>
      <w:r w:rsidR="00B70C31">
        <w:rPr>
          <w:rFonts w:eastAsiaTheme="minorEastAsia" w:hint="cs"/>
          <w:rtl/>
        </w:rPr>
        <w:t xml:space="preserve">סוכן </w:t>
      </w:r>
      <w:r w:rsidR="008E5201">
        <w:rPr>
          <w:rFonts w:eastAsiaTheme="minorEastAsia" w:hint="cs"/>
          <w:rtl/>
        </w:rPr>
        <w:t xml:space="preserve">לקבל </w:t>
      </w:r>
      <w:r w:rsidR="00B70C31">
        <w:rPr>
          <w:rFonts w:eastAsiaTheme="minorEastAsia" w:hint="cs"/>
          <w:rtl/>
        </w:rPr>
        <w:t xml:space="preserve">מידע </w:t>
      </w:r>
      <w:r w:rsidR="008E5201">
        <w:rPr>
          <w:rFonts w:eastAsiaTheme="minorEastAsia" w:hint="cs"/>
          <w:rtl/>
        </w:rPr>
        <w:t xml:space="preserve">פרטני </w:t>
      </w:r>
      <w:r w:rsidR="00B70C31">
        <w:rPr>
          <w:rFonts w:eastAsiaTheme="minorEastAsia" w:hint="cs"/>
          <w:rtl/>
        </w:rPr>
        <w:t>שנוגע לסוכן אחר.</w:t>
      </w:r>
    </w:p>
    <w:p w14:paraId="7487E57F" w14:textId="3D9E02B4" w:rsidR="000C35BA" w:rsidRDefault="000C35BA" w:rsidP="0075068A">
      <w:pPr>
        <w:rPr>
          <w:rFonts w:eastAsiaTheme="minorEastAsia"/>
          <w:rtl/>
        </w:rPr>
      </w:pPr>
      <w:r>
        <w:rPr>
          <w:rFonts w:eastAsiaTheme="minorEastAsia" w:hint="cs"/>
          <w:rtl/>
        </w:rPr>
        <w:t xml:space="preserve">בקווי מטען בהן פועלות פחות משלוש חברות תעופה מוצר המידע </w:t>
      </w:r>
      <w:r w:rsidR="004D3AB7">
        <w:rPr>
          <w:rFonts w:eastAsiaTheme="minorEastAsia" w:hint="cs"/>
          <w:rtl/>
        </w:rPr>
        <w:t xml:space="preserve">אינו </w:t>
      </w:r>
      <w:r>
        <w:rPr>
          <w:rFonts w:eastAsiaTheme="minorEastAsia" w:hint="cs"/>
          <w:rtl/>
        </w:rPr>
        <w:t xml:space="preserve">מפיק </w:t>
      </w:r>
      <w:r w:rsidR="000F559E">
        <w:rPr>
          <w:rFonts w:eastAsiaTheme="minorEastAsia" w:hint="cs"/>
          <w:rtl/>
        </w:rPr>
        <w:t>נתונים מדוייקים ביחס להיקפם הכספי של המשלוחים</w:t>
      </w:r>
      <w:r>
        <w:rPr>
          <w:rFonts w:eastAsiaTheme="minorEastAsia" w:hint="cs"/>
          <w:rtl/>
        </w:rPr>
        <w:t xml:space="preserve"> ו</w:t>
      </w:r>
      <w:r w:rsidR="000F559E">
        <w:rPr>
          <w:rFonts w:eastAsiaTheme="minorEastAsia" w:hint="cs"/>
          <w:rtl/>
        </w:rPr>
        <w:t>ה</w:t>
      </w:r>
      <w:r>
        <w:rPr>
          <w:rFonts w:eastAsiaTheme="minorEastAsia" w:hint="cs"/>
          <w:rtl/>
        </w:rPr>
        <w:t>היטלים</w:t>
      </w:r>
      <w:r w:rsidR="00DA52BE">
        <w:rPr>
          <w:rFonts w:eastAsiaTheme="minorEastAsia" w:hint="cs"/>
          <w:rtl/>
        </w:rPr>
        <w:t>,</w:t>
      </w:r>
      <w:r>
        <w:rPr>
          <w:rFonts w:eastAsiaTheme="minorEastAsia" w:hint="cs"/>
          <w:rtl/>
        </w:rPr>
        <w:t xml:space="preserve"> </w:t>
      </w:r>
      <w:r w:rsidR="004D3AB7">
        <w:rPr>
          <w:rFonts w:eastAsiaTheme="minorEastAsia" w:hint="cs"/>
          <w:rtl/>
        </w:rPr>
        <w:t>אלא ב</w:t>
      </w:r>
      <w:r w:rsidR="00445645">
        <w:rPr>
          <w:rFonts w:eastAsiaTheme="minorEastAsia" w:hint="cs"/>
          <w:rtl/>
        </w:rPr>
        <w:t>ה</w:t>
      </w:r>
      <w:r w:rsidR="00F47467">
        <w:rPr>
          <w:rFonts w:eastAsiaTheme="minorEastAsia" w:hint="cs"/>
          <w:rtl/>
        </w:rPr>
        <w:t>פחת</w:t>
      </w:r>
      <w:r w:rsidR="00445645">
        <w:rPr>
          <w:rFonts w:eastAsiaTheme="minorEastAsia" w:hint="cs"/>
          <w:rtl/>
        </w:rPr>
        <w:t>ה</w:t>
      </w:r>
      <w:r w:rsidR="00DA52BE">
        <w:rPr>
          <w:rFonts w:eastAsiaTheme="minorEastAsia" w:hint="cs"/>
          <w:rtl/>
        </w:rPr>
        <w:t xml:space="preserve"> או </w:t>
      </w:r>
      <w:r w:rsidR="00445645">
        <w:rPr>
          <w:rFonts w:eastAsiaTheme="minorEastAsia" w:hint="cs"/>
          <w:rtl/>
        </w:rPr>
        <w:t>ב</w:t>
      </w:r>
      <w:r w:rsidR="00DA52BE">
        <w:rPr>
          <w:rFonts w:eastAsiaTheme="minorEastAsia" w:hint="cs"/>
          <w:rtl/>
        </w:rPr>
        <w:t>תוספת</w:t>
      </w:r>
      <w:r w:rsidR="004D3AB7">
        <w:rPr>
          <w:rFonts w:eastAsiaTheme="minorEastAsia" w:hint="cs"/>
          <w:rtl/>
        </w:rPr>
        <w:t xml:space="preserve"> אקראי</w:t>
      </w:r>
      <w:r w:rsidR="00DA52BE">
        <w:rPr>
          <w:rFonts w:eastAsiaTheme="minorEastAsia" w:hint="cs"/>
          <w:rtl/>
        </w:rPr>
        <w:t>ים</w:t>
      </w:r>
      <w:r w:rsidR="004D3AB7">
        <w:rPr>
          <w:rFonts w:eastAsiaTheme="minorEastAsia" w:hint="cs"/>
          <w:rtl/>
        </w:rPr>
        <w:t xml:space="preserve"> של </w:t>
      </w:r>
      <w:r w:rsidR="00CB1D72">
        <w:rPr>
          <w:rFonts w:eastAsiaTheme="minorEastAsia" w:hint="cs"/>
          <w:rtl/>
        </w:rPr>
        <w:t xml:space="preserve">עד </w:t>
      </w:r>
      <w:r w:rsidR="004D3AB7">
        <w:rPr>
          <w:rFonts w:eastAsiaTheme="minorEastAsia" w:hint="cs"/>
          <w:rtl/>
        </w:rPr>
        <w:t>20% מהמחיר</w:t>
      </w:r>
      <w:r w:rsidR="004C625F">
        <w:rPr>
          <w:rFonts w:eastAsiaTheme="minorEastAsia" w:hint="cs"/>
          <w:rtl/>
        </w:rPr>
        <w:t>.</w:t>
      </w:r>
      <w:r>
        <w:rPr>
          <w:rFonts w:eastAsiaTheme="minorEastAsia" w:hint="cs"/>
          <w:rtl/>
        </w:rPr>
        <w:t xml:space="preserve"> זאת, על מנת להקהות עוד את החשש מאפשרות זיהוי חיובים הנגבים</w:t>
      </w:r>
      <w:r w:rsidR="001F2C60">
        <w:rPr>
          <w:rFonts w:eastAsiaTheme="minorEastAsia" w:hint="cs"/>
          <w:rtl/>
        </w:rPr>
        <w:t xml:space="preserve"> מסוכן מסויים</w:t>
      </w:r>
      <w:r>
        <w:rPr>
          <w:rFonts w:eastAsiaTheme="minorEastAsia" w:hint="cs"/>
          <w:rtl/>
        </w:rPr>
        <w:t xml:space="preserve"> על ידי חברת תעופה מסויימת. זאת ועוד, המידע שבמוצר המידע </w:t>
      </w:r>
      <w:r w:rsidR="00CB1D72">
        <w:rPr>
          <w:rFonts w:eastAsiaTheme="minorEastAsia" w:hint="cs"/>
          <w:rtl/>
        </w:rPr>
        <w:t xml:space="preserve">אינו זמין בזמן אמת </w:t>
      </w:r>
      <w:r w:rsidR="00DA52BE">
        <w:rPr>
          <w:rFonts w:eastAsiaTheme="minorEastAsia" w:hint="cs"/>
          <w:rtl/>
        </w:rPr>
        <w:t>וניתן לקבלו</w:t>
      </w:r>
      <w:r w:rsidR="00CB1D72">
        <w:rPr>
          <w:rFonts w:eastAsiaTheme="minorEastAsia" w:hint="cs"/>
          <w:rtl/>
        </w:rPr>
        <w:t xml:space="preserve"> </w:t>
      </w:r>
      <w:r>
        <w:rPr>
          <w:rFonts w:eastAsiaTheme="minorEastAsia" w:hint="cs"/>
          <w:rtl/>
        </w:rPr>
        <w:t xml:space="preserve">ביחס לחודש </w:t>
      </w:r>
      <w:r w:rsidR="00DA52BE">
        <w:rPr>
          <w:rFonts w:eastAsiaTheme="minorEastAsia" w:hint="cs"/>
          <w:rtl/>
        </w:rPr>
        <w:t>מסויים</w:t>
      </w:r>
      <w:r w:rsidR="00445645">
        <w:rPr>
          <w:rFonts w:eastAsiaTheme="minorEastAsia" w:hint="cs"/>
          <w:rtl/>
        </w:rPr>
        <w:t xml:space="preserve"> </w:t>
      </w:r>
      <w:r w:rsidR="00F638CA">
        <w:rPr>
          <w:rFonts w:eastAsiaTheme="minorEastAsia" w:hint="cs"/>
          <w:rtl/>
        </w:rPr>
        <w:t>רק לאחר</w:t>
      </w:r>
      <w:r w:rsidR="00445645">
        <w:rPr>
          <w:rFonts w:eastAsiaTheme="minorEastAsia" w:hint="cs"/>
          <w:rtl/>
        </w:rPr>
        <w:t xml:space="preserve"> </w:t>
      </w:r>
      <w:r w:rsidR="00DA52BE">
        <w:rPr>
          <w:rFonts w:eastAsiaTheme="minorEastAsia" w:hint="cs"/>
          <w:rtl/>
        </w:rPr>
        <w:t>שחלפו</w:t>
      </w:r>
      <w:r>
        <w:rPr>
          <w:rFonts w:eastAsiaTheme="minorEastAsia" w:hint="cs"/>
          <w:rtl/>
        </w:rPr>
        <w:t xml:space="preserve"> 21 יום מסו</w:t>
      </w:r>
      <w:r w:rsidR="00DA52BE">
        <w:rPr>
          <w:rFonts w:eastAsiaTheme="minorEastAsia" w:hint="cs"/>
          <w:rtl/>
        </w:rPr>
        <w:t>ף אותו חודש</w:t>
      </w:r>
      <w:r>
        <w:rPr>
          <w:rFonts w:eastAsiaTheme="minorEastAsia" w:hint="cs"/>
          <w:rtl/>
        </w:rPr>
        <w:t>.</w:t>
      </w:r>
      <w:r w:rsidR="00DD0FCC">
        <w:rPr>
          <w:rFonts w:eastAsiaTheme="minorEastAsia" w:hint="cs"/>
          <w:rtl/>
        </w:rPr>
        <w:t xml:space="preserve"> </w:t>
      </w:r>
      <w:r>
        <w:rPr>
          <w:rFonts w:eastAsiaTheme="minorEastAsia" w:hint="cs"/>
          <w:rtl/>
        </w:rPr>
        <w:t xml:space="preserve">  </w:t>
      </w:r>
    </w:p>
    <w:p w14:paraId="1C7C3286" w14:textId="2D92823D" w:rsidR="000C35BA" w:rsidRDefault="000C35BA" w:rsidP="0075068A">
      <w:pPr>
        <w:rPr>
          <w:rFonts w:eastAsiaTheme="minorEastAsia"/>
          <w:rtl/>
        </w:rPr>
      </w:pPr>
      <w:r>
        <w:rPr>
          <w:rFonts w:eastAsiaTheme="minorEastAsia" w:hint="cs"/>
          <w:rtl/>
        </w:rPr>
        <w:t>ב</w:t>
      </w:r>
      <w:r w:rsidR="005B039C">
        <w:rPr>
          <w:rFonts w:eastAsiaTheme="minorEastAsia" w:hint="cs"/>
          <w:rtl/>
        </w:rPr>
        <w:t xml:space="preserve">מסגרת </w:t>
      </w:r>
      <w:r w:rsidR="0041575B">
        <w:rPr>
          <w:rFonts w:eastAsiaTheme="minorEastAsia" w:hint="cs"/>
          <w:rtl/>
        </w:rPr>
        <w:t>בחינת בקשת ה</w:t>
      </w:r>
      <w:r w:rsidR="005B039C">
        <w:rPr>
          <w:rFonts w:eastAsiaTheme="minorEastAsia" w:hint="cs"/>
          <w:rtl/>
        </w:rPr>
        <w:t>פטור</w:t>
      </w:r>
      <w:r w:rsidR="0041575B">
        <w:rPr>
          <w:rFonts w:eastAsiaTheme="minorEastAsia" w:hint="cs"/>
          <w:rtl/>
        </w:rPr>
        <w:t xml:space="preserve"> ביחס ל</w:t>
      </w:r>
      <w:r w:rsidR="005B039C">
        <w:rPr>
          <w:rFonts w:eastAsiaTheme="minorEastAsia" w:hint="cs"/>
          <w:rtl/>
        </w:rPr>
        <w:t xml:space="preserve">שיווק </w:t>
      </w:r>
      <w:r w:rsidR="0041575B">
        <w:rPr>
          <w:rFonts w:eastAsiaTheme="minorEastAsia" w:hint="cs"/>
          <w:rtl/>
        </w:rPr>
        <w:t>מוצר המידע</w:t>
      </w:r>
      <w:r>
        <w:rPr>
          <w:rFonts w:eastAsiaTheme="minorEastAsia" w:hint="cs"/>
          <w:rtl/>
        </w:rPr>
        <w:t xml:space="preserve"> עלה חשש לכאורי שמא מכירת מוצר-המידע תאפשר לחברת תעופה פלונית להפעיל כח שוק כלפי סוכנים, במטרה לכפות עליהם להסיט את פעילותם אליה, למשל על-ידי השוואה בין היקף פעילות הסוכן מול אותה חברת תעופה פלונית לפעילותו מול חברות תעופה אחרות. החשש הופג, נוכח העובדה שבתחום הובלת המטענים </w:t>
      </w:r>
      <w:r w:rsidR="0041575B">
        <w:rPr>
          <w:rFonts w:eastAsiaTheme="minorEastAsia" w:hint="cs"/>
          <w:rtl/>
        </w:rPr>
        <w:t>פועלות</w:t>
      </w:r>
      <w:r>
        <w:rPr>
          <w:rFonts w:eastAsiaTheme="minorEastAsia" w:hint="cs"/>
          <w:rtl/>
        </w:rPr>
        <w:t xml:space="preserve"> חברות תעופה מתחרות</w:t>
      </w:r>
      <w:r>
        <w:rPr>
          <w:rFonts w:hint="cs"/>
          <w:rtl/>
        </w:rPr>
        <w:t xml:space="preserve">, </w:t>
      </w:r>
      <w:r w:rsidR="0041575B">
        <w:rPr>
          <w:rFonts w:hint="cs"/>
          <w:rtl/>
        </w:rPr>
        <w:t xml:space="preserve">כאשר </w:t>
      </w:r>
      <w:r>
        <w:rPr>
          <w:rFonts w:hint="cs"/>
          <w:rtl/>
        </w:rPr>
        <w:t xml:space="preserve">בנוסף לאפשרויות הטסת המטען הישירות והעקיפות </w:t>
      </w:r>
      <w:r w:rsidR="0041575B">
        <w:rPr>
          <w:rFonts w:eastAsiaTheme="minorEastAsia" w:hint="cs"/>
          <w:rtl/>
        </w:rPr>
        <w:t>עומדות גם</w:t>
      </w:r>
      <w:r>
        <w:rPr>
          <w:rFonts w:eastAsiaTheme="minorEastAsia" w:hint="cs"/>
          <w:rtl/>
        </w:rPr>
        <w:t xml:space="preserve"> אפשרויות </w:t>
      </w:r>
      <w:r w:rsidR="0041575B">
        <w:rPr>
          <w:rFonts w:eastAsiaTheme="minorEastAsia" w:hint="cs"/>
          <w:rtl/>
        </w:rPr>
        <w:t xml:space="preserve">לשינוע </w:t>
      </w:r>
      <w:r>
        <w:rPr>
          <w:rFonts w:eastAsiaTheme="minorEastAsia" w:hint="cs"/>
          <w:rtl/>
        </w:rPr>
        <w:t>יבשתי שלו. לצורך ההדגמה, עבור חלק נכבד מהמטענים, שירותי שילוח מטען ליעד מסוים באירופה מהוו</w:t>
      </w:r>
      <w:r w:rsidR="00494CBB">
        <w:rPr>
          <w:rFonts w:eastAsiaTheme="minorEastAsia" w:hint="cs"/>
          <w:rtl/>
        </w:rPr>
        <w:t>ים</w:t>
      </w:r>
      <w:r>
        <w:rPr>
          <w:rFonts w:eastAsiaTheme="minorEastAsia" w:hint="cs"/>
          <w:rtl/>
        </w:rPr>
        <w:t xml:space="preserve"> תחליף קרוב לשירותי שילוח מטען ליעד אחר באותה יבשת. לכן, ספק אם חברת תעופה תוכל להפעיל כוח שוק כנגד סוכן להסטת פעילותו אליה, גם אם יש בידיה מידע ביחס לשיעור השירותים הנרכשים ממנה על ידי אותו סוכן </w:t>
      </w:r>
      <w:r w:rsidR="00CB1D72">
        <w:rPr>
          <w:rFonts w:eastAsiaTheme="minorEastAsia" w:hint="cs"/>
          <w:rtl/>
        </w:rPr>
        <w:t xml:space="preserve">מתוך </w:t>
      </w:r>
      <w:r>
        <w:rPr>
          <w:rFonts w:eastAsiaTheme="minorEastAsia" w:hint="cs"/>
          <w:rtl/>
        </w:rPr>
        <w:t>כלל פעילותו של הסוכן בקו מסויים. במצב דברים זה, לא מן הנמנע שניסיון מצד חברות התעופה להסיט פעילות אליהן יגרום להגברת התחרות על ליבם של הסוכנים - תחרות שעשויה לשפר את השירות לצרכן.</w:t>
      </w:r>
    </w:p>
    <w:p w14:paraId="63AAFC0B" w14:textId="7FE37BDC" w:rsidR="000C35BA" w:rsidRDefault="000C35BA" w:rsidP="00B879E3">
      <w:pPr>
        <w:rPr>
          <w:rFonts w:eastAsiaTheme="minorEastAsia"/>
          <w:rtl/>
        </w:rPr>
      </w:pPr>
      <w:r>
        <w:rPr>
          <w:rFonts w:eastAsiaTheme="minorEastAsia" w:hint="cs"/>
          <w:rtl/>
        </w:rPr>
        <w:t xml:space="preserve">לבסוף, בכפוף להבהרות האמורות, שוכנעתי כי החששות העולים ממכירת מוצרי המידע מוקהים בשל טיב המידע הכלול במוצר המידע, כאמור. </w:t>
      </w:r>
    </w:p>
    <w:p w14:paraId="31942922" w14:textId="77777777" w:rsidR="00855AAD" w:rsidRDefault="000C35BA" w:rsidP="007D35F6">
      <w:pPr>
        <w:rPr>
          <w:rFonts w:eastAsiaTheme="minorEastAsia"/>
          <w:rtl/>
        </w:rPr>
      </w:pPr>
      <w:r>
        <w:rPr>
          <w:rFonts w:eastAsiaTheme="minorEastAsia" w:hint="cs"/>
          <w:rtl/>
        </w:rPr>
        <w:t xml:space="preserve">לאור האמור, ומששוכנעתי כי אין בכך כדי להביא לפגיעה </w:t>
      </w:r>
      <w:r w:rsidR="00B64E5D">
        <w:rPr>
          <w:rFonts w:eastAsiaTheme="minorEastAsia" w:hint="cs"/>
          <w:rtl/>
        </w:rPr>
        <w:t xml:space="preserve">של ממש </w:t>
      </w:r>
      <w:r>
        <w:rPr>
          <w:rFonts w:eastAsiaTheme="minorEastAsia" w:hint="cs"/>
          <w:rtl/>
        </w:rPr>
        <w:t xml:space="preserve">בתחרות </w:t>
      </w:r>
      <w:r w:rsidR="00B64E5D">
        <w:rPr>
          <w:rFonts w:eastAsiaTheme="minorEastAsia" w:hint="cs"/>
          <w:rtl/>
        </w:rPr>
        <w:t xml:space="preserve">בשוק </w:t>
      </w:r>
      <w:r>
        <w:rPr>
          <w:rFonts w:eastAsiaTheme="minorEastAsia" w:hint="cs"/>
          <w:rtl/>
        </w:rPr>
        <w:t>כאמור, ראיתי לנכון לקבוע את נוסח תנאי סעיף 5 כך שלא יימנע מיאט"א</w:t>
      </w:r>
      <w:r>
        <w:rPr>
          <w:rFonts w:hint="cs"/>
          <w:rtl/>
        </w:rPr>
        <w:t xml:space="preserve"> לעשות שימוש במידע שהועבר בתכנית לצורך מוצר המידע</w:t>
      </w:r>
      <w:r>
        <w:rPr>
          <w:rFonts w:eastAsiaTheme="minorEastAsia" w:hint="cs"/>
          <w:rtl/>
        </w:rPr>
        <w:t xml:space="preserve"> שהיא מבקשת לשווק. </w:t>
      </w:r>
    </w:p>
    <w:p w14:paraId="1BFACFDA" w14:textId="77777777" w:rsidR="000C35BA" w:rsidRDefault="000C35BA" w:rsidP="000C35BA">
      <w:pPr>
        <w:pStyle w:val="1"/>
        <w:rPr>
          <w:u w:val="single"/>
          <w:rtl/>
        </w:rPr>
      </w:pPr>
      <w:r>
        <w:rPr>
          <w:rFonts w:hint="cs"/>
          <w:u w:val="single"/>
          <w:rtl/>
        </w:rPr>
        <w:t>ד. השעיית חברת תעופה מתכנית ה-</w:t>
      </w:r>
      <w:r>
        <w:rPr>
          <w:u w:val="single"/>
        </w:rPr>
        <w:t>CASS</w:t>
      </w:r>
    </w:p>
    <w:p w14:paraId="00049127" w14:textId="77777777" w:rsidR="000C35BA" w:rsidRDefault="000C35BA" w:rsidP="000C35BA">
      <w:pPr>
        <w:spacing w:after="0"/>
        <w:rPr>
          <w:rtl/>
        </w:rPr>
      </w:pPr>
      <w:r>
        <w:rPr>
          <w:rFonts w:hint="cs"/>
          <w:rtl/>
        </w:rPr>
        <w:t xml:space="preserve">במסגרת הבקשה שבפניי, ביקשה יאט"א כי בתנאי ההחלטה דנן יינתן מענה לסוגיה שמעורר סעיף 8 לתנאי החלטת הפטור הקודמת, בנוגע לתחולתו במצבים בהם חברות תעופה הושעו מהתכנית. </w:t>
      </w:r>
    </w:p>
    <w:p w14:paraId="4A412610" w14:textId="77777777" w:rsidR="000C35BA" w:rsidRDefault="000C35BA" w:rsidP="00417CA7">
      <w:pPr>
        <w:rPr>
          <w:color w:val="000000"/>
          <w:rtl/>
        </w:rPr>
      </w:pPr>
      <w:r>
        <w:rPr>
          <w:rFonts w:hint="cs"/>
          <w:color w:val="000000"/>
          <w:rtl/>
        </w:rPr>
        <w:t>סעיף 8 לתנאי החלטת הפטור הקודמת העניק בידי סוכנים אפשרות לחלוק על חיוב אותו נדרשו לשלם באמצעות התכנית</w:t>
      </w:r>
      <w:r w:rsidR="00421489">
        <w:rPr>
          <w:rFonts w:hint="cs"/>
          <w:color w:val="000000"/>
          <w:rtl/>
        </w:rPr>
        <w:t>,</w:t>
      </w:r>
      <w:r>
        <w:rPr>
          <w:rFonts w:hint="cs"/>
          <w:color w:val="000000"/>
          <w:rtl/>
        </w:rPr>
        <w:t xml:space="preserve"> כך שסכום שהוזן בתכנית בגין שירות שניתן לסוכן במהלך החודש השוטף, ושעליו הוא חולק (להלן: "</w:t>
      </w:r>
      <w:r>
        <w:rPr>
          <w:rFonts w:hint="cs"/>
          <w:b/>
          <w:bCs/>
          <w:color w:val="000000"/>
          <w:rtl/>
        </w:rPr>
        <w:t>הסכומים שבמחלוקת</w:t>
      </w:r>
      <w:r>
        <w:rPr>
          <w:rFonts w:hint="cs"/>
          <w:color w:val="000000"/>
          <w:rtl/>
        </w:rPr>
        <w:t xml:space="preserve">") יגרע מחיוביו של הסוכן בתכנית. </w:t>
      </w:r>
    </w:p>
    <w:p w14:paraId="405E03B0" w14:textId="4E1A03FB" w:rsidR="000C35BA" w:rsidRDefault="000C35BA" w:rsidP="008E5201">
      <w:pPr>
        <w:rPr>
          <w:color w:val="000000"/>
          <w:rtl/>
        </w:rPr>
      </w:pPr>
      <w:r>
        <w:rPr>
          <w:rFonts w:hint="cs"/>
          <w:color w:val="000000"/>
          <w:rtl/>
        </w:rPr>
        <w:t>במקרה בו חברת תעופה הושעתה מהתכנית והפסיקה לפעול בה,</w:t>
      </w:r>
      <w:r w:rsidR="00445645">
        <w:rPr>
          <w:rFonts w:hint="cs"/>
          <w:color w:val="000000"/>
          <w:rtl/>
        </w:rPr>
        <w:t xml:space="preserve"> </w:t>
      </w:r>
      <w:r w:rsidR="008E5201">
        <w:rPr>
          <w:rFonts w:hint="cs"/>
          <w:color w:val="000000"/>
          <w:rtl/>
        </w:rPr>
        <w:t>בפרט משום</w:t>
      </w:r>
      <w:r w:rsidR="00445645">
        <w:rPr>
          <w:rFonts w:hint="cs"/>
          <w:color w:val="000000"/>
          <w:rtl/>
        </w:rPr>
        <w:t xml:space="preserve"> </w:t>
      </w:r>
      <w:r w:rsidR="00F47467">
        <w:rPr>
          <w:rFonts w:hint="cs"/>
          <w:color w:val="000000"/>
          <w:rtl/>
        </w:rPr>
        <w:t>שנקלעה ל</w:t>
      </w:r>
      <w:r w:rsidR="003051EC">
        <w:rPr>
          <w:rFonts w:hint="cs"/>
          <w:color w:val="000000"/>
          <w:rtl/>
        </w:rPr>
        <w:t xml:space="preserve">קשיים </w:t>
      </w:r>
      <w:r w:rsidR="00445645">
        <w:rPr>
          <w:rFonts w:hint="cs"/>
          <w:color w:val="000000"/>
          <w:rtl/>
        </w:rPr>
        <w:t>כלכלי</w:t>
      </w:r>
      <w:r w:rsidR="003051EC">
        <w:rPr>
          <w:rFonts w:hint="cs"/>
          <w:color w:val="000000"/>
          <w:rtl/>
        </w:rPr>
        <w:t>ים</w:t>
      </w:r>
      <w:r w:rsidR="00445645">
        <w:rPr>
          <w:rFonts w:hint="cs"/>
          <w:color w:val="000000"/>
          <w:rtl/>
        </w:rPr>
        <w:t>,</w:t>
      </w:r>
      <w:r>
        <w:rPr>
          <w:rFonts w:hint="cs"/>
          <w:color w:val="000000"/>
          <w:rtl/>
        </w:rPr>
        <w:t xml:space="preserve"> יישום סעיף 8 לתנאים כפי שנוסח בהחלטת הפטור הקודמת מקים קושי ממשי. זאת </w:t>
      </w:r>
      <w:r>
        <w:rPr>
          <w:rFonts w:hint="cs"/>
          <w:color w:val="000000"/>
          <w:rtl/>
        </w:rPr>
        <w:lastRenderedPageBreak/>
        <w:t xml:space="preserve">שכן, מרגע השעיית חברת התעופה, </w:t>
      </w:r>
      <w:r w:rsidR="00983A6A">
        <w:rPr>
          <w:rFonts w:hint="cs"/>
          <w:color w:val="000000"/>
          <w:rtl/>
        </w:rPr>
        <w:t xml:space="preserve">השבתו של </w:t>
      </w:r>
      <w:r>
        <w:rPr>
          <w:rFonts w:hint="cs"/>
          <w:color w:val="000000"/>
          <w:rtl/>
        </w:rPr>
        <w:t>סכום עליו חלק סוכן עם אותה חברה</w:t>
      </w:r>
      <w:r w:rsidR="00B64E5D">
        <w:rPr>
          <w:rFonts w:hint="cs"/>
          <w:color w:val="000000"/>
          <w:rtl/>
        </w:rPr>
        <w:t xml:space="preserve"> </w:t>
      </w:r>
      <w:r>
        <w:rPr>
          <w:rFonts w:hint="cs"/>
          <w:color w:val="000000"/>
          <w:rtl/>
        </w:rPr>
        <w:t xml:space="preserve">יוטל בפועל על כתפיהן של כלל חברות התעופה שנותרו חברות בתכנית. </w:t>
      </w:r>
    </w:p>
    <w:p w14:paraId="71C05066" w14:textId="5A8FA347" w:rsidR="000C35BA" w:rsidRDefault="000C35BA" w:rsidP="00EF37B2">
      <w:pPr>
        <w:rPr>
          <w:color w:val="000000"/>
          <w:rtl/>
        </w:rPr>
      </w:pPr>
      <w:r>
        <w:rPr>
          <w:rFonts w:hint="cs"/>
          <w:color w:val="000000"/>
          <w:rtl/>
        </w:rPr>
        <w:t xml:space="preserve">סעיף 8 לתנאים נועד להפיג את החשש שמא קיומה של מחלוקת תוביל להפעלת כוח שוק מצרפי של חברות התעופה כנגד סוכן על ידי הפסקת פעילותו בתכנית. במצב עסקים רגיל, הודעת המחלוקת מאפשרת לסוכן לשייך את החסר בתשלום לגורם ספציפי, עמו קיימת מחלוקת, מבלי לפגוע בסכומים המגיעים ממנו ליתר חברות התעופה. מכאן גם נובעת ההצדקה להגביל את התכנית מלנתק את הסוכן במקרים מעין אלו, על פי סעיף 6 לתנאי החלטת הפטור הקודמת. לעומת זאת, מתן אפשרות בידי סוכנים לחלוק על סכומים המיוחסים לחברת תעופה לאחר שזו הושעתה מהתכנית עלול ליצור נטל כספי </w:t>
      </w:r>
      <w:r w:rsidR="00F034C5">
        <w:rPr>
          <w:rFonts w:hint="cs"/>
          <w:color w:val="000000"/>
          <w:rtl/>
        </w:rPr>
        <w:t xml:space="preserve">בלתי מוצדק </w:t>
      </w:r>
      <w:r>
        <w:rPr>
          <w:rFonts w:hint="cs"/>
          <w:color w:val="000000"/>
          <w:rtl/>
        </w:rPr>
        <w:t xml:space="preserve">על כתפי חברות התעופה הנותרות שבתכנית, הגם שאין להן כל חלק או מעורבות בחיובים שבמחלוקת. </w:t>
      </w:r>
    </w:p>
    <w:p w14:paraId="79D9549C" w14:textId="39553559" w:rsidR="000C35BA" w:rsidRDefault="000C35BA" w:rsidP="004A467B">
      <w:pPr>
        <w:spacing w:after="0"/>
        <w:rPr>
          <w:rtl/>
        </w:rPr>
      </w:pPr>
      <w:r>
        <w:rPr>
          <w:rFonts w:hint="cs"/>
          <w:color w:val="000000"/>
          <w:rtl/>
        </w:rPr>
        <w:t>לאור האמור עד כה, הגעתי למסקנה כי יש להוסיף תנאי המבהיר, כי</w:t>
      </w:r>
      <w:r w:rsidR="00F034C5">
        <w:rPr>
          <w:rFonts w:hint="cs"/>
          <w:color w:val="000000"/>
          <w:rtl/>
        </w:rPr>
        <w:t xml:space="preserve"> השימוש בסעיף 8 איננו מיועד</w:t>
      </w:r>
      <w:r>
        <w:rPr>
          <w:rFonts w:hint="cs"/>
          <w:color w:val="000000"/>
          <w:rtl/>
        </w:rPr>
        <w:t xml:space="preserve"> </w:t>
      </w:r>
      <w:r w:rsidR="00F034C5">
        <w:rPr>
          <w:rFonts w:hint="cs"/>
          <w:color w:val="000000"/>
          <w:rtl/>
        </w:rPr>
        <w:t>ל</w:t>
      </w:r>
      <w:r>
        <w:rPr>
          <w:rFonts w:hint="cs"/>
          <w:color w:val="000000"/>
          <w:rtl/>
        </w:rPr>
        <w:t>מצבים בהם חברת תעופה מושעית מהתכנית. נושא זה מוסדר במסגרת פרק ו' לתנאי החלטתי זו.</w:t>
      </w:r>
      <w:r>
        <w:rPr>
          <w:rStyle w:val="ab"/>
          <w:rtl/>
        </w:rPr>
        <w:footnoteReference w:id="6"/>
      </w:r>
    </w:p>
    <w:bookmarkEnd w:id="0"/>
    <w:p w14:paraId="218FD2BE" w14:textId="77777777" w:rsidR="000C35BA" w:rsidRDefault="000C35BA" w:rsidP="0022610B">
      <w:pPr>
        <w:rPr>
          <w:rtl/>
        </w:rPr>
      </w:pPr>
      <w:r>
        <w:rPr>
          <w:rFonts w:hint="cs"/>
          <w:rtl/>
        </w:rPr>
        <w:t xml:space="preserve">נוסף על </w:t>
      </w:r>
      <w:r w:rsidR="00494CBB">
        <w:rPr>
          <w:rFonts w:hint="cs"/>
          <w:rtl/>
        </w:rPr>
        <w:t xml:space="preserve">כל </w:t>
      </w:r>
      <w:r>
        <w:rPr>
          <w:rFonts w:hint="cs"/>
          <w:rtl/>
        </w:rPr>
        <w:t>האמור לעיל, הגעתי לכלל מסקנה כי סעיף 11(א) לתנאי החלטת הפטור הקודמת, המחייב את יאט"א לקיים תיעוד בכתב של כל חריגה, ניתוק וחיבור, שנעשו בקשר עם סוכן ולהעמיד תיעוד זה לעיונו של הממונה תוך 7 ימים מיום שתתבקש על ידי הממונה לעשות כן, מספק מענה ממצה באופן המייתר את החובה החלה על יאט"א לפי סעיף 11(ב) לתנאי החלטת הפטור הקודמת, ל</w:t>
      </w:r>
      <w:r w:rsidR="0022610B">
        <w:rPr>
          <w:rFonts w:hint="cs"/>
          <w:rtl/>
        </w:rPr>
        <w:t>ה</w:t>
      </w:r>
      <w:r>
        <w:rPr>
          <w:rFonts w:hint="cs"/>
          <w:rtl/>
        </w:rPr>
        <w:t xml:space="preserve">עביר לממונה תיעוד בקשר עם ניתוק סוכן שלא מיוזמתו, מיד עם ביצועו. משכך, ראיתי לנכון </w:t>
      </w:r>
      <w:r w:rsidR="00F45265">
        <w:rPr>
          <w:rFonts w:hint="cs"/>
          <w:rtl/>
        </w:rPr>
        <w:t>להתנות את הפטור ב</w:t>
      </w:r>
      <w:r w:rsidR="00E644C6">
        <w:rPr>
          <w:rFonts w:hint="cs"/>
          <w:rtl/>
        </w:rPr>
        <w:t xml:space="preserve">סעיף </w:t>
      </w:r>
      <w:r w:rsidR="00F45265">
        <w:rPr>
          <w:rFonts w:hint="cs"/>
          <w:rtl/>
        </w:rPr>
        <w:t xml:space="preserve">12 </w:t>
      </w:r>
      <w:r w:rsidR="00E644C6">
        <w:rPr>
          <w:rFonts w:hint="cs"/>
          <w:rtl/>
        </w:rPr>
        <w:t xml:space="preserve">לתנאים </w:t>
      </w:r>
      <w:r w:rsidR="00455E37">
        <w:rPr>
          <w:rFonts w:hint="cs"/>
          <w:rtl/>
        </w:rPr>
        <w:t>המכיל</w:t>
      </w:r>
      <w:r w:rsidR="00E644C6">
        <w:rPr>
          <w:rFonts w:hint="cs"/>
          <w:rtl/>
        </w:rPr>
        <w:t xml:space="preserve"> את תוכנו של </w:t>
      </w:r>
      <w:r>
        <w:rPr>
          <w:rFonts w:hint="cs"/>
          <w:rtl/>
        </w:rPr>
        <w:t>סעיף 11(א) לתנאי החלטת הפטור הקודמת</w:t>
      </w:r>
      <w:r w:rsidR="00E644C6">
        <w:rPr>
          <w:rFonts w:hint="cs"/>
          <w:rtl/>
        </w:rPr>
        <w:t xml:space="preserve"> בלבד</w:t>
      </w:r>
      <w:r>
        <w:rPr>
          <w:rFonts w:hint="cs"/>
          <w:rtl/>
        </w:rPr>
        <w:t>.</w:t>
      </w:r>
    </w:p>
    <w:p w14:paraId="2594966C" w14:textId="77777777" w:rsidR="000C35BA" w:rsidRDefault="000C35BA" w:rsidP="000C35BA">
      <w:pPr>
        <w:pStyle w:val="1"/>
        <w:rPr>
          <w:u w:val="single"/>
          <w:rtl/>
        </w:rPr>
      </w:pPr>
      <w:r>
        <w:rPr>
          <w:rFonts w:hint="cs"/>
          <w:u w:val="single"/>
          <w:rtl/>
        </w:rPr>
        <w:t xml:space="preserve">ה. סוף דבר </w:t>
      </w:r>
    </w:p>
    <w:p w14:paraId="505B6714" w14:textId="77777777" w:rsidR="000C35BA" w:rsidRDefault="000C35BA" w:rsidP="000C35BA">
      <w:pPr>
        <w:rPr>
          <w:rtl/>
        </w:rPr>
      </w:pPr>
      <w:r>
        <w:rPr>
          <w:rFonts w:hint="cs"/>
          <w:rtl/>
        </w:rPr>
        <w:t>לאחר שנועצתי בועדה לפטורים ומיזוגים, ראיתי לנכון להשתמש בסמכות הנתונה לי בסעיף 14 לחוק ולהעניק את הפטור המבוקש, בכפוף לתנאים המפורטים להלן.</w:t>
      </w:r>
    </w:p>
    <w:p w14:paraId="3A9119E4" w14:textId="77777777" w:rsidR="006C0375" w:rsidRDefault="006C0375" w:rsidP="000C35BA">
      <w:pPr>
        <w:rPr>
          <w:rtl/>
        </w:rPr>
      </w:pPr>
    </w:p>
    <w:p w14:paraId="6B9B0EA6" w14:textId="77777777" w:rsidR="006C0375" w:rsidRDefault="006C0375" w:rsidP="000C35BA">
      <w:pPr>
        <w:rPr>
          <w:rtl/>
        </w:rPr>
      </w:pPr>
    </w:p>
    <w:p w14:paraId="368DF9CE" w14:textId="77777777" w:rsidR="006C0375" w:rsidRDefault="006C0375" w:rsidP="000C35BA">
      <w:pPr>
        <w:rPr>
          <w:rtl/>
        </w:rPr>
      </w:pPr>
    </w:p>
    <w:p w14:paraId="7FB52548" w14:textId="77777777" w:rsidR="006C0375" w:rsidRDefault="006C0375" w:rsidP="000C35BA">
      <w:pPr>
        <w:rPr>
          <w:rtl/>
        </w:rPr>
      </w:pPr>
    </w:p>
    <w:p w14:paraId="5D8E4CCB" w14:textId="77777777" w:rsidR="000C35BA" w:rsidRDefault="000C35BA" w:rsidP="000C35BA">
      <w:pPr>
        <w:pStyle w:val="1"/>
        <w:rPr>
          <w:u w:val="single"/>
          <w:rtl/>
        </w:rPr>
      </w:pPr>
      <w:r>
        <w:rPr>
          <w:rFonts w:hint="cs"/>
          <w:u w:val="single"/>
          <w:rtl/>
        </w:rPr>
        <w:lastRenderedPageBreak/>
        <w:t xml:space="preserve">התנאים </w:t>
      </w:r>
    </w:p>
    <w:p w14:paraId="3725027B" w14:textId="77777777" w:rsidR="000C35BA" w:rsidRDefault="000C35BA" w:rsidP="000C35BA">
      <w:pPr>
        <w:pStyle w:val="1"/>
        <w:spacing w:before="240"/>
        <w:ind w:firstLine="360"/>
        <w:rPr>
          <w:rtl/>
        </w:rPr>
      </w:pPr>
      <w:r>
        <w:rPr>
          <w:rFonts w:hint="cs"/>
          <w:rtl/>
        </w:rPr>
        <w:t xml:space="preserve">א. </w:t>
      </w:r>
      <w:r>
        <w:rPr>
          <w:rFonts w:hint="cs"/>
          <w:u w:val="single"/>
          <w:rtl/>
        </w:rPr>
        <w:t>הגדרות</w:t>
      </w:r>
      <w:r>
        <w:rPr>
          <w:rFonts w:hint="cs"/>
          <w:rtl/>
        </w:rPr>
        <w:t xml:space="preserve"> </w:t>
      </w:r>
    </w:p>
    <w:p w14:paraId="21DCF064" w14:textId="77777777" w:rsidR="000C35BA" w:rsidRDefault="000C35BA" w:rsidP="000C35BA">
      <w:pPr>
        <w:numPr>
          <w:ilvl w:val="0"/>
          <w:numId w:val="1"/>
        </w:numPr>
        <w:rPr>
          <w:rtl/>
        </w:rPr>
      </w:pPr>
      <w:r>
        <w:rPr>
          <w:rFonts w:hint="cs"/>
          <w:rtl/>
        </w:rPr>
        <w:t>למונחים בהחלטה זו תינתן הפרשנות הקבועה להם בחוק ההגבלים העסקיים,</w:t>
      </w:r>
      <w:r>
        <w:rPr>
          <w:rFonts w:hint="cs"/>
          <w:sz w:val="10"/>
          <w:szCs w:val="14"/>
          <w:rtl/>
        </w:rPr>
        <w:t xml:space="preserve"> </w:t>
      </w:r>
      <w:r>
        <w:rPr>
          <w:rFonts w:hint="cs"/>
          <w:rtl/>
        </w:rPr>
        <w:t xml:space="preserve">תשמ"ח-1988 ובכללי ההגבלים העסקיים (הוראות והגדרות כלליות), תשס"ו-2006, למעט אם ניתנה להם בהחלטה זו הגדרה אחרת במפורש. </w:t>
      </w:r>
    </w:p>
    <w:p w14:paraId="33FEFFA6" w14:textId="77777777" w:rsidR="006C20A1" w:rsidRDefault="000C35BA" w:rsidP="000C35BA">
      <w:pPr>
        <w:numPr>
          <w:ilvl w:val="0"/>
          <w:numId w:val="1"/>
        </w:numPr>
      </w:pPr>
      <w:r>
        <w:rPr>
          <w:rFonts w:hint="cs"/>
          <w:rtl/>
        </w:rPr>
        <w:t xml:space="preserve">בתנאים אלה: </w:t>
      </w:r>
    </w:p>
    <w:tbl>
      <w:tblPr>
        <w:bidiVisual/>
        <w:tblW w:w="0" w:type="auto"/>
        <w:tblLook w:val="01E0" w:firstRow="1" w:lastRow="1" w:firstColumn="1" w:lastColumn="1" w:noHBand="0" w:noVBand="0"/>
      </w:tblPr>
      <w:tblGrid>
        <w:gridCol w:w="2182"/>
        <w:gridCol w:w="6340"/>
      </w:tblGrid>
      <w:tr w:rsidR="00AF3ECD" w14:paraId="1E618AC1" w14:textId="77777777" w:rsidTr="00AF3ECD">
        <w:tc>
          <w:tcPr>
            <w:tcW w:w="2182" w:type="dxa"/>
          </w:tcPr>
          <w:p w14:paraId="7A43B2F4" w14:textId="03208ADF" w:rsidR="00AF3ECD" w:rsidRDefault="00AF3ECD">
            <w:pPr>
              <w:tabs>
                <w:tab w:val="right" w:pos="1967"/>
              </w:tabs>
              <w:rPr>
                <w:rStyle w:val="a3"/>
                <w:rFonts w:cs="David"/>
                <w:sz w:val="22"/>
                <w:rtl/>
              </w:rPr>
            </w:pPr>
            <w:r>
              <w:rPr>
                <w:rFonts w:hint="cs"/>
                <w:sz w:val="22"/>
                <w:rtl/>
              </w:rPr>
              <w:t>"</w:t>
            </w:r>
            <w:r>
              <w:rPr>
                <w:rFonts w:hint="cs"/>
                <w:b/>
                <w:bCs/>
                <w:sz w:val="22"/>
                <w:rtl/>
              </w:rPr>
              <w:t>דמי חיבור</w:t>
            </w:r>
            <w:r>
              <w:rPr>
                <w:rFonts w:hint="cs"/>
                <w:sz w:val="22"/>
                <w:rtl/>
              </w:rPr>
              <w:t xml:space="preserve">": </w:t>
            </w:r>
          </w:p>
        </w:tc>
        <w:tc>
          <w:tcPr>
            <w:tcW w:w="6340" w:type="dxa"/>
          </w:tcPr>
          <w:p w14:paraId="123535E7" w14:textId="127C4EA7" w:rsidR="00AF3ECD" w:rsidRDefault="00AF3ECD">
            <w:pPr>
              <w:rPr>
                <w:rtl/>
              </w:rPr>
            </w:pPr>
            <w:r>
              <w:rPr>
                <w:rFonts w:hint="cs"/>
                <w:sz w:val="22"/>
                <w:rtl/>
              </w:rPr>
              <w:t xml:space="preserve">כל תשלום, לרבות הוצאה, דמי הרשמה, דמי קבלה, דמי טיפול, דמי מנוי, דמי שימוש, וכל כיוצא בזה, לרבות תשלום עיתי מכל סוג שהוא, בכסף או בשווה כסף; </w:t>
            </w:r>
          </w:p>
        </w:tc>
      </w:tr>
      <w:tr w:rsidR="00AF3ECD" w14:paraId="516B75E9" w14:textId="77777777" w:rsidTr="00AF3ECD">
        <w:tc>
          <w:tcPr>
            <w:tcW w:w="2182" w:type="dxa"/>
          </w:tcPr>
          <w:p w14:paraId="63D98C2D" w14:textId="5228357A" w:rsidR="00AF3ECD" w:rsidRDefault="00AF3ECD">
            <w:pPr>
              <w:tabs>
                <w:tab w:val="right" w:pos="1967"/>
              </w:tabs>
              <w:rPr>
                <w:sz w:val="22"/>
                <w:rtl/>
              </w:rPr>
            </w:pPr>
            <w:r>
              <w:rPr>
                <w:rFonts w:hint="cs"/>
                <w:sz w:val="22"/>
                <w:rtl/>
              </w:rPr>
              <w:t>"</w:t>
            </w:r>
            <w:r>
              <w:rPr>
                <w:rFonts w:hint="cs"/>
                <w:b/>
                <w:bCs/>
                <w:sz w:val="22"/>
                <w:rtl/>
              </w:rPr>
              <w:t>חברת תעופה</w:t>
            </w:r>
            <w:r>
              <w:rPr>
                <w:rFonts w:hint="cs"/>
                <w:sz w:val="22"/>
                <w:rtl/>
              </w:rPr>
              <w:t>":</w:t>
            </w:r>
          </w:p>
        </w:tc>
        <w:tc>
          <w:tcPr>
            <w:tcW w:w="6340" w:type="dxa"/>
          </w:tcPr>
          <w:p w14:paraId="2BE37E27" w14:textId="6B985C1D" w:rsidR="00AF3ECD" w:rsidRDefault="00AF3ECD">
            <w:pPr>
              <w:rPr>
                <w:sz w:val="22"/>
                <w:rtl/>
              </w:rPr>
            </w:pPr>
            <w:r>
              <w:rPr>
                <w:rFonts w:hint="cs"/>
                <w:sz w:val="22"/>
                <w:rtl/>
              </w:rPr>
              <w:t xml:space="preserve">לרבות </w:t>
            </w:r>
            <w:r>
              <w:rPr>
                <w:sz w:val="22"/>
              </w:rPr>
              <w:t>Cargo General Sales and Service Agent</w:t>
            </w:r>
            <w:r>
              <w:rPr>
                <w:rFonts w:hint="cs"/>
                <w:sz w:val="22"/>
                <w:rtl/>
              </w:rPr>
              <w:t xml:space="preserve"> כהגדרתו בתקנה 823 לתקנות יאט"א; </w:t>
            </w:r>
          </w:p>
        </w:tc>
      </w:tr>
      <w:tr w:rsidR="00AF3ECD" w14:paraId="7BCBFAD4" w14:textId="77777777" w:rsidTr="00AF3ECD">
        <w:tc>
          <w:tcPr>
            <w:tcW w:w="2182" w:type="dxa"/>
          </w:tcPr>
          <w:p w14:paraId="29083A1A" w14:textId="55461B68" w:rsidR="00AF3ECD" w:rsidRDefault="00AF3ECD">
            <w:pPr>
              <w:tabs>
                <w:tab w:val="right" w:pos="1967"/>
              </w:tabs>
              <w:rPr>
                <w:rStyle w:val="a3"/>
                <w:rFonts w:cs="David"/>
                <w:sz w:val="22"/>
                <w:rtl/>
              </w:rPr>
            </w:pPr>
            <w:r>
              <w:rPr>
                <w:rFonts w:hint="cs"/>
                <w:sz w:val="22"/>
                <w:rtl/>
              </w:rPr>
              <w:t>"</w:t>
            </w:r>
            <w:r>
              <w:rPr>
                <w:rFonts w:hint="cs"/>
                <w:b/>
                <w:bCs/>
                <w:sz w:val="22"/>
                <w:rtl/>
              </w:rPr>
              <w:t>חיבור</w:t>
            </w:r>
            <w:r>
              <w:rPr>
                <w:rFonts w:hint="cs"/>
                <w:sz w:val="22"/>
                <w:rtl/>
              </w:rPr>
              <w:t>":</w:t>
            </w:r>
          </w:p>
        </w:tc>
        <w:tc>
          <w:tcPr>
            <w:tcW w:w="6340" w:type="dxa"/>
          </w:tcPr>
          <w:p w14:paraId="3BA9CA8B" w14:textId="7D96437D" w:rsidR="00AF3ECD" w:rsidRDefault="00AF3ECD">
            <w:pPr>
              <w:rPr>
                <w:rtl/>
              </w:rPr>
            </w:pPr>
            <w:r>
              <w:rPr>
                <w:rFonts w:hint="cs"/>
                <w:sz w:val="22"/>
                <w:rtl/>
              </w:rPr>
              <w:t xml:space="preserve">צירוף לתכנית, בין היתר על ידי מתן גישה לתכנית, לרבות שימוש בתכנית לאחר צירוף כאמור; </w:t>
            </w:r>
          </w:p>
        </w:tc>
      </w:tr>
      <w:tr w:rsidR="00AF3ECD" w14:paraId="05996F6F" w14:textId="77777777" w:rsidTr="00AF3ECD">
        <w:tc>
          <w:tcPr>
            <w:tcW w:w="2182" w:type="dxa"/>
          </w:tcPr>
          <w:p w14:paraId="2A9CE824" w14:textId="62F0E1DA" w:rsidR="00AF3ECD" w:rsidRDefault="00AF3ECD">
            <w:pPr>
              <w:tabs>
                <w:tab w:val="right" w:pos="1967"/>
              </w:tabs>
              <w:rPr>
                <w:sz w:val="22"/>
                <w:rtl/>
              </w:rPr>
            </w:pPr>
            <w:r>
              <w:rPr>
                <w:rFonts w:hint="cs"/>
                <w:rtl/>
              </w:rPr>
              <w:t>"</w:t>
            </w:r>
            <w:r>
              <w:rPr>
                <w:rFonts w:hint="cs"/>
                <w:b/>
                <w:bCs/>
                <w:rtl/>
              </w:rPr>
              <w:t>חריגה</w:t>
            </w:r>
            <w:r>
              <w:rPr>
                <w:rFonts w:hint="cs"/>
                <w:rtl/>
              </w:rPr>
              <w:t>":</w:t>
            </w:r>
          </w:p>
        </w:tc>
        <w:tc>
          <w:tcPr>
            <w:tcW w:w="6340" w:type="dxa"/>
          </w:tcPr>
          <w:p w14:paraId="6082663F" w14:textId="4E154F99" w:rsidR="00AF3ECD" w:rsidRDefault="00AF3ECD">
            <w:pPr>
              <w:rPr>
                <w:sz w:val="22"/>
                <w:rtl/>
              </w:rPr>
            </w:pPr>
            <w:r>
              <w:rPr>
                <w:sz w:val="22"/>
              </w:rPr>
              <w:t>Irregularity, Penalty Point</w:t>
            </w:r>
            <w:r>
              <w:rPr>
                <w:rFonts w:hint="cs"/>
                <w:sz w:val="22"/>
                <w:rtl/>
              </w:rPr>
              <w:t xml:space="preserve"> או </w:t>
            </w:r>
            <w:r>
              <w:rPr>
                <w:sz w:val="22"/>
              </w:rPr>
              <w:t>Default</w:t>
            </w:r>
            <w:r>
              <w:rPr>
                <w:rFonts w:hint="cs"/>
                <w:sz w:val="22"/>
                <w:rtl/>
              </w:rPr>
              <w:t xml:space="preserve"> כהגדרתם בתקנה </w:t>
            </w:r>
            <w:r>
              <w:rPr>
                <w:sz w:val="22"/>
              </w:rPr>
              <w:t>801r</w:t>
            </w:r>
            <w:r>
              <w:rPr>
                <w:rFonts w:hint="cs"/>
                <w:sz w:val="22"/>
                <w:rtl/>
              </w:rPr>
              <w:t xml:space="preserve"> לתקנות יאט"א, או תקנה 851, לפי העניין; או כל תקנה שאין בה שינוי מהותי, שתבוא במקומן;</w:t>
            </w:r>
          </w:p>
        </w:tc>
      </w:tr>
      <w:tr w:rsidR="000C35BA" w14:paraId="4A7581F4" w14:textId="77777777" w:rsidTr="00AF3ECD">
        <w:tc>
          <w:tcPr>
            <w:tcW w:w="2182" w:type="dxa"/>
            <w:hideMark/>
          </w:tcPr>
          <w:p w14:paraId="117BB0CD" w14:textId="77777777" w:rsidR="000C35BA" w:rsidRDefault="000C35BA">
            <w:pPr>
              <w:tabs>
                <w:tab w:val="right" w:pos="1967"/>
              </w:tabs>
              <w:rPr>
                <w:sz w:val="22"/>
              </w:rPr>
            </w:pPr>
            <w:r>
              <w:rPr>
                <w:rStyle w:val="a3"/>
                <w:rFonts w:cs="David" w:hint="cs"/>
                <w:sz w:val="22"/>
                <w:rtl/>
              </w:rPr>
              <w:t>"יאט"א</w:t>
            </w:r>
            <w:r>
              <w:rPr>
                <w:rFonts w:hint="cs"/>
                <w:sz w:val="22"/>
                <w:rtl/>
              </w:rPr>
              <w:t>":</w:t>
            </w:r>
            <w:r>
              <w:rPr>
                <w:rFonts w:hint="cs"/>
                <w:sz w:val="22"/>
                <w:rtl/>
              </w:rPr>
              <w:tab/>
            </w:r>
          </w:p>
        </w:tc>
        <w:tc>
          <w:tcPr>
            <w:tcW w:w="6340" w:type="dxa"/>
            <w:hideMark/>
          </w:tcPr>
          <w:p w14:paraId="513A73B3" w14:textId="77777777" w:rsidR="000C35BA" w:rsidRDefault="000C35BA">
            <w:pPr>
              <w:rPr>
                <w:sz w:val="22"/>
              </w:rPr>
            </w:pPr>
            <w:r>
              <w:rPr>
                <w:rFonts w:hint="cs"/>
                <w:rtl/>
              </w:rPr>
              <w:t>ארגון התעופה הבינלאומי -</w:t>
            </w:r>
            <w:r>
              <w:t>International Air Transport Association (IATA)</w:t>
            </w:r>
            <w:r>
              <w:rPr>
                <w:rFonts w:hint="cs"/>
                <w:rtl/>
              </w:rPr>
              <w:t xml:space="preserve">, </w:t>
            </w:r>
            <w:r>
              <w:rPr>
                <w:rFonts w:hint="cs"/>
                <w:sz w:val="22"/>
                <w:rtl/>
              </w:rPr>
              <w:t xml:space="preserve">וכל אדם קשור בה; </w:t>
            </w:r>
          </w:p>
        </w:tc>
      </w:tr>
      <w:tr w:rsidR="00E079DE" w14:paraId="1F255D64" w14:textId="77777777" w:rsidTr="00AF3ECD">
        <w:tc>
          <w:tcPr>
            <w:tcW w:w="2182" w:type="dxa"/>
          </w:tcPr>
          <w:p w14:paraId="387F767C" w14:textId="6E06F6BC" w:rsidR="00E079DE" w:rsidRDefault="00E079DE">
            <w:pPr>
              <w:tabs>
                <w:tab w:val="right" w:pos="1967"/>
              </w:tabs>
              <w:rPr>
                <w:rStyle w:val="a3"/>
                <w:rFonts w:cs="David"/>
                <w:sz w:val="22"/>
                <w:rtl/>
              </w:rPr>
            </w:pPr>
            <w:r>
              <w:rPr>
                <w:rFonts w:hint="cs"/>
                <w:b/>
                <w:bCs/>
                <w:rtl/>
              </w:rPr>
              <w:t>"מוצר המידע"</w:t>
            </w:r>
          </w:p>
        </w:tc>
        <w:tc>
          <w:tcPr>
            <w:tcW w:w="6340" w:type="dxa"/>
          </w:tcPr>
          <w:p w14:paraId="1C347ED0" w14:textId="195C6C01" w:rsidR="00E079DE" w:rsidRDefault="00A85EBD" w:rsidP="008A4BF0">
            <w:pPr>
              <w:rPr>
                <w:sz w:val="22"/>
                <w:rtl/>
              </w:rPr>
            </w:pPr>
            <w:r>
              <w:rPr>
                <w:rFonts w:hint="cs"/>
                <w:sz w:val="22"/>
                <w:rtl/>
              </w:rPr>
              <w:t>ה</w:t>
            </w:r>
            <w:r w:rsidR="00E079DE">
              <w:rPr>
                <w:rFonts w:hint="cs"/>
                <w:sz w:val="22"/>
                <w:rtl/>
              </w:rPr>
              <w:t xml:space="preserve">מוצר </w:t>
            </w:r>
            <w:r w:rsidR="005541C9">
              <w:rPr>
                <w:rFonts w:hint="cs"/>
                <w:sz w:val="22"/>
                <w:rtl/>
              </w:rPr>
              <w:t>שי</w:t>
            </w:r>
            <w:r>
              <w:rPr>
                <w:rFonts w:hint="cs"/>
                <w:sz w:val="22"/>
                <w:rtl/>
              </w:rPr>
              <w:t xml:space="preserve">וצע על ידי יאט"א </w:t>
            </w:r>
            <w:r w:rsidR="00E079DE">
              <w:rPr>
                <w:rFonts w:hint="cs"/>
                <w:sz w:val="22"/>
                <w:rtl/>
              </w:rPr>
              <w:t>המכונה "</w:t>
            </w:r>
            <w:r w:rsidR="00E079DE">
              <w:rPr>
                <w:sz w:val="22"/>
              </w:rPr>
              <w:t>CargoIS</w:t>
            </w:r>
            <w:r w:rsidR="00E079DE">
              <w:rPr>
                <w:rFonts w:hint="cs"/>
                <w:sz w:val="22"/>
                <w:rtl/>
              </w:rPr>
              <w:t xml:space="preserve">" והכולל נתונים על פעילות חברות תעופה, סוכני מטען מורשי יאט"א או עמיתים (כל אחד מהם, להלן בסעיף זה: </w:t>
            </w:r>
            <w:r w:rsidR="00E079DE">
              <w:rPr>
                <w:rFonts w:hint="cs"/>
                <w:b/>
                <w:bCs/>
                <w:sz w:val="22"/>
                <w:rtl/>
              </w:rPr>
              <w:t>"שחקן"</w:t>
            </w:r>
            <w:r w:rsidR="00E079DE">
              <w:rPr>
                <w:rFonts w:hint="cs"/>
                <w:sz w:val="22"/>
                <w:rtl/>
              </w:rPr>
              <w:t>) בקווי הובלת מטען, כדלקמן:</w:t>
            </w:r>
          </w:p>
          <w:p w14:paraId="24F1B66C" w14:textId="77777777" w:rsidR="00E079DE" w:rsidRPr="00265AC9" w:rsidRDefault="00E079DE" w:rsidP="0058763F">
            <w:pPr>
              <w:rPr>
                <w:sz w:val="22"/>
              </w:rPr>
            </w:pPr>
            <w:r w:rsidRPr="00971F44">
              <w:rPr>
                <w:rFonts w:hint="eastAsia"/>
                <w:sz w:val="22"/>
                <w:rtl/>
              </w:rPr>
              <w:t>מידע</w:t>
            </w:r>
            <w:r w:rsidRPr="00971F44">
              <w:rPr>
                <w:sz w:val="22"/>
                <w:rtl/>
              </w:rPr>
              <w:t xml:space="preserve"> </w:t>
            </w:r>
            <w:r w:rsidRPr="00971F44">
              <w:rPr>
                <w:rFonts w:hint="eastAsia"/>
                <w:sz w:val="22"/>
                <w:rtl/>
              </w:rPr>
              <w:t>בדבר</w:t>
            </w:r>
            <w:r w:rsidRPr="00971F44">
              <w:rPr>
                <w:sz w:val="22"/>
                <w:rtl/>
              </w:rPr>
              <w:t xml:space="preserve"> מספר </w:t>
            </w:r>
            <w:r w:rsidRPr="00971F44">
              <w:rPr>
                <w:rFonts w:hint="eastAsia"/>
                <w:sz w:val="22"/>
                <w:rtl/>
              </w:rPr>
              <w:t>שטרי</w:t>
            </w:r>
            <w:r w:rsidRPr="00971F44">
              <w:rPr>
                <w:sz w:val="22"/>
                <w:rtl/>
              </w:rPr>
              <w:t xml:space="preserve"> </w:t>
            </w:r>
            <w:r w:rsidRPr="00971F44">
              <w:rPr>
                <w:rFonts w:hint="eastAsia"/>
                <w:sz w:val="22"/>
                <w:rtl/>
              </w:rPr>
              <w:t>מטען</w:t>
            </w:r>
            <w:r w:rsidRPr="00971F44">
              <w:rPr>
                <w:sz w:val="22"/>
                <w:rtl/>
              </w:rPr>
              <w:t xml:space="preserve">, </w:t>
            </w:r>
            <w:r w:rsidRPr="00971F44">
              <w:rPr>
                <w:rFonts w:hint="eastAsia"/>
                <w:sz w:val="22"/>
                <w:rtl/>
              </w:rPr>
              <w:t>סך</w:t>
            </w:r>
            <w:r w:rsidRPr="00971F44">
              <w:rPr>
                <w:sz w:val="22"/>
                <w:rtl/>
              </w:rPr>
              <w:t xml:space="preserve"> </w:t>
            </w:r>
            <w:r w:rsidRPr="00971F44">
              <w:rPr>
                <w:rFonts w:hint="eastAsia"/>
                <w:sz w:val="22"/>
                <w:rtl/>
              </w:rPr>
              <w:t>משקלם</w:t>
            </w:r>
            <w:r w:rsidRPr="00971F44">
              <w:rPr>
                <w:sz w:val="22"/>
                <w:rtl/>
              </w:rPr>
              <w:t xml:space="preserve"> </w:t>
            </w:r>
            <w:r w:rsidRPr="00971F44">
              <w:rPr>
                <w:rFonts w:hint="eastAsia"/>
                <w:sz w:val="22"/>
                <w:rtl/>
              </w:rPr>
              <w:t>וסך</w:t>
            </w:r>
            <w:r w:rsidRPr="00971F44">
              <w:rPr>
                <w:sz w:val="22"/>
                <w:rtl/>
              </w:rPr>
              <w:t xml:space="preserve"> </w:t>
            </w:r>
            <w:r w:rsidRPr="00971F44">
              <w:rPr>
                <w:rFonts w:hint="eastAsia"/>
                <w:sz w:val="22"/>
                <w:rtl/>
              </w:rPr>
              <w:t>ההיטלים</w:t>
            </w:r>
            <w:r>
              <w:rPr>
                <w:rFonts w:hint="cs"/>
                <w:sz w:val="22"/>
                <w:rtl/>
              </w:rPr>
              <w:t xml:space="preserve"> והתשלומים או התקבולים (לפי העניין)</w:t>
            </w:r>
            <w:r w:rsidRPr="00971F44">
              <w:rPr>
                <w:sz w:val="22"/>
                <w:rtl/>
              </w:rPr>
              <w:t xml:space="preserve"> </w:t>
            </w:r>
            <w:r w:rsidRPr="00265AC9">
              <w:rPr>
                <w:rFonts w:hint="eastAsia"/>
                <w:sz w:val="22"/>
                <w:rtl/>
              </w:rPr>
              <w:t>של</w:t>
            </w:r>
            <w:r w:rsidRPr="00265AC9">
              <w:rPr>
                <w:sz w:val="22"/>
                <w:rtl/>
              </w:rPr>
              <w:t xml:space="preserve"> שחקן בקו מטען, ללא פירוט סוגי מטען ומאפייניו, </w:t>
            </w:r>
            <w:r>
              <w:rPr>
                <w:rFonts w:hint="cs"/>
                <w:rtl/>
              </w:rPr>
              <w:t xml:space="preserve">למעט </w:t>
            </w:r>
            <w:r w:rsidRPr="00AD5035">
              <w:rPr>
                <w:rFonts w:eastAsiaTheme="minorEastAsia" w:hint="cs"/>
                <w:rtl/>
              </w:rPr>
              <w:t xml:space="preserve">בחתך </w:t>
            </w:r>
            <w:r w:rsidRPr="00AD5035">
              <w:rPr>
                <w:rFonts w:eastAsiaTheme="minorEastAsia" w:hint="eastAsia"/>
                <w:rtl/>
              </w:rPr>
              <w:t>לפי</w:t>
            </w:r>
            <w:r w:rsidRPr="00AD5035">
              <w:rPr>
                <w:rFonts w:eastAsiaTheme="minorEastAsia"/>
                <w:rtl/>
              </w:rPr>
              <w:t xml:space="preserve"> </w:t>
            </w:r>
            <w:r w:rsidRPr="00AD5035">
              <w:rPr>
                <w:rFonts w:eastAsiaTheme="minorEastAsia" w:hint="eastAsia"/>
                <w:rtl/>
              </w:rPr>
              <w:t>משקל</w:t>
            </w:r>
            <w:r w:rsidRPr="00265AC9">
              <w:rPr>
                <w:sz w:val="22"/>
                <w:rtl/>
              </w:rPr>
              <w:t xml:space="preserve">. המידע </w:t>
            </w:r>
            <w:r>
              <w:rPr>
                <w:rFonts w:hint="cs"/>
                <w:sz w:val="22"/>
                <w:rtl/>
              </w:rPr>
              <w:t xml:space="preserve">זמין </w:t>
            </w:r>
            <w:r w:rsidRPr="00265AC9">
              <w:rPr>
                <w:rFonts w:hint="eastAsia"/>
                <w:sz w:val="22"/>
                <w:rtl/>
              </w:rPr>
              <w:t>ביחס</w:t>
            </w:r>
            <w:r w:rsidRPr="00265AC9">
              <w:rPr>
                <w:sz w:val="22"/>
                <w:rtl/>
              </w:rPr>
              <w:t xml:space="preserve"> </w:t>
            </w:r>
            <w:r w:rsidRPr="00265AC9">
              <w:rPr>
                <w:rFonts w:hint="eastAsia"/>
                <w:sz w:val="22"/>
                <w:rtl/>
              </w:rPr>
              <w:t>לחודש</w:t>
            </w:r>
            <w:r w:rsidRPr="00265AC9">
              <w:rPr>
                <w:sz w:val="22"/>
                <w:rtl/>
              </w:rPr>
              <w:t xml:space="preserve"> </w:t>
            </w:r>
            <w:r w:rsidRPr="00265AC9">
              <w:rPr>
                <w:rFonts w:hint="eastAsia"/>
                <w:sz w:val="22"/>
                <w:rtl/>
              </w:rPr>
              <w:t>קלנדרי</w:t>
            </w:r>
            <w:r w:rsidRPr="00265AC9">
              <w:rPr>
                <w:sz w:val="22"/>
                <w:rtl/>
              </w:rPr>
              <w:t xml:space="preserve"> </w:t>
            </w:r>
            <w:r w:rsidRPr="00265AC9">
              <w:rPr>
                <w:rFonts w:hint="eastAsia"/>
                <w:sz w:val="22"/>
                <w:rtl/>
              </w:rPr>
              <w:t>שלם</w:t>
            </w:r>
            <w:r w:rsidRPr="00265AC9">
              <w:rPr>
                <w:sz w:val="22"/>
                <w:rtl/>
              </w:rPr>
              <w:t xml:space="preserve"> </w:t>
            </w:r>
            <w:r w:rsidRPr="00265AC9">
              <w:rPr>
                <w:rFonts w:hint="eastAsia"/>
                <w:sz w:val="22"/>
                <w:rtl/>
              </w:rPr>
              <w:t>או</w:t>
            </w:r>
            <w:r w:rsidRPr="00265AC9">
              <w:rPr>
                <w:sz w:val="22"/>
                <w:rtl/>
              </w:rPr>
              <w:t xml:space="preserve"> </w:t>
            </w:r>
            <w:r w:rsidRPr="00265AC9">
              <w:rPr>
                <w:rFonts w:hint="eastAsia"/>
                <w:sz w:val="22"/>
                <w:rtl/>
              </w:rPr>
              <w:t>למספר</w:t>
            </w:r>
            <w:r w:rsidRPr="00265AC9">
              <w:rPr>
                <w:sz w:val="22"/>
                <w:rtl/>
              </w:rPr>
              <w:t xml:space="preserve"> </w:t>
            </w:r>
            <w:r w:rsidRPr="00265AC9">
              <w:rPr>
                <w:rFonts w:hint="eastAsia"/>
                <w:sz w:val="22"/>
                <w:rtl/>
              </w:rPr>
              <w:t>חודשים</w:t>
            </w:r>
            <w:r>
              <w:rPr>
                <w:rFonts w:hint="cs"/>
                <w:sz w:val="22"/>
                <w:rtl/>
              </w:rPr>
              <w:t>,</w:t>
            </w:r>
            <w:r w:rsidRPr="00265AC9">
              <w:rPr>
                <w:sz w:val="22"/>
                <w:rtl/>
              </w:rPr>
              <w:t xml:space="preserve"> </w:t>
            </w:r>
            <w:r>
              <w:rPr>
                <w:rFonts w:hint="cs"/>
                <w:sz w:val="22"/>
                <w:rtl/>
              </w:rPr>
              <w:t xml:space="preserve">וניתן להפיקו </w:t>
            </w:r>
            <w:r w:rsidRPr="00265AC9">
              <w:rPr>
                <w:sz w:val="22"/>
                <w:rtl/>
              </w:rPr>
              <w:t xml:space="preserve">ביחס לחודש </w:t>
            </w:r>
            <w:r>
              <w:rPr>
                <w:rFonts w:hint="cs"/>
                <w:sz w:val="22"/>
                <w:rtl/>
              </w:rPr>
              <w:t>פעילות מסויים</w:t>
            </w:r>
            <w:r w:rsidRPr="00265AC9">
              <w:rPr>
                <w:sz w:val="22"/>
                <w:rtl/>
              </w:rPr>
              <w:t xml:space="preserve"> רק </w:t>
            </w:r>
            <w:r>
              <w:rPr>
                <w:rFonts w:hint="cs"/>
                <w:sz w:val="22"/>
                <w:rtl/>
              </w:rPr>
              <w:t>לאחר שחלפו</w:t>
            </w:r>
            <w:r w:rsidRPr="00265AC9">
              <w:rPr>
                <w:sz w:val="22"/>
                <w:rtl/>
              </w:rPr>
              <w:t xml:space="preserve"> 21 </w:t>
            </w:r>
            <w:r w:rsidRPr="00265AC9">
              <w:rPr>
                <w:rFonts w:hint="eastAsia"/>
                <w:sz w:val="22"/>
                <w:rtl/>
              </w:rPr>
              <w:t>יום</w:t>
            </w:r>
            <w:r w:rsidRPr="00265AC9">
              <w:rPr>
                <w:sz w:val="22"/>
                <w:rtl/>
              </w:rPr>
              <w:t xml:space="preserve"> </w:t>
            </w:r>
            <w:r w:rsidRPr="00265AC9">
              <w:rPr>
                <w:rFonts w:hint="eastAsia"/>
                <w:sz w:val="22"/>
                <w:rtl/>
              </w:rPr>
              <w:t>לפחות</w:t>
            </w:r>
            <w:r w:rsidRPr="00265AC9">
              <w:rPr>
                <w:sz w:val="22"/>
                <w:rtl/>
              </w:rPr>
              <w:t xml:space="preserve"> מתום</w:t>
            </w:r>
            <w:r>
              <w:rPr>
                <w:rFonts w:hint="cs"/>
                <w:sz w:val="22"/>
                <w:rtl/>
              </w:rPr>
              <w:t xml:space="preserve"> אותו</w:t>
            </w:r>
            <w:r w:rsidRPr="00265AC9">
              <w:rPr>
                <w:sz w:val="22"/>
                <w:rtl/>
              </w:rPr>
              <w:t xml:space="preserve"> החודש.</w:t>
            </w:r>
            <w:r>
              <w:rPr>
                <w:rFonts w:hint="cs"/>
                <w:sz w:val="22"/>
                <w:rtl/>
              </w:rPr>
              <w:t xml:space="preserve"> </w:t>
            </w:r>
          </w:p>
          <w:p w14:paraId="67F0244D" w14:textId="77777777" w:rsidR="00E079DE" w:rsidRDefault="00E079DE" w:rsidP="00E079DE">
            <w:pPr>
              <w:rPr>
                <w:sz w:val="22"/>
              </w:rPr>
            </w:pPr>
            <w:r>
              <w:rPr>
                <w:rFonts w:hint="cs"/>
                <w:sz w:val="22"/>
                <w:rtl/>
              </w:rPr>
              <w:t xml:space="preserve">מבלי לגרוע מכלליות האמור </w:t>
            </w:r>
            <w:r>
              <w:rPr>
                <w:sz w:val="22"/>
              </w:rPr>
              <w:t>:</w:t>
            </w:r>
          </w:p>
          <w:p w14:paraId="02AD7A5D" w14:textId="77777777" w:rsidR="00E079DE" w:rsidRDefault="00E079DE" w:rsidP="0058763F">
            <w:pPr>
              <w:pStyle w:val="aa"/>
              <w:numPr>
                <w:ilvl w:val="0"/>
                <w:numId w:val="3"/>
              </w:numPr>
              <w:rPr>
                <w:sz w:val="22"/>
              </w:rPr>
            </w:pPr>
            <w:r>
              <w:rPr>
                <w:rFonts w:hint="cs"/>
                <w:sz w:val="22"/>
                <w:rtl/>
              </w:rPr>
              <w:t xml:space="preserve">המוצר </w:t>
            </w:r>
            <w:r>
              <w:rPr>
                <w:rFonts w:hint="cs"/>
                <w:rtl/>
              </w:rPr>
              <w:t xml:space="preserve">לא מאפשר לזהות נתונים (לרבות משקל, נפח, מחירים, תשלומים, תעריפים והיטלים) המתייחסים לשטר מטען פרטני, למטען פרטני או לסוג מטען מסויים, למעט בחתך לפי קבוצות משקל; </w:t>
            </w:r>
          </w:p>
          <w:p w14:paraId="543BF3D6" w14:textId="77777777" w:rsidR="00E079DE" w:rsidRDefault="00E079DE" w:rsidP="0058763F">
            <w:pPr>
              <w:pStyle w:val="aa"/>
              <w:numPr>
                <w:ilvl w:val="0"/>
                <w:numId w:val="3"/>
              </w:numPr>
              <w:rPr>
                <w:sz w:val="22"/>
                <w:rtl/>
              </w:rPr>
            </w:pPr>
            <w:r>
              <w:rPr>
                <w:rFonts w:hint="cs"/>
                <w:rtl/>
              </w:rPr>
              <w:lastRenderedPageBreak/>
              <w:t xml:space="preserve">המוצר לא מאפשר לזהות נתונים (לרבות נפח, מחירים, תשלומים, תעריפים והיטלים) ביחס לפעילות סוכן מטען מורשה יאט"א מסויים או עמית מסויים עם </w:t>
            </w:r>
            <w:r w:rsidRPr="002A60C5">
              <w:rPr>
                <w:rFonts w:hint="cs"/>
                <w:rtl/>
              </w:rPr>
              <w:t>חברת תעופה</w:t>
            </w:r>
            <w:r>
              <w:rPr>
                <w:rFonts w:hint="cs"/>
                <w:rtl/>
              </w:rPr>
              <w:t xml:space="preserve"> מסויימת; </w:t>
            </w:r>
          </w:p>
          <w:p w14:paraId="0CF1465F" w14:textId="3D1B6F23" w:rsidR="00E079DE" w:rsidRDefault="00E079DE" w:rsidP="00E079DE">
            <w:pPr>
              <w:pStyle w:val="aa"/>
              <w:numPr>
                <w:ilvl w:val="0"/>
                <w:numId w:val="3"/>
              </w:numPr>
              <w:rPr>
                <w:rtl/>
              </w:rPr>
            </w:pPr>
            <w:r>
              <w:rPr>
                <w:rFonts w:hint="cs"/>
                <w:rtl/>
              </w:rPr>
              <w:t>המידע אינו זמין לסוכן מטען מורשה יאט"א או עמית ביחס לסוכן או עמית אחר, ולא לחברת תעופה ביחס לחברת תעופה אחרת.</w:t>
            </w:r>
          </w:p>
        </w:tc>
      </w:tr>
      <w:tr w:rsidR="00E079DE" w14:paraId="0885FAD9" w14:textId="77777777" w:rsidTr="00AF3ECD">
        <w:tc>
          <w:tcPr>
            <w:tcW w:w="2182" w:type="dxa"/>
          </w:tcPr>
          <w:p w14:paraId="70FACC05" w14:textId="40E831AC" w:rsidR="00E079DE" w:rsidRDefault="00E079DE">
            <w:pPr>
              <w:tabs>
                <w:tab w:val="right" w:pos="1967"/>
              </w:tabs>
              <w:rPr>
                <w:sz w:val="22"/>
                <w:rtl/>
              </w:rPr>
            </w:pPr>
            <w:r>
              <w:rPr>
                <w:rFonts w:hint="cs"/>
                <w:sz w:val="22"/>
                <w:rtl/>
              </w:rPr>
              <w:lastRenderedPageBreak/>
              <w:t>"</w:t>
            </w:r>
            <w:r>
              <w:rPr>
                <w:rFonts w:hint="cs"/>
                <w:b/>
                <w:bCs/>
                <w:sz w:val="22"/>
                <w:rtl/>
              </w:rPr>
              <w:t>ניתוק</w:t>
            </w:r>
            <w:r>
              <w:rPr>
                <w:rFonts w:hint="cs"/>
                <w:sz w:val="22"/>
                <w:rtl/>
              </w:rPr>
              <w:t>":</w:t>
            </w:r>
          </w:p>
        </w:tc>
        <w:tc>
          <w:tcPr>
            <w:tcW w:w="6340" w:type="dxa"/>
          </w:tcPr>
          <w:p w14:paraId="6071CB02" w14:textId="26C66F46" w:rsidR="00E079DE" w:rsidRDefault="00E079DE">
            <w:pPr>
              <w:rPr>
                <w:sz w:val="22"/>
                <w:rtl/>
              </w:rPr>
            </w:pPr>
            <w:r>
              <w:rPr>
                <w:rFonts w:hint="cs"/>
                <w:sz w:val="22"/>
                <w:rtl/>
              </w:rPr>
              <w:t>שלילת השימוש בתכנית, הגבלה כלשהי של השימוש</w:t>
            </w:r>
            <w:r>
              <w:rPr>
                <w:rFonts w:hint="cs"/>
                <w:rtl/>
              </w:rPr>
              <w:t xml:space="preserve"> או התנית השימוש בתנאי שתוצאתו דומה לאלו, </w:t>
            </w:r>
            <w:r>
              <w:rPr>
                <w:rFonts w:hint="cs"/>
                <w:sz w:val="22"/>
                <w:rtl/>
              </w:rPr>
              <w:t xml:space="preserve">וכן פעולה בכל דרך אחרת שתוצאתה דומה; </w:t>
            </w:r>
          </w:p>
        </w:tc>
      </w:tr>
      <w:tr w:rsidR="00AF3ECD" w14:paraId="3F273BAF" w14:textId="77777777" w:rsidTr="00AF3ECD">
        <w:tc>
          <w:tcPr>
            <w:tcW w:w="2182" w:type="dxa"/>
          </w:tcPr>
          <w:p w14:paraId="56CF5791" w14:textId="6CD06677" w:rsidR="00AF3ECD" w:rsidRDefault="00AF3ECD">
            <w:pPr>
              <w:tabs>
                <w:tab w:val="right" w:pos="1967"/>
              </w:tabs>
              <w:rPr>
                <w:rStyle w:val="a3"/>
                <w:rFonts w:cs="David"/>
                <w:sz w:val="22"/>
                <w:rtl/>
              </w:rPr>
            </w:pPr>
            <w:r>
              <w:rPr>
                <w:rFonts w:hint="cs"/>
                <w:sz w:val="22"/>
                <w:rtl/>
              </w:rPr>
              <w:t>"</w:t>
            </w:r>
            <w:r>
              <w:rPr>
                <w:rFonts w:hint="cs"/>
                <w:b/>
                <w:bCs/>
                <w:sz w:val="22"/>
                <w:rtl/>
              </w:rPr>
              <w:t>סוכן מטען מורשה יאט"א</w:t>
            </w:r>
            <w:r>
              <w:rPr>
                <w:rFonts w:hint="cs"/>
                <w:sz w:val="22"/>
                <w:rtl/>
              </w:rPr>
              <w:t xml:space="preserve">": </w:t>
            </w:r>
          </w:p>
        </w:tc>
        <w:tc>
          <w:tcPr>
            <w:tcW w:w="6340" w:type="dxa"/>
          </w:tcPr>
          <w:p w14:paraId="6B5F3954" w14:textId="11F7CC0F" w:rsidR="00AF3ECD" w:rsidRDefault="00AF3ECD">
            <w:pPr>
              <w:rPr>
                <w:rtl/>
              </w:rPr>
            </w:pPr>
            <w:r>
              <w:rPr>
                <w:rFonts w:hint="cs"/>
                <w:sz w:val="22"/>
                <w:rtl/>
              </w:rPr>
              <w:t xml:space="preserve">סוכן מטען שעמד בהליך הבדיקה והאישור של יאט"א, על פי הקריטריונים הקבועים על ידה; </w:t>
            </w:r>
          </w:p>
        </w:tc>
      </w:tr>
      <w:tr w:rsidR="00AF3ECD" w14:paraId="608D17BD" w14:textId="77777777" w:rsidTr="00AF3ECD">
        <w:tc>
          <w:tcPr>
            <w:tcW w:w="2182" w:type="dxa"/>
          </w:tcPr>
          <w:p w14:paraId="7A3CD4B0" w14:textId="6A5C136B" w:rsidR="00AF3ECD" w:rsidRDefault="00AF3ECD">
            <w:pPr>
              <w:tabs>
                <w:tab w:val="right" w:pos="1967"/>
              </w:tabs>
              <w:rPr>
                <w:rStyle w:val="a3"/>
                <w:rFonts w:cs="David"/>
                <w:sz w:val="22"/>
                <w:rtl/>
              </w:rPr>
            </w:pPr>
            <w:r>
              <w:rPr>
                <w:rFonts w:hint="cs"/>
                <w:sz w:val="22"/>
                <w:rtl/>
              </w:rPr>
              <w:t>"</w:t>
            </w:r>
            <w:r>
              <w:rPr>
                <w:rFonts w:hint="cs"/>
                <w:b/>
                <w:bCs/>
                <w:sz w:val="22"/>
                <w:rtl/>
              </w:rPr>
              <w:t>עמית</w:t>
            </w:r>
            <w:r>
              <w:rPr>
                <w:rFonts w:hint="cs"/>
                <w:sz w:val="22"/>
                <w:rtl/>
              </w:rPr>
              <w:t>":</w:t>
            </w:r>
          </w:p>
        </w:tc>
        <w:tc>
          <w:tcPr>
            <w:tcW w:w="6340" w:type="dxa"/>
          </w:tcPr>
          <w:p w14:paraId="0AB86F28" w14:textId="6961E402" w:rsidR="00AF3ECD" w:rsidRDefault="00AF3ECD">
            <w:pPr>
              <w:rPr>
                <w:rtl/>
              </w:rPr>
            </w:pPr>
            <w:r>
              <w:rPr>
                <w:rFonts w:hint="cs"/>
                <w:sz w:val="22"/>
                <w:rtl/>
              </w:rPr>
              <w:t xml:space="preserve">סוכן מטען שאינו סוכן מטען מורשה יאט"א, או כל משתמש אחר בתכנית שאינו סוכן מטען מורשה יאט"א או חברת תעופה; </w:t>
            </w:r>
          </w:p>
        </w:tc>
      </w:tr>
      <w:tr w:rsidR="00E079DE" w14:paraId="6CBC1BBF" w14:textId="77777777" w:rsidTr="00AF3ECD">
        <w:trPr>
          <w:trHeight w:val="692"/>
        </w:trPr>
        <w:tc>
          <w:tcPr>
            <w:tcW w:w="2182" w:type="dxa"/>
          </w:tcPr>
          <w:p w14:paraId="44AF99EF" w14:textId="4DD50FF0" w:rsidR="00E079DE" w:rsidRDefault="00E079DE">
            <w:pPr>
              <w:rPr>
                <w:rtl/>
              </w:rPr>
            </w:pPr>
            <w:r>
              <w:rPr>
                <w:rFonts w:hint="cs"/>
                <w:sz w:val="22"/>
                <w:rtl/>
              </w:rPr>
              <w:t>"</w:t>
            </w:r>
            <w:r>
              <w:rPr>
                <w:rStyle w:val="a3"/>
                <w:rFonts w:cs="David" w:hint="cs"/>
                <w:sz w:val="22"/>
                <w:rtl/>
              </w:rPr>
              <w:t>שימוש</w:t>
            </w:r>
            <w:r>
              <w:rPr>
                <w:rFonts w:hint="cs"/>
                <w:sz w:val="22"/>
                <w:rtl/>
              </w:rPr>
              <w:t xml:space="preserve">": </w:t>
            </w:r>
          </w:p>
        </w:tc>
        <w:tc>
          <w:tcPr>
            <w:tcW w:w="6340" w:type="dxa"/>
          </w:tcPr>
          <w:p w14:paraId="1FB137F3" w14:textId="01D14947" w:rsidR="00E079DE" w:rsidRDefault="00E079DE" w:rsidP="0094643E">
            <w:r>
              <w:rPr>
                <w:rFonts w:hint="cs"/>
                <w:sz w:val="22"/>
                <w:rtl/>
              </w:rPr>
              <w:t xml:space="preserve">ביצוע פעולות באמצעות התכנית, ובכללן דיווח, התחשבנות, סליקה או תשלום, ריכוז חיובים וזיכויים והעברת הפירוט בדבר חיובים וזיכויים לגורם שבחובה או בזכות; </w:t>
            </w:r>
          </w:p>
        </w:tc>
      </w:tr>
      <w:tr w:rsidR="00E079DE" w14:paraId="69610D81" w14:textId="77777777" w:rsidTr="00AF3ECD">
        <w:trPr>
          <w:trHeight w:val="692"/>
        </w:trPr>
        <w:tc>
          <w:tcPr>
            <w:tcW w:w="2182" w:type="dxa"/>
          </w:tcPr>
          <w:p w14:paraId="3A3A0CCB" w14:textId="4134C47E" w:rsidR="00E079DE" w:rsidRDefault="00E079DE">
            <w:pPr>
              <w:rPr>
                <w:rtl/>
              </w:rPr>
            </w:pPr>
            <w:r>
              <w:rPr>
                <w:rFonts w:hint="cs"/>
                <w:sz w:val="22"/>
                <w:rtl/>
              </w:rPr>
              <w:t>"</w:t>
            </w:r>
            <w:r>
              <w:rPr>
                <w:rFonts w:hint="cs"/>
                <w:b/>
                <w:bCs/>
                <w:sz w:val="22"/>
                <w:rtl/>
              </w:rPr>
              <w:t>ה</w:t>
            </w:r>
            <w:r>
              <w:rPr>
                <w:rStyle w:val="a3"/>
                <w:rFonts w:cs="David" w:hint="cs"/>
                <w:sz w:val="22"/>
                <w:rtl/>
              </w:rPr>
              <w:t>תכנית</w:t>
            </w:r>
            <w:r>
              <w:rPr>
                <w:rFonts w:hint="cs"/>
                <w:sz w:val="22"/>
                <w:rtl/>
              </w:rPr>
              <w:t xml:space="preserve">": </w:t>
            </w:r>
          </w:p>
        </w:tc>
        <w:tc>
          <w:tcPr>
            <w:tcW w:w="6340" w:type="dxa"/>
          </w:tcPr>
          <w:p w14:paraId="60098C87" w14:textId="2062E952" w:rsidR="00E079DE" w:rsidRDefault="00E079DE" w:rsidP="0094643E">
            <w:r>
              <w:rPr>
                <w:rFonts w:hint="cs"/>
                <w:sz w:val="22"/>
                <w:rtl/>
              </w:rPr>
              <w:t xml:space="preserve">תכנית </w:t>
            </w:r>
            <w:r>
              <w:rPr>
                <w:rFonts w:hint="cs"/>
                <w:rtl/>
              </w:rPr>
              <w:t xml:space="preserve">הנקראת </w:t>
            </w:r>
            <w:r>
              <w:t>Cargo Account Settlement System</w:t>
            </w:r>
            <w:r>
              <w:rPr>
                <w:rFonts w:hint="cs"/>
                <w:sz w:val="22"/>
                <w:rtl/>
              </w:rPr>
              <w:t xml:space="preserve"> (</w:t>
            </w:r>
            <w:r>
              <w:rPr>
                <w:sz w:val="22"/>
              </w:rPr>
              <w:t>CASS</w:t>
            </w:r>
            <w:r>
              <w:rPr>
                <w:rFonts w:hint="cs"/>
                <w:sz w:val="22"/>
                <w:rtl/>
              </w:rPr>
              <w:t xml:space="preserve">) המנוהלת ע"י יאט"א, ומאפשרת את ביצועם של הליכי דיווח, התחשבנות, סליקה או תשלום בין סוכן מטען מורשה יאט"א או עמית לבין חברת תעופה; </w:t>
            </w:r>
          </w:p>
        </w:tc>
      </w:tr>
      <w:tr w:rsidR="000C35BA" w14:paraId="6102D50E" w14:textId="77777777" w:rsidTr="00AF3ECD">
        <w:trPr>
          <w:trHeight w:val="692"/>
        </w:trPr>
        <w:tc>
          <w:tcPr>
            <w:tcW w:w="2182" w:type="dxa"/>
            <w:hideMark/>
          </w:tcPr>
          <w:p w14:paraId="19074502" w14:textId="77777777" w:rsidR="000C35BA" w:rsidRDefault="000C35BA">
            <w:r>
              <w:rPr>
                <w:rFonts w:hint="cs"/>
                <w:rtl/>
              </w:rPr>
              <w:t>"</w:t>
            </w:r>
            <w:r>
              <w:rPr>
                <w:rFonts w:hint="cs"/>
                <w:b/>
                <w:bCs/>
                <w:rtl/>
              </w:rPr>
              <w:t>תקנות יאט"א</w:t>
            </w:r>
            <w:r>
              <w:rPr>
                <w:rFonts w:hint="cs"/>
                <w:rtl/>
              </w:rPr>
              <w:t>":</w:t>
            </w:r>
          </w:p>
        </w:tc>
        <w:tc>
          <w:tcPr>
            <w:tcW w:w="6340" w:type="dxa"/>
            <w:hideMark/>
          </w:tcPr>
          <w:p w14:paraId="46EF2FA0" w14:textId="77777777" w:rsidR="000C35BA" w:rsidRDefault="000C35BA" w:rsidP="0094643E">
            <w:pPr>
              <w:rPr>
                <w:rtl/>
              </w:rPr>
            </w:pPr>
            <w:r>
              <w:t>IATA Resolutions</w:t>
            </w:r>
            <w:r>
              <w:rPr>
                <w:rFonts w:hint="cs"/>
                <w:rtl/>
              </w:rPr>
              <w:t xml:space="preserve"> </w:t>
            </w:r>
            <w:r w:rsidR="0094643E">
              <w:rPr>
                <w:rFonts w:hint="cs"/>
                <w:rtl/>
              </w:rPr>
              <w:t>כנוסחן במועד החלטה זו</w:t>
            </w:r>
            <w:r>
              <w:rPr>
                <w:rFonts w:hint="cs"/>
                <w:rtl/>
              </w:rPr>
              <w:t xml:space="preserve">; </w:t>
            </w:r>
          </w:p>
        </w:tc>
      </w:tr>
    </w:tbl>
    <w:p w14:paraId="3179AF47" w14:textId="77777777" w:rsidR="000C35BA" w:rsidRDefault="000C35BA" w:rsidP="000C35BA">
      <w:pPr>
        <w:pStyle w:val="1"/>
        <w:spacing w:before="360"/>
        <w:ind w:firstLine="357"/>
        <w:rPr>
          <w:rtl/>
        </w:rPr>
      </w:pPr>
      <w:r>
        <w:rPr>
          <w:rFonts w:hint="cs"/>
          <w:rtl/>
        </w:rPr>
        <w:t xml:space="preserve">ב. </w:t>
      </w:r>
      <w:r>
        <w:rPr>
          <w:rFonts w:hint="cs"/>
          <w:u w:val="single"/>
          <w:rtl/>
        </w:rPr>
        <w:t xml:space="preserve">חובה לאפשר חיבור לתכנית </w:t>
      </w:r>
    </w:p>
    <w:p w14:paraId="2445F429" w14:textId="54730109" w:rsidR="000C35BA" w:rsidRDefault="000C35BA" w:rsidP="00AD27C5">
      <w:pPr>
        <w:numPr>
          <w:ilvl w:val="0"/>
          <w:numId w:val="1"/>
        </w:numPr>
        <w:rPr>
          <w:rtl/>
        </w:rPr>
      </w:pPr>
      <w:r>
        <w:rPr>
          <w:rFonts w:hint="cs"/>
          <w:rtl/>
        </w:rPr>
        <w:t>יאט"א תאפשר לכל סוכן מטען מורשה יאט"א בישראל, לכל עמית ולכל חברת תעופה</w:t>
      </w:r>
      <w:r>
        <w:rPr>
          <w:rFonts w:hint="cs"/>
          <w:b/>
          <w:bCs/>
          <w:sz w:val="22"/>
          <w:rtl/>
        </w:rPr>
        <w:t xml:space="preserve"> </w:t>
      </w:r>
      <w:r>
        <w:rPr>
          <w:rFonts w:hint="cs"/>
          <w:rtl/>
        </w:rPr>
        <w:t>המבקשים זאת, להתחבר לתכנית. יאט"א לא תפלה בין סוכני מטען</w:t>
      </w:r>
      <w:r w:rsidR="00323469">
        <w:rPr>
          <w:rFonts w:hint="cs"/>
          <w:rtl/>
        </w:rPr>
        <w:t xml:space="preserve"> מורשי יאט"א</w:t>
      </w:r>
      <w:r>
        <w:rPr>
          <w:rFonts w:hint="cs"/>
          <w:rtl/>
        </w:rPr>
        <w:t>, לא תפלה בין עמיתים ולא תפלה בין חברות תעופה בחיבורם לתכנית.</w:t>
      </w:r>
      <w:r w:rsidR="00CD4D04">
        <w:rPr>
          <w:rFonts w:hint="cs"/>
          <w:rtl/>
        </w:rPr>
        <w:t xml:space="preserve"> </w:t>
      </w:r>
    </w:p>
    <w:p w14:paraId="2AB499AB" w14:textId="77777777" w:rsidR="000C35BA" w:rsidRDefault="000C35BA" w:rsidP="000C35BA">
      <w:pPr>
        <w:numPr>
          <w:ilvl w:val="0"/>
          <w:numId w:val="1"/>
        </w:numPr>
        <w:rPr>
          <w:rtl/>
        </w:rPr>
      </w:pPr>
      <w:r>
        <w:rPr>
          <w:rFonts w:hint="cs"/>
          <w:rtl/>
        </w:rPr>
        <w:t xml:space="preserve">א. יאט"א לא תגבה דמי חיבור כלשהם מסוכן מטען מורשה יאט"א עבור החיבור לתכנית. </w:t>
      </w:r>
    </w:p>
    <w:p w14:paraId="6D78079D" w14:textId="43CE8BCD" w:rsidR="000C35BA" w:rsidRDefault="000C35BA" w:rsidP="00AF3ECD">
      <w:pPr>
        <w:ind w:left="360"/>
        <w:rPr>
          <w:highlight w:val="yellow"/>
        </w:rPr>
      </w:pPr>
      <w:r>
        <w:rPr>
          <w:rFonts w:hint="cs"/>
          <w:rtl/>
        </w:rPr>
        <w:t xml:space="preserve">ב. יאט"א רשאית לגבות דמי חיבור מעמית או </w:t>
      </w:r>
      <w:r w:rsidRPr="00AF3ECD">
        <w:rPr>
          <w:rFonts w:hint="eastAsia"/>
          <w:rtl/>
        </w:rPr>
        <w:t>מחברת</w:t>
      </w:r>
      <w:r w:rsidRPr="00AF3ECD">
        <w:rPr>
          <w:rtl/>
        </w:rPr>
        <w:t xml:space="preserve"> </w:t>
      </w:r>
      <w:r w:rsidRPr="00AF3ECD">
        <w:rPr>
          <w:rFonts w:hint="eastAsia"/>
          <w:rtl/>
        </w:rPr>
        <w:t>תעופה</w:t>
      </w:r>
      <w:r>
        <w:rPr>
          <w:rFonts w:hint="cs"/>
          <w:rtl/>
        </w:rPr>
        <w:t xml:space="preserve">, ובלבד שלא תפלה בין עמיתים או בין חברות תעופה. </w:t>
      </w:r>
    </w:p>
    <w:p w14:paraId="30C911B7" w14:textId="77777777" w:rsidR="000C35BA" w:rsidRDefault="000C35BA" w:rsidP="000C35BA">
      <w:pPr>
        <w:pStyle w:val="1"/>
        <w:spacing w:before="240"/>
        <w:ind w:firstLine="360"/>
        <w:rPr>
          <w:u w:val="single"/>
          <w:rtl/>
        </w:rPr>
      </w:pPr>
      <w:r>
        <w:rPr>
          <w:rFonts w:hint="cs"/>
          <w:rtl/>
        </w:rPr>
        <w:t xml:space="preserve">ג. </w:t>
      </w:r>
      <w:r>
        <w:rPr>
          <w:rFonts w:hint="cs"/>
          <w:u w:val="single"/>
          <w:rtl/>
        </w:rPr>
        <w:t xml:space="preserve">איסור על שיתוף או העברה של מידע </w:t>
      </w:r>
    </w:p>
    <w:p w14:paraId="2CB960BD" w14:textId="65D60446" w:rsidR="000C35BA" w:rsidRDefault="000C35BA" w:rsidP="00AD27C5">
      <w:pPr>
        <w:numPr>
          <w:ilvl w:val="0"/>
          <w:numId w:val="1"/>
        </w:numPr>
        <w:rPr>
          <w:rtl/>
        </w:rPr>
      </w:pPr>
      <w:r>
        <w:rPr>
          <w:rFonts w:hint="cs"/>
          <w:rtl/>
        </w:rPr>
        <w:t xml:space="preserve">א. יאט"א לא תעשה שימוש במידע שהועבר בתכנית שלא לצרכי התכנית. בכלל זה, יאט"א לא תעביר לסוכן מטען מורשה יאט"א, לעמית או לחברת תעופה, או לכל אדם הקשור למי </w:t>
      </w:r>
      <w:r>
        <w:rPr>
          <w:rFonts w:hint="cs"/>
          <w:rtl/>
        </w:rPr>
        <w:lastRenderedPageBreak/>
        <w:t xml:space="preserve">מהם, במישרין או בעקיפין, מידע שהועבר בתכנית, לרבות הודעה בדבר אי ביצוע תשלום או תשלום שבוצע בחסר. אין באמור בס"ק זה לאסור: (1) העברה של מידע כאמור לחברת תעופה, לסוכן מטען מורשה יאט"א או לעמית בנוגע לעסקה שהם צד לה או מידע </w:t>
      </w:r>
      <w:r w:rsidR="0004305F">
        <w:rPr>
          <w:rFonts w:hint="cs"/>
          <w:rtl/>
        </w:rPr>
        <w:t>על</w:t>
      </w:r>
      <w:r>
        <w:rPr>
          <w:rFonts w:hint="cs"/>
          <w:rtl/>
        </w:rPr>
        <w:t xml:space="preserve"> פעילותם הם; (2) העברת מידע הנושא אופי סטטיסטי-כללי ואיננו מתייחס לסוכן, לעמית</w:t>
      </w:r>
      <w:r w:rsidR="0022610B">
        <w:rPr>
          <w:rFonts w:hint="cs"/>
          <w:rtl/>
        </w:rPr>
        <w:t xml:space="preserve"> או</w:t>
      </w:r>
      <w:r>
        <w:rPr>
          <w:rFonts w:hint="cs"/>
          <w:rtl/>
        </w:rPr>
        <w:t xml:space="preserve"> לחברת תעופה </w:t>
      </w:r>
      <w:r w:rsidR="0022610B">
        <w:rPr>
          <w:rFonts w:hint="cs"/>
          <w:rtl/>
        </w:rPr>
        <w:t>מסויימים</w:t>
      </w:r>
      <w:r>
        <w:rPr>
          <w:rFonts w:hint="cs"/>
          <w:rtl/>
        </w:rPr>
        <w:t xml:space="preserve"> או למטען </w:t>
      </w:r>
      <w:r w:rsidR="0022610B">
        <w:rPr>
          <w:rFonts w:hint="cs"/>
          <w:rtl/>
        </w:rPr>
        <w:t>מסו</w:t>
      </w:r>
      <w:r>
        <w:rPr>
          <w:rFonts w:hint="cs"/>
          <w:rtl/>
        </w:rPr>
        <w:t>י</w:t>
      </w:r>
      <w:r w:rsidR="0022610B">
        <w:rPr>
          <w:rFonts w:hint="cs"/>
          <w:rtl/>
        </w:rPr>
        <w:t>ם</w:t>
      </w:r>
      <w:r>
        <w:rPr>
          <w:rFonts w:hint="cs"/>
          <w:rtl/>
        </w:rPr>
        <w:t xml:space="preserve"> או לסוג ומאפייני מטען מסויימים; (3) </w:t>
      </w:r>
      <w:r w:rsidRPr="002A60C5">
        <w:rPr>
          <w:rFonts w:hint="cs"/>
          <w:rtl/>
        </w:rPr>
        <w:t xml:space="preserve">העברת מידע על ידי יאט"א </w:t>
      </w:r>
      <w:r w:rsidR="007F2F0D">
        <w:rPr>
          <w:rFonts w:hint="cs"/>
          <w:rtl/>
        </w:rPr>
        <w:t>לחבר</w:t>
      </w:r>
      <w:r w:rsidR="008C76C7">
        <w:rPr>
          <w:rFonts w:hint="cs"/>
          <w:rtl/>
        </w:rPr>
        <w:t>ות התעופה שב</w:t>
      </w:r>
      <w:r w:rsidR="007F2F0D">
        <w:rPr>
          <w:rFonts w:hint="cs"/>
          <w:rtl/>
        </w:rPr>
        <w:t xml:space="preserve">תכנית </w:t>
      </w:r>
      <w:r w:rsidRPr="002A60C5">
        <w:rPr>
          <w:rFonts w:hint="cs"/>
          <w:rtl/>
        </w:rPr>
        <w:t>בנוגע ל</w:t>
      </w:r>
      <w:r w:rsidR="00256F8B">
        <w:rPr>
          <w:rFonts w:hint="cs"/>
          <w:rtl/>
        </w:rPr>
        <w:t>חריגה או ל</w:t>
      </w:r>
      <w:r w:rsidRPr="002A60C5">
        <w:rPr>
          <w:rFonts w:hint="cs"/>
          <w:rtl/>
        </w:rPr>
        <w:t>הליך הבדיקה והאישור של סוכן מטען מורשה יאט"א או עמית</w:t>
      </w:r>
      <w:r>
        <w:rPr>
          <w:rFonts w:hint="cs"/>
          <w:rtl/>
        </w:rPr>
        <w:t>; (4) שימוש במידע שהועבר בתכנית לצורך מוצר המידע.</w:t>
      </w:r>
    </w:p>
    <w:p w14:paraId="5EC10288" w14:textId="6A4C5269" w:rsidR="000C35BA" w:rsidRDefault="000C35BA" w:rsidP="00385BB1">
      <w:pPr>
        <w:ind w:left="360"/>
        <w:rPr>
          <w:rtl/>
        </w:rPr>
      </w:pPr>
      <w:r>
        <w:rPr>
          <w:rFonts w:hint="cs"/>
          <w:rtl/>
        </w:rPr>
        <w:t xml:space="preserve">ב. יאט"א </w:t>
      </w:r>
      <w:r w:rsidR="005541C9">
        <w:rPr>
          <w:rFonts w:hint="cs"/>
          <w:rtl/>
        </w:rPr>
        <w:t>א</w:t>
      </w:r>
      <w:r w:rsidR="00AD27C5">
        <w:rPr>
          <w:rFonts w:hint="cs"/>
          <w:rtl/>
        </w:rPr>
        <w:t>ו</w:t>
      </w:r>
      <w:r w:rsidR="005541C9">
        <w:rPr>
          <w:rFonts w:hint="cs"/>
          <w:rtl/>
        </w:rPr>
        <w:t xml:space="preserve"> </w:t>
      </w:r>
      <w:r>
        <w:rPr>
          <w:rFonts w:hint="cs"/>
          <w:rtl/>
        </w:rPr>
        <w:t>חברת תעופה שחוברה לתכנית לא יעבירו לחברת תעופה</w:t>
      </w:r>
      <w:r w:rsidR="00385BB1">
        <w:rPr>
          <w:rFonts w:hint="cs"/>
          <w:rtl/>
        </w:rPr>
        <w:t xml:space="preserve"> אחרת</w:t>
      </w:r>
      <w:r w:rsidR="00AD5035">
        <w:rPr>
          <w:rFonts w:hint="cs"/>
          <w:rtl/>
        </w:rPr>
        <w:t>, במישרין או בעקיפין,</w:t>
      </w:r>
      <w:r>
        <w:rPr>
          <w:rFonts w:hint="cs"/>
          <w:rtl/>
        </w:rPr>
        <w:t xml:space="preserve"> הנחיה או המלצה בנוגע להתקשרות עם סוכן מטען מורשה יאט"א או עם עמית, או </w:t>
      </w:r>
      <w:r w:rsidR="001D7443">
        <w:rPr>
          <w:rFonts w:hint="cs"/>
          <w:rtl/>
        </w:rPr>
        <w:t>בנוגע ל</w:t>
      </w:r>
      <w:r>
        <w:rPr>
          <w:rFonts w:hint="cs"/>
          <w:rtl/>
        </w:rPr>
        <w:t xml:space="preserve">תנאיה. </w:t>
      </w:r>
    </w:p>
    <w:p w14:paraId="4A8CD9EA" w14:textId="77777777" w:rsidR="000C35BA" w:rsidRDefault="000C35BA" w:rsidP="000C35BA">
      <w:pPr>
        <w:pStyle w:val="1"/>
        <w:spacing w:before="240"/>
        <w:ind w:firstLine="360"/>
        <w:rPr>
          <w:u w:val="single"/>
          <w:rtl/>
        </w:rPr>
      </w:pPr>
      <w:r>
        <w:rPr>
          <w:rFonts w:hint="cs"/>
          <w:rtl/>
        </w:rPr>
        <w:t xml:space="preserve">ד. </w:t>
      </w:r>
      <w:r>
        <w:rPr>
          <w:rFonts w:hint="cs"/>
          <w:u w:val="single"/>
          <w:rtl/>
        </w:rPr>
        <w:t xml:space="preserve">הגבלת ניתוק מהתכנית </w:t>
      </w:r>
    </w:p>
    <w:p w14:paraId="1890CF23" w14:textId="77777777" w:rsidR="000C35BA" w:rsidRDefault="000C35BA" w:rsidP="00FE19EA">
      <w:pPr>
        <w:numPr>
          <w:ilvl w:val="0"/>
          <w:numId w:val="1"/>
        </w:numPr>
        <w:rPr>
          <w:rtl/>
        </w:rPr>
      </w:pPr>
      <w:r>
        <w:rPr>
          <w:rFonts w:hint="cs"/>
          <w:rtl/>
        </w:rPr>
        <w:t>א. יאט"א לא תנתק סוכן מטען מורשה יאט"א או עמית מהתכנית, אם במועד התשלום מצויים בידי הסוכן או העמית הכספים לפירעון מלא של התשלום בחשבון הבנק ממנו הוא יבוצע, והסוכן או העמית עשה את הפעולות הנדרשות על מנת לשלם את החוב במלואו ובמועדו, אולם כתוצאה מנסיבות חיצוניות, שאינן בשליטתו, לרבות טעות בהקלדת נתונים, טעות או תקלה טכנית במערכות הבנק או שביתה בבנק (להלן</w:t>
      </w:r>
      <w:r w:rsidR="00FE19EA">
        <w:rPr>
          <w:rFonts w:hint="cs"/>
          <w:rtl/>
        </w:rPr>
        <w:t>:</w:t>
      </w:r>
      <w:r>
        <w:rPr>
          <w:rFonts w:hint="cs"/>
          <w:rtl/>
        </w:rPr>
        <w:t xml:space="preserve"> "</w:t>
      </w:r>
      <w:r>
        <w:rPr>
          <w:rFonts w:hint="cs"/>
          <w:b/>
          <w:bCs/>
          <w:rtl/>
        </w:rPr>
        <w:t>מניעה טכנית</w:t>
      </w:r>
      <w:r>
        <w:rPr>
          <w:rFonts w:hint="cs"/>
          <w:rtl/>
        </w:rPr>
        <w:t>"), לא בוצע התשלום במלואו ובמועדו, ובלבד שהסוכן או העמית המציא ליאט"א אסמכת</w:t>
      </w:r>
      <w:r w:rsidR="00083288">
        <w:rPr>
          <w:rFonts w:hint="cs"/>
          <w:rtl/>
        </w:rPr>
        <w:t>א</w:t>
      </w:r>
      <w:r>
        <w:rPr>
          <w:rFonts w:hint="cs"/>
          <w:rtl/>
        </w:rPr>
        <w:t xml:space="preserve">ות המעידות על התקיימותם של כל אלה. </w:t>
      </w:r>
    </w:p>
    <w:p w14:paraId="06671F20" w14:textId="07A68720" w:rsidR="000C35BA" w:rsidRDefault="000C35BA" w:rsidP="008A4BF0">
      <w:pPr>
        <w:ind w:left="360"/>
        <w:rPr>
          <w:rtl/>
        </w:rPr>
      </w:pPr>
      <w:r>
        <w:rPr>
          <w:rFonts w:hint="cs"/>
          <w:rtl/>
        </w:rPr>
        <w:t xml:space="preserve">ב. בנסיבות שתוארו בס"ק א. לעיל, לא ירשם האיחור בתשלום לחובת הסוכן או העמית כחריגה (ואם נרשם, יימחק הרישום ללא כל דיחוי) ויאט"א לא תנקוט כל צעד אחר נגד הסוכן או נגד העמית, לפי העניין, ובלבד ששילם את יתרת התשלום מיד לאחר </w:t>
      </w:r>
      <w:r w:rsidR="002365D9">
        <w:rPr>
          <w:rFonts w:hint="cs"/>
          <w:rtl/>
        </w:rPr>
        <w:t xml:space="preserve">שהתגלתה </w:t>
      </w:r>
      <w:r>
        <w:rPr>
          <w:rFonts w:hint="cs"/>
          <w:rtl/>
        </w:rPr>
        <w:t xml:space="preserve">המניעה הטכנית, ככל שלא קיימת מניעה טכנית </w:t>
      </w:r>
      <w:r w:rsidR="00D25333">
        <w:rPr>
          <w:rFonts w:hint="cs"/>
          <w:rtl/>
        </w:rPr>
        <w:t xml:space="preserve">נוספת </w:t>
      </w:r>
      <w:r>
        <w:rPr>
          <w:rFonts w:hint="cs"/>
          <w:rtl/>
        </w:rPr>
        <w:t xml:space="preserve">להעברת התשלום. </w:t>
      </w:r>
    </w:p>
    <w:p w14:paraId="3D21C4F3" w14:textId="77777777" w:rsidR="000C35BA" w:rsidRDefault="000C35BA" w:rsidP="000C35BA">
      <w:pPr>
        <w:pStyle w:val="1"/>
        <w:spacing w:before="240"/>
        <w:ind w:firstLine="360"/>
        <w:rPr>
          <w:u w:val="single"/>
          <w:rtl/>
        </w:rPr>
      </w:pPr>
      <w:r>
        <w:rPr>
          <w:rFonts w:hint="cs"/>
          <w:rtl/>
        </w:rPr>
        <w:t xml:space="preserve">ה. </w:t>
      </w:r>
      <w:r>
        <w:rPr>
          <w:rFonts w:hint="cs"/>
          <w:u w:val="single"/>
          <w:rtl/>
        </w:rPr>
        <w:t xml:space="preserve">הודעה בדבר סכום השנוי במחלוקת </w:t>
      </w:r>
    </w:p>
    <w:p w14:paraId="538D6C34" w14:textId="77777777" w:rsidR="000C35BA" w:rsidRDefault="000C35BA" w:rsidP="000C35BA">
      <w:pPr>
        <w:numPr>
          <w:ilvl w:val="0"/>
          <w:numId w:val="1"/>
        </w:numPr>
        <w:rPr>
          <w:rtl/>
        </w:rPr>
      </w:pPr>
      <w:r>
        <w:rPr>
          <w:rFonts w:hint="cs"/>
          <w:rtl/>
        </w:rPr>
        <w:t xml:space="preserve">היה ולפי רישומיה של יאט"א לא בוצע תשלום על ידי סוכן מטען מורשה יאט"א או עמית באותו מועד שנקבע לתשלום, או שתשלום כאמור בוצע בחסר, תודיע יאט"א לאותו סוכן או עמית על אי-ביצועו של תשלום או ביצוע תשלום בחסר כאמור. </w:t>
      </w:r>
    </w:p>
    <w:p w14:paraId="737CDD21" w14:textId="70CDD4D9" w:rsidR="000C35BA" w:rsidRDefault="000C35BA" w:rsidP="001865A5">
      <w:pPr>
        <w:numPr>
          <w:ilvl w:val="0"/>
          <w:numId w:val="1"/>
        </w:numPr>
      </w:pPr>
      <w:r>
        <w:rPr>
          <w:rFonts w:hint="cs"/>
          <w:rtl/>
        </w:rPr>
        <w:t xml:space="preserve">א. הודיע סוכן מטען מורשה יאט"א או עמית ליאט"א כי הוא חולק על חיוב שחוייב בו באמצעות התכנית, וצרף אישור על מסירת הודעה לחברת התעופה על מחלוקת כאמור (אלא אם החיוב שניתנת בגינו הודעה </w:t>
      </w:r>
      <w:r w:rsidR="00320D6B">
        <w:rPr>
          <w:rFonts w:hint="cs"/>
          <w:rtl/>
        </w:rPr>
        <w:t xml:space="preserve">נוגע לחיוב </w:t>
      </w:r>
      <w:r w:rsidR="001865A5">
        <w:rPr>
          <w:rFonts w:hint="cs"/>
          <w:rtl/>
        </w:rPr>
        <w:t>לטובת</w:t>
      </w:r>
      <w:r w:rsidR="00320D6B">
        <w:rPr>
          <w:rFonts w:hint="cs"/>
          <w:rtl/>
        </w:rPr>
        <w:t xml:space="preserve"> יאט"א</w:t>
      </w:r>
      <w:r w:rsidR="001865A5">
        <w:rPr>
          <w:rFonts w:hint="cs"/>
          <w:rtl/>
        </w:rPr>
        <w:t>,</w:t>
      </w:r>
      <w:r w:rsidR="00320D6B">
        <w:rPr>
          <w:rFonts w:hint="cs"/>
          <w:rtl/>
        </w:rPr>
        <w:t xml:space="preserve"> ש</w:t>
      </w:r>
      <w:r>
        <w:rPr>
          <w:rFonts w:hint="cs"/>
          <w:rtl/>
        </w:rPr>
        <w:t xml:space="preserve">אינו מתייחס לחברת תעופה ספציפית), וזאת עד למועד שנקבע בס"ק </w:t>
      </w:r>
      <w:r w:rsidR="005C3831">
        <w:rPr>
          <w:rFonts w:hint="cs"/>
          <w:rtl/>
        </w:rPr>
        <w:t xml:space="preserve">ד </w:t>
      </w:r>
      <w:r>
        <w:rPr>
          <w:rFonts w:hint="cs"/>
          <w:rtl/>
        </w:rPr>
        <w:t xml:space="preserve">להלן, תקיים יאט"א את כל אלה: </w:t>
      </w:r>
    </w:p>
    <w:p w14:paraId="183C3DD1" w14:textId="77777777" w:rsidR="000C35BA" w:rsidRDefault="000C35BA" w:rsidP="000C35BA">
      <w:pPr>
        <w:ind w:left="360"/>
      </w:pPr>
      <w:r>
        <w:rPr>
          <w:rFonts w:hint="cs"/>
          <w:rtl/>
        </w:rPr>
        <w:t xml:space="preserve">(1) תתקן את החיוב לצורך התכנית בהתאם להודעתו של הסוכן או העמית, והסכום השנוי במחלוקת לא יחשב חוב במסגרת התכנית; </w:t>
      </w:r>
    </w:p>
    <w:p w14:paraId="5A1C3418" w14:textId="5B0B762C" w:rsidR="000C35BA" w:rsidRDefault="000C35BA" w:rsidP="00AF3ECD">
      <w:pPr>
        <w:ind w:left="360"/>
        <w:rPr>
          <w:rtl/>
        </w:rPr>
      </w:pPr>
      <w:r>
        <w:rPr>
          <w:rFonts w:hint="cs"/>
          <w:rtl/>
        </w:rPr>
        <w:t xml:space="preserve">(2) לא תפעל בדרך כלשהי, לבד מן האמור בס"ק (1) לעיל, בקשר עם הסכום השנוי במחלוקת; אין בס"ק זה לאסור על העברת הודעה לחברת תעופה על כך שהסוכן או העמית חלק על </w:t>
      </w:r>
      <w:r>
        <w:rPr>
          <w:rFonts w:hint="cs"/>
          <w:rtl/>
        </w:rPr>
        <w:lastRenderedPageBreak/>
        <w:t xml:space="preserve">חיובה. אולם, אם חלק הסוכן או העמית על חיוב שאינו מתייחס לחברת תעופה ספציפית כאמור לעיל, תהיה יאט"א רשאית לפעול למימוש החיוב בדרך של משא ומתן מול הסוכן או העמית, או התדיינות בפני בורר או ערכאה משפטית מוסמכת. </w:t>
      </w:r>
    </w:p>
    <w:p w14:paraId="07076D44" w14:textId="77777777" w:rsidR="000C35BA" w:rsidRDefault="000C35BA" w:rsidP="00FC1927">
      <w:pPr>
        <w:ind w:left="360"/>
        <w:rPr>
          <w:rtl/>
        </w:rPr>
      </w:pPr>
      <w:r w:rsidRPr="00F359FD">
        <w:rPr>
          <w:rFonts w:hint="eastAsia"/>
          <w:rtl/>
        </w:rPr>
        <w:t>ב</w:t>
      </w:r>
      <w:r w:rsidRPr="00F359FD">
        <w:rPr>
          <w:rtl/>
        </w:rPr>
        <w:t xml:space="preserve">. </w:t>
      </w:r>
      <w:r w:rsidR="00640247">
        <w:rPr>
          <w:rFonts w:hint="cs"/>
          <w:rtl/>
        </w:rPr>
        <w:t>סוכן</w:t>
      </w:r>
      <w:r w:rsidR="00604283">
        <w:rPr>
          <w:rFonts w:hint="cs"/>
          <w:rtl/>
        </w:rPr>
        <w:t xml:space="preserve"> או עמית</w:t>
      </w:r>
      <w:r w:rsidR="00640247">
        <w:rPr>
          <w:rFonts w:hint="cs"/>
          <w:rtl/>
        </w:rPr>
        <w:t xml:space="preserve"> לא יהא חייב למסור ליאט"א הסבר או נימוק כלשהו למתן הודעה כאמור בס"ק א</w:t>
      </w:r>
      <w:r w:rsidRPr="00F359FD">
        <w:rPr>
          <w:rtl/>
        </w:rPr>
        <w:t>.</w:t>
      </w:r>
      <w:r>
        <w:rPr>
          <w:rFonts w:hint="cs"/>
          <w:rtl/>
        </w:rPr>
        <w:t xml:space="preserve"> </w:t>
      </w:r>
    </w:p>
    <w:p w14:paraId="42F7766F" w14:textId="77777777" w:rsidR="000C35BA" w:rsidRDefault="00640247" w:rsidP="000C35BA">
      <w:pPr>
        <w:ind w:left="360"/>
      </w:pPr>
      <w:r>
        <w:rPr>
          <w:rFonts w:hint="cs"/>
          <w:rtl/>
        </w:rPr>
        <w:t>ג</w:t>
      </w:r>
      <w:r w:rsidR="000C35BA">
        <w:rPr>
          <w:rFonts w:hint="cs"/>
          <w:rtl/>
        </w:rPr>
        <w:t xml:space="preserve">. אין באמור בס"ק א. כדי לשנות מן החובות והזכויות שבין חברת התעופה לסוכן או לעמית, וחברת התעופה תהיה רשאית לפעול מול הסוכן או העמית למימוש זכויותיה על פי דין. </w:t>
      </w:r>
    </w:p>
    <w:p w14:paraId="2A876B06" w14:textId="77777777" w:rsidR="000C35BA" w:rsidRDefault="00640247" w:rsidP="008C76C7">
      <w:pPr>
        <w:ind w:left="360"/>
        <w:rPr>
          <w:rtl/>
        </w:rPr>
      </w:pPr>
      <w:r>
        <w:rPr>
          <w:rFonts w:hint="cs"/>
          <w:rtl/>
        </w:rPr>
        <w:t>ד</w:t>
      </w:r>
      <w:r w:rsidR="000C35BA">
        <w:rPr>
          <w:rFonts w:hint="cs"/>
          <w:rtl/>
        </w:rPr>
        <w:t xml:space="preserve">. </w:t>
      </w:r>
      <w:r w:rsidR="000C35BA">
        <w:rPr>
          <w:rFonts w:hint="cs"/>
          <w:rtl/>
        </w:rPr>
        <w:tab/>
        <w:t>(1) הודעה כאמור בס"ק א. תנתן עד 3 ימים קודם לכל מועד שנקבע לתשלום.</w:t>
      </w:r>
      <w:r w:rsidR="00166BFC">
        <w:rPr>
          <w:rFonts w:hint="cs"/>
          <w:rtl/>
        </w:rPr>
        <w:t xml:space="preserve"> </w:t>
      </w:r>
    </w:p>
    <w:p w14:paraId="282191D5" w14:textId="57A12DA4" w:rsidR="000C35BA" w:rsidRDefault="000C35BA" w:rsidP="00AF3ECD">
      <w:pPr>
        <w:ind w:left="720"/>
        <w:rPr>
          <w:rtl/>
        </w:rPr>
      </w:pPr>
      <w:r>
        <w:rPr>
          <w:rFonts w:hint="cs"/>
          <w:rtl/>
        </w:rPr>
        <w:t xml:space="preserve">(2) </w:t>
      </w:r>
      <w:r w:rsidRPr="00AF3ECD">
        <w:rPr>
          <w:rFonts w:hint="eastAsia"/>
          <w:rtl/>
        </w:rPr>
        <w:t>אם</w:t>
      </w:r>
      <w:r w:rsidRPr="00AF3ECD">
        <w:rPr>
          <w:rtl/>
        </w:rPr>
        <w:t xml:space="preserve"> </w:t>
      </w:r>
      <w:r w:rsidRPr="00AF3ECD">
        <w:rPr>
          <w:rFonts w:hint="eastAsia"/>
          <w:rtl/>
        </w:rPr>
        <w:t>החיוב</w:t>
      </w:r>
      <w:r w:rsidRPr="00AF3ECD">
        <w:rPr>
          <w:rtl/>
        </w:rPr>
        <w:t xml:space="preserve"> </w:t>
      </w:r>
      <w:r w:rsidRPr="00AF3ECD">
        <w:rPr>
          <w:rFonts w:hint="eastAsia"/>
          <w:rtl/>
        </w:rPr>
        <w:t>שעליו</w:t>
      </w:r>
      <w:r w:rsidRPr="00AF3ECD">
        <w:rPr>
          <w:rtl/>
        </w:rPr>
        <w:t xml:space="preserve"> </w:t>
      </w:r>
      <w:r w:rsidRPr="00AF3ECD">
        <w:rPr>
          <w:rFonts w:hint="eastAsia"/>
          <w:rtl/>
        </w:rPr>
        <w:t>חולק</w:t>
      </w:r>
      <w:r w:rsidRPr="00AF3ECD">
        <w:rPr>
          <w:rtl/>
        </w:rPr>
        <w:t xml:space="preserve"> </w:t>
      </w:r>
      <w:r w:rsidRPr="00AF3ECD">
        <w:rPr>
          <w:rFonts w:hint="eastAsia"/>
          <w:rtl/>
        </w:rPr>
        <w:t>סוכן</w:t>
      </w:r>
      <w:r w:rsidRPr="00AF3ECD">
        <w:rPr>
          <w:rtl/>
        </w:rPr>
        <w:t xml:space="preserve"> </w:t>
      </w:r>
      <w:r w:rsidRPr="00AF3ECD">
        <w:rPr>
          <w:rFonts w:hint="eastAsia"/>
          <w:rtl/>
        </w:rPr>
        <w:t>מטען</w:t>
      </w:r>
      <w:r w:rsidRPr="00AF3ECD">
        <w:rPr>
          <w:rtl/>
        </w:rPr>
        <w:t xml:space="preserve"> </w:t>
      </w:r>
      <w:r w:rsidRPr="00AF3ECD">
        <w:rPr>
          <w:rFonts w:hint="eastAsia"/>
          <w:rtl/>
        </w:rPr>
        <w:t>מורשה</w:t>
      </w:r>
      <w:r w:rsidRPr="00AF3ECD">
        <w:rPr>
          <w:rtl/>
        </w:rPr>
        <w:t xml:space="preserve"> </w:t>
      </w:r>
      <w:r w:rsidRPr="00AF3ECD">
        <w:rPr>
          <w:rFonts w:hint="eastAsia"/>
          <w:rtl/>
        </w:rPr>
        <w:t>יאט</w:t>
      </w:r>
      <w:r w:rsidRPr="00AF3ECD">
        <w:rPr>
          <w:rtl/>
        </w:rPr>
        <w:t xml:space="preserve">"א </w:t>
      </w:r>
      <w:r w:rsidRPr="00AF3ECD">
        <w:rPr>
          <w:rFonts w:hint="eastAsia"/>
          <w:rtl/>
        </w:rPr>
        <w:t>או</w:t>
      </w:r>
      <w:r w:rsidRPr="00AF3ECD">
        <w:rPr>
          <w:rtl/>
        </w:rPr>
        <w:t xml:space="preserve"> </w:t>
      </w:r>
      <w:r w:rsidRPr="00AF3ECD">
        <w:rPr>
          <w:rFonts w:hint="eastAsia"/>
          <w:rtl/>
        </w:rPr>
        <w:t>עמית</w:t>
      </w:r>
      <w:r w:rsidRPr="00AF3ECD">
        <w:rPr>
          <w:rtl/>
        </w:rPr>
        <w:t xml:space="preserve"> </w:t>
      </w:r>
      <w:r w:rsidR="00AF3ECD" w:rsidRPr="00AF3ECD">
        <w:rPr>
          <w:rFonts w:hint="cs"/>
          <w:rtl/>
        </w:rPr>
        <w:t>הוא חיוב לטובת יאט"א</w:t>
      </w:r>
      <w:r w:rsidR="00B832E4" w:rsidRPr="00AF3ECD">
        <w:rPr>
          <w:rFonts w:hint="cs"/>
          <w:rtl/>
        </w:rPr>
        <w:t xml:space="preserve"> </w:t>
      </w:r>
      <w:r w:rsidR="00AF3ECD" w:rsidRPr="00AF3ECD">
        <w:rPr>
          <w:rFonts w:hint="cs"/>
          <w:rtl/>
        </w:rPr>
        <w:t>ש</w:t>
      </w:r>
      <w:r w:rsidRPr="00AF3ECD">
        <w:rPr>
          <w:rFonts w:hint="eastAsia"/>
          <w:rtl/>
        </w:rPr>
        <w:t>אינו</w:t>
      </w:r>
      <w:r w:rsidRPr="00AF3ECD">
        <w:rPr>
          <w:rtl/>
        </w:rPr>
        <w:t xml:space="preserve"> </w:t>
      </w:r>
      <w:r w:rsidRPr="00AF3ECD">
        <w:rPr>
          <w:rFonts w:hint="eastAsia"/>
          <w:rtl/>
        </w:rPr>
        <w:t>מתייחס</w:t>
      </w:r>
      <w:r w:rsidRPr="00AF3ECD">
        <w:rPr>
          <w:rtl/>
        </w:rPr>
        <w:t xml:space="preserve"> </w:t>
      </w:r>
      <w:r w:rsidRPr="00AF3ECD">
        <w:rPr>
          <w:rFonts w:hint="eastAsia"/>
          <w:rtl/>
        </w:rPr>
        <w:t>לחברת</w:t>
      </w:r>
      <w:r w:rsidRPr="00AF3ECD">
        <w:rPr>
          <w:rtl/>
        </w:rPr>
        <w:t xml:space="preserve"> </w:t>
      </w:r>
      <w:r w:rsidRPr="00AF3ECD">
        <w:rPr>
          <w:rFonts w:hint="eastAsia"/>
          <w:rtl/>
        </w:rPr>
        <w:t>תעופה</w:t>
      </w:r>
      <w:r w:rsidRPr="00AF3ECD">
        <w:rPr>
          <w:rtl/>
        </w:rPr>
        <w:t xml:space="preserve"> </w:t>
      </w:r>
      <w:r w:rsidRPr="00AF3ECD">
        <w:rPr>
          <w:rFonts w:hint="eastAsia"/>
          <w:rtl/>
        </w:rPr>
        <w:t>ספציפית</w:t>
      </w:r>
      <w:r w:rsidRPr="00AF3ECD">
        <w:rPr>
          <w:rtl/>
        </w:rPr>
        <w:t xml:space="preserve">, </w:t>
      </w:r>
      <w:r w:rsidRPr="00AF3ECD">
        <w:rPr>
          <w:rFonts w:hint="eastAsia"/>
          <w:rtl/>
        </w:rPr>
        <w:t>והסוכן</w:t>
      </w:r>
      <w:r w:rsidRPr="00AF3ECD">
        <w:rPr>
          <w:rtl/>
        </w:rPr>
        <w:t xml:space="preserve"> </w:t>
      </w:r>
      <w:r w:rsidRPr="00AF3ECD">
        <w:rPr>
          <w:rFonts w:hint="eastAsia"/>
          <w:rtl/>
        </w:rPr>
        <w:t>או</w:t>
      </w:r>
      <w:r w:rsidRPr="00AF3ECD">
        <w:rPr>
          <w:rtl/>
        </w:rPr>
        <w:t xml:space="preserve"> </w:t>
      </w:r>
      <w:r w:rsidRPr="00AF3ECD">
        <w:rPr>
          <w:rFonts w:hint="eastAsia"/>
          <w:rtl/>
        </w:rPr>
        <w:t>העמית</w:t>
      </w:r>
      <w:r w:rsidRPr="00AF3ECD">
        <w:rPr>
          <w:rtl/>
        </w:rPr>
        <w:t xml:space="preserve"> </w:t>
      </w:r>
      <w:r w:rsidRPr="00AF3ECD">
        <w:rPr>
          <w:rFonts w:hint="eastAsia"/>
          <w:rtl/>
        </w:rPr>
        <w:t>לא</w:t>
      </w:r>
      <w:r w:rsidRPr="00AF3ECD">
        <w:rPr>
          <w:rtl/>
        </w:rPr>
        <w:t xml:space="preserve"> </w:t>
      </w:r>
      <w:r w:rsidRPr="00AF3ECD">
        <w:rPr>
          <w:rFonts w:hint="eastAsia"/>
          <w:rtl/>
        </w:rPr>
        <w:t>יכול</w:t>
      </w:r>
      <w:r w:rsidRPr="00AF3ECD">
        <w:rPr>
          <w:rtl/>
        </w:rPr>
        <w:t xml:space="preserve"> </w:t>
      </w:r>
      <w:r w:rsidRPr="00AF3ECD">
        <w:rPr>
          <w:rFonts w:hint="eastAsia"/>
          <w:rtl/>
        </w:rPr>
        <w:t>היה</w:t>
      </w:r>
      <w:r w:rsidRPr="00AF3ECD">
        <w:rPr>
          <w:rtl/>
        </w:rPr>
        <w:t xml:space="preserve"> </w:t>
      </w:r>
      <w:r w:rsidRPr="00AF3ECD">
        <w:rPr>
          <w:rFonts w:hint="eastAsia"/>
          <w:rtl/>
        </w:rPr>
        <w:t>לדעת</w:t>
      </w:r>
      <w:r w:rsidRPr="00AF3ECD">
        <w:rPr>
          <w:rtl/>
        </w:rPr>
        <w:t xml:space="preserve"> </w:t>
      </w:r>
      <w:r w:rsidRPr="00AF3ECD">
        <w:rPr>
          <w:rFonts w:hint="eastAsia"/>
          <w:rtl/>
        </w:rPr>
        <w:t>על</w:t>
      </w:r>
      <w:r w:rsidRPr="00AF3ECD">
        <w:rPr>
          <w:rtl/>
        </w:rPr>
        <w:t xml:space="preserve"> </w:t>
      </w:r>
      <w:r w:rsidRPr="00AF3ECD">
        <w:rPr>
          <w:rFonts w:hint="eastAsia"/>
          <w:rtl/>
        </w:rPr>
        <w:t>היותו</w:t>
      </w:r>
      <w:r w:rsidRPr="00AF3ECD">
        <w:rPr>
          <w:rtl/>
        </w:rPr>
        <w:t xml:space="preserve"> </w:t>
      </w:r>
      <w:r w:rsidRPr="00AF3ECD">
        <w:rPr>
          <w:rFonts w:hint="eastAsia"/>
          <w:rtl/>
        </w:rPr>
        <w:t>של</w:t>
      </w:r>
      <w:r w:rsidRPr="00AF3ECD">
        <w:rPr>
          <w:rtl/>
        </w:rPr>
        <w:t xml:space="preserve"> </w:t>
      </w:r>
      <w:r w:rsidRPr="00AF3ECD">
        <w:rPr>
          <w:rFonts w:hint="eastAsia"/>
          <w:rtl/>
        </w:rPr>
        <w:t>הסכום</w:t>
      </w:r>
      <w:r w:rsidRPr="00AF3ECD">
        <w:rPr>
          <w:rtl/>
        </w:rPr>
        <w:t xml:space="preserve"> </w:t>
      </w:r>
      <w:r w:rsidRPr="00AF3ECD">
        <w:rPr>
          <w:rFonts w:hint="eastAsia"/>
          <w:rtl/>
        </w:rPr>
        <w:t>שנוי</w:t>
      </w:r>
      <w:r w:rsidRPr="00AF3ECD">
        <w:rPr>
          <w:rtl/>
        </w:rPr>
        <w:t xml:space="preserve"> </w:t>
      </w:r>
      <w:r w:rsidRPr="00AF3ECD">
        <w:rPr>
          <w:rFonts w:hint="eastAsia"/>
          <w:rtl/>
        </w:rPr>
        <w:t>במחלוקת</w:t>
      </w:r>
      <w:r w:rsidRPr="00AF3ECD">
        <w:rPr>
          <w:rtl/>
        </w:rPr>
        <w:t xml:space="preserve"> </w:t>
      </w:r>
      <w:r w:rsidRPr="00AF3ECD">
        <w:rPr>
          <w:rFonts w:hint="eastAsia"/>
          <w:rtl/>
        </w:rPr>
        <w:t>עד</w:t>
      </w:r>
      <w:r w:rsidRPr="00AF3ECD">
        <w:rPr>
          <w:rtl/>
        </w:rPr>
        <w:t xml:space="preserve"> </w:t>
      </w:r>
      <w:r w:rsidRPr="00AF3ECD">
        <w:rPr>
          <w:rFonts w:hint="eastAsia"/>
          <w:rtl/>
        </w:rPr>
        <w:t>לאחר</w:t>
      </w:r>
      <w:r w:rsidRPr="00AF3ECD">
        <w:rPr>
          <w:rtl/>
        </w:rPr>
        <w:t xml:space="preserve"> </w:t>
      </w:r>
      <w:r w:rsidRPr="00AF3ECD">
        <w:rPr>
          <w:rFonts w:hint="eastAsia"/>
          <w:rtl/>
        </w:rPr>
        <w:t>המועד</w:t>
      </w:r>
      <w:r w:rsidRPr="00AF3ECD">
        <w:rPr>
          <w:rtl/>
        </w:rPr>
        <w:t xml:space="preserve"> </w:t>
      </w:r>
      <w:r w:rsidRPr="00AF3ECD">
        <w:rPr>
          <w:rFonts w:hint="eastAsia"/>
          <w:rtl/>
        </w:rPr>
        <w:t>הקבוע</w:t>
      </w:r>
      <w:r w:rsidRPr="00AF3ECD">
        <w:rPr>
          <w:rtl/>
        </w:rPr>
        <w:t xml:space="preserve"> </w:t>
      </w:r>
      <w:r w:rsidRPr="00AF3ECD">
        <w:rPr>
          <w:rFonts w:hint="eastAsia"/>
          <w:rtl/>
        </w:rPr>
        <w:t>בס</w:t>
      </w:r>
      <w:r w:rsidRPr="00AF3ECD">
        <w:rPr>
          <w:rtl/>
        </w:rPr>
        <w:t>"ק 8.</w:t>
      </w:r>
      <w:r w:rsidR="00640247" w:rsidRPr="00AF3ECD">
        <w:rPr>
          <w:rFonts w:hint="eastAsia"/>
          <w:rtl/>
        </w:rPr>
        <w:t>ד</w:t>
      </w:r>
      <w:r w:rsidRPr="00AF3ECD">
        <w:rPr>
          <w:rtl/>
        </w:rPr>
        <w:t xml:space="preserve">.(1) </w:t>
      </w:r>
      <w:r w:rsidRPr="00AF3ECD">
        <w:rPr>
          <w:rFonts w:hint="eastAsia"/>
          <w:rtl/>
        </w:rPr>
        <w:t>לעיל</w:t>
      </w:r>
      <w:r w:rsidRPr="00AF3ECD">
        <w:rPr>
          <w:rtl/>
        </w:rPr>
        <w:t xml:space="preserve">, </w:t>
      </w:r>
      <w:r w:rsidRPr="00AF3ECD">
        <w:rPr>
          <w:rFonts w:hint="eastAsia"/>
          <w:rtl/>
        </w:rPr>
        <w:t>הודעה</w:t>
      </w:r>
      <w:r w:rsidRPr="00AF3ECD">
        <w:rPr>
          <w:rtl/>
        </w:rPr>
        <w:t xml:space="preserve"> </w:t>
      </w:r>
      <w:r w:rsidRPr="00AF3ECD">
        <w:rPr>
          <w:rFonts w:hint="eastAsia"/>
          <w:rtl/>
        </w:rPr>
        <w:t>כאמור</w:t>
      </w:r>
      <w:r w:rsidRPr="00AF3ECD">
        <w:rPr>
          <w:rtl/>
        </w:rPr>
        <w:t xml:space="preserve"> </w:t>
      </w:r>
      <w:r w:rsidRPr="00AF3ECD">
        <w:rPr>
          <w:rFonts w:hint="eastAsia"/>
          <w:rtl/>
        </w:rPr>
        <w:t>בס</w:t>
      </w:r>
      <w:r w:rsidRPr="00AF3ECD">
        <w:rPr>
          <w:rtl/>
        </w:rPr>
        <w:t xml:space="preserve">"ק </w:t>
      </w:r>
      <w:r w:rsidRPr="00AF3ECD">
        <w:rPr>
          <w:rFonts w:hint="eastAsia"/>
          <w:rtl/>
        </w:rPr>
        <w:t>א</w:t>
      </w:r>
      <w:r w:rsidRPr="00AF3ECD">
        <w:rPr>
          <w:rtl/>
        </w:rPr>
        <w:t xml:space="preserve">. </w:t>
      </w:r>
      <w:r w:rsidRPr="00AF3ECD">
        <w:rPr>
          <w:rFonts w:hint="eastAsia"/>
          <w:rtl/>
        </w:rPr>
        <w:t>תנתן</w:t>
      </w:r>
      <w:r w:rsidRPr="00AF3ECD">
        <w:rPr>
          <w:rtl/>
        </w:rPr>
        <w:t xml:space="preserve"> </w:t>
      </w:r>
      <w:r w:rsidRPr="00AF3ECD">
        <w:rPr>
          <w:rFonts w:hint="eastAsia"/>
          <w:rtl/>
        </w:rPr>
        <w:t>עד</w:t>
      </w:r>
      <w:r w:rsidRPr="00AF3ECD">
        <w:rPr>
          <w:rtl/>
        </w:rPr>
        <w:t xml:space="preserve"> </w:t>
      </w:r>
      <w:r w:rsidRPr="00AF3ECD">
        <w:rPr>
          <w:rFonts w:hint="eastAsia"/>
          <w:rtl/>
        </w:rPr>
        <w:t>תום</w:t>
      </w:r>
      <w:r w:rsidRPr="00AF3ECD">
        <w:rPr>
          <w:rtl/>
        </w:rPr>
        <w:t xml:space="preserve"> </w:t>
      </w:r>
      <w:r w:rsidRPr="00AF3ECD">
        <w:rPr>
          <w:rFonts w:hint="eastAsia"/>
          <w:rtl/>
        </w:rPr>
        <w:t>יום</w:t>
      </w:r>
      <w:r w:rsidRPr="00AF3ECD">
        <w:rPr>
          <w:rtl/>
        </w:rPr>
        <w:t xml:space="preserve"> </w:t>
      </w:r>
      <w:r w:rsidRPr="00AF3ECD">
        <w:rPr>
          <w:rFonts w:hint="eastAsia"/>
          <w:rtl/>
        </w:rPr>
        <w:t>העסקים</w:t>
      </w:r>
      <w:r w:rsidRPr="00AF3ECD">
        <w:rPr>
          <w:rtl/>
        </w:rPr>
        <w:t xml:space="preserve"> </w:t>
      </w:r>
      <w:r w:rsidRPr="00AF3ECD">
        <w:rPr>
          <w:rFonts w:hint="eastAsia"/>
          <w:rtl/>
        </w:rPr>
        <w:t>שלמחרת</w:t>
      </w:r>
      <w:r w:rsidRPr="00AF3ECD">
        <w:rPr>
          <w:rtl/>
        </w:rPr>
        <w:t xml:space="preserve"> </w:t>
      </w:r>
      <w:r w:rsidRPr="00AF3ECD">
        <w:rPr>
          <w:rFonts w:hint="eastAsia"/>
          <w:rtl/>
        </w:rPr>
        <w:t>המועד</w:t>
      </w:r>
      <w:r w:rsidRPr="00AF3ECD">
        <w:rPr>
          <w:rtl/>
        </w:rPr>
        <w:t xml:space="preserve"> </w:t>
      </w:r>
      <w:r w:rsidRPr="00AF3ECD">
        <w:rPr>
          <w:rFonts w:hint="eastAsia"/>
          <w:rtl/>
        </w:rPr>
        <w:t>שנתקבלה</w:t>
      </w:r>
      <w:r w:rsidRPr="00AF3ECD">
        <w:rPr>
          <w:rtl/>
        </w:rPr>
        <w:t xml:space="preserve"> </w:t>
      </w:r>
      <w:r w:rsidRPr="00AF3ECD">
        <w:rPr>
          <w:rFonts w:hint="eastAsia"/>
          <w:rtl/>
        </w:rPr>
        <w:t>בו</w:t>
      </w:r>
      <w:r w:rsidRPr="00AF3ECD">
        <w:rPr>
          <w:rtl/>
        </w:rPr>
        <w:t xml:space="preserve"> </w:t>
      </w:r>
      <w:r w:rsidRPr="00AF3ECD">
        <w:rPr>
          <w:rFonts w:hint="eastAsia"/>
          <w:rtl/>
        </w:rPr>
        <w:t>הודעה</w:t>
      </w:r>
      <w:r w:rsidRPr="00AF3ECD">
        <w:rPr>
          <w:rtl/>
        </w:rPr>
        <w:t xml:space="preserve"> </w:t>
      </w:r>
      <w:r w:rsidRPr="00AF3ECD">
        <w:rPr>
          <w:rFonts w:hint="eastAsia"/>
          <w:rtl/>
        </w:rPr>
        <w:t>מיאט</w:t>
      </w:r>
      <w:r w:rsidRPr="00AF3ECD">
        <w:rPr>
          <w:rtl/>
        </w:rPr>
        <w:t xml:space="preserve">"א </w:t>
      </w:r>
      <w:r w:rsidRPr="00AF3ECD">
        <w:rPr>
          <w:rFonts w:hint="eastAsia"/>
          <w:rtl/>
        </w:rPr>
        <w:t>כאמור</w:t>
      </w:r>
      <w:r w:rsidRPr="00AF3ECD">
        <w:rPr>
          <w:rtl/>
        </w:rPr>
        <w:t xml:space="preserve"> </w:t>
      </w:r>
      <w:r w:rsidRPr="00AF3ECD">
        <w:rPr>
          <w:rFonts w:hint="eastAsia"/>
          <w:rtl/>
        </w:rPr>
        <w:t>בסעיף</w:t>
      </w:r>
      <w:r w:rsidRPr="00AF3ECD">
        <w:rPr>
          <w:rtl/>
        </w:rPr>
        <w:t xml:space="preserve"> 7 </w:t>
      </w:r>
      <w:r w:rsidRPr="00AF3ECD">
        <w:rPr>
          <w:rFonts w:hint="eastAsia"/>
          <w:rtl/>
        </w:rPr>
        <w:t>לעיל</w:t>
      </w:r>
      <w:r w:rsidRPr="00AF3ECD">
        <w:rPr>
          <w:rFonts w:hint="cs"/>
          <w:rtl/>
        </w:rPr>
        <w:t>.</w:t>
      </w:r>
      <w:r>
        <w:rPr>
          <w:rFonts w:hint="cs"/>
          <w:rtl/>
        </w:rPr>
        <w:t xml:space="preserve"> </w:t>
      </w:r>
    </w:p>
    <w:p w14:paraId="2AE46B40" w14:textId="77777777" w:rsidR="000C35BA" w:rsidRDefault="000C35BA" w:rsidP="000C35BA">
      <w:pPr>
        <w:pStyle w:val="1"/>
        <w:spacing w:before="240"/>
        <w:ind w:firstLine="360"/>
        <w:rPr>
          <w:u w:val="single"/>
          <w:rtl/>
        </w:rPr>
      </w:pPr>
      <w:r>
        <w:rPr>
          <w:rFonts w:hint="cs"/>
          <w:rtl/>
        </w:rPr>
        <w:t xml:space="preserve">ו. </w:t>
      </w:r>
      <w:r>
        <w:rPr>
          <w:rFonts w:hint="cs"/>
          <w:u w:val="single"/>
          <w:rtl/>
        </w:rPr>
        <w:t xml:space="preserve">השעיית חברת תעופה מהתכנית </w:t>
      </w:r>
    </w:p>
    <w:p w14:paraId="17F34C0C" w14:textId="77777777" w:rsidR="000C35BA" w:rsidRDefault="000C35BA" w:rsidP="000C35BA">
      <w:pPr>
        <w:numPr>
          <w:ilvl w:val="0"/>
          <w:numId w:val="1"/>
        </w:numPr>
        <w:rPr>
          <w:sz w:val="24"/>
          <w:rtl/>
        </w:rPr>
      </w:pPr>
      <w:r>
        <w:rPr>
          <w:rFonts w:hint="cs"/>
          <w:sz w:val="24"/>
          <w:rtl/>
        </w:rPr>
        <w:t xml:space="preserve">א. הודיעה </w:t>
      </w:r>
      <w:r>
        <w:rPr>
          <w:rFonts w:hint="cs"/>
          <w:rtl/>
        </w:rPr>
        <w:t>יאט</w:t>
      </w:r>
      <w:r>
        <w:rPr>
          <w:rFonts w:hint="cs"/>
          <w:sz w:val="24"/>
          <w:rtl/>
        </w:rPr>
        <w:t>"א על השעיית חברת תעופה מהתכנית לפי סעיף 12 לתקנה 851 לתקנות יאט"א,</w:t>
      </w:r>
      <w:r>
        <w:rPr>
          <w:rFonts w:hint="cs"/>
          <w:sz w:val="24"/>
          <w:vertAlign w:val="superscript"/>
          <w:rtl/>
        </w:rPr>
        <w:t xml:space="preserve"> </w:t>
      </w:r>
      <w:r>
        <w:rPr>
          <w:rFonts w:hint="cs"/>
          <w:sz w:val="24"/>
          <w:rtl/>
        </w:rPr>
        <w:t>יחולו התנאים הבאים:</w:t>
      </w:r>
    </w:p>
    <w:p w14:paraId="6BB91B02" w14:textId="77777777" w:rsidR="000C35BA" w:rsidRDefault="000C35BA" w:rsidP="00083288">
      <w:pPr>
        <w:ind w:left="720"/>
        <w:rPr>
          <w:sz w:val="24"/>
          <w:rtl/>
        </w:rPr>
      </w:pPr>
      <w:r>
        <w:rPr>
          <w:rFonts w:hint="cs"/>
          <w:sz w:val="24"/>
          <w:rtl/>
        </w:rPr>
        <w:t>(1) לא תחול על סוכן המטען מורשה יאט"א או העמית חובה להעביר באמצעות התכנית את הסכומים אותם הוא חייב לחברת התעופה שהושעתה;</w:t>
      </w:r>
    </w:p>
    <w:p w14:paraId="374E13D6" w14:textId="77777777" w:rsidR="000C35BA" w:rsidRDefault="000C35BA" w:rsidP="000C35BA">
      <w:pPr>
        <w:ind w:left="720"/>
        <w:rPr>
          <w:sz w:val="24"/>
          <w:rtl/>
        </w:rPr>
      </w:pPr>
      <w:r>
        <w:rPr>
          <w:rFonts w:hint="cs"/>
          <w:sz w:val="24"/>
          <w:rtl/>
        </w:rPr>
        <w:t xml:space="preserve">(2) לא יודיע הסוכן או העמית במסגרת התכנית לחברת תעופה שהושעתה או ליאט"א כי הוא חולק על חיובים שחוייב בהם במסגרת התכנית על ידי חברת תעופה שהושעתה, כאמור </w:t>
      </w:r>
      <w:r w:rsidR="00640247">
        <w:rPr>
          <w:rFonts w:hint="cs"/>
          <w:sz w:val="24"/>
          <w:rtl/>
        </w:rPr>
        <w:t>בסעיף</w:t>
      </w:r>
      <w:r>
        <w:rPr>
          <w:rFonts w:hint="cs"/>
          <w:sz w:val="24"/>
          <w:rtl/>
        </w:rPr>
        <w:t xml:space="preserve"> 8(א</w:t>
      </w:r>
      <w:r w:rsidRPr="00590DA9">
        <w:rPr>
          <w:rFonts w:hint="cs"/>
          <w:sz w:val="24"/>
          <w:rtl/>
        </w:rPr>
        <w:t>)</w:t>
      </w:r>
      <w:r>
        <w:rPr>
          <w:rFonts w:hint="cs"/>
          <w:sz w:val="24"/>
          <w:rtl/>
        </w:rPr>
        <w:t xml:space="preserve"> לעיל, וכן לא יוכל לגרוע כל סכום המתייחס לחברת התעופה שהושעתה מסך התשלום המגיע ממנו ליתר חברות התעופה.</w:t>
      </w:r>
    </w:p>
    <w:p w14:paraId="495BD92D" w14:textId="77777777" w:rsidR="000C35BA" w:rsidRDefault="000C35BA" w:rsidP="00083288">
      <w:pPr>
        <w:tabs>
          <w:tab w:val="num" w:pos="360"/>
        </w:tabs>
        <w:ind w:left="360" w:hanging="360"/>
        <w:rPr>
          <w:sz w:val="24"/>
          <w:rtl/>
        </w:rPr>
      </w:pPr>
      <w:r>
        <w:rPr>
          <w:rFonts w:hint="cs"/>
          <w:sz w:val="24"/>
          <w:rtl/>
        </w:rPr>
        <w:t xml:space="preserve">   </w:t>
      </w:r>
      <w:r>
        <w:rPr>
          <w:rFonts w:hint="cs"/>
          <w:sz w:val="24"/>
          <w:rtl/>
        </w:rPr>
        <w:tab/>
        <w:t>ב. אין באמור בסעיף זה כדי לשנות מן החובות והזכויות שבין חברת התעופה שהושעתה מהתכנית כאמור לבין הסוכן או העמית.</w:t>
      </w:r>
    </w:p>
    <w:p w14:paraId="63A7646B" w14:textId="77777777" w:rsidR="000C35BA" w:rsidRDefault="000C35BA" w:rsidP="000C35BA">
      <w:pPr>
        <w:pStyle w:val="1"/>
        <w:spacing w:before="240"/>
        <w:ind w:firstLine="360"/>
        <w:rPr>
          <w:u w:val="single"/>
          <w:rtl/>
        </w:rPr>
      </w:pPr>
      <w:r>
        <w:rPr>
          <w:rFonts w:hint="cs"/>
          <w:rtl/>
        </w:rPr>
        <w:t xml:space="preserve">ז. </w:t>
      </w:r>
      <w:r>
        <w:rPr>
          <w:rFonts w:hint="cs"/>
          <w:u w:val="single"/>
          <w:rtl/>
        </w:rPr>
        <w:t xml:space="preserve">הוראות כלליות </w:t>
      </w:r>
    </w:p>
    <w:p w14:paraId="27C44B3E" w14:textId="34CDC356" w:rsidR="000C35BA" w:rsidRDefault="000C35BA" w:rsidP="008A4BF0">
      <w:pPr>
        <w:numPr>
          <w:ilvl w:val="0"/>
          <w:numId w:val="1"/>
        </w:numPr>
        <w:rPr>
          <w:rtl/>
        </w:rPr>
      </w:pPr>
      <w:r>
        <w:rPr>
          <w:rFonts w:hint="cs"/>
          <w:rtl/>
        </w:rPr>
        <w:t xml:space="preserve">יאט"א לא </w:t>
      </w:r>
      <w:r w:rsidR="005541C9">
        <w:rPr>
          <w:rFonts w:hint="cs"/>
          <w:rtl/>
        </w:rPr>
        <w:t>תתערב בדרך כלשהי ב</w:t>
      </w:r>
      <w:r w:rsidR="000F1231">
        <w:rPr>
          <w:rFonts w:hint="cs"/>
          <w:rtl/>
        </w:rPr>
        <w:t>ה</w:t>
      </w:r>
      <w:r>
        <w:rPr>
          <w:rFonts w:hint="cs"/>
          <w:rtl/>
        </w:rPr>
        <w:t xml:space="preserve">תקשרות בין סוכן מטען מורשה יאט"א או עמית לבין חברת תעופה בקשר </w:t>
      </w:r>
      <w:r w:rsidRPr="00AF3ECD">
        <w:rPr>
          <w:rFonts w:hint="eastAsia"/>
          <w:rtl/>
        </w:rPr>
        <w:t>עם</w:t>
      </w:r>
      <w:r w:rsidRPr="00AF3ECD">
        <w:rPr>
          <w:rtl/>
        </w:rPr>
        <w:t xml:space="preserve"> </w:t>
      </w:r>
      <w:r w:rsidR="00B9127B" w:rsidRPr="00AF3ECD">
        <w:rPr>
          <w:rFonts w:hint="cs"/>
          <w:rtl/>
        </w:rPr>
        <w:t xml:space="preserve">תנאי התקשרות </w:t>
      </w:r>
      <w:r w:rsidR="00B832E4" w:rsidRPr="00AF3ECD">
        <w:rPr>
          <w:rFonts w:hint="cs"/>
          <w:rtl/>
        </w:rPr>
        <w:t xml:space="preserve">מסחריים </w:t>
      </w:r>
      <w:r w:rsidR="00B9127B" w:rsidRPr="00AF3ECD">
        <w:rPr>
          <w:rFonts w:hint="cs"/>
          <w:rtl/>
        </w:rPr>
        <w:t>בין חברת התעופה</w:t>
      </w:r>
      <w:r w:rsidRPr="00AF3ECD">
        <w:rPr>
          <w:rtl/>
        </w:rPr>
        <w:t xml:space="preserve"> </w:t>
      </w:r>
      <w:r w:rsidRPr="00AF3ECD">
        <w:rPr>
          <w:rFonts w:hint="eastAsia"/>
          <w:rtl/>
        </w:rPr>
        <w:t>לסוכן</w:t>
      </w:r>
      <w:r w:rsidRPr="00AF3ECD">
        <w:rPr>
          <w:rtl/>
        </w:rPr>
        <w:t xml:space="preserve"> </w:t>
      </w:r>
      <w:r w:rsidRPr="00AF3ECD">
        <w:rPr>
          <w:rFonts w:hint="eastAsia"/>
          <w:rtl/>
        </w:rPr>
        <w:t>או</w:t>
      </w:r>
      <w:r w:rsidRPr="00AF3ECD">
        <w:rPr>
          <w:rtl/>
        </w:rPr>
        <w:t xml:space="preserve"> </w:t>
      </w:r>
      <w:r w:rsidRPr="00AF3ECD">
        <w:rPr>
          <w:rFonts w:hint="eastAsia"/>
          <w:rtl/>
        </w:rPr>
        <w:t>לעמית</w:t>
      </w:r>
      <w:r>
        <w:rPr>
          <w:rFonts w:hint="cs"/>
          <w:rtl/>
        </w:rPr>
        <w:t xml:space="preserve">. </w:t>
      </w:r>
    </w:p>
    <w:p w14:paraId="526F35D0" w14:textId="366B7EB8" w:rsidR="000C35BA" w:rsidRDefault="000C35BA" w:rsidP="00083288">
      <w:pPr>
        <w:numPr>
          <w:ilvl w:val="0"/>
          <w:numId w:val="1"/>
        </w:numPr>
      </w:pPr>
      <w:r>
        <w:rPr>
          <w:rFonts w:hint="cs"/>
          <w:rtl/>
        </w:rPr>
        <w:t xml:space="preserve">יאט"א תקיים תיעוד בכתב של כל חריגה, של כל ניתוק ושל כל </w:t>
      </w:r>
      <w:r w:rsidRPr="008A4BF0">
        <w:rPr>
          <w:rFonts w:hint="eastAsia"/>
          <w:rtl/>
        </w:rPr>
        <w:t>חיבור</w:t>
      </w:r>
      <w:r w:rsidR="00083288">
        <w:rPr>
          <w:rFonts w:hint="cs"/>
          <w:rtl/>
        </w:rPr>
        <w:t xml:space="preserve"> </w:t>
      </w:r>
      <w:r>
        <w:rPr>
          <w:rFonts w:hint="cs"/>
          <w:rtl/>
        </w:rPr>
        <w:t>שנעשו בקשר עם סוכן מטען מורשה יאט"א או עמית. תיעוד זה יכלול, בין היתר, את פרטיו של כל סוכן מטען מורשה יאט"א או עמית, לפי העניין, לרבות שמו, כינויו המסחרי, כתובתו, טלפון ופרטי התקשרות נוספים עימו, וכן את תאריך הרישום, ו</w:t>
      </w:r>
      <w:r w:rsidR="00822A35">
        <w:rPr>
          <w:rFonts w:hint="cs"/>
          <w:rtl/>
        </w:rPr>
        <w:t>את הטעמים לחריגה או הניתוק</w:t>
      </w:r>
      <w:r w:rsidR="00320D6B">
        <w:rPr>
          <w:rFonts w:hint="cs"/>
          <w:rtl/>
        </w:rPr>
        <w:t>,</w:t>
      </w:r>
      <w:r w:rsidR="00822A35">
        <w:rPr>
          <w:rFonts w:hint="cs"/>
          <w:rtl/>
        </w:rPr>
        <w:t xml:space="preserve"> לרבות </w:t>
      </w:r>
      <w:r>
        <w:rPr>
          <w:rFonts w:hint="cs"/>
          <w:rtl/>
        </w:rPr>
        <w:t xml:space="preserve">תיאור של השתלשלות האירועים שקדמו לחריגה או לניתוק, לפי העניין, ואשר גרמו לה; </w:t>
      </w:r>
      <w:r>
        <w:rPr>
          <w:rFonts w:hint="cs"/>
          <w:rtl/>
        </w:rPr>
        <w:lastRenderedPageBreak/>
        <w:t xml:space="preserve">תיעוד זה ישמר במשרדה הרשמי של יאט"א בישראל ויועמד לעיונו של הממונה תוך 7 ימים מיום שיאט"א תתבקש על ידי הממונה לעשות כן. </w:t>
      </w:r>
    </w:p>
    <w:p w14:paraId="0F7054B7" w14:textId="77777777" w:rsidR="000C35BA" w:rsidRDefault="000C35BA" w:rsidP="00083288">
      <w:pPr>
        <w:numPr>
          <w:ilvl w:val="0"/>
          <w:numId w:val="1"/>
        </w:numPr>
      </w:pPr>
      <w:r>
        <w:rPr>
          <w:rFonts w:hint="cs"/>
          <w:rtl/>
        </w:rPr>
        <w:t xml:space="preserve">יאט"א תקיים תיעוד בכתב של כל הפניות, התלונות והבקשות שהתקבלו אצלה בנוגע לתכנית או לתנאים אלו. תיעוד זה יכלול בין היתר את פרטיו של כל פונה, מתלונן או מבקש, לרבות שמו, כינויו המסחרי, כתובתו, טלפון ופרטי התקשרות נוספים עימו, תאריך קבלת הפניה, התלונה או הבקשה, וכן את העתקה, את תאריך מתן תשובתה של יאט"א והעתקה; אם נתקבלה הפניה, התלונה או הבקשה - או ניתנה תשובתה של יאט"א - בעל פה, גם תיעוד של תוכנה; תיעוד זה ישמר במשרדה של יאט"א בישראל ויועמד לעיונו של הממונה תוך 7 ימים מיום שתתבקש על ידי הממונה לעשות כן. </w:t>
      </w:r>
    </w:p>
    <w:p w14:paraId="636EB663" w14:textId="77777777" w:rsidR="000C35BA" w:rsidRDefault="000C35BA" w:rsidP="00C518C9">
      <w:pPr>
        <w:numPr>
          <w:ilvl w:val="0"/>
          <w:numId w:val="1"/>
        </w:numPr>
      </w:pPr>
      <w:r>
        <w:rPr>
          <w:rFonts w:hint="cs"/>
          <w:rtl/>
        </w:rPr>
        <w:t>תוך 90 ימים מהחלטתי זו, יאט"א תעביר לכל אחד מסוכני</w:t>
      </w:r>
      <w:r w:rsidR="00C518C9">
        <w:rPr>
          <w:rFonts w:hint="cs"/>
          <w:rtl/>
        </w:rPr>
        <w:t xml:space="preserve"> המטען</w:t>
      </w:r>
      <w:r w:rsidR="00034528">
        <w:rPr>
          <w:rFonts w:hint="cs"/>
          <w:rtl/>
        </w:rPr>
        <w:t xml:space="preserve"> מורשי יאט"א</w:t>
      </w:r>
      <w:r>
        <w:rPr>
          <w:rFonts w:hint="cs"/>
          <w:rtl/>
        </w:rPr>
        <w:t xml:space="preserve"> או העמיתים המחוברים לתכנית עותק מהחלטה זו וכן לכל סוכן </w:t>
      </w:r>
      <w:r w:rsidR="00C518C9">
        <w:rPr>
          <w:rFonts w:hint="cs"/>
          <w:rtl/>
        </w:rPr>
        <w:t xml:space="preserve">מטען </w:t>
      </w:r>
      <w:r w:rsidR="00034528">
        <w:rPr>
          <w:rFonts w:hint="cs"/>
          <w:rtl/>
        </w:rPr>
        <w:t xml:space="preserve">מורשה יאט"א </w:t>
      </w:r>
      <w:r>
        <w:rPr>
          <w:rFonts w:hint="cs"/>
          <w:rtl/>
        </w:rPr>
        <w:t xml:space="preserve">או עמית שיתחבר לתכנית בעתיד, בסמוך לאחר מועד חיבורו. </w:t>
      </w:r>
    </w:p>
    <w:p w14:paraId="2957DFDD" w14:textId="4F7B2E3F" w:rsidR="000C35BA" w:rsidRDefault="000C35BA" w:rsidP="007D35F6">
      <w:pPr>
        <w:numPr>
          <w:ilvl w:val="0"/>
          <w:numId w:val="1"/>
        </w:numPr>
      </w:pPr>
      <w:r>
        <w:rPr>
          <w:rFonts w:hint="cs"/>
          <w:rtl/>
        </w:rPr>
        <w:t xml:space="preserve">יאט"א לא תגבה תשלום בגין </w:t>
      </w:r>
      <w:r w:rsidR="00234144">
        <w:rPr>
          <w:rFonts w:hint="cs"/>
          <w:rtl/>
        </w:rPr>
        <w:t>שיפורים שתעשה, אם תעשה,</w:t>
      </w:r>
      <w:r>
        <w:rPr>
          <w:rFonts w:hint="cs"/>
          <w:rtl/>
        </w:rPr>
        <w:t xml:space="preserve"> </w:t>
      </w:r>
      <w:r w:rsidR="00234144">
        <w:rPr>
          <w:rFonts w:hint="cs"/>
          <w:rtl/>
        </w:rPr>
        <w:t>ב</w:t>
      </w:r>
      <w:r>
        <w:rPr>
          <w:rFonts w:hint="cs"/>
          <w:rtl/>
        </w:rPr>
        <w:t xml:space="preserve">תכנית, זולת אם ניתן לכך אישור של הממונה מראש ובכתב. </w:t>
      </w:r>
    </w:p>
    <w:p w14:paraId="2B33EA58" w14:textId="77777777" w:rsidR="001D676B" w:rsidRDefault="000C35BA" w:rsidP="00083288">
      <w:pPr>
        <w:numPr>
          <w:ilvl w:val="0"/>
          <w:numId w:val="1"/>
        </w:numPr>
      </w:pPr>
      <w:r>
        <w:rPr>
          <w:rFonts w:hint="cs"/>
          <w:sz w:val="24"/>
          <w:rtl/>
        </w:rPr>
        <w:t>חברת תעופה העושה שימוש בתכנית במועד החלטתי זו</w:t>
      </w:r>
      <w:r w:rsidR="00083288">
        <w:rPr>
          <w:rFonts w:hint="cs"/>
          <w:sz w:val="24"/>
          <w:rtl/>
        </w:rPr>
        <w:t xml:space="preserve"> </w:t>
      </w:r>
      <w:r>
        <w:rPr>
          <w:rFonts w:hint="cs"/>
          <w:sz w:val="24"/>
          <w:rtl/>
        </w:rPr>
        <w:t>תעביר לממונה תוך 90 ימים אישור בכתב על-כך שבעשייתה שימוש בתכנית נהיית חברת התעופה צד להסדר נשוא פטור זה, שה</w:t>
      </w:r>
      <w:r w:rsidR="00234144">
        <w:rPr>
          <w:rFonts w:hint="cs"/>
          <w:sz w:val="24"/>
          <w:rtl/>
        </w:rPr>
        <w:t>יא ערה לכך שה</w:t>
      </w:r>
      <w:r>
        <w:rPr>
          <w:rFonts w:hint="cs"/>
          <w:sz w:val="24"/>
          <w:rtl/>
        </w:rPr>
        <w:t>תנאים לפטור זה חלים עליה</w:t>
      </w:r>
      <w:r w:rsidR="001D1552">
        <w:rPr>
          <w:rFonts w:hint="cs"/>
          <w:sz w:val="24"/>
          <w:rtl/>
        </w:rPr>
        <w:t>,</w:t>
      </w:r>
      <w:r>
        <w:rPr>
          <w:rFonts w:hint="cs"/>
          <w:sz w:val="24"/>
          <w:rtl/>
        </w:rPr>
        <w:t xml:space="preserve"> </w:t>
      </w:r>
      <w:r w:rsidR="001D676B">
        <w:rPr>
          <w:rFonts w:hint="cs"/>
          <w:sz w:val="24"/>
          <w:rtl/>
        </w:rPr>
        <w:t xml:space="preserve">וכי היא תקיים </w:t>
      </w:r>
      <w:r>
        <w:rPr>
          <w:rFonts w:hint="cs"/>
          <w:sz w:val="24"/>
          <w:rtl/>
        </w:rPr>
        <w:t>את התנאים בקשר עם הפעלתה של התכנית בישראל</w:t>
      </w:r>
      <w:r>
        <w:rPr>
          <w:rFonts w:hint="cs"/>
          <w:rtl/>
        </w:rPr>
        <w:t xml:space="preserve">, </w:t>
      </w:r>
      <w:r>
        <w:rPr>
          <w:rFonts w:hint="cs"/>
          <w:sz w:val="24"/>
          <w:rtl/>
        </w:rPr>
        <w:t xml:space="preserve">בהתאם לטופס המצ"ב כנספח א' לפטור זה. </w:t>
      </w:r>
    </w:p>
    <w:p w14:paraId="01B1E945" w14:textId="6F1F6A24" w:rsidR="000C35BA" w:rsidRDefault="000C35BA" w:rsidP="00DB5CB4">
      <w:pPr>
        <w:numPr>
          <w:ilvl w:val="0"/>
          <w:numId w:val="1"/>
        </w:numPr>
        <w:rPr>
          <w:rtl/>
        </w:rPr>
      </w:pPr>
      <w:r>
        <w:rPr>
          <w:rFonts w:hint="cs"/>
          <w:sz w:val="24"/>
          <w:rtl/>
        </w:rPr>
        <w:t>לאחר מועד החלטתי זו, יאט"א לא תחבר לתכנית חברת תעופה</w:t>
      </w:r>
      <w:r w:rsidR="00083288">
        <w:rPr>
          <w:rFonts w:hint="cs"/>
          <w:sz w:val="24"/>
          <w:rtl/>
        </w:rPr>
        <w:t xml:space="preserve"> </w:t>
      </w:r>
      <w:r>
        <w:rPr>
          <w:rFonts w:hint="cs"/>
          <w:sz w:val="24"/>
          <w:rtl/>
        </w:rPr>
        <w:t xml:space="preserve">שאינה מחוברת עדיין לתוכנית, בטרם תעביר החברה לממונה אישור כאמור בסעיף </w:t>
      </w:r>
      <w:r w:rsidR="00DB5CB4">
        <w:rPr>
          <w:rFonts w:hint="cs"/>
          <w:sz w:val="24"/>
          <w:rtl/>
        </w:rPr>
        <w:t xml:space="preserve">15 </w:t>
      </w:r>
      <w:r>
        <w:rPr>
          <w:rFonts w:hint="cs"/>
          <w:sz w:val="24"/>
          <w:rtl/>
        </w:rPr>
        <w:t>לעיל.</w:t>
      </w:r>
      <w:r>
        <w:rPr>
          <w:rFonts w:hint="cs"/>
          <w:rtl/>
        </w:rPr>
        <w:t xml:space="preserve"> </w:t>
      </w:r>
    </w:p>
    <w:p w14:paraId="214EB17E" w14:textId="77777777" w:rsidR="000C35BA" w:rsidRDefault="000C35BA" w:rsidP="000C35BA">
      <w:pPr>
        <w:numPr>
          <w:ilvl w:val="0"/>
          <w:numId w:val="1"/>
        </w:numPr>
        <w:rPr>
          <w:rtl/>
        </w:rPr>
      </w:pPr>
      <w:r>
        <w:rPr>
          <w:rFonts w:hint="cs"/>
          <w:rtl/>
        </w:rPr>
        <w:t>התעורר ספק בדבר תחולת תנאים אלה, פרשנותם או דרך יישומם, יובא הדבר</w:t>
      </w:r>
      <w:r>
        <w:rPr>
          <w:rFonts w:hint="cs"/>
          <w:sz w:val="10"/>
          <w:szCs w:val="14"/>
          <w:rtl/>
        </w:rPr>
        <w:t xml:space="preserve"> </w:t>
      </w:r>
      <w:r>
        <w:rPr>
          <w:rFonts w:hint="cs"/>
          <w:rtl/>
        </w:rPr>
        <w:t xml:space="preserve">להכרעת הממונה. </w:t>
      </w:r>
    </w:p>
    <w:p w14:paraId="62FBF5CE" w14:textId="2337DCA5" w:rsidR="000C35BA" w:rsidRPr="002A60C5" w:rsidRDefault="000C35BA" w:rsidP="00AF3ECD">
      <w:pPr>
        <w:numPr>
          <w:ilvl w:val="0"/>
          <w:numId w:val="1"/>
        </w:numPr>
      </w:pPr>
      <w:r w:rsidRPr="002A60C5">
        <w:rPr>
          <w:rFonts w:hint="cs"/>
          <w:rtl/>
        </w:rPr>
        <w:t xml:space="preserve">תוקפו של פטור זה עד ליום </w:t>
      </w:r>
      <w:r w:rsidR="00FE19EA" w:rsidRPr="006C0375">
        <w:rPr>
          <w:rFonts w:hint="cs"/>
          <w:rtl/>
        </w:rPr>
        <w:t>30</w:t>
      </w:r>
      <w:r w:rsidRPr="006C0375">
        <w:rPr>
          <w:rFonts w:hint="cs"/>
          <w:rtl/>
        </w:rPr>
        <w:t>.</w:t>
      </w:r>
      <w:r w:rsidR="00AF3ECD" w:rsidRPr="006C0375">
        <w:rPr>
          <w:rFonts w:hint="cs"/>
          <w:rtl/>
        </w:rPr>
        <w:t>10</w:t>
      </w:r>
      <w:r w:rsidRPr="006C0375">
        <w:rPr>
          <w:rFonts w:hint="cs"/>
          <w:rtl/>
        </w:rPr>
        <w:t>.2020</w:t>
      </w:r>
      <w:r w:rsidR="002A60C5">
        <w:rPr>
          <w:rFonts w:hint="cs"/>
          <w:rtl/>
        </w:rPr>
        <w:t>.</w:t>
      </w:r>
    </w:p>
    <w:p w14:paraId="7711D82B" w14:textId="77777777" w:rsidR="000C35BA" w:rsidRDefault="000C35BA" w:rsidP="000C35BA">
      <w:r>
        <w:rPr>
          <w:rFonts w:hint="cs"/>
          <w:rtl/>
        </w:rPr>
        <w:t xml:space="preserve">בהתאם לסעיף 15(א) לחוק ההגבלים העסקיים נתונה החלטתי זו לערר בפני אב בית הדין להגבלים עסקיים על ידי איגוד עסקי, ארגון צרכנים או כל אדם העלול להיפגע מההסדר הכובל עליו ניתן הפטור. </w:t>
      </w:r>
    </w:p>
    <w:p w14:paraId="029EDEE3" w14:textId="77777777" w:rsidR="000C35BA" w:rsidRDefault="000C35BA" w:rsidP="000C35BA">
      <w:pPr>
        <w:pStyle w:val="a8"/>
        <w:tabs>
          <w:tab w:val="left" w:pos="720"/>
        </w:tabs>
        <w:spacing w:before="0"/>
        <w:rPr>
          <w:sz w:val="20"/>
          <w:rtl/>
        </w:rPr>
      </w:pPr>
    </w:p>
    <w:p w14:paraId="23D96848" w14:textId="77777777" w:rsidR="000C35BA" w:rsidRDefault="002F2820" w:rsidP="000C35BA">
      <w:pPr>
        <w:spacing w:line="240" w:lineRule="auto"/>
        <w:ind w:left="5040"/>
        <w:jc w:val="center"/>
        <w:rPr>
          <w:rtl/>
        </w:rPr>
      </w:pPr>
      <w:r>
        <w:rPr>
          <w:rFonts w:hint="cs"/>
          <w:rtl/>
        </w:rPr>
        <w:t>אורי שוורץ</w:t>
      </w:r>
    </w:p>
    <w:p w14:paraId="66826660" w14:textId="77777777" w:rsidR="000C35BA" w:rsidRDefault="000C35BA" w:rsidP="000C35BA">
      <w:pPr>
        <w:spacing w:line="240" w:lineRule="auto"/>
        <w:ind w:left="5040"/>
        <w:jc w:val="center"/>
        <w:rPr>
          <w:rtl/>
        </w:rPr>
      </w:pPr>
      <w:r>
        <w:rPr>
          <w:rFonts w:hint="cs"/>
          <w:rtl/>
        </w:rPr>
        <w:t xml:space="preserve">הממונה על הגבלים עסקיים </w:t>
      </w:r>
      <w:r w:rsidR="002F2820">
        <w:rPr>
          <w:rFonts w:hint="cs"/>
          <w:rtl/>
        </w:rPr>
        <w:t>(בפועל)</w:t>
      </w:r>
    </w:p>
    <w:p w14:paraId="339E6803" w14:textId="77777777" w:rsidR="000C35BA" w:rsidRDefault="000C35BA" w:rsidP="000C35BA">
      <w:pPr>
        <w:spacing w:line="240" w:lineRule="auto"/>
        <w:rPr>
          <w:rtl/>
        </w:rPr>
      </w:pPr>
    </w:p>
    <w:p w14:paraId="5F090D96" w14:textId="64D35C61" w:rsidR="000C35BA" w:rsidRPr="006C0375" w:rsidRDefault="000C35BA" w:rsidP="006C0375">
      <w:pPr>
        <w:spacing w:line="240" w:lineRule="auto"/>
        <w:rPr>
          <w:rtl/>
        </w:rPr>
      </w:pPr>
      <w:r>
        <w:rPr>
          <w:rFonts w:hint="cs"/>
          <w:rtl/>
        </w:rPr>
        <w:t>ירושלים</w:t>
      </w:r>
      <w:r w:rsidRPr="006046D9">
        <w:rPr>
          <w:rFonts w:hint="cs"/>
          <w:rtl/>
        </w:rPr>
        <w:t xml:space="preserve">, </w:t>
      </w:r>
      <w:r w:rsidR="00FE19EA" w:rsidRPr="006C0375">
        <w:rPr>
          <w:rFonts w:hint="eastAsia"/>
          <w:rtl/>
        </w:rPr>
        <w:t>‏</w:t>
      </w:r>
      <w:r w:rsidR="00F3192C" w:rsidRPr="006C0375">
        <w:rPr>
          <w:rFonts w:hint="eastAsia"/>
          <w:rtl/>
        </w:rPr>
        <w:t>‏</w:t>
      </w:r>
      <w:r w:rsidR="006C0375" w:rsidRPr="006C0375">
        <w:rPr>
          <w:rFonts w:hint="cs"/>
          <w:rtl/>
        </w:rPr>
        <w:t>ח</w:t>
      </w:r>
      <w:r w:rsidR="006C0375" w:rsidRPr="006C0375">
        <w:rPr>
          <w:rtl/>
        </w:rPr>
        <w:t xml:space="preserve">' </w:t>
      </w:r>
      <w:r w:rsidR="00F3192C" w:rsidRPr="006C0375">
        <w:rPr>
          <w:rFonts w:hint="cs"/>
          <w:rtl/>
        </w:rPr>
        <w:t>מר</w:t>
      </w:r>
      <w:r w:rsidR="00F3192C" w:rsidRPr="006C0375">
        <w:rPr>
          <w:rtl/>
        </w:rPr>
        <w:t>חש</w:t>
      </w:r>
      <w:r w:rsidR="00F3192C" w:rsidRPr="006C0375">
        <w:rPr>
          <w:rFonts w:hint="cs"/>
          <w:rtl/>
        </w:rPr>
        <w:t>ו</w:t>
      </w:r>
      <w:r w:rsidR="00F3192C" w:rsidRPr="006C0375">
        <w:rPr>
          <w:rtl/>
        </w:rPr>
        <w:t>ון, תשע"ו</w:t>
      </w:r>
    </w:p>
    <w:p w14:paraId="795B0CCE" w14:textId="610AC37D" w:rsidR="000C35BA" w:rsidRDefault="000C35BA" w:rsidP="006C0375">
      <w:pPr>
        <w:spacing w:line="240" w:lineRule="auto"/>
        <w:ind w:firstLine="720"/>
        <w:rPr>
          <w:sz w:val="24"/>
          <w:rtl/>
          <w:lang w:eastAsia="en-US"/>
        </w:rPr>
      </w:pPr>
      <w:r w:rsidRPr="006C0375">
        <w:rPr>
          <w:rFonts w:hint="cs"/>
          <w:rtl/>
        </w:rPr>
        <w:t xml:space="preserve">  </w:t>
      </w:r>
      <w:r w:rsidR="006046D9" w:rsidRPr="006C0375">
        <w:rPr>
          <w:rFonts w:hint="eastAsia"/>
          <w:rtl/>
        </w:rPr>
        <w:t>‏</w:t>
      </w:r>
      <w:r w:rsidR="00F3192C" w:rsidRPr="006C0375">
        <w:rPr>
          <w:rFonts w:hint="eastAsia"/>
          <w:rtl/>
        </w:rPr>
        <w:t>‏</w:t>
      </w:r>
      <w:r w:rsidR="006C0375" w:rsidRPr="006C0375">
        <w:rPr>
          <w:rFonts w:hint="cs"/>
          <w:rtl/>
        </w:rPr>
        <w:t>20</w:t>
      </w:r>
      <w:r w:rsidR="006C0375" w:rsidRPr="006C0375">
        <w:rPr>
          <w:rtl/>
        </w:rPr>
        <w:t xml:space="preserve"> </w:t>
      </w:r>
      <w:r w:rsidR="00F3192C" w:rsidRPr="006C0375">
        <w:rPr>
          <w:rtl/>
        </w:rPr>
        <w:t>אוקטובר, 2015</w:t>
      </w:r>
    </w:p>
    <w:p w14:paraId="35072875" w14:textId="77777777" w:rsidR="000C35BA" w:rsidRDefault="000C35BA" w:rsidP="000C35BA">
      <w:pPr>
        <w:rPr>
          <w:b/>
          <w:bCs/>
          <w:sz w:val="28"/>
          <w:szCs w:val="28"/>
          <w:u w:val="single"/>
          <w:rtl/>
          <w:lang w:eastAsia="en-US"/>
        </w:rPr>
      </w:pPr>
      <w:r>
        <w:rPr>
          <w:rFonts w:hint="cs"/>
          <w:b/>
          <w:bCs/>
          <w:sz w:val="28"/>
          <w:szCs w:val="28"/>
          <w:u w:val="single"/>
          <w:rtl/>
          <w:lang w:eastAsia="en-US"/>
        </w:rPr>
        <w:br w:type="page"/>
      </w:r>
      <w:r>
        <w:rPr>
          <w:rFonts w:hint="cs"/>
          <w:b/>
          <w:bCs/>
          <w:sz w:val="28"/>
          <w:szCs w:val="28"/>
          <w:u w:val="single"/>
          <w:rtl/>
          <w:lang w:eastAsia="en-US"/>
        </w:rPr>
        <w:lastRenderedPageBreak/>
        <w:t xml:space="preserve">נספח א </w:t>
      </w:r>
    </w:p>
    <w:p w14:paraId="6EA7E073" w14:textId="77777777" w:rsidR="000C35BA" w:rsidRDefault="000C35BA" w:rsidP="000C35BA">
      <w:pPr>
        <w:rPr>
          <w:sz w:val="24"/>
          <w:rtl/>
          <w:lang w:eastAsia="en-US"/>
        </w:rPr>
      </w:pPr>
      <w:r>
        <w:rPr>
          <w:rFonts w:hint="cs"/>
          <w:sz w:val="24"/>
          <w:rtl/>
          <w:lang w:eastAsia="en-US"/>
        </w:rPr>
        <w:tab/>
      </w:r>
      <w:r>
        <w:rPr>
          <w:rFonts w:hint="cs"/>
          <w:sz w:val="24"/>
          <w:rtl/>
          <w:lang w:eastAsia="en-US"/>
        </w:rPr>
        <w:tab/>
      </w:r>
      <w:r>
        <w:rPr>
          <w:rFonts w:hint="cs"/>
          <w:sz w:val="24"/>
          <w:rtl/>
          <w:lang w:eastAsia="en-US"/>
        </w:rPr>
        <w:tab/>
      </w:r>
      <w:r>
        <w:rPr>
          <w:rFonts w:hint="cs"/>
          <w:sz w:val="24"/>
          <w:rtl/>
          <w:lang w:eastAsia="en-US"/>
        </w:rPr>
        <w:tab/>
      </w:r>
      <w:r>
        <w:rPr>
          <w:rFonts w:hint="cs"/>
          <w:sz w:val="24"/>
          <w:rtl/>
          <w:lang w:eastAsia="en-US"/>
        </w:rPr>
        <w:tab/>
      </w:r>
      <w:r>
        <w:rPr>
          <w:rFonts w:hint="cs"/>
          <w:sz w:val="24"/>
          <w:rtl/>
          <w:lang w:eastAsia="en-US"/>
        </w:rPr>
        <w:tab/>
      </w:r>
      <w:r>
        <w:rPr>
          <w:rFonts w:hint="cs"/>
          <w:sz w:val="24"/>
          <w:rtl/>
          <w:lang w:eastAsia="en-US"/>
        </w:rPr>
        <w:tab/>
      </w:r>
      <w:r>
        <w:rPr>
          <w:rFonts w:hint="cs"/>
          <w:sz w:val="24"/>
          <w:rtl/>
          <w:lang w:eastAsia="en-US"/>
        </w:rPr>
        <w:tab/>
      </w:r>
      <w:r>
        <w:rPr>
          <w:rFonts w:hint="cs"/>
          <w:sz w:val="24"/>
          <w:rtl/>
          <w:lang w:eastAsia="en-US"/>
        </w:rPr>
        <w:tab/>
        <w:t>תאריך: _________</w:t>
      </w:r>
    </w:p>
    <w:p w14:paraId="395A94B6" w14:textId="77777777" w:rsidR="000C35BA" w:rsidRDefault="000C35BA" w:rsidP="000C35BA">
      <w:pPr>
        <w:rPr>
          <w:sz w:val="24"/>
          <w:rtl/>
          <w:lang w:eastAsia="en-US"/>
        </w:rPr>
      </w:pPr>
    </w:p>
    <w:p w14:paraId="6307EA8C" w14:textId="77777777" w:rsidR="000C35BA" w:rsidRDefault="000C35BA" w:rsidP="000C35BA">
      <w:pPr>
        <w:spacing w:line="240" w:lineRule="auto"/>
        <w:rPr>
          <w:sz w:val="24"/>
          <w:rtl/>
          <w:lang w:eastAsia="en-US"/>
        </w:rPr>
      </w:pPr>
      <w:r>
        <w:rPr>
          <w:rFonts w:hint="cs"/>
          <w:sz w:val="24"/>
          <w:rtl/>
          <w:lang w:eastAsia="en-US"/>
        </w:rPr>
        <w:t>לכבוד</w:t>
      </w:r>
    </w:p>
    <w:p w14:paraId="41BDF44C" w14:textId="77777777" w:rsidR="000C35BA" w:rsidRDefault="000C35BA" w:rsidP="000C35BA">
      <w:pPr>
        <w:spacing w:line="240" w:lineRule="auto"/>
        <w:rPr>
          <w:sz w:val="24"/>
          <w:rtl/>
          <w:lang w:eastAsia="en-US"/>
        </w:rPr>
      </w:pPr>
      <w:r>
        <w:rPr>
          <w:rFonts w:hint="cs"/>
          <w:sz w:val="24"/>
          <w:rtl/>
          <w:lang w:eastAsia="en-US"/>
        </w:rPr>
        <w:t>הממונה על הגבלים עסקיים</w:t>
      </w:r>
    </w:p>
    <w:p w14:paraId="2F51CF9E" w14:textId="77777777" w:rsidR="000C35BA" w:rsidRDefault="000C35BA" w:rsidP="000C35BA">
      <w:pPr>
        <w:spacing w:line="240" w:lineRule="auto"/>
        <w:rPr>
          <w:sz w:val="24"/>
          <w:rtl/>
          <w:lang w:eastAsia="en-US"/>
        </w:rPr>
      </w:pPr>
      <w:r>
        <w:rPr>
          <w:rFonts w:hint="cs"/>
          <w:sz w:val="24"/>
          <w:rtl/>
          <w:lang w:eastAsia="en-US"/>
        </w:rPr>
        <w:t>רח' עם ועולמו 4</w:t>
      </w:r>
    </w:p>
    <w:p w14:paraId="7096A93A" w14:textId="77777777" w:rsidR="000C35BA" w:rsidRDefault="000C35BA" w:rsidP="000C35BA">
      <w:pPr>
        <w:spacing w:line="240" w:lineRule="auto"/>
        <w:rPr>
          <w:sz w:val="24"/>
          <w:u w:val="single"/>
          <w:rtl/>
          <w:lang w:eastAsia="en-US"/>
        </w:rPr>
      </w:pPr>
      <w:r>
        <w:rPr>
          <w:rFonts w:hint="cs"/>
          <w:sz w:val="24"/>
          <w:u w:val="single"/>
          <w:rtl/>
          <w:lang w:eastAsia="en-US"/>
        </w:rPr>
        <w:t>ירושלים 91341</w:t>
      </w:r>
    </w:p>
    <w:p w14:paraId="5EE70530" w14:textId="77777777" w:rsidR="000C35BA" w:rsidRDefault="000C35BA" w:rsidP="000C35BA">
      <w:pPr>
        <w:rPr>
          <w:sz w:val="24"/>
          <w:rtl/>
          <w:lang w:eastAsia="en-US"/>
        </w:rPr>
      </w:pPr>
    </w:p>
    <w:p w14:paraId="5FBEEAA9" w14:textId="77777777" w:rsidR="000C35BA" w:rsidRDefault="000C35BA" w:rsidP="000C35BA">
      <w:pPr>
        <w:jc w:val="center"/>
        <w:rPr>
          <w:b/>
          <w:bCs/>
          <w:sz w:val="24"/>
          <w:u w:val="single"/>
          <w:rtl/>
          <w:lang w:eastAsia="en-US"/>
        </w:rPr>
      </w:pPr>
      <w:r>
        <w:rPr>
          <w:rFonts w:hint="cs"/>
          <w:sz w:val="24"/>
          <w:rtl/>
          <w:lang w:eastAsia="en-US"/>
        </w:rPr>
        <w:t xml:space="preserve">הנדון: </w:t>
      </w:r>
      <w:r>
        <w:rPr>
          <w:rFonts w:hint="cs"/>
          <w:b/>
          <w:bCs/>
          <w:sz w:val="24"/>
          <w:u w:val="single"/>
          <w:rtl/>
          <w:lang w:eastAsia="en-US"/>
        </w:rPr>
        <w:t xml:space="preserve">אישור והודעה על הצטרפות – </w:t>
      </w:r>
      <w:r>
        <w:rPr>
          <w:b/>
          <w:bCs/>
          <w:sz w:val="24"/>
          <w:u w:val="single"/>
          <w:lang w:eastAsia="en-US"/>
        </w:rPr>
        <w:t>CASS</w:t>
      </w:r>
      <w:r>
        <w:rPr>
          <w:rFonts w:hint="cs"/>
          <w:b/>
          <w:bCs/>
          <w:sz w:val="24"/>
          <w:u w:val="single"/>
          <w:rtl/>
          <w:lang w:eastAsia="en-US"/>
        </w:rPr>
        <w:t xml:space="preserve"> ("</w:t>
      </w:r>
      <w:r>
        <w:rPr>
          <w:b/>
          <w:bCs/>
          <w:sz w:val="24"/>
          <w:u w:val="single"/>
        </w:rPr>
        <w:t>Cargo Account Settlement System</w:t>
      </w:r>
      <w:r>
        <w:rPr>
          <w:rFonts w:hint="cs"/>
          <w:b/>
          <w:bCs/>
          <w:sz w:val="24"/>
          <w:u w:val="single"/>
          <w:rtl/>
          <w:lang w:eastAsia="en-US"/>
        </w:rPr>
        <w:t>")</w:t>
      </w:r>
    </w:p>
    <w:p w14:paraId="3A3D48A3" w14:textId="77777777" w:rsidR="000C35BA" w:rsidRDefault="000C35BA" w:rsidP="002422C4">
      <w:pPr>
        <w:rPr>
          <w:sz w:val="24"/>
          <w:rtl/>
        </w:rPr>
      </w:pPr>
      <w:r>
        <w:rPr>
          <w:rFonts w:hint="cs"/>
          <w:sz w:val="24"/>
          <w:rtl/>
        </w:rPr>
        <w:t>הרינו</w:t>
      </w:r>
      <w:r w:rsidR="002422C4">
        <w:rPr>
          <w:rFonts w:hint="cs"/>
          <w:sz w:val="24"/>
          <w:rtl/>
        </w:rPr>
        <w:t xml:space="preserve"> _________________ החתומים מטה, נציגיה המוסמכים של ___________, מאשרים</w:t>
      </w:r>
      <w:r>
        <w:rPr>
          <w:rFonts w:hint="cs"/>
          <w:sz w:val="24"/>
          <w:rtl/>
        </w:rPr>
        <w:t xml:space="preserve"> בזאת, כי חברתנו נמנית על חברות התעופה הפעילות או המבקשות להצטרף לתכנית ה-</w:t>
      </w:r>
      <w:r>
        <w:rPr>
          <w:sz w:val="24"/>
        </w:rPr>
        <w:t>CASS</w:t>
      </w:r>
      <w:r>
        <w:rPr>
          <w:rFonts w:hint="cs"/>
          <w:sz w:val="24"/>
          <w:rtl/>
        </w:rPr>
        <w:t xml:space="preserve"> בישראל. </w:t>
      </w:r>
    </w:p>
    <w:p w14:paraId="5C1856A0" w14:textId="77777777" w:rsidR="000C35BA" w:rsidRDefault="000C35BA" w:rsidP="000C35BA">
      <w:pPr>
        <w:rPr>
          <w:sz w:val="24"/>
          <w:rtl/>
        </w:rPr>
      </w:pPr>
    </w:p>
    <w:p w14:paraId="2CC027EB" w14:textId="77777777" w:rsidR="000C35BA" w:rsidRDefault="000C35BA" w:rsidP="000C35BA">
      <w:pPr>
        <w:rPr>
          <w:sz w:val="24"/>
          <w:rtl/>
        </w:rPr>
      </w:pPr>
      <w:r>
        <w:rPr>
          <w:rFonts w:hint="cs"/>
          <w:sz w:val="24"/>
          <w:rtl/>
        </w:rPr>
        <w:t>משכך אנו מאשרים בזאת</w:t>
      </w:r>
      <w:r w:rsidR="002422C4">
        <w:rPr>
          <w:rFonts w:hint="cs"/>
          <w:sz w:val="24"/>
          <w:rtl/>
        </w:rPr>
        <w:t>, בשם חברת ________</w:t>
      </w:r>
      <w:r>
        <w:rPr>
          <w:rFonts w:hint="cs"/>
          <w:sz w:val="24"/>
          <w:rtl/>
        </w:rPr>
        <w:t xml:space="preserve"> כדלקמן: </w:t>
      </w:r>
    </w:p>
    <w:p w14:paraId="62C83C82" w14:textId="77777777" w:rsidR="000C35BA" w:rsidRDefault="000C35BA" w:rsidP="00EC7F55">
      <w:pPr>
        <w:numPr>
          <w:ilvl w:val="0"/>
          <w:numId w:val="4"/>
        </w:numPr>
        <w:rPr>
          <w:sz w:val="24"/>
          <w:rtl/>
        </w:rPr>
      </w:pPr>
      <w:r>
        <w:rPr>
          <w:rFonts w:hint="cs"/>
          <w:sz w:val="24"/>
          <w:rtl/>
        </w:rPr>
        <w:t>בעשייתה שימוש בתכנית נהיית חברת</w:t>
      </w:r>
      <w:r w:rsidR="00B70051">
        <w:rPr>
          <w:rFonts w:hint="cs"/>
          <w:sz w:val="24"/>
          <w:rtl/>
        </w:rPr>
        <w:t>_____________</w:t>
      </w:r>
      <w:r>
        <w:rPr>
          <w:rFonts w:hint="cs"/>
          <w:sz w:val="24"/>
          <w:rtl/>
        </w:rPr>
        <w:t xml:space="preserve"> צד להסדר</w:t>
      </w:r>
      <w:r w:rsidR="00B70051">
        <w:rPr>
          <w:rFonts w:hint="cs"/>
          <w:sz w:val="24"/>
          <w:rtl/>
        </w:rPr>
        <w:t xml:space="preserve"> הכובל</w:t>
      </w:r>
      <w:r>
        <w:rPr>
          <w:rFonts w:hint="cs"/>
          <w:sz w:val="24"/>
          <w:rtl/>
        </w:rPr>
        <w:t xml:space="preserve"> </w:t>
      </w:r>
      <w:r w:rsidR="00B70051">
        <w:rPr>
          <w:rFonts w:hint="cs"/>
          <w:rtl/>
        </w:rPr>
        <w:t xml:space="preserve">בין ארגון התעופה הבינלאומי </w:t>
      </w:r>
      <w:r w:rsidR="00EC7F55">
        <w:rPr>
          <w:rFonts w:hint="cs"/>
          <w:rtl/>
        </w:rPr>
        <w:t>(</w:t>
      </w:r>
      <w:r w:rsidR="00B70051">
        <w:t>(International Air Transport Association</w:t>
      </w:r>
      <w:r w:rsidR="00B70051">
        <w:rPr>
          <w:rFonts w:hint="cs"/>
          <w:rtl/>
        </w:rPr>
        <w:t xml:space="preserve"> לבין חברות התעופה</w:t>
      </w:r>
      <w:r w:rsidR="00B70051">
        <w:rPr>
          <w:rFonts w:hint="cs"/>
          <w:sz w:val="24"/>
          <w:rtl/>
        </w:rPr>
        <w:t xml:space="preserve"> </w:t>
      </w:r>
      <w:r>
        <w:rPr>
          <w:rFonts w:hint="cs"/>
          <w:sz w:val="24"/>
          <w:rtl/>
        </w:rPr>
        <w:t>בעניין ה-</w:t>
      </w:r>
      <w:r>
        <w:rPr>
          <w:sz w:val="24"/>
        </w:rPr>
        <w:t>CASS</w:t>
      </w:r>
      <w:r w:rsidR="00B70051">
        <w:rPr>
          <w:rFonts w:hint="cs"/>
          <w:sz w:val="24"/>
          <w:rtl/>
        </w:rPr>
        <w:t xml:space="preserve">, לגביו ניתנה </w:t>
      </w:r>
      <w:r w:rsidR="00B70051">
        <w:rPr>
          <w:rFonts w:hint="cs"/>
          <w:rtl/>
        </w:rPr>
        <w:t>החלטת הממונה על הגבלים עסקים, בדבר מתן פטור בתנאים מאישור הסדר כובל  מיום ____________</w:t>
      </w:r>
      <w:r>
        <w:rPr>
          <w:rFonts w:hint="cs"/>
          <w:sz w:val="24"/>
          <w:rtl/>
        </w:rPr>
        <w:t xml:space="preserve">. </w:t>
      </w:r>
      <w:r w:rsidR="00B70051">
        <w:rPr>
          <w:rStyle w:val="ab"/>
          <w:rtl/>
        </w:rPr>
        <w:footnoteReference w:id="7"/>
      </w:r>
    </w:p>
    <w:p w14:paraId="36C634C6" w14:textId="77777777" w:rsidR="000C35BA" w:rsidRDefault="000C35BA" w:rsidP="00B70051">
      <w:pPr>
        <w:numPr>
          <w:ilvl w:val="0"/>
          <w:numId w:val="4"/>
        </w:numPr>
        <w:rPr>
          <w:rtl/>
        </w:rPr>
      </w:pPr>
      <w:r>
        <w:rPr>
          <w:rFonts w:hint="cs"/>
          <w:sz w:val="24"/>
          <w:rtl/>
        </w:rPr>
        <w:t xml:space="preserve">התנאים לפטור האמור חלים </w:t>
      </w:r>
      <w:r w:rsidR="00B70051">
        <w:rPr>
          <w:rFonts w:hint="cs"/>
          <w:sz w:val="24"/>
          <w:rtl/>
        </w:rPr>
        <w:t>על חברת ___________</w:t>
      </w:r>
      <w:r>
        <w:rPr>
          <w:rFonts w:hint="cs"/>
          <w:sz w:val="24"/>
          <w:rtl/>
        </w:rPr>
        <w:t xml:space="preserve">. </w:t>
      </w:r>
    </w:p>
    <w:p w14:paraId="6CE358D5" w14:textId="77777777" w:rsidR="000C35BA" w:rsidRDefault="000C35BA" w:rsidP="002422C4">
      <w:pPr>
        <w:numPr>
          <w:ilvl w:val="0"/>
          <w:numId w:val="4"/>
        </w:numPr>
      </w:pPr>
      <w:r>
        <w:rPr>
          <w:rFonts w:hint="cs"/>
          <w:sz w:val="24"/>
          <w:rtl/>
        </w:rPr>
        <w:t>חברת</w:t>
      </w:r>
      <w:r w:rsidR="002422C4">
        <w:rPr>
          <w:rFonts w:hint="cs"/>
          <w:sz w:val="24"/>
          <w:rtl/>
        </w:rPr>
        <w:t xml:space="preserve"> __________</w:t>
      </w:r>
      <w:r>
        <w:rPr>
          <w:rFonts w:hint="cs"/>
          <w:sz w:val="24"/>
          <w:rtl/>
        </w:rPr>
        <w:t xml:space="preserve"> תקיים את התנאים בקשר עם הפעלתה של התכנית בישראל.</w:t>
      </w:r>
      <w:r>
        <w:rPr>
          <w:rFonts w:hint="cs"/>
          <w:rtl/>
        </w:rPr>
        <w:t xml:space="preserve"> </w:t>
      </w:r>
    </w:p>
    <w:p w14:paraId="68D3D977" w14:textId="77777777" w:rsidR="000C35BA" w:rsidRDefault="000C35BA" w:rsidP="000C35BA"/>
    <w:p w14:paraId="224A8E43" w14:textId="77777777" w:rsidR="000C35BA" w:rsidRDefault="000C35BA" w:rsidP="000C35BA">
      <w:pPr>
        <w:jc w:val="center"/>
        <w:rPr>
          <w:rtl/>
        </w:rPr>
      </w:pPr>
    </w:p>
    <w:p w14:paraId="214066A0" w14:textId="77777777" w:rsidR="000C35BA" w:rsidRDefault="000C35BA" w:rsidP="000C35BA">
      <w:pPr>
        <w:jc w:val="center"/>
        <w:rPr>
          <w:rtl/>
        </w:rPr>
      </w:pPr>
    </w:p>
    <w:p w14:paraId="3EADCA23" w14:textId="77777777" w:rsidR="000C35BA" w:rsidRDefault="000C35BA" w:rsidP="000C35BA">
      <w:pPr>
        <w:jc w:val="center"/>
        <w:rPr>
          <w:rtl/>
        </w:rPr>
      </w:pPr>
      <w:r>
        <w:rPr>
          <w:rFonts w:hint="cs"/>
          <w:rtl/>
        </w:rPr>
        <w:t>בכבוד רב,</w:t>
      </w:r>
    </w:p>
    <w:p w14:paraId="2C307B88" w14:textId="77777777" w:rsidR="00B70051" w:rsidRDefault="00B70051">
      <w:pPr>
        <w:bidi w:val="0"/>
        <w:spacing w:before="0" w:after="200" w:line="276" w:lineRule="auto"/>
        <w:jc w:val="left"/>
        <w:rPr>
          <w:sz w:val="24"/>
          <w:rtl/>
          <w:lang w:eastAsia="en-US"/>
        </w:rPr>
      </w:pPr>
    </w:p>
    <w:p w14:paraId="5AFFC993" w14:textId="77777777" w:rsidR="00652F3B" w:rsidRDefault="00652F3B"/>
    <w:sectPr w:rsidR="00652F3B" w:rsidSect="001765A0">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708" w:footer="708" w:gutter="0"/>
      <w:cols w:space="708"/>
      <w:titlePg/>
      <w:bidi/>
      <w:rtlGutter/>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BA0A2A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78574D" w14:textId="77777777" w:rsidR="002B0E8F" w:rsidRDefault="002B0E8F" w:rsidP="000C35BA">
      <w:pPr>
        <w:spacing w:before="0" w:after="0" w:line="240" w:lineRule="auto"/>
      </w:pPr>
      <w:r>
        <w:separator/>
      </w:r>
    </w:p>
  </w:endnote>
  <w:endnote w:type="continuationSeparator" w:id="0">
    <w:p w14:paraId="3853D690" w14:textId="77777777" w:rsidR="002B0E8F" w:rsidRDefault="002B0E8F" w:rsidP="000C35BA">
      <w:pPr>
        <w:spacing w:before="0" w:after="0" w:line="240" w:lineRule="auto"/>
      </w:pPr>
      <w:r>
        <w:continuationSeparator/>
      </w:r>
    </w:p>
  </w:endnote>
  <w:endnote w:type="continuationNotice" w:id="1">
    <w:p w14:paraId="5BBC9CB6" w14:textId="77777777" w:rsidR="002B0E8F" w:rsidRDefault="002B0E8F">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David">
    <w:panose1 w:val="020E0502060401010101"/>
    <w:charset w:val="B1"/>
    <w:family w:val="swiss"/>
    <w:pitch w:val="variable"/>
    <w:sig w:usb0="00000801" w:usb1="00000000" w:usb2="00000000" w:usb3="00000000" w:csb0="00000020" w:csb1="00000000"/>
  </w:font>
  <w:font w:name="Tahoma">
    <w:panose1 w:val="020B0604030504040204"/>
    <w:charset w:val="B1"/>
    <w:family w:val="swiss"/>
    <w:notTrueType/>
    <w:pitch w:val="variable"/>
    <w:sig w:usb0="00000801" w:usb1="00000000" w:usb2="00000000" w:usb3="00000000" w:csb0="0000002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7CF1F1" w14:textId="77777777" w:rsidR="00124EDD" w:rsidRDefault="00124EDD">
    <w:pPr>
      <w:pStyle w:val="af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0A6C35" w14:textId="77777777" w:rsidR="00124EDD" w:rsidRPr="006C0375" w:rsidRDefault="00124EDD" w:rsidP="006C0375">
    <w:pPr>
      <w:pStyle w:val="af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F192FB" w14:textId="77777777" w:rsidR="00124EDD" w:rsidRDefault="00124EDD">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9EB565" w14:textId="77777777" w:rsidR="002B0E8F" w:rsidRDefault="002B0E8F" w:rsidP="000C35BA">
      <w:pPr>
        <w:spacing w:before="0" w:after="0" w:line="240" w:lineRule="auto"/>
      </w:pPr>
      <w:r>
        <w:separator/>
      </w:r>
    </w:p>
  </w:footnote>
  <w:footnote w:type="continuationSeparator" w:id="0">
    <w:p w14:paraId="0AF9502F" w14:textId="77777777" w:rsidR="002B0E8F" w:rsidRDefault="002B0E8F" w:rsidP="000C35BA">
      <w:pPr>
        <w:spacing w:before="0" w:after="0" w:line="240" w:lineRule="auto"/>
      </w:pPr>
      <w:r>
        <w:continuationSeparator/>
      </w:r>
    </w:p>
  </w:footnote>
  <w:footnote w:type="continuationNotice" w:id="1">
    <w:p w14:paraId="3DED01E9" w14:textId="77777777" w:rsidR="002B0E8F" w:rsidRDefault="002B0E8F">
      <w:pPr>
        <w:spacing w:before="0" w:after="0" w:line="240" w:lineRule="auto"/>
      </w:pPr>
    </w:p>
  </w:footnote>
  <w:footnote w:id="2">
    <w:p w14:paraId="38CA641E" w14:textId="5422680B" w:rsidR="000C35BA" w:rsidRDefault="000C35BA" w:rsidP="001B4457">
      <w:pPr>
        <w:pStyle w:val="a4"/>
      </w:pPr>
      <w:r>
        <w:rPr>
          <w:rStyle w:val="ab"/>
        </w:rPr>
        <w:footnoteRef/>
      </w:r>
      <w:r>
        <w:rPr>
          <w:rFonts w:hint="cs"/>
          <w:rtl/>
        </w:rPr>
        <w:t xml:space="preserve"> </w:t>
      </w:r>
      <w:r w:rsidR="001B4457">
        <w:rPr>
          <w:rFonts w:hint="cs"/>
          <w:rtl/>
        </w:rPr>
        <w:t>עמיתים הם משלחים</w:t>
      </w:r>
      <w:r w:rsidR="00A569BC">
        <w:rPr>
          <w:rFonts w:hint="cs"/>
          <w:rtl/>
        </w:rPr>
        <w:t>,</w:t>
      </w:r>
      <w:r w:rsidR="001B4457">
        <w:rPr>
          <w:rFonts w:hint="cs"/>
          <w:rtl/>
        </w:rPr>
        <w:t xml:space="preserve"> שאינם סוכני מטען שעמדו בהליך הבדיקה והאישור על פי הקריטריונים הקבועים על ידי </w:t>
      </w:r>
      <w:proofErr w:type="spellStart"/>
      <w:r w:rsidR="001B4457">
        <w:rPr>
          <w:rFonts w:hint="cs"/>
          <w:rtl/>
        </w:rPr>
        <w:t>יאט"א</w:t>
      </w:r>
      <w:proofErr w:type="spellEnd"/>
      <w:r w:rsidR="001B4457">
        <w:rPr>
          <w:rFonts w:hint="cs"/>
          <w:rtl/>
        </w:rPr>
        <w:t xml:space="preserve">, למשל סוכני מטען שאינם </w:t>
      </w:r>
      <w:proofErr w:type="spellStart"/>
      <w:r w:rsidR="001B4457">
        <w:rPr>
          <w:rFonts w:hint="cs"/>
          <w:rtl/>
        </w:rPr>
        <w:t>מורשי</w:t>
      </w:r>
      <w:proofErr w:type="spellEnd"/>
      <w:r w:rsidR="001B4457">
        <w:rPr>
          <w:rFonts w:hint="cs"/>
          <w:rtl/>
        </w:rPr>
        <w:t xml:space="preserve"> </w:t>
      </w:r>
      <w:proofErr w:type="spellStart"/>
      <w:r w:rsidR="001B4457">
        <w:rPr>
          <w:rFonts w:hint="cs"/>
          <w:rtl/>
        </w:rPr>
        <w:t>יאט"א</w:t>
      </w:r>
      <w:proofErr w:type="spellEnd"/>
      <w:r w:rsidR="001B4457">
        <w:rPr>
          <w:rFonts w:hint="cs"/>
          <w:rtl/>
        </w:rPr>
        <w:t xml:space="preserve"> או יצואנים שמבצעים את פעילות שילוח המטען הנדרשת להם בעצמם</w:t>
      </w:r>
      <w:r>
        <w:rPr>
          <w:rFonts w:hint="cs"/>
          <w:rtl/>
        </w:rPr>
        <w:t>.</w:t>
      </w:r>
    </w:p>
  </w:footnote>
  <w:footnote w:id="3">
    <w:p w14:paraId="476F9523" w14:textId="77777777" w:rsidR="000C35BA" w:rsidRDefault="000C35BA" w:rsidP="000C35BA">
      <w:pPr>
        <w:pStyle w:val="a4"/>
        <w:rPr>
          <w:rtl/>
        </w:rPr>
      </w:pPr>
      <w:r>
        <w:rPr>
          <w:rStyle w:val="ab"/>
        </w:rPr>
        <w:footnoteRef/>
      </w:r>
      <w:r>
        <w:rPr>
          <w:rFonts w:hint="cs"/>
          <w:rtl/>
        </w:rPr>
        <w:t xml:space="preserve"> החלטה בדבר מתן פטור בתנאים מאישור הסדר כובל להסדר בין ארגון התעופה הבינלאומי </w:t>
      </w:r>
      <w:r>
        <w:t>(International Air Transport Association</w:t>
      </w:r>
      <w:r>
        <w:rPr>
          <w:rFonts w:hint="cs"/>
          <w:rtl/>
        </w:rPr>
        <w:t>) לבין חברות התעופה</w:t>
      </w:r>
      <w:r w:rsidR="00812D37">
        <w:rPr>
          <w:rFonts w:hint="cs"/>
          <w:rtl/>
        </w:rPr>
        <w:t>;</w:t>
      </w:r>
      <w:r>
        <w:rPr>
          <w:rFonts w:hint="cs"/>
          <w:rtl/>
        </w:rPr>
        <w:t xml:space="preserve"> 15.6.2011 </w:t>
      </w:r>
      <w:r>
        <w:rPr>
          <w:rFonts w:hint="cs"/>
          <w:b/>
          <w:bCs/>
          <w:rtl/>
        </w:rPr>
        <w:t>הגבלים עסקיים</w:t>
      </w:r>
      <w:r>
        <w:rPr>
          <w:rFonts w:hint="cs"/>
          <w:b/>
          <w:bCs/>
        </w:rPr>
        <w:t xml:space="preserve"> </w:t>
      </w:r>
      <w:r>
        <w:rPr>
          <w:rFonts w:hint="cs"/>
          <w:rtl/>
        </w:rPr>
        <w:t>5001791.</w:t>
      </w:r>
    </w:p>
  </w:footnote>
  <w:footnote w:id="4">
    <w:p w14:paraId="1EB92912" w14:textId="77777777" w:rsidR="000C35BA" w:rsidRDefault="000C35BA" w:rsidP="000C35BA">
      <w:pPr>
        <w:pStyle w:val="a4"/>
        <w:rPr>
          <w:rtl/>
        </w:rPr>
      </w:pPr>
      <w:r>
        <w:rPr>
          <w:rStyle w:val="ab"/>
        </w:rPr>
        <w:footnoteRef/>
      </w:r>
      <w:r>
        <w:rPr>
          <w:rFonts w:hint="cs"/>
          <w:rtl/>
        </w:rPr>
        <w:t xml:space="preserve"> שמות חברות התעופה החברות בתכנית בישראל: </w:t>
      </w:r>
    </w:p>
    <w:p w14:paraId="40696AB6" w14:textId="77777777" w:rsidR="000C35BA" w:rsidRDefault="000C35BA" w:rsidP="000C35BA">
      <w:pPr>
        <w:pStyle w:val="a4"/>
        <w:bidi w:val="0"/>
      </w:pPr>
      <w:r>
        <w:t xml:space="preserve">Delta Air Lines </w:t>
      </w:r>
      <w:proofErr w:type="spellStart"/>
      <w:r>
        <w:t>Inc</w:t>
      </w:r>
      <w:proofErr w:type="spellEnd"/>
      <w:r>
        <w:rPr>
          <w:rFonts w:hint="cs"/>
          <w:rtl/>
        </w:rPr>
        <w:t xml:space="preserve">, </w:t>
      </w:r>
      <w:r>
        <w:t>Air Canada</w:t>
      </w:r>
      <w:r>
        <w:rPr>
          <w:rFonts w:hint="cs"/>
          <w:rtl/>
        </w:rPr>
        <w:t xml:space="preserve">, </w:t>
      </w:r>
      <w:r>
        <w:t>Lufthansa Cargo AG</w:t>
      </w:r>
      <w:r>
        <w:rPr>
          <w:rFonts w:hint="cs"/>
          <w:rtl/>
        </w:rPr>
        <w:t xml:space="preserve">, </w:t>
      </w:r>
      <w:r>
        <w:t>Air France</w:t>
      </w:r>
      <w:r>
        <w:rPr>
          <w:rFonts w:hint="cs"/>
          <w:rtl/>
        </w:rPr>
        <w:t xml:space="preserve">, </w:t>
      </w:r>
      <w:r>
        <w:t>KLM Royal Dutch Airlines</w:t>
      </w:r>
      <w:r>
        <w:rPr>
          <w:rFonts w:hint="cs"/>
          <w:rtl/>
        </w:rPr>
        <w:t xml:space="preserve">, </w:t>
      </w:r>
      <w:r>
        <w:t xml:space="preserve">IBERIA </w:t>
      </w:r>
      <w:proofErr w:type="spellStart"/>
      <w:r>
        <w:t>Lineas</w:t>
      </w:r>
      <w:proofErr w:type="spellEnd"/>
      <w:r>
        <w:t xml:space="preserve"> </w:t>
      </w:r>
      <w:proofErr w:type="spellStart"/>
      <w:r>
        <w:t>Aereas</w:t>
      </w:r>
      <w:proofErr w:type="spellEnd"/>
      <w:r>
        <w:t xml:space="preserve"> de </w:t>
      </w:r>
      <w:proofErr w:type="spellStart"/>
      <w:r>
        <w:t>Espana</w:t>
      </w:r>
      <w:proofErr w:type="spellEnd"/>
      <w:r>
        <w:t xml:space="preserve">, </w:t>
      </w:r>
      <w:proofErr w:type="spellStart"/>
      <w:r>
        <w:t>Sociedad</w:t>
      </w:r>
      <w:proofErr w:type="spellEnd"/>
      <w:r>
        <w:t xml:space="preserve"> </w:t>
      </w:r>
      <w:proofErr w:type="spellStart"/>
      <w:r>
        <w:t>Anonima</w:t>
      </w:r>
      <w:proofErr w:type="spellEnd"/>
      <w:r>
        <w:t xml:space="preserve"> </w:t>
      </w:r>
      <w:proofErr w:type="spellStart"/>
      <w:r>
        <w:t>Operadora</w:t>
      </w:r>
      <w:proofErr w:type="spellEnd"/>
      <w:r>
        <w:rPr>
          <w:rFonts w:hint="cs"/>
          <w:rtl/>
        </w:rPr>
        <w:t xml:space="preserve">, </w:t>
      </w:r>
      <w:r>
        <w:t>SAS Cargo Group</w:t>
      </w:r>
      <w:r>
        <w:rPr>
          <w:rFonts w:hint="cs"/>
          <w:rtl/>
        </w:rPr>
        <w:t xml:space="preserve">, </w:t>
      </w:r>
      <w:r>
        <w:t>British Airways PLC</w:t>
      </w:r>
      <w:r>
        <w:rPr>
          <w:rFonts w:hint="cs"/>
          <w:rtl/>
        </w:rPr>
        <w:t xml:space="preserve">, </w:t>
      </w:r>
      <w:r>
        <w:t>Cathay Pacific Airways Ltd</w:t>
      </w:r>
      <w:r>
        <w:rPr>
          <w:rFonts w:hint="cs"/>
          <w:rtl/>
        </w:rPr>
        <w:t xml:space="preserve">, </w:t>
      </w:r>
      <w:r>
        <w:t xml:space="preserve">Turkish Airlines </w:t>
      </w:r>
      <w:proofErr w:type="spellStart"/>
      <w:r>
        <w:t>Inc</w:t>
      </w:r>
      <w:proofErr w:type="spellEnd"/>
      <w:r>
        <w:rPr>
          <w:rFonts w:hint="cs"/>
          <w:rtl/>
        </w:rPr>
        <w:t xml:space="preserve">, </w:t>
      </w:r>
      <w:r>
        <w:t>C.A.L Cargo Air Lines Ltd, Swiss International Air Lines, Pegasus</w:t>
      </w:r>
      <w:r w:rsidR="00EC7F55">
        <w:t xml:space="preserve">, </w:t>
      </w:r>
      <w:proofErr w:type="spellStart"/>
      <w:r w:rsidR="00EC7F55">
        <w:t>Cargolux</w:t>
      </w:r>
      <w:proofErr w:type="spellEnd"/>
      <w:r w:rsidR="00EC7F55">
        <w:t xml:space="preserve"> Airlines International S.A</w:t>
      </w:r>
      <w:r>
        <w:t>.</w:t>
      </w:r>
    </w:p>
  </w:footnote>
  <w:footnote w:id="5">
    <w:p w14:paraId="67375EC3" w14:textId="77777777" w:rsidR="000C35BA" w:rsidRDefault="000C35BA" w:rsidP="000C35BA">
      <w:pPr>
        <w:pStyle w:val="a4"/>
        <w:rPr>
          <w:rtl/>
        </w:rPr>
      </w:pPr>
      <w:r>
        <w:rPr>
          <w:rStyle w:val="ab"/>
        </w:rPr>
        <w:footnoteRef/>
      </w:r>
      <w:r w:rsidR="00E36415">
        <w:rPr>
          <w:rFonts w:hint="cs"/>
          <w:rtl/>
        </w:rPr>
        <w:t xml:space="preserve"> </w:t>
      </w:r>
      <w:r>
        <w:rPr>
          <w:rFonts w:hint="cs"/>
          <w:rtl/>
        </w:rPr>
        <w:t xml:space="preserve">כיום </w:t>
      </w:r>
      <w:proofErr w:type="spellStart"/>
      <w:r>
        <w:rPr>
          <w:rFonts w:hint="cs"/>
          <w:rtl/>
        </w:rPr>
        <w:t>יאט"א</w:t>
      </w:r>
      <w:proofErr w:type="spellEnd"/>
      <w:r>
        <w:rPr>
          <w:rFonts w:hint="cs"/>
          <w:rtl/>
        </w:rPr>
        <w:t xml:space="preserve"> גובה דמי חבר מסוכן מטען מורשה </w:t>
      </w:r>
      <w:proofErr w:type="spellStart"/>
      <w:r>
        <w:rPr>
          <w:rFonts w:hint="cs"/>
          <w:rtl/>
        </w:rPr>
        <w:t>יאט"א</w:t>
      </w:r>
      <w:proofErr w:type="spellEnd"/>
      <w:r>
        <w:rPr>
          <w:rFonts w:hint="cs"/>
          <w:rtl/>
        </w:rPr>
        <w:t xml:space="preserve"> בסך 465 פרנק שוויצרי לשנה. </w:t>
      </w:r>
    </w:p>
  </w:footnote>
  <w:footnote w:id="6">
    <w:p w14:paraId="523B5873" w14:textId="77777777" w:rsidR="000C35BA" w:rsidRDefault="000C35BA" w:rsidP="000C35BA">
      <w:pPr>
        <w:pStyle w:val="a4"/>
        <w:rPr>
          <w:rtl/>
        </w:rPr>
      </w:pPr>
      <w:r>
        <w:rPr>
          <w:rStyle w:val="ab"/>
        </w:rPr>
        <w:footnoteRef/>
      </w:r>
      <w:r>
        <w:rPr>
          <w:rFonts w:hint="cs"/>
          <w:rtl/>
        </w:rPr>
        <w:t xml:space="preserve"> בעניין זה ראה החלטה בדבר מתן פטור בתנאים מאישור הסדר כובל להסדר בין ארגון התעופה הבינלאומי </w:t>
      </w:r>
      <w:r>
        <w:t>(International Air Transport Association</w:t>
      </w:r>
      <w:r>
        <w:rPr>
          <w:rFonts w:hint="cs"/>
          <w:rtl/>
        </w:rPr>
        <w:t>) לבין חברות התעופה</w:t>
      </w:r>
      <w:r w:rsidR="00812D37">
        <w:rPr>
          <w:rFonts w:hint="cs"/>
          <w:rtl/>
        </w:rPr>
        <w:t>;</w:t>
      </w:r>
      <w:r>
        <w:rPr>
          <w:rFonts w:hint="cs"/>
          <w:rtl/>
        </w:rPr>
        <w:t xml:space="preserve"> 7.11.2013 </w:t>
      </w:r>
      <w:r>
        <w:rPr>
          <w:rFonts w:hint="cs"/>
          <w:b/>
          <w:bCs/>
          <w:rtl/>
        </w:rPr>
        <w:t>הגבלים עסקיים</w:t>
      </w:r>
      <w:r>
        <w:rPr>
          <w:rFonts w:hint="cs"/>
          <w:b/>
          <w:bCs/>
        </w:rPr>
        <w:t xml:space="preserve"> </w:t>
      </w:r>
      <w:r>
        <w:rPr>
          <w:rFonts w:hint="cs"/>
          <w:rtl/>
        </w:rPr>
        <w:t>500525</w:t>
      </w:r>
      <w:r w:rsidR="00417CA7">
        <w:rPr>
          <w:rFonts w:hint="cs"/>
          <w:rtl/>
        </w:rPr>
        <w:t>.</w:t>
      </w:r>
    </w:p>
  </w:footnote>
  <w:footnote w:id="7">
    <w:p w14:paraId="49BD060C" w14:textId="77777777" w:rsidR="00B70051" w:rsidRDefault="00B70051" w:rsidP="00FE19EA">
      <w:pPr>
        <w:pStyle w:val="a4"/>
        <w:rPr>
          <w:rtl/>
        </w:rPr>
      </w:pPr>
      <w:r>
        <w:rPr>
          <w:rStyle w:val="ab"/>
        </w:rPr>
        <w:footnoteRef/>
      </w:r>
      <w:r>
        <w:rPr>
          <w:rtl/>
        </w:rPr>
        <w:t xml:space="preserve"> </w:t>
      </w:r>
      <w:r w:rsidR="001D1552">
        <w:rPr>
          <w:rFonts w:hint="cs"/>
          <w:rtl/>
        </w:rPr>
        <w:t xml:space="preserve">החלטה </w:t>
      </w:r>
      <w:r w:rsidR="001D1552" w:rsidRPr="00044C88">
        <w:rPr>
          <w:rFonts w:hint="cs"/>
          <w:rtl/>
        </w:rPr>
        <w:t xml:space="preserve">בדבר מתן פטור בתנאים מאישור הסדר כובל להסדר בין ארגון התעופה הבינלאומי </w:t>
      </w:r>
      <w:r w:rsidR="001D1552" w:rsidRPr="00044C88">
        <w:t>(International Air Transport Association</w:t>
      </w:r>
      <w:r w:rsidR="001D1552" w:rsidRPr="00044C88">
        <w:rPr>
          <w:rFonts w:hint="cs"/>
          <w:rtl/>
        </w:rPr>
        <w:t>) לבין חברות התעופה</w:t>
      </w:r>
      <w:r w:rsidR="005D7BA3">
        <w:rPr>
          <w:rFonts w:hint="cs"/>
          <w:rtl/>
        </w:rPr>
        <w:t>,</w:t>
      </w:r>
      <w:r w:rsidR="00590DA9" w:rsidRPr="00044C88">
        <w:rPr>
          <w:rFonts w:hint="cs"/>
          <w:rtl/>
        </w:rPr>
        <w:t xml:space="preserve"> </w:t>
      </w:r>
      <w:r w:rsidR="00590DA9" w:rsidRPr="006046D9">
        <w:rPr>
          <w:rFonts w:hint="cs"/>
          <w:rtl/>
        </w:rPr>
        <w:t>____________</w:t>
      </w:r>
      <w:r w:rsidR="00590DA9" w:rsidRPr="00044C88">
        <w:rPr>
          <w:rFonts w:hint="cs"/>
          <w:rtl/>
        </w:rPr>
        <w:t xml:space="preserve"> </w:t>
      </w:r>
      <w:r w:rsidR="00590DA9" w:rsidRPr="00044C88">
        <w:rPr>
          <w:rFonts w:hint="cs"/>
          <w:b/>
          <w:bCs/>
          <w:rtl/>
        </w:rPr>
        <w:t>הגבלים עסקיים</w:t>
      </w:r>
      <w:r w:rsidR="005D7BA3">
        <w:rPr>
          <w:rFonts w:hint="cs"/>
          <w:b/>
          <w:bCs/>
          <w:rtl/>
        </w:rPr>
        <w:t xml:space="preserve"> </w:t>
      </w:r>
      <w:r w:rsidR="00FE19EA">
        <w:rPr>
          <w:rFonts w:hint="cs"/>
          <w:rtl/>
        </w:rPr>
        <w:t>________</w:t>
      </w:r>
      <w:r w:rsidR="001D1552" w:rsidRPr="00044C88">
        <w:rPr>
          <w:rFonts w:hint="cs"/>
          <w:rtl/>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55DD00" w14:textId="77777777" w:rsidR="00124EDD" w:rsidRDefault="00124EDD">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FB024D" w14:textId="77777777" w:rsidR="00124EDD" w:rsidRDefault="00124EDD">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026216" w14:textId="77777777" w:rsidR="001765A0" w:rsidRDefault="001765A0" w:rsidP="001765A0">
    <w:pPr>
      <w:pStyle w:val="a8"/>
      <w:jc w:val="center"/>
    </w:pPr>
    <w:r>
      <w:rPr>
        <w:noProof/>
        <w:lang w:eastAsia="en-US"/>
      </w:rPr>
      <w:drawing>
        <wp:inline distT="0" distB="0" distL="0" distR="0" wp14:anchorId="04E54124" wp14:editId="6A00B91C">
          <wp:extent cx="637183" cy="868680"/>
          <wp:effectExtent l="0" t="0" r="0" b="762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7183" cy="868680"/>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B4D98"/>
    <w:multiLevelType w:val="hybridMultilevel"/>
    <w:tmpl w:val="B7CE055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
    <w:nsid w:val="002A7BF5"/>
    <w:multiLevelType w:val="hybridMultilevel"/>
    <w:tmpl w:val="CBDC3C1E"/>
    <w:lvl w:ilvl="0" w:tplc="F01C136C">
      <w:start w:val="1"/>
      <w:numFmt w:val="decimal"/>
      <w:lvlText w:val="%1."/>
      <w:lvlJc w:val="left"/>
      <w:pPr>
        <w:tabs>
          <w:tab w:val="num" w:pos="360"/>
        </w:tabs>
        <w:ind w:left="360" w:hanging="360"/>
      </w:pPr>
      <w:rPr>
        <w:sz w:val="24"/>
        <w:lang w:bidi="he-IL"/>
      </w:rPr>
    </w:lvl>
    <w:lvl w:ilvl="1" w:tplc="679C2698">
      <w:start w:val="2"/>
      <w:numFmt w:val="hebrew1"/>
      <w:lvlText w:val="%2."/>
      <w:lvlJc w:val="left"/>
      <w:pPr>
        <w:tabs>
          <w:tab w:val="num" w:pos="1157"/>
        </w:tabs>
        <w:ind w:left="1157" w:hanging="360"/>
      </w:pPr>
    </w:lvl>
    <w:lvl w:ilvl="2" w:tplc="0409001B">
      <w:start w:val="1"/>
      <w:numFmt w:val="lowerRoman"/>
      <w:lvlText w:val="%3."/>
      <w:lvlJc w:val="right"/>
      <w:pPr>
        <w:tabs>
          <w:tab w:val="num" w:pos="1877"/>
        </w:tabs>
        <w:ind w:left="1877" w:hanging="180"/>
      </w:pPr>
    </w:lvl>
    <w:lvl w:ilvl="3" w:tplc="0409000F">
      <w:start w:val="1"/>
      <w:numFmt w:val="decimal"/>
      <w:lvlText w:val="%4."/>
      <w:lvlJc w:val="left"/>
      <w:pPr>
        <w:tabs>
          <w:tab w:val="num" w:pos="2597"/>
        </w:tabs>
        <w:ind w:left="2597" w:hanging="360"/>
      </w:pPr>
    </w:lvl>
    <w:lvl w:ilvl="4" w:tplc="04090019">
      <w:start w:val="1"/>
      <w:numFmt w:val="lowerLetter"/>
      <w:lvlText w:val="%5."/>
      <w:lvlJc w:val="left"/>
      <w:pPr>
        <w:tabs>
          <w:tab w:val="num" w:pos="3317"/>
        </w:tabs>
        <w:ind w:left="3317" w:hanging="360"/>
      </w:pPr>
    </w:lvl>
    <w:lvl w:ilvl="5" w:tplc="0409001B">
      <w:start w:val="1"/>
      <w:numFmt w:val="lowerRoman"/>
      <w:lvlText w:val="%6."/>
      <w:lvlJc w:val="right"/>
      <w:pPr>
        <w:tabs>
          <w:tab w:val="num" w:pos="4037"/>
        </w:tabs>
        <w:ind w:left="4037" w:hanging="180"/>
      </w:pPr>
    </w:lvl>
    <w:lvl w:ilvl="6" w:tplc="0409000F">
      <w:start w:val="1"/>
      <w:numFmt w:val="decimal"/>
      <w:lvlText w:val="%7."/>
      <w:lvlJc w:val="left"/>
      <w:pPr>
        <w:tabs>
          <w:tab w:val="num" w:pos="4757"/>
        </w:tabs>
        <w:ind w:left="4757" w:hanging="360"/>
      </w:pPr>
    </w:lvl>
    <w:lvl w:ilvl="7" w:tplc="04090019">
      <w:start w:val="1"/>
      <w:numFmt w:val="lowerLetter"/>
      <w:lvlText w:val="%8."/>
      <w:lvlJc w:val="left"/>
      <w:pPr>
        <w:tabs>
          <w:tab w:val="num" w:pos="5477"/>
        </w:tabs>
        <w:ind w:left="5477" w:hanging="360"/>
      </w:pPr>
    </w:lvl>
    <w:lvl w:ilvl="8" w:tplc="0409001B">
      <w:start w:val="1"/>
      <w:numFmt w:val="lowerRoman"/>
      <w:lvlText w:val="%9."/>
      <w:lvlJc w:val="right"/>
      <w:pPr>
        <w:tabs>
          <w:tab w:val="num" w:pos="6197"/>
        </w:tabs>
        <w:ind w:left="6197" w:hanging="180"/>
      </w:pPr>
    </w:lvl>
  </w:abstractNum>
  <w:abstractNum w:abstractNumId="2">
    <w:nsid w:val="4D0622E7"/>
    <w:multiLevelType w:val="hybridMultilevel"/>
    <w:tmpl w:val="FAD8F6CE"/>
    <w:lvl w:ilvl="0" w:tplc="FBC20A4A">
      <w:start w:val="1"/>
      <w:numFmt w:val="decimal"/>
      <w:lvlText w:val="%1."/>
      <w:lvlJc w:val="left"/>
      <w:pPr>
        <w:ind w:left="510" w:hanging="360"/>
      </w:pPr>
    </w:lvl>
    <w:lvl w:ilvl="1" w:tplc="04090019">
      <w:start w:val="1"/>
      <w:numFmt w:val="lowerLetter"/>
      <w:lvlText w:val="%2."/>
      <w:lvlJc w:val="left"/>
      <w:pPr>
        <w:ind w:left="1230" w:hanging="360"/>
      </w:pPr>
    </w:lvl>
    <w:lvl w:ilvl="2" w:tplc="0409001B">
      <w:start w:val="1"/>
      <w:numFmt w:val="lowerRoman"/>
      <w:lvlText w:val="%3."/>
      <w:lvlJc w:val="right"/>
      <w:pPr>
        <w:ind w:left="1950" w:hanging="180"/>
      </w:pPr>
    </w:lvl>
    <w:lvl w:ilvl="3" w:tplc="0409000F">
      <w:start w:val="1"/>
      <w:numFmt w:val="decimal"/>
      <w:lvlText w:val="%4."/>
      <w:lvlJc w:val="left"/>
      <w:pPr>
        <w:ind w:left="2670" w:hanging="360"/>
      </w:pPr>
    </w:lvl>
    <w:lvl w:ilvl="4" w:tplc="04090019">
      <w:start w:val="1"/>
      <w:numFmt w:val="lowerLetter"/>
      <w:lvlText w:val="%5."/>
      <w:lvlJc w:val="left"/>
      <w:pPr>
        <w:ind w:left="3390" w:hanging="360"/>
      </w:pPr>
    </w:lvl>
    <w:lvl w:ilvl="5" w:tplc="0409001B">
      <w:start w:val="1"/>
      <w:numFmt w:val="lowerRoman"/>
      <w:lvlText w:val="%6."/>
      <w:lvlJc w:val="right"/>
      <w:pPr>
        <w:ind w:left="4110" w:hanging="180"/>
      </w:pPr>
    </w:lvl>
    <w:lvl w:ilvl="6" w:tplc="0409000F">
      <w:start w:val="1"/>
      <w:numFmt w:val="decimal"/>
      <w:lvlText w:val="%7."/>
      <w:lvlJc w:val="left"/>
      <w:pPr>
        <w:ind w:left="4830" w:hanging="360"/>
      </w:pPr>
    </w:lvl>
    <w:lvl w:ilvl="7" w:tplc="04090019">
      <w:start w:val="1"/>
      <w:numFmt w:val="lowerLetter"/>
      <w:lvlText w:val="%8."/>
      <w:lvlJc w:val="left"/>
      <w:pPr>
        <w:ind w:left="5550" w:hanging="360"/>
      </w:pPr>
    </w:lvl>
    <w:lvl w:ilvl="8" w:tplc="0409001B">
      <w:start w:val="1"/>
      <w:numFmt w:val="lowerRoman"/>
      <w:lvlText w:val="%9."/>
      <w:lvlJc w:val="right"/>
      <w:pPr>
        <w:ind w:left="6270" w:hanging="180"/>
      </w:pPr>
    </w:lvl>
  </w:abstractNum>
  <w:abstractNum w:abstractNumId="3">
    <w:nsid w:val="4E6F403E"/>
    <w:multiLevelType w:val="hybridMultilevel"/>
    <w:tmpl w:val="0A4ECFE2"/>
    <w:lvl w:ilvl="0" w:tplc="C8087932">
      <w:start w:val="1"/>
      <w:numFmt w:val="hebrew1"/>
      <w:lvlText w:val="(%1)"/>
      <w:lvlJc w:val="left"/>
      <w:pPr>
        <w:ind w:left="510" w:hanging="360"/>
      </w:pPr>
    </w:lvl>
    <w:lvl w:ilvl="1" w:tplc="04090019">
      <w:start w:val="1"/>
      <w:numFmt w:val="lowerLetter"/>
      <w:lvlText w:val="%2."/>
      <w:lvlJc w:val="left"/>
      <w:pPr>
        <w:ind w:left="1230" w:hanging="360"/>
      </w:pPr>
    </w:lvl>
    <w:lvl w:ilvl="2" w:tplc="0409001B">
      <w:start w:val="1"/>
      <w:numFmt w:val="lowerRoman"/>
      <w:lvlText w:val="%3."/>
      <w:lvlJc w:val="right"/>
      <w:pPr>
        <w:ind w:left="1950" w:hanging="180"/>
      </w:pPr>
    </w:lvl>
    <w:lvl w:ilvl="3" w:tplc="0409000F">
      <w:start w:val="1"/>
      <w:numFmt w:val="decimal"/>
      <w:lvlText w:val="%4."/>
      <w:lvlJc w:val="left"/>
      <w:pPr>
        <w:ind w:left="2670" w:hanging="360"/>
      </w:pPr>
    </w:lvl>
    <w:lvl w:ilvl="4" w:tplc="04090019">
      <w:start w:val="1"/>
      <w:numFmt w:val="lowerLetter"/>
      <w:lvlText w:val="%5."/>
      <w:lvlJc w:val="left"/>
      <w:pPr>
        <w:ind w:left="3390" w:hanging="360"/>
      </w:pPr>
    </w:lvl>
    <w:lvl w:ilvl="5" w:tplc="0409001B">
      <w:start w:val="1"/>
      <w:numFmt w:val="lowerRoman"/>
      <w:lvlText w:val="%6."/>
      <w:lvlJc w:val="right"/>
      <w:pPr>
        <w:ind w:left="4110" w:hanging="180"/>
      </w:pPr>
    </w:lvl>
    <w:lvl w:ilvl="6" w:tplc="0409000F">
      <w:start w:val="1"/>
      <w:numFmt w:val="decimal"/>
      <w:lvlText w:val="%7."/>
      <w:lvlJc w:val="left"/>
      <w:pPr>
        <w:ind w:left="4830" w:hanging="360"/>
      </w:pPr>
    </w:lvl>
    <w:lvl w:ilvl="7" w:tplc="04090019">
      <w:start w:val="1"/>
      <w:numFmt w:val="lowerLetter"/>
      <w:lvlText w:val="%8."/>
      <w:lvlJc w:val="left"/>
      <w:pPr>
        <w:ind w:left="5550" w:hanging="360"/>
      </w:pPr>
    </w:lvl>
    <w:lvl w:ilvl="8" w:tplc="0409001B">
      <w:start w:val="1"/>
      <w:numFmt w:val="lowerRoman"/>
      <w:lvlText w:val="%9."/>
      <w:lvlJc w:val="right"/>
      <w:pPr>
        <w:ind w:left="6270" w:hanging="180"/>
      </w:pPr>
    </w:lvl>
  </w:abstractNum>
  <w:abstractNum w:abstractNumId="4">
    <w:nsid w:val="70BA6E6C"/>
    <w:multiLevelType w:val="hybridMultilevel"/>
    <w:tmpl w:val="80FEF0AA"/>
    <w:lvl w:ilvl="0" w:tplc="09485F1E">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7774F1F"/>
    <w:multiLevelType w:val="hybridMultilevel"/>
    <w:tmpl w:val="B7CE055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num w:numId="1">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5"/>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onatan Cwikel">
    <w15:presenceInfo w15:providerId="AD" w15:userId="S-1-5-21-703466758-1101033188-495535119-65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11673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35BA"/>
    <w:rsid w:val="00007566"/>
    <w:rsid w:val="00034528"/>
    <w:rsid w:val="0003701E"/>
    <w:rsid w:val="0004305F"/>
    <w:rsid w:val="00044C88"/>
    <w:rsid w:val="00050623"/>
    <w:rsid w:val="00053444"/>
    <w:rsid w:val="000618C9"/>
    <w:rsid w:val="00062C72"/>
    <w:rsid w:val="00067D3C"/>
    <w:rsid w:val="00083288"/>
    <w:rsid w:val="00093026"/>
    <w:rsid w:val="000C0312"/>
    <w:rsid w:val="000C1679"/>
    <w:rsid w:val="000C35BA"/>
    <w:rsid w:val="000C5817"/>
    <w:rsid w:val="000E0F78"/>
    <w:rsid w:val="000E21D7"/>
    <w:rsid w:val="000E6596"/>
    <w:rsid w:val="000F0304"/>
    <w:rsid w:val="000F1231"/>
    <w:rsid w:val="000F559E"/>
    <w:rsid w:val="00111B7D"/>
    <w:rsid w:val="00117D44"/>
    <w:rsid w:val="00122CB7"/>
    <w:rsid w:val="00124EDD"/>
    <w:rsid w:val="0016586A"/>
    <w:rsid w:val="00166BFC"/>
    <w:rsid w:val="00171979"/>
    <w:rsid w:val="001765A0"/>
    <w:rsid w:val="001865A5"/>
    <w:rsid w:val="00192EA6"/>
    <w:rsid w:val="00195407"/>
    <w:rsid w:val="001B4457"/>
    <w:rsid w:val="001D1552"/>
    <w:rsid w:val="001D50B8"/>
    <w:rsid w:val="001D676B"/>
    <w:rsid w:val="001D7443"/>
    <w:rsid w:val="001E14E4"/>
    <w:rsid w:val="001F0A6C"/>
    <w:rsid w:val="001F2C60"/>
    <w:rsid w:val="0022610B"/>
    <w:rsid w:val="002305E1"/>
    <w:rsid w:val="00234144"/>
    <w:rsid w:val="002365D9"/>
    <w:rsid w:val="002422C4"/>
    <w:rsid w:val="00247F3F"/>
    <w:rsid w:val="002532E6"/>
    <w:rsid w:val="00256F8B"/>
    <w:rsid w:val="00265AC9"/>
    <w:rsid w:val="00270E20"/>
    <w:rsid w:val="00271ED0"/>
    <w:rsid w:val="0027304C"/>
    <w:rsid w:val="0027575C"/>
    <w:rsid w:val="00285261"/>
    <w:rsid w:val="002A60C5"/>
    <w:rsid w:val="002B0E8F"/>
    <w:rsid w:val="002B2126"/>
    <w:rsid w:val="002C5B97"/>
    <w:rsid w:val="002D37C1"/>
    <w:rsid w:val="002E1274"/>
    <w:rsid w:val="002F07BB"/>
    <w:rsid w:val="002F2820"/>
    <w:rsid w:val="002F4C46"/>
    <w:rsid w:val="003051EC"/>
    <w:rsid w:val="00307B87"/>
    <w:rsid w:val="00316975"/>
    <w:rsid w:val="00320D6B"/>
    <w:rsid w:val="00323469"/>
    <w:rsid w:val="003305A5"/>
    <w:rsid w:val="00366083"/>
    <w:rsid w:val="00372DC1"/>
    <w:rsid w:val="00380870"/>
    <w:rsid w:val="00385BB1"/>
    <w:rsid w:val="003B1406"/>
    <w:rsid w:val="003D17EB"/>
    <w:rsid w:val="003D4528"/>
    <w:rsid w:val="003D459A"/>
    <w:rsid w:val="004033C8"/>
    <w:rsid w:val="0041549A"/>
    <w:rsid w:val="0041575B"/>
    <w:rsid w:val="00415AFA"/>
    <w:rsid w:val="004179CD"/>
    <w:rsid w:val="00417CA7"/>
    <w:rsid w:val="0042002B"/>
    <w:rsid w:val="00421489"/>
    <w:rsid w:val="00431B4B"/>
    <w:rsid w:val="00445645"/>
    <w:rsid w:val="0045093E"/>
    <w:rsid w:val="00455E37"/>
    <w:rsid w:val="004732D4"/>
    <w:rsid w:val="0049257F"/>
    <w:rsid w:val="00494CBB"/>
    <w:rsid w:val="004956CD"/>
    <w:rsid w:val="004979A1"/>
    <w:rsid w:val="004A467B"/>
    <w:rsid w:val="004B0F2C"/>
    <w:rsid w:val="004B59F5"/>
    <w:rsid w:val="004C625F"/>
    <w:rsid w:val="004C69B0"/>
    <w:rsid w:val="004D3AB7"/>
    <w:rsid w:val="004F53A6"/>
    <w:rsid w:val="005069BC"/>
    <w:rsid w:val="00530138"/>
    <w:rsid w:val="00541D04"/>
    <w:rsid w:val="005459A9"/>
    <w:rsid w:val="005541C9"/>
    <w:rsid w:val="0055554D"/>
    <w:rsid w:val="00586722"/>
    <w:rsid w:val="00590DA9"/>
    <w:rsid w:val="00595E2F"/>
    <w:rsid w:val="005A1465"/>
    <w:rsid w:val="005A32A5"/>
    <w:rsid w:val="005B039C"/>
    <w:rsid w:val="005B61F1"/>
    <w:rsid w:val="005C0768"/>
    <w:rsid w:val="005C3786"/>
    <w:rsid w:val="005C3831"/>
    <w:rsid w:val="005D6188"/>
    <w:rsid w:val="005D7BA3"/>
    <w:rsid w:val="005D7F8D"/>
    <w:rsid w:val="005F5AD4"/>
    <w:rsid w:val="00604283"/>
    <w:rsid w:val="006046D9"/>
    <w:rsid w:val="00611386"/>
    <w:rsid w:val="006216EE"/>
    <w:rsid w:val="00640247"/>
    <w:rsid w:val="00644032"/>
    <w:rsid w:val="00652F3B"/>
    <w:rsid w:val="006758EB"/>
    <w:rsid w:val="00681B2A"/>
    <w:rsid w:val="006873AF"/>
    <w:rsid w:val="006876FE"/>
    <w:rsid w:val="006A1298"/>
    <w:rsid w:val="006C0375"/>
    <w:rsid w:val="006C20A1"/>
    <w:rsid w:val="006D0D04"/>
    <w:rsid w:val="006D2EB8"/>
    <w:rsid w:val="006D4581"/>
    <w:rsid w:val="006E677A"/>
    <w:rsid w:val="006F0387"/>
    <w:rsid w:val="0070544D"/>
    <w:rsid w:val="00710915"/>
    <w:rsid w:val="00722B05"/>
    <w:rsid w:val="0075068A"/>
    <w:rsid w:val="00750C6C"/>
    <w:rsid w:val="00772BD2"/>
    <w:rsid w:val="00791AE9"/>
    <w:rsid w:val="00793533"/>
    <w:rsid w:val="007A3175"/>
    <w:rsid w:val="007A5DCB"/>
    <w:rsid w:val="007C06FD"/>
    <w:rsid w:val="007D35F6"/>
    <w:rsid w:val="007F2F0D"/>
    <w:rsid w:val="007F3000"/>
    <w:rsid w:val="00811C39"/>
    <w:rsid w:val="00812D37"/>
    <w:rsid w:val="00814612"/>
    <w:rsid w:val="00822A35"/>
    <w:rsid w:val="00835727"/>
    <w:rsid w:val="00841B9A"/>
    <w:rsid w:val="00854CF3"/>
    <w:rsid w:val="00855AAD"/>
    <w:rsid w:val="00886738"/>
    <w:rsid w:val="008A4BF0"/>
    <w:rsid w:val="008A7AD5"/>
    <w:rsid w:val="008B3A75"/>
    <w:rsid w:val="008C76C7"/>
    <w:rsid w:val="008D1277"/>
    <w:rsid w:val="008D6B7B"/>
    <w:rsid w:val="008E2794"/>
    <w:rsid w:val="008E5201"/>
    <w:rsid w:val="008F12E9"/>
    <w:rsid w:val="008F1E8C"/>
    <w:rsid w:val="00917A20"/>
    <w:rsid w:val="00934D5D"/>
    <w:rsid w:val="00937AFC"/>
    <w:rsid w:val="00942B61"/>
    <w:rsid w:val="0094643E"/>
    <w:rsid w:val="009514CB"/>
    <w:rsid w:val="009660BE"/>
    <w:rsid w:val="00971F44"/>
    <w:rsid w:val="009724CA"/>
    <w:rsid w:val="00983A6A"/>
    <w:rsid w:val="00986E58"/>
    <w:rsid w:val="009920F7"/>
    <w:rsid w:val="009964F4"/>
    <w:rsid w:val="009969B9"/>
    <w:rsid w:val="009D0729"/>
    <w:rsid w:val="009D5CBE"/>
    <w:rsid w:val="009D7C8C"/>
    <w:rsid w:val="009E3817"/>
    <w:rsid w:val="009F5F4F"/>
    <w:rsid w:val="00A015FC"/>
    <w:rsid w:val="00A15A22"/>
    <w:rsid w:val="00A172CA"/>
    <w:rsid w:val="00A318B8"/>
    <w:rsid w:val="00A569BC"/>
    <w:rsid w:val="00A62E07"/>
    <w:rsid w:val="00A71AF4"/>
    <w:rsid w:val="00A7328F"/>
    <w:rsid w:val="00A85EBD"/>
    <w:rsid w:val="00AA7831"/>
    <w:rsid w:val="00AC3C77"/>
    <w:rsid w:val="00AD27C5"/>
    <w:rsid w:val="00AD3116"/>
    <w:rsid w:val="00AD5035"/>
    <w:rsid w:val="00AD76F4"/>
    <w:rsid w:val="00AE0CE6"/>
    <w:rsid w:val="00AF3ECD"/>
    <w:rsid w:val="00AF762D"/>
    <w:rsid w:val="00B02F9F"/>
    <w:rsid w:val="00B042B4"/>
    <w:rsid w:val="00B134D3"/>
    <w:rsid w:val="00B1362E"/>
    <w:rsid w:val="00B4099B"/>
    <w:rsid w:val="00B415FA"/>
    <w:rsid w:val="00B416D9"/>
    <w:rsid w:val="00B52930"/>
    <w:rsid w:val="00B54994"/>
    <w:rsid w:val="00B634CD"/>
    <w:rsid w:val="00B64E5D"/>
    <w:rsid w:val="00B70051"/>
    <w:rsid w:val="00B70C31"/>
    <w:rsid w:val="00B832E4"/>
    <w:rsid w:val="00B84C49"/>
    <w:rsid w:val="00B85E49"/>
    <w:rsid w:val="00B879E3"/>
    <w:rsid w:val="00B9127B"/>
    <w:rsid w:val="00B93720"/>
    <w:rsid w:val="00BB4D14"/>
    <w:rsid w:val="00BB5F6A"/>
    <w:rsid w:val="00BD1B67"/>
    <w:rsid w:val="00BD39E5"/>
    <w:rsid w:val="00BD657D"/>
    <w:rsid w:val="00BE6B9D"/>
    <w:rsid w:val="00BF6F2C"/>
    <w:rsid w:val="00C153C9"/>
    <w:rsid w:val="00C16C4D"/>
    <w:rsid w:val="00C34D17"/>
    <w:rsid w:val="00C518C9"/>
    <w:rsid w:val="00C66F48"/>
    <w:rsid w:val="00C714AC"/>
    <w:rsid w:val="00C72AC0"/>
    <w:rsid w:val="00C74BCB"/>
    <w:rsid w:val="00C950A0"/>
    <w:rsid w:val="00CB1D72"/>
    <w:rsid w:val="00CB7056"/>
    <w:rsid w:val="00CC5F93"/>
    <w:rsid w:val="00CD0E3E"/>
    <w:rsid w:val="00CD4D04"/>
    <w:rsid w:val="00CE37A9"/>
    <w:rsid w:val="00CF19C4"/>
    <w:rsid w:val="00D10C8E"/>
    <w:rsid w:val="00D25333"/>
    <w:rsid w:val="00D26A54"/>
    <w:rsid w:val="00D3302B"/>
    <w:rsid w:val="00D50C9A"/>
    <w:rsid w:val="00D60EC9"/>
    <w:rsid w:val="00D80427"/>
    <w:rsid w:val="00D83261"/>
    <w:rsid w:val="00D87182"/>
    <w:rsid w:val="00DA1089"/>
    <w:rsid w:val="00DA3F2F"/>
    <w:rsid w:val="00DA52BE"/>
    <w:rsid w:val="00DB5CB4"/>
    <w:rsid w:val="00DC519D"/>
    <w:rsid w:val="00DD0FCC"/>
    <w:rsid w:val="00E079DE"/>
    <w:rsid w:val="00E12202"/>
    <w:rsid w:val="00E36415"/>
    <w:rsid w:val="00E644C6"/>
    <w:rsid w:val="00E64799"/>
    <w:rsid w:val="00E70F67"/>
    <w:rsid w:val="00E75B04"/>
    <w:rsid w:val="00E80E3B"/>
    <w:rsid w:val="00E8159B"/>
    <w:rsid w:val="00EB4936"/>
    <w:rsid w:val="00EB54A2"/>
    <w:rsid w:val="00EC4FDE"/>
    <w:rsid w:val="00EC7F55"/>
    <w:rsid w:val="00EE7FF2"/>
    <w:rsid w:val="00EF37B2"/>
    <w:rsid w:val="00F034C5"/>
    <w:rsid w:val="00F1101F"/>
    <w:rsid w:val="00F135B1"/>
    <w:rsid w:val="00F151AB"/>
    <w:rsid w:val="00F3192C"/>
    <w:rsid w:val="00F359FD"/>
    <w:rsid w:val="00F37D19"/>
    <w:rsid w:val="00F37F25"/>
    <w:rsid w:val="00F45265"/>
    <w:rsid w:val="00F452CD"/>
    <w:rsid w:val="00F47467"/>
    <w:rsid w:val="00F638CA"/>
    <w:rsid w:val="00F8092A"/>
    <w:rsid w:val="00F9313A"/>
    <w:rsid w:val="00FA2FFA"/>
    <w:rsid w:val="00FA5624"/>
    <w:rsid w:val="00FB7365"/>
    <w:rsid w:val="00FC1927"/>
    <w:rsid w:val="00FC44CC"/>
    <w:rsid w:val="00FE19EA"/>
    <w:rsid w:val="00FE65D8"/>
    <w:rsid w:val="00FF697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16737"/>
    <o:shapelayout v:ext="edit">
      <o:idmap v:ext="edit" data="1"/>
    </o:shapelayout>
  </w:shapeDefaults>
  <w:decimalSymbol w:val="."/>
  <w:listSeparator w:val=","/>
  <w14:docId w14:val="47EC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35BA"/>
    <w:pPr>
      <w:bidi/>
      <w:spacing w:before="120" w:after="120" w:line="360" w:lineRule="auto"/>
      <w:jc w:val="both"/>
    </w:pPr>
    <w:rPr>
      <w:rFonts w:ascii="Times New Roman" w:eastAsia="Times New Roman" w:hAnsi="Times New Roman" w:cs="David"/>
      <w:noProof/>
      <w:sz w:val="20"/>
      <w:szCs w:val="24"/>
      <w:lang w:eastAsia="he-IL"/>
    </w:rPr>
  </w:style>
  <w:style w:type="paragraph" w:styleId="1">
    <w:name w:val="heading 1"/>
    <w:basedOn w:val="a"/>
    <w:next w:val="a"/>
    <w:link w:val="10"/>
    <w:qFormat/>
    <w:rsid w:val="000C35BA"/>
    <w:pPr>
      <w:keepNext/>
      <w:overflowPunct w:val="0"/>
      <w:autoSpaceDE w:val="0"/>
      <w:autoSpaceDN w:val="0"/>
      <w:adjustRightInd w:val="0"/>
      <w:spacing w:before="280"/>
      <w:outlineLvl w:val="0"/>
    </w:pPr>
    <w:rPr>
      <w:b/>
      <w:bCs/>
      <w:noProof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כותרת 1 תו"/>
    <w:basedOn w:val="a0"/>
    <w:link w:val="1"/>
    <w:rsid w:val="000C35BA"/>
    <w:rPr>
      <w:rFonts w:ascii="Times New Roman" w:eastAsia="Times New Roman" w:hAnsi="Times New Roman" w:cs="David"/>
      <w:b/>
      <w:bCs/>
      <w:sz w:val="28"/>
      <w:szCs w:val="28"/>
      <w:lang w:eastAsia="he-IL"/>
    </w:rPr>
  </w:style>
  <w:style w:type="character" w:styleId="a3">
    <w:name w:val="Strong"/>
    <w:basedOn w:val="a0"/>
    <w:qFormat/>
    <w:rsid w:val="000C35BA"/>
    <w:rPr>
      <w:rFonts w:ascii="Times New Roman" w:hAnsi="Times New Roman" w:cs="Times New Roman" w:hint="default"/>
      <w:b/>
      <w:bCs/>
    </w:rPr>
  </w:style>
  <w:style w:type="paragraph" w:styleId="a4">
    <w:name w:val="footnote text"/>
    <w:basedOn w:val="a"/>
    <w:link w:val="a5"/>
    <w:uiPriority w:val="99"/>
    <w:semiHidden/>
    <w:unhideWhenUsed/>
    <w:rsid w:val="000C35BA"/>
    <w:pPr>
      <w:overflowPunct w:val="0"/>
      <w:autoSpaceDE w:val="0"/>
      <w:autoSpaceDN w:val="0"/>
      <w:adjustRightInd w:val="0"/>
      <w:spacing w:before="0" w:after="0" w:line="240" w:lineRule="auto"/>
    </w:pPr>
    <w:rPr>
      <w:noProof w:val="0"/>
      <w:sz w:val="22"/>
      <w:szCs w:val="20"/>
    </w:rPr>
  </w:style>
  <w:style w:type="character" w:customStyle="1" w:styleId="a5">
    <w:name w:val="טקסט הערת שוליים תו"/>
    <w:basedOn w:val="a0"/>
    <w:link w:val="a4"/>
    <w:uiPriority w:val="99"/>
    <w:semiHidden/>
    <w:rsid w:val="000C35BA"/>
    <w:rPr>
      <w:rFonts w:ascii="Times New Roman" w:eastAsia="Times New Roman" w:hAnsi="Times New Roman" w:cs="David"/>
      <w:szCs w:val="20"/>
      <w:lang w:eastAsia="he-IL"/>
    </w:rPr>
  </w:style>
  <w:style w:type="paragraph" w:styleId="a6">
    <w:name w:val="annotation text"/>
    <w:basedOn w:val="a"/>
    <w:link w:val="a7"/>
    <w:uiPriority w:val="99"/>
    <w:semiHidden/>
    <w:unhideWhenUsed/>
    <w:rsid w:val="000C35BA"/>
    <w:pPr>
      <w:spacing w:line="240" w:lineRule="auto"/>
    </w:pPr>
    <w:rPr>
      <w:szCs w:val="20"/>
    </w:rPr>
  </w:style>
  <w:style w:type="character" w:customStyle="1" w:styleId="a7">
    <w:name w:val="טקסט הערה תו"/>
    <w:basedOn w:val="a0"/>
    <w:link w:val="a6"/>
    <w:uiPriority w:val="99"/>
    <w:semiHidden/>
    <w:rsid w:val="000C35BA"/>
    <w:rPr>
      <w:rFonts w:ascii="Times New Roman" w:eastAsia="Times New Roman" w:hAnsi="Times New Roman" w:cs="David"/>
      <w:noProof/>
      <w:sz w:val="20"/>
      <w:szCs w:val="20"/>
      <w:lang w:eastAsia="he-IL"/>
    </w:rPr>
  </w:style>
  <w:style w:type="paragraph" w:styleId="a8">
    <w:name w:val="header"/>
    <w:basedOn w:val="a"/>
    <w:link w:val="a9"/>
    <w:unhideWhenUsed/>
    <w:rsid w:val="000C35BA"/>
    <w:pPr>
      <w:tabs>
        <w:tab w:val="center" w:pos="4153"/>
        <w:tab w:val="right" w:pos="8306"/>
      </w:tabs>
      <w:overflowPunct w:val="0"/>
      <w:autoSpaceDE w:val="0"/>
      <w:autoSpaceDN w:val="0"/>
      <w:adjustRightInd w:val="0"/>
      <w:spacing w:before="240"/>
    </w:pPr>
    <w:rPr>
      <w:noProof w:val="0"/>
      <w:sz w:val="24"/>
      <w:szCs w:val="28"/>
    </w:rPr>
  </w:style>
  <w:style w:type="character" w:customStyle="1" w:styleId="a9">
    <w:name w:val="כותרת עליונה תו"/>
    <w:basedOn w:val="a0"/>
    <w:link w:val="a8"/>
    <w:rsid w:val="000C35BA"/>
    <w:rPr>
      <w:rFonts w:ascii="Times New Roman" w:eastAsia="Times New Roman" w:hAnsi="Times New Roman" w:cs="David"/>
      <w:sz w:val="24"/>
      <w:szCs w:val="28"/>
      <w:lang w:eastAsia="he-IL"/>
    </w:rPr>
  </w:style>
  <w:style w:type="paragraph" w:styleId="aa">
    <w:name w:val="List Paragraph"/>
    <w:basedOn w:val="a"/>
    <w:uiPriority w:val="34"/>
    <w:qFormat/>
    <w:rsid w:val="000C35BA"/>
    <w:pPr>
      <w:ind w:left="720"/>
      <w:contextualSpacing/>
    </w:pPr>
  </w:style>
  <w:style w:type="character" w:styleId="ab">
    <w:name w:val="footnote reference"/>
    <w:basedOn w:val="a0"/>
    <w:uiPriority w:val="99"/>
    <w:semiHidden/>
    <w:unhideWhenUsed/>
    <w:rsid w:val="000C35BA"/>
    <w:rPr>
      <w:vertAlign w:val="superscript"/>
    </w:rPr>
  </w:style>
  <w:style w:type="character" w:styleId="ac">
    <w:name w:val="annotation reference"/>
    <w:basedOn w:val="a0"/>
    <w:uiPriority w:val="99"/>
    <w:semiHidden/>
    <w:unhideWhenUsed/>
    <w:rsid w:val="000C35BA"/>
    <w:rPr>
      <w:sz w:val="16"/>
      <w:szCs w:val="16"/>
    </w:rPr>
  </w:style>
  <w:style w:type="paragraph" w:styleId="ad">
    <w:name w:val="Balloon Text"/>
    <w:basedOn w:val="a"/>
    <w:link w:val="ae"/>
    <w:uiPriority w:val="99"/>
    <w:semiHidden/>
    <w:unhideWhenUsed/>
    <w:rsid w:val="000C35BA"/>
    <w:pPr>
      <w:spacing w:before="0" w:after="0" w:line="240" w:lineRule="auto"/>
    </w:pPr>
    <w:rPr>
      <w:rFonts w:ascii="Tahoma" w:hAnsi="Tahoma" w:cs="Tahoma"/>
      <w:sz w:val="16"/>
      <w:szCs w:val="16"/>
    </w:rPr>
  </w:style>
  <w:style w:type="character" w:customStyle="1" w:styleId="ae">
    <w:name w:val="טקסט בלונים תו"/>
    <w:basedOn w:val="a0"/>
    <w:link w:val="ad"/>
    <w:uiPriority w:val="99"/>
    <w:semiHidden/>
    <w:rsid w:val="000C35BA"/>
    <w:rPr>
      <w:rFonts w:ascii="Tahoma" w:eastAsia="Times New Roman" w:hAnsi="Tahoma" w:cs="Tahoma"/>
      <w:noProof/>
      <w:sz w:val="16"/>
      <w:szCs w:val="16"/>
      <w:lang w:eastAsia="he-IL"/>
    </w:rPr>
  </w:style>
  <w:style w:type="paragraph" w:styleId="af">
    <w:name w:val="annotation subject"/>
    <w:basedOn w:val="a6"/>
    <w:next w:val="a6"/>
    <w:link w:val="af0"/>
    <w:uiPriority w:val="99"/>
    <w:semiHidden/>
    <w:unhideWhenUsed/>
    <w:rsid w:val="00D50C9A"/>
    <w:rPr>
      <w:b/>
      <w:bCs/>
    </w:rPr>
  </w:style>
  <w:style w:type="character" w:customStyle="1" w:styleId="af0">
    <w:name w:val="נושא הערה תו"/>
    <w:basedOn w:val="a7"/>
    <w:link w:val="af"/>
    <w:uiPriority w:val="99"/>
    <w:semiHidden/>
    <w:rsid w:val="00D50C9A"/>
    <w:rPr>
      <w:rFonts w:ascii="Times New Roman" w:eastAsia="Times New Roman" w:hAnsi="Times New Roman" w:cs="David"/>
      <w:b/>
      <w:bCs/>
      <w:noProof/>
      <w:sz w:val="20"/>
      <w:szCs w:val="20"/>
      <w:lang w:eastAsia="he-IL"/>
    </w:rPr>
  </w:style>
  <w:style w:type="paragraph" w:styleId="af1">
    <w:name w:val="footer"/>
    <w:basedOn w:val="a"/>
    <w:link w:val="af2"/>
    <w:uiPriority w:val="99"/>
    <w:unhideWhenUsed/>
    <w:rsid w:val="008D1277"/>
    <w:pPr>
      <w:tabs>
        <w:tab w:val="center" w:pos="4153"/>
        <w:tab w:val="right" w:pos="8306"/>
      </w:tabs>
      <w:spacing w:before="0" w:after="0" w:line="240" w:lineRule="auto"/>
    </w:pPr>
  </w:style>
  <w:style w:type="character" w:customStyle="1" w:styleId="af2">
    <w:name w:val="כותרת תחתונה תו"/>
    <w:basedOn w:val="a0"/>
    <w:link w:val="af1"/>
    <w:uiPriority w:val="99"/>
    <w:rsid w:val="008D1277"/>
    <w:rPr>
      <w:rFonts w:ascii="Times New Roman" w:eastAsia="Times New Roman" w:hAnsi="Times New Roman" w:cs="David"/>
      <w:noProof/>
      <w:sz w:val="20"/>
      <w:szCs w:val="24"/>
      <w:lang w:eastAsia="he-I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35BA"/>
    <w:pPr>
      <w:bidi/>
      <w:spacing w:before="120" w:after="120" w:line="360" w:lineRule="auto"/>
      <w:jc w:val="both"/>
    </w:pPr>
    <w:rPr>
      <w:rFonts w:ascii="Times New Roman" w:eastAsia="Times New Roman" w:hAnsi="Times New Roman" w:cs="David"/>
      <w:noProof/>
      <w:sz w:val="20"/>
      <w:szCs w:val="24"/>
      <w:lang w:eastAsia="he-IL"/>
    </w:rPr>
  </w:style>
  <w:style w:type="paragraph" w:styleId="1">
    <w:name w:val="heading 1"/>
    <w:basedOn w:val="a"/>
    <w:next w:val="a"/>
    <w:link w:val="10"/>
    <w:qFormat/>
    <w:rsid w:val="000C35BA"/>
    <w:pPr>
      <w:keepNext/>
      <w:overflowPunct w:val="0"/>
      <w:autoSpaceDE w:val="0"/>
      <w:autoSpaceDN w:val="0"/>
      <w:adjustRightInd w:val="0"/>
      <w:spacing w:before="280"/>
      <w:outlineLvl w:val="0"/>
    </w:pPr>
    <w:rPr>
      <w:b/>
      <w:bCs/>
      <w:noProof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כותרת 1 תו"/>
    <w:basedOn w:val="a0"/>
    <w:link w:val="1"/>
    <w:rsid w:val="000C35BA"/>
    <w:rPr>
      <w:rFonts w:ascii="Times New Roman" w:eastAsia="Times New Roman" w:hAnsi="Times New Roman" w:cs="David"/>
      <w:b/>
      <w:bCs/>
      <w:sz w:val="28"/>
      <w:szCs w:val="28"/>
      <w:lang w:eastAsia="he-IL"/>
    </w:rPr>
  </w:style>
  <w:style w:type="character" w:styleId="a3">
    <w:name w:val="Strong"/>
    <w:basedOn w:val="a0"/>
    <w:qFormat/>
    <w:rsid w:val="000C35BA"/>
    <w:rPr>
      <w:rFonts w:ascii="Times New Roman" w:hAnsi="Times New Roman" w:cs="Times New Roman" w:hint="default"/>
      <w:b/>
      <w:bCs/>
    </w:rPr>
  </w:style>
  <w:style w:type="paragraph" w:styleId="a4">
    <w:name w:val="footnote text"/>
    <w:basedOn w:val="a"/>
    <w:link w:val="a5"/>
    <w:uiPriority w:val="99"/>
    <w:semiHidden/>
    <w:unhideWhenUsed/>
    <w:rsid w:val="000C35BA"/>
    <w:pPr>
      <w:overflowPunct w:val="0"/>
      <w:autoSpaceDE w:val="0"/>
      <w:autoSpaceDN w:val="0"/>
      <w:adjustRightInd w:val="0"/>
      <w:spacing w:before="0" w:after="0" w:line="240" w:lineRule="auto"/>
    </w:pPr>
    <w:rPr>
      <w:noProof w:val="0"/>
      <w:sz w:val="22"/>
      <w:szCs w:val="20"/>
    </w:rPr>
  </w:style>
  <w:style w:type="character" w:customStyle="1" w:styleId="a5">
    <w:name w:val="טקסט הערת שוליים תו"/>
    <w:basedOn w:val="a0"/>
    <w:link w:val="a4"/>
    <w:uiPriority w:val="99"/>
    <w:semiHidden/>
    <w:rsid w:val="000C35BA"/>
    <w:rPr>
      <w:rFonts w:ascii="Times New Roman" w:eastAsia="Times New Roman" w:hAnsi="Times New Roman" w:cs="David"/>
      <w:szCs w:val="20"/>
      <w:lang w:eastAsia="he-IL"/>
    </w:rPr>
  </w:style>
  <w:style w:type="paragraph" w:styleId="a6">
    <w:name w:val="annotation text"/>
    <w:basedOn w:val="a"/>
    <w:link w:val="a7"/>
    <w:uiPriority w:val="99"/>
    <w:semiHidden/>
    <w:unhideWhenUsed/>
    <w:rsid w:val="000C35BA"/>
    <w:pPr>
      <w:spacing w:line="240" w:lineRule="auto"/>
    </w:pPr>
    <w:rPr>
      <w:szCs w:val="20"/>
    </w:rPr>
  </w:style>
  <w:style w:type="character" w:customStyle="1" w:styleId="a7">
    <w:name w:val="טקסט הערה תו"/>
    <w:basedOn w:val="a0"/>
    <w:link w:val="a6"/>
    <w:uiPriority w:val="99"/>
    <w:semiHidden/>
    <w:rsid w:val="000C35BA"/>
    <w:rPr>
      <w:rFonts w:ascii="Times New Roman" w:eastAsia="Times New Roman" w:hAnsi="Times New Roman" w:cs="David"/>
      <w:noProof/>
      <w:sz w:val="20"/>
      <w:szCs w:val="20"/>
      <w:lang w:eastAsia="he-IL"/>
    </w:rPr>
  </w:style>
  <w:style w:type="paragraph" w:styleId="a8">
    <w:name w:val="header"/>
    <w:basedOn w:val="a"/>
    <w:link w:val="a9"/>
    <w:unhideWhenUsed/>
    <w:rsid w:val="000C35BA"/>
    <w:pPr>
      <w:tabs>
        <w:tab w:val="center" w:pos="4153"/>
        <w:tab w:val="right" w:pos="8306"/>
      </w:tabs>
      <w:overflowPunct w:val="0"/>
      <w:autoSpaceDE w:val="0"/>
      <w:autoSpaceDN w:val="0"/>
      <w:adjustRightInd w:val="0"/>
      <w:spacing w:before="240"/>
    </w:pPr>
    <w:rPr>
      <w:noProof w:val="0"/>
      <w:sz w:val="24"/>
      <w:szCs w:val="28"/>
    </w:rPr>
  </w:style>
  <w:style w:type="character" w:customStyle="1" w:styleId="a9">
    <w:name w:val="כותרת עליונה תו"/>
    <w:basedOn w:val="a0"/>
    <w:link w:val="a8"/>
    <w:rsid w:val="000C35BA"/>
    <w:rPr>
      <w:rFonts w:ascii="Times New Roman" w:eastAsia="Times New Roman" w:hAnsi="Times New Roman" w:cs="David"/>
      <w:sz w:val="24"/>
      <w:szCs w:val="28"/>
      <w:lang w:eastAsia="he-IL"/>
    </w:rPr>
  </w:style>
  <w:style w:type="paragraph" w:styleId="aa">
    <w:name w:val="List Paragraph"/>
    <w:basedOn w:val="a"/>
    <w:uiPriority w:val="34"/>
    <w:qFormat/>
    <w:rsid w:val="000C35BA"/>
    <w:pPr>
      <w:ind w:left="720"/>
      <w:contextualSpacing/>
    </w:pPr>
  </w:style>
  <w:style w:type="character" w:styleId="ab">
    <w:name w:val="footnote reference"/>
    <w:basedOn w:val="a0"/>
    <w:uiPriority w:val="99"/>
    <w:semiHidden/>
    <w:unhideWhenUsed/>
    <w:rsid w:val="000C35BA"/>
    <w:rPr>
      <w:vertAlign w:val="superscript"/>
    </w:rPr>
  </w:style>
  <w:style w:type="character" w:styleId="ac">
    <w:name w:val="annotation reference"/>
    <w:basedOn w:val="a0"/>
    <w:uiPriority w:val="99"/>
    <w:semiHidden/>
    <w:unhideWhenUsed/>
    <w:rsid w:val="000C35BA"/>
    <w:rPr>
      <w:sz w:val="16"/>
      <w:szCs w:val="16"/>
    </w:rPr>
  </w:style>
  <w:style w:type="paragraph" w:styleId="ad">
    <w:name w:val="Balloon Text"/>
    <w:basedOn w:val="a"/>
    <w:link w:val="ae"/>
    <w:uiPriority w:val="99"/>
    <w:semiHidden/>
    <w:unhideWhenUsed/>
    <w:rsid w:val="000C35BA"/>
    <w:pPr>
      <w:spacing w:before="0" w:after="0" w:line="240" w:lineRule="auto"/>
    </w:pPr>
    <w:rPr>
      <w:rFonts w:ascii="Tahoma" w:hAnsi="Tahoma" w:cs="Tahoma"/>
      <w:sz w:val="16"/>
      <w:szCs w:val="16"/>
    </w:rPr>
  </w:style>
  <w:style w:type="character" w:customStyle="1" w:styleId="ae">
    <w:name w:val="טקסט בלונים תו"/>
    <w:basedOn w:val="a0"/>
    <w:link w:val="ad"/>
    <w:uiPriority w:val="99"/>
    <w:semiHidden/>
    <w:rsid w:val="000C35BA"/>
    <w:rPr>
      <w:rFonts w:ascii="Tahoma" w:eastAsia="Times New Roman" w:hAnsi="Tahoma" w:cs="Tahoma"/>
      <w:noProof/>
      <w:sz w:val="16"/>
      <w:szCs w:val="16"/>
      <w:lang w:eastAsia="he-IL"/>
    </w:rPr>
  </w:style>
  <w:style w:type="paragraph" w:styleId="af">
    <w:name w:val="annotation subject"/>
    <w:basedOn w:val="a6"/>
    <w:next w:val="a6"/>
    <w:link w:val="af0"/>
    <w:uiPriority w:val="99"/>
    <w:semiHidden/>
    <w:unhideWhenUsed/>
    <w:rsid w:val="00D50C9A"/>
    <w:rPr>
      <w:b/>
      <w:bCs/>
    </w:rPr>
  </w:style>
  <w:style w:type="character" w:customStyle="1" w:styleId="af0">
    <w:name w:val="נושא הערה תו"/>
    <w:basedOn w:val="a7"/>
    <w:link w:val="af"/>
    <w:uiPriority w:val="99"/>
    <w:semiHidden/>
    <w:rsid w:val="00D50C9A"/>
    <w:rPr>
      <w:rFonts w:ascii="Times New Roman" w:eastAsia="Times New Roman" w:hAnsi="Times New Roman" w:cs="David"/>
      <w:b/>
      <w:bCs/>
      <w:noProof/>
      <w:sz w:val="20"/>
      <w:szCs w:val="20"/>
      <w:lang w:eastAsia="he-IL"/>
    </w:rPr>
  </w:style>
  <w:style w:type="paragraph" w:styleId="af1">
    <w:name w:val="footer"/>
    <w:basedOn w:val="a"/>
    <w:link w:val="af2"/>
    <w:uiPriority w:val="99"/>
    <w:unhideWhenUsed/>
    <w:rsid w:val="008D1277"/>
    <w:pPr>
      <w:tabs>
        <w:tab w:val="center" w:pos="4153"/>
        <w:tab w:val="right" w:pos="8306"/>
      </w:tabs>
      <w:spacing w:before="0" w:after="0" w:line="240" w:lineRule="auto"/>
    </w:pPr>
  </w:style>
  <w:style w:type="character" w:customStyle="1" w:styleId="af2">
    <w:name w:val="כותרת תחתונה תו"/>
    <w:basedOn w:val="a0"/>
    <w:link w:val="af1"/>
    <w:uiPriority w:val="99"/>
    <w:rsid w:val="008D1277"/>
    <w:rPr>
      <w:rFonts w:ascii="Times New Roman" w:eastAsia="Times New Roman" w:hAnsi="Times New Roman" w:cs="David"/>
      <w:noProof/>
      <w:sz w:val="20"/>
      <w:szCs w:val="24"/>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8083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C74558-C8A2-41EF-8A85-B92ED10EA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4273</Words>
  <Characters>21365</Characters>
  <Application>Microsoft Office Word</Application>
  <DocSecurity>0</DocSecurity>
  <Lines>178</Lines>
  <Paragraphs>51</Paragraphs>
  <ScaleCrop>false</ScaleCrop>
  <HeadingPairs>
    <vt:vector size="4" baseType="variant">
      <vt:variant>
        <vt:lpstr>שם</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25587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Michal Cohen</dc:creator>
  <cp:lastModifiedBy>Melita Shafir</cp:lastModifiedBy>
  <cp:revision>2</cp:revision>
  <cp:lastPrinted>2015-10-20T14:36:00Z</cp:lastPrinted>
  <dcterms:created xsi:type="dcterms:W3CDTF">2015-10-21T09:34:00Z</dcterms:created>
  <dcterms:modified xsi:type="dcterms:W3CDTF">2015-10-21T09:34:00Z</dcterms:modified>
</cp:coreProperties>
</file>