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0DF0" w:rsidRPr="00364B07" w:rsidRDefault="00FE0DF0" w:rsidP="00AD4C6B">
      <w:pPr>
        <w:bidi/>
        <w:spacing w:before="100" w:beforeAutospacing="1" w:line="360" w:lineRule="auto"/>
        <w:jc w:val="center"/>
        <w:rPr>
          <w:rFonts w:ascii="David" w:hAnsi="David" w:cs="David"/>
          <w:b/>
          <w:bCs/>
          <w:sz w:val="22"/>
          <w:szCs w:val="22"/>
          <w:rtl/>
        </w:rPr>
      </w:pPr>
      <w:bookmarkStart w:id="0" w:name="_GoBack"/>
      <w:bookmarkEnd w:id="0"/>
      <w:r w:rsidRPr="00364B07">
        <w:rPr>
          <w:rFonts w:ascii="David" w:hAnsi="David" w:cs="David"/>
          <w:b/>
          <w:bCs/>
          <w:sz w:val="22"/>
          <w:szCs w:val="22"/>
          <w:rtl/>
        </w:rPr>
        <w:t>החלטה לפי סעיף 14 לחוק התחרות הכלכלית, התשמ"ח-1988</w:t>
      </w:r>
      <w:r w:rsidR="00514162" w:rsidRPr="00364B07">
        <w:rPr>
          <w:rFonts w:ascii="David" w:hAnsi="David" w:cs="David"/>
          <w:b/>
          <w:bCs/>
          <w:sz w:val="22"/>
          <w:szCs w:val="22"/>
          <w:rtl/>
        </w:rPr>
        <w:t xml:space="preserve"> </w:t>
      </w:r>
      <w:r w:rsidR="00364B07" w:rsidRPr="00364B07">
        <w:rPr>
          <w:rFonts w:ascii="David" w:hAnsi="David" w:cs="David"/>
          <w:b/>
          <w:bCs/>
          <w:sz w:val="22"/>
          <w:szCs w:val="22"/>
          <w:rtl/>
        </w:rPr>
        <w:br/>
      </w:r>
      <w:r w:rsidRPr="00364B07">
        <w:rPr>
          <w:rFonts w:ascii="David" w:hAnsi="David" w:cs="David"/>
          <w:b/>
          <w:bCs/>
          <w:sz w:val="22"/>
          <w:szCs w:val="22"/>
          <w:rtl/>
        </w:rPr>
        <w:t>בדבר מתן פטור מאישור הסדר כובל שצדדים לו</w:t>
      </w:r>
      <w:r w:rsidR="00C65493" w:rsidRPr="00364B07">
        <w:rPr>
          <w:rFonts w:ascii="David" w:hAnsi="David" w:cs="David" w:hint="cs"/>
          <w:b/>
          <w:bCs/>
          <w:sz w:val="22"/>
          <w:szCs w:val="22"/>
          <w:rtl/>
        </w:rPr>
        <w:t xml:space="preserve"> </w:t>
      </w:r>
      <w:r w:rsidRPr="00364B07">
        <w:rPr>
          <w:rFonts w:ascii="David" w:hAnsi="David" w:cs="David"/>
          <w:b/>
          <w:bCs/>
          <w:sz w:val="22"/>
          <w:szCs w:val="22"/>
          <w:rtl/>
        </w:rPr>
        <w:t>אגודת קומפוזיטורים מחברים ומו"לים למוסיקה בישראל בע"מ ובעלי הזכויות החברים בה</w:t>
      </w:r>
      <w:r w:rsidR="00364B07" w:rsidRPr="00364B07">
        <w:rPr>
          <w:rFonts w:ascii="David" w:hAnsi="David" w:cs="David" w:hint="cs"/>
          <w:b/>
          <w:bCs/>
          <w:sz w:val="22"/>
          <w:szCs w:val="22"/>
          <w:rtl/>
        </w:rPr>
        <w:t xml:space="preserve"> והמיוצגים על ידה</w:t>
      </w:r>
    </w:p>
    <w:p w:rsidR="00FE0DF0" w:rsidRPr="00A77F70" w:rsidRDefault="00FE0DF0" w:rsidP="00A77F70">
      <w:pPr>
        <w:pStyle w:val="ListParagraph"/>
        <w:numPr>
          <w:ilvl w:val="0"/>
          <w:numId w:val="2"/>
        </w:numPr>
        <w:bidi/>
        <w:spacing w:after="0" w:afterAutospacing="0" w:line="360" w:lineRule="auto"/>
        <w:ind w:left="804" w:right="720"/>
        <w:contextualSpacing/>
        <w:jc w:val="both"/>
        <w:rPr>
          <w:rFonts w:ascii="David" w:hAnsi="David" w:cs="David"/>
          <w:b/>
          <w:bCs/>
          <w:sz w:val="22"/>
          <w:szCs w:val="22"/>
          <w:u w:val="single"/>
          <w:rtl/>
        </w:rPr>
      </w:pPr>
      <w:r w:rsidRPr="00364B07">
        <w:rPr>
          <w:rFonts w:ascii="David" w:hAnsi="David" w:cs="David"/>
          <w:b/>
          <w:bCs/>
          <w:sz w:val="22"/>
          <w:szCs w:val="22"/>
          <w:u w:val="single"/>
          <w:rtl/>
        </w:rPr>
        <w:t>פתח דבר</w:t>
      </w:r>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 xml:space="preserve">מונחת </w:t>
      </w:r>
      <w:r w:rsidR="00514162" w:rsidRPr="00364B07">
        <w:rPr>
          <w:rFonts w:ascii="David" w:hAnsi="David" w:cs="David"/>
          <w:sz w:val="22"/>
          <w:szCs w:val="22"/>
          <w:rtl/>
        </w:rPr>
        <w:t>ל</w:t>
      </w:r>
      <w:r w:rsidRPr="00364B07">
        <w:rPr>
          <w:rFonts w:ascii="David" w:hAnsi="David" w:cs="David"/>
          <w:sz w:val="22"/>
          <w:szCs w:val="22"/>
          <w:rtl/>
        </w:rPr>
        <w:t>פניי בקשה למתן פטור לפי סעיף 14 לחוק ההתחרות הכלכלית</w:t>
      </w:r>
      <w:r w:rsidR="00514162" w:rsidRPr="00364B07">
        <w:rPr>
          <w:rFonts w:ascii="David" w:hAnsi="David" w:cs="David"/>
          <w:sz w:val="22"/>
          <w:szCs w:val="22"/>
          <w:rtl/>
        </w:rPr>
        <w:t>,</w:t>
      </w:r>
      <w:r w:rsidRPr="00364B07">
        <w:rPr>
          <w:rFonts w:ascii="David" w:hAnsi="David" w:cs="David"/>
          <w:sz w:val="22"/>
          <w:szCs w:val="22"/>
          <w:rtl/>
        </w:rPr>
        <w:t xml:space="preserve"> התשמ"ח-1988 (להלן</w:t>
      </w:r>
      <w:r w:rsidRPr="00364B07">
        <w:rPr>
          <w:rFonts w:ascii="David" w:hAnsi="David" w:cs="David"/>
          <w:b/>
          <w:bCs/>
          <w:sz w:val="22"/>
          <w:szCs w:val="22"/>
          <w:rtl/>
        </w:rPr>
        <w:t xml:space="preserve"> החוק</w:t>
      </w:r>
      <w:r w:rsidRPr="00364B07">
        <w:rPr>
          <w:rFonts w:ascii="David" w:hAnsi="David" w:cs="David"/>
          <w:sz w:val="22"/>
          <w:szCs w:val="22"/>
          <w:rtl/>
        </w:rPr>
        <w:t xml:space="preserve">) להסדר כובל בין אגודת קומפוזיטורים מחברים ומו"לים למוסיקה בישראל בע"מ (להלן </w:t>
      </w:r>
      <w:r w:rsidRPr="00364B07">
        <w:rPr>
          <w:rFonts w:ascii="David" w:hAnsi="David" w:cs="David"/>
          <w:b/>
          <w:bCs/>
          <w:sz w:val="22"/>
          <w:szCs w:val="22"/>
          <w:rtl/>
        </w:rPr>
        <w:t>אקו"ם</w:t>
      </w:r>
      <w:r w:rsidRPr="00364B07">
        <w:rPr>
          <w:rFonts w:ascii="David" w:hAnsi="David" w:cs="David"/>
          <w:sz w:val="22"/>
          <w:szCs w:val="22"/>
          <w:rtl/>
        </w:rPr>
        <w:t xml:space="preserve">) לבין בעלי זכויות החברים בה או המיוצגים על ידה, והאגודות האחיות שעמן היא קשורה, ובינם לבין עצמם. עניינה של בקשת הפטור הוא בהסדרים הכובלים העומדים ביסוד הקמתה ופעילות של אקו"ם כתאגיד לניהול משותף של זכויות יוצרים, על רקע פקיעת הפטור הקודם לפעילותה של אקו"ם. </w:t>
      </w:r>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 xml:space="preserve">לאחר שבחנתי את ההסדר ואת הכבילות המצויות בו, כמו גם את השפעתן האפשרית על התחרות בשוק הרלוונטי, ולאחר שנועצתי בוועדה לפטורים ולמיזוגים, שוכנעתי כי בכפוף לתנאים שיפורטו בהמשך, הכבילות אינן פוגעות פגיעה של ממש בתחרות בשוק, כי עיקרו של ההסדר אינו בהפחתת התחרות או במניעתה, וכן כי אין בהסדר כבילות שאינן נחוצות למימוש עיקרו. על כן, מצאתי כי ההסדר ראוי לפטור לפי סעיף 14 לחוק, בתנאים ובשל הנימוקים אשר יפורטו להלן. </w:t>
      </w:r>
    </w:p>
    <w:p w:rsidR="00FE0DF0" w:rsidRPr="00364B07" w:rsidRDefault="00FE0DF0" w:rsidP="00A77F70">
      <w:pPr>
        <w:pStyle w:val="ListParagraph"/>
        <w:numPr>
          <w:ilvl w:val="0"/>
          <w:numId w:val="2"/>
        </w:numPr>
        <w:bidi/>
        <w:spacing w:after="0" w:afterAutospacing="0" w:line="360" w:lineRule="auto"/>
        <w:ind w:left="804" w:right="720"/>
        <w:contextualSpacing/>
        <w:jc w:val="both"/>
        <w:rPr>
          <w:rFonts w:ascii="David" w:hAnsi="David" w:cs="David"/>
          <w:b/>
          <w:bCs/>
          <w:sz w:val="22"/>
          <w:szCs w:val="22"/>
          <w:u w:val="single"/>
          <w:rtl/>
        </w:rPr>
      </w:pPr>
      <w:r w:rsidRPr="00364B07">
        <w:rPr>
          <w:rFonts w:ascii="David" w:hAnsi="David" w:cs="David"/>
          <w:b/>
          <w:bCs/>
          <w:sz w:val="22"/>
          <w:szCs w:val="22"/>
          <w:u w:val="single"/>
          <w:rtl/>
        </w:rPr>
        <w:t>ההסדרים הכובלים והרקע לבקשה</w:t>
      </w:r>
    </w:p>
    <w:p w:rsidR="00FE0DF0" w:rsidRPr="00364B07" w:rsidRDefault="00FE0DF0" w:rsidP="00AD4C6B">
      <w:pPr>
        <w:bidi/>
        <w:spacing w:before="100" w:beforeAutospacing="1" w:after="100" w:afterAutospacing="1" w:line="360" w:lineRule="auto"/>
        <w:jc w:val="both"/>
        <w:rPr>
          <w:rFonts w:ascii="David" w:hAnsi="David" w:cs="David"/>
          <w:sz w:val="22"/>
          <w:szCs w:val="22"/>
        </w:rPr>
      </w:pPr>
      <w:r w:rsidRPr="00364B07">
        <w:rPr>
          <w:rFonts w:ascii="David" w:hAnsi="David" w:cs="David"/>
          <w:sz w:val="22"/>
          <w:szCs w:val="22"/>
          <w:rtl/>
        </w:rPr>
        <w:t>חוק זכות יוצרים, התשס"ח-2007 מקנה ליוצר זכות בלעדית לעשות פעולות ביצירה או בחלק מהותי ממנה כמפורט בסעיף 11 לחוק, ובכלל זה העתקה, ביצוע פומבי, שידור והעמדת יצירה לרשות הציבור (פעולות אלה להלן</w:t>
      </w:r>
      <w:r w:rsidRPr="00364B07">
        <w:rPr>
          <w:rFonts w:ascii="David" w:hAnsi="David" w:cs="David"/>
          <w:b/>
          <w:bCs/>
          <w:sz w:val="22"/>
          <w:szCs w:val="22"/>
          <w:rtl/>
        </w:rPr>
        <w:t xml:space="preserve"> שימוש ביצירה</w:t>
      </w:r>
      <w:r w:rsidRPr="00364B07">
        <w:rPr>
          <w:rFonts w:ascii="David" w:hAnsi="David" w:cs="David"/>
          <w:sz w:val="22"/>
          <w:szCs w:val="22"/>
          <w:rtl/>
        </w:rPr>
        <w:t xml:space="preserve">). בין היצירות המוגנות בחוק זכות יוצרים, יצירות מוסיקליות ויצירות ספרותיות. </w:t>
      </w:r>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 xml:space="preserve">אקו"ם היא תאגיד לניהול משותף של זכויות יוצרים ביצירות מוסיקליות וספרותיות. בעלי הזכויות מעבירים לאקו"ם את זכויותיהם ביצירותיהם, ואילו אקו"ם פועלת להענקת רישיונות המתירים שימוש בכל היצירות המנוהלות על ידה (להלן </w:t>
      </w:r>
      <w:r w:rsidRPr="00364B07">
        <w:rPr>
          <w:rFonts w:ascii="David" w:hAnsi="David" w:cs="David"/>
          <w:b/>
          <w:bCs/>
          <w:sz w:val="22"/>
          <w:szCs w:val="22"/>
          <w:rtl/>
        </w:rPr>
        <w:t>רישיונות שמיכה</w:t>
      </w:r>
      <w:r w:rsidRPr="00364B07">
        <w:rPr>
          <w:rFonts w:ascii="David" w:hAnsi="David" w:cs="David"/>
          <w:sz w:val="22"/>
          <w:szCs w:val="22"/>
          <w:rtl/>
        </w:rPr>
        <w:t>). מעבר לרפרטואר המקומי, אקו"ם קשורה בהסכמים עם תאגידים זרים לניהול משותף של זכויות דומות (להלן</w:t>
      </w:r>
      <w:r w:rsidRPr="00364B07">
        <w:rPr>
          <w:rFonts w:ascii="David" w:hAnsi="David" w:cs="David"/>
          <w:b/>
          <w:bCs/>
          <w:sz w:val="22"/>
          <w:szCs w:val="22"/>
          <w:rtl/>
        </w:rPr>
        <w:t xml:space="preserve"> אגודות אחיות</w:t>
      </w:r>
      <w:r w:rsidRPr="00364B07">
        <w:rPr>
          <w:rFonts w:ascii="David" w:hAnsi="David" w:cs="David"/>
          <w:sz w:val="22"/>
          <w:szCs w:val="22"/>
          <w:rtl/>
        </w:rPr>
        <w:t xml:space="preserve">), מכוחם היא מנהלת בישראל את הזכויות שהועברו לאגודות האחיות על ידי בעלי זכויות זרים. בנוסף להענקת הרישיונות ולגביית התמלוגים עבורם, פועלת אקו"ם לאכיפת זכויות היוצרים של חבריה. </w:t>
      </w:r>
    </w:p>
    <w:p w:rsidR="00FE0DF0" w:rsidRDefault="00FE0DF0" w:rsidP="003667A0">
      <w:pPr>
        <w:bidi/>
        <w:spacing w:line="360" w:lineRule="auto"/>
        <w:jc w:val="both"/>
        <w:rPr>
          <w:rFonts w:ascii="David" w:hAnsi="David" w:cs="David"/>
          <w:sz w:val="22"/>
          <w:szCs w:val="22"/>
          <w:rtl/>
        </w:rPr>
      </w:pPr>
      <w:r w:rsidRPr="00364B07">
        <w:rPr>
          <w:rFonts w:ascii="David" w:hAnsi="David" w:cs="David"/>
          <w:sz w:val="22"/>
          <w:szCs w:val="22"/>
          <w:rtl/>
        </w:rPr>
        <w:t>ביום 30.4.2004 קבע הממונה כי ההסדרים בדבר הקמתה ופעילותה של אקו"ם הם הסדרים כובלים, המבססים לה מעמד של בעלת מונופולין בניהול זכויות מוסיקליות.</w:t>
      </w:r>
      <w:r w:rsidRPr="00364B07">
        <w:rPr>
          <w:rStyle w:val="FootnoteReference"/>
          <w:rFonts w:ascii="David" w:hAnsi="David" w:cs="David"/>
          <w:sz w:val="22"/>
          <w:szCs w:val="22"/>
          <w:vertAlign w:val="superscript"/>
          <w:rtl/>
        </w:rPr>
        <w:footnoteReference w:id="1"/>
      </w:r>
      <w:r w:rsidRPr="00364B07">
        <w:rPr>
          <w:rFonts w:ascii="David" w:hAnsi="David" w:cs="David"/>
          <w:sz w:val="22"/>
          <w:szCs w:val="22"/>
          <w:rtl/>
        </w:rPr>
        <w:t xml:space="preserve"> בעקבות כך, הגישה אקו"ם לבית הדין להגבלים עסקיים (כתוארו דאז, כיום בית הדין לתחרות, להלן</w:t>
      </w:r>
      <w:r w:rsidRPr="00364B07">
        <w:rPr>
          <w:rFonts w:ascii="David" w:hAnsi="David" w:cs="David"/>
          <w:b/>
          <w:bCs/>
          <w:sz w:val="22"/>
          <w:szCs w:val="22"/>
          <w:rtl/>
        </w:rPr>
        <w:t xml:space="preserve"> בית הדין</w:t>
      </w:r>
      <w:r w:rsidRPr="00364B07">
        <w:rPr>
          <w:rFonts w:ascii="David" w:hAnsi="David" w:cs="David"/>
          <w:sz w:val="22"/>
          <w:szCs w:val="22"/>
          <w:rtl/>
        </w:rPr>
        <w:t>) ערר על קביעת הממונה ובמקביל פנתה בבקשה לאישור ההסדר, בהנחה שהוא כובל. ביום 26.10.2008, קבע בית הדין כי דין הערר להידחות</w:t>
      </w:r>
      <w:r w:rsidRPr="00364B07">
        <w:rPr>
          <w:rStyle w:val="FootnoteReference"/>
          <w:rFonts w:ascii="David" w:hAnsi="David" w:cs="David"/>
          <w:sz w:val="22"/>
          <w:szCs w:val="22"/>
          <w:vertAlign w:val="superscript"/>
          <w:rtl/>
        </w:rPr>
        <w:footnoteReference w:id="2"/>
      </w:r>
      <w:r w:rsidRPr="00364B07">
        <w:rPr>
          <w:rFonts w:ascii="David" w:hAnsi="David" w:cs="David"/>
          <w:sz w:val="22"/>
          <w:szCs w:val="22"/>
          <w:rtl/>
        </w:rPr>
        <w:t xml:space="preserve"> וביום 2.6.2011, אישר בית הדין את פעילותה של אקו"ם, בכפוף לתנאים ולתקופה של חמש שנים (להלן</w:t>
      </w:r>
      <w:r w:rsidRPr="00364B07">
        <w:rPr>
          <w:rFonts w:ascii="David" w:hAnsi="David" w:cs="David"/>
          <w:b/>
          <w:bCs/>
          <w:sz w:val="22"/>
          <w:szCs w:val="22"/>
          <w:rtl/>
        </w:rPr>
        <w:t xml:space="preserve"> פסה"ד של בית הדין</w:t>
      </w:r>
      <w:r w:rsidRPr="00364B07">
        <w:rPr>
          <w:rFonts w:ascii="David" w:hAnsi="David" w:cs="David"/>
          <w:sz w:val="22"/>
          <w:szCs w:val="22"/>
          <w:rtl/>
        </w:rPr>
        <w:t>).</w:t>
      </w:r>
      <w:r w:rsidRPr="00364B07">
        <w:rPr>
          <w:rStyle w:val="FootnoteReference"/>
          <w:rFonts w:ascii="David" w:hAnsi="David" w:cs="David"/>
          <w:sz w:val="22"/>
          <w:szCs w:val="22"/>
          <w:vertAlign w:val="superscript"/>
          <w:rtl/>
        </w:rPr>
        <w:footnoteReference w:id="3"/>
      </w:r>
      <w:r w:rsidRPr="00364B07">
        <w:rPr>
          <w:rFonts w:ascii="David" w:hAnsi="David" w:cs="David"/>
          <w:sz w:val="22"/>
          <w:szCs w:val="22"/>
          <w:rtl/>
        </w:rPr>
        <w:t xml:space="preserve"> ערעורים על חלק מתנאים אלה נדחו על ידי בית המשפט העליון (להלן</w:t>
      </w:r>
      <w:r w:rsidRPr="00364B07">
        <w:rPr>
          <w:rFonts w:ascii="David" w:hAnsi="David" w:cs="David"/>
          <w:b/>
          <w:bCs/>
          <w:sz w:val="22"/>
          <w:szCs w:val="22"/>
          <w:rtl/>
        </w:rPr>
        <w:t xml:space="preserve"> פסה"ד של </w:t>
      </w:r>
      <w:r w:rsidRPr="00364B07">
        <w:rPr>
          <w:rFonts w:ascii="David" w:hAnsi="David" w:cs="David"/>
          <w:b/>
          <w:bCs/>
          <w:sz w:val="22"/>
          <w:szCs w:val="22"/>
          <w:rtl/>
        </w:rPr>
        <w:lastRenderedPageBreak/>
        <w:t>בית המשפט העליון</w:t>
      </w:r>
      <w:r w:rsidRPr="00364B07">
        <w:rPr>
          <w:rFonts w:ascii="David" w:hAnsi="David" w:cs="David"/>
          <w:sz w:val="22"/>
          <w:szCs w:val="22"/>
          <w:rtl/>
        </w:rPr>
        <w:t>).</w:t>
      </w:r>
      <w:r w:rsidRPr="00364B07">
        <w:rPr>
          <w:rStyle w:val="FootnoteReference"/>
          <w:rFonts w:ascii="David" w:hAnsi="David" w:cs="David"/>
          <w:sz w:val="22"/>
          <w:szCs w:val="22"/>
          <w:vertAlign w:val="superscript"/>
          <w:rtl/>
        </w:rPr>
        <w:footnoteReference w:id="4"/>
      </w:r>
      <w:r w:rsidRPr="00364B07">
        <w:rPr>
          <w:rFonts w:ascii="David" w:hAnsi="David" w:cs="David"/>
          <w:sz w:val="22"/>
          <w:szCs w:val="22"/>
          <w:rtl/>
        </w:rPr>
        <w:t xml:space="preserve"> בשנת 2016 פנתה אקו"ם בבקשה לקבל פטור מהחובה לקבל אישור בית הדין להסדרים העומדים בבסיס פעילותה. ביום 2.11.2016 ניתנה החלטה בדבר מתן פטור בתנאים מאישור הסדר כובל (להלן </w:t>
      </w:r>
      <w:r w:rsidRPr="00364B07">
        <w:rPr>
          <w:rFonts w:ascii="David" w:hAnsi="David" w:cs="David"/>
          <w:b/>
          <w:bCs/>
          <w:sz w:val="22"/>
          <w:szCs w:val="22"/>
          <w:rtl/>
        </w:rPr>
        <w:t>הפטור הקודם</w:t>
      </w:r>
      <w:r w:rsidRPr="00364B07">
        <w:rPr>
          <w:rFonts w:ascii="David" w:hAnsi="David" w:cs="David"/>
          <w:sz w:val="22"/>
          <w:szCs w:val="22"/>
          <w:rtl/>
        </w:rPr>
        <w:t xml:space="preserve"> ו</w:t>
      </w:r>
      <w:r w:rsidRPr="00364B07">
        <w:rPr>
          <w:rFonts w:ascii="David" w:hAnsi="David" w:cs="David"/>
          <w:b/>
          <w:bCs/>
          <w:sz w:val="22"/>
          <w:szCs w:val="22"/>
          <w:rtl/>
        </w:rPr>
        <w:t>התנאים הקיימים</w:t>
      </w:r>
      <w:r w:rsidRPr="00364B07">
        <w:rPr>
          <w:rFonts w:ascii="David" w:hAnsi="David" w:cs="David"/>
          <w:sz w:val="22"/>
          <w:szCs w:val="22"/>
          <w:rtl/>
        </w:rPr>
        <w:t xml:space="preserve">). הפטור ניתן למשך שש שנים, כך שתאריך תפוגתו </w:t>
      </w:r>
      <w:r w:rsidR="004A085C" w:rsidRPr="00364B07">
        <w:rPr>
          <w:rFonts w:ascii="David" w:hAnsi="David" w:cs="David" w:hint="cs"/>
          <w:sz w:val="22"/>
          <w:szCs w:val="22"/>
          <w:rtl/>
        </w:rPr>
        <w:t>היה</w:t>
      </w:r>
      <w:r w:rsidR="004A085C" w:rsidRPr="00364B07">
        <w:rPr>
          <w:rFonts w:ascii="David" w:hAnsi="David" w:cs="David"/>
          <w:sz w:val="22"/>
          <w:szCs w:val="22"/>
          <w:rtl/>
        </w:rPr>
        <w:t xml:space="preserve"> </w:t>
      </w:r>
      <w:r w:rsidRPr="00364B07">
        <w:rPr>
          <w:rFonts w:ascii="David" w:hAnsi="David" w:cs="David"/>
          <w:sz w:val="22"/>
          <w:szCs w:val="22"/>
          <w:rtl/>
        </w:rPr>
        <w:t xml:space="preserve">ביום 2.11.2022. לקראת פקיעת הפטור, פנתה אליי אקו"ם בבקשת פטור נוספת, בה עוסקת החלטה זו. </w:t>
      </w:r>
      <w:r w:rsidR="00364B07" w:rsidRPr="00364B07">
        <w:rPr>
          <w:rFonts w:ascii="David" w:hAnsi="David" w:cs="David" w:hint="cs"/>
          <w:sz w:val="22"/>
          <w:szCs w:val="22"/>
          <w:rtl/>
        </w:rPr>
        <w:t>על מנת לאפשר לרשות התחרות</w:t>
      </w:r>
      <w:r w:rsidR="00752E23">
        <w:rPr>
          <w:rFonts w:ascii="David" w:hAnsi="David" w:cs="David" w:hint="cs"/>
          <w:sz w:val="22"/>
          <w:szCs w:val="22"/>
          <w:rtl/>
        </w:rPr>
        <w:t xml:space="preserve"> (להלן </w:t>
      </w:r>
      <w:r w:rsidR="00752E23" w:rsidRPr="003667A0">
        <w:rPr>
          <w:rFonts w:ascii="David" w:hAnsi="David" w:cs="David" w:hint="eastAsia"/>
          <w:b/>
          <w:bCs/>
          <w:sz w:val="22"/>
          <w:szCs w:val="22"/>
          <w:rtl/>
        </w:rPr>
        <w:t>הרשות</w:t>
      </w:r>
      <w:r w:rsidR="00752E23">
        <w:rPr>
          <w:rFonts w:ascii="David" w:hAnsi="David" w:cs="David" w:hint="cs"/>
          <w:sz w:val="22"/>
          <w:szCs w:val="22"/>
          <w:rtl/>
        </w:rPr>
        <w:t>)</w:t>
      </w:r>
      <w:r w:rsidR="00364B07" w:rsidRPr="00364B07">
        <w:rPr>
          <w:rFonts w:ascii="David" w:hAnsi="David" w:cs="David" w:hint="cs"/>
          <w:sz w:val="22"/>
          <w:szCs w:val="22"/>
          <w:rtl/>
        </w:rPr>
        <w:t xml:space="preserve"> </w:t>
      </w:r>
      <w:r w:rsidR="00364B07" w:rsidRPr="00364B07">
        <w:rPr>
          <w:rFonts w:ascii="David" w:hAnsi="David" w:cs="David"/>
          <w:sz w:val="22"/>
          <w:szCs w:val="22"/>
          <w:rtl/>
        </w:rPr>
        <w:t xml:space="preserve">להשלים את בדיקתה מבלי לפגוע בפעילותה של </w:t>
      </w:r>
      <w:r w:rsidR="00364B07" w:rsidRPr="00364B07">
        <w:rPr>
          <w:rFonts w:ascii="David" w:hAnsi="David" w:cs="David" w:hint="cs"/>
          <w:sz w:val="22"/>
          <w:szCs w:val="22"/>
          <w:rtl/>
        </w:rPr>
        <w:t xml:space="preserve">אקו"ם </w:t>
      </w:r>
      <w:r w:rsidR="00364B07" w:rsidRPr="00364B07">
        <w:rPr>
          <w:rFonts w:ascii="David" w:hAnsi="David" w:cs="David"/>
          <w:sz w:val="22"/>
          <w:szCs w:val="22"/>
          <w:rtl/>
        </w:rPr>
        <w:t>בתקו</w:t>
      </w:r>
      <w:r w:rsidR="00364B07" w:rsidRPr="00364B07">
        <w:rPr>
          <w:rFonts w:ascii="David" w:hAnsi="David" w:cs="David" w:hint="cs"/>
          <w:sz w:val="22"/>
          <w:szCs w:val="22"/>
          <w:rtl/>
        </w:rPr>
        <w:t xml:space="preserve">פת הביניים, ניתנו לאקו"ם פטורים קצרים שפוקעים ביום 15.1.2023, </w:t>
      </w:r>
      <w:r w:rsidR="00364B07" w:rsidRPr="00364B07">
        <w:rPr>
          <w:rFonts w:ascii="David" w:hAnsi="David" w:cs="David"/>
          <w:sz w:val="22"/>
          <w:szCs w:val="22"/>
          <w:rtl/>
        </w:rPr>
        <w:t>וזאת בכפוף לתנאים</w:t>
      </w:r>
      <w:r w:rsidR="00364B07" w:rsidRPr="00364B07">
        <w:rPr>
          <w:rFonts w:ascii="David" w:hAnsi="David" w:cs="David" w:hint="cs"/>
          <w:sz w:val="22"/>
          <w:szCs w:val="22"/>
          <w:rtl/>
        </w:rPr>
        <w:t xml:space="preserve"> הקיימים</w:t>
      </w:r>
      <w:r w:rsidR="00364B07" w:rsidRPr="00364B07">
        <w:rPr>
          <w:rFonts w:ascii="David" w:hAnsi="David" w:cs="David"/>
          <w:sz w:val="22"/>
          <w:szCs w:val="22"/>
          <w:rtl/>
        </w:rPr>
        <w:t>.</w:t>
      </w:r>
    </w:p>
    <w:p w:rsidR="00FE0DF0" w:rsidRPr="00364B07" w:rsidRDefault="00FE0DF0" w:rsidP="00364B07">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להשלמת התמונה נציין כי לצד אקו"ם פועלים תאגידים נוספים אשר עוסקים בניהול משותף של זכויות יוצרים ביחס לזכויות ויצירות מסוגים שונים (להלן גם</w:t>
      </w:r>
      <w:r w:rsidRPr="00364B07">
        <w:rPr>
          <w:rFonts w:ascii="David" w:hAnsi="David" w:cs="David"/>
          <w:b/>
          <w:bCs/>
          <w:sz w:val="22"/>
          <w:szCs w:val="22"/>
          <w:rtl/>
        </w:rPr>
        <w:t xml:space="preserve"> תאגידי ניהול</w:t>
      </w:r>
      <w:r w:rsidRPr="00364B07">
        <w:rPr>
          <w:rFonts w:ascii="David" w:hAnsi="David" w:cs="David"/>
          <w:sz w:val="22"/>
          <w:szCs w:val="22"/>
          <w:rtl/>
        </w:rPr>
        <w:t xml:space="preserve">). הפדרציה הישראלית לתקליטים וקלטות בע"מ (להלן </w:t>
      </w:r>
      <w:r w:rsidRPr="00364B07">
        <w:rPr>
          <w:rFonts w:ascii="David" w:hAnsi="David" w:cs="David"/>
          <w:b/>
          <w:bCs/>
          <w:sz w:val="22"/>
          <w:szCs w:val="22"/>
          <w:rtl/>
        </w:rPr>
        <w:t>הפדרציה</w:t>
      </w:r>
      <w:r w:rsidRPr="00364B07">
        <w:rPr>
          <w:rFonts w:ascii="David" w:hAnsi="David" w:cs="David"/>
          <w:sz w:val="22"/>
          <w:szCs w:val="22"/>
          <w:rtl/>
        </w:rPr>
        <w:t xml:space="preserve">) והפדרציה למוסיקה ישראלית וים תיכונית בע"מ (להלן </w:t>
      </w:r>
      <w:proofErr w:type="spellStart"/>
      <w:r w:rsidRPr="00364B07">
        <w:rPr>
          <w:rFonts w:ascii="David" w:hAnsi="David" w:cs="David"/>
          <w:b/>
          <w:bCs/>
          <w:sz w:val="22"/>
          <w:szCs w:val="22"/>
          <w:rtl/>
        </w:rPr>
        <w:t>הפי"ל</w:t>
      </w:r>
      <w:proofErr w:type="spellEnd"/>
      <w:r w:rsidRPr="00364B07">
        <w:rPr>
          <w:rFonts w:ascii="David" w:hAnsi="David" w:cs="David"/>
          <w:sz w:val="22"/>
          <w:szCs w:val="22"/>
          <w:rtl/>
        </w:rPr>
        <w:t xml:space="preserve"> וביחד עם הפדרציה </w:t>
      </w:r>
      <w:r w:rsidRPr="00364B07">
        <w:rPr>
          <w:rFonts w:ascii="David" w:hAnsi="David" w:cs="David"/>
          <w:b/>
          <w:bCs/>
          <w:sz w:val="22"/>
          <w:szCs w:val="22"/>
          <w:rtl/>
        </w:rPr>
        <w:t>הפדרציות</w:t>
      </w:r>
      <w:r w:rsidRPr="00364B07">
        <w:rPr>
          <w:rFonts w:ascii="David" w:hAnsi="David" w:cs="David"/>
          <w:sz w:val="22"/>
          <w:szCs w:val="22"/>
          <w:rtl/>
        </w:rPr>
        <w:t>) עוסקות בניהול משותף של זכויות יוצרים בתקליטים. פעילותן של הפדרציות כבר אושרה בעבר על ידי בית הדין בכפוף לתנאים,</w:t>
      </w:r>
      <w:r w:rsidRPr="00364B07">
        <w:rPr>
          <w:rStyle w:val="FootnoteReference"/>
          <w:rFonts w:ascii="David" w:hAnsi="David" w:cs="David"/>
          <w:sz w:val="22"/>
          <w:szCs w:val="22"/>
          <w:vertAlign w:val="superscript"/>
          <w:rtl/>
        </w:rPr>
        <w:footnoteReference w:id="5"/>
      </w:r>
      <w:r w:rsidRPr="00364B07">
        <w:rPr>
          <w:rFonts w:ascii="David" w:hAnsi="David" w:cs="David"/>
          <w:sz w:val="22"/>
          <w:szCs w:val="22"/>
          <w:rtl/>
        </w:rPr>
        <w:t xml:space="preserve"> ועל רקע פקיעת האישורים של בית הדין גם גופים אלו הגישו בקשות לפטור.</w:t>
      </w:r>
      <w:r w:rsidR="00514162" w:rsidRPr="00364B07">
        <w:rPr>
          <w:rFonts w:ascii="David" w:hAnsi="David" w:cs="David"/>
          <w:sz w:val="22"/>
          <w:szCs w:val="22"/>
          <w:rtl/>
        </w:rPr>
        <w:t xml:space="preserve"> </w:t>
      </w:r>
      <w:r w:rsidRPr="00364B07">
        <w:rPr>
          <w:rFonts w:ascii="David" w:hAnsi="David" w:cs="David"/>
          <w:sz w:val="22"/>
          <w:szCs w:val="22"/>
          <w:rtl/>
        </w:rPr>
        <w:t xml:space="preserve">החלטות בעניין מתן פטור בתנאים מתפרסמות במקביל לפרסום פטור זה. בנוסף לכך, חברת התמלוגים של יוצרי הקולנוע והטלוויזיה בישראל בע"מ (להלן </w:t>
      </w:r>
      <w:proofErr w:type="spellStart"/>
      <w:r w:rsidRPr="00364B07">
        <w:rPr>
          <w:rFonts w:ascii="David" w:hAnsi="David" w:cs="David"/>
          <w:b/>
          <w:bCs/>
          <w:sz w:val="22"/>
          <w:szCs w:val="22"/>
          <w:rtl/>
        </w:rPr>
        <w:t>תל"י</w:t>
      </w:r>
      <w:proofErr w:type="spellEnd"/>
      <w:r w:rsidRPr="00364B07">
        <w:rPr>
          <w:rFonts w:ascii="David" w:hAnsi="David" w:cs="David"/>
          <w:sz w:val="22"/>
          <w:szCs w:val="22"/>
          <w:rtl/>
        </w:rPr>
        <w:t xml:space="preserve">) עוסקת בניהול משותף של זכויות במאים ותסריטאים ביצירות קולנועיות ישראליות. פעילותה של </w:t>
      </w:r>
      <w:proofErr w:type="spellStart"/>
      <w:r w:rsidRPr="00364B07">
        <w:rPr>
          <w:rFonts w:ascii="David" w:hAnsi="David" w:cs="David"/>
          <w:sz w:val="22"/>
          <w:szCs w:val="22"/>
          <w:rtl/>
        </w:rPr>
        <w:t>תל"י</w:t>
      </w:r>
      <w:proofErr w:type="spellEnd"/>
      <w:r w:rsidRPr="00364B07">
        <w:rPr>
          <w:rFonts w:ascii="David" w:hAnsi="David" w:cs="David"/>
          <w:sz w:val="22"/>
          <w:szCs w:val="22"/>
          <w:rtl/>
        </w:rPr>
        <w:t xml:space="preserve"> אושרה בתנאים </w:t>
      </w:r>
      <w:r w:rsidR="00D60078" w:rsidRPr="00364B07">
        <w:rPr>
          <w:rFonts w:ascii="David" w:hAnsi="David" w:cs="David"/>
          <w:sz w:val="22"/>
          <w:szCs w:val="22"/>
          <w:rtl/>
        </w:rPr>
        <w:t>באמצעות מתן פטור</w:t>
      </w:r>
      <w:r w:rsidRPr="00364B07">
        <w:rPr>
          <w:rFonts w:ascii="David" w:hAnsi="David" w:cs="David"/>
          <w:sz w:val="22"/>
          <w:szCs w:val="22"/>
          <w:rtl/>
        </w:rPr>
        <w:t xml:space="preserve"> ביום 29.5.2019, לתקופה של 6 שנים.</w:t>
      </w:r>
      <w:r w:rsidRPr="00364B07">
        <w:rPr>
          <w:rStyle w:val="FootnoteReference"/>
          <w:rFonts w:ascii="David" w:hAnsi="David" w:cs="David"/>
          <w:sz w:val="22"/>
          <w:szCs w:val="22"/>
          <w:vertAlign w:val="superscript"/>
          <w:rtl/>
        </w:rPr>
        <w:footnoteReference w:id="6"/>
      </w:r>
      <w:r w:rsidRPr="00364B07">
        <w:rPr>
          <w:rFonts w:ascii="David" w:hAnsi="David" w:cs="David"/>
          <w:sz w:val="22"/>
          <w:szCs w:val="22"/>
          <w:rtl/>
        </w:rPr>
        <w:t xml:space="preserve"> </w:t>
      </w:r>
    </w:p>
    <w:p w:rsidR="00FE0DF0" w:rsidRPr="00364B07" w:rsidRDefault="00FE0DF0" w:rsidP="00A77F70">
      <w:pPr>
        <w:pStyle w:val="ListParagraph"/>
        <w:numPr>
          <w:ilvl w:val="0"/>
          <w:numId w:val="2"/>
        </w:numPr>
        <w:bidi/>
        <w:spacing w:after="0" w:afterAutospacing="0" w:line="360" w:lineRule="auto"/>
        <w:ind w:left="804" w:right="720"/>
        <w:contextualSpacing/>
        <w:jc w:val="both"/>
        <w:rPr>
          <w:rFonts w:ascii="David" w:hAnsi="David" w:cs="David"/>
          <w:b/>
          <w:bCs/>
          <w:sz w:val="22"/>
          <w:szCs w:val="22"/>
          <w:u w:val="single"/>
          <w:rtl/>
        </w:rPr>
      </w:pPr>
      <w:r w:rsidRPr="00364B07">
        <w:rPr>
          <w:rFonts w:ascii="David" w:hAnsi="David" w:cs="David"/>
          <w:b/>
          <w:bCs/>
          <w:sz w:val="22"/>
          <w:szCs w:val="22"/>
          <w:u w:val="single"/>
          <w:rtl/>
        </w:rPr>
        <w:t>תאגידים לניהול משותף של זכויות – כללי</w:t>
      </w:r>
    </w:p>
    <w:p w:rsidR="00FE0DF0" w:rsidRPr="00364B07" w:rsidRDefault="00FE0DF0" w:rsidP="00AD4C6B">
      <w:pPr>
        <w:bidi/>
        <w:spacing w:before="100" w:beforeAutospacing="1" w:after="100" w:afterAutospacing="1" w:line="360" w:lineRule="auto"/>
        <w:jc w:val="both"/>
        <w:rPr>
          <w:rFonts w:ascii="David" w:hAnsi="David" w:cs="David"/>
          <w:sz w:val="22"/>
          <w:szCs w:val="22"/>
        </w:rPr>
      </w:pPr>
      <w:r w:rsidRPr="00364B07">
        <w:rPr>
          <w:rFonts w:ascii="David" w:hAnsi="David" w:cs="David"/>
          <w:sz w:val="22"/>
          <w:szCs w:val="22"/>
          <w:rtl/>
        </w:rPr>
        <w:t xml:space="preserve">התועלות שביסוד פעילותו של תאגיד לניהול משותף של זכויות יוצרים, כמו גם החששות לפגיעה בתחרות העולים ממנה, נדונו בהרחבה בפסקי הדין של בית הדין בעניין אקו"ם ותאגידי הניהול האחרים וכן בפסק הדין של בית המשפט העליון בעניין אקו"ם. במסגרת אותם הליכים הותוו העקרונות לקביעת התנאים הראויים לפעילותם של תאגידי הניהול המשותף, המשמשים בסיס גם להחלטת פטור זו. </w:t>
      </w:r>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 xml:space="preserve">לעניין התועלות, תאגידים לניהול משותף של זכויות יוצרים משמשים ככלי חיוני לאכיפת זכויות יוצרים, תוך הוזלת עלויות השימוש והקלה על השימוש בזכויות יוצרים. מבחינת בעלי הזכויות, הניהול המשותף של הזכויות חוסך לבעליהן את העלויות הכרוכות בניהול משא ומתן פרטני מול כל משתמש, וכן את העלויות הנדרשות למעקב, גבייה ואכיפה באופן עצמאי. במקביל לכך, הרישיון הגורף אותו מעניקה אקו"ם מיטיב גם עם ציבור המשתמשים, בכך שהוא מאפשר למשתמש, תמורת תשלום קבוע, לעשות שימוש בכל היצירות שברפרטואר התאגיד ללא הגבלה על מספר השימושים או זהות היצירות בהן נעשה השימוש. כפי שסיכם בית הדין בעניין הפדרציה, הניהול המשותף הוא </w:t>
      </w:r>
      <w:r w:rsidR="00514162" w:rsidRPr="00364B07">
        <w:rPr>
          <w:rFonts w:ascii="David" w:hAnsi="David" w:cs="David"/>
          <w:sz w:val="22"/>
          <w:szCs w:val="22"/>
          <w:rtl/>
        </w:rPr>
        <w:t xml:space="preserve">כיום </w:t>
      </w:r>
      <w:r w:rsidRPr="00364B07">
        <w:rPr>
          <w:rFonts w:ascii="David" w:hAnsi="David" w:cs="David"/>
          <w:sz w:val="22"/>
          <w:szCs w:val="22"/>
          <w:rtl/>
        </w:rPr>
        <w:t>למעשה "הדרך האפקטיבית היחידה למימושן החוקי של זכויות יוצרים..."</w:t>
      </w:r>
      <w:r w:rsidRPr="00364B07">
        <w:rPr>
          <w:rStyle w:val="FootnoteReference"/>
          <w:rFonts w:ascii="David" w:hAnsi="David" w:cs="David"/>
          <w:sz w:val="22"/>
          <w:szCs w:val="22"/>
          <w:vertAlign w:val="superscript"/>
          <w:rtl/>
        </w:rPr>
        <w:footnoteReference w:id="7"/>
      </w:r>
      <w:r w:rsidRPr="00364B07">
        <w:rPr>
          <w:rFonts w:ascii="David" w:hAnsi="David" w:cs="David"/>
          <w:sz w:val="22"/>
          <w:szCs w:val="22"/>
          <w:rtl/>
        </w:rPr>
        <w:t xml:space="preserve"> </w:t>
      </w:r>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במילים אחרות, עיקרו של הסדר הניהול המשותף אינו בפגיעה בתחרות בשוק הרישיונות לשימוש ביצירות מוסיקאליות אלא ב</w:t>
      </w:r>
      <w:r w:rsidRPr="00364B07">
        <w:rPr>
          <w:rFonts w:ascii="David" w:hAnsi="David" w:cs="David"/>
          <w:b/>
          <w:bCs/>
          <w:sz w:val="22"/>
          <w:szCs w:val="22"/>
          <w:rtl/>
        </w:rPr>
        <w:t>כינונו</w:t>
      </w:r>
      <w:r w:rsidRPr="00364B07">
        <w:rPr>
          <w:rFonts w:ascii="David" w:hAnsi="David" w:cs="David"/>
          <w:sz w:val="22"/>
          <w:szCs w:val="22"/>
          <w:rtl/>
        </w:rPr>
        <w:t xml:space="preserve"> של שוק זה, אשר במובנים רבים לא היה יכול להתקיים אלמלא ההסדר. משכך, מתקיימת הרישא של סעיף 14(א)(2): עיקרו של ההסדר אינו בהפחתת התחרות או במניעתה. כמו כן, ברי כי </w:t>
      </w:r>
      <w:r w:rsidRPr="00364B07">
        <w:rPr>
          <w:rFonts w:ascii="David" w:hAnsi="David" w:cs="David"/>
          <w:sz w:val="22"/>
          <w:szCs w:val="22"/>
          <w:rtl/>
        </w:rPr>
        <w:lastRenderedPageBreak/>
        <w:t xml:space="preserve">אין לראות בהסדר הניהול המשותף </w:t>
      </w:r>
      <w:r w:rsidRPr="00364B07">
        <w:rPr>
          <w:rFonts w:ascii="David" w:hAnsi="David" w:cs="David"/>
          <w:b/>
          <w:bCs/>
          <w:sz w:val="22"/>
          <w:szCs w:val="22"/>
          <w:rtl/>
        </w:rPr>
        <w:t>כשלעצמו</w:t>
      </w:r>
      <w:r w:rsidRPr="00364B07">
        <w:rPr>
          <w:rFonts w:ascii="David" w:hAnsi="David" w:cs="David"/>
          <w:sz w:val="22"/>
          <w:szCs w:val="22"/>
          <w:rtl/>
        </w:rPr>
        <w:t xml:space="preserve"> – ומבלי להתייחס לפרטיו – כהסדר הפוגע פגיעה של ממש בתחרות בשוק המושפע מן ההסדר, שכן כאמור, ספק רב אם שוק זה היה מתקיים אלמלא ההסדר.</w:t>
      </w:r>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נותר, אפוא, רק להבטיח כי פרטי הסדר הניהול המשותף אינם פוגעים פגיעה של ממש בתחרות וכי אין בהם כבילות שאינן נחוצות לשם מימוש עיקר הסדר הניהול המשותף.</w:t>
      </w:r>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ואכן, בד בבד עם ההכרה ביתרונות שבקיומם של תאגידים לניהול משותף, הן בית הדין והן בית המשפט העליון הכירו בחששות העשויים להתעורר כתוצאה מכוח השוק העומד לרשותם של תאגידים אלה. לחששות אלו שני פנים עיקריים: הראשון, רכישת כוח שוק כלפי המשתמשים, המתבטא בעיקר בתעריפים, שנטען לגביהם כי הם גבוהים מדי ובלתי הוגנים; והשני, רכישת כוח שוק כלפי היוצרים הזקוקים לשירותי הניהול המשותף שמעניק תאגיד הניהול, אשר עלול לאפשר לנהוג כלפיהם באופן בלתי שוויוני או פוגעני או באופן העלול לפגוע בתחרות בין התאגיד לניהול משותף לבין מתחריו</w:t>
      </w:r>
      <w:r w:rsidR="0074791B">
        <w:rPr>
          <w:rFonts w:ascii="David" w:hAnsi="David" w:cs="David" w:hint="cs"/>
          <w:sz w:val="22"/>
          <w:szCs w:val="22"/>
          <w:rtl/>
        </w:rPr>
        <w:t xml:space="preserve">, </w:t>
      </w:r>
      <w:r w:rsidRPr="00364B07">
        <w:rPr>
          <w:rFonts w:ascii="David" w:hAnsi="David" w:cs="David"/>
          <w:sz w:val="22"/>
          <w:szCs w:val="22"/>
          <w:rtl/>
        </w:rPr>
        <w:t>חבריו</w:t>
      </w:r>
      <w:r w:rsidR="0074791B">
        <w:rPr>
          <w:rFonts w:ascii="David" w:hAnsi="David" w:cs="David" w:hint="cs"/>
          <w:sz w:val="22"/>
          <w:szCs w:val="22"/>
          <w:rtl/>
        </w:rPr>
        <w:t xml:space="preserve"> </w:t>
      </w:r>
      <w:proofErr w:type="spellStart"/>
      <w:r w:rsidR="0074791B">
        <w:rPr>
          <w:rFonts w:ascii="David" w:hAnsi="David" w:cs="David" w:hint="cs"/>
          <w:sz w:val="22"/>
          <w:szCs w:val="22"/>
          <w:rtl/>
        </w:rPr>
        <w:t>ומיוצגיו</w:t>
      </w:r>
      <w:proofErr w:type="spellEnd"/>
      <w:r w:rsidRPr="00364B07">
        <w:rPr>
          <w:rFonts w:ascii="David" w:hAnsi="David" w:cs="David"/>
          <w:sz w:val="22"/>
          <w:szCs w:val="22"/>
          <w:rtl/>
        </w:rPr>
        <w:t xml:space="preserve">. </w:t>
      </w:r>
    </w:p>
    <w:p w:rsidR="00DF1458" w:rsidRPr="00364B07" w:rsidRDefault="00FE0DF0" w:rsidP="00752E23">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 xml:space="preserve">נוכח חששות אלה, </w:t>
      </w:r>
      <w:r w:rsidR="00752E23">
        <w:rPr>
          <w:rFonts w:ascii="David" w:hAnsi="David" w:cs="David" w:hint="cs"/>
          <w:sz w:val="22"/>
          <w:szCs w:val="22"/>
          <w:rtl/>
        </w:rPr>
        <w:t xml:space="preserve">פסק הדין </w:t>
      </w:r>
      <w:r w:rsidRPr="00364B07">
        <w:rPr>
          <w:rFonts w:ascii="David" w:hAnsi="David" w:cs="David"/>
          <w:sz w:val="22"/>
          <w:szCs w:val="22"/>
          <w:rtl/>
        </w:rPr>
        <w:t xml:space="preserve">של בית הדין והפטור האחרון הכפיפו את ההיתר לפעילותה של אקו"ם לשורה ארוכה של תנאים אשר נועדו להפחית את עוצמת הפגיעות התחרותיות העלולות לצמוח מקיומה. בין התנאים שהושתו על אקו"ם נקבעה הגבלת יכולת אקו"ם להשתמש </w:t>
      </w:r>
      <w:proofErr w:type="spellStart"/>
      <w:r w:rsidRPr="00364B07">
        <w:rPr>
          <w:rFonts w:ascii="David" w:hAnsi="David" w:cs="David"/>
          <w:sz w:val="22"/>
          <w:szCs w:val="22"/>
          <w:rtl/>
        </w:rPr>
        <w:t>בסעדים</w:t>
      </w:r>
      <w:proofErr w:type="spellEnd"/>
      <w:r w:rsidRPr="00364B07">
        <w:rPr>
          <w:rFonts w:ascii="David" w:hAnsi="David" w:cs="David"/>
          <w:sz w:val="22"/>
          <w:szCs w:val="22"/>
          <w:rtl/>
        </w:rPr>
        <w:t xml:space="preserve"> משפטיים מסוג צווי מניעה ופיצויים סטטוטוריים כלפי משתמשים העושים שימוש בסוג ביצוע פומבי; קביעת מנגנון הכרעה חיצוני לקביעת התעריפים על-ידי בתי משפט במקרים של מחלוקת; הטלת נטל הוכחת סבירות דמי הרישיון על אקו"ם; חובה שהחברות באקו"ם תהיה פתוחה לכל יוצר וכל מי שמחזיק בזכויות יוצרים רלוונטיות; ביטול הבלעדיות של הרישיונות המוענקים לאקו"ם על-ידי חבריה; הבטחת קיומו של משא ומתן קיבוצי על-ידי ארגוני משתמשים מול אקו"ם; חובת הקמה וניהול של בסיס נתונים ובו מידע על היצירות שברפרטואר; הטלת חובת מינוי </w:t>
      </w:r>
      <w:proofErr w:type="spellStart"/>
      <w:r w:rsidRPr="00364B07">
        <w:rPr>
          <w:rFonts w:ascii="David" w:hAnsi="David" w:cs="David"/>
          <w:sz w:val="22"/>
          <w:szCs w:val="22"/>
          <w:rtl/>
        </w:rPr>
        <w:t>דח"צים</w:t>
      </w:r>
      <w:proofErr w:type="spellEnd"/>
      <w:r w:rsidRPr="00364B07">
        <w:rPr>
          <w:rFonts w:ascii="David" w:hAnsi="David" w:cs="David"/>
          <w:sz w:val="22"/>
          <w:szCs w:val="22"/>
          <w:rtl/>
        </w:rPr>
        <w:t xml:space="preserve"> בדירקטוריון אקו"ם; תנאים שנוגעים לחובות השקיפות של אקו"ם כלפי חבריה </w:t>
      </w:r>
      <w:proofErr w:type="spellStart"/>
      <w:r w:rsidRPr="00364B07">
        <w:rPr>
          <w:rFonts w:ascii="David" w:hAnsi="David" w:cs="David"/>
          <w:sz w:val="22"/>
          <w:szCs w:val="22"/>
          <w:rtl/>
        </w:rPr>
        <w:t>ומיוצגיה</w:t>
      </w:r>
      <w:proofErr w:type="spellEnd"/>
      <w:r w:rsidRPr="00364B07">
        <w:rPr>
          <w:rFonts w:ascii="David" w:hAnsi="David" w:cs="David"/>
          <w:sz w:val="22"/>
          <w:szCs w:val="22"/>
          <w:rtl/>
        </w:rPr>
        <w:t xml:space="preserve"> וכלפי הציבור; ומגבלות על זכותם של בעלי זכויות בעניין החרגת זכויות מניהולה של אקו"ם</w:t>
      </w:r>
      <w:r w:rsidR="00DF1458" w:rsidRPr="00364B07">
        <w:rPr>
          <w:rFonts w:ascii="David" w:hAnsi="David" w:cs="David"/>
          <w:sz w:val="22"/>
          <w:szCs w:val="22"/>
          <w:rtl/>
        </w:rPr>
        <w:t>.</w:t>
      </w:r>
    </w:p>
    <w:p w:rsidR="00FE0DF0" w:rsidRPr="00364B07" w:rsidRDefault="00FE0DF0" w:rsidP="00A77F70">
      <w:pPr>
        <w:pStyle w:val="ListParagraph"/>
        <w:numPr>
          <w:ilvl w:val="0"/>
          <w:numId w:val="2"/>
        </w:numPr>
        <w:bidi/>
        <w:spacing w:after="0" w:afterAutospacing="0" w:line="360" w:lineRule="auto"/>
        <w:ind w:left="804" w:right="720"/>
        <w:contextualSpacing/>
        <w:jc w:val="both"/>
        <w:rPr>
          <w:rFonts w:ascii="David" w:hAnsi="David" w:cs="David"/>
          <w:b/>
          <w:bCs/>
          <w:sz w:val="22"/>
          <w:szCs w:val="22"/>
          <w:u w:val="single"/>
          <w:rtl/>
        </w:rPr>
      </w:pPr>
      <w:r w:rsidRPr="00364B07">
        <w:rPr>
          <w:rFonts w:ascii="David" w:hAnsi="David" w:cs="David"/>
          <w:b/>
          <w:bCs/>
          <w:sz w:val="22"/>
          <w:szCs w:val="22"/>
          <w:u w:val="single"/>
          <w:rtl/>
        </w:rPr>
        <w:t>שינויים בתנאי הפטור ביחס לתנאי הפטור הקיימים</w:t>
      </w:r>
    </w:p>
    <w:p w:rsidR="00FE0DF0" w:rsidRPr="00364B07" w:rsidRDefault="00FE0DF0" w:rsidP="00752E23">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 xml:space="preserve">הבסיס לתנאי הפטור הנוכחי הוא התנאים בהם הותנה הפטור שניתן לאקו"ם ביום 2.6.2016. בדיקות </w:t>
      </w:r>
      <w:r w:rsidR="00752E23">
        <w:rPr>
          <w:rFonts w:ascii="David" w:hAnsi="David" w:cs="David" w:hint="cs"/>
          <w:sz w:val="22"/>
          <w:szCs w:val="22"/>
          <w:rtl/>
        </w:rPr>
        <w:t>ה</w:t>
      </w:r>
      <w:r w:rsidRPr="00364B07">
        <w:rPr>
          <w:rFonts w:ascii="David" w:hAnsi="David" w:cs="David"/>
          <w:sz w:val="22"/>
          <w:szCs w:val="22"/>
          <w:rtl/>
        </w:rPr>
        <w:t>רשות העלו כי נדרשים מספר שינויים לתנאים, חלקם על רקע בקשה של אקו"ם וחלקם על רגע סוגיות שהוצפו על ידי משתמשים ובעלי זכויות. על עיקרם של שינויים אלה אעמוד עתה.</w:t>
      </w:r>
    </w:p>
    <w:p w:rsidR="00FE0DF0" w:rsidRPr="009D06EE" w:rsidRDefault="00FE0DF0" w:rsidP="009D06EE">
      <w:pPr>
        <w:pStyle w:val="ListParagraph"/>
        <w:numPr>
          <w:ilvl w:val="1"/>
          <w:numId w:val="2"/>
        </w:numPr>
        <w:bidi/>
        <w:spacing w:after="0" w:afterAutospacing="0" w:line="360" w:lineRule="auto"/>
        <w:ind w:left="1152" w:right="720"/>
        <w:contextualSpacing/>
        <w:jc w:val="both"/>
        <w:rPr>
          <w:rFonts w:ascii="David" w:hAnsi="David" w:cs="David"/>
          <w:b/>
          <w:bCs/>
          <w:sz w:val="22"/>
          <w:szCs w:val="22"/>
          <w:u w:val="single"/>
          <w:rtl/>
        </w:rPr>
      </w:pPr>
      <w:r w:rsidRPr="009D06EE">
        <w:rPr>
          <w:rFonts w:ascii="David" w:hAnsi="David" w:cs="David"/>
          <w:b/>
          <w:bCs/>
          <w:sz w:val="22"/>
          <w:szCs w:val="22"/>
          <w:u w:val="single"/>
          <w:rtl/>
        </w:rPr>
        <w:t xml:space="preserve">תיקונים בנוגע לחובות אקו"ם כלפי חבריה </w:t>
      </w:r>
      <w:proofErr w:type="spellStart"/>
      <w:r w:rsidRPr="009D06EE">
        <w:rPr>
          <w:rFonts w:ascii="David" w:hAnsi="David" w:cs="David"/>
          <w:b/>
          <w:bCs/>
          <w:sz w:val="22"/>
          <w:szCs w:val="22"/>
          <w:u w:val="single"/>
          <w:rtl/>
        </w:rPr>
        <w:t>ומיוצגיה</w:t>
      </w:r>
      <w:proofErr w:type="spellEnd"/>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במסגרת פסק דינו בעניין אקו"ם,</w:t>
      </w:r>
      <w:r w:rsidR="00A37970" w:rsidRPr="00364B07">
        <w:rPr>
          <w:rStyle w:val="FootnoteReference"/>
          <w:rFonts w:ascii="David" w:hAnsi="David" w:cs="David"/>
          <w:sz w:val="22"/>
          <w:szCs w:val="22"/>
          <w:vertAlign w:val="superscript"/>
          <w:rtl/>
        </w:rPr>
        <w:footnoteReference w:id="8"/>
      </w:r>
      <w:r w:rsidRPr="00364B07">
        <w:rPr>
          <w:rFonts w:ascii="David" w:hAnsi="David" w:cs="David"/>
          <w:sz w:val="22"/>
          <w:szCs w:val="22"/>
          <w:vertAlign w:val="superscript"/>
          <w:rtl/>
        </w:rPr>
        <w:t xml:space="preserve"> </w:t>
      </w:r>
      <w:r w:rsidRPr="00364B07">
        <w:rPr>
          <w:rFonts w:ascii="David" w:hAnsi="David" w:cs="David"/>
          <w:sz w:val="22"/>
          <w:szCs w:val="22"/>
          <w:rtl/>
        </w:rPr>
        <w:t xml:space="preserve">עמד בית המשפט העליון על ההיבטים הציבוריים שיש בשירות שמעניקה אקו"ם, הן מנקודת מבטם של היוצרים והן מנקודת מבטו של הציבור הרחב – היבטים אשר למעשה הם העומדים ביסוד ההיתר לפעילותה. ממד ציבורי זה מקבל משנה תוקף נוכח מעמדה של אקו"ם כבעלת מונופולין בניהול זכויות אלה. כן עמד בית המשפט העליון על הצורך בהגנה על יוצרים מקבוצות שונות, נוכח פערי האינטרסים שעשויים להתקיים בין הקבוצות השונות ובין הקבוצות להנהלה. על סמך שיקולים אלה, מצא בית המשפט העליון, כי חובת מינוי דירקטורים חיצוניים שיספקו רובד נוסף של פיקוח על פעילותה של </w:t>
      </w:r>
      <w:r w:rsidRPr="00364B07">
        <w:rPr>
          <w:rFonts w:ascii="David" w:hAnsi="David" w:cs="David"/>
          <w:sz w:val="22"/>
          <w:szCs w:val="22"/>
          <w:rtl/>
        </w:rPr>
        <w:lastRenderedPageBreak/>
        <w:t>אקו"ם "מתבקשת ואינהרנטית לרציונל של אישור ההסדר הכובל, מנקודת המבט של ההגנה על היוצרים ועל המשתמשים גם יחד".</w:t>
      </w:r>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 xml:space="preserve">הכרה זאת בכוח השוק שבידי אקו"ם ובצורך בפיקוח חיצוני על פעילותה של אקו"ם עולה בקנה אחד עם הניסיון שנצבר בידי הרשות </w:t>
      </w:r>
      <w:r w:rsidRPr="00364B07">
        <w:rPr>
          <w:rFonts w:ascii="David" w:hAnsi="David" w:cs="David"/>
          <w:color w:val="000000"/>
          <w:sz w:val="22"/>
          <w:szCs w:val="22"/>
          <w:rtl/>
        </w:rPr>
        <w:t>ביחס לאכיפת התנאים של תאגידים לניהול משותף של זכויות בכלל ושל אקו"ם בפרט</w:t>
      </w:r>
      <w:r w:rsidRPr="00364B07">
        <w:rPr>
          <w:rFonts w:ascii="David" w:hAnsi="David" w:cs="David"/>
          <w:sz w:val="22"/>
          <w:szCs w:val="22"/>
          <w:rtl/>
        </w:rPr>
        <w:t xml:space="preserve">. ניסיון זה מלמד על קיומם של פערי מידע בין התאגיד לניהול משותף לבין בעלי הזכויות והמשתמשים, אשר עשויים לאפשר לתאגיד הניהול המשותף לנצל את כוח השוק שבידיו לרעה. נוכח האמור, במסגרת הפטור האחרון (ובמסגרת האישורים האחרונים שניתנו לפדרציה </w:t>
      </w:r>
      <w:proofErr w:type="spellStart"/>
      <w:r w:rsidRPr="00364B07">
        <w:rPr>
          <w:rFonts w:ascii="David" w:hAnsi="David" w:cs="David"/>
          <w:sz w:val="22"/>
          <w:szCs w:val="22"/>
          <w:rtl/>
        </w:rPr>
        <w:t>ו</w:t>
      </w:r>
      <w:r w:rsidR="00BA08D2" w:rsidRPr="00364B07">
        <w:rPr>
          <w:rFonts w:ascii="David" w:hAnsi="David" w:cs="David"/>
          <w:sz w:val="22"/>
          <w:szCs w:val="22"/>
          <w:rtl/>
        </w:rPr>
        <w:t>ל</w:t>
      </w:r>
      <w:r w:rsidRPr="00364B07">
        <w:rPr>
          <w:rFonts w:ascii="David" w:hAnsi="David" w:cs="David"/>
          <w:sz w:val="22"/>
          <w:szCs w:val="22"/>
          <w:rtl/>
        </w:rPr>
        <w:t>פי"ל</w:t>
      </w:r>
      <w:proofErr w:type="spellEnd"/>
      <w:r w:rsidRPr="00364B07">
        <w:rPr>
          <w:rFonts w:ascii="David" w:hAnsi="David" w:cs="David"/>
          <w:sz w:val="22"/>
          <w:szCs w:val="22"/>
          <w:rtl/>
        </w:rPr>
        <w:t>), הוטלו על תאגידי הניהול מגוון של תנאים אשר נוגעים לשקיפות פעילותה כלפי בעלי הזכויות החברים בה או מיוצגים על ידי או העשויים לשקול הצטרפות כאמור.</w:t>
      </w:r>
    </w:p>
    <w:p w:rsidR="00FE0DF0" w:rsidRPr="00364B07" w:rsidRDefault="00FE0DF0" w:rsidP="00752E23">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במסגרת הפטור הנוכחי, ולבקשת אקו"ם, נעשו שינויים בחובות הנוגע</w:t>
      </w:r>
      <w:r w:rsidR="001A15B1" w:rsidRPr="00364B07">
        <w:rPr>
          <w:rFonts w:ascii="David" w:hAnsi="David" w:cs="David" w:hint="cs"/>
          <w:sz w:val="22"/>
          <w:szCs w:val="22"/>
          <w:rtl/>
        </w:rPr>
        <w:t>ים</w:t>
      </w:r>
      <w:r w:rsidRPr="00364B07">
        <w:rPr>
          <w:rFonts w:ascii="David" w:hAnsi="David" w:cs="David"/>
          <w:sz w:val="22"/>
          <w:szCs w:val="22"/>
          <w:rtl/>
        </w:rPr>
        <w:t xml:space="preserve"> למידע המתפרסם בדו"ח השנתי ובפרט למידע על חלוקת הכספים לחברים ולמיוצגים. התנאים הקודמים התייחסו לשלב של "ייחוס כספים" לבעל זכויות נתון ולשלב נפרד של "חלוקתו"; אקו"ם מסרה כי בדרך שהיא פועלת, הייחוס נעשה בדרך של חלוקת הכסף לחשבון פנימי על שם בעל הזכויות, כך שלא ניתן להפריד בין הכספים. יחד עם זאת, ייתכנו מקרים שבהם כספים שחולקו לחשבון בעל הזכויות אינם ניתנים למשיכה על ידיו. משכך, התנאים החדשים מחייבים את אקו"ם לפרט את הכספים שנגבו; כספים שחולקו לחשבונות החברות והמיוצגים; וכספים שנגבו אך טרם חולקו; בחלוקה הרלוונטי</w:t>
      </w:r>
      <w:r w:rsidR="001A15B1" w:rsidRPr="00364B07">
        <w:rPr>
          <w:rFonts w:ascii="David" w:hAnsi="David" w:cs="David" w:hint="cs"/>
          <w:sz w:val="22"/>
          <w:szCs w:val="22"/>
          <w:rtl/>
        </w:rPr>
        <w:t>ת</w:t>
      </w:r>
      <w:r w:rsidRPr="00364B07">
        <w:rPr>
          <w:rFonts w:ascii="David" w:hAnsi="David" w:cs="David"/>
          <w:sz w:val="22"/>
          <w:szCs w:val="22"/>
          <w:rtl/>
        </w:rPr>
        <w:t xml:space="preserve"> לאותו עניין. כמו כן, לפי התנאים החדשים על אקו"ם לדווח בדו"ח את סך הכספים שטרם שולמו לחברים בפועל, בחלוקה לפי סוג החבר או המיוצג ופירוט הסיבות העיקריות שבגינן הכספים לא שולמו בפועל. כן הטלתי עליה לפרסם את ה</w:t>
      </w:r>
      <w:r w:rsidRPr="00364B07">
        <w:rPr>
          <w:rFonts w:ascii="David" w:hAnsi="David" w:cs="David"/>
          <w:sz w:val="22"/>
          <w:szCs w:val="22"/>
          <w:rtl/>
          <w:lang w:eastAsia="he-IL"/>
        </w:rPr>
        <w:t xml:space="preserve">מדיניות </w:t>
      </w:r>
      <w:r w:rsidRPr="00364B07">
        <w:rPr>
          <w:rFonts w:ascii="David" w:hAnsi="David" w:cs="David"/>
          <w:sz w:val="22"/>
          <w:szCs w:val="22"/>
          <w:rtl/>
        </w:rPr>
        <w:t>שלה בדבר השימוש בסכומים שאינם ניתנים לחלוקה או שחולקו ולא ניתנים לתשלום. שינויים אלו יגבירו את השקיפות של פעילות אקו"ם ובכך ייטיבו עם החברים והמיוצגים.</w:t>
      </w:r>
    </w:p>
    <w:p w:rsidR="00FE0DF0" w:rsidRPr="00364B07" w:rsidRDefault="00FE0DF0" w:rsidP="00752E23">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 xml:space="preserve">כמו כן, נערך תיקון קל בסעיף הנוגע לדו"ח השקיפות הפנימי של אקו"ם, אשר מחדד כי </w:t>
      </w:r>
      <w:r w:rsidR="00752E23">
        <w:rPr>
          <w:rFonts w:ascii="David" w:hAnsi="David" w:cs="David" w:hint="cs"/>
          <w:sz w:val="22"/>
          <w:szCs w:val="22"/>
          <w:rtl/>
        </w:rPr>
        <w:t xml:space="preserve">הדו"ח הפנימי יימסר גם </w:t>
      </w:r>
      <w:proofErr w:type="spellStart"/>
      <w:r w:rsidR="00752E23">
        <w:rPr>
          <w:rFonts w:ascii="David" w:hAnsi="David" w:cs="David" w:hint="cs"/>
          <w:sz w:val="22"/>
          <w:szCs w:val="22"/>
          <w:rtl/>
        </w:rPr>
        <w:t>לשלוחו</w:t>
      </w:r>
      <w:proofErr w:type="spellEnd"/>
      <w:r w:rsidR="00752E23">
        <w:rPr>
          <w:rFonts w:ascii="David" w:hAnsi="David" w:cs="David" w:hint="cs"/>
          <w:sz w:val="22"/>
          <w:szCs w:val="22"/>
          <w:rtl/>
        </w:rPr>
        <w:t xml:space="preserve"> של חבר, מיוצג או מי שמבקש להיות חבר או מיוצג.</w:t>
      </w:r>
      <w:r w:rsidRPr="00364B07">
        <w:rPr>
          <w:rFonts w:ascii="David" w:hAnsi="David" w:cs="David"/>
          <w:sz w:val="22"/>
          <w:szCs w:val="22"/>
          <w:rtl/>
        </w:rPr>
        <w:t xml:space="preserve">. </w:t>
      </w:r>
      <w:r w:rsidR="00514162" w:rsidRPr="00364B07">
        <w:rPr>
          <w:rFonts w:ascii="David" w:hAnsi="David" w:cs="David"/>
          <w:sz w:val="22"/>
          <w:szCs w:val="22"/>
          <w:rtl/>
        </w:rPr>
        <w:t xml:space="preserve">אציין </w:t>
      </w:r>
      <w:r w:rsidRPr="00364B07">
        <w:rPr>
          <w:rFonts w:ascii="David" w:hAnsi="David" w:cs="David"/>
          <w:sz w:val="22"/>
          <w:szCs w:val="22"/>
          <w:rtl/>
        </w:rPr>
        <w:t xml:space="preserve">כי כתב ההתחייבות לשמירה על סודיות </w:t>
      </w:r>
      <w:r w:rsidR="00514162" w:rsidRPr="00364B07">
        <w:rPr>
          <w:rFonts w:ascii="David" w:hAnsi="David" w:cs="David"/>
          <w:sz w:val="22"/>
          <w:szCs w:val="22"/>
          <w:rtl/>
        </w:rPr>
        <w:t xml:space="preserve">שהוצג בפניי אינו מונע </w:t>
      </w:r>
      <w:r w:rsidRPr="00364B07">
        <w:rPr>
          <w:rFonts w:ascii="David" w:hAnsi="David" w:cs="David"/>
          <w:sz w:val="22"/>
          <w:szCs w:val="22"/>
          <w:rtl/>
        </w:rPr>
        <w:t>להגיש את דו"ח השקיפות הפנימי לבית המשפט במסגרת הליכים משפטיים כנגד אקו"ם. אבהיר כי התנאים מתירים לאקו"ם לדרוש חתימה על כתב סודיות</w:t>
      </w:r>
      <w:r w:rsidR="00752E23">
        <w:rPr>
          <w:rFonts w:ascii="David" w:hAnsi="David" w:cs="David" w:hint="cs"/>
          <w:sz w:val="22"/>
          <w:szCs w:val="22"/>
          <w:rtl/>
        </w:rPr>
        <w:t xml:space="preserve"> לצורך מסירת הדו"ח לחבר, מיוצג, מי שמבקש להיות חבר או מיוצג או שלוחו של מי מאלה </w:t>
      </w:r>
      <w:r w:rsidRPr="00364B07">
        <w:rPr>
          <w:rFonts w:ascii="David" w:hAnsi="David" w:cs="David"/>
          <w:sz w:val="22"/>
          <w:szCs w:val="22"/>
          <w:rtl/>
        </w:rPr>
        <w:t xml:space="preserve">– אך כמובן </w:t>
      </w:r>
      <w:r w:rsidRPr="00364B07">
        <w:rPr>
          <w:rFonts w:ascii="David" w:hAnsi="David" w:cs="David"/>
          <w:sz w:val="22"/>
          <w:szCs w:val="22"/>
          <w:u w:val="single"/>
          <w:rtl/>
        </w:rPr>
        <w:t>אינם מחייבים</w:t>
      </w:r>
      <w:r w:rsidRPr="00364B07">
        <w:rPr>
          <w:rFonts w:ascii="David" w:hAnsi="David" w:cs="David"/>
          <w:sz w:val="22"/>
          <w:szCs w:val="22"/>
          <w:rtl/>
        </w:rPr>
        <w:t xml:space="preserve"> אותה לעשות כן.</w:t>
      </w:r>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 xml:space="preserve">בנוסף לכך, התווסף תנאי אשר קובע כי חברי אקו"ם יוכלו להצביע </w:t>
      </w:r>
      <w:proofErr w:type="spellStart"/>
      <w:r w:rsidRPr="00364B07">
        <w:rPr>
          <w:rFonts w:ascii="David" w:hAnsi="David" w:cs="David"/>
          <w:sz w:val="22"/>
          <w:szCs w:val="22"/>
          <w:rtl/>
        </w:rPr>
        <w:t>באסיפות</w:t>
      </w:r>
      <w:proofErr w:type="spellEnd"/>
      <w:r w:rsidRPr="00364B07">
        <w:rPr>
          <w:rFonts w:ascii="David" w:hAnsi="David" w:cs="David"/>
          <w:sz w:val="22"/>
          <w:szCs w:val="22"/>
          <w:rtl/>
        </w:rPr>
        <w:t xml:space="preserve"> כלליות באמצעות שלוח. זאת, ברוח ההוראה הקבועה בסעיף 83 לחוק החברות, </w:t>
      </w:r>
      <w:r w:rsidR="00514162" w:rsidRPr="00364B07">
        <w:rPr>
          <w:rFonts w:ascii="David" w:hAnsi="David" w:cs="David"/>
          <w:sz w:val="22"/>
          <w:szCs w:val="22"/>
          <w:rtl/>
        </w:rPr>
        <w:t>ה</w:t>
      </w:r>
      <w:r w:rsidRPr="00364B07">
        <w:rPr>
          <w:rFonts w:ascii="David" w:hAnsi="David" w:cs="David"/>
          <w:sz w:val="22"/>
          <w:szCs w:val="22"/>
          <w:rtl/>
        </w:rPr>
        <w:t xml:space="preserve">תשנ"ט-1999, לעניין חברות ציבוריות. יכולתם של החברים באקו"ם להשפיע על הנעשה בה ולהבטיח כי אקו"ם תפעל לטובת כלל חבריה </w:t>
      </w:r>
      <w:proofErr w:type="spellStart"/>
      <w:r w:rsidRPr="00364B07">
        <w:rPr>
          <w:rFonts w:ascii="David" w:hAnsi="David" w:cs="David"/>
          <w:sz w:val="22"/>
          <w:szCs w:val="22"/>
          <w:rtl/>
        </w:rPr>
        <w:t>ומיוצגיה</w:t>
      </w:r>
      <w:proofErr w:type="spellEnd"/>
      <w:r w:rsidRPr="00364B07">
        <w:rPr>
          <w:rFonts w:ascii="David" w:hAnsi="David" w:cs="David"/>
          <w:sz w:val="22"/>
          <w:szCs w:val="22"/>
          <w:rtl/>
        </w:rPr>
        <w:t xml:space="preserve"> באופן שוויוני, היא הרסן העיקרי על כוחה המונופוליסטי של אקו"ם מול חבריה. בכדי שיכולת ההשפעה של החברים תתקיים באופן מלא ובהתחשב בעובדה כי באקו"ם חברים מספר גדול של אנשים, אשר </w:t>
      </w:r>
      <w:r w:rsidR="00F702A5" w:rsidRPr="00364B07">
        <w:rPr>
          <w:rFonts w:ascii="David" w:hAnsi="David" w:cs="David"/>
          <w:sz w:val="22"/>
          <w:szCs w:val="22"/>
          <w:rtl/>
        </w:rPr>
        <w:t xml:space="preserve">מומחיותם בתחום היצירה ולא </w:t>
      </w:r>
      <w:r w:rsidRPr="00364B07">
        <w:rPr>
          <w:rFonts w:ascii="David" w:hAnsi="David" w:cs="David"/>
          <w:sz w:val="22"/>
          <w:szCs w:val="22"/>
          <w:rtl/>
        </w:rPr>
        <w:t>בתחום התאגידים</w:t>
      </w:r>
      <w:r w:rsidR="00F702A5" w:rsidRPr="00364B07">
        <w:rPr>
          <w:rFonts w:ascii="David" w:hAnsi="David" w:cs="David"/>
          <w:sz w:val="22"/>
          <w:szCs w:val="22"/>
          <w:rtl/>
        </w:rPr>
        <w:t>,</w:t>
      </w:r>
      <w:r w:rsidRPr="00364B07">
        <w:rPr>
          <w:rFonts w:ascii="David" w:hAnsi="David" w:cs="David"/>
          <w:sz w:val="22"/>
          <w:szCs w:val="22"/>
          <w:rtl/>
        </w:rPr>
        <w:t xml:space="preserve"> הוחלט כי יש לאפשר לחברי אקו"ם להיות מיוצגים </w:t>
      </w:r>
      <w:proofErr w:type="spellStart"/>
      <w:r w:rsidR="00F702A5" w:rsidRPr="00364B07">
        <w:rPr>
          <w:rFonts w:ascii="David" w:hAnsi="David" w:cs="David"/>
          <w:sz w:val="22"/>
          <w:szCs w:val="22"/>
          <w:rtl/>
        </w:rPr>
        <w:t>באסיפות</w:t>
      </w:r>
      <w:proofErr w:type="spellEnd"/>
      <w:r w:rsidR="00F702A5" w:rsidRPr="00364B07">
        <w:rPr>
          <w:rFonts w:ascii="David" w:hAnsi="David" w:cs="David"/>
          <w:sz w:val="22"/>
          <w:szCs w:val="22"/>
          <w:rtl/>
        </w:rPr>
        <w:t xml:space="preserve"> בידי </w:t>
      </w:r>
      <w:r w:rsidRPr="00364B07">
        <w:rPr>
          <w:rFonts w:ascii="David" w:hAnsi="David" w:cs="David"/>
          <w:sz w:val="22"/>
          <w:szCs w:val="22"/>
          <w:rtl/>
        </w:rPr>
        <w:t xml:space="preserve">שלוח. </w:t>
      </w:r>
      <w:r w:rsidR="00F702A5" w:rsidRPr="00364B07">
        <w:rPr>
          <w:rFonts w:ascii="David" w:hAnsi="David" w:cs="David"/>
          <w:sz w:val="22"/>
          <w:szCs w:val="22"/>
          <w:rtl/>
        </w:rPr>
        <w:t>אקו"ם</w:t>
      </w:r>
      <w:r w:rsidRPr="00364B07">
        <w:rPr>
          <w:rFonts w:ascii="David" w:hAnsi="David" w:cs="David"/>
          <w:sz w:val="22"/>
          <w:szCs w:val="22"/>
          <w:rtl/>
        </w:rPr>
        <w:t xml:space="preserve"> רשאית להגביל בתקנונה את מספר הקולות ששלוח אחד רשאי לייצג וכן להתנות את השתתפותו בחתימה על כתב התחייבות לסודיות או הצהרה בדבר </w:t>
      </w:r>
      <w:r w:rsidR="00ED4CC7" w:rsidRPr="00364B07">
        <w:rPr>
          <w:rFonts w:ascii="David" w:hAnsi="David" w:cs="David" w:hint="cs"/>
          <w:sz w:val="22"/>
          <w:szCs w:val="22"/>
          <w:rtl/>
        </w:rPr>
        <w:t xml:space="preserve">היעדר </w:t>
      </w:r>
      <w:r w:rsidRPr="00364B07">
        <w:rPr>
          <w:rFonts w:ascii="David" w:hAnsi="David" w:cs="David"/>
          <w:sz w:val="22"/>
          <w:szCs w:val="22"/>
          <w:rtl/>
        </w:rPr>
        <w:t>ניגוד עניינים.</w:t>
      </w:r>
    </w:p>
    <w:p w:rsidR="00FE0DF0" w:rsidRPr="009D06EE" w:rsidRDefault="00FE0DF0" w:rsidP="009D06EE">
      <w:pPr>
        <w:pStyle w:val="ListParagraph"/>
        <w:numPr>
          <w:ilvl w:val="1"/>
          <w:numId w:val="2"/>
        </w:numPr>
        <w:bidi/>
        <w:spacing w:after="0" w:afterAutospacing="0" w:line="360" w:lineRule="auto"/>
        <w:ind w:left="1152" w:right="720"/>
        <w:contextualSpacing/>
        <w:jc w:val="both"/>
        <w:rPr>
          <w:rFonts w:ascii="David" w:hAnsi="David" w:cs="David"/>
          <w:b/>
          <w:bCs/>
          <w:sz w:val="22"/>
          <w:szCs w:val="22"/>
          <w:u w:val="single"/>
          <w:rtl/>
        </w:rPr>
      </w:pPr>
      <w:r w:rsidRPr="009D06EE">
        <w:rPr>
          <w:rFonts w:ascii="David" w:hAnsi="David" w:cs="David"/>
          <w:b/>
          <w:bCs/>
          <w:sz w:val="22"/>
          <w:szCs w:val="22"/>
          <w:u w:val="single"/>
          <w:rtl/>
        </w:rPr>
        <w:t>שינויים נוספים</w:t>
      </w:r>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 xml:space="preserve">בתנאי הפטור הקיימים, הגדרת המונח "מיוצג" כוללת יוצר או מו"ל, שאינו חבר אקו"ם, שהתקשר עם אקו"ם </w:t>
      </w:r>
      <w:r w:rsidRPr="00364B07">
        <w:rPr>
          <w:rFonts w:ascii="David" w:hAnsi="David" w:cs="David"/>
          <w:sz w:val="22"/>
          <w:szCs w:val="22"/>
          <w:rtl/>
          <w:lang w:eastAsia="he-IL"/>
        </w:rPr>
        <w:t>בהסכם לפיו אקו"ם תהא רשאית להעניק רישיונות שימוש ביצירות שהוא הבעלים של זכויות היוצרים בהן</w:t>
      </w:r>
      <w:r w:rsidRPr="00364B07">
        <w:rPr>
          <w:rFonts w:ascii="David" w:hAnsi="David" w:cs="David"/>
          <w:sz w:val="22"/>
          <w:szCs w:val="22"/>
          <w:rtl/>
        </w:rPr>
        <w:t xml:space="preserve">. בפטור זה, מצאתי לנכון לחדד כי הגדרה זו כוללת גם יוצרים ומו"לים שאינם חברי אקו"ם </w:t>
      </w:r>
      <w:r w:rsidRPr="00364B07">
        <w:rPr>
          <w:rFonts w:ascii="David" w:hAnsi="David" w:cs="David"/>
          <w:sz w:val="22"/>
          <w:szCs w:val="22"/>
          <w:rtl/>
        </w:rPr>
        <w:lastRenderedPageBreak/>
        <w:t xml:space="preserve">שהתקשרו בהסכם דומה באמצעות אגודה אחות. במסגרת זו יש להבהיר כי המיוצג הוא בעל הזכויות עצמו ולא חברת האחות, אך הייצוג יכול להיות באמצעות אגודת אחות. הרחבת ההגדרה רלוונטית למספר סעיפים ששונו בהתאם. </w:t>
      </w:r>
    </w:p>
    <w:p w:rsidR="00FE0DF0" w:rsidRPr="00364B07" w:rsidRDefault="00FE0DF0" w:rsidP="00A77F70">
      <w:pPr>
        <w:pStyle w:val="ListParagraph"/>
        <w:numPr>
          <w:ilvl w:val="0"/>
          <w:numId w:val="2"/>
        </w:numPr>
        <w:bidi/>
        <w:spacing w:after="0" w:afterAutospacing="0" w:line="360" w:lineRule="auto"/>
        <w:ind w:left="804" w:right="720"/>
        <w:contextualSpacing/>
        <w:jc w:val="both"/>
        <w:rPr>
          <w:rFonts w:ascii="David" w:hAnsi="David" w:cs="David"/>
          <w:b/>
          <w:bCs/>
          <w:sz w:val="22"/>
          <w:szCs w:val="22"/>
          <w:u w:val="single"/>
        </w:rPr>
      </w:pPr>
      <w:r w:rsidRPr="00364B07">
        <w:rPr>
          <w:rFonts w:ascii="David" w:hAnsi="David" w:cs="David"/>
          <w:b/>
          <w:bCs/>
          <w:sz w:val="22"/>
          <w:szCs w:val="22"/>
          <w:u w:val="single"/>
          <w:rtl/>
        </w:rPr>
        <w:t>סוף דבר</w:t>
      </w:r>
    </w:p>
    <w:p w:rsidR="00FE0DF0" w:rsidRPr="00364B07" w:rsidRDefault="00FE0DF0" w:rsidP="00AD4C6B">
      <w:pPr>
        <w:bidi/>
        <w:spacing w:before="100" w:beforeAutospacing="1" w:after="100" w:afterAutospacing="1" w:line="360" w:lineRule="auto"/>
        <w:jc w:val="both"/>
        <w:rPr>
          <w:rFonts w:ascii="David" w:hAnsi="David" w:cs="David"/>
          <w:sz w:val="22"/>
          <w:szCs w:val="22"/>
        </w:rPr>
      </w:pPr>
      <w:r w:rsidRPr="00364B07">
        <w:rPr>
          <w:rFonts w:ascii="David" w:hAnsi="David" w:cs="David"/>
          <w:sz w:val="22"/>
          <w:szCs w:val="22"/>
          <w:rtl/>
        </w:rPr>
        <w:t xml:space="preserve">נוכח כל האמור לעיל, בכפוף לתנאים שיפורטו להלן מצאתי כי אין בכבילות שבהסדר הניהול המשותף כדי לפגוע פגיעה של ממש בתחרות בשוק, כי עיקרו של ההסדר אינו בהפחתת התחרות ובמניעתה וכי אין בו כבילות שאינן נחוצות לשם מימוש עיקרו. לפיכך ולאחר שנועצתי בוועדה לפטורים ומיזוגים, ראיתי לנכון להשתמש בסמכות הנתונה לי בסעיף 14 לחוק ולתת את הפטור </w:t>
      </w:r>
      <w:r w:rsidR="00110152" w:rsidRPr="00364B07">
        <w:rPr>
          <w:rFonts w:ascii="David" w:hAnsi="David" w:cs="David"/>
          <w:sz w:val="22"/>
          <w:szCs w:val="22"/>
          <w:rtl/>
        </w:rPr>
        <w:t>עד ליום 31.12.202</w:t>
      </w:r>
      <w:r w:rsidR="00DF1458" w:rsidRPr="00364B07">
        <w:rPr>
          <w:rFonts w:ascii="David" w:hAnsi="David" w:cs="David"/>
          <w:sz w:val="22"/>
          <w:szCs w:val="22"/>
          <w:rtl/>
        </w:rPr>
        <w:t>8</w:t>
      </w:r>
      <w:r w:rsidRPr="00364B07">
        <w:rPr>
          <w:rFonts w:ascii="David" w:hAnsi="David" w:cs="David"/>
          <w:sz w:val="22"/>
          <w:szCs w:val="22"/>
          <w:rtl/>
        </w:rPr>
        <w:t>, בכפוף לתנאים שיפורטו להלן.</w:t>
      </w:r>
    </w:p>
    <w:p w:rsidR="00FE0DF0" w:rsidRPr="00364B07" w:rsidRDefault="00FE0DF0" w:rsidP="00AD4C6B">
      <w:pPr>
        <w:bidi/>
        <w:spacing w:before="100" w:beforeAutospacing="1" w:after="100" w:afterAutospacing="1" w:line="360" w:lineRule="auto"/>
        <w:jc w:val="both"/>
        <w:rPr>
          <w:rFonts w:ascii="David" w:hAnsi="David" w:cs="David"/>
          <w:sz w:val="22"/>
          <w:szCs w:val="22"/>
          <w:rtl/>
        </w:rPr>
      </w:pPr>
      <w:r w:rsidRPr="00364B07">
        <w:rPr>
          <w:rFonts w:ascii="David" w:hAnsi="David" w:cs="David"/>
          <w:sz w:val="22"/>
          <w:szCs w:val="22"/>
          <w:rtl/>
        </w:rPr>
        <w:t xml:space="preserve">בהתאם לסעיף 15(א) לחוק נתונה החלטתי זו לערר בפני אב בית הדין </w:t>
      </w:r>
      <w:r w:rsidR="00DF1458" w:rsidRPr="00364B07">
        <w:rPr>
          <w:rFonts w:ascii="David" w:hAnsi="David" w:cs="David"/>
          <w:sz w:val="22"/>
          <w:szCs w:val="22"/>
          <w:rtl/>
        </w:rPr>
        <w:t>לתחרות</w:t>
      </w:r>
      <w:r w:rsidRPr="00364B07">
        <w:rPr>
          <w:rFonts w:ascii="David" w:hAnsi="David" w:cs="David"/>
          <w:sz w:val="22"/>
          <w:szCs w:val="22"/>
          <w:rtl/>
        </w:rPr>
        <w:t xml:space="preserve"> על ידי איגוד עסקי, ארגון צרכנים או כל אדם העלול להיפגע מההסדר הכובל עליו ניתן הפטור.</w:t>
      </w:r>
    </w:p>
    <w:p w:rsidR="00AD4C6B" w:rsidRPr="00364B07" w:rsidRDefault="00AD4C6B" w:rsidP="00AD4C6B">
      <w:pPr>
        <w:bidi/>
        <w:spacing w:before="100" w:beforeAutospacing="1" w:line="360" w:lineRule="auto"/>
        <w:jc w:val="both"/>
        <w:rPr>
          <w:rFonts w:ascii="David" w:eastAsia="Times New Roman" w:hAnsi="David" w:cs="David"/>
          <w:b/>
          <w:bCs/>
          <w:sz w:val="22"/>
          <w:szCs w:val="22"/>
          <w:u w:val="single"/>
          <w:rtl/>
        </w:rPr>
      </w:pPr>
      <w:r w:rsidRPr="00364B07">
        <w:rPr>
          <w:rFonts w:ascii="David" w:eastAsia="Times New Roman" w:hAnsi="David" w:cs="David"/>
          <w:b/>
          <w:bCs/>
          <w:sz w:val="22"/>
          <w:szCs w:val="22"/>
          <w:u w:val="single"/>
          <w:rtl/>
        </w:rPr>
        <w:t>ואלה התנאים:</w:t>
      </w:r>
    </w:p>
    <w:p w:rsidR="00AD4C6B" w:rsidRPr="00364B07" w:rsidRDefault="00AD4C6B" w:rsidP="00AD4C6B">
      <w:pPr>
        <w:widowControl w:val="0"/>
        <w:numPr>
          <w:ilvl w:val="0"/>
          <w:numId w:val="3"/>
        </w:numPr>
        <w:bidi/>
        <w:spacing w:before="120" w:line="360" w:lineRule="auto"/>
        <w:ind w:left="360"/>
        <w:jc w:val="both"/>
        <w:outlineLvl w:val="1"/>
        <w:rPr>
          <w:rFonts w:ascii="David" w:eastAsia="Times New Roman" w:hAnsi="David" w:cs="David"/>
          <w:b/>
          <w:bCs/>
          <w:sz w:val="22"/>
          <w:szCs w:val="22"/>
          <w:lang w:eastAsia="he-IL"/>
        </w:rPr>
      </w:pPr>
      <w:bookmarkStart w:id="1" w:name="_Hlk108110188"/>
      <w:r w:rsidRPr="00364B07">
        <w:rPr>
          <w:rFonts w:ascii="David" w:eastAsia="Times New Roman" w:hAnsi="David" w:cs="David"/>
          <w:b/>
          <w:bCs/>
          <w:sz w:val="22"/>
          <w:szCs w:val="22"/>
          <w:rtl/>
          <w:lang w:eastAsia="he-IL"/>
        </w:rPr>
        <w:t>הגדרות</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אגודות אחיות</w:t>
      </w:r>
      <w:r w:rsidRPr="00364B07">
        <w:rPr>
          <w:rFonts w:ascii="David" w:eastAsia="Times New Roman" w:hAnsi="David" w:cs="David"/>
          <w:sz w:val="22"/>
          <w:szCs w:val="22"/>
          <w:rtl/>
          <w:lang w:eastAsia="he-IL"/>
        </w:rPr>
        <w:t>" – כל אחת מהאגודות, או החברות, בארצות אחרות, שמטרותיהן דומות לאלה של אקו"ם, ושאיתן אקו"ם קשורה בהסכמי ייצוג מזמן לזמן;</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אדם</w:t>
      </w:r>
      <w:r w:rsidRPr="00364B07">
        <w:rPr>
          <w:rFonts w:ascii="David" w:eastAsia="Times New Roman" w:hAnsi="David" w:cs="David"/>
          <w:sz w:val="22"/>
          <w:szCs w:val="22"/>
          <w:rtl/>
          <w:lang w:eastAsia="he-IL"/>
        </w:rPr>
        <w:t>" – כמשמעותו בחוק הפרשנות, התשמ"ב-1982;</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איגוד עסקי</w:t>
      </w:r>
      <w:r w:rsidRPr="00364B07">
        <w:rPr>
          <w:rFonts w:ascii="David" w:eastAsia="Times New Roman" w:hAnsi="David" w:cs="David"/>
          <w:sz w:val="22"/>
          <w:szCs w:val="22"/>
          <w:rtl/>
          <w:lang w:eastAsia="he-IL"/>
        </w:rPr>
        <w:t>" – תאגיד שמטרותיו, כולן או חלקן, הן קידום ענייניהם העסקיים של החברים בו;</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אקו"ם</w:t>
      </w:r>
      <w:r w:rsidRPr="00364B07">
        <w:rPr>
          <w:rFonts w:ascii="David" w:eastAsia="Times New Roman" w:hAnsi="David" w:cs="David"/>
          <w:sz w:val="22"/>
          <w:szCs w:val="22"/>
          <w:rtl/>
          <w:lang w:eastAsia="he-IL"/>
        </w:rPr>
        <w:t>" – אגודת קומפוזיטורים, מחברים ומו"לים למוסיקה בישראל בע"מ;</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בית הדין</w:t>
      </w:r>
      <w:r w:rsidRPr="00364B07">
        <w:rPr>
          <w:rFonts w:ascii="David" w:eastAsia="Times New Roman" w:hAnsi="David" w:cs="David"/>
          <w:sz w:val="22"/>
          <w:szCs w:val="22"/>
          <w:rtl/>
          <w:lang w:eastAsia="he-IL"/>
        </w:rPr>
        <w:t xml:space="preserve">" – בית הדין </w:t>
      </w:r>
      <w:r w:rsidR="00524AE9" w:rsidRPr="00364B07">
        <w:rPr>
          <w:rFonts w:ascii="David" w:eastAsia="Times New Roman" w:hAnsi="David" w:cs="David" w:hint="cs"/>
          <w:sz w:val="22"/>
          <w:szCs w:val="22"/>
          <w:rtl/>
          <w:lang w:eastAsia="he-IL"/>
        </w:rPr>
        <w:t>לתחרות</w:t>
      </w:r>
      <w:r w:rsidRPr="00364B07">
        <w:rPr>
          <w:rFonts w:ascii="David" w:eastAsia="Times New Roman" w:hAnsi="David" w:cs="David"/>
          <w:sz w:val="22"/>
          <w:szCs w:val="22"/>
          <w:rtl/>
          <w:lang w:eastAsia="he-IL"/>
        </w:rPr>
        <w:t>;</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החוק</w:t>
      </w:r>
      <w:r w:rsidRPr="00364B07">
        <w:rPr>
          <w:rFonts w:ascii="David" w:eastAsia="Times New Roman" w:hAnsi="David" w:cs="David"/>
          <w:sz w:val="22"/>
          <w:szCs w:val="22"/>
          <w:rtl/>
          <w:lang w:eastAsia="he-IL"/>
        </w:rPr>
        <w:t xml:space="preserve">" – חוק </w:t>
      </w:r>
      <w:r w:rsidR="00524AE9" w:rsidRPr="00364B07">
        <w:rPr>
          <w:rFonts w:ascii="David" w:eastAsia="Times New Roman" w:hAnsi="David" w:cs="David" w:hint="cs"/>
          <w:sz w:val="22"/>
          <w:szCs w:val="22"/>
          <w:rtl/>
          <w:lang w:eastAsia="he-IL"/>
        </w:rPr>
        <w:t>התחרות</w:t>
      </w:r>
      <w:r w:rsidRPr="00364B07">
        <w:rPr>
          <w:rFonts w:ascii="David" w:eastAsia="Times New Roman" w:hAnsi="David" w:cs="David"/>
          <w:sz w:val="22"/>
          <w:szCs w:val="22"/>
          <w:rtl/>
          <w:lang w:eastAsia="he-IL"/>
        </w:rPr>
        <w:t xml:space="preserve">, התשמ"ח-1988; </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הטבעה או הקלטה</w:t>
      </w:r>
      <w:r w:rsidRPr="00364B07">
        <w:rPr>
          <w:rFonts w:ascii="David" w:eastAsia="Times New Roman" w:hAnsi="David" w:cs="David"/>
          <w:sz w:val="22"/>
          <w:szCs w:val="22"/>
          <w:rtl/>
          <w:lang w:eastAsia="he-IL"/>
        </w:rPr>
        <w:t>" – הקלטת יצירה באמצעים ובטכנולוגיות הידועים כיום או שיפותחו בעתיד הכוללים הקלטת קול או הקלטת תמונות עם קול, לרבות שעתוקה, לרבות סינכרוניזציה (הקלטת יצירה בפס קול של יצירה אור קולית), ולרבות הקלטה או העתקה לצורך שידור לרבות כמשמעות המונחים "העתקה לצורך שידור" ו"העתקה זמנית" בסעיפים 25-26 לחוק זכות יוצרים, התשס"ח-2007, למעט הסרטת יצירה ספרותית שעובדה לתסריט ולמעט הסרטת יצירה שחוברה במיוחד בעבור יצירה אור קולית;</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הממונה</w:t>
      </w:r>
      <w:r w:rsidRPr="00364B07">
        <w:rPr>
          <w:rFonts w:ascii="David" w:eastAsia="Times New Roman" w:hAnsi="David" w:cs="David"/>
          <w:sz w:val="22"/>
          <w:szCs w:val="22"/>
          <w:rtl/>
          <w:lang w:eastAsia="he-IL"/>
        </w:rPr>
        <w:t xml:space="preserve">" – הממונה על </w:t>
      </w:r>
      <w:r w:rsidR="00524AE9" w:rsidRPr="00364B07">
        <w:rPr>
          <w:rFonts w:ascii="David" w:eastAsia="Times New Roman" w:hAnsi="David" w:cs="David" w:hint="cs"/>
          <w:sz w:val="22"/>
          <w:szCs w:val="22"/>
          <w:rtl/>
          <w:lang w:eastAsia="he-IL"/>
        </w:rPr>
        <w:t>התחרות</w:t>
      </w:r>
      <w:r w:rsidRPr="00364B07">
        <w:rPr>
          <w:rFonts w:ascii="David" w:eastAsia="Times New Roman" w:hAnsi="David" w:cs="David"/>
          <w:sz w:val="22"/>
          <w:szCs w:val="22"/>
          <w:rtl/>
          <w:lang w:eastAsia="he-IL"/>
        </w:rPr>
        <w:t xml:space="preserve">; </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העמדה לרשות הציבור</w:t>
      </w:r>
      <w:r w:rsidRPr="00364B07">
        <w:rPr>
          <w:rFonts w:ascii="David" w:eastAsia="Times New Roman" w:hAnsi="David" w:cs="David"/>
          <w:sz w:val="22"/>
          <w:szCs w:val="22"/>
          <w:rtl/>
          <w:lang w:eastAsia="he-IL"/>
        </w:rPr>
        <w:t>" – על פי הגדרתו בסעיף 15 לחוק זכות יוצרים, התשס"ח-2007;</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העתקה</w:t>
      </w:r>
      <w:r w:rsidRPr="00364B07">
        <w:rPr>
          <w:rFonts w:ascii="David" w:eastAsia="Times New Roman" w:hAnsi="David" w:cs="David"/>
          <w:sz w:val="22"/>
          <w:szCs w:val="22"/>
          <w:rtl/>
          <w:lang w:eastAsia="he-IL"/>
        </w:rPr>
        <w:t>" – העתקת יצירה, במקורה או לאחר עיבוד ועריכה, שהודפסה ויצאה לאור במהדורה אחת לפחות, בצורה גרפית בכל דרך של דפוס, שעתוק ושכפול, למעט העתקת רומן או מחזה בשלמותם, קובץ של יצירות שכולן של אותו מחבר ו/או של יצירה מוסיקלית בשלמותה;</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השמעה פומבית או שידור</w:t>
      </w:r>
      <w:r w:rsidRPr="00364B07">
        <w:rPr>
          <w:rFonts w:ascii="David" w:eastAsia="Times New Roman" w:hAnsi="David" w:cs="David"/>
          <w:sz w:val="22"/>
          <w:szCs w:val="22"/>
          <w:rtl/>
          <w:lang w:eastAsia="he-IL"/>
        </w:rPr>
        <w:t xml:space="preserve">" – ביצוע פומבי, שידור או העמדה לרשות הציבור של יצירה, לרבות השמעה פומבית, שידור או העמדה לרשות הציבור של יצירה כחלק מתוכן המועבר באמצעות תקשורת קווית, אלחוטית, דיגיטלית או אחרת, לרבות מתן שירותים אינטראקטיביים ו/או </w:t>
      </w:r>
      <w:r w:rsidRPr="00364B07">
        <w:rPr>
          <w:rFonts w:ascii="David" w:eastAsia="Times New Roman" w:hAnsi="David" w:cs="David"/>
          <w:sz w:val="22"/>
          <w:szCs w:val="22"/>
          <w:lang w:eastAsia="he-IL"/>
        </w:rPr>
        <w:t>on demand</w:t>
      </w:r>
      <w:r w:rsidRPr="00364B07">
        <w:rPr>
          <w:rFonts w:ascii="David" w:eastAsia="Times New Roman" w:hAnsi="David" w:cs="David"/>
          <w:sz w:val="22"/>
          <w:szCs w:val="22"/>
          <w:rtl/>
          <w:lang w:eastAsia="he-IL"/>
        </w:rPr>
        <w:t xml:space="preserve"> וכל שירות דומה, לרבות באמצעות טלוויזיה, אינטרנט, טלפוניה או </w:t>
      </w:r>
      <w:proofErr w:type="spellStart"/>
      <w:r w:rsidRPr="00364B07">
        <w:rPr>
          <w:rFonts w:ascii="David" w:eastAsia="Times New Roman" w:hAnsi="David" w:cs="David"/>
          <w:sz w:val="22"/>
          <w:szCs w:val="22"/>
          <w:rtl/>
          <w:lang w:eastAsia="he-IL"/>
        </w:rPr>
        <w:t>רט"ן</w:t>
      </w:r>
      <w:proofErr w:type="spellEnd"/>
      <w:r w:rsidRPr="00364B07">
        <w:rPr>
          <w:rFonts w:ascii="David" w:eastAsia="Times New Roman" w:hAnsi="David" w:cs="David"/>
          <w:sz w:val="22"/>
          <w:szCs w:val="22"/>
          <w:rtl/>
          <w:lang w:eastAsia="he-IL"/>
        </w:rPr>
        <w:t xml:space="preserve">, בין אם לבדה ובין באמצעות שילובה בחומר אודיו או אודיו-ויזואלי אחר, סינכרוניזציה, הקלטה לצורכי השמעה פומבית או שידור בלבד והקלטה לצורך </w:t>
      </w:r>
      <w:r w:rsidRPr="00364B07">
        <w:rPr>
          <w:rFonts w:ascii="David" w:eastAsia="Times New Roman" w:hAnsi="David" w:cs="David"/>
          <w:sz w:val="22"/>
          <w:szCs w:val="22"/>
          <w:rtl/>
          <w:lang w:eastAsia="he-IL"/>
        </w:rPr>
        <w:lastRenderedPageBreak/>
        <w:t xml:space="preserve">שימור ארכיוני ותיעוד של חומר מושמע בפומבי או משודר; </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זכויות יוצרים</w:t>
      </w:r>
      <w:r w:rsidRPr="00364B07">
        <w:rPr>
          <w:rFonts w:ascii="David" w:eastAsia="Times New Roman" w:hAnsi="David" w:cs="David"/>
          <w:sz w:val="22"/>
          <w:szCs w:val="22"/>
          <w:rtl/>
          <w:lang w:eastAsia="he-IL"/>
        </w:rPr>
        <w:t xml:space="preserve">" – זכות הביצוע הפומבי, זכות השידור, זכות ההקלטה, זכות ההעתקה, זכות ההעמדה לרשות הציבור, או מי מהן, וכן כל זכות יוצרים הנדרשת לשם מתן שירותים אינטראקטיביים ו/או </w:t>
      </w:r>
      <w:r w:rsidRPr="00364B07">
        <w:rPr>
          <w:rFonts w:ascii="David" w:eastAsia="Times New Roman" w:hAnsi="David" w:cs="David"/>
          <w:sz w:val="22"/>
          <w:szCs w:val="22"/>
          <w:lang w:eastAsia="he-IL"/>
        </w:rPr>
        <w:t>on demand</w:t>
      </w:r>
      <w:r w:rsidRPr="00364B07">
        <w:rPr>
          <w:rFonts w:ascii="David" w:eastAsia="Times New Roman" w:hAnsi="David" w:cs="David"/>
          <w:sz w:val="22"/>
          <w:szCs w:val="22"/>
          <w:rtl/>
          <w:lang w:eastAsia="he-IL"/>
        </w:rPr>
        <w:t xml:space="preserve"> וכל שירות דומה לרבות באמצעות טלוויזיה, אינטרנט, </w:t>
      </w:r>
      <w:proofErr w:type="spellStart"/>
      <w:r w:rsidRPr="00364B07">
        <w:rPr>
          <w:rFonts w:ascii="David" w:eastAsia="Times New Roman" w:hAnsi="David" w:cs="David"/>
          <w:sz w:val="22"/>
          <w:szCs w:val="22"/>
          <w:rtl/>
          <w:lang w:eastAsia="he-IL"/>
        </w:rPr>
        <w:t>רט"ן</w:t>
      </w:r>
      <w:proofErr w:type="spellEnd"/>
      <w:r w:rsidRPr="00364B07">
        <w:rPr>
          <w:rFonts w:ascii="David" w:eastAsia="Times New Roman" w:hAnsi="David" w:cs="David"/>
          <w:sz w:val="22"/>
          <w:szCs w:val="22"/>
          <w:rtl/>
          <w:lang w:eastAsia="he-IL"/>
        </w:rPr>
        <w:t xml:space="preserve"> או טלפוניה – למטרות אלו בלבד; </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חברי אקו"ם</w:t>
      </w:r>
      <w:r w:rsidRPr="00364B07">
        <w:rPr>
          <w:rFonts w:ascii="David" w:eastAsia="Times New Roman" w:hAnsi="David" w:cs="David"/>
          <w:sz w:val="22"/>
          <w:szCs w:val="22"/>
          <w:rtl/>
          <w:lang w:eastAsia="he-IL"/>
        </w:rPr>
        <w:t>" – בעל מניה באקו"ם בהתאם להוראות תקנון אקו"ם;</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יצירה</w:t>
      </w:r>
      <w:r w:rsidRPr="00364B07">
        <w:rPr>
          <w:rFonts w:ascii="David" w:eastAsia="Times New Roman" w:hAnsi="David" w:cs="David"/>
          <w:sz w:val="22"/>
          <w:szCs w:val="22"/>
          <w:rtl/>
          <w:lang w:eastAsia="he-IL"/>
        </w:rPr>
        <w:t xml:space="preserve">" – יצירה מוסיקלית או ספרותית לסוגיהן, או חלק מהן, אשר זכות מזכויות היוצרים בה מנוהלת על ידי אקו"ם, למעט יצירות דרמטיות ויצירות דרמטיות-מוסיקליות המבוצעות בביצוע בימתי דרמטי, שנכתבו במיוחד לביצוע זה (דוגמת מחזות ואופרות המועלים על הבמה); </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מבקש</w:t>
      </w:r>
      <w:r w:rsidRPr="00364B07">
        <w:rPr>
          <w:rFonts w:ascii="David" w:eastAsia="Times New Roman" w:hAnsi="David" w:cs="David"/>
          <w:sz w:val="22"/>
          <w:szCs w:val="22"/>
          <w:rtl/>
          <w:lang w:eastAsia="he-IL"/>
        </w:rPr>
        <w:t>" – אדם שפנה לאקו"ם בבקשה להעניק לו רישיון שימוש;</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מו"ל של מוסיקה</w:t>
      </w:r>
      <w:r w:rsidRPr="00364B07">
        <w:rPr>
          <w:rFonts w:ascii="David" w:eastAsia="Times New Roman" w:hAnsi="David" w:cs="David"/>
          <w:sz w:val="22"/>
          <w:szCs w:val="22"/>
          <w:rtl/>
          <w:lang w:eastAsia="he-IL"/>
        </w:rPr>
        <w:t>" – אדם העוסק בהוצאה לאור ו/או הפצה של מוסיקה ומילים מלוות מוסיקה של יוצרים;</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מיוצג</w:t>
      </w:r>
      <w:r w:rsidRPr="00364B07">
        <w:rPr>
          <w:rFonts w:ascii="David" w:eastAsia="Times New Roman" w:hAnsi="David" w:cs="David"/>
          <w:sz w:val="22"/>
          <w:szCs w:val="22"/>
          <w:rtl/>
          <w:lang w:eastAsia="he-IL"/>
        </w:rPr>
        <w:t xml:space="preserve">" – יוצר או מו"ל, שאינו חבר אקו"ם, ושהתקשר עם אקו"ם, בעצמו או באמצעות אגודת אחות, בהסכם לפיו אקו"ם תהא רשאית להעניק רישיונות שימוש ביצירות שהוא הבעלים של זכויות היוצרים בהן; </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משתמש</w:t>
      </w:r>
      <w:r w:rsidRPr="00364B07">
        <w:rPr>
          <w:rFonts w:ascii="David" w:eastAsia="Times New Roman" w:hAnsi="David" w:cs="David"/>
          <w:sz w:val="22"/>
          <w:szCs w:val="22"/>
          <w:rtl/>
          <w:lang w:eastAsia="he-IL"/>
        </w:rPr>
        <w:t>" – כל אדם העושה שימוש ביצירה או ביצירות;</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ניהול של זכויות יוצרים</w:t>
      </w:r>
      <w:r w:rsidRPr="00364B07">
        <w:rPr>
          <w:rFonts w:ascii="David" w:eastAsia="Times New Roman" w:hAnsi="David" w:cs="David"/>
          <w:sz w:val="22"/>
          <w:szCs w:val="22"/>
          <w:rtl/>
          <w:lang w:eastAsia="he-IL"/>
        </w:rPr>
        <w:t xml:space="preserve">" – הענקת רישיונות שימוש ביצירה, דרישת דמי רישיון, קבלת דיווח על השימוש ביצירה, גביית דמי רישיון ממי שרישיון מוענק לו, חלוקת דמי רישיון בין החברים ואכיפת זכויות היוצרים, כולן או חלקן; </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פיצויים סטטוטוריים</w:t>
      </w:r>
      <w:r w:rsidRPr="00364B07">
        <w:rPr>
          <w:rFonts w:ascii="David" w:eastAsia="Times New Roman" w:hAnsi="David" w:cs="David"/>
          <w:sz w:val="22"/>
          <w:szCs w:val="22"/>
          <w:rtl/>
          <w:lang w:eastAsia="he-IL"/>
        </w:rPr>
        <w:t xml:space="preserve">" – פיצויים ללא הוכחת נזק כמשמעות מונח זה בסעיף 56 לחוק זכות יוצרים, התשס"ח-2007 ו/או הדין שקדם לו, בהתאם להוראות תחולת הדין; </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רפרטואר אקו"ם</w:t>
      </w:r>
      <w:r w:rsidRPr="00364B07">
        <w:rPr>
          <w:rFonts w:ascii="David" w:eastAsia="Times New Roman" w:hAnsi="David" w:cs="David"/>
          <w:sz w:val="22"/>
          <w:szCs w:val="22"/>
          <w:rtl/>
          <w:lang w:eastAsia="he-IL"/>
        </w:rPr>
        <w:t xml:space="preserve">" – כל היצירות שזכויות היוצרים של חברי אקו"ם בהן מנוהלות על ידי אקו"ם וכן כל היצירות שאקו"ם מוסמכת מזמן לזמן לאכוף את זכויות היוצרים בהן וזאת בין מכוח הסכמים עם אגודות אחיות ובין מכוח הסכמים אחרים; </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רישיונות שימוש</w:t>
      </w:r>
      <w:r w:rsidRPr="00364B07">
        <w:rPr>
          <w:rFonts w:ascii="David" w:eastAsia="Times New Roman" w:hAnsi="David" w:cs="David"/>
          <w:sz w:val="22"/>
          <w:szCs w:val="22"/>
          <w:rtl/>
          <w:lang w:eastAsia="he-IL"/>
        </w:rPr>
        <w:t>" – רישיונות גורפים או פרטניים לשימוש ביצירות;</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רישיון גורף</w:t>
      </w:r>
      <w:r w:rsidRPr="00364B07">
        <w:rPr>
          <w:rFonts w:ascii="David" w:eastAsia="Times New Roman" w:hAnsi="David" w:cs="David"/>
          <w:sz w:val="22"/>
          <w:szCs w:val="22"/>
          <w:rtl/>
          <w:lang w:eastAsia="he-IL"/>
        </w:rPr>
        <w:t>" – רישיון שימוש המתיר שימוש</w:t>
      </w:r>
      <w:r w:rsidRPr="00364B07">
        <w:rPr>
          <w:rFonts w:ascii="David" w:eastAsia="Times New Roman" w:hAnsi="David" w:cs="David"/>
          <w:sz w:val="22"/>
          <w:szCs w:val="22"/>
          <w:rtl/>
          <w:lang w:val="he-IL" w:eastAsia="he-IL"/>
        </w:rPr>
        <w:t xml:space="preserve"> ביצירות מרפרטואר אקו"ם, שאינו רישיון פרטני</w:t>
      </w:r>
      <w:r w:rsidRPr="00364B07">
        <w:rPr>
          <w:rFonts w:ascii="David" w:eastAsia="Times New Roman" w:hAnsi="David" w:cs="David"/>
          <w:sz w:val="22"/>
          <w:szCs w:val="22"/>
          <w:rtl/>
          <w:lang w:eastAsia="he-IL"/>
        </w:rPr>
        <w:t>;</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רישיון פרטני</w:t>
      </w:r>
      <w:r w:rsidRPr="00364B07">
        <w:rPr>
          <w:rFonts w:ascii="David" w:eastAsia="Times New Roman" w:hAnsi="David" w:cs="David"/>
          <w:sz w:val="22"/>
          <w:szCs w:val="22"/>
          <w:rtl/>
          <w:lang w:eastAsia="he-IL"/>
        </w:rPr>
        <w:t>" – רישיון הניתן למשתמש המעוניין בשימוש ביצירה אחת אשר בשמה או בשם יוצרה נקב או במספר יצירות אשר בשמן או בשם יוצריהן נקב, מתוך רפרטואר אקו"ם;</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שימוש ביצירה</w:t>
      </w:r>
      <w:r w:rsidRPr="00364B07">
        <w:rPr>
          <w:rFonts w:ascii="David" w:eastAsia="Times New Roman" w:hAnsi="David" w:cs="David"/>
          <w:sz w:val="22"/>
          <w:szCs w:val="22"/>
          <w:rtl/>
          <w:lang w:eastAsia="he-IL"/>
        </w:rPr>
        <w:t xml:space="preserve">" – פעולה אשר עשייתה מחייבת על פי כל דין את הסכמת בעל זכות היוצרים, או שהיא מקימה על פי דין חובת תשלום תגמול לבעל זכות היוצרים או לאקו"ם. ואלה הם השימושים ביצירות: שידור והעמדה לרשות הציבור (לרבות באמצעות רדיו, אינטרנט, טלוויזיה, </w:t>
      </w:r>
      <w:proofErr w:type="spellStart"/>
      <w:r w:rsidRPr="00364B07">
        <w:rPr>
          <w:rFonts w:ascii="David" w:eastAsia="Times New Roman" w:hAnsi="David" w:cs="David"/>
          <w:sz w:val="22"/>
          <w:szCs w:val="22"/>
          <w:rtl/>
          <w:lang w:eastAsia="he-IL"/>
        </w:rPr>
        <w:t>רט"ן</w:t>
      </w:r>
      <w:proofErr w:type="spellEnd"/>
      <w:r w:rsidRPr="00364B07">
        <w:rPr>
          <w:rFonts w:ascii="David" w:eastAsia="Times New Roman" w:hAnsi="David" w:cs="David"/>
          <w:sz w:val="22"/>
          <w:szCs w:val="22"/>
          <w:rtl/>
          <w:lang w:eastAsia="he-IL"/>
        </w:rPr>
        <w:t xml:space="preserve"> או טלפוניה), מתן שירותים שונים לרבות מתן שירותים אינטראקטיביים ו/או </w:t>
      </w:r>
      <w:r w:rsidRPr="00364B07">
        <w:rPr>
          <w:rFonts w:ascii="David" w:eastAsia="Times New Roman" w:hAnsi="David" w:cs="David"/>
          <w:sz w:val="22"/>
          <w:szCs w:val="22"/>
          <w:lang w:eastAsia="he-IL"/>
        </w:rPr>
        <w:t>on demand</w:t>
      </w:r>
      <w:r w:rsidRPr="00364B07">
        <w:rPr>
          <w:rFonts w:ascii="David" w:eastAsia="Times New Roman" w:hAnsi="David" w:cs="David"/>
          <w:sz w:val="22"/>
          <w:szCs w:val="22"/>
          <w:rtl/>
          <w:lang w:eastAsia="he-IL"/>
        </w:rPr>
        <w:t xml:space="preserve"> וכל שירות דומה (לרבות באמצעות טלוויזיה, אינטרנט, </w:t>
      </w:r>
      <w:proofErr w:type="spellStart"/>
      <w:r w:rsidRPr="00364B07">
        <w:rPr>
          <w:rFonts w:ascii="David" w:eastAsia="Times New Roman" w:hAnsi="David" w:cs="David"/>
          <w:sz w:val="22"/>
          <w:szCs w:val="22"/>
          <w:rtl/>
          <w:lang w:eastAsia="he-IL"/>
        </w:rPr>
        <w:t>רט"ן</w:t>
      </w:r>
      <w:proofErr w:type="spellEnd"/>
      <w:r w:rsidRPr="00364B07">
        <w:rPr>
          <w:rFonts w:ascii="David" w:eastAsia="Times New Roman" w:hAnsi="David" w:cs="David"/>
          <w:sz w:val="22"/>
          <w:szCs w:val="22"/>
          <w:rtl/>
          <w:lang w:eastAsia="he-IL"/>
        </w:rPr>
        <w:t xml:space="preserve"> או טלפוניה) השמעה פומבית, העתקת יצירות, הקלטה של יצירות, הסרטת יצירות, וכן כל שימוש אחר אותו התירה הממונה; </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שירות חדש</w:t>
      </w:r>
      <w:r w:rsidRPr="00364B07">
        <w:rPr>
          <w:rFonts w:ascii="David" w:eastAsia="Times New Roman" w:hAnsi="David" w:cs="David"/>
          <w:sz w:val="22"/>
          <w:szCs w:val="22"/>
          <w:rtl/>
          <w:lang w:eastAsia="he-IL"/>
        </w:rPr>
        <w:t>" – שימוש ביצירה אשר בגינו לא העניקה אקו"ם רישיון שימוש למשתמש כלשהו בעבר;</w:t>
      </w:r>
    </w:p>
    <w:p w:rsidR="00AD4C6B" w:rsidRPr="00364B07" w:rsidRDefault="00AD4C6B" w:rsidP="00AD4C6B">
      <w:pPr>
        <w:widowControl w:val="0"/>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שירות קרוב</w:t>
      </w:r>
      <w:r w:rsidRPr="00364B07">
        <w:rPr>
          <w:rFonts w:ascii="David" w:eastAsia="Times New Roman" w:hAnsi="David" w:cs="David"/>
          <w:sz w:val="22"/>
          <w:szCs w:val="22"/>
          <w:rtl/>
          <w:lang w:eastAsia="he-IL"/>
        </w:rPr>
        <w:t xml:space="preserve">" – השירות הדומה והקרוב ביותר לשירות החדש. </w:t>
      </w:r>
    </w:p>
    <w:p w:rsidR="00AD4C6B" w:rsidRDefault="00AD4C6B" w:rsidP="00AD4C6B">
      <w:pPr>
        <w:widowControl w:val="0"/>
        <w:bidi/>
        <w:spacing w:before="120" w:line="360" w:lineRule="auto"/>
        <w:jc w:val="both"/>
        <w:rPr>
          <w:rFonts w:ascii="David" w:eastAsia="Times New Roman" w:hAnsi="David" w:cs="David"/>
          <w:sz w:val="22"/>
          <w:szCs w:val="22"/>
          <w:rtl/>
          <w:lang w:eastAsia="he-IL"/>
        </w:rPr>
      </w:pPr>
    </w:p>
    <w:p w:rsidR="009D06EE" w:rsidRPr="00364B07" w:rsidRDefault="009D06EE" w:rsidP="009D06EE">
      <w:pPr>
        <w:widowControl w:val="0"/>
        <w:bidi/>
        <w:spacing w:before="120" w:line="360" w:lineRule="auto"/>
        <w:jc w:val="both"/>
        <w:rPr>
          <w:rFonts w:ascii="David" w:eastAsia="Times New Roman" w:hAnsi="David" w:cs="David"/>
          <w:sz w:val="22"/>
          <w:szCs w:val="22"/>
          <w:rtl/>
          <w:lang w:eastAsia="he-IL"/>
        </w:rPr>
      </w:pPr>
    </w:p>
    <w:p w:rsidR="00AD4C6B" w:rsidRPr="00364B07" w:rsidRDefault="00AD4C6B" w:rsidP="00AD4C6B">
      <w:pPr>
        <w:widowControl w:val="0"/>
        <w:numPr>
          <w:ilvl w:val="0"/>
          <w:numId w:val="3"/>
        </w:numPr>
        <w:bidi/>
        <w:spacing w:before="120" w:line="360" w:lineRule="auto"/>
        <w:ind w:left="360"/>
        <w:jc w:val="both"/>
        <w:outlineLvl w:val="1"/>
        <w:rPr>
          <w:rFonts w:ascii="David" w:eastAsia="Times New Roman" w:hAnsi="David" w:cs="David"/>
          <w:b/>
          <w:bCs/>
          <w:sz w:val="22"/>
          <w:szCs w:val="22"/>
          <w:lang w:eastAsia="he-IL"/>
        </w:rPr>
      </w:pPr>
      <w:r w:rsidRPr="00364B07">
        <w:rPr>
          <w:rFonts w:ascii="David" w:eastAsia="Times New Roman" w:hAnsi="David" w:cs="David"/>
          <w:b/>
          <w:bCs/>
          <w:sz w:val="22"/>
          <w:szCs w:val="22"/>
          <w:rtl/>
          <w:lang w:eastAsia="he-IL"/>
        </w:rPr>
        <w:lastRenderedPageBreak/>
        <w:t xml:space="preserve">החברות באקו"ם </w:t>
      </w:r>
    </w:p>
    <w:p w:rsidR="00AD4C6B" w:rsidRPr="00364B07" w:rsidRDefault="00AD4C6B" w:rsidP="00AD4C6B">
      <w:pPr>
        <w:widowControl w:val="0"/>
        <w:numPr>
          <w:ilvl w:val="1"/>
          <w:numId w:val="4"/>
        </w:numPr>
        <w:bidi/>
        <w:spacing w:before="120" w:beforeAutospacing="1" w:after="100" w:afterAutospacing="1" w:line="360" w:lineRule="auto"/>
        <w:jc w:val="both"/>
        <w:outlineLvl w:val="1"/>
        <w:rPr>
          <w:rFonts w:ascii="David" w:eastAsia="Times New Roman" w:hAnsi="David" w:cs="David"/>
          <w:sz w:val="22"/>
          <w:szCs w:val="22"/>
          <w:lang w:eastAsia="he-IL"/>
        </w:rPr>
      </w:pPr>
      <w:r w:rsidRPr="00364B07">
        <w:rPr>
          <w:rFonts w:ascii="David" w:eastAsia="Times New Roman" w:hAnsi="David" w:cs="David"/>
          <w:sz w:val="22"/>
          <w:szCs w:val="22"/>
          <w:rtl/>
          <w:lang w:eastAsia="he-IL"/>
        </w:rPr>
        <w:t>החברות באקו"ם תהא פתוחה בפני כל יוצר שהוא אזרח או תושב קבע בישראל אשר היצירה שלו פורסמה ברבים או הוצאה לאור, ליורשיו, לאדם אליו העביר היוצר את זכויות היוצרים שלו ובפני מו"ל של מוסי</w:t>
      </w:r>
      <w:bookmarkStart w:id="2" w:name="_Ref61609155"/>
      <w:r w:rsidRPr="00364B07">
        <w:rPr>
          <w:rFonts w:ascii="David" w:eastAsia="Times New Roman" w:hAnsi="David" w:cs="David"/>
          <w:sz w:val="22"/>
          <w:szCs w:val="22"/>
          <w:rtl/>
          <w:lang w:eastAsia="he-IL"/>
        </w:rPr>
        <w:t>קה שיביע את רצונו להצטרף לאקו"ם.</w:t>
      </w:r>
      <w:bookmarkStart w:id="3" w:name="_Ref457895481"/>
    </w:p>
    <w:p w:rsidR="00AD4C6B" w:rsidRPr="00364B07" w:rsidRDefault="00AD4C6B" w:rsidP="00AD4C6B">
      <w:pPr>
        <w:widowControl w:val="0"/>
        <w:numPr>
          <w:ilvl w:val="1"/>
          <w:numId w:val="4"/>
        </w:numPr>
        <w:bidi/>
        <w:spacing w:before="120" w:beforeAutospacing="1" w:after="100" w:afterAutospacing="1" w:line="360" w:lineRule="auto"/>
        <w:jc w:val="both"/>
        <w:outlineLvl w:val="1"/>
        <w:rPr>
          <w:rFonts w:ascii="David" w:eastAsia="Times New Roman" w:hAnsi="David" w:cs="David"/>
          <w:sz w:val="22"/>
          <w:szCs w:val="22"/>
          <w:lang w:eastAsia="he-IL"/>
        </w:rPr>
      </w:pPr>
      <w:r w:rsidRPr="00364B07">
        <w:rPr>
          <w:rFonts w:ascii="David" w:eastAsia="Times New Roman" w:hAnsi="David" w:cs="David"/>
          <w:sz w:val="22"/>
          <w:szCs w:val="22"/>
          <w:rtl/>
          <w:lang w:eastAsia="he-IL"/>
        </w:rPr>
        <w:t>חבר באקו"ם רשאי, בכל עת, להודיע על פרישתו מאקו"ם ומיוצג רשאי, בכל עת, להודיע על הפסקת ייצוגו על ידי אקו"ם, לרבות בדרך של הודעת אגודת אחות על הפסקת הסכם הייצוג (להלן: "הודעת הפרישה"). ההודעה תימסר לאקו"ם ותיכנס לתוקפה תוך 30 יום מיום קבלתה על ידי אקו"ם ובכל מקרה לא פחות מ-15 יום מיום פרסום פרטי הפרישה באתר האינטרנט של אקו"ם בהתאם להוראת סעיף 6.5 שלהלן. על חלוקת התמלוגים לאחר הודעת הפרישה יחולו הוראות סעיף 8 שלהלן.</w:t>
      </w:r>
      <w:bookmarkStart w:id="4" w:name="_Ref457895539"/>
      <w:bookmarkEnd w:id="3"/>
    </w:p>
    <w:p w:rsidR="00AD4C6B" w:rsidRPr="00364B07" w:rsidRDefault="00AD4C6B" w:rsidP="00AD4C6B">
      <w:pPr>
        <w:widowControl w:val="0"/>
        <w:numPr>
          <w:ilvl w:val="1"/>
          <w:numId w:val="4"/>
        </w:numPr>
        <w:bidi/>
        <w:spacing w:before="120" w:beforeAutospacing="1" w:after="100" w:afterAutospacing="1" w:line="360" w:lineRule="auto"/>
        <w:jc w:val="both"/>
        <w:outlineLvl w:val="1"/>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בכפוף להוראות סעיף 8 להלן, חבר או מיוצג באקו"ם רשאי, בכל עת, למסור הודעה לאקו"ם על רצונו </w:t>
      </w:r>
      <w:proofErr w:type="spellStart"/>
      <w:r w:rsidRPr="00364B07">
        <w:rPr>
          <w:rFonts w:ascii="David" w:eastAsia="Times New Roman" w:hAnsi="David" w:cs="David"/>
          <w:sz w:val="22"/>
          <w:szCs w:val="22"/>
          <w:rtl/>
          <w:lang w:eastAsia="he-IL"/>
        </w:rPr>
        <w:t>להחריג</w:t>
      </w:r>
      <w:proofErr w:type="spellEnd"/>
      <w:r w:rsidRPr="00364B07">
        <w:rPr>
          <w:rFonts w:ascii="David" w:eastAsia="Times New Roman" w:hAnsi="David" w:cs="David"/>
          <w:sz w:val="22"/>
          <w:szCs w:val="22"/>
          <w:rtl/>
          <w:lang w:eastAsia="he-IL"/>
        </w:rPr>
        <w:t xml:space="preserve"> כלל או חלק מזכויות היוצרים שלו מניהולה של אקו"ם, לרבות בדרך של הודעת אגודת אחות על שינוי הסכם הייצוג, בתנאי שנתקבלה הסכמתם של כל היוצרים באקו"ם שהם בעלי זכויות ביצירות אליהן מתייחסת ההודעה האמורה, ואף הם הודיעו לאקו"ם על רצונם </w:t>
      </w:r>
      <w:proofErr w:type="spellStart"/>
      <w:r w:rsidRPr="00364B07">
        <w:rPr>
          <w:rFonts w:ascii="David" w:eastAsia="Times New Roman" w:hAnsi="David" w:cs="David"/>
          <w:sz w:val="22"/>
          <w:szCs w:val="22"/>
          <w:rtl/>
          <w:lang w:eastAsia="he-IL"/>
        </w:rPr>
        <w:t>להחריג</w:t>
      </w:r>
      <w:proofErr w:type="spellEnd"/>
      <w:r w:rsidRPr="00364B07">
        <w:rPr>
          <w:rFonts w:ascii="David" w:eastAsia="Times New Roman" w:hAnsi="David" w:cs="David"/>
          <w:sz w:val="22"/>
          <w:szCs w:val="22"/>
          <w:rtl/>
          <w:lang w:eastAsia="he-IL"/>
        </w:rPr>
        <w:t xml:space="preserve"> את זכויותיהם בהתאם לאמור בסעיף זה. הודעת ההחרגה יכולה להתייחס לכל או לחלק מהשימושים ביצירות המוחרגות, אולם אם ההחרגה מתייחסת רק לחלק מהשימושים ביצירות המוחרגות, הודעת ההחרגה תהיה בהתאם לאחת החלופות שלהלן בשלמותן או על-פי כל צירוף של החלופות בשלמותן בלבד (להלן: "הודעת ההחרגה"):</w:t>
      </w:r>
      <w:bookmarkEnd w:id="4"/>
    </w:p>
    <w:p w:rsidR="00AD4C6B" w:rsidRPr="00364B07" w:rsidRDefault="00AD4C6B" w:rsidP="00AD4C6B">
      <w:pPr>
        <w:widowControl w:val="0"/>
        <w:numPr>
          <w:ilvl w:val="2"/>
          <w:numId w:val="4"/>
        </w:numPr>
        <w:bidi/>
        <w:spacing w:before="120" w:beforeAutospacing="1" w:after="100" w:afterAutospacing="1" w:line="360" w:lineRule="auto"/>
        <w:jc w:val="both"/>
        <w:outlineLvl w:val="1"/>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החרגת הזכויות לשידור אודיו-ויזואלי, לרבות סינכרוניזציה והקלטה לצרכי שידור כאמור, ולרבות מתן שירותים אינטראקטיביים ו/או </w:t>
      </w:r>
      <w:r w:rsidRPr="00364B07">
        <w:rPr>
          <w:rFonts w:ascii="David" w:eastAsia="Times New Roman" w:hAnsi="David" w:cs="David"/>
          <w:sz w:val="22"/>
          <w:szCs w:val="22"/>
          <w:lang w:eastAsia="he-IL"/>
        </w:rPr>
        <w:t>on demand</w:t>
      </w:r>
      <w:r w:rsidRPr="00364B07">
        <w:rPr>
          <w:rFonts w:ascii="David" w:eastAsia="Times New Roman" w:hAnsi="David" w:cs="David"/>
          <w:sz w:val="22"/>
          <w:szCs w:val="22"/>
          <w:rtl/>
          <w:lang w:eastAsia="he-IL"/>
        </w:rPr>
        <w:t xml:space="preserve"> וכל שירות דומה, לרבות באמצעות טלוויזיה, אינטרנט, טלפוניה או </w:t>
      </w:r>
      <w:proofErr w:type="spellStart"/>
      <w:r w:rsidRPr="00364B07">
        <w:rPr>
          <w:rFonts w:ascii="David" w:eastAsia="Times New Roman" w:hAnsi="David" w:cs="David"/>
          <w:sz w:val="22"/>
          <w:szCs w:val="22"/>
          <w:rtl/>
          <w:lang w:eastAsia="he-IL"/>
        </w:rPr>
        <w:t>רט"ן</w:t>
      </w:r>
      <w:proofErr w:type="spellEnd"/>
      <w:r w:rsidRPr="00364B07">
        <w:rPr>
          <w:rFonts w:ascii="David" w:eastAsia="Times New Roman" w:hAnsi="David" w:cs="David"/>
          <w:sz w:val="22"/>
          <w:szCs w:val="22"/>
          <w:rtl/>
          <w:lang w:eastAsia="he-IL"/>
        </w:rPr>
        <w:t>;</w:t>
      </w:r>
    </w:p>
    <w:p w:rsidR="00AD4C6B" w:rsidRPr="00364B07" w:rsidRDefault="00AD4C6B" w:rsidP="00AD4C6B">
      <w:pPr>
        <w:widowControl w:val="0"/>
        <w:numPr>
          <w:ilvl w:val="2"/>
          <w:numId w:val="4"/>
        </w:numPr>
        <w:bidi/>
        <w:spacing w:before="120" w:beforeAutospacing="1" w:after="100" w:afterAutospacing="1" w:line="360" w:lineRule="auto"/>
        <w:jc w:val="both"/>
        <w:outlineLvl w:val="1"/>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החרגה של זכויות השידור באמצעי אודיו לרבות הקלטה לצרכי שידור כאמור, ולרבות מתן שירותים אינטראקטיביים ו/או </w:t>
      </w:r>
      <w:r w:rsidRPr="00364B07">
        <w:rPr>
          <w:rFonts w:ascii="David" w:eastAsia="Times New Roman" w:hAnsi="David" w:cs="David"/>
          <w:sz w:val="22"/>
          <w:szCs w:val="22"/>
          <w:lang w:eastAsia="he-IL"/>
        </w:rPr>
        <w:t>on demand</w:t>
      </w:r>
      <w:r w:rsidRPr="00364B07">
        <w:rPr>
          <w:rFonts w:ascii="David" w:eastAsia="Times New Roman" w:hAnsi="David" w:cs="David"/>
          <w:sz w:val="22"/>
          <w:szCs w:val="22"/>
          <w:rtl/>
          <w:lang w:eastAsia="he-IL"/>
        </w:rPr>
        <w:t xml:space="preserve"> וכל שירות דומה, לרבות באמצעות רדיו, אינטרנט, טלפוניה או </w:t>
      </w:r>
      <w:proofErr w:type="spellStart"/>
      <w:r w:rsidRPr="00364B07">
        <w:rPr>
          <w:rFonts w:ascii="David" w:eastAsia="Times New Roman" w:hAnsi="David" w:cs="David"/>
          <w:sz w:val="22"/>
          <w:szCs w:val="22"/>
          <w:rtl/>
          <w:lang w:eastAsia="he-IL"/>
        </w:rPr>
        <w:t>רט"ן</w:t>
      </w:r>
      <w:proofErr w:type="spellEnd"/>
      <w:r w:rsidRPr="00364B07">
        <w:rPr>
          <w:rFonts w:ascii="David" w:eastAsia="Times New Roman" w:hAnsi="David" w:cs="David"/>
          <w:sz w:val="22"/>
          <w:szCs w:val="22"/>
          <w:rtl/>
          <w:lang w:eastAsia="he-IL"/>
        </w:rPr>
        <w:t>;</w:t>
      </w:r>
    </w:p>
    <w:p w:rsidR="00AD4C6B" w:rsidRPr="00364B07" w:rsidRDefault="00AD4C6B" w:rsidP="00AD4C6B">
      <w:pPr>
        <w:widowControl w:val="0"/>
        <w:numPr>
          <w:ilvl w:val="2"/>
          <w:numId w:val="4"/>
        </w:numPr>
        <w:bidi/>
        <w:spacing w:before="120" w:beforeAutospacing="1" w:after="100" w:afterAutospacing="1" w:line="360" w:lineRule="auto"/>
        <w:jc w:val="both"/>
        <w:outlineLvl w:val="1"/>
        <w:rPr>
          <w:rFonts w:ascii="David" w:eastAsia="Times New Roman" w:hAnsi="David" w:cs="David"/>
          <w:sz w:val="22"/>
          <w:szCs w:val="22"/>
          <w:lang w:eastAsia="he-IL"/>
        </w:rPr>
      </w:pPr>
      <w:r w:rsidRPr="00364B07">
        <w:rPr>
          <w:rFonts w:ascii="David" w:eastAsia="Times New Roman" w:hAnsi="David" w:cs="David"/>
          <w:sz w:val="22"/>
          <w:szCs w:val="22"/>
          <w:rtl/>
          <w:lang w:eastAsia="he-IL"/>
        </w:rPr>
        <w:t>החרגה של זכות ההעתקה. למען הסר ספק, יובהר כי החרגת זכות ההעתקה אינה כוללת את זכות ההעתקה לצרכי שידור;</w:t>
      </w:r>
    </w:p>
    <w:p w:rsidR="00AD4C6B" w:rsidRPr="00364B07" w:rsidRDefault="00AD4C6B" w:rsidP="00AD4C6B">
      <w:pPr>
        <w:widowControl w:val="0"/>
        <w:numPr>
          <w:ilvl w:val="2"/>
          <w:numId w:val="4"/>
        </w:numPr>
        <w:bidi/>
        <w:spacing w:before="120" w:beforeAutospacing="1" w:after="100" w:afterAutospacing="1" w:line="360" w:lineRule="auto"/>
        <w:jc w:val="both"/>
        <w:outlineLvl w:val="1"/>
        <w:rPr>
          <w:rFonts w:ascii="David" w:eastAsia="Times New Roman" w:hAnsi="David" w:cs="David"/>
          <w:sz w:val="22"/>
          <w:szCs w:val="22"/>
          <w:lang w:eastAsia="he-IL"/>
        </w:rPr>
      </w:pPr>
      <w:r w:rsidRPr="00364B07">
        <w:rPr>
          <w:rFonts w:ascii="David" w:eastAsia="Times New Roman" w:hAnsi="David" w:cs="David"/>
          <w:sz w:val="22"/>
          <w:szCs w:val="22"/>
          <w:rtl/>
          <w:lang w:eastAsia="he-IL"/>
        </w:rPr>
        <w:t>החרגה של זכות ההטבעה ו/או ההקלטה. למען הסר ספק, יובהר כי החרגת זכות ההטבעה ו/או ההקלטה אינה כוללת את זכות ההטבעה ו/או ההקלטה לצרכי שידור;</w:t>
      </w:r>
      <w:bookmarkEnd w:id="2"/>
    </w:p>
    <w:p w:rsidR="00AD4C6B" w:rsidRPr="00364B07" w:rsidRDefault="00AD4C6B" w:rsidP="00AD4C6B">
      <w:pPr>
        <w:widowControl w:val="0"/>
        <w:tabs>
          <w:tab w:val="num" w:pos="386"/>
        </w:tabs>
        <w:bidi/>
        <w:spacing w:before="120" w:line="360" w:lineRule="auto"/>
        <w:ind w:left="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הודעת ההחרגה תימסר לאקו"ם ותיכנס לתוקפה תוך 30 יום מיום קבלתה על ידי אקו"ם, ובכל מקרה לא פחות מ-15 יום מיום פרסום פרטי ההחרגה באתר האינטרנט של אקו"ם בהתאם להוראות סעיף 6.6 שלהלן. על חלוקת התמלוגים לאחר הודעת ההחרגה יחולו הוראות סעיף 8 שלהלן.</w:t>
      </w:r>
    </w:p>
    <w:p w:rsidR="00AD4C6B" w:rsidRPr="00364B07" w:rsidRDefault="00AD4C6B" w:rsidP="00AD4C6B">
      <w:pPr>
        <w:widowControl w:val="0"/>
        <w:tabs>
          <w:tab w:val="num" w:pos="386"/>
        </w:tabs>
        <w:bidi/>
        <w:spacing w:before="120" w:line="360" w:lineRule="auto"/>
        <w:ind w:left="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לעניין סעיף זה, "</w:t>
      </w:r>
      <w:r w:rsidRPr="00364B07">
        <w:rPr>
          <w:rFonts w:ascii="David" w:eastAsia="Times New Roman" w:hAnsi="David" w:cs="David"/>
          <w:b/>
          <w:bCs/>
          <w:sz w:val="22"/>
          <w:szCs w:val="22"/>
          <w:rtl/>
          <w:lang w:eastAsia="he-IL"/>
        </w:rPr>
        <w:t>יצירה</w:t>
      </w:r>
      <w:r w:rsidRPr="00364B07">
        <w:rPr>
          <w:rFonts w:ascii="David" w:eastAsia="Times New Roman" w:hAnsi="David" w:cs="David"/>
          <w:sz w:val="22"/>
          <w:szCs w:val="22"/>
          <w:rtl/>
          <w:lang w:eastAsia="he-IL"/>
        </w:rPr>
        <w:t xml:space="preserve">" – לרבות המילים והלחן הנלווים אליה. </w:t>
      </w:r>
    </w:p>
    <w:p w:rsidR="00AD4C6B" w:rsidRPr="00364B07" w:rsidRDefault="00AD4C6B" w:rsidP="00AD4C6B">
      <w:pPr>
        <w:widowControl w:val="0"/>
        <w:numPr>
          <w:ilvl w:val="1"/>
          <w:numId w:val="4"/>
        </w:numPr>
        <w:bidi/>
        <w:spacing w:before="120" w:beforeAutospacing="1" w:after="100" w:afterAutospacing="1" w:line="360" w:lineRule="auto"/>
        <w:jc w:val="both"/>
        <w:rPr>
          <w:rFonts w:ascii="David" w:eastAsia="Times New Roman" w:hAnsi="David" w:cs="David"/>
          <w:sz w:val="22"/>
          <w:szCs w:val="22"/>
          <w:lang w:eastAsia="he-IL"/>
        </w:rPr>
      </w:pPr>
      <w:bookmarkStart w:id="5" w:name="_Ref61609177"/>
      <w:bookmarkStart w:id="6" w:name="_Ref62979506"/>
      <w:bookmarkStart w:id="7" w:name="_Ref87153376"/>
      <w:r w:rsidRPr="00364B07">
        <w:rPr>
          <w:rFonts w:ascii="David" w:eastAsia="Times New Roman" w:hAnsi="David" w:cs="David"/>
          <w:sz w:val="22"/>
          <w:szCs w:val="22"/>
          <w:rtl/>
          <w:lang w:eastAsia="he-IL"/>
        </w:rPr>
        <w:t xml:space="preserve"> מבלי לגרוע מהאמור לעיל, תעניק אקו"ם לכל חבריה והמיוצגים על ידה רישיון המאפשר לכל חבר ומיוצג להעניק רישיונות שלא באמצעות אקו"ם, לגבי כלל זכויות היוצרים שלו או חלקן או כל אחת מהן, לפי בחירתו (להלן: "</w:t>
      </w:r>
      <w:r w:rsidRPr="00364B07">
        <w:rPr>
          <w:rFonts w:ascii="David" w:eastAsia="Times New Roman" w:hAnsi="David" w:cs="David"/>
          <w:b/>
          <w:bCs/>
          <w:sz w:val="22"/>
          <w:szCs w:val="22"/>
          <w:rtl/>
          <w:lang w:eastAsia="he-IL"/>
        </w:rPr>
        <w:t>רישיון להענקת רישיונות</w:t>
      </w:r>
      <w:r w:rsidRPr="00364B07">
        <w:rPr>
          <w:rFonts w:ascii="David" w:eastAsia="Times New Roman" w:hAnsi="David" w:cs="David"/>
          <w:sz w:val="22"/>
          <w:szCs w:val="22"/>
          <w:rtl/>
          <w:lang w:eastAsia="he-IL"/>
        </w:rPr>
        <w:t xml:space="preserve">"). הענקת רישיונות, על פי </w:t>
      </w:r>
      <w:proofErr w:type="spellStart"/>
      <w:r w:rsidRPr="00364B07">
        <w:rPr>
          <w:rFonts w:ascii="David" w:eastAsia="Times New Roman" w:hAnsi="David" w:cs="David"/>
          <w:sz w:val="22"/>
          <w:szCs w:val="22"/>
          <w:rtl/>
          <w:lang w:eastAsia="he-IL"/>
        </w:rPr>
        <w:t>ס"ק</w:t>
      </w:r>
      <w:proofErr w:type="spellEnd"/>
      <w:r w:rsidRPr="00364B07">
        <w:rPr>
          <w:rFonts w:ascii="David" w:eastAsia="Times New Roman" w:hAnsi="David" w:cs="David"/>
          <w:sz w:val="22"/>
          <w:szCs w:val="22"/>
          <w:rtl/>
          <w:lang w:eastAsia="he-IL"/>
        </w:rPr>
        <w:t xml:space="preserve"> זה, לא תגרע באופן כלשהו מהעברת זכויות היוצרים לאקו"ם על ידי החבר או המיוצג ו/או מרישיונות שהוענקו או יוענקו על ידי אקו"ם על בסיס העברת זכויות היוצרים לידיה, ולא יוכל החבר או המיוצג להעניק רישיון בלעדי. לחברים חדשים אשר יצטרפו לאקו"ם החל ממועד מתן הפטור, תעניק אקו"ם את הרישיון להענקת רישיונות בד בבד עם הצטרפותם לאקו"ם</w:t>
      </w:r>
      <w:bookmarkEnd w:id="5"/>
      <w:r w:rsidRPr="00364B07">
        <w:rPr>
          <w:rFonts w:ascii="David" w:eastAsia="Times New Roman" w:hAnsi="David" w:cs="David"/>
          <w:sz w:val="22"/>
          <w:szCs w:val="22"/>
          <w:rtl/>
          <w:lang w:eastAsia="he-IL"/>
        </w:rPr>
        <w:t>.</w:t>
      </w:r>
      <w:bookmarkEnd w:id="6"/>
      <w:r w:rsidRPr="00364B07">
        <w:rPr>
          <w:rFonts w:ascii="David" w:eastAsia="Times New Roman" w:hAnsi="David" w:cs="David"/>
          <w:sz w:val="22"/>
          <w:szCs w:val="22"/>
          <w:rtl/>
          <w:lang w:eastAsia="he-IL"/>
        </w:rPr>
        <w:t xml:space="preserve"> הרישיון להענקת </w:t>
      </w:r>
      <w:r w:rsidRPr="00364B07">
        <w:rPr>
          <w:rFonts w:ascii="David" w:eastAsia="Times New Roman" w:hAnsi="David" w:cs="David"/>
          <w:sz w:val="22"/>
          <w:szCs w:val="22"/>
          <w:rtl/>
          <w:lang w:eastAsia="he-IL"/>
        </w:rPr>
        <w:lastRenderedPageBreak/>
        <w:t>רישיונות ניתן יהיה להעברה או להמחאה מהחבר או המיוצג לצדדים שלישיים כלשהם.</w:t>
      </w:r>
      <w:bookmarkEnd w:id="7"/>
      <w:r w:rsidRPr="00364B07">
        <w:rPr>
          <w:rFonts w:ascii="David" w:eastAsia="Times New Roman" w:hAnsi="David" w:cs="David"/>
          <w:sz w:val="22"/>
          <w:szCs w:val="22"/>
          <w:rtl/>
          <w:lang w:eastAsia="he-IL"/>
        </w:rPr>
        <w:t xml:space="preserve"> הענקת רישיון לפי סעיף זה תבוצע טרם השימוש ביצירה ותיכנס לתוקף עם מתן הודעה בכתב לאקו"ם.</w:t>
      </w:r>
    </w:p>
    <w:p w:rsidR="00AD4C6B" w:rsidRPr="00364B07" w:rsidRDefault="00AD4C6B" w:rsidP="00AD4C6B">
      <w:pPr>
        <w:widowControl w:val="0"/>
        <w:numPr>
          <w:ilvl w:val="1"/>
          <w:numId w:val="4"/>
        </w:numPr>
        <w:bidi/>
        <w:spacing w:before="120" w:beforeAutospacing="1" w:after="100" w:afterAutospacing="1" w:line="360" w:lineRule="auto"/>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חבר אקו"ם יהא רשאי להצביע באסיפה בעצמו או באמצעות שלוח, בהתאם לתקנון ולהוראות סעיף זה. אקו"ם רשאית לקבוע הוראות בקשר עם הצבעה כאמור, לרבות כמות הקולות שיהיו לשלוח יחיד וכן להתנות את השתתפות השלוח בחתימה על כתב התחייבות לסודיות ו/או הצהרה בדבר </w:t>
      </w:r>
      <w:r w:rsidR="00ED4CC7" w:rsidRPr="00364B07">
        <w:rPr>
          <w:rFonts w:ascii="David" w:eastAsia="Times New Roman" w:hAnsi="David" w:cs="David" w:hint="cs"/>
          <w:sz w:val="22"/>
          <w:szCs w:val="22"/>
          <w:rtl/>
          <w:lang w:eastAsia="he-IL"/>
        </w:rPr>
        <w:t xml:space="preserve">היעדר </w:t>
      </w:r>
      <w:r w:rsidRPr="00364B07">
        <w:rPr>
          <w:rFonts w:ascii="David" w:eastAsia="Times New Roman" w:hAnsi="David" w:cs="David"/>
          <w:sz w:val="22"/>
          <w:szCs w:val="22"/>
          <w:rtl/>
          <w:lang w:eastAsia="he-IL"/>
        </w:rPr>
        <w:t xml:space="preserve">ניגוד עניינים. </w:t>
      </w:r>
    </w:p>
    <w:p w:rsidR="00AD4C6B" w:rsidRPr="00364B07" w:rsidRDefault="00AD4C6B" w:rsidP="00AD4C6B">
      <w:pPr>
        <w:widowControl w:val="0"/>
        <w:numPr>
          <w:ilvl w:val="0"/>
          <w:numId w:val="4"/>
        </w:numPr>
        <w:bidi/>
        <w:spacing w:before="120" w:line="360" w:lineRule="auto"/>
        <w:ind w:right="340"/>
        <w:jc w:val="both"/>
        <w:outlineLvl w:val="3"/>
        <w:rPr>
          <w:rFonts w:ascii="David" w:eastAsia="Times New Roman" w:hAnsi="David" w:cs="David"/>
          <w:b/>
          <w:bCs/>
          <w:sz w:val="22"/>
          <w:szCs w:val="22"/>
          <w:lang w:eastAsia="he-IL"/>
        </w:rPr>
      </w:pPr>
      <w:r w:rsidRPr="00364B07">
        <w:rPr>
          <w:rFonts w:ascii="David" w:eastAsia="Times New Roman" w:hAnsi="David" w:cs="David"/>
          <w:b/>
          <w:bCs/>
          <w:sz w:val="22"/>
          <w:szCs w:val="22"/>
          <w:rtl/>
          <w:lang w:eastAsia="he-IL"/>
        </w:rPr>
        <w:t>הפעולות המותרות לאקו"ם</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אקו"ם רשאית להתקשר עם חבריה בהסכם לפיו, בכפוף לאמור בהסדר זה, מועברת לאקו"ם הבעלות בזכויות היוצרים ביצירות חבריה לצורך ניהולן, והיא רשאית לנהל זכויות יוצרים אלו.</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b/>
          <w:sz w:val="22"/>
          <w:szCs w:val="22"/>
          <w:lang w:eastAsia="he-IL"/>
        </w:rPr>
      </w:pPr>
      <w:r w:rsidRPr="00364B07">
        <w:rPr>
          <w:rFonts w:ascii="David" w:eastAsia="Times New Roman" w:hAnsi="David" w:cs="David"/>
          <w:sz w:val="22"/>
          <w:szCs w:val="22"/>
          <w:rtl/>
          <w:lang w:eastAsia="he-IL"/>
        </w:rPr>
        <w:t>אקו"ם רשאית להתקשר עם אגודות אחיות בהסכמים לא בלעדיים לניהול של זכויות היוצרים של אותן אגודות אחיות בישראל והיא רשאית לנהל זכויות יוצרים אלו. כמו כן רשאית אקו"ם להתקשר עם אגודות אחיות בהסכמים לא בלעדיים לניהול זכויות היוצרים שבידיה במדינות בהן פועלות האגודות האחיות.</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אקו"ם רשאית להתקשר עם מיוצג בהסכם לא בלעדי לניהול זכויות יוצרים של אותו מיוצג, והיא רשאית לנהל זכויות יוצרים אלו.</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כל פעולה של אקו"ם בתחום אחר מתחומי ניהול זכויות היוצרים, אינה כלולה בפעולות המותרות לפי הסדר זה, אלא ככל שהתירו לה בית הדין או הממונה אחרת.</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אקו"ם רשאית להעניק למשתמשים שירותי תיווך עבור שימוש ביצירות דרמטיות זרות וביצירות דרמטיות – מוסיקליות זרות, וזאת מכוח הסכמיה עם האגודות האחיות.</w:t>
      </w:r>
      <w:r w:rsidRPr="00364B07">
        <w:rPr>
          <w:rFonts w:ascii="David" w:eastAsia="Times New Roman" w:hAnsi="David" w:cs="David"/>
          <w:b/>
          <w:bCs/>
          <w:sz w:val="22"/>
          <w:szCs w:val="22"/>
          <w:rtl/>
          <w:lang w:eastAsia="he-IL"/>
        </w:rPr>
        <w:t xml:space="preserve"> </w:t>
      </w:r>
    </w:p>
    <w:p w:rsidR="00AD4C6B" w:rsidRPr="00364B07" w:rsidRDefault="00AD4C6B" w:rsidP="00AD4C6B">
      <w:pPr>
        <w:widowControl w:val="0"/>
        <w:bidi/>
        <w:spacing w:before="120" w:line="360" w:lineRule="auto"/>
        <w:ind w:left="737"/>
        <w:jc w:val="both"/>
        <w:rPr>
          <w:rFonts w:ascii="David" w:eastAsia="Times New Roman" w:hAnsi="David" w:cs="David"/>
          <w:sz w:val="22"/>
          <w:szCs w:val="22"/>
          <w:lang w:eastAsia="he-IL"/>
        </w:rPr>
      </w:pPr>
      <w:r w:rsidRPr="00364B07">
        <w:rPr>
          <w:rFonts w:ascii="David" w:eastAsia="Times New Roman" w:hAnsi="David" w:cs="David"/>
          <w:b/>
          <w:bCs/>
          <w:sz w:val="22"/>
          <w:szCs w:val="22"/>
          <w:rtl/>
          <w:lang w:eastAsia="he-IL"/>
        </w:rPr>
        <w:t>אין באמור בתנאים אלה כדי להקנות לאקו"ם, לחבריה, לאגודות אחיות או לכל אדם אחר זכויות כלשהן, לרבות זכויות יוצרים, שלא היו מוקנות להם על פי דין מלכתחילה</w:t>
      </w:r>
      <w:r w:rsidRPr="00364B07">
        <w:rPr>
          <w:rFonts w:ascii="David" w:eastAsia="Times New Roman" w:hAnsi="David" w:cs="David"/>
          <w:sz w:val="22"/>
          <w:szCs w:val="22"/>
          <w:rtl/>
          <w:lang w:eastAsia="he-IL"/>
        </w:rPr>
        <w:t>.</w:t>
      </w:r>
    </w:p>
    <w:p w:rsidR="00AD4C6B" w:rsidRPr="00364B07" w:rsidRDefault="00AD4C6B" w:rsidP="00AD4C6B">
      <w:pPr>
        <w:widowControl w:val="0"/>
        <w:numPr>
          <w:ilvl w:val="0"/>
          <w:numId w:val="4"/>
        </w:numPr>
        <w:bidi/>
        <w:spacing w:before="120" w:line="360" w:lineRule="auto"/>
        <w:jc w:val="both"/>
        <w:rPr>
          <w:rFonts w:ascii="David" w:eastAsia="Times New Roman" w:hAnsi="David" w:cs="David"/>
          <w:b/>
          <w:bCs/>
          <w:sz w:val="22"/>
          <w:szCs w:val="22"/>
          <w:rtl/>
          <w:lang w:eastAsia="he-IL"/>
        </w:rPr>
      </w:pPr>
      <w:r w:rsidRPr="00364B07">
        <w:rPr>
          <w:rFonts w:ascii="David" w:eastAsia="Times New Roman" w:hAnsi="David" w:cs="David"/>
          <w:b/>
          <w:bCs/>
          <w:sz w:val="22"/>
          <w:szCs w:val="22"/>
          <w:rtl/>
          <w:lang w:eastAsia="he-IL"/>
        </w:rPr>
        <w:t>פעולות אסורות</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b/>
          <w:bCs/>
          <w:sz w:val="22"/>
          <w:szCs w:val="22"/>
          <w:rtl/>
          <w:lang w:eastAsia="he-IL"/>
        </w:rPr>
      </w:pPr>
      <w:r w:rsidRPr="00364B07">
        <w:rPr>
          <w:rFonts w:ascii="David" w:eastAsia="Times New Roman" w:hAnsi="David" w:cs="David"/>
          <w:sz w:val="22"/>
          <w:szCs w:val="22"/>
          <w:rtl/>
          <w:lang w:eastAsia="he-IL"/>
        </w:rPr>
        <w:t>אקו"ם ו/או חבריה לא ימנעו, לא יגבילו ולא יתערבו, בכל דרך שהיא, בין במישרין ובין בעקיפין, בזכותו של חבר אקו"ם לממש את מנגנון הפרישה ו/או את מנגנון החרגת הזכויות ו/או את מנגנון הענקת הרישיונות והכל בין אם ברצונו של החבר לנהל את זכויותיו לבדו, ובין אם ברצונו לנהל את זכויותיו באמצעות אדם אחר.</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 אקו"ם לא תתקשר בהסכמים המאפשרים לה לנהל באופן בלעדי זכות מבין זכויות היוצרים באילו מבין היצירות הכלולות ברפרטואר של מי מבין האגודות האחיות בתוך גבולות מדינת ישראל; לעניין סעיף זה "בלעדיות" - לרבות כל הסדר המביא בפועל או בכוח לתוצאה של בלעדיות.</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 אקו"ם לא תסרב סירוב בלתי סביר להעניק רישיון שימוש למבקש. מבלי לגרוע מכלליות האמור, יראו את אקו"ם כמסרבת סירוב בלתי סביר, בין היתר, במקרים שלהלן: </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סירוב למתן רישיון שימוש מקום בו הביע המבקש את נכונותו לקבל על עצמו את התנאים ואת המחיר על פיהם התקשר משתמש דומה לו עם אקו"ם בתקופה שאינה עולה על שנתיים לפני הפניה הראשונה כהגדרתה בסעיף 5 להלן, ולמעט תנאים ו/או מחיר שמקורם בתשלום דמי שימוש זמניים כאמור בסעיף 5 להלן;</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סירוב למתן רישיון שימוש עבור שימוש ביצירה, כאשר השימוש הוא במסגרת יצירה אודיו-ויזואלית אחרת או יצירת אודיו אחרת בה שולבה היצירה ביחס אליה מתבקשת אקו"ם </w:t>
      </w:r>
      <w:proofErr w:type="spellStart"/>
      <w:r w:rsidRPr="00364B07">
        <w:rPr>
          <w:rFonts w:ascii="David" w:eastAsia="Times New Roman" w:hAnsi="David" w:cs="David"/>
          <w:sz w:val="22"/>
          <w:szCs w:val="22"/>
          <w:rtl/>
          <w:lang w:eastAsia="he-IL"/>
        </w:rPr>
        <w:t>ליתן</w:t>
      </w:r>
      <w:proofErr w:type="spellEnd"/>
      <w:r w:rsidRPr="00364B07">
        <w:rPr>
          <w:rFonts w:ascii="David" w:eastAsia="Times New Roman" w:hAnsi="David" w:cs="David"/>
          <w:sz w:val="22"/>
          <w:szCs w:val="22"/>
          <w:rtl/>
          <w:lang w:eastAsia="he-IL"/>
        </w:rPr>
        <w:t xml:space="preserve"> רישיון שימוש ובלבד שהשילוב נעשה על פי רישיון שימוש מאקו"ם;</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lastRenderedPageBreak/>
        <w:t xml:space="preserve"> סירוב למתן רישיון שימוש למי שעיסוקו בהשמעה בפומבי של יצירות מהטעם שהיצירות מושמעות </w:t>
      </w:r>
      <w:proofErr w:type="spellStart"/>
      <w:r w:rsidRPr="00364B07">
        <w:rPr>
          <w:rFonts w:ascii="David" w:eastAsia="Times New Roman" w:hAnsi="David" w:cs="David"/>
          <w:sz w:val="22"/>
          <w:szCs w:val="22"/>
          <w:rtl/>
          <w:lang w:eastAsia="he-IL"/>
        </w:rPr>
        <w:t>בחצריו</w:t>
      </w:r>
      <w:proofErr w:type="spellEnd"/>
      <w:r w:rsidRPr="00364B07">
        <w:rPr>
          <w:rFonts w:ascii="David" w:eastAsia="Times New Roman" w:hAnsi="David" w:cs="David"/>
          <w:sz w:val="22"/>
          <w:szCs w:val="22"/>
          <w:rtl/>
          <w:lang w:eastAsia="he-IL"/>
        </w:rPr>
        <w:t xml:space="preserve"> של אחר; </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 סירוב למתן רישיון שימוש כאשר הביע המבקש את נכונותו לשלם דמי רישיון שנקבעו על ידי בית משפט מוסמך או בורר למשתמש מאותו סוג; </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 ניסיון למנוע מבעל רישיון שימוש לפעול על פי הרישיון שברשותו.</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 סברה אקו"ם, כי התקיימו נסיבות המקימות לדעתה טעמים סבירים לסירוב להענקת רישיון שימוש, תודיע על כך למבקש, בכתב, תוך פירוט הטעמים לסירוב.</w:t>
      </w:r>
      <w:bookmarkStart w:id="8" w:name="_Ref61610874"/>
      <w:bookmarkEnd w:id="8"/>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sz w:val="22"/>
          <w:szCs w:val="22"/>
          <w:lang w:eastAsia="he-IL"/>
        </w:rPr>
      </w:pPr>
      <w:bookmarkStart w:id="9" w:name="_Ref61614471"/>
      <w:r w:rsidRPr="00364B07">
        <w:rPr>
          <w:rFonts w:ascii="David" w:eastAsia="Times New Roman" w:hAnsi="David" w:cs="David"/>
          <w:sz w:val="22"/>
          <w:szCs w:val="22"/>
          <w:rtl/>
          <w:lang w:eastAsia="he-IL"/>
        </w:rPr>
        <w:t>מבלי לגרוע מהאמור בסעיף 29א לחוק, יראו את אקו"ם כמנצלת מעמדה לרעה בכל אחד מהמקרים הבאים:</w:t>
      </w:r>
      <w:bookmarkEnd w:id="9"/>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bookmarkStart w:id="10" w:name="_Ref61610756"/>
      <w:r w:rsidRPr="00364B07">
        <w:rPr>
          <w:rFonts w:ascii="David" w:eastAsia="Times New Roman" w:hAnsi="David" w:cs="David"/>
          <w:sz w:val="22"/>
          <w:szCs w:val="22"/>
          <w:rtl/>
          <w:lang w:eastAsia="he-IL"/>
        </w:rPr>
        <w:t xml:space="preserve">קביעה של דמי רישיון בשיעורים בלתי הוגנים. מבלי לגרוע מהאמור לעיל, יראו קביעה של דמי רישיון בלתי הוגנים, בין היתר, (1) מקום בו סירבה אקו"ם להתאים את דמי הרישיון שהיא גובה ממשתמש בהתאם להפחתת חלקן של היצירות המנוהלות על ידי אקו"ם מתוך כלל היצירות שנעשה בהן שימוש; </w:t>
      </w:r>
      <w:bookmarkEnd w:id="10"/>
      <w:r w:rsidRPr="00364B07">
        <w:rPr>
          <w:rFonts w:ascii="David" w:eastAsia="Times New Roman" w:hAnsi="David" w:cs="David"/>
          <w:sz w:val="22"/>
          <w:szCs w:val="22"/>
          <w:rtl/>
          <w:lang w:eastAsia="he-IL"/>
        </w:rPr>
        <w:t xml:space="preserve">(2) מקום בו סירבה אקו"ם להתאים את דמי הרישיון שהיא גובה ממשתמש בהתאם לחלקן של היצירות המנוהלות על-ידי אקו"ם אשר לגביהן קיבל המשתמש רישיון מבעל הזכויות מתוך כלל היצירות שנעשה בהן שימוש; </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צמצום או הגדלה של היקף רישיונות השימוש המוצעים על ידי אקו"ם, שלא במסגרת פעילות תחרותית הוגנת;</w:t>
      </w:r>
    </w:p>
    <w:p w:rsidR="00AD4C6B" w:rsidRPr="00364B07" w:rsidRDefault="00AD4C6B" w:rsidP="00AD4C6B">
      <w:pPr>
        <w:widowControl w:val="0"/>
        <w:bidi/>
        <w:spacing w:before="120" w:line="360" w:lineRule="auto"/>
        <w:ind w:left="122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לעניין זה יראו "</w:t>
      </w:r>
      <w:r w:rsidRPr="00364B07">
        <w:rPr>
          <w:rFonts w:ascii="David" w:eastAsia="Times New Roman" w:hAnsi="David" w:cs="David"/>
          <w:b/>
          <w:bCs/>
          <w:sz w:val="22"/>
          <w:szCs w:val="22"/>
          <w:rtl/>
          <w:lang w:eastAsia="he-IL"/>
        </w:rPr>
        <w:t>הגדלה של היקף רישיונות השימוש</w:t>
      </w:r>
      <w:r w:rsidRPr="00364B07">
        <w:rPr>
          <w:rFonts w:ascii="David" w:eastAsia="Times New Roman" w:hAnsi="David" w:cs="David"/>
          <w:sz w:val="22"/>
          <w:szCs w:val="22"/>
          <w:rtl/>
          <w:lang w:eastAsia="he-IL"/>
        </w:rPr>
        <w:t>" – לרבות חיוב בקבלת מספר רישיונות שימוש עבור מימוש מספר זכויות יוצרים הנדרשות לשימוש אחד ביצירה. לדוגמא, הפרדת זכות ההקלטה לצורכי שידור או זכות ההקלטה לצרכים ארכיונים או זכות הסינכרוניזציה מרישיון שידור הניתן לגופי שידור;</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קביעת תנאי התקשרות שונים לעסקאות דומות אשר עשויים להעניק למשתמשים, לחברים או למיוצגים מסוימים יתרון בלתי הוגן כלפי המתחרים בהם. </w:t>
      </w:r>
      <w:r w:rsidRPr="00364B07">
        <w:rPr>
          <w:rFonts w:ascii="David" w:eastAsia="Times New Roman" w:hAnsi="David" w:cs="David"/>
          <w:sz w:val="22"/>
          <w:szCs w:val="22"/>
          <w:rtl/>
          <w:lang w:val="he-IL" w:eastAsia="he-IL"/>
        </w:rPr>
        <w:t>לעניין סעיף זה, לא יראו כתנאי התקשרות שונים, תנאי התקשרות שמקורם בעסקה בה התקשר משתמש דומה עם אקו"ם, בתקופה שלמעלה משנתיים לפני הפניה הראשונה כהגדרתה בסעיף 5 להלן</w:t>
      </w:r>
      <w:r w:rsidRPr="00364B07">
        <w:rPr>
          <w:rFonts w:ascii="David" w:eastAsia="Times New Roman" w:hAnsi="David" w:cs="David"/>
          <w:i/>
          <w:iCs/>
          <w:sz w:val="22"/>
          <w:szCs w:val="22"/>
          <w:rtl/>
          <w:lang w:val="he-IL" w:eastAsia="he-IL"/>
        </w:rPr>
        <w:t xml:space="preserve">, </w:t>
      </w:r>
      <w:r w:rsidRPr="00364B07">
        <w:rPr>
          <w:rFonts w:ascii="David" w:eastAsia="Times New Roman" w:hAnsi="David" w:cs="David"/>
          <w:sz w:val="22"/>
          <w:szCs w:val="22"/>
          <w:rtl/>
          <w:lang w:val="he-IL" w:eastAsia="he-IL"/>
        </w:rPr>
        <w:t>או שמקורם בתשלום דמי שימוש זמניים כאמור בסעיף 5 להלן</w:t>
      </w:r>
      <w:r w:rsidRPr="00364B07">
        <w:rPr>
          <w:rFonts w:ascii="David" w:eastAsia="Times New Roman" w:hAnsi="David" w:cs="David"/>
          <w:sz w:val="22"/>
          <w:szCs w:val="22"/>
          <w:rtl/>
          <w:lang w:eastAsia="he-IL"/>
        </w:rPr>
        <w:t>;</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 </w:t>
      </w:r>
      <w:bookmarkStart w:id="11" w:name="_Ref61610773"/>
      <w:r w:rsidRPr="00364B07">
        <w:rPr>
          <w:rFonts w:ascii="David" w:eastAsia="Times New Roman" w:hAnsi="David" w:cs="David"/>
          <w:sz w:val="22"/>
          <w:szCs w:val="22"/>
          <w:rtl/>
          <w:lang w:eastAsia="he-IL"/>
        </w:rPr>
        <w:t>התניית מתן רישיון שימוש בתנאים, אשר מטבעם, או בהתאם לתנאי מסחר מקובלים, אינם נוגעים לנושא ההתקשרות;</w:t>
      </w:r>
      <w:bookmarkEnd w:id="11"/>
    </w:p>
    <w:p w:rsidR="00AD4C6B" w:rsidRPr="00364B07" w:rsidRDefault="00AD4C6B" w:rsidP="003667A0">
      <w:pPr>
        <w:widowControl w:val="0"/>
        <w:bidi/>
        <w:spacing w:before="120" w:line="360" w:lineRule="auto"/>
        <w:ind w:left="737"/>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הוראות סעיפים 4.5.1 עד 4.5.4 באות להוסיף על הוראת סעיף 29א לחוק.</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 אקו"ם לא תסרב סירוב בלתי סביר לנהל משא ומתן עם איגוד עסקי לגבי תנאי רישיון השימוש שיומלצו על ידי האיגוד לחבריו. האמור בסעיף זה אינו מהווה אישור לפי פרק ב' לחוק, לעניין קביעת קו פעולה על ידי איגוד עסקי. </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 תנאי רישיון שימוש שנקבעו במשא ומתן בין אקו"ם לבין איגוד עסקי, ישמשו גם בהתקשרויותיה של אקו"ם עם משתמש מסוג המשתמשים המאוגדים באיגוד העסקי, גם אם הוא אינו משתייך אליו. אולם, במידה שתנאים שסוכמו עם איגוד עסקי מביאים בחשבון את החיסכון שנגרם לאקו"ם כתוצאה מפעולות האיגוד, אזי ניתן יהיה להביא בחשבון את ערכו של חסכון זה בקביעת התנאים עבור משתמש לא מאוגד.</w:t>
      </w:r>
    </w:p>
    <w:p w:rsidR="00AD4C6B" w:rsidRPr="00364B07" w:rsidRDefault="00AD4C6B" w:rsidP="00AD4C6B">
      <w:pPr>
        <w:widowControl w:val="0"/>
        <w:numPr>
          <w:ilvl w:val="1"/>
          <w:numId w:val="4"/>
        </w:numPr>
        <w:bidi/>
        <w:spacing w:before="120" w:line="360" w:lineRule="auto"/>
        <w:ind w:left="737" w:hanging="377"/>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אקו"ם לא תעניק רישיון פרטני, אלא לאחר קבלת הסכמת חברי אקו"ם, אשר ערב הצטרפותם </w:t>
      </w:r>
      <w:r w:rsidRPr="00364B07">
        <w:rPr>
          <w:rFonts w:ascii="David" w:eastAsia="Times New Roman" w:hAnsi="David" w:cs="David"/>
          <w:sz w:val="22"/>
          <w:szCs w:val="22"/>
          <w:rtl/>
          <w:lang w:eastAsia="he-IL"/>
        </w:rPr>
        <w:lastRenderedPageBreak/>
        <w:t>לאקו"ם היו בעלי זכויות ביצירה או ביצירות, שלגביהן נתבקש הרישיון הפרטני; למען הסר ספק ובכפוף לאמור בהסדר זה יובהר, כי אקו"ם תהא רשאית לקבל מחבריה הסכמה מראש להענקת רישיונות פרטניים בשמם, ובלבד שהסכמה זו תהיה ניתנת לשינוי בכל זמן, לא תהיה גורפת ותוכל להתייחס לכל השימושים או לחלקם.</w:t>
      </w:r>
      <w:r w:rsidRPr="00364B07">
        <w:rPr>
          <w:rFonts w:ascii="David" w:eastAsia="Times New Roman" w:hAnsi="David" w:cs="David"/>
          <w:b/>
          <w:bCs/>
          <w:sz w:val="22"/>
          <w:szCs w:val="22"/>
          <w:rtl/>
        </w:rPr>
        <w:t xml:space="preserve"> </w:t>
      </w:r>
      <w:r w:rsidRPr="00364B07">
        <w:rPr>
          <w:rFonts w:ascii="David" w:eastAsia="Times New Roman" w:hAnsi="David" w:cs="David"/>
          <w:sz w:val="22"/>
          <w:szCs w:val="22"/>
          <w:rtl/>
          <w:lang w:eastAsia="he-IL"/>
        </w:rPr>
        <w:t>לא התקבלה עמדת היוצר תוך 30 ימים ממועד פנייתה של אקו"ם ליוצר, יראו את היוצר כמסכים לכך שאקו"ם תעניק רישיונות פרטניים ביצירותיו.</w:t>
      </w:r>
      <w:r w:rsidRPr="00364B07">
        <w:rPr>
          <w:rFonts w:ascii="David" w:eastAsia="Times New Roman" w:hAnsi="David" w:cs="David"/>
          <w:sz w:val="22"/>
          <w:szCs w:val="22"/>
          <w:rtl/>
        </w:rPr>
        <w:t xml:space="preserve"> </w:t>
      </w:r>
      <w:r w:rsidRPr="00364B07">
        <w:rPr>
          <w:rFonts w:ascii="David" w:eastAsia="Times New Roman" w:hAnsi="David" w:cs="David"/>
          <w:sz w:val="22"/>
          <w:szCs w:val="22"/>
          <w:rtl/>
          <w:lang w:eastAsia="he-IL"/>
        </w:rPr>
        <w:t>החלטת היוצר לחזור בו מהסכמתו תיכנס לתוקפה תוך 14 יום. על אף האמור, אין בהוראת סעיף זה כדי למנוע מאקו"ם הענקת רישיון מקום בו חלות הוראות סעיפים 4.3.2 ו-8.3.</w:t>
      </w:r>
      <w:r w:rsidRPr="00364B07">
        <w:rPr>
          <w:rFonts w:ascii="David" w:eastAsia="Times New Roman" w:hAnsi="David" w:cs="David"/>
          <w:sz w:val="22"/>
          <w:szCs w:val="22"/>
          <w:rtl/>
        </w:rPr>
        <w:t xml:space="preserve"> </w:t>
      </w:r>
    </w:p>
    <w:p w:rsidR="00AD4C6B" w:rsidRPr="00364B07" w:rsidRDefault="00AD4C6B" w:rsidP="00AD4C6B">
      <w:pPr>
        <w:widowControl w:val="0"/>
        <w:numPr>
          <w:ilvl w:val="0"/>
          <w:numId w:val="4"/>
        </w:numPr>
        <w:bidi/>
        <w:spacing w:before="120" w:line="360" w:lineRule="auto"/>
        <w:jc w:val="both"/>
        <w:rPr>
          <w:rFonts w:ascii="David" w:eastAsia="Times New Roman" w:hAnsi="David" w:cs="David"/>
          <w:b/>
          <w:bCs/>
          <w:sz w:val="22"/>
          <w:szCs w:val="22"/>
          <w:rtl/>
          <w:lang w:eastAsia="he-IL"/>
        </w:rPr>
      </w:pPr>
      <w:bookmarkStart w:id="12" w:name="_Ref61609711"/>
      <w:r w:rsidRPr="00364B07">
        <w:rPr>
          <w:rFonts w:ascii="David" w:eastAsia="Times New Roman" w:hAnsi="David" w:cs="David"/>
          <w:b/>
          <w:bCs/>
          <w:sz w:val="22"/>
          <w:szCs w:val="22"/>
          <w:rtl/>
          <w:lang w:eastAsia="he-IL"/>
        </w:rPr>
        <w:t>קביעת דמי רישיון השימוש שישלם המשתמש</w:t>
      </w:r>
      <w:bookmarkEnd w:id="12"/>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לעניין סעיף זה:</w:t>
      </w:r>
    </w:p>
    <w:p w:rsidR="00AD4C6B" w:rsidRPr="00364B07" w:rsidRDefault="00AD4C6B" w:rsidP="00AD4C6B">
      <w:pPr>
        <w:widowControl w:val="0"/>
        <w:tabs>
          <w:tab w:val="num" w:pos="746"/>
        </w:tabs>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ab/>
        <w:t>"</w:t>
      </w:r>
      <w:r w:rsidRPr="00364B07">
        <w:rPr>
          <w:rFonts w:ascii="David" w:eastAsia="Times New Roman" w:hAnsi="David" w:cs="David"/>
          <w:b/>
          <w:bCs/>
          <w:sz w:val="22"/>
          <w:szCs w:val="22"/>
          <w:rtl/>
          <w:lang w:eastAsia="he-IL"/>
        </w:rPr>
        <w:t>דמי שימוש זמניים</w:t>
      </w:r>
      <w:r w:rsidRPr="00364B07">
        <w:rPr>
          <w:rFonts w:ascii="David" w:eastAsia="Times New Roman" w:hAnsi="David" w:cs="David"/>
          <w:sz w:val="22"/>
          <w:szCs w:val="22"/>
          <w:rtl/>
          <w:lang w:eastAsia="he-IL"/>
        </w:rPr>
        <w:t>" – דמי שימוש זמניים או קבועים, שנקבעו לתשלום על ידי בית משפט מוסמך או בורר, בהתדיינות בין אקו"ם לאותו משתמש אשר קיבל דרישת תשלום מאקו"ם בהתאם להוראות סעיף זה.</w:t>
      </w:r>
    </w:p>
    <w:p w:rsidR="00AD4C6B" w:rsidRPr="00364B07" w:rsidRDefault="00AD4C6B" w:rsidP="00AD4C6B">
      <w:pPr>
        <w:widowControl w:val="0"/>
        <w:tabs>
          <w:tab w:val="num" w:pos="746"/>
        </w:tabs>
        <w:bidi/>
        <w:spacing w:before="120" w:line="360" w:lineRule="auto"/>
        <w:ind w:left="746" w:hanging="26"/>
        <w:jc w:val="both"/>
        <w:rPr>
          <w:rFonts w:ascii="David" w:eastAsia="Times New Roman" w:hAnsi="David" w:cs="David"/>
          <w:sz w:val="22"/>
          <w:szCs w:val="22"/>
          <w:rtl/>
          <w:lang w:eastAsia="he-IL"/>
        </w:rPr>
      </w:pPr>
      <w:r w:rsidRPr="00364B07">
        <w:rPr>
          <w:rFonts w:ascii="David" w:eastAsia="Times New Roman" w:hAnsi="David" w:cs="David"/>
          <w:color w:val="373737"/>
          <w:sz w:val="22"/>
          <w:szCs w:val="22"/>
          <w:lang w:eastAsia="he-IL"/>
        </w:rPr>
        <w:t> </w:t>
      </w:r>
      <w:r w:rsidRPr="00364B07">
        <w:rPr>
          <w:rFonts w:ascii="David" w:eastAsia="Times New Roman" w:hAnsi="David" w:cs="David"/>
          <w:sz w:val="22"/>
          <w:szCs w:val="22"/>
          <w:rtl/>
          <w:lang w:eastAsia="he-IL"/>
        </w:rPr>
        <w:t>לא נקבעו דמי רישיון בהתדיינות פרטנית בין המשתמש ובין אקו"ם יראו את דמי השימוש הזמניים כאחד מאלה, בהתאם לבחירת המשתמש:</w:t>
      </w:r>
    </w:p>
    <w:p w:rsidR="00AD4C6B" w:rsidRPr="00364B07" w:rsidRDefault="00AD4C6B" w:rsidP="00AD4C6B">
      <w:pPr>
        <w:widowControl w:val="0"/>
        <w:tabs>
          <w:tab w:val="num" w:pos="746"/>
        </w:tabs>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ab/>
        <w:t xml:space="preserve">(1) דמי הרישיון שקבע בית משפט מוסמך או בורר למשתמש מאותו סוג; </w:t>
      </w:r>
    </w:p>
    <w:p w:rsidR="00AD4C6B" w:rsidRPr="00364B07" w:rsidRDefault="00AD4C6B" w:rsidP="00AD4C6B">
      <w:pPr>
        <w:widowControl w:val="0"/>
        <w:tabs>
          <w:tab w:val="num" w:pos="746"/>
        </w:tabs>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ab/>
        <w:t xml:space="preserve">(2) תשלום על פי תנאי ההתקשרות שנקבעו למשתמש מאותו סוג בהסכם בין אקו"ם ובין איגוד עסקי המייצג את אותו סוג משתמשים, בכפוף לאמור בסעיף 4.7 לעיל; </w:t>
      </w:r>
    </w:p>
    <w:p w:rsidR="00AD4C6B" w:rsidRPr="00364B07" w:rsidRDefault="00AD4C6B" w:rsidP="00AD4C6B">
      <w:pPr>
        <w:widowControl w:val="0"/>
        <w:tabs>
          <w:tab w:val="num" w:pos="746"/>
        </w:tabs>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ab/>
        <w:t xml:space="preserve">(3) תשלום על פי תנאי ההתקשרות לפיהם שילם המשתמש לאקו"ם במסגרת רישיון או הסכם בתקופה </w:t>
      </w:r>
      <w:r w:rsidRPr="00364B07">
        <w:rPr>
          <w:rFonts w:ascii="David" w:eastAsia="Times New Roman" w:hAnsi="David" w:cs="David"/>
          <w:color w:val="373737"/>
          <w:sz w:val="22"/>
          <w:szCs w:val="22"/>
          <w:rtl/>
          <w:lang w:eastAsia="he-IL"/>
        </w:rPr>
        <w:t xml:space="preserve">שאינה עולה על </w:t>
      </w:r>
      <w:r w:rsidRPr="00364B07">
        <w:rPr>
          <w:rFonts w:ascii="David" w:eastAsia="Times New Roman" w:hAnsi="David" w:cs="David"/>
          <w:sz w:val="22"/>
          <w:szCs w:val="22"/>
          <w:rtl/>
          <w:lang w:eastAsia="he-IL"/>
        </w:rPr>
        <w:t>שנתיים מיום הפניה הראשונה כהגדרתה להלן (להלן: "</w:t>
      </w:r>
      <w:r w:rsidRPr="00364B07">
        <w:rPr>
          <w:rFonts w:ascii="David" w:eastAsia="Times New Roman" w:hAnsi="David" w:cs="David"/>
          <w:b/>
          <w:bCs/>
          <w:sz w:val="22"/>
          <w:szCs w:val="22"/>
          <w:rtl/>
          <w:lang w:eastAsia="he-IL"/>
        </w:rPr>
        <w:t>התקופה הרלבנטית</w:t>
      </w:r>
      <w:r w:rsidRPr="00364B07">
        <w:rPr>
          <w:rFonts w:ascii="David" w:eastAsia="Times New Roman" w:hAnsi="David" w:cs="David"/>
          <w:sz w:val="22"/>
          <w:szCs w:val="22"/>
          <w:rtl/>
          <w:lang w:eastAsia="he-IL"/>
        </w:rPr>
        <w:t xml:space="preserve">") או, בהיעדר רישיון, תשלום על פי תנאי ההתקשרות עליהם הוסכם בין המשתמש לאקו"ם בתקופה הרלבנטית; </w:t>
      </w:r>
    </w:p>
    <w:p w:rsidR="00AD4C6B" w:rsidRPr="00364B07" w:rsidRDefault="00AD4C6B" w:rsidP="00AD4C6B">
      <w:pPr>
        <w:widowControl w:val="0"/>
        <w:tabs>
          <w:tab w:val="num" w:pos="746"/>
        </w:tabs>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ab/>
        <w:t xml:space="preserve">(4) לא נקבעו דמי רישיון כאמור בחלופות (1)-(3), יהא המשתמש רשאי לשלם על פי תנאי ההתקשרות אשר נקבעו ברישיון בין אקו"ם לבין משתמש דומה שניתן בתקופה הרלבנטית בהתאם לתנאי הרישיון; אם אין בנמצא משתמש דומה שקיבל רישיון מאקו"ם בתקופה הרלבנטית, יהא המשתמש רשאי לשלם על פי תנאי ההתקשרות שנקבעו ברישיון שניתן למשתמש דומה על ידי אקו"ם בתקופה שקדמה לתקופה האמורה; </w:t>
      </w:r>
    </w:p>
    <w:p w:rsidR="00AD4C6B" w:rsidRPr="00364B07" w:rsidRDefault="00AD4C6B" w:rsidP="00AD4C6B">
      <w:pPr>
        <w:widowControl w:val="0"/>
        <w:tabs>
          <w:tab w:val="num" w:pos="746"/>
        </w:tabs>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ab/>
        <w:t xml:space="preserve">(5) לא נקבעו דמי רישיון בהתדיינות פרטנית בין המשתמש ובין אקו"ם מקום בו מבקש המשתמש להשיק שירות חדש, יראו את דמי השימוש הזמניים כתשלום על פי תנאי ההתקשרות לפיהם שילם או אמור היה לשלם המשתמש לאקו"ם עבור שירות קרוב בתקופה הרלבנטית בהתאם לתנאי הרישיון. בהיעדר רישיון כאמור, במקום המונח "משתמש" יבוא המונח "משתמש דומה". </w:t>
      </w:r>
      <w:r w:rsidRPr="00364B07">
        <w:rPr>
          <w:rFonts w:ascii="David" w:eastAsia="Times New Roman" w:hAnsi="David" w:cs="David"/>
          <w:sz w:val="22"/>
          <w:szCs w:val="22"/>
          <w:rtl/>
          <w:lang w:eastAsia="he-IL"/>
        </w:rPr>
        <w:tab/>
      </w:r>
    </w:p>
    <w:p w:rsidR="00AD4C6B" w:rsidRPr="00364B07" w:rsidRDefault="00AD4C6B" w:rsidP="00AD4C6B">
      <w:pPr>
        <w:widowControl w:val="0"/>
        <w:tabs>
          <w:tab w:val="left" w:pos="2316"/>
        </w:tabs>
        <w:bidi/>
        <w:spacing w:line="360" w:lineRule="auto"/>
        <w:ind w:left="720"/>
        <w:jc w:val="both"/>
        <w:rPr>
          <w:rFonts w:ascii="David" w:eastAsia="Times New Roman" w:hAnsi="David" w:cs="David"/>
          <w:sz w:val="22"/>
          <w:szCs w:val="22"/>
          <w:rtl/>
          <w:lang w:val="he-IL" w:eastAsia="he-IL"/>
        </w:rPr>
      </w:pP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משתמש דומה</w:t>
      </w:r>
      <w:r w:rsidRPr="00364B07">
        <w:rPr>
          <w:rFonts w:ascii="David" w:eastAsia="Times New Roman" w:hAnsi="David" w:cs="David"/>
          <w:sz w:val="22"/>
          <w:szCs w:val="22"/>
          <w:rtl/>
          <w:lang w:eastAsia="he-IL"/>
        </w:rPr>
        <w:t>" – המשתמש בעל מאפייני הפעילות הדומים והקרובים ביותר מתוך כלל המשתמשים;</w:t>
      </w:r>
    </w:p>
    <w:p w:rsidR="00AD4C6B" w:rsidRPr="00364B07" w:rsidRDefault="00AD4C6B" w:rsidP="00AD4C6B">
      <w:pPr>
        <w:widowControl w:val="0"/>
        <w:numPr>
          <w:ilvl w:val="1"/>
          <w:numId w:val="4"/>
        </w:numPr>
        <w:tabs>
          <w:tab w:val="num" w:pos="785"/>
        </w:tabs>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אקו"ם תהיה רשאית לנקוט בהליכים משפטיים כנגד משתמשים העושים שימוש בזכות הביצוע הפומבי בלבד (למעט זכות שידור) על פי המתווה הקבוע דלהלן ולפיו בלבד</w:t>
      </w:r>
      <w:r w:rsidRPr="00364B07">
        <w:rPr>
          <w:rFonts w:ascii="David" w:eastAsia="Times New Roman" w:hAnsi="David" w:cs="David"/>
          <w:sz w:val="22"/>
          <w:szCs w:val="22"/>
          <w:lang w:eastAsia="he-IL"/>
        </w:rPr>
        <w:t>.</w:t>
      </w:r>
      <w:r w:rsidRPr="00364B07">
        <w:rPr>
          <w:rFonts w:ascii="David" w:eastAsia="Times New Roman" w:hAnsi="David" w:cs="David"/>
          <w:sz w:val="22"/>
          <w:szCs w:val="22"/>
          <w:rtl/>
          <w:lang w:eastAsia="he-IL"/>
        </w:rPr>
        <w:t xml:space="preserve">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בטרם נקיטת כל הליך משפטי תפנה אקו"ם למשתמש ותודיע לו מהם דמי הרישיון שהיא דורשת ממנו עבור השימוש ביצירות שברפרטואר שלה, כולן או חלקן, או מהם הקריטריונים לקביעת דמי הרישיון כאמור ושיעורם בהתאם לקריטריונים אלו (להלן: "</w:t>
      </w:r>
      <w:r w:rsidRPr="00364B07">
        <w:rPr>
          <w:rFonts w:ascii="David" w:eastAsia="Times New Roman" w:hAnsi="David" w:cs="David"/>
          <w:b/>
          <w:bCs/>
          <w:sz w:val="22"/>
          <w:szCs w:val="22"/>
          <w:rtl/>
          <w:lang w:eastAsia="he-IL"/>
        </w:rPr>
        <w:t>הפניה הראשונה</w:t>
      </w:r>
      <w:r w:rsidRPr="00364B07">
        <w:rPr>
          <w:rFonts w:ascii="David" w:eastAsia="Times New Roman" w:hAnsi="David" w:cs="David"/>
          <w:sz w:val="22"/>
          <w:szCs w:val="22"/>
          <w:rtl/>
          <w:lang w:eastAsia="he-IL"/>
        </w:rPr>
        <w:t>"). אקו"ם תצרף לנוסח הפניה הראשונה העתק מנוסח זה של התנאים. בחלוף 30 ימים ממועד הפניה הראשונה תשלח אקו"ם למשתמש הודעה נוספת (להלן: "</w:t>
      </w:r>
      <w:r w:rsidRPr="00364B07">
        <w:rPr>
          <w:rFonts w:ascii="David" w:eastAsia="Times New Roman" w:hAnsi="David" w:cs="David"/>
          <w:b/>
          <w:bCs/>
          <w:sz w:val="22"/>
          <w:szCs w:val="22"/>
          <w:rtl/>
          <w:lang w:eastAsia="he-IL"/>
        </w:rPr>
        <w:t>הפניה השנייה</w:t>
      </w:r>
      <w:r w:rsidRPr="00364B07">
        <w:rPr>
          <w:rFonts w:ascii="David" w:eastAsia="Times New Roman" w:hAnsi="David" w:cs="David"/>
          <w:sz w:val="22"/>
          <w:szCs w:val="22"/>
          <w:rtl/>
          <w:lang w:eastAsia="he-IL"/>
        </w:rPr>
        <w:t xml:space="preserve">") ובחלוף 30 ימים ממועד הפניה </w:t>
      </w:r>
      <w:r w:rsidRPr="00364B07">
        <w:rPr>
          <w:rFonts w:ascii="David" w:eastAsia="Times New Roman" w:hAnsi="David" w:cs="David"/>
          <w:sz w:val="22"/>
          <w:szCs w:val="22"/>
          <w:rtl/>
          <w:lang w:eastAsia="he-IL"/>
        </w:rPr>
        <w:lastRenderedPageBreak/>
        <w:t>השנייה תשלח אקו"ם למשתמש הודעה נוספת (להלן: "</w:t>
      </w:r>
      <w:r w:rsidRPr="00364B07">
        <w:rPr>
          <w:rFonts w:ascii="David" w:eastAsia="Times New Roman" w:hAnsi="David" w:cs="David"/>
          <w:b/>
          <w:bCs/>
          <w:sz w:val="22"/>
          <w:szCs w:val="22"/>
          <w:rtl/>
          <w:lang w:eastAsia="he-IL"/>
        </w:rPr>
        <w:t>הפניה השלישית</w:t>
      </w:r>
      <w:r w:rsidRPr="00364B07">
        <w:rPr>
          <w:rFonts w:ascii="David" w:eastAsia="Times New Roman" w:hAnsi="David" w:cs="David"/>
          <w:sz w:val="22"/>
          <w:szCs w:val="22"/>
          <w:rtl/>
          <w:lang w:eastAsia="he-IL"/>
        </w:rPr>
        <w:t>"; הפניה הראשונה, השנייה והשלישית להלן ביחד: "</w:t>
      </w:r>
      <w:r w:rsidRPr="00364B07">
        <w:rPr>
          <w:rFonts w:ascii="David" w:eastAsia="Times New Roman" w:hAnsi="David" w:cs="David"/>
          <w:b/>
          <w:bCs/>
          <w:sz w:val="22"/>
          <w:szCs w:val="22"/>
          <w:rtl/>
          <w:lang w:eastAsia="he-IL"/>
        </w:rPr>
        <w:t>שלוש הפניות</w:t>
      </w:r>
      <w:r w:rsidRPr="00364B07">
        <w:rPr>
          <w:rFonts w:ascii="David" w:eastAsia="Times New Roman" w:hAnsi="David" w:cs="David"/>
          <w:sz w:val="22"/>
          <w:szCs w:val="22"/>
          <w:rtl/>
          <w:lang w:eastAsia="he-IL"/>
        </w:rPr>
        <w:t>").</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שלוש הפניות יישלחו למשתמש בכתב, ובהן תודיע אקו"ם למשתמש את פרק הזמן שנותר לו לצורך הסכמה על דמי רישיון או לתשלום דמי שימוש זמניים (90 יום, 60 יום או 30 יום, בהתאמה). כן תבהיר אקו"ם למשתמש כי אם לא ישלם בתוך פרק זמן זה את דמי השימוש הזמניים עבור התקופה שהחל ממועד קבלת הפנייה הראשונה ובהיעדר הסכמה על דמי הרישיון או הסכמה אחרת, תהא אקו"ם רשאית לדרוש כל סעד המוקנה לה בדין, לרבות צו מניעה זמני ופיצוי סטטוטורי, והכל בהתאם להוראות הסדר זה.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לפנייה הראשונה תצרף אקו"ם שטר בוררות. כן תוסיף אקו"ם ותודיע למשתמש, בכל אחת משלוש הפניות, כי אם יחתום על שטר הבוררות שצורף לפנייה הראשונה, וישלם את דמי השימוש הזמניים, תגיש אקו"ם את תביעתה במסגרת הליך בוררות, ובמסגרת זו בלבד. אקו"ם תציע רשימה של חמישה או יותר בוררים בלתי תלויים (להלן: "</w:t>
      </w:r>
      <w:r w:rsidRPr="00364B07">
        <w:rPr>
          <w:rFonts w:ascii="David" w:eastAsia="Times New Roman" w:hAnsi="David" w:cs="David"/>
          <w:b/>
          <w:bCs/>
          <w:sz w:val="22"/>
          <w:szCs w:val="22"/>
          <w:rtl/>
          <w:lang w:eastAsia="he-IL"/>
        </w:rPr>
        <w:t>רשימת הבוררים</w:t>
      </w:r>
      <w:r w:rsidRPr="00364B07">
        <w:rPr>
          <w:rFonts w:ascii="David" w:eastAsia="Times New Roman" w:hAnsi="David" w:cs="David"/>
          <w:sz w:val="22"/>
          <w:szCs w:val="22"/>
          <w:rtl/>
          <w:lang w:eastAsia="he-IL"/>
        </w:rPr>
        <w:t>")</w:t>
      </w:r>
      <w:r w:rsidRPr="00364B07">
        <w:rPr>
          <w:rFonts w:ascii="David" w:eastAsia="Times New Roman" w:hAnsi="David" w:cs="David"/>
          <w:b/>
          <w:bCs/>
          <w:sz w:val="22"/>
          <w:szCs w:val="22"/>
          <w:rtl/>
          <w:lang w:eastAsia="he-IL"/>
        </w:rPr>
        <w:t xml:space="preserve"> </w:t>
      </w:r>
      <w:r w:rsidRPr="00364B07">
        <w:rPr>
          <w:rFonts w:ascii="David" w:eastAsia="Times New Roman" w:hAnsi="David" w:cs="David"/>
          <w:sz w:val="22"/>
          <w:szCs w:val="22"/>
          <w:rtl/>
          <w:lang w:eastAsia="he-IL"/>
        </w:rPr>
        <w:t>ושמתוכם יוכל המשתמש לבחור אל איזה בורר לפנות על פי שיקול דעתו. לא בחר המשתמש בורר מתוך רשימת הבוררים, יראוהו כאילו לא חתם על שטר הבוררות.</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אם המשתמש ישלם בתוך 90 ימים ממועד קבלת הפניה הראשונה את דמי השימוש הזמניים עבור התקופה שהחל ממועד קבלת הפנייה הראשונה, תהיה אקו"ם רשאית לפעול אך ורק בהתאם להוראות </w:t>
      </w:r>
      <w:proofErr w:type="spellStart"/>
      <w:r w:rsidRPr="00364B07">
        <w:rPr>
          <w:rFonts w:ascii="David" w:eastAsia="Times New Roman" w:hAnsi="David" w:cs="David"/>
          <w:sz w:val="22"/>
          <w:szCs w:val="22"/>
          <w:rtl/>
          <w:lang w:eastAsia="he-IL"/>
        </w:rPr>
        <w:t>ס"ק</w:t>
      </w:r>
      <w:proofErr w:type="spellEnd"/>
      <w:r w:rsidRPr="00364B07">
        <w:rPr>
          <w:rFonts w:ascii="David" w:eastAsia="Times New Roman" w:hAnsi="David" w:cs="David"/>
          <w:sz w:val="22"/>
          <w:szCs w:val="22"/>
          <w:rtl/>
          <w:lang w:eastAsia="he-IL"/>
        </w:rPr>
        <w:t xml:space="preserve"> זה כדלקמן: </w:t>
      </w:r>
    </w:p>
    <w:p w:rsidR="00AD4C6B" w:rsidRPr="00364B07" w:rsidRDefault="00AD4C6B" w:rsidP="00AD4C6B">
      <w:pPr>
        <w:keepNext/>
        <w:numPr>
          <w:ilvl w:val="2"/>
          <w:numId w:val="4"/>
        </w:numPr>
        <w:bidi/>
        <w:spacing w:before="120" w:line="360" w:lineRule="auto"/>
        <w:ind w:left="1224" w:hanging="504"/>
        <w:jc w:val="both"/>
        <w:outlineLvl w:val="7"/>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 </w:t>
      </w:r>
      <w:bookmarkStart w:id="13" w:name="_Ref71608222"/>
      <w:r w:rsidRPr="00364B07">
        <w:rPr>
          <w:rFonts w:ascii="David" w:eastAsia="Times New Roman" w:hAnsi="David" w:cs="David"/>
          <w:sz w:val="22"/>
          <w:szCs w:val="22"/>
          <w:rtl/>
          <w:lang w:eastAsia="he-IL"/>
        </w:rPr>
        <w:t xml:space="preserve">לאחר קבלת דמי שימוש זמניים תהא אקו"ם רשאית לפנות לבית המשפט המוסמך בתביעה לקבלת סעד המתייחס להפרש שבין סכום התמלוגים הנדרש על ידה לבין דמי השימוש הזמניים אשר שולמו לה, ככל שקיים הפרש כאמור. </w:t>
      </w:r>
      <w:r w:rsidRPr="00364B07">
        <w:rPr>
          <w:rFonts w:ascii="David" w:eastAsia="Times New Roman" w:hAnsi="David" w:cs="David"/>
          <w:sz w:val="22"/>
          <w:szCs w:val="22"/>
          <w:rtl/>
          <w:lang w:val="he-IL" w:eastAsia="he-IL"/>
        </w:rPr>
        <w:t>כמו כן תודיע אקו"ם, כי במקרה שבית המשפט ימצא כי קיים הפרש כאמור לטובת המשתמש, תשיב אקו"ם הפרש זה למשתמש.</w:t>
      </w:r>
      <w:r w:rsidRPr="00364B07">
        <w:rPr>
          <w:rFonts w:ascii="David" w:eastAsia="Times New Roman" w:hAnsi="David" w:cs="David"/>
          <w:sz w:val="22"/>
          <w:szCs w:val="22"/>
          <w:rtl/>
          <w:lang w:eastAsia="he-IL"/>
        </w:rPr>
        <w:t xml:space="preserve"> אקו"ם לא תהיה רשאית לעתור לצו מניעה זמני או לפיצויים סטטוטוריים. אקו"ם תציין בתביעתה, כי היא מוגשת בהתאם להוראות הסדר זה, וכי מטעם זה, ובכפוף להוראותיו, היא אינה מבקשת, במועד הגשת התביעה צו מניעה זמני ואינה מגישה תביעה לפיצויים סטטוטוריים;</w:t>
      </w:r>
      <w:bookmarkEnd w:id="13"/>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אקו"ם רשאית להודיע לבית המשפט כי היא מבקשת מבית המשפט לקבוע את גובה התמלוגים הראוי למשתמש לתקופה מינימלית שמיום קבלת הפנייה הראשונה ועד שלוש שנים ממתן פסק הדין. אקו"ם רשאית עוד להודיע לבית המשפט כי היא מבקשת מבית המשפט לקבוע סעד זמני של דמי שימוש זמניים לתקופה שהחל ממועד קבלת הפנייה הראשונה, וכן את גובה דמי השימוש הזמניים, עד למועד ההחלטה בדבר גובה התמלוגים הקבוע. מקום בו תובעת אקו"ם תמלוגים עבור כל תקופת השימוש בהתאם לסעיף 5.6.4 להלן, במקום המילים "הפנייה הראשונה" יבואו המילים "תחילת השימוש בפועל"; </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bookmarkStart w:id="14" w:name="_Ref87160428"/>
      <w:r w:rsidRPr="00364B07">
        <w:rPr>
          <w:rFonts w:ascii="David" w:eastAsia="Times New Roman" w:hAnsi="David" w:cs="David"/>
          <w:sz w:val="22"/>
          <w:szCs w:val="22"/>
          <w:rtl/>
          <w:lang w:eastAsia="he-IL"/>
        </w:rPr>
        <w:t>אם תגיש אקו"ם תביעה כמפורט בסעיף 5.6.1 לעיל, תודיע אקו"ם למשתמש ולבית המשפט, עם הגשת התביעה, כי היא מוכנה שבית המשפט יפעל כאמור בסעיף 79ב לחוק בתי המשפט [נוסח משולב], התשמ"ד-1984 (להלן: "</w:t>
      </w:r>
      <w:r w:rsidRPr="00364B07">
        <w:rPr>
          <w:rFonts w:ascii="David" w:eastAsia="Times New Roman" w:hAnsi="David" w:cs="David"/>
          <w:b/>
          <w:bCs/>
          <w:sz w:val="22"/>
          <w:szCs w:val="22"/>
          <w:rtl/>
          <w:lang w:eastAsia="he-IL"/>
        </w:rPr>
        <w:t>חוק בתי המשפט</w:t>
      </w:r>
      <w:r w:rsidRPr="00364B07">
        <w:rPr>
          <w:rFonts w:ascii="David" w:eastAsia="Times New Roman" w:hAnsi="David" w:cs="David"/>
          <w:sz w:val="22"/>
          <w:szCs w:val="22"/>
          <w:rtl/>
          <w:lang w:eastAsia="he-IL"/>
        </w:rPr>
        <w:t>") ויפנה את הסכסוך להכרעת בורר אשר ייבחר מתוך רשימת הבוררים. הבורר יפעל בהתאם להוראות הדין המהותי ויהא פטור מסדרי הדין ודיני הראיות. למען הסר ספק יובהר כי המשתמש יהיה רשאי לברר את העניין שבמחלוקת בהליך שיפוטי רגיל;</w:t>
      </w:r>
      <w:bookmarkEnd w:id="14"/>
      <w:r w:rsidRPr="00364B07">
        <w:rPr>
          <w:rFonts w:ascii="David" w:eastAsia="Times New Roman" w:hAnsi="David" w:cs="David"/>
          <w:sz w:val="22"/>
          <w:szCs w:val="22"/>
          <w:rtl/>
          <w:lang w:eastAsia="he-IL"/>
        </w:rPr>
        <w:t xml:space="preserve"> </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bookmarkStart w:id="15" w:name="_Ref239652108"/>
      <w:r w:rsidRPr="00364B07">
        <w:rPr>
          <w:rFonts w:ascii="David" w:eastAsia="Times New Roman" w:hAnsi="David" w:cs="David"/>
          <w:sz w:val="22"/>
          <w:szCs w:val="22"/>
          <w:rtl/>
          <w:lang w:eastAsia="he-IL"/>
        </w:rPr>
        <w:t xml:space="preserve">בתביעה על פי </w:t>
      </w:r>
      <w:proofErr w:type="spellStart"/>
      <w:r w:rsidRPr="00364B07">
        <w:rPr>
          <w:rFonts w:ascii="David" w:eastAsia="Times New Roman" w:hAnsi="David" w:cs="David"/>
          <w:sz w:val="22"/>
          <w:szCs w:val="22"/>
          <w:rtl/>
          <w:lang w:eastAsia="he-IL"/>
        </w:rPr>
        <w:t>ס"ק</w:t>
      </w:r>
      <w:proofErr w:type="spellEnd"/>
      <w:r w:rsidRPr="00364B07">
        <w:rPr>
          <w:rFonts w:ascii="David" w:eastAsia="Times New Roman" w:hAnsi="David" w:cs="David"/>
          <w:sz w:val="22"/>
          <w:szCs w:val="22"/>
          <w:rtl/>
          <w:lang w:eastAsia="he-IL"/>
        </w:rPr>
        <w:t xml:space="preserve"> 5.6 זה, תהא אקו"ם רשאית לתבוע תמלוגים עבור התקופה המתחילה במועד קבלת הפנייה הראשונה בלבד. אולם אם נודע לאקו"ם בדבר שימוש נמשך שנעשה </w:t>
      </w:r>
      <w:r w:rsidRPr="00364B07">
        <w:rPr>
          <w:rFonts w:ascii="David" w:eastAsia="Times New Roman" w:hAnsi="David" w:cs="David"/>
          <w:sz w:val="22"/>
          <w:szCs w:val="22"/>
          <w:rtl/>
          <w:lang w:eastAsia="he-IL"/>
        </w:rPr>
        <w:lastRenderedPageBreak/>
        <w:t xml:space="preserve">ביצירות מרפרטואר אקו"ם ללא רישיון כנדרש על פי דין, ואקו"ם פנתה למשתמש על פי מתווה סעיף 5 זה לא יאוחר משנה מהיום בו נודע לה לראשונה אודות השימוש ללא רישיון כאמור, תהא אקו"ם רשאית לתבוע תמלוגים עבור כל תקופת השימוש בפועל; </w:t>
      </w:r>
      <w:bookmarkEnd w:id="15"/>
    </w:p>
    <w:p w:rsidR="00AD4C6B" w:rsidRPr="00364B07" w:rsidRDefault="00AD4C6B" w:rsidP="00AD4C6B">
      <w:pPr>
        <w:widowControl w:val="0"/>
        <w:bidi/>
        <w:spacing w:before="120" w:line="360" w:lineRule="auto"/>
        <w:ind w:left="746"/>
        <w:jc w:val="both"/>
        <w:rPr>
          <w:rFonts w:ascii="David" w:eastAsia="Times New Roman" w:hAnsi="David" w:cs="David"/>
          <w:sz w:val="22"/>
          <w:szCs w:val="22"/>
          <w:lang w:eastAsia="he-IL"/>
        </w:rPr>
      </w:pPr>
      <w:bookmarkStart w:id="16" w:name="_Ref71608394"/>
      <w:r w:rsidRPr="00364B07">
        <w:rPr>
          <w:rFonts w:ascii="David" w:eastAsia="Times New Roman" w:hAnsi="David" w:cs="David"/>
          <w:sz w:val="22"/>
          <w:szCs w:val="22"/>
          <w:rtl/>
          <w:lang w:eastAsia="he-IL"/>
        </w:rPr>
        <w:t>לעניין סעיף זה, מכתב ייחשב כאילו התקבל אם עברו שבעה ימים ממועד שליחתו בדואר רשום.</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בלי לגרוע מהאמור לעיל, משתמש אשר שילם את דמי השימוש הזמניים, יהיה רשאי להביא את המחלוקת בדבר עצם החיוב בתשלום דמי רישיון השימוש או בדבר שיעורם, בפני בורר אשר יבחר על ידו מבין רשימת הבוררים, אם יחתום על שטר הבוררות. חתם המשתמש על שטר בוררות כאמור, אקו"ם תהא רשאית להביא בפני הבורר את המחלוקת בדבר תביעת הפרש כאמור בסעיף 5.6.1 לעיל.</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אם בתוך 90 ימים ממועד קבלת הפניה הראשונה לא שילם המשתמש דמי שימוש זמניים ולא הגיע לכל הסכמה אחרת עם אקו"ם, תהא אקו"ם רשאית לבקש מבית המשפט כל סעד אותו היא רשאית לתבוע על פי דין ובכלל זה גם למתן צו מניעה זמני, האוסר על המשתמש לעשות שימוש ביצירות מרפרטואר אקו"ם, כולן או חלקן, ו/או להגיש תביעה לפיצויים סטטוטוריים המתייחסת לתקופה הקבועה בסעיף 5.6.4 לעיל ואליה בלבד. בנוסף, תודיע אקו"ם כי, בכפוף להסכמתו של המשתמש ותוך שמירה על זכויותיה לעניין דרישת פיצוי סטטוטורי ו/או צו המניעה הזמני לתקופת ההפרה, היא מוכנה שבית המשפט יפנה את הסכסוך להכרעת בורר, מתוך רשימת הבוררים, כאמור בסעיף 79ב לחוק בתי המשפט, ובמקרה כזה, הבורר יפעל בהתאם להוראות החוק המהותי ויהא פטור מסדרי הדין והראיות</w:t>
      </w:r>
      <w:bookmarkEnd w:id="16"/>
      <w:r w:rsidRPr="00364B07">
        <w:rPr>
          <w:rFonts w:ascii="David" w:eastAsia="Times New Roman" w:hAnsi="David" w:cs="David"/>
          <w:sz w:val="22"/>
          <w:szCs w:val="22"/>
          <w:rtl/>
          <w:lang w:eastAsia="he-IL"/>
        </w:rPr>
        <w:t>.</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bookmarkStart w:id="17" w:name="_Ref71955967"/>
      <w:r w:rsidRPr="00364B07">
        <w:rPr>
          <w:rFonts w:ascii="David" w:eastAsia="Times New Roman" w:hAnsi="David" w:cs="David"/>
          <w:sz w:val="22"/>
          <w:szCs w:val="22"/>
          <w:rtl/>
          <w:lang w:eastAsia="he-IL"/>
        </w:rPr>
        <w:t xml:space="preserve">מבלי לגרוע מהאמור לעיל, משתמש יהיה רשאי להביא מחלוקת בדבר תנאי הרישיון בפני בורר אשר יבחר על ידו מבין רשימת הבוררים, ובלבד שאם אין מחלוקת בדבר עצם החיוב בתשלום דמי רישיון השימוש או בדבר שיעורם, ישלם המשתמש דמי שימוש קבועים. </w:t>
      </w:r>
    </w:p>
    <w:p w:rsidR="00AD4C6B" w:rsidRPr="00364B07" w:rsidRDefault="00AD4C6B" w:rsidP="00AD4C6B">
      <w:pPr>
        <w:widowControl w:val="0"/>
        <w:numPr>
          <w:ilvl w:val="1"/>
          <w:numId w:val="4"/>
        </w:numPr>
        <w:bidi/>
        <w:spacing w:before="120" w:line="360" w:lineRule="auto"/>
        <w:ind w:left="720" w:hanging="694"/>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אקו"ם תודיע למשתמש ולבית המשפט או לבורר, לפי המקרה והעניין, כי בתביעות שעניינן קביעת דמי השימוש הראויים הנדרשים על ידה היא מסכימה לשאת בנטל השכנוע ובנטל הבאת הראיות בדבר סבירות דמי רישיון השימוש שהיא דורשת</w:t>
      </w:r>
      <w:bookmarkEnd w:id="17"/>
      <w:r w:rsidRPr="00364B07">
        <w:rPr>
          <w:rFonts w:ascii="David" w:eastAsia="Times New Roman" w:hAnsi="David" w:cs="David"/>
          <w:sz w:val="22"/>
          <w:szCs w:val="22"/>
          <w:rtl/>
          <w:lang w:eastAsia="he-IL"/>
        </w:rPr>
        <w:t xml:space="preserve">.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ביחס למשתמש שאינו מבצע בפומבי יצירות אקו"ם יחולו ההוראות הבאות: אם המשתמש ישלם לאקו"ם דמי שימוש זמניים, כהגדרתם בסעיף 5.1, עבור התקופה שהחל ממועד קבלת דרישתה הראשונה של אקו"ם, תהיה אקו"ם רשאית לנקוט בצעדי אכיפה כלפי המשתמש בהתאם להוראות </w:t>
      </w:r>
      <w:proofErr w:type="spellStart"/>
      <w:r w:rsidRPr="00364B07">
        <w:rPr>
          <w:rFonts w:ascii="David" w:eastAsia="Times New Roman" w:hAnsi="David" w:cs="David"/>
          <w:sz w:val="22"/>
          <w:szCs w:val="22"/>
          <w:rtl/>
          <w:lang w:eastAsia="he-IL"/>
        </w:rPr>
        <w:t>ס"ק</w:t>
      </w:r>
      <w:proofErr w:type="spellEnd"/>
      <w:r w:rsidRPr="00364B07">
        <w:rPr>
          <w:rFonts w:ascii="David" w:eastAsia="Times New Roman" w:hAnsi="David" w:cs="David"/>
          <w:sz w:val="22"/>
          <w:szCs w:val="22"/>
          <w:rtl/>
          <w:lang w:eastAsia="he-IL"/>
        </w:rPr>
        <w:t xml:space="preserve"> 5.6 בלבד, בשינויים המחויבים.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הוראות סעיף 5.11 לא יחולו על משתמש שהוא בגדר פיראט.</w:t>
      </w:r>
    </w:p>
    <w:p w:rsidR="00AD4C6B" w:rsidRPr="00364B07" w:rsidRDefault="00AD4C6B" w:rsidP="00AD4C6B">
      <w:pPr>
        <w:widowControl w:val="0"/>
        <w:bidi/>
        <w:spacing w:before="120" w:line="360" w:lineRule="auto"/>
        <w:ind w:left="737"/>
        <w:jc w:val="both"/>
        <w:rPr>
          <w:rFonts w:ascii="David" w:eastAsia="Times New Roman" w:hAnsi="David" w:cs="David"/>
          <w:sz w:val="22"/>
          <w:szCs w:val="22"/>
          <w:u w:val="single"/>
          <w:lang w:eastAsia="he-IL"/>
        </w:rPr>
      </w:pPr>
      <w:r w:rsidRPr="00364B07">
        <w:rPr>
          <w:rFonts w:ascii="David" w:eastAsia="Times New Roman" w:hAnsi="David" w:cs="David"/>
          <w:sz w:val="22"/>
          <w:szCs w:val="22"/>
          <w:rtl/>
          <w:lang w:eastAsia="he-IL"/>
        </w:rPr>
        <w:t>לעניין סעיף זה: "</w:t>
      </w:r>
      <w:r w:rsidRPr="00364B07">
        <w:rPr>
          <w:rFonts w:ascii="David" w:eastAsia="Times New Roman" w:hAnsi="David" w:cs="David"/>
          <w:b/>
          <w:bCs/>
          <w:sz w:val="22"/>
          <w:szCs w:val="22"/>
          <w:rtl/>
          <w:lang w:eastAsia="he-IL"/>
        </w:rPr>
        <w:t>פיראט</w:t>
      </w:r>
      <w:r w:rsidRPr="00364B07">
        <w:rPr>
          <w:rFonts w:ascii="David" w:eastAsia="Times New Roman" w:hAnsi="David" w:cs="David"/>
          <w:sz w:val="22"/>
          <w:szCs w:val="22"/>
          <w:rtl/>
          <w:lang w:eastAsia="he-IL"/>
        </w:rPr>
        <w:t xml:space="preserve">" – מי שמייצר או מפיץ בקנה מידה גדול מדיה (לרבות אודיו, וידאו וקבצים המופצים באינטרנט) שהוטבעו או הועתקו עליה יצירות מוגנות ללא רשות בעל זכויות היוצרים וללא הידברות </w:t>
      </w:r>
      <w:proofErr w:type="spellStart"/>
      <w:r w:rsidRPr="00364B07">
        <w:rPr>
          <w:rFonts w:ascii="David" w:eastAsia="Times New Roman" w:hAnsi="David" w:cs="David"/>
          <w:sz w:val="22"/>
          <w:szCs w:val="22"/>
          <w:rtl/>
          <w:lang w:eastAsia="he-IL"/>
        </w:rPr>
        <w:t>איתו</w:t>
      </w:r>
      <w:proofErr w:type="spellEnd"/>
      <w:r w:rsidRPr="00364B07">
        <w:rPr>
          <w:rFonts w:ascii="David" w:eastAsia="Times New Roman" w:hAnsi="David" w:cs="David"/>
          <w:sz w:val="22"/>
          <w:szCs w:val="22"/>
          <w:rtl/>
          <w:lang w:eastAsia="he-IL"/>
        </w:rPr>
        <w:t>. למען הסר ספק מובהר בזאת כי לא יחשב כפיראט מי שמשדר יצירות באמצעות האינטרנט. לעניין זה "</w:t>
      </w:r>
      <w:r w:rsidRPr="00364B07">
        <w:rPr>
          <w:rFonts w:ascii="David" w:eastAsia="Times New Roman" w:hAnsi="David" w:cs="David"/>
          <w:b/>
          <w:bCs/>
          <w:sz w:val="22"/>
          <w:szCs w:val="22"/>
          <w:rtl/>
          <w:lang w:eastAsia="he-IL"/>
        </w:rPr>
        <w:t>שידור באינטרנט</w:t>
      </w:r>
      <w:r w:rsidRPr="00364B07">
        <w:rPr>
          <w:rFonts w:ascii="David" w:eastAsia="Times New Roman" w:hAnsi="David" w:cs="David"/>
          <w:sz w:val="22"/>
          <w:szCs w:val="22"/>
          <w:rtl/>
          <w:lang w:eastAsia="he-IL"/>
        </w:rPr>
        <w:t>" – לרבות: שידור המועבר באמצעות רשת האינטרנט במקביל להעברתו במדיה טכנולוגית אחרת (</w:t>
      </w:r>
      <w:r w:rsidRPr="00364B07">
        <w:rPr>
          <w:rFonts w:ascii="David" w:eastAsia="Times New Roman" w:hAnsi="David" w:cs="David"/>
          <w:sz w:val="22"/>
          <w:szCs w:val="22"/>
          <w:lang w:eastAsia="he-IL"/>
        </w:rPr>
        <w:t>Simulcasting</w:t>
      </w:r>
      <w:r w:rsidRPr="00364B07">
        <w:rPr>
          <w:rFonts w:ascii="David" w:eastAsia="Times New Roman" w:hAnsi="David" w:cs="David"/>
          <w:sz w:val="22"/>
          <w:szCs w:val="22"/>
          <w:rtl/>
          <w:lang w:eastAsia="he-IL"/>
        </w:rPr>
        <w:t>); שידור המועבר רק באמצעות האינטרנט (</w:t>
      </w:r>
      <w:r w:rsidRPr="00364B07">
        <w:rPr>
          <w:rFonts w:ascii="David" w:eastAsia="Times New Roman" w:hAnsi="David" w:cs="David"/>
          <w:sz w:val="22"/>
          <w:szCs w:val="22"/>
          <w:lang w:eastAsia="he-IL"/>
        </w:rPr>
        <w:t>Webcasting</w:t>
      </w:r>
      <w:r w:rsidRPr="00364B07">
        <w:rPr>
          <w:rFonts w:ascii="David" w:eastAsia="Times New Roman" w:hAnsi="David" w:cs="David"/>
          <w:sz w:val="22"/>
          <w:szCs w:val="22"/>
          <w:rtl/>
          <w:lang w:eastAsia="he-IL"/>
        </w:rPr>
        <w:t>); וכן שידור של תכנית מסוימת או קטע מתכנית (למעט שידור יצירות ספציפיות) לפי דרישתו של המאזין (</w:t>
      </w:r>
      <w:r w:rsidRPr="00364B07">
        <w:rPr>
          <w:rFonts w:ascii="David" w:eastAsia="Times New Roman" w:hAnsi="David" w:cs="David"/>
          <w:sz w:val="22"/>
          <w:szCs w:val="22"/>
          <w:lang w:eastAsia="he-IL"/>
        </w:rPr>
        <w:t>on demand</w:t>
      </w:r>
      <w:r w:rsidRPr="00364B07">
        <w:rPr>
          <w:rFonts w:ascii="David" w:eastAsia="Times New Roman" w:hAnsi="David" w:cs="David"/>
          <w:sz w:val="22"/>
          <w:szCs w:val="22"/>
          <w:rtl/>
          <w:lang w:eastAsia="he-IL"/>
        </w:rPr>
        <w:t>).</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אין באמור בהוראות הסדר זה, בכדי לשלול מהמשתמש כל זכות או להגבילו או להטיל עליו נטל כלשהו. מבלי לגרוע מכלליות האמור לעיל, אין בהוראות תנאים אלה, כדי למנוע ממשתמש, או כדי להגביל אותו בדרך כלשהי, מלכפור </w:t>
      </w:r>
      <w:proofErr w:type="spellStart"/>
      <w:r w:rsidRPr="00364B07">
        <w:rPr>
          <w:rFonts w:ascii="David" w:eastAsia="Times New Roman" w:hAnsi="David" w:cs="David"/>
          <w:sz w:val="22"/>
          <w:szCs w:val="22"/>
          <w:rtl/>
          <w:lang w:eastAsia="he-IL"/>
        </w:rPr>
        <w:t>בחבותו</w:t>
      </w:r>
      <w:proofErr w:type="spellEnd"/>
      <w:r w:rsidRPr="00364B07">
        <w:rPr>
          <w:rFonts w:ascii="David" w:eastAsia="Times New Roman" w:hAnsi="David" w:cs="David"/>
          <w:sz w:val="22"/>
          <w:szCs w:val="22"/>
          <w:rtl/>
          <w:lang w:eastAsia="he-IL"/>
        </w:rPr>
        <w:t xml:space="preserve"> כלפי אקו"ם, להתנגד למתן צו מניעה קבוע או </w:t>
      </w:r>
      <w:r w:rsidRPr="00364B07">
        <w:rPr>
          <w:rFonts w:ascii="David" w:eastAsia="Times New Roman" w:hAnsi="David" w:cs="David"/>
          <w:sz w:val="22"/>
          <w:szCs w:val="22"/>
          <w:rtl/>
          <w:lang w:eastAsia="he-IL"/>
        </w:rPr>
        <w:lastRenderedPageBreak/>
        <w:t>זמני נגדו, להתנגד לדרישתה של אקו"ם לתשלום דמי רישיון, להתגונן כנגד תביעה לפיצויים סטטוטוריים או לתבוע השבת כספים ששילם לאקו"ם עבור רישיון שימוש או דמי שימוש זמניים בגין ההווה או העבר.</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אקו"ם לא תתנגד לצירופו של איגוד עסקי, שהחברים בו הם מסוגו של המשתמש אשר הינו צד להליך, לכל הליך בפני בית המשפט או הבורר, לפי המקרה והעניין, אם ביקש זאת המשתמש.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bookmarkStart w:id="18" w:name="_Ref87160118"/>
      <w:r w:rsidRPr="00364B07">
        <w:rPr>
          <w:rFonts w:ascii="David" w:eastAsia="Times New Roman" w:hAnsi="David" w:cs="David"/>
          <w:sz w:val="22"/>
          <w:szCs w:val="22"/>
          <w:rtl/>
          <w:lang w:eastAsia="he-IL"/>
        </w:rPr>
        <w:t>ניתן פסק דין בהליך שאיגוד עסקי היה צד לו, ונקבעו בו תנאי רישיון או תמלוגים שישלם משתמש, ישמשו התנאים או התמלוגים שנקבעו אמת מידה לכאורה גם לגבי יתר המשתמשים מאותו סוג, בכפוף לאמור בסעיף 4.7 לעיל.</w:t>
      </w:r>
      <w:bookmarkEnd w:id="18"/>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למען הסר ספק יובהר כי התנאים לעיל חלים הן על התקשרות ראשונה בין אקו"ם לבין משתמש, הן על חידוש רישיון שפג תוקפו והן על התקשרות בין אקו"ם לבין משתמש משנסתיים הליך משפטי ביניהם.</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נסתיים ההליך שבין המשתמש לאקו"ם בהסכמה או בקביעה של בית המשפט או הבורר בדבר דמי רישיון השימוש שעל המשתמש לשלם לאקו"ם והתנאים לתשלומם (להלן: "</w:t>
      </w:r>
      <w:r w:rsidRPr="00364B07">
        <w:rPr>
          <w:rFonts w:ascii="David" w:eastAsia="Times New Roman" w:hAnsi="David" w:cs="David"/>
          <w:b/>
          <w:bCs/>
          <w:sz w:val="22"/>
          <w:szCs w:val="22"/>
          <w:rtl/>
          <w:lang w:eastAsia="he-IL"/>
        </w:rPr>
        <w:t>תנאי השימוש</w:t>
      </w:r>
      <w:r w:rsidRPr="00364B07">
        <w:rPr>
          <w:rFonts w:ascii="David" w:eastAsia="Times New Roman" w:hAnsi="David" w:cs="David"/>
          <w:sz w:val="22"/>
          <w:szCs w:val="22"/>
          <w:rtl/>
          <w:lang w:eastAsia="he-IL"/>
        </w:rPr>
        <w:t xml:space="preserve">"), וכל עוד לא הפר המשתמש תנאים אלה, לא תנקוט אקו"ם כלפי המשתמש כל הליך אחר שעניינו תנאי השימוש שנקבעו על-ידי בית המשפט או הבורר ולמשך אותה תקופה בלבד. </w:t>
      </w:r>
    </w:p>
    <w:p w:rsidR="00AD4C6B" w:rsidRPr="00364B07" w:rsidRDefault="00AD4C6B" w:rsidP="00AD4C6B">
      <w:pPr>
        <w:widowControl w:val="0"/>
        <w:bidi/>
        <w:spacing w:before="120" w:line="360" w:lineRule="auto"/>
        <w:ind w:left="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הפר המשתמש החלטה של בית המשפט או הבורר, לפי העניין, בדבר תנאי השימוש, תהא אקו"ם רשאית לבקש מבית המשפט או הבורר, בקשה מטעמה למתן צו מניעה זמני, האוסר על המשתמש לעשות שימוש ביצירות מרפרטואר אקו"ם, כולן או חלקן, ו/או להגיש תביעה לפיצויים סטטוטוריים שתתייחס לתקופה שראשיתה ביום בו החל המשתמש להפר את החלטת בית המשפט או הבורר ואליה בלבד.</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אקו"ם תערוך דו"ח בדבר הליכים משפטיים, לרבות הליכי בוררות, שהתנהלו בינה לבין משתמשים בהתאם לסעיף זה, ובכלל זה הליכים שיזמו משתמשים נגדה והליכים שהיא ניהלה כלפי פיראטים, ותעמיד אותו לעיון הממונה לפי דרישתה.</w:t>
      </w:r>
      <w:r w:rsidRPr="00364B07">
        <w:rPr>
          <w:rFonts w:ascii="David" w:eastAsia="Times New Roman" w:hAnsi="David" w:cs="David"/>
          <w:sz w:val="22"/>
          <w:szCs w:val="22"/>
          <w:lang w:eastAsia="he-IL"/>
        </w:rPr>
        <w:t xml:space="preserve"> </w:t>
      </w:r>
    </w:p>
    <w:p w:rsidR="00AD4C6B" w:rsidRPr="00364B07" w:rsidRDefault="00AD4C6B" w:rsidP="00AD4C6B">
      <w:pPr>
        <w:widowControl w:val="0"/>
        <w:numPr>
          <w:ilvl w:val="0"/>
          <w:numId w:val="4"/>
        </w:numPr>
        <w:bidi/>
        <w:spacing w:before="120" w:line="360" w:lineRule="auto"/>
        <w:ind w:right="340"/>
        <w:jc w:val="both"/>
        <w:outlineLvl w:val="3"/>
        <w:rPr>
          <w:rFonts w:ascii="David" w:eastAsia="Times New Roman" w:hAnsi="David" w:cs="David"/>
          <w:b/>
          <w:bCs/>
          <w:sz w:val="22"/>
          <w:szCs w:val="22"/>
          <w:lang w:eastAsia="he-IL"/>
        </w:rPr>
      </w:pPr>
      <w:r w:rsidRPr="00364B07">
        <w:rPr>
          <w:rFonts w:ascii="David" w:eastAsia="Times New Roman" w:hAnsi="David" w:cs="David"/>
          <w:b/>
          <w:bCs/>
          <w:sz w:val="22"/>
          <w:szCs w:val="22"/>
          <w:rtl/>
          <w:lang w:eastAsia="he-IL"/>
        </w:rPr>
        <w:t>הקמה וניהול של בסיס נתונים</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אקו"ם תקים ותנהל בסיס נתונים בהתאם להוראות 6.2 להלן. בסיס הנתונים יכלול את הפרטים הבאים לכל יצירה שברפרטואר אקו"ם, כפי שנמסרו לה על ידי בעלי זכויות היוצרים:</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שמה המלא של היצירה;</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פירוט שמות בעלי זכויות היוצרים ביצירה לרבות פירוט של זכויות אשר פקעו ועברו לנחלת הכלל תוך </w:t>
      </w:r>
      <w:proofErr w:type="spellStart"/>
      <w:r w:rsidRPr="00364B07">
        <w:rPr>
          <w:rFonts w:ascii="David" w:eastAsia="Times New Roman" w:hAnsi="David" w:cs="David"/>
          <w:sz w:val="22"/>
          <w:szCs w:val="22"/>
          <w:rtl/>
          <w:lang w:eastAsia="he-IL"/>
        </w:rPr>
        <w:t>ציונן</w:t>
      </w:r>
      <w:proofErr w:type="spellEnd"/>
      <w:r w:rsidRPr="00364B07">
        <w:rPr>
          <w:rFonts w:ascii="David" w:eastAsia="Times New Roman" w:hAnsi="David" w:cs="David"/>
          <w:sz w:val="22"/>
          <w:szCs w:val="22"/>
          <w:rtl/>
          <w:lang w:eastAsia="he-IL"/>
        </w:rPr>
        <w:t xml:space="preserve"> ככאלה; </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שם המבצע;</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תאריך פרסומה של היצירה לראשונה;</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כל הודעת החרגה שהתקבלה ביחס ליצירה כאמור בסעיף 6.6 להלן.</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בסיס הנתונים יפורסם במלואו ויהיה פתוח לעיון הציבור באתר האינטרנט של אקו"ם. אקו"ם תדאג לעדכן את בסיס הנתונים תוך שבוע מהיום שנודע לה על שינוי באיזה מהנתונים המפורסמים בו. בהסכמים שבין אקו"ם לבין חברים, מיוצגים ואגודות אחיות, אקו"ם תדרוש מהצד שכנגד לעדכן אותה תוך שבוע ימים מיום שנודע לו על שינוי בנתונים כאמור.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מבלי לגרוע מכלליות האמור, בסיס הנתונים של אקו"ם יאפשר לבדוק אם יצירה מסוימת הכלולה </w:t>
      </w:r>
      <w:r w:rsidRPr="00364B07">
        <w:rPr>
          <w:rFonts w:ascii="David" w:eastAsia="Times New Roman" w:hAnsi="David" w:cs="David"/>
          <w:sz w:val="22"/>
          <w:szCs w:val="22"/>
          <w:rtl/>
          <w:lang w:eastAsia="he-IL"/>
        </w:rPr>
        <w:lastRenderedPageBreak/>
        <w:t>בו מצויה ברפרטואר אקו"ם, אם לאו, וכן יאפשר חיפוש לפי שם היצירה, שם המבצע, שם האלבום ושם בעל זכויות ביצירה. למען הסר ספק, אף הגישה לשירות זה תהא פתוחה לכל אדם וללא כל עלות נוספת מצדו.</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אקו"ם תפרסם באתר האינטרנט שלה רשימה עדכנית של חברים, מיוצגים ושל אגודות אחיות החתומות על הסכמים עם אקו"ם. רשימות אלה יעודכנו לפחות אחת בשבוע.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bookmarkStart w:id="19" w:name="_Ref239692253"/>
      <w:r w:rsidRPr="00364B07">
        <w:rPr>
          <w:rFonts w:ascii="David" w:eastAsia="Times New Roman" w:hAnsi="David" w:cs="David"/>
          <w:sz w:val="22"/>
          <w:szCs w:val="22"/>
          <w:rtl/>
          <w:lang w:eastAsia="he-IL"/>
        </w:rPr>
        <w:t>אקו"ם תפרסם הודעה ברורה באתר האינטרנט שלה לפיה חבר או מיוצג באקו"ם הודיע על רצונו לפרוש מאקו"ם לפי סעיף 2.2 לעיל, הכוללת את הפרטים הבאים:</w:t>
      </w:r>
      <w:bookmarkEnd w:id="19"/>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זהות החבר או המיוצג הפורש;</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מועד הכניסה לתוקף של הודעת הפרישה.</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bookmarkStart w:id="20" w:name="_Ref239692257"/>
      <w:r w:rsidRPr="00364B07">
        <w:rPr>
          <w:rFonts w:ascii="David" w:eastAsia="Times New Roman" w:hAnsi="David" w:cs="David"/>
          <w:sz w:val="22"/>
          <w:szCs w:val="22"/>
          <w:rtl/>
          <w:lang w:eastAsia="he-IL"/>
        </w:rPr>
        <w:t xml:space="preserve">אקו"ם תפרסם הודעה ברורה באתר האינטרנט שלה לפיה חבר או מיוצג באקו"ם הודיע על רצונו </w:t>
      </w:r>
      <w:proofErr w:type="spellStart"/>
      <w:r w:rsidRPr="00364B07">
        <w:rPr>
          <w:rFonts w:ascii="David" w:eastAsia="Times New Roman" w:hAnsi="David" w:cs="David"/>
          <w:sz w:val="22"/>
          <w:szCs w:val="22"/>
          <w:rtl/>
          <w:lang w:eastAsia="he-IL"/>
        </w:rPr>
        <w:t>להחריג</w:t>
      </w:r>
      <w:proofErr w:type="spellEnd"/>
      <w:r w:rsidRPr="00364B07">
        <w:rPr>
          <w:rFonts w:ascii="David" w:eastAsia="Times New Roman" w:hAnsi="David" w:cs="David"/>
          <w:sz w:val="22"/>
          <w:szCs w:val="22"/>
          <w:rtl/>
          <w:lang w:eastAsia="he-IL"/>
        </w:rPr>
        <w:t xml:space="preserve"> יצירה בודדת מניהולה של אקו"ם לפי סעיף 2.3 לעיל, הכוללת את הפרטים הבאים:</w:t>
      </w:r>
      <w:bookmarkEnd w:id="20"/>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זהות היצירה שהוחרגה, בצרוף פרטי היצירה המפורטים בסעיפים 6.1.1-6.1.4 לעיל;</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סוג הזכויות המוחרגות;</w:t>
      </w:r>
    </w:p>
    <w:p w:rsidR="00AD4C6B" w:rsidRPr="00364B07" w:rsidRDefault="00AD4C6B" w:rsidP="00AD4C6B">
      <w:pPr>
        <w:widowControl w:val="0"/>
        <w:numPr>
          <w:ilvl w:val="2"/>
          <w:numId w:val="4"/>
        </w:numPr>
        <w:bidi/>
        <w:spacing w:before="120" w:line="360" w:lineRule="auto"/>
        <w:ind w:left="1224" w:hanging="504"/>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מועד הכניסה לתוקף של הודעת ההחרגה.</w:t>
      </w:r>
      <w:r w:rsidRPr="00364B07">
        <w:rPr>
          <w:rFonts w:ascii="David" w:eastAsia="Times New Roman" w:hAnsi="David" w:cs="David"/>
          <w:b/>
          <w:bCs/>
          <w:sz w:val="22"/>
          <w:szCs w:val="22"/>
          <w:rtl/>
          <w:lang w:eastAsia="he-IL"/>
        </w:rPr>
        <w:t xml:space="preserve">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אקו"ם תשפה משתמש בעל רישיון בגין כל חבות שבו </w:t>
      </w:r>
      <w:proofErr w:type="spellStart"/>
      <w:r w:rsidRPr="00364B07">
        <w:rPr>
          <w:rFonts w:ascii="David" w:eastAsia="Times New Roman" w:hAnsi="David" w:cs="David"/>
          <w:sz w:val="22"/>
          <w:szCs w:val="22"/>
          <w:rtl/>
          <w:lang w:eastAsia="he-IL"/>
        </w:rPr>
        <w:t>ישא</w:t>
      </w:r>
      <w:proofErr w:type="spellEnd"/>
      <w:r w:rsidRPr="00364B07">
        <w:rPr>
          <w:rFonts w:ascii="David" w:eastAsia="Times New Roman" w:hAnsi="David" w:cs="David"/>
          <w:sz w:val="22"/>
          <w:szCs w:val="22"/>
          <w:rtl/>
          <w:lang w:eastAsia="he-IL"/>
        </w:rPr>
        <w:t xml:space="preserve"> המשתמש בשל שימוש בהיעדר הרשאה, שנעשה עקב הסתמכות המשתמש על בסיס הנתונים המפורסם באתר האינטרנט של אקו"ם. ואולם, פרסמה אקו"ם הודעה באתר האינטרנט שלה כאמור בסעיפים 6.5 ו-6.6 לעיל, לא תחוב בחובת שיפוי כאמור בסעיף זה, בגין שימוש שנעשה שלא בהתאם לתנאים אלו.</w:t>
      </w:r>
      <w:r w:rsidRPr="00364B07">
        <w:rPr>
          <w:rFonts w:ascii="David" w:eastAsia="Times New Roman" w:hAnsi="David" w:cs="David"/>
          <w:b/>
          <w:bCs/>
          <w:sz w:val="22"/>
          <w:szCs w:val="22"/>
          <w:rtl/>
          <w:lang w:eastAsia="he-IL"/>
        </w:rPr>
        <w:t xml:space="preserve"> </w:t>
      </w:r>
    </w:p>
    <w:p w:rsidR="00AD4C6B" w:rsidRPr="00364B07" w:rsidRDefault="00AD4C6B" w:rsidP="00AD4C6B">
      <w:pPr>
        <w:widowControl w:val="0"/>
        <w:numPr>
          <w:ilvl w:val="0"/>
          <w:numId w:val="4"/>
        </w:numPr>
        <w:bidi/>
        <w:spacing w:before="120" w:line="360" w:lineRule="auto"/>
        <w:jc w:val="both"/>
        <w:rPr>
          <w:rFonts w:ascii="David" w:eastAsia="Times New Roman" w:hAnsi="David" w:cs="David"/>
          <w:b/>
          <w:bCs/>
          <w:sz w:val="22"/>
          <w:szCs w:val="22"/>
          <w:rtl/>
          <w:lang w:eastAsia="he-IL"/>
        </w:rPr>
      </w:pPr>
      <w:r w:rsidRPr="00364B07">
        <w:rPr>
          <w:rFonts w:ascii="David" w:eastAsia="Times New Roman" w:hAnsi="David" w:cs="David"/>
          <w:b/>
          <w:bCs/>
          <w:sz w:val="22"/>
          <w:szCs w:val="22"/>
          <w:rtl/>
          <w:lang w:eastAsia="he-IL"/>
        </w:rPr>
        <w:t>העדר אפליה ופרסום תעריפון ותנאי רישיון</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 משתמשים דומים יזכו לתנאי רישיון דומים.</w:t>
      </w:r>
      <w:r w:rsidRPr="00364B07">
        <w:rPr>
          <w:rFonts w:ascii="David" w:eastAsia="Times New Roman" w:hAnsi="David" w:cs="David"/>
          <w:b/>
          <w:bCs/>
          <w:sz w:val="22"/>
          <w:szCs w:val="22"/>
          <w:rtl/>
          <w:lang w:eastAsia="he-IL"/>
        </w:rPr>
        <w:t xml:space="preserve">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 באתר האינטרנט של אקו"ם יפורסמו תעריפי אקו"ם ותנאים לדוגמא של הרישיונות לכלל המשתמשים, תוך פירוט הקריטריונים לחישוב דמי הרישיון. לצד כל פרסום של תעריפי אקו"ם ותנאי הרישיונות ייכתב בצורה ברורה כי תעריפים ותנאי רישיונות אלו נקבעו על דעת אקו"ם ובאחריותה בלבד.</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אין באמור בסעיפים 7.1 ו-7.2 כדי למנוע מאקו"ם להעניק הנחות או הטבות בתנאי הרישיון, ובלבד שאין במתן ההנחה או בשיעורה משום הענקת יתרון בלתי הוגן לאותו משתמש לעומת משתמשים המתחרים בו.</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באתר האינטרנט של אקו"ם יפורסמו כל ההחלטות השיפוטיות והחלטות הבורר (להלן: "</w:t>
      </w:r>
      <w:r w:rsidRPr="00364B07">
        <w:rPr>
          <w:rFonts w:ascii="David" w:eastAsia="Times New Roman" w:hAnsi="David" w:cs="David"/>
          <w:b/>
          <w:bCs/>
          <w:sz w:val="22"/>
          <w:szCs w:val="22"/>
          <w:rtl/>
          <w:lang w:eastAsia="he-IL"/>
        </w:rPr>
        <w:t>החלטות</w:t>
      </w:r>
      <w:r w:rsidRPr="00364B07">
        <w:rPr>
          <w:rFonts w:ascii="David" w:eastAsia="Times New Roman" w:hAnsi="David" w:cs="David"/>
          <w:sz w:val="22"/>
          <w:szCs w:val="22"/>
          <w:rtl/>
          <w:lang w:eastAsia="he-IL"/>
        </w:rPr>
        <w:t xml:space="preserve">") הנוגעות לתעריפי אקו"ם ותנאי הרישיונות למשתמשים, וכן כל ההחלטות המנומקות הנוגעות לעניינם של משתמשים וחברי אקו"ם, לרבות תביעות הפרה של זכויות יוצרים וקריטריונים לחלוקת תמלוגים לחברים, והכל החל מיום 1 באפריל 2004. </w:t>
      </w:r>
    </w:p>
    <w:p w:rsidR="00AD4C6B" w:rsidRPr="00364B07" w:rsidRDefault="00AD4C6B" w:rsidP="00AD4C6B">
      <w:pPr>
        <w:widowControl w:val="0"/>
        <w:numPr>
          <w:ilvl w:val="0"/>
          <w:numId w:val="4"/>
        </w:numPr>
        <w:bidi/>
        <w:spacing w:before="120" w:line="360" w:lineRule="auto"/>
        <w:jc w:val="both"/>
        <w:rPr>
          <w:rFonts w:ascii="David" w:eastAsia="Times New Roman" w:hAnsi="David" w:cs="David"/>
          <w:b/>
          <w:bCs/>
          <w:sz w:val="22"/>
          <w:szCs w:val="22"/>
          <w:rtl/>
          <w:lang w:eastAsia="he-IL"/>
        </w:rPr>
      </w:pPr>
      <w:r w:rsidRPr="00364B07">
        <w:rPr>
          <w:rFonts w:ascii="David" w:eastAsia="Times New Roman" w:hAnsi="David" w:cs="David"/>
          <w:b/>
          <w:bCs/>
          <w:sz w:val="22"/>
          <w:szCs w:val="22"/>
          <w:rtl/>
          <w:lang w:eastAsia="he-IL"/>
        </w:rPr>
        <w:t>פרישה והחרגה</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bookmarkStart w:id="21" w:name="_Ref61613827"/>
      <w:r w:rsidRPr="00364B07">
        <w:rPr>
          <w:rFonts w:ascii="David" w:eastAsia="Times New Roman" w:hAnsi="David" w:cs="David"/>
          <w:sz w:val="22"/>
          <w:szCs w:val="22"/>
          <w:rtl/>
          <w:lang w:eastAsia="he-IL"/>
        </w:rPr>
        <w:t xml:space="preserve">הודעת פרישה או החרגה לפי סעיפים 2.2 ו-2.3 לעיל לא תגרע מהיקפו של רישיון שימוש שניתן למשתמש טרם מועד הפרישה או ההחרגה, ורישיון השימוש ימשיך להקיף את מלוא היצירות שהיו כלולות בו מלכתחילה, כאילו לא ניתנה הודעת הפרישה או ההחרגה, עד ליום 31 בדצמבר, או עד למועד תום הרישיון שבתוקף, לפי המוקדם, ובלבד שההודעה ניתנה עד ליום 30 בנובמבר באותה השנה; לא ניתנה הודעה עד ליום 30 בנובמבר באותה השנה, ימשיך הרישיון להקיף את מלוא </w:t>
      </w:r>
      <w:r w:rsidRPr="00364B07">
        <w:rPr>
          <w:rFonts w:ascii="David" w:eastAsia="Times New Roman" w:hAnsi="David" w:cs="David"/>
          <w:sz w:val="22"/>
          <w:szCs w:val="22"/>
          <w:rtl/>
          <w:lang w:eastAsia="he-IL"/>
        </w:rPr>
        <w:lastRenderedPageBreak/>
        <w:t xml:space="preserve">היצירות שהיו כלולות בו מלכתחילה, כאילו לא ניתנה הודעת הפרישה או ההחרגה, עד ליום 31 בדצמבר בשנה העוקבת, או עד למועד תום הרישיון שבתוקף, לפי המוקדם.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אקו"ם תכלול, כתנאי מתנאי ההרשאה שבינה לבין חבריה והמיוצגים, הוראה לטובת המשתמש, לפיה מוותר הפורש או </w:t>
      </w:r>
      <w:proofErr w:type="spellStart"/>
      <w:r w:rsidRPr="00364B07">
        <w:rPr>
          <w:rFonts w:ascii="David" w:eastAsia="Times New Roman" w:hAnsi="David" w:cs="David"/>
          <w:sz w:val="22"/>
          <w:szCs w:val="22"/>
          <w:rtl/>
          <w:lang w:eastAsia="he-IL"/>
        </w:rPr>
        <w:t>המחריג</w:t>
      </w:r>
      <w:proofErr w:type="spellEnd"/>
      <w:r w:rsidRPr="00364B07">
        <w:rPr>
          <w:rFonts w:ascii="David" w:eastAsia="Times New Roman" w:hAnsi="David" w:cs="David"/>
          <w:sz w:val="22"/>
          <w:szCs w:val="22"/>
          <w:rtl/>
          <w:lang w:eastAsia="he-IL"/>
        </w:rPr>
        <w:t xml:space="preserve"> על כל זכות לתבוע משתמש כל עוד הוא פועל מכוח רישיון תקף שבידו מאקו"ם וזאת גם לאחר מתן הודעת הפרישה או ההחרגה, בהתאם לאמור בסעיף 8.1 לעיל.</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bookmarkStart w:id="22" w:name="_Ref221507010"/>
      <w:r w:rsidRPr="00364B07">
        <w:rPr>
          <w:rFonts w:ascii="David" w:eastAsia="Times New Roman" w:hAnsi="David" w:cs="David"/>
          <w:sz w:val="22"/>
          <w:szCs w:val="22"/>
          <w:rtl/>
          <w:lang w:eastAsia="he-IL"/>
        </w:rPr>
        <w:t>על אף האמור בסעיפים 2.2, 2.3 ו-8.1 לעיל, שולבה יצירה ביצירת אודיו אחרת או ביצירה אודיו-ויזואלית על פי רישיון מאקו"ם, הודעת הפרישה או ההחרגה לא תמנע את השימוש ביצירת האודיו האחרת או ביצירה האודיו-ויזואלית, לפי העניין, שבה נעשתה הסינכרוניזציה טרם הודעת הפרישה או ההחרגה, בתנאי שלמשתמש רישיון שימוש מאקו"ם לשימוש זה.</w:t>
      </w:r>
      <w:bookmarkEnd w:id="22"/>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אקו"ם תכלול, כתנאי מתנאי ההרשאה שבינה לבין חבריה והמיוצגים, הוראה לטובת המשתמש, לפיה מוותר הפורש או </w:t>
      </w:r>
      <w:proofErr w:type="spellStart"/>
      <w:r w:rsidRPr="00364B07">
        <w:rPr>
          <w:rFonts w:ascii="David" w:eastAsia="Times New Roman" w:hAnsi="David" w:cs="David"/>
          <w:sz w:val="22"/>
          <w:szCs w:val="22"/>
          <w:rtl/>
          <w:lang w:eastAsia="he-IL"/>
        </w:rPr>
        <w:t>המחריג</w:t>
      </w:r>
      <w:proofErr w:type="spellEnd"/>
      <w:r w:rsidRPr="00364B07">
        <w:rPr>
          <w:rFonts w:ascii="David" w:eastAsia="Times New Roman" w:hAnsi="David" w:cs="David"/>
          <w:sz w:val="22"/>
          <w:szCs w:val="22"/>
          <w:rtl/>
          <w:lang w:eastAsia="he-IL"/>
        </w:rPr>
        <w:t xml:space="preserve"> על כל זכות לתבוע משתמש כל עוד הוא פועל מכוח רישיון שימוש תקף כמפורט בסעיף 8.3 לעיל, בגין שימושים ביצירה אודיו-ויזואלית או ביצירת אודיו ששולבה בה יצירה אחרת על פי רישיון שימוש מאקו"ם.</w:t>
      </w:r>
      <w:bookmarkStart w:id="23" w:name="_Ref61613947"/>
      <w:bookmarkEnd w:id="21"/>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bookmarkStart w:id="24" w:name="_Ref457895671"/>
      <w:r w:rsidRPr="00364B07">
        <w:rPr>
          <w:rFonts w:ascii="David" w:eastAsia="Times New Roman" w:hAnsi="David" w:cs="David"/>
          <w:sz w:val="22"/>
          <w:szCs w:val="22"/>
          <w:rtl/>
          <w:lang w:eastAsia="he-IL"/>
        </w:rPr>
        <w:t xml:space="preserve">מבלי לגרוע מהאמור לעיל, הפורש או </w:t>
      </w:r>
      <w:proofErr w:type="spellStart"/>
      <w:r w:rsidRPr="00364B07">
        <w:rPr>
          <w:rFonts w:ascii="David" w:eastAsia="Times New Roman" w:hAnsi="David" w:cs="David"/>
          <w:sz w:val="22"/>
          <w:szCs w:val="22"/>
          <w:rtl/>
          <w:lang w:eastAsia="he-IL"/>
        </w:rPr>
        <w:t>המחריג</w:t>
      </w:r>
      <w:proofErr w:type="spellEnd"/>
      <w:r w:rsidRPr="00364B07">
        <w:rPr>
          <w:rFonts w:ascii="David" w:eastAsia="Times New Roman" w:hAnsi="David" w:cs="David"/>
          <w:sz w:val="22"/>
          <w:szCs w:val="22"/>
          <w:rtl/>
          <w:lang w:eastAsia="he-IL"/>
        </w:rPr>
        <w:t xml:space="preserve"> יהיה זכאי לחלקו היחסי מתוך דמי הרישיון שניגבו עבור שימוש ביצירותיו שנעשה תוך שימוש ברישיונות שימוש מאקו"ם, וזאת אף אם מועד תשלום התמלוגים או מועד חלוקתם יחולו לאחר מועד הפרישה או ההחרגה.</w:t>
      </w:r>
      <w:bookmarkEnd w:id="23"/>
      <w:bookmarkEnd w:id="24"/>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החל ממועד הודעת הפרישה או ההחרגה ועד לתום מועד זכאותו של הפורש או </w:t>
      </w:r>
      <w:proofErr w:type="spellStart"/>
      <w:r w:rsidRPr="00364B07">
        <w:rPr>
          <w:rFonts w:ascii="David" w:eastAsia="Times New Roman" w:hAnsi="David" w:cs="David"/>
          <w:sz w:val="22"/>
          <w:szCs w:val="22"/>
          <w:rtl/>
          <w:lang w:eastAsia="he-IL"/>
        </w:rPr>
        <w:t>המחריג</w:t>
      </w:r>
      <w:proofErr w:type="spellEnd"/>
      <w:r w:rsidRPr="00364B07">
        <w:rPr>
          <w:rFonts w:ascii="David" w:eastAsia="Times New Roman" w:hAnsi="David" w:cs="David"/>
          <w:sz w:val="22"/>
          <w:szCs w:val="22"/>
          <w:rtl/>
          <w:lang w:eastAsia="he-IL"/>
        </w:rPr>
        <w:t xml:space="preserve"> לתמלוגים כאמור בסעיף 8.5</w:t>
      </w:r>
      <w:r w:rsidRPr="00364B07">
        <w:rPr>
          <w:rFonts w:ascii="David" w:eastAsia="Times New Roman" w:hAnsi="David" w:cs="David"/>
          <w:sz w:val="22"/>
          <w:szCs w:val="22"/>
          <w:rtl/>
          <w:lang w:eastAsia="he-IL"/>
        </w:rPr>
        <w:fldChar w:fldCharType="begin"/>
      </w:r>
      <w:r w:rsidRPr="00364B07">
        <w:rPr>
          <w:rFonts w:ascii="David" w:eastAsia="Times New Roman" w:hAnsi="David" w:cs="David"/>
          <w:sz w:val="22"/>
          <w:szCs w:val="22"/>
          <w:rtl/>
          <w:lang w:eastAsia="he-IL"/>
        </w:rPr>
        <w:instrText xml:space="preserve"> </w:instrText>
      </w:r>
      <w:r w:rsidRPr="00364B07">
        <w:rPr>
          <w:rFonts w:ascii="David" w:eastAsia="Times New Roman" w:hAnsi="David" w:cs="David"/>
          <w:sz w:val="22"/>
          <w:szCs w:val="22"/>
          <w:lang w:eastAsia="he-IL"/>
        </w:rPr>
        <w:instrText>REF</w:instrText>
      </w:r>
      <w:r w:rsidRPr="00364B07">
        <w:rPr>
          <w:rFonts w:ascii="David" w:eastAsia="Times New Roman" w:hAnsi="David" w:cs="David"/>
          <w:sz w:val="22"/>
          <w:szCs w:val="22"/>
          <w:rtl/>
          <w:lang w:eastAsia="he-IL"/>
        </w:rPr>
        <w:instrText xml:space="preserve"> _</w:instrText>
      </w:r>
      <w:r w:rsidRPr="00364B07">
        <w:rPr>
          <w:rFonts w:ascii="David" w:eastAsia="Times New Roman" w:hAnsi="David" w:cs="David"/>
          <w:sz w:val="22"/>
          <w:szCs w:val="22"/>
          <w:lang w:eastAsia="he-IL"/>
        </w:rPr>
        <w:instrText>Ref457895671 \r \h</w:instrText>
      </w:r>
      <w:r w:rsidRPr="00364B07">
        <w:rPr>
          <w:rFonts w:ascii="David" w:eastAsia="Times New Roman" w:hAnsi="David" w:cs="David"/>
          <w:sz w:val="22"/>
          <w:szCs w:val="22"/>
          <w:rtl/>
          <w:lang w:eastAsia="he-IL"/>
        </w:rPr>
        <w:instrText xml:space="preserve">  \* </w:instrText>
      </w:r>
      <w:r w:rsidRPr="00364B07">
        <w:rPr>
          <w:rFonts w:ascii="David" w:eastAsia="Times New Roman" w:hAnsi="David" w:cs="David"/>
          <w:sz w:val="22"/>
          <w:szCs w:val="22"/>
          <w:lang w:eastAsia="he-IL"/>
        </w:rPr>
        <w:instrText>MERGEFORMAT</w:instrText>
      </w:r>
      <w:r w:rsidRPr="00364B07">
        <w:rPr>
          <w:rFonts w:ascii="David" w:eastAsia="Times New Roman" w:hAnsi="David" w:cs="David"/>
          <w:sz w:val="22"/>
          <w:szCs w:val="22"/>
          <w:rtl/>
          <w:lang w:eastAsia="he-IL"/>
        </w:rPr>
        <w:instrText xml:space="preserve"> </w:instrText>
      </w:r>
      <w:r w:rsidRPr="00364B07">
        <w:rPr>
          <w:rFonts w:ascii="David" w:eastAsia="Times New Roman" w:hAnsi="David" w:cs="David"/>
          <w:sz w:val="22"/>
          <w:szCs w:val="22"/>
          <w:rtl/>
          <w:lang w:eastAsia="he-IL"/>
        </w:rPr>
      </w:r>
      <w:r w:rsidRPr="00364B07">
        <w:rPr>
          <w:rFonts w:ascii="David" w:eastAsia="Times New Roman" w:hAnsi="David" w:cs="David"/>
          <w:sz w:val="22"/>
          <w:szCs w:val="22"/>
          <w:rtl/>
          <w:lang w:eastAsia="he-IL"/>
        </w:rPr>
        <w:fldChar w:fldCharType="separate"/>
      </w:r>
      <w:r w:rsidRPr="00364B07">
        <w:rPr>
          <w:rFonts w:ascii="David" w:eastAsia="Times New Roman" w:hAnsi="David" w:cs="David"/>
          <w:sz w:val="22"/>
          <w:szCs w:val="22"/>
          <w:cs/>
          <w:lang w:eastAsia="he-IL"/>
        </w:rPr>
        <w:t>‎</w:t>
      </w:r>
      <w:r w:rsidRPr="00364B07">
        <w:rPr>
          <w:rFonts w:ascii="David" w:eastAsia="Times New Roman" w:hAnsi="David" w:cs="David"/>
          <w:sz w:val="22"/>
          <w:szCs w:val="22"/>
          <w:lang w:eastAsia="he-IL"/>
        </w:rPr>
        <w:t>8.5{C}</w:t>
      </w:r>
      <w:r w:rsidRPr="00364B07">
        <w:rPr>
          <w:rFonts w:ascii="David" w:eastAsia="Times New Roman" w:hAnsi="David" w:cs="David"/>
          <w:sz w:val="22"/>
          <w:szCs w:val="22"/>
          <w:rtl/>
          <w:lang w:eastAsia="he-IL"/>
        </w:rPr>
        <w:fldChar w:fldCharType="end"/>
      </w:r>
      <w:r w:rsidRPr="00364B07">
        <w:rPr>
          <w:rFonts w:ascii="David" w:eastAsia="Times New Roman" w:hAnsi="David" w:cs="David"/>
          <w:sz w:val="22"/>
          <w:szCs w:val="22"/>
          <w:rtl/>
          <w:lang w:eastAsia="he-IL"/>
        </w:rPr>
        <w:t xml:space="preserve">, או עד למועד הפרישה או ההחרגה בפועל, המאוחר מבין השניים, לא תשנה אקו"ם את אופן חישוב התמלוגים להם זכאי הפורש או </w:t>
      </w:r>
      <w:proofErr w:type="spellStart"/>
      <w:r w:rsidRPr="00364B07">
        <w:rPr>
          <w:rFonts w:ascii="David" w:eastAsia="Times New Roman" w:hAnsi="David" w:cs="David"/>
          <w:sz w:val="22"/>
          <w:szCs w:val="22"/>
          <w:rtl/>
          <w:lang w:eastAsia="he-IL"/>
        </w:rPr>
        <w:t>המחריג</w:t>
      </w:r>
      <w:proofErr w:type="spellEnd"/>
      <w:r w:rsidRPr="00364B07">
        <w:rPr>
          <w:rFonts w:ascii="David" w:eastAsia="Times New Roman" w:hAnsi="David" w:cs="David"/>
          <w:sz w:val="22"/>
          <w:szCs w:val="22"/>
          <w:rtl/>
          <w:lang w:eastAsia="he-IL"/>
        </w:rPr>
        <w:t xml:space="preserve"> ובכלל זה, לא תשנה את מפתח הערכת היצירות באופן העלול לפגוע בפורש או </w:t>
      </w:r>
      <w:proofErr w:type="spellStart"/>
      <w:r w:rsidRPr="00364B07">
        <w:rPr>
          <w:rFonts w:ascii="David" w:eastAsia="Times New Roman" w:hAnsi="David" w:cs="David"/>
          <w:sz w:val="22"/>
          <w:szCs w:val="22"/>
          <w:rtl/>
          <w:lang w:eastAsia="he-IL"/>
        </w:rPr>
        <w:t>במחריג</w:t>
      </w:r>
      <w:proofErr w:type="spellEnd"/>
      <w:r w:rsidRPr="00364B07">
        <w:rPr>
          <w:rFonts w:ascii="David" w:eastAsia="Times New Roman" w:hAnsi="David" w:cs="David"/>
          <w:sz w:val="22"/>
          <w:szCs w:val="22"/>
          <w:rtl/>
          <w:lang w:eastAsia="he-IL"/>
        </w:rPr>
        <w:t xml:space="preserve">. מבלי לגרוע מהאמור לעיל לא תשנה אקו"ם את הזכויות הצמודות למניית </w:t>
      </w:r>
      <w:proofErr w:type="spellStart"/>
      <w:r w:rsidRPr="00364B07">
        <w:rPr>
          <w:rFonts w:ascii="David" w:eastAsia="Times New Roman" w:hAnsi="David" w:cs="David"/>
          <w:sz w:val="22"/>
          <w:szCs w:val="22"/>
          <w:rtl/>
          <w:lang w:eastAsia="he-IL"/>
        </w:rPr>
        <w:t>המחריג</w:t>
      </w:r>
      <w:proofErr w:type="spellEnd"/>
      <w:r w:rsidRPr="00364B07">
        <w:rPr>
          <w:rFonts w:ascii="David" w:eastAsia="Times New Roman" w:hAnsi="David" w:cs="David"/>
          <w:sz w:val="22"/>
          <w:szCs w:val="22"/>
          <w:rtl/>
          <w:lang w:eastAsia="he-IL"/>
        </w:rPr>
        <w:t>, אלא ככל ששינויים אלה יחולו על כל חברי אקו"ם.</w:t>
      </w:r>
    </w:p>
    <w:p w:rsidR="00AD4C6B" w:rsidRPr="00364B07" w:rsidRDefault="00AD4C6B" w:rsidP="00AD4C6B">
      <w:pPr>
        <w:bidi/>
        <w:spacing w:before="120" w:line="360" w:lineRule="auto"/>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לעניין סעיף זה "</w:t>
      </w:r>
      <w:r w:rsidRPr="00364B07">
        <w:rPr>
          <w:rFonts w:ascii="David" w:eastAsia="Times New Roman" w:hAnsi="David" w:cs="David"/>
          <w:b/>
          <w:bCs/>
          <w:sz w:val="22"/>
          <w:szCs w:val="22"/>
          <w:rtl/>
          <w:lang w:eastAsia="he-IL"/>
        </w:rPr>
        <w:t>רישיון שימוש</w:t>
      </w:r>
      <w:r w:rsidRPr="00364B07">
        <w:rPr>
          <w:rFonts w:ascii="David" w:eastAsia="Times New Roman" w:hAnsi="David" w:cs="David"/>
          <w:sz w:val="22"/>
          <w:szCs w:val="22"/>
          <w:rtl/>
          <w:lang w:eastAsia="he-IL"/>
        </w:rPr>
        <w:t>" – לרבות תשלום דמי שימוש זמניים כהגדרתם בסעיף 5.1 לעיל.</w:t>
      </w:r>
    </w:p>
    <w:p w:rsidR="00AD4C6B" w:rsidRPr="00364B07" w:rsidRDefault="00AD4C6B" w:rsidP="00AD4C6B">
      <w:pPr>
        <w:widowControl w:val="0"/>
        <w:numPr>
          <w:ilvl w:val="0"/>
          <w:numId w:val="4"/>
        </w:numPr>
        <w:bidi/>
        <w:spacing w:before="120" w:line="360" w:lineRule="auto"/>
        <w:jc w:val="both"/>
        <w:rPr>
          <w:rFonts w:ascii="David" w:eastAsia="Times New Roman" w:hAnsi="David" w:cs="David"/>
          <w:b/>
          <w:bCs/>
          <w:sz w:val="22"/>
          <w:szCs w:val="22"/>
          <w:rtl/>
          <w:lang w:eastAsia="he-IL"/>
        </w:rPr>
      </w:pPr>
      <w:r w:rsidRPr="00364B07">
        <w:rPr>
          <w:rFonts w:ascii="David" w:eastAsia="Times New Roman" w:hAnsi="David" w:cs="David"/>
          <w:b/>
          <w:bCs/>
          <w:sz w:val="22"/>
          <w:szCs w:val="22"/>
          <w:rtl/>
          <w:lang w:eastAsia="he-IL"/>
        </w:rPr>
        <w:t>חלוקת תמלוגים ובוררות בסכסוכים פנימיים</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אקו"ם תחלק תמלוגים לחבריה באופן התואם את היקף ואופי השימוש בפועל ביצירות חבריה, לרבות על דרך מדגם – מקום בו אין באפשרות אקו"ם לקבל נתונים מספיקים על היקף ואופי השימוש, או מקום בו עיבוד הנתונים כרוך בהקצאה בלתי סבירה של משאבים. אין באמור בסעיף זה כדי למנוע מאקו"ם חלוקת תמלוגים כלליים, בכפוף לכללים שיאושרו על-ידי הממונה.</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אקו"ם לא תפלה בין חבריה ובין </w:t>
      </w:r>
      <w:proofErr w:type="spellStart"/>
      <w:r w:rsidRPr="00364B07">
        <w:rPr>
          <w:rFonts w:ascii="David" w:eastAsia="Times New Roman" w:hAnsi="David" w:cs="David"/>
          <w:sz w:val="22"/>
          <w:szCs w:val="22"/>
          <w:rtl/>
          <w:lang w:eastAsia="he-IL"/>
        </w:rPr>
        <w:t>מיוצגיה</w:t>
      </w:r>
      <w:proofErr w:type="spellEnd"/>
      <w:r w:rsidRPr="00364B07">
        <w:rPr>
          <w:rFonts w:ascii="David" w:eastAsia="Times New Roman" w:hAnsi="David" w:cs="David"/>
          <w:sz w:val="22"/>
          <w:szCs w:val="22"/>
          <w:rtl/>
          <w:lang w:eastAsia="he-IL"/>
        </w:rPr>
        <w:t>, ובין אלו לבין עצמם, בקביעת הקריטריונים לקביעת היקף השימוש ומפתח חלוקת התמלוגים.</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הקריטריונים לקביעת היקף השימוש, מפתח חלוקת התמלוגים ומדיניות </w:t>
      </w:r>
      <w:r w:rsidRPr="00364B07">
        <w:rPr>
          <w:rFonts w:ascii="David" w:eastAsia="Times New Roman" w:hAnsi="David" w:cs="David"/>
          <w:sz w:val="22"/>
          <w:szCs w:val="22"/>
          <w:rtl/>
        </w:rPr>
        <w:t>אקו"ם בדבר השימוש בסכומים שטרם חולקו או שחולקו ולא ניתנים לתשלום –</w:t>
      </w:r>
      <w:r w:rsidRPr="00364B07">
        <w:rPr>
          <w:rFonts w:ascii="David" w:eastAsia="Times New Roman" w:hAnsi="David" w:cs="David"/>
          <w:sz w:val="22"/>
          <w:szCs w:val="22"/>
          <w:rtl/>
          <w:lang w:eastAsia="he-IL"/>
        </w:rPr>
        <w:t xml:space="preserve"> יהיו שקופים ויימסרו לכל דורש, וזאת בלשון ברורה ושווה לכל נפש.</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אחת לשנה תעמיד אקו"ם לרשות כל חבר ומיוצג את המידע להלן ביחס לזכויותיו ביצירה:</w:t>
      </w:r>
    </w:p>
    <w:p w:rsidR="00AD4C6B" w:rsidRPr="00364B07" w:rsidRDefault="00AD4C6B" w:rsidP="00AD4C6B">
      <w:pPr>
        <w:numPr>
          <w:ilvl w:val="2"/>
          <w:numId w:val="4"/>
        </w:numPr>
        <w:overflowPunct w:val="0"/>
        <w:autoSpaceDE w:val="0"/>
        <w:autoSpaceDN w:val="0"/>
        <w:bidi/>
        <w:adjustRightInd w:val="0"/>
        <w:spacing w:before="120" w:after="120" w:line="360" w:lineRule="auto"/>
        <w:ind w:left="1224" w:hanging="504"/>
        <w:jc w:val="both"/>
        <w:textAlignment w:val="baseline"/>
        <w:rPr>
          <w:rFonts w:ascii="David" w:eastAsia="Times New Roman" w:hAnsi="David" w:cs="David"/>
          <w:sz w:val="22"/>
          <w:szCs w:val="22"/>
          <w:lang w:eastAsia="he-IL"/>
        </w:rPr>
      </w:pPr>
      <w:r w:rsidRPr="00364B07">
        <w:rPr>
          <w:rFonts w:ascii="David" w:eastAsia="Times New Roman" w:hAnsi="David" w:cs="David"/>
          <w:sz w:val="22"/>
          <w:szCs w:val="22"/>
          <w:rtl/>
          <w:lang w:eastAsia="he-IL"/>
        </w:rPr>
        <w:t>סכום התמלוגים ששילמה אקו"ם לאותו חבר או מיוצג בשנה הקודמת, לפי כל סוג של שימוש, ביחס לכל תקופה;</w:t>
      </w:r>
    </w:p>
    <w:p w:rsidR="00AD4C6B" w:rsidRPr="00364B07" w:rsidRDefault="00AD4C6B" w:rsidP="00AD4C6B">
      <w:pPr>
        <w:numPr>
          <w:ilvl w:val="2"/>
          <w:numId w:val="4"/>
        </w:numPr>
        <w:overflowPunct w:val="0"/>
        <w:autoSpaceDE w:val="0"/>
        <w:autoSpaceDN w:val="0"/>
        <w:bidi/>
        <w:adjustRightInd w:val="0"/>
        <w:spacing w:before="120" w:after="120" w:line="360" w:lineRule="auto"/>
        <w:ind w:left="1224" w:hanging="504"/>
        <w:jc w:val="both"/>
        <w:textAlignment w:val="baseline"/>
        <w:rPr>
          <w:rFonts w:ascii="David" w:eastAsia="Times New Roman" w:hAnsi="David" w:cs="David"/>
          <w:sz w:val="22"/>
          <w:szCs w:val="22"/>
          <w:lang w:eastAsia="he-IL"/>
        </w:rPr>
      </w:pPr>
      <w:r w:rsidRPr="00364B07">
        <w:rPr>
          <w:rFonts w:ascii="David" w:eastAsia="Times New Roman" w:hAnsi="David" w:cs="David"/>
          <w:sz w:val="22"/>
          <w:szCs w:val="22"/>
          <w:rtl/>
          <w:lang w:eastAsia="he-IL"/>
        </w:rPr>
        <w:t>סכום הכספים שנוכו בגין חלקו של אותו חבר או מיוצג בהוצאות אקו"ם;</w:t>
      </w:r>
    </w:p>
    <w:p w:rsidR="00AD4C6B" w:rsidRPr="00364B07" w:rsidRDefault="00AD4C6B" w:rsidP="00AD4C6B">
      <w:pPr>
        <w:numPr>
          <w:ilvl w:val="2"/>
          <w:numId w:val="4"/>
        </w:numPr>
        <w:overflowPunct w:val="0"/>
        <w:autoSpaceDE w:val="0"/>
        <w:autoSpaceDN w:val="0"/>
        <w:bidi/>
        <w:adjustRightInd w:val="0"/>
        <w:spacing w:before="120" w:after="120" w:line="360" w:lineRule="auto"/>
        <w:ind w:left="1224" w:hanging="504"/>
        <w:jc w:val="both"/>
        <w:textAlignment w:val="baseline"/>
        <w:rPr>
          <w:rFonts w:ascii="David" w:eastAsia="Times New Roman" w:hAnsi="David" w:cs="David"/>
          <w:sz w:val="22"/>
          <w:szCs w:val="22"/>
          <w:lang w:eastAsia="he-IL"/>
        </w:rPr>
      </w:pPr>
      <w:r w:rsidRPr="00364B07">
        <w:rPr>
          <w:rFonts w:ascii="David" w:eastAsia="Times New Roman" w:hAnsi="David" w:cs="David"/>
          <w:sz w:val="22"/>
          <w:szCs w:val="22"/>
          <w:rtl/>
          <w:lang w:eastAsia="he-IL"/>
        </w:rPr>
        <w:t>סכום הכספים שמיוחסים לאותו חבר אך טרם חולקו לו, ככל שקיימים.</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Pr>
      </w:pPr>
      <w:r w:rsidRPr="00364B07">
        <w:rPr>
          <w:rFonts w:ascii="David" w:eastAsia="Times New Roman" w:hAnsi="David" w:cs="David"/>
          <w:sz w:val="22"/>
          <w:szCs w:val="22"/>
          <w:rtl/>
          <w:lang w:eastAsia="he-IL"/>
        </w:rPr>
        <w:lastRenderedPageBreak/>
        <w:t xml:space="preserve">אקו"ם תפעל בהתאם למנגנון הקבוע בסעיף 51.1.1 לתקנונה נכון למועד מתן החלטה זו, אשר יכהן כבורר במחלוקות </w:t>
      </w:r>
      <w:r w:rsidRPr="00364B07">
        <w:rPr>
          <w:rFonts w:ascii="David" w:eastAsia="Times New Roman" w:hAnsi="David" w:cs="David"/>
          <w:sz w:val="22"/>
          <w:szCs w:val="22"/>
          <w:rtl/>
        </w:rPr>
        <w:t>בין אקו"ם לבין מי שביקש להיות חבר או מיוצג בנוגע להחלטות אקו"ם בעניין דחיית בקשה, הפסקת החברות או הייצוג או השעייתם, או התנאת תנאים להמשך החברות או הייצוג.</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Pr>
      </w:pPr>
      <w:r w:rsidRPr="00364B07">
        <w:rPr>
          <w:rFonts w:ascii="David" w:eastAsia="Times New Roman" w:hAnsi="David" w:cs="David"/>
          <w:sz w:val="22"/>
          <w:szCs w:val="22"/>
          <w:rtl/>
        </w:rPr>
        <w:t xml:space="preserve">במקרה של </w:t>
      </w:r>
      <w:r w:rsidRPr="00364B07">
        <w:rPr>
          <w:rFonts w:ascii="David" w:eastAsia="Times New Roman" w:hAnsi="David" w:cs="David"/>
          <w:sz w:val="22"/>
          <w:szCs w:val="22"/>
          <w:rtl/>
          <w:lang w:eastAsia="he-IL"/>
        </w:rPr>
        <w:t>מחלוקת</w:t>
      </w:r>
      <w:r w:rsidRPr="00364B07">
        <w:rPr>
          <w:rFonts w:ascii="David" w:eastAsia="Times New Roman" w:hAnsi="David" w:cs="David"/>
          <w:sz w:val="22"/>
          <w:szCs w:val="22"/>
          <w:rtl/>
        </w:rPr>
        <w:t xml:space="preserve"> כמפורט לעיל וככל שביקש זאת הצד השני למחלוקת, תציג אקו"ם שטר בוררות ותודיע לו כי אם יחתום על שטר הבוררות, המחלוקת תתברר במסגרת הליך בוררות. על הליך הבוררות יחולו הוראות חוק הבוררות, התשכ"ח-1968. אין באמור בסעיף זה כדי לשלול מחברים זכות לפנות לבית-משפט מוסמך או לגרוע מכל זכות שהיא המוקנית להם על פי הוראות כל דין.</w:t>
      </w:r>
    </w:p>
    <w:p w:rsidR="00AD4C6B" w:rsidRPr="00364B07" w:rsidRDefault="00AD4C6B" w:rsidP="00AD4C6B">
      <w:pPr>
        <w:widowControl w:val="0"/>
        <w:bidi/>
        <w:spacing w:before="120" w:line="360" w:lineRule="auto"/>
        <w:jc w:val="both"/>
        <w:rPr>
          <w:rFonts w:ascii="David" w:eastAsia="Times New Roman" w:hAnsi="David" w:cs="David"/>
          <w:sz w:val="22"/>
          <w:szCs w:val="22"/>
          <w:lang w:eastAsia="he-IL"/>
        </w:rPr>
      </w:pPr>
    </w:p>
    <w:p w:rsidR="00AD4C6B" w:rsidRPr="00364B07" w:rsidRDefault="00AD4C6B" w:rsidP="00AD4C6B">
      <w:pPr>
        <w:widowControl w:val="0"/>
        <w:numPr>
          <w:ilvl w:val="0"/>
          <w:numId w:val="4"/>
        </w:numPr>
        <w:bidi/>
        <w:spacing w:before="120" w:line="360" w:lineRule="auto"/>
        <w:ind w:right="340"/>
        <w:jc w:val="both"/>
        <w:outlineLvl w:val="3"/>
        <w:rPr>
          <w:rFonts w:ascii="David" w:eastAsia="Times New Roman" w:hAnsi="David" w:cs="David"/>
          <w:b/>
          <w:bCs/>
          <w:sz w:val="22"/>
          <w:szCs w:val="22"/>
          <w:rtl/>
          <w:lang w:eastAsia="he-IL"/>
        </w:rPr>
      </w:pPr>
      <w:r w:rsidRPr="00364B07">
        <w:rPr>
          <w:rFonts w:ascii="David" w:eastAsia="Times New Roman" w:hAnsi="David" w:cs="David"/>
          <w:b/>
          <w:bCs/>
          <w:sz w:val="22"/>
          <w:szCs w:val="22"/>
          <w:rtl/>
          <w:lang w:eastAsia="he-IL"/>
        </w:rPr>
        <w:t>דירקטוריון אקו"ם ושקיפות פעולותיה</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rPr>
      </w:pPr>
      <w:r w:rsidRPr="00364B07">
        <w:rPr>
          <w:rFonts w:ascii="David" w:eastAsia="Times New Roman" w:hAnsi="David" w:cs="David"/>
          <w:sz w:val="22"/>
          <w:szCs w:val="22"/>
          <w:rtl/>
        </w:rPr>
        <w:t xml:space="preserve">לפחות שליש מהחברים בדירקטוריון אקו"ם יהיו דירקטורים חיצוניים כמשמעותם בסימן ה' בפרק הראשון שבחלק שישי של חוק החברות, התשנ"ט-1999, והוראות </w:t>
      </w:r>
      <w:r w:rsidRPr="00364B07">
        <w:rPr>
          <w:rFonts w:ascii="David" w:eastAsia="Times New Roman" w:hAnsi="David" w:cs="David"/>
          <w:sz w:val="22"/>
          <w:szCs w:val="22"/>
          <w:rtl/>
          <w:lang w:eastAsia="he-IL"/>
        </w:rPr>
        <w:t>סימן</w:t>
      </w:r>
      <w:r w:rsidRPr="00364B07">
        <w:rPr>
          <w:rFonts w:ascii="David" w:eastAsia="Times New Roman" w:hAnsi="David" w:cs="David"/>
          <w:sz w:val="22"/>
          <w:szCs w:val="22"/>
          <w:rtl/>
        </w:rPr>
        <w:t xml:space="preserve"> זה יחולו, בשינויים המחויבים, על אקו"ם.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Pr>
      </w:pPr>
      <w:r w:rsidRPr="00364B07">
        <w:rPr>
          <w:rFonts w:ascii="David" w:eastAsia="Times New Roman" w:hAnsi="David" w:cs="David"/>
          <w:sz w:val="22"/>
          <w:szCs w:val="22"/>
          <w:rtl/>
        </w:rPr>
        <w:t>אחת לשנה אקו"ם תפרסם באתר האינטרנט שלה דו"ח פומבי שנתי אשר יכלול את המידע כדלקמן:</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Pr>
      </w:pPr>
      <w:r w:rsidRPr="00364B07">
        <w:rPr>
          <w:rFonts w:ascii="David" w:eastAsia="Times New Roman" w:hAnsi="David" w:cs="David"/>
          <w:sz w:val="22"/>
          <w:szCs w:val="22"/>
          <w:rtl/>
        </w:rPr>
        <w:t>תיאור של המבנה המשפטי והארגוני של אקו"ם;</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tl/>
        </w:rPr>
      </w:pPr>
      <w:r w:rsidRPr="00364B07">
        <w:rPr>
          <w:rFonts w:ascii="David" w:eastAsia="Times New Roman" w:hAnsi="David" w:cs="David"/>
          <w:sz w:val="22"/>
          <w:szCs w:val="22"/>
          <w:rtl/>
        </w:rPr>
        <w:t>דיווח על הפעולות העיקריות בשנה הרלוונטית;</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Pr>
      </w:pPr>
      <w:r w:rsidRPr="00364B07">
        <w:rPr>
          <w:rFonts w:ascii="David" w:eastAsia="Times New Roman" w:hAnsi="David" w:cs="David"/>
          <w:sz w:val="22"/>
          <w:szCs w:val="22"/>
          <w:rtl/>
        </w:rPr>
        <w:t>הכנסות אקו"ם, בחלוקה בין ארבעת סוגי השימושים המפורטים בסעיף 2.3 לעיל;</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Pr>
      </w:pPr>
      <w:r w:rsidRPr="00364B07">
        <w:rPr>
          <w:rFonts w:ascii="David" w:eastAsia="Times New Roman" w:hAnsi="David" w:cs="David"/>
          <w:sz w:val="22"/>
          <w:szCs w:val="22"/>
          <w:rtl/>
        </w:rPr>
        <w:t>סך עלויות אקו"ם;</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Pr>
      </w:pPr>
      <w:r w:rsidRPr="00364B07">
        <w:rPr>
          <w:rFonts w:ascii="David" w:eastAsia="Times New Roman" w:hAnsi="David" w:cs="David"/>
          <w:sz w:val="22"/>
          <w:szCs w:val="22"/>
          <w:rtl/>
        </w:rPr>
        <w:t>סך הכספים שנגבו מחברים, לרבות בדרך של ניכוי מהכנסות.</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Pr>
      </w:pPr>
      <w:r w:rsidRPr="00364B07">
        <w:rPr>
          <w:rFonts w:ascii="David" w:eastAsia="Times New Roman" w:hAnsi="David" w:cs="David"/>
          <w:sz w:val="22"/>
          <w:szCs w:val="22"/>
          <w:rtl/>
        </w:rPr>
        <w:t xml:space="preserve">אחת לשנה, אקו"ם תערוך דו"ח פנימי שנתי, אשר יועמד לרשות כל חבר ומיוצג, כל מי שזכאי להיות חבר ומיוצג ושלוחם של מי מאלה. אקו"ם רשאית להתנות את מסירת הדו"ח בחתימה על כתב סודיות. הדו"ח הפנימי השנתי יכלול את המידע </w:t>
      </w:r>
      <w:r w:rsidRPr="00364B07">
        <w:rPr>
          <w:rFonts w:ascii="David" w:eastAsia="Times New Roman" w:hAnsi="David" w:cs="David"/>
          <w:sz w:val="22"/>
          <w:szCs w:val="22"/>
          <w:rtl/>
          <w:lang w:eastAsia="he-IL"/>
        </w:rPr>
        <w:t>כדלקמן</w:t>
      </w:r>
      <w:r w:rsidRPr="00364B07">
        <w:rPr>
          <w:rFonts w:ascii="David" w:eastAsia="Times New Roman" w:hAnsi="David" w:cs="David"/>
          <w:sz w:val="22"/>
          <w:szCs w:val="22"/>
          <w:rtl/>
        </w:rPr>
        <w:t>, כפי שהמידע מופיע בדוחות הכספיים של אקו"ם:</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tl/>
        </w:rPr>
      </w:pPr>
      <w:r w:rsidRPr="00364B07">
        <w:rPr>
          <w:rFonts w:ascii="David" w:eastAsia="Times New Roman" w:hAnsi="David" w:cs="David"/>
          <w:sz w:val="22"/>
          <w:szCs w:val="22"/>
          <w:rtl/>
        </w:rPr>
        <w:t>דו"חות כספיים;</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Pr>
      </w:pPr>
      <w:r w:rsidRPr="00364B07">
        <w:rPr>
          <w:rFonts w:ascii="David" w:eastAsia="Times New Roman" w:hAnsi="David" w:cs="David"/>
          <w:sz w:val="22"/>
          <w:szCs w:val="22"/>
          <w:rtl/>
        </w:rPr>
        <w:t xml:space="preserve">הקריטריונים לזכאות להחלפת סוג המנייה באקו"ם, ובכלל זה פירוט של סכום התמלוגים המזכה בהחלפת סוג מניה באקו"ם לסוג מניה בכיר יותר; </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Pr>
      </w:pPr>
      <w:r w:rsidRPr="00364B07">
        <w:rPr>
          <w:rFonts w:ascii="David" w:eastAsia="Times New Roman" w:hAnsi="David" w:cs="David"/>
          <w:sz w:val="22"/>
          <w:szCs w:val="22"/>
          <w:rtl/>
        </w:rPr>
        <w:t xml:space="preserve">סך התמורה ששולמה לנושאי משרה, לרבות כל טובת הנאה אחרת שניתנה להם; </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Pr>
      </w:pPr>
      <w:r w:rsidRPr="00364B07">
        <w:rPr>
          <w:rFonts w:ascii="David" w:eastAsia="Times New Roman" w:hAnsi="David" w:cs="David"/>
          <w:sz w:val="22"/>
          <w:szCs w:val="22"/>
          <w:rtl/>
        </w:rPr>
        <w:t>סך הכנסות אקו"ם, בפילוח לפי סוג המשתמש;</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tl/>
        </w:rPr>
      </w:pPr>
      <w:r w:rsidRPr="00364B07">
        <w:rPr>
          <w:rFonts w:ascii="David" w:eastAsia="Times New Roman" w:hAnsi="David" w:cs="David"/>
          <w:sz w:val="22"/>
          <w:szCs w:val="22"/>
          <w:rtl/>
        </w:rPr>
        <w:t>סך הכנסות אקו"ם מהשקעות ותיאור השימוש בהכנסות כאמור;</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tl/>
        </w:rPr>
      </w:pPr>
      <w:r w:rsidRPr="00364B07">
        <w:rPr>
          <w:rFonts w:ascii="David" w:eastAsia="Times New Roman" w:hAnsi="David" w:cs="David"/>
          <w:sz w:val="22"/>
          <w:szCs w:val="22"/>
          <w:rtl/>
        </w:rPr>
        <w:t>סך עלויות אקו"ם, לרבות תיאור של כל עלויות התפעול ועלויות פיננסיות;</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Pr>
      </w:pPr>
      <w:r w:rsidRPr="00364B07">
        <w:rPr>
          <w:rFonts w:ascii="David" w:eastAsia="Times New Roman" w:hAnsi="David" w:cs="David"/>
          <w:sz w:val="22"/>
          <w:szCs w:val="22"/>
          <w:rtl/>
        </w:rPr>
        <w:t>מידע על חלוקת תמלוגים לחברים ומיוצגים, כדלקמן:</w:t>
      </w:r>
    </w:p>
    <w:p w:rsidR="00AD4C6B" w:rsidRPr="00364B07" w:rsidRDefault="00AD4C6B" w:rsidP="00ED4CC7">
      <w:pPr>
        <w:numPr>
          <w:ilvl w:val="3"/>
          <w:numId w:val="4"/>
        </w:numPr>
        <w:bidi/>
        <w:spacing w:before="120" w:line="360" w:lineRule="auto"/>
        <w:ind w:left="1944"/>
        <w:contextualSpacing/>
        <w:jc w:val="both"/>
        <w:rPr>
          <w:rFonts w:ascii="David" w:eastAsia="Times New Roman" w:hAnsi="David" w:cs="David"/>
          <w:sz w:val="22"/>
          <w:szCs w:val="22"/>
        </w:rPr>
      </w:pPr>
      <w:r w:rsidRPr="00364B07">
        <w:rPr>
          <w:rFonts w:ascii="David" w:eastAsia="Times New Roman" w:hAnsi="David" w:cs="David"/>
          <w:sz w:val="22"/>
          <w:szCs w:val="22"/>
          <w:rtl/>
        </w:rPr>
        <w:t xml:space="preserve"> סך התמלוגים שנגבו על ידי אקו"ם אך טרם חולקו לחשבונות החברים והמיוצגים, בחלוקה לפי סוג המשתמש, והשנה </w:t>
      </w:r>
      <w:r w:rsidR="00ED4CC7" w:rsidRPr="00364B07">
        <w:rPr>
          <w:rFonts w:ascii="David" w:eastAsia="Times New Roman" w:hAnsi="David" w:cs="David" w:hint="cs"/>
          <w:sz w:val="22"/>
          <w:szCs w:val="22"/>
          <w:rtl/>
        </w:rPr>
        <w:t>ב</w:t>
      </w:r>
      <w:r w:rsidR="00030746">
        <w:rPr>
          <w:rFonts w:ascii="David" w:eastAsia="Times New Roman" w:hAnsi="David" w:cs="David" w:hint="cs"/>
          <w:sz w:val="22"/>
          <w:szCs w:val="22"/>
          <w:rtl/>
        </w:rPr>
        <w:t>גינ</w:t>
      </w:r>
      <w:r w:rsidR="00ED4CC7" w:rsidRPr="00364B07">
        <w:rPr>
          <w:rFonts w:ascii="David" w:eastAsia="Times New Roman" w:hAnsi="David" w:cs="David" w:hint="cs"/>
          <w:sz w:val="22"/>
          <w:szCs w:val="22"/>
          <w:rtl/>
        </w:rPr>
        <w:t>ה נגבה</w:t>
      </w:r>
      <w:r w:rsidRPr="00364B07">
        <w:rPr>
          <w:rFonts w:ascii="David" w:eastAsia="Times New Roman" w:hAnsi="David" w:cs="David"/>
          <w:sz w:val="22"/>
          <w:szCs w:val="22"/>
          <w:rtl/>
        </w:rPr>
        <w:t xml:space="preserve"> התמלוג; </w:t>
      </w:r>
    </w:p>
    <w:p w:rsidR="00AD4C6B" w:rsidRPr="00364B07" w:rsidRDefault="00AD4C6B" w:rsidP="00AD4C6B">
      <w:pPr>
        <w:numPr>
          <w:ilvl w:val="3"/>
          <w:numId w:val="4"/>
        </w:numPr>
        <w:bidi/>
        <w:spacing w:before="120" w:line="360" w:lineRule="auto"/>
        <w:ind w:left="1944"/>
        <w:contextualSpacing/>
        <w:jc w:val="both"/>
        <w:rPr>
          <w:rFonts w:ascii="David" w:eastAsia="Times New Roman" w:hAnsi="David" w:cs="David"/>
          <w:sz w:val="22"/>
          <w:szCs w:val="22"/>
        </w:rPr>
      </w:pPr>
      <w:r w:rsidRPr="00364B07">
        <w:rPr>
          <w:rFonts w:ascii="David" w:eastAsia="Times New Roman" w:hAnsi="David" w:cs="David"/>
          <w:sz w:val="22"/>
          <w:szCs w:val="22"/>
          <w:rtl/>
        </w:rPr>
        <w:t xml:space="preserve"> סך התמלוגים שחולקו לחשבונות החברים והמיוצגים בשנה הרלוונטית לדו"ח, בחלוקה לפי סוג המשתמש, סוג החבר או המיוצג;</w:t>
      </w:r>
    </w:p>
    <w:p w:rsidR="00AD4C6B" w:rsidRPr="00364B07" w:rsidRDefault="00AD4C6B" w:rsidP="00AD4C6B">
      <w:pPr>
        <w:numPr>
          <w:ilvl w:val="3"/>
          <w:numId w:val="4"/>
        </w:numPr>
        <w:bidi/>
        <w:spacing w:before="120" w:line="360" w:lineRule="auto"/>
        <w:ind w:left="1944"/>
        <w:contextualSpacing/>
        <w:jc w:val="both"/>
        <w:rPr>
          <w:rFonts w:ascii="David" w:eastAsia="Times New Roman" w:hAnsi="David" w:cs="David"/>
          <w:sz w:val="22"/>
          <w:szCs w:val="22"/>
        </w:rPr>
      </w:pPr>
      <w:r w:rsidRPr="00364B07">
        <w:rPr>
          <w:rFonts w:ascii="David" w:eastAsia="Times New Roman" w:hAnsi="David" w:cs="David"/>
          <w:sz w:val="22"/>
          <w:szCs w:val="22"/>
          <w:rtl/>
        </w:rPr>
        <w:t xml:space="preserve"> מתוך התמלוגים שחולקו לחשבונות החברים והמיוצגים, סך התמלוגים שטרם שולמו לחברים בפועל, ופירוט הסיבות העיקריות שבגינן הכספים לא שולמו בפועל;</w:t>
      </w:r>
    </w:p>
    <w:p w:rsidR="00AD4C6B" w:rsidRPr="00364B07" w:rsidRDefault="00AD4C6B" w:rsidP="00AD4C6B">
      <w:pPr>
        <w:numPr>
          <w:ilvl w:val="3"/>
          <w:numId w:val="4"/>
        </w:numPr>
        <w:bidi/>
        <w:spacing w:before="120" w:line="360" w:lineRule="auto"/>
        <w:ind w:left="1944"/>
        <w:contextualSpacing/>
        <w:jc w:val="both"/>
        <w:rPr>
          <w:rFonts w:ascii="David" w:eastAsia="Times New Roman" w:hAnsi="David" w:cs="David"/>
          <w:sz w:val="22"/>
          <w:szCs w:val="22"/>
        </w:rPr>
      </w:pPr>
      <w:r w:rsidRPr="00364B07">
        <w:rPr>
          <w:rFonts w:ascii="David" w:eastAsia="Times New Roman" w:hAnsi="David" w:cs="David"/>
          <w:sz w:val="22"/>
          <w:szCs w:val="22"/>
          <w:rtl/>
        </w:rPr>
        <w:t>למען הסר ספק, יובהר כי המידע בסעיף קטן זה אינו מידע חשבונאי ואינו חלק מהדו"ח המבוקר (כהגדרתו להלן).</w:t>
      </w:r>
    </w:p>
    <w:p w:rsidR="00AD4C6B" w:rsidRPr="00364B07" w:rsidRDefault="00AD4C6B" w:rsidP="00AD4C6B">
      <w:pPr>
        <w:numPr>
          <w:ilvl w:val="2"/>
          <w:numId w:val="4"/>
        </w:numPr>
        <w:bidi/>
        <w:spacing w:before="120" w:line="360" w:lineRule="auto"/>
        <w:ind w:left="1224" w:hanging="504"/>
        <w:contextualSpacing/>
        <w:jc w:val="both"/>
        <w:rPr>
          <w:rFonts w:ascii="David" w:eastAsia="Times New Roman" w:hAnsi="David" w:cs="David"/>
          <w:sz w:val="22"/>
          <w:szCs w:val="22"/>
          <w:rtl/>
        </w:rPr>
      </w:pPr>
      <w:r w:rsidRPr="00364B07">
        <w:rPr>
          <w:rFonts w:ascii="David" w:eastAsia="Times New Roman" w:hAnsi="David" w:cs="David"/>
          <w:sz w:val="22"/>
          <w:szCs w:val="22"/>
          <w:rtl/>
        </w:rPr>
        <w:lastRenderedPageBreak/>
        <w:t>תדירות חלוקת התמלוגים על-ידי אקו"ם, בחלוקה לפי סוג המשתמש;</w:t>
      </w:r>
    </w:p>
    <w:p w:rsidR="00AD4C6B" w:rsidRPr="00364B07" w:rsidRDefault="00AD4C6B" w:rsidP="00AD4C6B">
      <w:pPr>
        <w:bidi/>
        <w:spacing w:line="360" w:lineRule="auto"/>
        <w:ind w:left="720"/>
        <w:contextualSpacing/>
        <w:jc w:val="both"/>
        <w:rPr>
          <w:rFonts w:ascii="David" w:eastAsia="Times New Roman" w:hAnsi="David" w:cs="David"/>
          <w:sz w:val="22"/>
          <w:szCs w:val="22"/>
          <w:rtl/>
        </w:rPr>
      </w:pPr>
      <w:r w:rsidRPr="00364B07">
        <w:rPr>
          <w:rFonts w:ascii="David" w:eastAsia="Times New Roman" w:hAnsi="David" w:cs="David"/>
          <w:sz w:val="22"/>
          <w:szCs w:val="22"/>
          <w:rtl/>
        </w:rPr>
        <w:t xml:space="preserve">המידע החשבונאי אשר ייכלל בדו"ח הפומבי והפנימי יבוקר על-ידי רואה חשבון מבקר ("הדו"ח המבוקר"), בהתאם להוראות הפרק החמישי לחוק החברות. יובהר כי המידע הקשור בפילוח ההכנסות וכן סעיף קטן 10.3.7 אינם חלק מהדו"ח המבוקר. </w:t>
      </w:r>
    </w:p>
    <w:p w:rsidR="00AD4C6B" w:rsidRPr="00364B07" w:rsidRDefault="00AD4C6B" w:rsidP="00AD4C6B">
      <w:pPr>
        <w:bidi/>
        <w:spacing w:line="360" w:lineRule="auto"/>
        <w:ind w:left="720"/>
        <w:contextualSpacing/>
        <w:jc w:val="both"/>
        <w:rPr>
          <w:rFonts w:ascii="David" w:eastAsia="Times New Roman" w:hAnsi="David" w:cs="David"/>
          <w:sz w:val="22"/>
          <w:szCs w:val="22"/>
          <w:rtl/>
        </w:rPr>
      </w:pPr>
    </w:p>
    <w:p w:rsidR="00AD4C6B" w:rsidRPr="00364B07" w:rsidRDefault="00AD4C6B" w:rsidP="00AD4C6B">
      <w:pPr>
        <w:widowControl w:val="0"/>
        <w:numPr>
          <w:ilvl w:val="0"/>
          <w:numId w:val="4"/>
        </w:numPr>
        <w:bidi/>
        <w:spacing w:before="120" w:line="360" w:lineRule="auto"/>
        <w:ind w:right="340"/>
        <w:jc w:val="both"/>
        <w:outlineLvl w:val="3"/>
        <w:rPr>
          <w:rFonts w:ascii="David" w:eastAsia="Times New Roman" w:hAnsi="David" w:cs="David"/>
          <w:b/>
          <w:bCs/>
          <w:sz w:val="22"/>
          <w:szCs w:val="22"/>
          <w:rtl/>
          <w:lang w:eastAsia="he-IL"/>
        </w:rPr>
      </w:pPr>
      <w:r w:rsidRPr="00364B07">
        <w:rPr>
          <w:rFonts w:ascii="David" w:eastAsia="Times New Roman" w:hAnsi="David" w:cs="David"/>
          <w:b/>
          <w:bCs/>
          <w:sz w:val="22"/>
          <w:szCs w:val="22"/>
          <w:rtl/>
          <w:lang w:eastAsia="he-IL"/>
        </w:rPr>
        <w:t>הודעה על הסדר זה</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בתוך 30 ימים ממועד מתן פטור זה, יישלח לכל המשתמשים המחזיקים ברישיון תקף עותק של תנאים אלה וכן תמצית של עיקר התנאים הרלוונטיים להם (להלן: "</w:t>
      </w:r>
      <w:r w:rsidRPr="00364B07">
        <w:rPr>
          <w:rFonts w:ascii="David" w:eastAsia="Times New Roman" w:hAnsi="David" w:cs="David"/>
          <w:b/>
          <w:bCs/>
          <w:sz w:val="22"/>
          <w:szCs w:val="22"/>
          <w:rtl/>
          <w:lang w:eastAsia="he-IL"/>
        </w:rPr>
        <w:t>הודעה למשתמשים</w:t>
      </w:r>
      <w:r w:rsidRPr="00364B07">
        <w:rPr>
          <w:rFonts w:ascii="David" w:eastAsia="Times New Roman" w:hAnsi="David" w:cs="David"/>
          <w:sz w:val="22"/>
          <w:szCs w:val="22"/>
          <w:rtl/>
          <w:lang w:eastAsia="he-IL"/>
        </w:rPr>
        <w:t>"). העתק מההודעה למשתמשים יימסר לכל מבקש, בין אם פנה לאקו"ם לשם קבלת רישיון, ובין אם אקו"ם פנתה אליו.</w:t>
      </w:r>
      <w:r w:rsidRPr="00364B07">
        <w:rPr>
          <w:rFonts w:ascii="David" w:eastAsia="Times New Roman" w:hAnsi="David" w:cs="David"/>
          <w:b/>
          <w:bCs/>
          <w:sz w:val="22"/>
          <w:szCs w:val="22"/>
          <w:rtl/>
          <w:lang w:eastAsia="he-IL"/>
        </w:rPr>
        <w:t xml:space="preserve">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rtl/>
          <w:lang w:eastAsia="he-IL"/>
        </w:rPr>
      </w:pPr>
      <w:r w:rsidRPr="00364B07">
        <w:rPr>
          <w:rFonts w:ascii="David" w:eastAsia="Times New Roman" w:hAnsi="David" w:cs="David"/>
          <w:sz w:val="22"/>
          <w:szCs w:val="22"/>
          <w:rtl/>
          <w:lang w:eastAsia="he-IL"/>
        </w:rPr>
        <w:t xml:space="preserve">בתוך 30 ימים ממועד מתן פטור זה, יישלח לכל חברי אקו"ם </w:t>
      </w:r>
      <w:proofErr w:type="spellStart"/>
      <w:r w:rsidRPr="00364B07">
        <w:rPr>
          <w:rFonts w:ascii="David" w:eastAsia="Times New Roman" w:hAnsi="David" w:cs="David"/>
          <w:sz w:val="22"/>
          <w:szCs w:val="22"/>
          <w:rtl/>
          <w:lang w:eastAsia="he-IL"/>
        </w:rPr>
        <w:t>ומיוצגיה</w:t>
      </w:r>
      <w:proofErr w:type="spellEnd"/>
      <w:r w:rsidRPr="00364B07">
        <w:rPr>
          <w:rFonts w:ascii="David" w:eastAsia="Times New Roman" w:hAnsi="David" w:cs="David"/>
          <w:sz w:val="22"/>
          <w:szCs w:val="22"/>
          <w:rtl/>
          <w:lang w:eastAsia="he-IL"/>
        </w:rPr>
        <w:t xml:space="preserve"> עותק של תנאים אלה וכן תמצית של עיקר התנאים הרלוונטיים להם (להלן: "</w:t>
      </w:r>
      <w:r w:rsidRPr="00364B07">
        <w:rPr>
          <w:rFonts w:ascii="David" w:eastAsia="Times New Roman" w:hAnsi="David" w:cs="David"/>
          <w:b/>
          <w:bCs/>
          <w:sz w:val="22"/>
          <w:szCs w:val="22"/>
          <w:rtl/>
          <w:lang w:eastAsia="he-IL"/>
        </w:rPr>
        <w:t>הודעה לחברים</w:t>
      </w:r>
      <w:r w:rsidRPr="00364B07">
        <w:rPr>
          <w:rFonts w:ascii="David" w:eastAsia="Times New Roman" w:hAnsi="David" w:cs="David"/>
          <w:sz w:val="22"/>
          <w:szCs w:val="22"/>
          <w:rtl/>
          <w:lang w:eastAsia="he-IL"/>
        </w:rPr>
        <w:t xml:space="preserve">"). העתק מההודעה לחברים יימסר לכל אדם המעוניין להצטרף לאקו"ם כחבר. </w:t>
      </w:r>
    </w:p>
    <w:p w:rsidR="00AD4C6B" w:rsidRPr="00364B07" w:rsidRDefault="00AD4C6B" w:rsidP="00AD4C6B">
      <w:pPr>
        <w:widowControl w:val="0"/>
        <w:numPr>
          <w:ilvl w:val="1"/>
          <w:numId w:val="4"/>
        </w:numPr>
        <w:bidi/>
        <w:spacing w:before="120" w:line="360" w:lineRule="auto"/>
        <w:ind w:left="746" w:hanging="720"/>
        <w:jc w:val="both"/>
        <w:rPr>
          <w:rFonts w:ascii="David" w:eastAsia="Times New Roman" w:hAnsi="David" w:cs="David"/>
          <w:sz w:val="22"/>
          <w:szCs w:val="22"/>
          <w:lang w:eastAsia="he-IL"/>
        </w:rPr>
      </w:pPr>
      <w:r w:rsidRPr="00364B07">
        <w:rPr>
          <w:rFonts w:ascii="David" w:eastAsia="Times New Roman" w:hAnsi="David" w:cs="David"/>
          <w:sz w:val="22"/>
          <w:szCs w:val="22"/>
          <w:rtl/>
          <w:lang w:eastAsia="he-IL"/>
        </w:rPr>
        <w:t xml:space="preserve">מבלי לגרוע מהאמור לעיל, אקו"ם תפרסם באתר האינטרנט שלה את ההודעה למשתמשים ואת ההודעה לחברים. </w:t>
      </w:r>
    </w:p>
    <w:bookmarkEnd w:id="1"/>
    <w:p w:rsidR="00AD4C6B" w:rsidRPr="00364B07" w:rsidRDefault="00AD4C6B" w:rsidP="00AD4C6B">
      <w:pPr>
        <w:spacing w:afterAutospacing="1" w:line="360" w:lineRule="auto"/>
        <w:rPr>
          <w:rFonts w:ascii="David" w:eastAsia="Times New Roman" w:hAnsi="David" w:cs="David"/>
          <w:sz w:val="22"/>
          <w:szCs w:val="22"/>
        </w:rPr>
      </w:pPr>
    </w:p>
    <w:p w:rsidR="00AD4C6B" w:rsidRDefault="00AD4C6B" w:rsidP="009D06EE">
      <w:pPr>
        <w:bidi/>
        <w:spacing w:before="100" w:beforeAutospacing="1" w:line="360" w:lineRule="auto"/>
        <w:ind w:left="3600"/>
        <w:jc w:val="center"/>
        <w:rPr>
          <w:rFonts w:ascii="David" w:eastAsia="Times New Roman" w:hAnsi="David" w:cs="David"/>
          <w:sz w:val="22"/>
          <w:szCs w:val="22"/>
          <w:rtl/>
        </w:rPr>
      </w:pPr>
      <w:r w:rsidRPr="009D06EE">
        <w:rPr>
          <w:rFonts w:ascii="David" w:eastAsia="Times New Roman" w:hAnsi="David" w:cs="David"/>
          <w:sz w:val="22"/>
          <w:szCs w:val="22"/>
          <w:rtl/>
        </w:rPr>
        <w:t>מיכל כהן</w:t>
      </w:r>
    </w:p>
    <w:p w:rsidR="009D06EE" w:rsidRDefault="009D06EE" w:rsidP="009D06EE">
      <w:pPr>
        <w:bidi/>
        <w:spacing w:before="100" w:beforeAutospacing="1" w:line="360" w:lineRule="auto"/>
        <w:ind w:left="3600"/>
        <w:jc w:val="center"/>
        <w:rPr>
          <w:rFonts w:ascii="David" w:eastAsia="Times New Roman" w:hAnsi="David" w:cs="David"/>
          <w:sz w:val="22"/>
          <w:szCs w:val="22"/>
          <w:rtl/>
        </w:rPr>
      </w:pPr>
    </w:p>
    <w:p w:rsidR="00AD4C6B" w:rsidRPr="009D06EE" w:rsidRDefault="00AD4C6B" w:rsidP="009D06EE">
      <w:pPr>
        <w:bidi/>
        <w:spacing w:before="100" w:beforeAutospacing="1" w:line="360" w:lineRule="auto"/>
        <w:ind w:left="3600"/>
        <w:jc w:val="center"/>
        <w:rPr>
          <w:rFonts w:ascii="David" w:eastAsia="Times New Roman" w:hAnsi="David" w:cs="David"/>
          <w:sz w:val="22"/>
          <w:szCs w:val="22"/>
          <w:rtl/>
        </w:rPr>
      </w:pPr>
      <w:r w:rsidRPr="009D06EE">
        <w:rPr>
          <w:rFonts w:ascii="David" w:eastAsia="Times New Roman" w:hAnsi="David" w:cs="David"/>
          <w:sz w:val="22"/>
          <w:szCs w:val="22"/>
          <w:rtl/>
        </w:rPr>
        <w:t xml:space="preserve">הממונה על </w:t>
      </w:r>
      <w:r w:rsidR="00524AE9" w:rsidRPr="009D06EE">
        <w:rPr>
          <w:rFonts w:ascii="David" w:eastAsia="Times New Roman" w:hAnsi="David" w:cs="David" w:hint="cs"/>
          <w:sz w:val="22"/>
          <w:szCs w:val="22"/>
          <w:rtl/>
        </w:rPr>
        <w:t>התחרות</w:t>
      </w:r>
    </w:p>
    <w:p w:rsidR="00AD4C6B" w:rsidRPr="009D06EE" w:rsidRDefault="00AD4C6B" w:rsidP="009D06EE">
      <w:pPr>
        <w:bidi/>
        <w:jc w:val="both"/>
        <w:rPr>
          <w:rFonts w:ascii="David" w:eastAsia="Times New Roman" w:hAnsi="David" w:cs="David"/>
          <w:sz w:val="22"/>
          <w:szCs w:val="22"/>
          <w:rtl/>
        </w:rPr>
      </w:pPr>
      <w:r w:rsidRPr="009D06EE">
        <w:rPr>
          <w:rFonts w:ascii="David" w:eastAsia="Times New Roman" w:hAnsi="David" w:cs="David"/>
          <w:sz w:val="22"/>
          <w:szCs w:val="22"/>
          <w:rtl/>
        </w:rPr>
        <w:t xml:space="preserve">ירושלים, </w:t>
      </w:r>
      <w:r w:rsidRPr="009D06EE">
        <w:rPr>
          <w:rFonts w:ascii="David" w:eastAsia="Times New Roman" w:hAnsi="David" w:cs="David"/>
          <w:sz w:val="22"/>
          <w:szCs w:val="22"/>
          <w:rtl/>
        </w:rPr>
        <w:fldChar w:fldCharType="begin"/>
      </w:r>
      <w:r w:rsidRPr="009D06EE">
        <w:rPr>
          <w:rFonts w:ascii="David" w:eastAsia="Times New Roman" w:hAnsi="David" w:cs="David"/>
          <w:sz w:val="22"/>
          <w:szCs w:val="22"/>
          <w:rtl/>
        </w:rPr>
        <w:instrText xml:space="preserve"> </w:instrText>
      </w:r>
      <w:r w:rsidRPr="009D06EE">
        <w:rPr>
          <w:rFonts w:ascii="David" w:eastAsia="Times New Roman" w:hAnsi="David" w:cs="David"/>
          <w:sz w:val="22"/>
          <w:szCs w:val="22"/>
        </w:rPr>
        <w:instrText>DATE</w:instrText>
      </w:r>
      <w:r w:rsidRPr="009D06EE">
        <w:rPr>
          <w:rFonts w:ascii="David" w:eastAsia="Times New Roman" w:hAnsi="David" w:cs="David"/>
          <w:sz w:val="22"/>
          <w:szCs w:val="22"/>
          <w:rtl/>
        </w:rPr>
        <w:instrText xml:space="preserve"> \@ "</w:instrText>
      </w:r>
      <w:r w:rsidRPr="009D06EE">
        <w:rPr>
          <w:rFonts w:ascii="David" w:eastAsia="Times New Roman" w:hAnsi="David" w:cs="David"/>
          <w:sz w:val="22"/>
          <w:szCs w:val="22"/>
        </w:rPr>
        <w:instrText>dd MMMM yyyy" \h</w:instrText>
      </w:r>
      <w:r w:rsidRPr="009D06EE">
        <w:rPr>
          <w:rFonts w:ascii="David" w:eastAsia="Times New Roman" w:hAnsi="David" w:cs="David"/>
          <w:sz w:val="22"/>
          <w:szCs w:val="22"/>
          <w:rtl/>
        </w:rPr>
        <w:instrText xml:space="preserve"> </w:instrText>
      </w:r>
      <w:r w:rsidRPr="009D06EE">
        <w:rPr>
          <w:rFonts w:ascii="David" w:eastAsia="Times New Roman" w:hAnsi="David" w:cs="David"/>
          <w:sz w:val="22"/>
          <w:szCs w:val="22"/>
          <w:rtl/>
        </w:rPr>
        <w:fldChar w:fldCharType="separate"/>
      </w:r>
      <w:r w:rsidR="00B70096">
        <w:rPr>
          <w:rFonts w:ascii="David" w:eastAsia="Times New Roman" w:hAnsi="David" w:cs="David"/>
          <w:noProof/>
          <w:sz w:val="22"/>
          <w:szCs w:val="22"/>
          <w:rtl/>
        </w:rPr>
        <w:t>‏כ"ו אדר תשפ"ג</w:t>
      </w:r>
      <w:r w:rsidRPr="009D06EE">
        <w:rPr>
          <w:rFonts w:ascii="David" w:eastAsia="Times New Roman" w:hAnsi="David" w:cs="David"/>
          <w:sz w:val="22"/>
          <w:szCs w:val="22"/>
          <w:rtl/>
        </w:rPr>
        <w:fldChar w:fldCharType="end"/>
      </w:r>
    </w:p>
    <w:p w:rsidR="00AD4C6B" w:rsidRPr="00364B07" w:rsidRDefault="00AD4C6B" w:rsidP="009D06EE">
      <w:pPr>
        <w:bidi/>
        <w:ind w:firstLine="720"/>
        <w:jc w:val="both"/>
        <w:rPr>
          <w:rFonts w:ascii="David" w:eastAsia="Times New Roman" w:hAnsi="David" w:cs="David"/>
          <w:sz w:val="22"/>
          <w:szCs w:val="22"/>
          <w:rtl/>
        </w:rPr>
      </w:pPr>
      <w:r w:rsidRPr="009D06EE">
        <w:rPr>
          <w:rFonts w:ascii="David" w:eastAsia="Times New Roman" w:hAnsi="David" w:cs="David"/>
          <w:sz w:val="22"/>
          <w:szCs w:val="22"/>
          <w:rtl/>
        </w:rPr>
        <w:t xml:space="preserve"> </w:t>
      </w:r>
      <w:r w:rsidR="00524AE9" w:rsidRPr="009D06EE">
        <w:rPr>
          <w:rFonts w:ascii="David" w:eastAsia="Times New Roman" w:hAnsi="David" w:cs="David" w:hint="cs"/>
          <w:sz w:val="22"/>
          <w:szCs w:val="22"/>
          <w:rtl/>
        </w:rPr>
        <w:t>15 בינואר 2023</w:t>
      </w:r>
    </w:p>
    <w:p w:rsidR="00AD4C6B" w:rsidRPr="00364B07" w:rsidRDefault="00AD4C6B" w:rsidP="00AD4C6B">
      <w:pPr>
        <w:bidi/>
        <w:spacing w:before="100" w:beforeAutospacing="1" w:line="360" w:lineRule="auto"/>
        <w:jc w:val="both"/>
        <w:rPr>
          <w:rFonts w:ascii="David" w:eastAsia="Times New Roman" w:hAnsi="David" w:cs="David"/>
          <w:sz w:val="22"/>
          <w:szCs w:val="22"/>
          <w:rtl/>
        </w:rPr>
      </w:pPr>
    </w:p>
    <w:p w:rsidR="00AD4C6B" w:rsidRPr="00364B07" w:rsidRDefault="00AD4C6B" w:rsidP="00AD4C6B">
      <w:pPr>
        <w:widowControl w:val="0"/>
        <w:bidi/>
        <w:spacing w:before="120" w:line="360" w:lineRule="auto"/>
        <w:ind w:left="360"/>
        <w:jc w:val="both"/>
        <w:outlineLvl w:val="1"/>
        <w:rPr>
          <w:rFonts w:ascii="David" w:eastAsia="Times New Roman" w:hAnsi="David" w:cs="David"/>
          <w:b/>
          <w:bCs/>
          <w:sz w:val="22"/>
          <w:szCs w:val="22"/>
          <w:u w:val="single"/>
          <w:rtl/>
        </w:rPr>
      </w:pPr>
    </w:p>
    <w:sectPr w:rsidR="00AD4C6B" w:rsidRPr="00364B07" w:rsidSect="00C6549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79BC" w:rsidRDefault="00CD79BC" w:rsidP="00D74B48">
      <w:r>
        <w:separator/>
      </w:r>
    </w:p>
  </w:endnote>
  <w:endnote w:type="continuationSeparator" w:id="0">
    <w:p w:rsidR="00CD79BC" w:rsidRDefault="00CD79BC" w:rsidP="00D7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6EE" w:rsidRDefault="009D0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David" w:hAnsi="David" w:cs="David"/>
      </w:rPr>
      <w:id w:val="-18471214"/>
      <w:docPartObj>
        <w:docPartGallery w:val="Page Numbers (Bottom of Page)"/>
        <w:docPartUnique/>
      </w:docPartObj>
    </w:sdtPr>
    <w:sdtEndPr/>
    <w:sdtContent>
      <w:p w:rsidR="00C65493" w:rsidRPr="009D06EE" w:rsidRDefault="00C65493">
        <w:pPr>
          <w:pStyle w:val="Footer"/>
          <w:jc w:val="center"/>
          <w:rPr>
            <w:rFonts w:ascii="David" w:hAnsi="David" w:cs="David"/>
          </w:rPr>
        </w:pPr>
        <w:r w:rsidRPr="009D06EE">
          <w:rPr>
            <w:rFonts w:ascii="David" w:hAnsi="David" w:cs="David"/>
          </w:rPr>
          <w:fldChar w:fldCharType="begin"/>
        </w:r>
        <w:r w:rsidRPr="009D06EE">
          <w:rPr>
            <w:rFonts w:ascii="David" w:hAnsi="David" w:cs="David"/>
          </w:rPr>
          <w:instrText xml:space="preserve"> PAGE   \* MERGEFORMAT </w:instrText>
        </w:r>
        <w:r w:rsidRPr="009D06EE">
          <w:rPr>
            <w:rFonts w:ascii="David" w:hAnsi="David" w:cs="David"/>
          </w:rPr>
          <w:fldChar w:fldCharType="separate"/>
        </w:r>
        <w:r w:rsidR="009D06EE">
          <w:rPr>
            <w:rFonts w:ascii="David" w:hAnsi="David" w:cs="David"/>
            <w:noProof/>
          </w:rPr>
          <w:t>17</w:t>
        </w:r>
        <w:r w:rsidRPr="009D06EE">
          <w:rPr>
            <w:rFonts w:ascii="David" w:hAnsi="David" w:cs="David"/>
            <w:noProof/>
          </w:rPr>
          <w:fldChar w:fldCharType="end"/>
        </w:r>
      </w:p>
    </w:sdtContent>
  </w:sdt>
  <w:p w:rsidR="009E78A7" w:rsidRDefault="009E78A7" w:rsidP="00AD35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5493" w:rsidRDefault="00C65493">
    <w:pPr>
      <w:pStyle w:val="Footer"/>
    </w:pPr>
    <w:r>
      <w:rPr>
        <w:noProof/>
      </w:rPr>
      <w:drawing>
        <wp:anchor distT="0" distB="0" distL="114300" distR="114300" simplePos="0" relativeHeight="251665408" behindDoc="1" locked="0" layoutInCell="1" allowOverlap="1" wp14:anchorId="2C944389" wp14:editId="0843E08E">
          <wp:simplePos x="0" y="0"/>
          <wp:positionH relativeFrom="page">
            <wp:posOffset>-200025</wp:posOffset>
          </wp:positionH>
          <wp:positionV relativeFrom="page">
            <wp:align>bottom</wp:align>
          </wp:positionV>
          <wp:extent cx="7548113" cy="933086"/>
          <wp:effectExtent l="0" t="0" r="0" b="635"/>
          <wp:wrapNone/>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דף פירמה חדש להדפסה - עברית ואנגלית-04-0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113" cy="93308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79BC" w:rsidRDefault="00CD79BC" w:rsidP="00D74B48">
      <w:r>
        <w:separator/>
      </w:r>
    </w:p>
  </w:footnote>
  <w:footnote w:type="continuationSeparator" w:id="0">
    <w:p w:rsidR="00CD79BC" w:rsidRDefault="00CD79BC" w:rsidP="00D74B48">
      <w:r>
        <w:continuationSeparator/>
      </w:r>
    </w:p>
  </w:footnote>
  <w:footnote w:id="1">
    <w:p w:rsidR="00FE0DF0" w:rsidRPr="00ED4CC7" w:rsidRDefault="00FE0DF0" w:rsidP="00514162">
      <w:pPr>
        <w:pStyle w:val="FootnoteText"/>
        <w:bidi/>
        <w:spacing w:before="0" w:beforeAutospacing="0" w:after="0" w:afterAutospacing="0" w:line="276" w:lineRule="auto"/>
        <w:jc w:val="both"/>
        <w:rPr>
          <w:rFonts w:ascii="David" w:hAnsi="David" w:cs="David"/>
          <w:sz w:val="18"/>
          <w:szCs w:val="18"/>
        </w:rPr>
      </w:pPr>
      <w:r w:rsidRPr="00ED4CC7">
        <w:rPr>
          <w:rStyle w:val="FootnoteReference"/>
          <w:rFonts w:ascii="David" w:hAnsi="David" w:cs="David"/>
          <w:sz w:val="18"/>
          <w:szCs w:val="18"/>
          <w:vertAlign w:val="superscript"/>
        </w:rPr>
        <w:footnoteRef/>
      </w:r>
      <w:r w:rsidRPr="00ED4CC7">
        <w:rPr>
          <w:rFonts w:ascii="David" w:hAnsi="David" w:cs="David"/>
          <w:sz w:val="18"/>
          <w:szCs w:val="18"/>
          <w:rtl/>
        </w:rPr>
        <w:t xml:space="preserve"> קביעה לפי סעיף 43(א)(1) והכרזה לפי סעיף 26(א) לחוק ההגבלים העסקיים, התשמ"ח-1988 בדבר הסדר כובל ובעל מונופולין: אגודת קומפוזיטורים, מחברים ומו"לים למוסיקה בישראל בע"מ (30.4.2004) </w:t>
      </w:r>
      <w:r w:rsidR="00514162" w:rsidRPr="00ED4CC7">
        <w:rPr>
          <w:rFonts w:ascii="David" w:hAnsi="David" w:cs="David"/>
          <w:b/>
          <w:bCs/>
          <w:sz w:val="18"/>
          <w:szCs w:val="18"/>
          <w:rtl/>
        </w:rPr>
        <w:t>רשות התחרות</w:t>
      </w:r>
      <w:r w:rsidRPr="00ED4CC7">
        <w:rPr>
          <w:rFonts w:ascii="David" w:hAnsi="David" w:cs="David"/>
          <w:sz w:val="18"/>
          <w:szCs w:val="18"/>
          <w:rtl/>
        </w:rPr>
        <w:t xml:space="preserve"> 3020033.</w:t>
      </w:r>
    </w:p>
  </w:footnote>
  <w:footnote w:id="2">
    <w:p w:rsidR="00FE0DF0" w:rsidRPr="00ED4CC7" w:rsidRDefault="00FE0DF0" w:rsidP="00A37970">
      <w:pPr>
        <w:pStyle w:val="FootnoteText"/>
        <w:bidi/>
        <w:spacing w:before="0" w:beforeAutospacing="0" w:after="0" w:afterAutospacing="0" w:line="276" w:lineRule="auto"/>
        <w:jc w:val="both"/>
        <w:rPr>
          <w:rFonts w:ascii="David" w:hAnsi="David" w:cs="David"/>
          <w:sz w:val="18"/>
          <w:szCs w:val="18"/>
        </w:rPr>
      </w:pPr>
      <w:r w:rsidRPr="00ED4CC7">
        <w:rPr>
          <w:rStyle w:val="FootnoteReference"/>
          <w:rFonts w:ascii="David" w:hAnsi="David" w:cs="David"/>
          <w:sz w:val="18"/>
          <w:szCs w:val="18"/>
          <w:vertAlign w:val="superscript"/>
        </w:rPr>
        <w:footnoteRef/>
      </w:r>
      <w:r w:rsidRPr="00ED4CC7">
        <w:rPr>
          <w:rFonts w:ascii="David" w:hAnsi="David" w:cs="David"/>
          <w:sz w:val="18"/>
          <w:szCs w:val="18"/>
          <w:rtl/>
        </w:rPr>
        <w:t xml:space="preserve"> </w:t>
      </w:r>
      <w:proofErr w:type="spellStart"/>
      <w:r w:rsidR="001377AB" w:rsidRPr="00ED4CC7">
        <w:rPr>
          <w:rFonts w:ascii="David" w:hAnsi="David" w:cs="David"/>
          <w:sz w:val="18"/>
          <w:szCs w:val="18"/>
          <w:rtl/>
        </w:rPr>
        <w:t>ה"ע</w:t>
      </w:r>
      <w:proofErr w:type="spellEnd"/>
      <w:r w:rsidR="001377AB" w:rsidRPr="00ED4CC7">
        <w:rPr>
          <w:rFonts w:ascii="David" w:hAnsi="David" w:cs="David"/>
          <w:sz w:val="18"/>
          <w:szCs w:val="18"/>
          <w:rtl/>
        </w:rPr>
        <w:t xml:space="preserve"> (הגבלים עסקיים – ביה"ד ירושלים) 512/04 אקו״ם בע״מ </w:t>
      </w:r>
      <w:r w:rsidR="001377AB" w:rsidRPr="00ED4CC7">
        <w:rPr>
          <w:rFonts w:ascii="David" w:hAnsi="David" w:cs="David"/>
          <w:b/>
          <w:bCs/>
          <w:sz w:val="18"/>
          <w:szCs w:val="18"/>
          <w:rtl/>
        </w:rPr>
        <w:t>־ אגודת קומפוזיטורים מחברים ומו״לים למוסיקה בישראל נ' הממונה על ההגבלים העסקיים</w:t>
      </w:r>
      <w:r w:rsidR="001377AB" w:rsidRPr="00ED4CC7">
        <w:rPr>
          <w:rFonts w:ascii="David" w:hAnsi="David" w:cs="David"/>
          <w:sz w:val="18"/>
          <w:szCs w:val="18"/>
          <w:rtl/>
        </w:rPr>
        <w:t xml:space="preserve"> (נבו 16.10.2008)</w:t>
      </w:r>
    </w:p>
  </w:footnote>
  <w:footnote w:id="3">
    <w:p w:rsidR="00FE0DF0" w:rsidRPr="00ED4CC7" w:rsidRDefault="00FE0DF0" w:rsidP="00A37970">
      <w:pPr>
        <w:pStyle w:val="FootnoteText"/>
        <w:bidi/>
        <w:spacing w:before="0" w:beforeAutospacing="0" w:after="0" w:afterAutospacing="0" w:line="276" w:lineRule="auto"/>
        <w:jc w:val="both"/>
        <w:rPr>
          <w:rFonts w:ascii="David" w:hAnsi="David" w:cs="David"/>
          <w:sz w:val="18"/>
          <w:szCs w:val="18"/>
        </w:rPr>
      </w:pPr>
      <w:r w:rsidRPr="00ED4CC7">
        <w:rPr>
          <w:rStyle w:val="FootnoteReference"/>
          <w:rFonts w:ascii="David" w:hAnsi="David" w:cs="David"/>
          <w:sz w:val="18"/>
          <w:szCs w:val="18"/>
          <w:vertAlign w:val="superscript"/>
        </w:rPr>
        <w:footnoteRef/>
      </w:r>
      <w:r w:rsidRPr="00ED4CC7">
        <w:rPr>
          <w:rFonts w:ascii="David" w:hAnsi="David" w:cs="David"/>
          <w:sz w:val="18"/>
          <w:szCs w:val="18"/>
          <w:vertAlign w:val="superscript"/>
          <w:rtl/>
        </w:rPr>
        <w:t xml:space="preserve"> </w:t>
      </w:r>
      <w:proofErr w:type="spellStart"/>
      <w:r w:rsidRPr="00ED4CC7">
        <w:rPr>
          <w:rFonts w:ascii="David" w:hAnsi="David" w:cs="David"/>
          <w:sz w:val="18"/>
          <w:szCs w:val="18"/>
          <w:rtl/>
        </w:rPr>
        <w:t>ה"כ</w:t>
      </w:r>
      <w:proofErr w:type="spellEnd"/>
      <w:r w:rsidRPr="00ED4CC7">
        <w:rPr>
          <w:rFonts w:ascii="David" w:hAnsi="David" w:cs="David"/>
          <w:sz w:val="18"/>
          <w:szCs w:val="18"/>
          <w:rtl/>
        </w:rPr>
        <w:t xml:space="preserve"> (י-ם) 513/04 </w:t>
      </w:r>
      <w:r w:rsidRPr="00ED4CC7">
        <w:rPr>
          <w:rFonts w:ascii="David" w:hAnsi="David" w:cs="David"/>
          <w:b/>
          <w:bCs/>
          <w:sz w:val="18"/>
          <w:szCs w:val="18"/>
          <w:rtl/>
        </w:rPr>
        <w:t xml:space="preserve">אקו״ם בע״מ – אגודת קומפוזיטורים מחברים ומו״לים למוסיקה בישראל נ' הממונה על ההגבלים העסקיים </w:t>
      </w:r>
      <w:r w:rsidRPr="00ED4CC7">
        <w:rPr>
          <w:rFonts w:ascii="David" w:hAnsi="David" w:cs="David"/>
          <w:sz w:val="18"/>
          <w:szCs w:val="18"/>
          <w:rtl/>
        </w:rPr>
        <w:t>(נבו 2.6.2011)</w:t>
      </w:r>
    </w:p>
  </w:footnote>
  <w:footnote w:id="4">
    <w:p w:rsidR="00FE0DF0" w:rsidRPr="00ED4CC7" w:rsidRDefault="00FE0DF0" w:rsidP="00A37970">
      <w:pPr>
        <w:pStyle w:val="FootnoteText"/>
        <w:bidi/>
        <w:spacing w:before="0" w:beforeAutospacing="0" w:after="0" w:afterAutospacing="0" w:line="276" w:lineRule="auto"/>
        <w:jc w:val="both"/>
        <w:rPr>
          <w:rFonts w:ascii="David" w:hAnsi="David" w:cs="David"/>
          <w:sz w:val="18"/>
          <w:szCs w:val="18"/>
          <w:highlight w:val="yellow"/>
        </w:rPr>
      </w:pPr>
      <w:r w:rsidRPr="00ED4CC7">
        <w:rPr>
          <w:rStyle w:val="FootnoteReference"/>
          <w:rFonts w:ascii="David" w:hAnsi="David" w:cs="David"/>
          <w:sz w:val="18"/>
          <w:szCs w:val="18"/>
          <w:vertAlign w:val="superscript"/>
        </w:rPr>
        <w:footnoteRef/>
      </w:r>
      <w:r w:rsidRPr="00ED4CC7">
        <w:rPr>
          <w:rFonts w:ascii="David" w:hAnsi="David" w:cs="David"/>
          <w:sz w:val="18"/>
          <w:szCs w:val="18"/>
          <w:vertAlign w:val="superscript"/>
          <w:rtl/>
        </w:rPr>
        <w:t xml:space="preserve"> </w:t>
      </w:r>
      <w:r w:rsidRPr="00ED4CC7">
        <w:rPr>
          <w:rFonts w:ascii="David" w:hAnsi="David" w:cs="David"/>
          <w:sz w:val="18"/>
          <w:szCs w:val="18"/>
          <w:rtl/>
        </w:rPr>
        <w:t xml:space="preserve">ע"א 5365/11 </w:t>
      </w:r>
      <w:r w:rsidRPr="00ED4CC7">
        <w:rPr>
          <w:rFonts w:ascii="David" w:hAnsi="David" w:cs="David"/>
          <w:b/>
          <w:bCs/>
          <w:sz w:val="18"/>
          <w:szCs w:val="18"/>
          <w:rtl/>
        </w:rPr>
        <w:t xml:space="preserve">אקו"ם בע"מ – אגודת קומפוזיטורים ואח' נ' </w:t>
      </w:r>
      <w:proofErr w:type="spellStart"/>
      <w:r w:rsidRPr="00ED4CC7">
        <w:rPr>
          <w:rFonts w:ascii="David" w:hAnsi="David" w:cs="David"/>
          <w:b/>
          <w:bCs/>
          <w:sz w:val="18"/>
          <w:szCs w:val="18"/>
        </w:rPr>
        <w:t>emi</w:t>
      </w:r>
      <w:proofErr w:type="spellEnd"/>
      <w:r w:rsidRPr="00ED4CC7">
        <w:rPr>
          <w:rFonts w:ascii="David" w:hAnsi="David" w:cs="David"/>
          <w:b/>
          <w:bCs/>
          <w:sz w:val="18"/>
          <w:szCs w:val="18"/>
        </w:rPr>
        <w:t xml:space="preserve"> music publishing ltd</w:t>
      </w:r>
      <w:r w:rsidRPr="00ED4CC7">
        <w:rPr>
          <w:rFonts w:ascii="David" w:hAnsi="David" w:cs="David"/>
          <w:sz w:val="18"/>
          <w:szCs w:val="18"/>
          <w:rtl/>
        </w:rPr>
        <w:t xml:space="preserve"> </w:t>
      </w:r>
      <w:r w:rsidRPr="00ED4CC7">
        <w:rPr>
          <w:rFonts w:ascii="David" w:hAnsi="David" w:cs="David"/>
          <w:b/>
          <w:bCs/>
          <w:sz w:val="18"/>
          <w:szCs w:val="18"/>
          <w:rtl/>
        </w:rPr>
        <w:t>ואח'</w:t>
      </w:r>
      <w:r w:rsidRPr="00ED4CC7">
        <w:rPr>
          <w:rFonts w:ascii="David" w:hAnsi="David" w:cs="David"/>
          <w:sz w:val="18"/>
          <w:szCs w:val="18"/>
          <w:rtl/>
        </w:rPr>
        <w:t xml:space="preserve"> (נבו 3.9.2013).</w:t>
      </w:r>
    </w:p>
  </w:footnote>
  <w:footnote w:id="5">
    <w:p w:rsidR="00FE0DF0" w:rsidRPr="00ED4CC7" w:rsidRDefault="00FE0DF0" w:rsidP="00C04F56">
      <w:pPr>
        <w:pStyle w:val="FootnoteText"/>
        <w:bidi/>
        <w:spacing w:before="0" w:beforeAutospacing="0" w:after="0" w:afterAutospacing="0" w:line="276" w:lineRule="auto"/>
        <w:jc w:val="both"/>
        <w:rPr>
          <w:rFonts w:ascii="David" w:hAnsi="David" w:cs="David"/>
          <w:sz w:val="18"/>
          <w:szCs w:val="18"/>
          <w:rtl/>
        </w:rPr>
      </w:pPr>
      <w:r w:rsidRPr="00ED4CC7">
        <w:rPr>
          <w:rStyle w:val="FootnoteReference"/>
          <w:rFonts w:ascii="David" w:hAnsi="David" w:cs="David"/>
          <w:sz w:val="18"/>
          <w:szCs w:val="18"/>
          <w:vertAlign w:val="superscript"/>
        </w:rPr>
        <w:footnoteRef/>
      </w:r>
      <w:r w:rsidRPr="00ED4CC7">
        <w:rPr>
          <w:rFonts w:ascii="David" w:hAnsi="David" w:cs="David"/>
          <w:sz w:val="18"/>
          <w:szCs w:val="18"/>
          <w:rtl/>
        </w:rPr>
        <w:t xml:space="preserve"> </w:t>
      </w:r>
      <w:proofErr w:type="spellStart"/>
      <w:r w:rsidR="00DF5038" w:rsidRPr="00ED4CC7">
        <w:rPr>
          <w:rFonts w:ascii="David" w:hAnsi="David" w:cs="David"/>
          <w:sz w:val="18"/>
          <w:szCs w:val="18"/>
          <w:rtl/>
        </w:rPr>
        <w:t>ה"כ</w:t>
      </w:r>
      <w:proofErr w:type="spellEnd"/>
      <w:r w:rsidR="00DF5038" w:rsidRPr="00ED4CC7">
        <w:rPr>
          <w:rFonts w:ascii="David" w:hAnsi="David" w:cs="David"/>
          <w:sz w:val="18"/>
          <w:szCs w:val="18"/>
          <w:rtl/>
        </w:rPr>
        <w:t xml:space="preserve"> (הגבלים עסקיים – ביה"ד ירושלים) 705-07 </w:t>
      </w:r>
      <w:r w:rsidR="00DF5038" w:rsidRPr="00ED4CC7">
        <w:rPr>
          <w:rFonts w:ascii="David" w:hAnsi="David" w:cs="David"/>
          <w:b/>
          <w:bCs/>
          <w:sz w:val="18"/>
          <w:szCs w:val="18"/>
          <w:rtl/>
        </w:rPr>
        <w:t>הפדרציה הישראלית לתקליטים וקלטות בע"מ נ' הממונה על הגבלים עסקיים</w:t>
      </w:r>
      <w:r w:rsidR="00DF5038" w:rsidRPr="00ED4CC7">
        <w:rPr>
          <w:rFonts w:ascii="David" w:hAnsi="David" w:cs="David"/>
          <w:sz w:val="18"/>
          <w:szCs w:val="18"/>
          <w:rtl/>
        </w:rPr>
        <w:t xml:space="preserve"> (נבו 03.02.2011)</w:t>
      </w:r>
      <w:r w:rsidR="00DF5038" w:rsidRPr="00ED4CC7" w:rsidDel="00DF5038">
        <w:rPr>
          <w:rFonts w:ascii="David" w:hAnsi="David" w:cs="David"/>
          <w:sz w:val="18"/>
          <w:szCs w:val="18"/>
          <w:rtl/>
        </w:rPr>
        <w:t xml:space="preserve"> </w:t>
      </w:r>
      <w:r w:rsidRPr="00ED4CC7">
        <w:rPr>
          <w:rFonts w:ascii="David" w:hAnsi="David" w:cs="David"/>
          <w:sz w:val="18"/>
          <w:szCs w:val="18"/>
          <w:rtl/>
        </w:rPr>
        <w:t>(להלן</w:t>
      </w:r>
      <w:r w:rsidRPr="00ED4CC7">
        <w:rPr>
          <w:rFonts w:ascii="David" w:hAnsi="David" w:cs="David"/>
          <w:b/>
          <w:bCs/>
          <w:sz w:val="18"/>
          <w:szCs w:val="18"/>
          <w:rtl/>
        </w:rPr>
        <w:t xml:space="preserve"> עניין הפדרציה</w:t>
      </w:r>
      <w:r w:rsidRPr="00ED4CC7">
        <w:rPr>
          <w:rFonts w:ascii="David" w:hAnsi="David" w:cs="David"/>
          <w:sz w:val="18"/>
          <w:szCs w:val="18"/>
          <w:rtl/>
        </w:rPr>
        <w:t>).</w:t>
      </w:r>
      <w:r w:rsidR="00D1279C" w:rsidRPr="00ED4CC7">
        <w:rPr>
          <w:rFonts w:ascii="David" w:hAnsi="David" w:cs="David"/>
          <w:sz w:val="18"/>
          <w:szCs w:val="18"/>
          <w:rtl/>
        </w:rPr>
        <w:t xml:space="preserve"> </w:t>
      </w:r>
      <w:proofErr w:type="spellStart"/>
      <w:r w:rsidR="00D1279C" w:rsidRPr="00ED4CC7">
        <w:rPr>
          <w:rFonts w:ascii="David" w:hAnsi="David" w:cs="David"/>
          <w:sz w:val="18"/>
          <w:szCs w:val="18"/>
          <w:rtl/>
        </w:rPr>
        <w:t>ה"כ</w:t>
      </w:r>
      <w:proofErr w:type="spellEnd"/>
      <w:r w:rsidR="00D1279C" w:rsidRPr="00ED4CC7">
        <w:rPr>
          <w:rFonts w:ascii="David" w:hAnsi="David" w:cs="David"/>
          <w:sz w:val="18"/>
          <w:szCs w:val="18"/>
          <w:rtl/>
        </w:rPr>
        <w:t xml:space="preserve"> (הגבלים עסקיים – ביה"ד ירושלים) </w:t>
      </w:r>
      <w:r w:rsidR="00D1279C" w:rsidRPr="00364B07">
        <w:rPr>
          <w:rFonts w:ascii="David" w:hAnsi="David" w:cs="David"/>
          <w:b/>
          <w:bCs/>
          <w:sz w:val="18"/>
          <w:szCs w:val="18"/>
          <w:rtl/>
        </w:rPr>
        <w:t>705</w:t>
      </w:r>
      <w:r w:rsidR="00D1279C" w:rsidRPr="00ED4CC7">
        <w:rPr>
          <w:rFonts w:ascii="David" w:hAnsi="David" w:cs="David"/>
          <w:sz w:val="18"/>
          <w:szCs w:val="18"/>
          <w:rtl/>
        </w:rPr>
        <w:t>-</w:t>
      </w:r>
      <w:r w:rsidR="00D1279C" w:rsidRPr="00ED4CC7">
        <w:rPr>
          <w:rFonts w:ascii="David" w:hAnsi="David" w:cs="David"/>
          <w:b/>
          <w:bCs/>
          <w:sz w:val="18"/>
          <w:szCs w:val="18"/>
          <w:rtl/>
        </w:rPr>
        <w:t>07 הפדרציה הישראלית לתקליטים וקלטות בע"מ נ' הממונה על הגבלים עסקיים</w:t>
      </w:r>
      <w:r w:rsidR="00D1279C" w:rsidRPr="00ED4CC7">
        <w:rPr>
          <w:rFonts w:ascii="David" w:hAnsi="David" w:cs="David"/>
          <w:sz w:val="18"/>
          <w:szCs w:val="18"/>
          <w:rtl/>
        </w:rPr>
        <w:t xml:space="preserve"> (נבו 07.09.2011).</w:t>
      </w:r>
    </w:p>
  </w:footnote>
  <w:footnote w:id="6">
    <w:p w:rsidR="00FE0DF0" w:rsidRPr="00ED4CC7" w:rsidRDefault="00FE0DF0" w:rsidP="00F702A5">
      <w:pPr>
        <w:pStyle w:val="FootnoteText"/>
        <w:bidi/>
        <w:spacing w:before="0" w:beforeAutospacing="0" w:after="0" w:afterAutospacing="0" w:line="276" w:lineRule="auto"/>
        <w:jc w:val="both"/>
        <w:rPr>
          <w:rFonts w:ascii="David" w:hAnsi="David" w:cs="David"/>
          <w:sz w:val="18"/>
          <w:szCs w:val="18"/>
          <w:highlight w:val="yellow"/>
        </w:rPr>
      </w:pPr>
      <w:r w:rsidRPr="00ED4CC7">
        <w:rPr>
          <w:rStyle w:val="FootnoteReference"/>
          <w:rFonts w:ascii="David" w:hAnsi="David" w:cs="David"/>
          <w:sz w:val="18"/>
          <w:szCs w:val="18"/>
          <w:vertAlign w:val="superscript"/>
        </w:rPr>
        <w:footnoteRef/>
      </w:r>
      <w:r w:rsidRPr="00ED4CC7">
        <w:rPr>
          <w:rFonts w:ascii="David" w:hAnsi="David" w:cs="David"/>
          <w:sz w:val="18"/>
          <w:szCs w:val="18"/>
          <w:rtl/>
        </w:rPr>
        <w:t xml:space="preserve"> </w:t>
      </w:r>
      <w:r w:rsidR="00D60078" w:rsidRPr="00ED4CC7">
        <w:rPr>
          <w:rFonts w:ascii="David" w:hAnsi="David" w:cs="David"/>
          <w:sz w:val="18"/>
          <w:szCs w:val="18"/>
          <w:rtl/>
        </w:rPr>
        <w:t xml:space="preserve">החלטה לפי סעיף 14 לחוק ההגבלים העסקיים, </w:t>
      </w:r>
      <w:proofErr w:type="spellStart"/>
      <w:r w:rsidR="00D60078" w:rsidRPr="00ED4CC7">
        <w:rPr>
          <w:rFonts w:ascii="David" w:hAnsi="David" w:cs="David"/>
          <w:sz w:val="18"/>
          <w:szCs w:val="18"/>
          <w:rtl/>
        </w:rPr>
        <w:t>התשמ"ח</w:t>
      </w:r>
      <w:proofErr w:type="spellEnd"/>
      <w:r w:rsidR="00D60078" w:rsidRPr="00ED4CC7">
        <w:rPr>
          <w:rFonts w:ascii="David" w:hAnsi="David" w:cs="David"/>
          <w:sz w:val="18"/>
          <w:szCs w:val="18"/>
          <w:rtl/>
        </w:rPr>
        <w:t xml:space="preserve">–1988 בדבר מתן פטור בתנאים מאישור הסדר כובל בין: </w:t>
      </w:r>
      <w:proofErr w:type="spellStart"/>
      <w:r w:rsidR="00D60078" w:rsidRPr="00ED4CC7">
        <w:rPr>
          <w:rFonts w:ascii="David" w:hAnsi="David" w:cs="David"/>
          <w:sz w:val="18"/>
          <w:szCs w:val="18"/>
          <w:rtl/>
        </w:rPr>
        <w:t>תל"י</w:t>
      </w:r>
      <w:proofErr w:type="spellEnd"/>
      <w:r w:rsidR="00D60078" w:rsidRPr="00ED4CC7">
        <w:rPr>
          <w:rFonts w:ascii="David" w:hAnsi="David" w:cs="David"/>
          <w:sz w:val="18"/>
          <w:szCs w:val="18"/>
          <w:rtl/>
        </w:rPr>
        <w:t xml:space="preserve"> חברת התמלוגים של יוצרי הקולנוע והטלוויזיה בישראל ובעלי הזכויות החברים בה</w:t>
      </w:r>
      <w:r w:rsidR="00D60078" w:rsidRPr="00ED4CC7" w:rsidDel="00D60078">
        <w:rPr>
          <w:rFonts w:ascii="David" w:hAnsi="David" w:cs="David"/>
          <w:sz w:val="18"/>
          <w:szCs w:val="18"/>
          <w:rtl/>
        </w:rPr>
        <w:t xml:space="preserve"> </w:t>
      </w:r>
      <w:r w:rsidR="00D60078" w:rsidRPr="00ED4CC7">
        <w:rPr>
          <w:rFonts w:ascii="David" w:hAnsi="David" w:cs="David"/>
          <w:sz w:val="18"/>
          <w:szCs w:val="18"/>
          <w:rtl/>
        </w:rPr>
        <w:t xml:space="preserve">(29.5.2019) </w:t>
      </w:r>
      <w:r w:rsidR="00D60078" w:rsidRPr="00ED4CC7">
        <w:rPr>
          <w:rFonts w:ascii="David" w:hAnsi="David" w:cs="David"/>
          <w:b/>
          <w:bCs/>
          <w:sz w:val="18"/>
          <w:szCs w:val="18"/>
          <w:rtl/>
        </w:rPr>
        <w:t>רשות התחרות</w:t>
      </w:r>
      <w:r w:rsidR="00D60078" w:rsidRPr="00ED4CC7">
        <w:rPr>
          <w:rFonts w:ascii="David" w:hAnsi="David" w:cs="David"/>
          <w:sz w:val="18"/>
          <w:szCs w:val="18"/>
          <w:rtl/>
        </w:rPr>
        <w:t xml:space="preserve"> </w:t>
      </w:r>
      <w:r w:rsidR="00D60078" w:rsidRPr="00ED4CC7">
        <w:rPr>
          <w:rFonts w:ascii="David" w:hAnsi="David" w:cs="David"/>
          <w:sz w:val="18"/>
          <w:szCs w:val="18"/>
        </w:rPr>
        <w:t>046705</w:t>
      </w:r>
      <w:r w:rsidR="00514162" w:rsidRPr="00ED4CC7">
        <w:rPr>
          <w:rFonts w:ascii="David" w:hAnsi="David" w:cs="David"/>
          <w:sz w:val="18"/>
          <w:szCs w:val="18"/>
          <w:rtl/>
        </w:rPr>
        <w:t>.</w:t>
      </w:r>
    </w:p>
  </w:footnote>
  <w:footnote w:id="7">
    <w:p w:rsidR="00FE0DF0" w:rsidRPr="00ED4CC7" w:rsidRDefault="00FE0DF0" w:rsidP="00A37970">
      <w:pPr>
        <w:pStyle w:val="FootnoteText"/>
        <w:bidi/>
        <w:spacing w:before="0" w:beforeAutospacing="0" w:after="0" w:afterAutospacing="0" w:line="276" w:lineRule="auto"/>
        <w:jc w:val="both"/>
        <w:rPr>
          <w:rFonts w:ascii="David" w:hAnsi="David" w:cs="David"/>
          <w:sz w:val="18"/>
          <w:szCs w:val="18"/>
          <w:highlight w:val="yellow"/>
          <w:rtl/>
        </w:rPr>
      </w:pPr>
      <w:r w:rsidRPr="00ED4CC7">
        <w:rPr>
          <w:rStyle w:val="FootnoteReference"/>
          <w:rFonts w:ascii="David" w:hAnsi="David" w:cs="David"/>
          <w:sz w:val="18"/>
          <w:szCs w:val="18"/>
          <w:vertAlign w:val="superscript"/>
        </w:rPr>
        <w:footnoteRef/>
      </w:r>
      <w:r w:rsidRPr="00ED4CC7">
        <w:rPr>
          <w:rFonts w:ascii="David" w:hAnsi="David" w:cs="David"/>
          <w:sz w:val="18"/>
          <w:szCs w:val="18"/>
          <w:rtl/>
        </w:rPr>
        <w:t xml:space="preserve"> ראו </w:t>
      </w:r>
      <w:r w:rsidRPr="00ED4CC7">
        <w:rPr>
          <w:rFonts w:ascii="David" w:hAnsi="David" w:cs="David"/>
          <w:b/>
          <w:bCs/>
          <w:sz w:val="18"/>
          <w:szCs w:val="18"/>
          <w:rtl/>
        </w:rPr>
        <w:t>עניין הפדרציה</w:t>
      </w:r>
      <w:r w:rsidRPr="00ED4CC7">
        <w:rPr>
          <w:rFonts w:ascii="David" w:hAnsi="David" w:cs="David"/>
          <w:sz w:val="18"/>
          <w:szCs w:val="18"/>
          <w:rtl/>
        </w:rPr>
        <w:t xml:space="preserve">, לעיל </w:t>
      </w:r>
      <w:proofErr w:type="spellStart"/>
      <w:r w:rsidRPr="00ED4CC7">
        <w:rPr>
          <w:rFonts w:ascii="David" w:hAnsi="David" w:cs="David"/>
          <w:sz w:val="18"/>
          <w:szCs w:val="18"/>
          <w:rtl/>
        </w:rPr>
        <w:t>ה"ש</w:t>
      </w:r>
      <w:proofErr w:type="spellEnd"/>
      <w:r w:rsidRPr="00ED4CC7">
        <w:rPr>
          <w:rFonts w:ascii="David" w:hAnsi="David" w:cs="David"/>
          <w:sz w:val="18"/>
          <w:szCs w:val="18"/>
          <w:rtl/>
        </w:rPr>
        <w:t xml:space="preserve"> 5, פסקה 12.</w:t>
      </w:r>
    </w:p>
  </w:footnote>
  <w:footnote w:id="8">
    <w:p w:rsidR="00A37970" w:rsidRPr="00ED4CC7" w:rsidRDefault="00A37970" w:rsidP="00752E23">
      <w:pPr>
        <w:pStyle w:val="FootnoteText"/>
        <w:bidi/>
        <w:rPr>
          <w:rFonts w:ascii="David" w:hAnsi="David" w:cs="David"/>
          <w:rtl/>
        </w:rPr>
      </w:pPr>
      <w:r w:rsidRPr="00ED4CC7">
        <w:rPr>
          <w:rStyle w:val="FootnoteReference"/>
          <w:rFonts w:ascii="David" w:hAnsi="David" w:cs="David"/>
          <w:sz w:val="18"/>
          <w:szCs w:val="18"/>
          <w:vertAlign w:val="superscript"/>
        </w:rPr>
        <w:footnoteRef/>
      </w:r>
      <w:r w:rsidRPr="00ED4CC7">
        <w:rPr>
          <w:rFonts w:ascii="David" w:hAnsi="David" w:cs="David"/>
          <w:vertAlign w:val="superscript"/>
        </w:rPr>
        <w:t xml:space="preserve"> </w:t>
      </w:r>
      <w:proofErr w:type="spellStart"/>
      <w:r w:rsidR="00752E23">
        <w:rPr>
          <w:rFonts w:ascii="David" w:hAnsi="David" w:cs="David" w:hint="cs"/>
          <w:sz w:val="18"/>
          <w:szCs w:val="18"/>
          <w:rtl/>
        </w:rPr>
        <w:t>ה"ש</w:t>
      </w:r>
      <w:proofErr w:type="spellEnd"/>
      <w:r w:rsidR="00752E23">
        <w:rPr>
          <w:rFonts w:ascii="David" w:hAnsi="David" w:cs="David" w:hint="cs"/>
          <w:sz w:val="18"/>
          <w:szCs w:val="18"/>
          <w:rtl/>
        </w:rPr>
        <w:t xml:space="preserve"> 4 לעיל.</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6EE" w:rsidRDefault="009D0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6EE" w:rsidRDefault="009D0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5493" w:rsidRDefault="00C65493">
    <w:pPr>
      <w:pStyle w:val="Header"/>
    </w:pPr>
    <w:r>
      <w:rPr>
        <w:noProof/>
        <w:rtl/>
      </w:rPr>
      <w:drawing>
        <wp:anchor distT="0" distB="0" distL="114300" distR="114300" simplePos="0" relativeHeight="251663360" behindDoc="1" locked="0" layoutInCell="1" allowOverlap="1" wp14:anchorId="3801D62F" wp14:editId="6C8ED92A">
          <wp:simplePos x="0" y="0"/>
          <wp:positionH relativeFrom="margin">
            <wp:align>center</wp:align>
          </wp:positionH>
          <wp:positionV relativeFrom="page">
            <wp:posOffset>-285750</wp:posOffset>
          </wp:positionV>
          <wp:extent cx="8307153" cy="1472540"/>
          <wp:effectExtent l="0" t="0" r="0" b="0"/>
          <wp:wrapTopAndBottom/>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דף פירמה חדש להדפסה - עברית ואנגלית-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07153" cy="14725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331CB"/>
    <w:multiLevelType w:val="multilevel"/>
    <w:tmpl w:val="F8CC2F62"/>
    <w:lvl w:ilvl="0">
      <w:start w:val="1"/>
      <w:numFmt w:val="decimal"/>
      <w:lvlText w:val="%1."/>
      <w:lvlJc w:val="left"/>
      <w:pPr>
        <w:tabs>
          <w:tab w:val="num" w:pos="720"/>
        </w:tabs>
        <w:ind w:left="720" w:hanging="360"/>
      </w:pPr>
    </w:lvl>
    <w:lvl w:ilvl="1">
      <w:start w:val="1"/>
      <w:numFmt w:val="decimal"/>
      <w:lvlText w:val="%2."/>
      <w:lvlJc w:val="left"/>
      <w:pPr>
        <w:tabs>
          <w:tab w:val="num" w:pos="785"/>
        </w:tabs>
        <w:ind w:left="785" w:hanging="360"/>
      </w:pPr>
    </w:lvl>
    <w:lvl w:ilvl="2">
      <w:start w:val="1"/>
      <w:numFmt w:val="decimal"/>
      <w:lvlText w:val="%3."/>
      <w:lvlJc w:val="left"/>
      <w:pPr>
        <w:tabs>
          <w:tab w:val="num" w:pos="1069"/>
        </w:tabs>
        <w:ind w:left="1069" w:hanging="360"/>
      </w:pPr>
    </w:lvl>
    <w:lvl w:ilvl="3">
      <w:start w:val="1"/>
      <w:numFmt w:val="decimal"/>
      <w:lvlText w:val="%4."/>
      <w:lvlJc w:val="left"/>
      <w:pPr>
        <w:tabs>
          <w:tab w:val="num" w:pos="1919"/>
        </w:tabs>
        <w:ind w:left="1919"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8A43775"/>
    <w:multiLevelType w:val="multilevel"/>
    <w:tmpl w:val="A4584DA2"/>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08B3CFE"/>
    <w:multiLevelType w:val="hybridMultilevel"/>
    <w:tmpl w:val="FEF00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E658F4"/>
    <w:multiLevelType w:val="multilevel"/>
    <w:tmpl w:val="3D08CC9A"/>
    <w:lvl w:ilvl="0">
      <w:start w:val="2"/>
      <w:numFmt w:val="decimal"/>
      <w:lvlText w:val="%1"/>
      <w:lvlJc w:val="left"/>
      <w:pPr>
        <w:ind w:left="360" w:hanging="360"/>
      </w:pPr>
      <w:rPr>
        <w:rFonts w:hint="default"/>
        <w:b w:val="0"/>
      </w:rPr>
    </w:lvl>
    <w:lvl w:ilvl="1">
      <w:start w:val="1"/>
      <w:numFmt w:val="decimal"/>
      <w:lvlText w:val="%1.%2"/>
      <w:lvlJc w:val="left"/>
      <w:pPr>
        <w:ind w:left="785" w:hanging="360"/>
      </w:pPr>
      <w:rPr>
        <w:rFonts w:hint="default"/>
        <w:b/>
        <w:bCs w:val="0"/>
      </w:rPr>
    </w:lvl>
    <w:lvl w:ilvl="2">
      <w:start w:val="1"/>
      <w:numFmt w:val="decimal"/>
      <w:suff w:val="space"/>
      <w:lvlText w:val="%1.%2.%3"/>
      <w:lvlJc w:val="left"/>
      <w:pPr>
        <w:ind w:left="1571" w:hanging="720"/>
      </w:pPr>
      <w:rPr>
        <w:rFonts w:ascii="David" w:hAnsi="David" w:cs="David" w:hint="default"/>
        <w:b w:val="0"/>
        <w:lang w:val="en-US" w:bidi="he-IL"/>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48"/>
    <w:rsid w:val="00030746"/>
    <w:rsid w:val="00066DE4"/>
    <w:rsid w:val="0008023B"/>
    <w:rsid w:val="00110152"/>
    <w:rsid w:val="00120CD6"/>
    <w:rsid w:val="001377AB"/>
    <w:rsid w:val="0015016E"/>
    <w:rsid w:val="001A15B1"/>
    <w:rsid w:val="001E11F9"/>
    <w:rsid w:val="001E14C3"/>
    <w:rsid w:val="00207723"/>
    <w:rsid w:val="002569F2"/>
    <w:rsid w:val="00257931"/>
    <w:rsid w:val="002732C2"/>
    <w:rsid w:val="00286315"/>
    <w:rsid w:val="002A4052"/>
    <w:rsid w:val="00364B07"/>
    <w:rsid w:val="003667A0"/>
    <w:rsid w:val="003700A0"/>
    <w:rsid w:val="00374F0F"/>
    <w:rsid w:val="00394795"/>
    <w:rsid w:val="00427E2B"/>
    <w:rsid w:val="0046514C"/>
    <w:rsid w:val="0047637F"/>
    <w:rsid w:val="00485DA6"/>
    <w:rsid w:val="004A085C"/>
    <w:rsid w:val="00514162"/>
    <w:rsid w:val="00524AE9"/>
    <w:rsid w:val="00545A98"/>
    <w:rsid w:val="00546D12"/>
    <w:rsid w:val="0059323E"/>
    <w:rsid w:val="0062399F"/>
    <w:rsid w:val="0066363C"/>
    <w:rsid w:val="00664183"/>
    <w:rsid w:val="00692D3C"/>
    <w:rsid w:val="00692D6D"/>
    <w:rsid w:val="00697D96"/>
    <w:rsid w:val="006A2400"/>
    <w:rsid w:val="006C2B0D"/>
    <w:rsid w:val="00727B87"/>
    <w:rsid w:val="0074791B"/>
    <w:rsid w:val="00752E23"/>
    <w:rsid w:val="00874DCA"/>
    <w:rsid w:val="00880E48"/>
    <w:rsid w:val="00891DAA"/>
    <w:rsid w:val="00926326"/>
    <w:rsid w:val="009D06EE"/>
    <w:rsid w:val="009E5DB8"/>
    <w:rsid w:val="009E78A7"/>
    <w:rsid w:val="00A37970"/>
    <w:rsid w:val="00A52425"/>
    <w:rsid w:val="00A6788A"/>
    <w:rsid w:val="00A74BA0"/>
    <w:rsid w:val="00A77F70"/>
    <w:rsid w:val="00AD3572"/>
    <w:rsid w:val="00AD4C6B"/>
    <w:rsid w:val="00B06FA1"/>
    <w:rsid w:val="00B12FFF"/>
    <w:rsid w:val="00B70096"/>
    <w:rsid w:val="00B93569"/>
    <w:rsid w:val="00BA08D2"/>
    <w:rsid w:val="00BF0E88"/>
    <w:rsid w:val="00C04F56"/>
    <w:rsid w:val="00C35726"/>
    <w:rsid w:val="00C65493"/>
    <w:rsid w:val="00C72B6E"/>
    <w:rsid w:val="00C7392B"/>
    <w:rsid w:val="00CC1B58"/>
    <w:rsid w:val="00CD521A"/>
    <w:rsid w:val="00CD79BC"/>
    <w:rsid w:val="00D052D9"/>
    <w:rsid w:val="00D1279C"/>
    <w:rsid w:val="00D230B6"/>
    <w:rsid w:val="00D60078"/>
    <w:rsid w:val="00D74B48"/>
    <w:rsid w:val="00DF1458"/>
    <w:rsid w:val="00DF5038"/>
    <w:rsid w:val="00E17046"/>
    <w:rsid w:val="00E9219E"/>
    <w:rsid w:val="00E94456"/>
    <w:rsid w:val="00EB300D"/>
    <w:rsid w:val="00EC2AF1"/>
    <w:rsid w:val="00ED4CC7"/>
    <w:rsid w:val="00F702A5"/>
    <w:rsid w:val="00FE0DF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4281012F-617F-47A4-B584-5339E4CD4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0DF0"/>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4B48"/>
    <w:pPr>
      <w:tabs>
        <w:tab w:val="center" w:pos="4153"/>
        <w:tab w:val="right" w:pos="8306"/>
      </w:tabs>
    </w:pPr>
  </w:style>
  <w:style w:type="character" w:customStyle="1" w:styleId="HeaderChar">
    <w:name w:val="Header Char"/>
    <w:basedOn w:val="DefaultParagraphFont"/>
    <w:link w:val="Header"/>
    <w:uiPriority w:val="99"/>
    <w:rsid w:val="00D74B48"/>
  </w:style>
  <w:style w:type="paragraph" w:styleId="Footer">
    <w:name w:val="footer"/>
    <w:basedOn w:val="Normal"/>
    <w:link w:val="FooterChar"/>
    <w:uiPriority w:val="99"/>
    <w:unhideWhenUsed/>
    <w:rsid w:val="00D74B48"/>
    <w:pPr>
      <w:tabs>
        <w:tab w:val="center" w:pos="4153"/>
        <w:tab w:val="right" w:pos="8306"/>
      </w:tabs>
    </w:pPr>
  </w:style>
  <w:style w:type="character" w:customStyle="1" w:styleId="FooterChar">
    <w:name w:val="Footer Char"/>
    <w:basedOn w:val="DefaultParagraphFont"/>
    <w:link w:val="Footer"/>
    <w:uiPriority w:val="99"/>
    <w:rsid w:val="00D74B48"/>
  </w:style>
  <w:style w:type="paragraph" w:styleId="NoSpacing">
    <w:name w:val="No Spacing"/>
    <w:uiPriority w:val="1"/>
    <w:qFormat/>
    <w:rsid w:val="00C7392B"/>
    <w:pPr>
      <w:bidi/>
      <w:spacing w:after="0" w:line="240" w:lineRule="auto"/>
      <w:jc w:val="both"/>
    </w:pPr>
    <w:rPr>
      <w:rFonts w:ascii="Times New Roman" w:eastAsia="Times New Roman" w:hAnsi="Times New Roman" w:cs="David"/>
      <w:sz w:val="24"/>
      <w:szCs w:val="24"/>
      <w:lang w:eastAsia="he-IL"/>
    </w:rPr>
  </w:style>
  <w:style w:type="paragraph" w:styleId="BalloonText">
    <w:name w:val="Balloon Text"/>
    <w:basedOn w:val="Normal"/>
    <w:link w:val="BalloonTextChar"/>
    <w:uiPriority w:val="99"/>
    <w:semiHidden/>
    <w:unhideWhenUsed/>
    <w:rsid w:val="00C7392B"/>
    <w:rPr>
      <w:rFonts w:ascii="Tahoma" w:hAnsi="Tahoma" w:cs="Tahoma"/>
      <w:sz w:val="18"/>
      <w:szCs w:val="18"/>
    </w:rPr>
  </w:style>
  <w:style w:type="character" w:customStyle="1" w:styleId="BalloonTextChar">
    <w:name w:val="Balloon Text Char"/>
    <w:basedOn w:val="DefaultParagraphFont"/>
    <w:link w:val="BalloonText"/>
    <w:uiPriority w:val="99"/>
    <w:semiHidden/>
    <w:rsid w:val="00C7392B"/>
    <w:rPr>
      <w:rFonts w:ascii="Tahoma" w:hAnsi="Tahoma" w:cs="Tahoma"/>
      <w:sz w:val="18"/>
      <w:szCs w:val="18"/>
    </w:rPr>
  </w:style>
  <w:style w:type="paragraph" w:styleId="ListParagraph">
    <w:name w:val="List Paragraph"/>
    <w:basedOn w:val="Normal"/>
    <w:uiPriority w:val="34"/>
    <w:qFormat/>
    <w:rsid w:val="00FE0DF0"/>
    <w:pPr>
      <w:spacing w:before="100" w:beforeAutospacing="1" w:after="100" w:afterAutospacing="1"/>
    </w:pPr>
  </w:style>
  <w:style w:type="character" w:styleId="FootnoteReference">
    <w:name w:val="footnote reference"/>
    <w:basedOn w:val="DefaultParagraphFont"/>
    <w:uiPriority w:val="99"/>
    <w:semiHidden/>
    <w:unhideWhenUsed/>
    <w:rsid w:val="00FE0DF0"/>
  </w:style>
  <w:style w:type="paragraph" w:styleId="FootnoteText">
    <w:name w:val="footnote text"/>
    <w:basedOn w:val="Normal"/>
    <w:link w:val="FootnoteTextChar"/>
    <w:uiPriority w:val="99"/>
    <w:unhideWhenUsed/>
    <w:rsid w:val="00FE0DF0"/>
    <w:pPr>
      <w:spacing w:before="100" w:beforeAutospacing="1" w:after="100" w:afterAutospacing="1"/>
    </w:pPr>
  </w:style>
  <w:style w:type="character" w:customStyle="1" w:styleId="FootnoteTextChar">
    <w:name w:val="Footnote Text Char"/>
    <w:basedOn w:val="DefaultParagraphFont"/>
    <w:link w:val="FootnoteText"/>
    <w:uiPriority w:val="99"/>
    <w:rsid w:val="00FE0DF0"/>
    <w:rPr>
      <w:rFonts w:ascii="Times New Roman" w:eastAsiaTheme="minorEastAsia" w:hAnsi="Times New Roman" w:cs="Times New Roman"/>
      <w:sz w:val="24"/>
      <w:szCs w:val="24"/>
    </w:rPr>
  </w:style>
  <w:style w:type="character" w:styleId="Hyperlink">
    <w:name w:val="Hyperlink"/>
    <w:basedOn w:val="DefaultParagraphFont"/>
    <w:uiPriority w:val="99"/>
    <w:semiHidden/>
    <w:unhideWhenUsed/>
    <w:rsid w:val="00FE0DF0"/>
    <w:rPr>
      <w:color w:val="0000FF"/>
      <w:u w:val="single"/>
    </w:rPr>
  </w:style>
  <w:style w:type="character" w:styleId="CommentReference">
    <w:name w:val="annotation reference"/>
    <w:basedOn w:val="DefaultParagraphFont"/>
    <w:uiPriority w:val="99"/>
    <w:semiHidden/>
    <w:unhideWhenUsed/>
    <w:rsid w:val="00FE0DF0"/>
    <w:rPr>
      <w:sz w:val="16"/>
      <w:szCs w:val="16"/>
    </w:rPr>
  </w:style>
  <w:style w:type="paragraph" w:styleId="CommentText">
    <w:name w:val="annotation text"/>
    <w:basedOn w:val="Normal"/>
    <w:link w:val="CommentTextChar"/>
    <w:uiPriority w:val="99"/>
    <w:semiHidden/>
    <w:unhideWhenUsed/>
    <w:rsid w:val="00FE0DF0"/>
    <w:rPr>
      <w:sz w:val="20"/>
      <w:szCs w:val="20"/>
    </w:rPr>
  </w:style>
  <w:style w:type="character" w:customStyle="1" w:styleId="CommentTextChar">
    <w:name w:val="Comment Text Char"/>
    <w:basedOn w:val="DefaultParagraphFont"/>
    <w:link w:val="CommentText"/>
    <w:uiPriority w:val="99"/>
    <w:semiHidden/>
    <w:rsid w:val="00FE0DF0"/>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702A5"/>
    <w:rPr>
      <w:b/>
      <w:bCs/>
    </w:rPr>
  </w:style>
  <w:style w:type="character" w:customStyle="1" w:styleId="CommentSubjectChar">
    <w:name w:val="Comment Subject Char"/>
    <w:basedOn w:val="CommentTextChar"/>
    <w:link w:val="CommentSubject"/>
    <w:uiPriority w:val="99"/>
    <w:semiHidden/>
    <w:rsid w:val="00F702A5"/>
    <w:rPr>
      <w:rFonts w:ascii="Times New Roman" w:eastAsiaTheme="minorEastAsia"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86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06B09-02DC-4DDB-91D3-D97057BD7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7056</Words>
  <Characters>35285</Characters>
  <Application>Microsoft Office Word</Application>
  <DocSecurity>4</DocSecurity>
  <Lines>294</Lines>
  <Paragraphs>84</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42257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Nofar hadar</dc:creator>
  <cp:keywords/>
  <dc:description/>
  <cp:lastModifiedBy>Melita Shafir</cp:lastModifiedBy>
  <cp:revision>2</cp:revision>
  <cp:lastPrinted>2019-09-02T05:49:00Z</cp:lastPrinted>
  <dcterms:created xsi:type="dcterms:W3CDTF">2023-03-19T14:18:00Z</dcterms:created>
  <dcterms:modified xsi:type="dcterms:W3CDTF">2023-03-19T14:18:00Z</dcterms:modified>
</cp:coreProperties>
</file>