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74F53" w14:textId="65FF8077" w:rsidR="00A766B1" w:rsidRPr="00D8623E" w:rsidRDefault="00A766B1" w:rsidP="00C5259D">
      <w:pPr>
        <w:spacing w:before="100" w:beforeAutospacing="1" w:after="100" w:afterAutospacing="1" w:line="276" w:lineRule="auto"/>
        <w:jc w:val="center"/>
        <w:rPr>
          <w:rFonts w:ascii="Alef" w:hAnsi="Alef"/>
          <w:b/>
          <w:bCs/>
          <w:sz w:val="28"/>
          <w:szCs w:val="28"/>
          <w:u w:val="single"/>
          <w:rtl/>
        </w:rPr>
      </w:pPr>
      <w:bookmarkStart w:id="0" w:name="_GoBack"/>
      <w:bookmarkEnd w:id="0"/>
      <w:r w:rsidRPr="00D8623E">
        <w:rPr>
          <w:rFonts w:ascii="Alef" w:hAnsi="Alef"/>
          <w:b/>
          <w:bCs/>
          <w:sz w:val="28"/>
          <w:szCs w:val="28"/>
          <w:u w:val="single"/>
          <w:rtl/>
        </w:rPr>
        <w:t xml:space="preserve">החלטה לפי סעיף 14 לחוק התחרות הכלכלית, התשמ"ח-1988 בדבר אי מתן פטור מאישור הסדר כובל </w:t>
      </w:r>
      <w:r w:rsidR="003741C7">
        <w:rPr>
          <w:rFonts w:ascii="Alef" w:hAnsi="Alef" w:hint="cs"/>
          <w:b/>
          <w:bCs/>
          <w:sz w:val="28"/>
          <w:szCs w:val="28"/>
          <w:u w:val="single"/>
          <w:rtl/>
        </w:rPr>
        <w:t>להסדר שבין איגוד תעשיות המזון של התאחדות התעשיינים בישראל לחברים בו</w:t>
      </w:r>
    </w:p>
    <w:p w14:paraId="1B4B00AA" w14:textId="77777777" w:rsidR="00A766B1" w:rsidRPr="000A4255" w:rsidRDefault="00A766B1" w:rsidP="00A766B1">
      <w:pPr>
        <w:pStyle w:val="Heading1"/>
        <w:keepNext w:val="0"/>
        <w:keepLines w:val="0"/>
        <w:numPr>
          <w:ilvl w:val="0"/>
          <w:numId w:val="1"/>
        </w:numPr>
        <w:spacing w:before="100" w:beforeAutospacing="1" w:after="100" w:afterAutospacing="1" w:line="276" w:lineRule="auto"/>
        <w:ind w:right="720"/>
        <w:rPr>
          <w:rFonts w:ascii="Alef" w:eastAsia="Times New Roman" w:hAnsi="Alef"/>
          <w:b/>
          <w:bCs/>
          <w:kern w:val="36"/>
          <w:sz w:val="20"/>
          <w:szCs w:val="22"/>
        </w:rPr>
      </w:pPr>
      <w:r w:rsidRPr="000A4255">
        <w:rPr>
          <w:rFonts w:ascii="Alef" w:eastAsia="Times New Roman" w:hAnsi="Alef"/>
          <w:b/>
          <w:bCs/>
          <w:kern w:val="36"/>
          <w:sz w:val="20"/>
          <w:szCs w:val="22"/>
          <w:rtl/>
        </w:rPr>
        <w:t>פתח דבר</w:t>
      </w:r>
    </w:p>
    <w:p w14:paraId="2765479C" w14:textId="31963155" w:rsidR="00A766B1" w:rsidRPr="000A4255" w:rsidRDefault="00A766B1" w:rsidP="00C5259D">
      <w:pPr>
        <w:spacing w:after="240"/>
        <w:rPr>
          <w:sz w:val="22"/>
          <w:rtl/>
        </w:rPr>
      </w:pPr>
      <w:r w:rsidRPr="000A4255">
        <w:rPr>
          <w:rtl/>
        </w:rPr>
        <w:t xml:space="preserve">לפני מונחת בקשה למתן פטור לפי סעיף 14 לחוק התחרות הכלכלית, תשמ"ח-1988 (להלן </w:t>
      </w:r>
      <w:r w:rsidRPr="000A4255">
        <w:rPr>
          <w:b/>
          <w:bCs/>
          <w:rtl/>
        </w:rPr>
        <w:t>חוק התחרות</w:t>
      </w:r>
      <w:r w:rsidRPr="000A4255">
        <w:rPr>
          <w:b/>
          <w:bCs/>
        </w:rPr>
        <w:t xml:space="preserve"> </w:t>
      </w:r>
      <w:r w:rsidRPr="000A4255">
        <w:rPr>
          <w:b/>
          <w:bCs/>
          <w:rtl/>
        </w:rPr>
        <w:t>או החוק</w:t>
      </w:r>
      <w:r w:rsidRPr="000A4255">
        <w:rPr>
          <w:rtl/>
        </w:rPr>
        <w:t>) מאישור הסדר כובל</w:t>
      </w:r>
      <w:r w:rsidR="00C5259D">
        <w:rPr>
          <w:rFonts w:hint="cs"/>
          <w:rtl/>
        </w:rPr>
        <w:t xml:space="preserve"> בין</w:t>
      </w:r>
      <w:r w:rsidRPr="000A4255">
        <w:rPr>
          <w:rtl/>
        </w:rPr>
        <w:t xml:space="preserve"> </w:t>
      </w:r>
      <w:r w:rsidR="003741C7" w:rsidRPr="003741C7">
        <w:rPr>
          <w:rtl/>
        </w:rPr>
        <w:t xml:space="preserve">איגוד תעשיות המזון של </w:t>
      </w:r>
      <w:r w:rsidR="003741C7">
        <w:rPr>
          <w:rtl/>
        </w:rPr>
        <w:t>התאחדות התעשיינים בישראל (להלן</w:t>
      </w:r>
      <w:r w:rsidR="003741C7">
        <w:rPr>
          <w:rFonts w:hint="cs"/>
          <w:rtl/>
        </w:rPr>
        <w:t xml:space="preserve"> </w:t>
      </w:r>
      <w:r w:rsidR="003741C7" w:rsidRPr="003741C7">
        <w:rPr>
          <w:b/>
          <w:bCs/>
          <w:rtl/>
        </w:rPr>
        <w:t>איגוד המזון</w:t>
      </w:r>
      <w:r w:rsidR="003741C7" w:rsidRPr="003741C7">
        <w:rPr>
          <w:rtl/>
        </w:rPr>
        <w:t xml:space="preserve">) לחברים בו (להלן </w:t>
      </w:r>
      <w:r w:rsidR="003741C7" w:rsidRPr="003741C7">
        <w:rPr>
          <w:b/>
          <w:bCs/>
          <w:rtl/>
        </w:rPr>
        <w:t>הצדדים להסדר</w:t>
      </w:r>
      <w:r w:rsidR="003741C7" w:rsidRPr="003741C7">
        <w:rPr>
          <w:rtl/>
        </w:rPr>
        <w:t xml:space="preserve">), שעניינו </w:t>
      </w:r>
      <w:r w:rsidR="00000F74">
        <w:rPr>
          <w:rFonts w:hint="cs"/>
          <w:rtl/>
        </w:rPr>
        <w:t xml:space="preserve">עריכת בדיקה </w:t>
      </w:r>
      <w:r w:rsidR="003741C7" w:rsidRPr="003741C7">
        <w:rPr>
          <w:rtl/>
        </w:rPr>
        <w:t xml:space="preserve">בדבר </w:t>
      </w:r>
      <w:r w:rsidR="003741C7">
        <w:rPr>
          <w:rFonts w:hint="cs"/>
          <w:rtl/>
        </w:rPr>
        <w:t xml:space="preserve">סכום הפיקדון </w:t>
      </w:r>
      <w:r w:rsidR="00000F74">
        <w:rPr>
          <w:rFonts w:hint="cs"/>
          <w:rtl/>
        </w:rPr>
        <w:t xml:space="preserve">הראוי </w:t>
      </w:r>
      <w:r w:rsidR="003741C7">
        <w:rPr>
          <w:rFonts w:hint="cs"/>
          <w:rtl/>
        </w:rPr>
        <w:t xml:space="preserve">שיגבה על מכלי משקה לפי חוק הפיקדון על מכלי משקה, </w:t>
      </w:r>
      <w:r w:rsidR="00005726">
        <w:rPr>
          <w:rFonts w:hint="cs"/>
          <w:rtl/>
        </w:rPr>
        <w:t xml:space="preserve">תשנ"ט-1999 (להלן </w:t>
      </w:r>
      <w:r w:rsidR="00005726">
        <w:rPr>
          <w:rFonts w:hint="cs"/>
          <w:b/>
          <w:bCs/>
          <w:rtl/>
        </w:rPr>
        <w:t>חוק הפיקדון</w:t>
      </w:r>
      <w:r w:rsidR="00005726" w:rsidRPr="00005726">
        <w:rPr>
          <w:rFonts w:hint="cs"/>
          <w:rtl/>
        </w:rPr>
        <w:t xml:space="preserve">) </w:t>
      </w:r>
      <w:r w:rsidR="00000F74">
        <w:rPr>
          <w:rFonts w:hint="cs"/>
          <w:rtl/>
        </w:rPr>
        <w:t>ו</w:t>
      </w:r>
      <w:r w:rsidR="00000F74" w:rsidRPr="003741C7">
        <w:rPr>
          <w:rtl/>
        </w:rPr>
        <w:t xml:space="preserve">אמנה </w:t>
      </w:r>
      <w:r w:rsidR="00000F74">
        <w:rPr>
          <w:rFonts w:hint="cs"/>
          <w:rtl/>
        </w:rPr>
        <w:t xml:space="preserve">לקביעת סכום הפיקדון, </w:t>
      </w:r>
      <w:r w:rsidR="003741C7" w:rsidRPr="003741C7">
        <w:rPr>
          <w:rtl/>
        </w:rPr>
        <w:t xml:space="preserve">שבכוונת איגוד המזון לקרוא לחבריו </w:t>
      </w:r>
      <w:r w:rsidR="004B6007">
        <w:rPr>
          <w:rFonts w:hint="cs"/>
          <w:rtl/>
        </w:rPr>
        <w:t>ו</w:t>
      </w:r>
      <w:r w:rsidR="007E4AF6">
        <w:rPr>
          <w:rFonts w:hint="cs"/>
          <w:rtl/>
        </w:rPr>
        <w:t xml:space="preserve">ליבואני המשקאות </w:t>
      </w:r>
      <w:r w:rsidR="003741C7" w:rsidRPr="003741C7">
        <w:rPr>
          <w:rtl/>
        </w:rPr>
        <w:t xml:space="preserve">להצטרף אליה (להלן: </w:t>
      </w:r>
      <w:r w:rsidR="003741C7" w:rsidRPr="00005726">
        <w:rPr>
          <w:b/>
          <w:bCs/>
          <w:rtl/>
        </w:rPr>
        <w:t>ההסדר</w:t>
      </w:r>
      <w:r w:rsidR="003741C7" w:rsidRPr="003741C7">
        <w:rPr>
          <w:rtl/>
        </w:rPr>
        <w:t>).</w:t>
      </w:r>
    </w:p>
    <w:p w14:paraId="7378FAF1" w14:textId="41142FFD" w:rsidR="00A766B1" w:rsidRPr="000A4255" w:rsidRDefault="00A766B1" w:rsidP="00C5259D">
      <w:pPr>
        <w:rPr>
          <w:rtl/>
        </w:rPr>
      </w:pPr>
      <w:r w:rsidRPr="000A4255">
        <w:rPr>
          <w:rtl/>
        </w:rPr>
        <w:t xml:space="preserve">לאחר שבחנתי את ההסדר, ולאחר שנועצתי בוועדה לפטורים ומיזוגים, לא שוכנעתי כי ההסדר עומד בהוראת סעיף 14(א)(1) לחוק. </w:t>
      </w:r>
      <w:r w:rsidR="008101BF">
        <w:rPr>
          <w:rFonts w:hint="cs"/>
          <w:rtl/>
        </w:rPr>
        <w:t>לפיכך,</w:t>
      </w:r>
      <w:r w:rsidRPr="000A4255">
        <w:rPr>
          <w:rtl/>
        </w:rPr>
        <w:t xml:space="preserve"> לא מצאתי לנכון להעניק להסדר פטור מאישור הסדר כובל על ידי בית הדין לתחרות לפי סעיף 14 לחוק. נימוקי החלטתי יפורטו להלן.</w:t>
      </w:r>
    </w:p>
    <w:p w14:paraId="033FF680" w14:textId="77777777" w:rsidR="00B752B9" w:rsidRPr="00B752B9" w:rsidRDefault="00A766B1" w:rsidP="00B752B9">
      <w:pPr>
        <w:pStyle w:val="Heading1"/>
        <w:keepNext w:val="0"/>
        <w:keepLines w:val="0"/>
        <w:numPr>
          <w:ilvl w:val="0"/>
          <w:numId w:val="1"/>
        </w:numPr>
        <w:spacing w:before="100" w:beforeAutospacing="1" w:after="100" w:afterAutospacing="1" w:line="276" w:lineRule="auto"/>
        <w:ind w:right="720"/>
        <w:rPr>
          <w:rFonts w:ascii="Alef" w:eastAsia="Times New Roman" w:hAnsi="Alef"/>
          <w:b/>
          <w:bCs/>
          <w:kern w:val="36"/>
          <w:sz w:val="20"/>
          <w:szCs w:val="22"/>
        </w:rPr>
      </w:pPr>
      <w:r w:rsidRPr="000A4255">
        <w:rPr>
          <w:rFonts w:ascii="Alef" w:eastAsia="Times New Roman" w:hAnsi="Alef"/>
          <w:b/>
          <w:bCs/>
          <w:kern w:val="36"/>
          <w:sz w:val="20"/>
          <w:szCs w:val="22"/>
          <w:rtl/>
        </w:rPr>
        <w:t>ההסדר והצדדים לו</w:t>
      </w:r>
    </w:p>
    <w:p w14:paraId="01CC6272" w14:textId="43099613" w:rsidR="00B752B9" w:rsidRPr="00B752B9" w:rsidRDefault="00B752B9" w:rsidP="00007F06">
      <w:pPr>
        <w:rPr>
          <w:rtl/>
        </w:rPr>
      </w:pPr>
      <w:r w:rsidRPr="00B752B9">
        <w:rPr>
          <w:b/>
          <w:bCs/>
          <w:rtl/>
        </w:rPr>
        <w:t>איגוד המזון</w:t>
      </w:r>
      <w:r w:rsidRPr="00B752B9">
        <w:rPr>
          <w:rtl/>
        </w:rPr>
        <w:t xml:space="preserve"> הוא ארגון</w:t>
      </w:r>
      <w:r w:rsidR="00007F06">
        <w:rPr>
          <w:rFonts w:hint="cs"/>
          <w:rtl/>
        </w:rPr>
        <w:t>, המתנהל תחת התאחדות התעשיינים,</w:t>
      </w:r>
      <w:r w:rsidRPr="00B752B9">
        <w:rPr>
          <w:rtl/>
        </w:rPr>
        <w:t xml:space="preserve"> המייצג את יצרני המזון בישראל ומונה </w:t>
      </w:r>
      <w:r w:rsidR="00C72E4A">
        <w:rPr>
          <w:rFonts w:hint="cs"/>
          <w:rtl/>
        </w:rPr>
        <w:t>כ-</w:t>
      </w:r>
      <w:r w:rsidRPr="00B752B9">
        <w:rPr>
          <w:rtl/>
        </w:rPr>
        <w:t>200 חברים – יצרני מזון</w:t>
      </w:r>
      <w:r w:rsidR="00C72E4A">
        <w:rPr>
          <w:rFonts w:hint="cs"/>
          <w:rtl/>
        </w:rPr>
        <w:t xml:space="preserve"> ומשקאות</w:t>
      </w:r>
      <w:r w:rsidRPr="00B752B9">
        <w:rPr>
          <w:rtl/>
        </w:rPr>
        <w:t>.</w:t>
      </w:r>
      <w:r w:rsidR="00C72E4A">
        <w:rPr>
          <w:rFonts w:hint="cs"/>
          <w:rtl/>
        </w:rPr>
        <w:t xml:space="preserve"> </w:t>
      </w:r>
      <w:r w:rsidR="00481706">
        <w:rPr>
          <w:rFonts w:hint="cs"/>
          <w:rtl/>
        </w:rPr>
        <w:t>במסגרת ההסדר</w:t>
      </w:r>
      <w:r w:rsidR="00E043A0">
        <w:rPr>
          <w:rFonts w:hint="cs"/>
          <w:rtl/>
        </w:rPr>
        <w:t xml:space="preserve"> שמונח לפניי</w:t>
      </w:r>
      <w:r w:rsidR="00481706">
        <w:rPr>
          <w:rFonts w:hint="cs"/>
          <w:rtl/>
        </w:rPr>
        <w:t xml:space="preserve">, </w:t>
      </w:r>
      <w:r>
        <w:rPr>
          <w:rFonts w:hint="cs"/>
          <w:rtl/>
        </w:rPr>
        <w:t>בכוונת האיגוד להתקשר עם מומחה על מנת שיערוך חוות דעת כלכלית בנוגע לסכום הפיקדון המתאים</w:t>
      </w:r>
      <w:r w:rsidR="00865863">
        <w:rPr>
          <w:rFonts w:hint="cs"/>
          <w:rtl/>
        </w:rPr>
        <w:t xml:space="preserve"> שיוטל על מכלי משקה</w:t>
      </w:r>
      <w:r w:rsidR="00481706">
        <w:rPr>
          <w:rFonts w:hint="cs"/>
          <w:rtl/>
        </w:rPr>
        <w:t xml:space="preserve"> לפי חוק הפיקדון</w:t>
      </w:r>
      <w:r>
        <w:rPr>
          <w:rFonts w:hint="cs"/>
          <w:rtl/>
        </w:rPr>
        <w:t xml:space="preserve">; לפרסם המלצה בדבר סכום </w:t>
      </w:r>
      <w:r w:rsidR="00481706">
        <w:rPr>
          <w:rFonts w:hint="cs"/>
          <w:rtl/>
        </w:rPr>
        <w:t>פיקדון זה</w:t>
      </w:r>
      <w:r>
        <w:rPr>
          <w:rFonts w:hint="cs"/>
          <w:rtl/>
        </w:rPr>
        <w:t>; ולהזמין את היצרנים החברים באיגוד, וכן את יבואני המשקאות, להצטרף לאמנה בדבר סכום הפיקדון</w:t>
      </w:r>
      <w:r w:rsidR="00C5259D">
        <w:rPr>
          <w:rFonts w:hint="cs"/>
          <w:rtl/>
        </w:rPr>
        <w:t xml:space="preserve"> </w:t>
      </w:r>
      <w:r w:rsidR="00E043A0">
        <w:rPr>
          <w:rFonts w:hint="cs"/>
          <w:rtl/>
        </w:rPr>
        <w:t>שנקבע</w:t>
      </w:r>
      <w:r>
        <w:rPr>
          <w:rFonts w:hint="cs"/>
          <w:rtl/>
        </w:rPr>
        <w:t>.</w:t>
      </w:r>
    </w:p>
    <w:p w14:paraId="18E96584" w14:textId="77777777" w:rsidR="00A766B1" w:rsidRDefault="00A766B1" w:rsidP="00FE4C77">
      <w:pPr>
        <w:pStyle w:val="Heading1"/>
        <w:keepNext w:val="0"/>
        <w:keepLines w:val="0"/>
        <w:numPr>
          <w:ilvl w:val="0"/>
          <w:numId w:val="1"/>
        </w:numPr>
        <w:spacing w:before="100" w:beforeAutospacing="1" w:after="100" w:afterAutospacing="1" w:line="276" w:lineRule="auto"/>
        <w:ind w:right="720"/>
        <w:rPr>
          <w:rFonts w:ascii="Alef" w:hAnsi="Alef"/>
          <w:sz w:val="22"/>
          <w:szCs w:val="22"/>
          <w:rtl/>
        </w:rPr>
      </w:pPr>
      <w:r w:rsidRPr="000A4255">
        <w:rPr>
          <w:rFonts w:ascii="Alef" w:eastAsia="Times New Roman" w:hAnsi="Alef"/>
          <w:b/>
          <w:bCs/>
          <w:kern w:val="36"/>
          <w:sz w:val="20"/>
          <w:szCs w:val="22"/>
          <w:rtl/>
        </w:rPr>
        <w:t>רקע לניתוח השפעתו של ההסדר על התחרות –</w:t>
      </w:r>
      <w:r w:rsidR="00FE4C77">
        <w:rPr>
          <w:rFonts w:ascii="Alef" w:eastAsia="Times New Roman" w:hAnsi="Alef" w:hint="cs"/>
          <w:b/>
          <w:bCs/>
          <w:kern w:val="36"/>
          <w:sz w:val="20"/>
          <w:szCs w:val="22"/>
          <w:rtl/>
        </w:rPr>
        <w:t xml:space="preserve"> חוק הפיקדון</w:t>
      </w:r>
    </w:p>
    <w:p w14:paraId="4CE831FA" w14:textId="77777777" w:rsidR="00C748B7" w:rsidRDefault="00C748B7" w:rsidP="00C748B7">
      <w:pPr>
        <w:rPr>
          <w:rtl/>
        </w:rPr>
      </w:pPr>
      <w:r>
        <w:rPr>
          <w:rFonts w:hint="cs"/>
          <w:rtl/>
        </w:rPr>
        <w:t xml:space="preserve">א. </w:t>
      </w:r>
      <w:r w:rsidRPr="00C748B7">
        <w:rPr>
          <w:rFonts w:hint="cs"/>
          <w:u w:val="single"/>
          <w:rtl/>
        </w:rPr>
        <w:t>חוק הפיקדון ומכלי משקה קטנים</w:t>
      </w:r>
    </w:p>
    <w:p w14:paraId="390423F8" w14:textId="4C0D91EB" w:rsidR="00C567C2" w:rsidRPr="009D35DD" w:rsidRDefault="00C567C2" w:rsidP="006744A6">
      <w:pPr>
        <w:rPr>
          <w:rFonts w:ascii="Alef" w:hAnsi="Alef"/>
          <w:sz w:val="22"/>
        </w:rPr>
      </w:pPr>
      <w:r w:rsidRPr="009D35DD">
        <w:rPr>
          <w:rFonts w:ascii="Alef" w:hAnsi="Alef"/>
          <w:sz w:val="22"/>
          <w:rtl/>
        </w:rPr>
        <w:t>חוק הפיקדון חוקק בשנת 1999 ומאז עבר מספר שינויים עד למתכונתו הנוכחית. חוק הפיקדון קובע חובת הטלת פיקדון על מכלי משקה.</w:t>
      </w:r>
      <w:r w:rsidRPr="009D35DD">
        <w:rPr>
          <w:rStyle w:val="FootnoteReference"/>
          <w:rFonts w:ascii="Alef" w:hAnsi="Alef"/>
          <w:sz w:val="22"/>
          <w:rtl/>
        </w:rPr>
        <w:footnoteReference w:id="1"/>
      </w:r>
      <w:r w:rsidRPr="009D35DD">
        <w:rPr>
          <w:rFonts w:ascii="Alef" w:hAnsi="Alef"/>
          <w:sz w:val="22"/>
          <w:rtl/>
        </w:rPr>
        <w:t xml:space="preserve"> חובה זו חלה על יצרנים ויבואנים, המשווקים מכלי משקה. </w:t>
      </w:r>
      <w:r w:rsidRPr="009D35DD">
        <w:rPr>
          <w:rFonts w:ascii="Alef" w:hAnsi="Alef"/>
          <w:sz w:val="22"/>
          <w:rtl/>
        </w:rPr>
        <w:lastRenderedPageBreak/>
        <w:t>במסגרת החוק, נקבעה</w:t>
      </w:r>
      <w:r w:rsidR="00481706">
        <w:rPr>
          <w:rFonts w:ascii="Alef" w:hAnsi="Alef" w:hint="cs"/>
          <w:sz w:val="22"/>
          <w:rtl/>
        </w:rPr>
        <w:t xml:space="preserve"> ראשית</w:t>
      </w:r>
      <w:r w:rsidRPr="009D35DD">
        <w:rPr>
          <w:rFonts w:ascii="Alef" w:hAnsi="Alef"/>
          <w:sz w:val="22"/>
          <w:rtl/>
        </w:rPr>
        <w:t xml:space="preserve"> חובת תשלום פיקדון בגובה מינימלי של 25 אגורות על מכלי משקה, אלא אם השר להגנת הסביבה קבע אחרת</w:t>
      </w:r>
      <w:r w:rsidR="006744A6">
        <w:rPr>
          <w:rFonts w:ascii="Alef" w:hAnsi="Alef" w:hint="cs"/>
          <w:sz w:val="22"/>
          <w:rtl/>
        </w:rPr>
        <w:t>.</w:t>
      </w:r>
      <w:r w:rsidRPr="009D35DD">
        <w:rPr>
          <w:rFonts w:ascii="Alef" w:hAnsi="Alef"/>
          <w:sz w:val="22"/>
          <w:rtl/>
        </w:rPr>
        <w:t xml:space="preserve"> בשנת 2010 הועלה הפיקדון המינימלי ל-30 אגורות למכל. תחילה, חובת הטלת הפיקדון חלה על מכלים שגודלם גדול מ-0.1 ליטר וקטן מ-1.5 ליטר (להלן </w:t>
      </w:r>
      <w:r w:rsidRPr="009D35DD">
        <w:rPr>
          <w:rFonts w:ascii="Alef" w:hAnsi="Alef"/>
          <w:b/>
          <w:bCs/>
          <w:sz w:val="22"/>
          <w:rtl/>
        </w:rPr>
        <w:t>מכלי משקה קטנים</w:t>
      </w:r>
      <w:r w:rsidRPr="009D35DD">
        <w:rPr>
          <w:rFonts w:ascii="Alef" w:hAnsi="Alef"/>
          <w:sz w:val="22"/>
          <w:rtl/>
        </w:rPr>
        <w:t xml:space="preserve">) בלבד. בנוסף לאמור, במסגרת החוק חלה </w:t>
      </w:r>
      <w:r w:rsidR="00E906EA" w:rsidRPr="009D35DD">
        <w:rPr>
          <w:rFonts w:ascii="Alef" w:hAnsi="Alef"/>
          <w:sz w:val="22"/>
          <w:rtl/>
        </w:rPr>
        <w:t xml:space="preserve">ככלל </w:t>
      </w:r>
      <w:r w:rsidRPr="009D35DD">
        <w:rPr>
          <w:rFonts w:ascii="Alef" w:hAnsi="Alef"/>
          <w:sz w:val="22"/>
          <w:rtl/>
        </w:rPr>
        <w:t xml:space="preserve">חובה על מקומות בהם נמכרים מכלי משקה (להלן </w:t>
      </w:r>
      <w:r w:rsidRPr="009D35DD">
        <w:rPr>
          <w:rFonts w:ascii="Alef" w:hAnsi="Alef"/>
          <w:b/>
          <w:bCs/>
          <w:sz w:val="22"/>
          <w:rtl/>
        </w:rPr>
        <w:t>בתי עסק</w:t>
      </w:r>
      <w:r w:rsidRPr="009D35DD">
        <w:rPr>
          <w:rFonts w:ascii="Alef" w:hAnsi="Alef"/>
          <w:sz w:val="22"/>
          <w:rtl/>
        </w:rPr>
        <w:t>), כדוגמת רשתות שיווק מזון, לגבות פיקדון על מכלי המשקה שמכרו, וכן להשיב את הפיקדון תמורת מכלי משקה ריקים שנמסרו להם.</w:t>
      </w:r>
    </w:p>
    <w:p w14:paraId="5748FB7B" w14:textId="10CEF355" w:rsidR="00C567C2" w:rsidRPr="009D35DD" w:rsidRDefault="00C567C2" w:rsidP="001350BE">
      <w:pPr>
        <w:rPr>
          <w:rFonts w:ascii="Alef" w:hAnsi="Alef"/>
          <w:sz w:val="22"/>
          <w:rtl/>
        </w:rPr>
      </w:pPr>
      <w:r w:rsidRPr="009D35DD">
        <w:rPr>
          <w:rFonts w:ascii="Alef" w:hAnsi="Alef"/>
          <w:sz w:val="22"/>
          <w:rtl/>
        </w:rPr>
        <w:t>לצד חובת הטלת פיקדון, חלה חובה על יצרנים ויבואנים לאסוף מכלי משקה בשיעור</w:t>
      </w:r>
      <w:r w:rsidR="00481706">
        <w:rPr>
          <w:rFonts w:ascii="Alef" w:hAnsi="Alef" w:hint="cs"/>
          <w:sz w:val="22"/>
          <w:rtl/>
        </w:rPr>
        <w:t xml:space="preserve"> מוגדר</w:t>
      </w:r>
      <w:r w:rsidRPr="009D35DD">
        <w:rPr>
          <w:rFonts w:ascii="Alef" w:hAnsi="Alef"/>
          <w:sz w:val="22"/>
          <w:rtl/>
        </w:rPr>
        <w:t xml:space="preserve"> מהכמות ששווקה על ידם בכל שנה.</w:t>
      </w:r>
      <w:r w:rsidRPr="009D35DD">
        <w:rPr>
          <w:rStyle w:val="FootnoteReference"/>
          <w:rFonts w:ascii="Alef" w:hAnsi="Alef"/>
          <w:sz w:val="22"/>
          <w:rtl/>
        </w:rPr>
        <w:footnoteReference w:id="2"/>
      </w:r>
      <w:r w:rsidRPr="009D35DD">
        <w:rPr>
          <w:rFonts w:ascii="Alef" w:hAnsi="Alef"/>
          <w:sz w:val="22"/>
          <w:rtl/>
        </w:rPr>
        <w:t xml:space="preserve"> </w:t>
      </w:r>
      <w:r w:rsidR="00E02C11">
        <w:rPr>
          <w:rFonts w:ascii="Alef" w:hAnsi="Alef" w:hint="cs"/>
          <w:sz w:val="22"/>
          <w:rtl/>
        </w:rPr>
        <w:t xml:space="preserve">חובה זו חלה גם על מכלי משקה </w:t>
      </w:r>
      <w:r w:rsidR="002D5591">
        <w:rPr>
          <w:rFonts w:ascii="Alef" w:hAnsi="Alef" w:hint="cs"/>
          <w:sz w:val="22"/>
          <w:rtl/>
        </w:rPr>
        <w:t xml:space="preserve">שלא </w:t>
      </w:r>
      <w:r w:rsidR="007E1697">
        <w:rPr>
          <w:rFonts w:ascii="Alef" w:hAnsi="Alef" w:hint="cs"/>
          <w:sz w:val="22"/>
          <w:rtl/>
        </w:rPr>
        <w:t>הוטל עליהם</w:t>
      </w:r>
      <w:r w:rsidR="002D5591">
        <w:rPr>
          <w:rFonts w:ascii="Alef" w:hAnsi="Alef" w:hint="cs"/>
          <w:sz w:val="22"/>
          <w:rtl/>
        </w:rPr>
        <w:t xml:space="preserve"> פ</w:t>
      </w:r>
      <w:r w:rsidR="00D53753">
        <w:rPr>
          <w:rFonts w:ascii="Alef" w:hAnsi="Alef" w:hint="cs"/>
          <w:sz w:val="22"/>
          <w:rtl/>
        </w:rPr>
        <w:t>י</w:t>
      </w:r>
      <w:r w:rsidR="002D5591">
        <w:rPr>
          <w:rFonts w:ascii="Alef" w:hAnsi="Alef" w:hint="cs"/>
          <w:sz w:val="22"/>
          <w:rtl/>
        </w:rPr>
        <w:t xml:space="preserve">קדון. דהיינו, החובה חלה גם על מכלי משקה </w:t>
      </w:r>
      <w:r w:rsidR="00E02C11">
        <w:rPr>
          <w:rFonts w:ascii="Alef" w:hAnsi="Alef" w:hint="cs"/>
          <w:sz w:val="22"/>
          <w:rtl/>
        </w:rPr>
        <w:t xml:space="preserve">שנפחם 1.5 ליטר ומעלה (להלן </w:t>
      </w:r>
      <w:r w:rsidR="00E02C11">
        <w:rPr>
          <w:rFonts w:ascii="Alef" w:hAnsi="Alef" w:hint="cs"/>
          <w:b/>
          <w:bCs/>
          <w:sz w:val="22"/>
          <w:rtl/>
        </w:rPr>
        <w:t>מכלי משקה גדולים</w:t>
      </w:r>
      <w:r w:rsidR="00E02C11" w:rsidRPr="0066723D">
        <w:rPr>
          <w:rFonts w:ascii="Alef" w:hAnsi="Alef" w:hint="cs"/>
          <w:sz w:val="22"/>
          <w:rtl/>
        </w:rPr>
        <w:t>)</w:t>
      </w:r>
      <w:r w:rsidR="004E12A5">
        <w:rPr>
          <w:rFonts w:ascii="Alef" w:hAnsi="Alef" w:hint="cs"/>
          <w:sz w:val="22"/>
          <w:rtl/>
        </w:rPr>
        <w:t>, כפי שיפורט בהמשך</w:t>
      </w:r>
      <w:r w:rsidR="00E02C11">
        <w:rPr>
          <w:rFonts w:ascii="Alef" w:hAnsi="Alef" w:hint="cs"/>
          <w:b/>
          <w:bCs/>
          <w:sz w:val="22"/>
          <w:rtl/>
        </w:rPr>
        <w:t xml:space="preserve">. </w:t>
      </w:r>
      <w:r w:rsidRPr="009D35DD">
        <w:rPr>
          <w:rFonts w:ascii="Alef" w:hAnsi="Alef"/>
          <w:sz w:val="22"/>
          <w:rtl/>
        </w:rPr>
        <w:t>יצרן רשאי לאסוף מכלי משקה ששווקו על ידי יצרן אחר. אי עמידה בחובת האיסוף גוררת חובת תשלום לקרן לשמירת ניקיון.</w:t>
      </w:r>
      <w:r w:rsidR="00E906EA">
        <w:rPr>
          <w:rStyle w:val="FootnoteReference"/>
          <w:rFonts w:ascii="Alef" w:hAnsi="Alef"/>
          <w:sz w:val="22"/>
          <w:rtl/>
        </w:rPr>
        <w:footnoteReference w:id="3"/>
      </w:r>
      <w:r w:rsidRPr="009D35DD">
        <w:rPr>
          <w:rFonts w:ascii="Alef" w:hAnsi="Alef"/>
          <w:sz w:val="22"/>
          <w:rtl/>
        </w:rPr>
        <w:t xml:space="preserve"> גובה התשלום נקבע לפי שיעור האיסוף בפועל ביחס ליעד ולפי גובה הפיקדון, ויכול להגיע עד פי 2 מגובה הפיקדון.</w:t>
      </w:r>
      <w:r w:rsidRPr="009D35DD">
        <w:rPr>
          <w:rStyle w:val="FootnoteReference"/>
          <w:rFonts w:ascii="Alef" w:hAnsi="Alef"/>
          <w:sz w:val="22"/>
          <w:rtl/>
        </w:rPr>
        <w:footnoteReference w:id="4"/>
      </w:r>
      <w:r w:rsidRPr="009D35DD">
        <w:rPr>
          <w:rFonts w:ascii="Alef" w:hAnsi="Alef"/>
          <w:sz w:val="22"/>
          <w:rtl/>
        </w:rPr>
        <w:t xml:space="preserve"> בכך חוק הפיקדון </w:t>
      </w:r>
      <w:r w:rsidR="00C5259D">
        <w:rPr>
          <w:rFonts w:ascii="Alef" w:hAnsi="Alef" w:hint="cs"/>
          <w:sz w:val="22"/>
          <w:rtl/>
        </w:rPr>
        <w:t>מביא הלכה למעשה ליצירת</w:t>
      </w:r>
      <w:r w:rsidRPr="009D35DD">
        <w:rPr>
          <w:rFonts w:ascii="Alef" w:hAnsi="Alef"/>
          <w:sz w:val="22"/>
          <w:rtl/>
        </w:rPr>
        <w:t xml:space="preserve"> שוק </w:t>
      </w:r>
      <w:r w:rsidR="00C5259D">
        <w:rPr>
          <w:rFonts w:ascii="Alef" w:hAnsi="Alef" w:hint="cs"/>
          <w:sz w:val="22"/>
          <w:rtl/>
        </w:rPr>
        <w:t>ל</w:t>
      </w:r>
      <w:r w:rsidRPr="009D35DD">
        <w:rPr>
          <w:rFonts w:ascii="Alef" w:hAnsi="Alef"/>
          <w:sz w:val="22"/>
          <w:rtl/>
        </w:rPr>
        <w:t>איסוף מכלי משקה.</w:t>
      </w:r>
    </w:p>
    <w:p w14:paraId="25E46F6F" w14:textId="44618C7D" w:rsidR="00C567C2" w:rsidRPr="009D35DD" w:rsidRDefault="00C567C2" w:rsidP="00C567C2">
      <w:pPr>
        <w:rPr>
          <w:rFonts w:ascii="Alef" w:hAnsi="Alef"/>
          <w:sz w:val="22"/>
          <w:rtl/>
        </w:rPr>
      </w:pPr>
      <w:r w:rsidRPr="009D35DD">
        <w:rPr>
          <w:rFonts w:ascii="Alef" w:hAnsi="Alef"/>
          <w:sz w:val="22"/>
          <w:rtl/>
        </w:rPr>
        <w:t xml:space="preserve">בעבר, חוק הפיקדון הטיל חובה על יצרנים ויבואנים להתקשר עם תאגיד </w:t>
      </w:r>
      <w:proofErr w:type="spellStart"/>
      <w:r w:rsidRPr="009D35DD">
        <w:rPr>
          <w:rFonts w:ascii="Alef" w:hAnsi="Alef"/>
          <w:sz w:val="22"/>
          <w:rtl/>
        </w:rPr>
        <w:t>מיחזור</w:t>
      </w:r>
      <w:proofErr w:type="spellEnd"/>
      <w:r w:rsidRPr="009D35DD">
        <w:rPr>
          <w:rFonts w:ascii="Alef" w:hAnsi="Alef"/>
          <w:sz w:val="22"/>
          <w:rtl/>
        </w:rPr>
        <w:t xml:space="preserve"> שהוכר על ידי המשרד להגנת הסביבה, שיישא באחריות למילוי הוראותיו. אי לכך, בשנת 2001 הוקם תאגיד איסוף מכלי משקה בע"מ (להלן </w:t>
      </w:r>
      <w:proofErr w:type="spellStart"/>
      <w:r w:rsidRPr="009D35DD">
        <w:rPr>
          <w:rFonts w:ascii="Alef" w:hAnsi="Alef"/>
          <w:b/>
          <w:bCs/>
          <w:sz w:val="22"/>
          <w:rtl/>
        </w:rPr>
        <w:t>אל"ה</w:t>
      </w:r>
      <w:proofErr w:type="spellEnd"/>
      <w:r w:rsidRPr="009D35DD">
        <w:rPr>
          <w:rFonts w:ascii="Alef" w:hAnsi="Alef"/>
          <w:sz w:val="22"/>
          <w:rtl/>
        </w:rPr>
        <w:t xml:space="preserve">) על ידי ארבעת יצרני המשקאות הגדולים – החברה המרכזית, טמפו, </w:t>
      </w:r>
      <w:proofErr w:type="spellStart"/>
      <w:r w:rsidRPr="009D35DD">
        <w:rPr>
          <w:rFonts w:ascii="Alef" w:hAnsi="Alef"/>
          <w:sz w:val="22"/>
          <w:rtl/>
        </w:rPr>
        <w:t>יפאורה</w:t>
      </w:r>
      <w:proofErr w:type="spellEnd"/>
      <w:r w:rsidRPr="009D35DD">
        <w:rPr>
          <w:rFonts w:ascii="Alef" w:hAnsi="Alef"/>
          <w:sz w:val="22"/>
          <w:rtl/>
        </w:rPr>
        <w:t xml:space="preserve"> ומי עדן בשיתוף עם רשתות המזון הגדולות</w:t>
      </w:r>
      <w:r w:rsidRPr="009D35DD">
        <w:rPr>
          <w:rStyle w:val="FootnoteReference"/>
          <w:rFonts w:ascii="Alef" w:hAnsi="Alef"/>
          <w:sz w:val="22"/>
          <w:rtl/>
        </w:rPr>
        <w:footnoteReference w:id="5"/>
      </w:r>
      <w:r w:rsidRPr="009D35DD">
        <w:rPr>
          <w:rFonts w:ascii="Alef" w:hAnsi="Alef"/>
          <w:sz w:val="22"/>
          <w:rtl/>
        </w:rPr>
        <w:t xml:space="preserve">, כתאגיד ללא כוונת רווח, והוכר בסמוך להקמתו כתאגיד </w:t>
      </w:r>
      <w:proofErr w:type="spellStart"/>
      <w:r w:rsidRPr="009D35DD">
        <w:rPr>
          <w:rFonts w:ascii="Alef" w:hAnsi="Alef"/>
          <w:sz w:val="22"/>
          <w:rtl/>
        </w:rPr>
        <w:t>מ</w:t>
      </w:r>
      <w:r w:rsidR="00C9309A">
        <w:rPr>
          <w:rFonts w:ascii="Alef" w:hAnsi="Alef" w:hint="cs"/>
          <w:sz w:val="22"/>
          <w:rtl/>
        </w:rPr>
        <w:t>י</w:t>
      </w:r>
      <w:r w:rsidRPr="009D35DD">
        <w:rPr>
          <w:rFonts w:ascii="Alef" w:hAnsi="Alef"/>
          <w:sz w:val="22"/>
          <w:rtl/>
        </w:rPr>
        <w:t>חזור</w:t>
      </w:r>
      <w:proofErr w:type="spellEnd"/>
      <w:r w:rsidRPr="009D35DD">
        <w:rPr>
          <w:rFonts w:ascii="Alef" w:hAnsi="Alef"/>
          <w:sz w:val="22"/>
          <w:rtl/>
        </w:rPr>
        <w:t xml:space="preserve"> מכוח החוק.</w:t>
      </w:r>
      <w:r w:rsidRPr="009D35DD">
        <w:rPr>
          <w:rStyle w:val="FootnoteReference"/>
          <w:rFonts w:ascii="Alef" w:hAnsi="Alef"/>
          <w:sz w:val="22"/>
          <w:rtl/>
        </w:rPr>
        <w:footnoteReference w:id="6"/>
      </w:r>
    </w:p>
    <w:p w14:paraId="4793AF52" w14:textId="432957D7" w:rsidR="00C567C2" w:rsidRPr="009D35DD" w:rsidRDefault="00C567C2" w:rsidP="001350BE">
      <w:pPr>
        <w:rPr>
          <w:rFonts w:ascii="Alef" w:hAnsi="Alef"/>
          <w:sz w:val="22"/>
          <w:rtl/>
        </w:rPr>
      </w:pPr>
      <w:r w:rsidRPr="009D35DD">
        <w:rPr>
          <w:rFonts w:ascii="Alef" w:hAnsi="Alef"/>
          <w:sz w:val="22"/>
          <w:rtl/>
        </w:rPr>
        <w:t>כיום, החוק אינו מטיל</w:t>
      </w:r>
      <w:r w:rsidR="008337B5">
        <w:rPr>
          <w:rFonts w:ascii="Alef" w:hAnsi="Alef" w:hint="cs"/>
          <w:sz w:val="22"/>
          <w:rtl/>
        </w:rPr>
        <w:t xml:space="preserve"> עוד</w:t>
      </w:r>
      <w:r w:rsidRPr="009D35DD">
        <w:rPr>
          <w:rFonts w:ascii="Alef" w:hAnsi="Alef"/>
          <w:sz w:val="22"/>
          <w:rtl/>
        </w:rPr>
        <w:t xml:space="preserve"> חובה להתקשר עם תאגיד </w:t>
      </w:r>
      <w:proofErr w:type="spellStart"/>
      <w:r w:rsidRPr="009D35DD">
        <w:rPr>
          <w:rFonts w:ascii="Alef" w:hAnsi="Alef"/>
          <w:sz w:val="22"/>
          <w:rtl/>
        </w:rPr>
        <w:t>מיחזור</w:t>
      </w:r>
      <w:proofErr w:type="spellEnd"/>
      <w:r w:rsidRPr="009D35DD">
        <w:rPr>
          <w:rFonts w:ascii="Alef" w:hAnsi="Alef"/>
          <w:sz w:val="22"/>
          <w:rtl/>
        </w:rPr>
        <w:t xml:space="preserve">, אך מרבית היצרנים והיבואנים עדיין פועלים באמצעות </w:t>
      </w:r>
      <w:proofErr w:type="spellStart"/>
      <w:r w:rsidRPr="009D35DD">
        <w:rPr>
          <w:rFonts w:ascii="Alef" w:hAnsi="Alef"/>
          <w:sz w:val="22"/>
          <w:rtl/>
        </w:rPr>
        <w:t>אל"ה</w:t>
      </w:r>
      <w:proofErr w:type="spellEnd"/>
      <w:r w:rsidRPr="009D35DD">
        <w:rPr>
          <w:rFonts w:ascii="Alef" w:hAnsi="Alef"/>
          <w:sz w:val="22"/>
          <w:rtl/>
        </w:rPr>
        <w:t xml:space="preserve"> לשם עמידה בהוראות חוק הפיקדון. </w:t>
      </w:r>
      <w:r w:rsidR="001350BE" w:rsidRPr="009D35DD">
        <w:rPr>
          <w:rFonts w:ascii="Alef" w:hAnsi="Alef"/>
          <w:sz w:val="22"/>
          <w:rtl/>
        </w:rPr>
        <w:t>לצד</w:t>
      </w:r>
      <w:r w:rsidR="001350BE">
        <w:rPr>
          <w:rFonts w:ascii="Alef" w:hAnsi="Alef" w:hint="cs"/>
          <w:sz w:val="22"/>
          <w:rtl/>
        </w:rPr>
        <w:t>ה</w:t>
      </w:r>
      <w:r w:rsidRPr="009D35DD">
        <w:rPr>
          <w:rFonts w:ascii="Alef" w:hAnsi="Alef"/>
          <w:sz w:val="22"/>
          <w:rtl/>
        </w:rPr>
        <w:t>, פועל</w:t>
      </w:r>
      <w:r w:rsidR="001350BE">
        <w:rPr>
          <w:rFonts w:ascii="Alef" w:hAnsi="Alef" w:hint="cs"/>
          <w:sz w:val="22"/>
          <w:rtl/>
        </w:rPr>
        <w:t>ת</w:t>
      </w:r>
      <w:r w:rsidRPr="009D35DD">
        <w:rPr>
          <w:rFonts w:ascii="Alef" w:hAnsi="Alef"/>
          <w:sz w:val="22"/>
          <w:rtl/>
        </w:rPr>
        <w:t xml:space="preserve"> גם </w:t>
      </w:r>
      <w:proofErr w:type="spellStart"/>
      <w:r w:rsidRPr="009D35DD">
        <w:rPr>
          <w:rFonts w:ascii="Alef" w:hAnsi="Alef"/>
          <w:sz w:val="22"/>
          <w:rtl/>
        </w:rPr>
        <w:t>אסופתא</w:t>
      </w:r>
      <w:proofErr w:type="spellEnd"/>
      <w:r w:rsidRPr="009D35DD">
        <w:rPr>
          <w:rFonts w:ascii="Alef" w:hAnsi="Alef"/>
          <w:sz w:val="22"/>
          <w:rtl/>
        </w:rPr>
        <w:t xml:space="preserve"> תאגיד </w:t>
      </w:r>
      <w:proofErr w:type="spellStart"/>
      <w:r w:rsidRPr="009D35DD">
        <w:rPr>
          <w:rFonts w:ascii="Alef" w:hAnsi="Alef"/>
          <w:sz w:val="22"/>
          <w:rtl/>
        </w:rPr>
        <w:lastRenderedPageBreak/>
        <w:t>מיחזור</w:t>
      </w:r>
      <w:proofErr w:type="spellEnd"/>
      <w:r w:rsidRPr="009D35DD">
        <w:rPr>
          <w:rFonts w:ascii="Alef" w:hAnsi="Alef"/>
          <w:sz w:val="22"/>
          <w:rtl/>
        </w:rPr>
        <w:t xml:space="preserve"> בע"מ, וכן ישנם יצרנים אשר אוספים בעצמם (או באמצעות קבלנים) (להלן </w:t>
      </w:r>
      <w:r w:rsidRPr="009D35DD">
        <w:rPr>
          <w:rFonts w:ascii="Alef" w:hAnsi="Alef"/>
          <w:b/>
          <w:bCs/>
          <w:sz w:val="22"/>
          <w:rtl/>
        </w:rPr>
        <w:t>יצרנים עצמאיים</w:t>
      </w:r>
      <w:r w:rsidRPr="009D35DD">
        <w:rPr>
          <w:rFonts w:ascii="Alef" w:hAnsi="Alef"/>
          <w:sz w:val="22"/>
          <w:rtl/>
        </w:rPr>
        <w:t xml:space="preserve">). </w:t>
      </w:r>
    </w:p>
    <w:p w14:paraId="07B9A6E6" w14:textId="277A3A13" w:rsidR="00C567C2" w:rsidRDefault="00C567C2" w:rsidP="00FB2904">
      <w:pPr>
        <w:rPr>
          <w:rFonts w:ascii="Alef" w:hAnsi="Alef"/>
          <w:rtl/>
        </w:rPr>
      </w:pPr>
      <w:r w:rsidRPr="009D35DD">
        <w:rPr>
          <w:rFonts w:ascii="Alef" w:hAnsi="Alef"/>
          <w:sz w:val="22"/>
          <w:rtl/>
        </w:rPr>
        <w:t xml:space="preserve">בשונה מאיסוף באופן עצמאי, תאגיד </w:t>
      </w:r>
      <w:proofErr w:type="spellStart"/>
      <w:r w:rsidR="004555FB">
        <w:rPr>
          <w:rFonts w:ascii="Alef" w:hAnsi="Alef" w:hint="cs"/>
          <w:sz w:val="22"/>
          <w:rtl/>
        </w:rPr>
        <w:t>המיחזור</w:t>
      </w:r>
      <w:proofErr w:type="spellEnd"/>
      <w:r w:rsidRPr="009D35DD">
        <w:rPr>
          <w:rFonts w:ascii="Alef" w:hAnsi="Alef"/>
          <w:sz w:val="22"/>
          <w:rtl/>
        </w:rPr>
        <w:t xml:space="preserve"> מספק שירותי איסוף למספר יצרנים ויבואנים במקביל ומדווח בשמם למשרד להגנת הסביבה באופן מצרפי, ובהתאם לכמויות שכל יצרן או יבואן משווק. על פי הסכמים בין תאגידי </w:t>
      </w:r>
      <w:proofErr w:type="spellStart"/>
      <w:r w:rsidR="00C9309A">
        <w:rPr>
          <w:rFonts w:ascii="Alef" w:hAnsi="Alef" w:hint="cs"/>
          <w:sz w:val="22"/>
          <w:rtl/>
        </w:rPr>
        <w:t>המיחזור</w:t>
      </w:r>
      <w:proofErr w:type="spellEnd"/>
      <w:r w:rsidRPr="009D35DD">
        <w:rPr>
          <w:rFonts w:ascii="Alef" w:hAnsi="Alef"/>
          <w:sz w:val="22"/>
          <w:rtl/>
        </w:rPr>
        <w:t xml:space="preserve"> ללקוחותיהם, הפיקדון שיצרנים גובים בעת השיווק, מועבר </w:t>
      </w:r>
      <w:r w:rsidR="0060365C">
        <w:rPr>
          <w:rFonts w:ascii="Alef" w:hAnsi="Alef" w:hint="cs"/>
          <w:sz w:val="22"/>
          <w:rtl/>
        </w:rPr>
        <w:t xml:space="preserve">על פי רוב </w:t>
      </w:r>
      <w:r w:rsidRPr="009D35DD">
        <w:rPr>
          <w:rFonts w:ascii="Alef" w:hAnsi="Alef"/>
          <w:sz w:val="22"/>
          <w:rtl/>
        </w:rPr>
        <w:t xml:space="preserve">לתאגידי </w:t>
      </w:r>
      <w:proofErr w:type="spellStart"/>
      <w:r w:rsidR="004555FB">
        <w:rPr>
          <w:rFonts w:ascii="Alef" w:hAnsi="Alef" w:hint="cs"/>
          <w:sz w:val="22"/>
          <w:rtl/>
        </w:rPr>
        <w:t>המיחזור</w:t>
      </w:r>
      <w:proofErr w:type="spellEnd"/>
      <w:r w:rsidRPr="009D35DD">
        <w:rPr>
          <w:rFonts w:ascii="Alef" w:hAnsi="Alef"/>
          <w:sz w:val="22"/>
          <w:rtl/>
        </w:rPr>
        <w:t xml:space="preserve"> לשם מימון מערך האיסוף והחזרת הפיקדון לציבור בתמורה למכלי משקה ריקים. לצד דמי הפיקדון, תאגידי </w:t>
      </w:r>
      <w:proofErr w:type="spellStart"/>
      <w:r w:rsidR="004555FB">
        <w:rPr>
          <w:rFonts w:ascii="Alef" w:hAnsi="Alef" w:hint="cs"/>
          <w:sz w:val="22"/>
          <w:rtl/>
        </w:rPr>
        <w:t>המיחזור</w:t>
      </w:r>
      <w:proofErr w:type="spellEnd"/>
      <w:r w:rsidRPr="009D35DD">
        <w:rPr>
          <w:rFonts w:ascii="Alef" w:hAnsi="Alef"/>
          <w:sz w:val="22"/>
          <w:rtl/>
        </w:rPr>
        <w:t xml:space="preserve"> עשויים לגבות דמי טיפול בעד כל מיכל נוסף ששווק על ידי לקוחותיהם. </w:t>
      </w:r>
    </w:p>
    <w:p w14:paraId="36AA41C7" w14:textId="1017A867" w:rsidR="00CC4360" w:rsidRPr="001621A8" w:rsidRDefault="00C567C2" w:rsidP="008337B5">
      <w:pPr>
        <w:rPr>
          <w:rFonts w:ascii="Alef" w:hAnsi="Alef"/>
          <w:rtl/>
        </w:rPr>
      </w:pPr>
      <w:r w:rsidRPr="009D35DD">
        <w:rPr>
          <w:rFonts w:ascii="Alef" w:hAnsi="Alef"/>
          <w:sz w:val="22"/>
          <w:rtl/>
        </w:rPr>
        <w:t xml:space="preserve">האיסוף נעשה לרוב באמצעות קבלני איסוף, תוך התקשרות של תאגידי </w:t>
      </w:r>
      <w:proofErr w:type="spellStart"/>
      <w:r w:rsidR="004555FB">
        <w:rPr>
          <w:rFonts w:ascii="Alef" w:hAnsi="Alef" w:hint="cs"/>
          <w:sz w:val="22"/>
          <w:rtl/>
        </w:rPr>
        <w:t>המיחזור</w:t>
      </w:r>
      <w:proofErr w:type="spellEnd"/>
      <w:r w:rsidRPr="009D35DD">
        <w:rPr>
          <w:rFonts w:ascii="Alef" w:hAnsi="Alef"/>
          <w:sz w:val="22"/>
          <w:rtl/>
        </w:rPr>
        <w:t xml:space="preserve"> עם בתי עסק, מוסדות, אספנים עצמאיים ותחנות מעבר (להלן ביחד </w:t>
      </w:r>
      <w:r w:rsidRPr="009D35DD">
        <w:rPr>
          <w:rFonts w:ascii="Alef" w:hAnsi="Alef"/>
          <w:b/>
          <w:bCs/>
          <w:sz w:val="22"/>
          <w:rtl/>
        </w:rPr>
        <w:t>מקורות איסוף</w:t>
      </w:r>
      <w:r w:rsidRPr="009D35DD">
        <w:rPr>
          <w:rFonts w:ascii="Alef" w:hAnsi="Alef"/>
          <w:sz w:val="22"/>
          <w:rtl/>
        </w:rPr>
        <w:t xml:space="preserve">). </w:t>
      </w:r>
      <w:r w:rsidR="006416BD">
        <w:rPr>
          <w:rFonts w:ascii="Alef" w:hAnsi="Alef" w:hint="cs"/>
          <w:rtl/>
        </w:rPr>
        <w:t xml:space="preserve">הפיקדון על מכלי משקה קטנים עומד על 30 אגורות, אך קבלני משנה של תאגידי </w:t>
      </w:r>
      <w:proofErr w:type="spellStart"/>
      <w:r w:rsidR="006416BD">
        <w:rPr>
          <w:rFonts w:ascii="Alef" w:hAnsi="Alef" w:hint="cs"/>
          <w:rtl/>
        </w:rPr>
        <w:t>המיחזור</w:t>
      </w:r>
      <w:proofErr w:type="spellEnd"/>
      <w:r w:rsidR="006416BD">
        <w:rPr>
          <w:rFonts w:ascii="Alef" w:hAnsi="Alef" w:hint="cs"/>
          <w:rtl/>
        </w:rPr>
        <w:t xml:space="preserve"> עשויים לקבל תשלום בגובה נמוך או גבוה יותר מ-30 אגורות</w:t>
      </w:r>
      <w:r w:rsidR="00E86525">
        <w:rPr>
          <w:rFonts w:ascii="Alef" w:hAnsi="Alef" w:hint="cs"/>
          <w:rtl/>
        </w:rPr>
        <w:t xml:space="preserve">, כאשר </w:t>
      </w:r>
      <w:r w:rsidR="006416BD">
        <w:rPr>
          <w:rFonts w:ascii="Alef" w:hAnsi="Alef" w:hint="cs"/>
          <w:rtl/>
        </w:rPr>
        <w:t>רשתות שיווק מזון מקבלות</w:t>
      </w:r>
      <w:r w:rsidR="00E86525">
        <w:rPr>
          <w:rFonts w:ascii="Alef" w:hAnsi="Alef" w:hint="cs"/>
          <w:rtl/>
        </w:rPr>
        <w:t xml:space="preserve"> פעמים רבות תשלום הגבוה</w:t>
      </w:r>
      <w:r w:rsidR="006416BD">
        <w:rPr>
          <w:rFonts w:ascii="Alef" w:hAnsi="Alef" w:hint="cs"/>
          <w:rtl/>
        </w:rPr>
        <w:t xml:space="preserve"> מ-30 אגורות בתמורה להחזרת מכלי משקה.</w:t>
      </w:r>
    </w:p>
    <w:p w14:paraId="3CAA4DEE" w14:textId="77777777" w:rsidR="00C748B7" w:rsidRDefault="00C748B7" w:rsidP="00C748B7">
      <w:r w:rsidRPr="00AB28AA">
        <w:rPr>
          <w:rFonts w:hint="cs"/>
          <w:rtl/>
        </w:rPr>
        <w:t xml:space="preserve">ב. </w:t>
      </w:r>
      <w:r w:rsidRPr="00C748B7">
        <w:rPr>
          <w:rFonts w:hint="cs"/>
          <w:u w:val="single"/>
          <w:rtl/>
        </w:rPr>
        <w:t>מכלי משקה גדולים</w:t>
      </w:r>
    </w:p>
    <w:p w14:paraId="7B7E8B91" w14:textId="76C9553E" w:rsidR="00C748B7" w:rsidRDefault="00C748B7" w:rsidP="00395608">
      <w:pPr>
        <w:rPr>
          <w:rtl/>
        </w:rPr>
      </w:pPr>
      <w:r>
        <w:rPr>
          <w:rFonts w:hint="cs"/>
          <w:rtl/>
        </w:rPr>
        <w:t>ביום 1.1.2016 נכנס לתוקפו תיקון לחוק הפיקדון</w:t>
      </w:r>
      <w:r w:rsidR="00395608">
        <w:rPr>
          <w:rFonts w:hint="cs"/>
          <w:rtl/>
        </w:rPr>
        <w:t xml:space="preserve"> אשר קבע כי אם בשנה מסוימת לא ייאספו לפחות 55% ממכלי המשקה </w:t>
      </w:r>
      <w:r w:rsidR="00395608" w:rsidRPr="00E02C11">
        <w:rPr>
          <w:rFonts w:hint="cs"/>
          <w:rtl/>
        </w:rPr>
        <w:t>הגדולים</w:t>
      </w:r>
      <w:r w:rsidR="00395608">
        <w:rPr>
          <w:rFonts w:hint="cs"/>
          <w:rtl/>
        </w:rPr>
        <w:t xml:space="preserve"> יוחל חוק הפיקדון גם עליהם.</w:t>
      </w:r>
      <w:r w:rsidR="00D75659">
        <w:rPr>
          <w:rStyle w:val="FootnoteReference"/>
          <w:rtl/>
        </w:rPr>
        <w:footnoteReference w:id="7"/>
      </w:r>
      <w:r>
        <w:rPr>
          <w:rFonts w:hint="cs"/>
          <w:rtl/>
        </w:rPr>
        <w:t xml:space="preserve"> </w:t>
      </w:r>
    </w:p>
    <w:p w14:paraId="40BD4651" w14:textId="7B5AD5B5" w:rsidR="00633034" w:rsidRDefault="00B055F1" w:rsidP="008337B5">
      <w:pPr>
        <w:rPr>
          <w:rtl/>
        </w:rPr>
      </w:pPr>
      <w:r>
        <w:rPr>
          <w:rFonts w:hint="cs"/>
          <w:rtl/>
        </w:rPr>
        <w:t>עקב אי עמידה ביעד האיסוף החל על מכלי משקה</w:t>
      </w:r>
      <w:r w:rsidR="00663CD1">
        <w:rPr>
          <w:rFonts w:hint="cs"/>
          <w:rtl/>
        </w:rPr>
        <w:t xml:space="preserve"> גדולים,</w:t>
      </w:r>
      <w:r>
        <w:rPr>
          <w:rFonts w:hint="cs"/>
          <w:rtl/>
        </w:rPr>
        <w:t xml:space="preserve"> </w:t>
      </w:r>
      <w:r w:rsidR="00633034">
        <w:rPr>
          <w:rFonts w:hint="cs"/>
          <w:rtl/>
        </w:rPr>
        <w:t xml:space="preserve">אישרה ועדת הכלכלה </w:t>
      </w:r>
      <w:r w:rsidR="008337B5">
        <w:rPr>
          <w:rFonts w:hint="cs"/>
          <w:rtl/>
        </w:rPr>
        <w:t xml:space="preserve">ביום 1.12.2020 </w:t>
      </w:r>
      <w:r w:rsidR="00633034">
        <w:rPr>
          <w:rFonts w:hint="cs"/>
          <w:rtl/>
        </w:rPr>
        <w:t xml:space="preserve">את צו הפיקדון על מכלי משקה (דחיית מועד תחולת החוק על מכלי משקה גדולים ריקים), תשפ"א-2020 (להלן </w:t>
      </w:r>
      <w:r w:rsidR="00633034">
        <w:rPr>
          <w:rFonts w:hint="cs"/>
          <w:b/>
          <w:bCs/>
          <w:rtl/>
        </w:rPr>
        <w:t>צו הפיקדון</w:t>
      </w:r>
      <w:r w:rsidR="00633034">
        <w:rPr>
          <w:rFonts w:hint="cs"/>
          <w:rtl/>
        </w:rPr>
        <w:t>)</w:t>
      </w:r>
      <w:r w:rsidR="006B4CFE">
        <w:rPr>
          <w:rFonts w:hint="cs"/>
          <w:rtl/>
        </w:rPr>
        <w:t xml:space="preserve">. </w:t>
      </w:r>
      <w:r w:rsidR="00633034">
        <w:rPr>
          <w:rFonts w:hint="cs"/>
          <w:rtl/>
        </w:rPr>
        <w:t>לפי צו הפיקדון, החל מיום 1.12.2021 תחול חו</w:t>
      </w:r>
      <w:r w:rsidR="005163B4">
        <w:rPr>
          <w:rFonts w:hint="cs"/>
          <w:rtl/>
        </w:rPr>
        <w:t>בת פיקדון גם על מכלי משקה</w:t>
      </w:r>
      <w:r>
        <w:rPr>
          <w:rFonts w:hint="cs"/>
          <w:b/>
          <w:bCs/>
          <w:rtl/>
        </w:rPr>
        <w:t xml:space="preserve"> </w:t>
      </w:r>
      <w:r w:rsidR="00CA651E">
        <w:rPr>
          <w:rFonts w:hint="cs"/>
          <w:rtl/>
        </w:rPr>
        <w:t>גדולים. לאור צו הפיקדון, לקראת תחולת חוק הפיקדון גם על מכלי משקה גדולים, פנה איגוד המזון בבקשה זו, על מנת לבחו</w:t>
      </w:r>
      <w:r w:rsidR="00F557AF">
        <w:rPr>
          <w:rFonts w:hint="cs"/>
          <w:rtl/>
        </w:rPr>
        <w:t>ן</w:t>
      </w:r>
      <w:r w:rsidR="00CA651E">
        <w:rPr>
          <w:rFonts w:hint="cs"/>
          <w:rtl/>
        </w:rPr>
        <w:t xml:space="preserve"> את גובה הפיקדון הרצוי ולהמליץ עליו לחבריו וליבואני המשקאות.</w:t>
      </w:r>
    </w:p>
    <w:p w14:paraId="383F6905" w14:textId="5C839351" w:rsidR="00C748B7" w:rsidRPr="00C748B7" w:rsidRDefault="00F557AF" w:rsidP="00FB6AC0">
      <w:pPr>
        <w:rPr>
          <w:rtl/>
        </w:rPr>
      </w:pPr>
      <w:r>
        <w:rPr>
          <w:rFonts w:hint="cs"/>
          <w:rtl/>
        </w:rPr>
        <w:t>חוק הפיקדון קובע, כי בארבע השנים הראשונות לחובת הפיקדון על מכלי משקה גדולים, יעדי האיסוף של</w:t>
      </w:r>
      <w:r w:rsidR="007C5877">
        <w:rPr>
          <w:rFonts w:hint="cs"/>
          <w:rtl/>
        </w:rPr>
        <w:t>הם</w:t>
      </w:r>
      <w:r>
        <w:rPr>
          <w:rFonts w:hint="cs"/>
          <w:rtl/>
        </w:rPr>
        <w:t xml:space="preserve"> יהיו נמוכים יותר: בשנתיים הראשונות יעד האיסוף הממוצע יעמוד על 68% </w:t>
      </w:r>
      <w:r w:rsidR="007F568B">
        <w:rPr>
          <w:rFonts w:hint="cs"/>
          <w:rtl/>
        </w:rPr>
        <w:t xml:space="preserve">ובשנתיים </w:t>
      </w:r>
      <w:r w:rsidR="007F568B">
        <w:rPr>
          <w:rFonts w:hint="cs"/>
          <w:rtl/>
        </w:rPr>
        <w:lastRenderedPageBreak/>
        <w:t>שלאחר מכן יעד האיסוף הממוצע יעמוד על 71%.</w:t>
      </w:r>
      <w:bookmarkStart w:id="1" w:name="_Ref66635516"/>
      <w:r w:rsidR="007C5877">
        <w:rPr>
          <w:rStyle w:val="FootnoteReference"/>
          <w:rtl/>
        </w:rPr>
        <w:footnoteReference w:id="8"/>
      </w:r>
      <w:bookmarkEnd w:id="1"/>
      <w:r w:rsidR="007F568B">
        <w:rPr>
          <w:rFonts w:hint="cs"/>
          <w:rtl/>
        </w:rPr>
        <w:t xml:space="preserve"> זאת, לעומת יעד איסוף </w:t>
      </w:r>
      <w:r w:rsidR="007C5877">
        <w:rPr>
          <w:rFonts w:hint="cs"/>
          <w:rtl/>
        </w:rPr>
        <w:t>ממוצע של 77% כפי שחל על מכלי משקה קטנים ויחול לאחר תום ארבע השנים הראשונות גם על מכלי משקה גדולים.</w:t>
      </w:r>
      <w:r w:rsidR="007C5877">
        <w:rPr>
          <w:rStyle w:val="FootnoteReference"/>
          <w:rtl/>
        </w:rPr>
        <w:footnoteReference w:id="9"/>
      </w:r>
    </w:p>
    <w:p w14:paraId="73ACA540" w14:textId="77777777" w:rsidR="00A766B1" w:rsidRDefault="00A766B1" w:rsidP="00FE4C77">
      <w:pPr>
        <w:pStyle w:val="Heading1"/>
        <w:keepNext w:val="0"/>
        <w:keepLines w:val="0"/>
        <w:numPr>
          <w:ilvl w:val="0"/>
          <w:numId w:val="1"/>
        </w:numPr>
        <w:spacing w:before="100" w:beforeAutospacing="1" w:after="100" w:afterAutospacing="1" w:line="276" w:lineRule="auto"/>
        <w:ind w:right="720"/>
        <w:rPr>
          <w:rFonts w:ascii="Alef" w:eastAsia="Times New Roman" w:hAnsi="Alef"/>
          <w:b/>
          <w:bCs/>
          <w:kern w:val="36"/>
          <w:sz w:val="20"/>
          <w:szCs w:val="22"/>
          <w:rtl/>
        </w:rPr>
      </w:pPr>
      <w:r w:rsidRPr="000A4255">
        <w:rPr>
          <w:rFonts w:ascii="Alef" w:eastAsia="Times New Roman" w:hAnsi="Alef"/>
          <w:b/>
          <w:bCs/>
          <w:kern w:val="36"/>
          <w:sz w:val="20"/>
          <w:szCs w:val="22"/>
          <w:rtl/>
        </w:rPr>
        <w:t xml:space="preserve">השפעת ההסדר על התחרות - פגיעה בתחרות </w:t>
      </w:r>
      <w:r w:rsidR="00FE4C77">
        <w:rPr>
          <w:rFonts w:ascii="Alef" w:eastAsia="Times New Roman" w:hAnsi="Alef" w:hint="cs"/>
          <w:b/>
          <w:bCs/>
          <w:kern w:val="36"/>
          <w:sz w:val="20"/>
          <w:szCs w:val="22"/>
          <w:rtl/>
        </w:rPr>
        <w:t>בתחום המשקאות הקלים ובשוק איסוף מכלים</w:t>
      </w:r>
    </w:p>
    <w:p w14:paraId="414C908B" w14:textId="7DF67D42" w:rsidR="00000F74" w:rsidRDefault="00FE4C77" w:rsidP="00FB2904">
      <w:pPr>
        <w:rPr>
          <w:rtl/>
        </w:rPr>
      </w:pPr>
      <w:r w:rsidRPr="007119C6">
        <w:rPr>
          <w:rtl/>
        </w:rPr>
        <w:t>איגוד המזון הוא 'איגוד עסקי' שכ</w:t>
      </w:r>
      <w:r w:rsidR="00395608">
        <w:rPr>
          <w:rtl/>
        </w:rPr>
        <w:t>ן הוא עו</w:t>
      </w:r>
      <w:r w:rsidR="00395608">
        <w:rPr>
          <w:rFonts w:hint="cs"/>
          <w:rtl/>
        </w:rPr>
        <w:t>נ</w:t>
      </w:r>
      <w:r w:rsidRPr="007119C6">
        <w:rPr>
          <w:rtl/>
        </w:rPr>
        <w:t>ה על הגדרת המ</w:t>
      </w:r>
      <w:r>
        <w:rPr>
          <w:rtl/>
        </w:rPr>
        <w:t>ונח בסעיף 1 לחוק</w:t>
      </w:r>
      <w:r w:rsidRPr="007119C6">
        <w:rPr>
          <w:rtl/>
        </w:rPr>
        <w:t xml:space="preserve">. לפיכך, האמנה מושא בקשה זאת עשויה לעלות </w:t>
      </w:r>
      <w:r w:rsidR="00FB6AC0">
        <w:rPr>
          <w:rFonts w:hint="cs"/>
          <w:rtl/>
        </w:rPr>
        <w:t>ל</w:t>
      </w:r>
      <w:r w:rsidRPr="007119C6">
        <w:rPr>
          <w:rtl/>
        </w:rPr>
        <w:t>כדי הסדר כובל לפי סעיף 5 לחוק, בהיותה קו פעולה עליו ממליץ האיגוד העסקי לחבריו, בין אם יאומץ על ידי חבריו ובין אם לאו.</w:t>
      </w:r>
      <w:r>
        <w:rPr>
          <w:rStyle w:val="FootnoteReference"/>
          <w:rtl/>
        </w:rPr>
        <w:footnoteReference w:id="10"/>
      </w:r>
      <w:r>
        <w:rPr>
          <w:rFonts w:hint="cs"/>
          <w:rtl/>
        </w:rPr>
        <w:t xml:space="preserve"> </w:t>
      </w:r>
      <w:r w:rsidRPr="007119C6">
        <w:rPr>
          <w:rtl/>
        </w:rPr>
        <w:t xml:space="preserve">האמנה היא, הלכה למעשה, המלצה של איגוד המזון </w:t>
      </w:r>
      <w:r w:rsidR="00DB4567">
        <w:rPr>
          <w:rFonts w:hint="cs"/>
          <w:rtl/>
        </w:rPr>
        <w:t>שעשויה להגביל</w:t>
      </w:r>
      <w:r w:rsidR="00DB4567" w:rsidRPr="007119C6">
        <w:rPr>
          <w:rtl/>
        </w:rPr>
        <w:t xml:space="preserve"> </w:t>
      </w:r>
      <w:r w:rsidRPr="007119C6">
        <w:rPr>
          <w:rtl/>
        </w:rPr>
        <w:t xml:space="preserve">את מידת התחרות בין יצרני </w:t>
      </w:r>
      <w:r>
        <w:rPr>
          <w:rFonts w:hint="cs"/>
          <w:rtl/>
        </w:rPr>
        <w:t>המשקאות</w:t>
      </w:r>
      <w:r w:rsidRPr="007119C6">
        <w:rPr>
          <w:rtl/>
        </w:rPr>
        <w:t xml:space="preserve"> החתומים עליה. זאת, מפני שבחתימתם על האמנה מקבלים על עצמם יצרני </w:t>
      </w:r>
      <w:r>
        <w:rPr>
          <w:rFonts w:hint="cs"/>
          <w:rtl/>
        </w:rPr>
        <w:t xml:space="preserve">המשקאות </w:t>
      </w:r>
      <w:r w:rsidR="00146831">
        <w:rPr>
          <w:rFonts w:hint="cs"/>
          <w:rtl/>
        </w:rPr>
        <w:t xml:space="preserve">מגבלה </w:t>
      </w:r>
      <w:r w:rsidRPr="007119C6">
        <w:rPr>
          <w:rtl/>
        </w:rPr>
        <w:t xml:space="preserve">אשר </w:t>
      </w:r>
      <w:r w:rsidR="00146831">
        <w:rPr>
          <w:rFonts w:hint="cs"/>
          <w:rtl/>
        </w:rPr>
        <w:t>קשורה לגובה המחיר לצרכן, נושא שבליבת התחרות בניהם</w:t>
      </w:r>
      <w:r w:rsidRPr="007119C6">
        <w:rPr>
          <w:rtl/>
        </w:rPr>
        <w:t xml:space="preserve">. </w:t>
      </w:r>
    </w:p>
    <w:p w14:paraId="3471D73B" w14:textId="3608604A" w:rsidR="00626AD4" w:rsidRPr="005042D0" w:rsidRDefault="00D23EAE" w:rsidP="00005D6B">
      <w:pPr>
        <w:rPr>
          <w:rtl/>
        </w:rPr>
      </w:pPr>
      <w:r>
        <w:rPr>
          <w:rFonts w:hint="cs"/>
          <w:b/>
          <w:bCs/>
          <w:rtl/>
        </w:rPr>
        <w:t>התועלת</w:t>
      </w:r>
      <w:r w:rsidR="001D3CFA">
        <w:rPr>
          <w:rFonts w:hint="cs"/>
          <w:b/>
          <w:bCs/>
          <w:rtl/>
        </w:rPr>
        <w:t xml:space="preserve"> </w:t>
      </w:r>
      <w:r>
        <w:rPr>
          <w:rFonts w:hint="cs"/>
          <w:b/>
          <w:bCs/>
          <w:rtl/>
        </w:rPr>
        <w:t>מ</w:t>
      </w:r>
      <w:r w:rsidR="001D3CFA">
        <w:rPr>
          <w:rFonts w:hint="cs"/>
          <w:b/>
          <w:bCs/>
          <w:rtl/>
        </w:rPr>
        <w:t xml:space="preserve">ההסדר - </w:t>
      </w:r>
      <w:r w:rsidR="005042D0">
        <w:rPr>
          <w:rFonts w:hint="cs"/>
          <w:rtl/>
        </w:rPr>
        <w:t xml:space="preserve">מהות הפטור המבוקש היא </w:t>
      </w:r>
      <w:r w:rsidR="00387BE9" w:rsidRPr="00007884">
        <w:rPr>
          <w:rtl/>
        </w:rPr>
        <w:t>תיאום בין היצרנים והיבואנים השונים לשם</w:t>
      </w:r>
      <w:r w:rsidR="00387BE9">
        <w:rPr>
          <w:rtl/>
        </w:rPr>
        <w:t xml:space="preserve"> קביעת גובה הפיקדון הרצוי עבורם</w:t>
      </w:r>
      <w:r w:rsidR="00387BE9">
        <w:rPr>
          <w:rFonts w:hint="cs"/>
          <w:rtl/>
        </w:rPr>
        <w:t xml:space="preserve">. </w:t>
      </w:r>
      <w:r w:rsidR="00387BE9" w:rsidRPr="0084085D">
        <w:rPr>
          <w:rFonts w:ascii="Alef" w:hAnsi="Alef"/>
          <w:rtl/>
        </w:rPr>
        <w:t>במצב הקיים כל יצרן או יבואן רשאי לקבוע בעצמו פיקדון</w:t>
      </w:r>
      <w:r w:rsidR="00DC2EDA">
        <w:rPr>
          <w:rFonts w:ascii="Alef" w:hAnsi="Alef" w:hint="cs"/>
          <w:rtl/>
        </w:rPr>
        <w:t xml:space="preserve"> </w:t>
      </w:r>
      <w:r w:rsidR="00DC2EDA">
        <w:rPr>
          <w:rFonts w:ascii="Alef" w:hAnsi="Alef"/>
          <w:rtl/>
        </w:rPr>
        <w:t>על מכלי המשקה שהוא משווק</w:t>
      </w:r>
      <w:r w:rsidR="00546615">
        <w:rPr>
          <w:rFonts w:ascii="Alef" w:hAnsi="Alef" w:hint="cs"/>
          <w:rtl/>
        </w:rPr>
        <w:t>,</w:t>
      </w:r>
      <w:r w:rsidR="00DC2EDA">
        <w:rPr>
          <w:rFonts w:ascii="Alef" w:hAnsi="Alef" w:hint="cs"/>
          <w:rtl/>
        </w:rPr>
        <w:t xml:space="preserve"> העומד על המינימום </w:t>
      </w:r>
      <w:r w:rsidR="00632397">
        <w:rPr>
          <w:rFonts w:ascii="Alef" w:hAnsi="Alef"/>
          <w:rtl/>
        </w:rPr>
        <w:t xml:space="preserve">הקבוע </w:t>
      </w:r>
      <w:r w:rsidR="00632397">
        <w:rPr>
          <w:rFonts w:ascii="Alef" w:hAnsi="Alef" w:hint="cs"/>
          <w:rtl/>
        </w:rPr>
        <w:t xml:space="preserve">על פי </w:t>
      </w:r>
      <w:r w:rsidR="00387BE9" w:rsidRPr="0084085D">
        <w:rPr>
          <w:rFonts w:ascii="Alef" w:hAnsi="Alef"/>
          <w:rtl/>
        </w:rPr>
        <w:t>חוק הפיקדון</w:t>
      </w:r>
      <w:r w:rsidR="00DC2EDA">
        <w:rPr>
          <w:rFonts w:ascii="Alef" w:hAnsi="Alef" w:hint="cs"/>
          <w:rtl/>
        </w:rPr>
        <w:t xml:space="preserve"> או גבוה ממנו</w:t>
      </w:r>
      <w:r w:rsidR="00387BE9">
        <w:rPr>
          <w:rFonts w:ascii="Alef" w:hAnsi="Alef"/>
          <w:rtl/>
        </w:rPr>
        <w:t>.</w:t>
      </w:r>
      <w:r w:rsidR="00387BE9">
        <w:rPr>
          <w:rFonts w:hint="cs"/>
          <w:rtl/>
        </w:rPr>
        <w:t xml:space="preserve"> </w:t>
      </w:r>
      <w:r w:rsidR="00387BE9">
        <w:rPr>
          <w:rFonts w:ascii="Alef" w:hAnsi="Alef" w:hint="cs"/>
          <w:rtl/>
        </w:rPr>
        <w:t>עם זאת,</w:t>
      </w:r>
      <w:r w:rsidR="000A6FFA">
        <w:rPr>
          <w:rFonts w:ascii="Alef" w:hAnsi="Alef" w:hint="cs"/>
          <w:rtl/>
        </w:rPr>
        <w:t xml:space="preserve"> נראה כי</w:t>
      </w:r>
      <w:r w:rsidR="00387BE9">
        <w:rPr>
          <w:rFonts w:ascii="Alef" w:hAnsi="Alef" w:hint="cs"/>
          <w:rtl/>
        </w:rPr>
        <w:t xml:space="preserve"> ליצרן בודד אין תמריץ </w:t>
      </w:r>
      <w:r w:rsidR="000A6FFA">
        <w:rPr>
          <w:rFonts w:ascii="Alef" w:hAnsi="Alef" w:hint="cs"/>
          <w:rtl/>
        </w:rPr>
        <w:t xml:space="preserve">מובהק </w:t>
      </w:r>
      <w:r w:rsidR="00387BE9">
        <w:rPr>
          <w:rFonts w:ascii="Alef" w:hAnsi="Alef" w:hint="cs"/>
          <w:rtl/>
        </w:rPr>
        <w:t>להעלות</w:t>
      </w:r>
      <w:r w:rsidR="00717FA1">
        <w:rPr>
          <w:rFonts w:ascii="Alef" w:hAnsi="Alef" w:hint="cs"/>
          <w:rtl/>
        </w:rPr>
        <w:t xml:space="preserve"> לבדו</w:t>
      </w:r>
      <w:r w:rsidR="00387BE9">
        <w:rPr>
          <w:rFonts w:ascii="Alef" w:hAnsi="Alef" w:hint="cs"/>
          <w:rtl/>
        </w:rPr>
        <w:t xml:space="preserve"> את גובה הפיקדון מעבר למינימום, משום שהביקוש למוצריו ירד בעקבות העלייה בפיקדון, בעוד שכל היצרנים - ולא רק הוא - ייהנו מהתמריץ המוגבר של הצרכנים להחזיר את אותם מכלים עם הפיקדון הגבוה יותר.</w:t>
      </w:r>
      <w:r w:rsidR="00387BE9">
        <w:rPr>
          <w:rStyle w:val="FootnoteReference"/>
          <w:rFonts w:ascii="Alef" w:hAnsi="Alef"/>
        </w:rPr>
        <w:footnoteReference w:id="11"/>
      </w:r>
      <w:r w:rsidR="00387BE9">
        <w:rPr>
          <w:rFonts w:hint="cs"/>
          <w:rtl/>
        </w:rPr>
        <w:t xml:space="preserve"> </w:t>
      </w:r>
      <w:r w:rsidR="000F660B">
        <w:rPr>
          <w:rFonts w:hint="cs"/>
          <w:rtl/>
        </w:rPr>
        <w:t xml:space="preserve">לכן, </w:t>
      </w:r>
      <w:r w:rsidR="005E7CDE">
        <w:rPr>
          <w:rFonts w:hint="cs"/>
          <w:rtl/>
        </w:rPr>
        <w:t>קיימת סבירות לא מבוטלת</w:t>
      </w:r>
      <w:r w:rsidR="000F660B">
        <w:rPr>
          <w:rFonts w:hint="cs"/>
          <w:rtl/>
        </w:rPr>
        <w:t xml:space="preserve"> שאלמלא מתן הפטור, גובה הפיקדון של כלל היצרנים והיבואנים יתקבע על המינימום הקבוע בחוק </w:t>
      </w:r>
      <w:r w:rsidR="000F660B" w:rsidRPr="000A6FFA">
        <w:rPr>
          <w:rFonts w:hint="eastAsia"/>
          <w:rtl/>
        </w:rPr>
        <w:t>הפיקדון</w:t>
      </w:r>
      <w:r w:rsidR="00CB453B" w:rsidRPr="000A6FFA">
        <w:rPr>
          <w:rtl/>
        </w:rPr>
        <w:t xml:space="preserve">, </w:t>
      </w:r>
      <w:r w:rsidR="00CB453B" w:rsidRPr="00612C93">
        <w:rPr>
          <w:rFonts w:hint="eastAsia"/>
          <w:rtl/>
        </w:rPr>
        <w:t>במיוחד</w:t>
      </w:r>
      <w:r w:rsidR="00CB453B" w:rsidRPr="00612C93">
        <w:rPr>
          <w:rtl/>
        </w:rPr>
        <w:t xml:space="preserve"> </w:t>
      </w:r>
      <w:r w:rsidR="00CB453B" w:rsidRPr="00612C93">
        <w:rPr>
          <w:rFonts w:hint="eastAsia"/>
          <w:rtl/>
        </w:rPr>
        <w:t>לאור</w:t>
      </w:r>
      <w:r w:rsidR="00CB453B" w:rsidRPr="00612C93">
        <w:rPr>
          <w:rtl/>
        </w:rPr>
        <w:t xml:space="preserve"> </w:t>
      </w:r>
      <w:r w:rsidR="00CB453B" w:rsidRPr="00612C93">
        <w:rPr>
          <w:rFonts w:hint="eastAsia"/>
          <w:rtl/>
        </w:rPr>
        <w:t>החשיבות</w:t>
      </w:r>
      <w:r w:rsidR="00CB453B" w:rsidRPr="00612C93">
        <w:rPr>
          <w:rtl/>
        </w:rPr>
        <w:t xml:space="preserve"> </w:t>
      </w:r>
      <w:r w:rsidR="00CB453B" w:rsidRPr="00612C93">
        <w:rPr>
          <w:rFonts w:hint="eastAsia"/>
          <w:rtl/>
        </w:rPr>
        <w:t>של</w:t>
      </w:r>
      <w:r w:rsidR="00CB453B" w:rsidRPr="00612C93">
        <w:rPr>
          <w:rtl/>
        </w:rPr>
        <w:t xml:space="preserve"> </w:t>
      </w:r>
      <w:r w:rsidR="00CB453B" w:rsidRPr="00612C93">
        <w:rPr>
          <w:rFonts w:hint="eastAsia"/>
          <w:rtl/>
        </w:rPr>
        <w:t>אחידות</w:t>
      </w:r>
      <w:r w:rsidR="00CB453B" w:rsidRPr="00612C93">
        <w:rPr>
          <w:rtl/>
        </w:rPr>
        <w:t xml:space="preserve"> </w:t>
      </w:r>
      <w:r w:rsidR="00CB453B" w:rsidRPr="00612C93">
        <w:rPr>
          <w:rFonts w:hint="eastAsia"/>
          <w:rtl/>
        </w:rPr>
        <w:t>בגובה</w:t>
      </w:r>
      <w:r w:rsidR="00CB453B" w:rsidRPr="00612C93">
        <w:rPr>
          <w:rtl/>
        </w:rPr>
        <w:t xml:space="preserve"> </w:t>
      </w:r>
      <w:r w:rsidR="00CB453B" w:rsidRPr="00612C93">
        <w:rPr>
          <w:rFonts w:hint="eastAsia"/>
          <w:rtl/>
        </w:rPr>
        <w:t>הפיקדון</w:t>
      </w:r>
      <w:r w:rsidR="00CB453B" w:rsidRPr="00612C93">
        <w:rPr>
          <w:rtl/>
        </w:rPr>
        <w:t xml:space="preserve"> </w:t>
      </w:r>
      <w:r w:rsidR="00CB453B" w:rsidRPr="00612C93">
        <w:rPr>
          <w:rFonts w:hint="eastAsia"/>
          <w:rtl/>
        </w:rPr>
        <w:t>לשם</w:t>
      </w:r>
      <w:r w:rsidR="00CB453B" w:rsidRPr="00612C93">
        <w:rPr>
          <w:rtl/>
        </w:rPr>
        <w:t xml:space="preserve"> </w:t>
      </w:r>
      <w:r w:rsidR="00CB453B" w:rsidRPr="00612C93">
        <w:rPr>
          <w:rFonts w:hint="eastAsia"/>
          <w:rtl/>
        </w:rPr>
        <w:t>יעילות</w:t>
      </w:r>
      <w:r w:rsidR="00CB453B" w:rsidRPr="00612C93">
        <w:rPr>
          <w:rtl/>
        </w:rPr>
        <w:t xml:space="preserve"> </w:t>
      </w:r>
      <w:r w:rsidR="00CB453B" w:rsidRPr="00612C93">
        <w:rPr>
          <w:rFonts w:hint="eastAsia"/>
          <w:rtl/>
        </w:rPr>
        <w:t>מנגנון</w:t>
      </w:r>
      <w:r w:rsidR="00CB453B" w:rsidRPr="00612C93">
        <w:rPr>
          <w:rtl/>
        </w:rPr>
        <w:t xml:space="preserve"> </w:t>
      </w:r>
      <w:r w:rsidR="00CB453B" w:rsidRPr="00612C93">
        <w:rPr>
          <w:rFonts w:hint="eastAsia"/>
          <w:rtl/>
        </w:rPr>
        <w:t>האיסוף</w:t>
      </w:r>
      <w:r w:rsidR="000F660B" w:rsidRPr="000A6FFA">
        <w:rPr>
          <w:rtl/>
        </w:rPr>
        <w:t>.</w:t>
      </w:r>
      <w:r w:rsidR="00101FD0">
        <w:rPr>
          <w:rStyle w:val="FootnoteReference"/>
          <w:rtl/>
        </w:rPr>
        <w:footnoteReference w:id="12"/>
      </w:r>
      <w:r w:rsidR="000F660B" w:rsidRPr="000A6FFA">
        <w:rPr>
          <w:rtl/>
        </w:rPr>
        <w:t xml:space="preserve"> </w:t>
      </w:r>
      <w:r w:rsidR="00626AD4">
        <w:rPr>
          <w:rFonts w:hint="cs"/>
          <w:rtl/>
        </w:rPr>
        <w:t xml:space="preserve">לפיכך, נראה כי מטרתו של הפטור המבוקש היא לבחון את הצורך להגדיל את גובה הפיקדון על ידי כלל היצרנים והיבואנים, </w:t>
      </w:r>
      <w:r w:rsidR="00C43E20">
        <w:rPr>
          <w:rFonts w:hint="cs"/>
          <w:rtl/>
        </w:rPr>
        <w:t xml:space="preserve">ולהעלותו </w:t>
      </w:r>
      <w:r w:rsidR="00626AD4">
        <w:rPr>
          <w:rFonts w:hint="cs"/>
          <w:rtl/>
        </w:rPr>
        <w:t>לסכום הרצוי עבורם, תוך שמירה על אחידות בגובה פיקדון זה.</w:t>
      </w:r>
    </w:p>
    <w:p w14:paraId="33ECE004" w14:textId="633D3805" w:rsidR="00637D7E" w:rsidRPr="004A33B0" w:rsidRDefault="00000F74" w:rsidP="00062200">
      <w:r>
        <w:rPr>
          <w:rFonts w:hint="cs"/>
          <w:rtl/>
        </w:rPr>
        <w:lastRenderedPageBreak/>
        <w:t xml:space="preserve">ההסדר כולו והאמנה בפרט, מעוררים חששות תחרותיים </w:t>
      </w:r>
      <w:r w:rsidR="00062200">
        <w:rPr>
          <w:rFonts w:hint="cs"/>
          <w:rtl/>
        </w:rPr>
        <w:t>משמעותיים</w:t>
      </w:r>
      <w:r>
        <w:rPr>
          <w:rFonts w:hint="cs"/>
          <w:rtl/>
        </w:rPr>
        <w:t xml:space="preserve">. ראשית, מתעורר חשש </w:t>
      </w:r>
      <w:r w:rsidR="000D5849">
        <w:rPr>
          <w:rFonts w:hint="cs"/>
          <w:rtl/>
        </w:rPr>
        <w:t xml:space="preserve">לפגיעה בצרכני המשקאות עקב העלאת המחיר המשקאות וגובה הפיקדון הכלול בו; שנית, מתעורר חשש </w:t>
      </w:r>
      <w:r w:rsidR="0072423C">
        <w:rPr>
          <w:rFonts w:hint="cs"/>
          <w:rtl/>
        </w:rPr>
        <w:t>מ</w:t>
      </w:r>
      <w:r w:rsidR="000D5849">
        <w:rPr>
          <w:rFonts w:hint="cs"/>
          <w:rtl/>
        </w:rPr>
        <w:t>שולחן משותף</w:t>
      </w:r>
      <w:r w:rsidR="0072423C">
        <w:rPr>
          <w:rFonts w:hint="cs"/>
          <w:rtl/>
        </w:rPr>
        <w:t>; ושלישית, מתעורר חשש שכתוצאה מההסדר תיפגע התחרות בשוק איסוף מכלי המשקה.</w:t>
      </w:r>
      <w:r w:rsidR="005E7CDE">
        <w:rPr>
          <w:rFonts w:hint="cs"/>
          <w:rtl/>
        </w:rPr>
        <w:t xml:space="preserve"> להלן יפורטו חששות אלו:</w:t>
      </w:r>
    </w:p>
    <w:p w14:paraId="156B3DE5" w14:textId="39A99BF3" w:rsidR="0014269B" w:rsidRDefault="005C48BD" w:rsidP="00C0427E">
      <w:pPr>
        <w:rPr>
          <w:rtl/>
        </w:rPr>
      </w:pPr>
      <w:r>
        <w:rPr>
          <w:rFonts w:hint="cs"/>
          <w:b/>
          <w:bCs/>
          <w:rtl/>
        </w:rPr>
        <w:t xml:space="preserve">עליה במחיר לצרכן בעקבות עליה בגובה הפיקדון </w:t>
      </w:r>
      <w:r w:rsidR="00B611E0">
        <w:rPr>
          <w:b/>
          <w:bCs/>
          <w:rtl/>
        </w:rPr>
        <w:t>–</w:t>
      </w:r>
      <w:r w:rsidR="00B611E0">
        <w:rPr>
          <w:rFonts w:hint="cs"/>
          <w:b/>
          <w:bCs/>
          <w:rtl/>
        </w:rPr>
        <w:t xml:space="preserve"> </w:t>
      </w:r>
      <w:r w:rsidR="00627A01">
        <w:rPr>
          <w:rFonts w:hint="cs"/>
          <w:rtl/>
        </w:rPr>
        <w:t xml:space="preserve">איגוד המזון הינו איגוד עסקי כאמור, ולכן מטרתו העיקרית היא לשמש פלטפורמה לקידום עסקיהם של חבריו. לכן, </w:t>
      </w:r>
      <w:r w:rsidR="003A277D">
        <w:rPr>
          <w:rFonts w:hint="cs"/>
          <w:rtl/>
        </w:rPr>
        <w:t xml:space="preserve">אם היה ניתן הפטור המבוקש, </w:t>
      </w:r>
      <w:r w:rsidR="00627A01">
        <w:rPr>
          <w:rFonts w:hint="cs"/>
          <w:rtl/>
        </w:rPr>
        <w:t xml:space="preserve">איגוד המזון היה </w:t>
      </w:r>
      <w:r w:rsidR="00893547">
        <w:rPr>
          <w:rFonts w:hint="cs"/>
          <w:rtl/>
        </w:rPr>
        <w:t>צפוי לה</w:t>
      </w:r>
      <w:r w:rsidR="00627A01">
        <w:rPr>
          <w:rFonts w:hint="cs"/>
          <w:rtl/>
        </w:rPr>
        <w:t>מליץ על סכום פיקדון אשר היה מניב לחבריו רווח מרבי</w:t>
      </w:r>
      <w:r w:rsidR="00062200">
        <w:rPr>
          <w:rFonts w:hint="cs"/>
          <w:rtl/>
        </w:rPr>
        <w:t xml:space="preserve"> תוך התחשבות במספר פרמטרים</w:t>
      </w:r>
      <w:r w:rsidR="00A55460">
        <w:rPr>
          <w:rFonts w:hint="cs"/>
          <w:rtl/>
        </w:rPr>
        <w:t xml:space="preserve"> ובהם</w:t>
      </w:r>
      <w:r w:rsidR="00062200">
        <w:rPr>
          <w:rFonts w:hint="cs"/>
          <w:rtl/>
        </w:rPr>
        <w:t>: המחיר לצרכן, יכולת היצרנים להטיל את נטל הפיקדון על הצרכן והעלויות המוטלות על היצרנים במקרה של אי עמידה ביעדי האיסוף. גובה הפיקדון שייקבע על ידי איגוד המזון</w:t>
      </w:r>
      <w:r w:rsidR="00A56833">
        <w:rPr>
          <w:rFonts w:hint="cs"/>
          <w:rtl/>
        </w:rPr>
        <w:t xml:space="preserve"> עשוי לה</w:t>
      </w:r>
      <w:r w:rsidR="007121CE">
        <w:rPr>
          <w:rFonts w:hint="cs"/>
          <w:rtl/>
        </w:rPr>
        <w:t>וביל לנטל גדול יותר על הצרכן מאשר</w:t>
      </w:r>
      <w:r w:rsidR="00A56833">
        <w:rPr>
          <w:rFonts w:hint="cs"/>
          <w:rtl/>
        </w:rPr>
        <w:t xml:space="preserve"> אם</w:t>
      </w:r>
      <w:r w:rsidR="007121CE">
        <w:rPr>
          <w:rFonts w:hint="cs"/>
          <w:rtl/>
        </w:rPr>
        <w:t xml:space="preserve"> היה נקבע סכום הפיקדון תוך </w:t>
      </w:r>
      <w:r w:rsidR="007121CE" w:rsidRPr="00E03743">
        <w:rPr>
          <w:rFonts w:hint="eastAsia"/>
          <w:rtl/>
        </w:rPr>
        <w:t>התחשבות</w:t>
      </w:r>
      <w:r w:rsidR="007121CE" w:rsidRPr="00E03743">
        <w:rPr>
          <w:rtl/>
        </w:rPr>
        <w:t xml:space="preserve"> </w:t>
      </w:r>
      <w:r w:rsidR="007121CE" w:rsidRPr="00E03743">
        <w:rPr>
          <w:rFonts w:hint="eastAsia"/>
          <w:rtl/>
        </w:rPr>
        <w:t>בשיקולים</w:t>
      </w:r>
      <w:r w:rsidR="007121CE" w:rsidRPr="00E03743">
        <w:rPr>
          <w:rtl/>
        </w:rPr>
        <w:t xml:space="preserve"> </w:t>
      </w:r>
      <w:r w:rsidR="007121CE" w:rsidRPr="00E03743">
        <w:rPr>
          <w:rFonts w:hint="eastAsia"/>
          <w:rtl/>
        </w:rPr>
        <w:t>סביבתיים</w:t>
      </w:r>
      <w:r w:rsidR="007121CE" w:rsidRPr="00E03743">
        <w:rPr>
          <w:rtl/>
        </w:rPr>
        <w:t xml:space="preserve"> </w:t>
      </w:r>
      <w:r w:rsidR="007121CE" w:rsidRPr="00E03743">
        <w:rPr>
          <w:rFonts w:hint="eastAsia"/>
          <w:rtl/>
        </w:rPr>
        <w:t>בלבד</w:t>
      </w:r>
      <w:r w:rsidR="007121CE" w:rsidRPr="00E03743">
        <w:rPr>
          <w:rtl/>
        </w:rPr>
        <w:t xml:space="preserve">, </w:t>
      </w:r>
      <w:r w:rsidR="007121CE" w:rsidRPr="00E03743">
        <w:rPr>
          <w:rFonts w:hint="eastAsia"/>
          <w:rtl/>
        </w:rPr>
        <w:t>ולא</w:t>
      </w:r>
      <w:r w:rsidR="007121CE" w:rsidRPr="00E03743">
        <w:rPr>
          <w:rtl/>
        </w:rPr>
        <w:t xml:space="preserve"> </w:t>
      </w:r>
      <w:r w:rsidR="007121CE" w:rsidRPr="00E03743">
        <w:rPr>
          <w:rFonts w:hint="eastAsia"/>
          <w:rtl/>
        </w:rPr>
        <w:t>תוך</w:t>
      </w:r>
      <w:r w:rsidR="007121CE" w:rsidRPr="00E03743">
        <w:rPr>
          <w:rtl/>
        </w:rPr>
        <w:t xml:space="preserve"> </w:t>
      </w:r>
      <w:r w:rsidR="007121CE" w:rsidRPr="00E03743">
        <w:rPr>
          <w:rFonts w:hint="eastAsia"/>
          <w:rtl/>
        </w:rPr>
        <w:t>שקילת</w:t>
      </w:r>
      <w:r w:rsidR="007121CE" w:rsidRPr="00E03743">
        <w:rPr>
          <w:rtl/>
        </w:rPr>
        <w:t xml:space="preserve"> </w:t>
      </w:r>
      <w:r w:rsidR="007121CE" w:rsidRPr="00E03743">
        <w:rPr>
          <w:rFonts w:hint="eastAsia"/>
          <w:rtl/>
        </w:rPr>
        <w:t>שיקולי</w:t>
      </w:r>
      <w:r w:rsidR="007121CE" w:rsidRPr="00E03743">
        <w:rPr>
          <w:rtl/>
        </w:rPr>
        <w:t xml:space="preserve"> </w:t>
      </w:r>
      <w:r w:rsidR="007121CE" w:rsidRPr="00E03743">
        <w:rPr>
          <w:rFonts w:hint="eastAsia"/>
          <w:rtl/>
        </w:rPr>
        <w:t>רווח</w:t>
      </w:r>
      <w:r w:rsidR="007121CE" w:rsidRPr="00E03743">
        <w:rPr>
          <w:rtl/>
        </w:rPr>
        <w:t>.</w:t>
      </w:r>
      <w:r w:rsidR="00846D59" w:rsidRPr="00E03743">
        <w:rPr>
          <w:rtl/>
        </w:rPr>
        <w:t xml:space="preserve"> לשון אחר, </w:t>
      </w:r>
      <w:r w:rsidR="00EF0CB6" w:rsidRPr="00E03743">
        <w:rPr>
          <w:rFonts w:hint="eastAsia"/>
          <w:rtl/>
        </w:rPr>
        <w:t>מתן</w:t>
      </w:r>
      <w:r w:rsidR="00EF0CB6" w:rsidRPr="00E03743">
        <w:rPr>
          <w:rtl/>
        </w:rPr>
        <w:t xml:space="preserve"> </w:t>
      </w:r>
      <w:r w:rsidR="00EF0CB6" w:rsidRPr="00E03743">
        <w:rPr>
          <w:rFonts w:hint="eastAsia"/>
          <w:rtl/>
        </w:rPr>
        <w:t>הפטור</w:t>
      </w:r>
      <w:r w:rsidR="00EF0CB6" w:rsidRPr="00E03743">
        <w:rPr>
          <w:rtl/>
        </w:rPr>
        <w:t xml:space="preserve"> </w:t>
      </w:r>
      <w:r w:rsidR="00EF0CB6" w:rsidRPr="00E03743">
        <w:rPr>
          <w:rFonts w:hint="eastAsia"/>
          <w:rtl/>
        </w:rPr>
        <w:t>יאפשר</w:t>
      </w:r>
      <w:r w:rsidR="00EF0CB6" w:rsidRPr="00E03743">
        <w:rPr>
          <w:rtl/>
        </w:rPr>
        <w:t xml:space="preserve"> </w:t>
      </w:r>
      <w:r w:rsidR="00EF0CB6" w:rsidRPr="00E03743">
        <w:rPr>
          <w:rFonts w:hint="eastAsia"/>
          <w:rtl/>
        </w:rPr>
        <w:t>לאיגוד</w:t>
      </w:r>
      <w:r w:rsidR="00EF0CB6" w:rsidRPr="00E03743">
        <w:rPr>
          <w:rtl/>
        </w:rPr>
        <w:t xml:space="preserve"> </w:t>
      </w:r>
      <w:r w:rsidR="00EF0CB6" w:rsidRPr="00E03743">
        <w:rPr>
          <w:rFonts w:hint="eastAsia"/>
          <w:rtl/>
        </w:rPr>
        <w:t>לקבוע</w:t>
      </w:r>
      <w:r w:rsidR="00EF0CB6" w:rsidRPr="00E03743">
        <w:rPr>
          <w:rtl/>
        </w:rPr>
        <w:t xml:space="preserve"> </w:t>
      </w:r>
      <w:r w:rsidR="00EF0CB6" w:rsidRPr="00E03743">
        <w:rPr>
          <w:rFonts w:hint="eastAsia"/>
          <w:rtl/>
        </w:rPr>
        <w:t>פיקדון</w:t>
      </w:r>
      <w:r w:rsidR="00EF0CB6" w:rsidRPr="00E03743">
        <w:rPr>
          <w:rtl/>
        </w:rPr>
        <w:t xml:space="preserve"> </w:t>
      </w:r>
      <w:r w:rsidR="00EF0CB6" w:rsidRPr="00E03743">
        <w:rPr>
          <w:rFonts w:hint="eastAsia"/>
          <w:rtl/>
        </w:rPr>
        <w:t>בסכום</w:t>
      </w:r>
      <w:r w:rsidR="00EF0CB6" w:rsidRPr="00E03743">
        <w:rPr>
          <w:rtl/>
        </w:rPr>
        <w:t xml:space="preserve"> </w:t>
      </w:r>
      <w:r w:rsidR="00EF0CB6" w:rsidRPr="00E03743">
        <w:rPr>
          <w:rFonts w:hint="eastAsia"/>
          <w:rtl/>
        </w:rPr>
        <w:t>אופטימלי</w:t>
      </w:r>
      <w:r w:rsidR="00EF0CB6" w:rsidRPr="00E03743">
        <w:rPr>
          <w:rtl/>
        </w:rPr>
        <w:t xml:space="preserve"> </w:t>
      </w:r>
      <w:r w:rsidR="00893547">
        <w:rPr>
          <w:rFonts w:hint="cs"/>
          <w:rtl/>
        </w:rPr>
        <w:t>עבור החברים בו</w:t>
      </w:r>
      <w:r w:rsidR="00EF0CB6" w:rsidRPr="00E03743">
        <w:rPr>
          <w:rtl/>
        </w:rPr>
        <w:t xml:space="preserve">, </w:t>
      </w:r>
      <w:r w:rsidR="00EF0CB6" w:rsidRPr="00E03743">
        <w:rPr>
          <w:rFonts w:hint="eastAsia"/>
          <w:rtl/>
        </w:rPr>
        <w:t>תוך</w:t>
      </w:r>
      <w:r w:rsidR="00EF0CB6" w:rsidRPr="00E03743">
        <w:rPr>
          <w:rtl/>
        </w:rPr>
        <w:t xml:space="preserve"> </w:t>
      </w:r>
      <w:r w:rsidR="00EF0CB6" w:rsidRPr="00E03743">
        <w:rPr>
          <w:rFonts w:hint="eastAsia"/>
          <w:rtl/>
        </w:rPr>
        <w:t>פגיעה</w:t>
      </w:r>
      <w:r w:rsidR="00EF0CB6" w:rsidRPr="00E03743">
        <w:rPr>
          <w:rtl/>
        </w:rPr>
        <w:t xml:space="preserve"> </w:t>
      </w:r>
      <w:r w:rsidR="00EF0CB6" w:rsidRPr="00E03743">
        <w:rPr>
          <w:rFonts w:hint="eastAsia"/>
          <w:rtl/>
        </w:rPr>
        <w:t>אפשרית</w:t>
      </w:r>
      <w:r w:rsidR="00EF0CB6" w:rsidRPr="00E03743">
        <w:rPr>
          <w:rtl/>
        </w:rPr>
        <w:t xml:space="preserve"> </w:t>
      </w:r>
      <w:r w:rsidR="00EF0CB6" w:rsidRPr="00E03743">
        <w:rPr>
          <w:rFonts w:hint="eastAsia"/>
          <w:rtl/>
        </w:rPr>
        <w:t>בצרכן</w:t>
      </w:r>
      <w:r w:rsidR="00EF0CB6" w:rsidRPr="00E03743">
        <w:rPr>
          <w:rtl/>
        </w:rPr>
        <w:t>.</w:t>
      </w:r>
      <w:r w:rsidR="0014269B" w:rsidRPr="000D5FFA">
        <w:rPr>
          <w:rtl/>
        </w:rPr>
        <w:t xml:space="preserve"> </w:t>
      </w:r>
      <w:r w:rsidR="00903F50" w:rsidRPr="003D15D2">
        <w:rPr>
          <w:rFonts w:hint="cs"/>
          <w:rtl/>
        </w:rPr>
        <w:t>לצד האמור, קיים החשש שכחלק מתיאום גובה הפיקדון, מתחרים יבקשו לתאם היבטים נוספים בתחרות בניהם, להחליף מידע רגיש מבחינה תחרותית ולגשר על פערי מידע.</w:t>
      </w:r>
      <w:r w:rsidR="00903F50">
        <w:rPr>
          <w:rFonts w:hint="cs"/>
          <w:rtl/>
        </w:rPr>
        <w:t xml:space="preserve"> </w:t>
      </w:r>
      <w:r w:rsidR="0014269B" w:rsidRPr="000D5FFA">
        <w:rPr>
          <w:rFonts w:hint="eastAsia"/>
          <w:rtl/>
        </w:rPr>
        <w:t>במסגרת</w:t>
      </w:r>
      <w:r w:rsidR="0014269B" w:rsidRPr="000D5FFA">
        <w:rPr>
          <w:rtl/>
        </w:rPr>
        <w:t xml:space="preserve"> </w:t>
      </w:r>
      <w:r w:rsidR="0014269B" w:rsidRPr="000D5FFA">
        <w:rPr>
          <w:rFonts w:hint="eastAsia"/>
          <w:rtl/>
        </w:rPr>
        <w:t>זו</w:t>
      </w:r>
      <w:r w:rsidR="0014269B" w:rsidRPr="000D5FFA">
        <w:rPr>
          <w:rtl/>
        </w:rPr>
        <w:t xml:space="preserve"> יש להדגיש כי לאחר קביעת גובה הפיקדון על ידי איגוד המזון, </w:t>
      </w:r>
      <w:r w:rsidR="0014269B" w:rsidRPr="000D5FFA">
        <w:rPr>
          <w:rFonts w:ascii="Alef" w:hAnsi="Alef" w:hint="eastAsia"/>
          <w:sz w:val="20"/>
          <w:rtl/>
        </w:rPr>
        <w:t>יהיה</w:t>
      </w:r>
      <w:r w:rsidR="0014269B" w:rsidRPr="000D5FFA">
        <w:rPr>
          <w:rFonts w:ascii="Alef" w:hAnsi="Alef"/>
          <w:sz w:val="20"/>
          <w:rtl/>
        </w:rPr>
        <w:t xml:space="preserve"> קושי </w:t>
      </w:r>
      <w:r w:rsidR="00E03743" w:rsidRPr="000D5FFA">
        <w:rPr>
          <w:rFonts w:ascii="Alef" w:hAnsi="Alef" w:hint="eastAsia"/>
          <w:sz w:val="20"/>
          <w:rtl/>
        </w:rPr>
        <w:t>משמעותי</w:t>
      </w:r>
      <w:r w:rsidR="00E03743" w:rsidRPr="000D5FFA">
        <w:rPr>
          <w:rFonts w:ascii="Alef" w:hAnsi="Alef"/>
          <w:sz w:val="20"/>
          <w:rtl/>
        </w:rPr>
        <w:t xml:space="preserve"> </w:t>
      </w:r>
      <w:r w:rsidR="0014269B" w:rsidRPr="000D5FFA">
        <w:rPr>
          <w:rFonts w:ascii="Alef" w:hAnsi="Alef" w:hint="eastAsia"/>
          <w:sz w:val="20"/>
          <w:rtl/>
        </w:rPr>
        <w:t>להחזיר</w:t>
      </w:r>
      <w:r w:rsidR="0014269B" w:rsidRPr="000D5FFA">
        <w:rPr>
          <w:rFonts w:ascii="Alef" w:hAnsi="Alef"/>
          <w:sz w:val="20"/>
          <w:rtl/>
        </w:rPr>
        <w:t xml:space="preserve"> </w:t>
      </w:r>
      <w:r w:rsidR="0014269B" w:rsidRPr="000D5FFA">
        <w:rPr>
          <w:rFonts w:ascii="Alef" w:hAnsi="Alef" w:hint="eastAsia"/>
          <w:sz w:val="20"/>
          <w:rtl/>
        </w:rPr>
        <w:t>את</w:t>
      </w:r>
      <w:r w:rsidR="0014269B" w:rsidRPr="000D5FFA">
        <w:rPr>
          <w:rFonts w:ascii="Alef" w:hAnsi="Alef"/>
          <w:sz w:val="20"/>
          <w:rtl/>
        </w:rPr>
        <w:t xml:space="preserve"> </w:t>
      </w:r>
      <w:r w:rsidR="0014269B" w:rsidRPr="000D5FFA">
        <w:rPr>
          <w:rFonts w:ascii="Alef" w:hAnsi="Alef" w:hint="eastAsia"/>
          <w:sz w:val="20"/>
          <w:rtl/>
        </w:rPr>
        <w:t>הגלגל</w:t>
      </w:r>
      <w:r w:rsidR="0014269B" w:rsidRPr="000D5FFA">
        <w:rPr>
          <w:rFonts w:ascii="Alef" w:hAnsi="Alef"/>
          <w:sz w:val="20"/>
          <w:rtl/>
        </w:rPr>
        <w:t xml:space="preserve"> </w:t>
      </w:r>
      <w:r w:rsidR="0014269B" w:rsidRPr="000D5FFA">
        <w:rPr>
          <w:rFonts w:ascii="Alef" w:hAnsi="Alef" w:hint="eastAsia"/>
          <w:sz w:val="20"/>
          <w:rtl/>
        </w:rPr>
        <w:t>לאחור</w:t>
      </w:r>
      <w:r w:rsidR="00E03743" w:rsidRPr="000D5FFA">
        <w:rPr>
          <w:rFonts w:ascii="Alef" w:hAnsi="Alef"/>
          <w:sz w:val="20"/>
          <w:rtl/>
        </w:rPr>
        <w:t xml:space="preserve"> </w:t>
      </w:r>
      <w:r w:rsidR="0014269B" w:rsidRPr="000D5FFA">
        <w:rPr>
          <w:rFonts w:ascii="Alef" w:hAnsi="Alef"/>
          <w:sz w:val="20"/>
          <w:rtl/>
        </w:rPr>
        <w:t xml:space="preserve">גם אם יתברר בדיעבד </w:t>
      </w:r>
      <w:r w:rsidR="0014269B" w:rsidRPr="000D5FFA">
        <w:rPr>
          <w:rFonts w:ascii="Alef" w:hAnsi="Alef" w:hint="eastAsia"/>
          <w:sz w:val="20"/>
          <w:rtl/>
        </w:rPr>
        <w:t>שהפיקדון</w:t>
      </w:r>
      <w:r w:rsidR="0014269B" w:rsidRPr="000D5FFA">
        <w:rPr>
          <w:rFonts w:ascii="Alef" w:hAnsi="Alef"/>
          <w:sz w:val="20"/>
          <w:rtl/>
        </w:rPr>
        <w:t xml:space="preserve"> </w:t>
      </w:r>
      <w:r w:rsidR="0014269B" w:rsidRPr="000D5FFA">
        <w:rPr>
          <w:rFonts w:ascii="Alef" w:hAnsi="Alef" w:hint="eastAsia"/>
          <w:sz w:val="20"/>
          <w:rtl/>
        </w:rPr>
        <w:t>נקבע</w:t>
      </w:r>
      <w:r w:rsidR="0014269B" w:rsidRPr="000D5FFA">
        <w:rPr>
          <w:rFonts w:ascii="Alef" w:hAnsi="Alef"/>
          <w:sz w:val="20"/>
          <w:rtl/>
        </w:rPr>
        <w:t xml:space="preserve"> </w:t>
      </w:r>
      <w:r w:rsidR="0014269B" w:rsidRPr="000D5FFA">
        <w:rPr>
          <w:rFonts w:ascii="Alef" w:hAnsi="Alef" w:hint="eastAsia"/>
          <w:sz w:val="20"/>
          <w:rtl/>
        </w:rPr>
        <w:t>במחיר</w:t>
      </w:r>
      <w:r w:rsidR="0014269B" w:rsidRPr="000D5FFA">
        <w:rPr>
          <w:rFonts w:ascii="Alef" w:hAnsi="Alef"/>
          <w:sz w:val="20"/>
          <w:rtl/>
        </w:rPr>
        <w:t xml:space="preserve"> </w:t>
      </w:r>
      <w:r w:rsidR="0014269B" w:rsidRPr="000D5FFA">
        <w:rPr>
          <w:rFonts w:ascii="Alef" w:hAnsi="Alef" w:hint="eastAsia"/>
          <w:sz w:val="20"/>
          <w:rtl/>
        </w:rPr>
        <w:t>גבוה</w:t>
      </w:r>
      <w:r w:rsidR="0014269B" w:rsidRPr="000D5FFA">
        <w:rPr>
          <w:rFonts w:ascii="Alef" w:hAnsi="Alef"/>
          <w:sz w:val="20"/>
          <w:rtl/>
        </w:rPr>
        <w:t xml:space="preserve"> </w:t>
      </w:r>
      <w:r w:rsidR="0014269B" w:rsidRPr="000D5FFA">
        <w:rPr>
          <w:rFonts w:ascii="Alef" w:hAnsi="Alef" w:hint="eastAsia"/>
          <w:sz w:val="20"/>
          <w:rtl/>
        </w:rPr>
        <w:t>מדי</w:t>
      </w:r>
      <w:r w:rsidR="0014269B" w:rsidRPr="000D5FFA">
        <w:rPr>
          <w:rFonts w:ascii="Alef" w:hAnsi="Alef"/>
          <w:sz w:val="20"/>
          <w:rtl/>
        </w:rPr>
        <w:t xml:space="preserve"> לצורך עמידה ביעדי האיסוף</w:t>
      </w:r>
      <w:r w:rsidR="002552D0">
        <w:rPr>
          <w:rFonts w:ascii="Alef" w:hAnsi="Alef" w:hint="cs"/>
          <w:sz w:val="20"/>
          <w:rtl/>
        </w:rPr>
        <w:t xml:space="preserve">. </w:t>
      </w:r>
      <w:r w:rsidR="00903F50" w:rsidRPr="003D15D2">
        <w:rPr>
          <w:rFonts w:hint="cs"/>
          <w:rtl/>
        </w:rPr>
        <w:t xml:space="preserve">זאת משום שליצרנים </w:t>
      </w:r>
      <w:r w:rsidR="00903F50">
        <w:rPr>
          <w:rFonts w:hint="cs"/>
          <w:rtl/>
        </w:rPr>
        <w:t xml:space="preserve">ויבואנים </w:t>
      </w:r>
      <w:r w:rsidR="00903F50" w:rsidRPr="003D15D2">
        <w:rPr>
          <w:rFonts w:hint="cs"/>
          <w:rtl/>
        </w:rPr>
        <w:t xml:space="preserve">לא יהיה אינטרס </w:t>
      </w:r>
      <w:r w:rsidR="00007F06" w:rsidRPr="003D15D2">
        <w:rPr>
          <w:rFonts w:hint="cs"/>
          <w:rtl/>
        </w:rPr>
        <w:t>להוריד את הפיקדון</w:t>
      </w:r>
      <w:r w:rsidR="00007F06">
        <w:rPr>
          <w:rFonts w:hint="cs"/>
          <w:rtl/>
        </w:rPr>
        <w:t xml:space="preserve"> ו</w:t>
      </w:r>
      <w:r w:rsidR="00903F50" w:rsidRPr="003D15D2">
        <w:rPr>
          <w:rFonts w:hint="cs"/>
          <w:rtl/>
        </w:rPr>
        <w:t xml:space="preserve">לקחת את הסיכון </w:t>
      </w:r>
      <w:r w:rsidR="00C0427E">
        <w:rPr>
          <w:rFonts w:hint="cs"/>
          <w:rtl/>
        </w:rPr>
        <w:t xml:space="preserve">הנובע </w:t>
      </w:r>
      <w:r w:rsidR="00007F06">
        <w:rPr>
          <w:rFonts w:hint="cs"/>
          <w:rtl/>
        </w:rPr>
        <w:t>מאי עמידה ביעד, כשבמקום זאת הם יוכלו לצמצם את הוצאות האיסוף שלהם</w:t>
      </w:r>
      <w:r w:rsidR="00903F50" w:rsidRPr="000D5FFA">
        <w:rPr>
          <w:rtl/>
        </w:rPr>
        <w:t>.</w:t>
      </w:r>
      <w:r w:rsidR="00903F50" w:rsidRPr="000D5FFA">
        <w:rPr>
          <w:rStyle w:val="CommentReference"/>
          <w:rtl/>
        </w:rPr>
        <w:t xml:space="preserve"> </w:t>
      </w:r>
      <w:r w:rsidR="0014269B" w:rsidRPr="000D5FFA">
        <w:rPr>
          <w:rFonts w:hint="eastAsia"/>
          <w:rtl/>
        </w:rPr>
        <w:t>בכך</w:t>
      </w:r>
      <w:r w:rsidR="0014269B" w:rsidRPr="000D5FFA">
        <w:rPr>
          <w:rtl/>
        </w:rPr>
        <w:t xml:space="preserve">, מתן הפטור </w:t>
      </w:r>
      <w:r w:rsidR="0014269B" w:rsidRPr="000D5FFA">
        <w:rPr>
          <w:rFonts w:hint="eastAsia"/>
          <w:rtl/>
        </w:rPr>
        <w:t>עשוי</w:t>
      </w:r>
      <w:r w:rsidR="0014269B" w:rsidRPr="000D5FFA">
        <w:rPr>
          <w:rtl/>
        </w:rPr>
        <w:t xml:space="preserve"> </w:t>
      </w:r>
      <w:r w:rsidR="0014269B" w:rsidRPr="000D5FFA">
        <w:rPr>
          <w:rFonts w:hint="eastAsia"/>
          <w:rtl/>
        </w:rPr>
        <w:t>להביא</w:t>
      </w:r>
      <w:r w:rsidR="0014269B" w:rsidRPr="000D5FFA">
        <w:rPr>
          <w:rtl/>
        </w:rPr>
        <w:t xml:space="preserve"> לעלייה מיותרת במחירי המשקאות ובעלויות האיסוף.</w:t>
      </w:r>
      <w:r w:rsidR="00F96BBB">
        <w:rPr>
          <w:rFonts w:hint="cs"/>
          <w:rtl/>
        </w:rPr>
        <w:t xml:space="preserve"> </w:t>
      </w:r>
      <w:r w:rsidR="0014269B" w:rsidRPr="000D5FFA">
        <w:rPr>
          <w:rFonts w:hint="eastAsia"/>
          <w:rtl/>
        </w:rPr>
        <w:t>סוג</w:t>
      </w:r>
      <w:r w:rsidR="005B0123">
        <w:rPr>
          <w:rFonts w:hint="cs"/>
          <w:rtl/>
        </w:rPr>
        <w:t>י</w:t>
      </w:r>
      <w:r w:rsidR="0014269B" w:rsidRPr="000D5FFA">
        <w:rPr>
          <w:rFonts w:hint="eastAsia"/>
          <w:rtl/>
        </w:rPr>
        <w:t>ה</w:t>
      </w:r>
      <w:r w:rsidR="0014269B" w:rsidRPr="000D5FFA">
        <w:rPr>
          <w:rtl/>
        </w:rPr>
        <w:t xml:space="preserve"> </w:t>
      </w:r>
      <w:r w:rsidR="0014269B" w:rsidRPr="000D5FFA">
        <w:rPr>
          <w:rFonts w:hint="eastAsia"/>
          <w:rtl/>
        </w:rPr>
        <w:t>זו</w:t>
      </w:r>
      <w:r w:rsidR="0014269B" w:rsidRPr="000D5FFA">
        <w:rPr>
          <w:rtl/>
        </w:rPr>
        <w:t xml:space="preserve"> </w:t>
      </w:r>
      <w:r w:rsidR="0014269B" w:rsidRPr="000D5FFA">
        <w:rPr>
          <w:rFonts w:hint="eastAsia"/>
          <w:rtl/>
        </w:rPr>
        <w:t>מתחדדת</w:t>
      </w:r>
      <w:r w:rsidR="0014269B" w:rsidRPr="000D5FFA">
        <w:rPr>
          <w:rtl/>
        </w:rPr>
        <w:t xml:space="preserve"> </w:t>
      </w:r>
      <w:r w:rsidR="0014269B" w:rsidRPr="000D5FFA">
        <w:rPr>
          <w:rFonts w:hint="eastAsia"/>
          <w:rtl/>
        </w:rPr>
        <w:t>נוכח</w:t>
      </w:r>
      <w:r w:rsidR="0014269B" w:rsidRPr="000D5FFA">
        <w:rPr>
          <w:rtl/>
        </w:rPr>
        <w:t xml:space="preserve"> </w:t>
      </w:r>
      <w:r w:rsidR="007A6BFC">
        <w:rPr>
          <w:rFonts w:hint="cs"/>
          <w:rtl/>
        </w:rPr>
        <w:t>ה</w:t>
      </w:r>
      <w:r w:rsidR="0014269B" w:rsidRPr="000D5FFA">
        <w:rPr>
          <w:rtl/>
        </w:rPr>
        <w:t xml:space="preserve">יעדים </w:t>
      </w:r>
      <w:r w:rsidR="007A6BFC">
        <w:rPr>
          <w:rFonts w:hint="cs"/>
          <w:rtl/>
        </w:rPr>
        <w:t>ה</w:t>
      </w:r>
      <w:r w:rsidR="0014269B" w:rsidRPr="000D5FFA">
        <w:rPr>
          <w:rtl/>
        </w:rPr>
        <w:t xml:space="preserve">מופחתים </w:t>
      </w:r>
      <w:r w:rsidR="007A6BFC">
        <w:rPr>
          <w:rFonts w:hint="cs"/>
          <w:rtl/>
        </w:rPr>
        <w:t xml:space="preserve">שנקבעו לאיסוף מכלי משקה גדולים </w:t>
      </w:r>
      <w:r w:rsidR="0014269B" w:rsidRPr="000D5FFA">
        <w:rPr>
          <w:rtl/>
        </w:rPr>
        <w:t xml:space="preserve">בארבע השנים הראשונות לתחולת חובת הטלת פיקדון על מכלי משקה </w:t>
      </w:r>
      <w:r w:rsidR="0014269B" w:rsidRPr="000D5FFA">
        <w:rPr>
          <w:rFonts w:hint="eastAsia"/>
          <w:rtl/>
        </w:rPr>
        <w:t>גדולים</w:t>
      </w:r>
      <w:r w:rsidR="0014269B" w:rsidRPr="000D5FFA">
        <w:rPr>
          <w:rtl/>
        </w:rPr>
        <w:t>.</w:t>
      </w:r>
      <w:r w:rsidR="0014269B" w:rsidRPr="000D5FFA">
        <w:rPr>
          <w:rStyle w:val="FootnoteReference"/>
          <w:rtl/>
        </w:rPr>
        <w:footnoteReference w:id="13"/>
      </w:r>
    </w:p>
    <w:p w14:paraId="1417008E" w14:textId="3AA23B9A" w:rsidR="00D06578" w:rsidRDefault="00F2220C" w:rsidP="00945B68">
      <w:pPr>
        <w:spacing w:before="240"/>
        <w:rPr>
          <w:rtl/>
        </w:rPr>
      </w:pPr>
      <w:r>
        <w:rPr>
          <w:rFonts w:hint="cs"/>
          <w:b/>
          <w:bCs/>
          <w:rtl/>
        </w:rPr>
        <w:t>השפעה על שוק האיסוף</w:t>
      </w:r>
      <w:r w:rsidR="00F458CF">
        <w:rPr>
          <w:rFonts w:hint="cs"/>
          <w:b/>
          <w:bCs/>
          <w:rtl/>
        </w:rPr>
        <w:t xml:space="preserve"> - </w:t>
      </w:r>
      <w:r w:rsidR="00C23D85">
        <w:rPr>
          <w:rFonts w:hint="cs"/>
          <w:rtl/>
        </w:rPr>
        <w:t>יעדי האיסוף המוטלים במסגרת חוק הפיקדון על יצרנים ויבואנים, ה</w:t>
      </w:r>
      <w:r w:rsidR="00064ED1">
        <w:rPr>
          <w:rFonts w:hint="cs"/>
          <w:rtl/>
        </w:rPr>
        <w:t>ביאו ליצירת שוק איסוף מכלי משקה</w:t>
      </w:r>
      <w:r w:rsidR="009E5A2D">
        <w:rPr>
          <w:rFonts w:hint="cs"/>
          <w:rtl/>
        </w:rPr>
        <w:t xml:space="preserve">. כפי שהוזכר מעלה, ליצרן או יבואן עומדות בפועל שתי חלופות: איסוף באופן עצמאי (או על ידי קבלנים האוספים עבורו), או איסוף באמצעות תאגיד </w:t>
      </w:r>
      <w:proofErr w:type="spellStart"/>
      <w:r w:rsidR="00C9309A">
        <w:rPr>
          <w:rFonts w:hint="cs"/>
          <w:rtl/>
        </w:rPr>
        <w:t>מיחזור</w:t>
      </w:r>
      <w:proofErr w:type="spellEnd"/>
      <w:r w:rsidR="009E5A2D">
        <w:rPr>
          <w:rFonts w:hint="cs"/>
          <w:rtl/>
        </w:rPr>
        <w:t xml:space="preserve">, שמספק את שירותי האיסוף למספר יצרנים או יבואנים </w:t>
      </w:r>
      <w:r w:rsidR="00CE7E42">
        <w:rPr>
          <w:rFonts w:hint="cs"/>
          <w:rtl/>
        </w:rPr>
        <w:t xml:space="preserve">ומדווח בשמם למשרד להגנת הסביבה </w:t>
      </w:r>
      <w:r w:rsidR="000957AE">
        <w:rPr>
          <w:rFonts w:hint="cs"/>
          <w:rtl/>
        </w:rPr>
        <w:t xml:space="preserve">באופן מצרפי. </w:t>
      </w:r>
      <w:r w:rsidR="007708BD">
        <w:rPr>
          <w:rFonts w:hint="cs"/>
          <w:rtl/>
        </w:rPr>
        <w:t>כ</w:t>
      </w:r>
      <w:r w:rsidR="00064ED1">
        <w:rPr>
          <w:rFonts w:hint="cs"/>
          <w:rtl/>
        </w:rPr>
        <w:t xml:space="preserve">פי </w:t>
      </w:r>
      <w:r w:rsidR="00F31597">
        <w:rPr>
          <w:rFonts w:hint="cs"/>
          <w:rtl/>
        </w:rPr>
        <w:t>שצוין</w:t>
      </w:r>
      <w:r w:rsidR="00064ED1">
        <w:rPr>
          <w:rFonts w:hint="cs"/>
          <w:rtl/>
        </w:rPr>
        <w:t xml:space="preserve">, </w:t>
      </w:r>
      <w:r w:rsidR="00C950E5">
        <w:rPr>
          <w:rFonts w:hint="cs"/>
          <w:rtl/>
        </w:rPr>
        <w:t xml:space="preserve">התשלום שמשלמים היצרנים או תאגידי </w:t>
      </w:r>
      <w:proofErr w:type="spellStart"/>
      <w:r w:rsidR="000374F8">
        <w:rPr>
          <w:rFonts w:hint="cs"/>
          <w:rtl/>
        </w:rPr>
        <w:t>המיחזור</w:t>
      </w:r>
      <w:proofErr w:type="spellEnd"/>
      <w:r w:rsidR="000374F8">
        <w:rPr>
          <w:rFonts w:hint="cs"/>
          <w:rtl/>
        </w:rPr>
        <w:t xml:space="preserve"> </w:t>
      </w:r>
      <w:r w:rsidR="00C950E5">
        <w:rPr>
          <w:rFonts w:hint="cs"/>
          <w:rtl/>
        </w:rPr>
        <w:t xml:space="preserve">למקורות האיסוף שלהם </w:t>
      </w:r>
      <w:r w:rsidR="00686625">
        <w:rPr>
          <w:rFonts w:hint="cs"/>
          <w:rtl/>
        </w:rPr>
        <w:t xml:space="preserve">מושפע </w:t>
      </w:r>
      <w:r w:rsidR="00686625">
        <w:rPr>
          <w:rFonts w:hint="cs"/>
          <w:rtl/>
        </w:rPr>
        <w:lastRenderedPageBreak/>
        <w:t xml:space="preserve">מגובה הפיקדון. </w:t>
      </w:r>
      <w:r w:rsidR="002941BF" w:rsidRPr="002941BF">
        <w:rPr>
          <w:rtl/>
        </w:rPr>
        <w:t xml:space="preserve">כך למשל, אם תאגיד </w:t>
      </w:r>
      <w:proofErr w:type="spellStart"/>
      <w:r w:rsidR="002941BF" w:rsidRPr="002941BF">
        <w:rPr>
          <w:rtl/>
        </w:rPr>
        <w:t>מיחזור</w:t>
      </w:r>
      <w:proofErr w:type="spellEnd"/>
      <w:r w:rsidR="002941BF" w:rsidRPr="002941BF">
        <w:rPr>
          <w:rtl/>
        </w:rPr>
        <w:t xml:space="preserve"> ירצה לאסוף מכלי משקה ריקים מסניף של רשת שיווק, הסכום שהסניף יהיה מוכן לקבל יהיה דומה לסכום שהוא עצמו נאלץ לשלם לצרכנים שביקשו להחזיר לו מכלי משקה ריקים – מכפלת מספר המכלים בגובה הפיקדון.</w:t>
      </w:r>
      <w:r w:rsidR="00842A42">
        <w:rPr>
          <w:rFonts w:hint="cs"/>
          <w:rtl/>
        </w:rPr>
        <w:t xml:space="preserve"> </w:t>
      </w:r>
      <w:r w:rsidR="002F5912" w:rsidRPr="00E956DD">
        <w:rPr>
          <w:rFonts w:hint="eastAsia"/>
          <w:rtl/>
        </w:rPr>
        <w:t>מכאן</w:t>
      </w:r>
      <w:r w:rsidR="00F31597" w:rsidRPr="00E956DD">
        <w:rPr>
          <w:rtl/>
        </w:rPr>
        <w:t>,</w:t>
      </w:r>
      <w:r w:rsidR="002F5912" w:rsidRPr="00E956DD">
        <w:rPr>
          <w:rtl/>
        </w:rPr>
        <w:t xml:space="preserve"> </w:t>
      </w:r>
      <w:r w:rsidR="002F5912" w:rsidRPr="00E956DD">
        <w:rPr>
          <w:rFonts w:hint="eastAsia"/>
          <w:rtl/>
        </w:rPr>
        <w:t>ככל</w:t>
      </w:r>
      <w:r w:rsidR="002F5912" w:rsidRPr="00E956DD">
        <w:rPr>
          <w:rtl/>
        </w:rPr>
        <w:t xml:space="preserve"> שהפיקדון גבוה יותר, </w:t>
      </w:r>
      <w:r w:rsidR="00E956DD" w:rsidRPr="005949E8">
        <w:rPr>
          <w:rFonts w:hint="eastAsia"/>
          <w:rtl/>
        </w:rPr>
        <w:t>הרי</w:t>
      </w:r>
      <w:r w:rsidR="00E956DD" w:rsidRPr="005949E8">
        <w:rPr>
          <w:rtl/>
        </w:rPr>
        <w:t xml:space="preserve"> </w:t>
      </w:r>
      <w:r w:rsidR="00A56833">
        <w:rPr>
          <w:rFonts w:hint="cs"/>
          <w:rtl/>
        </w:rPr>
        <w:t>ש</w:t>
      </w:r>
      <w:r w:rsidR="00E956DD">
        <w:rPr>
          <w:rFonts w:hint="cs"/>
          <w:rtl/>
        </w:rPr>
        <w:t>הלכה</w:t>
      </w:r>
      <w:r w:rsidR="00E956DD" w:rsidRPr="000D5FFA">
        <w:rPr>
          <w:rtl/>
        </w:rPr>
        <w:t xml:space="preserve"> למעשה,</w:t>
      </w:r>
      <w:r w:rsidR="002F5912" w:rsidRPr="00E956DD">
        <w:rPr>
          <w:rtl/>
        </w:rPr>
        <w:t xml:space="preserve"> עלות האיסוף </w:t>
      </w:r>
      <w:r w:rsidR="00E956DD">
        <w:rPr>
          <w:rFonts w:hint="cs"/>
          <w:rtl/>
        </w:rPr>
        <w:t xml:space="preserve">צפויה להיות </w:t>
      </w:r>
      <w:r w:rsidR="002F5912" w:rsidRPr="00E956DD">
        <w:rPr>
          <w:rFonts w:hint="eastAsia"/>
          <w:rtl/>
        </w:rPr>
        <w:t>גבוהה</w:t>
      </w:r>
      <w:r w:rsidR="002F5912" w:rsidRPr="00E956DD">
        <w:rPr>
          <w:rtl/>
        </w:rPr>
        <w:t xml:space="preserve"> </w:t>
      </w:r>
      <w:r w:rsidR="002F5912" w:rsidRPr="00E956DD">
        <w:rPr>
          <w:rFonts w:hint="eastAsia"/>
          <w:rtl/>
        </w:rPr>
        <w:t>יותר</w:t>
      </w:r>
      <w:r w:rsidR="002F5912" w:rsidRPr="00E956DD">
        <w:rPr>
          <w:rtl/>
        </w:rPr>
        <w:t xml:space="preserve">. </w:t>
      </w:r>
      <w:r w:rsidR="00DB57D3" w:rsidRPr="00E956DD">
        <w:rPr>
          <w:rFonts w:hint="eastAsia"/>
          <w:rtl/>
        </w:rPr>
        <w:t>לפיכך</w:t>
      </w:r>
      <w:r w:rsidR="00DB57D3" w:rsidRPr="00E956DD">
        <w:rPr>
          <w:rtl/>
        </w:rPr>
        <w:t xml:space="preserve">, תיאום העלאת גובה הפיקדון עשוי לייקר את עלויות האיסוף גם עבור יצרנים או תאגידי </w:t>
      </w:r>
      <w:proofErr w:type="spellStart"/>
      <w:r w:rsidR="000374F8" w:rsidRPr="00E956DD">
        <w:rPr>
          <w:rFonts w:hint="eastAsia"/>
          <w:rtl/>
        </w:rPr>
        <w:t>מיחזור</w:t>
      </w:r>
      <w:proofErr w:type="spellEnd"/>
      <w:r w:rsidR="000374F8" w:rsidRPr="00E956DD">
        <w:rPr>
          <w:rtl/>
        </w:rPr>
        <w:t xml:space="preserve"> </w:t>
      </w:r>
      <w:r w:rsidR="00DB57D3" w:rsidRPr="00E956DD">
        <w:rPr>
          <w:rFonts w:hint="eastAsia"/>
          <w:rtl/>
        </w:rPr>
        <w:t>שיש</w:t>
      </w:r>
      <w:r w:rsidR="00DB57D3" w:rsidRPr="00E956DD">
        <w:rPr>
          <w:rtl/>
        </w:rPr>
        <w:t xml:space="preserve"> </w:t>
      </w:r>
      <w:r w:rsidR="00DB57D3" w:rsidRPr="00E956DD">
        <w:rPr>
          <w:rFonts w:hint="eastAsia"/>
          <w:rtl/>
        </w:rPr>
        <w:t>ביכולתם</w:t>
      </w:r>
      <w:r w:rsidR="00DB57D3" w:rsidRPr="00E956DD">
        <w:rPr>
          <w:rtl/>
        </w:rPr>
        <w:t xml:space="preserve"> </w:t>
      </w:r>
      <w:r w:rsidR="00DB57D3" w:rsidRPr="00E956DD">
        <w:rPr>
          <w:rFonts w:hint="eastAsia"/>
          <w:rtl/>
        </w:rPr>
        <w:t>לעמוד</w:t>
      </w:r>
      <w:r w:rsidR="00DB57D3" w:rsidRPr="00E956DD">
        <w:rPr>
          <w:rtl/>
        </w:rPr>
        <w:t xml:space="preserve"> </w:t>
      </w:r>
      <w:r w:rsidR="00DB57D3" w:rsidRPr="00E956DD">
        <w:rPr>
          <w:rFonts w:hint="eastAsia"/>
          <w:rtl/>
        </w:rPr>
        <w:t>ביעד</w:t>
      </w:r>
      <w:r w:rsidR="00DB57D3" w:rsidRPr="00E956DD">
        <w:rPr>
          <w:rtl/>
        </w:rPr>
        <w:t xml:space="preserve"> </w:t>
      </w:r>
      <w:r w:rsidR="00DB57D3" w:rsidRPr="00E956DD">
        <w:rPr>
          <w:rFonts w:hint="eastAsia"/>
          <w:rtl/>
        </w:rPr>
        <w:t>האיסוף</w:t>
      </w:r>
      <w:r w:rsidR="00DB57D3" w:rsidRPr="00E956DD">
        <w:rPr>
          <w:rtl/>
        </w:rPr>
        <w:t xml:space="preserve"> </w:t>
      </w:r>
      <w:r w:rsidR="00DB57D3" w:rsidRPr="00E956DD">
        <w:rPr>
          <w:rFonts w:hint="eastAsia"/>
          <w:rtl/>
        </w:rPr>
        <w:t>מבלי</w:t>
      </w:r>
      <w:r w:rsidR="00DB57D3" w:rsidRPr="00E956DD">
        <w:rPr>
          <w:rtl/>
        </w:rPr>
        <w:t xml:space="preserve"> </w:t>
      </w:r>
      <w:r w:rsidR="00DB57D3" w:rsidRPr="00E956DD">
        <w:rPr>
          <w:rFonts w:hint="eastAsia"/>
          <w:rtl/>
        </w:rPr>
        <w:t>להעלות</w:t>
      </w:r>
      <w:r w:rsidR="00DB57D3" w:rsidRPr="00E956DD">
        <w:rPr>
          <w:rtl/>
        </w:rPr>
        <w:t xml:space="preserve"> </w:t>
      </w:r>
      <w:r w:rsidR="00DB57D3" w:rsidRPr="00E956DD">
        <w:rPr>
          <w:rFonts w:hint="eastAsia"/>
          <w:rtl/>
        </w:rPr>
        <w:t>את</w:t>
      </w:r>
      <w:r w:rsidR="00DB57D3" w:rsidRPr="00E956DD">
        <w:rPr>
          <w:rtl/>
        </w:rPr>
        <w:t xml:space="preserve"> </w:t>
      </w:r>
      <w:r w:rsidR="00DB57D3" w:rsidRPr="00E956DD">
        <w:rPr>
          <w:rFonts w:hint="eastAsia"/>
          <w:rtl/>
        </w:rPr>
        <w:t>הפיקדון</w:t>
      </w:r>
      <w:r w:rsidR="00DB57D3" w:rsidRPr="00E956DD">
        <w:rPr>
          <w:rtl/>
        </w:rPr>
        <w:t>.</w:t>
      </w:r>
      <w:r w:rsidR="00F31597" w:rsidRPr="00E956DD">
        <w:rPr>
          <w:rtl/>
        </w:rPr>
        <w:t xml:space="preserve"> </w:t>
      </w:r>
      <w:r w:rsidR="00574D08">
        <w:rPr>
          <w:rFonts w:hint="cs"/>
          <w:rtl/>
        </w:rPr>
        <w:t>כלומר,</w:t>
      </w:r>
      <w:r w:rsidR="00574D08" w:rsidRPr="00873325">
        <w:rPr>
          <w:rFonts w:hint="cs"/>
          <w:rtl/>
        </w:rPr>
        <w:t xml:space="preserve"> גובה הפיקדון האופטימלי עשוי להיות שונה בין יצרנים שונים ותאגידי </w:t>
      </w:r>
      <w:proofErr w:type="spellStart"/>
      <w:r w:rsidR="00574D08" w:rsidRPr="00873325">
        <w:rPr>
          <w:rFonts w:hint="cs"/>
          <w:rtl/>
        </w:rPr>
        <w:t>מיחזור</w:t>
      </w:r>
      <w:proofErr w:type="spellEnd"/>
      <w:r w:rsidR="00574D08" w:rsidRPr="00873325">
        <w:rPr>
          <w:rFonts w:hint="cs"/>
          <w:rtl/>
        </w:rPr>
        <w:t xml:space="preserve"> שונים. במסגרת זו, </w:t>
      </w:r>
      <w:r w:rsidR="00574D08" w:rsidRPr="00873325">
        <w:rPr>
          <w:rFonts w:ascii="Alef" w:hAnsi="Alef" w:hint="cs"/>
          <w:sz w:val="20"/>
          <w:rtl/>
        </w:rPr>
        <w:t xml:space="preserve">העלות השולית באיסוף מכלי משקה צפויה </w:t>
      </w:r>
      <w:r w:rsidR="00574D08">
        <w:rPr>
          <w:rFonts w:ascii="Alef" w:hAnsi="Alef" w:hint="cs"/>
          <w:sz w:val="20"/>
          <w:rtl/>
        </w:rPr>
        <w:t>לעלות עם הגדלת כמו</w:t>
      </w:r>
      <w:r w:rsidR="00610EFD">
        <w:rPr>
          <w:rFonts w:ascii="Alef" w:hAnsi="Alef" w:hint="cs"/>
          <w:sz w:val="20"/>
          <w:rtl/>
        </w:rPr>
        <w:t>ת</w:t>
      </w:r>
      <w:r w:rsidR="00574D08">
        <w:rPr>
          <w:rFonts w:ascii="Alef" w:hAnsi="Alef" w:hint="cs"/>
          <w:sz w:val="20"/>
          <w:rtl/>
        </w:rPr>
        <w:t xml:space="preserve"> </w:t>
      </w:r>
      <w:r w:rsidR="00610EFD">
        <w:rPr>
          <w:rFonts w:ascii="Alef" w:hAnsi="Alef" w:hint="cs"/>
          <w:sz w:val="20"/>
          <w:rtl/>
        </w:rPr>
        <w:t xml:space="preserve">המכלים </w:t>
      </w:r>
      <w:r w:rsidR="00574D08">
        <w:rPr>
          <w:rFonts w:ascii="Alef" w:hAnsi="Alef" w:hint="cs"/>
          <w:sz w:val="20"/>
          <w:rtl/>
        </w:rPr>
        <w:t xml:space="preserve">הנאספים, וזאת </w:t>
      </w:r>
      <w:r w:rsidR="00574D08" w:rsidRPr="00873325">
        <w:rPr>
          <w:rFonts w:ascii="Alef" w:hAnsi="Alef" w:hint="cs"/>
          <w:sz w:val="20"/>
          <w:rtl/>
        </w:rPr>
        <w:t xml:space="preserve">החל מכמות איסוף מסוימת. </w:t>
      </w:r>
      <w:r w:rsidR="00574D08" w:rsidRPr="00873325">
        <w:rPr>
          <w:rFonts w:hint="cs"/>
          <w:rtl/>
        </w:rPr>
        <w:t xml:space="preserve">לכן, פיקדון גבוה, </w:t>
      </w:r>
      <w:r w:rsidR="00574D08">
        <w:rPr>
          <w:rFonts w:hint="cs"/>
          <w:rtl/>
        </w:rPr>
        <w:t>שנקבע</w:t>
      </w:r>
      <w:r w:rsidR="00574D08" w:rsidRPr="00873325">
        <w:rPr>
          <w:rFonts w:hint="cs"/>
          <w:rtl/>
        </w:rPr>
        <w:t xml:space="preserve"> כדי להתאים לעלות השולית של תאגיד </w:t>
      </w:r>
      <w:proofErr w:type="spellStart"/>
      <w:r w:rsidR="00574D08" w:rsidRPr="00873325">
        <w:rPr>
          <w:rFonts w:hint="cs"/>
          <w:rtl/>
        </w:rPr>
        <w:t>מיחזור</w:t>
      </w:r>
      <w:proofErr w:type="spellEnd"/>
      <w:r w:rsidR="00574D08">
        <w:rPr>
          <w:rFonts w:hint="cs"/>
          <w:rtl/>
        </w:rPr>
        <w:t xml:space="preserve"> או יצרן</w:t>
      </w:r>
      <w:r w:rsidR="00574D08" w:rsidRPr="00873325">
        <w:rPr>
          <w:rFonts w:hint="cs"/>
          <w:rtl/>
        </w:rPr>
        <w:t xml:space="preserve"> </w:t>
      </w:r>
      <w:r w:rsidR="00574D08">
        <w:rPr>
          <w:rFonts w:hint="cs"/>
          <w:rtl/>
        </w:rPr>
        <w:t xml:space="preserve">אשר נדרש לאסוף כמות </w:t>
      </w:r>
      <w:r w:rsidR="00610EFD">
        <w:rPr>
          <w:rFonts w:hint="cs"/>
          <w:rtl/>
        </w:rPr>
        <w:t>מכלים</w:t>
      </w:r>
      <w:r w:rsidR="00574D08">
        <w:rPr>
          <w:rFonts w:hint="cs"/>
          <w:rtl/>
        </w:rPr>
        <w:t xml:space="preserve"> גדולה</w:t>
      </w:r>
      <w:r w:rsidR="00574D08" w:rsidRPr="00873325">
        <w:rPr>
          <w:rFonts w:hint="cs"/>
          <w:rtl/>
        </w:rPr>
        <w:t xml:space="preserve">, עשוי להיות מופרז וליצור עלות מיותרת עבור יצרנים </w:t>
      </w:r>
      <w:r w:rsidR="00574D08">
        <w:rPr>
          <w:rFonts w:hint="cs"/>
          <w:rtl/>
        </w:rPr>
        <w:t xml:space="preserve">או תאגידי </w:t>
      </w:r>
      <w:proofErr w:type="spellStart"/>
      <w:r w:rsidR="00574D08">
        <w:rPr>
          <w:rFonts w:hint="cs"/>
          <w:rtl/>
        </w:rPr>
        <w:t>מיחזור</w:t>
      </w:r>
      <w:proofErr w:type="spellEnd"/>
      <w:r w:rsidR="00574D08">
        <w:rPr>
          <w:rFonts w:hint="cs"/>
          <w:rtl/>
        </w:rPr>
        <w:t xml:space="preserve"> שנדרשים לאסוף כמות בקבוקים מצומצמת יותר. </w:t>
      </w:r>
      <w:r w:rsidR="00F31597" w:rsidRPr="00E956DD">
        <w:rPr>
          <w:rFonts w:hint="eastAsia"/>
          <w:rtl/>
        </w:rPr>
        <w:t>במסגרת</w:t>
      </w:r>
      <w:r w:rsidR="00F31597" w:rsidRPr="00E956DD">
        <w:rPr>
          <w:rtl/>
        </w:rPr>
        <w:t xml:space="preserve"> </w:t>
      </w:r>
      <w:r w:rsidR="00F31597" w:rsidRPr="00E956DD">
        <w:rPr>
          <w:rFonts w:hint="eastAsia"/>
          <w:rtl/>
        </w:rPr>
        <w:t>זו</w:t>
      </w:r>
      <w:r w:rsidR="00DB57D3" w:rsidRPr="00E956DD">
        <w:rPr>
          <w:rtl/>
        </w:rPr>
        <w:t xml:space="preserve"> </w:t>
      </w:r>
      <w:r w:rsidR="00017E29" w:rsidRPr="00E956DD">
        <w:rPr>
          <w:rFonts w:hint="eastAsia"/>
          <w:rtl/>
        </w:rPr>
        <w:t>יש</w:t>
      </w:r>
      <w:r w:rsidR="00017E29" w:rsidRPr="00E956DD">
        <w:rPr>
          <w:rtl/>
        </w:rPr>
        <w:t xml:space="preserve"> לזכור כי יצרנים ותאגידי </w:t>
      </w:r>
      <w:proofErr w:type="spellStart"/>
      <w:r w:rsidR="000374F8" w:rsidRPr="00E956DD">
        <w:rPr>
          <w:rFonts w:hint="eastAsia"/>
          <w:rtl/>
        </w:rPr>
        <w:t>מיחזור</w:t>
      </w:r>
      <w:proofErr w:type="spellEnd"/>
      <w:r w:rsidR="000374F8" w:rsidRPr="00E956DD">
        <w:rPr>
          <w:rtl/>
        </w:rPr>
        <w:t xml:space="preserve"> </w:t>
      </w:r>
      <w:r w:rsidR="00017E29" w:rsidRPr="00E956DD">
        <w:rPr>
          <w:rFonts w:hint="eastAsia"/>
          <w:rtl/>
        </w:rPr>
        <w:t>יכולים</w:t>
      </w:r>
      <w:r w:rsidR="00017E29" w:rsidRPr="00E956DD">
        <w:rPr>
          <w:rtl/>
        </w:rPr>
        <w:t xml:space="preserve"> </w:t>
      </w:r>
      <w:r w:rsidR="00017E29" w:rsidRPr="00E956DD">
        <w:rPr>
          <w:rFonts w:hint="eastAsia"/>
          <w:rtl/>
        </w:rPr>
        <w:t>להפעיל</w:t>
      </w:r>
      <w:r w:rsidR="00017E29" w:rsidRPr="00E956DD">
        <w:rPr>
          <w:rtl/>
        </w:rPr>
        <w:t xml:space="preserve"> </w:t>
      </w:r>
      <w:r w:rsidR="00017E29" w:rsidRPr="00E956DD">
        <w:rPr>
          <w:rFonts w:hint="eastAsia"/>
          <w:rtl/>
        </w:rPr>
        <w:t>אמצע</w:t>
      </w:r>
      <w:r w:rsidR="00017E29">
        <w:rPr>
          <w:rFonts w:hint="cs"/>
          <w:rtl/>
        </w:rPr>
        <w:t>ים אחרים מלבד פיקדון כדי לעמוד ביעדי האיסוף</w:t>
      </w:r>
      <w:r w:rsidR="00981C86">
        <w:rPr>
          <w:rFonts w:hint="cs"/>
          <w:rtl/>
        </w:rPr>
        <w:t>.</w:t>
      </w:r>
      <w:r w:rsidR="00F31597">
        <w:rPr>
          <w:rFonts w:hint="cs"/>
          <w:rtl/>
        </w:rPr>
        <w:t xml:space="preserve"> </w:t>
      </w:r>
      <w:r w:rsidR="00932DEA">
        <w:rPr>
          <w:rFonts w:hint="cs"/>
          <w:rtl/>
        </w:rPr>
        <w:t>למשל</w:t>
      </w:r>
      <w:r w:rsidR="00017E29">
        <w:rPr>
          <w:rFonts w:hint="cs"/>
          <w:rtl/>
        </w:rPr>
        <w:t xml:space="preserve"> </w:t>
      </w:r>
      <w:r w:rsidR="00CD0D1B">
        <w:rPr>
          <w:rFonts w:hint="cs"/>
          <w:rtl/>
        </w:rPr>
        <w:t>הם יכולים להשקיע</w:t>
      </w:r>
      <w:r w:rsidR="00017E29">
        <w:rPr>
          <w:rFonts w:hint="cs"/>
          <w:rtl/>
        </w:rPr>
        <w:t xml:space="preserve"> בהסברה </w:t>
      </w:r>
      <w:r w:rsidR="00981C86">
        <w:rPr>
          <w:rFonts w:hint="cs"/>
          <w:rtl/>
        </w:rPr>
        <w:t xml:space="preserve">או במתן </w:t>
      </w:r>
      <w:r w:rsidR="00932DEA">
        <w:rPr>
          <w:rFonts w:hint="cs"/>
          <w:rtl/>
        </w:rPr>
        <w:t>תמריצים לבתי עסק, מוסדות או קבלני איסוף</w:t>
      </w:r>
      <w:r w:rsidR="00981C86">
        <w:rPr>
          <w:rFonts w:hint="cs"/>
          <w:rtl/>
        </w:rPr>
        <w:t>.</w:t>
      </w:r>
      <w:r w:rsidR="00D06578">
        <w:rPr>
          <w:rFonts w:hint="cs"/>
          <w:rtl/>
        </w:rPr>
        <w:t xml:space="preserve"> לכן</w:t>
      </w:r>
      <w:r w:rsidR="00F31597">
        <w:rPr>
          <w:rFonts w:hint="cs"/>
          <w:rtl/>
        </w:rPr>
        <w:t>,</w:t>
      </w:r>
      <w:r w:rsidR="00D06578">
        <w:rPr>
          <w:rFonts w:hint="cs"/>
          <w:rtl/>
        </w:rPr>
        <w:t xml:space="preserve"> העלאת הפיקדון לכלל השוק אינה הפתרון הבלעדי לשם עמידה ביעדים של יצרנים ספציפיים.</w:t>
      </w:r>
      <w:r w:rsidR="0040735A">
        <w:rPr>
          <w:rFonts w:hint="cs"/>
          <w:rtl/>
        </w:rPr>
        <w:t xml:space="preserve"> </w:t>
      </w:r>
    </w:p>
    <w:p w14:paraId="6E2FB788" w14:textId="30B9FA33" w:rsidR="00D035F5" w:rsidRDefault="00D035F5" w:rsidP="00981C86">
      <w:pPr>
        <w:rPr>
          <w:rtl/>
        </w:rPr>
      </w:pPr>
      <w:r>
        <w:rPr>
          <w:rFonts w:hint="cs"/>
          <w:rtl/>
        </w:rPr>
        <w:t xml:space="preserve">מהאמור לעיל עולה כי מתן הפטור יאפשר ליצרני ויבואני המשקאות לתאם יחדיו העלאה של גובה הפיקדון. </w:t>
      </w:r>
      <w:r w:rsidR="00981C86">
        <w:rPr>
          <w:rFonts w:hint="cs"/>
          <w:rtl/>
        </w:rPr>
        <w:t>מתן פטור כמבוקש יאפשר</w:t>
      </w:r>
      <w:r>
        <w:rPr>
          <w:rFonts w:hint="cs"/>
          <w:rtl/>
        </w:rPr>
        <w:t xml:space="preserve"> ליצרני ויבואני המשקאות לפעול </w:t>
      </w:r>
      <w:r w:rsidR="00C072FC">
        <w:rPr>
          <w:rFonts w:hint="cs"/>
          <w:rtl/>
        </w:rPr>
        <w:t>כדי לקבוע את</w:t>
      </w:r>
      <w:r>
        <w:rPr>
          <w:rFonts w:hint="cs"/>
          <w:rtl/>
        </w:rPr>
        <w:t xml:space="preserve"> המחיר האופטימלי </w:t>
      </w:r>
      <w:r w:rsidR="00C072FC">
        <w:rPr>
          <w:rFonts w:hint="cs"/>
          <w:rtl/>
        </w:rPr>
        <w:t>עבורם</w:t>
      </w:r>
      <w:r w:rsidR="007708BD">
        <w:rPr>
          <w:rFonts w:hint="cs"/>
          <w:rtl/>
        </w:rPr>
        <w:t xml:space="preserve"> באופן ש</w:t>
      </w:r>
      <w:r w:rsidR="00717D63">
        <w:rPr>
          <w:rFonts w:hint="cs"/>
          <w:rtl/>
        </w:rPr>
        <w:t>עשוי להטיל עלויות עודפות על הצרכן</w:t>
      </w:r>
      <w:r>
        <w:rPr>
          <w:rFonts w:hint="cs"/>
          <w:rtl/>
        </w:rPr>
        <w:t>,</w:t>
      </w:r>
      <w:r w:rsidR="004A3B24">
        <w:rPr>
          <w:rFonts w:hint="cs"/>
          <w:rtl/>
        </w:rPr>
        <w:t xml:space="preserve"> לתאם סוגיות נוספות בתחרות בינם,</w:t>
      </w:r>
      <w:r>
        <w:rPr>
          <w:rFonts w:hint="cs"/>
          <w:rtl/>
        </w:rPr>
        <w:t xml:space="preserve"> ולמנוע התייעלות ותחרות בשוק האיסוף.</w:t>
      </w:r>
      <w:r w:rsidR="00717D63">
        <w:rPr>
          <w:rFonts w:hint="cs"/>
          <w:rtl/>
        </w:rPr>
        <w:t xml:space="preserve"> לפיכך, נראה כי</w:t>
      </w:r>
      <w:r>
        <w:rPr>
          <w:rFonts w:hint="cs"/>
          <w:rtl/>
        </w:rPr>
        <w:t xml:space="preserve"> </w:t>
      </w:r>
      <w:r w:rsidR="00D6063B">
        <w:rPr>
          <w:rFonts w:hint="cs"/>
          <w:rtl/>
        </w:rPr>
        <w:t>ב</w:t>
      </w:r>
      <w:r w:rsidR="00717D63">
        <w:rPr>
          <w:rFonts w:hint="cs"/>
          <w:rtl/>
        </w:rPr>
        <w:t xml:space="preserve">ליבה של </w:t>
      </w:r>
      <w:r w:rsidR="005F1C6A">
        <w:rPr>
          <w:rFonts w:hint="cs"/>
          <w:rtl/>
        </w:rPr>
        <w:t xml:space="preserve">הבקשה דנן </w:t>
      </w:r>
      <w:r w:rsidR="00717D63">
        <w:rPr>
          <w:rFonts w:hint="cs"/>
          <w:rtl/>
        </w:rPr>
        <w:t>טמונה פגיעה משמעותית בתחרות</w:t>
      </w:r>
      <w:r>
        <w:rPr>
          <w:rFonts w:hint="cs"/>
          <w:rtl/>
        </w:rPr>
        <w:t>.</w:t>
      </w:r>
      <w:r w:rsidR="00537494">
        <w:rPr>
          <w:rFonts w:hint="cs"/>
          <w:rtl/>
        </w:rPr>
        <w:t xml:space="preserve"> </w:t>
      </w:r>
    </w:p>
    <w:p w14:paraId="66897CA1" w14:textId="77777777" w:rsidR="00A766B1" w:rsidRDefault="00A766B1" w:rsidP="00A766B1">
      <w:pPr>
        <w:pStyle w:val="Heading1"/>
        <w:keepNext w:val="0"/>
        <w:keepLines w:val="0"/>
        <w:numPr>
          <w:ilvl w:val="0"/>
          <w:numId w:val="1"/>
        </w:numPr>
        <w:spacing w:before="100" w:beforeAutospacing="1" w:after="100" w:afterAutospacing="1" w:line="276" w:lineRule="auto"/>
        <w:ind w:right="720"/>
        <w:rPr>
          <w:rFonts w:ascii="Alef" w:eastAsia="Times New Roman" w:hAnsi="Alef"/>
          <w:b/>
          <w:bCs/>
          <w:kern w:val="36"/>
          <w:sz w:val="20"/>
          <w:szCs w:val="22"/>
          <w:rtl/>
        </w:rPr>
      </w:pPr>
      <w:r w:rsidRPr="000A4255">
        <w:rPr>
          <w:rFonts w:ascii="Alef" w:eastAsia="Times New Roman" w:hAnsi="Alef"/>
          <w:b/>
          <w:bCs/>
          <w:kern w:val="36"/>
          <w:sz w:val="20"/>
          <w:szCs w:val="22"/>
          <w:rtl/>
        </w:rPr>
        <w:t>התייחסות לטענות הצדדים</w:t>
      </w:r>
    </w:p>
    <w:p w14:paraId="437F17F0" w14:textId="369DCCD5" w:rsidR="00F2220C" w:rsidRDefault="003B35BD" w:rsidP="00C2269C">
      <w:pPr>
        <w:rPr>
          <w:rtl/>
        </w:rPr>
      </w:pPr>
      <w:r w:rsidRPr="0040735A">
        <w:rPr>
          <w:rFonts w:hint="eastAsia"/>
          <w:rtl/>
        </w:rPr>
        <w:t>לאחר</w:t>
      </w:r>
      <w:r w:rsidRPr="0040735A">
        <w:rPr>
          <w:rtl/>
        </w:rPr>
        <w:t xml:space="preserve"> </w:t>
      </w:r>
      <w:r w:rsidR="00C2269C">
        <w:rPr>
          <w:rFonts w:hint="cs"/>
          <w:rtl/>
        </w:rPr>
        <w:t xml:space="preserve">שהוסברו </w:t>
      </w:r>
      <w:r>
        <w:rPr>
          <w:rFonts w:hint="cs"/>
          <w:rtl/>
        </w:rPr>
        <w:t xml:space="preserve">לאיגוד המזון החששות התחרותיים שפורטו לעיל, הציע איגוד המזון להטיל תנאים </w:t>
      </w:r>
      <w:r w:rsidR="0040735A">
        <w:rPr>
          <w:rFonts w:hint="cs"/>
          <w:rtl/>
        </w:rPr>
        <w:t xml:space="preserve">התנהגותיים </w:t>
      </w:r>
      <w:r>
        <w:rPr>
          <w:rFonts w:hint="cs"/>
          <w:rtl/>
        </w:rPr>
        <w:t>ש</w:t>
      </w:r>
      <w:r w:rsidR="00974F6B">
        <w:rPr>
          <w:rFonts w:hint="cs"/>
          <w:rtl/>
        </w:rPr>
        <w:t xml:space="preserve">לתפיסתו </w:t>
      </w:r>
      <w:r>
        <w:rPr>
          <w:rFonts w:hint="cs"/>
          <w:rtl/>
        </w:rPr>
        <w:t xml:space="preserve">יביאו לאיון </w:t>
      </w:r>
      <w:r w:rsidR="007708BD">
        <w:rPr>
          <w:rFonts w:hint="cs"/>
          <w:rtl/>
        </w:rPr>
        <w:t xml:space="preserve">חששות אלו </w:t>
      </w:r>
      <w:r w:rsidR="005E7EA1">
        <w:rPr>
          <w:rFonts w:hint="cs"/>
          <w:rtl/>
        </w:rPr>
        <w:t xml:space="preserve">ובכך יאפשרו אישור של הבקשה תחת אותם תנאים. במסגרת התנאים המוצעים, יצרני המשקאות הגדולים יתחייבו </w:t>
      </w:r>
      <w:r w:rsidR="00A55EDD">
        <w:rPr>
          <w:rFonts w:hint="cs"/>
          <w:rtl/>
        </w:rPr>
        <w:t xml:space="preserve">כי כל דמי הפיקדון הנגבים על ידם בעת שיווק מכלי המשקה לצרכנים, יועברו במלואם לתאגיד </w:t>
      </w:r>
      <w:proofErr w:type="spellStart"/>
      <w:r w:rsidR="00123353">
        <w:rPr>
          <w:rFonts w:hint="cs"/>
          <w:rtl/>
        </w:rPr>
        <w:t>המיחזור</w:t>
      </w:r>
      <w:proofErr w:type="spellEnd"/>
      <w:r w:rsidR="00123353">
        <w:rPr>
          <w:rFonts w:hint="cs"/>
          <w:rtl/>
        </w:rPr>
        <w:t xml:space="preserve"> </w:t>
      </w:r>
      <w:proofErr w:type="spellStart"/>
      <w:r w:rsidR="00120B18">
        <w:rPr>
          <w:rFonts w:hint="cs"/>
          <w:rtl/>
        </w:rPr>
        <w:t>איתו</w:t>
      </w:r>
      <w:proofErr w:type="spellEnd"/>
      <w:r w:rsidR="00120B18">
        <w:rPr>
          <w:rFonts w:hint="cs"/>
          <w:rtl/>
        </w:rPr>
        <w:t xml:space="preserve"> </w:t>
      </w:r>
      <w:r w:rsidR="00123353">
        <w:rPr>
          <w:rFonts w:hint="cs"/>
          <w:rtl/>
        </w:rPr>
        <w:t>ה</w:t>
      </w:r>
      <w:r w:rsidR="00120B18">
        <w:rPr>
          <w:rFonts w:hint="cs"/>
          <w:rtl/>
        </w:rPr>
        <w:t>ם מתקשרים</w:t>
      </w:r>
      <w:r w:rsidR="00A55EDD">
        <w:rPr>
          <w:rFonts w:hint="cs"/>
          <w:rtl/>
        </w:rPr>
        <w:t>. בכך, לטענת איגוד המזון, יתבטל התמריץ להעלות את מחיר הפיקדון מעבר לנדרש</w:t>
      </w:r>
      <w:r w:rsidR="00740344">
        <w:rPr>
          <w:rFonts w:hint="cs"/>
          <w:rtl/>
        </w:rPr>
        <w:t xml:space="preserve"> לשם עמידה ביעדי האיסוף הקבועים בחוק הפיקדון. </w:t>
      </w:r>
    </w:p>
    <w:p w14:paraId="4DDD7901" w14:textId="4C97B75B" w:rsidR="00CA16E4" w:rsidRDefault="0093605E" w:rsidP="001D15BA">
      <w:pPr>
        <w:rPr>
          <w:rtl/>
        </w:rPr>
      </w:pPr>
      <w:r w:rsidRPr="00E525AD">
        <w:rPr>
          <w:rFonts w:ascii="Alef" w:hAnsi="Alef"/>
          <w:sz w:val="22"/>
          <w:rtl/>
        </w:rPr>
        <w:lastRenderedPageBreak/>
        <w:t xml:space="preserve">עם זאת, לאחר שבחנתי את התנאים מצאתי כי הם אינם </w:t>
      </w:r>
      <w:r w:rsidR="00C2269C">
        <w:rPr>
          <w:rFonts w:ascii="Alef" w:hAnsi="Alef" w:hint="cs"/>
          <w:sz w:val="22"/>
          <w:rtl/>
        </w:rPr>
        <w:t>מונעים</w:t>
      </w:r>
      <w:r w:rsidR="00C2269C" w:rsidRPr="00296407">
        <w:rPr>
          <w:rFonts w:ascii="Alef" w:hAnsi="Alef"/>
          <w:sz w:val="22"/>
          <w:rtl/>
        </w:rPr>
        <w:t xml:space="preserve"> </w:t>
      </w:r>
      <w:r w:rsidRPr="00296407">
        <w:rPr>
          <w:rFonts w:ascii="Alef" w:hAnsi="Alef"/>
          <w:sz w:val="22"/>
          <w:rtl/>
        </w:rPr>
        <w:t>את החששות התחרותיים</w:t>
      </w:r>
      <w:r w:rsidR="00574D08">
        <w:rPr>
          <w:rFonts w:ascii="Alef" w:hAnsi="Alef" w:hint="cs"/>
          <w:sz w:val="22"/>
          <w:rtl/>
        </w:rPr>
        <w:t>,</w:t>
      </w:r>
      <w:r w:rsidR="007708BD" w:rsidRPr="00296407">
        <w:rPr>
          <w:rFonts w:ascii="Alef" w:hAnsi="Alef"/>
          <w:sz w:val="22"/>
          <w:rtl/>
        </w:rPr>
        <w:t xml:space="preserve"> ולפיכך אינם </w:t>
      </w:r>
      <w:r w:rsidR="007708BD" w:rsidRPr="00296407">
        <w:rPr>
          <w:rFonts w:ascii="Alef" w:hAnsi="Alef" w:hint="eastAsia"/>
          <w:sz w:val="22"/>
          <w:rtl/>
        </w:rPr>
        <w:t>מאפשרים</w:t>
      </w:r>
      <w:r w:rsidR="007708BD" w:rsidRPr="00296407">
        <w:rPr>
          <w:rFonts w:ascii="Alef" w:hAnsi="Alef"/>
          <w:sz w:val="22"/>
          <w:rtl/>
        </w:rPr>
        <w:t xml:space="preserve"> </w:t>
      </w:r>
      <w:r w:rsidR="007708BD" w:rsidRPr="00296407">
        <w:rPr>
          <w:rFonts w:ascii="Alef" w:hAnsi="Alef" w:hint="eastAsia"/>
          <w:sz w:val="22"/>
          <w:rtl/>
        </w:rPr>
        <w:t>את</w:t>
      </w:r>
      <w:r w:rsidR="007708BD" w:rsidRPr="00296407">
        <w:rPr>
          <w:rFonts w:ascii="Alef" w:hAnsi="Alef"/>
          <w:sz w:val="22"/>
          <w:rtl/>
        </w:rPr>
        <w:t xml:space="preserve"> </w:t>
      </w:r>
      <w:r w:rsidR="007708BD" w:rsidRPr="00296407">
        <w:rPr>
          <w:rFonts w:ascii="Alef" w:hAnsi="Alef" w:hint="eastAsia"/>
          <w:sz w:val="22"/>
          <w:rtl/>
        </w:rPr>
        <w:t>מתן</w:t>
      </w:r>
      <w:r w:rsidR="007708BD" w:rsidRPr="00296407">
        <w:rPr>
          <w:rFonts w:ascii="Alef" w:hAnsi="Alef"/>
          <w:sz w:val="22"/>
          <w:rtl/>
        </w:rPr>
        <w:t xml:space="preserve"> </w:t>
      </w:r>
      <w:r w:rsidR="007708BD" w:rsidRPr="00296407">
        <w:rPr>
          <w:rFonts w:ascii="Alef" w:hAnsi="Alef" w:hint="eastAsia"/>
          <w:sz w:val="22"/>
          <w:rtl/>
        </w:rPr>
        <w:t>הפטור</w:t>
      </w:r>
      <w:r w:rsidR="00296407">
        <w:rPr>
          <w:rFonts w:ascii="Alef" w:hAnsi="Alef" w:hint="cs"/>
          <w:sz w:val="22"/>
          <w:rtl/>
        </w:rPr>
        <w:t xml:space="preserve"> המבוקש</w:t>
      </w:r>
      <w:r w:rsidR="00762465">
        <w:rPr>
          <w:rFonts w:ascii="Alef" w:hAnsi="Alef" w:hint="cs"/>
          <w:sz w:val="22"/>
          <w:rtl/>
        </w:rPr>
        <w:t>, וזאת ממספר טעמים</w:t>
      </w:r>
      <w:r w:rsidRPr="00296407">
        <w:rPr>
          <w:rFonts w:ascii="Alef" w:hAnsi="Alef"/>
          <w:sz w:val="22"/>
          <w:rtl/>
        </w:rPr>
        <w:t xml:space="preserve">. </w:t>
      </w:r>
      <w:r w:rsidR="00937ABC" w:rsidRPr="00296407">
        <w:rPr>
          <w:rFonts w:ascii="Alef" w:hAnsi="Alef"/>
          <w:sz w:val="22"/>
          <w:rtl/>
        </w:rPr>
        <w:t xml:space="preserve">ראשית, </w:t>
      </w:r>
      <w:r w:rsidR="00CA16E4">
        <w:rPr>
          <w:rFonts w:hint="cs"/>
          <w:rtl/>
        </w:rPr>
        <w:t xml:space="preserve">וכפי שצוין קודם לכן, גובה הפיקדון האופטימלי עשוי להיות שונה בין יצרנים ותאגידי </w:t>
      </w:r>
      <w:proofErr w:type="spellStart"/>
      <w:r w:rsidR="00CA16E4">
        <w:rPr>
          <w:rFonts w:hint="cs"/>
          <w:rtl/>
        </w:rPr>
        <w:t>מיחזור</w:t>
      </w:r>
      <w:proofErr w:type="spellEnd"/>
      <w:r w:rsidR="00CA16E4">
        <w:rPr>
          <w:rFonts w:hint="cs"/>
          <w:rtl/>
        </w:rPr>
        <w:t xml:space="preserve"> שונים. התנאים המוצעים אינם מונעים קביעת פיקדון שיטיב דווקא עם היצרנים הגדולים, אשר צריכים לעמוד בכמות איסוף גדולה יותר, על חשבון יצרנים קטנים או תאגידי איסוף קטנים, שעשויים לעמוד ביעדי איסוף תוך שימוש בפיקדון נמוך יותר. בכך נפגעת  התחרות בשוק האיסוף. בנוסף, </w:t>
      </w:r>
      <w:r w:rsidR="001D15BA">
        <w:rPr>
          <w:rFonts w:hint="cs"/>
          <w:rtl/>
        </w:rPr>
        <w:t>נותר החשש מתיאום היבטים נוספים בתחרות בין יצרני ויבואני המשקאות, שעשוי לפגוע בצרכנים בהיבטי מחיר, כמות ואיכות.</w:t>
      </w:r>
    </w:p>
    <w:p w14:paraId="652CAE4C" w14:textId="7AEB190F" w:rsidR="005218A0" w:rsidRDefault="001D15BA" w:rsidP="00FB3786">
      <w:pPr>
        <w:rPr>
          <w:rFonts w:ascii="Alef" w:hAnsi="Alef"/>
          <w:sz w:val="22"/>
          <w:rtl/>
        </w:rPr>
      </w:pPr>
      <w:r>
        <w:rPr>
          <w:rFonts w:hint="cs"/>
          <w:rtl/>
        </w:rPr>
        <w:t>שנית</w:t>
      </w:r>
      <w:r w:rsidR="00937ABC">
        <w:rPr>
          <w:rFonts w:hint="cs"/>
          <w:rtl/>
        </w:rPr>
        <w:t xml:space="preserve">, </w:t>
      </w:r>
      <w:r w:rsidR="00937ABC" w:rsidRPr="00296407">
        <w:rPr>
          <w:rFonts w:ascii="Alef" w:hAnsi="Alef"/>
          <w:sz w:val="22"/>
          <w:rtl/>
        </w:rPr>
        <w:t xml:space="preserve">התנאים המוצעים </w:t>
      </w:r>
      <w:r w:rsidR="00FB3786">
        <w:rPr>
          <w:rFonts w:ascii="Alef" w:hAnsi="Alef" w:hint="cs"/>
          <w:sz w:val="22"/>
          <w:rtl/>
        </w:rPr>
        <w:t>הם</w:t>
      </w:r>
      <w:r w:rsidR="00937ABC" w:rsidRPr="00296407">
        <w:rPr>
          <w:rFonts w:ascii="Alef" w:hAnsi="Alef"/>
          <w:sz w:val="22"/>
          <w:rtl/>
        </w:rPr>
        <w:t xml:space="preserve"> תנאים התנהגותיים. </w:t>
      </w:r>
      <w:r w:rsidR="00AA26FF">
        <w:rPr>
          <w:rFonts w:ascii="Alef" w:hAnsi="Alef" w:hint="cs"/>
          <w:rtl/>
        </w:rPr>
        <w:t>תנאים מסוג זה הם קשים לאכיפה וניתן יחסית בקלות למצוא התנהגות אחרת אשר תעקוף את האיסור הטמון בהם</w:t>
      </w:r>
      <w:r w:rsidR="00937ABC">
        <w:rPr>
          <w:rFonts w:ascii="Alef" w:hAnsi="Alef" w:hint="cs"/>
          <w:rtl/>
        </w:rPr>
        <w:t>.</w:t>
      </w:r>
      <w:r w:rsidR="00937ABC">
        <w:rPr>
          <w:rStyle w:val="FootnoteReference"/>
          <w:rFonts w:ascii="Alef" w:hAnsi="Alef"/>
          <w:rtl/>
        </w:rPr>
        <w:footnoteReference w:id="14"/>
      </w:r>
      <w:r w:rsidR="00937ABC">
        <w:rPr>
          <w:rFonts w:ascii="Alef" w:hAnsi="Alef" w:hint="cs"/>
          <w:rtl/>
        </w:rPr>
        <w:t xml:space="preserve"> </w:t>
      </w:r>
      <w:r w:rsidR="003F67F5">
        <w:rPr>
          <w:rFonts w:ascii="Alef" w:hAnsi="Alef" w:hint="cs"/>
          <w:rtl/>
        </w:rPr>
        <w:t xml:space="preserve">בשנים האחרונות נמנעתי כמעט לחלוטין מהטלת תנאים מסוג זה ואני סבורה כי מדיניות זאת נכונה גם במקרה דנן. </w:t>
      </w:r>
      <w:r w:rsidR="00937ABC">
        <w:rPr>
          <w:rFonts w:ascii="Alef" w:hAnsi="Alef" w:hint="cs"/>
          <w:rtl/>
        </w:rPr>
        <w:t xml:space="preserve">כדי לוודא כי יצרני המשקאות הגדולים עומדים בתנאים, נדרש לפקח ולעקוב אחריהם ואחרי תאגידי </w:t>
      </w:r>
      <w:proofErr w:type="spellStart"/>
      <w:r w:rsidR="00937ABC">
        <w:rPr>
          <w:rFonts w:ascii="Alef" w:hAnsi="Alef" w:hint="cs"/>
          <w:rtl/>
        </w:rPr>
        <w:t>המיחזור</w:t>
      </w:r>
      <w:proofErr w:type="spellEnd"/>
      <w:r w:rsidR="00937ABC">
        <w:rPr>
          <w:rFonts w:ascii="Alef" w:hAnsi="Alef" w:hint="cs"/>
          <w:rtl/>
        </w:rPr>
        <w:t xml:space="preserve"> באופן הדוק, מתמשך ולתקופה בלתי מוגבלת. ביצוע פיקוח ממין זה אינו מתפקידה של רשות התחרות ואינו בתחום מומחיותה. </w:t>
      </w:r>
      <w:r w:rsidR="00937ABC" w:rsidRPr="005E6792">
        <w:rPr>
          <w:rFonts w:ascii="Alef" w:hAnsi="Alef"/>
          <w:sz w:val="22"/>
          <w:rtl/>
        </w:rPr>
        <w:t xml:space="preserve">בנוסף, גם אם אכן ימולאו התנאים על ידי יצרני המשקאות הגדולים, לרשות לא תהיה יכולת למנוע העברת תמורה, שאינה ישירה או ניתנת לכימות מדויק, </w:t>
      </w:r>
      <w:proofErr w:type="spellStart"/>
      <w:r w:rsidR="00937ABC" w:rsidRPr="005E6792">
        <w:rPr>
          <w:rFonts w:ascii="Alef" w:hAnsi="Alef"/>
          <w:sz w:val="22"/>
          <w:rtl/>
        </w:rPr>
        <w:t>מ</w:t>
      </w:r>
      <w:r w:rsidR="00937ABC">
        <w:rPr>
          <w:rFonts w:ascii="Alef" w:hAnsi="Alef" w:hint="cs"/>
          <w:sz w:val="22"/>
          <w:rtl/>
        </w:rPr>
        <w:t>אל"ה</w:t>
      </w:r>
      <w:proofErr w:type="spellEnd"/>
      <w:r w:rsidR="00937ABC">
        <w:rPr>
          <w:rFonts w:ascii="Alef" w:hAnsi="Alef" w:hint="cs"/>
          <w:sz w:val="22"/>
          <w:rtl/>
        </w:rPr>
        <w:t xml:space="preserve"> או כל תאגיד </w:t>
      </w:r>
      <w:proofErr w:type="spellStart"/>
      <w:r w:rsidR="00937ABC">
        <w:rPr>
          <w:rFonts w:ascii="Alef" w:hAnsi="Alef" w:hint="cs"/>
          <w:sz w:val="22"/>
          <w:rtl/>
        </w:rPr>
        <w:t>מיחזור</w:t>
      </w:r>
      <w:proofErr w:type="spellEnd"/>
      <w:r w:rsidR="00937ABC">
        <w:rPr>
          <w:rFonts w:ascii="Alef" w:hAnsi="Alef" w:hint="cs"/>
          <w:sz w:val="22"/>
          <w:rtl/>
        </w:rPr>
        <w:t xml:space="preserve"> אחר </w:t>
      </w:r>
      <w:r w:rsidR="00937ABC" w:rsidRPr="005E6792">
        <w:rPr>
          <w:rFonts w:ascii="Alef" w:hAnsi="Alef"/>
          <w:sz w:val="22"/>
          <w:rtl/>
        </w:rPr>
        <w:t xml:space="preserve">ליצרני המשקאות, ולפיכך הפיקוח על מילוי התנאים אינו ישים </w:t>
      </w:r>
      <w:r w:rsidR="00937ABC">
        <w:rPr>
          <w:rFonts w:ascii="Alef" w:hAnsi="Alef" w:hint="cs"/>
          <w:rtl/>
        </w:rPr>
        <w:t>א</w:t>
      </w:r>
      <w:r w:rsidR="00937ABC" w:rsidRPr="005E6792">
        <w:rPr>
          <w:rFonts w:ascii="Alef" w:hAnsi="Alef"/>
          <w:sz w:val="22"/>
          <w:rtl/>
        </w:rPr>
        <w:t>ו</w:t>
      </w:r>
      <w:r w:rsidR="00937ABC">
        <w:rPr>
          <w:rFonts w:ascii="Alef" w:hAnsi="Alef" w:hint="cs"/>
          <w:rtl/>
        </w:rPr>
        <w:t xml:space="preserve"> </w:t>
      </w:r>
      <w:r w:rsidR="00937ABC" w:rsidRPr="005E6792">
        <w:rPr>
          <w:rFonts w:ascii="Alef" w:hAnsi="Alef"/>
          <w:sz w:val="22"/>
          <w:rtl/>
        </w:rPr>
        <w:t>אפקטיבי.</w:t>
      </w:r>
    </w:p>
    <w:p w14:paraId="548E2362" w14:textId="0C54C307" w:rsidR="006D7573" w:rsidRDefault="005218A0" w:rsidP="003F67F5">
      <w:pPr>
        <w:rPr>
          <w:rtl/>
        </w:rPr>
      </w:pPr>
      <w:r>
        <w:rPr>
          <w:rFonts w:hint="cs"/>
          <w:rtl/>
        </w:rPr>
        <w:t xml:space="preserve">איגוד המזון </w:t>
      </w:r>
      <w:r w:rsidR="003F67F5">
        <w:rPr>
          <w:rFonts w:hint="cs"/>
          <w:rtl/>
        </w:rPr>
        <w:t xml:space="preserve">העלה </w:t>
      </w:r>
      <w:r w:rsidR="003B4D0F">
        <w:rPr>
          <w:rFonts w:hint="cs"/>
          <w:rtl/>
        </w:rPr>
        <w:t xml:space="preserve">את </w:t>
      </w:r>
      <w:r>
        <w:rPr>
          <w:rFonts w:hint="cs"/>
          <w:rtl/>
        </w:rPr>
        <w:t xml:space="preserve">החשש כי </w:t>
      </w:r>
      <w:r w:rsidR="003F67F5">
        <w:rPr>
          <w:rFonts w:hint="cs"/>
          <w:rtl/>
        </w:rPr>
        <w:t xml:space="preserve">אם </w:t>
      </w:r>
      <w:r>
        <w:rPr>
          <w:rFonts w:hint="cs"/>
          <w:rtl/>
        </w:rPr>
        <w:t>לא יועלה הפיקדון על מכלי משקה גדולים, לא יצליחו היצרנים והיבואנים לעמוד ביעדי האיסוף הקבועים בחוק הפיקדון. עם זאת וכפי שצוין לעיל, ככל שאכן קיים חשש מאי-עמידה ביעדי האיסוף, הי</w:t>
      </w:r>
      <w:r w:rsidR="00FB3786">
        <w:rPr>
          <w:rFonts w:hint="cs"/>
          <w:rtl/>
        </w:rPr>
        <w:t xml:space="preserve">צרנים, היבואנים ותאגידי </w:t>
      </w:r>
      <w:proofErr w:type="spellStart"/>
      <w:r w:rsidR="00FB3786">
        <w:rPr>
          <w:rFonts w:hint="cs"/>
          <w:rtl/>
        </w:rPr>
        <w:t>המיחזור</w:t>
      </w:r>
      <w:proofErr w:type="spellEnd"/>
      <w:r>
        <w:rPr>
          <w:rFonts w:hint="cs"/>
          <w:rtl/>
        </w:rPr>
        <w:t xml:space="preserve"> יכולים לנקוט באמצעים נוספים, שאינם העלאת הפיקדון, על מנת לעמוד ביעדי האיסוף, כפי שנעשה כיום לשם איסוף מכלי משקה קטנים.</w:t>
      </w:r>
    </w:p>
    <w:p w14:paraId="0439ED79" w14:textId="53E3F1D0" w:rsidR="0087736D" w:rsidRPr="0066723D" w:rsidRDefault="0087736D" w:rsidP="0085645A">
      <w:pPr>
        <w:spacing w:before="100" w:beforeAutospacing="1" w:after="100" w:afterAutospacing="1"/>
        <w:rPr>
          <w:rFonts w:ascii="Alef" w:hAnsi="Alef"/>
          <w:sz w:val="22"/>
          <w:rtl/>
        </w:rPr>
      </w:pPr>
      <w:r w:rsidRPr="000A4255">
        <w:rPr>
          <w:rFonts w:ascii="Alef" w:hAnsi="Alef"/>
          <w:sz w:val="22"/>
          <w:rtl/>
        </w:rPr>
        <w:t xml:space="preserve">משאלו הם פני הדברים ונוכח החששות התחרותיים </w:t>
      </w:r>
      <w:r w:rsidR="006A6E09">
        <w:rPr>
          <w:rFonts w:ascii="Alef" w:hAnsi="Alef" w:hint="cs"/>
          <w:sz w:val="22"/>
          <w:rtl/>
        </w:rPr>
        <w:t>שפורטו לעיל</w:t>
      </w:r>
      <w:r w:rsidRPr="000A4255">
        <w:rPr>
          <w:rFonts w:ascii="Alef" w:hAnsi="Alef"/>
          <w:sz w:val="22"/>
          <w:rtl/>
        </w:rPr>
        <w:t xml:space="preserve">, אני סבורה כי ההסדר שהובא לפניי </w:t>
      </w:r>
      <w:r w:rsidR="001B11C8">
        <w:rPr>
          <w:rFonts w:ascii="Alef" w:hAnsi="Alef" w:hint="cs"/>
          <w:sz w:val="22"/>
          <w:rtl/>
        </w:rPr>
        <w:t xml:space="preserve">עשוי </w:t>
      </w:r>
      <w:r w:rsidR="006A6E09">
        <w:rPr>
          <w:rFonts w:ascii="Alef" w:hAnsi="Alef" w:hint="cs"/>
          <w:sz w:val="22"/>
          <w:rtl/>
        </w:rPr>
        <w:t>להגביל</w:t>
      </w:r>
      <w:r w:rsidRPr="000A4255">
        <w:rPr>
          <w:rFonts w:ascii="Alef" w:hAnsi="Alef"/>
          <w:sz w:val="22"/>
          <w:rtl/>
        </w:rPr>
        <w:t xml:space="preserve"> את התחרות בחלק ניכר של </w:t>
      </w:r>
      <w:r w:rsidR="00D606BA">
        <w:rPr>
          <w:rFonts w:ascii="Alef" w:hAnsi="Alef" w:hint="cs"/>
          <w:sz w:val="22"/>
          <w:rtl/>
        </w:rPr>
        <w:t>השווקים</w:t>
      </w:r>
      <w:r w:rsidRPr="000A4255">
        <w:rPr>
          <w:rFonts w:ascii="Alef" w:hAnsi="Alef"/>
          <w:sz w:val="22"/>
          <w:rtl/>
        </w:rPr>
        <w:t xml:space="preserve"> המושפע</w:t>
      </w:r>
      <w:r w:rsidR="00D606BA">
        <w:rPr>
          <w:rFonts w:ascii="Alef" w:hAnsi="Alef" w:hint="cs"/>
          <w:sz w:val="22"/>
          <w:rtl/>
        </w:rPr>
        <w:t>ים</w:t>
      </w:r>
      <w:r w:rsidRPr="000A4255">
        <w:rPr>
          <w:rFonts w:ascii="Alef" w:hAnsi="Alef"/>
          <w:sz w:val="22"/>
          <w:rtl/>
        </w:rPr>
        <w:t xml:space="preserve"> ממנו. </w:t>
      </w:r>
      <w:r w:rsidR="0085645A">
        <w:rPr>
          <w:rFonts w:ascii="Alef" w:hAnsi="Alef" w:hint="cs"/>
          <w:sz w:val="22"/>
          <w:rtl/>
        </w:rPr>
        <w:t>לפיכך הוא אינו</w:t>
      </w:r>
      <w:r w:rsidRPr="000A4255">
        <w:rPr>
          <w:rFonts w:ascii="Alef" w:hAnsi="Alef"/>
          <w:sz w:val="22"/>
          <w:rtl/>
        </w:rPr>
        <w:t xml:space="preserve"> ראוי למתן פטור לפי סעיף 14 לחוק.</w:t>
      </w:r>
    </w:p>
    <w:p w14:paraId="3991EBC9" w14:textId="77777777" w:rsidR="00A766B1" w:rsidRPr="000A4255" w:rsidRDefault="00A766B1" w:rsidP="00A766B1">
      <w:pPr>
        <w:pStyle w:val="Heading1"/>
        <w:keepNext w:val="0"/>
        <w:keepLines w:val="0"/>
        <w:numPr>
          <w:ilvl w:val="0"/>
          <w:numId w:val="1"/>
        </w:numPr>
        <w:spacing w:before="100" w:beforeAutospacing="1" w:after="100" w:afterAutospacing="1" w:line="276" w:lineRule="auto"/>
        <w:ind w:right="720"/>
        <w:rPr>
          <w:rFonts w:ascii="Alef" w:eastAsia="Times New Roman" w:hAnsi="Alef"/>
          <w:b/>
          <w:bCs/>
          <w:kern w:val="36"/>
          <w:sz w:val="20"/>
          <w:szCs w:val="22"/>
          <w:rtl/>
        </w:rPr>
      </w:pPr>
      <w:r w:rsidRPr="000A4255">
        <w:rPr>
          <w:rFonts w:ascii="Alef" w:eastAsia="Times New Roman" w:hAnsi="Alef"/>
          <w:b/>
          <w:bCs/>
          <w:kern w:val="36"/>
          <w:sz w:val="20"/>
          <w:szCs w:val="22"/>
          <w:rtl/>
        </w:rPr>
        <w:lastRenderedPageBreak/>
        <w:t>סוף דבר</w:t>
      </w:r>
    </w:p>
    <w:p w14:paraId="3246FF6A" w14:textId="742687D6" w:rsidR="00A766B1" w:rsidRPr="000A4255" w:rsidRDefault="00A766B1" w:rsidP="00C5259D">
      <w:pPr>
        <w:shd w:val="clear" w:color="auto" w:fill="FFFFFF"/>
        <w:spacing w:before="100" w:beforeAutospacing="1" w:after="100" w:afterAutospacing="1"/>
        <w:rPr>
          <w:rFonts w:ascii="Alef" w:hAnsi="Alef"/>
          <w:sz w:val="20"/>
          <w:rtl/>
        </w:rPr>
      </w:pPr>
      <w:r w:rsidRPr="000A4255">
        <w:rPr>
          <w:rFonts w:ascii="Alef" w:hAnsi="Alef"/>
          <w:sz w:val="20"/>
          <w:rtl/>
        </w:rPr>
        <w:t xml:space="preserve">לאחר </w:t>
      </w:r>
      <w:r w:rsidR="001B11C8">
        <w:rPr>
          <w:rFonts w:ascii="Alef" w:hAnsi="Alef" w:hint="cs"/>
          <w:sz w:val="20"/>
          <w:rtl/>
        </w:rPr>
        <w:t xml:space="preserve">שבחנתי את ההסדר, ולאחר </w:t>
      </w:r>
      <w:r w:rsidRPr="000A4255">
        <w:rPr>
          <w:rFonts w:ascii="Alef" w:hAnsi="Alef"/>
          <w:sz w:val="20"/>
          <w:rtl/>
        </w:rPr>
        <w:t xml:space="preserve">שנועצתי </w:t>
      </w:r>
      <w:r w:rsidR="001B11C8">
        <w:rPr>
          <w:rFonts w:ascii="Alef" w:hAnsi="Alef" w:hint="cs"/>
          <w:sz w:val="20"/>
          <w:rtl/>
        </w:rPr>
        <w:t>ב</w:t>
      </w:r>
      <w:r w:rsidRPr="000A4255">
        <w:rPr>
          <w:rFonts w:ascii="Alef" w:hAnsi="Alef"/>
          <w:sz w:val="20"/>
          <w:rtl/>
        </w:rPr>
        <w:t xml:space="preserve">וועדה לפטורים ולמיזוגים, </w:t>
      </w:r>
      <w:r w:rsidR="001B11C8">
        <w:rPr>
          <w:rFonts w:ascii="Alef" w:hAnsi="Alef" w:hint="cs"/>
          <w:sz w:val="20"/>
          <w:rtl/>
        </w:rPr>
        <w:t>לא שוכנעתי כי ההסדר עומד בתנאים הקבועים בסעיף 14 לחוק, ומטעם זה אין ההסדר ראוי לפטור</w:t>
      </w:r>
      <w:r w:rsidRPr="000A4255">
        <w:rPr>
          <w:rFonts w:ascii="Alef" w:hAnsi="Alef"/>
          <w:sz w:val="20"/>
          <w:rtl/>
        </w:rPr>
        <w:t>.</w:t>
      </w:r>
      <w:r w:rsidRPr="000A4255">
        <w:rPr>
          <w:rFonts w:ascii="Alef" w:hAnsi="Alef"/>
          <w:b/>
          <w:bCs/>
          <w:rtl/>
        </w:rPr>
        <w:tab/>
      </w:r>
    </w:p>
    <w:p w14:paraId="68C153BB" w14:textId="77777777" w:rsidR="00A766B1" w:rsidRPr="000A4255" w:rsidRDefault="00A766B1" w:rsidP="00A766B1">
      <w:pPr>
        <w:spacing w:before="100" w:beforeAutospacing="1" w:after="100" w:afterAutospacing="1" w:line="276" w:lineRule="auto"/>
        <w:ind w:left="5400" w:firstLine="360"/>
        <w:rPr>
          <w:rFonts w:ascii="Alef" w:hAnsi="Alef"/>
          <w:sz w:val="22"/>
          <w:rtl/>
        </w:rPr>
      </w:pPr>
      <w:r w:rsidRPr="000A4255">
        <w:rPr>
          <w:rFonts w:ascii="Alef" w:hAnsi="Alef"/>
          <w:sz w:val="22"/>
          <w:rtl/>
        </w:rPr>
        <w:t>מיכל הלפרין</w:t>
      </w:r>
    </w:p>
    <w:p w14:paraId="5BB61F0C" w14:textId="77777777" w:rsidR="00A766B1" w:rsidRPr="000A4255" w:rsidRDefault="00A766B1" w:rsidP="00A766B1">
      <w:pPr>
        <w:spacing w:before="100" w:beforeAutospacing="1" w:after="100" w:afterAutospacing="1" w:line="276" w:lineRule="auto"/>
        <w:ind w:left="360"/>
        <w:rPr>
          <w:rFonts w:ascii="Alef" w:hAnsi="Alef"/>
          <w:sz w:val="22"/>
          <w:rtl/>
        </w:rPr>
      </w:pPr>
      <w:r w:rsidRPr="000A4255">
        <w:rPr>
          <w:rFonts w:ascii="Alef" w:hAnsi="Alef"/>
          <w:sz w:val="22"/>
          <w:rtl/>
        </w:rPr>
        <w:tab/>
      </w:r>
      <w:r w:rsidRPr="000A4255">
        <w:rPr>
          <w:rFonts w:ascii="Alef" w:hAnsi="Alef"/>
          <w:sz w:val="22"/>
          <w:rtl/>
        </w:rPr>
        <w:tab/>
      </w:r>
      <w:r w:rsidRPr="000A4255">
        <w:rPr>
          <w:rFonts w:ascii="Alef" w:hAnsi="Alef"/>
          <w:sz w:val="22"/>
          <w:rtl/>
        </w:rPr>
        <w:tab/>
      </w:r>
      <w:r w:rsidRPr="000A4255">
        <w:rPr>
          <w:rFonts w:ascii="Alef" w:hAnsi="Alef"/>
          <w:sz w:val="22"/>
          <w:rtl/>
        </w:rPr>
        <w:tab/>
      </w:r>
      <w:r w:rsidRPr="000A4255">
        <w:rPr>
          <w:rFonts w:ascii="Alef" w:hAnsi="Alef"/>
          <w:sz w:val="22"/>
          <w:rtl/>
        </w:rPr>
        <w:tab/>
      </w:r>
      <w:r w:rsidRPr="000A4255">
        <w:rPr>
          <w:rFonts w:ascii="Alef" w:hAnsi="Alef"/>
          <w:sz w:val="22"/>
          <w:rtl/>
        </w:rPr>
        <w:tab/>
      </w:r>
      <w:r w:rsidRPr="000A4255">
        <w:rPr>
          <w:rFonts w:ascii="Alef" w:hAnsi="Alef"/>
          <w:sz w:val="22"/>
          <w:rtl/>
        </w:rPr>
        <w:tab/>
        <w:t xml:space="preserve">        הממונה על התחרות</w:t>
      </w:r>
    </w:p>
    <w:p w14:paraId="74D201B2" w14:textId="77777777" w:rsidR="00A766B1" w:rsidRPr="000A4255" w:rsidRDefault="00A766B1" w:rsidP="00BA3019">
      <w:pPr>
        <w:spacing w:before="100" w:beforeAutospacing="1" w:after="100" w:afterAutospacing="1" w:line="276" w:lineRule="auto"/>
        <w:rPr>
          <w:rFonts w:ascii="Alef" w:hAnsi="Alef"/>
          <w:sz w:val="22"/>
          <w:rtl/>
        </w:rPr>
      </w:pPr>
    </w:p>
    <w:p w14:paraId="379810E9" w14:textId="77777777" w:rsidR="00A766B1" w:rsidRPr="000A4255" w:rsidRDefault="00A766B1" w:rsidP="00A766B1">
      <w:pPr>
        <w:spacing w:before="100" w:beforeAutospacing="1" w:after="100" w:afterAutospacing="1" w:line="276" w:lineRule="auto"/>
        <w:ind w:left="360"/>
        <w:rPr>
          <w:rFonts w:ascii="Alef" w:hAnsi="Alef"/>
          <w:sz w:val="22"/>
          <w:rtl/>
        </w:rPr>
      </w:pPr>
    </w:p>
    <w:p w14:paraId="5FCD8F3D" w14:textId="0679C020" w:rsidR="00BA3019" w:rsidRPr="00CD0D1B" w:rsidRDefault="00A766B1" w:rsidP="00BA3019">
      <w:pPr>
        <w:spacing w:line="240" w:lineRule="auto"/>
        <w:jc w:val="left"/>
        <w:rPr>
          <w:rFonts w:ascii="Alef" w:hAnsi="Alef"/>
        </w:rPr>
      </w:pPr>
      <w:r w:rsidRPr="000A4255">
        <w:rPr>
          <w:rFonts w:ascii="Alef" w:hAnsi="Alef"/>
          <w:sz w:val="22"/>
          <w:rtl/>
        </w:rPr>
        <w:t xml:space="preserve">ירושלים, </w:t>
      </w:r>
      <w:sdt>
        <w:sdtPr>
          <w:rPr>
            <w:rFonts w:ascii="Alef" w:hAnsi="Alef"/>
            <w:rtl/>
          </w:rPr>
          <w:id w:val="-564727299"/>
          <w:placeholder>
            <w:docPart w:val="11B9A73407E64AD29B6E4F93EDC985EE"/>
          </w:placeholder>
          <w:date w:fullDate="2021-03-25T00:00:00Z">
            <w:dateFormat w:val="dd MMMM yyyy"/>
            <w:lid w:val="he-IL"/>
            <w:storeMappedDataAs w:val="dateTime"/>
            <w:calendar w:val="hebrew"/>
          </w:date>
        </w:sdtPr>
        <w:sdtEndPr/>
        <w:sdtContent>
          <w:r w:rsidR="00DD002B">
            <w:rPr>
              <w:rFonts w:ascii="Alef" w:hAnsi="Alef" w:hint="cs"/>
              <w:rtl/>
            </w:rPr>
            <w:t>‏י"ב ניסן תשפ"א</w:t>
          </w:r>
        </w:sdtContent>
      </w:sdt>
    </w:p>
    <w:sdt>
      <w:sdtPr>
        <w:rPr>
          <w:rFonts w:ascii="Alef" w:hAnsi="Alef"/>
          <w:rtl/>
        </w:rPr>
        <w:id w:val="-834522498"/>
        <w:placeholder>
          <w:docPart w:val="E698F3D35E5F41F9AEE6449530C84881"/>
        </w:placeholder>
        <w:date w:fullDate="2021-03-25T00:00:00Z">
          <w:dateFormat w:val="dd MMMM yyyy"/>
          <w:lid w:val="he-IL"/>
          <w:storeMappedDataAs w:val="dateTime"/>
          <w:calendar w:val="gregorian"/>
        </w:date>
      </w:sdtPr>
      <w:sdtEndPr/>
      <w:sdtContent>
        <w:p w14:paraId="6BFCF3C5" w14:textId="59422480" w:rsidR="00E34712" w:rsidRPr="00BA3019" w:rsidRDefault="00DD002B" w:rsidP="00BA3019">
          <w:pPr>
            <w:spacing w:line="240" w:lineRule="auto"/>
            <w:jc w:val="left"/>
            <w:rPr>
              <w:rFonts w:ascii="Alef" w:hAnsi="Alef"/>
            </w:rPr>
          </w:pPr>
          <w:r>
            <w:rPr>
              <w:rFonts w:ascii="Alef" w:hAnsi="Alef" w:hint="cs"/>
              <w:rtl/>
            </w:rPr>
            <w:t>‏25 מרץ 2021</w:t>
          </w:r>
        </w:p>
      </w:sdtContent>
    </w:sdt>
    <w:sectPr w:rsidR="00E34712" w:rsidRPr="00BA3019" w:rsidSect="00240FCC">
      <w:headerReference w:type="default" r:id="rId8"/>
      <w:footerReference w:type="default" r:id="rId9"/>
      <w:headerReference w:type="first" r:id="rId10"/>
      <w:footerReference w:type="first" r:id="rId11"/>
      <w:pgSz w:w="11906" w:h="16838"/>
      <w:pgMar w:top="1440" w:right="1800" w:bottom="1440" w:left="1800" w:header="708" w:footer="709"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5F577" w14:textId="77777777" w:rsidR="00BF4846" w:rsidRDefault="00BF4846" w:rsidP="00A766B1">
      <w:pPr>
        <w:spacing w:after="0" w:line="240" w:lineRule="auto"/>
      </w:pPr>
      <w:r>
        <w:separator/>
      </w:r>
    </w:p>
  </w:endnote>
  <w:endnote w:type="continuationSeparator" w:id="0">
    <w:p w14:paraId="5E0D8083" w14:textId="77777777" w:rsidR="00BF4846" w:rsidRDefault="00BF4846" w:rsidP="00A76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ef">
    <w:panose1 w:val="00000500000000000000"/>
    <w:charset w:val="00"/>
    <w:family w:val="auto"/>
    <w:pitch w:val="variable"/>
    <w:sig w:usb0="00000807" w:usb1="40000000" w:usb2="00000000" w:usb3="00000000" w:csb0="000000B3" w:csb1="00000000"/>
  </w:font>
  <w:font w:name="Calibri Light">
    <w:panose1 w:val="020F03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243686708"/>
      <w:docPartObj>
        <w:docPartGallery w:val="Page Numbers (Bottom of Page)"/>
        <w:docPartUnique/>
      </w:docPartObj>
    </w:sdtPr>
    <w:sdtEndPr/>
    <w:sdtContent>
      <w:p w14:paraId="60731D04" w14:textId="52634B50" w:rsidR="00BC4356" w:rsidRDefault="0001108D" w:rsidP="00240FCC">
        <w:pPr>
          <w:pStyle w:val="Footer"/>
          <w:jc w:val="center"/>
          <w:rPr>
            <w:noProof/>
            <w:rtl/>
          </w:rPr>
        </w:pPr>
        <w:r>
          <w:fldChar w:fldCharType="begin"/>
        </w:r>
        <w:r>
          <w:instrText xml:space="preserve"> PAGE   \* MERGEFORMAT </w:instrText>
        </w:r>
        <w:r>
          <w:fldChar w:fldCharType="separate"/>
        </w:r>
        <w:r w:rsidR="00E87C80">
          <w:rPr>
            <w:noProof/>
            <w:rtl/>
          </w:rPr>
          <w:t>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C5FF6" w14:textId="77777777" w:rsidR="00240FCC" w:rsidRDefault="00240FCC">
    <w:pPr>
      <w:pStyle w:val="Footer"/>
    </w:pPr>
    <w:r>
      <w:rPr>
        <w:noProof/>
      </w:rPr>
      <w:drawing>
        <wp:anchor distT="0" distB="0" distL="114300" distR="114300" simplePos="0" relativeHeight="251664384" behindDoc="1" locked="0" layoutInCell="1" allowOverlap="1" wp14:anchorId="68FB8D6A" wp14:editId="156D1D70">
          <wp:simplePos x="0" y="0"/>
          <wp:positionH relativeFrom="page">
            <wp:align>left</wp:align>
          </wp:positionH>
          <wp:positionV relativeFrom="page">
            <wp:align>bottom</wp:align>
          </wp:positionV>
          <wp:extent cx="7585710" cy="1047750"/>
          <wp:effectExtent l="0" t="0" r="0" b="0"/>
          <wp:wrapNone/>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דף פירמה עיצוב שני_דף פירמה חדש cop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5710" cy="104775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3CFCA" w14:textId="77777777" w:rsidR="00BF4846" w:rsidRDefault="00BF4846" w:rsidP="00A766B1">
      <w:pPr>
        <w:spacing w:after="0" w:line="240" w:lineRule="auto"/>
      </w:pPr>
      <w:r>
        <w:separator/>
      </w:r>
    </w:p>
  </w:footnote>
  <w:footnote w:type="continuationSeparator" w:id="0">
    <w:p w14:paraId="65E24375" w14:textId="77777777" w:rsidR="00BF4846" w:rsidRDefault="00BF4846" w:rsidP="00A766B1">
      <w:pPr>
        <w:spacing w:after="0" w:line="240" w:lineRule="auto"/>
      </w:pPr>
      <w:r>
        <w:continuationSeparator/>
      </w:r>
    </w:p>
  </w:footnote>
  <w:footnote w:id="1">
    <w:p w14:paraId="73D5F13E" w14:textId="2F08D88C" w:rsidR="00C567C2" w:rsidRPr="00D75659" w:rsidRDefault="00C567C2" w:rsidP="00D75659">
      <w:pPr>
        <w:pStyle w:val="FootnoteText"/>
        <w:spacing w:after="0" w:line="240" w:lineRule="auto"/>
        <w:rPr>
          <w:rFonts w:ascii="Alef" w:hAnsi="Alef"/>
          <w:sz w:val="20"/>
          <w:szCs w:val="20"/>
          <w:rtl/>
        </w:rPr>
      </w:pPr>
      <w:r w:rsidRPr="00D75659">
        <w:rPr>
          <w:rStyle w:val="FootnoteReference"/>
          <w:rFonts w:ascii="Alef" w:hAnsi="Alef"/>
          <w:sz w:val="20"/>
          <w:szCs w:val="20"/>
        </w:rPr>
        <w:footnoteRef/>
      </w:r>
      <w:r w:rsidRPr="00D75659">
        <w:rPr>
          <w:rFonts w:ascii="Alef" w:hAnsi="Alef"/>
          <w:sz w:val="20"/>
          <w:szCs w:val="20"/>
          <w:rtl/>
        </w:rPr>
        <w:t xml:space="preserve"> ס</w:t>
      </w:r>
      <w:r w:rsidR="00283797" w:rsidRPr="005949E8">
        <w:rPr>
          <w:rFonts w:ascii="Alef" w:hAnsi="Alef"/>
          <w:sz w:val="20"/>
          <w:szCs w:val="20"/>
          <w:rtl/>
        </w:rPr>
        <w:t>'</w:t>
      </w:r>
      <w:r w:rsidRPr="00D75659">
        <w:rPr>
          <w:rFonts w:ascii="Alef" w:hAnsi="Alef"/>
          <w:sz w:val="20"/>
          <w:szCs w:val="20"/>
          <w:rtl/>
        </w:rPr>
        <w:t xml:space="preserve"> 2 ו-3 לחוק הפיקדון.</w:t>
      </w:r>
    </w:p>
  </w:footnote>
  <w:footnote w:id="2">
    <w:p w14:paraId="7194CA3C" w14:textId="77777777" w:rsidR="00C567C2" w:rsidRPr="00D75659" w:rsidRDefault="00C567C2" w:rsidP="00D75659">
      <w:pPr>
        <w:pStyle w:val="FootnoteText"/>
        <w:spacing w:after="0" w:line="240" w:lineRule="auto"/>
        <w:rPr>
          <w:rFonts w:ascii="Alef" w:hAnsi="Alef"/>
          <w:sz w:val="20"/>
          <w:szCs w:val="20"/>
          <w:rtl/>
        </w:rPr>
      </w:pPr>
      <w:r w:rsidRPr="00D75659">
        <w:rPr>
          <w:rStyle w:val="FootnoteReference"/>
          <w:rFonts w:ascii="Alef" w:hAnsi="Alef"/>
          <w:sz w:val="20"/>
          <w:szCs w:val="20"/>
        </w:rPr>
        <w:footnoteRef/>
      </w:r>
      <w:r w:rsidRPr="00D75659">
        <w:rPr>
          <w:rFonts w:ascii="Alef" w:hAnsi="Alef"/>
          <w:sz w:val="20"/>
          <w:szCs w:val="20"/>
          <w:rtl/>
        </w:rPr>
        <w:t xml:space="preserve"> החל משנת 2014 כל יצרן או יבואן חייב לאסוף מכלים בני פיקדון בשיעור של לפחות 73% מהכמות ששיווק באותה שנה, ולפחות 77% בממוצע דו-שנתי, בכפוף לאמור להלן ביחס למכלי משקה גדולים.</w:t>
      </w:r>
    </w:p>
  </w:footnote>
  <w:footnote w:id="3">
    <w:p w14:paraId="07D164A0" w14:textId="18D75D9A" w:rsidR="00E906EA" w:rsidRPr="00D35F12" w:rsidRDefault="00E906EA" w:rsidP="00D35F12">
      <w:pPr>
        <w:pStyle w:val="FootnoteText"/>
        <w:spacing w:after="0" w:line="240" w:lineRule="auto"/>
        <w:rPr>
          <w:rFonts w:ascii="Alef" w:hAnsi="Alef"/>
          <w:sz w:val="20"/>
          <w:szCs w:val="20"/>
          <w:rtl/>
        </w:rPr>
      </w:pPr>
      <w:r w:rsidRPr="00D75659">
        <w:rPr>
          <w:rStyle w:val="FootnoteReference"/>
          <w:rFonts w:ascii="Alef" w:hAnsi="Alef"/>
          <w:sz w:val="20"/>
          <w:szCs w:val="20"/>
        </w:rPr>
        <w:footnoteRef/>
      </w:r>
      <w:r w:rsidRPr="00D75659">
        <w:rPr>
          <w:rFonts w:ascii="Alef" w:hAnsi="Alef"/>
          <w:sz w:val="20"/>
          <w:szCs w:val="20"/>
          <w:rtl/>
        </w:rPr>
        <w:t xml:space="preserve"> קרן שהוקמה במסגרת המשרד להגנת הסביבה, </w:t>
      </w:r>
      <w:proofErr w:type="spellStart"/>
      <w:r w:rsidRPr="00D75659">
        <w:rPr>
          <w:rFonts w:ascii="Alef" w:hAnsi="Alef"/>
          <w:sz w:val="20"/>
          <w:szCs w:val="20"/>
          <w:rtl/>
        </w:rPr>
        <w:t>מכח</w:t>
      </w:r>
      <w:proofErr w:type="spellEnd"/>
      <w:r w:rsidRPr="00D35F12">
        <w:rPr>
          <w:rFonts w:ascii="Alef" w:hAnsi="Alef"/>
          <w:sz w:val="20"/>
          <w:szCs w:val="20"/>
          <w:rtl/>
        </w:rPr>
        <w:t xml:space="preserve"> חוק שמירת הניקיון, התשמ"ד-1984. </w:t>
      </w:r>
    </w:p>
  </w:footnote>
  <w:footnote w:id="4">
    <w:p w14:paraId="741F6398" w14:textId="10096376" w:rsidR="00C567C2" w:rsidRPr="005949E8" w:rsidRDefault="00C567C2" w:rsidP="00D35F12">
      <w:pPr>
        <w:pStyle w:val="FootnoteText"/>
        <w:spacing w:after="0" w:line="240" w:lineRule="auto"/>
        <w:rPr>
          <w:rFonts w:ascii="Alef" w:hAnsi="Alef"/>
          <w:sz w:val="20"/>
          <w:szCs w:val="20"/>
          <w:rtl/>
        </w:rPr>
      </w:pPr>
      <w:r w:rsidRPr="00D75659">
        <w:rPr>
          <w:rStyle w:val="FootnoteReference"/>
          <w:rFonts w:ascii="Alef" w:hAnsi="Alef"/>
          <w:sz w:val="20"/>
          <w:szCs w:val="20"/>
        </w:rPr>
        <w:footnoteRef/>
      </w:r>
      <w:r w:rsidRPr="00D75659">
        <w:rPr>
          <w:rFonts w:ascii="Alef" w:hAnsi="Alef"/>
          <w:sz w:val="20"/>
          <w:szCs w:val="20"/>
          <w:rtl/>
        </w:rPr>
        <w:t xml:space="preserve"> ס</w:t>
      </w:r>
      <w:r w:rsidR="00283797" w:rsidRPr="005949E8">
        <w:rPr>
          <w:rFonts w:ascii="Alef" w:hAnsi="Alef"/>
          <w:sz w:val="20"/>
          <w:szCs w:val="20"/>
          <w:rtl/>
        </w:rPr>
        <w:t>'</w:t>
      </w:r>
      <w:r w:rsidRPr="00D75659">
        <w:rPr>
          <w:rFonts w:ascii="Alef" w:hAnsi="Alef"/>
          <w:sz w:val="20"/>
          <w:szCs w:val="20"/>
          <w:rtl/>
        </w:rPr>
        <w:t xml:space="preserve"> 7ב לחוק הפיקדון.</w:t>
      </w:r>
    </w:p>
  </w:footnote>
  <w:footnote w:id="5">
    <w:p w14:paraId="733CAB89" w14:textId="77777777" w:rsidR="00C567C2" w:rsidRPr="00D75659" w:rsidRDefault="00C567C2" w:rsidP="00D35F12">
      <w:pPr>
        <w:pStyle w:val="FootnoteText"/>
        <w:spacing w:after="0" w:line="240" w:lineRule="auto"/>
        <w:rPr>
          <w:rFonts w:ascii="Alef" w:hAnsi="Alef"/>
          <w:sz w:val="20"/>
          <w:szCs w:val="20"/>
          <w:rtl/>
        </w:rPr>
      </w:pPr>
      <w:r w:rsidRPr="00D75659">
        <w:rPr>
          <w:rStyle w:val="FootnoteReference"/>
          <w:rFonts w:ascii="Alef" w:hAnsi="Alef"/>
          <w:sz w:val="20"/>
          <w:szCs w:val="20"/>
        </w:rPr>
        <w:footnoteRef/>
      </w:r>
      <w:r w:rsidRPr="00D75659">
        <w:rPr>
          <w:rFonts w:ascii="Alef" w:hAnsi="Alef"/>
          <w:sz w:val="20"/>
          <w:szCs w:val="20"/>
          <w:rtl/>
        </w:rPr>
        <w:t xml:space="preserve"> שופרסל, </w:t>
      </w:r>
      <w:proofErr w:type="spellStart"/>
      <w:r w:rsidRPr="00D75659">
        <w:rPr>
          <w:rFonts w:ascii="Alef" w:hAnsi="Alef"/>
          <w:sz w:val="20"/>
          <w:szCs w:val="20"/>
          <w:rtl/>
        </w:rPr>
        <w:t>קלאבמרקט</w:t>
      </w:r>
      <w:proofErr w:type="spellEnd"/>
      <w:r w:rsidRPr="00D75659">
        <w:rPr>
          <w:rFonts w:ascii="Alef" w:hAnsi="Alef"/>
          <w:sz w:val="20"/>
          <w:szCs w:val="20"/>
          <w:rtl/>
        </w:rPr>
        <w:t xml:space="preserve"> והריבוע הכחול. הרשתות עזבו את </w:t>
      </w:r>
      <w:proofErr w:type="spellStart"/>
      <w:r w:rsidRPr="00D75659">
        <w:rPr>
          <w:rFonts w:ascii="Alef" w:hAnsi="Alef"/>
          <w:sz w:val="20"/>
          <w:szCs w:val="20"/>
          <w:rtl/>
        </w:rPr>
        <w:t>אל"ה</w:t>
      </w:r>
      <w:proofErr w:type="spellEnd"/>
      <w:r w:rsidRPr="00D75659">
        <w:rPr>
          <w:rFonts w:ascii="Alef" w:hAnsi="Alef"/>
          <w:sz w:val="20"/>
          <w:szCs w:val="20"/>
          <w:rtl/>
        </w:rPr>
        <w:t xml:space="preserve"> בהדרגה בשנים 2002-2004.</w:t>
      </w:r>
    </w:p>
  </w:footnote>
  <w:footnote w:id="6">
    <w:p w14:paraId="798DA791" w14:textId="61751C4C" w:rsidR="00C567C2" w:rsidRPr="005949E8" w:rsidRDefault="00C567C2" w:rsidP="00E820ED">
      <w:pPr>
        <w:pStyle w:val="FootnoteText"/>
        <w:spacing w:after="0" w:line="240" w:lineRule="auto"/>
        <w:rPr>
          <w:rFonts w:ascii="Alef" w:hAnsi="Alef"/>
          <w:b/>
          <w:bCs/>
          <w:sz w:val="20"/>
          <w:szCs w:val="20"/>
          <w:rtl/>
        </w:rPr>
      </w:pPr>
      <w:r w:rsidRPr="00D75659">
        <w:rPr>
          <w:rStyle w:val="FootnoteReference"/>
          <w:rFonts w:ascii="Alef" w:hAnsi="Alef"/>
          <w:sz w:val="20"/>
          <w:szCs w:val="20"/>
        </w:rPr>
        <w:footnoteRef/>
      </w:r>
      <w:r w:rsidRPr="00D75659">
        <w:rPr>
          <w:rFonts w:ascii="Alef" w:hAnsi="Alef"/>
          <w:sz w:val="20"/>
          <w:szCs w:val="20"/>
          <w:rtl/>
        </w:rPr>
        <w:t xml:space="preserve"> </w:t>
      </w:r>
      <w:r w:rsidR="003A05BE" w:rsidRPr="005949E8">
        <w:rPr>
          <w:rFonts w:ascii="Alef" w:hAnsi="Alef"/>
          <w:sz w:val="20"/>
          <w:szCs w:val="20"/>
          <w:rtl/>
        </w:rPr>
        <w:t xml:space="preserve">פעילות </w:t>
      </w:r>
      <w:proofErr w:type="spellStart"/>
      <w:r w:rsidR="003A05BE" w:rsidRPr="005949E8">
        <w:rPr>
          <w:rFonts w:ascii="Alef" w:hAnsi="Alef"/>
          <w:sz w:val="20"/>
          <w:szCs w:val="20"/>
          <w:rtl/>
        </w:rPr>
        <w:t>אל"ה</w:t>
      </w:r>
      <w:proofErr w:type="spellEnd"/>
      <w:r w:rsidR="003A05BE" w:rsidRPr="005949E8">
        <w:rPr>
          <w:rFonts w:ascii="Alef" w:hAnsi="Alef"/>
          <w:sz w:val="20"/>
          <w:szCs w:val="20"/>
          <w:rtl/>
        </w:rPr>
        <w:t xml:space="preserve"> כהסדר כובל אושרה במספר החלטות של הממונה על התחרות ובית הדין לתחרות. האיש</w:t>
      </w:r>
      <w:r w:rsidR="00461ACB" w:rsidRPr="005949E8">
        <w:rPr>
          <w:rFonts w:ascii="Alef" w:hAnsi="Alef"/>
          <w:sz w:val="20"/>
          <w:szCs w:val="20"/>
          <w:rtl/>
        </w:rPr>
        <w:t xml:space="preserve">ור האחרון בעניין ניתן בהליך </w:t>
      </w:r>
      <w:proofErr w:type="spellStart"/>
      <w:r w:rsidR="00461ACB" w:rsidRPr="005949E8">
        <w:rPr>
          <w:rFonts w:ascii="Alef" w:hAnsi="Alef"/>
          <w:sz w:val="20"/>
          <w:szCs w:val="20"/>
          <w:rtl/>
        </w:rPr>
        <w:t>ה"ע</w:t>
      </w:r>
      <w:proofErr w:type="spellEnd"/>
      <w:r w:rsidR="00461ACB" w:rsidRPr="005949E8">
        <w:rPr>
          <w:rFonts w:ascii="Alef" w:hAnsi="Alef"/>
          <w:sz w:val="20"/>
          <w:szCs w:val="20"/>
          <w:rtl/>
        </w:rPr>
        <w:t xml:space="preserve"> (הגבלים עסקיים) 34330-01-16 </w:t>
      </w:r>
      <w:r w:rsidR="00461ACB" w:rsidRPr="005949E8">
        <w:rPr>
          <w:rFonts w:ascii="Alef" w:hAnsi="Alef"/>
          <w:b/>
          <w:bCs/>
          <w:sz w:val="20"/>
          <w:szCs w:val="20"/>
          <w:rtl/>
        </w:rPr>
        <w:t xml:space="preserve">תאגיד איסוף </w:t>
      </w:r>
      <w:proofErr w:type="spellStart"/>
      <w:r w:rsidR="00461ACB" w:rsidRPr="005949E8">
        <w:rPr>
          <w:rFonts w:ascii="Alef" w:hAnsi="Alef"/>
          <w:b/>
          <w:bCs/>
          <w:sz w:val="20"/>
          <w:szCs w:val="20"/>
          <w:rtl/>
        </w:rPr>
        <w:t>מיכלי</w:t>
      </w:r>
      <w:proofErr w:type="spellEnd"/>
      <w:r w:rsidR="00461ACB" w:rsidRPr="005949E8">
        <w:rPr>
          <w:rFonts w:ascii="Alef" w:hAnsi="Alef"/>
          <w:b/>
          <w:bCs/>
          <w:sz w:val="20"/>
          <w:szCs w:val="20"/>
          <w:rtl/>
        </w:rPr>
        <w:t xml:space="preserve"> משקה בע"מ נ' הממונה על ההגבלים העסקיים</w:t>
      </w:r>
      <w:r w:rsidR="00094C40" w:rsidRPr="005949E8">
        <w:rPr>
          <w:rFonts w:ascii="Alef" w:hAnsi="Alef"/>
          <w:sz w:val="20"/>
          <w:szCs w:val="20"/>
          <w:rtl/>
        </w:rPr>
        <w:t xml:space="preserve"> (נבו 26.07.2017)</w:t>
      </w:r>
      <w:r w:rsidR="00E134B8" w:rsidRPr="005949E8">
        <w:rPr>
          <w:rFonts w:ascii="Alef" w:hAnsi="Alef"/>
          <w:sz w:val="20"/>
          <w:szCs w:val="20"/>
          <w:rtl/>
        </w:rPr>
        <w:t xml:space="preserve">, במסגרתו הוסכם בין היתר על </w:t>
      </w:r>
      <w:r w:rsidR="006E42BE" w:rsidRPr="005949E8">
        <w:rPr>
          <w:rFonts w:ascii="Alef" w:hAnsi="Alef"/>
          <w:sz w:val="20"/>
          <w:szCs w:val="20"/>
          <w:rtl/>
        </w:rPr>
        <w:t xml:space="preserve">מכירת </w:t>
      </w:r>
      <w:proofErr w:type="spellStart"/>
      <w:r w:rsidR="006E42BE" w:rsidRPr="005949E8">
        <w:rPr>
          <w:rFonts w:ascii="Alef" w:hAnsi="Alef"/>
          <w:sz w:val="20"/>
          <w:szCs w:val="20"/>
          <w:rtl/>
        </w:rPr>
        <w:t>החזקותיה</w:t>
      </w:r>
      <w:proofErr w:type="spellEnd"/>
      <w:r w:rsidR="006E42BE" w:rsidRPr="005949E8">
        <w:rPr>
          <w:rFonts w:ascii="Alef" w:hAnsi="Alef"/>
          <w:sz w:val="20"/>
          <w:szCs w:val="20"/>
          <w:rtl/>
        </w:rPr>
        <w:t xml:space="preserve"> של טמפו </w:t>
      </w:r>
      <w:proofErr w:type="spellStart"/>
      <w:r w:rsidR="006E42BE" w:rsidRPr="005949E8">
        <w:rPr>
          <w:rFonts w:ascii="Alef" w:hAnsi="Alef"/>
          <w:sz w:val="20"/>
          <w:szCs w:val="20"/>
          <w:rtl/>
        </w:rPr>
        <w:t>באל"ה</w:t>
      </w:r>
      <w:proofErr w:type="spellEnd"/>
      <w:r w:rsidR="00094C40" w:rsidRPr="005949E8">
        <w:rPr>
          <w:rFonts w:ascii="Alef" w:hAnsi="Alef"/>
          <w:sz w:val="20"/>
          <w:szCs w:val="20"/>
          <w:rtl/>
        </w:rPr>
        <w:t>.</w:t>
      </w:r>
      <w:r w:rsidR="00461ACB" w:rsidRPr="005949E8">
        <w:rPr>
          <w:rFonts w:ascii="Alef" w:hAnsi="Alef"/>
          <w:b/>
          <w:bCs/>
          <w:sz w:val="20"/>
          <w:szCs w:val="20"/>
          <w:rtl/>
        </w:rPr>
        <w:t xml:space="preserve"> </w:t>
      </w:r>
    </w:p>
  </w:footnote>
  <w:footnote w:id="7">
    <w:p w14:paraId="73D02AFA" w14:textId="4D5DAD5D" w:rsidR="00D75659" w:rsidRPr="005949E8" w:rsidRDefault="00D75659" w:rsidP="005949E8">
      <w:pPr>
        <w:pStyle w:val="FootnoteText"/>
        <w:spacing w:after="0" w:line="240" w:lineRule="auto"/>
        <w:rPr>
          <w:rFonts w:ascii="Alef" w:hAnsi="Alef"/>
          <w:sz w:val="20"/>
          <w:szCs w:val="20"/>
          <w:rtl/>
        </w:rPr>
      </w:pPr>
      <w:r w:rsidRPr="00612C93">
        <w:rPr>
          <w:rStyle w:val="FootnoteReference"/>
          <w:rFonts w:ascii="Alef" w:hAnsi="Alef"/>
          <w:sz w:val="20"/>
          <w:szCs w:val="20"/>
        </w:rPr>
        <w:footnoteRef/>
      </w:r>
      <w:r w:rsidRPr="005949E8">
        <w:rPr>
          <w:rFonts w:ascii="Alef" w:hAnsi="Alef"/>
          <w:sz w:val="20"/>
          <w:szCs w:val="20"/>
          <w:rtl/>
        </w:rPr>
        <w:t xml:space="preserve"> </w:t>
      </w:r>
      <w:r w:rsidR="00D35F12">
        <w:rPr>
          <w:rFonts w:ascii="Alef" w:hAnsi="Alef" w:hint="cs"/>
          <w:sz w:val="20"/>
          <w:szCs w:val="20"/>
          <w:rtl/>
        </w:rPr>
        <w:t>חוק הפיקדון על מכלי משקה (תיקון מס' 4), התש"ע-2010</w:t>
      </w:r>
      <w:r w:rsidR="00E306D6">
        <w:rPr>
          <w:rFonts w:ascii="Alef" w:hAnsi="Alef" w:hint="cs"/>
          <w:sz w:val="20"/>
          <w:szCs w:val="20"/>
          <w:rtl/>
        </w:rPr>
        <w:t>;</w:t>
      </w:r>
      <w:r w:rsidR="00DA35A7">
        <w:rPr>
          <w:rFonts w:ascii="Alef" w:hAnsi="Alef" w:hint="cs"/>
          <w:sz w:val="20"/>
          <w:szCs w:val="20"/>
          <w:rtl/>
        </w:rPr>
        <w:t xml:space="preserve"> ס' </w:t>
      </w:r>
      <w:r w:rsidR="00E820ED">
        <w:rPr>
          <w:rFonts w:ascii="Alef" w:hAnsi="Alef" w:hint="cs"/>
          <w:sz w:val="20"/>
          <w:szCs w:val="20"/>
          <w:rtl/>
        </w:rPr>
        <w:t>59</w:t>
      </w:r>
      <w:r w:rsidR="00DA35A7">
        <w:rPr>
          <w:rFonts w:ascii="Alef" w:hAnsi="Alef" w:hint="cs"/>
          <w:sz w:val="20"/>
          <w:szCs w:val="20"/>
          <w:rtl/>
        </w:rPr>
        <w:t xml:space="preserve"> לחוק להסדרת הטיפול באריזות,</w:t>
      </w:r>
      <w:r w:rsidR="00E820ED">
        <w:rPr>
          <w:rFonts w:ascii="Alef" w:hAnsi="Alef" w:hint="cs"/>
          <w:sz w:val="20"/>
          <w:szCs w:val="20"/>
          <w:rtl/>
        </w:rPr>
        <w:t xml:space="preserve"> התשע"א-2011</w:t>
      </w:r>
      <w:r w:rsidR="00DA35A7">
        <w:rPr>
          <w:rFonts w:ascii="Alef" w:hAnsi="Alef" w:hint="cs"/>
          <w:sz w:val="20"/>
          <w:szCs w:val="20"/>
          <w:rtl/>
        </w:rPr>
        <w:t xml:space="preserve"> </w:t>
      </w:r>
      <w:r w:rsidR="00E820ED">
        <w:rPr>
          <w:rFonts w:ascii="Alef" w:hAnsi="Alef" w:hint="cs"/>
          <w:sz w:val="20"/>
          <w:szCs w:val="20"/>
          <w:rtl/>
        </w:rPr>
        <w:t>(תיקון עקיף לחוק הפיקדון על מכלי משקה (תיקון מס' 4), התש"ע-2010)</w:t>
      </w:r>
      <w:r w:rsidR="00E306D6">
        <w:rPr>
          <w:rFonts w:ascii="Alef" w:hAnsi="Alef" w:hint="cs"/>
          <w:sz w:val="20"/>
          <w:szCs w:val="20"/>
          <w:rtl/>
        </w:rPr>
        <w:t>.</w:t>
      </w:r>
    </w:p>
  </w:footnote>
  <w:footnote w:id="8">
    <w:p w14:paraId="28369BAF" w14:textId="7545A11F" w:rsidR="007C5877" w:rsidRPr="00D75659" w:rsidRDefault="007C5877" w:rsidP="00D75659">
      <w:pPr>
        <w:pStyle w:val="FootnoteText"/>
        <w:spacing w:after="0" w:line="240" w:lineRule="auto"/>
        <w:rPr>
          <w:rFonts w:ascii="Alef" w:hAnsi="Alef"/>
          <w:sz w:val="20"/>
          <w:szCs w:val="20"/>
          <w:rtl/>
        </w:rPr>
      </w:pPr>
      <w:r w:rsidRPr="00D75659">
        <w:rPr>
          <w:rFonts w:ascii="Alef" w:hAnsi="Alef"/>
          <w:sz w:val="20"/>
          <w:szCs w:val="20"/>
          <w:vertAlign w:val="superscript"/>
        </w:rPr>
        <w:footnoteRef/>
      </w:r>
      <w:r w:rsidRPr="00D75659">
        <w:rPr>
          <w:rFonts w:ascii="Alef" w:hAnsi="Alef"/>
          <w:sz w:val="20"/>
          <w:szCs w:val="20"/>
          <w:rtl/>
        </w:rPr>
        <w:t xml:space="preserve"> </w:t>
      </w:r>
      <w:r w:rsidR="00283797" w:rsidRPr="005949E8">
        <w:rPr>
          <w:rFonts w:ascii="Alef" w:hAnsi="Alef"/>
          <w:sz w:val="20"/>
          <w:szCs w:val="20"/>
          <w:rtl/>
        </w:rPr>
        <w:t>ס'</w:t>
      </w:r>
      <w:r w:rsidR="00283797" w:rsidRPr="00D75659">
        <w:rPr>
          <w:rFonts w:ascii="Alef" w:hAnsi="Alef"/>
          <w:sz w:val="20"/>
          <w:szCs w:val="20"/>
          <w:rtl/>
        </w:rPr>
        <w:t xml:space="preserve"> </w:t>
      </w:r>
      <w:r w:rsidRPr="00D75659">
        <w:rPr>
          <w:rFonts w:ascii="Alef" w:hAnsi="Alef"/>
          <w:sz w:val="20"/>
          <w:szCs w:val="20"/>
          <w:rtl/>
        </w:rPr>
        <w:t>7ה(ד)(1) לחוק הפיקדון.</w:t>
      </w:r>
    </w:p>
  </w:footnote>
  <w:footnote w:id="9">
    <w:p w14:paraId="51FF40FF" w14:textId="3948CCE8" w:rsidR="007C5877" w:rsidRPr="00D75659" w:rsidRDefault="007C5877" w:rsidP="00D75659">
      <w:pPr>
        <w:pStyle w:val="FootnoteText"/>
        <w:spacing w:after="0" w:line="240" w:lineRule="auto"/>
        <w:rPr>
          <w:rStyle w:val="FootnoteReference"/>
          <w:rFonts w:ascii="Alef" w:hAnsi="Alef"/>
          <w:sz w:val="20"/>
          <w:szCs w:val="20"/>
          <w:rtl/>
        </w:rPr>
      </w:pPr>
      <w:r w:rsidRPr="00D75659">
        <w:rPr>
          <w:rStyle w:val="FootnoteReference"/>
          <w:rFonts w:ascii="Alef" w:hAnsi="Alef"/>
          <w:sz w:val="20"/>
          <w:szCs w:val="20"/>
        </w:rPr>
        <w:footnoteRef/>
      </w:r>
      <w:r w:rsidRPr="00D75659">
        <w:rPr>
          <w:rStyle w:val="FootnoteReference"/>
          <w:rFonts w:ascii="Alef" w:hAnsi="Alef"/>
          <w:sz w:val="20"/>
          <w:szCs w:val="20"/>
          <w:rtl/>
        </w:rPr>
        <w:t xml:space="preserve"> </w:t>
      </w:r>
      <w:r w:rsidR="00283797" w:rsidRPr="005949E8">
        <w:rPr>
          <w:rFonts w:ascii="Alef" w:hAnsi="Alef"/>
          <w:sz w:val="20"/>
          <w:szCs w:val="20"/>
          <w:rtl/>
        </w:rPr>
        <w:t xml:space="preserve">ס' </w:t>
      </w:r>
      <w:r w:rsidR="000978D6" w:rsidRPr="005949E8">
        <w:rPr>
          <w:rFonts w:ascii="Alef" w:hAnsi="Alef"/>
          <w:sz w:val="20"/>
          <w:szCs w:val="20"/>
          <w:rtl/>
        </w:rPr>
        <w:t>7א לחוק הפיקדון.</w:t>
      </w:r>
    </w:p>
  </w:footnote>
  <w:footnote w:id="10">
    <w:p w14:paraId="486D47DC" w14:textId="5AE235E5" w:rsidR="00FE4C77" w:rsidRPr="00D75659" w:rsidRDefault="00FE4C77" w:rsidP="00D75659">
      <w:pPr>
        <w:pStyle w:val="FootnoteText"/>
        <w:spacing w:after="0" w:line="240" w:lineRule="auto"/>
        <w:rPr>
          <w:rFonts w:ascii="Alef" w:hAnsi="Alef"/>
          <w:sz w:val="20"/>
          <w:szCs w:val="20"/>
        </w:rPr>
      </w:pPr>
      <w:r w:rsidRPr="00D75659">
        <w:rPr>
          <w:rStyle w:val="FootnoteReference"/>
          <w:rFonts w:ascii="Alef" w:hAnsi="Alef"/>
          <w:sz w:val="20"/>
          <w:szCs w:val="20"/>
        </w:rPr>
        <w:footnoteRef/>
      </w:r>
      <w:r w:rsidRPr="00D75659">
        <w:rPr>
          <w:rFonts w:ascii="Alef" w:hAnsi="Alef"/>
          <w:sz w:val="20"/>
          <w:szCs w:val="20"/>
          <w:rtl/>
        </w:rPr>
        <w:t xml:space="preserve"> ראו גילוי דעת 3/14 </w:t>
      </w:r>
      <w:r w:rsidR="001458E9" w:rsidRPr="00612C93">
        <w:rPr>
          <w:rFonts w:ascii="Alef" w:hAnsi="Alef"/>
          <w:sz w:val="20"/>
          <w:szCs w:val="20"/>
          <w:rtl/>
        </w:rPr>
        <w:t xml:space="preserve">(נוסח מתוקן) בעניין </w:t>
      </w:r>
      <w:r w:rsidRPr="00D75659">
        <w:rPr>
          <w:rFonts w:ascii="Alef" w:hAnsi="Alef"/>
          <w:sz w:val="20"/>
          <w:szCs w:val="20"/>
          <w:rtl/>
        </w:rPr>
        <w:t>איגודים עסקיים ופעילותם</w:t>
      </w:r>
      <w:r w:rsidR="00494E63" w:rsidRPr="00612C93">
        <w:rPr>
          <w:rFonts w:ascii="Alef" w:hAnsi="Alef"/>
          <w:sz w:val="20"/>
          <w:szCs w:val="20"/>
          <w:rtl/>
        </w:rPr>
        <w:t xml:space="preserve"> (</w:t>
      </w:r>
      <w:r w:rsidR="00494E63" w:rsidRPr="00D75659">
        <w:rPr>
          <w:rFonts w:ascii="Alef" w:hAnsi="Alef"/>
          <w:sz w:val="20"/>
          <w:szCs w:val="20"/>
          <w:rtl/>
        </w:rPr>
        <w:t>15.10.2019</w:t>
      </w:r>
      <w:r w:rsidR="00494E63" w:rsidRPr="00612C93">
        <w:rPr>
          <w:rFonts w:ascii="Alef" w:hAnsi="Alef"/>
          <w:sz w:val="20"/>
          <w:szCs w:val="20"/>
          <w:rtl/>
        </w:rPr>
        <w:t>)</w:t>
      </w:r>
      <w:r w:rsidRPr="00D75659">
        <w:rPr>
          <w:rFonts w:ascii="Alef" w:hAnsi="Alef"/>
          <w:sz w:val="20"/>
          <w:szCs w:val="20"/>
          <w:rtl/>
        </w:rPr>
        <w:t xml:space="preserve"> </w:t>
      </w:r>
      <w:r w:rsidR="001458E9" w:rsidRPr="00612C93">
        <w:rPr>
          <w:rFonts w:ascii="Alef" w:hAnsi="Alef"/>
          <w:b/>
          <w:bCs/>
          <w:sz w:val="20"/>
          <w:szCs w:val="20"/>
          <w:rtl/>
        </w:rPr>
        <w:t>רשות התחרות</w:t>
      </w:r>
      <w:r w:rsidRPr="00D75659">
        <w:rPr>
          <w:rFonts w:ascii="Alef" w:hAnsi="Alef"/>
          <w:sz w:val="20"/>
          <w:szCs w:val="20"/>
          <w:rtl/>
        </w:rPr>
        <w:t xml:space="preserve"> </w:t>
      </w:r>
      <w:r w:rsidR="00494E63" w:rsidRPr="00D75659">
        <w:rPr>
          <w:rFonts w:ascii="Alef" w:hAnsi="Alef"/>
          <w:sz w:val="20"/>
          <w:szCs w:val="20"/>
          <w:rtl/>
        </w:rPr>
        <w:t>50</w:t>
      </w:r>
      <w:r w:rsidR="00494E63" w:rsidRPr="00612C93">
        <w:rPr>
          <w:rFonts w:ascii="Alef" w:hAnsi="Alef"/>
          <w:sz w:val="20"/>
          <w:szCs w:val="20"/>
          <w:rtl/>
        </w:rPr>
        <w:t>1</w:t>
      </w:r>
      <w:r w:rsidR="00494E63" w:rsidRPr="00D75659">
        <w:rPr>
          <w:rFonts w:ascii="Alef" w:hAnsi="Alef"/>
          <w:sz w:val="20"/>
          <w:szCs w:val="20"/>
          <w:rtl/>
        </w:rPr>
        <w:t>682</w:t>
      </w:r>
      <w:r w:rsidRPr="00D75659">
        <w:rPr>
          <w:rFonts w:ascii="Alef" w:hAnsi="Alef"/>
          <w:sz w:val="20"/>
          <w:szCs w:val="20"/>
          <w:rtl/>
        </w:rPr>
        <w:t>.</w:t>
      </w:r>
    </w:p>
  </w:footnote>
  <w:footnote w:id="11">
    <w:p w14:paraId="48CED247" w14:textId="77777777" w:rsidR="00387BE9" w:rsidRPr="00D75659" w:rsidRDefault="00387BE9" w:rsidP="007951F7">
      <w:pPr>
        <w:pStyle w:val="FootnoteText"/>
        <w:spacing w:after="0" w:line="240" w:lineRule="auto"/>
        <w:rPr>
          <w:rFonts w:ascii="Alef" w:hAnsi="Alef"/>
          <w:sz w:val="20"/>
          <w:szCs w:val="20"/>
          <w:rtl/>
        </w:rPr>
      </w:pPr>
      <w:r w:rsidRPr="00D75659">
        <w:rPr>
          <w:rStyle w:val="FootnoteReference"/>
          <w:rFonts w:ascii="Alef" w:hAnsi="Alef"/>
          <w:sz w:val="20"/>
          <w:szCs w:val="20"/>
        </w:rPr>
        <w:footnoteRef/>
      </w:r>
      <w:r w:rsidRPr="00D75659">
        <w:rPr>
          <w:rFonts w:ascii="Alef" w:hAnsi="Alef"/>
          <w:sz w:val="20"/>
          <w:szCs w:val="20"/>
          <w:rtl/>
        </w:rPr>
        <w:t xml:space="preserve"> כל יצרן או יבואן רשאי לאסוף מכלי משקה ששווקו על ידי יצרנים אחרים, וכפי שהוסבר מעלה – הרוב המכריע של היצרנים והיבואנים פועלים באמצעות תאגיד מחזור, אשר אוסף ומדווח עבור כל לקוחותיו באופן מצרפי.</w:t>
      </w:r>
    </w:p>
  </w:footnote>
  <w:footnote w:id="12">
    <w:p w14:paraId="6D9EA7B8" w14:textId="03A8B77B" w:rsidR="00101FD0" w:rsidRPr="007951F7" w:rsidRDefault="00101FD0" w:rsidP="00A77EC1">
      <w:pPr>
        <w:pStyle w:val="FootnoteText"/>
        <w:spacing w:after="0" w:line="240" w:lineRule="auto"/>
        <w:rPr>
          <w:rFonts w:ascii="Alef" w:hAnsi="Alef"/>
          <w:sz w:val="20"/>
          <w:szCs w:val="20"/>
        </w:rPr>
      </w:pPr>
      <w:r w:rsidRPr="007951F7">
        <w:rPr>
          <w:rStyle w:val="FootnoteReference"/>
          <w:rFonts w:ascii="Alef" w:hAnsi="Alef"/>
          <w:sz w:val="20"/>
          <w:szCs w:val="20"/>
        </w:rPr>
        <w:footnoteRef/>
      </w:r>
      <w:r w:rsidRPr="007951F7">
        <w:rPr>
          <w:rFonts w:ascii="Alef" w:hAnsi="Alef"/>
          <w:sz w:val="20"/>
          <w:szCs w:val="20"/>
          <w:rtl/>
        </w:rPr>
        <w:t xml:space="preserve"> ככלל, </w:t>
      </w:r>
      <w:r w:rsidR="007951F7" w:rsidRPr="007951F7">
        <w:rPr>
          <w:rFonts w:ascii="Alef" w:hAnsi="Alef"/>
          <w:sz w:val="20"/>
          <w:szCs w:val="20"/>
          <w:rtl/>
        </w:rPr>
        <w:t xml:space="preserve">גובה </w:t>
      </w:r>
      <w:r w:rsidRPr="007951F7">
        <w:rPr>
          <w:rFonts w:ascii="Alef" w:hAnsi="Alef"/>
          <w:sz w:val="20"/>
          <w:szCs w:val="20"/>
          <w:rtl/>
        </w:rPr>
        <w:t xml:space="preserve">פיקדון אחיד בין מכלים של יצרנים ויבואנים שונים, </w:t>
      </w:r>
      <w:r w:rsidR="007951F7" w:rsidRPr="007951F7">
        <w:rPr>
          <w:rFonts w:ascii="Alef" w:hAnsi="Alef"/>
          <w:sz w:val="20"/>
          <w:szCs w:val="20"/>
          <w:rtl/>
        </w:rPr>
        <w:t xml:space="preserve">מביא לוודאות, נוחות ויעילות תפעולית לאורך שרשרת האיסוף, </w:t>
      </w:r>
      <w:r w:rsidR="00A77EC1">
        <w:rPr>
          <w:rFonts w:ascii="Alef" w:hAnsi="Alef" w:hint="cs"/>
          <w:sz w:val="20"/>
          <w:szCs w:val="20"/>
          <w:rtl/>
        </w:rPr>
        <w:t>החל ב</w:t>
      </w:r>
      <w:r w:rsidR="007951F7" w:rsidRPr="007951F7">
        <w:rPr>
          <w:rFonts w:ascii="Alef" w:hAnsi="Alef"/>
          <w:sz w:val="20"/>
          <w:szCs w:val="20"/>
          <w:rtl/>
        </w:rPr>
        <w:t>צרכן, בתי העסק, האספנים ו</w:t>
      </w:r>
      <w:r w:rsidR="00A77EC1">
        <w:rPr>
          <w:rFonts w:ascii="Alef" w:hAnsi="Alef" w:hint="cs"/>
          <w:sz w:val="20"/>
          <w:szCs w:val="20"/>
          <w:rtl/>
        </w:rPr>
        <w:t>כלה ב</w:t>
      </w:r>
      <w:r w:rsidR="007951F7" w:rsidRPr="007951F7">
        <w:rPr>
          <w:rFonts w:ascii="Alef" w:hAnsi="Alef"/>
          <w:sz w:val="20"/>
          <w:szCs w:val="20"/>
          <w:rtl/>
        </w:rPr>
        <w:t xml:space="preserve">תאגידי </w:t>
      </w:r>
      <w:proofErr w:type="spellStart"/>
      <w:r w:rsidR="007951F7" w:rsidRPr="007951F7">
        <w:rPr>
          <w:rFonts w:ascii="Alef" w:hAnsi="Alef"/>
          <w:sz w:val="20"/>
          <w:szCs w:val="20"/>
          <w:rtl/>
        </w:rPr>
        <w:t>המיחזור</w:t>
      </w:r>
      <w:proofErr w:type="spellEnd"/>
      <w:r w:rsidR="007951F7" w:rsidRPr="007951F7">
        <w:rPr>
          <w:rFonts w:ascii="Alef" w:hAnsi="Alef"/>
          <w:sz w:val="20"/>
          <w:szCs w:val="20"/>
          <w:rtl/>
        </w:rPr>
        <w:t>.</w:t>
      </w:r>
    </w:p>
  </w:footnote>
  <w:footnote w:id="13">
    <w:p w14:paraId="03617CF1" w14:textId="545D989F" w:rsidR="0014269B" w:rsidRPr="00D75659" w:rsidRDefault="0014269B" w:rsidP="00101FD0">
      <w:pPr>
        <w:pStyle w:val="FootnoteText"/>
        <w:spacing w:after="0" w:line="240" w:lineRule="auto"/>
        <w:rPr>
          <w:rFonts w:ascii="Alef" w:hAnsi="Alef"/>
          <w:sz w:val="20"/>
          <w:szCs w:val="20"/>
          <w:rtl/>
        </w:rPr>
      </w:pPr>
      <w:r w:rsidRPr="00D75659">
        <w:rPr>
          <w:rStyle w:val="FootnoteReference"/>
          <w:rFonts w:ascii="Alef" w:hAnsi="Alef"/>
          <w:sz w:val="20"/>
          <w:szCs w:val="20"/>
        </w:rPr>
        <w:footnoteRef/>
      </w:r>
      <w:r w:rsidRPr="00D75659">
        <w:rPr>
          <w:rFonts w:ascii="Alef" w:hAnsi="Alef"/>
          <w:sz w:val="20"/>
          <w:szCs w:val="20"/>
          <w:rtl/>
        </w:rPr>
        <w:t xml:space="preserve"> </w:t>
      </w:r>
      <w:r w:rsidRPr="00D75659">
        <w:rPr>
          <w:rFonts w:ascii="Alef" w:hAnsi="Alef"/>
          <w:sz w:val="20"/>
          <w:szCs w:val="20"/>
          <w:rtl/>
        </w:rPr>
        <w:t xml:space="preserve">לעיל </w:t>
      </w:r>
      <w:proofErr w:type="spellStart"/>
      <w:r w:rsidRPr="00D75659">
        <w:rPr>
          <w:rFonts w:ascii="Alef" w:hAnsi="Alef"/>
          <w:sz w:val="20"/>
          <w:szCs w:val="20"/>
          <w:rtl/>
        </w:rPr>
        <w:t>ה"ש</w:t>
      </w:r>
      <w:proofErr w:type="spellEnd"/>
      <w:r w:rsidRPr="00612C93">
        <w:rPr>
          <w:rFonts w:ascii="Alef" w:hAnsi="Alef"/>
          <w:sz w:val="20"/>
          <w:szCs w:val="20"/>
          <w:rtl/>
        </w:rPr>
        <w:t xml:space="preserve"> </w:t>
      </w:r>
      <w:r w:rsidR="00101FD0">
        <w:rPr>
          <w:rFonts w:ascii="Alef" w:hAnsi="Alef"/>
          <w:sz w:val="20"/>
          <w:szCs w:val="20"/>
          <w:rtl/>
        </w:rPr>
        <w:fldChar w:fldCharType="begin"/>
      </w:r>
      <w:r w:rsidR="00101FD0">
        <w:rPr>
          <w:rFonts w:ascii="Alef" w:hAnsi="Alef"/>
          <w:sz w:val="20"/>
          <w:szCs w:val="20"/>
          <w:rtl/>
        </w:rPr>
        <w:instrText xml:space="preserve"> </w:instrText>
      </w:r>
      <w:r w:rsidR="00101FD0">
        <w:rPr>
          <w:rFonts w:ascii="Alef" w:hAnsi="Alef"/>
          <w:sz w:val="20"/>
          <w:szCs w:val="20"/>
        </w:rPr>
        <w:instrText>NOTEREF</w:instrText>
      </w:r>
      <w:r w:rsidR="00101FD0">
        <w:rPr>
          <w:rFonts w:ascii="Alef" w:hAnsi="Alef"/>
          <w:sz w:val="20"/>
          <w:szCs w:val="20"/>
          <w:rtl/>
        </w:rPr>
        <w:instrText xml:space="preserve"> _</w:instrText>
      </w:r>
      <w:r w:rsidR="00101FD0">
        <w:rPr>
          <w:rFonts w:ascii="Alef" w:hAnsi="Alef"/>
          <w:sz w:val="20"/>
          <w:szCs w:val="20"/>
        </w:rPr>
        <w:instrText>Ref66635516 \h</w:instrText>
      </w:r>
      <w:r w:rsidR="00101FD0">
        <w:rPr>
          <w:rFonts w:ascii="Alef" w:hAnsi="Alef"/>
          <w:sz w:val="20"/>
          <w:szCs w:val="20"/>
          <w:rtl/>
        </w:rPr>
        <w:instrText xml:space="preserve"> </w:instrText>
      </w:r>
      <w:r w:rsidR="00101FD0">
        <w:rPr>
          <w:rFonts w:ascii="Alef" w:hAnsi="Alef"/>
          <w:sz w:val="20"/>
          <w:szCs w:val="20"/>
          <w:rtl/>
        </w:rPr>
      </w:r>
      <w:r w:rsidR="00101FD0">
        <w:rPr>
          <w:rFonts w:ascii="Alef" w:hAnsi="Alef"/>
          <w:sz w:val="20"/>
          <w:szCs w:val="20"/>
          <w:rtl/>
        </w:rPr>
        <w:fldChar w:fldCharType="separate"/>
      </w:r>
      <w:r w:rsidR="00101FD0">
        <w:rPr>
          <w:rFonts w:ascii="Alef" w:hAnsi="Alef"/>
          <w:sz w:val="20"/>
          <w:szCs w:val="20"/>
          <w:rtl/>
        </w:rPr>
        <w:t>8</w:t>
      </w:r>
      <w:r w:rsidR="00101FD0">
        <w:rPr>
          <w:rFonts w:ascii="Alef" w:hAnsi="Alef"/>
          <w:sz w:val="20"/>
          <w:szCs w:val="20"/>
          <w:rtl/>
        </w:rPr>
        <w:fldChar w:fldCharType="end"/>
      </w:r>
      <w:r w:rsidRPr="00D75659">
        <w:rPr>
          <w:rFonts w:ascii="Alef" w:hAnsi="Alef"/>
          <w:sz w:val="20"/>
          <w:szCs w:val="20"/>
          <w:rtl/>
        </w:rPr>
        <w:t>.</w:t>
      </w:r>
    </w:p>
  </w:footnote>
  <w:footnote w:id="14">
    <w:p w14:paraId="2BA452EF" w14:textId="77777777" w:rsidR="00937ABC" w:rsidRPr="00D75659" w:rsidRDefault="00937ABC" w:rsidP="00937ABC">
      <w:pPr>
        <w:pStyle w:val="FootnoteText"/>
        <w:spacing w:line="240" w:lineRule="auto"/>
        <w:rPr>
          <w:rFonts w:ascii="Alef" w:hAnsi="Alef"/>
          <w:sz w:val="20"/>
          <w:szCs w:val="20"/>
        </w:rPr>
      </w:pPr>
      <w:r w:rsidRPr="00D75659">
        <w:rPr>
          <w:rStyle w:val="FootnoteReference"/>
          <w:rFonts w:ascii="Alef" w:hAnsi="Alef"/>
          <w:sz w:val="20"/>
          <w:szCs w:val="20"/>
        </w:rPr>
        <w:footnoteRef/>
      </w:r>
      <w:r w:rsidRPr="00D75659">
        <w:rPr>
          <w:rFonts w:ascii="Alef" w:hAnsi="Alef"/>
          <w:sz w:val="20"/>
          <w:szCs w:val="20"/>
          <w:rtl/>
        </w:rPr>
        <w:t xml:space="preserve"> ראו גילוי דעת 2/11: הנחיות בדבר תרופות למיזוגים המעלים חשש סביר לפגיעה משמעותית בתחרות</w:t>
      </w:r>
      <w:r w:rsidRPr="00612C93">
        <w:rPr>
          <w:rFonts w:ascii="Alef" w:hAnsi="Alef"/>
          <w:sz w:val="20"/>
          <w:szCs w:val="20"/>
          <w:rtl/>
        </w:rPr>
        <w:t xml:space="preserve">, 18.07.2011 </w:t>
      </w:r>
      <w:r w:rsidRPr="00612C93">
        <w:rPr>
          <w:rFonts w:ascii="Alef" w:hAnsi="Alef"/>
          <w:b/>
          <w:bCs/>
          <w:sz w:val="20"/>
          <w:szCs w:val="20"/>
          <w:rtl/>
        </w:rPr>
        <w:t xml:space="preserve">רשות התחרות </w:t>
      </w:r>
      <w:r w:rsidRPr="00D75659">
        <w:rPr>
          <w:rFonts w:ascii="Alef" w:hAnsi="Alef"/>
          <w:sz w:val="20"/>
          <w:szCs w:val="20"/>
          <w:rtl/>
        </w:rPr>
        <w:t>5001804</w:t>
      </w:r>
      <w:r w:rsidRPr="00612C93">
        <w:rPr>
          <w:rFonts w:ascii="Alef" w:hAnsi="Alef"/>
          <w:sz w:val="20"/>
          <w:szCs w:val="20"/>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3155B" w14:textId="77777777" w:rsidR="00BC4356" w:rsidRDefault="0001108D" w:rsidP="003A5C1A">
    <w:pPr>
      <w:pStyle w:val="Header"/>
      <w:spacing w:after="0" w:line="240" w:lineRule="auto"/>
    </w:pPr>
    <w:r>
      <w:rPr>
        <w:noProof/>
        <w:rtl/>
      </w:rPr>
      <w:drawing>
        <wp:anchor distT="0" distB="0" distL="114300" distR="114300" simplePos="0" relativeHeight="251659264" behindDoc="1" locked="0" layoutInCell="1" allowOverlap="1" wp14:anchorId="591AE3DB" wp14:editId="77A42491">
          <wp:simplePos x="0" y="0"/>
          <wp:positionH relativeFrom="page">
            <wp:align>left</wp:align>
          </wp:positionH>
          <wp:positionV relativeFrom="page">
            <wp:posOffset>69273</wp:posOffset>
          </wp:positionV>
          <wp:extent cx="7562850" cy="1565563"/>
          <wp:effectExtent l="0" t="0" r="0" b="0"/>
          <wp:wrapSquare wrapText="bothSides"/>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דף פירמה עיצוב שני-0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56556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8DE65" w14:textId="77777777" w:rsidR="00240FCC" w:rsidRDefault="00240FCC" w:rsidP="00240FCC">
    <w:pPr>
      <w:pStyle w:val="Header"/>
      <w:spacing w:after="0" w:line="240" w:lineRule="auto"/>
    </w:pPr>
    <w:r>
      <w:rPr>
        <w:noProof/>
        <w:rtl/>
      </w:rPr>
      <w:drawing>
        <wp:anchor distT="0" distB="0" distL="114300" distR="114300" simplePos="0" relativeHeight="251662336" behindDoc="1" locked="0" layoutInCell="1" allowOverlap="1" wp14:anchorId="6F1BD0F9" wp14:editId="192CDBDE">
          <wp:simplePos x="0" y="0"/>
          <wp:positionH relativeFrom="page">
            <wp:align>left</wp:align>
          </wp:positionH>
          <wp:positionV relativeFrom="page">
            <wp:align>top</wp:align>
          </wp:positionV>
          <wp:extent cx="7562850" cy="1565563"/>
          <wp:effectExtent l="0" t="0" r="0" b="0"/>
          <wp:wrapSquare wrapText="bothSides"/>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דף פירמה עיצוב שני-0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56556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46ADE"/>
    <w:multiLevelType w:val="hybridMultilevel"/>
    <w:tmpl w:val="730AC74A"/>
    <w:lvl w:ilvl="0" w:tplc="01DA6FD4">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4A4A30"/>
    <w:multiLevelType w:val="multilevel"/>
    <w:tmpl w:val="DAE06530"/>
    <w:lvl w:ilvl="0">
      <w:start w:val="1"/>
      <w:numFmt w:val="decimal"/>
      <w:lvlText w:val="%1."/>
      <w:lvlJc w:val="left"/>
      <w:pPr>
        <w:ind w:left="360" w:hanging="360"/>
      </w:pPr>
      <w:rPr>
        <w:lang w:bidi="he-IL"/>
      </w:rPr>
    </w:lvl>
    <w:lvl w:ilvl="1">
      <w:start w:val="1"/>
      <w:numFmt w:val="decimal"/>
      <w:lvlText w:val="%1.%2."/>
      <w:lvlJc w:val="left"/>
      <w:pPr>
        <w:ind w:left="432" w:hanging="432"/>
      </w:pPr>
      <w:rPr>
        <w:b w:val="0"/>
        <w:bCs w:val="0"/>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6B1"/>
    <w:rsid w:val="00000F74"/>
    <w:rsid w:val="00005726"/>
    <w:rsid w:val="00005D6B"/>
    <w:rsid w:val="00007F06"/>
    <w:rsid w:val="0001108D"/>
    <w:rsid w:val="00017E29"/>
    <w:rsid w:val="000302EF"/>
    <w:rsid w:val="000374F8"/>
    <w:rsid w:val="00043006"/>
    <w:rsid w:val="00062200"/>
    <w:rsid w:val="00064ED1"/>
    <w:rsid w:val="00071483"/>
    <w:rsid w:val="00094C40"/>
    <w:rsid w:val="000957AE"/>
    <w:rsid w:val="000978D6"/>
    <w:rsid w:val="000A6FFA"/>
    <w:rsid w:val="000A7FA1"/>
    <w:rsid w:val="000C2A31"/>
    <w:rsid w:val="000D11AB"/>
    <w:rsid w:val="000D5849"/>
    <w:rsid w:val="000D5FFA"/>
    <w:rsid w:val="000E2572"/>
    <w:rsid w:val="000F660B"/>
    <w:rsid w:val="00101FD0"/>
    <w:rsid w:val="001111C7"/>
    <w:rsid w:val="00120B18"/>
    <w:rsid w:val="00123353"/>
    <w:rsid w:val="001350BE"/>
    <w:rsid w:val="0013706D"/>
    <w:rsid w:val="0014269B"/>
    <w:rsid w:val="001458E9"/>
    <w:rsid w:val="00146831"/>
    <w:rsid w:val="001621A8"/>
    <w:rsid w:val="00167F47"/>
    <w:rsid w:val="001927ED"/>
    <w:rsid w:val="001B11C8"/>
    <w:rsid w:val="001C0B03"/>
    <w:rsid w:val="001C6D24"/>
    <w:rsid w:val="001C7CC1"/>
    <w:rsid w:val="001D15BA"/>
    <w:rsid w:val="001D3CFA"/>
    <w:rsid w:val="001E3D11"/>
    <w:rsid w:val="001E44D5"/>
    <w:rsid w:val="00212EBF"/>
    <w:rsid w:val="002157D6"/>
    <w:rsid w:val="00220F10"/>
    <w:rsid w:val="00240060"/>
    <w:rsid w:val="00240FCC"/>
    <w:rsid w:val="002436B8"/>
    <w:rsid w:val="00250923"/>
    <w:rsid w:val="002552D0"/>
    <w:rsid w:val="00263016"/>
    <w:rsid w:val="00266B9A"/>
    <w:rsid w:val="002739E8"/>
    <w:rsid w:val="00283797"/>
    <w:rsid w:val="00290D2F"/>
    <w:rsid w:val="00292E11"/>
    <w:rsid w:val="002941BF"/>
    <w:rsid w:val="00296407"/>
    <w:rsid w:val="00297790"/>
    <w:rsid w:val="002A1EAA"/>
    <w:rsid w:val="002A34B7"/>
    <w:rsid w:val="002A3C9F"/>
    <w:rsid w:val="002B265C"/>
    <w:rsid w:val="002D5591"/>
    <w:rsid w:val="002E0753"/>
    <w:rsid w:val="002F10C3"/>
    <w:rsid w:val="002F1F34"/>
    <w:rsid w:val="002F5912"/>
    <w:rsid w:val="00315FE2"/>
    <w:rsid w:val="0031752F"/>
    <w:rsid w:val="0033444E"/>
    <w:rsid w:val="00342059"/>
    <w:rsid w:val="003507C3"/>
    <w:rsid w:val="0037006D"/>
    <w:rsid w:val="003741C7"/>
    <w:rsid w:val="003872F3"/>
    <w:rsid w:val="00387BE9"/>
    <w:rsid w:val="003936A8"/>
    <w:rsid w:val="00395608"/>
    <w:rsid w:val="003A05BE"/>
    <w:rsid w:val="003A277D"/>
    <w:rsid w:val="003A5C1A"/>
    <w:rsid w:val="003B106C"/>
    <w:rsid w:val="003B35BD"/>
    <w:rsid w:val="003B4D0F"/>
    <w:rsid w:val="003B6922"/>
    <w:rsid w:val="003C1EA4"/>
    <w:rsid w:val="003D52DE"/>
    <w:rsid w:val="003D52DF"/>
    <w:rsid w:val="003D60B9"/>
    <w:rsid w:val="003F67F5"/>
    <w:rsid w:val="003F7549"/>
    <w:rsid w:val="00405D5C"/>
    <w:rsid w:val="0040735A"/>
    <w:rsid w:val="00415232"/>
    <w:rsid w:val="0043114F"/>
    <w:rsid w:val="00437D19"/>
    <w:rsid w:val="00445122"/>
    <w:rsid w:val="004462DF"/>
    <w:rsid w:val="004555FB"/>
    <w:rsid w:val="00461ACB"/>
    <w:rsid w:val="00464B31"/>
    <w:rsid w:val="0047337B"/>
    <w:rsid w:val="004756C4"/>
    <w:rsid w:val="004775BB"/>
    <w:rsid w:val="00481706"/>
    <w:rsid w:val="00482155"/>
    <w:rsid w:val="00494E63"/>
    <w:rsid w:val="00495500"/>
    <w:rsid w:val="004956F0"/>
    <w:rsid w:val="004A33B0"/>
    <w:rsid w:val="004A3B24"/>
    <w:rsid w:val="004B4C6B"/>
    <w:rsid w:val="004B6007"/>
    <w:rsid w:val="004D54C2"/>
    <w:rsid w:val="004E12A5"/>
    <w:rsid w:val="004F700B"/>
    <w:rsid w:val="004F7F22"/>
    <w:rsid w:val="005042D0"/>
    <w:rsid w:val="00515BB6"/>
    <w:rsid w:val="005163B4"/>
    <w:rsid w:val="005218A0"/>
    <w:rsid w:val="005230F6"/>
    <w:rsid w:val="0053198D"/>
    <w:rsid w:val="00537494"/>
    <w:rsid w:val="00546615"/>
    <w:rsid w:val="00546ACE"/>
    <w:rsid w:val="005476FA"/>
    <w:rsid w:val="00554970"/>
    <w:rsid w:val="005648DF"/>
    <w:rsid w:val="00574D08"/>
    <w:rsid w:val="005949E8"/>
    <w:rsid w:val="005A61A5"/>
    <w:rsid w:val="005B0123"/>
    <w:rsid w:val="005C48BD"/>
    <w:rsid w:val="005D5C0D"/>
    <w:rsid w:val="005D7FA0"/>
    <w:rsid w:val="005E0BB6"/>
    <w:rsid w:val="005E7CDE"/>
    <w:rsid w:val="005E7EA1"/>
    <w:rsid w:val="005F1C6A"/>
    <w:rsid w:val="006032BF"/>
    <w:rsid w:val="0060365C"/>
    <w:rsid w:val="00607063"/>
    <w:rsid w:val="00610EFD"/>
    <w:rsid w:val="00612C93"/>
    <w:rsid w:val="00621164"/>
    <w:rsid w:val="00626AD4"/>
    <w:rsid w:val="00627A01"/>
    <w:rsid w:val="00632397"/>
    <w:rsid w:val="00633034"/>
    <w:rsid w:val="006334D2"/>
    <w:rsid w:val="0063471A"/>
    <w:rsid w:val="00637D7E"/>
    <w:rsid w:val="006416BD"/>
    <w:rsid w:val="00653716"/>
    <w:rsid w:val="006563DF"/>
    <w:rsid w:val="00656CC9"/>
    <w:rsid w:val="00663CD1"/>
    <w:rsid w:val="0066723D"/>
    <w:rsid w:val="006744A6"/>
    <w:rsid w:val="00686625"/>
    <w:rsid w:val="00692590"/>
    <w:rsid w:val="006A1F14"/>
    <w:rsid w:val="006A4662"/>
    <w:rsid w:val="006A6E09"/>
    <w:rsid w:val="006B3F13"/>
    <w:rsid w:val="006B4CFE"/>
    <w:rsid w:val="006C0A6C"/>
    <w:rsid w:val="006D7573"/>
    <w:rsid w:val="006E17BE"/>
    <w:rsid w:val="006E42BE"/>
    <w:rsid w:val="006F53D0"/>
    <w:rsid w:val="006F6F48"/>
    <w:rsid w:val="007074F9"/>
    <w:rsid w:val="007119C6"/>
    <w:rsid w:val="007121CE"/>
    <w:rsid w:val="00713F73"/>
    <w:rsid w:val="0071745A"/>
    <w:rsid w:val="00717D63"/>
    <w:rsid w:val="00717FA1"/>
    <w:rsid w:val="00723A0C"/>
    <w:rsid w:val="0072423C"/>
    <w:rsid w:val="00731155"/>
    <w:rsid w:val="00734874"/>
    <w:rsid w:val="00740344"/>
    <w:rsid w:val="00750952"/>
    <w:rsid w:val="0075237F"/>
    <w:rsid w:val="00752614"/>
    <w:rsid w:val="007543DB"/>
    <w:rsid w:val="00756619"/>
    <w:rsid w:val="00757594"/>
    <w:rsid w:val="00762465"/>
    <w:rsid w:val="007708BD"/>
    <w:rsid w:val="007828E0"/>
    <w:rsid w:val="007865D9"/>
    <w:rsid w:val="0079115C"/>
    <w:rsid w:val="007951F7"/>
    <w:rsid w:val="00796741"/>
    <w:rsid w:val="007968B4"/>
    <w:rsid w:val="007A3776"/>
    <w:rsid w:val="007A6BFC"/>
    <w:rsid w:val="007A6C7A"/>
    <w:rsid w:val="007B2484"/>
    <w:rsid w:val="007C5877"/>
    <w:rsid w:val="007C7349"/>
    <w:rsid w:val="007E1697"/>
    <w:rsid w:val="007E34E6"/>
    <w:rsid w:val="007E4AF6"/>
    <w:rsid w:val="007F10CE"/>
    <w:rsid w:val="007F177A"/>
    <w:rsid w:val="007F568B"/>
    <w:rsid w:val="007F7E47"/>
    <w:rsid w:val="008101BF"/>
    <w:rsid w:val="008107EF"/>
    <w:rsid w:val="00827924"/>
    <w:rsid w:val="00830B56"/>
    <w:rsid w:val="008337B5"/>
    <w:rsid w:val="00841881"/>
    <w:rsid w:val="00842482"/>
    <w:rsid w:val="00842A42"/>
    <w:rsid w:val="008431D9"/>
    <w:rsid w:val="00846D59"/>
    <w:rsid w:val="0085645A"/>
    <w:rsid w:val="0085767F"/>
    <w:rsid w:val="00865863"/>
    <w:rsid w:val="008707BC"/>
    <w:rsid w:val="008734A2"/>
    <w:rsid w:val="0087736D"/>
    <w:rsid w:val="008777B6"/>
    <w:rsid w:val="0088672F"/>
    <w:rsid w:val="0088707F"/>
    <w:rsid w:val="00893547"/>
    <w:rsid w:val="00897399"/>
    <w:rsid w:val="008B30F2"/>
    <w:rsid w:val="008B3D40"/>
    <w:rsid w:val="008D0C64"/>
    <w:rsid w:val="008E3EA6"/>
    <w:rsid w:val="00903F50"/>
    <w:rsid w:val="0091265E"/>
    <w:rsid w:val="00921726"/>
    <w:rsid w:val="00921D5D"/>
    <w:rsid w:val="00924D70"/>
    <w:rsid w:val="009313DF"/>
    <w:rsid w:val="00931F60"/>
    <w:rsid w:val="00932DEA"/>
    <w:rsid w:val="0093605E"/>
    <w:rsid w:val="00937ABC"/>
    <w:rsid w:val="00945B68"/>
    <w:rsid w:val="00974F6B"/>
    <w:rsid w:val="009752C8"/>
    <w:rsid w:val="00981C86"/>
    <w:rsid w:val="009979D5"/>
    <w:rsid w:val="009A0BDB"/>
    <w:rsid w:val="009A59D6"/>
    <w:rsid w:val="009B4055"/>
    <w:rsid w:val="009B4814"/>
    <w:rsid w:val="009B4DBD"/>
    <w:rsid w:val="009D3B63"/>
    <w:rsid w:val="009E0249"/>
    <w:rsid w:val="009E5A2D"/>
    <w:rsid w:val="009F129C"/>
    <w:rsid w:val="00A015CA"/>
    <w:rsid w:val="00A04E83"/>
    <w:rsid w:val="00A06478"/>
    <w:rsid w:val="00A13992"/>
    <w:rsid w:val="00A2081A"/>
    <w:rsid w:val="00A423E2"/>
    <w:rsid w:val="00A53CB6"/>
    <w:rsid w:val="00A55460"/>
    <w:rsid w:val="00A55EDD"/>
    <w:rsid w:val="00A56833"/>
    <w:rsid w:val="00A6481B"/>
    <w:rsid w:val="00A766B1"/>
    <w:rsid w:val="00A77EC1"/>
    <w:rsid w:val="00A82423"/>
    <w:rsid w:val="00AA26FF"/>
    <w:rsid w:val="00AD7999"/>
    <w:rsid w:val="00AF22DB"/>
    <w:rsid w:val="00B055F1"/>
    <w:rsid w:val="00B17B32"/>
    <w:rsid w:val="00B2622B"/>
    <w:rsid w:val="00B3195E"/>
    <w:rsid w:val="00B3784D"/>
    <w:rsid w:val="00B40893"/>
    <w:rsid w:val="00B470D0"/>
    <w:rsid w:val="00B611E0"/>
    <w:rsid w:val="00B752B9"/>
    <w:rsid w:val="00B9173E"/>
    <w:rsid w:val="00B91B93"/>
    <w:rsid w:val="00BA3019"/>
    <w:rsid w:val="00BA64CB"/>
    <w:rsid w:val="00BA7F28"/>
    <w:rsid w:val="00BB5D08"/>
    <w:rsid w:val="00BB759A"/>
    <w:rsid w:val="00BC4356"/>
    <w:rsid w:val="00BF4846"/>
    <w:rsid w:val="00BF57F5"/>
    <w:rsid w:val="00C0427E"/>
    <w:rsid w:val="00C072FC"/>
    <w:rsid w:val="00C2269C"/>
    <w:rsid w:val="00C23D85"/>
    <w:rsid w:val="00C23F4C"/>
    <w:rsid w:val="00C270CD"/>
    <w:rsid w:val="00C32357"/>
    <w:rsid w:val="00C34A05"/>
    <w:rsid w:val="00C36C4D"/>
    <w:rsid w:val="00C439B0"/>
    <w:rsid w:val="00C43E20"/>
    <w:rsid w:val="00C4409B"/>
    <w:rsid w:val="00C45C1F"/>
    <w:rsid w:val="00C51AA8"/>
    <w:rsid w:val="00C5259D"/>
    <w:rsid w:val="00C53156"/>
    <w:rsid w:val="00C567C2"/>
    <w:rsid w:val="00C657F1"/>
    <w:rsid w:val="00C66495"/>
    <w:rsid w:val="00C72E4A"/>
    <w:rsid w:val="00C746E4"/>
    <w:rsid w:val="00C748B7"/>
    <w:rsid w:val="00C857D7"/>
    <w:rsid w:val="00C9309A"/>
    <w:rsid w:val="00C950E5"/>
    <w:rsid w:val="00CA16E4"/>
    <w:rsid w:val="00CA651E"/>
    <w:rsid w:val="00CB3FCD"/>
    <w:rsid w:val="00CB453B"/>
    <w:rsid w:val="00CB54E1"/>
    <w:rsid w:val="00CC4360"/>
    <w:rsid w:val="00CC6240"/>
    <w:rsid w:val="00CD0D1B"/>
    <w:rsid w:val="00CD2AC4"/>
    <w:rsid w:val="00CE3751"/>
    <w:rsid w:val="00CE3C0E"/>
    <w:rsid w:val="00CE7E42"/>
    <w:rsid w:val="00CF070C"/>
    <w:rsid w:val="00CF0922"/>
    <w:rsid w:val="00CF287A"/>
    <w:rsid w:val="00CF7DD1"/>
    <w:rsid w:val="00D035F5"/>
    <w:rsid w:val="00D06578"/>
    <w:rsid w:val="00D15EB6"/>
    <w:rsid w:val="00D20D29"/>
    <w:rsid w:val="00D23EAE"/>
    <w:rsid w:val="00D338A6"/>
    <w:rsid w:val="00D3476A"/>
    <w:rsid w:val="00D35F12"/>
    <w:rsid w:val="00D53753"/>
    <w:rsid w:val="00D6063B"/>
    <w:rsid w:val="00D606BA"/>
    <w:rsid w:val="00D71450"/>
    <w:rsid w:val="00D75659"/>
    <w:rsid w:val="00D75D5B"/>
    <w:rsid w:val="00D75F04"/>
    <w:rsid w:val="00DA35A7"/>
    <w:rsid w:val="00DA63B0"/>
    <w:rsid w:val="00DB270F"/>
    <w:rsid w:val="00DB4567"/>
    <w:rsid w:val="00DB57D3"/>
    <w:rsid w:val="00DC2EDA"/>
    <w:rsid w:val="00DD002B"/>
    <w:rsid w:val="00DD3C33"/>
    <w:rsid w:val="00DF0606"/>
    <w:rsid w:val="00DF2614"/>
    <w:rsid w:val="00DF34F7"/>
    <w:rsid w:val="00DF36D4"/>
    <w:rsid w:val="00DF46EB"/>
    <w:rsid w:val="00DF6148"/>
    <w:rsid w:val="00E02C11"/>
    <w:rsid w:val="00E0339D"/>
    <w:rsid w:val="00E03743"/>
    <w:rsid w:val="00E043A0"/>
    <w:rsid w:val="00E04A3E"/>
    <w:rsid w:val="00E1340C"/>
    <w:rsid w:val="00E134B8"/>
    <w:rsid w:val="00E156A6"/>
    <w:rsid w:val="00E306D6"/>
    <w:rsid w:val="00E34712"/>
    <w:rsid w:val="00E3688F"/>
    <w:rsid w:val="00E64DFD"/>
    <w:rsid w:val="00E820ED"/>
    <w:rsid w:val="00E86525"/>
    <w:rsid w:val="00E87C80"/>
    <w:rsid w:val="00E906EA"/>
    <w:rsid w:val="00E91CB5"/>
    <w:rsid w:val="00E956DD"/>
    <w:rsid w:val="00EA385F"/>
    <w:rsid w:val="00EB1876"/>
    <w:rsid w:val="00EC3A68"/>
    <w:rsid w:val="00EC3E1A"/>
    <w:rsid w:val="00EC79A9"/>
    <w:rsid w:val="00ED4AEA"/>
    <w:rsid w:val="00ED6431"/>
    <w:rsid w:val="00EE38F4"/>
    <w:rsid w:val="00EE6F18"/>
    <w:rsid w:val="00EE78DE"/>
    <w:rsid w:val="00EF0CB6"/>
    <w:rsid w:val="00F0255D"/>
    <w:rsid w:val="00F03A77"/>
    <w:rsid w:val="00F101F4"/>
    <w:rsid w:val="00F11E66"/>
    <w:rsid w:val="00F15E47"/>
    <w:rsid w:val="00F20E1D"/>
    <w:rsid w:val="00F21E20"/>
    <w:rsid w:val="00F2220C"/>
    <w:rsid w:val="00F2272D"/>
    <w:rsid w:val="00F2342C"/>
    <w:rsid w:val="00F31597"/>
    <w:rsid w:val="00F458CF"/>
    <w:rsid w:val="00F53B6A"/>
    <w:rsid w:val="00F557AF"/>
    <w:rsid w:val="00F55B03"/>
    <w:rsid w:val="00F82E48"/>
    <w:rsid w:val="00F83944"/>
    <w:rsid w:val="00F94CA8"/>
    <w:rsid w:val="00F96BBB"/>
    <w:rsid w:val="00F975BC"/>
    <w:rsid w:val="00FB2904"/>
    <w:rsid w:val="00FB2B2C"/>
    <w:rsid w:val="00FB3786"/>
    <w:rsid w:val="00FB6AC0"/>
    <w:rsid w:val="00FD6408"/>
    <w:rsid w:val="00FE4C77"/>
    <w:rsid w:val="00FF29A5"/>
    <w:rsid w:val="00FF54E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4D2D9F"/>
  <w15:chartTrackingRefBased/>
  <w15:docId w15:val="{9C324F69-A065-4CA5-A5E4-80ECADC41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F73"/>
    <w:pPr>
      <w:bidi/>
      <w:spacing w:after="120" w:line="360" w:lineRule="auto"/>
      <w:jc w:val="both"/>
    </w:pPr>
    <w:rPr>
      <w:rFonts w:ascii="Times New Roman" w:eastAsiaTheme="minorEastAsia" w:hAnsi="Times New Roman" w:cs="Alef"/>
      <w:sz w:val="24"/>
    </w:rPr>
  </w:style>
  <w:style w:type="paragraph" w:styleId="Heading1">
    <w:name w:val="heading 1"/>
    <w:basedOn w:val="Normal"/>
    <w:next w:val="Normal"/>
    <w:link w:val="Heading1Char"/>
    <w:uiPriority w:val="9"/>
    <w:qFormat/>
    <w:rsid w:val="00F2272D"/>
    <w:pPr>
      <w:keepNext/>
      <w:keepLines/>
      <w:spacing w:before="240" w:after="0"/>
      <w:outlineLvl w:val="0"/>
    </w:pPr>
    <w:rPr>
      <w:rFonts w:asciiTheme="majorHAnsi" w:eastAsiaTheme="majorEastAsia" w:hAnsiTheme="majorHAnsi"/>
      <w:sz w:val="32"/>
      <w:szCs w:val="32"/>
    </w:rPr>
  </w:style>
  <w:style w:type="paragraph" w:styleId="Heading2">
    <w:name w:val="heading 2"/>
    <w:basedOn w:val="Normal"/>
    <w:next w:val="Normal"/>
    <w:link w:val="Heading2Char"/>
    <w:uiPriority w:val="9"/>
    <w:unhideWhenUsed/>
    <w:qFormat/>
    <w:rsid w:val="007E34E6"/>
    <w:pPr>
      <w:keepNext/>
      <w:keepLines/>
      <w:spacing w:before="40" w:after="0"/>
      <w:outlineLvl w:val="1"/>
    </w:pPr>
    <w:rPr>
      <w:rFonts w:asciiTheme="majorHAnsi" w:eastAsiaTheme="majorEastAsia" w:hAnsiTheme="majorHAnsi"/>
      <w:sz w:val="26"/>
      <w:szCs w:val="26"/>
      <w:u w:val="single"/>
    </w:rPr>
  </w:style>
  <w:style w:type="paragraph" w:styleId="Heading3">
    <w:name w:val="heading 3"/>
    <w:basedOn w:val="Normal"/>
    <w:next w:val="Normal"/>
    <w:link w:val="Heading3Char"/>
    <w:uiPriority w:val="9"/>
    <w:unhideWhenUsed/>
    <w:qFormat/>
    <w:rsid w:val="00297790"/>
    <w:pPr>
      <w:keepNext/>
      <w:keepLines/>
      <w:spacing w:before="40" w:after="0"/>
      <w:ind w:left="720"/>
      <w:jc w:val="left"/>
      <w:outlineLvl w:val="2"/>
    </w:pPr>
    <w:rPr>
      <w:rFonts w:asciiTheme="majorHAnsi" w:eastAsiaTheme="majorEastAsia" w:hAnsiTheme="majorHAns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34E6"/>
    <w:pPr>
      <w:ind w:left="720"/>
      <w:contextualSpacing/>
    </w:pPr>
  </w:style>
  <w:style w:type="character" w:customStyle="1" w:styleId="Heading1Char">
    <w:name w:val="Heading 1 Char"/>
    <w:basedOn w:val="DefaultParagraphFont"/>
    <w:link w:val="Heading1"/>
    <w:uiPriority w:val="9"/>
    <w:rsid w:val="00F2272D"/>
    <w:rPr>
      <w:rFonts w:asciiTheme="majorHAnsi" w:eastAsiaTheme="majorEastAsia" w:hAnsiTheme="majorHAnsi" w:cs="Alef"/>
      <w:sz w:val="32"/>
      <w:szCs w:val="32"/>
    </w:rPr>
  </w:style>
  <w:style w:type="character" w:customStyle="1" w:styleId="Heading2Char">
    <w:name w:val="Heading 2 Char"/>
    <w:basedOn w:val="DefaultParagraphFont"/>
    <w:link w:val="Heading2"/>
    <w:uiPriority w:val="9"/>
    <w:rsid w:val="007E34E6"/>
    <w:rPr>
      <w:rFonts w:asciiTheme="majorHAnsi" w:eastAsiaTheme="majorEastAsia" w:hAnsiTheme="majorHAnsi" w:cs="David"/>
      <w:sz w:val="26"/>
      <w:szCs w:val="26"/>
      <w:u w:val="single"/>
    </w:rPr>
  </w:style>
  <w:style w:type="character" w:customStyle="1" w:styleId="Heading3Char">
    <w:name w:val="Heading 3 Char"/>
    <w:basedOn w:val="DefaultParagraphFont"/>
    <w:link w:val="Heading3"/>
    <w:uiPriority w:val="9"/>
    <w:rsid w:val="00297790"/>
    <w:rPr>
      <w:rFonts w:asciiTheme="majorHAnsi" w:eastAsiaTheme="majorEastAsia" w:hAnsiTheme="majorHAnsi" w:cs="David"/>
      <w:iCs/>
      <w:sz w:val="24"/>
      <w:szCs w:val="24"/>
      <w:u w:val="single"/>
    </w:rPr>
  </w:style>
  <w:style w:type="paragraph" w:styleId="Header">
    <w:name w:val="header"/>
    <w:basedOn w:val="Normal"/>
    <w:link w:val="HeaderChar"/>
    <w:uiPriority w:val="99"/>
    <w:unhideWhenUsed/>
    <w:rsid w:val="00A766B1"/>
    <w:pPr>
      <w:tabs>
        <w:tab w:val="center" w:pos="4153"/>
        <w:tab w:val="right" w:pos="8306"/>
      </w:tabs>
    </w:pPr>
  </w:style>
  <w:style w:type="character" w:customStyle="1" w:styleId="HeaderChar">
    <w:name w:val="Header Char"/>
    <w:basedOn w:val="DefaultParagraphFont"/>
    <w:link w:val="Header"/>
    <w:uiPriority w:val="99"/>
    <w:rsid w:val="00A766B1"/>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A766B1"/>
    <w:pPr>
      <w:tabs>
        <w:tab w:val="center" w:pos="4153"/>
        <w:tab w:val="right" w:pos="8306"/>
      </w:tabs>
    </w:pPr>
  </w:style>
  <w:style w:type="character" w:customStyle="1" w:styleId="FooterChar">
    <w:name w:val="Footer Char"/>
    <w:basedOn w:val="DefaultParagraphFont"/>
    <w:link w:val="Footer"/>
    <w:uiPriority w:val="99"/>
    <w:rsid w:val="00A766B1"/>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A766B1"/>
    <w:rPr>
      <w:color w:val="0000FF"/>
      <w:u w:val="single"/>
    </w:rPr>
  </w:style>
  <w:style w:type="paragraph" w:styleId="FootnoteText">
    <w:name w:val="footnote text"/>
    <w:basedOn w:val="Normal"/>
    <w:link w:val="FootnoteTextChar"/>
    <w:uiPriority w:val="99"/>
    <w:unhideWhenUsed/>
    <w:rsid w:val="00A766B1"/>
  </w:style>
  <w:style w:type="character" w:customStyle="1" w:styleId="FootnoteTextChar">
    <w:name w:val="Footnote Text Char"/>
    <w:basedOn w:val="DefaultParagraphFont"/>
    <w:link w:val="FootnoteText"/>
    <w:uiPriority w:val="99"/>
    <w:rsid w:val="00A766B1"/>
    <w:rPr>
      <w:rFonts w:ascii="Times New Roman" w:eastAsiaTheme="minorEastAsia" w:hAnsi="Times New Roman" w:cs="Times New Roman"/>
      <w:sz w:val="24"/>
      <w:szCs w:val="24"/>
    </w:rPr>
  </w:style>
  <w:style w:type="character" w:styleId="FootnoteReference">
    <w:name w:val="footnote reference"/>
    <w:basedOn w:val="DefaultParagraphFont"/>
    <w:uiPriority w:val="99"/>
    <w:semiHidden/>
    <w:unhideWhenUsed/>
    <w:rsid w:val="00A766B1"/>
    <w:rPr>
      <w:vertAlign w:val="superscript"/>
    </w:rPr>
  </w:style>
  <w:style w:type="paragraph" w:styleId="BalloonText">
    <w:name w:val="Balloon Text"/>
    <w:basedOn w:val="Normal"/>
    <w:link w:val="BalloonTextChar"/>
    <w:uiPriority w:val="99"/>
    <w:semiHidden/>
    <w:unhideWhenUsed/>
    <w:rsid w:val="00653716"/>
    <w:pPr>
      <w:spacing w:after="0"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653716"/>
    <w:rPr>
      <w:rFonts w:ascii="Tahoma" w:eastAsiaTheme="minorEastAsia" w:hAnsi="Tahoma" w:cs="Tahoma"/>
      <w:sz w:val="18"/>
      <w:szCs w:val="18"/>
    </w:rPr>
  </w:style>
  <w:style w:type="paragraph" w:styleId="EndnoteText">
    <w:name w:val="endnote text"/>
    <w:basedOn w:val="Normal"/>
    <w:link w:val="EndnoteTextChar"/>
    <w:uiPriority w:val="99"/>
    <w:semiHidden/>
    <w:unhideWhenUsed/>
    <w:rsid w:val="006F53D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F53D0"/>
    <w:rPr>
      <w:rFonts w:ascii="Times New Roman" w:eastAsiaTheme="minorEastAsia" w:hAnsi="Times New Roman" w:cs="Alef"/>
      <w:sz w:val="20"/>
      <w:szCs w:val="20"/>
    </w:rPr>
  </w:style>
  <w:style w:type="character" w:styleId="EndnoteReference">
    <w:name w:val="endnote reference"/>
    <w:basedOn w:val="DefaultParagraphFont"/>
    <w:uiPriority w:val="99"/>
    <w:semiHidden/>
    <w:unhideWhenUsed/>
    <w:rsid w:val="006F53D0"/>
    <w:rPr>
      <w:vertAlign w:val="superscript"/>
    </w:rPr>
  </w:style>
  <w:style w:type="character" w:styleId="PlaceholderText">
    <w:name w:val="Placeholder Text"/>
    <w:basedOn w:val="DefaultParagraphFont"/>
    <w:uiPriority w:val="99"/>
    <w:semiHidden/>
    <w:rsid w:val="005E0BB6"/>
    <w:rPr>
      <w:color w:val="808080"/>
    </w:rPr>
  </w:style>
  <w:style w:type="character" w:styleId="CommentReference">
    <w:name w:val="annotation reference"/>
    <w:basedOn w:val="DefaultParagraphFont"/>
    <w:uiPriority w:val="99"/>
    <w:semiHidden/>
    <w:unhideWhenUsed/>
    <w:rsid w:val="005648DF"/>
    <w:rPr>
      <w:sz w:val="16"/>
      <w:szCs w:val="16"/>
    </w:rPr>
  </w:style>
  <w:style w:type="paragraph" w:styleId="CommentText">
    <w:name w:val="annotation text"/>
    <w:basedOn w:val="Normal"/>
    <w:link w:val="CommentTextChar"/>
    <w:uiPriority w:val="99"/>
    <w:semiHidden/>
    <w:unhideWhenUsed/>
    <w:rsid w:val="005648DF"/>
    <w:pPr>
      <w:spacing w:line="240" w:lineRule="auto"/>
    </w:pPr>
    <w:rPr>
      <w:sz w:val="20"/>
      <w:szCs w:val="20"/>
    </w:rPr>
  </w:style>
  <w:style w:type="character" w:customStyle="1" w:styleId="CommentTextChar">
    <w:name w:val="Comment Text Char"/>
    <w:basedOn w:val="DefaultParagraphFont"/>
    <w:link w:val="CommentText"/>
    <w:uiPriority w:val="99"/>
    <w:semiHidden/>
    <w:rsid w:val="005648DF"/>
    <w:rPr>
      <w:rFonts w:ascii="Times New Roman" w:eastAsiaTheme="minorEastAsia" w:hAnsi="Times New Roman" w:cs="Alef"/>
      <w:sz w:val="20"/>
      <w:szCs w:val="20"/>
    </w:rPr>
  </w:style>
  <w:style w:type="paragraph" w:styleId="CommentSubject">
    <w:name w:val="annotation subject"/>
    <w:basedOn w:val="CommentText"/>
    <w:next w:val="CommentText"/>
    <w:link w:val="CommentSubjectChar"/>
    <w:uiPriority w:val="99"/>
    <w:semiHidden/>
    <w:unhideWhenUsed/>
    <w:rsid w:val="005648DF"/>
    <w:rPr>
      <w:b/>
      <w:bCs/>
    </w:rPr>
  </w:style>
  <w:style w:type="character" w:customStyle="1" w:styleId="CommentSubjectChar">
    <w:name w:val="Comment Subject Char"/>
    <w:basedOn w:val="CommentTextChar"/>
    <w:link w:val="CommentSubject"/>
    <w:uiPriority w:val="99"/>
    <w:semiHidden/>
    <w:rsid w:val="005648DF"/>
    <w:rPr>
      <w:rFonts w:ascii="Times New Roman" w:eastAsiaTheme="minorEastAsia" w:hAnsi="Times New Roman" w:cs="Ale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698F3D35E5F41F9AEE6449530C84881"/>
        <w:category>
          <w:name w:val="כללי"/>
          <w:gallery w:val="placeholder"/>
        </w:category>
        <w:types>
          <w:type w:val="bbPlcHdr"/>
        </w:types>
        <w:behaviors>
          <w:behavior w:val="content"/>
        </w:behaviors>
        <w:guid w:val="{2E3660C8-47DE-4EA7-A24C-9A67B74CC651}"/>
      </w:docPartPr>
      <w:docPartBody>
        <w:p w:rsidR="00C14181" w:rsidRDefault="00D41FD9" w:rsidP="00D41FD9">
          <w:pPr>
            <w:pStyle w:val="E698F3D35E5F41F9AEE6449530C84881"/>
          </w:pPr>
          <w:r>
            <w:rPr>
              <w:rStyle w:val="PlaceholderText"/>
              <w:rtl/>
            </w:rPr>
            <w:t>בחירת תאריך לועזי</w:t>
          </w:r>
        </w:p>
      </w:docPartBody>
    </w:docPart>
    <w:docPart>
      <w:docPartPr>
        <w:name w:val="11B9A73407E64AD29B6E4F93EDC985EE"/>
        <w:category>
          <w:name w:val="כללי"/>
          <w:gallery w:val="placeholder"/>
        </w:category>
        <w:types>
          <w:type w:val="bbPlcHdr"/>
        </w:types>
        <w:behaviors>
          <w:behavior w:val="content"/>
        </w:behaviors>
        <w:guid w:val="{638FD209-358F-48DF-B08B-5805DCDE6C11}"/>
      </w:docPartPr>
      <w:docPartBody>
        <w:p w:rsidR="00C14181" w:rsidRDefault="00D41FD9" w:rsidP="00D41FD9">
          <w:pPr>
            <w:pStyle w:val="11B9A73407E64AD29B6E4F93EDC985EE"/>
          </w:pPr>
          <w:r>
            <w:rPr>
              <w:rStyle w:val="PlaceholderText"/>
              <w:rtl/>
            </w:rPr>
            <w:t>בחירת תאריך עברי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ef">
    <w:panose1 w:val="00000500000000000000"/>
    <w:charset w:val="00"/>
    <w:family w:val="auto"/>
    <w:pitch w:val="variable"/>
    <w:sig w:usb0="00000807" w:usb1="40000000" w:usb2="00000000" w:usb3="00000000" w:csb0="000000B3" w:csb1="00000000"/>
  </w:font>
  <w:font w:name="Calibri Light">
    <w:panose1 w:val="020F03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FD9"/>
    <w:rsid w:val="00021909"/>
    <w:rsid w:val="00044F41"/>
    <w:rsid w:val="000972BE"/>
    <w:rsid w:val="00151E82"/>
    <w:rsid w:val="00157E7B"/>
    <w:rsid w:val="001A7917"/>
    <w:rsid w:val="00315737"/>
    <w:rsid w:val="00366545"/>
    <w:rsid w:val="0047280A"/>
    <w:rsid w:val="00521ABF"/>
    <w:rsid w:val="00613880"/>
    <w:rsid w:val="006523EA"/>
    <w:rsid w:val="006F49B7"/>
    <w:rsid w:val="008D4524"/>
    <w:rsid w:val="00976B83"/>
    <w:rsid w:val="00991488"/>
    <w:rsid w:val="009B35CD"/>
    <w:rsid w:val="009C52F0"/>
    <w:rsid w:val="009F4921"/>
    <w:rsid w:val="00A957A5"/>
    <w:rsid w:val="00B324E9"/>
    <w:rsid w:val="00C14181"/>
    <w:rsid w:val="00D41FD9"/>
    <w:rsid w:val="00E54615"/>
    <w:rsid w:val="00ED35E5"/>
    <w:rsid w:val="00FA0F93"/>
    <w:rsid w:val="00FA29A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1FD9"/>
  </w:style>
  <w:style w:type="paragraph" w:customStyle="1" w:styleId="67B982649CA145FB8EC44ADF0BDBD0F9">
    <w:name w:val="67B982649CA145FB8EC44ADF0BDBD0F9"/>
    <w:rsid w:val="00D41FD9"/>
    <w:pPr>
      <w:bidi/>
    </w:pPr>
  </w:style>
  <w:style w:type="paragraph" w:customStyle="1" w:styleId="E698F3D35E5F41F9AEE6449530C84881">
    <w:name w:val="E698F3D35E5F41F9AEE6449530C84881"/>
    <w:rsid w:val="00D41FD9"/>
    <w:pPr>
      <w:bidi/>
    </w:pPr>
  </w:style>
  <w:style w:type="paragraph" w:customStyle="1" w:styleId="11B9A73407E64AD29B6E4F93EDC985EE">
    <w:name w:val="11B9A73407E64AD29B6E4F93EDC985EE"/>
    <w:rsid w:val="00D41FD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AAE70-270F-417A-9624-22ED11918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2054</Words>
  <Characters>10274</Characters>
  <Application>Microsoft Office Word</Application>
  <DocSecurity>0</DocSecurity>
  <Lines>85</Lines>
  <Paragraphs>24</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12304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Cohen</dc:creator>
  <cp:keywords/>
  <dc:description/>
  <cp:lastModifiedBy>Melita Shafir</cp:lastModifiedBy>
  <cp:revision>2</cp:revision>
  <dcterms:created xsi:type="dcterms:W3CDTF">2021-03-29T05:50:00Z</dcterms:created>
  <dcterms:modified xsi:type="dcterms:W3CDTF">2021-03-29T05:50:00Z</dcterms:modified>
</cp:coreProperties>
</file>