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54E" w:rsidRPr="001C367F" w:rsidRDefault="00BC054E" w:rsidP="001C367F">
      <w:pPr>
        <w:pStyle w:val="Title"/>
        <w:jc w:val="center"/>
        <w:rPr>
          <w:rFonts w:cs="David"/>
          <w:b/>
          <w:bCs/>
          <w:sz w:val="36"/>
          <w:szCs w:val="36"/>
          <w:rtl/>
        </w:rPr>
      </w:pPr>
      <w:r w:rsidRPr="001C367F">
        <w:rPr>
          <w:rFonts w:cs="David" w:hint="cs"/>
          <w:b/>
          <w:bCs/>
          <w:sz w:val="36"/>
          <w:szCs w:val="36"/>
          <w:rtl/>
        </w:rPr>
        <w:t xml:space="preserve">קביעה בדבר ניצול מעמד לרעה בניגוד לסעיף 29א לחוק ההגבלים העסקיים, התשמ"ח-1988 ודרישת תשלום לפי סעיף 50ח לחוק </w:t>
      </w:r>
      <w:r w:rsidRPr="001C367F">
        <w:rPr>
          <w:rFonts w:cs="David"/>
          <w:b/>
          <w:bCs/>
          <w:sz w:val="36"/>
          <w:szCs w:val="36"/>
          <w:rtl/>
        </w:rPr>
        <w:t>–</w:t>
      </w:r>
      <w:r w:rsidRPr="001C367F">
        <w:rPr>
          <w:rFonts w:cs="David" w:hint="cs"/>
          <w:b/>
          <w:bCs/>
          <w:sz w:val="36"/>
          <w:szCs w:val="36"/>
          <w:rtl/>
        </w:rPr>
        <w:t xml:space="preserve"> חברת חשמל לישראל בע"מ ונושאי משרה</w:t>
      </w:r>
    </w:p>
    <w:p w:rsidR="00C72D51" w:rsidRDefault="00C72D51" w:rsidP="00C72D51">
      <w:pPr>
        <w:spacing w:after="120" w:line="240" w:lineRule="auto"/>
        <w:ind w:left="-51"/>
        <w:jc w:val="center"/>
        <w:rPr>
          <w:b/>
          <w:bCs/>
          <w:sz w:val="36"/>
          <w:szCs w:val="36"/>
          <w:u w:val="single"/>
          <w:rtl/>
        </w:rPr>
      </w:pPr>
    </w:p>
    <w:p w:rsidR="007A160D" w:rsidRPr="00403D87" w:rsidRDefault="007A160D" w:rsidP="00850E42">
      <w:pPr>
        <w:pStyle w:val="TOCHeading"/>
        <w:numPr>
          <w:ilvl w:val="0"/>
          <w:numId w:val="0"/>
        </w:numPr>
        <w:spacing w:before="0" w:line="240" w:lineRule="auto"/>
        <w:rPr>
          <w:rFonts w:cs="David"/>
          <w:color w:val="auto"/>
          <w:cs w:val="0"/>
        </w:rPr>
      </w:pPr>
      <w:r w:rsidRPr="00403D87">
        <w:rPr>
          <w:rFonts w:cs="David"/>
          <w:color w:val="auto"/>
          <w:cs w:val="0"/>
          <w:lang w:val="he-IL"/>
        </w:rPr>
        <w:t>תוכן</w:t>
      </w:r>
      <w:r w:rsidR="00850E42" w:rsidRPr="00403D87">
        <w:rPr>
          <w:rFonts w:cs="David" w:hint="cs"/>
          <w:color w:val="auto"/>
          <w:cs w:val="0"/>
        </w:rPr>
        <w:t xml:space="preserve"> עניינים</w:t>
      </w:r>
    </w:p>
    <w:p w:rsidR="005873D9" w:rsidRPr="00FE3330" w:rsidRDefault="007A160D" w:rsidP="005873D9">
      <w:pPr>
        <w:pStyle w:val="TOC1"/>
        <w:tabs>
          <w:tab w:val="left" w:pos="660"/>
          <w:tab w:val="right" w:leader="dot" w:pos="8302"/>
        </w:tabs>
        <w:spacing w:before="0" w:line="240" w:lineRule="auto"/>
        <w:rPr>
          <w:rFonts w:ascii="Calibri" w:hAnsi="Calibri" w:cs="Arial"/>
          <w:noProof/>
          <w:szCs w:val="22"/>
          <w:rtl/>
          <w:lang w:eastAsia="en-US"/>
        </w:rPr>
      </w:pPr>
      <w:r>
        <w:fldChar w:fldCharType="begin"/>
      </w:r>
      <w:r>
        <w:instrText xml:space="preserve"> TOC \o "1-3" \h \z \u </w:instrText>
      </w:r>
      <w:r>
        <w:fldChar w:fldCharType="separate"/>
      </w:r>
      <w:hyperlink w:anchor="_Toc476497396" w:history="1">
        <w:r w:rsidR="005873D9" w:rsidRPr="00052B9F">
          <w:rPr>
            <w:rStyle w:val="Hyperlink"/>
            <w:rFonts w:hint="eastAsia"/>
            <w:b/>
            <w:bCs/>
            <w:noProof/>
            <w:rtl/>
          </w:rPr>
          <w:t>א</w:t>
        </w:r>
        <w:r w:rsidR="005873D9" w:rsidRPr="00052B9F">
          <w:rPr>
            <w:rStyle w:val="Hyperlink"/>
            <w:b/>
            <w:bCs/>
            <w:noProof/>
            <w:rtl/>
          </w:rPr>
          <w:t>.</w:t>
        </w:r>
        <w:r w:rsidR="005873D9" w:rsidRPr="00FE3330">
          <w:rPr>
            <w:rFonts w:ascii="Calibri" w:hAnsi="Calibri" w:cs="Arial"/>
            <w:noProof/>
            <w:szCs w:val="22"/>
            <w:rtl/>
            <w:lang w:eastAsia="en-US"/>
          </w:rPr>
          <w:tab/>
        </w:r>
        <w:r w:rsidR="005873D9" w:rsidRPr="00052B9F">
          <w:rPr>
            <w:rStyle w:val="Hyperlink"/>
            <w:rFonts w:hint="eastAsia"/>
            <w:b/>
            <w:bCs/>
            <w:noProof/>
            <w:rtl/>
          </w:rPr>
          <w:t>פתח</w:t>
        </w:r>
        <w:r w:rsidR="005873D9" w:rsidRPr="00052B9F">
          <w:rPr>
            <w:rStyle w:val="Hyperlink"/>
            <w:b/>
            <w:bCs/>
            <w:noProof/>
            <w:rtl/>
          </w:rPr>
          <w:t xml:space="preserve"> </w:t>
        </w:r>
        <w:r w:rsidR="005873D9" w:rsidRPr="00052B9F">
          <w:rPr>
            <w:rStyle w:val="Hyperlink"/>
            <w:rFonts w:hint="eastAsia"/>
            <w:b/>
            <w:bCs/>
            <w:noProof/>
            <w:rtl/>
          </w:rPr>
          <w:t>דבר</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Toc476497396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2</w:t>
        </w:r>
        <w:r w:rsidR="005873D9">
          <w:rPr>
            <w:rStyle w:val="Hyperlink"/>
            <w:noProof/>
            <w:rtl/>
          </w:rPr>
          <w:fldChar w:fldCharType="end"/>
        </w:r>
      </w:hyperlink>
    </w:p>
    <w:p w:rsidR="005873D9" w:rsidRPr="00FE3330" w:rsidRDefault="001C367F" w:rsidP="005873D9">
      <w:pPr>
        <w:pStyle w:val="TOC1"/>
        <w:tabs>
          <w:tab w:val="left" w:pos="660"/>
          <w:tab w:val="right" w:leader="dot" w:pos="8302"/>
        </w:tabs>
        <w:spacing w:before="0" w:line="240" w:lineRule="auto"/>
        <w:rPr>
          <w:rFonts w:ascii="Calibri" w:hAnsi="Calibri" w:cs="Arial"/>
          <w:noProof/>
          <w:szCs w:val="22"/>
          <w:rtl/>
          <w:lang w:eastAsia="en-US"/>
        </w:rPr>
      </w:pPr>
      <w:hyperlink w:anchor="_Toc476497397" w:history="1">
        <w:r w:rsidR="005873D9" w:rsidRPr="00052B9F">
          <w:rPr>
            <w:rStyle w:val="Hyperlink"/>
            <w:rFonts w:hint="eastAsia"/>
            <w:b/>
            <w:bCs/>
            <w:noProof/>
            <w:rtl/>
          </w:rPr>
          <w:t>ב</w:t>
        </w:r>
        <w:r w:rsidR="005873D9" w:rsidRPr="00052B9F">
          <w:rPr>
            <w:rStyle w:val="Hyperlink"/>
            <w:b/>
            <w:bCs/>
            <w:noProof/>
            <w:rtl/>
          </w:rPr>
          <w:t>.</w:t>
        </w:r>
        <w:r w:rsidR="005873D9" w:rsidRPr="00FE3330">
          <w:rPr>
            <w:rFonts w:ascii="Calibri" w:hAnsi="Calibri" w:cs="Arial"/>
            <w:noProof/>
            <w:szCs w:val="22"/>
            <w:rtl/>
            <w:lang w:eastAsia="en-US"/>
          </w:rPr>
          <w:tab/>
        </w:r>
        <w:r w:rsidR="005873D9" w:rsidRPr="00052B9F">
          <w:rPr>
            <w:rStyle w:val="Hyperlink"/>
            <w:rFonts w:hint="eastAsia"/>
            <w:b/>
            <w:bCs/>
            <w:noProof/>
            <w:rtl/>
          </w:rPr>
          <w:t>רקע</w:t>
        </w:r>
        <w:r w:rsidR="005873D9" w:rsidRPr="00052B9F">
          <w:rPr>
            <w:rStyle w:val="Hyperlink"/>
            <w:b/>
            <w:bCs/>
            <w:noProof/>
            <w:rtl/>
          </w:rPr>
          <w:t xml:space="preserve"> </w:t>
        </w:r>
        <w:r w:rsidR="005873D9" w:rsidRPr="00052B9F">
          <w:rPr>
            <w:rStyle w:val="Hyperlink"/>
            <w:rFonts w:hint="eastAsia"/>
            <w:b/>
            <w:bCs/>
            <w:noProof/>
            <w:rtl/>
          </w:rPr>
          <w:t>עובדתי</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Toc476497397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2</w:t>
        </w:r>
        <w:r w:rsidR="005873D9">
          <w:rPr>
            <w:rStyle w:val="Hyperlink"/>
            <w:noProof/>
            <w:rtl/>
          </w:rPr>
          <w:fldChar w:fldCharType="end"/>
        </w:r>
      </w:hyperlink>
    </w:p>
    <w:p w:rsidR="005873D9" w:rsidRPr="00FE3330" w:rsidRDefault="001C367F" w:rsidP="005873D9">
      <w:pPr>
        <w:pStyle w:val="TOC2"/>
        <w:tabs>
          <w:tab w:val="left" w:pos="1320"/>
          <w:tab w:val="right" w:leader="dot" w:pos="8302"/>
        </w:tabs>
        <w:spacing w:before="0" w:line="240" w:lineRule="auto"/>
        <w:rPr>
          <w:rFonts w:ascii="Calibri" w:hAnsi="Calibri" w:cs="Arial"/>
          <w:noProof/>
          <w:szCs w:val="22"/>
          <w:rtl/>
          <w:lang w:eastAsia="en-US"/>
        </w:rPr>
      </w:pPr>
      <w:hyperlink w:anchor="_Toc476497398" w:history="1">
        <w:r w:rsidR="005873D9" w:rsidRPr="00052B9F">
          <w:rPr>
            <w:rStyle w:val="Hyperlink"/>
            <w:rFonts w:hint="eastAsia"/>
            <w:noProof/>
            <w:rtl/>
          </w:rPr>
          <w:t>ב</w:t>
        </w:r>
        <w:r w:rsidR="005873D9" w:rsidRPr="00052B9F">
          <w:rPr>
            <w:rStyle w:val="Hyperlink"/>
            <w:noProof/>
            <w:rtl/>
          </w:rPr>
          <w:t>.1.</w:t>
        </w:r>
        <w:r w:rsidR="005873D9" w:rsidRPr="00FE3330">
          <w:rPr>
            <w:rFonts w:ascii="Calibri" w:hAnsi="Calibri" w:cs="Arial"/>
            <w:noProof/>
            <w:szCs w:val="22"/>
            <w:rtl/>
            <w:lang w:eastAsia="en-US"/>
          </w:rPr>
          <w:tab/>
        </w:r>
        <w:r w:rsidR="005873D9" w:rsidRPr="00052B9F">
          <w:rPr>
            <w:rStyle w:val="Hyperlink"/>
            <w:rFonts w:hint="eastAsia"/>
            <w:noProof/>
            <w:rtl/>
          </w:rPr>
          <w:t>משק</w:t>
        </w:r>
        <w:r w:rsidR="005873D9" w:rsidRPr="00052B9F">
          <w:rPr>
            <w:rStyle w:val="Hyperlink"/>
            <w:noProof/>
            <w:rtl/>
          </w:rPr>
          <w:t xml:space="preserve"> </w:t>
        </w:r>
        <w:r w:rsidR="005873D9" w:rsidRPr="00052B9F">
          <w:rPr>
            <w:rStyle w:val="Hyperlink"/>
            <w:rFonts w:hint="eastAsia"/>
            <w:noProof/>
            <w:rtl/>
          </w:rPr>
          <w:t>החשמל</w:t>
        </w:r>
        <w:r w:rsidR="005873D9" w:rsidRPr="00052B9F">
          <w:rPr>
            <w:rStyle w:val="Hyperlink"/>
            <w:noProof/>
            <w:rtl/>
          </w:rPr>
          <w:t xml:space="preserve"> – </w:t>
        </w:r>
        <w:r w:rsidR="005873D9" w:rsidRPr="00052B9F">
          <w:rPr>
            <w:rStyle w:val="Hyperlink"/>
            <w:rFonts w:hint="eastAsia"/>
            <w:noProof/>
            <w:rtl/>
          </w:rPr>
          <w:t>כללי</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Toc476497398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2</w:t>
        </w:r>
        <w:r w:rsidR="005873D9">
          <w:rPr>
            <w:rStyle w:val="Hyperlink"/>
            <w:noProof/>
            <w:rtl/>
          </w:rPr>
          <w:fldChar w:fldCharType="end"/>
        </w:r>
      </w:hyperlink>
    </w:p>
    <w:p w:rsidR="005873D9" w:rsidRPr="00FE3330" w:rsidRDefault="001C367F" w:rsidP="005873D9">
      <w:pPr>
        <w:pStyle w:val="TOC2"/>
        <w:tabs>
          <w:tab w:val="left" w:pos="1320"/>
          <w:tab w:val="right" w:leader="dot" w:pos="8302"/>
        </w:tabs>
        <w:spacing w:before="0" w:line="240" w:lineRule="auto"/>
        <w:rPr>
          <w:rFonts w:ascii="Calibri" w:hAnsi="Calibri" w:cs="Arial"/>
          <w:noProof/>
          <w:szCs w:val="22"/>
          <w:rtl/>
          <w:lang w:eastAsia="en-US"/>
        </w:rPr>
      </w:pPr>
      <w:hyperlink w:anchor="_Toc476497399" w:history="1">
        <w:r w:rsidR="005873D9" w:rsidRPr="00052B9F">
          <w:rPr>
            <w:rStyle w:val="Hyperlink"/>
            <w:rFonts w:hint="eastAsia"/>
            <w:noProof/>
            <w:rtl/>
          </w:rPr>
          <w:t>ב</w:t>
        </w:r>
        <w:r w:rsidR="005873D9" w:rsidRPr="00052B9F">
          <w:rPr>
            <w:rStyle w:val="Hyperlink"/>
            <w:noProof/>
            <w:rtl/>
          </w:rPr>
          <w:t>.2.</w:t>
        </w:r>
        <w:r w:rsidR="005873D9" w:rsidRPr="00FE3330">
          <w:rPr>
            <w:rFonts w:ascii="Calibri" w:hAnsi="Calibri" w:cs="Arial"/>
            <w:noProof/>
            <w:szCs w:val="22"/>
            <w:rtl/>
            <w:lang w:eastAsia="en-US"/>
          </w:rPr>
          <w:tab/>
        </w:r>
        <w:r w:rsidR="005873D9" w:rsidRPr="00052B9F">
          <w:rPr>
            <w:rStyle w:val="Hyperlink"/>
            <w:rFonts w:hint="eastAsia"/>
            <w:noProof/>
            <w:rtl/>
          </w:rPr>
          <w:t>שירות</w:t>
        </w:r>
        <w:r w:rsidR="005873D9" w:rsidRPr="00052B9F">
          <w:rPr>
            <w:rStyle w:val="Hyperlink"/>
            <w:noProof/>
            <w:rtl/>
          </w:rPr>
          <w:t xml:space="preserve"> </w:t>
        </w:r>
        <w:r w:rsidR="005873D9" w:rsidRPr="00052B9F">
          <w:rPr>
            <w:rStyle w:val="Hyperlink"/>
            <w:rFonts w:hint="eastAsia"/>
            <w:noProof/>
            <w:rtl/>
          </w:rPr>
          <w:t>מנהל</w:t>
        </w:r>
        <w:r w:rsidR="005873D9" w:rsidRPr="00052B9F">
          <w:rPr>
            <w:rStyle w:val="Hyperlink"/>
            <w:noProof/>
            <w:rtl/>
          </w:rPr>
          <w:t xml:space="preserve"> </w:t>
        </w:r>
        <w:r w:rsidR="005873D9" w:rsidRPr="00052B9F">
          <w:rPr>
            <w:rStyle w:val="Hyperlink"/>
            <w:rFonts w:hint="eastAsia"/>
            <w:noProof/>
            <w:rtl/>
          </w:rPr>
          <w:t>תיק</w:t>
        </w:r>
        <w:r w:rsidR="005873D9" w:rsidRPr="00052B9F">
          <w:rPr>
            <w:rStyle w:val="Hyperlink"/>
            <w:noProof/>
            <w:rtl/>
          </w:rPr>
          <w:t xml:space="preserve"> </w:t>
        </w:r>
        <w:r w:rsidR="005873D9" w:rsidRPr="00052B9F">
          <w:rPr>
            <w:rStyle w:val="Hyperlink"/>
            <w:rFonts w:hint="eastAsia"/>
            <w:noProof/>
            <w:rtl/>
          </w:rPr>
          <w:t>לקוח</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Toc476497399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5</w:t>
        </w:r>
        <w:r w:rsidR="005873D9">
          <w:rPr>
            <w:rStyle w:val="Hyperlink"/>
            <w:noProof/>
            <w:rtl/>
          </w:rPr>
          <w:fldChar w:fldCharType="end"/>
        </w:r>
      </w:hyperlink>
    </w:p>
    <w:p w:rsidR="005873D9" w:rsidRPr="00FE3330" w:rsidRDefault="001C367F" w:rsidP="005873D9">
      <w:pPr>
        <w:pStyle w:val="TOC2"/>
        <w:tabs>
          <w:tab w:val="left" w:pos="1320"/>
          <w:tab w:val="right" w:leader="dot" w:pos="8302"/>
        </w:tabs>
        <w:spacing w:before="0" w:line="240" w:lineRule="auto"/>
        <w:rPr>
          <w:rFonts w:ascii="Calibri" w:hAnsi="Calibri" w:cs="Arial"/>
          <w:noProof/>
          <w:szCs w:val="22"/>
          <w:rtl/>
          <w:lang w:eastAsia="en-US"/>
        </w:rPr>
      </w:pPr>
      <w:hyperlink w:anchor="_Toc476497400" w:history="1">
        <w:r w:rsidR="005873D9" w:rsidRPr="00052B9F">
          <w:rPr>
            <w:rStyle w:val="Hyperlink"/>
            <w:rFonts w:hint="eastAsia"/>
            <w:noProof/>
            <w:rtl/>
          </w:rPr>
          <w:t>ב</w:t>
        </w:r>
        <w:r w:rsidR="005873D9" w:rsidRPr="00052B9F">
          <w:rPr>
            <w:rStyle w:val="Hyperlink"/>
            <w:noProof/>
            <w:rtl/>
          </w:rPr>
          <w:t>.3.</w:t>
        </w:r>
        <w:r w:rsidR="005873D9" w:rsidRPr="00FE3330">
          <w:rPr>
            <w:rFonts w:ascii="Calibri" w:hAnsi="Calibri" w:cs="Arial"/>
            <w:noProof/>
            <w:szCs w:val="22"/>
            <w:rtl/>
            <w:lang w:eastAsia="en-US"/>
          </w:rPr>
          <w:tab/>
        </w:r>
        <w:r w:rsidR="005873D9" w:rsidRPr="00052B9F">
          <w:rPr>
            <w:rStyle w:val="Hyperlink"/>
            <w:rFonts w:hint="eastAsia"/>
            <w:noProof/>
            <w:rtl/>
          </w:rPr>
          <w:t>העובדות</w:t>
        </w:r>
        <w:r w:rsidR="005873D9" w:rsidRPr="00052B9F">
          <w:rPr>
            <w:rStyle w:val="Hyperlink"/>
            <w:noProof/>
            <w:rtl/>
          </w:rPr>
          <w:t xml:space="preserve"> </w:t>
        </w:r>
        <w:r w:rsidR="005873D9" w:rsidRPr="00052B9F">
          <w:rPr>
            <w:rStyle w:val="Hyperlink"/>
            <w:rFonts w:hint="eastAsia"/>
            <w:noProof/>
            <w:rtl/>
          </w:rPr>
          <w:t>שבבסיס</w:t>
        </w:r>
        <w:r w:rsidR="005873D9" w:rsidRPr="00052B9F">
          <w:rPr>
            <w:rStyle w:val="Hyperlink"/>
            <w:noProof/>
            <w:rtl/>
          </w:rPr>
          <w:t xml:space="preserve"> </w:t>
        </w:r>
        <w:r w:rsidR="005873D9" w:rsidRPr="00052B9F">
          <w:rPr>
            <w:rStyle w:val="Hyperlink"/>
            <w:rFonts w:hint="eastAsia"/>
            <w:noProof/>
            <w:rtl/>
          </w:rPr>
          <w:t>ההפרה</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Toc476497400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8</w:t>
        </w:r>
        <w:r w:rsidR="005873D9">
          <w:rPr>
            <w:rStyle w:val="Hyperlink"/>
            <w:noProof/>
            <w:rtl/>
          </w:rPr>
          <w:fldChar w:fldCharType="end"/>
        </w:r>
      </w:hyperlink>
    </w:p>
    <w:p w:rsidR="005873D9" w:rsidRPr="00FE3330" w:rsidRDefault="001C367F" w:rsidP="00240124">
      <w:pPr>
        <w:pStyle w:val="TOC3"/>
        <w:spacing w:before="0"/>
        <w:ind w:left="657"/>
        <w:rPr>
          <w:rFonts w:ascii="Calibri" w:hAnsi="Calibri" w:cs="Arial"/>
          <w:noProof/>
          <w:szCs w:val="22"/>
          <w:rtl/>
          <w:lang w:eastAsia="en-US"/>
        </w:rPr>
      </w:pPr>
      <w:hyperlink w:anchor="_Toc476497401" w:history="1">
        <w:r w:rsidR="005873D9" w:rsidRPr="00052B9F">
          <w:rPr>
            <w:rStyle w:val="Hyperlink"/>
            <w:rFonts w:hint="eastAsia"/>
            <w:noProof/>
            <w:rtl/>
          </w:rPr>
          <w:t>הפסקת</w:t>
        </w:r>
        <w:r w:rsidR="005873D9" w:rsidRPr="00052B9F">
          <w:rPr>
            <w:rStyle w:val="Hyperlink"/>
            <w:noProof/>
            <w:rtl/>
          </w:rPr>
          <w:t xml:space="preserve"> </w:t>
        </w:r>
        <w:r w:rsidR="005873D9" w:rsidRPr="00052B9F">
          <w:rPr>
            <w:rStyle w:val="Hyperlink"/>
            <w:rFonts w:hint="eastAsia"/>
            <w:noProof/>
            <w:rtl/>
          </w:rPr>
          <w:t>שירותי</w:t>
        </w:r>
        <w:r w:rsidR="005873D9" w:rsidRPr="00052B9F">
          <w:rPr>
            <w:rStyle w:val="Hyperlink"/>
            <w:noProof/>
            <w:rtl/>
          </w:rPr>
          <w:t xml:space="preserve"> </w:t>
        </w:r>
        <w:r w:rsidR="005873D9" w:rsidRPr="00052B9F">
          <w:rPr>
            <w:rStyle w:val="Hyperlink"/>
            <w:rFonts w:hint="eastAsia"/>
            <w:noProof/>
            <w:rtl/>
          </w:rPr>
          <w:t>המת</w:t>
        </w:r>
        <w:r w:rsidR="005873D9" w:rsidRPr="00052B9F">
          <w:rPr>
            <w:rStyle w:val="Hyperlink"/>
            <w:noProof/>
            <w:rtl/>
          </w:rPr>
          <w:t>"</w:t>
        </w:r>
        <w:r w:rsidR="005873D9" w:rsidRPr="00052B9F">
          <w:rPr>
            <w:rStyle w:val="Hyperlink"/>
            <w:rFonts w:hint="eastAsia"/>
            <w:noProof/>
            <w:rtl/>
          </w:rPr>
          <w:t>ל</w:t>
        </w:r>
        <w:r w:rsidR="005873D9" w:rsidRPr="00052B9F">
          <w:rPr>
            <w:rStyle w:val="Hyperlink"/>
            <w:noProof/>
            <w:rtl/>
          </w:rPr>
          <w:t xml:space="preserve">: </w:t>
        </w:r>
        <w:r w:rsidR="005873D9" w:rsidRPr="00052B9F">
          <w:rPr>
            <w:rStyle w:val="Hyperlink"/>
            <w:rFonts w:hint="eastAsia"/>
            <w:noProof/>
            <w:rtl/>
          </w:rPr>
          <w:t>אמצע</w:t>
        </w:r>
        <w:r w:rsidR="005873D9" w:rsidRPr="00052B9F">
          <w:rPr>
            <w:rStyle w:val="Hyperlink"/>
            <w:noProof/>
            <w:rtl/>
          </w:rPr>
          <w:t xml:space="preserve"> 2013 </w:t>
        </w:r>
        <w:r w:rsidR="005873D9" w:rsidRPr="00052B9F">
          <w:rPr>
            <w:rStyle w:val="Hyperlink"/>
            <w:rFonts w:hint="eastAsia"/>
            <w:noProof/>
            <w:rtl/>
          </w:rPr>
          <w:t>עד</w:t>
        </w:r>
        <w:r w:rsidR="005873D9" w:rsidRPr="00052B9F">
          <w:rPr>
            <w:rStyle w:val="Hyperlink"/>
            <w:noProof/>
            <w:rtl/>
          </w:rPr>
          <w:t xml:space="preserve"> </w:t>
        </w:r>
        <w:r w:rsidR="005873D9" w:rsidRPr="00052B9F">
          <w:rPr>
            <w:rStyle w:val="Hyperlink"/>
            <w:rFonts w:hint="eastAsia"/>
            <w:noProof/>
            <w:rtl/>
          </w:rPr>
          <w:t>לפברואר</w:t>
        </w:r>
        <w:r w:rsidR="005873D9" w:rsidRPr="00052B9F">
          <w:rPr>
            <w:rStyle w:val="Hyperlink"/>
            <w:noProof/>
            <w:rtl/>
          </w:rPr>
          <w:t xml:space="preserve"> 2015</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Toc476497401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8</w:t>
        </w:r>
        <w:r w:rsidR="005873D9">
          <w:rPr>
            <w:rStyle w:val="Hyperlink"/>
            <w:noProof/>
            <w:rtl/>
          </w:rPr>
          <w:fldChar w:fldCharType="end"/>
        </w:r>
      </w:hyperlink>
    </w:p>
    <w:p w:rsidR="005873D9" w:rsidRPr="00FE3330" w:rsidRDefault="001C367F" w:rsidP="00240124">
      <w:pPr>
        <w:pStyle w:val="TOC3"/>
        <w:spacing w:before="0"/>
        <w:ind w:left="657"/>
        <w:rPr>
          <w:rFonts w:ascii="Calibri" w:hAnsi="Calibri" w:cs="Arial"/>
          <w:noProof/>
          <w:szCs w:val="22"/>
          <w:rtl/>
          <w:lang w:eastAsia="en-US"/>
        </w:rPr>
      </w:pPr>
      <w:hyperlink w:anchor="_Toc476497402" w:history="1">
        <w:r w:rsidR="005873D9" w:rsidRPr="00052B9F">
          <w:rPr>
            <w:rStyle w:val="Hyperlink"/>
            <w:rFonts w:hint="eastAsia"/>
            <w:noProof/>
            <w:rtl/>
          </w:rPr>
          <w:t>תקופת</w:t>
        </w:r>
        <w:r w:rsidR="005873D9" w:rsidRPr="00052B9F">
          <w:rPr>
            <w:rStyle w:val="Hyperlink"/>
            <w:noProof/>
            <w:rtl/>
          </w:rPr>
          <w:t xml:space="preserve"> </w:t>
        </w:r>
        <w:r w:rsidR="005873D9" w:rsidRPr="00052B9F">
          <w:rPr>
            <w:rStyle w:val="Hyperlink"/>
            <w:rFonts w:hint="eastAsia"/>
            <w:noProof/>
            <w:rtl/>
          </w:rPr>
          <w:t>הביניים</w:t>
        </w:r>
        <w:r w:rsidR="005873D9" w:rsidRPr="00052B9F">
          <w:rPr>
            <w:rStyle w:val="Hyperlink"/>
            <w:noProof/>
            <w:rtl/>
          </w:rPr>
          <w:t xml:space="preserve">: </w:t>
        </w:r>
        <w:r w:rsidR="005873D9" w:rsidRPr="00052B9F">
          <w:rPr>
            <w:rStyle w:val="Hyperlink"/>
            <w:rFonts w:hint="eastAsia"/>
            <w:noProof/>
            <w:rtl/>
          </w:rPr>
          <w:t>החזרה</w:t>
        </w:r>
        <w:r w:rsidR="005873D9" w:rsidRPr="00052B9F">
          <w:rPr>
            <w:rStyle w:val="Hyperlink"/>
            <w:noProof/>
            <w:rtl/>
          </w:rPr>
          <w:t xml:space="preserve"> </w:t>
        </w:r>
        <w:r w:rsidR="005873D9" w:rsidRPr="00052B9F">
          <w:rPr>
            <w:rStyle w:val="Hyperlink"/>
            <w:rFonts w:hint="eastAsia"/>
            <w:noProof/>
            <w:rtl/>
          </w:rPr>
          <w:t>חלקית</w:t>
        </w:r>
        <w:r w:rsidR="005873D9" w:rsidRPr="00052B9F">
          <w:rPr>
            <w:rStyle w:val="Hyperlink"/>
            <w:noProof/>
            <w:rtl/>
          </w:rPr>
          <w:t xml:space="preserve"> </w:t>
        </w:r>
        <w:r w:rsidR="005873D9" w:rsidRPr="00052B9F">
          <w:rPr>
            <w:rStyle w:val="Hyperlink"/>
            <w:rFonts w:hint="eastAsia"/>
            <w:noProof/>
            <w:rtl/>
          </w:rPr>
          <w:t>של</w:t>
        </w:r>
        <w:r w:rsidR="005873D9" w:rsidRPr="00052B9F">
          <w:rPr>
            <w:rStyle w:val="Hyperlink"/>
            <w:noProof/>
            <w:rtl/>
          </w:rPr>
          <w:t xml:space="preserve"> </w:t>
        </w:r>
        <w:r w:rsidR="005873D9" w:rsidRPr="00052B9F">
          <w:rPr>
            <w:rStyle w:val="Hyperlink"/>
            <w:rFonts w:hint="eastAsia"/>
            <w:noProof/>
            <w:rtl/>
          </w:rPr>
          <w:t>שירותי</w:t>
        </w:r>
        <w:r w:rsidR="005873D9" w:rsidRPr="00052B9F">
          <w:rPr>
            <w:rStyle w:val="Hyperlink"/>
            <w:noProof/>
            <w:rtl/>
          </w:rPr>
          <w:t xml:space="preserve"> </w:t>
        </w:r>
        <w:r w:rsidR="005873D9" w:rsidRPr="00052B9F">
          <w:rPr>
            <w:rStyle w:val="Hyperlink"/>
            <w:rFonts w:hint="eastAsia"/>
            <w:noProof/>
            <w:rtl/>
          </w:rPr>
          <w:t>המת</w:t>
        </w:r>
        <w:r w:rsidR="005873D9" w:rsidRPr="00052B9F">
          <w:rPr>
            <w:rStyle w:val="Hyperlink"/>
            <w:noProof/>
            <w:rtl/>
          </w:rPr>
          <w:t>"</w:t>
        </w:r>
        <w:r w:rsidR="005873D9" w:rsidRPr="00052B9F">
          <w:rPr>
            <w:rStyle w:val="Hyperlink"/>
            <w:rFonts w:hint="eastAsia"/>
            <w:noProof/>
            <w:rtl/>
          </w:rPr>
          <w:t>ל</w:t>
        </w:r>
        <w:r w:rsidR="005873D9" w:rsidRPr="00052B9F">
          <w:rPr>
            <w:rStyle w:val="Hyperlink"/>
            <w:noProof/>
            <w:rtl/>
          </w:rPr>
          <w:t xml:space="preserve"> </w:t>
        </w:r>
        <w:r w:rsidR="005873D9" w:rsidRPr="00052B9F">
          <w:rPr>
            <w:rStyle w:val="Hyperlink"/>
            <w:rFonts w:hint="eastAsia"/>
            <w:noProof/>
            <w:rtl/>
          </w:rPr>
          <w:t>פברואר</w:t>
        </w:r>
        <w:r w:rsidR="005873D9" w:rsidRPr="00052B9F">
          <w:rPr>
            <w:rStyle w:val="Hyperlink"/>
            <w:noProof/>
            <w:rtl/>
          </w:rPr>
          <w:t xml:space="preserve"> 2015 </w:t>
        </w:r>
        <w:r w:rsidR="005873D9" w:rsidRPr="00052B9F">
          <w:rPr>
            <w:rStyle w:val="Hyperlink"/>
            <w:rFonts w:hint="eastAsia"/>
            <w:noProof/>
            <w:rtl/>
          </w:rPr>
          <w:t>עד</w:t>
        </w:r>
        <w:r w:rsidR="005873D9" w:rsidRPr="00052B9F">
          <w:rPr>
            <w:rStyle w:val="Hyperlink"/>
            <w:noProof/>
            <w:rtl/>
          </w:rPr>
          <w:t xml:space="preserve"> </w:t>
        </w:r>
        <w:r w:rsidR="005873D9" w:rsidRPr="00052B9F">
          <w:rPr>
            <w:rStyle w:val="Hyperlink"/>
            <w:rFonts w:hint="eastAsia"/>
            <w:noProof/>
            <w:rtl/>
          </w:rPr>
          <w:t>יוני</w:t>
        </w:r>
        <w:r w:rsidR="005873D9" w:rsidRPr="00052B9F">
          <w:rPr>
            <w:rStyle w:val="Hyperlink"/>
            <w:noProof/>
            <w:rtl/>
          </w:rPr>
          <w:t xml:space="preserve"> 2015</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Toc476497402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12</w:t>
        </w:r>
        <w:r w:rsidR="005873D9">
          <w:rPr>
            <w:rStyle w:val="Hyperlink"/>
            <w:noProof/>
            <w:rtl/>
          </w:rPr>
          <w:fldChar w:fldCharType="end"/>
        </w:r>
      </w:hyperlink>
    </w:p>
    <w:p w:rsidR="005873D9" w:rsidRPr="00FE3330" w:rsidRDefault="001C367F" w:rsidP="00240124">
      <w:pPr>
        <w:pStyle w:val="TOC3"/>
        <w:spacing w:before="0"/>
        <w:ind w:left="657"/>
        <w:rPr>
          <w:rFonts w:ascii="Calibri" w:hAnsi="Calibri" w:cs="Arial"/>
          <w:noProof/>
          <w:szCs w:val="22"/>
          <w:rtl/>
          <w:lang w:eastAsia="en-US"/>
        </w:rPr>
      </w:pPr>
      <w:hyperlink w:anchor="_Toc476497403" w:history="1">
        <w:r w:rsidR="005873D9" w:rsidRPr="00052B9F">
          <w:rPr>
            <w:rStyle w:val="Hyperlink"/>
            <w:rFonts w:hint="eastAsia"/>
            <w:noProof/>
            <w:rtl/>
          </w:rPr>
          <w:t>המוקד</w:t>
        </w:r>
        <w:r w:rsidR="005873D9" w:rsidRPr="00052B9F">
          <w:rPr>
            <w:rStyle w:val="Hyperlink"/>
            <w:noProof/>
            <w:rtl/>
          </w:rPr>
          <w:t xml:space="preserve"> </w:t>
        </w:r>
        <w:r w:rsidR="005873D9" w:rsidRPr="00052B9F">
          <w:rPr>
            <w:rStyle w:val="Hyperlink"/>
            <w:rFonts w:hint="eastAsia"/>
            <w:noProof/>
            <w:rtl/>
          </w:rPr>
          <w:t>הייעודי</w:t>
        </w:r>
        <w:r w:rsidR="005873D9" w:rsidRPr="00052B9F">
          <w:rPr>
            <w:rStyle w:val="Hyperlink"/>
            <w:noProof/>
            <w:rtl/>
          </w:rPr>
          <w:t xml:space="preserve">: </w:t>
        </w:r>
        <w:r w:rsidR="005873D9" w:rsidRPr="00052B9F">
          <w:rPr>
            <w:rStyle w:val="Hyperlink"/>
            <w:rFonts w:hint="eastAsia"/>
            <w:noProof/>
            <w:rtl/>
          </w:rPr>
          <w:t>יוני</w:t>
        </w:r>
        <w:r w:rsidR="005873D9" w:rsidRPr="00052B9F">
          <w:rPr>
            <w:rStyle w:val="Hyperlink"/>
            <w:noProof/>
            <w:rtl/>
          </w:rPr>
          <w:t xml:space="preserve"> 2015 </w:t>
        </w:r>
        <w:r w:rsidR="005873D9" w:rsidRPr="00052B9F">
          <w:rPr>
            <w:rStyle w:val="Hyperlink"/>
            <w:rFonts w:hint="eastAsia"/>
            <w:noProof/>
            <w:rtl/>
          </w:rPr>
          <w:t>עד</w:t>
        </w:r>
        <w:r w:rsidR="005873D9" w:rsidRPr="00052B9F">
          <w:rPr>
            <w:rStyle w:val="Hyperlink"/>
            <w:noProof/>
            <w:rtl/>
          </w:rPr>
          <w:t xml:space="preserve"> </w:t>
        </w:r>
        <w:r w:rsidR="005873D9" w:rsidRPr="00052B9F">
          <w:rPr>
            <w:rStyle w:val="Hyperlink"/>
            <w:rFonts w:hint="eastAsia"/>
            <w:noProof/>
            <w:rtl/>
          </w:rPr>
          <w:t>דצמבר</w:t>
        </w:r>
        <w:r w:rsidR="005873D9" w:rsidRPr="00052B9F">
          <w:rPr>
            <w:rStyle w:val="Hyperlink"/>
            <w:noProof/>
            <w:rtl/>
          </w:rPr>
          <w:t xml:space="preserve"> 2015</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Toc476497403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13</w:t>
        </w:r>
        <w:r w:rsidR="005873D9">
          <w:rPr>
            <w:rStyle w:val="Hyperlink"/>
            <w:noProof/>
            <w:rtl/>
          </w:rPr>
          <w:fldChar w:fldCharType="end"/>
        </w:r>
      </w:hyperlink>
    </w:p>
    <w:p w:rsidR="005873D9" w:rsidRPr="00FE3330" w:rsidRDefault="001C367F" w:rsidP="005873D9">
      <w:pPr>
        <w:pStyle w:val="TOC2"/>
        <w:tabs>
          <w:tab w:val="left" w:pos="1320"/>
          <w:tab w:val="right" w:leader="dot" w:pos="8302"/>
        </w:tabs>
        <w:spacing w:before="0" w:line="240" w:lineRule="auto"/>
        <w:rPr>
          <w:rFonts w:ascii="Calibri" w:hAnsi="Calibri" w:cs="Arial"/>
          <w:noProof/>
          <w:szCs w:val="22"/>
          <w:rtl/>
          <w:lang w:eastAsia="en-US"/>
        </w:rPr>
      </w:pPr>
      <w:hyperlink w:anchor="_Toc476497404" w:history="1">
        <w:r w:rsidR="005873D9" w:rsidRPr="00052B9F">
          <w:rPr>
            <w:rStyle w:val="Hyperlink"/>
            <w:rFonts w:hint="eastAsia"/>
            <w:noProof/>
            <w:rtl/>
          </w:rPr>
          <w:t>ב</w:t>
        </w:r>
        <w:r w:rsidR="005873D9" w:rsidRPr="00052B9F">
          <w:rPr>
            <w:rStyle w:val="Hyperlink"/>
            <w:noProof/>
            <w:rtl/>
          </w:rPr>
          <w:t>.4.</w:t>
        </w:r>
        <w:r w:rsidR="005873D9" w:rsidRPr="00FE3330">
          <w:rPr>
            <w:rFonts w:ascii="Calibri" w:hAnsi="Calibri" w:cs="Arial"/>
            <w:noProof/>
            <w:szCs w:val="22"/>
            <w:rtl/>
            <w:lang w:eastAsia="en-US"/>
          </w:rPr>
          <w:tab/>
        </w:r>
        <w:r w:rsidR="005873D9" w:rsidRPr="00052B9F">
          <w:rPr>
            <w:rStyle w:val="Hyperlink"/>
            <w:rFonts w:hint="eastAsia"/>
            <w:noProof/>
            <w:rtl/>
          </w:rPr>
          <w:t>סיכום</w:t>
        </w:r>
        <w:r w:rsidR="005873D9" w:rsidRPr="00052B9F">
          <w:rPr>
            <w:rStyle w:val="Hyperlink"/>
            <w:noProof/>
            <w:rtl/>
          </w:rPr>
          <w:t xml:space="preserve"> </w:t>
        </w:r>
        <w:r w:rsidR="005873D9" w:rsidRPr="00052B9F">
          <w:rPr>
            <w:rStyle w:val="Hyperlink"/>
            <w:rFonts w:hint="eastAsia"/>
            <w:noProof/>
            <w:rtl/>
          </w:rPr>
          <w:t>עובדות</w:t>
        </w:r>
        <w:r w:rsidR="005873D9" w:rsidRPr="00052B9F">
          <w:rPr>
            <w:rStyle w:val="Hyperlink"/>
            <w:noProof/>
            <w:rtl/>
          </w:rPr>
          <w:t xml:space="preserve"> </w:t>
        </w:r>
        <w:r w:rsidR="005873D9" w:rsidRPr="00052B9F">
          <w:rPr>
            <w:rStyle w:val="Hyperlink"/>
            <w:rFonts w:hint="eastAsia"/>
            <w:noProof/>
            <w:rtl/>
          </w:rPr>
          <w:t>ההפרה</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Toc476497404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14</w:t>
        </w:r>
        <w:r w:rsidR="005873D9">
          <w:rPr>
            <w:rStyle w:val="Hyperlink"/>
            <w:noProof/>
            <w:rtl/>
          </w:rPr>
          <w:fldChar w:fldCharType="end"/>
        </w:r>
      </w:hyperlink>
    </w:p>
    <w:p w:rsidR="005873D9" w:rsidRPr="00FE3330" w:rsidRDefault="001C367F" w:rsidP="005873D9">
      <w:pPr>
        <w:pStyle w:val="TOC1"/>
        <w:tabs>
          <w:tab w:val="left" w:pos="660"/>
          <w:tab w:val="right" w:leader="dot" w:pos="8302"/>
        </w:tabs>
        <w:spacing w:before="0" w:line="240" w:lineRule="auto"/>
        <w:rPr>
          <w:rFonts w:ascii="Calibri" w:hAnsi="Calibri" w:cs="Arial"/>
          <w:noProof/>
          <w:szCs w:val="22"/>
          <w:rtl/>
          <w:lang w:eastAsia="en-US"/>
        </w:rPr>
      </w:pPr>
      <w:hyperlink w:anchor="_Toc476497405" w:history="1">
        <w:r w:rsidR="005873D9" w:rsidRPr="00052B9F">
          <w:rPr>
            <w:rStyle w:val="Hyperlink"/>
            <w:rFonts w:hint="eastAsia"/>
            <w:b/>
            <w:bCs/>
            <w:noProof/>
            <w:rtl/>
          </w:rPr>
          <w:t>ג</w:t>
        </w:r>
        <w:r w:rsidR="005873D9" w:rsidRPr="00052B9F">
          <w:rPr>
            <w:rStyle w:val="Hyperlink"/>
            <w:b/>
            <w:bCs/>
            <w:noProof/>
            <w:rtl/>
          </w:rPr>
          <w:t>.</w:t>
        </w:r>
        <w:r w:rsidR="005873D9" w:rsidRPr="00FE3330">
          <w:rPr>
            <w:rFonts w:ascii="Calibri" w:hAnsi="Calibri" w:cs="Arial"/>
            <w:noProof/>
            <w:szCs w:val="22"/>
            <w:rtl/>
            <w:lang w:eastAsia="en-US"/>
          </w:rPr>
          <w:tab/>
        </w:r>
        <w:r w:rsidR="005873D9" w:rsidRPr="00052B9F">
          <w:rPr>
            <w:rStyle w:val="Hyperlink"/>
            <w:rFonts w:hint="eastAsia"/>
            <w:b/>
            <w:bCs/>
            <w:noProof/>
            <w:rtl/>
          </w:rPr>
          <w:t>הפסקת</w:t>
        </w:r>
        <w:r w:rsidR="005873D9" w:rsidRPr="00052B9F">
          <w:rPr>
            <w:rStyle w:val="Hyperlink"/>
            <w:b/>
            <w:bCs/>
            <w:noProof/>
            <w:rtl/>
          </w:rPr>
          <w:t xml:space="preserve"> </w:t>
        </w:r>
        <w:r w:rsidR="005873D9" w:rsidRPr="00052B9F">
          <w:rPr>
            <w:rStyle w:val="Hyperlink"/>
            <w:rFonts w:hint="eastAsia"/>
            <w:b/>
            <w:bCs/>
            <w:noProof/>
            <w:rtl/>
          </w:rPr>
          <w:t>שירותי</w:t>
        </w:r>
        <w:r w:rsidR="005873D9" w:rsidRPr="00052B9F">
          <w:rPr>
            <w:rStyle w:val="Hyperlink"/>
            <w:b/>
            <w:bCs/>
            <w:noProof/>
            <w:rtl/>
          </w:rPr>
          <w:t xml:space="preserve"> </w:t>
        </w:r>
        <w:r w:rsidR="005873D9" w:rsidRPr="00052B9F">
          <w:rPr>
            <w:rStyle w:val="Hyperlink"/>
            <w:rFonts w:hint="eastAsia"/>
            <w:b/>
            <w:bCs/>
            <w:noProof/>
            <w:rtl/>
          </w:rPr>
          <w:t>המת</w:t>
        </w:r>
        <w:r w:rsidR="005873D9" w:rsidRPr="00052B9F">
          <w:rPr>
            <w:rStyle w:val="Hyperlink"/>
            <w:b/>
            <w:bCs/>
            <w:noProof/>
            <w:rtl/>
          </w:rPr>
          <w:t>"</w:t>
        </w:r>
        <w:r w:rsidR="005873D9" w:rsidRPr="00052B9F">
          <w:rPr>
            <w:rStyle w:val="Hyperlink"/>
            <w:rFonts w:hint="eastAsia"/>
            <w:b/>
            <w:bCs/>
            <w:noProof/>
            <w:rtl/>
          </w:rPr>
          <w:t>ל</w:t>
        </w:r>
        <w:r w:rsidR="005873D9" w:rsidRPr="00052B9F">
          <w:rPr>
            <w:rStyle w:val="Hyperlink"/>
            <w:b/>
            <w:bCs/>
            <w:noProof/>
            <w:rtl/>
          </w:rPr>
          <w:t xml:space="preserve"> - </w:t>
        </w:r>
        <w:r w:rsidR="005873D9" w:rsidRPr="00052B9F">
          <w:rPr>
            <w:rStyle w:val="Hyperlink"/>
            <w:rFonts w:hint="eastAsia"/>
            <w:b/>
            <w:bCs/>
            <w:noProof/>
            <w:rtl/>
          </w:rPr>
          <w:t>ניצול</w:t>
        </w:r>
        <w:r w:rsidR="005873D9" w:rsidRPr="00052B9F">
          <w:rPr>
            <w:rStyle w:val="Hyperlink"/>
            <w:b/>
            <w:bCs/>
            <w:noProof/>
            <w:rtl/>
          </w:rPr>
          <w:t xml:space="preserve"> </w:t>
        </w:r>
        <w:r w:rsidR="005873D9" w:rsidRPr="00052B9F">
          <w:rPr>
            <w:rStyle w:val="Hyperlink"/>
            <w:rFonts w:hint="eastAsia"/>
            <w:b/>
            <w:bCs/>
            <w:noProof/>
            <w:rtl/>
          </w:rPr>
          <w:t>מעמד</w:t>
        </w:r>
        <w:r w:rsidR="005873D9" w:rsidRPr="00052B9F">
          <w:rPr>
            <w:rStyle w:val="Hyperlink"/>
            <w:b/>
            <w:bCs/>
            <w:noProof/>
            <w:rtl/>
          </w:rPr>
          <w:t xml:space="preserve"> </w:t>
        </w:r>
        <w:r w:rsidR="005873D9" w:rsidRPr="00052B9F">
          <w:rPr>
            <w:rStyle w:val="Hyperlink"/>
            <w:rFonts w:hint="eastAsia"/>
            <w:b/>
            <w:bCs/>
            <w:noProof/>
            <w:rtl/>
          </w:rPr>
          <w:t>מונופוליסטי</w:t>
        </w:r>
        <w:r w:rsidR="005873D9" w:rsidRPr="00052B9F">
          <w:rPr>
            <w:rStyle w:val="Hyperlink"/>
            <w:b/>
            <w:bCs/>
            <w:noProof/>
            <w:rtl/>
          </w:rPr>
          <w:t xml:space="preserve"> </w:t>
        </w:r>
        <w:r w:rsidR="005873D9" w:rsidRPr="00052B9F">
          <w:rPr>
            <w:rStyle w:val="Hyperlink"/>
            <w:rFonts w:hint="eastAsia"/>
            <w:b/>
            <w:bCs/>
            <w:noProof/>
            <w:rtl/>
          </w:rPr>
          <w:t>לרעה</w:t>
        </w:r>
        <w:r w:rsidR="005873D9" w:rsidRPr="00052B9F">
          <w:rPr>
            <w:rStyle w:val="Hyperlink"/>
            <w:b/>
            <w:bCs/>
            <w:noProof/>
            <w:rtl/>
          </w:rPr>
          <w:t xml:space="preserve"> </w:t>
        </w:r>
        <w:r w:rsidR="005873D9" w:rsidRPr="00052B9F">
          <w:rPr>
            <w:rStyle w:val="Hyperlink"/>
            <w:rFonts w:hint="eastAsia"/>
            <w:b/>
            <w:bCs/>
            <w:noProof/>
            <w:rtl/>
          </w:rPr>
          <w:t>וסירוב</w:t>
        </w:r>
        <w:r w:rsidR="005873D9" w:rsidRPr="00052B9F">
          <w:rPr>
            <w:rStyle w:val="Hyperlink"/>
            <w:b/>
            <w:bCs/>
            <w:noProof/>
            <w:rtl/>
          </w:rPr>
          <w:t xml:space="preserve"> </w:t>
        </w:r>
        <w:r w:rsidR="005873D9" w:rsidRPr="00052B9F">
          <w:rPr>
            <w:rStyle w:val="Hyperlink"/>
            <w:rFonts w:hint="eastAsia"/>
            <w:b/>
            <w:bCs/>
            <w:noProof/>
            <w:rtl/>
          </w:rPr>
          <w:t>בלתי</w:t>
        </w:r>
        <w:r w:rsidR="005873D9" w:rsidRPr="00052B9F">
          <w:rPr>
            <w:rStyle w:val="Hyperlink"/>
            <w:b/>
            <w:bCs/>
            <w:noProof/>
            <w:rtl/>
          </w:rPr>
          <w:t xml:space="preserve"> </w:t>
        </w:r>
        <w:r w:rsidR="005873D9" w:rsidRPr="00052B9F">
          <w:rPr>
            <w:rStyle w:val="Hyperlink"/>
            <w:rFonts w:hint="eastAsia"/>
            <w:b/>
            <w:bCs/>
            <w:noProof/>
            <w:rtl/>
          </w:rPr>
          <w:t>סביר</w:t>
        </w:r>
        <w:r w:rsidR="005873D9" w:rsidRPr="00052B9F">
          <w:rPr>
            <w:rStyle w:val="Hyperlink"/>
            <w:b/>
            <w:bCs/>
            <w:noProof/>
            <w:rtl/>
          </w:rPr>
          <w:t xml:space="preserve"> </w:t>
        </w:r>
        <w:r w:rsidR="005873D9" w:rsidRPr="00052B9F">
          <w:rPr>
            <w:rStyle w:val="Hyperlink"/>
            <w:rFonts w:hint="eastAsia"/>
            <w:b/>
            <w:bCs/>
            <w:noProof/>
            <w:rtl/>
          </w:rPr>
          <w:t>לספק</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Toc476497405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14</w:t>
        </w:r>
        <w:r w:rsidR="005873D9">
          <w:rPr>
            <w:rStyle w:val="Hyperlink"/>
            <w:noProof/>
            <w:rtl/>
          </w:rPr>
          <w:fldChar w:fldCharType="end"/>
        </w:r>
      </w:hyperlink>
    </w:p>
    <w:p w:rsidR="005873D9" w:rsidRPr="00FE3330" w:rsidRDefault="001C367F" w:rsidP="005873D9">
      <w:pPr>
        <w:pStyle w:val="TOC2"/>
        <w:tabs>
          <w:tab w:val="left" w:pos="1100"/>
          <w:tab w:val="right" w:leader="dot" w:pos="8302"/>
        </w:tabs>
        <w:spacing w:before="0" w:line="240" w:lineRule="auto"/>
        <w:rPr>
          <w:rFonts w:ascii="Calibri" w:hAnsi="Calibri" w:cs="Arial"/>
          <w:noProof/>
          <w:szCs w:val="22"/>
          <w:rtl/>
          <w:lang w:eastAsia="en-US"/>
        </w:rPr>
      </w:pPr>
      <w:hyperlink w:anchor="_Toc476497406" w:history="1">
        <w:r w:rsidR="005873D9" w:rsidRPr="00052B9F">
          <w:rPr>
            <w:rStyle w:val="Hyperlink"/>
            <w:rFonts w:hint="eastAsia"/>
            <w:noProof/>
            <w:rtl/>
          </w:rPr>
          <w:t>ג</w:t>
        </w:r>
        <w:r w:rsidR="005873D9" w:rsidRPr="00052B9F">
          <w:rPr>
            <w:rStyle w:val="Hyperlink"/>
            <w:noProof/>
            <w:rtl/>
          </w:rPr>
          <w:t>.1</w:t>
        </w:r>
        <w:r w:rsidR="005873D9" w:rsidRPr="00052B9F">
          <w:rPr>
            <w:rStyle w:val="Hyperlink"/>
            <w:noProof/>
          </w:rPr>
          <w:t>.</w:t>
        </w:r>
        <w:r w:rsidR="005873D9" w:rsidRPr="00FE3330">
          <w:rPr>
            <w:rFonts w:ascii="Calibri" w:hAnsi="Calibri" w:cs="Arial"/>
            <w:noProof/>
            <w:szCs w:val="22"/>
            <w:rtl/>
            <w:lang w:eastAsia="en-US"/>
          </w:rPr>
          <w:tab/>
        </w:r>
        <w:r w:rsidR="005873D9" w:rsidRPr="00052B9F">
          <w:rPr>
            <w:rStyle w:val="Hyperlink"/>
            <w:rFonts w:hint="eastAsia"/>
            <w:noProof/>
            <w:rtl/>
          </w:rPr>
          <w:t>סעיף</w:t>
        </w:r>
        <w:r w:rsidR="005873D9" w:rsidRPr="00052B9F">
          <w:rPr>
            <w:rStyle w:val="Hyperlink"/>
            <w:noProof/>
            <w:rtl/>
          </w:rPr>
          <w:t xml:space="preserve"> 29</w:t>
        </w:r>
        <w:r w:rsidR="005873D9" w:rsidRPr="00052B9F">
          <w:rPr>
            <w:rStyle w:val="Hyperlink"/>
            <w:rFonts w:hint="eastAsia"/>
            <w:noProof/>
            <w:rtl/>
          </w:rPr>
          <w:t>א</w:t>
        </w:r>
        <w:r w:rsidR="005873D9" w:rsidRPr="00052B9F">
          <w:rPr>
            <w:rStyle w:val="Hyperlink"/>
            <w:noProof/>
            <w:rtl/>
          </w:rPr>
          <w:t xml:space="preserve"> </w:t>
        </w:r>
        <w:r w:rsidR="005873D9" w:rsidRPr="00052B9F">
          <w:rPr>
            <w:rStyle w:val="Hyperlink"/>
            <w:rFonts w:hint="eastAsia"/>
            <w:noProof/>
            <w:rtl/>
          </w:rPr>
          <w:t>לחוק</w:t>
        </w:r>
        <w:r w:rsidR="005873D9" w:rsidRPr="00052B9F">
          <w:rPr>
            <w:rStyle w:val="Hyperlink"/>
            <w:noProof/>
            <w:rtl/>
          </w:rPr>
          <w:t xml:space="preserve">  – </w:t>
        </w:r>
        <w:r w:rsidR="005873D9" w:rsidRPr="00052B9F">
          <w:rPr>
            <w:rStyle w:val="Hyperlink"/>
            <w:rFonts w:hint="eastAsia"/>
            <w:noProof/>
            <w:rtl/>
          </w:rPr>
          <w:t>כללי</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Toc476497406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15</w:t>
        </w:r>
        <w:r w:rsidR="005873D9">
          <w:rPr>
            <w:rStyle w:val="Hyperlink"/>
            <w:noProof/>
            <w:rtl/>
          </w:rPr>
          <w:fldChar w:fldCharType="end"/>
        </w:r>
      </w:hyperlink>
    </w:p>
    <w:p w:rsidR="005873D9" w:rsidRPr="00FE3330" w:rsidRDefault="001C367F" w:rsidP="00240124">
      <w:pPr>
        <w:pStyle w:val="TOC2"/>
        <w:tabs>
          <w:tab w:val="right" w:leader="dot" w:pos="8302"/>
        </w:tabs>
        <w:spacing w:before="0" w:line="240" w:lineRule="auto"/>
        <w:rPr>
          <w:rFonts w:ascii="Calibri" w:hAnsi="Calibri" w:cs="Arial"/>
          <w:noProof/>
          <w:szCs w:val="22"/>
          <w:rtl/>
          <w:lang w:eastAsia="en-US"/>
        </w:rPr>
      </w:pPr>
      <w:hyperlink w:anchor="_Toc476497407" w:history="1">
        <w:r w:rsidR="005873D9" w:rsidRPr="00052B9F">
          <w:rPr>
            <w:rStyle w:val="Hyperlink"/>
            <w:rFonts w:hint="eastAsia"/>
            <w:noProof/>
            <w:rtl/>
          </w:rPr>
          <w:t>ג</w:t>
        </w:r>
        <w:r w:rsidR="005873D9" w:rsidRPr="00052B9F">
          <w:rPr>
            <w:rStyle w:val="Hyperlink"/>
            <w:noProof/>
            <w:rtl/>
          </w:rPr>
          <w:t>.2</w:t>
        </w:r>
        <w:r w:rsidR="005873D9" w:rsidRPr="00052B9F">
          <w:rPr>
            <w:rStyle w:val="Hyperlink"/>
            <w:noProof/>
          </w:rPr>
          <w:t>.</w:t>
        </w:r>
        <w:r w:rsidR="005873D9" w:rsidRPr="00FE3330">
          <w:rPr>
            <w:rFonts w:ascii="Calibri" w:hAnsi="Calibri" w:cs="Arial"/>
            <w:noProof/>
            <w:szCs w:val="22"/>
            <w:rtl/>
            <w:lang w:eastAsia="en-US"/>
          </w:rPr>
          <w:tab/>
        </w:r>
        <w:r w:rsidR="005873D9" w:rsidRPr="00052B9F">
          <w:rPr>
            <w:rStyle w:val="Hyperlink"/>
            <w:rFonts w:hint="eastAsia"/>
            <w:noProof/>
            <w:rtl/>
          </w:rPr>
          <w:t>חברת</w:t>
        </w:r>
        <w:r w:rsidR="005873D9" w:rsidRPr="00052B9F">
          <w:rPr>
            <w:rStyle w:val="Hyperlink"/>
            <w:noProof/>
            <w:rtl/>
          </w:rPr>
          <w:t xml:space="preserve"> </w:t>
        </w:r>
        <w:r w:rsidR="005873D9" w:rsidRPr="00052B9F">
          <w:rPr>
            <w:rStyle w:val="Hyperlink"/>
            <w:rFonts w:hint="eastAsia"/>
            <w:noProof/>
            <w:rtl/>
          </w:rPr>
          <w:t>החשמל</w:t>
        </w:r>
        <w:r w:rsidR="005873D9" w:rsidRPr="00052B9F">
          <w:rPr>
            <w:rStyle w:val="Hyperlink"/>
            <w:noProof/>
            <w:rtl/>
          </w:rPr>
          <w:t xml:space="preserve"> </w:t>
        </w:r>
        <w:r w:rsidR="005873D9" w:rsidRPr="00052B9F">
          <w:rPr>
            <w:rStyle w:val="Hyperlink"/>
            <w:rFonts w:hint="eastAsia"/>
            <w:noProof/>
            <w:rtl/>
          </w:rPr>
          <w:t>ניצלה</w:t>
        </w:r>
        <w:r w:rsidR="005873D9" w:rsidRPr="00052B9F">
          <w:rPr>
            <w:rStyle w:val="Hyperlink"/>
            <w:noProof/>
            <w:rtl/>
          </w:rPr>
          <w:t xml:space="preserve"> </w:t>
        </w:r>
        <w:r w:rsidR="005873D9" w:rsidRPr="00052B9F">
          <w:rPr>
            <w:rStyle w:val="Hyperlink"/>
            <w:rFonts w:hint="eastAsia"/>
            <w:noProof/>
            <w:rtl/>
          </w:rPr>
          <w:t>לרעה</w:t>
        </w:r>
        <w:r w:rsidR="005873D9" w:rsidRPr="00052B9F">
          <w:rPr>
            <w:rStyle w:val="Hyperlink"/>
            <w:noProof/>
            <w:rtl/>
          </w:rPr>
          <w:t xml:space="preserve"> </w:t>
        </w:r>
        <w:r w:rsidR="005873D9" w:rsidRPr="00052B9F">
          <w:rPr>
            <w:rStyle w:val="Hyperlink"/>
            <w:rFonts w:hint="eastAsia"/>
            <w:noProof/>
            <w:rtl/>
          </w:rPr>
          <w:t>מעמדה</w:t>
        </w:r>
        <w:r w:rsidR="005873D9" w:rsidRPr="00052B9F">
          <w:rPr>
            <w:rStyle w:val="Hyperlink"/>
            <w:noProof/>
            <w:rtl/>
          </w:rPr>
          <w:t xml:space="preserve"> </w:t>
        </w:r>
        <w:r w:rsidR="005873D9" w:rsidRPr="00052B9F">
          <w:rPr>
            <w:rStyle w:val="Hyperlink"/>
            <w:rFonts w:hint="eastAsia"/>
            <w:noProof/>
            <w:rtl/>
          </w:rPr>
          <w:t>בשוק</w:t>
        </w:r>
        <w:r w:rsidR="005873D9" w:rsidRPr="00052B9F">
          <w:rPr>
            <w:rStyle w:val="Hyperlink"/>
            <w:noProof/>
            <w:rtl/>
          </w:rPr>
          <w:t xml:space="preserve"> </w:t>
        </w:r>
        <w:r w:rsidR="005873D9" w:rsidRPr="00052B9F">
          <w:rPr>
            <w:rStyle w:val="Hyperlink"/>
            <w:rFonts w:hint="eastAsia"/>
            <w:noProof/>
            <w:rtl/>
          </w:rPr>
          <w:t>הולכת</w:t>
        </w:r>
        <w:r w:rsidR="005873D9" w:rsidRPr="00052B9F">
          <w:rPr>
            <w:rStyle w:val="Hyperlink"/>
            <w:noProof/>
            <w:rtl/>
          </w:rPr>
          <w:t xml:space="preserve"> </w:t>
        </w:r>
        <w:r w:rsidR="005873D9" w:rsidRPr="00052B9F">
          <w:rPr>
            <w:rStyle w:val="Hyperlink"/>
            <w:rFonts w:hint="eastAsia"/>
            <w:noProof/>
            <w:rtl/>
          </w:rPr>
          <w:t>חשמל</w:t>
        </w:r>
        <w:r w:rsidR="005873D9" w:rsidRPr="00052B9F">
          <w:rPr>
            <w:rStyle w:val="Hyperlink"/>
            <w:noProof/>
            <w:rtl/>
          </w:rPr>
          <w:t xml:space="preserve"> </w:t>
        </w:r>
        <w:r w:rsidR="005873D9" w:rsidRPr="00052B9F">
          <w:rPr>
            <w:rStyle w:val="Hyperlink"/>
            <w:rFonts w:hint="eastAsia"/>
            <w:noProof/>
            <w:rtl/>
          </w:rPr>
          <w:t>וחלוקתו</w:t>
        </w:r>
        <w:r w:rsidR="005873D9" w:rsidRPr="00052B9F">
          <w:rPr>
            <w:rStyle w:val="Hyperlink"/>
            <w:noProof/>
            <w:rtl/>
          </w:rPr>
          <w:t xml:space="preserve"> </w:t>
        </w:r>
        <w:r w:rsidR="005873D9" w:rsidRPr="00052B9F">
          <w:rPr>
            <w:rStyle w:val="Hyperlink"/>
            <w:rFonts w:hint="eastAsia"/>
            <w:noProof/>
            <w:rtl/>
          </w:rPr>
          <w:t>בניגוד</w:t>
        </w:r>
        <w:r w:rsidR="005873D9" w:rsidRPr="00052B9F">
          <w:rPr>
            <w:rStyle w:val="Hyperlink"/>
            <w:noProof/>
            <w:rtl/>
          </w:rPr>
          <w:t xml:space="preserve"> </w:t>
        </w:r>
        <w:r w:rsidR="005873D9" w:rsidRPr="00052B9F">
          <w:rPr>
            <w:rStyle w:val="Hyperlink"/>
            <w:rFonts w:hint="eastAsia"/>
            <w:noProof/>
            <w:rtl/>
          </w:rPr>
          <w:t>לסעיף</w:t>
        </w:r>
        <w:r w:rsidR="005873D9" w:rsidRPr="00052B9F">
          <w:rPr>
            <w:rStyle w:val="Hyperlink"/>
            <w:noProof/>
            <w:rtl/>
          </w:rPr>
          <w:t xml:space="preserve"> 29</w:t>
        </w:r>
        <w:r w:rsidR="005873D9" w:rsidRPr="00052B9F">
          <w:rPr>
            <w:rStyle w:val="Hyperlink"/>
            <w:rFonts w:hint="eastAsia"/>
            <w:noProof/>
            <w:rtl/>
          </w:rPr>
          <w:t>א</w:t>
        </w:r>
        <w:r w:rsidR="005873D9" w:rsidRPr="00052B9F">
          <w:rPr>
            <w:rStyle w:val="Hyperlink"/>
            <w:noProof/>
            <w:rtl/>
          </w:rPr>
          <w:t>(</w:t>
        </w:r>
        <w:r w:rsidR="005873D9" w:rsidRPr="00052B9F">
          <w:rPr>
            <w:rStyle w:val="Hyperlink"/>
            <w:rFonts w:hint="eastAsia"/>
            <w:noProof/>
            <w:rtl/>
          </w:rPr>
          <w:t>א</w:t>
        </w:r>
        <w:r w:rsidR="005873D9" w:rsidRPr="00052B9F">
          <w:rPr>
            <w:rStyle w:val="Hyperlink"/>
            <w:noProof/>
            <w:rtl/>
          </w:rPr>
          <w:t>)</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Toc476497407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16</w:t>
        </w:r>
        <w:r w:rsidR="005873D9">
          <w:rPr>
            <w:rStyle w:val="Hyperlink"/>
            <w:noProof/>
            <w:rtl/>
          </w:rPr>
          <w:fldChar w:fldCharType="end"/>
        </w:r>
      </w:hyperlink>
    </w:p>
    <w:p w:rsidR="005873D9" w:rsidRPr="00240124" w:rsidRDefault="001C367F" w:rsidP="00240124">
      <w:pPr>
        <w:pStyle w:val="TOC3"/>
        <w:spacing w:before="0"/>
        <w:ind w:left="657"/>
        <w:rPr>
          <w:rStyle w:val="Hyperlink"/>
          <w:noProof/>
          <w:rtl/>
        </w:rPr>
      </w:pPr>
      <w:hyperlink w:anchor="_Toc476497408" w:history="1">
        <w:r w:rsidR="005873D9" w:rsidRPr="00052B9F">
          <w:rPr>
            <w:rStyle w:val="Hyperlink"/>
            <w:rFonts w:hint="eastAsia"/>
            <w:noProof/>
            <w:rtl/>
          </w:rPr>
          <w:t>חברת</w:t>
        </w:r>
        <w:r w:rsidR="005873D9" w:rsidRPr="00052B9F">
          <w:rPr>
            <w:rStyle w:val="Hyperlink"/>
            <w:noProof/>
            <w:rtl/>
          </w:rPr>
          <w:t xml:space="preserve"> </w:t>
        </w:r>
        <w:r w:rsidR="005873D9" w:rsidRPr="00052B9F">
          <w:rPr>
            <w:rStyle w:val="Hyperlink"/>
            <w:rFonts w:hint="eastAsia"/>
            <w:noProof/>
            <w:rtl/>
          </w:rPr>
          <w:t>החשמל</w:t>
        </w:r>
        <w:r w:rsidR="005873D9" w:rsidRPr="00052B9F">
          <w:rPr>
            <w:rStyle w:val="Hyperlink"/>
            <w:noProof/>
            <w:rtl/>
          </w:rPr>
          <w:t xml:space="preserve"> </w:t>
        </w:r>
        <w:r w:rsidR="005873D9" w:rsidRPr="00052B9F">
          <w:rPr>
            <w:rStyle w:val="Hyperlink"/>
            <w:rFonts w:hint="eastAsia"/>
            <w:noProof/>
            <w:rtl/>
          </w:rPr>
          <w:t>היא</w:t>
        </w:r>
        <w:r w:rsidR="005873D9" w:rsidRPr="00052B9F">
          <w:rPr>
            <w:rStyle w:val="Hyperlink"/>
            <w:noProof/>
            <w:rtl/>
          </w:rPr>
          <w:t xml:space="preserve"> </w:t>
        </w:r>
        <w:r w:rsidR="005873D9" w:rsidRPr="00052B9F">
          <w:rPr>
            <w:rStyle w:val="Hyperlink"/>
            <w:rFonts w:hint="eastAsia"/>
            <w:noProof/>
            <w:rtl/>
          </w:rPr>
          <w:t>בעלת</w:t>
        </w:r>
        <w:r w:rsidR="005873D9" w:rsidRPr="00052B9F">
          <w:rPr>
            <w:rStyle w:val="Hyperlink"/>
            <w:noProof/>
            <w:rtl/>
          </w:rPr>
          <w:t xml:space="preserve"> </w:t>
        </w:r>
        <w:r w:rsidR="005873D9" w:rsidRPr="00052B9F">
          <w:rPr>
            <w:rStyle w:val="Hyperlink"/>
            <w:rFonts w:hint="eastAsia"/>
            <w:noProof/>
            <w:rtl/>
          </w:rPr>
          <w:t>מונופולין</w:t>
        </w:r>
        <w:r w:rsidR="005873D9" w:rsidRPr="00052B9F">
          <w:rPr>
            <w:rStyle w:val="Hyperlink"/>
            <w:noProof/>
            <w:rtl/>
          </w:rPr>
          <w:t xml:space="preserve"> </w:t>
        </w:r>
        <w:r w:rsidR="005873D9" w:rsidRPr="00052B9F">
          <w:rPr>
            <w:rStyle w:val="Hyperlink"/>
            <w:rFonts w:hint="eastAsia"/>
            <w:noProof/>
            <w:rtl/>
          </w:rPr>
          <w:t>במקטעי</w:t>
        </w:r>
        <w:r w:rsidR="005873D9" w:rsidRPr="00052B9F">
          <w:rPr>
            <w:rStyle w:val="Hyperlink"/>
            <w:noProof/>
            <w:rtl/>
          </w:rPr>
          <w:t xml:space="preserve"> </w:t>
        </w:r>
        <w:r w:rsidR="005873D9" w:rsidRPr="00052B9F">
          <w:rPr>
            <w:rStyle w:val="Hyperlink"/>
            <w:rFonts w:hint="eastAsia"/>
            <w:noProof/>
            <w:rtl/>
          </w:rPr>
          <w:t>הולכה</w:t>
        </w:r>
        <w:r w:rsidR="005873D9" w:rsidRPr="00052B9F">
          <w:rPr>
            <w:rStyle w:val="Hyperlink"/>
            <w:noProof/>
            <w:rtl/>
          </w:rPr>
          <w:t xml:space="preserve"> </w:t>
        </w:r>
        <w:r w:rsidR="005873D9" w:rsidRPr="00052B9F">
          <w:rPr>
            <w:rStyle w:val="Hyperlink"/>
            <w:rFonts w:hint="eastAsia"/>
            <w:noProof/>
            <w:rtl/>
          </w:rPr>
          <w:t>וחלוקת</w:t>
        </w:r>
        <w:r w:rsidR="005873D9" w:rsidRPr="00052B9F">
          <w:rPr>
            <w:rStyle w:val="Hyperlink"/>
            <w:noProof/>
            <w:rtl/>
          </w:rPr>
          <w:t xml:space="preserve"> </w:t>
        </w:r>
        <w:r w:rsidR="005873D9" w:rsidRPr="00052B9F">
          <w:rPr>
            <w:rStyle w:val="Hyperlink"/>
            <w:rFonts w:hint="eastAsia"/>
            <w:noProof/>
            <w:rtl/>
          </w:rPr>
          <w:t>חשמל</w:t>
        </w:r>
        <w:r w:rsidR="005873D9" w:rsidRPr="00240124">
          <w:rPr>
            <w:rStyle w:val="Hyperlink"/>
            <w:noProof/>
            <w:webHidden/>
            <w:rtl/>
          </w:rPr>
          <w:tab/>
        </w:r>
        <w:r w:rsidR="005873D9">
          <w:rPr>
            <w:rStyle w:val="Hyperlink"/>
            <w:noProof/>
            <w:rtl/>
          </w:rPr>
          <w:fldChar w:fldCharType="begin"/>
        </w:r>
        <w:r w:rsidR="005873D9" w:rsidRPr="00240124">
          <w:rPr>
            <w:rStyle w:val="Hyperlink"/>
            <w:noProof/>
            <w:webHidden/>
            <w:rtl/>
          </w:rPr>
          <w:instrText xml:space="preserve"> </w:instrText>
        </w:r>
        <w:r w:rsidR="005873D9" w:rsidRPr="00240124">
          <w:rPr>
            <w:rStyle w:val="Hyperlink"/>
            <w:noProof/>
            <w:webHidden/>
          </w:rPr>
          <w:instrText>PAGEREF</w:instrText>
        </w:r>
        <w:r w:rsidR="005873D9" w:rsidRPr="00240124">
          <w:rPr>
            <w:rStyle w:val="Hyperlink"/>
            <w:noProof/>
            <w:webHidden/>
            <w:rtl/>
          </w:rPr>
          <w:instrText xml:space="preserve"> _</w:instrText>
        </w:r>
        <w:r w:rsidR="005873D9" w:rsidRPr="00240124">
          <w:rPr>
            <w:rStyle w:val="Hyperlink"/>
            <w:noProof/>
            <w:webHidden/>
          </w:rPr>
          <w:instrText>Toc476497408 \h</w:instrText>
        </w:r>
        <w:r w:rsidR="005873D9" w:rsidRPr="00240124">
          <w:rPr>
            <w:rStyle w:val="Hyperlink"/>
            <w:noProof/>
            <w:webHidden/>
            <w:rtl/>
          </w:rPr>
          <w:instrText xml:space="preserve"> </w:instrText>
        </w:r>
        <w:r w:rsidR="005873D9">
          <w:rPr>
            <w:rStyle w:val="Hyperlink"/>
            <w:noProof/>
            <w:rtl/>
          </w:rPr>
        </w:r>
        <w:r w:rsidR="005873D9">
          <w:rPr>
            <w:rStyle w:val="Hyperlink"/>
            <w:noProof/>
            <w:rtl/>
          </w:rPr>
          <w:fldChar w:fldCharType="separate"/>
        </w:r>
        <w:r w:rsidR="00AC4B59">
          <w:rPr>
            <w:rStyle w:val="Hyperlink"/>
            <w:noProof/>
            <w:webHidden/>
            <w:rtl/>
          </w:rPr>
          <w:t>16</w:t>
        </w:r>
        <w:r w:rsidR="005873D9">
          <w:rPr>
            <w:rStyle w:val="Hyperlink"/>
            <w:noProof/>
            <w:rtl/>
          </w:rPr>
          <w:fldChar w:fldCharType="end"/>
        </w:r>
      </w:hyperlink>
    </w:p>
    <w:p w:rsidR="005873D9" w:rsidRPr="00240124" w:rsidRDefault="001C367F" w:rsidP="00240124">
      <w:pPr>
        <w:pStyle w:val="TOC3"/>
        <w:spacing w:before="0"/>
        <w:ind w:left="657"/>
        <w:rPr>
          <w:rStyle w:val="Hyperlink"/>
          <w:noProof/>
          <w:rtl/>
        </w:rPr>
      </w:pPr>
      <w:hyperlink w:anchor="_Toc476497409" w:history="1">
        <w:r w:rsidR="005873D9" w:rsidRPr="00052B9F">
          <w:rPr>
            <w:rStyle w:val="Hyperlink"/>
            <w:rFonts w:hint="eastAsia"/>
            <w:noProof/>
            <w:rtl/>
          </w:rPr>
          <w:t>חברת</w:t>
        </w:r>
        <w:r w:rsidR="005873D9" w:rsidRPr="00052B9F">
          <w:rPr>
            <w:rStyle w:val="Hyperlink"/>
            <w:noProof/>
            <w:rtl/>
          </w:rPr>
          <w:t xml:space="preserve"> </w:t>
        </w:r>
        <w:r w:rsidR="005873D9" w:rsidRPr="00052B9F">
          <w:rPr>
            <w:rStyle w:val="Hyperlink"/>
            <w:rFonts w:hint="eastAsia"/>
            <w:noProof/>
            <w:rtl/>
          </w:rPr>
          <w:t>החשמל</w:t>
        </w:r>
        <w:r w:rsidR="005873D9" w:rsidRPr="00052B9F">
          <w:rPr>
            <w:rStyle w:val="Hyperlink"/>
            <w:noProof/>
            <w:rtl/>
          </w:rPr>
          <w:t xml:space="preserve"> </w:t>
        </w:r>
        <w:r w:rsidR="005873D9" w:rsidRPr="00052B9F">
          <w:rPr>
            <w:rStyle w:val="Hyperlink"/>
            <w:rFonts w:hint="eastAsia"/>
            <w:noProof/>
            <w:rtl/>
          </w:rPr>
          <w:t>ניצלה</w:t>
        </w:r>
        <w:r w:rsidR="005873D9" w:rsidRPr="00052B9F">
          <w:rPr>
            <w:rStyle w:val="Hyperlink"/>
            <w:noProof/>
            <w:rtl/>
          </w:rPr>
          <w:t xml:space="preserve"> </w:t>
        </w:r>
        <w:r w:rsidR="005873D9" w:rsidRPr="00052B9F">
          <w:rPr>
            <w:rStyle w:val="Hyperlink"/>
            <w:rFonts w:hint="eastAsia"/>
            <w:noProof/>
            <w:rtl/>
          </w:rPr>
          <w:t>מעמדה</w:t>
        </w:r>
        <w:r w:rsidR="005873D9" w:rsidRPr="00052B9F">
          <w:rPr>
            <w:rStyle w:val="Hyperlink"/>
            <w:noProof/>
            <w:rtl/>
          </w:rPr>
          <w:t xml:space="preserve"> </w:t>
        </w:r>
        <w:r w:rsidR="005873D9" w:rsidRPr="00052B9F">
          <w:rPr>
            <w:rStyle w:val="Hyperlink"/>
            <w:rFonts w:hint="eastAsia"/>
            <w:noProof/>
            <w:rtl/>
          </w:rPr>
          <w:t>בשווקי</w:t>
        </w:r>
        <w:r w:rsidR="005873D9" w:rsidRPr="00052B9F">
          <w:rPr>
            <w:rStyle w:val="Hyperlink"/>
            <w:noProof/>
            <w:rtl/>
          </w:rPr>
          <w:t xml:space="preserve"> </w:t>
        </w:r>
        <w:r w:rsidR="005873D9" w:rsidRPr="00052B9F">
          <w:rPr>
            <w:rStyle w:val="Hyperlink"/>
            <w:rFonts w:hint="eastAsia"/>
            <w:noProof/>
            <w:rtl/>
          </w:rPr>
          <w:t>הולכת</w:t>
        </w:r>
        <w:r w:rsidR="005873D9" w:rsidRPr="00052B9F">
          <w:rPr>
            <w:rStyle w:val="Hyperlink"/>
            <w:noProof/>
            <w:rtl/>
          </w:rPr>
          <w:t xml:space="preserve"> </w:t>
        </w:r>
        <w:r w:rsidR="005873D9" w:rsidRPr="00052B9F">
          <w:rPr>
            <w:rStyle w:val="Hyperlink"/>
            <w:rFonts w:hint="eastAsia"/>
            <w:noProof/>
            <w:rtl/>
          </w:rPr>
          <w:t>חשמל</w:t>
        </w:r>
        <w:r w:rsidR="005873D9" w:rsidRPr="00052B9F">
          <w:rPr>
            <w:rStyle w:val="Hyperlink"/>
            <w:noProof/>
            <w:rtl/>
          </w:rPr>
          <w:t xml:space="preserve"> </w:t>
        </w:r>
        <w:r w:rsidR="005873D9" w:rsidRPr="00052B9F">
          <w:rPr>
            <w:rStyle w:val="Hyperlink"/>
            <w:rFonts w:hint="eastAsia"/>
            <w:noProof/>
            <w:rtl/>
          </w:rPr>
          <w:t>וחלוקתו</w:t>
        </w:r>
        <w:r w:rsidR="005873D9" w:rsidRPr="00240124">
          <w:rPr>
            <w:rStyle w:val="Hyperlink"/>
            <w:noProof/>
            <w:webHidden/>
            <w:rtl/>
          </w:rPr>
          <w:tab/>
        </w:r>
        <w:r w:rsidR="005873D9">
          <w:rPr>
            <w:rStyle w:val="Hyperlink"/>
            <w:noProof/>
            <w:rtl/>
          </w:rPr>
          <w:fldChar w:fldCharType="begin"/>
        </w:r>
        <w:r w:rsidR="005873D9" w:rsidRPr="00240124">
          <w:rPr>
            <w:rStyle w:val="Hyperlink"/>
            <w:noProof/>
            <w:webHidden/>
            <w:rtl/>
          </w:rPr>
          <w:instrText xml:space="preserve"> </w:instrText>
        </w:r>
        <w:r w:rsidR="005873D9" w:rsidRPr="00240124">
          <w:rPr>
            <w:rStyle w:val="Hyperlink"/>
            <w:noProof/>
            <w:webHidden/>
          </w:rPr>
          <w:instrText>PAGEREF</w:instrText>
        </w:r>
        <w:r w:rsidR="005873D9" w:rsidRPr="00240124">
          <w:rPr>
            <w:rStyle w:val="Hyperlink"/>
            <w:noProof/>
            <w:webHidden/>
            <w:rtl/>
          </w:rPr>
          <w:instrText xml:space="preserve"> _</w:instrText>
        </w:r>
        <w:r w:rsidR="005873D9" w:rsidRPr="00240124">
          <w:rPr>
            <w:rStyle w:val="Hyperlink"/>
            <w:noProof/>
            <w:webHidden/>
          </w:rPr>
          <w:instrText>Toc476497409 \h</w:instrText>
        </w:r>
        <w:r w:rsidR="005873D9" w:rsidRPr="00240124">
          <w:rPr>
            <w:rStyle w:val="Hyperlink"/>
            <w:noProof/>
            <w:webHidden/>
            <w:rtl/>
          </w:rPr>
          <w:instrText xml:space="preserve"> </w:instrText>
        </w:r>
        <w:r w:rsidR="005873D9">
          <w:rPr>
            <w:rStyle w:val="Hyperlink"/>
            <w:noProof/>
            <w:rtl/>
          </w:rPr>
        </w:r>
        <w:r w:rsidR="005873D9">
          <w:rPr>
            <w:rStyle w:val="Hyperlink"/>
            <w:noProof/>
            <w:rtl/>
          </w:rPr>
          <w:fldChar w:fldCharType="separate"/>
        </w:r>
        <w:r w:rsidR="00AC4B59">
          <w:rPr>
            <w:rStyle w:val="Hyperlink"/>
            <w:noProof/>
            <w:webHidden/>
            <w:rtl/>
          </w:rPr>
          <w:t>16</w:t>
        </w:r>
        <w:r w:rsidR="005873D9">
          <w:rPr>
            <w:rStyle w:val="Hyperlink"/>
            <w:noProof/>
            <w:rtl/>
          </w:rPr>
          <w:fldChar w:fldCharType="end"/>
        </w:r>
      </w:hyperlink>
    </w:p>
    <w:p w:rsidR="005873D9" w:rsidRPr="00240124" w:rsidRDefault="001C367F" w:rsidP="00240124">
      <w:pPr>
        <w:pStyle w:val="TOC3"/>
        <w:spacing w:before="0"/>
        <w:ind w:left="657"/>
        <w:rPr>
          <w:rStyle w:val="Hyperlink"/>
          <w:noProof/>
          <w:rtl/>
        </w:rPr>
      </w:pPr>
      <w:hyperlink w:anchor="_Toc476497410" w:history="1">
        <w:r w:rsidR="005873D9" w:rsidRPr="00052B9F">
          <w:rPr>
            <w:rStyle w:val="Hyperlink"/>
            <w:rFonts w:hint="eastAsia"/>
            <w:noProof/>
            <w:rtl/>
          </w:rPr>
          <w:t>ניצול</w:t>
        </w:r>
        <w:r w:rsidR="005873D9" w:rsidRPr="00052B9F">
          <w:rPr>
            <w:rStyle w:val="Hyperlink"/>
            <w:noProof/>
            <w:rtl/>
          </w:rPr>
          <w:t xml:space="preserve"> </w:t>
        </w:r>
        <w:r w:rsidR="005873D9" w:rsidRPr="00052B9F">
          <w:rPr>
            <w:rStyle w:val="Hyperlink"/>
            <w:rFonts w:hint="eastAsia"/>
            <w:noProof/>
            <w:rtl/>
          </w:rPr>
          <w:t>המעמד</w:t>
        </w:r>
        <w:r w:rsidR="005873D9" w:rsidRPr="00052B9F">
          <w:rPr>
            <w:rStyle w:val="Hyperlink"/>
            <w:noProof/>
            <w:rtl/>
          </w:rPr>
          <w:t xml:space="preserve"> </w:t>
        </w:r>
        <w:r w:rsidR="005873D9" w:rsidRPr="00052B9F">
          <w:rPr>
            <w:rStyle w:val="Hyperlink"/>
            <w:rFonts w:hint="eastAsia"/>
            <w:noProof/>
            <w:rtl/>
          </w:rPr>
          <w:t>לרעה</w:t>
        </w:r>
        <w:r w:rsidR="005873D9" w:rsidRPr="00052B9F">
          <w:rPr>
            <w:rStyle w:val="Hyperlink"/>
            <w:noProof/>
            <w:rtl/>
          </w:rPr>
          <w:t xml:space="preserve"> </w:t>
        </w:r>
        <w:r w:rsidR="005873D9" w:rsidRPr="00052B9F">
          <w:rPr>
            <w:rStyle w:val="Hyperlink"/>
            <w:rFonts w:hint="eastAsia"/>
            <w:noProof/>
            <w:rtl/>
          </w:rPr>
          <w:t>נעשה</w:t>
        </w:r>
        <w:r w:rsidR="005873D9" w:rsidRPr="00052B9F">
          <w:rPr>
            <w:rStyle w:val="Hyperlink"/>
            <w:noProof/>
            <w:rtl/>
          </w:rPr>
          <w:t xml:space="preserve"> </w:t>
        </w:r>
        <w:r w:rsidR="005873D9" w:rsidRPr="00052B9F">
          <w:rPr>
            <w:rStyle w:val="Hyperlink"/>
            <w:rFonts w:hint="eastAsia"/>
            <w:noProof/>
            <w:rtl/>
          </w:rPr>
          <w:t>באופן</w:t>
        </w:r>
        <w:r w:rsidR="005873D9" w:rsidRPr="00052B9F">
          <w:rPr>
            <w:rStyle w:val="Hyperlink"/>
            <w:noProof/>
            <w:rtl/>
          </w:rPr>
          <w:t xml:space="preserve"> </w:t>
        </w:r>
        <w:r w:rsidR="005873D9" w:rsidRPr="00052B9F">
          <w:rPr>
            <w:rStyle w:val="Hyperlink"/>
            <w:rFonts w:hint="eastAsia"/>
            <w:noProof/>
            <w:rtl/>
          </w:rPr>
          <w:t>העלול</w:t>
        </w:r>
        <w:r w:rsidR="005873D9" w:rsidRPr="00052B9F">
          <w:rPr>
            <w:rStyle w:val="Hyperlink"/>
            <w:noProof/>
            <w:rtl/>
          </w:rPr>
          <w:t xml:space="preserve"> </w:t>
        </w:r>
        <w:r w:rsidR="005873D9" w:rsidRPr="00052B9F">
          <w:rPr>
            <w:rStyle w:val="Hyperlink"/>
            <w:rFonts w:hint="eastAsia"/>
            <w:noProof/>
            <w:rtl/>
          </w:rPr>
          <w:t>להפחית</w:t>
        </w:r>
        <w:r w:rsidR="005873D9" w:rsidRPr="00052B9F">
          <w:rPr>
            <w:rStyle w:val="Hyperlink"/>
            <w:noProof/>
            <w:rtl/>
          </w:rPr>
          <w:t xml:space="preserve"> </w:t>
        </w:r>
        <w:r w:rsidR="005873D9" w:rsidRPr="00052B9F">
          <w:rPr>
            <w:rStyle w:val="Hyperlink"/>
            <w:rFonts w:hint="eastAsia"/>
            <w:noProof/>
            <w:rtl/>
          </w:rPr>
          <w:t>את</w:t>
        </w:r>
        <w:r w:rsidR="005873D9" w:rsidRPr="00052B9F">
          <w:rPr>
            <w:rStyle w:val="Hyperlink"/>
            <w:noProof/>
            <w:rtl/>
          </w:rPr>
          <w:t xml:space="preserve"> </w:t>
        </w:r>
        <w:r w:rsidR="005873D9" w:rsidRPr="00052B9F">
          <w:rPr>
            <w:rStyle w:val="Hyperlink"/>
            <w:rFonts w:hint="eastAsia"/>
            <w:noProof/>
            <w:rtl/>
          </w:rPr>
          <w:t>התחרות</w:t>
        </w:r>
        <w:r w:rsidR="005873D9" w:rsidRPr="00052B9F">
          <w:rPr>
            <w:rStyle w:val="Hyperlink"/>
            <w:noProof/>
            <w:rtl/>
          </w:rPr>
          <w:t xml:space="preserve"> </w:t>
        </w:r>
        <w:r w:rsidR="005873D9" w:rsidRPr="00052B9F">
          <w:rPr>
            <w:rStyle w:val="Hyperlink"/>
            <w:rFonts w:hint="eastAsia"/>
            <w:noProof/>
            <w:rtl/>
          </w:rPr>
          <w:t>בעסקים</w:t>
        </w:r>
        <w:r w:rsidR="005873D9" w:rsidRPr="00052B9F">
          <w:rPr>
            <w:rStyle w:val="Hyperlink"/>
            <w:noProof/>
            <w:rtl/>
          </w:rPr>
          <w:t xml:space="preserve"> </w:t>
        </w:r>
        <w:r w:rsidR="005873D9" w:rsidRPr="00052B9F">
          <w:rPr>
            <w:rStyle w:val="Hyperlink"/>
            <w:rFonts w:hint="eastAsia"/>
            <w:noProof/>
            <w:rtl/>
          </w:rPr>
          <w:t>או</w:t>
        </w:r>
        <w:r w:rsidR="005873D9" w:rsidRPr="00052B9F">
          <w:rPr>
            <w:rStyle w:val="Hyperlink"/>
            <w:noProof/>
            <w:rtl/>
          </w:rPr>
          <w:t xml:space="preserve"> </w:t>
        </w:r>
        <w:r w:rsidR="005873D9" w:rsidRPr="00052B9F">
          <w:rPr>
            <w:rStyle w:val="Hyperlink"/>
            <w:rFonts w:hint="eastAsia"/>
            <w:noProof/>
            <w:rtl/>
          </w:rPr>
          <w:t>לפגוע</w:t>
        </w:r>
        <w:r w:rsidR="005873D9" w:rsidRPr="00052B9F">
          <w:rPr>
            <w:rStyle w:val="Hyperlink"/>
            <w:noProof/>
            <w:rtl/>
          </w:rPr>
          <w:t xml:space="preserve"> </w:t>
        </w:r>
        <w:r w:rsidR="005873D9" w:rsidRPr="00052B9F">
          <w:rPr>
            <w:rStyle w:val="Hyperlink"/>
            <w:rFonts w:hint="eastAsia"/>
            <w:noProof/>
            <w:rtl/>
          </w:rPr>
          <w:t>בציבור</w:t>
        </w:r>
        <w:r w:rsidR="005873D9" w:rsidRPr="00240124">
          <w:rPr>
            <w:rStyle w:val="Hyperlink"/>
            <w:noProof/>
            <w:webHidden/>
            <w:rtl/>
          </w:rPr>
          <w:tab/>
        </w:r>
        <w:r w:rsidR="005873D9">
          <w:rPr>
            <w:rStyle w:val="Hyperlink"/>
            <w:noProof/>
            <w:rtl/>
          </w:rPr>
          <w:fldChar w:fldCharType="begin"/>
        </w:r>
        <w:r w:rsidR="005873D9" w:rsidRPr="00240124">
          <w:rPr>
            <w:rStyle w:val="Hyperlink"/>
            <w:noProof/>
            <w:webHidden/>
            <w:rtl/>
          </w:rPr>
          <w:instrText xml:space="preserve"> </w:instrText>
        </w:r>
        <w:r w:rsidR="005873D9" w:rsidRPr="00240124">
          <w:rPr>
            <w:rStyle w:val="Hyperlink"/>
            <w:noProof/>
            <w:webHidden/>
          </w:rPr>
          <w:instrText>PAGEREF</w:instrText>
        </w:r>
        <w:r w:rsidR="005873D9" w:rsidRPr="00240124">
          <w:rPr>
            <w:rStyle w:val="Hyperlink"/>
            <w:noProof/>
            <w:webHidden/>
            <w:rtl/>
          </w:rPr>
          <w:instrText xml:space="preserve"> _</w:instrText>
        </w:r>
        <w:r w:rsidR="005873D9" w:rsidRPr="00240124">
          <w:rPr>
            <w:rStyle w:val="Hyperlink"/>
            <w:noProof/>
            <w:webHidden/>
          </w:rPr>
          <w:instrText>Toc476497410 \h</w:instrText>
        </w:r>
        <w:r w:rsidR="005873D9" w:rsidRPr="00240124">
          <w:rPr>
            <w:rStyle w:val="Hyperlink"/>
            <w:noProof/>
            <w:webHidden/>
            <w:rtl/>
          </w:rPr>
          <w:instrText xml:space="preserve"> </w:instrText>
        </w:r>
        <w:r w:rsidR="005873D9">
          <w:rPr>
            <w:rStyle w:val="Hyperlink"/>
            <w:noProof/>
            <w:rtl/>
          </w:rPr>
        </w:r>
        <w:r w:rsidR="005873D9">
          <w:rPr>
            <w:rStyle w:val="Hyperlink"/>
            <w:noProof/>
            <w:rtl/>
          </w:rPr>
          <w:fldChar w:fldCharType="separate"/>
        </w:r>
        <w:r w:rsidR="00AC4B59">
          <w:rPr>
            <w:rStyle w:val="Hyperlink"/>
            <w:noProof/>
            <w:webHidden/>
            <w:rtl/>
          </w:rPr>
          <w:t>18</w:t>
        </w:r>
        <w:r w:rsidR="005873D9">
          <w:rPr>
            <w:rStyle w:val="Hyperlink"/>
            <w:noProof/>
            <w:rtl/>
          </w:rPr>
          <w:fldChar w:fldCharType="end"/>
        </w:r>
      </w:hyperlink>
    </w:p>
    <w:p w:rsidR="005873D9" w:rsidRPr="00240124" w:rsidRDefault="001C367F" w:rsidP="00240124">
      <w:pPr>
        <w:pStyle w:val="TOC3"/>
        <w:spacing w:before="0"/>
        <w:ind w:left="657"/>
        <w:rPr>
          <w:rStyle w:val="Hyperlink"/>
          <w:noProof/>
          <w:rtl/>
        </w:rPr>
      </w:pPr>
      <w:hyperlink w:anchor="_Toc476497411" w:history="1">
        <w:r w:rsidR="005873D9" w:rsidRPr="00052B9F">
          <w:rPr>
            <w:rStyle w:val="Hyperlink"/>
            <w:rFonts w:hint="eastAsia"/>
            <w:noProof/>
            <w:rtl/>
          </w:rPr>
          <w:t>גם</w:t>
        </w:r>
        <w:r w:rsidR="005873D9" w:rsidRPr="00052B9F">
          <w:rPr>
            <w:rStyle w:val="Hyperlink"/>
            <w:noProof/>
            <w:rtl/>
          </w:rPr>
          <w:t xml:space="preserve"> </w:t>
        </w:r>
        <w:r w:rsidR="005873D9" w:rsidRPr="00052B9F">
          <w:rPr>
            <w:rStyle w:val="Hyperlink"/>
            <w:rFonts w:hint="eastAsia"/>
            <w:noProof/>
            <w:rtl/>
          </w:rPr>
          <w:t>על</w:t>
        </w:r>
        <w:r w:rsidR="005873D9" w:rsidRPr="00052B9F">
          <w:rPr>
            <w:rStyle w:val="Hyperlink"/>
            <w:noProof/>
            <w:rtl/>
          </w:rPr>
          <w:t xml:space="preserve"> </w:t>
        </w:r>
        <w:r w:rsidR="005873D9" w:rsidRPr="00052B9F">
          <w:rPr>
            <w:rStyle w:val="Hyperlink"/>
            <w:rFonts w:hint="eastAsia"/>
            <w:noProof/>
            <w:rtl/>
          </w:rPr>
          <w:t>פי</w:t>
        </w:r>
        <w:r w:rsidR="005873D9" w:rsidRPr="00052B9F">
          <w:rPr>
            <w:rStyle w:val="Hyperlink"/>
            <w:noProof/>
            <w:rtl/>
          </w:rPr>
          <w:t xml:space="preserve"> </w:t>
        </w:r>
        <w:r w:rsidR="005873D9" w:rsidRPr="00052B9F">
          <w:rPr>
            <w:rStyle w:val="Hyperlink"/>
            <w:rFonts w:hint="eastAsia"/>
            <w:noProof/>
            <w:rtl/>
          </w:rPr>
          <w:t>הדין</w:t>
        </w:r>
        <w:r w:rsidR="005873D9" w:rsidRPr="00052B9F">
          <w:rPr>
            <w:rStyle w:val="Hyperlink"/>
            <w:noProof/>
            <w:rtl/>
          </w:rPr>
          <w:t xml:space="preserve"> </w:t>
        </w:r>
        <w:r w:rsidR="005873D9" w:rsidRPr="00052B9F">
          <w:rPr>
            <w:rStyle w:val="Hyperlink"/>
            <w:rFonts w:hint="eastAsia"/>
            <w:noProof/>
            <w:rtl/>
          </w:rPr>
          <w:t>המשווה</w:t>
        </w:r>
        <w:r w:rsidR="005873D9" w:rsidRPr="00052B9F">
          <w:rPr>
            <w:rStyle w:val="Hyperlink"/>
            <w:noProof/>
            <w:rtl/>
          </w:rPr>
          <w:t xml:space="preserve"> – </w:t>
        </w:r>
        <w:r w:rsidR="005873D9" w:rsidRPr="00052B9F">
          <w:rPr>
            <w:rStyle w:val="Hyperlink"/>
            <w:rFonts w:hint="eastAsia"/>
            <w:noProof/>
            <w:rtl/>
          </w:rPr>
          <w:t>חברת</w:t>
        </w:r>
        <w:r w:rsidR="005873D9" w:rsidRPr="00052B9F">
          <w:rPr>
            <w:rStyle w:val="Hyperlink"/>
            <w:noProof/>
            <w:rtl/>
          </w:rPr>
          <w:t xml:space="preserve"> </w:t>
        </w:r>
        <w:r w:rsidR="005873D9" w:rsidRPr="00052B9F">
          <w:rPr>
            <w:rStyle w:val="Hyperlink"/>
            <w:rFonts w:hint="eastAsia"/>
            <w:noProof/>
            <w:rtl/>
          </w:rPr>
          <w:t>החשמל</w:t>
        </w:r>
        <w:r w:rsidR="005873D9" w:rsidRPr="00052B9F">
          <w:rPr>
            <w:rStyle w:val="Hyperlink"/>
            <w:noProof/>
            <w:rtl/>
          </w:rPr>
          <w:t xml:space="preserve"> </w:t>
        </w:r>
        <w:r w:rsidR="005873D9" w:rsidRPr="00052B9F">
          <w:rPr>
            <w:rStyle w:val="Hyperlink"/>
            <w:rFonts w:hint="eastAsia"/>
            <w:noProof/>
            <w:rtl/>
          </w:rPr>
          <w:t>ניצלה</w:t>
        </w:r>
        <w:r w:rsidR="005873D9" w:rsidRPr="00052B9F">
          <w:rPr>
            <w:rStyle w:val="Hyperlink"/>
            <w:noProof/>
            <w:rtl/>
          </w:rPr>
          <w:t xml:space="preserve"> </w:t>
        </w:r>
        <w:r w:rsidR="005873D9" w:rsidRPr="00052B9F">
          <w:rPr>
            <w:rStyle w:val="Hyperlink"/>
            <w:rFonts w:hint="eastAsia"/>
            <w:noProof/>
            <w:rtl/>
          </w:rPr>
          <w:t>את</w:t>
        </w:r>
        <w:r w:rsidR="005873D9" w:rsidRPr="00052B9F">
          <w:rPr>
            <w:rStyle w:val="Hyperlink"/>
            <w:noProof/>
            <w:rtl/>
          </w:rPr>
          <w:t xml:space="preserve"> </w:t>
        </w:r>
        <w:r w:rsidR="005873D9" w:rsidRPr="00052B9F">
          <w:rPr>
            <w:rStyle w:val="Hyperlink"/>
            <w:rFonts w:hint="eastAsia"/>
            <w:noProof/>
            <w:rtl/>
          </w:rPr>
          <w:t>מעמדה</w:t>
        </w:r>
        <w:r w:rsidR="005873D9" w:rsidRPr="00052B9F">
          <w:rPr>
            <w:rStyle w:val="Hyperlink"/>
            <w:noProof/>
            <w:rtl/>
          </w:rPr>
          <w:t xml:space="preserve"> </w:t>
        </w:r>
        <w:r w:rsidR="005873D9" w:rsidRPr="00052B9F">
          <w:rPr>
            <w:rStyle w:val="Hyperlink"/>
            <w:rFonts w:hint="eastAsia"/>
            <w:noProof/>
            <w:rtl/>
          </w:rPr>
          <w:t>לרעה</w:t>
        </w:r>
        <w:r w:rsidR="005873D9" w:rsidRPr="00052B9F">
          <w:rPr>
            <w:rStyle w:val="Hyperlink"/>
            <w:noProof/>
            <w:rtl/>
          </w:rPr>
          <w:t xml:space="preserve"> </w:t>
        </w:r>
        <w:r w:rsidR="005873D9" w:rsidRPr="00052B9F">
          <w:rPr>
            <w:rStyle w:val="Hyperlink"/>
            <w:rFonts w:hint="eastAsia"/>
            <w:noProof/>
            <w:rtl/>
          </w:rPr>
          <w:t>באופן</w:t>
        </w:r>
        <w:r w:rsidR="005873D9" w:rsidRPr="00052B9F">
          <w:rPr>
            <w:rStyle w:val="Hyperlink"/>
            <w:noProof/>
            <w:rtl/>
          </w:rPr>
          <w:t xml:space="preserve"> </w:t>
        </w:r>
        <w:r w:rsidR="005873D9" w:rsidRPr="00052B9F">
          <w:rPr>
            <w:rStyle w:val="Hyperlink"/>
            <w:rFonts w:hint="eastAsia"/>
            <w:noProof/>
            <w:rtl/>
          </w:rPr>
          <w:t>העלול</w:t>
        </w:r>
        <w:r w:rsidR="005873D9" w:rsidRPr="00052B9F">
          <w:rPr>
            <w:rStyle w:val="Hyperlink"/>
            <w:noProof/>
            <w:rtl/>
          </w:rPr>
          <w:t xml:space="preserve"> </w:t>
        </w:r>
        <w:r w:rsidR="005873D9" w:rsidRPr="00052B9F">
          <w:rPr>
            <w:rStyle w:val="Hyperlink"/>
            <w:rFonts w:hint="eastAsia"/>
            <w:noProof/>
            <w:rtl/>
          </w:rPr>
          <w:t>להפחית</w:t>
        </w:r>
        <w:r w:rsidR="005873D9" w:rsidRPr="00052B9F">
          <w:rPr>
            <w:rStyle w:val="Hyperlink"/>
            <w:noProof/>
            <w:rtl/>
          </w:rPr>
          <w:t xml:space="preserve"> </w:t>
        </w:r>
        <w:r w:rsidR="005873D9" w:rsidRPr="00052B9F">
          <w:rPr>
            <w:rStyle w:val="Hyperlink"/>
            <w:rFonts w:hint="eastAsia"/>
            <w:noProof/>
            <w:rtl/>
          </w:rPr>
          <w:t>את</w:t>
        </w:r>
        <w:r w:rsidR="005873D9" w:rsidRPr="00052B9F">
          <w:rPr>
            <w:rStyle w:val="Hyperlink"/>
            <w:noProof/>
            <w:rtl/>
          </w:rPr>
          <w:t xml:space="preserve"> </w:t>
        </w:r>
        <w:r w:rsidR="005873D9" w:rsidRPr="00052B9F">
          <w:rPr>
            <w:rStyle w:val="Hyperlink"/>
            <w:rFonts w:hint="eastAsia"/>
            <w:noProof/>
            <w:rtl/>
          </w:rPr>
          <w:t>התחרות</w:t>
        </w:r>
        <w:r w:rsidR="005873D9" w:rsidRPr="00052B9F">
          <w:rPr>
            <w:rStyle w:val="Hyperlink"/>
            <w:noProof/>
            <w:rtl/>
          </w:rPr>
          <w:t xml:space="preserve"> </w:t>
        </w:r>
        <w:r w:rsidR="005873D9" w:rsidRPr="00052B9F">
          <w:rPr>
            <w:rStyle w:val="Hyperlink"/>
            <w:rFonts w:hint="eastAsia"/>
            <w:noProof/>
            <w:rtl/>
          </w:rPr>
          <w:t>בעסקים</w:t>
        </w:r>
        <w:r w:rsidR="005873D9" w:rsidRPr="00052B9F">
          <w:rPr>
            <w:rStyle w:val="Hyperlink"/>
            <w:noProof/>
            <w:rtl/>
          </w:rPr>
          <w:t xml:space="preserve"> </w:t>
        </w:r>
        <w:r w:rsidR="005873D9" w:rsidRPr="00052B9F">
          <w:rPr>
            <w:rStyle w:val="Hyperlink"/>
            <w:rFonts w:hint="eastAsia"/>
            <w:noProof/>
            <w:rtl/>
          </w:rPr>
          <w:t>או</w:t>
        </w:r>
        <w:r w:rsidR="005873D9" w:rsidRPr="00052B9F">
          <w:rPr>
            <w:rStyle w:val="Hyperlink"/>
            <w:noProof/>
            <w:rtl/>
          </w:rPr>
          <w:t xml:space="preserve"> </w:t>
        </w:r>
        <w:r w:rsidR="005873D9" w:rsidRPr="00052B9F">
          <w:rPr>
            <w:rStyle w:val="Hyperlink"/>
            <w:rFonts w:hint="eastAsia"/>
            <w:noProof/>
            <w:rtl/>
          </w:rPr>
          <w:t>לפגוע</w:t>
        </w:r>
        <w:r w:rsidR="005873D9" w:rsidRPr="00052B9F">
          <w:rPr>
            <w:rStyle w:val="Hyperlink"/>
            <w:noProof/>
            <w:rtl/>
          </w:rPr>
          <w:t xml:space="preserve"> </w:t>
        </w:r>
        <w:r w:rsidR="005873D9" w:rsidRPr="00052B9F">
          <w:rPr>
            <w:rStyle w:val="Hyperlink"/>
            <w:rFonts w:hint="eastAsia"/>
            <w:noProof/>
            <w:rtl/>
          </w:rPr>
          <w:t>בציבור</w:t>
        </w:r>
        <w:r w:rsidR="005873D9" w:rsidRPr="00240124">
          <w:rPr>
            <w:rStyle w:val="Hyperlink"/>
            <w:noProof/>
            <w:webHidden/>
            <w:rtl/>
          </w:rPr>
          <w:tab/>
        </w:r>
        <w:r w:rsidR="005873D9">
          <w:rPr>
            <w:rStyle w:val="Hyperlink"/>
            <w:noProof/>
            <w:rtl/>
          </w:rPr>
          <w:fldChar w:fldCharType="begin"/>
        </w:r>
        <w:r w:rsidR="005873D9" w:rsidRPr="00240124">
          <w:rPr>
            <w:rStyle w:val="Hyperlink"/>
            <w:noProof/>
            <w:webHidden/>
            <w:rtl/>
          </w:rPr>
          <w:instrText xml:space="preserve"> </w:instrText>
        </w:r>
        <w:r w:rsidR="005873D9" w:rsidRPr="00240124">
          <w:rPr>
            <w:rStyle w:val="Hyperlink"/>
            <w:noProof/>
            <w:webHidden/>
          </w:rPr>
          <w:instrText>PAGEREF</w:instrText>
        </w:r>
        <w:r w:rsidR="005873D9" w:rsidRPr="00240124">
          <w:rPr>
            <w:rStyle w:val="Hyperlink"/>
            <w:noProof/>
            <w:webHidden/>
            <w:rtl/>
          </w:rPr>
          <w:instrText xml:space="preserve"> _</w:instrText>
        </w:r>
        <w:r w:rsidR="005873D9" w:rsidRPr="00240124">
          <w:rPr>
            <w:rStyle w:val="Hyperlink"/>
            <w:noProof/>
            <w:webHidden/>
          </w:rPr>
          <w:instrText>Toc476497411 \h</w:instrText>
        </w:r>
        <w:r w:rsidR="005873D9" w:rsidRPr="00240124">
          <w:rPr>
            <w:rStyle w:val="Hyperlink"/>
            <w:noProof/>
            <w:webHidden/>
            <w:rtl/>
          </w:rPr>
          <w:instrText xml:space="preserve"> </w:instrText>
        </w:r>
        <w:r w:rsidR="005873D9">
          <w:rPr>
            <w:rStyle w:val="Hyperlink"/>
            <w:noProof/>
            <w:rtl/>
          </w:rPr>
        </w:r>
        <w:r w:rsidR="005873D9">
          <w:rPr>
            <w:rStyle w:val="Hyperlink"/>
            <w:noProof/>
            <w:rtl/>
          </w:rPr>
          <w:fldChar w:fldCharType="separate"/>
        </w:r>
        <w:r w:rsidR="00AC4B59">
          <w:rPr>
            <w:rStyle w:val="Hyperlink"/>
            <w:noProof/>
            <w:webHidden/>
            <w:rtl/>
          </w:rPr>
          <w:t>20</w:t>
        </w:r>
        <w:r w:rsidR="005873D9">
          <w:rPr>
            <w:rStyle w:val="Hyperlink"/>
            <w:noProof/>
            <w:rtl/>
          </w:rPr>
          <w:fldChar w:fldCharType="end"/>
        </w:r>
      </w:hyperlink>
    </w:p>
    <w:p w:rsidR="005873D9" w:rsidRPr="00FE3330" w:rsidRDefault="001C367F" w:rsidP="005873D9">
      <w:pPr>
        <w:pStyle w:val="TOC2"/>
        <w:tabs>
          <w:tab w:val="left" w:pos="1100"/>
          <w:tab w:val="right" w:leader="dot" w:pos="8302"/>
        </w:tabs>
        <w:spacing w:before="0" w:line="240" w:lineRule="auto"/>
        <w:rPr>
          <w:rFonts w:ascii="Calibri" w:hAnsi="Calibri" w:cs="Arial"/>
          <w:noProof/>
          <w:szCs w:val="22"/>
          <w:rtl/>
          <w:lang w:eastAsia="en-US"/>
        </w:rPr>
      </w:pPr>
      <w:hyperlink w:anchor="_Toc476497412" w:history="1">
        <w:r w:rsidR="005873D9" w:rsidRPr="00052B9F">
          <w:rPr>
            <w:rStyle w:val="Hyperlink"/>
            <w:rFonts w:hint="eastAsia"/>
            <w:noProof/>
            <w:rtl/>
          </w:rPr>
          <w:t>ג</w:t>
        </w:r>
        <w:r w:rsidR="005873D9" w:rsidRPr="00052B9F">
          <w:rPr>
            <w:rStyle w:val="Hyperlink"/>
            <w:noProof/>
            <w:rtl/>
          </w:rPr>
          <w:t>.3.</w:t>
        </w:r>
        <w:r w:rsidR="005873D9" w:rsidRPr="00FE3330">
          <w:rPr>
            <w:rFonts w:ascii="Calibri" w:hAnsi="Calibri" w:cs="Arial"/>
            <w:noProof/>
            <w:szCs w:val="22"/>
            <w:rtl/>
            <w:lang w:eastAsia="en-US"/>
          </w:rPr>
          <w:tab/>
        </w:r>
        <w:r w:rsidR="005873D9" w:rsidRPr="00052B9F">
          <w:rPr>
            <w:rStyle w:val="Hyperlink"/>
            <w:rFonts w:hint="eastAsia"/>
            <w:noProof/>
            <w:rtl/>
          </w:rPr>
          <w:t>חברת</w:t>
        </w:r>
        <w:r w:rsidR="005873D9" w:rsidRPr="00052B9F">
          <w:rPr>
            <w:rStyle w:val="Hyperlink"/>
            <w:noProof/>
            <w:rtl/>
          </w:rPr>
          <w:t xml:space="preserve"> </w:t>
        </w:r>
        <w:r w:rsidR="005873D9" w:rsidRPr="00052B9F">
          <w:rPr>
            <w:rStyle w:val="Hyperlink"/>
            <w:rFonts w:hint="eastAsia"/>
            <w:noProof/>
            <w:rtl/>
          </w:rPr>
          <w:t>החשמל</w:t>
        </w:r>
        <w:r w:rsidR="005873D9" w:rsidRPr="00052B9F">
          <w:rPr>
            <w:rStyle w:val="Hyperlink"/>
            <w:noProof/>
            <w:rtl/>
          </w:rPr>
          <w:t xml:space="preserve"> </w:t>
        </w:r>
        <w:r w:rsidR="005873D9" w:rsidRPr="00052B9F">
          <w:rPr>
            <w:rStyle w:val="Hyperlink"/>
            <w:rFonts w:hint="eastAsia"/>
            <w:noProof/>
            <w:rtl/>
          </w:rPr>
          <w:t>ניצלה</w:t>
        </w:r>
        <w:r w:rsidR="005873D9" w:rsidRPr="00052B9F">
          <w:rPr>
            <w:rStyle w:val="Hyperlink"/>
            <w:noProof/>
            <w:rtl/>
          </w:rPr>
          <w:t xml:space="preserve"> </w:t>
        </w:r>
        <w:r w:rsidR="005873D9" w:rsidRPr="00052B9F">
          <w:rPr>
            <w:rStyle w:val="Hyperlink"/>
            <w:rFonts w:hint="eastAsia"/>
            <w:noProof/>
            <w:rtl/>
          </w:rPr>
          <w:t>את</w:t>
        </w:r>
        <w:r w:rsidR="005873D9" w:rsidRPr="00052B9F">
          <w:rPr>
            <w:rStyle w:val="Hyperlink"/>
            <w:noProof/>
            <w:rtl/>
          </w:rPr>
          <w:t xml:space="preserve"> </w:t>
        </w:r>
        <w:r w:rsidR="005873D9" w:rsidRPr="00052B9F">
          <w:rPr>
            <w:rStyle w:val="Hyperlink"/>
            <w:rFonts w:hint="eastAsia"/>
            <w:noProof/>
            <w:rtl/>
          </w:rPr>
          <w:t>מעמדה</w:t>
        </w:r>
        <w:r w:rsidR="005873D9" w:rsidRPr="00052B9F">
          <w:rPr>
            <w:rStyle w:val="Hyperlink"/>
            <w:noProof/>
            <w:rtl/>
          </w:rPr>
          <w:t xml:space="preserve"> </w:t>
        </w:r>
        <w:r w:rsidR="005873D9" w:rsidRPr="00052B9F">
          <w:rPr>
            <w:rStyle w:val="Hyperlink"/>
            <w:rFonts w:hint="eastAsia"/>
            <w:noProof/>
            <w:rtl/>
          </w:rPr>
          <w:t>לרעה</w:t>
        </w:r>
        <w:r w:rsidR="005873D9" w:rsidRPr="00052B9F">
          <w:rPr>
            <w:rStyle w:val="Hyperlink"/>
            <w:noProof/>
            <w:rtl/>
          </w:rPr>
          <w:t xml:space="preserve"> </w:t>
        </w:r>
        <w:r w:rsidR="005873D9" w:rsidRPr="00052B9F">
          <w:rPr>
            <w:rStyle w:val="Hyperlink"/>
            <w:rFonts w:hint="eastAsia"/>
            <w:noProof/>
            <w:rtl/>
          </w:rPr>
          <w:t>בניגוד</w:t>
        </w:r>
        <w:r w:rsidR="005873D9" w:rsidRPr="00052B9F">
          <w:rPr>
            <w:rStyle w:val="Hyperlink"/>
            <w:noProof/>
            <w:rtl/>
          </w:rPr>
          <w:t xml:space="preserve"> </w:t>
        </w:r>
        <w:r w:rsidR="005873D9" w:rsidRPr="00052B9F">
          <w:rPr>
            <w:rStyle w:val="Hyperlink"/>
            <w:rFonts w:hint="eastAsia"/>
            <w:noProof/>
            <w:rtl/>
          </w:rPr>
          <w:t>להוראות</w:t>
        </w:r>
        <w:r w:rsidR="005873D9" w:rsidRPr="00052B9F">
          <w:rPr>
            <w:rStyle w:val="Hyperlink"/>
            <w:noProof/>
            <w:rtl/>
          </w:rPr>
          <w:t xml:space="preserve"> </w:t>
        </w:r>
        <w:r w:rsidR="005873D9" w:rsidRPr="00052B9F">
          <w:rPr>
            <w:rStyle w:val="Hyperlink"/>
            <w:rFonts w:hint="eastAsia"/>
            <w:noProof/>
            <w:rtl/>
          </w:rPr>
          <w:t>סעיף</w:t>
        </w:r>
        <w:r w:rsidR="005873D9" w:rsidRPr="00052B9F">
          <w:rPr>
            <w:rStyle w:val="Hyperlink"/>
            <w:noProof/>
            <w:rtl/>
          </w:rPr>
          <w:t xml:space="preserve"> 29</w:t>
        </w:r>
        <w:r w:rsidR="005873D9" w:rsidRPr="00052B9F">
          <w:rPr>
            <w:rStyle w:val="Hyperlink"/>
            <w:rFonts w:hint="eastAsia"/>
            <w:noProof/>
            <w:rtl/>
          </w:rPr>
          <w:t>א</w:t>
        </w:r>
        <w:r w:rsidR="005873D9" w:rsidRPr="00052B9F">
          <w:rPr>
            <w:rStyle w:val="Hyperlink"/>
            <w:noProof/>
            <w:rtl/>
          </w:rPr>
          <w:t>(</w:t>
        </w:r>
        <w:r w:rsidR="005873D9" w:rsidRPr="00052B9F">
          <w:rPr>
            <w:rStyle w:val="Hyperlink"/>
            <w:rFonts w:hint="eastAsia"/>
            <w:noProof/>
            <w:rtl/>
          </w:rPr>
          <w:t>ב</w:t>
        </w:r>
        <w:r w:rsidR="005873D9" w:rsidRPr="00052B9F">
          <w:rPr>
            <w:rStyle w:val="Hyperlink"/>
            <w:noProof/>
            <w:rtl/>
          </w:rPr>
          <w:t xml:space="preserve">) </w:t>
        </w:r>
        <w:r w:rsidR="005873D9" w:rsidRPr="00052B9F">
          <w:rPr>
            <w:rStyle w:val="Hyperlink"/>
            <w:rFonts w:hint="eastAsia"/>
            <w:noProof/>
            <w:rtl/>
          </w:rPr>
          <w:t>לחוק</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Toc476497412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21</w:t>
        </w:r>
        <w:r w:rsidR="005873D9">
          <w:rPr>
            <w:rStyle w:val="Hyperlink"/>
            <w:noProof/>
            <w:rtl/>
          </w:rPr>
          <w:fldChar w:fldCharType="end"/>
        </w:r>
      </w:hyperlink>
    </w:p>
    <w:p w:rsidR="005873D9" w:rsidRPr="00240124" w:rsidRDefault="001C367F" w:rsidP="00240124">
      <w:pPr>
        <w:pStyle w:val="TOC3"/>
        <w:spacing w:before="0"/>
        <w:ind w:left="657"/>
        <w:rPr>
          <w:rStyle w:val="Hyperlink"/>
          <w:noProof/>
          <w:rtl/>
        </w:rPr>
      </w:pPr>
      <w:hyperlink w:anchor="_Toc476497413" w:history="1">
        <w:r w:rsidR="005873D9" w:rsidRPr="00052B9F">
          <w:rPr>
            <w:rStyle w:val="Hyperlink"/>
            <w:rFonts w:hint="eastAsia"/>
            <w:noProof/>
            <w:rtl/>
          </w:rPr>
          <w:t>חברת</w:t>
        </w:r>
        <w:r w:rsidR="005873D9" w:rsidRPr="00052B9F">
          <w:rPr>
            <w:rStyle w:val="Hyperlink"/>
            <w:noProof/>
            <w:rtl/>
          </w:rPr>
          <w:t xml:space="preserve"> </w:t>
        </w:r>
        <w:r w:rsidR="005873D9" w:rsidRPr="00052B9F">
          <w:rPr>
            <w:rStyle w:val="Hyperlink"/>
            <w:rFonts w:hint="eastAsia"/>
            <w:noProof/>
            <w:rtl/>
          </w:rPr>
          <w:t>החשמל</w:t>
        </w:r>
        <w:r w:rsidR="005873D9" w:rsidRPr="00052B9F">
          <w:rPr>
            <w:rStyle w:val="Hyperlink"/>
            <w:noProof/>
            <w:rtl/>
          </w:rPr>
          <w:t xml:space="preserve"> </w:t>
        </w:r>
        <w:r w:rsidR="005873D9" w:rsidRPr="00052B9F">
          <w:rPr>
            <w:rStyle w:val="Hyperlink"/>
            <w:rFonts w:hint="eastAsia"/>
            <w:noProof/>
            <w:rtl/>
          </w:rPr>
          <w:t>צמצמה</w:t>
        </w:r>
        <w:r w:rsidR="005873D9" w:rsidRPr="00052B9F">
          <w:rPr>
            <w:rStyle w:val="Hyperlink"/>
            <w:noProof/>
            <w:rtl/>
          </w:rPr>
          <w:t xml:space="preserve"> </w:t>
        </w:r>
        <w:r w:rsidR="005873D9" w:rsidRPr="00052B9F">
          <w:rPr>
            <w:rStyle w:val="Hyperlink"/>
            <w:rFonts w:hint="eastAsia"/>
            <w:noProof/>
            <w:rtl/>
          </w:rPr>
          <w:t>את</w:t>
        </w:r>
        <w:r w:rsidR="005873D9" w:rsidRPr="00052B9F">
          <w:rPr>
            <w:rStyle w:val="Hyperlink"/>
            <w:noProof/>
            <w:rtl/>
          </w:rPr>
          <w:t xml:space="preserve"> </w:t>
        </w:r>
        <w:r w:rsidR="005873D9" w:rsidRPr="00052B9F">
          <w:rPr>
            <w:rStyle w:val="Hyperlink"/>
            <w:rFonts w:hint="eastAsia"/>
            <w:noProof/>
            <w:rtl/>
          </w:rPr>
          <w:t>היקף</w:t>
        </w:r>
        <w:r w:rsidR="005873D9" w:rsidRPr="00052B9F">
          <w:rPr>
            <w:rStyle w:val="Hyperlink"/>
            <w:noProof/>
            <w:rtl/>
          </w:rPr>
          <w:t xml:space="preserve"> </w:t>
        </w:r>
        <w:r w:rsidR="005873D9" w:rsidRPr="00052B9F">
          <w:rPr>
            <w:rStyle w:val="Hyperlink"/>
            <w:rFonts w:hint="eastAsia"/>
            <w:noProof/>
            <w:rtl/>
          </w:rPr>
          <w:t>השירותים</w:t>
        </w:r>
        <w:r w:rsidR="005873D9" w:rsidRPr="00052B9F">
          <w:rPr>
            <w:rStyle w:val="Hyperlink"/>
            <w:noProof/>
            <w:rtl/>
          </w:rPr>
          <w:t xml:space="preserve"> </w:t>
        </w:r>
        <w:r w:rsidR="005873D9" w:rsidRPr="00052B9F">
          <w:rPr>
            <w:rStyle w:val="Hyperlink"/>
            <w:rFonts w:hint="eastAsia"/>
            <w:noProof/>
            <w:rtl/>
          </w:rPr>
          <w:t>המוצעים</w:t>
        </w:r>
        <w:r w:rsidR="005873D9" w:rsidRPr="00052B9F">
          <w:rPr>
            <w:rStyle w:val="Hyperlink"/>
            <w:noProof/>
            <w:rtl/>
          </w:rPr>
          <w:t xml:space="preserve"> </w:t>
        </w:r>
        <w:r w:rsidR="005873D9" w:rsidRPr="00052B9F">
          <w:rPr>
            <w:rStyle w:val="Hyperlink"/>
            <w:rFonts w:hint="eastAsia"/>
            <w:noProof/>
            <w:rtl/>
          </w:rPr>
          <w:t>על</w:t>
        </w:r>
        <w:r w:rsidR="005873D9" w:rsidRPr="00052B9F">
          <w:rPr>
            <w:rStyle w:val="Hyperlink"/>
            <w:noProof/>
            <w:rtl/>
          </w:rPr>
          <w:t>-</w:t>
        </w:r>
        <w:r w:rsidR="005873D9" w:rsidRPr="00052B9F">
          <w:rPr>
            <w:rStyle w:val="Hyperlink"/>
            <w:rFonts w:hint="eastAsia"/>
            <w:noProof/>
            <w:rtl/>
          </w:rPr>
          <w:t>ידיה</w:t>
        </w:r>
        <w:r w:rsidR="005873D9" w:rsidRPr="00052B9F">
          <w:rPr>
            <w:rStyle w:val="Hyperlink"/>
            <w:noProof/>
            <w:rtl/>
          </w:rPr>
          <w:t xml:space="preserve"> </w:t>
        </w:r>
        <w:r w:rsidR="005873D9" w:rsidRPr="00052B9F">
          <w:rPr>
            <w:rStyle w:val="Hyperlink"/>
            <w:rFonts w:hint="eastAsia"/>
            <w:noProof/>
            <w:rtl/>
          </w:rPr>
          <w:t>כבעלת</w:t>
        </w:r>
        <w:r w:rsidR="005873D9" w:rsidRPr="00052B9F">
          <w:rPr>
            <w:rStyle w:val="Hyperlink"/>
            <w:noProof/>
            <w:rtl/>
          </w:rPr>
          <w:t xml:space="preserve"> </w:t>
        </w:r>
        <w:r w:rsidR="005873D9" w:rsidRPr="00052B9F">
          <w:rPr>
            <w:rStyle w:val="Hyperlink"/>
            <w:rFonts w:hint="eastAsia"/>
            <w:noProof/>
            <w:rtl/>
          </w:rPr>
          <w:t>מונופולין</w:t>
        </w:r>
        <w:r w:rsidR="005873D9" w:rsidRPr="00052B9F">
          <w:rPr>
            <w:rStyle w:val="Hyperlink"/>
            <w:noProof/>
            <w:rtl/>
          </w:rPr>
          <w:t xml:space="preserve"> </w:t>
        </w:r>
        <w:r w:rsidR="005873D9" w:rsidRPr="00052B9F">
          <w:rPr>
            <w:rStyle w:val="Hyperlink"/>
            <w:rFonts w:hint="eastAsia"/>
            <w:noProof/>
            <w:rtl/>
          </w:rPr>
          <w:t>שלא</w:t>
        </w:r>
        <w:r w:rsidR="005873D9" w:rsidRPr="00052B9F">
          <w:rPr>
            <w:rStyle w:val="Hyperlink"/>
            <w:noProof/>
            <w:rtl/>
          </w:rPr>
          <w:t xml:space="preserve"> </w:t>
        </w:r>
        <w:r w:rsidR="005873D9" w:rsidRPr="00052B9F">
          <w:rPr>
            <w:rStyle w:val="Hyperlink"/>
            <w:rFonts w:hint="eastAsia"/>
            <w:noProof/>
            <w:rtl/>
          </w:rPr>
          <w:t>במסגרת</w:t>
        </w:r>
        <w:r w:rsidR="005873D9" w:rsidRPr="00052B9F">
          <w:rPr>
            <w:rStyle w:val="Hyperlink"/>
            <w:noProof/>
            <w:rtl/>
          </w:rPr>
          <w:t xml:space="preserve"> </w:t>
        </w:r>
        <w:r w:rsidR="005873D9" w:rsidRPr="00052B9F">
          <w:rPr>
            <w:rStyle w:val="Hyperlink"/>
            <w:rFonts w:hint="eastAsia"/>
            <w:noProof/>
            <w:rtl/>
          </w:rPr>
          <w:t>פעילות</w:t>
        </w:r>
        <w:r w:rsidR="005873D9" w:rsidRPr="00052B9F">
          <w:rPr>
            <w:rStyle w:val="Hyperlink"/>
            <w:noProof/>
            <w:rtl/>
          </w:rPr>
          <w:t xml:space="preserve"> </w:t>
        </w:r>
        <w:r w:rsidR="005873D9" w:rsidRPr="00052B9F">
          <w:rPr>
            <w:rStyle w:val="Hyperlink"/>
            <w:rFonts w:hint="eastAsia"/>
            <w:noProof/>
            <w:rtl/>
          </w:rPr>
          <w:t>תחרותית</w:t>
        </w:r>
        <w:r w:rsidR="005873D9" w:rsidRPr="00052B9F">
          <w:rPr>
            <w:rStyle w:val="Hyperlink"/>
            <w:noProof/>
            <w:rtl/>
          </w:rPr>
          <w:t xml:space="preserve"> </w:t>
        </w:r>
        <w:r w:rsidR="005873D9" w:rsidRPr="00052B9F">
          <w:rPr>
            <w:rStyle w:val="Hyperlink"/>
            <w:rFonts w:hint="eastAsia"/>
            <w:noProof/>
            <w:rtl/>
          </w:rPr>
          <w:t>הוגנת</w:t>
        </w:r>
        <w:r w:rsidR="005873D9" w:rsidRPr="00052B9F">
          <w:rPr>
            <w:rStyle w:val="Hyperlink"/>
            <w:noProof/>
            <w:rtl/>
          </w:rPr>
          <w:t xml:space="preserve">, </w:t>
        </w:r>
        <w:r w:rsidR="005873D9" w:rsidRPr="00052B9F">
          <w:rPr>
            <w:rStyle w:val="Hyperlink"/>
            <w:rFonts w:hint="eastAsia"/>
            <w:noProof/>
            <w:rtl/>
          </w:rPr>
          <w:t>בניגוד</w:t>
        </w:r>
        <w:r w:rsidR="005873D9" w:rsidRPr="00052B9F">
          <w:rPr>
            <w:rStyle w:val="Hyperlink"/>
            <w:noProof/>
            <w:rtl/>
          </w:rPr>
          <w:t xml:space="preserve"> </w:t>
        </w:r>
        <w:r w:rsidR="005873D9" w:rsidRPr="00052B9F">
          <w:rPr>
            <w:rStyle w:val="Hyperlink"/>
            <w:rFonts w:hint="eastAsia"/>
            <w:noProof/>
            <w:rtl/>
          </w:rPr>
          <w:t>לסעיף</w:t>
        </w:r>
        <w:r w:rsidR="005873D9" w:rsidRPr="00052B9F">
          <w:rPr>
            <w:rStyle w:val="Hyperlink"/>
            <w:noProof/>
            <w:rtl/>
          </w:rPr>
          <w:t xml:space="preserve"> 29</w:t>
        </w:r>
        <w:r w:rsidR="005873D9" w:rsidRPr="00052B9F">
          <w:rPr>
            <w:rStyle w:val="Hyperlink"/>
            <w:rFonts w:hint="eastAsia"/>
            <w:noProof/>
            <w:rtl/>
          </w:rPr>
          <w:t>א</w:t>
        </w:r>
        <w:r w:rsidR="005873D9" w:rsidRPr="00052B9F">
          <w:rPr>
            <w:rStyle w:val="Hyperlink"/>
            <w:noProof/>
            <w:rtl/>
          </w:rPr>
          <w:t>(</w:t>
        </w:r>
        <w:r w:rsidR="005873D9" w:rsidRPr="00052B9F">
          <w:rPr>
            <w:rStyle w:val="Hyperlink"/>
            <w:rFonts w:hint="eastAsia"/>
            <w:noProof/>
            <w:rtl/>
          </w:rPr>
          <w:t>ב</w:t>
        </w:r>
        <w:r w:rsidR="005873D9" w:rsidRPr="00052B9F">
          <w:rPr>
            <w:rStyle w:val="Hyperlink"/>
            <w:noProof/>
            <w:rtl/>
          </w:rPr>
          <w:t xml:space="preserve">)(2) </w:t>
        </w:r>
        <w:r w:rsidR="005873D9" w:rsidRPr="00052B9F">
          <w:rPr>
            <w:rStyle w:val="Hyperlink"/>
            <w:rFonts w:hint="eastAsia"/>
            <w:noProof/>
            <w:rtl/>
          </w:rPr>
          <w:t>לחוק</w:t>
        </w:r>
        <w:r w:rsidR="005873D9" w:rsidRPr="00240124">
          <w:rPr>
            <w:rStyle w:val="Hyperlink"/>
            <w:noProof/>
            <w:webHidden/>
            <w:rtl/>
          </w:rPr>
          <w:tab/>
        </w:r>
        <w:r w:rsidR="005873D9">
          <w:rPr>
            <w:rStyle w:val="Hyperlink"/>
            <w:noProof/>
            <w:rtl/>
          </w:rPr>
          <w:fldChar w:fldCharType="begin"/>
        </w:r>
        <w:r w:rsidR="005873D9" w:rsidRPr="00240124">
          <w:rPr>
            <w:rStyle w:val="Hyperlink"/>
            <w:noProof/>
            <w:webHidden/>
            <w:rtl/>
          </w:rPr>
          <w:instrText xml:space="preserve"> </w:instrText>
        </w:r>
        <w:r w:rsidR="005873D9" w:rsidRPr="00240124">
          <w:rPr>
            <w:rStyle w:val="Hyperlink"/>
            <w:noProof/>
            <w:webHidden/>
          </w:rPr>
          <w:instrText>PAGEREF</w:instrText>
        </w:r>
        <w:r w:rsidR="005873D9" w:rsidRPr="00240124">
          <w:rPr>
            <w:rStyle w:val="Hyperlink"/>
            <w:noProof/>
            <w:webHidden/>
            <w:rtl/>
          </w:rPr>
          <w:instrText xml:space="preserve"> _</w:instrText>
        </w:r>
        <w:r w:rsidR="005873D9" w:rsidRPr="00240124">
          <w:rPr>
            <w:rStyle w:val="Hyperlink"/>
            <w:noProof/>
            <w:webHidden/>
          </w:rPr>
          <w:instrText>Toc476497413 \h</w:instrText>
        </w:r>
        <w:r w:rsidR="005873D9" w:rsidRPr="00240124">
          <w:rPr>
            <w:rStyle w:val="Hyperlink"/>
            <w:noProof/>
            <w:webHidden/>
            <w:rtl/>
          </w:rPr>
          <w:instrText xml:space="preserve"> </w:instrText>
        </w:r>
        <w:r w:rsidR="005873D9">
          <w:rPr>
            <w:rStyle w:val="Hyperlink"/>
            <w:noProof/>
            <w:rtl/>
          </w:rPr>
        </w:r>
        <w:r w:rsidR="005873D9">
          <w:rPr>
            <w:rStyle w:val="Hyperlink"/>
            <w:noProof/>
            <w:rtl/>
          </w:rPr>
          <w:fldChar w:fldCharType="separate"/>
        </w:r>
        <w:r w:rsidR="00AC4B59">
          <w:rPr>
            <w:rStyle w:val="Hyperlink"/>
            <w:noProof/>
            <w:webHidden/>
            <w:rtl/>
          </w:rPr>
          <w:t>21</w:t>
        </w:r>
        <w:r w:rsidR="005873D9">
          <w:rPr>
            <w:rStyle w:val="Hyperlink"/>
            <w:noProof/>
            <w:rtl/>
          </w:rPr>
          <w:fldChar w:fldCharType="end"/>
        </w:r>
      </w:hyperlink>
    </w:p>
    <w:p w:rsidR="005873D9" w:rsidRPr="00240124" w:rsidRDefault="001C367F" w:rsidP="00240124">
      <w:pPr>
        <w:pStyle w:val="TOC3"/>
        <w:spacing w:before="0"/>
        <w:ind w:left="657"/>
        <w:rPr>
          <w:rStyle w:val="Hyperlink"/>
          <w:noProof/>
          <w:rtl/>
        </w:rPr>
      </w:pPr>
      <w:hyperlink w:anchor="_Toc476497414" w:history="1">
        <w:r w:rsidR="005873D9" w:rsidRPr="00052B9F">
          <w:rPr>
            <w:rStyle w:val="Hyperlink"/>
            <w:rFonts w:hint="eastAsia"/>
            <w:noProof/>
            <w:rtl/>
          </w:rPr>
          <w:t>חברת</w:t>
        </w:r>
        <w:r w:rsidR="005873D9" w:rsidRPr="00052B9F">
          <w:rPr>
            <w:rStyle w:val="Hyperlink"/>
            <w:noProof/>
            <w:rtl/>
          </w:rPr>
          <w:t xml:space="preserve"> </w:t>
        </w:r>
        <w:r w:rsidR="005873D9" w:rsidRPr="00052B9F">
          <w:rPr>
            <w:rStyle w:val="Hyperlink"/>
            <w:rFonts w:hint="eastAsia"/>
            <w:noProof/>
            <w:rtl/>
          </w:rPr>
          <w:t>החשמל</w:t>
        </w:r>
        <w:r w:rsidR="005873D9" w:rsidRPr="00052B9F">
          <w:rPr>
            <w:rStyle w:val="Hyperlink"/>
            <w:noProof/>
            <w:rtl/>
          </w:rPr>
          <w:t xml:space="preserve"> </w:t>
        </w:r>
        <w:r w:rsidR="005873D9" w:rsidRPr="00052B9F">
          <w:rPr>
            <w:rStyle w:val="Hyperlink"/>
            <w:rFonts w:hint="eastAsia"/>
            <w:noProof/>
            <w:rtl/>
          </w:rPr>
          <w:t>קבעה</w:t>
        </w:r>
        <w:r w:rsidR="005873D9" w:rsidRPr="00052B9F">
          <w:rPr>
            <w:rStyle w:val="Hyperlink"/>
            <w:noProof/>
            <w:rtl/>
          </w:rPr>
          <w:t xml:space="preserve"> </w:t>
        </w:r>
        <w:r w:rsidR="005873D9" w:rsidRPr="00052B9F">
          <w:rPr>
            <w:rStyle w:val="Hyperlink"/>
            <w:rFonts w:hint="eastAsia"/>
            <w:noProof/>
            <w:rtl/>
          </w:rPr>
          <w:t>תנאי</w:t>
        </w:r>
        <w:r w:rsidR="005873D9" w:rsidRPr="00052B9F">
          <w:rPr>
            <w:rStyle w:val="Hyperlink"/>
            <w:noProof/>
            <w:rtl/>
          </w:rPr>
          <w:t xml:space="preserve"> </w:t>
        </w:r>
        <w:r w:rsidR="005873D9" w:rsidRPr="00052B9F">
          <w:rPr>
            <w:rStyle w:val="Hyperlink"/>
            <w:rFonts w:hint="eastAsia"/>
            <w:noProof/>
            <w:rtl/>
          </w:rPr>
          <w:t>התקשרות</w:t>
        </w:r>
        <w:r w:rsidR="005873D9" w:rsidRPr="00052B9F">
          <w:rPr>
            <w:rStyle w:val="Hyperlink"/>
            <w:noProof/>
            <w:rtl/>
          </w:rPr>
          <w:t xml:space="preserve"> </w:t>
        </w:r>
        <w:r w:rsidR="005873D9" w:rsidRPr="00052B9F">
          <w:rPr>
            <w:rStyle w:val="Hyperlink"/>
            <w:rFonts w:hint="eastAsia"/>
            <w:noProof/>
            <w:rtl/>
          </w:rPr>
          <w:t>שונים</w:t>
        </w:r>
        <w:r w:rsidR="005873D9" w:rsidRPr="00052B9F">
          <w:rPr>
            <w:rStyle w:val="Hyperlink"/>
            <w:noProof/>
            <w:rtl/>
          </w:rPr>
          <w:t xml:space="preserve"> </w:t>
        </w:r>
        <w:r w:rsidR="005873D9" w:rsidRPr="00052B9F">
          <w:rPr>
            <w:rStyle w:val="Hyperlink"/>
            <w:rFonts w:hint="eastAsia"/>
            <w:noProof/>
            <w:rtl/>
          </w:rPr>
          <w:t>לעסקאות</w:t>
        </w:r>
        <w:r w:rsidR="005873D9" w:rsidRPr="00052B9F">
          <w:rPr>
            <w:rStyle w:val="Hyperlink"/>
            <w:noProof/>
            <w:rtl/>
          </w:rPr>
          <w:t xml:space="preserve"> </w:t>
        </w:r>
        <w:r w:rsidR="005873D9" w:rsidRPr="00052B9F">
          <w:rPr>
            <w:rStyle w:val="Hyperlink"/>
            <w:rFonts w:hint="eastAsia"/>
            <w:noProof/>
            <w:rtl/>
          </w:rPr>
          <w:t>דומות</w:t>
        </w:r>
        <w:r w:rsidR="005873D9" w:rsidRPr="00052B9F">
          <w:rPr>
            <w:rStyle w:val="Hyperlink"/>
            <w:noProof/>
            <w:rtl/>
          </w:rPr>
          <w:t xml:space="preserve"> </w:t>
        </w:r>
        <w:r w:rsidR="005873D9" w:rsidRPr="00052B9F">
          <w:rPr>
            <w:rStyle w:val="Hyperlink"/>
            <w:rFonts w:hint="eastAsia"/>
            <w:noProof/>
            <w:rtl/>
          </w:rPr>
          <w:t>במקטעי</w:t>
        </w:r>
        <w:r w:rsidR="005873D9" w:rsidRPr="00052B9F">
          <w:rPr>
            <w:rStyle w:val="Hyperlink"/>
            <w:noProof/>
            <w:rtl/>
          </w:rPr>
          <w:t xml:space="preserve"> </w:t>
        </w:r>
        <w:r w:rsidR="005873D9" w:rsidRPr="00052B9F">
          <w:rPr>
            <w:rStyle w:val="Hyperlink"/>
            <w:rFonts w:hint="eastAsia"/>
            <w:noProof/>
            <w:rtl/>
          </w:rPr>
          <w:t>ההולכה</w:t>
        </w:r>
        <w:r w:rsidR="005873D9" w:rsidRPr="00052B9F">
          <w:rPr>
            <w:rStyle w:val="Hyperlink"/>
            <w:noProof/>
            <w:rtl/>
          </w:rPr>
          <w:t xml:space="preserve"> </w:t>
        </w:r>
        <w:r w:rsidR="005873D9" w:rsidRPr="00052B9F">
          <w:rPr>
            <w:rStyle w:val="Hyperlink"/>
            <w:rFonts w:hint="eastAsia"/>
            <w:noProof/>
            <w:rtl/>
          </w:rPr>
          <w:t>והחלוקה</w:t>
        </w:r>
        <w:r w:rsidR="005873D9" w:rsidRPr="00052B9F">
          <w:rPr>
            <w:rStyle w:val="Hyperlink"/>
            <w:noProof/>
            <w:rtl/>
          </w:rPr>
          <w:t xml:space="preserve"> </w:t>
        </w:r>
        <w:r w:rsidR="005873D9" w:rsidRPr="00052B9F">
          <w:rPr>
            <w:rStyle w:val="Hyperlink"/>
            <w:rFonts w:hint="eastAsia"/>
            <w:noProof/>
            <w:rtl/>
          </w:rPr>
          <w:t>שעשויים</w:t>
        </w:r>
        <w:r w:rsidR="005873D9" w:rsidRPr="00052B9F">
          <w:rPr>
            <w:rStyle w:val="Hyperlink"/>
            <w:noProof/>
            <w:rtl/>
          </w:rPr>
          <w:t xml:space="preserve"> </w:t>
        </w:r>
        <w:r w:rsidR="005873D9" w:rsidRPr="00052B9F">
          <w:rPr>
            <w:rStyle w:val="Hyperlink"/>
            <w:rFonts w:hint="eastAsia"/>
            <w:noProof/>
            <w:rtl/>
          </w:rPr>
          <w:t>היו</w:t>
        </w:r>
        <w:r w:rsidR="005873D9" w:rsidRPr="00052B9F">
          <w:rPr>
            <w:rStyle w:val="Hyperlink"/>
            <w:noProof/>
            <w:rtl/>
          </w:rPr>
          <w:t xml:space="preserve"> </w:t>
        </w:r>
        <w:r w:rsidR="005873D9" w:rsidRPr="00052B9F">
          <w:rPr>
            <w:rStyle w:val="Hyperlink"/>
            <w:rFonts w:hint="eastAsia"/>
            <w:noProof/>
            <w:rtl/>
          </w:rPr>
          <w:t>להעניק</w:t>
        </w:r>
        <w:r w:rsidR="005873D9" w:rsidRPr="00052B9F">
          <w:rPr>
            <w:rStyle w:val="Hyperlink"/>
            <w:noProof/>
            <w:rtl/>
          </w:rPr>
          <w:t xml:space="preserve"> </w:t>
        </w:r>
        <w:r w:rsidR="005873D9" w:rsidRPr="00052B9F">
          <w:rPr>
            <w:rStyle w:val="Hyperlink"/>
            <w:rFonts w:hint="eastAsia"/>
            <w:noProof/>
            <w:rtl/>
          </w:rPr>
          <w:t>לחברת</w:t>
        </w:r>
        <w:r w:rsidR="005873D9" w:rsidRPr="00052B9F">
          <w:rPr>
            <w:rStyle w:val="Hyperlink"/>
            <w:noProof/>
            <w:rtl/>
          </w:rPr>
          <w:t xml:space="preserve"> </w:t>
        </w:r>
        <w:r w:rsidR="005873D9" w:rsidRPr="00052B9F">
          <w:rPr>
            <w:rStyle w:val="Hyperlink"/>
            <w:rFonts w:hint="eastAsia"/>
            <w:noProof/>
            <w:rtl/>
          </w:rPr>
          <w:t>החשמל</w:t>
        </w:r>
        <w:r w:rsidR="005873D9" w:rsidRPr="00052B9F">
          <w:rPr>
            <w:rStyle w:val="Hyperlink"/>
            <w:noProof/>
            <w:rtl/>
          </w:rPr>
          <w:t xml:space="preserve"> </w:t>
        </w:r>
        <w:r w:rsidR="005873D9" w:rsidRPr="00052B9F">
          <w:rPr>
            <w:rStyle w:val="Hyperlink"/>
            <w:rFonts w:hint="eastAsia"/>
            <w:noProof/>
            <w:rtl/>
          </w:rPr>
          <w:t>כמספק</w:t>
        </w:r>
        <w:r w:rsidR="005873D9" w:rsidRPr="00052B9F">
          <w:rPr>
            <w:rStyle w:val="Hyperlink"/>
            <w:noProof/>
            <w:rtl/>
          </w:rPr>
          <w:t xml:space="preserve"> </w:t>
        </w:r>
        <w:r w:rsidR="005873D9" w:rsidRPr="00052B9F">
          <w:rPr>
            <w:rStyle w:val="Hyperlink"/>
            <w:rFonts w:hint="eastAsia"/>
            <w:noProof/>
            <w:rtl/>
          </w:rPr>
          <w:t>חשמל</w:t>
        </w:r>
        <w:r w:rsidR="005873D9" w:rsidRPr="00052B9F">
          <w:rPr>
            <w:rStyle w:val="Hyperlink"/>
            <w:noProof/>
            <w:rtl/>
          </w:rPr>
          <w:t xml:space="preserve"> </w:t>
        </w:r>
        <w:r w:rsidR="005873D9" w:rsidRPr="00052B9F">
          <w:rPr>
            <w:rStyle w:val="Hyperlink"/>
            <w:rFonts w:hint="eastAsia"/>
            <w:noProof/>
            <w:rtl/>
          </w:rPr>
          <w:t>יתרון</w:t>
        </w:r>
        <w:r w:rsidR="005873D9" w:rsidRPr="00052B9F">
          <w:rPr>
            <w:rStyle w:val="Hyperlink"/>
            <w:noProof/>
            <w:rtl/>
          </w:rPr>
          <w:t xml:space="preserve"> </w:t>
        </w:r>
        <w:r w:rsidR="005873D9" w:rsidRPr="00052B9F">
          <w:rPr>
            <w:rStyle w:val="Hyperlink"/>
            <w:rFonts w:hint="eastAsia"/>
            <w:noProof/>
            <w:rtl/>
          </w:rPr>
          <w:t>בלתי</w:t>
        </w:r>
        <w:r w:rsidR="005873D9" w:rsidRPr="00052B9F">
          <w:rPr>
            <w:rStyle w:val="Hyperlink"/>
            <w:noProof/>
            <w:rtl/>
          </w:rPr>
          <w:t xml:space="preserve"> </w:t>
        </w:r>
        <w:r w:rsidR="005873D9" w:rsidRPr="00052B9F">
          <w:rPr>
            <w:rStyle w:val="Hyperlink"/>
            <w:rFonts w:hint="eastAsia"/>
            <w:noProof/>
            <w:rtl/>
          </w:rPr>
          <w:t>הוגן</w:t>
        </w:r>
        <w:r w:rsidR="005873D9" w:rsidRPr="00052B9F">
          <w:rPr>
            <w:rStyle w:val="Hyperlink"/>
            <w:noProof/>
            <w:rtl/>
          </w:rPr>
          <w:t xml:space="preserve"> </w:t>
        </w:r>
        <w:r w:rsidR="005873D9" w:rsidRPr="00052B9F">
          <w:rPr>
            <w:rStyle w:val="Hyperlink"/>
            <w:rFonts w:hint="eastAsia"/>
            <w:noProof/>
            <w:rtl/>
          </w:rPr>
          <w:t>בניגוד</w:t>
        </w:r>
        <w:r w:rsidR="005873D9" w:rsidRPr="00052B9F">
          <w:rPr>
            <w:rStyle w:val="Hyperlink"/>
            <w:noProof/>
            <w:rtl/>
          </w:rPr>
          <w:t xml:space="preserve"> </w:t>
        </w:r>
        <w:r w:rsidR="005873D9" w:rsidRPr="00052B9F">
          <w:rPr>
            <w:rStyle w:val="Hyperlink"/>
            <w:rFonts w:hint="eastAsia"/>
            <w:noProof/>
            <w:rtl/>
          </w:rPr>
          <w:t>להוראות</w:t>
        </w:r>
        <w:r w:rsidR="005873D9" w:rsidRPr="00052B9F">
          <w:rPr>
            <w:rStyle w:val="Hyperlink"/>
            <w:noProof/>
            <w:rtl/>
          </w:rPr>
          <w:t xml:space="preserve"> </w:t>
        </w:r>
        <w:r w:rsidR="005873D9" w:rsidRPr="00052B9F">
          <w:rPr>
            <w:rStyle w:val="Hyperlink"/>
            <w:rFonts w:hint="eastAsia"/>
            <w:noProof/>
            <w:rtl/>
          </w:rPr>
          <w:t>סעיף</w:t>
        </w:r>
        <w:r w:rsidR="005873D9" w:rsidRPr="00052B9F">
          <w:rPr>
            <w:rStyle w:val="Hyperlink"/>
            <w:noProof/>
            <w:rtl/>
          </w:rPr>
          <w:t xml:space="preserve"> 29</w:t>
        </w:r>
        <w:r w:rsidR="005873D9" w:rsidRPr="00052B9F">
          <w:rPr>
            <w:rStyle w:val="Hyperlink"/>
            <w:rFonts w:hint="eastAsia"/>
            <w:noProof/>
            <w:rtl/>
          </w:rPr>
          <w:t>א</w:t>
        </w:r>
        <w:r w:rsidR="005873D9" w:rsidRPr="00052B9F">
          <w:rPr>
            <w:rStyle w:val="Hyperlink"/>
            <w:noProof/>
            <w:rtl/>
          </w:rPr>
          <w:t>(</w:t>
        </w:r>
        <w:r w:rsidR="005873D9" w:rsidRPr="00052B9F">
          <w:rPr>
            <w:rStyle w:val="Hyperlink"/>
            <w:rFonts w:hint="eastAsia"/>
            <w:noProof/>
            <w:rtl/>
          </w:rPr>
          <w:t>ב</w:t>
        </w:r>
        <w:r w:rsidR="005873D9" w:rsidRPr="00052B9F">
          <w:rPr>
            <w:rStyle w:val="Hyperlink"/>
            <w:noProof/>
            <w:rtl/>
          </w:rPr>
          <w:t>)(3)</w:t>
        </w:r>
        <w:r w:rsidR="005873D9" w:rsidRPr="00240124">
          <w:rPr>
            <w:rStyle w:val="Hyperlink"/>
            <w:noProof/>
            <w:webHidden/>
            <w:rtl/>
          </w:rPr>
          <w:tab/>
        </w:r>
        <w:r w:rsidR="005873D9">
          <w:rPr>
            <w:rStyle w:val="Hyperlink"/>
            <w:noProof/>
            <w:rtl/>
          </w:rPr>
          <w:fldChar w:fldCharType="begin"/>
        </w:r>
        <w:r w:rsidR="005873D9" w:rsidRPr="00240124">
          <w:rPr>
            <w:rStyle w:val="Hyperlink"/>
            <w:noProof/>
            <w:webHidden/>
            <w:rtl/>
          </w:rPr>
          <w:instrText xml:space="preserve"> </w:instrText>
        </w:r>
        <w:r w:rsidR="005873D9" w:rsidRPr="00240124">
          <w:rPr>
            <w:rStyle w:val="Hyperlink"/>
            <w:noProof/>
            <w:webHidden/>
          </w:rPr>
          <w:instrText>PAGEREF</w:instrText>
        </w:r>
        <w:r w:rsidR="005873D9" w:rsidRPr="00240124">
          <w:rPr>
            <w:rStyle w:val="Hyperlink"/>
            <w:noProof/>
            <w:webHidden/>
            <w:rtl/>
          </w:rPr>
          <w:instrText xml:space="preserve"> _</w:instrText>
        </w:r>
        <w:r w:rsidR="005873D9" w:rsidRPr="00240124">
          <w:rPr>
            <w:rStyle w:val="Hyperlink"/>
            <w:noProof/>
            <w:webHidden/>
          </w:rPr>
          <w:instrText>Toc476497414 \h</w:instrText>
        </w:r>
        <w:r w:rsidR="005873D9" w:rsidRPr="00240124">
          <w:rPr>
            <w:rStyle w:val="Hyperlink"/>
            <w:noProof/>
            <w:webHidden/>
            <w:rtl/>
          </w:rPr>
          <w:instrText xml:space="preserve"> </w:instrText>
        </w:r>
        <w:r w:rsidR="005873D9">
          <w:rPr>
            <w:rStyle w:val="Hyperlink"/>
            <w:noProof/>
            <w:rtl/>
          </w:rPr>
        </w:r>
        <w:r w:rsidR="005873D9">
          <w:rPr>
            <w:rStyle w:val="Hyperlink"/>
            <w:noProof/>
            <w:rtl/>
          </w:rPr>
          <w:fldChar w:fldCharType="separate"/>
        </w:r>
        <w:r w:rsidR="00AC4B59">
          <w:rPr>
            <w:rStyle w:val="Hyperlink"/>
            <w:noProof/>
            <w:webHidden/>
            <w:rtl/>
          </w:rPr>
          <w:t>22</w:t>
        </w:r>
        <w:r w:rsidR="005873D9">
          <w:rPr>
            <w:rStyle w:val="Hyperlink"/>
            <w:noProof/>
            <w:rtl/>
          </w:rPr>
          <w:fldChar w:fldCharType="end"/>
        </w:r>
      </w:hyperlink>
    </w:p>
    <w:p w:rsidR="005873D9" w:rsidRPr="00FE3330" w:rsidRDefault="001C367F" w:rsidP="00240124">
      <w:pPr>
        <w:pStyle w:val="TOC3"/>
        <w:spacing w:before="0"/>
        <w:ind w:left="657"/>
        <w:rPr>
          <w:rFonts w:ascii="Calibri" w:hAnsi="Calibri" w:cs="Arial"/>
          <w:noProof/>
          <w:szCs w:val="22"/>
          <w:rtl/>
          <w:lang w:eastAsia="en-US"/>
        </w:rPr>
      </w:pPr>
      <w:hyperlink w:anchor="_Toc476497415" w:history="1">
        <w:r w:rsidR="005873D9" w:rsidRPr="00052B9F">
          <w:rPr>
            <w:rStyle w:val="Hyperlink"/>
            <w:rFonts w:hint="eastAsia"/>
            <w:noProof/>
            <w:rtl/>
          </w:rPr>
          <w:t>חברת</w:t>
        </w:r>
        <w:r w:rsidR="005873D9" w:rsidRPr="00052B9F">
          <w:rPr>
            <w:rStyle w:val="Hyperlink"/>
            <w:noProof/>
            <w:rtl/>
          </w:rPr>
          <w:t xml:space="preserve"> </w:t>
        </w:r>
        <w:r w:rsidR="005873D9" w:rsidRPr="00052B9F">
          <w:rPr>
            <w:rStyle w:val="Hyperlink"/>
            <w:rFonts w:hint="eastAsia"/>
            <w:noProof/>
            <w:rtl/>
          </w:rPr>
          <w:t>החשמל</w:t>
        </w:r>
        <w:r w:rsidR="005873D9" w:rsidRPr="00052B9F">
          <w:rPr>
            <w:rStyle w:val="Hyperlink"/>
            <w:noProof/>
            <w:rtl/>
          </w:rPr>
          <w:t xml:space="preserve"> </w:t>
        </w:r>
        <w:r w:rsidR="005873D9" w:rsidRPr="00052B9F">
          <w:rPr>
            <w:rStyle w:val="Hyperlink"/>
            <w:rFonts w:hint="eastAsia"/>
            <w:noProof/>
            <w:rtl/>
          </w:rPr>
          <w:t>התנתה</w:t>
        </w:r>
        <w:r w:rsidR="005873D9" w:rsidRPr="00052B9F">
          <w:rPr>
            <w:rStyle w:val="Hyperlink"/>
            <w:noProof/>
            <w:rtl/>
          </w:rPr>
          <w:t xml:space="preserve"> </w:t>
        </w:r>
        <w:r w:rsidR="005873D9" w:rsidRPr="00052B9F">
          <w:rPr>
            <w:rStyle w:val="Hyperlink"/>
            <w:rFonts w:hint="eastAsia"/>
            <w:noProof/>
            <w:rtl/>
          </w:rPr>
          <w:t>את</w:t>
        </w:r>
        <w:r w:rsidR="005873D9" w:rsidRPr="00052B9F">
          <w:rPr>
            <w:rStyle w:val="Hyperlink"/>
            <w:noProof/>
            <w:rtl/>
          </w:rPr>
          <w:t xml:space="preserve"> </w:t>
        </w:r>
        <w:r w:rsidR="005873D9" w:rsidRPr="00052B9F">
          <w:rPr>
            <w:rStyle w:val="Hyperlink"/>
            <w:rFonts w:hint="eastAsia"/>
            <w:noProof/>
            <w:rtl/>
          </w:rPr>
          <w:t>ההתקשרות</w:t>
        </w:r>
        <w:r w:rsidR="005873D9" w:rsidRPr="00052B9F">
          <w:rPr>
            <w:rStyle w:val="Hyperlink"/>
            <w:noProof/>
            <w:rtl/>
          </w:rPr>
          <w:t xml:space="preserve"> </w:t>
        </w:r>
        <w:r w:rsidR="005873D9" w:rsidRPr="00052B9F">
          <w:rPr>
            <w:rStyle w:val="Hyperlink"/>
            <w:rFonts w:hint="eastAsia"/>
            <w:noProof/>
            <w:rtl/>
          </w:rPr>
          <w:t>בדבר</w:t>
        </w:r>
        <w:r w:rsidR="005873D9" w:rsidRPr="00052B9F">
          <w:rPr>
            <w:rStyle w:val="Hyperlink"/>
            <w:noProof/>
            <w:rtl/>
          </w:rPr>
          <w:t xml:space="preserve"> </w:t>
        </w:r>
        <w:r w:rsidR="005873D9" w:rsidRPr="00052B9F">
          <w:rPr>
            <w:rStyle w:val="Hyperlink"/>
            <w:rFonts w:hint="eastAsia"/>
            <w:noProof/>
            <w:rtl/>
          </w:rPr>
          <w:t>מקטעי</w:t>
        </w:r>
        <w:r w:rsidR="005873D9" w:rsidRPr="00052B9F">
          <w:rPr>
            <w:rStyle w:val="Hyperlink"/>
            <w:noProof/>
            <w:rtl/>
          </w:rPr>
          <w:t xml:space="preserve"> </w:t>
        </w:r>
        <w:r w:rsidR="005873D9" w:rsidRPr="00052B9F">
          <w:rPr>
            <w:rStyle w:val="Hyperlink"/>
            <w:rFonts w:hint="eastAsia"/>
            <w:noProof/>
            <w:rtl/>
          </w:rPr>
          <w:t>ההולכה</w:t>
        </w:r>
        <w:r w:rsidR="005873D9" w:rsidRPr="00052B9F">
          <w:rPr>
            <w:rStyle w:val="Hyperlink"/>
            <w:noProof/>
            <w:rtl/>
          </w:rPr>
          <w:t xml:space="preserve"> </w:t>
        </w:r>
        <w:r w:rsidR="005873D9" w:rsidRPr="00052B9F">
          <w:rPr>
            <w:rStyle w:val="Hyperlink"/>
            <w:rFonts w:hint="eastAsia"/>
            <w:noProof/>
            <w:rtl/>
          </w:rPr>
          <w:t>והחלוקה</w:t>
        </w:r>
        <w:r w:rsidR="005873D9" w:rsidRPr="00052B9F">
          <w:rPr>
            <w:rStyle w:val="Hyperlink"/>
            <w:noProof/>
            <w:rtl/>
          </w:rPr>
          <w:t xml:space="preserve"> </w:t>
        </w:r>
        <w:r w:rsidR="005873D9" w:rsidRPr="00052B9F">
          <w:rPr>
            <w:rStyle w:val="Hyperlink"/>
            <w:rFonts w:hint="eastAsia"/>
            <w:noProof/>
            <w:rtl/>
          </w:rPr>
          <w:t>שבמונופולין</w:t>
        </w:r>
        <w:r w:rsidR="005873D9" w:rsidRPr="00052B9F">
          <w:rPr>
            <w:rStyle w:val="Hyperlink"/>
            <w:noProof/>
            <w:rtl/>
          </w:rPr>
          <w:t xml:space="preserve"> </w:t>
        </w:r>
        <w:r w:rsidR="005873D9" w:rsidRPr="00052B9F">
          <w:rPr>
            <w:rStyle w:val="Hyperlink"/>
            <w:rFonts w:hint="eastAsia"/>
            <w:noProof/>
            <w:rtl/>
          </w:rPr>
          <w:t>בתנאים</w:t>
        </w:r>
        <w:r w:rsidR="005873D9" w:rsidRPr="00052B9F">
          <w:rPr>
            <w:rStyle w:val="Hyperlink"/>
            <w:noProof/>
            <w:rtl/>
          </w:rPr>
          <w:t xml:space="preserve"> </w:t>
        </w:r>
        <w:r w:rsidR="005873D9" w:rsidRPr="00052B9F">
          <w:rPr>
            <w:rStyle w:val="Hyperlink"/>
            <w:rFonts w:hint="eastAsia"/>
            <w:noProof/>
            <w:rtl/>
          </w:rPr>
          <w:t>אשר</w:t>
        </w:r>
        <w:r w:rsidR="005873D9" w:rsidRPr="00052B9F">
          <w:rPr>
            <w:rStyle w:val="Hyperlink"/>
            <w:noProof/>
            <w:rtl/>
          </w:rPr>
          <w:t xml:space="preserve"> </w:t>
        </w:r>
        <w:r w:rsidR="005873D9" w:rsidRPr="00052B9F">
          <w:rPr>
            <w:rStyle w:val="Hyperlink"/>
            <w:rFonts w:hint="eastAsia"/>
            <w:noProof/>
            <w:rtl/>
          </w:rPr>
          <w:t>אינם</w:t>
        </w:r>
        <w:r w:rsidR="005873D9" w:rsidRPr="00052B9F">
          <w:rPr>
            <w:rStyle w:val="Hyperlink"/>
            <w:noProof/>
            <w:rtl/>
          </w:rPr>
          <w:t xml:space="preserve"> </w:t>
        </w:r>
        <w:r w:rsidR="005873D9" w:rsidRPr="00052B9F">
          <w:rPr>
            <w:rStyle w:val="Hyperlink"/>
            <w:rFonts w:hint="eastAsia"/>
            <w:noProof/>
            <w:rtl/>
          </w:rPr>
          <w:t>נוגעים</w:t>
        </w:r>
        <w:r w:rsidR="005873D9" w:rsidRPr="00052B9F">
          <w:rPr>
            <w:rStyle w:val="Hyperlink"/>
            <w:noProof/>
            <w:rtl/>
          </w:rPr>
          <w:t xml:space="preserve"> </w:t>
        </w:r>
        <w:r w:rsidR="005873D9" w:rsidRPr="00052B9F">
          <w:rPr>
            <w:rStyle w:val="Hyperlink"/>
            <w:rFonts w:hint="eastAsia"/>
            <w:noProof/>
            <w:rtl/>
          </w:rPr>
          <w:t>לנושאי</w:t>
        </w:r>
        <w:r w:rsidR="005873D9" w:rsidRPr="00052B9F">
          <w:rPr>
            <w:rStyle w:val="Hyperlink"/>
            <w:noProof/>
            <w:rtl/>
          </w:rPr>
          <w:t xml:space="preserve"> </w:t>
        </w:r>
        <w:r w:rsidR="005873D9" w:rsidRPr="00052B9F">
          <w:rPr>
            <w:rStyle w:val="Hyperlink"/>
            <w:rFonts w:hint="eastAsia"/>
            <w:noProof/>
            <w:rtl/>
          </w:rPr>
          <w:t>ההתקשרות</w:t>
        </w:r>
        <w:r w:rsidR="005873D9" w:rsidRPr="00052B9F">
          <w:rPr>
            <w:rStyle w:val="Hyperlink"/>
            <w:noProof/>
            <w:rtl/>
          </w:rPr>
          <w:t xml:space="preserve">, </w:t>
        </w:r>
        <w:r w:rsidR="005873D9" w:rsidRPr="00052B9F">
          <w:rPr>
            <w:rStyle w:val="Hyperlink"/>
            <w:rFonts w:hint="eastAsia"/>
            <w:noProof/>
            <w:rtl/>
          </w:rPr>
          <w:t>בניגוד</w:t>
        </w:r>
        <w:r w:rsidR="005873D9" w:rsidRPr="00052B9F">
          <w:rPr>
            <w:rStyle w:val="Hyperlink"/>
            <w:noProof/>
            <w:rtl/>
          </w:rPr>
          <w:t xml:space="preserve"> </w:t>
        </w:r>
        <w:r w:rsidR="005873D9" w:rsidRPr="00052B9F">
          <w:rPr>
            <w:rStyle w:val="Hyperlink"/>
            <w:rFonts w:hint="eastAsia"/>
            <w:noProof/>
            <w:rtl/>
          </w:rPr>
          <w:t>לסעיף</w:t>
        </w:r>
        <w:r w:rsidR="005873D9" w:rsidRPr="00052B9F">
          <w:rPr>
            <w:rStyle w:val="Hyperlink"/>
            <w:noProof/>
            <w:rtl/>
          </w:rPr>
          <w:t xml:space="preserve"> 29</w:t>
        </w:r>
        <w:r w:rsidR="005873D9" w:rsidRPr="00052B9F">
          <w:rPr>
            <w:rStyle w:val="Hyperlink"/>
            <w:rFonts w:hint="eastAsia"/>
            <w:noProof/>
            <w:rtl/>
          </w:rPr>
          <w:t>א</w:t>
        </w:r>
        <w:r w:rsidR="005873D9" w:rsidRPr="00052B9F">
          <w:rPr>
            <w:rStyle w:val="Hyperlink"/>
            <w:noProof/>
            <w:rtl/>
          </w:rPr>
          <w:t>(</w:t>
        </w:r>
        <w:r w:rsidR="005873D9" w:rsidRPr="00052B9F">
          <w:rPr>
            <w:rStyle w:val="Hyperlink"/>
            <w:rFonts w:hint="eastAsia"/>
            <w:noProof/>
            <w:rtl/>
          </w:rPr>
          <w:t>ב</w:t>
        </w:r>
        <w:r w:rsidR="005873D9" w:rsidRPr="00052B9F">
          <w:rPr>
            <w:rStyle w:val="Hyperlink"/>
            <w:noProof/>
            <w:rtl/>
          </w:rPr>
          <w:t>)(4)</w:t>
        </w:r>
        <w:r w:rsidR="005873D9" w:rsidRPr="00240124">
          <w:rPr>
            <w:rStyle w:val="Hyperlink"/>
            <w:noProof/>
            <w:webHidden/>
            <w:rtl/>
          </w:rPr>
          <w:tab/>
        </w:r>
        <w:r w:rsidR="005873D9">
          <w:rPr>
            <w:rStyle w:val="Hyperlink"/>
            <w:noProof/>
            <w:rtl/>
          </w:rPr>
          <w:fldChar w:fldCharType="begin"/>
        </w:r>
        <w:r w:rsidR="005873D9" w:rsidRPr="00240124">
          <w:rPr>
            <w:rStyle w:val="Hyperlink"/>
            <w:noProof/>
            <w:webHidden/>
            <w:rtl/>
          </w:rPr>
          <w:instrText xml:space="preserve"> </w:instrText>
        </w:r>
        <w:r w:rsidR="005873D9" w:rsidRPr="00240124">
          <w:rPr>
            <w:rStyle w:val="Hyperlink"/>
            <w:noProof/>
            <w:webHidden/>
          </w:rPr>
          <w:instrText>PAGEREF</w:instrText>
        </w:r>
        <w:r w:rsidR="005873D9" w:rsidRPr="00240124">
          <w:rPr>
            <w:rStyle w:val="Hyperlink"/>
            <w:noProof/>
            <w:webHidden/>
            <w:rtl/>
          </w:rPr>
          <w:instrText xml:space="preserve"> _</w:instrText>
        </w:r>
        <w:r w:rsidR="005873D9" w:rsidRPr="00240124">
          <w:rPr>
            <w:rStyle w:val="Hyperlink"/>
            <w:noProof/>
            <w:webHidden/>
          </w:rPr>
          <w:instrText>Toc476497415 \h</w:instrText>
        </w:r>
        <w:r w:rsidR="005873D9" w:rsidRPr="00240124">
          <w:rPr>
            <w:rStyle w:val="Hyperlink"/>
            <w:noProof/>
            <w:webHidden/>
            <w:rtl/>
          </w:rPr>
          <w:instrText xml:space="preserve"> </w:instrText>
        </w:r>
        <w:r w:rsidR="005873D9">
          <w:rPr>
            <w:rStyle w:val="Hyperlink"/>
            <w:noProof/>
            <w:rtl/>
          </w:rPr>
        </w:r>
        <w:r w:rsidR="005873D9">
          <w:rPr>
            <w:rStyle w:val="Hyperlink"/>
            <w:noProof/>
            <w:rtl/>
          </w:rPr>
          <w:fldChar w:fldCharType="separate"/>
        </w:r>
        <w:r w:rsidR="00AC4B59">
          <w:rPr>
            <w:rStyle w:val="Hyperlink"/>
            <w:noProof/>
            <w:webHidden/>
            <w:rtl/>
          </w:rPr>
          <w:t>23</w:t>
        </w:r>
        <w:r w:rsidR="005873D9">
          <w:rPr>
            <w:rStyle w:val="Hyperlink"/>
            <w:noProof/>
            <w:rtl/>
          </w:rPr>
          <w:fldChar w:fldCharType="end"/>
        </w:r>
      </w:hyperlink>
    </w:p>
    <w:p w:rsidR="005873D9" w:rsidRPr="00FE3330" w:rsidRDefault="001C367F" w:rsidP="005873D9">
      <w:pPr>
        <w:pStyle w:val="TOC2"/>
        <w:tabs>
          <w:tab w:val="left" w:pos="1100"/>
          <w:tab w:val="right" w:leader="dot" w:pos="8302"/>
        </w:tabs>
        <w:spacing w:before="0" w:line="240" w:lineRule="auto"/>
        <w:rPr>
          <w:rFonts w:ascii="Calibri" w:hAnsi="Calibri" w:cs="Arial"/>
          <w:noProof/>
          <w:szCs w:val="22"/>
          <w:rtl/>
          <w:lang w:eastAsia="en-US"/>
        </w:rPr>
      </w:pPr>
      <w:hyperlink w:anchor="_Toc476497416" w:history="1">
        <w:r w:rsidR="005873D9" w:rsidRPr="00052B9F">
          <w:rPr>
            <w:rStyle w:val="Hyperlink"/>
            <w:rFonts w:hint="eastAsia"/>
            <w:noProof/>
            <w:rtl/>
          </w:rPr>
          <w:t>ג</w:t>
        </w:r>
        <w:r w:rsidR="005873D9" w:rsidRPr="00052B9F">
          <w:rPr>
            <w:rStyle w:val="Hyperlink"/>
            <w:noProof/>
            <w:rtl/>
          </w:rPr>
          <w:t>.4.</w:t>
        </w:r>
        <w:r w:rsidR="005873D9" w:rsidRPr="00FE3330">
          <w:rPr>
            <w:rFonts w:ascii="Calibri" w:hAnsi="Calibri" w:cs="Arial"/>
            <w:noProof/>
            <w:szCs w:val="22"/>
            <w:rtl/>
            <w:lang w:eastAsia="en-US"/>
          </w:rPr>
          <w:tab/>
        </w:r>
        <w:r w:rsidR="005873D9" w:rsidRPr="00052B9F">
          <w:rPr>
            <w:rStyle w:val="Hyperlink"/>
            <w:rFonts w:hint="eastAsia"/>
            <w:noProof/>
            <w:rtl/>
          </w:rPr>
          <w:t>התנהגות</w:t>
        </w:r>
        <w:r w:rsidR="005873D9" w:rsidRPr="00052B9F">
          <w:rPr>
            <w:rStyle w:val="Hyperlink"/>
            <w:noProof/>
            <w:rtl/>
          </w:rPr>
          <w:t xml:space="preserve"> </w:t>
        </w:r>
        <w:r w:rsidR="005873D9" w:rsidRPr="00052B9F">
          <w:rPr>
            <w:rStyle w:val="Hyperlink"/>
            <w:rFonts w:hint="eastAsia"/>
            <w:noProof/>
            <w:rtl/>
          </w:rPr>
          <w:t>חברת</w:t>
        </w:r>
        <w:r w:rsidR="005873D9" w:rsidRPr="00052B9F">
          <w:rPr>
            <w:rStyle w:val="Hyperlink"/>
            <w:noProof/>
            <w:rtl/>
          </w:rPr>
          <w:t xml:space="preserve"> </w:t>
        </w:r>
        <w:r w:rsidR="005873D9" w:rsidRPr="00052B9F">
          <w:rPr>
            <w:rStyle w:val="Hyperlink"/>
            <w:rFonts w:hint="eastAsia"/>
            <w:noProof/>
            <w:rtl/>
          </w:rPr>
          <w:t>החשמל</w:t>
        </w:r>
        <w:r w:rsidR="005873D9" w:rsidRPr="00052B9F">
          <w:rPr>
            <w:rStyle w:val="Hyperlink"/>
            <w:noProof/>
            <w:rtl/>
          </w:rPr>
          <w:t xml:space="preserve"> </w:t>
        </w:r>
        <w:r w:rsidR="005873D9" w:rsidRPr="00052B9F">
          <w:rPr>
            <w:rStyle w:val="Hyperlink"/>
            <w:rFonts w:hint="eastAsia"/>
            <w:noProof/>
            <w:rtl/>
          </w:rPr>
          <w:t>עולה</w:t>
        </w:r>
        <w:r w:rsidR="005873D9" w:rsidRPr="00052B9F">
          <w:rPr>
            <w:rStyle w:val="Hyperlink"/>
            <w:noProof/>
            <w:rtl/>
          </w:rPr>
          <w:t xml:space="preserve"> </w:t>
        </w:r>
        <w:r w:rsidR="005873D9" w:rsidRPr="00052B9F">
          <w:rPr>
            <w:rStyle w:val="Hyperlink"/>
            <w:rFonts w:hint="eastAsia"/>
            <w:noProof/>
            <w:rtl/>
          </w:rPr>
          <w:t>כדי</w:t>
        </w:r>
        <w:r w:rsidR="005873D9" w:rsidRPr="00052B9F">
          <w:rPr>
            <w:rStyle w:val="Hyperlink"/>
            <w:noProof/>
            <w:rtl/>
          </w:rPr>
          <w:t xml:space="preserve"> </w:t>
        </w:r>
        <w:r w:rsidR="005873D9" w:rsidRPr="00052B9F">
          <w:rPr>
            <w:rStyle w:val="Hyperlink"/>
            <w:rFonts w:hint="eastAsia"/>
            <w:noProof/>
            <w:rtl/>
          </w:rPr>
          <w:t>סירוב</w:t>
        </w:r>
        <w:r w:rsidR="005873D9" w:rsidRPr="00052B9F">
          <w:rPr>
            <w:rStyle w:val="Hyperlink"/>
            <w:noProof/>
            <w:rtl/>
          </w:rPr>
          <w:t xml:space="preserve"> </w:t>
        </w:r>
        <w:r w:rsidR="005873D9" w:rsidRPr="00052B9F">
          <w:rPr>
            <w:rStyle w:val="Hyperlink"/>
            <w:rFonts w:hint="eastAsia"/>
            <w:noProof/>
            <w:rtl/>
          </w:rPr>
          <w:t>בלתי</w:t>
        </w:r>
        <w:r w:rsidR="005873D9" w:rsidRPr="00052B9F">
          <w:rPr>
            <w:rStyle w:val="Hyperlink"/>
            <w:noProof/>
            <w:rtl/>
          </w:rPr>
          <w:t xml:space="preserve"> </w:t>
        </w:r>
        <w:r w:rsidR="005873D9" w:rsidRPr="00052B9F">
          <w:rPr>
            <w:rStyle w:val="Hyperlink"/>
            <w:rFonts w:hint="eastAsia"/>
            <w:noProof/>
            <w:rtl/>
          </w:rPr>
          <w:t>סביר</w:t>
        </w:r>
        <w:r w:rsidR="005873D9" w:rsidRPr="00052B9F">
          <w:rPr>
            <w:rStyle w:val="Hyperlink"/>
            <w:noProof/>
            <w:rtl/>
          </w:rPr>
          <w:t xml:space="preserve"> </w:t>
        </w:r>
        <w:r w:rsidR="005873D9" w:rsidRPr="00052B9F">
          <w:rPr>
            <w:rStyle w:val="Hyperlink"/>
            <w:rFonts w:hint="eastAsia"/>
            <w:noProof/>
            <w:rtl/>
          </w:rPr>
          <w:t>בניגוד</w:t>
        </w:r>
        <w:r w:rsidR="005873D9" w:rsidRPr="00052B9F">
          <w:rPr>
            <w:rStyle w:val="Hyperlink"/>
            <w:noProof/>
            <w:rtl/>
          </w:rPr>
          <w:t xml:space="preserve"> </w:t>
        </w:r>
        <w:r w:rsidR="005873D9" w:rsidRPr="00052B9F">
          <w:rPr>
            <w:rStyle w:val="Hyperlink"/>
            <w:rFonts w:hint="eastAsia"/>
            <w:noProof/>
            <w:rtl/>
          </w:rPr>
          <w:t>לסעיף</w:t>
        </w:r>
        <w:r w:rsidR="005873D9" w:rsidRPr="00052B9F">
          <w:rPr>
            <w:rStyle w:val="Hyperlink"/>
            <w:noProof/>
            <w:rtl/>
          </w:rPr>
          <w:t xml:space="preserve"> 29 </w:t>
        </w:r>
        <w:r w:rsidR="005873D9" w:rsidRPr="00052B9F">
          <w:rPr>
            <w:rStyle w:val="Hyperlink"/>
            <w:rFonts w:hint="eastAsia"/>
            <w:noProof/>
            <w:rtl/>
          </w:rPr>
          <w:t>לחוק</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Toc476497416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23</w:t>
        </w:r>
        <w:r w:rsidR="005873D9">
          <w:rPr>
            <w:rStyle w:val="Hyperlink"/>
            <w:noProof/>
            <w:rtl/>
          </w:rPr>
          <w:fldChar w:fldCharType="end"/>
        </w:r>
      </w:hyperlink>
    </w:p>
    <w:p w:rsidR="005873D9" w:rsidRPr="00FE3330" w:rsidRDefault="001C367F" w:rsidP="005873D9">
      <w:pPr>
        <w:pStyle w:val="TOC1"/>
        <w:tabs>
          <w:tab w:val="left" w:pos="660"/>
          <w:tab w:val="right" w:leader="dot" w:pos="8302"/>
        </w:tabs>
        <w:spacing w:before="0" w:line="240" w:lineRule="auto"/>
        <w:rPr>
          <w:rFonts w:ascii="Calibri" w:hAnsi="Calibri" w:cs="Arial"/>
          <w:noProof/>
          <w:szCs w:val="22"/>
          <w:rtl/>
          <w:lang w:eastAsia="en-US"/>
        </w:rPr>
      </w:pPr>
      <w:hyperlink w:anchor="_Toc476497417" w:history="1">
        <w:r w:rsidR="005873D9" w:rsidRPr="00052B9F">
          <w:rPr>
            <w:rStyle w:val="Hyperlink"/>
            <w:rFonts w:hint="eastAsia"/>
            <w:b/>
            <w:bCs/>
            <w:noProof/>
            <w:rtl/>
          </w:rPr>
          <w:t>ד</w:t>
        </w:r>
        <w:r w:rsidR="005873D9" w:rsidRPr="00052B9F">
          <w:rPr>
            <w:rStyle w:val="Hyperlink"/>
            <w:b/>
            <w:bCs/>
            <w:noProof/>
            <w:rtl/>
          </w:rPr>
          <w:t>.</w:t>
        </w:r>
        <w:r w:rsidR="005873D9" w:rsidRPr="00FE3330">
          <w:rPr>
            <w:rFonts w:ascii="Calibri" w:hAnsi="Calibri" w:cs="Arial"/>
            <w:noProof/>
            <w:szCs w:val="22"/>
            <w:rtl/>
            <w:lang w:eastAsia="en-US"/>
          </w:rPr>
          <w:tab/>
        </w:r>
        <w:r w:rsidR="005873D9" w:rsidRPr="00052B9F">
          <w:rPr>
            <w:rStyle w:val="Hyperlink"/>
            <w:rFonts w:hint="eastAsia"/>
            <w:b/>
            <w:bCs/>
            <w:noProof/>
            <w:rtl/>
          </w:rPr>
          <w:t>הטלת</w:t>
        </w:r>
        <w:r w:rsidR="005873D9" w:rsidRPr="00052B9F">
          <w:rPr>
            <w:rStyle w:val="Hyperlink"/>
            <w:b/>
            <w:bCs/>
            <w:noProof/>
            <w:rtl/>
          </w:rPr>
          <w:t xml:space="preserve"> </w:t>
        </w:r>
        <w:r w:rsidR="005873D9" w:rsidRPr="00052B9F">
          <w:rPr>
            <w:rStyle w:val="Hyperlink"/>
            <w:rFonts w:hint="eastAsia"/>
            <w:b/>
            <w:bCs/>
            <w:noProof/>
            <w:rtl/>
          </w:rPr>
          <w:t>עיצום</w:t>
        </w:r>
        <w:r w:rsidR="005873D9" w:rsidRPr="00052B9F">
          <w:rPr>
            <w:rStyle w:val="Hyperlink"/>
            <w:b/>
            <w:bCs/>
            <w:noProof/>
            <w:rtl/>
          </w:rPr>
          <w:t xml:space="preserve"> </w:t>
        </w:r>
        <w:r w:rsidR="005873D9" w:rsidRPr="00052B9F">
          <w:rPr>
            <w:rStyle w:val="Hyperlink"/>
            <w:rFonts w:hint="eastAsia"/>
            <w:b/>
            <w:bCs/>
            <w:noProof/>
            <w:rtl/>
          </w:rPr>
          <w:t>כספי</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Toc476497417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25</w:t>
        </w:r>
        <w:r w:rsidR="005873D9">
          <w:rPr>
            <w:rStyle w:val="Hyperlink"/>
            <w:noProof/>
            <w:rtl/>
          </w:rPr>
          <w:fldChar w:fldCharType="end"/>
        </w:r>
      </w:hyperlink>
    </w:p>
    <w:p w:rsidR="005873D9" w:rsidRPr="00FE3330" w:rsidRDefault="001C367F" w:rsidP="005873D9">
      <w:pPr>
        <w:pStyle w:val="TOC2"/>
        <w:tabs>
          <w:tab w:val="left" w:pos="1320"/>
          <w:tab w:val="right" w:leader="dot" w:pos="8302"/>
        </w:tabs>
        <w:spacing w:before="0" w:line="240" w:lineRule="auto"/>
        <w:rPr>
          <w:rFonts w:ascii="Calibri" w:hAnsi="Calibri" w:cs="Arial"/>
          <w:noProof/>
          <w:szCs w:val="22"/>
          <w:rtl/>
          <w:lang w:eastAsia="en-US"/>
        </w:rPr>
      </w:pPr>
      <w:hyperlink w:anchor="_Toc476497418" w:history="1">
        <w:r w:rsidR="005873D9" w:rsidRPr="00052B9F">
          <w:rPr>
            <w:rStyle w:val="Hyperlink"/>
            <w:rFonts w:hint="eastAsia"/>
            <w:noProof/>
            <w:rtl/>
          </w:rPr>
          <w:t>ד</w:t>
        </w:r>
        <w:r w:rsidR="005873D9" w:rsidRPr="00052B9F">
          <w:rPr>
            <w:rStyle w:val="Hyperlink"/>
            <w:noProof/>
            <w:rtl/>
          </w:rPr>
          <w:t>.1</w:t>
        </w:r>
        <w:r w:rsidR="005873D9" w:rsidRPr="00052B9F">
          <w:rPr>
            <w:rStyle w:val="Hyperlink"/>
            <w:noProof/>
          </w:rPr>
          <w:t>.</w:t>
        </w:r>
        <w:r w:rsidR="005873D9" w:rsidRPr="00FE3330">
          <w:rPr>
            <w:rFonts w:ascii="Calibri" w:hAnsi="Calibri" w:cs="Arial"/>
            <w:noProof/>
            <w:szCs w:val="22"/>
            <w:rtl/>
            <w:lang w:eastAsia="en-US"/>
          </w:rPr>
          <w:tab/>
        </w:r>
        <w:r w:rsidR="005873D9" w:rsidRPr="00052B9F">
          <w:rPr>
            <w:rStyle w:val="Hyperlink"/>
            <w:rFonts w:hint="eastAsia"/>
            <w:noProof/>
            <w:rtl/>
          </w:rPr>
          <w:t>קביעת</w:t>
        </w:r>
        <w:r w:rsidR="005873D9" w:rsidRPr="00052B9F">
          <w:rPr>
            <w:rStyle w:val="Hyperlink"/>
            <w:noProof/>
            <w:rtl/>
          </w:rPr>
          <w:t xml:space="preserve"> </w:t>
        </w:r>
        <w:r w:rsidR="005873D9" w:rsidRPr="00052B9F">
          <w:rPr>
            <w:rStyle w:val="Hyperlink"/>
            <w:rFonts w:hint="eastAsia"/>
            <w:noProof/>
            <w:rtl/>
          </w:rPr>
          <w:t>גובה</w:t>
        </w:r>
        <w:r w:rsidR="005873D9" w:rsidRPr="00052B9F">
          <w:rPr>
            <w:rStyle w:val="Hyperlink"/>
            <w:noProof/>
            <w:rtl/>
          </w:rPr>
          <w:t xml:space="preserve"> </w:t>
        </w:r>
        <w:r w:rsidR="005873D9" w:rsidRPr="00052B9F">
          <w:rPr>
            <w:rStyle w:val="Hyperlink"/>
            <w:rFonts w:hint="eastAsia"/>
            <w:noProof/>
            <w:rtl/>
          </w:rPr>
          <w:t>העיצום</w:t>
        </w:r>
        <w:r w:rsidR="005873D9" w:rsidRPr="00052B9F">
          <w:rPr>
            <w:rStyle w:val="Hyperlink"/>
            <w:noProof/>
            <w:rtl/>
          </w:rPr>
          <w:t xml:space="preserve"> - </w:t>
        </w:r>
        <w:r w:rsidR="005873D9" w:rsidRPr="00052B9F">
          <w:rPr>
            <w:rStyle w:val="Hyperlink"/>
            <w:rFonts w:hint="eastAsia"/>
            <w:noProof/>
            <w:rtl/>
          </w:rPr>
          <w:t>כללי</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Toc476497418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25</w:t>
        </w:r>
        <w:r w:rsidR="005873D9">
          <w:rPr>
            <w:rStyle w:val="Hyperlink"/>
            <w:noProof/>
            <w:rtl/>
          </w:rPr>
          <w:fldChar w:fldCharType="end"/>
        </w:r>
      </w:hyperlink>
    </w:p>
    <w:p w:rsidR="005873D9" w:rsidRPr="00FE3330" w:rsidRDefault="001C367F" w:rsidP="005873D9">
      <w:pPr>
        <w:pStyle w:val="TOC2"/>
        <w:tabs>
          <w:tab w:val="left" w:pos="1320"/>
          <w:tab w:val="right" w:leader="dot" w:pos="8302"/>
        </w:tabs>
        <w:spacing w:before="0" w:line="240" w:lineRule="auto"/>
        <w:rPr>
          <w:rFonts w:ascii="Calibri" w:hAnsi="Calibri" w:cs="Arial"/>
          <w:noProof/>
          <w:szCs w:val="22"/>
          <w:rtl/>
          <w:lang w:eastAsia="en-US"/>
        </w:rPr>
      </w:pPr>
      <w:hyperlink w:anchor="_Toc476497419" w:history="1">
        <w:r w:rsidR="005873D9" w:rsidRPr="00052B9F">
          <w:rPr>
            <w:rStyle w:val="Hyperlink"/>
            <w:rFonts w:hint="eastAsia"/>
            <w:noProof/>
            <w:rtl/>
          </w:rPr>
          <w:t>ד</w:t>
        </w:r>
        <w:r w:rsidR="005873D9" w:rsidRPr="00052B9F">
          <w:rPr>
            <w:rStyle w:val="Hyperlink"/>
            <w:noProof/>
            <w:rtl/>
          </w:rPr>
          <w:t>.2.</w:t>
        </w:r>
        <w:r w:rsidR="005873D9" w:rsidRPr="00FE3330">
          <w:rPr>
            <w:rFonts w:ascii="Calibri" w:hAnsi="Calibri" w:cs="Arial"/>
            <w:noProof/>
            <w:szCs w:val="22"/>
            <w:rtl/>
            <w:lang w:eastAsia="en-US"/>
          </w:rPr>
          <w:tab/>
        </w:r>
        <w:r w:rsidR="005873D9" w:rsidRPr="00052B9F">
          <w:rPr>
            <w:rStyle w:val="Hyperlink"/>
            <w:rFonts w:hint="eastAsia"/>
            <w:noProof/>
            <w:rtl/>
          </w:rPr>
          <w:t>קביעת</w:t>
        </w:r>
        <w:r w:rsidR="005873D9" w:rsidRPr="00052B9F">
          <w:rPr>
            <w:rStyle w:val="Hyperlink"/>
            <w:noProof/>
            <w:rtl/>
          </w:rPr>
          <w:t xml:space="preserve"> </w:t>
        </w:r>
        <w:r w:rsidR="005873D9" w:rsidRPr="00052B9F">
          <w:rPr>
            <w:rStyle w:val="Hyperlink"/>
            <w:rFonts w:hint="eastAsia"/>
            <w:noProof/>
            <w:rtl/>
          </w:rPr>
          <w:t>גובה</w:t>
        </w:r>
        <w:r w:rsidR="005873D9" w:rsidRPr="00052B9F">
          <w:rPr>
            <w:rStyle w:val="Hyperlink"/>
            <w:noProof/>
            <w:rtl/>
          </w:rPr>
          <w:t xml:space="preserve"> </w:t>
        </w:r>
        <w:r w:rsidR="005873D9" w:rsidRPr="00052B9F">
          <w:rPr>
            <w:rStyle w:val="Hyperlink"/>
            <w:rFonts w:hint="eastAsia"/>
            <w:noProof/>
            <w:rtl/>
          </w:rPr>
          <w:t>העיצום</w:t>
        </w:r>
        <w:r w:rsidR="005873D9" w:rsidRPr="00052B9F">
          <w:rPr>
            <w:rStyle w:val="Hyperlink"/>
            <w:noProof/>
            <w:rtl/>
          </w:rPr>
          <w:t xml:space="preserve"> – </w:t>
        </w:r>
        <w:r w:rsidR="005873D9" w:rsidRPr="00052B9F">
          <w:rPr>
            <w:rStyle w:val="Hyperlink"/>
            <w:rFonts w:hint="eastAsia"/>
            <w:noProof/>
            <w:rtl/>
          </w:rPr>
          <w:t>חברת</w:t>
        </w:r>
        <w:r w:rsidR="005873D9" w:rsidRPr="00052B9F">
          <w:rPr>
            <w:rStyle w:val="Hyperlink"/>
            <w:noProof/>
            <w:rtl/>
          </w:rPr>
          <w:t xml:space="preserve"> </w:t>
        </w:r>
        <w:r w:rsidR="005873D9" w:rsidRPr="00052B9F">
          <w:rPr>
            <w:rStyle w:val="Hyperlink"/>
            <w:rFonts w:hint="eastAsia"/>
            <w:noProof/>
            <w:rtl/>
          </w:rPr>
          <w:t>החשמל</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Toc476497419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26</w:t>
        </w:r>
        <w:r w:rsidR="005873D9">
          <w:rPr>
            <w:rStyle w:val="Hyperlink"/>
            <w:noProof/>
            <w:rtl/>
          </w:rPr>
          <w:fldChar w:fldCharType="end"/>
        </w:r>
      </w:hyperlink>
    </w:p>
    <w:p w:rsidR="005873D9" w:rsidRPr="00FE3330" w:rsidRDefault="001C367F" w:rsidP="00240124">
      <w:pPr>
        <w:pStyle w:val="TOC3"/>
        <w:spacing w:before="0"/>
        <w:ind w:left="657"/>
        <w:rPr>
          <w:rFonts w:ascii="Calibri" w:hAnsi="Calibri" w:cs="Arial"/>
          <w:noProof/>
          <w:szCs w:val="22"/>
          <w:rtl/>
          <w:lang w:eastAsia="en-US"/>
        </w:rPr>
      </w:pPr>
      <w:hyperlink w:anchor="_Toc476497420" w:history="1">
        <w:r w:rsidR="005873D9" w:rsidRPr="00052B9F">
          <w:rPr>
            <w:rStyle w:val="Hyperlink"/>
            <w:rFonts w:hint="eastAsia"/>
            <w:noProof/>
            <w:rtl/>
          </w:rPr>
          <w:t>סכום</w:t>
        </w:r>
        <w:r w:rsidR="005873D9" w:rsidRPr="00052B9F">
          <w:rPr>
            <w:rStyle w:val="Hyperlink"/>
            <w:noProof/>
            <w:rtl/>
          </w:rPr>
          <w:t xml:space="preserve"> </w:t>
        </w:r>
        <w:r w:rsidR="005873D9" w:rsidRPr="00052B9F">
          <w:rPr>
            <w:rStyle w:val="Hyperlink"/>
            <w:rFonts w:hint="eastAsia"/>
            <w:noProof/>
            <w:rtl/>
          </w:rPr>
          <w:t>העיצום</w:t>
        </w:r>
        <w:r w:rsidR="005873D9" w:rsidRPr="00052B9F">
          <w:rPr>
            <w:rStyle w:val="Hyperlink"/>
            <w:noProof/>
            <w:rtl/>
          </w:rPr>
          <w:t xml:space="preserve"> </w:t>
        </w:r>
        <w:r w:rsidR="005873D9" w:rsidRPr="00052B9F">
          <w:rPr>
            <w:rStyle w:val="Hyperlink"/>
            <w:rFonts w:hint="eastAsia"/>
            <w:noProof/>
            <w:rtl/>
          </w:rPr>
          <w:t>המרבי</w:t>
        </w:r>
        <w:r w:rsidR="005873D9" w:rsidRPr="00052B9F">
          <w:rPr>
            <w:rStyle w:val="Hyperlink"/>
            <w:noProof/>
            <w:rtl/>
          </w:rPr>
          <w:t xml:space="preserve"> </w:t>
        </w:r>
        <w:r w:rsidR="005873D9" w:rsidRPr="00052B9F">
          <w:rPr>
            <w:rStyle w:val="Hyperlink"/>
            <w:rFonts w:hint="eastAsia"/>
            <w:noProof/>
            <w:rtl/>
          </w:rPr>
          <w:t>שיוטל</w:t>
        </w:r>
        <w:r w:rsidR="005873D9" w:rsidRPr="00052B9F">
          <w:rPr>
            <w:rStyle w:val="Hyperlink"/>
            <w:noProof/>
            <w:rtl/>
          </w:rPr>
          <w:t xml:space="preserve"> </w:t>
        </w:r>
        <w:r w:rsidR="005873D9" w:rsidRPr="00052B9F">
          <w:rPr>
            <w:rStyle w:val="Hyperlink"/>
            <w:rFonts w:hint="eastAsia"/>
            <w:noProof/>
            <w:rtl/>
          </w:rPr>
          <w:t>על</w:t>
        </w:r>
        <w:r w:rsidR="005873D9" w:rsidRPr="00052B9F">
          <w:rPr>
            <w:rStyle w:val="Hyperlink"/>
            <w:noProof/>
            <w:rtl/>
          </w:rPr>
          <w:t xml:space="preserve"> </w:t>
        </w:r>
        <w:r w:rsidR="005873D9" w:rsidRPr="00052B9F">
          <w:rPr>
            <w:rStyle w:val="Hyperlink"/>
            <w:rFonts w:hint="eastAsia"/>
            <w:noProof/>
            <w:rtl/>
          </w:rPr>
          <w:t>חברת</w:t>
        </w:r>
        <w:r w:rsidR="005873D9" w:rsidRPr="00052B9F">
          <w:rPr>
            <w:rStyle w:val="Hyperlink"/>
            <w:noProof/>
            <w:rtl/>
          </w:rPr>
          <w:t xml:space="preserve"> </w:t>
        </w:r>
        <w:r w:rsidR="005873D9" w:rsidRPr="00052B9F">
          <w:rPr>
            <w:rStyle w:val="Hyperlink"/>
            <w:rFonts w:hint="eastAsia"/>
            <w:noProof/>
            <w:rtl/>
          </w:rPr>
          <w:t>החשמל</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Toc476497420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27</w:t>
        </w:r>
        <w:r w:rsidR="005873D9">
          <w:rPr>
            <w:rStyle w:val="Hyperlink"/>
            <w:noProof/>
            <w:rtl/>
          </w:rPr>
          <w:fldChar w:fldCharType="end"/>
        </w:r>
      </w:hyperlink>
    </w:p>
    <w:p w:rsidR="005873D9" w:rsidRPr="00FE3330" w:rsidRDefault="001C367F" w:rsidP="00240124">
      <w:pPr>
        <w:pStyle w:val="TOC3"/>
        <w:spacing w:before="0"/>
        <w:ind w:left="657"/>
        <w:rPr>
          <w:rFonts w:ascii="Calibri" w:hAnsi="Calibri" w:cs="Arial"/>
          <w:noProof/>
          <w:szCs w:val="22"/>
          <w:rtl/>
          <w:lang w:eastAsia="en-US"/>
        </w:rPr>
      </w:pPr>
      <w:hyperlink w:anchor="_Toc476497421" w:history="1">
        <w:r w:rsidR="005873D9" w:rsidRPr="00052B9F">
          <w:rPr>
            <w:rStyle w:val="Hyperlink"/>
            <w:rFonts w:hint="eastAsia"/>
            <w:noProof/>
            <w:rtl/>
          </w:rPr>
          <w:t>עיצום</w:t>
        </w:r>
        <w:r w:rsidR="005873D9" w:rsidRPr="00052B9F">
          <w:rPr>
            <w:rStyle w:val="Hyperlink"/>
            <w:noProof/>
            <w:rtl/>
          </w:rPr>
          <w:t xml:space="preserve"> </w:t>
        </w:r>
        <w:r w:rsidR="005873D9" w:rsidRPr="00052B9F">
          <w:rPr>
            <w:rStyle w:val="Hyperlink"/>
            <w:rFonts w:hint="eastAsia"/>
            <w:noProof/>
            <w:rtl/>
          </w:rPr>
          <w:t>הבסיס</w:t>
        </w:r>
        <w:r w:rsidR="005873D9" w:rsidRPr="00052B9F">
          <w:rPr>
            <w:rStyle w:val="Hyperlink"/>
            <w:noProof/>
            <w:rtl/>
          </w:rPr>
          <w:t xml:space="preserve"> </w:t>
        </w:r>
        <w:r w:rsidR="005873D9" w:rsidRPr="00052B9F">
          <w:rPr>
            <w:rStyle w:val="Hyperlink"/>
            <w:rFonts w:hint="eastAsia"/>
            <w:noProof/>
            <w:rtl/>
          </w:rPr>
          <w:t>שיוטל</w:t>
        </w:r>
        <w:r w:rsidR="005873D9" w:rsidRPr="00052B9F">
          <w:rPr>
            <w:rStyle w:val="Hyperlink"/>
            <w:noProof/>
            <w:rtl/>
          </w:rPr>
          <w:t xml:space="preserve"> </w:t>
        </w:r>
        <w:r w:rsidR="005873D9" w:rsidRPr="00052B9F">
          <w:rPr>
            <w:rStyle w:val="Hyperlink"/>
            <w:rFonts w:hint="eastAsia"/>
            <w:noProof/>
            <w:rtl/>
          </w:rPr>
          <w:t>על</w:t>
        </w:r>
        <w:r w:rsidR="005873D9" w:rsidRPr="00052B9F">
          <w:rPr>
            <w:rStyle w:val="Hyperlink"/>
            <w:noProof/>
            <w:rtl/>
          </w:rPr>
          <w:t xml:space="preserve"> </w:t>
        </w:r>
        <w:r w:rsidR="005873D9" w:rsidRPr="00052B9F">
          <w:rPr>
            <w:rStyle w:val="Hyperlink"/>
            <w:rFonts w:hint="eastAsia"/>
            <w:noProof/>
            <w:rtl/>
          </w:rPr>
          <w:t>חברת</w:t>
        </w:r>
        <w:r w:rsidR="005873D9" w:rsidRPr="00052B9F">
          <w:rPr>
            <w:rStyle w:val="Hyperlink"/>
            <w:noProof/>
            <w:rtl/>
          </w:rPr>
          <w:t xml:space="preserve"> </w:t>
        </w:r>
        <w:r w:rsidR="005873D9" w:rsidRPr="00052B9F">
          <w:rPr>
            <w:rStyle w:val="Hyperlink"/>
            <w:rFonts w:hint="eastAsia"/>
            <w:noProof/>
            <w:rtl/>
          </w:rPr>
          <w:t>החשמל</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Toc476497421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27</w:t>
        </w:r>
        <w:r w:rsidR="005873D9">
          <w:rPr>
            <w:rStyle w:val="Hyperlink"/>
            <w:noProof/>
            <w:rtl/>
          </w:rPr>
          <w:fldChar w:fldCharType="end"/>
        </w:r>
      </w:hyperlink>
    </w:p>
    <w:p w:rsidR="005873D9" w:rsidRPr="00FE3330" w:rsidRDefault="001C367F" w:rsidP="00240124">
      <w:pPr>
        <w:pStyle w:val="TOC3"/>
        <w:spacing w:before="0"/>
        <w:ind w:left="657"/>
        <w:rPr>
          <w:rFonts w:ascii="Calibri" w:hAnsi="Calibri" w:cs="Arial"/>
          <w:noProof/>
          <w:szCs w:val="22"/>
          <w:rtl/>
          <w:lang w:eastAsia="en-US"/>
        </w:rPr>
      </w:pPr>
      <w:hyperlink w:anchor="_Toc476497422" w:history="1">
        <w:r w:rsidR="005873D9" w:rsidRPr="00052B9F">
          <w:rPr>
            <w:rStyle w:val="Hyperlink"/>
            <w:rFonts w:hint="eastAsia"/>
            <w:noProof/>
            <w:rtl/>
          </w:rPr>
          <w:t>נסיבות</w:t>
        </w:r>
        <w:r w:rsidR="005873D9" w:rsidRPr="00052B9F">
          <w:rPr>
            <w:rStyle w:val="Hyperlink"/>
            <w:noProof/>
            <w:rtl/>
          </w:rPr>
          <w:t xml:space="preserve"> </w:t>
        </w:r>
        <w:r w:rsidR="005873D9" w:rsidRPr="00052B9F">
          <w:rPr>
            <w:rStyle w:val="Hyperlink"/>
            <w:rFonts w:hint="eastAsia"/>
            <w:noProof/>
            <w:rtl/>
          </w:rPr>
          <w:t>הנוגעות</w:t>
        </w:r>
        <w:r w:rsidR="005873D9" w:rsidRPr="00052B9F">
          <w:rPr>
            <w:rStyle w:val="Hyperlink"/>
            <w:noProof/>
            <w:rtl/>
          </w:rPr>
          <w:t xml:space="preserve"> </w:t>
        </w:r>
        <w:r w:rsidR="005873D9" w:rsidRPr="00052B9F">
          <w:rPr>
            <w:rStyle w:val="Hyperlink"/>
            <w:rFonts w:hint="eastAsia"/>
            <w:noProof/>
            <w:rtl/>
          </w:rPr>
          <w:t>להתנהגות</w:t>
        </w:r>
        <w:r w:rsidR="005873D9" w:rsidRPr="00052B9F">
          <w:rPr>
            <w:rStyle w:val="Hyperlink"/>
            <w:noProof/>
            <w:rtl/>
          </w:rPr>
          <w:t xml:space="preserve"> </w:t>
        </w:r>
        <w:r w:rsidR="005873D9" w:rsidRPr="00052B9F">
          <w:rPr>
            <w:rStyle w:val="Hyperlink"/>
            <w:rFonts w:hint="eastAsia"/>
            <w:noProof/>
            <w:rtl/>
          </w:rPr>
          <w:t>חברת</w:t>
        </w:r>
        <w:r w:rsidR="005873D9" w:rsidRPr="00052B9F">
          <w:rPr>
            <w:rStyle w:val="Hyperlink"/>
            <w:noProof/>
            <w:rtl/>
          </w:rPr>
          <w:t xml:space="preserve"> </w:t>
        </w:r>
        <w:r w:rsidR="005873D9" w:rsidRPr="00052B9F">
          <w:rPr>
            <w:rStyle w:val="Hyperlink"/>
            <w:rFonts w:hint="eastAsia"/>
            <w:noProof/>
            <w:rtl/>
          </w:rPr>
          <w:t>החשמל</w:t>
        </w:r>
        <w:r w:rsidR="005873D9" w:rsidRPr="00052B9F">
          <w:rPr>
            <w:rStyle w:val="Hyperlink"/>
            <w:noProof/>
            <w:rtl/>
          </w:rPr>
          <w:t xml:space="preserve"> </w:t>
        </w:r>
        <w:r w:rsidR="005873D9" w:rsidRPr="00052B9F">
          <w:rPr>
            <w:rStyle w:val="Hyperlink"/>
            <w:rFonts w:hint="eastAsia"/>
            <w:noProof/>
            <w:rtl/>
          </w:rPr>
          <w:t>ביחס</w:t>
        </w:r>
        <w:r w:rsidR="005873D9" w:rsidRPr="00052B9F">
          <w:rPr>
            <w:rStyle w:val="Hyperlink"/>
            <w:noProof/>
            <w:rtl/>
          </w:rPr>
          <w:t xml:space="preserve"> </w:t>
        </w:r>
        <w:r w:rsidR="005873D9" w:rsidRPr="00052B9F">
          <w:rPr>
            <w:rStyle w:val="Hyperlink"/>
            <w:rFonts w:hint="eastAsia"/>
            <w:noProof/>
            <w:rtl/>
          </w:rPr>
          <w:t>להפרה</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Toc476497422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28</w:t>
        </w:r>
        <w:r w:rsidR="005873D9">
          <w:rPr>
            <w:rStyle w:val="Hyperlink"/>
            <w:noProof/>
            <w:rtl/>
          </w:rPr>
          <w:fldChar w:fldCharType="end"/>
        </w:r>
      </w:hyperlink>
    </w:p>
    <w:p w:rsidR="005873D9" w:rsidRPr="00FE3330" w:rsidRDefault="001C367F" w:rsidP="00240124">
      <w:pPr>
        <w:pStyle w:val="TOC3"/>
        <w:spacing w:before="0"/>
        <w:ind w:left="657"/>
        <w:rPr>
          <w:rFonts w:ascii="Calibri" w:hAnsi="Calibri" w:cs="Arial"/>
          <w:noProof/>
          <w:szCs w:val="22"/>
          <w:rtl/>
          <w:lang w:eastAsia="en-US"/>
        </w:rPr>
      </w:pPr>
      <w:hyperlink w:anchor="_Toc476497423" w:history="1">
        <w:r w:rsidR="005873D9" w:rsidRPr="00052B9F">
          <w:rPr>
            <w:rStyle w:val="Hyperlink"/>
            <w:rFonts w:hint="eastAsia"/>
            <w:noProof/>
            <w:rtl/>
          </w:rPr>
          <w:t>נסיבות</w:t>
        </w:r>
        <w:r w:rsidR="005873D9" w:rsidRPr="00052B9F">
          <w:rPr>
            <w:rStyle w:val="Hyperlink"/>
            <w:noProof/>
            <w:rtl/>
          </w:rPr>
          <w:t xml:space="preserve"> </w:t>
        </w:r>
        <w:r w:rsidR="005873D9" w:rsidRPr="00052B9F">
          <w:rPr>
            <w:rStyle w:val="Hyperlink"/>
            <w:rFonts w:hint="eastAsia"/>
            <w:noProof/>
            <w:rtl/>
          </w:rPr>
          <w:t>חיצוניות</w:t>
        </w:r>
        <w:r w:rsidR="005873D9" w:rsidRPr="00052B9F">
          <w:rPr>
            <w:rStyle w:val="Hyperlink"/>
            <w:noProof/>
            <w:rtl/>
          </w:rPr>
          <w:t xml:space="preserve"> </w:t>
        </w:r>
        <w:r w:rsidR="005873D9" w:rsidRPr="00052B9F">
          <w:rPr>
            <w:rStyle w:val="Hyperlink"/>
            <w:rFonts w:hint="eastAsia"/>
            <w:noProof/>
            <w:rtl/>
          </w:rPr>
          <w:t>להפרה</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Toc476497423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28</w:t>
        </w:r>
        <w:r w:rsidR="005873D9">
          <w:rPr>
            <w:rStyle w:val="Hyperlink"/>
            <w:noProof/>
            <w:rtl/>
          </w:rPr>
          <w:fldChar w:fldCharType="end"/>
        </w:r>
      </w:hyperlink>
    </w:p>
    <w:p w:rsidR="005873D9" w:rsidRPr="00FE3330" w:rsidRDefault="001C367F" w:rsidP="005873D9">
      <w:pPr>
        <w:pStyle w:val="TOC2"/>
        <w:tabs>
          <w:tab w:val="left" w:pos="1320"/>
          <w:tab w:val="right" w:leader="dot" w:pos="8302"/>
        </w:tabs>
        <w:spacing w:before="0" w:line="240" w:lineRule="auto"/>
        <w:rPr>
          <w:rFonts w:ascii="Calibri" w:hAnsi="Calibri" w:cs="Arial"/>
          <w:noProof/>
          <w:szCs w:val="22"/>
          <w:rtl/>
          <w:lang w:eastAsia="en-US"/>
        </w:rPr>
      </w:pPr>
      <w:hyperlink w:anchor="_Toc476497424" w:history="1">
        <w:r w:rsidR="005873D9" w:rsidRPr="00052B9F">
          <w:rPr>
            <w:rStyle w:val="Hyperlink"/>
            <w:rFonts w:hint="eastAsia"/>
            <w:noProof/>
            <w:rtl/>
          </w:rPr>
          <w:t>ד</w:t>
        </w:r>
        <w:r w:rsidR="005873D9" w:rsidRPr="00052B9F">
          <w:rPr>
            <w:rStyle w:val="Hyperlink"/>
            <w:noProof/>
            <w:rtl/>
          </w:rPr>
          <w:t>.3.</w:t>
        </w:r>
        <w:r w:rsidR="005873D9" w:rsidRPr="00FE3330">
          <w:rPr>
            <w:rFonts w:ascii="Calibri" w:hAnsi="Calibri" w:cs="Arial"/>
            <w:noProof/>
            <w:szCs w:val="22"/>
            <w:rtl/>
            <w:lang w:eastAsia="en-US"/>
          </w:rPr>
          <w:tab/>
        </w:r>
        <w:r w:rsidR="005873D9" w:rsidRPr="00052B9F">
          <w:rPr>
            <w:rStyle w:val="Hyperlink"/>
            <w:rFonts w:hint="eastAsia"/>
            <w:noProof/>
            <w:rtl/>
          </w:rPr>
          <w:t>נושאי</w:t>
        </w:r>
        <w:r w:rsidR="005873D9" w:rsidRPr="00052B9F">
          <w:rPr>
            <w:rStyle w:val="Hyperlink"/>
            <w:noProof/>
            <w:rtl/>
          </w:rPr>
          <w:t xml:space="preserve"> </w:t>
        </w:r>
        <w:r w:rsidR="005873D9" w:rsidRPr="00052B9F">
          <w:rPr>
            <w:rStyle w:val="Hyperlink"/>
            <w:rFonts w:hint="eastAsia"/>
            <w:noProof/>
            <w:rtl/>
          </w:rPr>
          <w:t>משרה</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Toc476497424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29</w:t>
        </w:r>
        <w:r w:rsidR="005873D9">
          <w:rPr>
            <w:rStyle w:val="Hyperlink"/>
            <w:noProof/>
            <w:rtl/>
          </w:rPr>
          <w:fldChar w:fldCharType="end"/>
        </w:r>
      </w:hyperlink>
    </w:p>
    <w:p w:rsidR="005873D9" w:rsidRPr="00FE3330" w:rsidRDefault="001C367F" w:rsidP="00240124">
      <w:pPr>
        <w:pStyle w:val="TOC3"/>
        <w:spacing w:before="0"/>
        <w:ind w:left="657"/>
        <w:rPr>
          <w:rFonts w:ascii="Calibri" w:hAnsi="Calibri" w:cs="Arial"/>
          <w:noProof/>
          <w:szCs w:val="22"/>
          <w:rtl/>
          <w:lang w:eastAsia="en-US"/>
        </w:rPr>
      </w:pPr>
      <w:hyperlink w:anchor="_Toc476497425" w:history="1">
        <w:r w:rsidR="005873D9" w:rsidRPr="00052B9F">
          <w:rPr>
            <w:rStyle w:val="Hyperlink"/>
            <w:rFonts w:hint="eastAsia"/>
            <w:noProof/>
            <w:rtl/>
          </w:rPr>
          <w:t>נושאי</w:t>
        </w:r>
        <w:r w:rsidR="005873D9" w:rsidRPr="00052B9F">
          <w:rPr>
            <w:rStyle w:val="Hyperlink"/>
            <w:noProof/>
            <w:rtl/>
          </w:rPr>
          <w:t xml:space="preserve"> </w:t>
        </w:r>
        <w:r w:rsidR="005873D9" w:rsidRPr="00052B9F">
          <w:rPr>
            <w:rStyle w:val="Hyperlink"/>
            <w:rFonts w:hint="eastAsia"/>
            <w:noProof/>
            <w:rtl/>
          </w:rPr>
          <w:t>משרה</w:t>
        </w:r>
        <w:r w:rsidR="005873D9" w:rsidRPr="00052B9F">
          <w:rPr>
            <w:rStyle w:val="Hyperlink"/>
            <w:noProof/>
            <w:rtl/>
          </w:rPr>
          <w:t xml:space="preserve"> - </w:t>
        </w:r>
        <w:r w:rsidR="005873D9" w:rsidRPr="00052B9F">
          <w:rPr>
            <w:rStyle w:val="Hyperlink"/>
            <w:rFonts w:hint="eastAsia"/>
            <w:noProof/>
            <w:rtl/>
          </w:rPr>
          <w:t>קביעת</w:t>
        </w:r>
        <w:r w:rsidR="005873D9" w:rsidRPr="00052B9F">
          <w:rPr>
            <w:rStyle w:val="Hyperlink"/>
            <w:noProof/>
            <w:rtl/>
          </w:rPr>
          <w:t xml:space="preserve"> </w:t>
        </w:r>
        <w:r w:rsidR="005873D9" w:rsidRPr="00052B9F">
          <w:rPr>
            <w:rStyle w:val="Hyperlink"/>
            <w:rFonts w:hint="eastAsia"/>
            <w:noProof/>
            <w:rtl/>
          </w:rPr>
          <w:t>גובה</w:t>
        </w:r>
        <w:r w:rsidR="005873D9" w:rsidRPr="00052B9F">
          <w:rPr>
            <w:rStyle w:val="Hyperlink"/>
            <w:noProof/>
            <w:rtl/>
          </w:rPr>
          <w:t xml:space="preserve"> </w:t>
        </w:r>
        <w:r w:rsidR="005873D9" w:rsidRPr="00052B9F">
          <w:rPr>
            <w:rStyle w:val="Hyperlink"/>
            <w:rFonts w:hint="eastAsia"/>
            <w:noProof/>
            <w:rtl/>
          </w:rPr>
          <w:t>העיצום</w:t>
        </w:r>
        <w:r w:rsidR="005873D9" w:rsidRPr="00052B9F">
          <w:rPr>
            <w:rStyle w:val="Hyperlink"/>
            <w:noProof/>
            <w:rtl/>
          </w:rPr>
          <w:t xml:space="preserve"> </w:t>
        </w:r>
        <w:r w:rsidR="005873D9" w:rsidRPr="00052B9F">
          <w:rPr>
            <w:rStyle w:val="Hyperlink"/>
            <w:rFonts w:hint="eastAsia"/>
            <w:noProof/>
            <w:rtl/>
          </w:rPr>
          <w:t>הכספי</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Toc476497425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30</w:t>
        </w:r>
        <w:r w:rsidR="005873D9">
          <w:rPr>
            <w:rStyle w:val="Hyperlink"/>
            <w:noProof/>
            <w:rtl/>
          </w:rPr>
          <w:fldChar w:fldCharType="end"/>
        </w:r>
      </w:hyperlink>
    </w:p>
    <w:p w:rsidR="005873D9" w:rsidRPr="00FE3330" w:rsidRDefault="001C367F" w:rsidP="00240124">
      <w:pPr>
        <w:pStyle w:val="TOC3"/>
        <w:spacing w:before="0"/>
        <w:ind w:left="657"/>
        <w:rPr>
          <w:rFonts w:ascii="Calibri" w:hAnsi="Calibri" w:cs="Arial"/>
          <w:noProof/>
          <w:szCs w:val="22"/>
          <w:rtl/>
          <w:lang w:eastAsia="en-US"/>
        </w:rPr>
      </w:pPr>
      <w:hyperlink w:anchor="_Toc476497426" w:history="1">
        <w:r w:rsidR="005873D9" w:rsidRPr="00052B9F">
          <w:rPr>
            <w:rStyle w:val="Hyperlink"/>
            <w:rFonts w:hint="eastAsia"/>
            <w:noProof/>
            <w:rtl/>
          </w:rPr>
          <w:t>מר</w:t>
        </w:r>
        <w:r w:rsidR="005873D9" w:rsidRPr="00052B9F">
          <w:rPr>
            <w:rStyle w:val="Hyperlink"/>
            <w:noProof/>
            <w:rtl/>
          </w:rPr>
          <w:t xml:space="preserve"> </w:t>
        </w:r>
        <w:r w:rsidR="009F50C0" w:rsidRPr="0044109C">
          <w:rPr>
            <w:rStyle w:val="Hyperlink"/>
            <w:rFonts w:hint="eastAsia"/>
            <w:noProof/>
            <w:color w:val="000000"/>
            <w:highlight w:val="black"/>
          </w:rPr>
          <w:t>XXX</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Toc476497426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31</w:t>
        </w:r>
        <w:r w:rsidR="005873D9">
          <w:rPr>
            <w:rStyle w:val="Hyperlink"/>
            <w:noProof/>
            <w:rtl/>
          </w:rPr>
          <w:fldChar w:fldCharType="end"/>
        </w:r>
      </w:hyperlink>
    </w:p>
    <w:p w:rsidR="005873D9" w:rsidRPr="00FE3330" w:rsidRDefault="001C367F" w:rsidP="00240124">
      <w:pPr>
        <w:pStyle w:val="TOC3"/>
        <w:spacing w:before="0"/>
        <w:ind w:left="657"/>
        <w:rPr>
          <w:rFonts w:ascii="Calibri" w:hAnsi="Calibri" w:cs="Arial"/>
          <w:noProof/>
          <w:szCs w:val="22"/>
          <w:rtl/>
          <w:lang w:eastAsia="en-US"/>
        </w:rPr>
      </w:pPr>
      <w:hyperlink w:anchor="_Toc476497427" w:history="1">
        <w:r w:rsidR="005873D9" w:rsidRPr="00052B9F">
          <w:rPr>
            <w:rStyle w:val="Hyperlink"/>
            <w:rFonts w:hint="eastAsia"/>
            <w:noProof/>
            <w:rtl/>
          </w:rPr>
          <w:t>מר</w:t>
        </w:r>
        <w:r w:rsidR="005873D9" w:rsidRPr="00052B9F">
          <w:rPr>
            <w:rStyle w:val="Hyperlink"/>
            <w:noProof/>
            <w:rtl/>
          </w:rPr>
          <w:t xml:space="preserve"> </w:t>
        </w:r>
        <w:r w:rsidR="009F50C0" w:rsidRPr="0044109C">
          <w:rPr>
            <w:rStyle w:val="Hyperlink"/>
            <w:rFonts w:hint="eastAsia"/>
            <w:noProof/>
            <w:color w:val="000000"/>
            <w:highlight w:val="black"/>
          </w:rPr>
          <w:t>XXX</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Toc476497427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32</w:t>
        </w:r>
        <w:r w:rsidR="005873D9">
          <w:rPr>
            <w:rStyle w:val="Hyperlink"/>
            <w:noProof/>
            <w:rtl/>
          </w:rPr>
          <w:fldChar w:fldCharType="end"/>
        </w:r>
      </w:hyperlink>
    </w:p>
    <w:p w:rsidR="005873D9" w:rsidRPr="00FE3330" w:rsidRDefault="001C367F" w:rsidP="005873D9">
      <w:pPr>
        <w:pStyle w:val="TOC2"/>
        <w:tabs>
          <w:tab w:val="left" w:pos="1320"/>
          <w:tab w:val="right" w:leader="dot" w:pos="8302"/>
        </w:tabs>
        <w:spacing w:before="0" w:line="240" w:lineRule="auto"/>
        <w:rPr>
          <w:rFonts w:ascii="Calibri" w:hAnsi="Calibri" w:cs="Arial"/>
          <w:noProof/>
          <w:szCs w:val="22"/>
          <w:rtl/>
          <w:lang w:eastAsia="en-US"/>
        </w:rPr>
      </w:pPr>
      <w:hyperlink w:anchor="_Toc476497428" w:history="1">
        <w:r w:rsidR="005873D9" w:rsidRPr="00052B9F">
          <w:rPr>
            <w:rStyle w:val="Hyperlink"/>
            <w:rFonts w:hint="eastAsia"/>
            <w:noProof/>
            <w:rtl/>
          </w:rPr>
          <w:t>ד</w:t>
        </w:r>
        <w:r w:rsidR="005873D9" w:rsidRPr="00052B9F">
          <w:rPr>
            <w:rStyle w:val="Hyperlink"/>
            <w:noProof/>
            <w:rtl/>
          </w:rPr>
          <w:t>.4.</w:t>
        </w:r>
        <w:r w:rsidR="005873D9" w:rsidRPr="00FE3330">
          <w:rPr>
            <w:rFonts w:ascii="Calibri" w:hAnsi="Calibri" w:cs="Arial"/>
            <w:noProof/>
            <w:szCs w:val="22"/>
            <w:rtl/>
            <w:lang w:eastAsia="en-US"/>
          </w:rPr>
          <w:tab/>
        </w:r>
        <w:r w:rsidR="005873D9" w:rsidRPr="00052B9F">
          <w:rPr>
            <w:rStyle w:val="Hyperlink"/>
            <w:rFonts w:hint="eastAsia"/>
            <w:noProof/>
            <w:rtl/>
          </w:rPr>
          <w:t>היוועצות</w:t>
        </w:r>
        <w:r w:rsidR="005873D9" w:rsidRPr="00052B9F">
          <w:rPr>
            <w:rStyle w:val="Hyperlink"/>
            <w:noProof/>
            <w:rtl/>
          </w:rPr>
          <w:t xml:space="preserve"> </w:t>
        </w:r>
        <w:r w:rsidR="005873D9" w:rsidRPr="00052B9F">
          <w:rPr>
            <w:rStyle w:val="Hyperlink"/>
            <w:rFonts w:hint="eastAsia"/>
            <w:noProof/>
            <w:rtl/>
          </w:rPr>
          <w:t>בוועדה</w:t>
        </w:r>
        <w:r w:rsidR="005873D9" w:rsidRPr="00052B9F">
          <w:rPr>
            <w:rStyle w:val="Hyperlink"/>
            <w:noProof/>
            <w:rtl/>
          </w:rPr>
          <w:t xml:space="preserve"> </w:t>
        </w:r>
        <w:r w:rsidR="005873D9" w:rsidRPr="00052B9F">
          <w:rPr>
            <w:rStyle w:val="Hyperlink"/>
            <w:rFonts w:hint="eastAsia"/>
            <w:noProof/>
            <w:rtl/>
          </w:rPr>
          <w:t>לפטורים</w:t>
        </w:r>
        <w:r w:rsidR="005873D9" w:rsidRPr="00052B9F">
          <w:rPr>
            <w:rStyle w:val="Hyperlink"/>
            <w:noProof/>
            <w:rtl/>
          </w:rPr>
          <w:t xml:space="preserve"> </w:t>
        </w:r>
        <w:r w:rsidR="005873D9" w:rsidRPr="00052B9F">
          <w:rPr>
            <w:rStyle w:val="Hyperlink"/>
            <w:rFonts w:hint="eastAsia"/>
            <w:noProof/>
            <w:rtl/>
          </w:rPr>
          <w:t>ומיזוגים</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Toc476497428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34</w:t>
        </w:r>
        <w:r w:rsidR="005873D9">
          <w:rPr>
            <w:rStyle w:val="Hyperlink"/>
            <w:noProof/>
            <w:rtl/>
          </w:rPr>
          <w:fldChar w:fldCharType="end"/>
        </w:r>
      </w:hyperlink>
    </w:p>
    <w:p w:rsidR="005873D9" w:rsidRPr="00FE3330" w:rsidRDefault="001C367F" w:rsidP="005873D9">
      <w:pPr>
        <w:pStyle w:val="TOC1"/>
        <w:tabs>
          <w:tab w:val="left" w:pos="660"/>
          <w:tab w:val="right" w:leader="dot" w:pos="8302"/>
        </w:tabs>
        <w:spacing w:before="0" w:line="240" w:lineRule="auto"/>
        <w:rPr>
          <w:rFonts w:ascii="Calibri" w:hAnsi="Calibri" w:cs="Arial"/>
          <w:noProof/>
          <w:szCs w:val="22"/>
          <w:rtl/>
          <w:lang w:eastAsia="en-US"/>
        </w:rPr>
      </w:pPr>
      <w:hyperlink w:anchor="_Toc476497429" w:history="1">
        <w:r w:rsidR="005873D9" w:rsidRPr="00052B9F">
          <w:rPr>
            <w:rStyle w:val="Hyperlink"/>
            <w:rFonts w:hint="eastAsia"/>
            <w:b/>
            <w:bCs/>
            <w:noProof/>
            <w:rtl/>
          </w:rPr>
          <w:t>ה</w:t>
        </w:r>
        <w:r w:rsidR="005873D9" w:rsidRPr="00052B9F">
          <w:rPr>
            <w:rStyle w:val="Hyperlink"/>
            <w:b/>
            <w:bCs/>
            <w:noProof/>
            <w:rtl/>
          </w:rPr>
          <w:t>.</w:t>
        </w:r>
        <w:r w:rsidR="005873D9" w:rsidRPr="00FE3330">
          <w:rPr>
            <w:rFonts w:ascii="Calibri" w:hAnsi="Calibri" w:cs="Arial"/>
            <w:noProof/>
            <w:szCs w:val="22"/>
            <w:rtl/>
            <w:lang w:eastAsia="en-US"/>
          </w:rPr>
          <w:tab/>
        </w:r>
        <w:r w:rsidR="005873D9" w:rsidRPr="00052B9F">
          <w:rPr>
            <w:rStyle w:val="Hyperlink"/>
            <w:rFonts w:hint="eastAsia"/>
            <w:b/>
            <w:bCs/>
            <w:noProof/>
            <w:rtl/>
          </w:rPr>
          <w:t>טענות</w:t>
        </w:r>
        <w:r w:rsidR="005873D9" w:rsidRPr="00052B9F">
          <w:rPr>
            <w:rStyle w:val="Hyperlink"/>
            <w:b/>
            <w:bCs/>
            <w:noProof/>
            <w:rtl/>
          </w:rPr>
          <w:t xml:space="preserve"> </w:t>
        </w:r>
        <w:r w:rsidR="005873D9" w:rsidRPr="00052B9F">
          <w:rPr>
            <w:rStyle w:val="Hyperlink"/>
            <w:rFonts w:hint="eastAsia"/>
            <w:b/>
            <w:bCs/>
            <w:noProof/>
            <w:rtl/>
          </w:rPr>
          <w:t>המפרים</w:t>
        </w:r>
        <w:r w:rsidR="005873D9" w:rsidRPr="00052B9F">
          <w:rPr>
            <w:rStyle w:val="Hyperlink"/>
            <w:b/>
            <w:bCs/>
            <w:noProof/>
            <w:rtl/>
          </w:rPr>
          <w:t xml:space="preserve"> </w:t>
        </w:r>
        <w:r w:rsidR="005873D9" w:rsidRPr="00052B9F">
          <w:rPr>
            <w:rStyle w:val="Hyperlink"/>
            <w:rFonts w:hint="eastAsia"/>
            <w:b/>
            <w:bCs/>
            <w:noProof/>
            <w:rtl/>
          </w:rPr>
          <w:t>בשימוע</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Toc476497429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34</w:t>
        </w:r>
        <w:r w:rsidR="005873D9">
          <w:rPr>
            <w:rStyle w:val="Hyperlink"/>
            <w:noProof/>
            <w:rtl/>
          </w:rPr>
          <w:fldChar w:fldCharType="end"/>
        </w:r>
      </w:hyperlink>
    </w:p>
    <w:p w:rsidR="005873D9" w:rsidRPr="00FE3330" w:rsidRDefault="001C367F" w:rsidP="005873D9">
      <w:pPr>
        <w:pStyle w:val="TOC2"/>
        <w:tabs>
          <w:tab w:val="left" w:pos="1320"/>
          <w:tab w:val="right" w:leader="dot" w:pos="8302"/>
        </w:tabs>
        <w:spacing w:before="0" w:line="240" w:lineRule="auto"/>
        <w:rPr>
          <w:rFonts w:ascii="Calibri" w:hAnsi="Calibri" w:cs="Arial"/>
          <w:noProof/>
          <w:szCs w:val="22"/>
          <w:rtl/>
          <w:lang w:eastAsia="en-US"/>
        </w:rPr>
      </w:pPr>
      <w:hyperlink w:anchor="_Toc476497430" w:history="1">
        <w:r w:rsidR="005873D9" w:rsidRPr="00052B9F">
          <w:rPr>
            <w:rStyle w:val="Hyperlink"/>
            <w:rFonts w:hint="eastAsia"/>
            <w:noProof/>
            <w:rtl/>
          </w:rPr>
          <w:t>ה</w:t>
        </w:r>
        <w:r w:rsidR="005873D9" w:rsidRPr="00052B9F">
          <w:rPr>
            <w:rStyle w:val="Hyperlink"/>
            <w:noProof/>
            <w:rtl/>
          </w:rPr>
          <w:t>.1.</w:t>
        </w:r>
        <w:r w:rsidR="005873D9" w:rsidRPr="00FE3330">
          <w:rPr>
            <w:rFonts w:ascii="Calibri" w:hAnsi="Calibri" w:cs="Arial"/>
            <w:noProof/>
            <w:szCs w:val="22"/>
            <w:rtl/>
            <w:lang w:eastAsia="en-US"/>
          </w:rPr>
          <w:tab/>
        </w:r>
        <w:r w:rsidR="005873D9" w:rsidRPr="00052B9F">
          <w:rPr>
            <w:rStyle w:val="Hyperlink"/>
            <w:rFonts w:hint="eastAsia"/>
            <w:noProof/>
            <w:rtl/>
          </w:rPr>
          <w:t>טענה</w:t>
        </w:r>
        <w:r w:rsidR="005873D9" w:rsidRPr="00052B9F">
          <w:rPr>
            <w:rStyle w:val="Hyperlink"/>
            <w:noProof/>
            <w:rtl/>
          </w:rPr>
          <w:t xml:space="preserve"> </w:t>
        </w:r>
        <w:r w:rsidR="005873D9" w:rsidRPr="00052B9F">
          <w:rPr>
            <w:rStyle w:val="Hyperlink"/>
            <w:rFonts w:hint="eastAsia"/>
            <w:noProof/>
            <w:rtl/>
          </w:rPr>
          <w:t>לפגמים</w:t>
        </w:r>
        <w:r w:rsidR="005873D9" w:rsidRPr="00052B9F">
          <w:rPr>
            <w:rStyle w:val="Hyperlink"/>
            <w:noProof/>
            <w:rtl/>
          </w:rPr>
          <w:t xml:space="preserve"> </w:t>
        </w:r>
        <w:r w:rsidR="005873D9" w:rsidRPr="00052B9F">
          <w:rPr>
            <w:rStyle w:val="Hyperlink"/>
            <w:rFonts w:hint="eastAsia"/>
            <w:noProof/>
            <w:rtl/>
          </w:rPr>
          <w:t>ראייתיים</w:t>
        </w:r>
        <w:r w:rsidR="005873D9" w:rsidRPr="00052B9F">
          <w:rPr>
            <w:rStyle w:val="Hyperlink"/>
            <w:noProof/>
            <w:rtl/>
          </w:rPr>
          <w:t xml:space="preserve"> </w:t>
        </w:r>
        <w:r w:rsidR="005873D9" w:rsidRPr="00052B9F">
          <w:rPr>
            <w:rStyle w:val="Hyperlink"/>
            <w:rFonts w:hint="eastAsia"/>
            <w:noProof/>
            <w:rtl/>
          </w:rPr>
          <w:t>בהליך</w:t>
        </w:r>
        <w:r w:rsidR="005873D9" w:rsidRPr="00052B9F">
          <w:rPr>
            <w:rStyle w:val="Hyperlink"/>
            <w:noProof/>
            <w:rtl/>
          </w:rPr>
          <w:t xml:space="preserve"> </w:t>
        </w:r>
        <w:r w:rsidR="005873D9" w:rsidRPr="00052B9F">
          <w:rPr>
            <w:rStyle w:val="Hyperlink"/>
            <w:rFonts w:hint="eastAsia"/>
            <w:noProof/>
            <w:rtl/>
          </w:rPr>
          <w:t>בדיקת</w:t>
        </w:r>
        <w:r w:rsidR="005873D9" w:rsidRPr="00052B9F">
          <w:rPr>
            <w:rStyle w:val="Hyperlink"/>
            <w:noProof/>
            <w:rtl/>
          </w:rPr>
          <w:t xml:space="preserve"> </w:t>
        </w:r>
        <w:r w:rsidR="005873D9" w:rsidRPr="00052B9F">
          <w:rPr>
            <w:rStyle w:val="Hyperlink"/>
            <w:rFonts w:hint="eastAsia"/>
            <w:noProof/>
            <w:rtl/>
          </w:rPr>
          <w:t>הממונה</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Toc476497430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34</w:t>
        </w:r>
        <w:r w:rsidR="005873D9">
          <w:rPr>
            <w:rStyle w:val="Hyperlink"/>
            <w:noProof/>
            <w:rtl/>
          </w:rPr>
          <w:fldChar w:fldCharType="end"/>
        </w:r>
      </w:hyperlink>
    </w:p>
    <w:p w:rsidR="005873D9" w:rsidRPr="00FE3330" w:rsidRDefault="001C367F" w:rsidP="005873D9">
      <w:pPr>
        <w:pStyle w:val="TOC2"/>
        <w:tabs>
          <w:tab w:val="left" w:pos="1320"/>
          <w:tab w:val="right" w:leader="dot" w:pos="8302"/>
        </w:tabs>
        <w:spacing w:before="0" w:line="240" w:lineRule="auto"/>
        <w:rPr>
          <w:rFonts w:ascii="Calibri" w:hAnsi="Calibri" w:cs="Arial"/>
          <w:noProof/>
          <w:szCs w:val="22"/>
          <w:rtl/>
          <w:lang w:eastAsia="en-US"/>
        </w:rPr>
      </w:pPr>
      <w:hyperlink w:anchor="_Toc476497431" w:history="1">
        <w:r w:rsidR="005873D9" w:rsidRPr="00052B9F">
          <w:rPr>
            <w:rStyle w:val="Hyperlink"/>
            <w:rFonts w:hint="eastAsia"/>
            <w:noProof/>
            <w:rtl/>
          </w:rPr>
          <w:t>ה</w:t>
        </w:r>
        <w:r w:rsidR="005873D9" w:rsidRPr="00052B9F">
          <w:rPr>
            <w:rStyle w:val="Hyperlink"/>
            <w:noProof/>
            <w:rtl/>
          </w:rPr>
          <w:t>.2.</w:t>
        </w:r>
        <w:r w:rsidR="005873D9" w:rsidRPr="00FE3330">
          <w:rPr>
            <w:rFonts w:ascii="Calibri" w:hAnsi="Calibri" w:cs="Arial"/>
            <w:noProof/>
            <w:szCs w:val="22"/>
            <w:rtl/>
            <w:lang w:eastAsia="en-US"/>
          </w:rPr>
          <w:tab/>
        </w:r>
        <w:r w:rsidR="005873D9" w:rsidRPr="00052B9F">
          <w:rPr>
            <w:rStyle w:val="Hyperlink"/>
            <w:rFonts w:hint="eastAsia"/>
            <w:noProof/>
            <w:rtl/>
          </w:rPr>
          <w:t>סמכות</w:t>
        </w:r>
        <w:r w:rsidR="005873D9" w:rsidRPr="00052B9F">
          <w:rPr>
            <w:rStyle w:val="Hyperlink"/>
            <w:noProof/>
            <w:rtl/>
          </w:rPr>
          <w:t xml:space="preserve"> </w:t>
        </w:r>
        <w:r w:rsidR="005873D9" w:rsidRPr="00052B9F">
          <w:rPr>
            <w:rStyle w:val="Hyperlink"/>
            <w:rFonts w:hint="eastAsia"/>
            <w:noProof/>
            <w:rtl/>
          </w:rPr>
          <w:t>הממונה</w:t>
        </w:r>
        <w:r w:rsidR="005873D9" w:rsidRPr="00052B9F">
          <w:rPr>
            <w:rStyle w:val="Hyperlink"/>
            <w:noProof/>
            <w:rtl/>
          </w:rPr>
          <w:t xml:space="preserve"> </w:t>
        </w:r>
        <w:r w:rsidR="005873D9" w:rsidRPr="00052B9F">
          <w:rPr>
            <w:rStyle w:val="Hyperlink"/>
            <w:rFonts w:hint="eastAsia"/>
            <w:noProof/>
            <w:rtl/>
          </w:rPr>
          <w:t>להטיל</w:t>
        </w:r>
        <w:r w:rsidR="005873D9" w:rsidRPr="00052B9F">
          <w:rPr>
            <w:rStyle w:val="Hyperlink"/>
            <w:noProof/>
            <w:rtl/>
          </w:rPr>
          <w:t xml:space="preserve"> </w:t>
        </w:r>
        <w:r w:rsidR="005873D9" w:rsidRPr="00052B9F">
          <w:rPr>
            <w:rStyle w:val="Hyperlink"/>
            <w:rFonts w:hint="eastAsia"/>
            <w:noProof/>
            <w:rtl/>
          </w:rPr>
          <w:t>עיצומים</w:t>
        </w:r>
        <w:r w:rsidR="005873D9" w:rsidRPr="00052B9F">
          <w:rPr>
            <w:rStyle w:val="Hyperlink"/>
            <w:noProof/>
            <w:rtl/>
          </w:rPr>
          <w:t xml:space="preserve"> </w:t>
        </w:r>
        <w:r w:rsidR="005873D9" w:rsidRPr="00052B9F">
          <w:rPr>
            <w:rStyle w:val="Hyperlink"/>
            <w:rFonts w:hint="eastAsia"/>
            <w:noProof/>
            <w:rtl/>
          </w:rPr>
          <w:t>כספיים</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Toc476497431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37</w:t>
        </w:r>
        <w:r w:rsidR="005873D9">
          <w:rPr>
            <w:rStyle w:val="Hyperlink"/>
            <w:noProof/>
            <w:rtl/>
          </w:rPr>
          <w:fldChar w:fldCharType="end"/>
        </w:r>
      </w:hyperlink>
    </w:p>
    <w:p w:rsidR="005873D9" w:rsidRPr="00FE3330" w:rsidRDefault="001C367F" w:rsidP="005873D9">
      <w:pPr>
        <w:pStyle w:val="TOC2"/>
        <w:tabs>
          <w:tab w:val="left" w:pos="1320"/>
          <w:tab w:val="right" w:leader="dot" w:pos="8302"/>
        </w:tabs>
        <w:spacing w:before="0" w:line="240" w:lineRule="auto"/>
        <w:rPr>
          <w:rFonts w:ascii="Calibri" w:hAnsi="Calibri" w:cs="Arial"/>
          <w:noProof/>
          <w:szCs w:val="22"/>
          <w:rtl/>
          <w:lang w:eastAsia="en-US"/>
        </w:rPr>
      </w:pPr>
      <w:hyperlink w:anchor="_Toc476497432" w:history="1">
        <w:r w:rsidR="005873D9" w:rsidRPr="00052B9F">
          <w:rPr>
            <w:rStyle w:val="Hyperlink"/>
            <w:rFonts w:hint="eastAsia"/>
            <w:noProof/>
            <w:rtl/>
          </w:rPr>
          <w:t>ה</w:t>
        </w:r>
        <w:r w:rsidR="005873D9" w:rsidRPr="00052B9F">
          <w:rPr>
            <w:rStyle w:val="Hyperlink"/>
            <w:noProof/>
            <w:rtl/>
          </w:rPr>
          <w:t>.3.</w:t>
        </w:r>
        <w:r w:rsidR="005873D9" w:rsidRPr="00FE3330">
          <w:rPr>
            <w:rFonts w:ascii="Calibri" w:hAnsi="Calibri" w:cs="Arial"/>
            <w:noProof/>
            <w:szCs w:val="22"/>
            <w:rtl/>
            <w:lang w:eastAsia="en-US"/>
          </w:rPr>
          <w:tab/>
        </w:r>
        <w:r w:rsidR="005873D9" w:rsidRPr="00052B9F">
          <w:rPr>
            <w:rStyle w:val="Hyperlink"/>
            <w:rFonts w:hint="eastAsia"/>
            <w:noProof/>
            <w:rtl/>
          </w:rPr>
          <w:t>הסתמכות</w:t>
        </w:r>
        <w:r w:rsidR="005873D9" w:rsidRPr="00052B9F">
          <w:rPr>
            <w:rStyle w:val="Hyperlink"/>
            <w:noProof/>
            <w:rtl/>
          </w:rPr>
          <w:t xml:space="preserve"> </w:t>
        </w:r>
        <w:r w:rsidR="005873D9" w:rsidRPr="00052B9F">
          <w:rPr>
            <w:rStyle w:val="Hyperlink"/>
            <w:rFonts w:hint="eastAsia"/>
            <w:noProof/>
            <w:rtl/>
          </w:rPr>
          <w:t>על</w:t>
        </w:r>
        <w:r w:rsidR="005873D9" w:rsidRPr="00052B9F">
          <w:rPr>
            <w:rStyle w:val="Hyperlink"/>
            <w:noProof/>
            <w:rtl/>
          </w:rPr>
          <w:t xml:space="preserve"> </w:t>
        </w:r>
        <w:r w:rsidR="005873D9" w:rsidRPr="00052B9F">
          <w:rPr>
            <w:rStyle w:val="Hyperlink"/>
            <w:rFonts w:hint="eastAsia"/>
            <w:noProof/>
            <w:rtl/>
          </w:rPr>
          <w:t>יעוץ</w:t>
        </w:r>
        <w:r w:rsidR="005873D9" w:rsidRPr="00052B9F">
          <w:rPr>
            <w:rStyle w:val="Hyperlink"/>
            <w:noProof/>
            <w:rtl/>
          </w:rPr>
          <w:t xml:space="preserve"> </w:t>
        </w:r>
        <w:r w:rsidR="005873D9" w:rsidRPr="00052B9F">
          <w:rPr>
            <w:rStyle w:val="Hyperlink"/>
            <w:rFonts w:hint="eastAsia"/>
            <w:noProof/>
            <w:rtl/>
          </w:rPr>
          <w:t>משפטי</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Toc476497432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37</w:t>
        </w:r>
        <w:r w:rsidR="005873D9">
          <w:rPr>
            <w:rStyle w:val="Hyperlink"/>
            <w:noProof/>
            <w:rtl/>
          </w:rPr>
          <w:fldChar w:fldCharType="end"/>
        </w:r>
      </w:hyperlink>
    </w:p>
    <w:p w:rsidR="005873D9" w:rsidRPr="00FE3330" w:rsidRDefault="001C367F" w:rsidP="005873D9">
      <w:pPr>
        <w:pStyle w:val="TOC1"/>
        <w:tabs>
          <w:tab w:val="left" w:pos="660"/>
          <w:tab w:val="right" w:leader="dot" w:pos="8302"/>
        </w:tabs>
        <w:spacing w:before="0" w:line="240" w:lineRule="auto"/>
        <w:rPr>
          <w:rFonts w:ascii="Calibri" w:hAnsi="Calibri" w:cs="Arial"/>
          <w:noProof/>
          <w:szCs w:val="22"/>
          <w:rtl/>
          <w:lang w:eastAsia="en-US"/>
        </w:rPr>
      </w:pPr>
      <w:hyperlink w:anchor="_Toc476497433" w:history="1">
        <w:r w:rsidR="005873D9" w:rsidRPr="00052B9F">
          <w:rPr>
            <w:rStyle w:val="Hyperlink"/>
            <w:rFonts w:hint="eastAsia"/>
            <w:b/>
            <w:bCs/>
            <w:noProof/>
            <w:rtl/>
          </w:rPr>
          <w:t>ו</w:t>
        </w:r>
        <w:r w:rsidR="005873D9" w:rsidRPr="00052B9F">
          <w:rPr>
            <w:rStyle w:val="Hyperlink"/>
            <w:b/>
            <w:bCs/>
            <w:noProof/>
            <w:rtl/>
          </w:rPr>
          <w:t>.</w:t>
        </w:r>
        <w:r w:rsidR="005873D9" w:rsidRPr="00FE3330">
          <w:rPr>
            <w:rFonts w:ascii="Calibri" w:hAnsi="Calibri" w:cs="Arial"/>
            <w:noProof/>
            <w:szCs w:val="22"/>
            <w:rtl/>
            <w:lang w:eastAsia="en-US"/>
          </w:rPr>
          <w:tab/>
        </w:r>
        <w:r w:rsidR="005873D9" w:rsidRPr="00052B9F">
          <w:rPr>
            <w:rStyle w:val="Hyperlink"/>
            <w:rFonts w:hint="eastAsia"/>
            <w:b/>
            <w:bCs/>
            <w:noProof/>
            <w:rtl/>
          </w:rPr>
          <w:t>סיכום</w:t>
        </w:r>
        <w:r w:rsidR="005873D9" w:rsidRPr="00052B9F">
          <w:rPr>
            <w:rStyle w:val="Hyperlink"/>
            <w:b/>
            <w:bCs/>
            <w:noProof/>
            <w:rtl/>
          </w:rPr>
          <w:t xml:space="preserve"> – </w:t>
        </w:r>
        <w:r w:rsidR="005873D9" w:rsidRPr="00052B9F">
          <w:rPr>
            <w:rStyle w:val="Hyperlink"/>
            <w:rFonts w:hint="eastAsia"/>
            <w:b/>
            <w:bCs/>
            <w:noProof/>
            <w:rtl/>
          </w:rPr>
          <w:t>קביעה</w:t>
        </w:r>
        <w:r w:rsidR="005873D9" w:rsidRPr="00052B9F">
          <w:rPr>
            <w:rStyle w:val="Hyperlink"/>
            <w:b/>
            <w:bCs/>
            <w:noProof/>
            <w:rtl/>
          </w:rPr>
          <w:t xml:space="preserve"> </w:t>
        </w:r>
        <w:r w:rsidR="005873D9" w:rsidRPr="00052B9F">
          <w:rPr>
            <w:rStyle w:val="Hyperlink"/>
            <w:rFonts w:hint="eastAsia"/>
            <w:b/>
            <w:bCs/>
            <w:noProof/>
            <w:rtl/>
          </w:rPr>
          <w:t>ודרישת</w:t>
        </w:r>
        <w:r w:rsidR="005873D9" w:rsidRPr="00052B9F">
          <w:rPr>
            <w:rStyle w:val="Hyperlink"/>
            <w:b/>
            <w:bCs/>
            <w:noProof/>
            <w:rtl/>
          </w:rPr>
          <w:t xml:space="preserve"> </w:t>
        </w:r>
        <w:r w:rsidR="005873D9" w:rsidRPr="00052B9F">
          <w:rPr>
            <w:rStyle w:val="Hyperlink"/>
            <w:rFonts w:hint="eastAsia"/>
            <w:b/>
            <w:bCs/>
            <w:noProof/>
            <w:rtl/>
          </w:rPr>
          <w:t>תשלום</w:t>
        </w:r>
        <w:r w:rsidR="005873D9">
          <w:rPr>
            <w:noProof/>
            <w:webHidden/>
            <w:rtl/>
          </w:rPr>
          <w:tab/>
        </w:r>
        <w:r w:rsidR="005873D9">
          <w:rPr>
            <w:rStyle w:val="Hyperlink"/>
            <w:noProof/>
            <w:rtl/>
          </w:rPr>
          <w:fldChar w:fldCharType="begin"/>
        </w:r>
        <w:r w:rsidR="005873D9">
          <w:rPr>
            <w:noProof/>
            <w:webHidden/>
            <w:rtl/>
          </w:rPr>
          <w:instrText xml:space="preserve"> </w:instrText>
        </w:r>
        <w:r w:rsidR="005873D9">
          <w:rPr>
            <w:noProof/>
            <w:webHidden/>
          </w:rPr>
          <w:instrText>PAGEREF</w:instrText>
        </w:r>
        <w:r w:rsidR="005873D9">
          <w:rPr>
            <w:noProof/>
            <w:webHidden/>
            <w:rtl/>
          </w:rPr>
          <w:instrText xml:space="preserve"> _</w:instrText>
        </w:r>
        <w:r w:rsidR="005873D9">
          <w:rPr>
            <w:noProof/>
            <w:webHidden/>
          </w:rPr>
          <w:instrText>Toc476497433 \h</w:instrText>
        </w:r>
        <w:r w:rsidR="005873D9">
          <w:rPr>
            <w:noProof/>
            <w:webHidden/>
            <w:rtl/>
          </w:rPr>
          <w:instrText xml:space="preserve"> </w:instrText>
        </w:r>
        <w:r w:rsidR="005873D9">
          <w:rPr>
            <w:rStyle w:val="Hyperlink"/>
            <w:noProof/>
            <w:rtl/>
          </w:rPr>
        </w:r>
        <w:r w:rsidR="005873D9">
          <w:rPr>
            <w:rStyle w:val="Hyperlink"/>
            <w:noProof/>
            <w:rtl/>
          </w:rPr>
          <w:fldChar w:fldCharType="separate"/>
        </w:r>
        <w:r w:rsidR="00AC4B59">
          <w:rPr>
            <w:noProof/>
            <w:webHidden/>
            <w:rtl/>
          </w:rPr>
          <w:t>39</w:t>
        </w:r>
        <w:r w:rsidR="005873D9">
          <w:rPr>
            <w:rStyle w:val="Hyperlink"/>
            <w:noProof/>
            <w:rtl/>
          </w:rPr>
          <w:fldChar w:fldCharType="end"/>
        </w:r>
      </w:hyperlink>
    </w:p>
    <w:p w:rsidR="00FC0813" w:rsidRPr="00BC054E" w:rsidRDefault="007A160D" w:rsidP="001C367F">
      <w:pPr>
        <w:pStyle w:val="Heading1"/>
      </w:pPr>
      <w:r>
        <w:rPr>
          <w:lang w:val="he-IL"/>
        </w:rPr>
        <w:fldChar w:fldCharType="end"/>
      </w:r>
      <w:r w:rsidR="00850E42">
        <w:br w:type="page"/>
      </w:r>
      <w:bookmarkStart w:id="0" w:name="_Toc476497396"/>
      <w:r w:rsidR="00FC0813" w:rsidRPr="00BC054E">
        <w:rPr>
          <w:rFonts w:hint="cs"/>
          <w:rtl/>
        </w:rPr>
        <w:lastRenderedPageBreak/>
        <w:t>פתח דבר</w:t>
      </w:r>
      <w:bookmarkEnd w:id="0"/>
    </w:p>
    <w:p w:rsidR="00FC0813" w:rsidRDefault="00FC0813" w:rsidP="00FC4E93">
      <w:pPr>
        <w:ind w:left="90"/>
      </w:pPr>
      <w:r>
        <w:rPr>
          <w:rFonts w:hint="cs"/>
          <w:rtl/>
        </w:rPr>
        <w:t xml:space="preserve">עניינה של החלטה זו הוא קביעה </w:t>
      </w:r>
      <w:r w:rsidRPr="00B30A10">
        <w:rPr>
          <w:rFonts w:hint="cs"/>
          <w:rtl/>
        </w:rPr>
        <w:t xml:space="preserve">מכוח סעיף </w:t>
      </w:r>
      <w:r>
        <w:rPr>
          <w:rFonts w:hint="cs"/>
          <w:rtl/>
        </w:rPr>
        <w:t>43(א)(5)</w:t>
      </w:r>
      <w:r w:rsidRPr="00B30A10">
        <w:rPr>
          <w:rFonts w:hint="cs"/>
          <w:rtl/>
        </w:rPr>
        <w:t xml:space="preserve"> לחוק ההגבלים העסקיים, התשמ"ח-1988 (להלן: "</w:t>
      </w:r>
      <w:r w:rsidRPr="00BC43A5">
        <w:rPr>
          <w:rFonts w:hint="cs"/>
          <w:b/>
          <w:bCs/>
          <w:rtl/>
        </w:rPr>
        <w:t>החוק</w:t>
      </w:r>
      <w:r w:rsidRPr="00B30A10">
        <w:rPr>
          <w:rFonts w:hint="cs"/>
          <w:rtl/>
        </w:rPr>
        <w:t>")</w:t>
      </w:r>
      <w:r>
        <w:rPr>
          <w:rFonts w:hint="cs"/>
          <w:rtl/>
        </w:rPr>
        <w:t xml:space="preserve"> בדבר ניצול מעמד לרעה בניגוד </w:t>
      </w:r>
      <w:r w:rsidRPr="00B30A10">
        <w:rPr>
          <w:rFonts w:hint="cs"/>
          <w:rtl/>
        </w:rPr>
        <w:t xml:space="preserve">להוראת </w:t>
      </w:r>
      <w:r>
        <w:rPr>
          <w:rFonts w:hint="cs"/>
          <w:rtl/>
        </w:rPr>
        <w:t>סעיפים</w:t>
      </w:r>
      <w:r w:rsidRPr="00B30A10">
        <w:rPr>
          <w:rFonts w:hint="cs"/>
          <w:rtl/>
        </w:rPr>
        <w:t xml:space="preserve"> 29א(א)</w:t>
      </w:r>
      <w:r>
        <w:rPr>
          <w:rFonts w:hint="cs"/>
          <w:rtl/>
        </w:rPr>
        <w:t xml:space="preserve">, 29א(ב)(2),29א(ב)(3) ו-29א(ב)(4) לחוק, </w:t>
      </w:r>
      <w:r w:rsidR="00E34A6C">
        <w:rPr>
          <w:rFonts w:hint="cs"/>
          <w:rtl/>
        </w:rPr>
        <w:t xml:space="preserve">מצד </w:t>
      </w:r>
      <w:r>
        <w:rPr>
          <w:rFonts w:hint="cs"/>
          <w:rtl/>
        </w:rPr>
        <w:t>חברת החשמל לישראל בע"מ (</w:t>
      </w:r>
      <w:r w:rsidRPr="00F9656C">
        <w:rPr>
          <w:rFonts w:hint="cs"/>
          <w:rtl/>
        </w:rPr>
        <w:t>להלן: "</w:t>
      </w:r>
      <w:r w:rsidRPr="00F9656C">
        <w:rPr>
          <w:rFonts w:hint="cs"/>
          <w:b/>
          <w:bCs/>
          <w:rtl/>
        </w:rPr>
        <w:t>חברת החשמל</w:t>
      </w:r>
      <w:r w:rsidRPr="00F9656C">
        <w:rPr>
          <w:rFonts w:hint="cs"/>
          <w:rtl/>
        </w:rPr>
        <w:t>")</w:t>
      </w:r>
      <w:r>
        <w:rPr>
          <w:rFonts w:hint="cs"/>
          <w:rtl/>
        </w:rPr>
        <w:t xml:space="preserve"> </w:t>
      </w:r>
      <w:r w:rsidR="00E34A6C">
        <w:rPr>
          <w:rFonts w:hint="cs"/>
          <w:rtl/>
        </w:rPr>
        <w:t xml:space="preserve">וכן החלטה על הטלת עיצום כספי </w:t>
      </w:r>
      <w:r w:rsidR="00FC4E93">
        <w:rPr>
          <w:rFonts w:hint="cs"/>
          <w:rtl/>
        </w:rPr>
        <w:t xml:space="preserve">על חברת החשמל ונושאי משרה בה (להלן, יחדיו: </w:t>
      </w:r>
      <w:r w:rsidR="00FC4E93" w:rsidRPr="00BC054E">
        <w:rPr>
          <w:rFonts w:hint="cs"/>
          <w:rtl/>
        </w:rPr>
        <w:t>"</w:t>
      </w:r>
      <w:r w:rsidR="00FC4E93">
        <w:rPr>
          <w:rFonts w:hint="cs"/>
          <w:b/>
          <w:bCs/>
          <w:rtl/>
        </w:rPr>
        <w:t>המפרים</w:t>
      </w:r>
      <w:r w:rsidR="00FC4E93" w:rsidRPr="00BC054E">
        <w:rPr>
          <w:rFonts w:hint="cs"/>
          <w:rtl/>
        </w:rPr>
        <w:t>")</w:t>
      </w:r>
      <w:r w:rsidR="00FC4E93">
        <w:rPr>
          <w:rFonts w:hint="cs"/>
          <w:rtl/>
        </w:rPr>
        <w:t xml:space="preserve"> </w:t>
      </w:r>
      <w:r w:rsidR="00E34A6C">
        <w:rPr>
          <w:rFonts w:hint="cs"/>
          <w:rtl/>
        </w:rPr>
        <w:t xml:space="preserve">לפי סעיף 50ד(א)(3) לחוק </w:t>
      </w:r>
      <w:r>
        <w:rPr>
          <w:rFonts w:hint="cs"/>
          <w:rtl/>
        </w:rPr>
        <w:t xml:space="preserve">בגין הפרת </w:t>
      </w:r>
      <w:r w:rsidRPr="00584F8F">
        <w:rPr>
          <w:rFonts w:hint="cs"/>
          <w:rtl/>
        </w:rPr>
        <w:t>הוראות סעיפים</w:t>
      </w:r>
      <w:r w:rsidR="00E34A6C">
        <w:rPr>
          <w:rFonts w:hint="cs"/>
          <w:rtl/>
        </w:rPr>
        <w:t xml:space="preserve"> 29,</w:t>
      </w:r>
      <w:r w:rsidRPr="00584F8F">
        <w:rPr>
          <w:rFonts w:hint="cs"/>
          <w:rtl/>
        </w:rPr>
        <w:t xml:space="preserve"> 29א(א), 29א(ב)(2), 29א(ב)(3) ו-29א(ב)(4) לחוק </w:t>
      </w:r>
      <w:r>
        <w:rPr>
          <w:rFonts w:hint="cs"/>
          <w:rtl/>
        </w:rPr>
        <w:t>ודרישת תשלום.</w:t>
      </w:r>
    </w:p>
    <w:p w:rsidR="00FC0813" w:rsidRDefault="00FC0813" w:rsidP="004E264D">
      <w:pPr>
        <w:ind w:left="90"/>
        <w:rPr>
          <w:rtl/>
        </w:rPr>
      </w:pPr>
      <w:r>
        <w:rPr>
          <w:rFonts w:hint="cs"/>
          <w:rtl/>
        </w:rPr>
        <w:t xml:space="preserve">ביום 2.2.2016 הודעתי </w:t>
      </w:r>
      <w:r w:rsidR="00A95425">
        <w:rPr>
          <w:rFonts w:hint="cs"/>
          <w:rtl/>
        </w:rPr>
        <w:t>לחברת החשמל</w:t>
      </w:r>
      <w:r>
        <w:rPr>
          <w:rFonts w:hint="cs"/>
          <w:rtl/>
        </w:rPr>
        <w:t xml:space="preserve"> על כוונתי </w:t>
      </w:r>
      <w:r w:rsidRPr="00B30A10">
        <w:rPr>
          <w:rFonts w:hint="cs"/>
          <w:rtl/>
        </w:rPr>
        <w:t xml:space="preserve">לקבוע כי </w:t>
      </w:r>
      <w:r>
        <w:rPr>
          <w:rFonts w:hint="cs"/>
          <w:rtl/>
        </w:rPr>
        <w:t xml:space="preserve">חברת החשמל </w:t>
      </w:r>
      <w:r w:rsidRPr="00F9656C">
        <w:rPr>
          <w:rFonts w:hint="cs"/>
          <w:rtl/>
        </w:rPr>
        <w:t>ניצ</w:t>
      </w:r>
      <w:r w:rsidRPr="00B30A10">
        <w:rPr>
          <w:rFonts w:hint="cs"/>
          <w:rtl/>
        </w:rPr>
        <w:t>ל</w:t>
      </w:r>
      <w:r>
        <w:rPr>
          <w:rFonts w:hint="cs"/>
          <w:rtl/>
        </w:rPr>
        <w:t>ה</w:t>
      </w:r>
      <w:r w:rsidRPr="00B30A10">
        <w:rPr>
          <w:rFonts w:hint="cs"/>
          <w:rtl/>
        </w:rPr>
        <w:t xml:space="preserve"> לרעה את מעמדה </w:t>
      </w:r>
      <w:r>
        <w:rPr>
          <w:rFonts w:hint="cs"/>
          <w:rtl/>
        </w:rPr>
        <w:t>המונופוליסטי בשוק הולכת חשמל וחלוקתו</w:t>
      </w:r>
      <w:r w:rsidRPr="00B30A10">
        <w:rPr>
          <w:rFonts w:hint="cs"/>
          <w:rtl/>
        </w:rPr>
        <w:t>.</w:t>
      </w:r>
      <w:r>
        <w:rPr>
          <w:rFonts w:hint="cs"/>
          <w:rtl/>
        </w:rPr>
        <w:t xml:space="preserve"> כן הודעתי</w:t>
      </w:r>
      <w:r w:rsidR="00A95425">
        <w:rPr>
          <w:rFonts w:hint="cs"/>
          <w:rtl/>
        </w:rPr>
        <w:t xml:space="preserve"> למפרים</w:t>
      </w:r>
      <w:r>
        <w:rPr>
          <w:rFonts w:hint="cs"/>
          <w:rtl/>
        </w:rPr>
        <w:t xml:space="preserve">, </w:t>
      </w:r>
      <w:r w:rsidR="00EF6D02">
        <w:rPr>
          <w:rFonts w:hint="cs"/>
          <w:rtl/>
        </w:rPr>
        <w:t xml:space="preserve">במסגרת הודעה על כוונת חיוב, </w:t>
      </w:r>
      <w:r w:rsidRPr="00C473BF">
        <w:rPr>
          <w:rFonts w:hint="cs"/>
          <w:rtl/>
        </w:rPr>
        <w:t xml:space="preserve">כי </w:t>
      </w:r>
      <w:r>
        <w:rPr>
          <w:rFonts w:hint="cs"/>
          <w:rtl/>
        </w:rPr>
        <w:t xml:space="preserve">בכוונתי </w:t>
      </w:r>
      <w:r w:rsidRPr="00584F8F">
        <w:rPr>
          <w:rFonts w:hint="cs"/>
          <w:rtl/>
        </w:rPr>
        <w:t>לעשות שימוש בסמכות</w:t>
      </w:r>
      <w:r>
        <w:rPr>
          <w:rFonts w:hint="cs"/>
          <w:rtl/>
        </w:rPr>
        <w:t>י</w:t>
      </w:r>
      <w:r w:rsidRPr="00584F8F">
        <w:rPr>
          <w:rFonts w:hint="cs"/>
          <w:rtl/>
        </w:rPr>
        <w:t xml:space="preserve"> על פי סעיף 50ד(א)(3) לחוק ולהטיל </w:t>
      </w:r>
      <w:r w:rsidRPr="00D120CD">
        <w:rPr>
          <w:rFonts w:hint="cs"/>
          <w:rtl/>
        </w:rPr>
        <w:t xml:space="preserve">עיצום כספי בסך </w:t>
      </w:r>
      <w:r w:rsidR="00BC2861">
        <w:rPr>
          <w:rFonts w:hint="cs"/>
          <w:rtl/>
        </w:rPr>
        <w:t>13</w:t>
      </w:r>
      <w:r w:rsidRPr="00D120CD">
        <w:rPr>
          <w:rFonts w:hint="cs"/>
          <w:rtl/>
        </w:rPr>
        <w:t xml:space="preserve"> מיליון </w:t>
      </w:r>
      <w:r w:rsidR="004F30D7">
        <w:rPr>
          <w:rFonts w:hint="cs"/>
          <w:rtl/>
        </w:rPr>
        <w:t>ש</w:t>
      </w:r>
      <w:r w:rsidR="004F30D7">
        <w:rPr>
          <w:rtl/>
        </w:rPr>
        <w:t>"</w:t>
      </w:r>
      <w:r w:rsidR="004F30D7">
        <w:rPr>
          <w:rFonts w:hint="cs"/>
          <w:rtl/>
        </w:rPr>
        <w:t>ח</w:t>
      </w:r>
      <w:r w:rsidRPr="00D120CD">
        <w:rPr>
          <w:rFonts w:hint="cs"/>
          <w:rtl/>
        </w:rPr>
        <w:t xml:space="preserve"> על חברת</w:t>
      </w:r>
      <w:r w:rsidRPr="00584F8F">
        <w:rPr>
          <w:rFonts w:hint="cs"/>
          <w:rtl/>
        </w:rPr>
        <w:t xml:space="preserve"> החשמל</w:t>
      </w:r>
      <w:r>
        <w:rPr>
          <w:rFonts w:hint="cs"/>
          <w:rtl/>
        </w:rPr>
        <w:t xml:space="preserve"> וכן, עיצום כספי בסך </w:t>
      </w:r>
      <w:r w:rsidR="00BC2861">
        <w:rPr>
          <w:rFonts w:hint="cs"/>
          <w:rtl/>
        </w:rPr>
        <w:t xml:space="preserve">165,000 </w:t>
      </w:r>
      <w:r>
        <w:rPr>
          <w:rFonts w:hint="cs"/>
          <w:rtl/>
        </w:rPr>
        <w:t>על</w:t>
      </w:r>
      <w:r w:rsidR="00B40AFC">
        <w:rPr>
          <w:rFonts w:hint="cs"/>
          <w:rtl/>
        </w:rPr>
        <w:t xml:space="preserve"> מר </w:t>
      </w:r>
      <w:r w:rsidR="009F50C0" w:rsidRPr="0044109C">
        <w:rPr>
          <w:rFonts w:hint="cs"/>
          <w:color w:val="000000"/>
          <w:highlight w:val="black"/>
        </w:rPr>
        <w:t>XXX</w:t>
      </w:r>
      <w:r w:rsidR="00B40AFC">
        <w:rPr>
          <w:rFonts w:hint="cs"/>
          <w:rtl/>
        </w:rPr>
        <w:t xml:space="preserve"> ועיצום כספי בסך </w:t>
      </w:r>
      <w:r w:rsidR="00BC2861">
        <w:rPr>
          <w:rFonts w:hint="cs"/>
          <w:rtl/>
        </w:rPr>
        <w:t>110,000</w:t>
      </w:r>
      <w:r w:rsidR="00B40AFC">
        <w:rPr>
          <w:rFonts w:hint="cs"/>
          <w:rtl/>
        </w:rPr>
        <w:t xml:space="preserve"> על מר </w:t>
      </w:r>
      <w:r w:rsidR="009F50C0" w:rsidRPr="0044109C">
        <w:rPr>
          <w:rFonts w:hint="cs"/>
          <w:color w:val="000000"/>
          <w:highlight w:val="black"/>
        </w:rPr>
        <w:t>XXX</w:t>
      </w:r>
      <w:r>
        <w:rPr>
          <w:rFonts w:hint="cs"/>
          <w:rtl/>
        </w:rPr>
        <w:t xml:space="preserve">. </w:t>
      </w:r>
      <w:r w:rsidR="00A95425">
        <w:rPr>
          <w:rFonts w:hint="cs"/>
          <w:rtl/>
        </w:rPr>
        <w:t xml:space="preserve">לאחר שמיעת חברת החשמל ועריכת בדיקות נוספות,  הגעתי לכלל מסקנה כי יש לקבוע </w:t>
      </w:r>
      <w:r w:rsidR="004E264D">
        <w:rPr>
          <w:rFonts w:hint="cs"/>
          <w:rtl/>
        </w:rPr>
        <w:t>ש</w:t>
      </w:r>
      <w:r w:rsidR="00A95425">
        <w:rPr>
          <w:rFonts w:hint="cs"/>
          <w:rtl/>
        </w:rPr>
        <w:t xml:space="preserve">חברת החשמל ניצלה את מעמדה לרעה. כמו כן, </w:t>
      </w:r>
      <w:r>
        <w:rPr>
          <w:rFonts w:hint="cs"/>
          <w:rtl/>
        </w:rPr>
        <w:t>לאחר שמיעת המפרים ועריכת בדיקות נוספות, ולאחר שהתייעצתי בוועדה לפטורים ולמיזוגים, הגעתי לכלל מסקנה כי</w:t>
      </w:r>
      <w:r w:rsidR="00EF6D02">
        <w:rPr>
          <w:rFonts w:hint="cs"/>
          <w:rtl/>
        </w:rPr>
        <w:t xml:space="preserve"> יש להטיל על המפרים עיצום כספי כמפורט בהודעה על כוונת חיוב. </w:t>
      </w:r>
    </w:p>
    <w:p w:rsidR="00270595" w:rsidRDefault="00270595" w:rsidP="00D9686A">
      <w:pPr>
        <w:ind w:left="90"/>
      </w:pPr>
      <w:r>
        <w:rPr>
          <w:rFonts w:hint="cs"/>
          <w:rtl/>
        </w:rPr>
        <w:t xml:space="preserve">ביום 2.2.2016 הודעתי לנושא משרה נוסף על כוונתי להטיל עליו עיצום כספי </w:t>
      </w:r>
      <w:r w:rsidRPr="00584F8F">
        <w:rPr>
          <w:rFonts w:hint="cs"/>
          <w:rtl/>
        </w:rPr>
        <w:t>על פי סעיף 50ד(א)(3) לחוק</w:t>
      </w:r>
      <w:r>
        <w:rPr>
          <w:rFonts w:hint="cs"/>
          <w:rtl/>
        </w:rPr>
        <w:t>. לאחר שמיעתו</w:t>
      </w:r>
      <w:r w:rsidR="00B60FF2">
        <w:rPr>
          <w:rFonts w:hint="cs"/>
          <w:rtl/>
        </w:rPr>
        <w:t xml:space="preserve"> והיוועצות עם הוועדה לפטורים ולמיזוגים</w:t>
      </w:r>
      <w:r>
        <w:rPr>
          <w:rFonts w:hint="cs"/>
          <w:rtl/>
        </w:rPr>
        <w:t xml:space="preserve">, החלטתי שלא להטיל </w:t>
      </w:r>
      <w:r w:rsidR="00EF6D02">
        <w:rPr>
          <w:rFonts w:hint="cs"/>
          <w:rtl/>
        </w:rPr>
        <w:t xml:space="preserve">עליו </w:t>
      </w:r>
      <w:r w:rsidR="00B60FF2">
        <w:rPr>
          <w:rFonts w:hint="cs"/>
          <w:rtl/>
        </w:rPr>
        <w:t xml:space="preserve">כל </w:t>
      </w:r>
      <w:r w:rsidR="00EF6D02">
        <w:rPr>
          <w:rFonts w:hint="cs"/>
          <w:rtl/>
        </w:rPr>
        <w:t>עיצום כספי</w:t>
      </w:r>
      <w:r>
        <w:rPr>
          <w:rFonts w:hint="cs"/>
          <w:rtl/>
        </w:rPr>
        <w:t>.</w:t>
      </w:r>
    </w:p>
    <w:p w:rsidR="00FC0813" w:rsidRDefault="00FC0813" w:rsidP="00FC0813">
      <w:pPr>
        <w:ind w:left="90"/>
        <w:rPr>
          <w:rtl/>
        </w:rPr>
      </w:pPr>
      <w:r>
        <w:rPr>
          <w:rFonts w:hint="cs"/>
          <w:rtl/>
        </w:rPr>
        <w:t>במסגרת נימוקי החלטתי אתחיל מהרקע העובדתי שהוביל להחלטתי ולאחר מכן, אפרט את הקביעה בדבר ניצול מעמד</w:t>
      </w:r>
      <w:r w:rsidR="00231B62">
        <w:rPr>
          <w:rFonts w:hint="cs"/>
          <w:rtl/>
        </w:rPr>
        <w:t>ה של חברת החשמל</w:t>
      </w:r>
      <w:r>
        <w:rPr>
          <w:rFonts w:hint="cs"/>
          <w:rtl/>
        </w:rPr>
        <w:t xml:space="preserve"> לרעה</w:t>
      </w:r>
      <w:r w:rsidRPr="007E59CE">
        <w:rPr>
          <w:rFonts w:hint="cs"/>
          <w:rtl/>
        </w:rPr>
        <w:t xml:space="preserve"> </w:t>
      </w:r>
      <w:r>
        <w:rPr>
          <w:rFonts w:hint="cs"/>
          <w:rtl/>
        </w:rPr>
        <w:t>בשו</w:t>
      </w:r>
      <w:r w:rsidR="00D859C5">
        <w:rPr>
          <w:rFonts w:hint="cs"/>
          <w:rtl/>
        </w:rPr>
        <w:t>ו</w:t>
      </w:r>
      <w:r>
        <w:rPr>
          <w:rFonts w:hint="cs"/>
          <w:rtl/>
        </w:rPr>
        <w:t>ק</w:t>
      </w:r>
      <w:r w:rsidR="00D859C5">
        <w:rPr>
          <w:rFonts w:hint="cs"/>
          <w:rtl/>
        </w:rPr>
        <w:t>י</w:t>
      </w:r>
      <w:r>
        <w:rPr>
          <w:rFonts w:hint="cs"/>
          <w:rtl/>
        </w:rPr>
        <w:t xml:space="preserve"> הולכת חשמל וחלוקתו ו</w:t>
      </w:r>
      <w:r w:rsidR="00231B62">
        <w:rPr>
          <w:rFonts w:hint="cs"/>
          <w:rtl/>
        </w:rPr>
        <w:t xml:space="preserve">את </w:t>
      </w:r>
      <w:r>
        <w:rPr>
          <w:rFonts w:hint="cs"/>
          <w:rtl/>
        </w:rPr>
        <w:t>דרישת התשלום מהמפרים בהתאם להוראת סעיף 50ח(ב)(1) לחוק.</w:t>
      </w:r>
    </w:p>
    <w:p w:rsidR="00FC0813" w:rsidRDefault="00FC0813" w:rsidP="00260016">
      <w:pPr>
        <w:spacing w:line="240" w:lineRule="auto"/>
        <w:ind w:left="90"/>
      </w:pPr>
    </w:p>
    <w:p w:rsidR="00FC0813" w:rsidRDefault="00FC0813" w:rsidP="001C367F">
      <w:pPr>
        <w:pStyle w:val="Heading1"/>
        <w:numPr>
          <w:ilvl w:val="0"/>
          <w:numId w:val="10"/>
        </w:numPr>
      </w:pPr>
      <w:bookmarkStart w:id="1" w:name="_Toc470089200"/>
      <w:bookmarkStart w:id="2" w:name="_Toc476497397"/>
      <w:r>
        <w:rPr>
          <w:rFonts w:hint="cs"/>
          <w:rtl/>
        </w:rPr>
        <w:t>רקע עובדתי</w:t>
      </w:r>
      <w:bookmarkEnd w:id="1"/>
      <w:bookmarkEnd w:id="2"/>
    </w:p>
    <w:p w:rsidR="00FC0813" w:rsidRPr="001F0C3E" w:rsidRDefault="001C367F" w:rsidP="001C367F">
      <w:pPr>
        <w:pStyle w:val="Heading2"/>
        <w:numPr>
          <w:ilvl w:val="0"/>
          <w:numId w:val="0"/>
        </w:numPr>
        <w:ind w:left="851"/>
        <w:jc w:val="both"/>
        <w:rPr>
          <w:rtl/>
        </w:rPr>
      </w:pPr>
      <w:bookmarkStart w:id="3" w:name="_Toc476497398"/>
      <w:r>
        <w:rPr>
          <w:rFonts w:hint="cs"/>
          <w:rtl/>
        </w:rPr>
        <w:t xml:space="preserve">ב.. 1 </w:t>
      </w:r>
      <w:r w:rsidR="00FC0813" w:rsidRPr="001F0C3E">
        <w:rPr>
          <w:rFonts w:hint="cs"/>
          <w:rtl/>
        </w:rPr>
        <w:t xml:space="preserve">משק החשמל </w:t>
      </w:r>
      <w:r w:rsidR="00FC0813" w:rsidRPr="001F0C3E">
        <w:rPr>
          <w:rtl/>
        </w:rPr>
        <w:t>–</w:t>
      </w:r>
      <w:r w:rsidR="00FC0813" w:rsidRPr="001F0C3E">
        <w:rPr>
          <w:rFonts w:hint="cs"/>
          <w:rtl/>
        </w:rPr>
        <w:t xml:space="preserve"> כללי</w:t>
      </w:r>
      <w:bookmarkEnd w:id="3"/>
    </w:p>
    <w:p w:rsidR="00FC0813" w:rsidRDefault="00FC0813" w:rsidP="00FC0813">
      <w:pPr>
        <w:ind w:left="142"/>
      </w:pPr>
      <w:r>
        <w:rPr>
          <w:rFonts w:hint="cs"/>
          <w:rtl/>
        </w:rPr>
        <w:t>ענף החשמל הינו אחד הענפים הגדולים והמשמעותיים</w:t>
      </w:r>
      <w:r w:rsidRPr="00B862D2">
        <w:rPr>
          <w:rFonts w:hint="cs"/>
          <w:rtl/>
        </w:rPr>
        <w:t xml:space="preserve"> </w:t>
      </w:r>
      <w:r>
        <w:rPr>
          <w:rFonts w:hint="cs"/>
          <w:rtl/>
        </w:rPr>
        <w:t xml:space="preserve">במשק הישראלי. החשמל מהווה אמצעי בסיסי וחיוני לתפעול שוטף של כלל מגזרי המשק, ממשקי הבית ועד למפעלים תעשייתיים ולמגזר הביטחון. </w:t>
      </w:r>
    </w:p>
    <w:p w:rsidR="00FC0813" w:rsidRDefault="00FC0813" w:rsidP="00FC0813">
      <w:pPr>
        <w:ind w:left="142"/>
        <w:rPr>
          <w:rtl/>
        </w:rPr>
      </w:pPr>
      <w:r>
        <w:rPr>
          <w:rFonts w:hint="cs"/>
          <w:rtl/>
        </w:rPr>
        <w:t>משק החשמל בישראל מורכב מחמישה מקטעים: יצור,</w:t>
      </w:r>
      <w:r>
        <w:rPr>
          <w:rStyle w:val="FootnoteReference"/>
          <w:rtl/>
        </w:rPr>
        <w:footnoteReference w:id="1"/>
      </w:r>
      <w:r>
        <w:rPr>
          <w:rFonts w:hint="cs"/>
          <w:rtl/>
        </w:rPr>
        <w:t xml:space="preserve"> הולכה,</w:t>
      </w:r>
      <w:r>
        <w:rPr>
          <w:rStyle w:val="FootnoteReference"/>
          <w:rtl/>
        </w:rPr>
        <w:footnoteReference w:id="2"/>
      </w:r>
      <w:r>
        <w:rPr>
          <w:rFonts w:hint="cs"/>
          <w:rtl/>
        </w:rPr>
        <w:t xml:space="preserve"> חלוקה,</w:t>
      </w:r>
      <w:r>
        <w:rPr>
          <w:rStyle w:val="FootnoteReference"/>
          <w:rtl/>
        </w:rPr>
        <w:footnoteReference w:id="3"/>
      </w:r>
      <w:r>
        <w:rPr>
          <w:rFonts w:hint="cs"/>
          <w:rtl/>
        </w:rPr>
        <w:t xml:space="preserve"> אספקה,</w:t>
      </w:r>
      <w:r>
        <w:rPr>
          <w:rStyle w:val="FootnoteReference"/>
          <w:rtl/>
        </w:rPr>
        <w:footnoteReference w:id="4"/>
      </w:r>
      <w:r>
        <w:rPr>
          <w:rFonts w:hint="cs"/>
          <w:rtl/>
        </w:rPr>
        <w:t xml:space="preserve"> וניהול המערכת.</w:t>
      </w:r>
      <w:r>
        <w:rPr>
          <w:rStyle w:val="FootnoteReference"/>
          <w:rtl/>
        </w:rPr>
        <w:footnoteReference w:id="5"/>
      </w:r>
      <w:r w:rsidRPr="006258D0">
        <w:rPr>
          <w:rtl/>
        </w:rPr>
        <w:t xml:space="preserve"> </w:t>
      </w:r>
      <w:r>
        <w:rPr>
          <w:rFonts w:hint="cs"/>
          <w:rtl/>
        </w:rPr>
        <w:t xml:space="preserve">חברת החשמל הוכרזה כבעלת מונופולין באספקת חשמל </w:t>
      </w:r>
      <w:r>
        <w:rPr>
          <w:rtl/>
        </w:rPr>
        <w:t>–</w:t>
      </w:r>
      <w:r>
        <w:rPr>
          <w:rFonts w:hint="cs"/>
          <w:rtl/>
        </w:rPr>
        <w:t xml:space="preserve"> ייצור חשמל ומכירתו, </w:t>
      </w:r>
      <w:r>
        <w:rPr>
          <w:rFonts w:hint="cs"/>
          <w:rtl/>
        </w:rPr>
        <w:lastRenderedPageBreak/>
        <w:t>הולכת חשמל וחלוקתו, ומתן גיבוי לצרכני חשמל ויצרניו.</w:t>
      </w:r>
      <w:r>
        <w:rPr>
          <w:rStyle w:val="FootnoteReference"/>
          <w:rtl/>
        </w:rPr>
        <w:footnoteReference w:id="6"/>
      </w:r>
      <w:r>
        <w:rPr>
          <w:rFonts w:hint="cs"/>
          <w:rtl/>
        </w:rPr>
        <w:t xml:space="preserve"> בעקבות ערר שהגישה חברת החשמל על הכרזתה קבע בית הדין להגבלים עסקיים, כי חברת החשמל היא בעלת מונופולין ב"משק החשמל, הכולל בין היתר את הרכיבים הבאים: אספקת חשמל - יצור חשמל ומכירתו, הולכת חשמל וחלוקתו, מתן שירותי גיבוי לצרכני חשמל ויצרניו."</w:t>
      </w:r>
      <w:r>
        <w:rPr>
          <w:rStyle w:val="FootnoteReference"/>
          <w:rtl/>
        </w:rPr>
        <w:footnoteReference w:id="7"/>
      </w:r>
      <w:r>
        <w:rPr>
          <w:rFonts w:hint="cs"/>
          <w:rtl/>
        </w:rPr>
        <w:t xml:space="preserve"> בנוסף, מהווה חברת החשמל ספק שירות חיוני על פי חוק משק החשמל, התשנ"ו-1996 (להלן: "</w:t>
      </w:r>
      <w:r w:rsidRPr="004D365F">
        <w:rPr>
          <w:rFonts w:hint="cs"/>
          <w:b/>
          <w:bCs/>
          <w:rtl/>
        </w:rPr>
        <w:t>חוק משק החשמל</w:t>
      </w:r>
      <w:r>
        <w:rPr>
          <w:rFonts w:hint="cs"/>
          <w:rtl/>
        </w:rPr>
        <w:t>").</w:t>
      </w:r>
    </w:p>
    <w:p w:rsidR="00FC0813" w:rsidRDefault="00FC0813" w:rsidP="00FC0813">
      <w:pPr>
        <w:ind w:left="142"/>
      </w:pPr>
      <w:r>
        <w:rPr>
          <w:rFonts w:hint="cs"/>
          <w:rtl/>
        </w:rPr>
        <w:t xml:space="preserve">עד לחקיקת חוק משק החשמל רוכז משק החשמל כולו, על מקטעיו השונים, בידי חברת החשמל, והיא היוותה את הגורם הבלעדי המייצר, מוליך ומחלק את כלל החשמל הנצרך במשק הישראלי. </w:t>
      </w:r>
    </w:p>
    <w:p w:rsidR="00FC0813" w:rsidRDefault="00FC0813" w:rsidP="00FC0813">
      <w:pPr>
        <w:ind w:left="142"/>
        <w:rPr>
          <w:rtl/>
        </w:rPr>
      </w:pPr>
      <w:r>
        <w:rPr>
          <w:rFonts w:hint="cs"/>
          <w:rtl/>
        </w:rPr>
        <w:t xml:space="preserve">עם חקיקתו של חוק משק החשמל, נפתחו לתחרות מקטעי ייצור החשמל ואספקתו, תוך מתן אפשרות ליצרנים פרטיים לקבל רישיונות ייצור ולהקים מפעלי ייצור חשמל שיפעלו לצד התחנות של חברת החשמל. </w:t>
      </w:r>
    </w:p>
    <w:p w:rsidR="00FC0813" w:rsidRDefault="00FC0813" w:rsidP="00FC0813">
      <w:pPr>
        <w:ind w:left="142"/>
        <w:rPr>
          <w:rtl/>
        </w:rPr>
      </w:pPr>
      <w:r>
        <w:rPr>
          <w:rFonts w:hint="cs"/>
          <w:rtl/>
        </w:rPr>
        <w:t xml:space="preserve">ואכן, הדברים זכו לביטוי מפורש בסעיף 1 לחוק משק החשמל, הקובע כי מטרתו: </w:t>
      </w:r>
    </w:p>
    <w:p w:rsidR="00FC0813" w:rsidRPr="00376F56" w:rsidRDefault="00FC0813" w:rsidP="00FC0813">
      <w:pPr>
        <w:spacing w:line="240" w:lineRule="auto"/>
        <w:ind w:left="941" w:right="426"/>
        <w:rPr>
          <w:rtl/>
        </w:rPr>
      </w:pPr>
      <w:r>
        <w:rPr>
          <w:rFonts w:hint="cs"/>
          <w:rtl/>
        </w:rPr>
        <w:t>"</w:t>
      </w:r>
      <w:r w:rsidRPr="00433445">
        <w:rPr>
          <w:rFonts w:ascii="David" w:hint="cs"/>
          <w:sz w:val="24"/>
          <w:rtl/>
          <w:lang w:eastAsia="en-US"/>
        </w:rPr>
        <w:t>להסדיר</w:t>
      </w:r>
      <w:r w:rsidRPr="00376F56">
        <w:rPr>
          <w:rFonts w:hint="cs"/>
          <w:rtl/>
        </w:rPr>
        <w:t xml:space="preserve"> את הפעילות במשק החשמל לטובת הציבור, וזאת תוך הבטחת אמינות, זמינות, איכות, יעילות, והכל תוך יצירת תנאים לתחרות ומיזעור עלויות.</w:t>
      </w:r>
      <w:r>
        <w:rPr>
          <w:rFonts w:hint="cs"/>
          <w:rtl/>
        </w:rPr>
        <w:t>"</w:t>
      </w:r>
      <w:r w:rsidRPr="00887B34">
        <w:rPr>
          <w:rStyle w:val="FootnoteReference"/>
          <w:rtl/>
        </w:rPr>
        <w:t xml:space="preserve"> </w:t>
      </w:r>
      <w:r>
        <w:rPr>
          <w:rStyle w:val="FootnoteReference"/>
          <w:rtl/>
        </w:rPr>
        <w:footnoteReference w:id="8"/>
      </w:r>
    </w:p>
    <w:p w:rsidR="00FC0813" w:rsidRDefault="00FC0813" w:rsidP="00C03748">
      <w:pPr>
        <w:ind w:left="142"/>
        <w:rPr>
          <w:rtl/>
        </w:rPr>
      </w:pPr>
      <w:r>
        <w:rPr>
          <w:rFonts w:hint="cs"/>
          <w:rtl/>
        </w:rPr>
        <w:t xml:space="preserve">במסגרת יצירת התנאים לתחרות במשק החשמל ביקש המחוקק להבטיח את מימוש האפשרות לכניסתם של יצרנים פרטיים. ואכן, </w:t>
      </w:r>
      <w:r w:rsidRPr="00DA4795">
        <w:rPr>
          <w:rFonts w:hint="cs"/>
          <w:rtl/>
        </w:rPr>
        <w:t>מאז</w:t>
      </w:r>
      <w:r w:rsidRPr="00DA4795">
        <w:rPr>
          <w:rtl/>
        </w:rPr>
        <w:t xml:space="preserve"> </w:t>
      </w:r>
      <w:r w:rsidRPr="00DA4795">
        <w:rPr>
          <w:rFonts w:hint="cs"/>
          <w:rtl/>
        </w:rPr>
        <w:t>כניסתו לתוקף</w:t>
      </w:r>
      <w:r w:rsidRPr="00DA4795">
        <w:rPr>
          <w:rtl/>
        </w:rPr>
        <w:t xml:space="preserve"> </w:t>
      </w:r>
      <w:r w:rsidRPr="00DA4795">
        <w:rPr>
          <w:rFonts w:hint="cs"/>
          <w:rtl/>
        </w:rPr>
        <w:t>של חוק</w:t>
      </w:r>
      <w:r w:rsidRPr="00DA4795">
        <w:rPr>
          <w:rtl/>
        </w:rPr>
        <w:t xml:space="preserve"> </w:t>
      </w:r>
      <w:r w:rsidRPr="00DA4795">
        <w:rPr>
          <w:rFonts w:hint="cs"/>
          <w:rtl/>
        </w:rPr>
        <w:t>משק</w:t>
      </w:r>
      <w:r w:rsidRPr="00DA4795">
        <w:rPr>
          <w:rtl/>
        </w:rPr>
        <w:t xml:space="preserve"> </w:t>
      </w:r>
      <w:r w:rsidRPr="00DA4795">
        <w:rPr>
          <w:rFonts w:hint="cs"/>
          <w:rtl/>
        </w:rPr>
        <w:t>החשמל</w:t>
      </w:r>
      <w:r w:rsidRPr="00DA4795">
        <w:rPr>
          <w:rtl/>
        </w:rPr>
        <w:t xml:space="preserve"> </w:t>
      </w:r>
      <w:r w:rsidRPr="00DA4795">
        <w:rPr>
          <w:rFonts w:hint="cs"/>
          <w:rtl/>
        </w:rPr>
        <w:t>בשנת</w:t>
      </w:r>
      <w:r w:rsidRPr="00DA4795">
        <w:rPr>
          <w:rtl/>
        </w:rPr>
        <w:t xml:space="preserve"> </w:t>
      </w:r>
      <w:r w:rsidRPr="00DA4795">
        <w:rPr>
          <w:rFonts w:hint="cs"/>
          <w:rtl/>
        </w:rPr>
        <w:t>1996 ננקטו צעדים</w:t>
      </w:r>
      <w:r w:rsidRPr="00DA4795">
        <w:rPr>
          <w:rtl/>
        </w:rPr>
        <w:t xml:space="preserve"> </w:t>
      </w:r>
      <w:r w:rsidRPr="00DA4795">
        <w:rPr>
          <w:rFonts w:hint="cs"/>
          <w:rtl/>
        </w:rPr>
        <w:t>רבים ושונים</w:t>
      </w:r>
      <w:r w:rsidRPr="00DA4795">
        <w:rPr>
          <w:rtl/>
        </w:rPr>
        <w:t xml:space="preserve"> </w:t>
      </w:r>
      <w:r w:rsidRPr="00DA4795">
        <w:rPr>
          <w:rFonts w:hint="cs"/>
          <w:rtl/>
        </w:rPr>
        <w:t>לקידום</w:t>
      </w:r>
      <w:r w:rsidRPr="00DA4795">
        <w:rPr>
          <w:rtl/>
        </w:rPr>
        <w:t xml:space="preserve"> </w:t>
      </w:r>
      <w:r w:rsidRPr="00DA4795">
        <w:rPr>
          <w:rFonts w:hint="cs"/>
          <w:rtl/>
        </w:rPr>
        <w:t>התחרות</w:t>
      </w:r>
      <w:r w:rsidRPr="00DA4795">
        <w:rPr>
          <w:rtl/>
        </w:rPr>
        <w:t xml:space="preserve"> </w:t>
      </w:r>
      <w:r w:rsidRPr="00DA4795">
        <w:rPr>
          <w:rFonts w:hint="cs"/>
          <w:rtl/>
        </w:rPr>
        <w:t>במשק החשמל</w:t>
      </w:r>
      <w:r w:rsidRPr="00DA4795">
        <w:rPr>
          <w:rtl/>
        </w:rPr>
        <w:t xml:space="preserve">. </w:t>
      </w:r>
    </w:p>
    <w:p w:rsidR="00FC0813" w:rsidRDefault="00FC0813" w:rsidP="00FC0813">
      <w:pPr>
        <w:ind w:left="142"/>
      </w:pPr>
      <w:r w:rsidRPr="00A8434F">
        <w:rPr>
          <w:rFonts w:hint="cs"/>
          <w:rtl/>
        </w:rPr>
        <w:t>במהלך המחצית השנייה של שנת 2013</w:t>
      </w:r>
      <w:r w:rsidRPr="00044B57">
        <w:rPr>
          <w:rFonts w:hint="cs"/>
          <w:rtl/>
        </w:rPr>
        <w:t xml:space="preserve"> </w:t>
      </w:r>
      <w:r w:rsidRPr="00A8434F">
        <w:rPr>
          <w:rFonts w:hint="cs"/>
          <w:rtl/>
        </w:rPr>
        <w:t>החלו לפעול יצרני חשמל פרטיים בשווקי ייצור החשמל ואספקתו.</w:t>
      </w:r>
      <w:r w:rsidRPr="00044B57">
        <w:rPr>
          <w:rFonts w:hint="cs"/>
          <w:rtl/>
        </w:rPr>
        <w:t xml:space="preserve"> </w:t>
      </w:r>
      <w:r w:rsidRPr="00E62BC0">
        <w:rPr>
          <w:rtl/>
        </w:rPr>
        <w:t xml:space="preserve">תחנות </w:t>
      </w:r>
      <w:r>
        <w:rPr>
          <w:rFonts w:hint="cs"/>
          <w:rtl/>
        </w:rPr>
        <w:t>ה</w:t>
      </w:r>
      <w:r w:rsidRPr="00E62BC0">
        <w:rPr>
          <w:rtl/>
        </w:rPr>
        <w:t xml:space="preserve">כוח </w:t>
      </w:r>
      <w:r>
        <w:rPr>
          <w:rFonts w:hint="cs"/>
          <w:rtl/>
        </w:rPr>
        <w:t>הפרטיות הגדולות שהחלו לפעול בשנים האחרונות</w:t>
      </w:r>
      <w:r>
        <w:rPr>
          <w:rtl/>
        </w:rPr>
        <w:t xml:space="preserve"> הן או.פי.סי רותם בע"מ</w:t>
      </w:r>
      <w:r>
        <w:rPr>
          <w:rFonts w:hint="cs"/>
          <w:rtl/>
        </w:rPr>
        <w:t xml:space="preserve"> (להלן: "</w:t>
      </w:r>
      <w:r w:rsidRPr="00AD2F30">
        <w:rPr>
          <w:b/>
          <w:bCs/>
        </w:rPr>
        <w:t>OPC</w:t>
      </w:r>
      <w:r>
        <w:rPr>
          <w:rFonts w:hint="cs"/>
          <w:rtl/>
        </w:rPr>
        <w:t xml:space="preserve">"), </w:t>
      </w:r>
      <w:r w:rsidRPr="00E62BC0">
        <w:rPr>
          <w:rtl/>
        </w:rPr>
        <w:t xml:space="preserve">דוראד </w:t>
      </w:r>
      <w:r>
        <w:rPr>
          <w:rFonts w:hint="cs"/>
          <w:rtl/>
        </w:rPr>
        <w:t>אנרגיה בע"מ (להלן: "</w:t>
      </w:r>
      <w:r>
        <w:rPr>
          <w:rFonts w:hint="cs"/>
          <w:b/>
          <w:bCs/>
          <w:rtl/>
        </w:rPr>
        <w:t>דוראד</w:t>
      </w:r>
      <w:r>
        <w:rPr>
          <w:rFonts w:hint="cs"/>
          <w:rtl/>
        </w:rPr>
        <w:t xml:space="preserve">") </w:t>
      </w:r>
      <w:r w:rsidRPr="00E62BC0">
        <w:rPr>
          <w:rtl/>
        </w:rPr>
        <w:t>ודליה אנרגיות כוח בע"מ</w:t>
      </w:r>
      <w:r>
        <w:rPr>
          <w:rFonts w:hint="cs"/>
          <w:rtl/>
        </w:rPr>
        <w:t xml:space="preserve"> (להלן: "</w:t>
      </w:r>
      <w:r>
        <w:rPr>
          <w:rFonts w:hint="cs"/>
          <w:b/>
          <w:bCs/>
          <w:rtl/>
        </w:rPr>
        <w:t>דליה</w:t>
      </w:r>
      <w:r>
        <w:rPr>
          <w:rFonts w:hint="cs"/>
          <w:rtl/>
        </w:rPr>
        <w:t>")</w:t>
      </w:r>
      <w:r w:rsidRPr="00E62BC0">
        <w:rPr>
          <w:rtl/>
        </w:rPr>
        <w:t>. בנוסף, החלו לייצר חשמל תחנות כוח נוספות, בהיקפי ייצור קטנים.</w:t>
      </w:r>
      <w:r>
        <w:rPr>
          <w:rStyle w:val="FootnoteReference"/>
          <w:rtl/>
        </w:rPr>
        <w:footnoteReference w:id="9"/>
      </w:r>
    </w:p>
    <w:p w:rsidR="00A267AC" w:rsidRDefault="00FC0813" w:rsidP="001C399C">
      <w:pPr>
        <w:ind w:left="142"/>
        <w:rPr>
          <w:rtl/>
        </w:rPr>
      </w:pPr>
      <w:r>
        <w:rPr>
          <w:rFonts w:hint="cs"/>
          <w:rtl/>
        </w:rPr>
        <w:t xml:space="preserve">יצרני החשמל הפרטיים פועלים במקטעי הייצור והאספקה, לצד חברת החשמל. </w:t>
      </w:r>
      <w:r w:rsidR="00A267AC">
        <w:rPr>
          <w:rFonts w:hint="cs"/>
          <w:rtl/>
        </w:rPr>
        <w:t xml:space="preserve">ככלל, </w:t>
      </w:r>
      <w:r>
        <w:rPr>
          <w:rFonts w:hint="cs"/>
          <w:rtl/>
        </w:rPr>
        <w:t>יצרן חשמל פרטי רשאי לבחור בין שני מסלולי מכירת חשמל</w:t>
      </w:r>
      <w:r w:rsidR="00A267AC">
        <w:rPr>
          <w:rFonts w:hint="cs"/>
          <w:rtl/>
        </w:rPr>
        <w:t>.</w:t>
      </w:r>
      <w:r>
        <w:rPr>
          <w:rFonts w:hint="cs"/>
          <w:rtl/>
        </w:rPr>
        <w:t xml:space="preserve"> במסלול אחד רשאי יצרן החשמל הפרטי למכור חשמל לצרכני קצה, עד גובה יכולת הייצור הפרטית העומדת לרשותו.</w:t>
      </w:r>
      <w:r w:rsidR="005E140E">
        <w:rPr>
          <w:rFonts w:hint="cs"/>
          <w:rtl/>
        </w:rPr>
        <w:t xml:space="preserve"> במסלול זה היצרן הפרטי מחויב להעמיד את היתרה שלא נמכר</w:t>
      </w:r>
      <w:r w:rsidR="001C399C">
        <w:rPr>
          <w:rFonts w:hint="cs"/>
          <w:rtl/>
        </w:rPr>
        <w:t>ת</w:t>
      </w:r>
      <w:r w:rsidR="005E140E">
        <w:rPr>
          <w:rFonts w:hint="cs"/>
          <w:rtl/>
        </w:rPr>
        <w:t xml:space="preserve"> לצרכני קצה לטובת חברת החשמל כיכולת זמינה משתנה. </w:t>
      </w:r>
      <w:r>
        <w:rPr>
          <w:rFonts w:hint="cs"/>
          <w:rtl/>
        </w:rPr>
        <w:t xml:space="preserve">במסלול השני, יצרן החשמל </w:t>
      </w:r>
      <w:r w:rsidR="00783B26">
        <w:rPr>
          <w:rFonts w:hint="cs"/>
          <w:rtl/>
        </w:rPr>
        <w:t xml:space="preserve">מחויב להעמיד </w:t>
      </w:r>
      <w:r w:rsidR="001C399C">
        <w:rPr>
          <w:rFonts w:hint="cs"/>
          <w:rtl/>
        </w:rPr>
        <w:t xml:space="preserve">את רוב </w:t>
      </w:r>
      <w:r w:rsidR="00F93E82">
        <w:rPr>
          <w:rFonts w:hint="cs"/>
          <w:rtl/>
        </w:rPr>
        <w:t>ההספק המות</w:t>
      </w:r>
      <w:r w:rsidR="00A267AC">
        <w:rPr>
          <w:rFonts w:hint="cs"/>
          <w:rtl/>
        </w:rPr>
        <w:t>ק</w:t>
      </w:r>
      <w:r w:rsidR="00F93E82">
        <w:rPr>
          <w:rFonts w:hint="cs"/>
          <w:rtl/>
        </w:rPr>
        <w:t>ן</w:t>
      </w:r>
      <w:r w:rsidR="00145AC4">
        <w:rPr>
          <w:rFonts w:hint="cs"/>
          <w:rtl/>
        </w:rPr>
        <w:t xml:space="preserve"> (כושר הייצור המירבי)</w:t>
      </w:r>
      <w:r w:rsidR="00F93E82">
        <w:rPr>
          <w:rFonts w:hint="cs"/>
          <w:rtl/>
        </w:rPr>
        <w:t xml:space="preserve"> שלו </w:t>
      </w:r>
      <w:r w:rsidR="00A267AC">
        <w:rPr>
          <w:rFonts w:hint="cs"/>
          <w:rtl/>
        </w:rPr>
        <w:t xml:space="preserve">לחברת החשמל כיכולת זמינה קבועה </w:t>
      </w:r>
      <w:r w:rsidR="00783B26">
        <w:rPr>
          <w:rFonts w:hint="cs"/>
          <w:rtl/>
        </w:rPr>
        <w:t>ולפעול על פי הוראות</w:t>
      </w:r>
      <w:r w:rsidR="00A267AC">
        <w:rPr>
          <w:rFonts w:hint="cs"/>
          <w:rtl/>
        </w:rPr>
        <w:t xml:space="preserve"> מנהל המערכת.</w:t>
      </w:r>
      <w:r w:rsidR="005E140E">
        <w:rPr>
          <w:rFonts w:hint="cs"/>
          <w:rtl/>
        </w:rPr>
        <w:t xml:space="preserve"> את היתרה יכול היצרן הפרטי למכור לצרכני קצה.</w:t>
      </w:r>
      <w:r>
        <w:rPr>
          <w:rStyle w:val="FootnoteReference"/>
          <w:rtl/>
        </w:rPr>
        <w:footnoteReference w:id="10"/>
      </w:r>
      <w:r>
        <w:rPr>
          <w:rFonts w:hint="cs"/>
          <w:rtl/>
        </w:rPr>
        <w:t xml:space="preserve"> </w:t>
      </w:r>
    </w:p>
    <w:p w:rsidR="005E140E" w:rsidRDefault="005E140E" w:rsidP="00FB6652">
      <w:pPr>
        <w:ind w:left="142"/>
        <w:rPr>
          <w:rtl/>
        </w:rPr>
      </w:pPr>
      <w:r>
        <w:rPr>
          <w:rFonts w:hint="cs"/>
          <w:rtl/>
        </w:rPr>
        <w:lastRenderedPageBreak/>
        <w:t>בגין העמדת הזמינות לחברת החשמל, זכאי היצרן הפרטי לתשלום. במסלול של זמינות קבועה, היצרן מקבל תשלום המגלם החזר של 100% מעלות ההקמה של מתקן הייצור. לעומת זאת, במסלול של זמינות משתנה, עבור עודפי כושר הייצור</w:t>
      </w:r>
      <w:r w:rsidR="00842387">
        <w:rPr>
          <w:rFonts w:hint="cs"/>
          <w:rtl/>
        </w:rPr>
        <w:t>,</w:t>
      </w:r>
      <w:r>
        <w:rPr>
          <w:rFonts w:hint="cs"/>
          <w:rtl/>
        </w:rPr>
        <w:t xml:space="preserve"> שהיצרן לא ימכור לצרכנים אלא יעמיד ל</w:t>
      </w:r>
      <w:r w:rsidR="00F27103">
        <w:rPr>
          <w:rFonts w:hint="cs"/>
          <w:rtl/>
        </w:rPr>
        <w:t xml:space="preserve">רשות </w:t>
      </w:r>
      <w:r>
        <w:rPr>
          <w:rFonts w:hint="cs"/>
          <w:rtl/>
        </w:rPr>
        <w:t>מנהל המערכת, הוא יקבל החזר חלקי בלבד על עלות ההקמה. מהבדל זה עולה</w:t>
      </w:r>
      <w:r w:rsidR="00842387">
        <w:rPr>
          <w:rFonts w:hint="cs"/>
          <w:rtl/>
        </w:rPr>
        <w:t>,</w:t>
      </w:r>
      <w:r>
        <w:rPr>
          <w:rFonts w:hint="cs"/>
          <w:rtl/>
        </w:rPr>
        <w:t xml:space="preserve"> כי יצרן שבחר במסלול מכירת חשמל לצרכנים, חשוף לסיכון במקרה שלא יצליח למכור את כל ההספק שהחליט למכור לצרכנים נוכח עלות ה</w:t>
      </w:r>
      <w:r w:rsidR="005C3125">
        <w:rPr>
          <w:rFonts w:hint="cs"/>
          <w:rtl/>
        </w:rPr>
        <w:t>הקמה הגבוהה של מתקן לייצור חשמל.</w:t>
      </w:r>
      <w:r>
        <w:rPr>
          <w:rFonts w:hint="cs"/>
          <w:rtl/>
        </w:rPr>
        <w:t xml:space="preserve"> במקביל יש </w:t>
      </w:r>
      <w:r w:rsidR="00FB6652">
        <w:rPr>
          <w:rFonts w:hint="cs"/>
          <w:rtl/>
        </w:rPr>
        <w:t>לאותו יצרן</w:t>
      </w:r>
      <w:r>
        <w:rPr>
          <w:rFonts w:hint="cs"/>
          <w:rtl/>
        </w:rPr>
        <w:t xml:space="preserve"> פוטנציאל לתשואה גבוהה יותר לעומת יצרן המוכר לחברת החשמל, בגלל היכולת למכור חשמל לצרכני קצה במחיר המגלם רווח על עלויות הייצור. בעוד חברת החשמל מחויבת למכור בתעריפים שנקבעים על ידי </w:t>
      </w:r>
      <w:r>
        <w:rPr>
          <w:rFonts w:hint="cs"/>
          <w:sz w:val="24"/>
          <w:rtl/>
        </w:rPr>
        <w:t>הרשות לשירותים ציבוריים</w:t>
      </w:r>
      <w:r>
        <w:rPr>
          <w:rFonts w:hint="cs"/>
          <w:rtl/>
        </w:rPr>
        <w:t>-חשמל (להלן: "</w:t>
      </w:r>
      <w:r>
        <w:rPr>
          <w:rFonts w:hint="cs"/>
          <w:b/>
          <w:bCs/>
          <w:rtl/>
        </w:rPr>
        <w:t>רשות החשמל</w:t>
      </w:r>
      <w:r>
        <w:rPr>
          <w:rFonts w:hint="cs"/>
          <w:rtl/>
        </w:rPr>
        <w:t>")</w:t>
      </w:r>
      <w:r>
        <w:rPr>
          <w:rFonts w:hint="cs"/>
          <w:sz w:val="24"/>
          <w:rtl/>
        </w:rPr>
        <w:t>,</w:t>
      </w:r>
      <w:r>
        <w:rPr>
          <w:rFonts w:hint="cs"/>
          <w:rtl/>
        </w:rPr>
        <w:t xml:space="preserve"> היצרנים הפרטיים יכולים להתחרות על מחיר החשמל מול הצרכנים.</w:t>
      </w:r>
    </w:p>
    <w:p w:rsidR="00FC0813" w:rsidRDefault="005E140E" w:rsidP="000F2EB2">
      <w:pPr>
        <w:ind w:left="142"/>
        <w:rPr>
          <w:rtl/>
        </w:rPr>
      </w:pPr>
      <w:r>
        <w:rPr>
          <w:rFonts w:hint="cs"/>
          <w:rtl/>
        </w:rPr>
        <w:t>יצרן פרטי מתחרה אפוא עם חברת החשמל במקטע אספקת החשמל על מכירת הספק החשמל שלו לצרכני קצה,</w:t>
      </w:r>
      <w:r>
        <w:rPr>
          <w:rStyle w:val="FootnoteReference"/>
          <w:rtl/>
        </w:rPr>
        <w:footnoteReference w:id="11"/>
      </w:r>
      <w:r>
        <w:rPr>
          <w:rFonts w:hint="cs"/>
          <w:rtl/>
        </w:rPr>
        <w:t xml:space="preserve"> בשיעור התלוי במסלול בו בחר. </w:t>
      </w:r>
      <w:r w:rsidR="00FC0813">
        <w:rPr>
          <w:rFonts w:hint="cs"/>
          <w:rtl/>
        </w:rPr>
        <w:t>יצרנים רשאים לעבור בין שני המסלולים בכפוף למגבלות שונות</w:t>
      </w:r>
      <w:r w:rsidR="000F2EB2">
        <w:rPr>
          <w:rFonts w:hint="cs"/>
          <w:rtl/>
        </w:rPr>
        <w:t xml:space="preserve"> הקבועות, בין היתר, ב</w:t>
      </w:r>
      <w:r w:rsidR="000F2EB2" w:rsidRPr="00BA4882">
        <w:rPr>
          <w:rtl/>
        </w:rPr>
        <w:t>אמות מידה לרמה, לטיב ולאיכות השירות שנותן ספק שירות חיוני לפי חוק משק החשמל התשנ"ו-</w:t>
      </w:r>
      <w:r w:rsidR="000F2EB2" w:rsidRPr="00BA4882">
        <w:rPr>
          <w:rFonts w:hint="cs"/>
          <w:rtl/>
        </w:rPr>
        <w:t xml:space="preserve">1990 (להלן: </w:t>
      </w:r>
      <w:r w:rsidR="000F2EB2" w:rsidRPr="00BA4882">
        <w:rPr>
          <w:rFonts w:hint="cs"/>
          <w:b/>
          <w:bCs/>
          <w:rtl/>
        </w:rPr>
        <w:t>"אמות המידה</w:t>
      </w:r>
      <w:r w:rsidR="000F2EB2" w:rsidRPr="00BA4882">
        <w:rPr>
          <w:rFonts w:hint="cs"/>
          <w:rtl/>
        </w:rPr>
        <w:t>")</w:t>
      </w:r>
      <w:r w:rsidR="00FC0813">
        <w:rPr>
          <w:rFonts w:hint="cs"/>
          <w:rtl/>
        </w:rPr>
        <w:t>.</w:t>
      </w:r>
      <w:r w:rsidR="00FC0813">
        <w:rPr>
          <w:rStyle w:val="FootnoteReference"/>
          <w:rtl/>
        </w:rPr>
        <w:footnoteReference w:id="12"/>
      </w:r>
      <w:r w:rsidR="00FC0813">
        <w:rPr>
          <w:rFonts w:hint="cs"/>
          <w:rtl/>
        </w:rPr>
        <w:t xml:space="preserve"> הואיל שכיום כל בעלי רישיונות האספקה הם יצרנים פרטיים המייצרים חשמל וגם מוכרים חשמל לצרכנים, הם יכונו מעתה: "יצרנים פרטיים".</w:t>
      </w:r>
    </w:p>
    <w:p w:rsidR="00FC0813" w:rsidRDefault="00FC0813" w:rsidP="00A560E8">
      <w:pPr>
        <w:ind w:left="142"/>
        <w:rPr>
          <w:rtl/>
        </w:rPr>
      </w:pPr>
      <w:r>
        <w:rPr>
          <w:rFonts w:hint="cs"/>
          <w:rtl/>
        </w:rPr>
        <w:t>בשונה ממקטעי הייצור והאספקה, מקטעי ההולכה והחלוקה נותרו בשליטתה הבלעדית של חברת החשמל.</w:t>
      </w:r>
      <w:r>
        <w:rPr>
          <w:rStyle w:val="FootnoteReference"/>
          <w:rtl/>
        </w:rPr>
        <w:footnoteReference w:id="13"/>
      </w:r>
      <w:r>
        <w:rPr>
          <w:rFonts w:hint="cs"/>
          <w:rtl/>
        </w:rPr>
        <w:t xml:space="preserve"> לפיכך, צרכנים שעברו לצרוך חשמל מיצרן פרטי ממשיכים להיות לקוחותיה של חברת החשמל במקטעי ההולכה והחלוקה והיא מחויבת להעניק להם את השירותים הללו.</w:t>
      </w:r>
      <w:r>
        <w:rPr>
          <w:rStyle w:val="FootnoteReference"/>
        </w:rPr>
        <w:footnoteReference w:id="14"/>
      </w:r>
      <w:r w:rsidRPr="00CB0425">
        <w:rPr>
          <w:rFonts w:hint="cs"/>
          <w:rtl/>
        </w:rPr>
        <w:t xml:space="preserve"> </w:t>
      </w:r>
      <w:r>
        <w:rPr>
          <w:rFonts w:hint="cs"/>
          <w:rtl/>
        </w:rPr>
        <w:t xml:space="preserve">מקטעי ההולכה והחלוקה מהווים </w:t>
      </w:r>
      <w:r w:rsidRPr="00AC1523">
        <w:rPr>
          <w:rFonts w:hint="cs"/>
          <w:rtl/>
        </w:rPr>
        <w:t>גם</w:t>
      </w:r>
      <w:r>
        <w:rPr>
          <w:rFonts w:hint="cs"/>
          <w:rtl/>
        </w:rPr>
        <w:t xml:space="preserve"> תשתיות</w:t>
      </w:r>
      <w:r w:rsidRPr="00123AA9">
        <w:rPr>
          <w:rtl/>
        </w:rPr>
        <w:t xml:space="preserve"> </w:t>
      </w:r>
      <w:r w:rsidRPr="00123AA9">
        <w:rPr>
          <w:rFonts w:hint="cs"/>
          <w:rtl/>
        </w:rPr>
        <w:t>חיוני</w:t>
      </w:r>
      <w:r>
        <w:rPr>
          <w:rFonts w:hint="cs"/>
          <w:rtl/>
        </w:rPr>
        <w:t xml:space="preserve">ות עבור יצרני החשמל הפרטיים במתן שירות לצרכנים הרוכשים מהם. זאת שכן, רשת ההולכה והחלוקה מהווה חוליה הכרחית </w:t>
      </w:r>
      <w:r w:rsidRPr="00123AA9">
        <w:rPr>
          <w:rFonts w:hint="cs"/>
          <w:rtl/>
        </w:rPr>
        <w:t>בשרשרת</w:t>
      </w:r>
      <w:r w:rsidRPr="00123AA9">
        <w:rPr>
          <w:rtl/>
        </w:rPr>
        <w:t xml:space="preserve"> </w:t>
      </w:r>
      <w:r>
        <w:rPr>
          <w:rFonts w:hint="cs"/>
          <w:rtl/>
        </w:rPr>
        <w:t>אספקת</w:t>
      </w:r>
      <w:r w:rsidRPr="00123AA9">
        <w:rPr>
          <w:rtl/>
        </w:rPr>
        <w:t xml:space="preserve"> </w:t>
      </w:r>
      <w:r>
        <w:rPr>
          <w:rFonts w:hint="cs"/>
          <w:rtl/>
        </w:rPr>
        <w:t>ה</w:t>
      </w:r>
      <w:r w:rsidRPr="00123AA9">
        <w:rPr>
          <w:rFonts w:hint="cs"/>
          <w:rtl/>
        </w:rPr>
        <w:t>חשמל</w:t>
      </w:r>
      <w:r>
        <w:rPr>
          <w:rFonts w:hint="cs"/>
          <w:rtl/>
        </w:rPr>
        <w:t>, ו</w:t>
      </w:r>
      <w:r w:rsidRPr="00123AA9">
        <w:rPr>
          <w:rFonts w:hint="cs"/>
          <w:rtl/>
        </w:rPr>
        <w:t>בלעדי</w:t>
      </w:r>
      <w:r w:rsidRPr="00123AA9">
        <w:rPr>
          <w:rtl/>
        </w:rPr>
        <w:t xml:space="preserve"> </w:t>
      </w:r>
      <w:r w:rsidRPr="00123AA9">
        <w:rPr>
          <w:rFonts w:hint="cs"/>
          <w:rtl/>
        </w:rPr>
        <w:t>השימוש</w:t>
      </w:r>
      <w:r w:rsidRPr="00123AA9">
        <w:rPr>
          <w:rtl/>
        </w:rPr>
        <w:t xml:space="preserve"> </w:t>
      </w:r>
      <w:r>
        <w:rPr>
          <w:rFonts w:hint="cs"/>
          <w:rtl/>
        </w:rPr>
        <w:t xml:space="preserve">בה </w:t>
      </w:r>
      <w:r w:rsidRPr="00123AA9">
        <w:rPr>
          <w:rFonts w:hint="cs"/>
          <w:rtl/>
        </w:rPr>
        <w:t>לא</w:t>
      </w:r>
      <w:r w:rsidRPr="00123AA9">
        <w:rPr>
          <w:rtl/>
        </w:rPr>
        <w:t xml:space="preserve"> </w:t>
      </w:r>
      <w:r>
        <w:rPr>
          <w:rFonts w:hint="cs"/>
          <w:rtl/>
        </w:rPr>
        <w:t>יוכל יצרן חשמל פרטי לספק חשמל ללקוחותיו</w:t>
      </w:r>
      <w:r w:rsidRPr="00123AA9">
        <w:rPr>
          <w:rtl/>
        </w:rPr>
        <w:t>.</w:t>
      </w:r>
    </w:p>
    <w:p w:rsidR="00FC0813" w:rsidRDefault="00FC0813" w:rsidP="00C03748">
      <w:pPr>
        <w:ind w:left="142"/>
      </w:pPr>
      <w:r>
        <w:rPr>
          <w:rFonts w:hint="cs"/>
          <w:rtl/>
        </w:rPr>
        <w:t>בתחילת שנת 2015 הגיעו לרשות ההגבלים העסקיים (להלן: "</w:t>
      </w:r>
      <w:r w:rsidRPr="00C01E67">
        <w:rPr>
          <w:rFonts w:hint="cs"/>
          <w:b/>
          <w:bCs/>
          <w:rtl/>
        </w:rPr>
        <w:t>הרשות</w:t>
      </w:r>
      <w:r>
        <w:rPr>
          <w:rFonts w:hint="cs"/>
          <w:rtl/>
        </w:rPr>
        <w:t xml:space="preserve">") תלונות, המתארות </w:t>
      </w:r>
      <w:r w:rsidR="00C03748">
        <w:rPr>
          <w:rFonts w:hint="cs"/>
          <w:rtl/>
        </w:rPr>
        <w:t>פגיעה</w:t>
      </w:r>
      <w:r>
        <w:rPr>
          <w:rFonts w:hint="cs"/>
          <w:rtl/>
        </w:rPr>
        <w:t xml:space="preserve"> </w:t>
      </w:r>
      <w:r w:rsidR="00C03748">
        <w:rPr>
          <w:rFonts w:hint="cs"/>
          <w:rtl/>
        </w:rPr>
        <w:t>ב</w:t>
      </w:r>
      <w:r>
        <w:rPr>
          <w:rFonts w:hint="cs"/>
          <w:rtl/>
        </w:rPr>
        <w:t>שירות הנית</w:t>
      </w:r>
      <w:r w:rsidR="00C03748">
        <w:rPr>
          <w:rFonts w:hint="cs"/>
          <w:rtl/>
        </w:rPr>
        <w:t>ן</w:t>
      </w:r>
      <w:r>
        <w:rPr>
          <w:rFonts w:hint="cs"/>
          <w:rtl/>
        </w:rPr>
        <w:t xml:space="preserve"> ללקוחות של היצרנים הפרטיים על ידי חברת החשמל במקטעי ההולכה והחלוקה. בעקבות התלונות פתחה הרשות בבדיקה שתוצאותיה בהחלטה זו.</w:t>
      </w:r>
    </w:p>
    <w:p w:rsidR="00FC0813" w:rsidRPr="001F0C3E" w:rsidRDefault="001C367F" w:rsidP="001C367F">
      <w:pPr>
        <w:pStyle w:val="Heading2"/>
        <w:numPr>
          <w:ilvl w:val="0"/>
          <w:numId w:val="0"/>
        </w:numPr>
        <w:ind w:left="851"/>
        <w:jc w:val="left"/>
        <w:rPr>
          <w:rtl/>
        </w:rPr>
      </w:pPr>
      <w:bookmarkStart w:id="4" w:name="_Toc476497399"/>
      <w:r>
        <w:rPr>
          <w:rFonts w:hint="cs"/>
          <w:rtl/>
        </w:rPr>
        <w:t xml:space="preserve">ב.2. </w:t>
      </w:r>
      <w:r w:rsidR="00FC0813" w:rsidRPr="001F0C3E">
        <w:rPr>
          <w:rFonts w:hint="cs"/>
          <w:rtl/>
        </w:rPr>
        <w:t>שירות מנהל תיק לקוח</w:t>
      </w:r>
      <w:bookmarkEnd w:id="4"/>
    </w:p>
    <w:p w:rsidR="00FC0813" w:rsidRDefault="00FC0813" w:rsidP="008473F6">
      <w:pPr>
        <w:ind w:left="142"/>
      </w:pPr>
      <w:r>
        <w:rPr>
          <w:rFonts w:hint="cs"/>
          <w:rtl/>
        </w:rPr>
        <w:t>צרכנים הרוכשים מיצרני החשמל הפרטיים הם ברובם לקוחות עסקיים (דוגמת מפעלים תעשייתיי</w:t>
      </w:r>
      <w:r>
        <w:rPr>
          <w:rFonts w:hint="eastAsia"/>
          <w:rtl/>
        </w:rPr>
        <w:t>ם</w:t>
      </w:r>
      <w:r>
        <w:rPr>
          <w:rFonts w:hint="cs"/>
          <w:rtl/>
        </w:rPr>
        <w:t xml:space="preserve">, קניונים וכיוצ"ב). לקוחות עסקיים צורכים אנרגיה בכמות משמעותית והם בעלי צרכים שונים ומורכבים יותר מאשר לקוחות פרטיים. בפרט, לקוחות עסקיים זקוקים לאספקת חשמל רציפה ואמינה. עבורם, השבתת חשמל, אפילו רגעית, עלולה לחבל בעבודת קווי ייצור, </w:t>
      </w:r>
      <w:r w:rsidR="00C313CE">
        <w:rPr>
          <w:rFonts w:hint="cs"/>
          <w:rtl/>
        </w:rPr>
        <w:lastRenderedPageBreak/>
        <w:t>ב</w:t>
      </w:r>
      <w:r w:rsidR="00592530">
        <w:rPr>
          <w:rFonts w:hint="cs"/>
          <w:rtl/>
        </w:rPr>
        <w:t xml:space="preserve">רציפות תפקודית של מתקנים חיוניים, במכונות </w:t>
      </w:r>
      <w:r w:rsidR="008473F6">
        <w:rPr>
          <w:rFonts w:hint="cs"/>
          <w:rtl/>
        </w:rPr>
        <w:t xml:space="preserve">כגון </w:t>
      </w:r>
      <w:r>
        <w:rPr>
          <w:rFonts w:hint="cs"/>
          <w:rtl/>
        </w:rPr>
        <w:t xml:space="preserve">קופות רושמות ועוד, באופן שעלול לגרום לנזקים כספיים משמעותיים.  </w:t>
      </w:r>
    </w:p>
    <w:p w:rsidR="00FC0813" w:rsidRDefault="00FC0813" w:rsidP="00D9686A">
      <w:pPr>
        <w:ind w:left="142"/>
      </w:pPr>
      <w:r>
        <w:rPr>
          <w:rFonts w:hint="cs"/>
          <w:rtl/>
        </w:rPr>
        <w:t>שירות מנהל תיק לקוח (להלן: "</w:t>
      </w:r>
      <w:r w:rsidRPr="00621523">
        <w:rPr>
          <w:rFonts w:hint="cs"/>
          <w:b/>
          <w:bCs/>
          <w:rtl/>
        </w:rPr>
        <w:t>מת</w:t>
      </w:r>
      <w:r w:rsidRPr="00621523">
        <w:rPr>
          <w:b/>
          <w:bCs/>
          <w:rtl/>
        </w:rPr>
        <w:t>"</w:t>
      </w:r>
      <w:r w:rsidRPr="00621523">
        <w:rPr>
          <w:rFonts w:hint="cs"/>
          <w:b/>
          <w:bCs/>
          <w:rtl/>
        </w:rPr>
        <w:t>ל</w:t>
      </w:r>
      <w:r>
        <w:rPr>
          <w:rFonts w:hint="cs"/>
          <w:rtl/>
        </w:rPr>
        <w:t xml:space="preserve">") </w:t>
      </w:r>
      <w:r w:rsidRPr="00EE3175">
        <w:rPr>
          <w:rFonts w:hint="cs"/>
          <w:rtl/>
        </w:rPr>
        <w:t>הוא שירות הניתן על ידי עובד חברת החשמל</w:t>
      </w:r>
      <w:r>
        <w:rPr>
          <w:rFonts w:hint="cs"/>
          <w:rtl/>
        </w:rPr>
        <w:t>,</w:t>
      </w:r>
      <w:r w:rsidRPr="002164D8">
        <w:rPr>
          <w:rFonts w:hint="cs"/>
          <w:rtl/>
        </w:rPr>
        <w:t xml:space="preserve"> </w:t>
      </w:r>
      <w:r w:rsidRPr="00A321AA">
        <w:rPr>
          <w:rFonts w:hint="cs"/>
          <w:rtl/>
        </w:rPr>
        <w:t>ה</w:t>
      </w:r>
      <w:r w:rsidRPr="00EE3175">
        <w:rPr>
          <w:rFonts w:hint="cs"/>
          <w:rtl/>
        </w:rPr>
        <w:t xml:space="preserve">משמש </w:t>
      </w:r>
      <w:r>
        <w:rPr>
          <w:rFonts w:hint="cs"/>
          <w:rtl/>
        </w:rPr>
        <w:t>כאיש קשר ו</w:t>
      </w:r>
      <w:r w:rsidRPr="00EE3175">
        <w:rPr>
          <w:rFonts w:hint="cs"/>
          <w:rtl/>
        </w:rPr>
        <w:t xml:space="preserve">ככתובת מרכזת במתן מענה בכל נושא </w:t>
      </w:r>
      <w:r>
        <w:rPr>
          <w:rFonts w:hint="cs"/>
          <w:rtl/>
        </w:rPr>
        <w:t>הקשור לסל השירותים הניתנים לצרכן</w:t>
      </w:r>
      <w:r w:rsidRPr="002164D8">
        <w:rPr>
          <w:rtl/>
        </w:rPr>
        <w:t xml:space="preserve"> </w:t>
      </w:r>
      <w:r w:rsidRPr="002164D8">
        <w:rPr>
          <w:rFonts w:hint="cs"/>
          <w:rtl/>
        </w:rPr>
        <w:t xml:space="preserve">העסקי על-ידי </w:t>
      </w:r>
      <w:r w:rsidRPr="00C1233D">
        <w:rPr>
          <w:rFonts w:hint="cs"/>
          <w:sz w:val="24"/>
          <w:rtl/>
        </w:rPr>
        <w:t>חבר</w:t>
      </w:r>
      <w:r>
        <w:rPr>
          <w:rFonts w:hint="cs"/>
          <w:rtl/>
        </w:rPr>
        <w:t>ת החשמל</w:t>
      </w:r>
      <w:r w:rsidRPr="002164D8">
        <w:rPr>
          <w:rFonts w:hint="cs"/>
          <w:rtl/>
        </w:rPr>
        <w:t xml:space="preserve">. מת"ל מוקצה </w:t>
      </w:r>
      <w:r w:rsidR="00F05D75">
        <w:rPr>
          <w:rFonts w:hint="cs"/>
          <w:rtl/>
        </w:rPr>
        <w:t xml:space="preserve">על ידי חברת החשמל </w:t>
      </w:r>
      <w:r>
        <w:rPr>
          <w:rFonts w:hint="cs"/>
          <w:rtl/>
        </w:rPr>
        <w:t>ללקוחות</w:t>
      </w:r>
      <w:r w:rsidRPr="002164D8">
        <w:rPr>
          <w:rFonts w:hint="cs"/>
          <w:rtl/>
        </w:rPr>
        <w:t xml:space="preserve"> גדולים</w:t>
      </w:r>
      <w:r>
        <w:rPr>
          <w:rFonts w:hint="cs"/>
          <w:rtl/>
        </w:rPr>
        <w:t xml:space="preserve"> המכונים "לקוחות עסקיים"</w:t>
      </w:r>
      <w:r w:rsidRPr="002164D8">
        <w:rPr>
          <w:rFonts w:hint="cs"/>
          <w:rtl/>
        </w:rPr>
        <w:t xml:space="preserve"> </w:t>
      </w:r>
      <w:r w:rsidR="009251E5">
        <w:rPr>
          <w:rFonts w:hint="cs"/>
          <w:rtl/>
        </w:rPr>
        <w:t xml:space="preserve">במטרה לענות על </w:t>
      </w:r>
      <w:r w:rsidRPr="002164D8">
        <w:rPr>
          <w:rFonts w:hint="cs"/>
          <w:rtl/>
        </w:rPr>
        <w:t xml:space="preserve">צרכיהם </w:t>
      </w:r>
      <w:r w:rsidR="009251E5">
        <w:rPr>
          <w:rFonts w:hint="cs"/>
          <w:rtl/>
        </w:rPr>
        <w:t>לקבלת כתובת אחת לכל פניותיהם</w:t>
      </w:r>
      <w:r w:rsidR="00592530">
        <w:rPr>
          <w:rFonts w:hint="cs"/>
          <w:rtl/>
        </w:rPr>
        <w:t>. כתובת זו</w:t>
      </w:r>
      <w:r w:rsidR="009251E5">
        <w:rPr>
          <w:rFonts w:hint="cs"/>
          <w:rtl/>
        </w:rPr>
        <w:t xml:space="preserve"> מהווה גורם מגיב ויוזם, המלווה במצבי משבר</w:t>
      </w:r>
      <w:r w:rsidRPr="002164D8">
        <w:rPr>
          <w:rFonts w:hint="cs"/>
          <w:rtl/>
        </w:rPr>
        <w:t>.</w:t>
      </w:r>
      <w:r w:rsidR="00B60FF2" w:rsidRPr="00A321AA">
        <w:rPr>
          <w:rStyle w:val="FootnoteReference"/>
          <w:rtl/>
        </w:rPr>
        <w:footnoteReference w:id="15"/>
      </w:r>
    </w:p>
    <w:p w:rsidR="00FC0813" w:rsidRPr="009F5E5E" w:rsidRDefault="00FC0813" w:rsidP="00FC0813">
      <w:pPr>
        <w:ind w:left="142"/>
      </w:pPr>
      <w:r>
        <w:rPr>
          <w:rFonts w:hint="cs"/>
          <w:rtl/>
        </w:rPr>
        <w:t xml:space="preserve">סעיף 8 לנוהל </w:t>
      </w:r>
      <w:r w:rsidRPr="00C1233D">
        <w:rPr>
          <w:rFonts w:hint="cs"/>
          <w:sz w:val="24"/>
          <w:rtl/>
        </w:rPr>
        <w:t>שירות</w:t>
      </w:r>
      <w:r>
        <w:rPr>
          <w:rFonts w:hint="cs"/>
          <w:rtl/>
        </w:rPr>
        <w:t xml:space="preserve"> לקוחות עסקיים מס' 06-50-00 של חברת החשמל מגדיר את סל השירותים שיינתן על-ידי חברת החשמל ללקוחות העסקיים, והוא כולל, בין היתר, </w:t>
      </w:r>
      <w:r w:rsidRPr="00AD3487">
        <w:rPr>
          <w:rFonts w:ascii="David" w:hint="cs"/>
          <w:sz w:val="24"/>
          <w:rtl/>
          <w:lang w:eastAsia="en-US"/>
        </w:rPr>
        <w:t>מנהל</w:t>
      </w:r>
      <w:r w:rsidRPr="00AD3487">
        <w:rPr>
          <w:rFonts w:ascii="David"/>
          <w:sz w:val="24"/>
          <w:lang w:eastAsia="en-US"/>
        </w:rPr>
        <w:t xml:space="preserve"> </w:t>
      </w:r>
      <w:r w:rsidRPr="00AD3487">
        <w:rPr>
          <w:rFonts w:ascii="David" w:hint="cs"/>
          <w:sz w:val="24"/>
          <w:rtl/>
          <w:lang w:eastAsia="en-US"/>
        </w:rPr>
        <w:t>תיק</w:t>
      </w:r>
      <w:r w:rsidRPr="00AD3487">
        <w:rPr>
          <w:rFonts w:ascii="David"/>
          <w:sz w:val="24"/>
          <w:lang w:eastAsia="en-US"/>
        </w:rPr>
        <w:t xml:space="preserve"> </w:t>
      </w:r>
      <w:r w:rsidRPr="00AD3487">
        <w:rPr>
          <w:rFonts w:ascii="David" w:hint="cs"/>
          <w:sz w:val="24"/>
          <w:rtl/>
          <w:lang w:eastAsia="en-US"/>
        </w:rPr>
        <w:t>לקוח</w:t>
      </w:r>
      <w:r w:rsidRPr="00AD3487">
        <w:rPr>
          <w:rFonts w:ascii="David"/>
          <w:sz w:val="24"/>
          <w:lang w:eastAsia="en-US"/>
        </w:rPr>
        <w:t xml:space="preserve"> </w:t>
      </w:r>
      <w:r w:rsidRPr="00AD3487">
        <w:rPr>
          <w:rFonts w:ascii="David" w:hint="cs"/>
          <w:sz w:val="24"/>
          <w:rtl/>
          <w:lang w:eastAsia="en-US"/>
        </w:rPr>
        <w:t>לכל</w:t>
      </w:r>
      <w:r>
        <w:rPr>
          <w:rFonts w:ascii="David" w:hint="cs"/>
          <w:sz w:val="24"/>
          <w:rtl/>
          <w:lang w:eastAsia="en-US"/>
        </w:rPr>
        <w:t xml:space="preserve"> </w:t>
      </w:r>
      <w:r w:rsidRPr="00AD3487">
        <w:rPr>
          <w:rFonts w:ascii="David" w:hint="cs"/>
          <w:sz w:val="24"/>
          <w:rtl/>
          <w:lang w:eastAsia="en-US"/>
        </w:rPr>
        <w:t>לקוח</w:t>
      </w:r>
      <w:r w:rsidRPr="00AD3487">
        <w:rPr>
          <w:rFonts w:ascii="David"/>
          <w:sz w:val="24"/>
          <w:lang w:eastAsia="en-US"/>
        </w:rPr>
        <w:t xml:space="preserve"> </w:t>
      </w:r>
      <w:r w:rsidRPr="00AD3487">
        <w:rPr>
          <w:rFonts w:ascii="David" w:hint="cs"/>
          <w:sz w:val="24"/>
          <w:rtl/>
          <w:lang w:eastAsia="en-US"/>
        </w:rPr>
        <w:t>עסקי</w:t>
      </w:r>
      <w:r>
        <w:rPr>
          <w:rFonts w:ascii="David" w:hint="cs"/>
          <w:sz w:val="24"/>
          <w:rtl/>
          <w:lang w:eastAsia="en-US"/>
        </w:rPr>
        <w:t>.</w:t>
      </w:r>
    </w:p>
    <w:p w:rsidR="00FC0813" w:rsidRDefault="00FC0813" w:rsidP="00FC0813">
      <w:pPr>
        <w:ind w:left="142"/>
      </w:pPr>
      <w:r>
        <w:rPr>
          <w:rFonts w:hint="cs"/>
          <w:rtl/>
        </w:rPr>
        <w:t xml:space="preserve">נוהל מנהל תיק </w:t>
      </w:r>
      <w:r w:rsidRPr="00C1233D">
        <w:rPr>
          <w:rFonts w:hint="cs"/>
          <w:sz w:val="24"/>
          <w:rtl/>
        </w:rPr>
        <w:t>לקוח</w:t>
      </w:r>
      <w:r>
        <w:rPr>
          <w:rFonts w:hint="cs"/>
          <w:rtl/>
        </w:rPr>
        <w:t xml:space="preserve"> </w:t>
      </w:r>
      <w:r w:rsidR="00F5593E">
        <w:rPr>
          <w:rFonts w:hint="cs"/>
          <w:rtl/>
        </w:rPr>
        <w:t xml:space="preserve">של חברת החשמל </w:t>
      </w:r>
      <w:r>
        <w:rPr>
          <w:rFonts w:hint="cs"/>
          <w:rtl/>
        </w:rPr>
        <w:t xml:space="preserve">מס' 06-50-06 </w:t>
      </w:r>
      <w:r w:rsidRPr="000F383C">
        <w:rPr>
          <w:rFonts w:hint="cs"/>
          <w:rtl/>
        </w:rPr>
        <w:t>מחודש אוקטובר 2014</w:t>
      </w:r>
      <w:r>
        <w:rPr>
          <w:rFonts w:hint="cs"/>
          <w:rtl/>
        </w:rPr>
        <w:t xml:space="preserve"> (להלן: "</w:t>
      </w:r>
      <w:r w:rsidRPr="00742059">
        <w:rPr>
          <w:rFonts w:hint="cs"/>
          <w:b/>
          <w:bCs/>
          <w:rtl/>
        </w:rPr>
        <w:t>נוהל מנהל תיק לקוח</w:t>
      </w:r>
      <w:r>
        <w:rPr>
          <w:rFonts w:hint="cs"/>
          <w:rtl/>
        </w:rPr>
        <w:t>") מפרט את תפקידי מנהל תיק לקוח, וכך הוא קובע:</w:t>
      </w:r>
    </w:p>
    <w:p w:rsidR="00FC0813" w:rsidRDefault="00FC0813" w:rsidP="00FC0813">
      <w:pPr>
        <w:spacing w:line="240" w:lineRule="auto"/>
        <w:ind w:left="941" w:right="426"/>
      </w:pPr>
      <w:r>
        <w:rPr>
          <w:rFonts w:ascii="David" w:hint="cs"/>
          <w:sz w:val="24"/>
          <w:rtl/>
          <w:lang w:eastAsia="en-US"/>
        </w:rPr>
        <w:t>"</w:t>
      </w:r>
      <w:r w:rsidRPr="009F5E5E">
        <w:rPr>
          <w:rFonts w:ascii="David" w:hint="cs"/>
          <w:sz w:val="24"/>
          <w:rtl/>
          <w:lang w:eastAsia="en-US"/>
        </w:rPr>
        <w:t>על</w:t>
      </w:r>
      <w:r w:rsidRPr="009F5E5E">
        <w:rPr>
          <w:rFonts w:ascii="David"/>
          <w:sz w:val="24"/>
          <w:lang w:eastAsia="en-US"/>
        </w:rPr>
        <w:t xml:space="preserve"> </w:t>
      </w:r>
      <w:r w:rsidRPr="009F5E5E">
        <w:rPr>
          <w:rFonts w:ascii="David" w:hint="cs"/>
          <w:sz w:val="24"/>
          <w:rtl/>
          <w:lang w:eastAsia="en-US"/>
        </w:rPr>
        <w:t>המת</w:t>
      </w:r>
      <w:r w:rsidRPr="009F5E5E">
        <w:rPr>
          <w:rFonts w:ascii="David"/>
          <w:sz w:val="24"/>
          <w:lang w:eastAsia="en-US"/>
        </w:rPr>
        <w:t>"</w:t>
      </w:r>
      <w:r w:rsidRPr="009F5E5E">
        <w:rPr>
          <w:rFonts w:ascii="David" w:hint="cs"/>
          <w:sz w:val="24"/>
          <w:rtl/>
          <w:lang w:eastAsia="en-US"/>
        </w:rPr>
        <w:t>ל</w:t>
      </w:r>
      <w:r w:rsidRPr="009F5E5E">
        <w:rPr>
          <w:rFonts w:ascii="David"/>
          <w:sz w:val="24"/>
          <w:lang w:eastAsia="en-US"/>
        </w:rPr>
        <w:t xml:space="preserve"> </w:t>
      </w:r>
      <w:r w:rsidRPr="009F5E5E">
        <w:rPr>
          <w:rFonts w:ascii="David" w:hint="cs"/>
          <w:sz w:val="24"/>
          <w:rtl/>
          <w:lang w:eastAsia="en-US"/>
        </w:rPr>
        <w:t>לדאוג</w:t>
      </w:r>
      <w:r w:rsidRPr="009F5E5E">
        <w:rPr>
          <w:rFonts w:ascii="David"/>
          <w:sz w:val="24"/>
          <w:lang w:eastAsia="en-US"/>
        </w:rPr>
        <w:t xml:space="preserve"> </w:t>
      </w:r>
      <w:r w:rsidRPr="009F5E5E">
        <w:rPr>
          <w:rFonts w:ascii="David" w:hint="cs"/>
          <w:sz w:val="24"/>
          <w:rtl/>
          <w:lang w:eastAsia="en-US"/>
        </w:rPr>
        <w:t>כי</w:t>
      </w:r>
      <w:r w:rsidRPr="009F5E5E">
        <w:rPr>
          <w:rFonts w:ascii="David"/>
          <w:sz w:val="24"/>
          <w:lang w:eastAsia="en-US"/>
        </w:rPr>
        <w:t xml:space="preserve"> </w:t>
      </w:r>
      <w:r w:rsidRPr="009F5E5E">
        <w:rPr>
          <w:rFonts w:ascii="David" w:hint="cs"/>
          <w:sz w:val="24"/>
          <w:rtl/>
          <w:lang w:eastAsia="en-US"/>
        </w:rPr>
        <w:t>השירותים</w:t>
      </w:r>
      <w:r w:rsidRPr="009F5E5E">
        <w:rPr>
          <w:rFonts w:ascii="David"/>
          <w:sz w:val="24"/>
          <w:lang w:eastAsia="en-US"/>
        </w:rPr>
        <w:t xml:space="preserve"> </w:t>
      </w:r>
      <w:r w:rsidRPr="009F5E5E">
        <w:rPr>
          <w:rFonts w:ascii="David" w:hint="cs"/>
          <w:sz w:val="24"/>
          <w:rtl/>
          <w:lang w:eastAsia="en-US"/>
        </w:rPr>
        <w:t>הניתנים</w:t>
      </w:r>
      <w:r w:rsidRPr="009F5E5E">
        <w:rPr>
          <w:rFonts w:ascii="David"/>
          <w:sz w:val="24"/>
          <w:lang w:eastAsia="en-US"/>
        </w:rPr>
        <w:t xml:space="preserve"> </w:t>
      </w:r>
      <w:r w:rsidRPr="009F5E5E">
        <w:rPr>
          <w:rFonts w:ascii="David" w:hint="cs"/>
          <w:sz w:val="24"/>
          <w:rtl/>
          <w:lang w:eastAsia="en-US"/>
        </w:rPr>
        <w:t>ללקוח</w:t>
      </w:r>
      <w:r>
        <w:rPr>
          <w:rFonts w:ascii="David" w:hint="cs"/>
          <w:sz w:val="24"/>
          <w:rtl/>
          <w:lang w:eastAsia="en-US"/>
        </w:rPr>
        <w:t xml:space="preserve">, </w:t>
      </w:r>
      <w:r w:rsidRPr="009F5E5E">
        <w:rPr>
          <w:rFonts w:ascii="David" w:hint="cs"/>
          <w:sz w:val="24"/>
          <w:rtl/>
          <w:lang w:eastAsia="en-US"/>
        </w:rPr>
        <w:t>כמפורט</w:t>
      </w:r>
      <w:r w:rsidRPr="009F5E5E">
        <w:rPr>
          <w:rFonts w:ascii="David"/>
          <w:sz w:val="24"/>
          <w:lang w:eastAsia="en-US"/>
        </w:rPr>
        <w:t xml:space="preserve"> </w:t>
      </w:r>
      <w:r w:rsidRPr="009F5E5E">
        <w:rPr>
          <w:rFonts w:ascii="David" w:hint="cs"/>
          <w:sz w:val="24"/>
          <w:rtl/>
          <w:lang w:eastAsia="en-US"/>
        </w:rPr>
        <w:t>בנוהל</w:t>
      </w:r>
      <w:r w:rsidRPr="009F5E5E">
        <w:rPr>
          <w:rFonts w:ascii="David"/>
          <w:sz w:val="24"/>
          <w:lang w:eastAsia="en-US"/>
        </w:rPr>
        <w:t xml:space="preserve"> </w:t>
      </w:r>
      <w:r w:rsidRPr="009F5E5E">
        <w:rPr>
          <w:rFonts w:ascii="David" w:hint="cs"/>
          <w:sz w:val="24"/>
          <w:rtl/>
          <w:lang w:eastAsia="en-US"/>
        </w:rPr>
        <w:t>לקוחות</w:t>
      </w:r>
      <w:r w:rsidRPr="009F5E5E">
        <w:rPr>
          <w:rFonts w:ascii="David"/>
          <w:sz w:val="24"/>
          <w:lang w:eastAsia="en-US"/>
        </w:rPr>
        <w:t xml:space="preserve"> </w:t>
      </w:r>
      <w:r w:rsidRPr="009F5E5E">
        <w:rPr>
          <w:rFonts w:ascii="David" w:hint="cs"/>
          <w:sz w:val="24"/>
          <w:rtl/>
          <w:lang w:eastAsia="en-US"/>
        </w:rPr>
        <w:t>עסקיים</w:t>
      </w:r>
      <w:r>
        <w:rPr>
          <w:rFonts w:ascii="David" w:hint="cs"/>
          <w:sz w:val="24"/>
          <w:rtl/>
          <w:lang w:eastAsia="en-US"/>
        </w:rPr>
        <w:t xml:space="preserve"> (</w:t>
      </w:r>
      <w:r w:rsidRPr="009F5E5E">
        <w:rPr>
          <w:rFonts w:ascii="David"/>
          <w:sz w:val="24"/>
          <w:lang w:eastAsia="en-US"/>
        </w:rPr>
        <w:t>60-06-66</w:t>
      </w:r>
      <w:r>
        <w:rPr>
          <w:rFonts w:ascii="David" w:hint="cs"/>
          <w:sz w:val="24"/>
          <w:rtl/>
          <w:lang w:eastAsia="en-US"/>
        </w:rPr>
        <w:t xml:space="preserve"> </w:t>
      </w:r>
      <w:r w:rsidRPr="009F5E5E">
        <w:rPr>
          <w:rFonts w:ascii="David" w:hint="cs"/>
          <w:sz w:val="24"/>
          <w:rtl/>
          <w:lang w:eastAsia="en-US"/>
        </w:rPr>
        <w:t>בסעיף</w:t>
      </w:r>
      <w:r w:rsidRPr="009F5E5E">
        <w:rPr>
          <w:rFonts w:ascii="David"/>
          <w:sz w:val="24"/>
          <w:lang w:eastAsia="en-US"/>
        </w:rPr>
        <w:t xml:space="preserve"> 8 </w:t>
      </w:r>
      <w:r w:rsidRPr="009F5E5E">
        <w:rPr>
          <w:rFonts w:ascii="David" w:hint="cs"/>
          <w:sz w:val="24"/>
          <w:rtl/>
          <w:lang w:eastAsia="en-US"/>
        </w:rPr>
        <w:t xml:space="preserve">סל </w:t>
      </w:r>
      <w:r w:rsidRPr="00C1233D">
        <w:rPr>
          <w:rFonts w:hint="cs"/>
          <w:rtl/>
        </w:rPr>
        <w:t>השירותים</w:t>
      </w:r>
      <w:r w:rsidRPr="009F5E5E">
        <w:rPr>
          <w:rFonts w:ascii="David"/>
          <w:sz w:val="24"/>
          <w:lang w:eastAsia="en-US"/>
        </w:rPr>
        <w:t xml:space="preserve"> </w:t>
      </w:r>
      <w:r w:rsidRPr="009F5E5E">
        <w:rPr>
          <w:rFonts w:ascii="David" w:hint="cs"/>
          <w:sz w:val="24"/>
          <w:rtl/>
          <w:lang w:eastAsia="en-US"/>
        </w:rPr>
        <w:t>ללקוח</w:t>
      </w:r>
      <w:r w:rsidRPr="009F5E5E">
        <w:rPr>
          <w:rFonts w:ascii="David"/>
          <w:sz w:val="24"/>
          <w:lang w:eastAsia="en-US"/>
        </w:rPr>
        <w:t xml:space="preserve"> </w:t>
      </w:r>
      <w:r w:rsidRPr="009F5E5E">
        <w:rPr>
          <w:rFonts w:ascii="David" w:hint="cs"/>
          <w:sz w:val="24"/>
          <w:rtl/>
          <w:lang w:eastAsia="en-US"/>
        </w:rPr>
        <w:t>העסקי</w:t>
      </w:r>
      <w:r>
        <w:rPr>
          <w:rFonts w:ascii="David" w:hint="cs"/>
          <w:sz w:val="24"/>
          <w:rtl/>
          <w:lang w:eastAsia="en-US"/>
        </w:rPr>
        <w:t xml:space="preserve">) </w:t>
      </w:r>
      <w:r w:rsidRPr="009F5E5E">
        <w:rPr>
          <w:rFonts w:ascii="David" w:hint="cs"/>
          <w:sz w:val="24"/>
          <w:rtl/>
          <w:lang w:eastAsia="en-US"/>
        </w:rPr>
        <w:t>יסופקו</w:t>
      </w:r>
      <w:r w:rsidRPr="009F5E5E">
        <w:rPr>
          <w:rFonts w:ascii="David"/>
          <w:sz w:val="24"/>
          <w:lang w:eastAsia="en-US"/>
        </w:rPr>
        <w:t xml:space="preserve"> </w:t>
      </w:r>
      <w:r w:rsidRPr="009F5E5E">
        <w:rPr>
          <w:rFonts w:ascii="David" w:hint="cs"/>
          <w:sz w:val="24"/>
          <w:rtl/>
          <w:lang w:eastAsia="en-US"/>
        </w:rPr>
        <w:t>באמצעותו</w:t>
      </w:r>
      <w:r w:rsidRPr="009F5E5E">
        <w:rPr>
          <w:rFonts w:ascii="David"/>
          <w:sz w:val="24"/>
          <w:lang w:eastAsia="en-US"/>
        </w:rPr>
        <w:t>,</w:t>
      </w:r>
      <w:r>
        <w:rPr>
          <w:rFonts w:ascii="David" w:hint="cs"/>
          <w:sz w:val="24"/>
          <w:rtl/>
          <w:lang w:eastAsia="en-US"/>
        </w:rPr>
        <w:t xml:space="preserve"> </w:t>
      </w:r>
      <w:r w:rsidRPr="009F5E5E">
        <w:rPr>
          <w:rFonts w:ascii="David" w:hint="cs"/>
          <w:sz w:val="24"/>
          <w:rtl/>
          <w:lang w:eastAsia="en-US"/>
        </w:rPr>
        <w:t>בתיווכו</w:t>
      </w:r>
      <w:r>
        <w:rPr>
          <w:rFonts w:ascii="David" w:hint="cs"/>
          <w:sz w:val="24"/>
          <w:rtl/>
          <w:lang w:eastAsia="en-US"/>
        </w:rPr>
        <w:t xml:space="preserve"> </w:t>
      </w:r>
      <w:r w:rsidRPr="009F5E5E">
        <w:rPr>
          <w:rFonts w:ascii="David" w:hint="cs"/>
          <w:sz w:val="24"/>
          <w:rtl/>
          <w:lang w:eastAsia="en-US"/>
        </w:rPr>
        <w:t>ובסיוע</w:t>
      </w:r>
      <w:r w:rsidRPr="009F5E5E">
        <w:rPr>
          <w:rFonts w:ascii="David"/>
          <w:sz w:val="24"/>
          <w:lang w:eastAsia="en-US"/>
        </w:rPr>
        <w:t xml:space="preserve"> </w:t>
      </w:r>
      <w:r w:rsidRPr="009F5E5E">
        <w:rPr>
          <w:rFonts w:ascii="David" w:hint="cs"/>
          <w:sz w:val="24"/>
          <w:rtl/>
          <w:lang w:eastAsia="en-US"/>
        </w:rPr>
        <w:t>הגורמים</w:t>
      </w:r>
      <w:r w:rsidRPr="009F5E5E">
        <w:rPr>
          <w:rFonts w:ascii="David"/>
          <w:sz w:val="24"/>
          <w:lang w:eastAsia="en-US"/>
        </w:rPr>
        <w:t xml:space="preserve"> </w:t>
      </w:r>
      <w:r w:rsidRPr="009F5E5E">
        <w:rPr>
          <w:rFonts w:ascii="David" w:hint="cs"/>
          <w:sz w:val="24"/>
          <w:rtl/>
          <w:lang w:eastAsia="en-US"/>
        </w:rPr>
        <w:t>הרלוונטיים</w:t>
      </w:r>
      <w:r w:rsidRPr="009F5E5E">
        <w:rPr>
          <w:rFonts w:ascii="David"/>
          <w:sz w:val="24"/>
          <w:lang w:eastAsia="en-US"/>
        </w:rPr>
        <w:t xml:space="preserve"> </w:t>
      </w:r>
      <w:r w:rsidRPr="009F5E5E">
        <w:rPr>
          <w:rFonts w:ascii="David" w:hint="cs"/>
          <w:sz w:val="24"/>
          <w:rtl/>
          <w:lang w:eastAsia="en-US"/>
        </w:rPr>
        <w:t>בחברה</w:t>
      </w:r>
      <w:r>
        <w:rPr>
          <w:rFonts w:ascii="David" w:hint="cs"/>
          <w:sz w:val="24"/>
          <w:rtl/>
          <w:lang w:eastAsia="en-US"/>
        </w:rPr>
        <w:t>.</w:t>
      </w:r>
      <w:r w:rsidRPr="009F5E5E">
        <w:rPr>
          <w:rFonts w:ascii="David"/>
          <w:sz w:val="24"/>
          <w:lang w:eastAsia="en-US"/>
        </w:rPr>
        <w:t xml:space="preserve"> </w:t>
      </w:r>
      <w:r w:rsidRPr="009F5E5E">
        <w:rPr>
          <w:rFonts w:ascii="David" w:hint="cs"/>
          <w:sz w:val="24"/>
          <w:rtl/>
          <w:lang w:eastAsia="en-US"/>
        </w:rPr>
        <w:t>פירוט</w:t>
      </w:r>
      <w:r w:rsidRPr="009F5E5E">
        <w:rPr>
          <w:rFonts w:ascii="David"/>
          <w:sz w:val="24"/>
          <w:lang w:eastAsia="en-US"/>
        </w:rPr>
        <w:t xml:space="preserve"> </w:t>
      </w:r>
      <w:r w:rsidRPr="009F5E5E">
        <w:rPr>
          <w:rFonts w:ascii="David" w:hint="cs"/>
          <w:sz w:val="24"/>
          <w:rtl/>
          <w:lang w:eastAsia="en-US"/>
        </w:rPr>
        <w:t>תפקידי המת</w:t>
      </w:r>
      <w:r w:rsidRPr="009F5E5E">
        <w:rPr>
          <w:rFonts w:ascii="David"/>
          <w:sz w:val="24"/>
          <w:lang w:eastAsia="en-US"/>
        </w:rPr>
        <w:t>"</w:t>
      </w:r>
      <w:r w:rsidRPr="009F5E5E">
        <w:rPr>
          <w:rFonts w:ascii="David" w:hint="cs"/>
          <w:sz w:val="24"/>
          <w:rtl/>
          <w:lang w:eastAsia="en-US"/>
        </w:rPr>
        <w:t>ל</w:t>
      </w:r>
      <w:r w:rsidRPr="009F5E5E">
        <w:rPr>
          <w:rFonts w:ascii="David"/>
          <w:sz w:val="24"/>
          <w:lang w:eastAsia="en-US"/>
        </w:rPr>
        <w:t xml:space="preserve"> </w:t>
      </w:r>
      <w:r w:rsidRPr="009F5E5E">
        <w:rPr>
          <w:rFonts w:ascii="David" w:hint="cs"/>
          <w:sz w:val="24"/>
          <w:rtl/>
          <w:lang w:eastAsia="en-US"/>
        </w:rPr>
        <w:t>מופיע</w:t>
      </w:r>
      <w:r w:rsidRPr="009F5E5E">
        <w:rPr>
          <w:rFonts w:ascii="David"/>
          <w:sz w:val="24"/>
          <w:lang w:eastAsia="en-US"/>
        </w:rPr>
        <w:t xml:space="preserve"> </w:t>
      </w:r>
      <w:r w:rsidRPr="009F5E5E">
        <w:rPr>
          <w:rFonts w:ascii="David" w:hint="cs"/>
          <w:sz w:val="24"/>
          <w:rtl/>
          <w:lang w:eastAsia="en-US"/>
        </w:rPr>
        <w:t>בנספח</w:t>
      </w:r>
      <w:r w:rsidRPr="009F5E5E">
        <w:rPr>
          <w:rFonts w:ascii="David"/>
          <w:sz w:val="24"/>
          <w:lang w:eastAsia="en-US"/>
        </w:rPr>
        <w:t xml:space="preserve"> </w:t>
      </w:r>
      <w:r w:rsidRPr="009F5E5E">
        <w:rPr>
          <w:rFonts w:ascii="David" w:hint="cs"/>
          <w:sz w:val="24"/>
          <w:rtl/>
          <w:lang w:eastAsia="en-US"/>
        </w:rPr>
        <w:t>לנוהל</w:t>
      </w:r>
      <w:r>
        <w:rPr>
          <w:rFonts w:ascii="David" w:hint="cs"/>
          <w:sz w:val="24"/>
          <w:rtl/>
          <w:lang w:eastAsia="en-US"/>
        </w:rPr>
        <w:t xml:space="preserve"> </w:t>
      </w:r>
      <w:r w:rsidRPr="009F5E5E">
        <w:rPr>
          <w:rFonts w:ascii="David" w:hint="cs"/>
          <w:sz w:val="24"/>
          <w:rtl/>
          <w:lang w:eastAsia="en-US"/>
        </w:rPr>
        <w:t>זה</w:t>
      </w:r>
      <w:r w:rsidRPr="009F5E5E">
        <w:rPr>
          <w:rFonts w:ascii="David"/>
          <w:sz w:val="24"/>
          <w:lang w:eastAsia="en-US"/>
        </w:rPr>
        <w:t>.</w:t>
      </w:r>
      <w:r>
        <w:rPr>
          <w:rFonts w:ascii="David" w:hint="cs"/>
          <w:sz w:val="24"/>
          <w:rtl/>
          <w:lang w:eastAsia="en-US"/>
        </w:rPr>
        <w:t>"</w:t>
      </w:r>
    </w:p>
    <w:p w:rsidR="00FC0813" w:rsidRDefault="00FC0813" w:rsidP="00FC0813">
      <w:pPr>
        <w:ind w:left="142"/>
      </w:pPr>
      <w:r>
        <w:rPr>
          <w:rFonts w:hint="cs"/>
          <w:rtl/>
        </w:rPr>
        <w:t xml:space="preserve">בנספח לנוהל מנהל תיק לקוח מפורטות שבע קבוצות של תפקידי מנהל תיק הלקוח: הכרת הלקוח; ייזום מפגשים </w:t>
      </w:r>
      <w:r w:rsidRPr="00C1233D">
        <w:rPr>
          <w:rFonts w:hint="cs"/>
          <w:sz w:val="24"/>
          <w:rtl/>
        </w:rPr>
        <w:t>תקופתיים</w:t>
      </w:r>
      <w:r>
        <w:rPr>
          <w:rFonts w:hint="cs"/>
          <w:rtl/>
        </w:rPr>
        <w:t xml:space="preserve"> עם הלקוח; תיעוד וביצוע הסיכומים עם הלקוח; ליווי ומתן מידע ללקוח לגבי הזמנות חיבור; מתן מידע וסיוע לגבי הפסקות מתוכננות ובעת הפסקת חשמל בזמן אמת; מתן מידע והכוון בנושא ייעול הצריכה; הדרכות כנסים סיורים ופעילות תדמיתית אחרת להכרת חברת החשמל.</w:t>
      </w:r>
    </w:p>
    <w:p w:rsidR="00FC0813" w:rsidRPr="00B70716" w:rsidRDefault="00FC0813" w:rsidP="00D9686A">
      <w:pPr>
        <w:ind w:left="142"/>
        <w:rPr>
          <w:rtl/>
        </w:rPr>
      </w:pPr>
      <w:r w:rsidRPr="000D595D">
        <w:rPr>
          <w:rFonts w:hint="cs"/>
          <w:rtl/>
        </w:rPr>
        <w:t xml:space="preserve">מבדיקת </w:t>
      </w:r>
      <w:r w:rsidRPr="00C1233D">
        <w:rPr>
          <w:rFonts w:hint="cs"/>
          <w:sz w:val="24"/>
          <w:rtl/>
        </w:rPr>
        <w:t>הרשות</w:t>
      </w:r>
      <w:r w:rsidRPr="000D595D">
        <w:rPr>
          <w:rFonts w:hint="cs"/>
          <w:rtl/>
        </w:rPr>
        <w:t xml:space="preserve"> עולה, כי חלק משירותי המת"ל </w:t>
      </w:r>
      <w:r w:rsidRPr="003C3B55">
        <w:rPr>
          <w:rFonts w:hint="cs"/>
          <w:rtl/>
        </w:rPr>
        <w:t>נוגעים ל</w:t>
      </w:r>
      <w:r w:rsidRPr="00B70716">
        <w:rPr>
          <w:rFonts w:hint="cs"/>
          <w:rtl/>
        </w:rPr>
        <w:t>מקטע אספקת החשמל וחלקם נוגעים למקטעי ההולכה והחלוקה, בהם חברת החשמל היא בעלת מונופולין מושלם וספק בלעדי.</w:t>
      </w:r>
      <w:r>
        <w:rPr>
          <w:rFonts w:hint="cs"/>
          <w:rtl/>
        </w:rPr>
        <w:t xml:space="preserve"> </w:t>
      </w:r>
      <w:r w:rsidR="000F0FE6">
        <w:rPr>
          <w:rFonts w:hint="cs"/>
          <w:rtl/>
        </w:rPr>
        <w:t xml:space="preserve">החלטה זו </w:t>
      </w:r>
      <w:r w:rsidR="00B879AE">
        <w:rPr>
          <w:rFonts w:hint="cs"/>
          <w:rtl/>
        </w:rPr>
        <w:t>עניינה</w:t>
      </w:r>
      <w:r w:rsidR="000F0FE6">
        <w:rPr>
          <w:rFonts w:hint="cs"/>
          <w:rtl/>
        </w:rPr>
        <w:t xml:space="preserve"> בשירותי המת"ל ה</w:t>
      </w:r>
      <w:r w:rsidR="000F0FE6" w:rsidRPr="00B70716">
        <w:rPr>
          <w:rFonts w:hint="cs"/>
          <w:rtl/>
        </w:rPr>
        <w:t>נוגעים למקטעי ההולכה והחלוקה</w:t>
      </w:r>
      <w:r w:rsidR="000F0FE6">
        <w:rPr>
          <w:rFonts w:hint="cs"/>
          <w:rtl/>
        </w:rPr>
        <w:t>.</w:t>
      </w:r>
    </w:p>
    <w:p w:rsidR="00FC0813" w:rsidRPr="00327DFF" w:rsidRDefault="00752742" w:rsidP="00FB6652">
      <w:pPr>
        <w:ind w:left="142"/>
      </w:pPr>
      <w:r>
        <w:rPr>
          <w:rFonts w:hint="cs"/>
          <w:rtl/>
        </w:rPr>
        <w:t>מניתוח שערכה חברת החשמל ושכותרתו</w:t>
      </w:r>
      <w:r w:rsidR="00FC0813" w:rsidRPr="00327DFF">
        <w:rPr>
          <w:rFonts w:hint="cs"/>
          <w:rtl/>
        </w:rPr>
        <w:t>: "התפלגות תפקיד מנהל תיק לקוח לפי מקטעים"</w:t>
      </w:r>
      <w:r>
        <w:rPr>
          <w:rFonts w:hint="cs"/>
          <w:rtl/>
        </w:rPr>
        <w:t xml:space="preserve"> עולה כי</w:t>
      </w:r>
      <w:r w:rsidR="00FC0813" w:rsidRPr="00327DFF">
        <w:rPr>
          <w:rFonts w:hint="cs"/>
          <w:rtl/>
        </w:rPr>
        <w:t xml:space="preserve"> שירותי המת"ל הנוגעים למקטעי ההולכה והחלוקה כוללים</w:t>
      </w:r>
      <w:r w:rsidR="00FC0813">
        <w:rPr>
          <w:rFonts w:hint="cs"/>
          <w:rtl/>
        </w:rPr>
        <w:t>, בין היתר</w:t>
      </w:r>
      <w:r w:rsidR="00FC0813" w:rsidRPr="00327DFF">
        <w:rPr>
          <w:rFonts w:hint="cs"/>
          <w:rtl/>
        </w:rPr>
        <w:t xml:space="preserve">: מתן מידע </w:t>
      </w:r>
      <w:r w:rsidR="00FC0813">
        <w:rPr>
          <w:rFonts w:hint="cs"/>
          <w:rtl/>
        </w:rPr>
        <w:t>ו</w:t>
      </w:r>
      <w:r w:rsidR="00FC0813" w:rsidRPr="00327DFF">
        <w:rPr>
          <w:rFonts w:hint="cs"/>
          <w:rtl/>
        </w:rPr>
        <w:t xml:space="preserve">סיוע לגבי תקלות חשמל וליווי הלקוח </w:t>
      </w:r>
      <w:r w:rsidR="00FC0813" w:rsidRPr="00327DFF">
        <w:rPr>
          <w:rFonts w:hint="cs"/>
          <w:sz w:val="24"/>
          <w:rtl/>
        </w:rPr>
        <w:t>בהפסקות</w:t>
      </w:r>
      <w:r w:rsidR="00FC0813" w:rsidRPr="00327DFF">
        <w:rPr>
          <w:rFonts w:hint="cs"/>
          <w:rtl/>
        </w:rPr>
        <w:t xml:space="preserve"> חשמל מורכבות, קידום </w:t>
      </w:r>
      <w:r w:rsidR="00FC0813">
        <w:rPr>
          <w:rFonts w:hint="cs"/>
          <w:rtl/>
        </w:rPr>
        <w:t xml:space="preserve">וליווי </w:t>
      </w:r>
      <w:r w:rsidR="00FC0813" w:rsidRPr="00327DFF">
        <w:rPr>
          <w:rFonts w:hint="cs"/>
          <w:rtl/>
        </w:rPr>
        <w:t>הזמנות חיבור</w:t>
      </w:r>
      <w:r w:rsidR="00FC0813">
        <w:rPr>
          <w:rFonts w:hint="cs"/>
          <w:rtl/>
        </w:rPr>
        <w:t xml:space="preserve"> ו</w:t>
      </w:r>
      <w:r w:rsidR="00FC0813">
        <w:rPr>
          <w:rFonts w:ascii="Calibri" w:eastAsia="Calibri" w:hAnsi="Calibri" w:hint="cs"/>
          <w:sz w:val="24"/>
          <w:rtl/>
        </w:rPr>
        <w:t>טיפול באמינות ואיכות האספקה</w:t>
      </w:r>
      <w:r w:rsidR="00FC0813" w:rsidRPr="00327DFF">
        <w:rPr>
          <w:rFonts w:hint="cs"/>
          <w:rtl/>
        </w:rPr>
        <w:t>.</w:t>
      </w:r>
      <w:r w:rsidRPr="00327DFF" w:rsidDel="00752742">
        <w:rPr>
          <w:rStyle w:val="FootnoteReference"/>
          <w:rtl/>
        </w:rPr>
        <w:t xml:space="preserve"> </w:t>
      </w:r>
      <w:r w:rsidR="00FC0813">
        <w:rPr>
          <w:rFonts w:hint="cs"/>
          <w:rtl/>
        </w:rPr>
        <w:t xml:space="preserve">קרי, </w:t>
      </w:r>
      <w:r w:rsidR="00FC0813" w:rsidRPr="00327DFF">
        <w:rPr>
          <w:rFonts w:hint="cs"/>
          <w:rtl/>
        </w:rPr>
        <w:t xml:space="preserve">מדובר בשירותים </w:t>
      </w:r>
      <w:r w:rsidR="00FC0813">
        <w:rPr>
          <w:rFonts w:hint="cs"/>
          <w:rtl/>
        </w:rPr>
        <w:t xml:space="preserve">אשר אינם נוגעים או נמצאים בשליטת יצרן החשמל הפרטי. </w:t>
      </w:r>
    </w:p>
    <w:p w:rsidR="00FC0813" w:rsidRDefault="00FC0813" w:rsidP="00AF16F3">
      <w:pPr>
        <w:ind w:left="142"/>
      </w:pPr>
      <w:r>
        <w:rPr>
          <w:rFonts w:hint="cs"/>
          <w:sz w:val="24"/>
          <w:rtl/>
        </w:rPr>
        <w:t>בבדיקה שערכה חברת החשמל אודות</w:t>
      </w:r>
      <w:r w:rsidRPr="004452F0">
        <w:rPr>
          <w:rFonts w:hint="cs"/>
          <w:sz w:val="24"/>
          <w:rtl/>
        </w:rPr>
        <w:t xml:space="preserve"> התפלגות הפניות</w:t>
      </w:r>
      <w:r>
        <w:rPr>
          <w:rFonts w:hint="cs"/>
          <w:sz w:val="24"/>
          <w:rtl/>
        </w:rPr>
        <w:t xml:space="preserve"> למת"ל במערכת ניהול קשרי הלקוחות הפנימית שלה ("</w:t>
      </w:r>
      <w:r>
        <w:rPr>
          <w:sz w:val="24"/>
        </w:rPr>
        <w:t>CRM</w:t>
      </w:r>
      <w:r>
        <w:rPr>
          <w:rFonts w:hint="cs"/>
          <w:sz w:val="24"/>
          <w:rtl/>
        </w:rPr>
        <w:t>") על פי פרופילי לקוח</w:t>
      </w:r>
      <w:r w:rsidRPr="004452F0">
        <w:rPr>
          <w:rFonts w:hint="cs"/>
          <w:sz w:val="24"/>
          <w:rtl/>
        </w:rPr>
        <w:t xml:space="preserve"> בשנים 2013-2014</w:t>
      </w:r>
      <w:r>
        <w:rPr>
          <w:rFonts w:hint="cs"/>
          <w:sz w:val="24"/>
          <w:rtl/>
        </w:rPr>
        <w:t>,</w:t>
      </w:r>
      <w:r w:rsidRPr="004452F0">
        <w:rPr>
          <w:rFonts w:hint="cs"/>
          <w:sz w:val="24"/>
          <w:rtl/>
        </w:rPr>
        <w:t xml:space="preserve"> נמצא שאחוז הפניות הנוגעות להולכה וחלוקה </w:t>
      </w:r>
      <w:r w:rsidR="005272C0" w:rsidRPr="004452F0">
        <w:rPr>
          <w:rFonts w:hint="cs"/>
          <w:sz w:val="24"/>
          <w:rtl/>
        </w:rPr>
        <w:t xml:space="preserve">ללקוח ממוצע </w:t>
      </w:r>
      <w:r w:rsidRPr="004452F0">
        <w:rPr>
          <w:rFonts w:hint="cs"/>
          <w:sz w:val="24"/>
          <w:rtl/>
        </w:rPr>
        <w:t>הוא 62%, ללקוח בעל אורי</w:t>
      </w:r>
      <w:r>
        <w:rPr>
          <w:rFonts w:hint="cs"/>
          <w:sz w:val="24"/>
          <w:rtl/>
        </w:rPr>
        <w:t>י</w:t>
      </w:r>
      <w:r w:rsidRPr="004452F0">
        <w:rPr>
          <w:rFonts w:hint="cs"/>
          <w:sz w:val="24"/>
          <w:rtl/>
        </w:rPr>
        <w:t xml:space="preserve">נטציה טכנית (מפעלים עם תהליכים רציפים, רגישות מיוחדת לאמינות ואיכות האספקה, הזנה במתח גבוה ועליון) אחוז הפניות </w:t>
      </w:r>
      <w:r w:rsidRPr="004452F0">
        <w:rPr>
          <w:rFonts w:hint="cs"/>
          <w:sz w:val="24"/>
          <w:rtl/>
        </w:rPr>
        <w:lastRenderedPageBreak/>
        <w:t>הנוגעות להולכה וחלוקה הוא 79% וללקוח בעל אורי</w:t>
      </w:r>
      <w:r>
        <w:rPr>
          <w:rFonts w:hint="cs"/>
          <w:sz w:val="24"/>
          <w:rtl/>
        </w:rPr>
        <w:t>י</w:t>
      </w:r>
      <w:r w:rsidRPr="004452F0">
        <w:rPr>
          <w:rFonts w:hint="cs"/>
          <w:sz w:val="24"/>
          <w:rtl/>
        </w:rPr>
        <w:t>נטציה מסחרית/ניהולית (חברות ניהול, מגדלים, קניונים, מוסדות, עיריות, בנקאות) אחוז הפניות הנוגעות להולכה וחלוקה הוא 46%.</w:t>
      </w:r>
    </w:p>
    <w:p w:rsidR="00A532E3" w:rsidRPr="00A532E3" w:rsidRDefault="00FC0813" w:rsidP="003923E6">
      <w:pPr>
        <w:ind w:left="142"/>
        <w:rPr>
          <w:rtl/>
        </w:rPr>
      </w:pPr>
      <w:r>
        <w:rPr>
          <w:rFonts w:hint="cs"/>
          <w:rtl/>
        </w:rPr>
        <w:t xml:space="preserve">שירותי המת"ל הנוגעים למקטעי ההולכה והחלוקה הנם שירותים בעלי חשיבות רבה ללקוחות עסקיים, בפרט כאשר </w:t>
      </w:r>
      <w:r w:rsidRPr="00C1233D">
        <w:rPr>
          <w:rFonts w:hint="cs"/>
          <w:sz w:val="24"/>
          <w:rtl/>
        </w:rPr>
        <w:t>מתרחשות</w:t>
      </w:r>
      <w:r>
        <w:rPr>
          <w:rFonts w:hint="cs"/>
          <w:rtl/>
        </w:rPr>
        <w:t xml:space="preserve"> תקלות או הפסקות יזומות בהזרמת החשמל לאתר הצריכה. הפרעה בהזרמת החשמל עלולה להסב נזקים משמעותיים ללקוחות עסקיים גם כאשר מדובר במשך זמן קצר. בהתאם, על פי נוהל מנהל תיק לקוח, בהפסקות חשמל מורכבות </w:t>
      </w:r>
      <w:r>
        <w:rPr>
          <w:rFonts w:ascii="David" w:hint="cs"/>
          <w:sz w:val="24"/>
          <w:rtl/>
          <w:lang w:eastAsia="en-US"/>
        </w:rPr>
        <w:t>הליווי</w:t>
      </w:r>
      <w:r>
        <w:rPr>
          <w:rFonts w:ascii="David"/>
          <w:sz w:val="24"/>
          <w:lang w:eastAsia="en-US"/>
        </w:rPr>
        <w:t xml:space="preserve"> </w:t>
      </w:r>
      <w:r>
        <w:rPr>
          <w:rFonts w:ascii="David" w:hint="cs"/>
          <w:sz w:val="24"/>
          <w:rtl/>
          <w:lang w:eastAsia="en-US"/>
        </w:rPr>
        <w:t xml:space="preserve">של המת"ל </w:t>
      </w:r>
      <w:r w:rsidRPr="00C1233D">
        <w:rPr>
          <w:rFonts w:hint="cs"/>
          <w:sz w:val="24"/>
          <w:rtl/>
        </w:rPr>
        <w:t>יכלול</w:t>
      </w:r>
      <w:r>
        <w:rPr>
          <w:rFonts w:ascii="David"/>
          <w:sz w:val="24"/>
          <w:lang w:eastAsia="en-US"/>
        </w:rPr>
        <w:t xml:space="preserve"> </w:t>
      </w:r>
      <w:r>
        <w:rPr>
          <w:rFonts w:ascii="David" w:hint="cs"/>
          <w:sz w:val="24"/>
          <w:rtl/>
          <w:lang w:eastAsia="en-US"/>
        </w:rPr>
        <w:t>את</w:t>
      </w:r>
      <w:r>
        <w:rPr>
          <w:rFonts w:ascii="David"/>
          <w:sz w:val="24"/>
          <w:lang w:eastAsia="en-US"/>
        </w:rPr>
        <w:t xml:space="preserve"> </w:t>
      </w:r>
      <w:r>
        <w:rPr>
          <w:rFonts w:ascii="David" w:hint="cs"/>
          <w:sz w:val="24"/>
          <w:rtl/>
          <w:lang w:eastAsia="en-US"/>
        </w:rPr>
        <w:t>הפעולות</w:t>
      </w:r>
      <w:r>
        <w:rPr>
          <w:rFonts w:ascii="David"/>
          <w:sz w:val="24"/>
          <w:lang w:eastAsia="en-US"/>
        </w:rPr>
        <w:t xml:space="preserve"> </w:t>
      </w:r>
      <w:r>
        <w:rPr>
          <w:rFonts w:ascii="David" w:hint="cs"/>
          <w:sz w:val="24"/>
          <w:rtl/>
          <w:lang w:eastAsia="en-US"/>
        </w:rPr>
        <w:t>הבאות: "מתן</w:t>
      </w:r>
      <w:r>
        <w:rPr>
          <w:rFonts w:ascii="David"/>
          <w:sz w:val="24"/>
          <w:lang w:eastAsia="en-US"/>
        </w:rPr>
        <w:t xml:space="preserve"> </w:t>
      </w:r>
      <w:r>
        <w:rPr>
          <w:rFonts w:ascii="David" w:hint="cs"/>
          <w:sz w:val="24"/>
          <w:rtl/>
          <w:lang w:eastAsia="en-US"/>
        </w:rPr>
        <w:t>מידע</w:t>
      </w:r>
      <w:r>
        <w:rPr>
          <w:rFonts w:ascii="David"/>
          <w:sz w:val="24"/>
          <w:lang w:eastAsia="en-US"/>
        </w:rPr>
        <w:t xml:space="preserve"> </w:t>
      </w:r>
      <w:r>
        <w:rPr>
          <w:rFonts w:ascii="David" w:hint="cs"/>
          <w:sz w:val="24"/>
          <w:rtl/>
          <w:lang w:eastAsia="en-US"/>
        </w:rPr>
        <w:t>ראשוני</w:t>
      </w:r>
      <w:r>
        <w:rPr>
          <w:rFonts w:ascii="David"/>
          <w:sz w:val="24"/>
          <w:lang w:eastAsia="en-US"/>
        </w:rPr>
        <w:t xml:space="preserve"> </w:t>
      </w:r>
      <w:r>
        <w:rPr>
          <w:rFonts w:ascii="David" w:hint="cs"/>
          <w:sz w:val="24"/>
          <w:rtl/>
          <w:lang w:eastAsia="en-US"/>
        </w:rPr>
        <w:t>בזמן</w:t>
      </w:r>
      <w:r>
        <w:rPr>
          <w:rFonts w:ascii="David"/>
          <w:sz w:val="24"/>
          <w:lang w:eastAsia="en-US"/>
        </w:rPr>
        <w:t xml:space="preserve"> </w:t>
      </w:r>
      <w:r>
        <w:rPr>
          <w:rFonts w:ascii="David" w:hint="cs"/>
          <w:sz w:val="24"/>
          <w:rtl/>
          <w:lang w:eastAsia="en-US"/>
        </w:rPr>
        <w:t>אמת</w:t>
      </w:r>
      <w:r>
        <w:rPr>
          <w:rFonts w:ascii="David"/>
          <w:sz w:val="24"/>
          <w:lang w:eastAsia="en-US"/>
        </w:rPr>
        <w:t xml:space="preserve"> </w:t>
      </w:r>
      <w:r>
        <w:rPr>
          <w:rFonts w:ascii="David" w:hint="cs"/>
          <w:sz w:val="24"/>
          <w:rtl/>
          <w:lang w:eastAsia="en-US"/>
        </w:rPr>
        <w:t>לגבי</w:t>
      </w:r>
      <w:r w:rsidRPr="00DA2D27">
        <w:rPr>
          <w:rFonts w:ascii="David" w:hint="cs"/>
          <w:sz w:val="24"/>
          <w:rtl/>
          <w:lang w:eastAsia="en-US"/>
        </w:rPr>
        <w:t xml:space="preserve"> </w:t>
      </w:r>
      <w:r>
        <w:rPr>
          <w:rFonts w:ascii="David" w:hint="cs"/>
          <w:sz w:val="24"/>
          <w:rtl/>
          <w:lang w:eastAsia="en-US"/>
        </w:rPr>
        <w:t>קרות</w:t>
      </w:r>
      <w:r>
        <w:rPr>
          <w:rFonts w:ascii="David"/>
          <w:sz w:val="24"/>
          <w:lang w:eastAsia="en-US"/>
        </w:rPr>
        <w:t xml:space="preserve"> </w:t>
      </w:r>
      <w:r>
        <w:rPr>
          <w:rFonts w:ascii="David" w:hint="cs"/>
          <w:sz w:val="24"/>
          <w:rtl/>
          <w:lang w:eastAsia="en-US"/>
        </w:rPr>
        <w:t>האירוע, איתור</w:t>
      </w:r>
      <w:r>
        <w:rPr>
          <w:rFonts w:ascii="David"/>
          <w:sz w:val="24"/>
          <w:lang w:eastAsia="en-US"/>
        </w:rPr>
        <w:t xml:space="preserve"> </w:t>
      </w:r>
      <w:r>
        <w:rPr>
          <w:rFonts w:ascii="David" w:hint="cs"/>
          <w:sz w:val="24"/>
          <w:rtl/>
          <w:lang w:eastAsia="en-US"/>
        </w:rPr>
        <w:t>התקלה,</w:t>
      </w:r>
      <w:r>
        <w:rPr>
          <w:rFonts w:ascii="David"/>
          <w:sz w:val="24"/>
          <w:lang w:eastAsia="en-US"/>
        </w:rPr>
        <w:t xml:space="preserve"> </w:t>
      </w:r>
      <w:r>
        <w:rPr>
          <w:rFonts w:ascii="David" w:hint="cs"/>
          <w:sz w:val="24"/>
          <w:rtl/>
          <w:lang w:eastAsia="en-US"/>
        </w:rPr>
        <w:t>מידע</w:t>
      </w:r>
      <w:r>
        <w:rPr>
          <w:rFonts w:ascii="David"/>
          <w:sz w:val="24"/>
          <w:lang w:eastAsia="en-US"/>
        </w:rPr>
        <w:t xml:space="preserve"> </w:t>
      </w:r>
      <w:r>
        <w:rPr>
          <w:rFonts w:ascii="David" w:hint="cs"/>
          <w:sz w:val="24"/>
          <w:rtl/>
          <w:lang w:eastAsia="en-US"/>
        </w:rPr>
        <w:t>אודות</w:t>
      </w:r>
      <w:r>
        <w:rPr>
          <w:rFonts w:ascii="David"/>
          <w:sz w:val="24"/>
          <w:lang w:eastAsia="en-US"/>
        </w:rPr>
        <w:t xml:space="preserve"> </w:t>
      </w:r>
      <w:r>
        <w:rPr>
          <w:rFonts w:ascii="David" w:hint="cs"/>
          <w:sz w:val="24"/>
          <w:rtl/>
          <w:lang w:eastAsia="en-US"/>
        </w:rPr>
        <w:t>סיבת</w:t>
      </w:r>
      <w:r>
        <w:rPr>
          <w:rFonts w:ascii="David"/>
          <w:sz w:val="24"/>
          <w:lang w:eastAsia="en-US"/>
        </w:rPr>
        <w:t xml:space="preserve"> </w:t>
      </w:r>
      <w:r>
        <w:rPr>
          <w:rFonts w:ascii="David" w:hint="cs"/>
          <w:sz w:val="24"/>
          <w:rtl/>
          <w:lang w:eastAsia="en-US"/>
        </w:rPr>
        <w:t>התקלה, אומדן</w:t>
      </w:r>
      <w:r>
        <w:rPr>
          <w:rFonts w:ascii="David"/>
          <w:sz w:val="24"/>
          <w:lang w:eastAsia="en-US"/>
        </w:rPr>
        <w:t xml:space="preserve"> </w:t>
      </w:r>
      <w:r>
        <w:rPr>
          <w:rFonts w:ascii="David" w:hint="cs"/>
          <w:sz w:val="24"/>
          <w:rtl/>
          <w:lang w:eastAsia="en-US"/>
        </w:rPr>
        <w:t>זמן</w:t>
      </w:r>
      <w:r>
        <w:rPr>
          <w:rFonts w:ascii="David"/>
          <w:sz w:val="24"/>
          <w:lang w:eastAsia="en-US"/>
        </w:rPr>
        <w:t xml:space="preserve"> </w:t>
      </w:r>
      <w:r>
        <w:rPr>
          <w:rFonts w:ascii="David" w:hint="cs"/>
          <w:sz w:val="24"/>
          <w:rtl/>
          <w:lang w:eastAsia="en-US"/>
        </w:rPr>
        <w:t>לתיקון</w:t>
      </w:r>
      <w:r>
        <w:rPr>
          <w:rFonts w:ascii="David"/>
          <w:sz w:val="24"/>
          <w:lang w:eastAsia="en-US"/>
        </w:rPr>
        <w:t xml:space="preserve"> </w:t>
      </w:r>
      <w:r>
        <w:rPr>
          <w:rFonts w:ascii="David" w:hint="cs"/>
          <w:sz w:val="24"/>
          <w:rtl/>
          <w:lang w:eastAsia="en-US"/>
        </w:rPr>
        <w:t>והודעה</w:t>
      </w:r>
      <w:r>
        <w:rPr>
          <w:rFonts w:ascii="David"/>
          <w:sz w:val="24"/>
          <w:lang w:eastAsia="en-US"/>
        </w:rPr>
        <w:t xml:space="preserve"> </w:t>
      </w:r>
      <w:r>
        <w:rPr>
          <w:rFonts w:ascii="David" w:hint="cs"/>
          <w:sz w:val="24"/>
          <w:rtl/>
          <w:lang w:eastAsia="en-US"/>
        </w:rPr>
        <w:t>על</w:t>
      </w:r>
      <w:r>
        <w:rPr>
          <w:rFonts w:ascii="David"/>
          <w:sz w:val="24"/>
          <w:lang w:eastAsia="en-US"/>
        </w:rPr>
        <w:t xml:space="preserve"> </w:t>
      </w:r>
      <w:r>
        <w:rPr>
          <w:rFonts w:ascii="David" w:hint="cs"/>
          <w:sz w:val="24"/>
          <w:rtl/>
          <w:lang w:eastAsia="en-US"/>
        </w:rPr>
        <w:t>סיום</w:t>
      </w:r>
      <w:r>
        <w:rPr>
          <w:rFonts w:ascii="David"/>
          <w:sz w:val="24"/>
          <w:lang w:eastAsia="en-US"/>
        </w:rPr>
        <w:t xml:space="preserve"> </w:t>
      </w:r>
      <w:r>
        <w:rPr>
          <w:rFonts w:ascii="David" w:hint="cs"/>
          <w:sz w:val="24"/>
          <w:rtl/>
          <w:lang w:eastAsia="en-US"/>
        </w:rPr>
        <w:t>התקלה</w:t>
      </w:r>
      <w:r>
        <w:rPr>
          <w:rFonts w:ascii="David"/>
          <w:sz w:val="24"/>
          <w:lang w:eastAsia="en-US"/>
        </w:rPr>
        <w:t>.</w:t>
      </w:r>
      <w:r>
        <w:rPr>
          <w:rFonts w:ascii="David" w:hint="cs"/>
          <w:sz w:val="24"/>
          <w:rtl/>
          <w:lang w:eastAsia="en-US"/>
        </w:rPr>
        <w:t>"</w:t>
      </w:r>
      <w:r>
        <w:rPr>
          <w:rStyle w:val="FootnoteReference"/>
          <w:rFonts w:ascii="David"/>
          <w:sz w:val="24"/>
          <w:rtl/>
          <w:lang w:eastAsia="en-US"/>
        </w:rPr>
        <w:footnoteReference w:id="16"/>
      </w:r>
      <w:r w:rsidRPr="00610674">
        <w:rPr>
          <w:rFonts w:hint="cs"/>
          <w:rtl/>
        </w:rPr>
        <w:t xml:space="preserve"> </w:t>
      </w:r>
    </w:p>
    <w:p w:rsidR="00FC0813" w:rsidRPr="00A03711" w:rsidRDefault="00FC0813" w:rsidP="00231B62">
      <w:pPr>
        <w:ind w:left="142"/>
        <w:rPr>
          <w:rtl/>
        </w:rPr>
      </w:pPr>
      <w:r>
        <w:rPr>
          <w:rFonts w:hint="cs"/>
          <w:rtl/>
        </w:rPr>
        <w:t>בהפסקות חשמל מתוכננות ביוזמת חברת החשמל, המת"ל מוסר באופן אישי ל</w:t>
      </w:r>
      <w:r w:rsidR="00206900">
        <w:rPr>
          <w:rFonts w:hint="cs"/>
          <w:rtl/>
        </w:rPr>
        <w:t>לקוחות</w:t>
      </w:r>
      <w:r>
        <w:rPr>
          <w:rFonts w:hint="cs"/>
          <w:rtl/>
        </w:rPr>
        <w:t xml:space="preserve"> </w:t>
      </w:r>
      <w:r w:rsidRPr="00C1233D">
        <w:rPr>
          <w:rFonts w:hint="cs"/>
          <w:sz w:val="24"/>
          <w:rtl/>
        </w:rPr>
        <w:t>העסקיים</w:t>
      </w:r>
      <w:r>
        <w:rPr>
          <w:rFonts w:hint="cs"/>
          <w:rtl/>
        </w:rPr>
        <w:t xml:space="preserve"> הודעה על מועד ההפסקה שנקבע על-ידי חברת החשמל ובכך מאפשר להם להיערך מראש להפסקה. המת"ל אף מסייע בהתאמת הפסקות החשמל המתוכננות, ככל שניתן, לשעות שאינן בשיא הפעילות של ה</w:t>
      </w:r>
      <w:r w:rsidR="00206900">
        <w:rPr>
          <w:rFonts w:hint="cs"/>
          <w:rtl/>
        </w:rPr>
        <w:t>לקוחות</w:t>
      </w:r>
      <w:r>
        <w:rPr>
          <w:rFonts w:hint="cs"/>
          <w:rtl/>
        </w:rPr>
        <w:t xml:space="preserve">. לעומת זאת, צרכנים שאינם זכאים למת"ל, מקבלים הודעות על הפסקות חשמל מתוכננות באמצעות הדבקת מודעות במקום בולט לעין </w:t>
      </w:r>
      <w:r w:rsidR="00A03711">
        <w:rPr>
          <w:rFonts w:hint="cs"/>
          <w:rtl/>
        </w:rPr>
        <w:t>ה</w:t>
      </w:r>
      <w:r>
        <w:rPr>
          <w:rFonts w:hint="cs"/>
          <w:rtl/>
        </w:rPr>
        <w:t>סמוך לאתר הצרכן.</w:t>
      </w:r>
      <w:r>
        <w:rPr>
          <w:rStyle w:val="FootnoteReference"/>
        </w:rPr>
        <w:footnoteReference w:id="17"/>
      </w:r>
      <w:r w:rsidR="006E21FF">
        <w:rPr>
          <w:rFonts w:hint="cs"/>
          <w:rtl/>
        </w:rPr>
        <w:t xml:space="preserve"> </w:t>
      </w:r>
      <w:r w:rsidR="005303BE">
        <w:rPr>
          <w:rFonts w:hint="cs"/>
          <w:rtl/>
        </w:rPr>
        <w:t>האפשרות ל</w:t>
      </w:r>
      <w:r w:rsidR="003B2858">
        <w:rPr>
          <w:rFonts w:hint="cs"/>
          <w:rtl/>
        </w:rPr>
        <w:t xml:space="preserve">קבל הודעה </w:t>
      </w:r>
      <w:r w:rsidR="006E21FF">
        <w:rPr>
          <w:rFonts w:hint="cs"/>
          <w:rtl/>
        </w:rPr>
        <w:t xml:space="preserve">יזומה </w:t>
      </w:r>
      <w:r w:rsidR="00D4070C">
        <w:rPr>
          <w:rFonts w:hint="cs"/>
          <w:rtl/>
        </w:rPr>
        <w:t>מ</w:t>
      </w:r>
      <w:r w:rsidR="006E21FF">
        <w:rPr>
          <w:rFonts w:hint="cs"/>
          <w:rtl/>
        </w:rPr>
        <w:t xml:space="preserve">המת"ל לפני קרות ההפסקה </w:t>
      </w:r>
      <w:r w:rsidR="003B2858">
        <w:rPr>
          <w:rFonts w:hint="cs"/>
          <w:rtl/>
        </w:rPr>
        <w:t xml:space="preserve">או </w:t>
      </w:r>
      <w:r w:rsidR="005303BE">
        <w:rPr>
          <w:rFonts w:hint="cs"/>
          <w:rtl/>
        </w:rPr>
        <w:t>ל</w:t>
      </w:r>
      <w:r w:rsidR="003B2858">
        <w:rPr>
          <w:rFonts w:hint="cs"/>
          <w:rtl/>
        </w:rPr>
        <w:t>תא</w:t>
      </w:r>
      <w:r w:rsidR="005303BE">
        <w:rPr>
          <w:rFonts w:hint="cs"/>
          <w:rtl/>
        </w:rPr>
        <w:t>ם</w:t>
      </w:r>
      <w:r w:rsidR="003B2858">
        <w:rPr>
          <w:rFonts w:hint="cs"/>
          <w:rtl/>
        </w:rPr>
        <w:t xml:space="preserve"> לשעת לילה</w:t>
      </w:r>
      <w:r w:rsidR="00D4070C">
        <w:rPr>
          <w:rFonts w:hint="cs"/>
          <w:rtl/>
        </w:rPr>
        <w:t xml:space="preserve"> בעלת </w:t>
      </w:r>
      <w:r w:rsidR="005303BE">
        <w:rPr>
          <w:rFonts w:hint="cs"/>
          <w:rtl/>
        </w:rPr>
        <w:t>פוטנציאל חשיבות</w:t>
      </w:r>
      <w:r w:rsidR="00D4070C">
        <w:rPr>
          <w:rFonts w:hint="cs"/>
          <w:rtl/>
        </w:rPr>
        <w:t xml:space="preserve"> גבוה במיוחד</w:t>
      </w:r>
      <w:r w:rsidR="005303BE">
        <w:rPr>
          <w:rFonts w:hint="cs"/>
          <w:rtl/>
        </w:rPr>
        <w:t xml:space="preserve"> עבור הלקוחות העסקיים</w:t>
      </w:r>
      <w:r w:rsidR="003B2858">
        <w:rPr>
          <w:rFonts w:hint="cs"/>
          <w:rtl/>
        </w:rPr>
        <w:t xml:space="preserve">, </w:t>
      </w:r>
      <w:r w:rsidR="00D4070C">
        <w:rPr>
          <w:rFonts w:hint="cs"/>
          <w:rtl/>
        </w:rPr>
        <w:t xml:space="preserve">שכן </w:t>
      </w:r>
      <w:r w:rsidR="002647B7">
        <w:rPr>
          <w:rFonts w:hint="cs"/>
          <w:rtl/>
        </w:rPr>
        <w:t>הדבר</w:t>
      </w:r>
      <w:r w:rsidR="00D4070C">
        <w:rPr>
          <w:rFonts w:hint="cs"/>
          <w:rtl/>
        </w:rPr>
        <w:t xml:space="preserve"> </w:t>
      </w:r>
      <w:r w:rsidR="005303BE">
        <w:rPr>
          <w:rFonts w:hint="cs"/>
          <w:rtl/>
        </w:rPr>
        <w:t>מ</w:t>
      </w:r>
      <w:r w:rsidR="00D4070C">
        <w:rPr>
          <w:rFonts w:hint="cs"/>
          <w:rtl/>
        </w:rPr>
        <w:t xml:space="preserve">אפשר </w:t>
      </w:r>
      <w:r w:rsidR="003923E6">
        <w:rPr>
          <w:rFonts w:hint="cs"/>
          <w:rtl/>
        </w:rPr>
        <w:t xml:space="preserve">להם </w:t>
      </w:r>
      <w:r w:rsidR="003E4812">
        <w:rPr>
          <w:rFonts w:hint="cs"/>
          <w:rtl/>
        </w:rPr>
        <w:t>להי</w:t>
      </w:r>
      <w:r w:rsidR="003923E6">
        <w:rPr>
          <w:rFonts w:hint="cs"/>
          <w:rtl/>
        </w:rPr>
        <w:t>ערך להפסקת החשמל</w:t>
      </w:r>
      <w:r w:rsidR="001731AB">
        <w:rPr>
          <w:rFonts w:hint="cs"/>
          <w:rtl/>
        </w:rPr>
        <w:t xml:space="preserve"> ובכך</w:t>
      </w:r>
      <w:r w:rsidR="003B2858">
        <w:rPr>
          <w:rFonts w:hint="cs"/>
          <w:rtl/>
        </w:rPr>
        <w:t xml:space="preserve"> </w:t>
      </w:r>
      <w:r w:rsidR="003923E6">
        <w:rPr>
          <w:rFonts w:hint="cs"/>
          <w:rtl/>
        </w:rPr>
        <w:t xml:space="preserve">אף </w:t>
      </w:r>
      <w:r w:rsidR="00231B62">
        <w:rPr>
          <w:rFonts w:hint="cs"/>
          <w:rtl/>
        </w:rPr>
        <w:t xml:space="preserve">עשוי </w:t>
      </w:r>
      <w:r w:rsidR="003B2858">
        <w:rPr>
          <w:rFonts w:hint="cs"/>
          <w:rtl/>
        </w:rPr>
        <w:t xml:space="preserve">למנוע </w:t>
      </w:r>
      <w:r w:rsidR="00231B62">
        <w:rPr>
          <w:rFonts w:hint="cs"/>
          <w:rtl/>
        </w:rPr>
        <w:t xml:space="preserve">לחלוטין </w:t>
      </w:r>
      <w:r w:rsidR="00563E59">
        <w:rPr>
          <w:rFonts w:hint="cs"/>
          <w:rtl/>
        </w:rPr>
        <w:t>נזקים</w:t>
      </w:r>
      <w:r w:rsidR="003B2858">
        <w:rPr>
          <w:rFonts w:hint="cs"/>
          <w:rtl/>
        </w:rPr>
        <w:t xml:space="preserve">. </w:t>
      </w:r>
    </w:p>
    <w:p w:rsidR="00A532E3" w:rsidRDefault="00FC0813" w:rsidP="00563E59">
      <w:pPr>
        <w:ind w:left="142"/>
        <w:rPr>
          <w:rtl/>
        </w:rPr>
      </w:pPr>
      <w:r w:rsidRPr="00F63724">
        <w:rPr>
          <w:rFonts w:hint="cs"/>
          <w:sz w:val="24"/>
          <w:rtl/>
        </w:rPr>
        <w:t>המת</w:t>
      </w:r>
      <w:r w:rsidRPr="00F63724">
        <w:rPr>
          <w:sz w:val="24"/>
          <w:rtl/>
        </w:rPr>
        <w:t>"</w:t>
      </w:r>
      <w:r w:rsidRPr="00F63724">
        <w:rPr>
          <w:rFonts w:hint="cs"/>
          <w:sz w:val="24"/>
          <w:rtl/>
        </w:rPr>
        <w:t>ל</w:t>
      </w:r>
      <w:r w:rsidRPr="00F63724">
        <w:rPr>
          <w:sz w:val="24"/>
          <w:rtl/>
        </w:rPr>
        <w:t xml:space="preserve"> </w:t>
      </w:r>
      <w:r>
        <w:rPr>
          <w:rFonts w:hint="cs"/>
          <w:sz w:val="24"/>
          <w:rtl/>
        </w:rPr>
        <w:t>יכול ל</w:t>
      </w:r>
      <w:r w:rsidRPr="00F63724">
        <w:rPr>
          <w:rFonts w:hint="cs"/>
          <w:sz w:val="24"/>
          <w:rtl/>
        </w:rPr>
        <w:t>ספק</w:t>
      </w:r>
      <w:r w:rsidRPr="00F63724">
        <w:rPr>
          <w:sz w:val="24"/>
          <w:rtl/>
        </w:rPr>
        <w:t xml:space="preserve"> </w:t>
      </w:r>
      <w:r>
        <w:rPr>
          <w:rFonts w:hint="cs"/>
          <w:sz w:val="24"/>
          <w:rtl/>
        </w:rPr>
        <w:t xml:space="preserve">לצרכן </w:t>
      </w:r>
      <w:r w:rsidRPr="00F63724">
        <w:rPr>
          <w:rFonts w:hint="cs"/>
          <w:sz w:val="24"/>
          <w:rtl/>
        </w:rPr>
        <w:t>מידע</w:t>
      </w:r>
      <w:r w:rsidRPr="00F63724">
        <w:rPr>
          <w:sz w:val="24"/>
          <w:rtl/>
        </w:rPr>
        <w:t xml:space="preserve"> </w:t>
      </w:r>
      <w:r w:rsidRPr="00F63724">
        <w:rPr>
          <w:rFonts w:hint="cs"/>
          <w:sz w:val="24"/>
          <w:rtl/>
        </w:rPr>
        <w:t>על</w:t>
      </w:r>
      <w:r w:rsidRPr="00F63724">
        <w:rPr>
          <w:sz w:val="24"/>
          <w:rtl/>
        </w:rPr>
        <w:t xml:space="preserve"> </w:t>
      </w:r>
      <w:r w:rsidRPr="00F63724">
        <w:rPr>
          <w:rFonts w:hint="cs"/>
          <w:sz w:val="24"/>
          <w:rtl/>
        </w:rPr>
        <w:t>אופי</w:t>
      </w:r>
      <w:r w:rsidRPr="00F63724">
        <w:rPr>
          <w:sz w:val="24"/>
          <w:rtl/>
        </w:rPr>
        <w:t xml:space="preserve"> </w:t>
      </w:r>
      <w:r>
        <w:rPr>
          <w:rFonts w:hint="cs"/>
          <w:sz w:val="24"/>
          <w:rtl/>
        </w:rPr>
        <w:t xml:space="preserve">הפסקת חשמל </w:t>
      </w:r>
      <w:r>
        <w:rPr>
          <w:sz w:val="24"/>
          <w:rtl/>
        </w:rPr>
        <w:t>–</w:t>
      </w:r>
      <w:r w:rsidR="00312424">
        <w:rPr>
          <w:rFonts w:hint="cs"/>
          <w:sz w:val="24"/>
          <w:rtl/>
        </w:rPr>
        <w:t xml:space="preserve"> </w:t>
      </w:r>
      <w:r>
        <w:rPr>
          <w:rFonts w:hint="cs"/>
          <w:sz w:val="24"/>
          <w:rtl/>
        </w:rPr>
        <w:t xml:space="preserve">רגעית או ממושכת, </w:t>
      </w:r>
      <w:r w:rsidRPr="00F63724">
        <w:rPr>
          <w:rFonts w:hint="cs"/>
          <w:sz w:val="24"/>
          <w:rtl/>
        </w:rPr>
        <w:t>ו</w:t>
      </w:r>
      <w:r>
        <w:rPr>
          <w:rFonts w:hint="cs"/>
          <w:sz w:val="24"/>
          <w:rtl/>
        </w:rPr>
        <w:t xml:space="preserve">הצפי לגבי </w:t>
      </w:r>
      <w:r w:rsidRPr="00F63724">
        <w:rPr>
          <w:rFonts w:hint="cs"/>
          <w:sz w:val="24"/>
          <w:rtl/>
        </w:rPr>
        <w:t>משכה</w:t>
      </w:r>
      <w:r w:rsidR="003E4812">
        <w:rPr>
          <w:rFonts w:hint="cs"/>
          <w:sz w:val="24"/>
          <w:rtl/>
        </w:rPr>
        <w:t xml:space="preserve"> - בזמן אמת ובמהירות</w:t>
      </w:r>
      <w:r w:rsidR="008210C6">
        <w:rPr>
          <w:rFonts w:hint="cs"/>
          <w:sz w:val="24"/>
          <w:rtl/>
        </w:rPr>
        <w:t>,</w:t>
      </w:r>
      <w:r w:rsidR="003D532A" w:rsidRPr="003D532A">
        <w:rPr>
          <w:rFonts w:hint="cs"/>
          <w:sz w:val="24"/>
          <w:rtl/>
        </w:rPr>
        <w:t xml:space="preserve"> </w:t>
      </w:r>
      <w:r w:rsidR="003D532A">
        <w:rPr>
          <w:rFonts w:hint="cs"/>
          <w:sz w:val="24"/>
          <w:rtl/>
        </w:rPr>
        <w:t>הואיל וביכולת המת"ל לקבל מידע ישירות מהגורמים הרלוונטיים בחברת החשמל</w:t>
      </w:r>
      <w:r>
        <w:rPr>
          <w:rFonts w:hint="cs"/>
          <w:sz w:val="24"/>
          <w:rtl/>
        </w:rPr>
        <w:t xml:space="preserve">. </w:t>
      </w:r>
      <w:r w:rsidR="00714132">
        <w:rPr>
          <w:rFonts w:hint="cs"/>
          <w:sz w:val="24"/>
          <w:rtl/>
        </w:rPr>
        <w:t>לקוחות שאינם זכאים למת"</w:t>
      </w:r>
      <w:r w:rsidR="006B6733">
        <w:rPr>
          <w:rFonts w:hint="cs"/>
          <w:sz w:val="24"/>
          <w:rtl/>
        </w:rPr>
        <w:t>ל</w:t>
      </w:r>
      <w:r w:rsidR="00714132">
        <w:rPr>
          <w:rFonts w:hint="cs"/>
          <w:sz w:val="24"/>
          <w:rtl/>
        </w:rPr>
        <w:t xml:space="preserve"> </w:t>
      </w:r>
      <w:r w:rsidR="006B6733">
        <w:rPr>
          <w:rFonts w:hint="cs"/>
          <w:sz w:val="24"/>
          <w:rtl/>
        </w:rPr>
        <w:t xml:space="preserve">יכולים </w:t>
      </w:r>
      <w:r w:rsidR="00714132">
        <w:rPr>
          <w:rFonts w:hint="cs"/>
          <w:sz w:val="24"/>
          <w:rtl/>
        </w:rPr>
        <w:t xml:space="preserve">לפנות לקבלת מענה </w:t>
      </w:r>
      <w:r w:rsidR="006B6733">
        <w:rPr>
          <w:rFonts w:hint="cs"/>
          <w:sz w:val="24"/>
          <w:rtl/>
        </w:rPr>
        <w:t xml:space="preserve">לגבי הפסקות חשמל </w:t>
      </w:r>
      <w:r w:rsidR="00714132">
        <w:rPr>
          <w:rFonts w:hint="cs"/>
          <w:sz w:val="24"/>
          <w:rtl/>
        </w:rPr>
        <w:t xml:space="preserve">למוקד </w:t>
      </w:r>
      <w:r w:rsidR="00563E59">
        <w:rPr>
          <w:rFonts w:hint="cs"/>
          <w:sz w:val="24"/>
          <w:rtl/>
        </w:rPr>
        <w:t>חברת החשמל</w:t>
      </w:r>
      <w:r w:rsidR="00714132">
        <w:rPr>
          <w:rFonts w:hint="cs"/>
          <w:sz w:val="24"/>
          <w:rtl/>
        </w:rPr>
        <w:t xml:space="preserve">, ככל לקוח ביתי. </w:t>
      </w:r>
      <w:r>
        <w:rPr>
          <w:rFonts w:hint="cs"/>
          <w:sz w:val="24"/>
          <w:rtl/>
        </w:rPr>
        <w:t>החיסכון בזמן עבור הצרכן בהבנת מקור התקלה כדי להתאים את אופן ההתמודדות עמה, עשוי לחסוך כסף רב ונזקים שעלולים להיגרם ללקוחות העסקיים כתוצאה מהפסקות החשמל.</w:t>
      </w:r>
      <w:r w:rsidRPr="00572B97">
        <w:rPr>
          <w:rFonts w:hint="cs"/>
          <w:rtl/>
        </w:rPr>
        <w:t xml:space="preserve"> </w:t>
      </w:r>
    </w:p>
    <w:p w:rsidR="00FC0813" w:rsidRDefault="00FC0813" w:rsidP="003E4812">
      <w:pPr>
        <w:ind w:left="142"/>
      </w:pPr>
      <w:r>
        <w:rPr>
          <w:rFonts w:hint="cs"/>
          <w:rtl/>
        </w:rPr>
        <w:t xml:space="preserve">בכך, שירות </w:t>
      </w:r>
      <w:r w:rsidRPr="00C01E67">
        <w:rPr>
          <w:rFonts w:hint="cs"/>
          <w:rtl/>
        </w:rPr>
        <w:t xml:space="preserve">המת"ל </w:t>
      </w:r>
      <w:r>
        <w:rPr>
          <w:rFonts w:hint="cs"/>
          <w:rtl/>
        </w:rPr>
        <w:t xml:space="preserve">הנוגע למקטעי ההולכה והחלוקה </w:t>
      </w:r>
      <w:r w:rsidRPr="00C01E67">
        <w:rPr>
          <w:rFonts w:hint="cs"/>
          <w:rtl/>
        </w:rPr>
        <w:t>מונע</w:t>
      </w:r>
      <w:r>
        <w:rPr>
          <w:rFonts w:hint="cs"/>
          <w:rtl/>
        </w:rPr>
        <w:t>,</w:t>
      </w:r>
      <w:r w:rsidRPr="00C01E67">
        <w:rPr>
          <w:rFonts w:hint="cs"/>
          <w:rtl/>
        </w:rPr>
        <w:t xml:space="preserve"> ולמצער מצמצם משמעותית את הפגיעה </w:t>
      </w:r>
      <w:r>
        <w:rPr>
          <w:rFonts w:hint="cs"/>
          <w:rtl/>
        </w:rPr>
        <w:t xml:space="preserve">בצרכן </w:t>
      </w:r>
      <w:r w:rsidRPr="00C01E67">
        <w:rPr>
          <w:rFonts w:hint="cs"/>
          <w:rtl/>
        </w:rPr>
        <w:t>כתוצאה מה</w:t>
      </w:r>
      <w:r>
        <w:rPr>
          <w:rFonts w:hint="cs"/>
          <w:rtl/>
        </w:rPr>
        <w:t>הפסקה בהזרמת החשמל</w:t>
      </w:r>
      <w:r w:rsidRPr="00C01E67">
        <w:rPr>
          <w:rFonts w:hint="cs"/>
          <w:rtl/>
        </w:rPr>
        <w:t>.</w:t>
      </w:r>
    </w:p>
    <w:p w:rsidR="00FC0813" w:rsidRDefault="00FC0813" w:rsidP="00563E59">
      <w:pPr>
        <w:ind w:left="142"/>
        <w:rPr>
          <w:sz w:val="24"/>
          <w:rtl/>
        </w:rPr>
      </w:pPr>
      <w:r w:rsidRPr="00F63724">
        <w:rPr>
          <w:rFonts w:hint="cs"/>
          <w:sz w:val="24"/>
          <w:rtl/>
        </w:rPr>
        <w:t>ככלל</w:t>
      </w:r>
      <w:r w:rsidRPr="00F63724">
        <w:rPr>
          <w:sz w:val="24"/>
          <w:rtl/>
        </w:rPr>
        <w:t xml:space="preserve">, </w:t>
      </w:r>
      <w:r w:rsidRPr="00F63724">
        <w:rPr>
          <w:rFonts w:hint="cs"/>
          <w:sz w:val="24"/>
          <w:rtl/>
        </w:rPr>
        <w:t>חשיבות</w:t>
      </w:r>
      <w:r w:rsidRPr="00F63724">
        <w:rPr>
          <w:sz w:val="24"/>
          <w:rtl/>
        </w:rPr>
        <w:t xml:space="preserve"> </w:t>
      </w:r>
      <w:r w:rsidRPr="00F63724">
        <w:rPr>
          <w:rFonts w:hint="cs"/>
          <w:sz w:val="24"/>
          <w:rtl/>
        </w:rPr>
        <w:t>שירות</w:t>
      </w:r>
      <w:r w:rsidRPr="00F63724">
        <w:rPr>
          <w:sz w:val="24"/>
          <w:rtl/>
        </w:rPr>
        <w:t xml:space="preserve"> </w:t>
      </w:r>
      <w:r w:rsidRPr="00F63724">
        <w:rPr>
          <w:rFonts w:hint="cs"/>
          <w:sz w:val="24"/>
          <w:rtl/>
        </w:rPr>
        <w:t>המת</w:t>
      </w:r>
      <w:r w:rsidRPr="00F63724">
        <w:rPr>
          <w:sz w:val="24"/>
          <w:rtl/>
        </w:rPr>
        <w:t>"</w:t>
      </w:r>
      <w:r w:rsidRPr="00F63724">
        <w:rPr>
          <w:rFonts w:hint="cs"/>
          <w:sz w:val="24"/>
          <w:rtl/>
        </w:rPr>
        <w:t>ל</w:t>
      </w:r>
      <w:r w:rsidRPr="00F63724">
        <w:rPr>
          <w:sz w:val="24"/>
          <w:rtl/>
        </w:rPr>
        <w:t xml:space="preserve"> </w:t>
      </w:r>
      <w:r>
        <w:rPr>
          <w:rFonts w:hint="cs"/>
          <w:sz w:val="24"/>
          <w:rtl/>
        </w:rPr>
        <w:t>הנוגע למקטעי ה</w:t>
      </w:r>
      <w:r w:rsidRPr="00F63724">
        <w:rPr>
          <w:rFonts w:hint="cs"/>
          <w:sz w:val="24"/>
          <w:rtl/>
        </w:rPr>
        <w:t>הולכה</w:t>
      </w:r>
      <w:r w:rsidRPr="00F63724">
        <w:rPr>
          <w:sz w:val="24"/>
          <w:rtl/>
        </w:rPr>
        <w:t xml:space="preserve"> </w:t>
      </w:r>
      <w:r w:rsidRPr="00F63724">
        <w:rPr>
          <w:rFonts w:hint="cs"/>
          <w:sz w:val="24"/>
          <w:rtl/>
        </w:rPr>
        <w:t>ו</w:t>
      </w:r>
      <w:r>
        <w:rPr>
          <w:rFonts w:hint="cs"/>
          <w:sz w:val="24"/>
          <w:rtl/>
        </w:rPr>
        <w:t>ה</w:t>
      </w:r>
      <w:r w:rsidRPr="00F63724">
        <w:rPr>
          <w:rFonts w:hint="cs"/>
          <w:sz w:val="24"/>
          <w:rtl/>
        </w:rPr>
        <w:t>חלוקה</w:t>
      </w:r>
      <w:r w:rsidRPr="00F63724">
        <w:rPr>
          <w:sz w:val="24"/>
          <w:rtl/>
        </w:rPr>
        <w:t xml:space="preserve"> </w:t>
      </w:r>
      <w:r w:rsidRPr="00F63724">
        <w:rPr>
          <w:rFonts w:hint="cs"/>
          <w:sz w:val="24"/>
          <w:rtl/>
        </w:rPr>
        <w:t>עבור</w:t>
      </w:r>
      <w:r w:rsidRPr="00F63724">
        <w:rPr>
          <w:sz w:val="24"/>
          <w:rtl/>
        </w:rPr>
        <w:t xml:space="preserve"> </w:t>
      </w:r>
      <w:r w:rsidRPr="00F63724">
        <w:rPr>
          <w:rFonts w:hint="cs"/>
          <w:sz w:val="24"/>
          <w:rtl/>
        </w:rPr>
        <w:t>הלקוח</w:t>
      </w:r>
      <w:r w:rsidRPr="00F63724">
        <w:rPr>
          <w:sz w:val="24"/>
          <w:rtl/>
        </w:rPr>
        <w:t xml:space="preserve"> </w:t>
      </w:r>
      <w:r w:rsidRPr="00F63724">
        <w:rPr>
          <w:rFonts w:hint="cs"/>
          <w:sz w:val="24"/>
          <w:rtl/>
        </w:rPr>
        <w:t>גוברת</w:t>
      </w:r>
      <w:r w:rsidRPr="00F63724">
        <w:rPr>
          <w:sz w:val="24"/>
          <w:rtl/>
        </w:rPr>
        <w:t xml:space="preserve"> </w:t>
      </w:r>
      <w:r w:rsidRPr="00F63724">
        <w:rPr>
          <w:rFonts w:hint="cs"/>
          <w:sz w:val="24"/>
          <w:rtl/>
        </w:rPr>
        <w:t>אצל</w:t>
      </w:r>
      <w:r w:rsidRPr="00F63724">
        <w:rPr>
          <w:sz w:val="24"/>
          <w:rtl/>
        </w:rPr>
        <w:t xml:space="preserve"> </w:t>
      </w:r>
      <w:r w:rsidRPr="00F63724">
        <w:rPr>
          <w:rFonts w:hint="cs"/>
          <w:sz w:val="24"/>
          <w:rtl/>
        </w:rPr>
        <w:t>לקוח</w:t>
      </w:r>
      <w:r w:rsidRPr="00F63724">
        <w:rPr>
          <w:sz w:val="24"/>
          <w:rtl/>
        </w:rPr>
        <w:t xml:space="preserve"> </w:t>
      </w:r>
      <w:r w:rsidRPr="00F63724">
        <w:rPr>
          <w:rFonts w:hint="cs"/>
          <w:sz w:val="24"/>
          <w:rtl/>
        </w:rPr>
        <w:t>שחווה</w:t>
      </w:r>
      <w:r w:rsidRPr="00F63724">
        <w:rPr>
          <w:sz w:val="24"/>
          <w:rtl/>
        </w:rPr>
        <w:t xml:space="preserve"> </w:t>
      </w:r>
      <w:r w:rsidRPr="00F63724">
        <w:rPr>
          <w:rFonts w:hint="cs"/>
          <w:sz w:val="24"/>
          <w:rtl/>
        </w:rPr>
        <w:t>יותר</w:t>
      </w:r>
      <w:r w:rsidRPr="00F63724">
        <w:rPr>
          <w:sz w:val="24"/>
          <w:rtl/>
        </w:rPr>
        <w:t xml:space="preserve"> </w:t>
      </w:r>
      <w:r w:rsidRPr="00F63724">
        <w:rPr>
          <w:rFonts w:hint="cs"/>
          <w:sz w:val="24"/>
          <w:rtl/>
        </w:rPr>
        <w:t>תקלות</w:t>
      </w:r>
      <w:r w:rsidRPr="00F63724">
        <w:rPr>
          <w:sz w:val="24"/>
          <w:rtl/>
        </w:rPr>
        <w:t xml:space="preserve"> </w:t>
      </w:r>
      <w:r w:rsidRPr="00F63724">
        <w:rPr>
          <w:rFonts w:hint="cs"/>
          <w:sz w:val="24"/>
          <w:rtl/>
        </w:rPr>
        <w:t>והפסקות</w:t>
      </w:r>
      <w:r w:rsidRPr="00F63724">
        <w:rPr>
          <w:sz w:val="24"/>
          <w:rtl/>
        </w:rPr>
        <w:t xml:space="preserve"> </w:t>
      </w:r>
      <w:r w:rsidRPr="00F63724">
        <w:rPr>
          <w:rFonts w:hint="cs"/>
          <w:sz w:val="24"/>
          <w:rtl/>
        </w:rPr>
        <w:t>בהזרמת</w:t>
      </w:r>
      <w:r w:rsidRPr="00F63724">
        <w:rPr>
          <w:sz w:val="24"/>
          <w:rtl/>
        </w:rPr>
        <w:t xml:space="preserve"> </w:t>
      </w:r>
      <w:r w:rsidRPr="00F63724">
        <w:rPr>
          <w:rFonts w:hint="cs"/>
          <w:sz w:val="24"/>
          <w:rtl/>
        </w:rPr>
        <w:t>החשמל</w:t>
      </w:r>
      <w:r w:rsidRPr="00F63724">
        <w:rPr>
          <w:sz w:val="24"/>
          <w:rtl/>
        </w:rPr>
        <w:t xml:space="preserve">, </w:t>
      </w:r>
      <w:r w:rsidRPr="00F63724">
        <w:rPr>
          <w:rFonts w:hint="cs"/>
          <w:sz w:val="24"/>
          <w:rtl/>
        </w:rPr>
        <w:t>וככל</w:t>
      </w:r>
      <w:r w:rsidRPr="00F63724">
        <w:rPr>
          <w:sz w:val="24"/>
          <w:rtl/>
        </w:rPr>
        <w:t xml:space="preserve"> </w:t>
      </w:r>
      <w:r w:rsidRPr="00F63724">
        <w:rPr>
          <w:rFonts w:hint="cs"/>
          <w:sz w:val="24"/>
          <w:rtl/>
        </w:rPr>
        <w:t>שהתקלות</w:t>
      </w:r>
      <w:r w:rsidRPr="00F63724">
        <w:rPr>
          <w:sz w:val="24"/>
          <w:rtl/>
        </w:rPr>
        <w:t xml:space="preserve"> </w:t>
      </w:r>
      <w:r>
        <w:rPr>
          <w:rFonts w:hint="cs"/>
          <w:sz w:val="24"/>
          <w:rtl/>
        </w:rPr>
        <w:t xml:space="preserve">שחווה </w:t>
      </w:r>
      <w:r w:rsidRPr="00F63724">
        <w:rPr>
          <w:rFonts w:hint="cs"/>
          <w:sz w:val="24"/>
          <w:rtl/>
        </w:rPr>
        <w:t>חמורות</w:t>
      </w:r>
      <w:r w:rsidRPr="00F63724">
        <w:rPr>
          <w:sz w:val="24"/>
          <w:rtl/>
        </w:rPr>
        <w:t xml:space="preserve"> </w:t>
      </w:r>
      <w:r w:rsidRPr="00F63724">
        <w:rPr>
          <w:rFonts w:hint="cs"/>
          <w:sz w:val="24"/>
          <w:rtl/>
        </w:rPr>
        <w:t>יותר</w:t>
      </w:r>
      <w:r w:rsidRPr="00F63724">
        <w:rPr>
          <w:sz w:val="24"/>
          <w:rtl/>
        </w:rPr>
        <w:t>.</w:t>
      </w:r>
      <w:r>
        <w:rPr>
          <w:rFonts w:hint="cs"/>
          <w:sz w:val="24"/>
          <w:rtl/>
        </w:rPr>
        <w:t xml:space="preserve"> כך, עולה למשל מסיכום ישיבת ועדת לקוחות אסטרטגיים של חברת החשמל </w:t>
      </w:r>
      <w:r w:rsidR="00563E59">
        <w:rPr>
          <w:rFonts w:hint="cs"/>
          <w:sz w:val="24"/>
          <w:rtl/>
        </w:rPr>
        <w:t>מ</w:t>
      </w:r>
      <w:r>
        <w:rPr>
          <w:rFonts w:hint="cs"/>
          <w:sz w:val="24"/>
          <w:rtl/>
        </w:rPr>
        <w:t>יום 7.12.2015:</w:t>
      </w:r>
    </w:p>
    <w:p w:rsidR="00FC0813" w:rsidRDefault="00FC0813" w:rsidP="00FC0813">
      <w:pPr>
        <w:spacing w:line="240" w:lineRule="auto"/>
        <w:ind w:left="941" w:right="426"/>
        <w:rPr>
          <w:sz w:val="24"/>
          <w:rtl/>
        </w:rPr>
      </w:pPr>
      <w:r>
        <w:rPr>
          <w:rFonts w:hint="cs"/>
          <w:sz w:val="24"/>
          <w:rtl/>
        </w:rPr>
        <w:t xml:space="preserve"> </w:t>
      </w:r>
      <w:r w:rsidRPr="00F63724">
        <w:rPr>
          <w:sz w:val="24"/>
          <w:rtl/>
        </w:rPr>
        <w:t xml:space="preserve"> </w:t>
      </w:r>
      <w:r>
        <w:rPr>
          <w:rFonts w:hint="cs"/>
          <w:sz w:val="24"/>
          <w:rtl/>
        </w:rPr>
        <w:t>"חברי הוועדה מבקשים לחדד מול ההנהלה את חשיבות המת"ל וזמינותו ללקוח העסקי בעת מצבים חריגים (כגון מזג אויר חריג) שבהם המת"ל הופך להיות אקוטי."</w:t>
      </w:r>
    </w:p>
    <w:p w:rsidR="00FC0813" w:rsidRDefault="00FC0813" w:rsidP="00FC0813">
      <w:pPr>
        <w:ind w:left="142"/>
        <w:rPr>
          <w:sz w:val="24"/>
          <w:rtl/>
        </w:rPr>
      </w:pPr>
      <w:r>
        <w:rPr>
          <w:rFonts w:hint="cs"/>
          <w:sz w:val="24"/>
          <w:rtl/>
        </w:rPr>
        <w:t xml:space="preserve">מטבע הדברים, </w:t>
      </w:r>
      <w:r w:rsidRPr="00F63724">
        <w:rPr>
          <w:rFonts w:hint="cs"/>
          <w:sz w:val="24"/>
          <w:rtl/>
        </w:rPr>
        <w:t>לקוח</w:t>
      </w:r>
      <w:r w:rsidRPr="00F63724">
        <w:rPr>
          <w:sz w:val="24"/>
          <w:rtl/>
        </w:rPr>
        <w:t xml:space="preserve"> </w:t>
      </w:r>
      <w:r w:rsidRPr="00F63724">
        <w:rPr>
          <w:rFonts w:hint="cs"/>
          <w:sz w:val="24"/>
          <w:rtl/>
        </w:rPr>
        <w:t>שנתקל</w:t>
      </w:r>
      <w:r w:rsidRPr="00F63724">
        <w:rPr>
          <w:sz w:val="24"/>
          <w:rtl/>
        </w:rPr>
        <w:t xml:space="preserve"> </w:t>
      </w:r>
      <w:r w:rsidRPr="00F63724">
        <w:rPr>
          <w:rFonts w:hint="cs"/>
          <w:sz w:val="24"/>
          <w:rtl/>
        </w:rPr>
        <w:t>בתקלות</w:t>
      </w:r>
      <w:r w:rsidRPr="00F63724">
        <w:rPr>
          <w:sz w:val="24"/>
          <w:rtl/>
        </w:rPr>
        <w:t xml:space="preserve"> </w:t>
      </w:r>
      <w:r w:rsidRPr="00F63724">
        <w:rPr>
          <w:rFonts w:hint="cs"/>
          <w:sz w:val="24"/>
          <w:rtl/>
        </w:rPr>
        <w:t>רבות</w:t>
      </w:r>
      <w:r w:rsidRPr="00F63724">
        <w:rPr>
          <w:sz w:val="24"/>
          <w:rtl/>
        </w:rPr>
        <w:t xml:space="preserve"> </w:t>
      </w:r>
      <w:r w:rsidRPr="00F63724">
        <w:rPr>
          <w:rFonts w:hint="cs"/>
          <w:sz w:val="24"/>
          <w:rtl/>
        </w:rPr>
        <w:t>ותדירות</w:t>
      </w:r>
      <w:r>
        <w:rPr>
          <w:rFonts w:hint="cs"/>
          <w:sz w:val="24"/>
          <w:rtl/>
        </w:rPr>
        <w:t>,</w:t>
      </w:r>
      <w:r w:rsidRPr="00F63724">
        <w:rPr>
          <w:sz w:val="24"/>
          <w:rtl/>
        </w:rPr>
        <w:t xml:space="preserve"> </w:t>
      </w:r>
      <w:r>
        <w:rPr>
          <w:rFonts w:hint="cs"/>
          <w:sz w:val="24"/>
          <w:rtl/>
        </w:rPr>
        <w:t xml:space="preserve">זקוק יותר לשירות </w:t>
      </w:r>
      <w:r w:rsidRPr="00F63724">
        <w:rPr>
          <w:rFonts w:hint="cs"/>
          <w:sz w:val="24"/>
          <w:rtl/>
        </w:rPr>
        <w:t>המת</w:t>
      </w:r>
      <w:r w:rsidRPr="00F63724">
        <w:rPr>
          <w:sz w:val="24"/>
          <w:rtl/>
        </w:rPr>
        <w:t>"</w:t>
      </w:r>
      <w:r w:rsidRPr="00F63724">
        <w:rPr>
          <w:rFonts w:hint="cs"/>
          <w:sz w:val="24"/>
          <w:rtl/>
        </w:rPr>
        <w:t>ל</w:t>
      </w:r>
      <w:r>
        <w:rPr>
          <w:rFonts w:hint="cs"/>
          <w:sz w:val="24"/>
          <w:rtl/>
        </w:rPr>
        <w:t>.</w:t>
      </w:r>
      <w:r w:rsidRPr="00F63724">
        <w:rPr>
          <w:sz w:val="24"/>
          <w:rtl/>
        </w:rPr>
        <w:t xml:space="preserve"> </w:t>
      </w:r>
      <w:r w:rsidRPr="00F63724">
        <w:rPr>
          <w:rFonts w:hint="cs"/>
          <w:sz w:val="24"/>
          <w:rtl/>
        </w:rPr>
        <w:t>בהתאם</w:t>
      </w:r>
      <w:r>
        <w:rPr>
          <w:rFonts w:hint="cs"/>
          <w:sz w:val="24"/>
          <w:rtl/>
        </w:rPr>
        <w:t>, לקוח זה</w:t>
      </w:r>
      <w:r w:rsidRPr="00F63724">
        <w:rPr>
          <w:sz w:val="24"/>
          <w:rtl/>
        </w:rPr>
        <w:t xml:space="preserve"> </w:t>
      </w:r>
      <w:r w:rsidRPr="00F63724">
        <w:rPr>
          <w:rFonts w:hint="cs"/>
          <w:sz w:val="24"/>
          <w:rtl/>
        </w:rPr>
        <w:t>חשוף</w:t>
      </w:r>
      <w:r w:rsidRPr="00F63724">
        <w:rPr>
          <w:sz w:val="24"/>
          <w:rtl/>
        </w:rPr>
        <w:t xml:space="preserve"> </w:t>
      </w:r>
      <w:r w:rsidRPr="00F63724">
        <w:rPr>
          <w:rFonts w:hint="cs"/>
          <w:sz w:val="24"/>
          <w:rtl/>
        </w:rPr>
        <w:t>יותר</w:t>
      </w:r>
      <w:r w:rsidRPr="00F63724">
        <w:rPr>
          <w:sz w:val="24"/>
          <w:rtl/>
        </w:rPr>
        <w:t xml:space="preserve"> </w:t>
      </w:r>
      <w:r w:rsidRPr="00F63724">
        <w:rPr>
          <w:rFonts w:hint="cs"/>
          <w:sz w:val="24"/>
          <w:rtl/>
        </w:rPr>
        <w:t>לנזקים</w:t>
      </w:r>
      <w:r w:rsidRPr="00F63724">
        <w:rPr>
          <w:sz w:val="24"/>
          <w:rtl/>
        </w:rPr>
        <w:t xml:space="preserve"> </w:t>
      </w:r>
      <w:r w:rsidRPr="00F63724">
        <w:rPr>
          <w:rFonts w:hint="cs"/>
          <w:sz w:val="24"/>
          <w:rtl/>
        </w:rPr>
        <w:t>שנגרמים</w:t>
      </w:r>
      <w:r w:rsidRPr="00F63724">
        <w:rPr>
          <w:sz w:val="24"/>
          <w:rtl/>
        </w:rPr>
        <w:t xml:space="preserve"> </w:t>
      </w:r>
      <w:r w:rsidRPr="00F63724">
        <w:rPr>
          <w:rFonts w:hint="cs"/>
          <w:sz w:val="24"/>
          <w:rtl/>
        </w:rPr>
        <w:t>כתוצאה</w:t>
      </w:r>
      <w:r w:rsidRPr="00F63724">
        <w:rPr>
          <w:sz w:val="24"/>
          <w:rtl/>
        </w:rPr>
        <w:t xml:space="preserve"> </w:t>
      </w:r>
      <w:r w:rsidRPr="00F63724">
        <w:rPr>
          <w:rFonts w:hint="cs"/>
          <w:sz w:val="24"/>
          <w:rtl/>
        </w:rPr>
        <w:t>מאי</w:t>
      </w:r>
      <w:r w:rsidRPr="00F63724">
        <w:rPr>
          <w:sz w:val="24"/>
          <w:rtl/>
        </w:rPr>
        <w:t xml:space="preserve"> </w:t>
      </w:r>
      <w:r w:rsidRPr="00F63724">
        <w:rPr>
          <w:rFonts w:hint="cs"/>
          <w:sz w:val="24"/>
          <w:rtl/>
        </w:rPr>
        <w:t>קבלת</w:t>
      </w:r>
      <w:r w:rsidRPr="00F63724">
        <w:rPr>
          <w:sz w:val="24"/>
          <w:rtl/>
        </w:rPr>
        <w:t xml:space="preserve"> </w:t>
      </w:r>
      <w:r w:rsidRPr="00F63724">
        <w:rPr>
          <w:rFonts w:hint="cs"/>
          <w:sz w:val="24"/>
          <w:rtl/>
        </w:rPr>
        <w:t>המענה</w:t>
      </w:r>
      <w:r w:rsidRPr="00F63724">
        <w:rPr>
          <w:sz w:val="24"/>
          <w:rtl/>
        </w:rPr>
        <w:t xml:space="preserve"> </w:t>
      </w:r>
      <w:r w:rsidRPr="00F63724">
        <w:rPr>
          <w:rFonts w:hint="cs"/>
          <w:sz w:val="24"/>
          <w:rtl/>
        </w:rPr>
        <w:t>של</w:t>
      </w:r>
      <w:r w:rsidRPr="00F63724">
        <w:rPr>
          <w:sz w:val="24"/>
          <w:rtl/>
        </w:rPr>
        <w:t xml:space="preserve"> </w:t>
      </w:r>
      <w:r w:rsidRPr="00F63724">
        <w:rPr>
          <w:rFonts w:hint="cs"/>
          <w:sz w:val="24"/>
          <w:rtl/>
        </w:rPr>
        <w:t>מנהל</w:t>
      </w:r>
      <w:r w:rsidRPr="00F63724">
        <w:rPr>
          <w:sz w:val="24"/>
          <w:rtl/>
        </w:rPr>
        <w:t xml:space="preserve"> </w:t>
      </w:r>
      <w:r w:rsidRPr="00F63724">
        <w:rPr>
          <w:rFonts w:hint="cs"/>
          <w:sz w:val="24"/>
          <w:rtl/>
        </w:rPr>
        <w:t>תיק</w:t>
      </w:r>
      <w:r w:rsidRPr="00F63724">
        <w:rPr>
          <w:sz w:val="24"/>
          <w:rtl/>
        </w:rPr>
        <w:t xml:space="preserve"> </w:t>
      </w:r>
      <w:r w:rsidRPr="00F63724">
        <w:rPr>
          <w:rFonts w:hint="cs"/>
          <w:sz w:val="24"/>
          <w:rtl/>
        </w:rPr>
        <w:t>הלקוח</w:t>
      </w:r>
      <w:r>
        <w:rPr>
          <w:rFonts w:hint="cs"/>
          <w:sz w:val="24"/>
          <w:rtl/>
        </w:rPr>
        <w:t>, בתקופה בה לא ניתן לו השירות</w:t>
      </w:r>
      <w:r w:rsidRPr="00F63724">
        <w:rPr>
          <w:sz w:val="24"/>
          <w:rtl/>
        </w:rPr>
        <w:t xml:space="preserve">. </w:t>
      </w:r>
    </w:p>
    <w:p w:rsidR="00FC0813" w:rsidRPr="00FA0B38" w:rsidRDefault="00FC0813" w:rsidP="00AF16F3">
      <w:pPr>
        <w:ind w:left="142"/>
        <w:rPr>
          <w:sz w:val="24"/>
        </w:rPr>
      </w:pPr>
      <w:r w:rsidRPr="00DC340D">
        <w:rPr>
          <w:rFonts w:hint="cs"/>
          <w:sz w:val="24"/>
          <w:rtl/>
        </w:rPr>
        <w:lastRenderedPageBreak/>
        <w:t xml:space="preserve">חשיבות שירות המת"ל גם נובעת מכך שהוא </w:t>
      </w:r>
      <w:r>
        <w:rPr>
          <w:rFonts w:hint="cs"/>
          <w:sz w:val="24"/>
          <w:rtl/>
        </w:rPr>
        <w:t>משמש כאיש קשר</w:t>
      </w:r>
      <w:r w:rsidRPr="00DC340D">
        <w:rPr>
          <w:rFonts w:hint="cs"/>
          <w:sz w:val="24"/>
          <w:rtl/>
        </w:rPr>
        <w:t xml:space="preserve"> נגיש</w:t>
      </w:r>
      <w:r>
        <w:rPr>
          <w:rFonts w:hint="cs"/>
          <w:sz w:val="24"/>
          <w:rtl/>
        </w:rPr>
        <w:t xml:space="preserve"> ומהיר, המכיר את הצרכן, ויכול לספק לו מידע </w:t>
      </w:r>
      <w:r w:rsidRPr="00DC340D">
        <w:rPr>
          <w:rFonts w:hint="cs"/>
          <w:sz w:val="24"/>
          <w:rtl/>
        </w:rPr>
        <w:t>בזמן אמת</w:t>
      </w:r>
      <w:r>
        <w:rPr>
          <w:rFonts w:hint="cs"/>
          <w:sz w:val="24"/>
          <w:rtl/>
        </w:rPr>
        <w:t>.</w:t>
      </w:r>
      <w:r w:rsidRPr="00DC340D">
        <w:rPr>
          <w:rFonts w:hint="cs"/>
          <w:sz w:val="24"/>
          <w:rtl/>
        </w:rPr>
        <w:t xml:space="preserve"> </w:t>
      </w:r>
      <w:r>
        <w:rPr>
          <w:rFonts w:hint="cs"/>
          <w:sz w:val="24"/>
          <w:rtl/>
        </w:rPr>
        <w:t>זאת אף</w:t>
      </w:r>
      <w:r w:rsidRPr="00DC340D">
        <w:rPr>
          <w:rFonts w:hint="cs"/>
          <w:sz w:val="24"/>
          <w:rtl/>
        </w:rPr>
        <w:t xml:space="preserve"> בשעות שמעבר לשעות הפעילות הרגילות</w:t>
      </w:r>
      <w:r w:rsidRPr="00FA0B38">
        <w:rPr>
          <w:rFonts w:hint="cs"/>
          <w:sz w:val="24"/>
          <w:rtl/>
        </w:rPr>
        <w:t>.</w:t>
      </w:r>
    </w:p>
    <w:p w:rsidR="00FC0813" w:rsidRPr="008A3CDB" w:rsidRDefault="00FC0813" w:rsidP="00AF16F3">
      <w:pPr>
        <w:ind w:left="142"/>
        <w:rPr>
          <w:sz w:val="24"/>
          <w:rtl/>
        </w:rPr>
      </w:pPr>
      <w:r>
        <w:rPr>
          <w:rFonts w:hint="cs"/>
          <w:sz w:val="24"/>
          <w:rtl/>
        </w:rPr>
        <w:t xml:space="preserve">גם בסקר שערכה </w:t>
      </w:r>
      <w:r w:rsidRPr="008A3CDB">
        <w:rPr>
          <w:rFonts w:hint="cs"/>
          <w:sz w:val="24"/>
          <w:rtl/>
        </w:rPr>
        <w:t xml:space="preserve">חברת החשמל בנושא "צרכים ציפיות ושביעות רצון לקוחותיה עסקיים של חברת </w:t>
      </w:r>
      <w:r w:rsidRPr="00C1233D">
        <w:rPr>
          <w:rFonts w:hint="cs"/>
          <w:rtl/>
        </w:rPr>
        <w:t>חשמל</w:t>
      </w:r>
      <w:r w:rsidRPr="008A3CDB">
        <w:rPr>
          <w:rFonts w:hint="cs"/>
          <w:sz w:val="24"/>
          <w:rtl/>
        </w:rPr>
        <w:t>"</w:t>
      </w:r>
      <w:r>
        <w:rPr>
          <w:rFonts w:hint="cs"/>
          <w:sz w:val="24"/>
          <w:rtl/>
        </w:rPr>
        <w:t xml:space="preserve"> (להלן: "</w:t>
      </w:r>
      <w:r w:rsidRPr="00C520DB">
        <w:rPr>
          <w:rFonts w:hint="cs"/>
          <w:b/>
          <w:bCs/>
          <w:sz w:val="24"/>
          <w:rtl/>
        </w:rPr>
        <w:t>סקר דיאלוג</w:t>
      </w:r>
      <w:r>
        <w:rPr>
          <w:rFonts w:hint="cs"/>
          <w:sz w:val="24"/>
          <w:rtl/>
        </w:rPr>
        <w:t>")</w:t>
      </w:r>
      <w:r w:rsidRPr="008A3CDB">
        <w:rPr>
          <w:rFonts w:hint="cs"/>
          <w:sz w:val="24"/>
          <w:rtl/>
        </w:rPr>
        <w:t>, נמצאה "רמת שביעות רצון גבוהה ממנהל תיק הלקוחות. נתפס כמקצועי, זמין, קשוב לצרכים ובסה"כ מהווה ערך מוסף לשביעות רצון הלקוח."</w:t>
      </w:r>
      <w:r w:rsidRPr="000F383C">
        <w:rPr>
          <w:rFonts w:hint="cs"/>
          <w:sz w:val="24"/>
          <w:rtl/>
        </w:rPr>
        <w:t xml:space="preserve"> </w:t>
      </w:r>
      <w:r w:rsidRPr="008A3CDB">
        <w:rPr>
          <w:rFonts w:hint="cs"/>
          <w:sz w:val="24"/>
          <w:rtl/>
        </w:rPr>
        <w:t xml:space="preserve">הלקוחות העסקיים נשאלו </w:t>
      </w:r>
      <w:r w:rsidRPr="00C1233D">
        <w:rPr>
          <w:rFonts w:hint="cs"/>
          <w:rtl/>
        </w:rPr>
        <w:t>ישירות</w:t>
      </w:r>
      <w:r w:rsidRPr="008A3CDB">
        <w:rPr>
          <w:rFonts w:hint="cs"/>
          <w:sz w:val="24"/>
          <w:rtl/>
        </w:rPr>
        <w:t xml:space="preserve"> בדבר חשיבות המת"ל. מסקנת הסקר היתה "רוב גדול של הלקוחות (המביעים עמדה) סבורים כי המת"ל הוא ערך מוסף לארגון."</w:t>
      </w:r>
    </w:p>
    <w:p w:rsidR="00FC0813" w:rsidRDefault="00FC0813" w:rsidP="00FC0813">
      <w:pPr>
        <w:ind w:left="142"/>
        <w:rPr>
          <w:sz w:val="24"/>
          <w:rtl/>
        </w:rPr>
      </w:pPr>
      <w:r>
        <w:rPr>
          <w:rFonts w:hint="cs"/>
          <w:sz w:val="24"/>
          <w:rtl/>
        </w:rPr>
        <w:t>ה</w:t>
      </w:r>
      <w:r w:rsidRPr="008A3CDB">
        <w:rPr>
          <w:rFonts w:hint="cs"/>
          <w:sz w:val="24"/>
          <w:rtl/>
        </w:rPr>
        <w:t>שירות</w:t>
      </w:r>
      <w:r>
        <w:rPr>
          <w:rFonts w:hint="cs"/>
          <w:sz w:val="24"/>
          <w:rtl/>
        </w:rPr>
        <w:t xml:space="preserve"> שניתן על-ידי</w:t>
      </w:r>
      <w:r w:rsidRPr="008A3CDB">
        <w:rPr>
          <w:sz w:val="24"/>
          <w:rtl/>
        </w:rPr>
        <w:t xml:space="preserve"> </w:t>
      </w:r>
      <w:r w:rsidRPr="008A3CDB">
        <w:rPr>
          <w:rFonts w:hint="cs"/>
          <w:sz w:val="24"/>
          <w:rtl/>
        </w:rPr>
        <w:t>מת</w:t>
      </w:r>
      <w:r w:rsidRPr="008A3CDB">
        <w:rPr>
          <w:sz w:val="24"/>
          <w:rtl/>
        </w:rPr>
        <w:t>"</w:t>
      </w:r>
      <w:r w:rsidRPr="008A3CDB">
        <w:rPr>
          <w:rFonts w:hint="cs"/>
          <w:sz w:val="24"/>
          <w:rtl/>
        </w:rPr>
        <w:t>ל</w:t>
      </w:r>
      <w:r w:rsidRPr="008A3CDB">
        <w:rPr>
          <w:sz w:val="24"/>
          <w:rtl/>
        </w:rPr>
        <w:t xml:space="preserve"> </w:t>
      </w:r>
      <w:r w:rsidRPr="008A3CDB">
        <w:rPr>
          <w:rFonts w:hint="cs"/>
          <w:sz w:val="24"/>
          <w:rtl/>
        </w:rPr>
        <w:t>נתפס</w:t>
      </w:r>
      <w:r w:rsidRPr="008A3CDB">
        <w:rPr>
          <w:sz w:val="24"/>
          <w:rtl/>
        </w:rPr>
        <w:t xml:space="preserve"> </w:t>
      </w:r>
      <w:r w:rsidRPr="008A3CDB">
        <w:rPr>
          <w:rFonts w:hint="cs"/>
          <w:sz w:val="24"/>
          <w:rtl/>
        </w:rPr>
        <w:t>כבעל</w:t>
      </w:r>
      <w:r w:rsidRPr="008A3CDB">
        <w:rPr>
          <w:sz w:val="24"/>
          <w:rtl/>
        </w:rPr>
        <w:t xml:space="preserve"> </w:t>
      </w:r>
      <w:r w:rsidRPr="008A3CDB">
        <w:rPr>
          <w:rFonts w:hint="cs"/>
          <w:sz w:val="24"/>
          <w:rtl/>
        </w:rPr>
        <w:t>חשיבות</w:t>
      </w:r>
      <w:r>
        <w:rPr>
          <w:rFonts w:hint="cs"/>
          <w:sz w:val="24"/>
          <w:rtl/>
        </w:rPr>
        <w:t xml:space="preserve"> גדולה</w:t>
      </w:r>
      <w:r w:rsidRPr="008A3CDB">
        <w:rPr>
          <w:sz w:val="24"/>
          <w:rtl/>
        </w:rPr>
        <w:t xml:space="preserve"> </w:t>
      </w:r>
      <w:r w:rsidRPr="008A3CDB">
        <w:rPr>
          <w:rFonts w:hint="cs"/>
          <w:sz w:val="24"/>
          <w:rtl/>
        </w:rPr>
        <w:t>גם</w:t>
      </w:r>
      <w:r w:rsidRPr="008A3CDB">
        <w:rPr>
          <w:sz w:val="24"/>
          <w:rtl/>
        </w:rPr>
        <w:t xml:space="preserve"> </w:t>
      </w:r>
      <w:r w:rsidRPr="008A3CDB">
        <w:rPr>
          <w:rFonts w:hint="cs"/>
          <w:sz w:val="24"/>
          <w:rtl/>
        </w:rPr>
        <w:t>על</w:t>
      </w:r>
      <w:r w:rsidRPr="008A3CDB">
        <w:rPr>
          <w:sz w:val="24"/>
          <w:rtl/>
        </w:rPr>
        <w:t>-</w:t>
      </w:r>
      <w:r w:rsidRPr="008A3CDB">
        <w:rPr>
          <w:rFonts w:hint="cs"/>
          <w:sz w:val="24"/>
          <w:rtl/>
        </w:rPr>
        <w:t>ידי</w:t>
      </w:r>
      <w:r w:rsidRPr="008A3CDB">
        <w:rPr>
          <w:sz w:val="24"/>
          <w:rtl/>
        </w:rPr>
        <w:t xml:space="preserve"> </w:t>
      </w:r>
      <w:r w:rsidRPr="008A3CDB">
        <w:rPr>
          <w:rFonts w:hint="cs"/>
          <w:sz w:val="24"/>
          <w:rtl/>
        </w:rPr>
        <w:t>הרגולטור</w:t>
      </w:r>
      <w:r w:rsidRPr="008A3CDB">
        <w:rPr>
          <w:sz w:val="24"/>
          <w:rtl/>
        </w:rPr>
        <w:t xml:space="preserve"> </w:t>
      </w:r>
      <w:r w:rsidRPr="008A3CDB">
        <w:rPr>
          <w:rFonts w:hint="cs"/>
          <w:sz w:val="24"/>
          <w:rtl/>
        </w:rPr>
        <w:t>הייעודי</w:t>
      </w:r>
      <w:r w:rsidRPr="008A3CDB">
        <w:rPr>
          <w:sz w:val="24"/>
          <w:rtl/>
        </w:rPr>
        <w:t xml:space="preserve"> </w:t>
      </w:r>
      <w:r w:rsidRPr="008A3CDB">
        <w:rPr>
          <w:rFonts w:hint="cs"/>
          <w:sz w:val="24"/>
          <w:rtl/>
        </w:rPr>
        <w:t>המפקח</w:t>
      </w:r>
      <w:r w:rsidRPr="008A3CDB">
        <w:rPr>
          <w:sz w:val="24"/>
          <w:rtl/>
        </w:rPr>
        <w:t xml:space="preserve"> </w:t>
      </w:r>
      <w:r w:rsidRPr="008A3CDB">
        <w:rPr>
          <w:rFonts w:hint="cs"/>
          <w:sz w:val="24"/>
          <w:rtl/>
        </w:rPr>
        <w:t>על</w:t>
      </w:r>
      <w:r w:rsidRPr="008A3CDB">
        <w:rPr>
          <w:sz w:val="24"/>
          <w:rtl/>
        </w:rPr>
        <w:t xml:space="preserve"> </w:t>
      </w:r>
      <w:r w:rsidRPr="008A3CDB">
        <w:rPr>
          <w:rFonts w:hint="cs"/>
          <w:sz w:val="24"/>
          <w:rtl/>
        </w:rPr>
        <w:t>חברת</w:t>
      </w:r>
      <w:r w:rsidRPr="008A3CDB">
        <w:rPr>
          <w:sz w:val="24"/>
          <w:rtl/>
        </w:rPr>
        <w:t xml:space="preserve"> </w:t>
      </w:r>
      <w:r w:rsidRPr="008A3CDB">
        <w:rPr>
          <w:rFonts w:hint="cs"/>
          <w:sz w:val="24"/>
          <w:rtl/>
        </w:rPr>
        <w:t>החשמל</w:t>
      </w:r>
      <w:r w:rsidRPr="008A3CDB">
        <w:rPr>
          <w:sz w:val="24"/>
          <w:rtl/>
        </w:rPr>
        <w:t xml:space="preserve"> – </w:t>
      </w:r>
      <w:r w:rsidRPr="008A3CDB">
        <w:rPr>
          <w:rFonts w:hint="cs"/>
          <w:sz w:val="24"/>
          <w:rtl/>
        </w:rPr>
        <w:t>רשות</w:t>
      </w:r>
      <w:r w:rsidRPr="008A3CDB">
        <w:rPr>
          <w:sz w:val="24"/>
          <w:rtl/>
        </w:rPr>
        <w:t xml:space="preserve"> </w:t>
      </w:r>
      <w:r w:rsidRPr="008A3CDB">
        <w:rPr>
          <w:rFonts w:hint="cs"/>
          <w:sz w:val="24"/>
          <w:rtl/>
        </w:rPr>
        <w:t>החשמל</w:t>
      </w:r>
      <w:r w:rsidRPr="008A3CDB">
        <w:rPr>
          <w:sz w:val="24"/>
          <w:rtl/>
        </w:rPr>
        <w:t>.</w:t>
      </w:r>
      <w:r>
        <w:rPr>
          <w:rFonts w:hint="cs"/>
          <w:sz w:val="24"/>
          <w:rtl/>
        </w:rPr>
        <w:t xml:space="preserve"> </w:t>
      </w:r>
      <w:r w:rsidRPr="008A3CDB">
        <w:rPr>
          <w:rFonts w:hint="cs"/>
          <w:sz w:val="24"/>
          <w:rtl/>
        </w:rPr>
        <w:t>בעקבות</w:t>
      </w:r>
      <w:r w:rsidRPr="008A3CDB">
        <w:rPr>
          <w:sz w:val="24"/>
          <w:rtl/>
        </w:rPr>
        <w:t xml:space="preserve"> </w:t>
      </w:r>
      <w:r w:rsidRPr="008A3CDB">
        <w:rPr>
          <w:rFonts w:hint="cs"/>
          <w:sz w:val="24"/>
          <w:rtl/>
        </w:rPr>
        <w:t>תלונות</w:t>
      </w:r>
      <w:r w:rsidRPr="008A3CDB">
        <w:rPr>
          <w:sz w:val="24"/>
          <w:rtl/>
        </w:rPr>
        <w:t xml:space="preserve"> </w:t>
      </w:r>
      <w:r w:rsidRPr="008A3CDB">
        <w:rPr>
          <w:rFonts w:hint="cs"/>
          <w:sz w:val="24"/>
          <w:rtl/>
        </w:rPr>
        <w:t>לרשות</w:t>
      </w:r>
      <w:r w:rsidRPr="008A3CDB">
        <w:rPr>
          <w:sz w:val="24"/>
          <w:rtl/>
        </w:rPr>
        <w:t xml:space="preserve"> </w:t>
      </w:r>
      <w:r w:rsidRPr="008A3CDB">
        <w:rPr>
          <w:rFonts w:hint="cs"/>
          <w:sz w:val="24"/>
          <w:rtl/>
        </w:rPr>
        <w:t>החשמל של</w:t>
      </w:r>
      <w:r w:rsidRPr="008A3CDB">
        <w:rPr>
          <w:sz w:val="24"/>
          <w:rtl/>
        </w:rPr>
        <w:t xml:space="preserve"> </w:t>
      </w:r>
      <w:r>
        <w:rPr>
          <w:rFonts w:hint="cs"/>
          <w:sz w:val="24"/>
          <w:rtl/>
        </w:rPr>
        <w:t xml:space="preserve">לקוחות </w:t>
      </w:r>
      <w:r w:rsidRPr="00C1233D">
        <w:rPr>
          <w:rFonts w:hint="cs"/>
          <w:rtl/>
        </w:rPr>
        <w:t>עסקיים</w:t>
      </w:r>
      <w:r>
        <w:rPr>
          <w:rFonts w:hint="cs"/>
          <w:sz w:val="24"/>
          <w:rtl/>
        </w:rPr>
        <w:t xml:space="preserve"> שהפסיקו לקבל שירות מת"ל לאחר שעברו ליצרנים הפרטיים</w:t>
      </w:r>
      <w:r w:rsidRPr="008A3CDB">
        <w:rPr>
          <w:sz w:val="24"/>
          <w:rtl/>
        </w:rPr>
        <w:t xml:space="preserve">, </w:t>
      </w:r>
      <w:r>
        <w:rPr>
          <w:rFonts w:hint="cs"/>
          <w:sz w:val="24"/>
          <w:rtl/>
        </w:rPr>
        <w:t>רשות החשמל</w:t>
      </w:r>
      <w:r w:rsidRPr="008A3CDB">
        <w:rPr>
          <w:sz w:val="24"/>
          <w:rtl/>
        </w:rPr>
        <w:t xml:space="preserve"> </w:t>
      </w:r>
      <w:r w:rsidRPr="008A3CDB">
        <w:rPr>
          <w:rFonts w:hint="cs"/>
          <w:sz w:val="24"/>
          <w:rtl/>
        </w:rPr>
        <w:t>הוסיפה</w:t>
      </w:r>
      <w:r w:rsidRPr="008A3CDB">
        <w:rPr>
          <w:sz w:val="24"/>
          <w:rtl/>
        </w:rPr>
        <w:t xml:space="preserve"> </w:t>
      </w:r>
      <w:r w:rsidRPr="008A3CDB">
        <w:rPr>
          <w:rFonts w:hint="cs"/>
          <w:sz w:val="24"/>
          <w:rtl/>
        </w:rPr>
        <w:t>אמת</w:t>
      </w:r>
      <w:r w:rsidRPr="008A3CDB">
        <w:rPr>
          <w:sz w:val="24"/>
          <w:rtl/>
        </w:rPr>
        <w:t xml:space="preserve"> </w:t>
      </w:r>
      <w:r w:rsidRPr="008A3CDB">
        <w:rPr>
          <w:rFonts w:hint="cs"/>
          <w:sz w:val="24"/>
          <w:rtl/>
        </w:rPr>
        <w:t>מידה</w:t>
      </w:r>
      <w:r w:rsidRPr="008A3CDB">
        <w:rPr>
          <w:sz w:val="24"/>
          <w:rtl/>
        </w:rPr>
        <w:t xml:space="preserve"> </w:t>
      </w:r>
      <w:r w:rsidRPr="008A3CDB">
        <w:rPr>
          <w:rFonts w:hint="cs"/>
          <w:sz w:val="24"/>
          <w:rtl/>
        </w:rPr>
        <w:t>שמחייבת</w:t>
      </w:r>
      <w:r w:rsidRPr="008A3CDB">
        <w:rPr>
          <w:sz w:val="24"/>
          <w:rtl/>
        </w:rPr>
        <w:t xml:space="preserve"> </w:t>
      </w:r>
      <w:r w:rsidRPr="008A3CDB">
        <w:rPr>
          <w:rFonts w:hint="cs"/>
          <w:sz w:val="24"/>
          <w:rtl/>
        </w:rPr>
        <w:t>את</w:t>
      </w:r>
      <w:r w:rsidRPr="008A3CDB">
        <w:rPr>
          <w:sz w:val="24"/>
          <w:rtl/>
        </w:rPr>
        <w:t xml:space="preserve"> </w:t>
      </w:r>
      <w:r w:rsidRPr="008A3CDB">
        <w:rPr>
          <w:rFonts w:hint="cs"/>
          <w:sz w:val="24"/>
          <w:rtl/>
        </w:rPr>
        <w:t>חברת</w:t>
      </w:r>
      <w:r w:rsidRPr="008A3CDB">
        <w:rPr>
          <w:sz w:val="24"/>
          <w:rtl/>
        </w:rPr>
        <w:t xml:space="preserve"> </w:t>
      </w:r>
      <w:r w:rsidRPr="008A3CDB">
        <w:rPr>
          <w:rFonts w:hint="cs"/>
          <w:sz w:val="24"/>
          <w:rtl/>
        </w:rPr>
        <w:t>החשמל</w:t>
      </w:r>
      <w:r w:rsidRPr="008A3CDB">
        <w:rPr>
          <w:sz w:val="24"/>
          <w:rtl/>
        </w:rPr>
        <w:t xml:space="preserve"> </w:t>
      </w:r>
      <w:r w:rsidRPr="008A3CDB">
        <w:rPr>
          <w:rFonts w:hint="cs"/>
          <w:sz w:val="24"/>
          <w:rtl/>
        </w:rPr>
        <w:t>להעניק</w:t>
      </w:r>
      <w:r w:rsidRPr="008A3CDB">
        <w:rPr>
          <w:sz w:val="24"/>
          <w:rtl/>
        </w:rPr>
        <w:t xml:space="preserve"> </w:t>
      </w:r>
      <w:r w:rsidRPr="008A3CDB">
        <w:rPr>
          <w:rFonts w:hint="cs"/>
          <w:sz w:val="24"/>
          <w:rtl/>
        </w:rPr>
        <w:t>את</w:t>
      </w:r>
      <w:r w:rsidRPr="008A3CDB">
        <w:rPr>
          <w:sz w:val="24"/>
          <w:rtl/>
        </w:rPr>
        <w:t xml:space="preserve"> </w:t>
      </w:r>
      <w:r w:rsidRPr="008A3CDB">
        <w:rPr>
          <w:rFonts w:hint="cs"/>
          <w:sz w:val="24"/>
          <w:rtl/>
        </w:rPr>
        <w:t>השירותים</w:t>
      </w:r>
      <w:r w:rsidRPr="008A3CDB">
        <w:rPr>
          <w:sz w:val="24"/>
          <w:rtl/>
        </w:rPr>
        <w:t xml:space="preserve"> </w:t>
      </w:r>
      <w:r w:rsidRPr="008A3CDB">
        <w:rPr>
          <w:rFonts w:hint="cs"/>
          <w:sz w:val="24"/>
          <w:rtl/>
        </w:rPr>
        <w:t>שסופקו</w:t>
      </w:r>
      <w:r w:rsidRPr="008A3CDB">
        <w:rPr>
          <w:sz w:val="24"/>
          <w:rtl/>
        </w:rPr>
        <w:t xml:space="preserve"> </w:t>
      </w:r>
      <w:r w:rsidRPr="008A3CDB">
        <w:rPr>
          <w:rFonts w:hint="cs"/>
          <w:sz w:val="24"/>
          <w:rtl/>
        </w:rPr>
        <w:t>על</w:t>
      </w:r>
      <w:r w:rsidRPr="008A3CDB">
        <w:rPr>
          <w:sz w:val="24"/>
          <w:rtl/>
        </w:rPr>
        <w:t>-</w:t>
      </w:r>
      <w:r w:rsidRPr="008A3CDB">
        <w:rPr>
          <w:rFonts w:hint="cs"/>
          <w:sz w:val="24"/>
          <w:rtl/>
        </w:rPr>
        <w:t>ידי</w:t>
      </w:r>
      <w:r w:rsidRPr="008A3CDB">
        <w:rPr>
          <w:sz w:val="24"/>
          <w:rtl/>
        </w:rPr>
        <w:t xml:space="preserve"> </w:t>
      </w:r>
      <w:r w:rsidRPr="008A3CDB">
        <w:rPr>
          <w:rFonts w:hint="cs"/>
          <w:sz w:val="24"/>
          <w:rtl/>
        </w:rPr>
        <w:t>המת</w:t>
      </w:r>
      <w:r w:rsidRPr="008A3CDB">
        <w:rPr>
          <w:sz w:val="24"/>
          <w:rtl/>
        </w:rPr>
        <w:t>"</w:t>
      </w:r>
      <w:r w:rsidRPr="008A3CDB">
        <w:rPr>
          <w:rFonts w:hint="cs"/>
          <w:sz w:val="24"/>
          <w:rtl/>
        </w:rPr>
        <w:t>ל</w:t>
      </w:r>
      <w:r w:rsidRPr="008A3CDB">
        <w:rPr>
          <w:sz w:val="24"/>
          <w:rtl/>
        </w:rPr>
        <w:t xml:space="preserve"> </w:t>
      </w:r>
      <w:r>
        <w:rPr>
          <w:rFonts w:hint="cs"/>
          <w:sz w:val="24"/>
          <w:rtl/>
        </w:rPr>
        <w:t>ללקוחות</w:t>
      </w:r>
      <w:r w:rsidRPr="008A3CDB">
        <w:rPr>
          <w:sz w:val="24"/>
          <w:rtl/>
        </w:rPr>
        <w:t xml:space="preserve"> </w:t>
      </w:r>
      <w:r w:rsidRPr="008A3CDB">
        <w:rPr>
          <w:rFonts w:hint="cs"/>
          <w:sz w:val="24"/>
          <w:rtl/>
        </w:rPr>
        <w:t>העסקיים</w:t>
      </w:r>
      <w:r w:rsidRPr="008A3CDB">
        <w:rPr>
          <w:sz w:val="24"/>
          <w:rtl/>
        </w:rPr>
        <w:t xml:space="preserve"> </w:t>
      </w:r>
      <w:r w:rsidRPr="008A3CDB">
        <w:rPr>
          <w:rFonts w:hint="cs"/>
          <w:sz w:val="24"/>
          <w:rtl/>
        </w:rPr>
        <w:t>שרוכשים</w:t>
      </w:r>
      <w:r w:rsidRPr="008A3CDB">
        <w:rPr>
          <w:sz w:val="24"/>
          <w:rtl/>
        </w:rPr>
        <w:t xml:space="preserve"> </w:t>
      </w:r>
      <w:r w:rsidRPr="008A3CDB">
        <w:rPr>
          <w:rFonts w:hint="cs"/>
          <w:sz w:val="24"/>
          <w:rtl/>
        </w:rPr>
        <w:t>חשמל</w:t>
      </w:r>
      <w:r w:rsidRPr="008A3CDB">
        <w:rPr>
          <w:sz w:val="24"/>
          <w:rtl/>
        </w:rPr>
        <w:t xml:space="preserve"> </w:t>
      </w:r>
      <w:r>
        <w:rPr>
          <w:rFonts w:hint="cs"/>
          <w:sz w:val="24"/>
          <w:rtl/>
        </w:rPr>
        <w:t>מיצרנים פרטיים</w:t>
      </w:r>
      <w:r w:rsidRPr="008A3CDB">
        <w:rPr>
          <w:sz w:val="24"/>
          <w:rtl/>
        </w:rPr>
        <w:t>.</w:t>
      </w:r>
      <w:bookmarkStart w:id="5" w:name="_Ref476486509"/>
      <w:r w:rsidRPr="00BD06F7">
        <w:rPr>
          <w:vertAlign w:val="superscript"/>
          <w:rtl/>
        </w:rPr>
        <w:footnoteReference w:id="18"/>
      </w:r>
      <w:bookmarkEnd w:id="5"/>
      <w:r w:rsidRPr="00BD06F7">
        <w:rPr>
          <w:rFonts w:hint="cs"/>
          <w:sz w:val="24"/>
          <w:vertAlign w:val="superscript"/>
          <w:rtl/>
        </w:rPr>
        <w:t xml:space="preserve"> </w:t>
      </w:r>
      <w:r>
        <w:rPr>
          <w:rFonts w:hint="cs"/>
          <w:sz w:val="24"/>
          <w:rtl/>
        </w:rPr>
        <w:t xml:space="preserve"> </w:t>
      </w:r>
    </w:p>
    <w:p w:rsidR="00FC0813" w:rsidRPr="00BD06F7" w:rsidRDefault="00FC0813" w:rsidP="00FC0813">
      <w:pPr>
        <w:ind w:left="142"/>
        <w:rPr>
          <w:sz w:val="24"/>
          <w:rtl/>
        </w:rPr>
      </w:pPr>
      <w:r>
        <w:rPr>
          <w:rFonts w:hint="cs"/>
          <w:sz w:val="24"/>
          <w:rtl/>
        </w:rPr>
        <w:t xml:space="preserve">הנה כי כן, שירותי המת"ל, </w:t>
      </w:r>
      <w:r>
        <w:rPr>
          <w:rFonts w:hint="cs"/>
          <w:rtl/>
        </w:rPr>
        <w:t>הנוגעים למקטע ההולכה והחלוקה,</w:t>
      </w:r>
      <w:r>
        <w:rPr>
          <w:rFonts w:hint="cs"/>
          <w:sz w:val="24"/>
          <w:rtl/>
        </w:rPr>
        <w:t xml:space="preserve"> הינם שירותים חשובים ומשמעותיים ללקוחות עסקיים, אשר משפיעים על איכות אספקת החשמל ועל תפקוד הלקוח העסקי. </w:t>
      </w:r>
    </w:p>
    <w:p w:rsidR="00FC0813" w:rsidRDefault="00FC0813" w:rsidP="00FC0813">
      <w:pPr>
        <w:ind w:left="142"/>
        <w:rPr>
          <w:rtl/>
        </w:rPr>
      </w:pPr>
      <w:r>
        <w:rPr>
          <w:rFonts w:hint="cs"/>
          <w:rtl/>
        </w:rPr>
        <w:t>החובה לספק שירותים הנוגעים למקטעי ההולכה והחלוקה מוטלת על חברת החשמל בהיותה "ספק שירות חיוני" במקטעים אלה.</w:t>
      </w:r>
      <w:r>
        <w:rPr>
          <w:rStyle w:val="FootnoteReference"/>
          <w:rtl/>
        </w:rPr>
        <w:footnoteReference w:id="19"/>
      </w:r>
      <w:r>
        <w:rPr>
          <w:rFonts w:hint="cs"/>
          <w:rtl/>
        </w:rPr>
        <w:t xml:space="preserve"> חברת החשמל מקבלת תשלום מלקוחות עסקיים שרוכשים חשמל מיצרנים פרטיים</w:t>
      </w:r>
      <w:r w:rsidRPr="00DC7778">
        <w:rPr>
          <w:rFonts w:hint="cs"/>
          <w:rtl/>
        </w:rPr>
        <w:t xml:space="preserve"> </w:t>
      </w:r>
      <w:r>
        <w:rPr>
          <w:rFonts w:hint="cs"/>
          <w:rtl/>
        </w:rPr>
        <w:t>עבור שרותי התשתית, אשר מועבר אליה באמצעות היצרנים הפרטיים.</w:t>
      </w:r>
      <w:r>
        <w:rPr>
          <w:rStyle w:val="FootnoteReference"/>
          <w:rtl/>
        </w:rPr>
        <w:footnoteReference w:id="20"/>
      </w:r>
      <w:r>
        <w:rPr>
          <w:rFonts w:hint="cs"/>
          <w:rtl/>
        </w:rPr>
        <w:t xml:space="preserve"> העובדה שהיצרן הפרטי מספק חשמל ללקוח אינה גורעת מחובה זו של חברת החשמל.</w:t>
      </w:r>
      <w:r>
        <w:rPr>
          <w:rStyle w:val="FootnoteReference"/>
          <w:rtl/>
        </w:rPr>
        <w:footnoteReference w:id="21"/>
      </w:r>
    </w:p>
    <w:p w:rsidR="00FC0813" w:rsidRDefault="00FC0813" w:rsidP="00E2539A">
      <w:pPr>
        <w:ind w:left="142"/>
      </w:pPr>
      <w:r>
        <w:rPr>
          <w:rFonts w:hint="cs"/>
          <w:rtl/>
        </w:rPr>
        <w:t xml:space="preserve">מבדיקת הרשות עולה עוד, כי בכל הנוגע לשירותי המת"ל הנוגעים למקטע ההולכה והחלוקה, מדובר בשירותים אשר מטבע הדברים יצרני החשמל הפרטיים אינם יכולים לספק בעצמם. זאת, בשל שליטתה, כאמור, של חברת החשמל במקטעים הרלוונטיים. מאחר </w:t>
      </w:r>
      <w:r w:rsidR="00AD3DB0">
        <w:rPr>
          <w:rFonts w:hint="cs"/>
          <w:rtl/>
        </w:rPr>
        <w:t>ש</w:t>
      </w:r>
      <w:r>
        <w:rPr>
          <w:rFonts w:hint="cs"/>
          <w:rtl/>
        </w:rPr>
        <w:t>החשמל המיוצר אינו "צבוע" ללקוח ספציפי, החשמל שמייצר יצרן מסוים לא בהכרח יוזרם ללקוח של אותו יצרן. כל החשמל מיוצר לטובת המערכת כולה ומחולק על-ידי חברת החשמל באמצעות מערכת ההולכה והחלוקה לצרכני הקצה.</w:t>
      </w:r>
      <w:r w:rsidRPr="00E95489">
        <w:rPr>
          <w:rFonts w:hint="cs"/>
          <w:rtl/>
        </w:rPr>
        <w:t xml:space="preserve"> </w:t>
      </w:r>
      <w:r>
        <w:rPr>
          <w:rFonts w:hint="cs"/>
          <w:rtl/>
        </w:rPr>
        <w:t xml:space="preserve">לכן, תקלות והפסקות חשמל נוגעות לתקלה במקטעי ההולכה והחלוקה ואינן נובעות מתקלה בייצור החשמל. בהתאם, תאום הפסקות חשמל מתוכננות יכול להיעשות </w:t>
      </w:r>
      <w:r>
        <w:rPr>
          <w:rFonts w:hint="cs"/>
          <w:rtl/>
        </w:rPr>
        <w:lastRenderedPageBreak/>
        <w:t xml:space="preserve">רק על ידי עובדי חברת החשמל, היות </w:t>
      </w:r>
      <w:r w:rsidR="00AD3DB0">
        <w:rPr>
          <w:rFonts w:hint="cs"/>
          <w:rtl/>
        </w:rPr>
        <w:t>ש</w:t>
      </w:r>
      <w:r>
        <w:rPr>
          <w:rFonts w:hint="cs"/>
          <w:rtl/>
        </w:rPr>
        <w:t xml:space="preserve">היא האחראית על ביצוע תיקונים ברשת ההולכה והחלוקה בגינם מתבצעת הפסקת החשמל. כמו כן, בעת תקלה, המידע אודות מאפייני התקלה מצוי רק בידי חברת החשמל אשר מחזיקה ברשתות ההולכה, החלוקה וניהול המערכת. </w:t>
      </w:r>
    </w:p>
    <w:p w:rsidR="00FC0813" w:rsidRDefault="00FC0813" w:rsidP="00AD3DB0">
      <w:pPr>
        <w:ind w:left="142"/>
        <w:rPr>
          <w:rtl/>
        </w:rPr>
      </w:pPr>
      <w:r>
        <w:rPr>
          <w:rFonts w:hint="cs"/>
          <w:rtl/>
        </w:rPr>
        <w:t>לסיכום, שירותי מנהל תיק לק</w:t>
      </w:r>
      <w:r w:rsidR="00AD3DB0">
        <w:rPr>
          <w:rFonts w:hint="cs"/>
          <w:rtl/>
        </w:rPr>
        <w:t xml:space="preserve">וח הנוגעים למקטעי ההולכה והחלוקה </w:t>
      </w:r>
      <w:r>
        <w:rPr>
          <w:rFonts w:hint="cs"/>
          <w:rtl/>
        </w:rPr>
        <w:t>הינם שירותים משמעותיים עבור לקוחות עסקיים, אשר חברת החשמל היא הגורם היחיד שיכול לספקם.</w:t>
      </w:r>
    </w:p>
    <w:p w:rsidR="00FC0813" w:rsidRPr="001F0C3E" w:rsidRDefault="001C367F" w:rsidP="001C367F">
      <w:pPr>
        <w:pStyle w:val="Heading2"/>
        <w:numPr>
          <w:ilvl w:val="0"/>
          <w:numId w:val="0"/>
        </w:numPr>
        <w:ind w:left="992"/>
        <w:jc w:val="left"/>
        <w:rPr>
          <w:rtl/>
        </w:rPr>
      </w:pPr>
      <w:bookmarkStart w:id="6" w:name="_Toc476497400"/>
      <w:r>
        <w:rPr>
          <w:rFonts w:hint="cs"/>
          <w:rtl/>
        </w:rPr>
        <w:t xml:space="preserve">ב.3. </w:t>
      </w:r>
      <w:r w:rsidR="00FC0813" w:rsidRPr="001C367F">
        <w:rPr>
          <w:rFonts w:hint="cs"/>
          <w:rtl/>
        </w:rPr>
        <w:t>העובדות</w:t>
      </w:r>
      <w:r w:rsidR="00FC0813" w:rsidRPr="001F0C3E">
        <w:rPr>
          <w:rFonts w:hint="cs"/>
          <w:rtl/>
        </w:rPr>
        <w:t xml:space="preserve"> שבבסיס ההפרה</w:t>
      </w:r>
      <w:bookmarkEnd w:id="6"/>
    </w:p>
    <w:p w:rsidR="00FC0813" w:rsidRDefault="00FC0813" w:rsidP="005F5F1C">
      <w:pPr>
        <w:ind w:left="142"/>
        <w:rPr>
          <w:rtl/>
        </w:rPr>
      </w:pPr>
      <w:r>
        <w:rPr>
          <w:rFonts w:hint="cs"/>
          <w:rtl/>
        </w:rPr>
        <w:t xml:space="preserve">למן אמצע שנת 2013  </w:t>
      </w:r>
      <w:r w:rsidR="005F5F1C">
        <w:rPr>
          <w:rFonts w:hint="cs"/>
          <w:rtl/>
        </w:rPr>
        <w:t xml:space="preserve">החלה </w:t>
      </w:r>
      <w:r w:rsidR="004F018E">
        <w:rPr>
          <w:rFonts w:hint="cs"/>
          <w:rtl/>
        </w:rPr>
        <w:t xml:space="preserve">חברת החשמל </w:t>
      </w:r>
      <w:r w:rsidR="005F5F1C">
        <w:rPr>
          <w:rFonts w:hint="cs"/>
          <w:rtl/>
        </w:rPr>
        <w:t xml:space="preserve">בפעולות שהובילו </w:t>
      </w:r>
      <w:r w:rsidR="004F018E">
        <w:rPr>
          <w:rFonts w:hint="cs"/>
          <w:rtl/>
        </w:rPr>
        <w:t>להפסקת</w:t>
      </w:r>
      <w:r>
        <w:rPr>
          <w:rFonts w:hint="cs"/>
          <w:rtl/>
        </w:rPr>
        <w:t xml:space="preserve"> שירותי המת"ל ללקוחות שעברו לרכוש חשמל מיצרנים פרטיים. בפברואר 2015 ועד לחודש יוני 2015 החזירה חברת החשמל באופן חלקי את שירותי המת"ל שהופסקו. החל מחודש יוני 2015 העמידה חברת החשמל ללקוחות שעברו לרכוש חשמל מספקים פרטיים מוקד יעודי שהעניק שירות נחות ביחס לשירותי המת"ל, עד שבחודש דצמבר 2015 השיבה חברת החשמל את שירות המת"ל בעקבות התראת רשות ההגבלים העסקיים. </w:t>
      </w:r>
    </w:p>
    <w:p w:rsidR="00FC0813" w:rsidRPr="006512CB" w:rsidRDefault="00FC0813" w:rsidP="00FC0813">
      <w:pPr>
        <w:pStyle w:val="Heading3"/>
        <w:numPr>
          <w:ilvl w:val="0"/>
          <w:numId w:val="0"/>
        </w:numPr>
        <w:spacing w:before="120" w:after="0"/>
        <w:ind w:left="658"/>
        <w:rPr>
          <w:rFonts w:cs="David"/>
          <w:rtl/>
        </w:rPr>
      </w:pPr>
      <w:bookmarkStart w:id="7" w:name="_Toc476497401"/>
      <w:r w:rsidRPr="006512CB">
        <w:rPr>
          <w:rFonts w:cs="David" w:hint="cs"/>
          <w:rtl/>
        </w:rPr>
        <w:t>הפסקת שירותי המת"ל: אמצע 2013 עד לפברואר 2015</w:t>
      </w:r>
      <w:bookmarkEnd w:id="7"/>
    </w:p>
    <w:p w:rsidR="00FC0813" w:rsidRDefault="00FC0813" w:rsidP="005F5F1C">
      <w:pPr>
        <w:rPr>
          <w:rtl/>
        </w:rPr>
      </w:pPr>
      <w:r>
        <w:rPr>
          <w:rFonts w:hint="cs"/>
          <w:rtl/>
        </w:rPr>
        <w:t>החל משנת 2012 וביתר שאת במהלך שנת 2013, התקיים דיון פנימי בהנהלת חברת החשמל בראשות חטיבת הלקוחות בחברה בנושא הצעדים שחברת החשמל יכולה לנקוט ביחס למעבר לקוחות עסקיים של חברת החשמל לרכוש חשמל מיצרנים פרטיים. דיון זה התנהל במקביל לכניסתם לפעולה של יצרני החשמל הפרטיים.</w:t>
      </w:r>
    </w:p>
    <w:p w:rsidR="000C3F46" w:rsidRDefault="004F25E2" w:rsidP="00D90811">
      <w:pPr>
        <w:rPr>
          <w:rtl/>
        </w:rPr>
      </w:pPr>
      <w:r>
        <w:rPr>
          <w:rFonts w:hint="cs"/>
          <w:rtl/>
        </w:rPr>
        <w:t>בתחילת שנת 2013 קיימו הנהלת חברת החשמל וחטיבת הלקוחות מספר ישיבות שמטרתן לגבש סל שירותים נפרד ומובחן ללקוחות עסקיים שעברו לרכוש חשמל יצרנים פרטיים.</w:t>
      </w:r>
      <w:r w:rsidR="00AD3DB0">
        <w:rPr>
          <w:rFonts w:hint="cs"/>
          <w:rtl/>
        </w:rPr>
        <w:t xml:space="preserve"> </w:t>
      </w:r>
      <w:r w:rsidR="00FC0813">
        <w:rPr>
          <w:rFonts w:hint="cs"/>
          <w:rtl/>
        </w:rPr>
        <w:t>כך, נבחנה אפשרות להימנע ממתן שירותים מסוימים, וביניהם שירות המת"ל, ללקוחות שיעברו ליצרנים פרטיים, כדי ליצור בידול בין לקוחות חברת החשמל בכל המקטעים ל</w:t>
      </w:r>
      <w:r w:rsidR="00CD40C5">
        <w:rPr>
          <w:rFonts w:hint="cs"/>
          <w:rtl/>
        </w:rPr>
        <w:t xml:space="preserve">בין </w:t>
      </w:r>
      <w:r w:rsidR="00FC0813">
        <w:rPr>
          <w:rFonts w:hint="cs"/>
          <w:rtl/>
        </w:rPr>
        <w:t>לקוחות שעברו לרכוש חשמל מיצרנים פרטיים שהמשיכו לקבל שירותים מחברת החשמל במקטעי הולכה וחלוקה.</w:t>
      </w:r>
      <w:r w:rsidR="00FC0813" w:rsidRPr="00904032">
        <w:rPr>
          <w:rFonts w:hint="cs"/>
          <w:vertAlign w:val="superscript"/>
          <w:rtl/>
        </w:rPr>
        <w:t xml:space="preserve"> </w:t>
      </w:r>
    </w:p>
    <w:p w:rsidR="00FC0813" w:rsidRDefault="000C3F46" w:rsidP="000C3F46">
      <w:pPr>
        <w:rPr>
          <w:rtl/>
        </w:rPr>
      </w:pPr>
      <w:r>
        <w:rPr>
          <w:rFonts w:hint="cs"/>
          <w:rtl/>
        </w:rPr>
        <w:t xml:space="preserve">הדברים מומחשים מדבריה של </w:t>
      </w:r>
      <w:r w:rsidR="00FC0813">
        <w:rPr>
          <w:rFonts w:hint="cs"/>
          <w:sz w:val="24"/>
          <w:rtl/>
        </w:rPr>
        <w:t xml:space="preserve">מנהלת מחלקת לקוחות עסקיים ופיתוח שווקים באגף השיווק במסגרת </w:t>
      </w:r>
      <w:r w:rsidR="00FC0813">
        <w:rPr>
          <w:rFonts w:hint="cs"/>
          <w:rtl/>
        </w:rPr>
        <w:t>ישיבת ועדת היגוי לקוחות אסטרטגיים בראשות סמנכ"ל ומנהל חטיבת הלקוחות, ביום 22.4.2013:</w:t>
      </w:r>
    </w:p>
    <w:p w:rsidR="00FC0813" w:rsidRDefault="00FC0813" w:rsidP="000D4881">
      <w:pPr>
        <w:spacing w:line="240" w:lineRule="auto"/>
        <w:ind w:left="941" w:right="426"/>
        <w:rPr>
          <w:rtl/>
        </w:rPr>
      </w:pPr>
      <w:r w:rsidRPr="00265A60">
        <w:rPr>
          <w:rtl/>
        </w:rPr>
        <w:t xml:space="preserve">"... </w:t>
      </w:r>
      <w:r w:rsidRPr="00265A60">
        <w:rPr>
          <w:rFonts w:hint="cs"/>
          <w:rtl/>
        </w:rPr>
        <w:t>עלינו לבנות מערכת יחסים ארוכת טווח עם הלקוח תוך הדגשת "הרווח הנתפש" מהיותו לקוח של החברה ו-"ההפסד הנתפש" אם יפסיק להיות לקוח שלה. על הלק</w:t>
      </w:r>
      <w:r>
        <w:rPr>
          <w:rFonts w:hint="cs"/>
          <w:rtl/>
        </w:rPr>
        <w:t>וח להבין כי לכל בחירה יש מחיר".</w:t>
      </w:r>
    </w:p>
    <w:p w:rsidR="004F25E2" w:rsidRDefault="00806F88" w:rsidP="00521DAB">
      <w:pPr>
        <w:rPr>
          <w:sz w:val="24"/>
          <w:rtl/>
        </w:rPr>
      </w:pPr>
      <w:r>
        <w:rPr>
          <w:rFonts w:hint="cs"/>
          <w:sz w:val="24"/>
          <w:rtl/>
        </w:rPr>
        <w:t xml:space="preserve">בעקבות הישיבות יצאו הנחיות מהנהלת חברת החשמל לעובדי החברה. </w:t>
      </w:r>
      <w:r w:rsidR="004F25E2">
        <w:rPr>
          <w:rFonts w:hint="cs"/>
          <w:sz w:val="24"/>
          <w:rtl/>
        </w:rPr>
        <w:t>על ההנחיות שיצאו מהנהלת חברת החשמל ניתן ללמוד</w:t>
      </w:r>
      <w:r w:rsidR="00AD3DB0">
        <w:rPr>
          <w:rFonts w:hint="cs"/>
          <w:sz w:val="24"/>
          <w:rtl/>
        </w:rPr>
        <w:t>, למשל,</w:t>
      </w:r>
      <w:r w:rsidR="004F25E2">
        <w:rPr>
          <w:rFonts w:hint="cs"/>
          <w:sz w:val="24"/>
          <w:rtl/>
        </w:rPr>
        <w:t xml:space="preserve"> ממסמכים המסכמים את ישיבת הסמנכ"לים שהתקיימה ביום 29.9.2013 בלשכת מנכ"ל החברה</w:t>
      </w:r>
      <w:r w:rsidR="006553C2">
        <w:rPr>
          <w:rFonts w:hint="cs"/>
          <w:sz w:val="24"/>
          <w:rtl/>
        </w:rPr>
        <w:t>.</w:t>
      </w:r>
    </w:p>
    <w:p w:rsidR="004F25E2" w:rsidRDefault="004F25E2" w:rsidP="00521DAB">
      <w:pPr>
        <w:rPr>
          <w:sz w:val="24"/>
          <w:rtl/>
        </w:rPr>
      </w:pPr>
      <w:r>
        <w:rPr>
          <w:rFonts w:hint="cs"/>
          <w:sz w:val="24"/>
          <w:rtl/>
        </w:rPr>
        <w:t>כך, על פי מייל ששלחה מנהלת מחלקת לקוחות עסקיים ופיתוח שווקים באגף השיווק לעו"ד מהלשכה המשפטית בחברת החשמל ביום 3.10.2013, במסגרת ישיבת הסמנכ"לים הנ"ל הנחה מנכ"ל חברת החשמל:</w:t>
      </w:r>
    </w:p>
    <w:p w:rsidR="004F25E2" w:rsidRDefault="004F25E2" w:rsidP="004F25E2">
      <w:pPr>
        <w:spacing w:line="240" w:lineRule="auto"/>
        <w:ind w:left="941" w:right="426"/>
        <w:rPr>
          <w:sz w:val="24"/>
          <w:rtl/>
        </w:rPr>
      </w:pPr>
      <w:r>
        <w:rPr>
          <w:rFonts w:hint="cs"/>
          <w:sz w:val="24"/>
          <w:rtl/>
        </w:rPr>
        <w:t xml:space="preserve">"יש לתת שירות דיפרנציאלי ללקוחות כדלקמן: שירות "לקוח עסקי" ללקוח עסקי של </w:t>
      </w:r>
      <w:r w:rsidRPr="00840915">
        <w:rPr>
          <w:rFonts w:hint="cs"/>
          <w:rtl/>
        </w:rPr>
        <w:t>החברה</w:t>
      </w:r>
      <w:r>
        <w:rPr>
          <w:rFonts w:hint="cs"/>
          <w:sz w:val="24"/>
          <w:rtl/>
        </w:rPr>
        <w:t>. שירות שונה ללקוחות עסקיים שרוכשים חשמל מחח"י באופן חלקי. שירות לפי אמות המידה ללקוחות עסקיים הרוכשים חשמל מספקים אחרים. זאת בכפוף לאישור משפטי."</w:t>
      </w:r>
    </w:p>
    <w:p w:rsidR="004F25E2" w:rsidRDefault="004F25E2" w:rsidP="004F25E2">
      <w:pPr>
        <w:rPr>
          <w:sz w:val="24"/>
          <w:rtl/>
        </w:rPr>
      </w:pPr>
      <w:r>
        <w:rPr>
          <w:rFonts w:hint="cs"/>
          <w:sz w:val="24"/>
          <w:rtl/>
        </w:rPr>
        <w:lastRenderedPageBreak/>
        <w:t>לצורך קידום הנושא התבקש אישורה של הלשכה המשפטית ליישום תפיסה זו:</w:t>
      </w:r>
    </w:p>
    <w:p w:rsidR="004F25E2" w:rsidRDefault="004F25E2" w:rsidP="00AF16F3">
      <w:pPr>
        <w:spacing w:line="240" w:lineRule="auto"/>
        <w:ind w:left="941" w:right="426"/>
        <w:rPr>
          <w:sz w:val="24"/>
          <w:rtl/>
        </w:rPr>
      </w:pPr>
      <w:r>
        <w:rPr>
          <w:rFonts w:hint="cs"/>
          <w:sz w:val="24"/>
          <w:rtl/>
        </w:rPr>
        <w:t xml:space="preserve">"המשמעות הינה שללקוח שאינו רוכש חשמל מחח"י, יוסר סימון "לקוח עסקי" במצח ויפסקו שירותים יחודיים כגון: מת"ל, קו ישיר לפיקוח בעת תקלות, קידום הזמנות, הגעה לבית הלקוח וסיוע בפתרון בעיות כגון אמינות ואיכות האספקה, אי הענות לבקשת לקוח הפונה לקבל סיור/ביקור באתר החברה." </w:t>
      </w:r>
    </w:p>
    <w:p w:rsidR="00AD3DB0" w:rsidRDefault="00AD3DB0" w:rsidP="003D532A">
      <w:pPr>
        <w:spacing w:before="0" w:line="240" w:lineRule="auto"/>
        <w:ind w:left="941" w:right="425"/>
        <w:rPr>
          <w:sz w:val="24"/>
          <w:rtl/>
        </w:rPr>
      </w:pPr>
    </w:p>
    <w:p w:rsidR="004F25E2" w:rsidRDefault="004F25E2" w:rsidP="00D9686A">
      <w:pPr>
        <w:rPr>
          <w:rtl/>
        </w:rPr>
      </w:pPr>
      <w:r>
        <w:rPr>
          <w:rFonts w:hint="cs"/>
          <w:rtl/>
        </w:rPr>
        <w:t xml:space="preserve">כפי שיפורט בהרחבה בפרק </w:t>
      </w:r>
      <w:r w:rsidR="00140616">
        <w:rPr>
          <w:rFonts w:hint="cs"/>
          <w:rtl/>
        </w:rPr>
        <w:t xml:space="preserve">ה3 </w:t>
      </w:r>
      <w:r>
        <w:rPr>
          <w:rFonts w:hint="cs"/>
          <w:rtl/>
        </w:rPr>
        <w:t xml:space="preserve">להלן, הייעוץ המשפטי הפנימי של חברת החשמל הבהיר, כי </w:t>
      </w:r>
      <w:r w:rsidRPr="00134030">
        <w:rPr>
          <w:rFonts w:hint="cs"/>
          <w:rtl/>
        </w:rPr>
        <w:t>"</w:t>
      </w:r>
      <w:r w:rsidRPr="002F55BE">
        <w:rPr>
          <w:rFonts w:hint="cs"/>
          <w:rtl/>
        </w:rPr>
        <w:t xml:space="preserve">ביטול שירותי המת"ל ללקוחות שנחשבו בעבר לקוחות עסקיים של החברה ועברו לצרוך חשמל באמצעות מספק </w:t>
      </w:r>
      <w:r w:rsidRPr="002F55BE">
        <w:rPr>
          <w:rFonts w:hint="cs"/>
          <w:sz w:val="24"/>
          <w:rtl/>
        </w:rPr>
        <w:t>אחר</w:t>
      </w:r>
      <w:r w:rsidRPr="002F55BE">
        <w:rPr>
          <w:rFonts w:hint="cs"/>
          <w:rtl/>
        </w:rPr>
        <w:t>, יש בו חשיפה משפטית מתחום ההגבלים העסקיים ולפיכך ההמלצה המשפטית היא להמשיך ולספקו לכל הפחות למספק עצמו"</w:t>
      </w:r>
      <w:r w:rsidRPr="00134030">
        <w:rPr>
          <w:rFonts w:hint="cs"/>
          <w:rtl/>
        </w:rPr>
        <w:t>.</w:t>
      </w:r>
    </w:p>
    <w:p w:rsidR="004F25E2" w:rsidRDefault="004F25E2" w:rsidP="00AF16F3">
      <w:pPr>
        <w:rPr>
          <w:sz w:val="24"/>
          <w:rtl/>
        </w:rPr>
      </w:pPr>
      <w:r>
        <w:rPr>
          <w:rFonts w:hint="cs"/>
          <w:sz w:val="24"/>
          <w:rtl/>
        </w:rPr>
        <w:t xml:space="preserve">כמו כן, על פי סיכום הישיבה הרשמי של אותה ישיבת סמנכ"לים, במסגרת דיון בנושא "שיפור שירות ללקוחות עסקיים </w:t>
      </w:r>
      <w:r>
        <w:rPr>
          <w:sz w:val="24"/>
          <w:rtl/>
        </w:rPr>
        <w:t>–</w:t>
      </w:r>
      <w:r>
        <w:rPr>
          <w:rFonts w:hint="cs"/>
          <w:sz w:val="24"/>
          <w:rtl/>
        </w:rPr>
        <w:t xml:space="preserve"> הנחיות למת"ל" המנכ"ל הורה "לבחון משפטית האם לאתרים קטנים של לקוח עסקי, שנשארו בחח"י, ניתן להתייחס כלקוח קטן." מנכ"ל החברה ציין שהנושא צריך להיבדק משפטית וכי נדרשת תוכנית אסטרטגית בחטיבה </w:t>
      </w:r>
      <w:r>
        <w:rPr>
          <w:sz w:val="24"/>
          <w:rtl/>
        </w:rPr>
        <w:t>–</w:t>
      </w:r>
      <w:r>
        <w:rPr>
          <w:rFonts w:hint="cs"/>
          <w:sz w:val="24"/>
          <w:rtl/>
        </w:rPr>
        <w:t xml:space="preserve"> באחריות המשנה למנכ"ל </w:t>
      </w:r>
      <w:r w:rsidR="00764977">
        <w:rPr>
          <w:rFonts w:hint="cs"/>
          <w:sz w:val="24"/>
          <w:rtl/>
        </w:rPr>
        <w:t>וסמנכ"ל הלקוחות</w:t>
      </w:r>
      <w:r>
        <w:rPr>
          <w:rFonts w:hint="cs"/>
          <w:sz w:val="24"/>
          <w:rtl/>
        </w:rPr>
        <w:t>.</w:t>
      </w:r>
    </w:p>
    <w:p w:rsidR="007C33DC" w:rsidRDefault="00B760DF" w:rsidP="00857E06">
      <w:pPr>
        <w:rPr>
          <w:rtl/>
        </w:rPr>
      </w:pPr>
      <w:r>
        <w:rPr>
          <w:rFonts w:hint="cs"/>
          <w:sz w:val="24"/>
          <w:rtl/>
        </w:rPr>
        <w:t xml:space="preserve">בהתאם </w:t>
      </w:r>
      <w:r w:rsidR="00916522">
        <w:rPr>
          <w:rFonts w:hint="cs"/>
          <w:sz w:val="24"/>
          <w:rtl/>
        </w:rPr>
        <w:t>להנחיות</w:t>
      </w:r>
      <w:r w:rsidR="004F25E2">
        <w:rPr>
          <w:rFonts w:hint="cs"/>
          <w:sz w:val="24"/>
          <w:rtl/>
        </w:rPr>
        <w:t xml:space="preserve"> </w:t>
      </w:r>
      <w:r w:rsidR="00FC0813">
        <w:rPr>
          <w:rFonts w:hint="cs"/>
          <w:rtl/>
        </w:rPr>
        <w:t xml:space="preserve">מאמצע שנת 2013 </w:t>
      </w:r>
      <w:r w:rsidR="004C1C6B">
        <w:rPr>
          <w:rFonts w:hint="cs"/>
          <w:rtl/>
        </w:rPr>
        <w:t>פעלה</w:t>
      </w:r>
      <w:r>
        <w:rPr>
          <w:rFonts w:hint="cs"/>
          <w:rtl/>
        </w:rPr>
        <w:t xml:space="preserve"> חברת</w:t>
      </w:r>
      <w:r w:rsidR="00E3002C">
        <w:rPr>
          <w:rFonts w:hint="cs"/>
          <w:rtl/>
        </w:rPr>
        <w:t xml:space="preserve"> החשמל</w:t>
      </w:r>
      <w:r w:rsidR="00FC0813">
        <w:rPr>
          <w:rFonts w:hint="cs"/>
          <w:rtl/>
        </w:rPr>
        <w:t xml:space="preserve"> להפסקת שירותי המת"ל</w:t>
      </w:r>
      <w:r w:rsidR="0063640B">
        <w:rPr>
          <w:rFonts w:hint="cs"/>
          <w:rtl/>
        </w:rPr>
        <w:t xml:space="preserve"> ללקוחות עסקיים שרכשו חשמל מיצרנים פרטיים</w:t>
      </w:r>
      <w:r w:rsidR="00FC0813">
        <w:rPr>
          <w:rFonts w:hint="cs"/>
          <w:rtl/>
        </w:rPr>
        <w:t xml:space="preserve">. </w:t>
      </w:r>
    </w:p>
    <w:p w:rsidR="00FC0813" w:rsidRDefault="007C33DC" w:rsidP="00D04DB9">
      <w:pPr>
        <w:rPr>
          <w:rtl/>
        </w:rPr>
      </w:pPr>
      <w:r>
        <w:rPr>
          <w:rFonts w:hint="cs"/>
          <w:rtl/>
        </w:rPr>
        <w:t xml:space="preserve">כבר בחודש יולי 2013, </w:t>
      </w:r>
      <w:r w:rsidR="00FC0813">
        <w:rPr>
          <w:rFonts w:hint="cs"/>
          <w:rtl/>
        </w:rPr>
        <w:t>בד בבד עם התקיימותם של דיונים בנושא</w:t>
      </w:r>
      <w:r>
        <w:rPr>
          <w:rFonts w:hint="cs"/>
          <w:rtl/>
        </w:rPr>
        <w:t xml:space="preserve"> וחרף הצהרות החברה </w:t>
      </w:r>
      <w:r w:rsidR="009F7495">
        <w:rPr>
          <w:rFonts w:hint="cs"/>
          <w:rtl/>
        </w:rPr>
        <w:t xml:space="preserve">בפורמים פנימיים שונים </w:t>
      </w:r>
      <w:r>
        <w:rPr>
          <w:rFonts w:hint="cs"/>
          <w:rtl/>
        </w:rPr>
        <w:t>כי הנושא מצוי עדיין בבדיקה</w:t>
      </w:r>
      <w:r w:rsidR="00FC0813">
        <w:rPr>
          <w:rFonts w:hint="cs"/>
          <w:rtl/>
        </w:rPr>
        <w:t xml:space="preserve">, הפיצה מנהלת אגף השיווק למנהלי </w:t>
      </w:r>
      <w:r w:rsidR="00916522">
        <w:rPr>
          <w:rFonts w:hint="cs"/>
          <w:rtl/>
        </w:rPr>
        <w:t xml:space="preserve">מחוזות חברת החשמל </w:t>
      </w:r>
      <w:r w:rsidR="00FC0813">
        <w:rPr>
          <w:rFonts w:hint="cs"/>
          <w:rtl/>
        </w:rPr>
        <w:t>מזכר בנושא "הנחיות בנושא פניית לקוחות בעלי כוונת רכישת חשמל מאחר." למזכר צורף קובץ הנחיות לניהול דיאלוג עם לקוחות המתעניי</w:t>
      </w:r>
      <w:r w:rsidR="00D04DB9">
        <w:rPr>
          <w:rFonts w:hint="cs"/>
          <w:rtl/>
        </w:rPr>
        <w:t>נים ברכישת חשמל מיצרנים פרטיים:</w:t>
      </w:r>
    </w:p>
    <w:p w:rsidR="00FC0813" w:rsidRPr="00300D38" w:rsidRDefault="00FC0813" w:rsidP="00FC0813">
      <w:pPr>
        <w:spacing w:line="240" w:lineRule="auto"/>
        <w:ind w:left="941" w:right="426"/>
        <w:rPr>
          <w:rtl/>
        </w:rPr>
      </w:pPr>
      <w:r w:rsidRPr="00300D38">
        <w:rPr>
          <w:rFonts w:hint="cs"/>
          <w:rtl/>
        </w:rPr>
        <w:t xml:space="preserve">5. "האם לקוחות המספקים ימשיכו ליהנות משירותי מנהל תיק לקוח?". </w:t>
      </w:r>
    </w:p>
    <w:p w:rsidR="00FC0813" w:rsidRPr="00300D38" w:rsidRDefault="00FC0813" w:rsidP="00FC0813">
      <w:pPr>
        <w:spacing w:line="240" w:lineRule="auto"/>
        <w:ind w:left="941" w:right="426"/>
        <w:rPr>
          <w:rtl/>
        </w:rPr>
      </w:pPr>
      <w:r w:rsidRPr="00300D38">
        <w:rPr>
          <w:rFonts w:hint="cs"/>
          <w:rtl/>
        </w:rPr>
        <w:t xml:space="preserve">"השירות באמצעות המת"ל ישתנה ככל הנראה וייתכן שאף יופסק ללקוחות המספקים בהיותו שירות שחח"י אינה מחויבת לספקו לפי אמות המידה והוא ניתן כיום מעבר לסל השירותים המחויבים באמות המידה." </w:t>
      </w:r>
    </w:p>
    <w:p w:rsidR="00FC0813" w:rsidRPr="00300D38" w:rsidRDefault="00FC0813" w:rsidP="00FC0813">
      <w:pPr>
        <w:spacing w:line="240" w:lineRule="auto"/>
        <w:ind w:left="941" w:right="426"/>
        <w:rPr>
          <w:rtl/>
        </w:rPr>
      </w:pPr>
      <w:r w:rsidRPr="00300D38">
        <w:rPr>
          <w:rFonts w:hint="cs"/>
          <w:rtl/>
        </w:rPr>
        <w:t xml:space="preserve">6. "האם תהיה התייחסות אחרת של חח"י בטיפול בהפסקות מתוכננות/תקלות/הפרעות/השלות?" </w:t>
      </w:r>
    </w:p>
    <w:p w:rsidR="00FC0813" w:rsidRPr="00300D38" w:rsidRDefault="00FC0813" w:rsidP="00FC0813">
      <w:pPr>
        <w:spacing w:line="240" w:lineRule="auto"/>
        <w:ind w:left="941" w:right="426"/>
        <w:rPr>
          <w:rtl/>
        </w:rPr>
      </w:pPr>
      <w:r w:rsidRPr="00300D38">
        <w:rPr>
          <w:rFonts w:hint="cs"/>
          <w:rtl/>
        </w:rPr>
        <w:t>"לקוחות מספקים יטופלו כפי שמטופלים כל לקוחות החברה."</w:t>
      </w:r>
    </w:p>
    <w:p w:rsidR="00FC0813" w:rsidRPr="00300D38" w:rsidRDefault="00FC0813" w:rsidP="00FC0813">
      <w:pPr>
        <w:spacing w:line="240" w:lineRule="auto"/>
        <w:ind w:left="941" w:right="426"/>
        <w:rPr>
          <w:rtl/>
        </w:rPr>
      </w:pPr>
      <w:r w:rsidRPr="00300D38">
        <w:rPr>
          <w:rFonts w:hint="cs"/>
          <w:rtl/>
        </w:rPr>
        <w:t xml:space="preserve">18. "למי פונה לקוח מספק לגבי תלונה?" </w:t>
      </w:r>
    </w:p>
    <w:p w:rsidR="00FC0813" w:rsidRPr="00300D38" w:rsidRDefault="00FC0813" w:rsidP="00FC0813">
      <w:pPr>
        <w:spacing w:line="240" w:lineRule="auto"/>
        <w:ind w:left="941" w:right="426"/>
        <w:rPr>
          <w:rtl/>
        </w:rPr>
      </w:pPr>
      <w:r w:rsidRPr="00300D38">
        <w:rPr>
          <w:rFonts w:hint="cs"/>
          <w:rtl/>
        </w:rPr>
        <w:t>"במקרה של תלונה הנוגעת להיבט תפעולי/טכני (כולל הזמנות חיבור), יפנה לקוח המספק לחח"י-למוקד '103' או לאזור הגיאוגרפי אליו הוא שייך. במקרה של תלונה הנוגעת להיבט פיננסי יפנה הלקוח למספק".</w:t>
      </w:r>
    </w:p>
    <w:p w:rsidR="00FC0813" w:rsidRDefault="00FC0813" w:rsidP="00FC0813">
      <w:pPr>
        <w:rPr>
          <w:sz w:val="24"/>
          <w:rtl/>
        </w:rPr>
      </w:pPr>
      <w:r>
        <w:rPr>
          <w:rFonts w:hint="cs"/>
          <w:rtl/>
        </w:rPr>
        <w:t>מנהלי המחוזות התבקשו להפיץ את הנוהל לגורמים הרלוונטיים במחוז.</w:t>
      </w:r>
    </w:p>
    <w:p w:rsidR="00FC0813" w:rsidRDefault="00FC0813" w:rsidP="00AF16F3">
      <w:pPr>
        <w:rPr>
          <w:rtl/>
        </w:rPr>
      </w:pPr>
      <w:r w:rsidRPr="000227A5">
        <w:rPr>
          <w:rFonts w:hint="cs"/>
          <w:rtl/>
        </w:rPr>
        <w:t xml:space="preserve">בחודש ספטמבר </w:t>
      </w:r>
      <w:r>
        <w:rPr>
          <w:rFonts w:hint="cs"/>
          <w:rtl/>
        </w:rPr>
        <w:t xml:space="preserve">2014 </w:t>
      </w:r>
      <w:r w:rsidRPr="000227A5">
        <w:rPr>
          <w:rFonts w:hint="cs"/>
          <w:rtl/>
        </w:rPr>
        <w:t xml:space="preserve">חודדו שוב ההנחיות למחוזות חברת החשמל. </w:t>
      </w:r>
      <w:r>
        <w:rPr>
          <w:rFonts w:hint="cs"/>
          <w:rtl/>
        </w:rPr>
        <w:t>מנהלת אגף השיווק</w:t>
      </w:r>
      <w:r w:rsidRPr="000227A5">
        <w:rPr>
          <w:rtl/>
        </w:rPr>
        <w:t xml:space="preserve"> </w:t>
      </w:r>
      <w:r w:rsidR="007C33DC" w:rsidRPr="000227A5">
        <w:rPr>
          <w:rFonts w:hint="cs"/>
          <w:rtl/>
        </w:rPr>
        <w:t xml:space="preserve">הפיצה </w:t>
      </w:r>
      <w:r w:rsidRPr="000227A5">
        <w:rPr>
          <w:rtl/>
        </w:rPr>
        <w:t>"הוראת שעה התוכנית לשימור לקוחות והקמת מנהלת לקוחות עסקיים</w:t>
      </w:r>
      <w:r w:rsidRPr="000227A5">
        <w:rPr>
          <w:rFonts w:hint="cs"/>
          <w:rtl/>
        </w:rPr>
        <w:t>"</w:t>
      </w:r>
      <w:r>
        <w:rPr>
          <w:rFonts w:hint="cs"/>
          <w:rtl/>
        </w:rPr>
        <w:t>, בין היתר ל</w:t>
      </w:r>
      <w:r w:rsidRPr="000227A5">
        <w:rPr>
          <w:rFonts w:hint="cs"/>
          <w:rtl/>
        </w:rPr>
        <w:t>מנהלי המחוזות וראשי מדור לקוחות עסקיים במחוזות. למזכר צורף מסמך "עקרונות מדיניות השירות ללקוחות עסקיים" בו</w:t>
      </w:r>
      <w:r>
        <w:rPr>
          <w:rFonts w:hint="cs"/>
          <w:rtl/>
        </w:rPr>
        <w:t xml:space="preserve"> נכתב בפרק העוסק בשימור לקוחות:</w:t>
      </w:r>
    </w:p>
    <w:p w:rsidR="00FC0813" w:rsidRDefault="00FC0813" w:rsidP="00FC0813">
      <w:pPr>
        <w:spacing w:line="240" w:lineRule="auto"/>
        <w:ind w:left="941" w:right="426"/>
        <w:rPr>
          <w:rtl/>
        </w:rPr>
      </w:pPr>
      <w:r>
        <w:rPr>
          <w:rFonts w:hint="cs"/>
          <w:rtl/>
        </w:rPr>
        <w:t>"</w:t>
      </w:r>
      <w:r w:rsidRPr="000227A5">
        <w:rPr>
          <w:rFonts w:hint="cs"/>
          <w:rtl/>
        </w:rPr>
        <w:t>יצירת ערוצי וסלי שירותים המותאמים לכל פלח. לקוחות הרוכשים חשמל ממספקים פרטיים יקבלו את סל השירותים, אשר מוגדר באמות המידה."</w:t>
      </w:r>
      <w:r>
        <w:rPr>
          <w:rFonts w:hint="cs"/>
          <w:rtl/>
        </w:rPr>
        <w:t xml:space="preserve"> </w:t>
      </w:r>
    </w:p>
    <w:p w:rsidR="00FC0813" w:rsidRDefault="00FC0813" w:rsidP="00FC0813">
      <w:pPr>
        <w:rPr>
          <w:rtl/>
        </w:rPr>
      </w:pPr>
      <w:r>
        <w:rPr>
          <w:rFonts w:hint="cs"/>
          <w:rtl/>
        </w:rPr>
        <w:lastRenderedPageBreak/>
        <w:t xml:space="preserve">להוראת השעה צורף קובץ "תסריטי שיחה שאלות ותשובות בנושא דיאלוג עם לקוחות הרוכשים/מתעניינים ברכישת חשמל ממספק, כולל כללי מותר ואסור". גם כאן נכתב: </w:t>
      </w:r>
    </w:p>
    <w:p w:rsidR="00FC0813" w:rsidRDefault="00FA5AD7" w:rsidP="00D9686A">
      <w:pPr>
        <w:rPr>
          <w:rtl/>
        </w:rPr>
      </w:pPr>
      <w:r>
        <w:rPr>
          <w:rFonts w:hint="cs"/>
          <w:rtl/>
        </w:rPr>
        <w:t xml:space="preserve">במענה לשאלה </w:t>
      </w:r>
      <w:r w:rsidR="00FC0813">
        <w:rPr>
          <w:rFonts w:hint="cs"/>
          <w:rtl/>
        </w:rPr>
        <w:t>"האם לקוחות המספקים ימשיכו ליהנות משירותי מנהל תיק לקוח?":</w:t>
      </w:r>
    </w:p>
    <w:p w:rsidR="00FC0813" w:rsidRDefault="00FC0813" w:rsidP="00FC0813">
      <w:pPr>
        <w:spacing w:line="240" w:lineRule="auto"/>
        <w:ind w:left="941" w:right="426"/>
        <w:rPr>
          <w:rtl/>
        </w:rPr>
      </w:pPr>
      <w:r>
        <w:rPr>
          <w:rFonts w:hint="cs"/>
          <w:rtl/>
        </w:rPr>
        <w:t>".....לאור זאת, השירות באמצעות המת"ל קרוב לוודאי שיופסק ללקוחות המספקים, בהיותו שירות שחח"י אינה מחויבת לספקו לפי אמות המידה והוא יינתן במתכונתו ותכולתו החדשים, מעבר לסל השירותים המחויבים באמות המידה."</w:t>
      </w:r>
    </w:p>
    <w:p w:rsidR="00FC0813" w:rsidRDefault="00FA5AD7" w:rsidP="00FC0813">
      <w:pPr>
        <w:rPr>
          <w:rtl/>
        </w:rPr>
      </w:pPr>
      <w:r>
        <w:rPr>
          <w:rFonts w:hint="cs"/>
          <w:rtl/>
        </w:rPr>
        <w:t xml:space="preserve">ובמענה לשאלה </w:t>
      </w:r>
      <w:r w:rsidR="00FC0813">
        <w:rPr>
          <w:rFonts w:hint="cs"/>
          <w:rtl/>
        </w:rPr>
        <w:t>"האם תהיה התייחסות אחרת של חח"י בטיפול בהפסקות מתוכננות/תקלות/הפרעות/השלות?" נכתב:</w:t>
      </w:r>
    </w:p>
    <w:p w:rsidR="00FC0813" w:rsidRDefault="00FC0813" w:rsidP="00FC0813">
      <w:pPr>
        <w:spacing w:line="240" w:lineRule="auto"/>
        <w:ind w:left="941" w:right="426"/>
        <w:rPr>
          <w:rtl/>
        </w:rPr>
      </w:pPr>
      <w:r>
        <w:rPr>
          <w:rFonts w:hint="cs"/>
          <w:rtl/>
        </w:rPr>
        <w:t>"לקוחות מספקים יטופלו כפי שטופלים כל לקוחות החברה בהתאם לאפשרויות התפעוליות והלוגיסטיות."</w:t>
      </w:r>
    </w:p>
    <w:p w:rsidR="00FC0813" w:rsidRDefault="00FA5AD7" w:rsidP="00FC0813">
      <w:pPr>
        <w:spacing w:line="240" w:lineRule="auto"/>
        <w:ind w:right="426"/>
        <w:rPr>
          <w:rtl/>
        </w:rPr>
      </w:pPr>
      <w:r>
        <w:rPr>
          <w:rFonts w:hint="cs"/>
          <w:rtl/>
        </w:rPr>
        <w:t xml:space="preserve">וכך גם, במענה לשאלה </w:t>
      </w:r>
      <w:r w:rsidR="00FC0813">
        <w:rPr>
          <w:rFonts w:hint="cs"/>
          <w:rtl/>
        </w:rPr>
        <w:t>"למי פונה לקוח מספק לגבי תלונה", נכתב:</w:t>
      </w:r>
    </w:p>
    <w:p w:rsidR="00FC0813" w:rsidRDefault="00FC0813" w:rsidP="00FC0813">
      <w:pPr>
        <w:spacing w:line="240" w:lineRule="auto"/>
        <w:ind w:left="941" w:right="426"/>
        <w:rPr>
          <w:rtl/>
        </w:rPr>
      </w:pPr>
      <w:r>
        <w:rPr>
          <w:rFonts w:hint="cs"/>
          <w:rtl/>
        </w:rPr>
        <w:t>"במקרה של תלונה הנוגעת להיבט תפעול/טכני (כולל הזמנות חיבור), יפנה לקוח המספק לחח"י-למוקד '103' או לאזור הגיאוגרפי אליו הוא שייך. במקרה של תלונה הנוגעת להיבט הפיננסי, יפנה הלקוח למספק."</w:t>
      </w:r>
    </w:p>
    <w:p w:rsidR="007C33DC" w:rsidRDefault="007C33DC" w:rsidP="00521DAB">
      <w:pPr>
        <w:rPr>
          <w:rtl/>
        </w:rPr>
      </w:pPr>
      <w:r>
        <w:rPr>
          <w:rFonts w:hint="cs"/>
          <w:rtl/>
        </w:rPr>
        <w:t>בחודש אוקטובר 2014, בעקבות הנחיית מנכ"ל החברה, הופץ והוטמע במערכת ה-</w:t>
      </w:r>
      <w:r>
        <w:t>CRM</w:t>
      </w:r>
      <w:r>
        <w:rPr>
          <w:rFonts w:hint="cs"/>
          <w:rtl/>
        </w:rPr>
        <w:t xml:space="preserve"> הפנימית של חברת החשמל </w:t>
      </w:r>
      <w:r w:rsidR="00521DAB">
        <w:rPr>
          <w:rFonts w:hint="cs"/>
          <w:rtl/>
        </w:rPr>
        <w:t xml:space="preserve">נוסח שיחה למוקדני החברה </w:t>
      </w:r>
      <w:r>
        <w:rPr>
          <w:rFonts w:hint="cs"/>
          <w:rtl/>
        </w:rPr>
        <w:t>בנושא "מענה ללקוחות שעברו לרכוש חשמל ממספקי חשמל פרטיים":</w:t>
      </w:r>
    </w:p>
    <w:p w:rsidR="007C33DC" w:rsidRDefault="007C33DC" w:rsidP="007C33DC">
      <w:pPr>
        <w:spacing w:line="240" w:lineRule="auto"/>
        <w:ind w:left="941" w:right="426"/>
        <w:rPr>
          <w:rtl/>
        </w:rPr>
      </w:pPr>
      <w:r>
        <w:rPr>
          <w:rFonts w:hint="cs"/>
          <w:rtl/>
        </w:rPr>
        <w:t xml:space="preserve"> "</w:t>
      </w:r>
      <w:r w:rsidRPr="000F46A9">
        <w:rPr>
          <w:rtl/>
        </w:rPr>
        <w:t xml:space="preserve">שאלה: "עברנו לרכוש חשמל ממספק פרטי. למי עלי לפנות במידה ויש לי תקלה באספקת החשמל? </w:t>
      </w:r>
    </w:p>
    <w:p w:rsidR="007C33DC" w:rsidRDefault="007C33DC" w:rsidP="007C33DC">
      <w:pPr>
        <w:spacing w:line="240" w:lineRule="auto"/>
        <w:ind w:left="941" w:right="426"/>
        <w:rPr>
          <w:rtl/>
        </w:rPr>
      </w:pPr>
      <w:r w:rsidRPr="000F46A9">
        <w:rPr>
          <w:rtl/>
        </w:rPr>
        <w:t xml:space="preserve">תשובה: עליך להתקשר למוקד 103. </w:t>
      </w:r>
    </w:p>
    <w:p w:rsidR="007C33DC" w:rsidRDefault="007C33DC" w:rsidP="007C33DC">
      <w:pPr>
        <w:spacing w:line="240" w:lineRule="auto"/>
        <w:ind w:left="941" w:right="426"/>
        <w:rPr>
          <w:rtl/>
        </w:rPr>
      </w:pPr>
      <w:r w:rsidRPr="000F46A9">
        <w:rPr>
          <w:rtl/>
        </w:rPr>
        <w:t xml:space="preserve">שאלה: למי עלי לפנות במקרה של תלונה? </w:t>
      </w:r>
    </w:p>
    <w:p w:rsidR="007C33DC" w:rsidRPr="000F46A9" w:rsidRDefault="007C33DC" w:rsidP="00AF16F3">
      <w:pPr>
        <w:spacing w:line="240" w:lineRule="auto"/>
        <w:ind w:left="941" w:right="426"/>
      </w:pPr>
      <w:r w:rsidRPr="000F46A9">
        <w:rPr>
          <w:rtl/>
        </w:rPr>
        <w:t>תשובה: במקרה של תלונה הנוגעת להיבט תפעולי/טכני (כולל הזמנות חיבור) עליך לפנות למוקד 103.</w:t>
      </w:r>
      <w:r>
        <w:rPr>
          <w:rFonts w:hint="cs"/>
          <w:rtl/>
        </w:rPr>
        <w:t>"</w:t>
      </w:r>
    </w:p>
    <w:p w:rsidR="007C33DC" w:rsidRDefault="007C33DC" w:rsidP="00521DAB">
      <w:pPr>
        <w:rPr>
          <w:rtl/>
        </w:rPr>
      </w:pPr>
      <w:r>
        <w:rPr>
          <w:rFonts w:hint="cs"/>
          <w:rtl/>
        </w:rPr>
        <w:t xml:space="preserve">הנה כי כן, חברת החשמל הפיצה הנחיות לעובדי החברה, לפיהן שירות המת"ל יופסק ללקוחות שעברו לרכוש חשמל מיצרנים פרטיים. עובדי החברה הונחו כיצד עליהם להשיב לשאלות הנוגעות להפסקת השירות וזאת, גם בנוגע לשירותי מת"ל הנוגעים למקטעי ההולכה והחלוקה. </w:t>
      </w:r>
    </w:p>
    <w:p w:rsidR="00FC0813" w:rsidRPr="00E22AD4" w:rsidRDefault="007C33DC" w:rsidP="00DA4579">
      <w:r>
        <w:rPr>
          <w:rFonts w:hint="cs"/>
          <w:rtl/>
        </w:rPr>
        <w:t>חברת החשמל לא הסתפקה בהנחיות לעובדי החברה ו</w:t>
      </w:r>
      <w:r w:rsidR="00FC0813">
        <w:rPr>
          <w:rFonts w:hint="cs"/>
          <w:rtl/>
        </w:rPr>
        <w:t xml:space="preserve">בחודשים ספטמבר-דצמבר </w:t>
      </w:r>
      <w:r w:rsidR="00FC0813" w:rsidRPr="00CF04A0">
        <w:rPr>
          <w:rFonts w:hint="cs"/>
          <w:rtl/>
        </w:rPr>
        <w:t>2014 שינתה את נוהל לקוחות עסקיים</w:t>
      </w:r>
      <w:r>
        <w:rPr>
          <w:rFonts w:hint="cs"/>
          <w:rtl/>
        </w:rPr>
        <w:t xml:space="preserve"> הפנימי שלה</w:t>
      </w:r>
      <w:r w:rsidR="00FC0813" w:rsidRPr="00CF04A0">
        <w:rPr>
          <w:rFonts w:hint="cs"/>
          <w:rtl/>
        </w:rPr>
        <w:t>, אשר מגדיר מי יהיה זכאי לקבל שירות מת"ל</w:t>
      </w:r>
      <w:r>
        <w:rPr>
          <w:rFonts w:hint="cs"/>
          <w:rtl/>
        </w:rPr>
        <w:t xml:space="preserve">. חברת החשמל שינתה את </w:t>
      </w:r>
      <w:r w:rsidR="00FC0813" w:rsidRPr="00CF04A0">
        <w:rPr>
          <w:rFonts w:hint="cs"/>
          <w:rtl/>
        </w:rPr>
        <w:t xml:space="preserve">הגדרת "לקוחות עסקיים" בנוהל </w:t>
      </w:r>
      <w:r>
        <w:rPr>
          <w:rFonts w:hint="cs"/>
          <w:rtl/>
        </w:rPr>
        <w:t xml:space="preserve">כך שזו </w:t>
      </w:r>
      <w:r w:rsidR="00FC0813" w:rsidRPr="00CF04A0">
        <w:rPr>
          <w:rFonts w:hint="cs"/>
          <w:rtl/>
        </w:rPr>
        <w:t xml:space="preserve">לא </w:t>
      </w:r>
      <w:r>
        <w:rPr>
          <w:rFonts w:hint="cs"/>
          <w:rtl/>
        </w:rPr>
        <w:t xml:space="preserve">תכלול </w:t>
      </w:r>
      <w:r w:rsidR="00FC0813" w:rsidRPr="00CF04A0">
        <w:rPr>
          <w:rFonts w:hint="cs"/>
          <w:rtl/>
        </w:rPr>
        <w:t>לקוחות אשר עברו לרכוש חשמל מיצרן חשמל פרטי.</w:t>
      </w:r>
      <w:r w:rsidR="00FC0813" w:rsidRPr="00CF04A0">
        <w:rPr>
          <w:rStyle w:val="FootnoteReference"/>
        </w:rPr>
        <w:t xml:space="preserve"> </w:t>
      </w:r>
      <w:r w:rsidR="00FC0813" w:rsidRPr="00CF04A0">
        <w:rPr>
          <w:rStyle w:val="FootnoteReference"/>
        </w:rPr>
        <w:footnoteReference w:id="22"/>
      </w:r>
    </w:p>
    <w:p w:rsidR="00FC0813" w:rsidRDefault="00FC0813" w:rsidP="00FC0813">
      <w:pPr>
        <w:rPr>
          <w:rtl/>
        </w:rPr>
      </w:pPr>
      <w:r>
        <w:rPr>
          <w:rFonts w:hint="cs"/>
          <w:rtl/>
        </w:rPr>
        <w:lastRenderedPageBreak/>
        <w:t>מטרת</w:t>
      </w:r>
      <w:r w:rsidRPr="00486182">
        <w:rPr>
          <w:rFonts w:hint="cs"/>
          <w:rtl/>
        </w:rPr>
        <w:t xml:space="preserve"> </w:t>
      </w:r>
      <w:r>
        <w:rPr>
          <w:rFonts w:hint="cs"/>
          <w:rtl/>
        </w:rPr>
        <w:t>ה</w:t>
      </w:r>
      <w:r w:rsidRPr="00486182">
        <w:rPr>
          <w:rFonts w:hint="cs"/>
          <w:rtl/>
        </w:rPr>
        <w:t xml:space="preserve">שינוי </w:t>
      </w:r>
      <w:r>
        <w:rPr>
          <w:rFonts w:hint="cs"/>
          <w:rtl/>
        </w:rPr>
        <w:t>נלמדת</w:t>
      </w:r>
      <w:r w:rsidRPr="00486182">
        <w:rPr>
          <w:rFonts w:hint="cs"/>
          <w:rtl/>
        </w:rPr>
        <w:t xml:space="preserve"> </w:t>
      </w:r>
      <w:r>
        <w:rPr>
          <w:rFonts w:hint="cs"/>
          <w:rtl/>
        </w:rPr>
        <w:t xml:space="preserve">בין היתר </w:t>
      </w:r>
      <w:r w:rsidRPr="00486182">
        <w:rPr>
          <w:rFonts w:hint="cs"/>
          <w:rtl/>
        </w:rPr>
        <w:t xml:space="preserve">מתכתובת </w:t>
      </w:r>
      <w:r>
        <w:rPr>
          <w:rFonts w:hint="cs"/>
          <w:rtl/>
        </w:rPr>
        <w:t>ממייל שנשלח ביום 30.11.2014 מעובדת אגף השיווק של חברת החשמל, למנהלת אגף השיווק וסגניתה בו נכתב:</w:t>
      </w:r>
    </w:p>
    <w:p w:rsidR="00FC0813" w:rsidRDefault="00FC0813" w:rsidP="00EA2507">
      <w:pPr>
        <w:spacing w:line="240" w:lineRule="auto"/>
        <w:ind w:left="941" w:right="426"/>
        <w:rPr>
          <w:rtl/>
        </w:rPr>
      </w:pPr>
      <w:r>
        <w:rPr>
          <w:rFonts w:hint="cs"/>
          <w:rtl/>
        </w:rPr>
        <w:t xml:space="preserve"> "מצ"ב</w:t>
      </w:r>
      <w:r>
        <w:t xml:space="preserve"> </w:t>
      </w:r>
      <w:r>
        <w:rPr>
          <w:rFonts w:hint="cs"/>
          <w:rtl/>
        </w:rPr>
        <w:t>עדכון נוסף לאישורכן בנושא הגדרת לקוח עסקי...במטרה למנוע מצב של מתן שירות "</w:t>
      </w:r>
      <w:r>
        <w:t>VIP</w:t>
      </w:r>
      <w:r>
        <w:rPr>
          <w:rFonts w:hint="cs"/>
          <w:rtl/>
        </w:rPr>
        <w:t>" ללקוח של מספק פרטי...".</w:t>
      </w:r>
    </w:p>
    <w:p w:rsidR="00FC0813" w:rsidRDefault="00FC0813" w:rsidP="00FC0813">
      <w:pPr>
        <w:rPr>
          <w:rtl/>
        </w:rPr>
      </w:pPr>
      <w:r>
        <w:rPr>
          <w:rFonts w:hint="cs"/>
          <w:rtl/>
        </w:rPr>
        <w:t>על המשמעות של שינוי הנוהל ניתן ללמוד מהתכתבות פנימית שנערכה בין הממונה על שירות ללקוחות עסקיים במחוז חיפה עם גורמים באגף השיווק ביום 10.12.2014:</w:t>
      </w:r>
    </w:p>
    <w:p w:rsidR="00FC0813" w:rsidRPr="000B7695" w:rsidRDefault="00FC0813" w:rsidP="00EA2507">
      <w:pPr>
        <w:spacing w:line="240" w:lineRule="auto"/>
        <w:ind w:left="941" w:right="426"/>
      </w:pPr>
      <w:r w:rsidRPr="00734CB6">
        <w:rPr>
          <w:rFonts w:hint="cs"/>
          <w:rtl/>
        </w:rPr>
        <w:t>"</w:t>
      </w:r>
      <w:r>
        <w:rPr>
          <w:rFonts w:hint="cs"/>
          <w:rtl/>
        </w:rPr>
        <w:t>...</w:t>
      </w:r>
      <w:r w:rsidRPr="00734CB6">
        <w:rPr>
          <w:rFonts w:hint="cs"/>
          <w:rtl/>
        </w:rPr>
        <w:t xml:space="preserve"> קיבלנו הנחיה להסיר להם סימון "עסקי", אין להם מת"ל, הם מופנים ל-103, הם לא רשומים ב-</w:t>
      </w:r>
      <w:r w:rsidRPr="00734CB6">
        <w:rPr>
          <w:rFonts w:hint="cs"/>
        </w:rPr>
        <w:t>CRM</w:t>
      </w:r>
      <w:r w:rsidRPr="00734CB6">
        <w:rPr>
          <w:rFonts w:hint="cs"/>
          <w:rtl/>
        </w:rPr>
        <w:t xml:space="preserve"> לקוחות עסקיים אז גם אין</w:t>
      </w:r>
      <w:r>
        <w:rPr>
          <w:rFonts w:hint="cs"/>
          <w:rtl/>
        </w:rPr>
        <w:t xml:space="preserve"> היכן לתעד את הפעילות מולם..</w:t>
      </w:r>
      <w:r w:rsidRPr="00734CB6">
        <w:rPr>
          <w:rFonts w:hint="cs"/>
          <w:rtl/>
        </w:rPr>
        <w:t>.</w:t>
      </w:r>
      <w:r>
        <w:rPr>
          <w:rFonts w:hint="cs"/>
          <w:rtl/>
        </w:rPr>
        <w:t>"</w:t>
      </w:r>
    </w:p>
    <w:p w:rsidR="00FC0813" w:rsidRDefault="00FC0813" w:rsidP="00EA2507">
      <w:pPr>
        <w:rPr>
          <w:rtl/>
        </w:rPr>
      </w:pPr>
      <w:r>
        <w:rPr>
          <w:rFonts w:hint="cs"/>
          <w:rtl/>
        </w:rPr>
        <w:t xml:space="preserve">הנה כי כן, פעולות שביצעה חברת החשמל </w:t>
      </w:r>
      <w:r>
        <w:rPr>
          <w:rtl/>
        </w:rPr>
        <w:t>–</w:t>
      </w:r>
      <w:r>
        <w:rPr>
          <w:rFonts w:hint="cs"/>
          <w:rtl/>
        </w:rPr>
        <w:t xml:space="preserve"> הפצת תסריטי שיחה בין מת"לים ללקוחות השוקלים מעבר ליצרן פרטי, ושינוי נוהל לקוחות עסקיים </w:t>
      </w:r>
      <w:r>
        <w:rPr>
          <w:rtl/>
        </w:rPr>
        <w:t>–</w:t>
      </w:r>
      <w:r>
        <w:rPr>
          <w:rFonts w:hint="cs"/>
          <w:rtl/>
        </w:rPr>
        <w:t xml:space="preserve"> </w:t>
      </w:r>
      <w:r w:rsidR="001725F1">
        <w:rPr>
          <w:rFonts w:hint="cs"/>
          <w:rtl/>
        </w:rPr>
        <w:t>הביאו</w:t>
      </w:r>
      <w:r>
        <w:rPr>
          <w:rFonts w:hint="cs"/>
          <w:rtl/>
        </w:rPr>
        <w:t xml:space="preserve"> להפסקת שירותי המת"ל ללקוחות שעברו לצרוך חשמל מיצרנים פרטיים. על אף הרטוריקה לפיה "טרם התקבלה החלטה" בנושא הפסקת שירותי המת"ל בפועל, נדרשו עובדי החברה ליישם את מדיניות החברה בדבר הפסקת שירותי מת"ל ללקוחות שעברו לצרוך חשמל מיצרנים פרטיים</w:t>
      </w:r>
      <w:r w:rsidR="00D62D04">
        <w:rPr>
          <w:rFonts w:hint="cs"/>
          <w:rtl/>
        </w:rPr>
        <w:t>.</w:t>
      </w:r>
    </w:p>
    <w:p w:rsidR="00CF7ED8" w:rsidRPr="00E36EF4" w:rsidRDefault="00CF7ED8" w:rsidP="003A0130">
      <w:r>
        <w:rPr>
          <w:rFonts w:hint="cs"/>
          <w:rtl/>
        </w:rPr>
        <w:t xml:space="preserve">יוער למען שלמות התמונה, כי </w:t>
      </w:r>
      <w:r w:rsidRPr="00703CED">
        <w:rPr>
          <w:rFonts w:hint="cs"/>
          <w:rtl/>
        </w:rPr>
        <w:t xml:space="preserve">ככל הנראה חלק </w:t>
      </w:r>
      <w:r>
        <w:rPr>
          <w:rFonts w:hint="cs"/>
          <w:rtl/>
        </w:rPr>
        <w:t>ממנהלי</w:t>
      </w:r>
      <w:r w:rsidRPr="00703CED">
        <w:rPr>
          <w:rFonts w:hint="cs"/>
          <w:rtl/>
        </w:rPr>
        <w:t xml:space="preserve"> חברת החשמל התנגדו </w:t>
      </w:r>
      <w:r>
        <w:rPr>
          <w:rFonts w:hint="cs"/>
          <w:rtl/>
        </w:rPr>
        <w:t>לפעולות שביצעה חברת החשמל ל</w:t>
      </w:r>
      <w:r w:rsidRPr="00703CED">
        <w:rPr>
          <w:rFonts w:hint="cs"/>
          <w:rtl/>
        </w:rPr>
        <w:t xml:space="preserve">הפסקת שירותי המת"ל. </w:t>
      </w:r>
      <w:r>
        <w:rPr>
          <w:rFonts w:hint="cs"/>
          <w:rtl/>
        </w:rPr>
        <w:t>מנגד, לאורך הדרך נשמעו קולות המבקרים את חוסר האחידות בין המחוזות ואת העובדה כי מהלך</w:t>
      </w:r>
      <w:r w:rsidR="003A0130">
        <w:rPr>
          <w:rFonts w:hint="cs"/>
          <w:rtl/>
        </w:rPr>
        <w:t xml:space="preserve"> הפסקת המת"ל</w:t>
      </w:r>
      <w:r>
        <w:rPr>
          <w:rFonts w:hint="cs"/>
          <w:rtl/>
        </w:rPr>
        <w:t xml:space="preserve"> לא הושלם וכי יש לקוחות שעדיין אינם יודעים כי הם עתידים להיפגע כתוצאה ממעבר ליצרן פרטי. </w:t>
      </w:r>
    </w:p>
    <w:p w:rsidR="00FC0813" w:rsidRDefault="007C7BFE" w:rsidP="00EA2507">
      <w:pPr>
        <w:rPr>
          <w:rtl/>
        </w:rPr>
      </w:pPr>
      <w:r>
        <w:rPr>
          <w:rFonts w:hint="cs"/>
          <w:rtl/>
        </w:rPr>
        <w:t>כך או כך</w:t>
      </w:r>
      <w:r w:rsidR="006D06A7">
        <w:rPr>
          <w:rFonts w:hint="cs"/>
          <w:rtl/>
        </w:rPr>
        <w:t xml:space="preserve">, </w:t>
      </w:r>
      <w:r w:rsidR="007C33DC">
        <w:rPr>
          <w:rFonts w:hint="cs"/>
          <w:rtl/>
        </w:rPr>
        <w:t xml:space="preserve">המסר שיצא מהנהלת החברה הופנם בקרב מחוזות חברת החשמל ומנהלי תיק הלקוח. בהתאם, בסמוך לאחר הפצת תסריטי השיחה </w:t>
      </w:r>
      <w:r w:rsidR="006D06A7">
        <w:rPr>
          <w:rFonts w:hint="cs"/>
          <w:rtl/>
        </w:rPr>
        <w:t xml:space="preserve">בחודש יולי 2013 </w:t>
      </w:r>
      <w:r w:rsidR="007C33DC">
        <w:rPr>
          <w:rFonts w:hint="cs"/>
          <w:rtl/>
        </w:rPr>
        <w:t>החלו עובדי החברה להודיע ללקוחות שעברו או ששקלו לעבור לרכוש חשמל מיצרנים פרטיים, כי שירות המת"ל עתיד להפסק.</w:t>
      </w:r>
      <w:r w:rsidR="00EA2507">
        <w:rPr>
          <w:rFonts w:hint="cs"/>
          <w:rtl/>
        </w:rPr>
        <w:t xml:space="preserve"> </w:t>
      </w:r>
      <w:r w:rsidR="00FC0813">
        <w:rPr>
          <w:rFonts w:hint="cs"/>
          <w:rtl/>
        </w:rPr>
        <w:t xml:space="preserve">מראיות שנאספו על ידי הרשות </w:t>
      </w:r>
      <w:r w:rsidR="00FC0813">
        <w:rPr>
          <w:rtl/>
        </w:rPr>
        <w:t>–</w:t>
      </w:r>
      <w:r w:rsidR="00FC0813">
        <w:rPr>
          <w:rFonts w:hint="cs"/>
          <w:rtl/>
        </w:rPr>
        <w:t xml:space="preserve"> תלונות של לקוחות, התכתבויות פנימיות ודיווחים במערכת ה-</w:t>
      </w:r>
      <w:r w:rsidR="00FC0813">
        <w:rPr>
          <w:rFonts w:hint="cs"/>
        </w:rPr>
        <w:t xml:space="preserve">CRM </w:t>
      </w:r>
      <w:r w:rsidR="00FC0813" w:rsidRPr="009E3494">
        <w:rPr>
          <w:rFonts w:hint="cs"/>
          <w:rtl/>
        </w:rPr>
        <w:t xml:space="preserve"> </w:t>
      </w:r>
      <w:r w:rsidR="00FC0813">
        <w:rPr>
          <w:rFonts w:hint="cs"/>
          <w:rtl/>
        </w:rPr>
        <w:t xml:space="preserve">הפנימית של חברת החשמל </w:t>
      </w:r>
      <w:r w:rsidR="00FC0813">
        <w:rPr>
          <w:rtl/>
        </w:rPr>
        <w:t>–</w:t>
      </w:r>
      <w:r w:rsidR="00FC0813">
        <w:rPr>
          <w:rFonts w:hint="cs"/>
          <w:rtl/>
        </w:rPr>
        <w:t xml:space="preserve"> עולה, </w:t>
      </w:r>
      <w:r w:rsidR="00FC0813" w:rsidRPr="009E3494">
        <w:rPr>
          <w:rFonts w:hint="cs"/>
          <w:rtl/>
        </w:rPr>
        <w:t xml:space="preserve">כי </w:t>
      </w:r>
      <w:r w:rsidR="00FC0813">
        <w:rPr>
          <w:rFonts w:hint="cs"/>
          <w:rtl/>
        </w:rPr>
        <w:t>עובדי חברת החשמל</w:t>
      </w:r>
      <w:r w:rsidR="00FC0813" w:rsidRPr="009E3494">
        <w:rPr>
          <w:rFonts w:hint="cs"/>
          <w:rtl/>
        </w:rPr>
        <w:t xml:space="preserve"> </w:t>
      </w:r>
      <w:r w:rsidR="00FC0813">
        <w:rPr>
          <w:rFonts w:hint="cs"/>
          <w:rtl/>
        </w:rPr>
        <w:t>הבהירו</w:t>
      </w:r>
      <w:r w:rsidR="00FC0813" w:rsidRPr="009E3494">
        <w:rPr>
          <w:rFonts w:hint="cs"/>
          <w:rtl/>
        </w:rPr>
        <w:t xml:space="preserve"> ללקוחות שהתכוונו </w:t>
      </w:r>
      <w:r w:rsidR="00E101D4">
        <w:rPr>
          <w:rFonts w:hint="cs"/>
          <w:rtl/>
        </w:rPr>
        <w:t xml:space="preserve">לעבור </w:t>
      </w:r>
      <w:r w:rsidR="00FC0813" w:rsidRPr="009E3494">
        <w:rPr>
          <w:rFonts w:hint="cs"/>
          <w:rtl/>
        </w:rPr>
        <w:t>או עברו לרכוש חשמל מ</w:t>
      </w:r>
      <w:r w:rsidR="00FC0813">
        <w:rPr>
          <w:rFonts w:hint="cs"/>
          <w:rtl/>
        </w:rPr>
        <w:t>יצרנים פרטיים</w:t>
      </w:r>
      <w:r w:rsidR="00FC0813" w:rsidRPr="009E3494">
        <w:rPr>
          <w:rFonts w:hint="cs"/>
          <w:rtl/>
        </w:rPr>
        <w:t xml:space="preserve"> כי הם לא זכאים </w:t>
      </w:r>
      <w:r w:rsidR="00E101D4">
        <w:rPr>
          <w:rFonts w:hint="cs"/>
          <w:rtl/>
        </w:rPr>
        <w:t xml:space="preserve">עוד </w:t>
      </w:r>
      <w:r w:rsidR="00FC0813" w:rsidRPr="009E3494">
        <w:rPr>
          <w:rFonts w:hint="cs"/>
          <w:rtl/>
        </w:rPr>
        <w:t xml:space="preserve">לקבלת שירות שנועד ללקוחות עסקיים או </w:t>
      </w:r>
      <w:r w:rsidR="00E101D4">
        <w:rPr>
          <w:rFonts w:hint="cs"/>
          <w:rtl/>
        </w:rPr>
        <w:t>ל</w:t>
      </w:r>
      <w:r w:rsidR="00FC0813" w:rsidRPr="009E3494">
        <w:rPr>
          <w:rFonts w:hint="cs"/>
          <w:rtl/>
        </w:rPr>
        <w:t>שירות מת"ל</w:t>
      </w:r>
      <w:r w:rsidR="00FC0813">
        <w:rPr>
          <w:rFonts w:hint="cs"/>
          <w:rtl/>
        </w:rPr>
        <w:t>.</w:t>
      </w:r>
    </w:p>
    <w:p w:rsidR="007C33DC" w:rsidRDefault="007C33DC" w:rsidP="00D62D04">
      <w:pPr>
        <w:rPr>
          <w:rtl/>
        </w:rPr>
      </w:pPr>
      <w:r>
        <w:rPr>
          <w:rFonts w:hint="cs"/>
          <w:rtl/>
        </w:rPr>
        <w:t xml:space="preserve">היישום בשטח של ההנחיות העולות מתסריטי השיחות הובא לידיעת הגורמים הבכירים בחברת החשמל ובחטיבת הלקוחות כבר בחודש אוגוסט 2013. </w:t>
      </w:r>
    </w:p>
    <w:p w:rsidR="00025A4F" w:rsidRDefault="00025A4F" w:rsidP="00FB6652">
      <w:pPr>
        <w:rPr>
          <w:rtl/>
        </w:rPr>
      </w:pPr>
      <w:r>
        <w:rPr>
          <w:rFonts w:hint="cs"/>
          <w:rtl/>
        </w:rPr>
        <w:t>הנה כי כן,</w:t>
      </w:r>
      <w:r w:rsidR="00D62D04">
        <w:rPr>
          <w:rFonts w:hint="cs"/>
          <w:rtl/>
        </w:rPr>
        <w:t xml:space="preserve"> מחומר הראיות שנאסף בבדיקת הרשות עולה כי</w:t>
      </w:r>
      <w:r>
        <w:rPr>
          <w:rFonts w:hint="cs"/>
          <w:rtl/>
        </w:rPr>
        <w:t xml:space="preserve"> ההנחיות של הנהלת החברה וחטיבת הלקוחות יושמ</w:t>
      </w:r>
      <w:r w:rsidR="00FB6652">
        <w:rPr>
          <w:rFonts w:hint="cs"/>
          <w:rtl/>
        </w:rPr>
        <w:t>ו</w:t>
      </w:r>
      <w:r>
        <w:rPr>
          <w:rFonts w:hint="cs"/>
          <w:rtl/>
        </w:rPr>
        <w:t xml:space="preserve"> בפועל. עובדי חברת החשמל במחוזות ובפרט, מנהלי תיק הלקוח, הבהירו ללקוחותיהם את התוצאה הצפויה ממעבר למתחרותיה של חברת החשמל באספקת החשמל. בהתאמה, הופסק שירות המת"ל ללקוחות שעברו לצרוך חשמל מיצרן פרטי, בעוד הנהלת חברת החשמל וחברי חטיבת הלקוחות מודעים לכך ומאפשרים זאת. </w:t>
      </w:r>
    </w:p>
    <w:p w:rsidR="00FC0813" w:rsidRDefault="00FC0813" w:rsidP="008F7169">
      <w:pPr>
        <w:rPr>
          <w:rtl/>
        </w:rPr>
      </w:pPr>
      <w:r>
        <w:rPr>
          <w:rFonts w:hint="cs"/>
          <w:rtl/>
        </w:rPr>
        <w:t xml:space="preserve">בעקבות היישום בשטח התקבלו </w:t>
      </w:r>
      <w:r w:rsidR="00E101D4">
        <w:rPr>
          <w:rFonts w:hint="cs"/>
          <w:rtl/>
        </w:rPr>
        <w:t xml:space="preserve">אצל חברת החשמל </w:t>
      </w:r>
      <w:r>
        <w:rPr>
          <w:rFonts w:hint="cs"/>
          <w:rtl/>
        </w:rPr>
        <w:t xml:space="preserve">בסוף שנת 2014 ובתחילת שנת 2015 תלונות מלקוחות על הפסקת שירותי המת"ל עקב מעבר ליצרן פרטי. על אף התלונות </w:t>
      </w:r>
      <w:r w:rsidR="006D06A7">
        <w:rPr>
          <w:rFonts w:hint="cs"/>
          <w:rtl/>
        </w:rPr>
        <w:t>שהבהירו כי</w:t>
      </w:r>
      <w:r>
        <w:rPr>
          <w:rFonts w:hint="cs"/>
          <w:rtl/>
        </w:rPr>
        <w:t xml:space="preserve"> המהלך של הפסקת השירות פוגע קשות בלקוחות, לא הושב השירות ללקוחות</w:t>
      </w:r>
      <w:r w:rsidR="006D06A7">
        <w:rPr>
          <w:rFonts w:hint="cs"/>
          <w:rtl/>
        </w:rPr>
        <w:t>.</w:t>
      </w:r>
      <w:r w:rsidR="00D32ECF">
        <w:rPr>
          <w:rFonts w:hint="cs"/>
          <w:rtl/>
        </w:rPr>
        <w:t xml:space="preserve"> </w:t>
      </w:r>
      <w:r>
        <w:rPr>
          <w:rFonts w:hint="cs"/>
          <w:rtl/>
        </w:rPr>
        <w:t xml:space="preserve">ביום 2.2.2015 הוצגה בישיבת שימור לקוחות מצגת במסגרתה נסקרו התלונות שהתקבלו מלקוחות ליצרנים הפרטיים. </w:t>
      </w:r>
      <w:r w:rsidR="00474E15">
        <w:rPr>
          <w:rFonts w:hint="cs"/>
          <w:rtl/>
        </w:rPr>
        <w:lastRenderedPageBreak/>
        <w:t xml:space="preserve">חלף החזרת שירות המת"ל, </w:t>
      </w:r>
      <w:r>
        <w:rPr>
          <w:rFonts w:hint="cs"/>
          <w:rtl/>
        </w:rPr>
        <w:t>הפתרון שהוצע לתלונות הלקוחות הי</w:t>
      </w:r>
      <w:r w:rsidR="00474E15">
        <w:rPr>
          <w:rFonts w:hint="cs"/>
          <w:rtl/>
        </w:rPr>
        <w:t>ה</w:t>
      </w:r>
      <w:r>
        <w:rPr>
          <w:rFonts w:hint="cs"/>
          <w:rtl/>
        </w:rPr>
        <w:t xml:space="preserve"> מוקד יעודי בנושא תקלות והפרעות. כפי שיורחב בפרק הבא, פתרון זה אינו מספק ומהווה הפרה של חוק ההגבלים העסקיים.</w:t>
      </w:r>
    </w:p>
    <w:p w:rsidR="00FC0813" w:rsidRPr="006512CB" w:rsidRDefault="00FC0813" w:rsidP="00FC0813">
      <w:pPr>
        <w:pStyle w:val="Heading3"/>
        <w:numPr>
          <w:ilvl w:val="0"/>
          <w:numId w:val="0"/>
        </w:numPr>
        <w:spacing w:before="120" w:after="0"/>
        <w:ind w:left="658"/>
        <w:rPr>
          <w:rFonts w:cs="David"/>
          <w:rtl/>
        </w:rPr>
      </w:pPr>
      <w:bookmarkStart w:id="8" w:name="_Toc476497402"/>
      <w:r w:rsidRPr="00822A80">
        <w:rPr>
          <w:rFonts w:cs="David" w:hint="cs"/>
          <w:rtl/>
        </w:rPr>
        <w:t>תקופת הביניים: החזרה חלקית של שירותי המת"ל פברואר 2015 עד יוני 2015</w:t>
      </w:r>
      <w:bookmarkEnd w:id="8"/>
    </w:p>
    <w:p w:rsidR="00FC0813" w:rsidRDefault="00FC0813" w:rsidP="003B12D1">
      <w:pPr>
        <w:rPr>
          <w:rtl/>
        </w:rPr>
      </w:pPr>
      <w:r>
        <w:rPr>
          <w:rFonts w:hint="cs"/>
          <w:rtl/>
        </w:rPr>
        <w:t>בעקבות ריבוי תלונות בחודשים נובמבר-דצמבר 2014 וינואר 2015 הנחה</w:t>
      </w:r>
      <w:r w:rsidR="002A7D72" w:rsidRPr="002A7D72">
        <w:rPr>
          <w:rFonts w:hint="cs"/>
          <w:rtl/>
        </w:rPr>
        <w:t xml:space="preserve"> </w:t>
      </w:r>
      <w:r w:rsidR="002A7D72">
        <w:rPr>
          <w:rFonts w:hint="cs"/>
          <w:rtl/>
        </w:rPr>
        <w:t>סמנכ"ל הלקוחות</w:t>
      </w:r>
      <w:r w:rsidR="00050669">
        <w:rPr>
          <w:rFonts w:hint="cs"/>
          <w:rtl/>
        </w:rPr>
        <w:t>,</w:t>
      </w:r>
      <w:r w:rsidR="0046133E">
        <w:rPr>
          <w:rStyle w:val="FootnoteReference"/>
          <w:rtl/>
        </w:rPr>
        <w:footnoteReference w:id="23"/>
      </w:r>
      <w:r>
        <w:rPr>
          <w:rFonts w:hint="cs"/>
          <w:rtl/>
        </w:rPr>
        <w:t xml:space="preserve"> בחודש פברואר 2015, להחזיר </w:t>
      </w:r>
      <w:r w:rsidRPr="003033EE">
        <w:rPr>
          <w:rFonts w:hint="cs"/>
          <w:rtl/>
        </w:rPr>
        <w:t>באופן זמני ובמתכונת חלקית את שירות המת"ל ל</w:t>
      </w:r>
      <w:r w:rsidR="00206900">
        <w:rPr>
          <w:rFonts w:hint="cs"/>
          <w:rtl/>
        </w:rPr>
        <w:t>לקוחות</w:t>
      </w:r>
      <w:r w:rsidRPr="003033EE">
        <w:rPr>
          <w:rFonts w:hint="cs"/>
          <w:rtl/>
        </w:rPr>
        <w:t xml:space="preserve"> עסקיים שעברו לרכוש חשמל מ</w:t>
      </w:r>
      <w:r>
        <w:rPr>
          <w:rFonts w:hint="cs"/>
          <w:rtl/>
        </w:rPr>
        <w:t>יצרנים פרטיים</w:t>
      </w:r>
      <w:r w:rsidRPr="003033EE">
        <w:rPr>
          <w:rFonts w:hint="cs"/>
          <w:rtl/>
        </w:rPr>
        <w:t>.</w:t>
      </w:r>
      <w:r>
        <w:rPr>
          <w:rFonts w:hint="cs"/>
          <w:rtl/>
        </w:rPr>
        <w:t xml:space="preserve"> זאת עד להקמת ערוץ נפרד שיספק סל שירותים מבודל ללקוחות </w:t>
      </w:r>
      <w:r w:rsidR="00932B95">
        <w:rPr>
          <w:rFonts w:hint="cs"/>
          <w:rtl/>
        </w:rPr>
        <w:t>היצרנים הפרטיים</w:t>
      </w:r>
      <w:r w:rsidR="00050669">
        <w:rPr>
          <w:rFonts w:hint="cs"/>
          <w:rtl/>
        </w:rPr>
        <w:t>.</w:t>
      </w:r>
    </w:p>
    <w:p w:rsidR="00FC0813" w:rsidRDefault="00FC0813" w:rsidP="00892DB5">
      <w:r>
        <w:rPr>
          <w:rFonts w:hint="cs"/>
          <w:rtl/>
        </w:rPr>
        <w:t xml:space="preserve">בהתאם להנחיה, הוחזר </w:t>
      </w:r>
      <w:r w:rsidRPr="003033EE">
        <w:rPr>
          <w:rFonts w:hint="cs"/>
          <w:rtl/>
        </w:rPr>
        <w:t>השירות באופן חלקי בהשוואה לשירות המת"ל הניתן ל</w:t>
      </w:r>
      <w:r w:rsidR="00206900">
        <w:rPr>
          <w:rFonts w:hint="cs"/>
          <w:rtl/>
        </w:rPr>
        <w:t>לקוחות</w:t>
      </w:r>
      <w:r w:rsidRPr="003033EE">
        <w:rPr>
          <w:rFonts w:hint="cs"/>
          <w:rtl/>
        </w:rPr>
        <w:t xml:space="preserve"> הרוכשים חשמל </w:t>
      </w:r>
      <w:r>
        <w:rPr>
          <w:rFonts w:hint="cs"/>
          <w:rtl/>
        </w:rPr>
        <w:t>מחברת החשמל, בכל הנוגע למקטעי ההולכה והחלוקה</w:t>
      </w:r>
      <w:r w:rsidRPr="003033EE">
        <w:rPr>
          <w:rFonts w:hint="cs"/>
          <w:rtl/>
        </w:rPr>
        <w:t xml:space="preserve">. </w:t>
      </w:r>
      <w:r>
        <w:rPr>
          <w:rFonts w:hint="cs"/>
          <w:rtl/>
        </w:rPr>
        <w:t xml:space="preserve">כך, </w:t>
      </w:r>
      <w:r w:rsidRPr="003033EE">
        <w:rPr>
          <w:rFonts w:hint="cs"/>
          <w:rtl/>
        </w:rPr>
        <w:t>בניגוד ל</w:t>
      </w:r>
      <w:r w:rsidR="00206900">
        <w:rPr>
          <w:rFonts w:hint="cs"/>
          <w:rtl/>
        </w:rPr>
        <w:t>לקוחות</w:t>
      </w:r>
      <w:r w:rsidRPr="003033EE">
        <w:rPr>
          <w:rFonts w:hint="cs"/>
          <w:rtl/>
        </w:rPr>
        <w:t xml:space="preserve"> שרוכשים חשמל מחברת החשמל, לא ניתנה לצרכני היצרנים הפרטיים הודעה אישית מראש על הפסקות חשמל יזומות ולא ניתן סיוע בתאום הפסקות החשמל. </w:t>
      </w:r>
      <w:r w:rsidR="00DE5D33">
        <w:rPr>
          <w:rFonts w:hint="cs"/>
          <w:rtl/>
        </w:rPr>
        <w:t>כמו כן, לא ניתן סיוע בקידום הזמנות חיבור.</w:t>
      </w:r>
      <w:r w:rsidR="00DB0372" w:rsidRPr="003033EE">
        <w:rPr>
          <w:rFonts w:hint="cs"/>
          <w:rtl/>
        </w:rPr>
        <w:t xml:space="preserve"> </w:t>
      </w:r>
      <w:r w:rsidRPr="003033EE">
        <w:rPr>
          <w:rFonts w:hint="cs"/>
          <w:rtl/>
        </w:rPr>
        <w:t>תחת זאת ניתן להם מענה מגיב לנושאי תקלות והפרעות באספקת החשמל בלבד</w:t>
      </w:r>
      <w:r>
        <w:rPr>
          <w:rFonts w:hint="cs"/>
          <w:rtl/>
        </w:rPr>
        <w:t>, לאחר קרות התקלה</w:t>
      </w:r>
      <w:r w:rsidR="003937A5">
        <w:rPr>
          <w:rFonts w:hint="cs"/>
          <w:rtl/>
        </w:rPr>
        <w:t xml:space="preserve">. כפי שעולה מהתכתבות פנימית בחברת החשמל ששלחה </w:t>
      </w:r>
      <w:r w:rsidR="00DA3CFB">
        <w:rPr>
          <w:rFonts w:hint="cs"/>
          <w:rtl/>
        </w:rPr>
        <w:t>ב</w:t>
      </w:r>
      <w:r w:rsidR="00DA3CFB" w:rsidRPr="003C7E7A">
        <w:rPr>
          <w:rFonts w:hint="cs"/>
          <w:rtl/>
        </w:rPr>
        <w:t xml:space="preserve">יום </w:t>
      </w:r>
      <w:r w:rsidR="00DA3CFB" w:rsidRPr="00775EF0">
        <w:rPr>
          <w:rFonts w:hint="cs"/>
          <w:rtl/>
        </w:rPr>
        <w:t>26.2.2015</w:t>
      </w:r>
      <w:r w:rsidR="00DA3CFB">
        <w:rPr>
          <w:rFonts w:hint="cs"/>
          <w:sz w:val="24"/>
          <w:rtl/>
        </w:rPr>
        <w:t xml:space="preserve"> </w:t>
      </w:r>
      <w:r w:rsidR="0056187F">
        <w:rPr>
          <w:rFonts w:hint="cs"/>
          <w:sz w:val="24"/>
          <w:rtl/>
        </w:rPr>
        <w:t>מנהלת מחלקת לקוחות עסקיים ופיתוח שווקים באגף השיווק</w:t>
      </w:r>
      <w:r>
        <w:rPr>
          <w:rFonts w:hint="cs"/>
          <w:rtl/>
        </w:rPr>
        <w:t>:</w:t>
      </w:r>
    </w:p>
    <w:p w:rsidR="00FC0813" w:rsidRDefault="00FC0813" w:rsidP="00FC0813">
      <w:pPr>
        <w:spacing w:line="240" w:lineRule="auto"/>
        <w:ind w:left="941" w:right="426"/>
        <w:rPr>
          <w:rtl/>
        </w:rPr>
      </w:pPr>
      <w:r>
        <w:rPr>
          <w:rFonts w:hint="cs"/>
          <w:rtl/>
        </w:rPr>
        <w:t xml:space="preserve">"לאור שאלות רבות הריני לחדד כי החלטת מנהל החטיבה והנחיית מנהלת האגף המצ"ב הנה כי לקוחות יח"פ יקבלו מענה מגיב בלבד בנושא תקלות והפרעות באמצעות המת"ל עד למציאת פתרון קבע לנושא זה שלא באמצעות מת"ל." </w:t>
      </w:r>
    </w:p>
    <w:p w:rsidR="00FC0813" w:rsidRDefault="00FC0813" w:rsidP="00892DB5">
      <w:pPr>
        <w:rPr>
          <w:rtl/>
        </w:rPr>
      </w:pPr>
      <w:r>
        <w:rPr>
          <w:rFonts w:hint="cs"/>
          <w:rtl/>
        </w:rPr>
        <w:t>בנוסף</w:t>
      </w:r>
      <w:r w:rsidRPr="003033EE">
        <w:rPr>
          <w:rFonts w:hint="cs"/>
          <w:rtl/>
        </w:rPr>
        <w:t xml:space="preserve">, גם לאחר פברואר 2015 חלק </w:t>
      </w:r>
      <w:r w:rsidR="00DA3CFB">
        <w:rPr>
          <w:rFonts w:hint="cs"/>
          <w:rtl/>
        </w:rPr>
        <w:t>מהלקוחות</w:t>
      </w:r>
      <w:r w:rsidR="00DA3CFB" w:rsidRPr="003033EE">
        <w:rPr>
          <w:rFonts w:hint="cs"/>
          <w:rtl/>
        </w:rPr>
        <w:t xml:space="preserve"> </w:t>
      </w:r>
      <w:r w:rsidRPr="003033EE">
        <w:rPr>
          <w:rFonts w:hint="cs"/>
          <w:rtl/>
        </w:rPr>
        <w:t xml:space="preserve">של </w:t>
      </w:r>
      <w:r>
        <w:rPr>
          <w:rFonts w:hint="cs"/>
          <w:rtl/>
        </w:rPr>
        <w:t>יצרנים פרטיים</w:t>
      </w:r>
      <w:r w:rsidRPr="003033EE">
        <w:rPr>
          <w:rFonts w:hint="cs"/>
          <w:rtl/>
        </w:rPr>
        <w:t xml:space="preserve"> לא קיבלו כל שירות מת"ל ובעת פנייה למת"ל הופנו </w:t>
      </w:r>
      <w:r>
        <w:rPr>
          <w:rFonts w:hint="cs"/>
          <w:rtl/>
        </w:rPr>
        <w:t>למוקד</w:t>
      </w:r>
      <w:r w:rsidRPr="003033EE">
        <w:rPr>
          <w:rFonts w:hint="cs"/>
          <w:rtl/>
        </w:rPr>
        <w:t xml:space="preserve"> 103</w:t>
      </w:r>
      <w:r>
        <w:rPr>
          <w:rFonts w:hint="cs"/>
          <w:rtl/>
        </w:rPr>
        <w:t xml:space="preserve"> של חברת החשמל.</w:t>
      </w:r>
    </w:p>
    <w:p w:rsidR="00FC0813" w:rsidRDefault="00FC0813" w:rsidP="00EA2507">
      <w:r>
        <w:rPr>
          <w:rFonts w:hint="cs"/>
          <w:rtl/>
        </w:rPr>
        <w:t>השירות החלקי שניתן בתקופה הרלוונטית עולה גם מתלונות ומתיעוד המענה לפניות של לקוחות ב</w:t>
      </w:r>
      <w:r w:rsidR="00D62D04">
        <w:rPr>
          <w:rFonts w:hint="cs"/>
          <w:rtl/>
        </w:rPr>
        <w:t>מ</w:t>
      </w:r>
      <w:r>
        <w:rPr>
          <w:rFonts w:hint="cs"/>
          <w:rtl/>
        </w:rPr>
        <w:t>ערכת ה-</w:t>
      </w:r>
      <w:r>
        <w:t>CRM</w:t>
      </w:r>
      <w:r>
        <w:rPr>
          <w:rFonts w:hint="cs"/>
          <w:rtl/>
        </w:rPr>
        <w:t>.</w:t>
      </w:r>
    </w:p>
    <w:p w:rsidR="00FC0813" w:rsidRPr="007D7FC9" w:rsidRDefault="00FC0813" w:rsidP="00FC0813">
      <w:pPr>
        <w:rPr>
          <w:rtl/>
        </w:rPr>
      </w:pPr>
      <w:r>
        <w:rPr>
          <w:rFonts w:hint="cs"/>
          <w:rtl/>
        </w:rPr>
        <w:t>נמצא אם כן, כי בתקופת הביניים הוחזר המת"ל באופן חלקי בלבד ללקוחות שעברו לרכוש חשמל מיצרנים פרטיים. ניתן שירות חלקי ומגיב בלבד ולעיתים אף לא ניתן שירות כלל.</w:t>
      </w:r>
    </w:p>
    <w:p w:rsidR="00FC0813" w:rsidRPr="006512CB" w:rsidRDefault="00FC0813" w:rsidP="00FC0813">
      <w:pPr>
        <w:pStyle w:val="Heading3"/>
        <w:numPr>
          <w:ilvl w:val="0"/>
          <w:numId w:val="0"/>
        </w:numPr>
        <w:spacing w:before="120" w:after="0"/>
        <w:ind w:left="658"/>
        <w:rPr>
          <w:rFonts w:cs="David"/>
          <w:rtl/>
        </w:rPr>
      </w:pPr>
      <w:bookmarkStart w:id="9" w:name="_Toc476497403"/>
      <w:r w:rsidRPr="006512CB">
        <w:rPr>
          <w:rFonts w:cs="David" w:hint="cs"/>
          <w:rtl/>
        </w:rPr>
        <w:t>המוקד הייעודי: יוני 2015 עד דצמבר 2015</w:t>
      </w:r>
      <w:bookmarkEnd w:id="9"/>
    </w:p>
    <w:p w:rsidR="00892DB5" w:rsidRDefault="004D764D" w:rsidP="00042402">
      <w:pPr>
        <w:rPr>
          <w:rtl/>
        </w:rPr>
      </w:pPr>
      <w:r>
        <w:rPr>
          <w:rFonts w:hint="cs"/>
          <w:rtl/>
        </w:rPr>
        <w:t>ביוני 2015 הקימה חברת החשמל</w:t>
      </w:r>
      <w:r w:rsidR="00892DB5" w:rsidRPr="003C7E7A">
        <w:rPr>
          <w:rFonts w:hint="cs"/>
          <w:rtl/>
        </w:rPr>
        <w:t xml:space="preserve">, על פי החלטת סמנכ"ל </w:t>
      </w:r>
      <w:r w:rsidR="00892DB5">
        <w:rPr>
          <w:rFonts w:hint="cs"/>
          <w:rtl/>
        </w:rPr>
        <w:t>ה</w:t>
      </w:r>
      <w:r w:rsidR="00892DB5" w:rsidRPr="003C7E7A">
        <w:rPr>
          <w:rFonts w:hint="cs"/>
          <w:rtl/>
        </w:rPr>
        <w:t xml:space="preserve">לקוחות, </w:t>
      </w:r>
      <w:r w:rsidR="00FC0813" w:rsidRPr="00EA20AA">
        <w:rPr>
          <w:rFonts w:hint="cs"/>
          <w:rtl/>
        </w:rPr>
        <w:t>מוקד ייעודי לנושא תקלות ל</w:t>
      </w:r>
      <w:r w:rsidR="00206900">
        <w:rPr>
          <w:rFonts w:hint="cs"/>
          <w:rtl/>
        </w:rPr>
        <w:t>לקוחות</w:t>
      </w:r>
      <w:r w:rsidR="00FC0813" w:rsidRPr="00EA20AA">
        <w:rPr>
          <w:rFonts w:hint="cs"/>
          <w:rtl/>
        </w:rPr>
        <w:t xml:space="preserve"> עסקיים שעברו לרכוש חשמל מ</w:t>
      </w:r>
      <w:r w:rsidR="00FC0813">
        <w:rPr>
          <w:rFonts w:hint="cs"/>
          <w:rtl/>
        </w:rPr>
        <w:t>יצרנים פרטיים</w:t>
      </w:r>
      <w:r w:rsidR="00FC0813" w:rsidRPr="00EA20AA">
        <w:rPr>
          <w:rFonts w:hint="cs"/>
          <w:rtl/>
        </w:rPr>
        <w:t xml:space="preserve"> ולסוגי צרכנים נוספים. </w:t>
      </w:r>
    </w:p>
    <w:p w:rsidR="00FC0813" w:rsidRDefault="00FC0813" w:rsidP="00042402">
      <w:pPr>
        <w:rPr>
          <w:rtl/>
        </w:rPr>
      </w:pPr>
      <w:r w:rsidRPr="00EA20AA">
        <w:rPr>
          <w:rFonts w:hint="cs"/>
          <w:rtl/>
        </w:rPr>
        <w:t xml:space="preserve">מבדיקת הרשות עולה, כי גם המוקד הייעודי </w:t>
      </w:r>
      <w:r>
        <w:rPr>
          <w:rFonts w:hint="cs"/>
          <w:rtl/>
        </w:rPr>
        <w:t>סיפק</w:t>
      </w:r>
      <w:r w:rsidRPr="00EA20AA">
        <w:rPr>
          <w:rFonts w:hint="cs"/>
          <w:rtl/>
        </w:rPr>
        <w:t xml:space="preserve"> שירות מגיב בלבד שאינו מעניק את מלוא שירותי המת"ל </w:t>
      </w:r>
      <w:r>
        <w:rPr>
          <w:rFonts w:hint="cs"/>
          <w:rtl/>
        </w:rPr>
        <w:t>הנוגעים למקטעי ה</w:t>
      </w:r>
      <w:r w:rsidRPr="00EA20AA">
        <w:rPr>
          <w:rFonts w:hint="cs"/>
          <w:rtl/>
        </w:rPr>
        <w:t>הולכה ו</w:t>
      </w:r>
      <w:r>
        <w:rPr>
          <w:rFonts w:hint="cs"/>
          <w:rtl/>
        </w:rPr>
        <w:t>ה</w:t>
      </w:r>
      <w:r w:rsidRPr="00EA20AA">
        <w:rPr>
          <w:rFonts w:hint="cs"/>
          <w:rtl/>
        </w:rPr>
        <w:t xml:space="preserve">חלוקה. </w:t>
      </w:r>
      <w:r w:rsidR="004E5B28">
        <w:rPr>
          <w:rFonts w:hint="cs"/>
          <w:rtl/>
        </w:rPr>
        <w:t>מעבר לכך</w:t>
      </w:r>
      <w:r w:rsidR="002B3098">
        <w:rPr>
          <w:rFonts w:hint="cs"/>
          <w:rtl/>
        </w:rPr>
        <w:t xml:space="preserve"> שהמוקד הייעודי סיפק שירות חלקי, הוא גם סיפק שירות נחות יותר. זאת, מאחר וחלף איש קשר קבוע המכיר את הלקוח העסקי, הופנו </w:t>
      </w:r>
      <w:r w:rsidR="003B12D1">
        <w:rPr>
          <w:rFonts w:hint="cs"/>
          <w:rtl/>
        </w:rPr>
        <w:t xml:space="preserve">כל </w:t>
      </w:r>
      <w:r w:rsidR="002B3098">
        <w:rPr>
          <w:rFonts w:hint="cs"/>
          <w:rtl/>
        </w:rPr>
        <w:t xml:space="preserve">הלקוחות העסקיים </w:t>
      </w:r>
      <w:r w:rsidR="002B093C" w:rsidRPr="00EA20AA">
        <w:rPr>
          <w:rFonts w:hint="cs"/>
          <w:rtl/>
        </w:rPr>
        <w:t>שעברו לצרוך חשמל מ</w:t>
      </w:r>
      <w:r w:rsidR="002B093C">
        <w:rPr>
          <w:rFonts w:hint="cs"/>
          <w:rtl/>
        </w:rPr>
        <w:t>יצרנים פרטיים</w:t>
      </w:r>
      <w:r w:rsidR="002B093C" w:rsidRPr="00EA20AA">
        <w:rPr>
          <w:rFonts w:hint="cs"/>
          <w:rtl/>
        </w:rPr>
        <w:t xml:space="preserve"> </w:t>
      </w:r>
      <w:r w:rsidR="002B3098">
        <w:rPr>
          <w:rFonts w:hint="cs"/>
          <w:rtl/>
        </w:rPr>
        <w:t xml:space="preserve">למוקד שירות טלפוני. </w:t>
      </w:r>
      <w:r w:rsidRPr="00EA20AA">
        <w:rPr>
          <w:rFonts w:hint="cs"/>
          <w:rtl/>
        </w:rPr>
        <w:t xml:space="preserve">כמו כן, בחלק מהמקרים </w:t>
      </w:r>
      <w:r w:rsidR="002B093C">
        <w:rPr>
          <w:rFonts w:hint="cs"/>
          <w:rtl/>
        </w:rPr>
        <w:t>הלקוחות</w:t>
      </w:r>
      <w:r w:rsidRPr="00EA20AA">
        <w:rPr>
          <w:rFonts w:hint="cs"/>
          <w:rtl/>
        </w:rPr>
        <w:t xml:space="preserve"> </w:t>
      </w:r>
      <w:r w:rsidR="002B093C">
        <w:rPr>
          <w:rFonts w:hint="cs"/>
          <w:rtl/>
        </w:rPr>
        <w:t xml:space="preserve">הנ"ל </w:t>
      </w:r>
      <w:r>
        <w:rPr>
          <w:rFonts w:hint="cs"/>
          <w:rtl/>
        </w:rPr>
        <w:t>הופנו</w:t>
      </w:r>
      <w:r w:rsidRPr="00EA20AA">
        <w:rPr>
          <w:rFonts w:hint="cs"/>
          <w:rtl/>
        </w:rPr>
        <w:t xml:space="preserve"> לשירות 103 בעת תקלה </w:t>
      </w:r>
      <w:r>
        <w:rPr>
          <w:rFonts w:hint="cs"/>
          <w:rtl/>
        </w:rPr>
        <w:t>ולא יודעו</w:t>
      </w:r>
      <w:r w:rsidRPr="00EA20AA">
        <w:rPr>
          <w:rFonts w:hint="cs"/>
          <w:rtl/>
        </w:rPr>
        <w:t xml:space="preserve"> על קיומו של המוקד הייעודי.</w:t>
      </w:r>
    </w:p>
    <w:p w:rsidR="00FC0813" w:rsidRDefault="00FC0813" w:rsidP="00042402">
      <w:pPr>
        <w:rPr>
          <w:rtl/>
        </w:rPr>
      </w:pPr>
      <w:r w:rsidRPr="003C7E7A">
        <w:rPr>
          <w:rFonts w:hint="cs"/>
          <w:rtl/>
        </w:rPr>
        <w:t xml:space="preserve">וכך נכתב בדוא"ל מיום 18.6.2015 שנשלח </w:t>
      </w:r>
      <w:r w:rsidR="00764977">
        <w:rPr>
          <w:rFonts w:hint="cs"/>
          <w:rtl/>
        </w:rPr>
        <w:t>מאגף השיווק</w:t>
      </w:r>
      <w:r w:rsidRPr="003C7E7A">
        <w:rPr>
          <w:rFonts w:hint="cs"/>
          <w:rtl/>
        </w:rPr>
        <w:t>:</w:t>
      </w:r>
    </w:p>
    <w:p w:rsidR="00FC0813" w:rsidRPr="003C7E7A" w:rsidRDefault="00FC0813" w:rsidP="00FC0813">
      <w:pPr>
        <w:spacing w:line="240" w:lineRule="auto"/>
        <w:ind w:left="720"/>
        <w:rPr>
          <w:rFonts w:ascii="David" w:hAnsi="David"/>
          <w:rtl/>
        </w:rPr>
      </w:pPr>
      <w:r w:rsidRPr="003C7E7A">
        <w:rPr>
          <w:rFonts w:ascii="David" w:hAnsi="David" w:hint="cs"/>
          <w:rtl/>
        </w:rPr>
        <w:lastRenderedPageBreak/>
        <w:t xml:space="preserve">"עפ"י החלטת מר </w:t>
      </w:r>
      <w:r w:rsidR="009F50C0" w:rsidRPr="0044109C">
        <w:rPr>
          <w:rFonts w:ascii="David" w:hAnsi="David" w:hint="cs"/>
          <w:color w:val="000000"/>
          <w:highlight w:val="black"/>
        </w:rPr>
        <w:t>XXX</w:t>
      </w:r>
      <w:r w:rsidRPr="003C7E7A">
        <w:rPr>
          <w:rFonts w:ascii="David" w:hAnsi="David" w:hint="cs"/>
          <w:rtl/>
        </w:rPr>
        <w:t>, סמנכ"ל לקוחות, הוחלט על מתן ערוץ מידע ייעודי</w:t>
      </w:r>
      <w:r w:rsidRPr="003C7E7A">
        <w:rPr>
          <w:rFonts w:ascii="David" w:hAnsi="David" w:hint="cs"/>
          <w:u w:val="single"/>
          <w:rtl/>
        </w:rPr>
        <w:t xml:space="preserve"> ללקוחות יח"פ וללקוחות רגישים (כגון בתי חולים) בנושא תקלות והפסקות חשמל בלבד</w:t>
      </w:r>
    </w:p>
    <w:p w:rsidR="00FC0813" w:rsidRPr="003C7E7A" w:rsidRDefault="00FC0813" w:rsidP="00FC0813">
      <w:pPr>
        <w:spacing w:line="240" w:lineRule="auto"/>
        <w:ind w:left="720"/>
        <w:rPr>
          <w:rFonts w:ascii="David" w:hAnsi="David"/>
          <w:rtl/>
        </w:rPr>
      </w:pPr>
      <w:r w:rsidRPr="003C7E7A">
        <w:rPr>
          <w:rFonts w:hint="cs"/>
          <w:rtl/>
        </w:rPr>
        <w:t xml:space="preserve">השירות ניתן אך ורק בנושאים אלו ע"י שלוחה ייעודית במוקד שתאויש ע"י נציג ייעודי ותפעל 24 שעות במשך 7 ימים בשבוע. </w:t>
      </w:r>
    </w:p>
    <w:p w:rsidR="00FC0813" w:rsidRPr="003C7E7A" w:rsidRDefault="00FC0813" w:rsidP="00FC0813">
      <w:pPr>
        <w:spacing w:line="240" w:lineRule="auto"/>
        <w:ind w:left="720"/>
        <w:rPr>
          <w:rFonts w:ascii="David" w:hAnsi="David"/>
          <w:rtl/>
        </w:rPr>
      </w:pPr>
      <w:r w:rsidRPr="003C7E7A">
        <w:rPr>
          <w:rFonts w:ascii="David" w:hAnsi="David" w:hint="cs"/>
          <w:rtl/>
        </w:rPr>
        <w:t xml:space="preserve">בחודש האחרון החל פיילוט במחוז חיפה וירושלים, בהם ניתן מספר ייעודי ללקוחות שפנו. מדובר על </w:t>
      </w:r>
      <w:r w:rsidRPr="003C7E7A">
        <w:rPr>
          <w:rFonts w:ascii="David" w:hAnsi="David" w:hint="cs"/>
          <w:u w:val="single"/>
          <w:rtl/>
        </w:rPr>
        <w:t>שירות מגיב</w:t>
      </w:r>
      <w:r w:rsidRPr="003C7E7A">
        <w:rPr>
          <w:rFonts w:ascii="David" w:hAnsi="David" w:hint="cs"/>
          <w:rtl/>
        </w:rPr>
        <w:t xml:space="preserve">, קרי הלקוחות הפונים יופנו לערוץ זה בנושאים הקשורים אך ורק לתקלות והפסקות חשמל. בנושאים אחרים הנוגעים למקטע החלוקה יופנו למוקד 103 ומשם לגורם הרלוונטי (בדומה לפניית יתר הלקוחות). </w:t>
      </w:r>
    </w:p>
    <w:p w:rsidR="00FC0813" w:rsidRPr="003C7E7A" w:rsidRDefault="00FC0813" w:rsidP="00FC0813">
      <w:pPr>
        <w:spacing w:line="240" w:lineRule="auto"/>
        <w:ind w:left="502" w:firstLine="218"/>
        <w:rPr>
          <w:rFonts w:ascii="David" w:hAnsi="David"/>
          <w:rtl/>
        </w:rPr>
      </w:pPr>
      <w:r w:rsidRPr="003C7E7A">
        <w:rPr>
          <w:rFonts w:ascii="David" w:hAnsi="David" w:hint="cs"/>
          <w:u w:val="single"/>
          <w:rtl/>
        </w:rPr>
        <w:t>נבקשכם</w:t>
      </w:r>
      <w:r w:rsidRPr="003C7E7A">
        <w:rPr>
          <w:rFonts w:ascii="David" w:hAnsi="David" w:hint="cs"/>
          <w:rtl/>
        </w:rPr>
        <w:t xml:space="preserve">: </w:t>
      </w:r>
    </w:p>
    <w:p w:rsidR="00FC0813" w:rsidRPr="003C7E7A" w:rsidRDefault="00FC0813" w:rsidP="00FC0813">
      <w:pPr>
        <w:spacing w:line="240" w:lineRule="auto"/>
        <w:ind w:firstLine="720"/>
        <w:rPr>
          <w:rFonts w:ascii="David" w:hAnsi="David"/>
          <w:rtl/>
        </w:rPr>
      </w:pPr>
      <w:r w:rsidRPr="003C7E7A">
        <w:rPr>
          <w:rFonts w:ascii="David" w:hAnsi="David" w:hint="cs"/>
          <w:rtl/>
        </w:rPr>
        <w:t>א. להתחיל במתן שירות זה במיידי.</w:t>
      </w:r>
    </w:p>
    <w:p w:rsidR="00FC0813" w:rsidRPr="003C7E7A" w:rsidRDefault="00FC0813" w:rsidP="00FC0813">
      <w:pPr>
        <w:spacing w:line="240" w:lineRule="auto"/>
        <w:ind w:left="720"/>
        <w:rPr>
          <w:rFonts w:ascii="David" w:hAnsi="David"/>
          <w:rtl/>
        </w:rPr>
      </w:pPr>
      <w:r w:rsidRPr="003C7E7A">
        <w:rPr>
          <w:rFonts w:ascii="David" w:hAnsi="David" w:hint="cs"/>
          <w:rtl/>
        </w:rPr>
        <w:t>ב. לתדרך את כל המת"לים כי בעת פניה של לקוח יח"פ או לקוח רגיש אליהם בנושאי תקלות והפסקות ח</w:t>
      </w:r>
      <w:r>
        <w:rPr>
          <w:rFonts w:ascii="David" w:hAnsi="David" w:hint="cs"/>
          <w:rtl/>
        </w:rPr>
        <w:t>שמל, הלקוח יופנה למספר הייעודי.</w:t>
      </w:r>
    </w:p>
    <w:p w:rsidR="00FC0813" w:rsidRPr="003C7E7A" w:rsidRDefault="00FC0813" w:rsidP="00FC0813">
      <w:pPr>
        <w:spacing w:line="240" w:lineRule="auto"/>
        <w:ind w:left="502" w:firstLine="218"/>
        <w:rPr>
          <w:rtl/>
        </w:rPr>
      </w:pPr>
      <w:r w:rsidRPr="003C7E7A">
        <w:rPr>
          <w:rFonts w:ascii="David" w:hAnsi="David" w:hint="cs"/>
          <w:rtl/>
        </w:rPr>
        <w:t>....</w:t>
      </w:r>
    </w:p>
    <w:p w:rsidR="00FC0813" w:rsidRDefault="00FC0813" w:rsidP="00FC0813">
      <w:pPr>
        <w:spacing w:line="240" w:lineRule="auto"/>
        <w:ind w:left="720"/>
        <w:rPr>
          <w:rtl/>
        </w:rPr>
      </w:pPr>
      <w:r w:rsidRPr="003C7E7A">
        <w:rPr>
          <w:rFonts w:hint="cs"/>
          <w:rtl/>
        </w:rPr>
        <w:t xml:space="preserve">ה. במידה ונשאל המת"ל הנציג ע"י הלקוח האם לא יהיה לו יותר מת"ל יש להגיב: "כל השירותים מחח"י שמגיעים לך ינתנו לך ע"י המחלקות הרלוונטיות". "[ </w:t>
      </w:r>
      <w:r w:rsidRPr="003C7E7A">
        <w:rPr>
          <w:rFonts w:hint="cs"/>
          <w:i/>
          <w:iCs/>
          <w:rtl/>
        </w:rPr>
        <w:t>הדגשות במקור</w:t>
      </w:r>
      <w:r w:rsidRPr="003C7E7A">
        <w:rPr>
          <w:rFonts w:hint="cs"/>
          <w:rtl/>
        </w:rPr>
        <w:t>]</w:t>
      </w:r>
    </w:p>
    <w:p w:rsidR="00042402" w:rsidRDefault="00042402" w:rsidP="00042402">
      <w:pPr>
        <w:spacing w:line="240" w:lineRule="auto"/>
        <w:rPr>
          <w:rtl/>
        </w:rPr>
      </w:pPr>
    </w:p>
    <w:p w:rsidR="00FC0813" w:rsidRPr="00042402" w:rsidRDefault="00FC0813" w:rsidP="00D9686A">
      <w:pPr>
        <w:rPr>
          <w:rtl/>
        </w:rPr>
      </w:pPr>
      <w:r>
        <w:rPr>
          <w:rFonts w:hint="cs"/>
          <w:rtl/>
        </w:rPr>
        <w:t xml:space="preserve">הנה כי כן, </w:t>
      </w:r>
      <w:r w:rsidRPr="002164D8">
        <w:rPr>
          <w:rFonts w:hint="cs"/>
          <w:rtl/>
        </w:rPr>
        <w:t xml:space="preserve">המוקד הייעודי </w:t>
      </w:r>
      <w:r>
        <w:rPr>
          <w:rFonts w:hint="cs"/>
          <w:rtl/>
        </w:rPr>
        <w:t>היווה</w:t>
      </w:r>
      <w:r w:rsidRPr="002164D8">
        <w:rPr>
          <w:rFonts w:hint="cs"/>
          <w:rtl/>
        </w:rPr>
        <w:t xml:space="preserve"> שירות מגיב</w:t>
      </w:r>
      <w:r>
        <w:rPr>
          <w:rFonts w:hint="cs"/>
          <w:rtl/>
        </w:rPr>
        <w:t>,</w:t>
      </w:r>
      <w:r w:rsidRPr="002164D8">
        <w:rPr>
          <w:rFonts w:hint="cs"/>
          <w:rtl/>
        </w:rPr>
        <w:t xml:space="preserve"> </w:t>
      </w:r>
      <w:r>
        <w:rPr>
          <w:rFonts w:hint="cs"/>
          <w:rtl/>
        </w:rPr>
        <w:t>ב</w:t>
      </w:r>
      <w:r w:rsidRPr="002164D8">
        <w:rPr>
          <w:rFonts w:hint="cs"/>
          <w:rtl/>
        </w:rPr>
        <w:t>נושא תקלות</w:t>
      </w:r>
      <w:r>
        <w:rPr>
          <w:rFonts w:hint="cs"/>
          <w:rtl/>
        </w:rPr>
        <w:t xml:space="preserve"> והפרעות בחשמל בלבד, מעין "עוקף תור" מוקד 103. </w:t>
      </w:r>
      <w:r w:rsidR="00DB0372">
        <w:rPr>
          <w:rFonts w:hint="cs"/>
          <w:rtl/>
        </w:rPr>
        <w:t xml:space="preserve">בדומה לשירות המת"ל החלקי, </w:t>
      </w:r>
      <w:r>
        <w:rPr>
          <w:rFonts w:hint="cs"/>
          <w:rtl/>
        </w:rPr>
        <w:t>המוקד הייעודי לא סיפק שירותים נוספים של המת"ל</w:t>
      </w:r>
      <w:r w:rsidRPr="0018178F">
        <w:rPr>
          <w:rFonts w:hint="cs"/>
          <w:rtl/>
        </w:rPr>
        <w:t xml:space="preserve"> </w:t>
      </w:r>
      <w:r>
        <w:rPr>
          <w:rFonts w:hint="cs"/>
          <w:rtl/>
        </w:rPr>
        <w:t>בהולכה ובחלוקה:</w:t>
      </w:r>
    </w:p>
    <w:p w:rsidR="0053170B" w:rsidRDefault="00FC0813" w:rsidP="00042402">
      <w:r>
        <w:rPr>
          <w:rFonts w:hint="cs"/>
          <w:rtl/>
        </w:rPr>
        <w:t>ראשית, המוקד הייעודי לא נתן הודעות אישיות ל</w:t>
      </w:r>
      <w:r w:rsidR="00206900">
        <w:rPr>
          <w:rFonts w:hint="cs"/>
          <w:rtl/>
        </w:rPr>
        <w:t>לקוחות</w:t>
      </w:r>
      <w:r>
        <w:rPr>
          <w:rFonts w:hint="cs"/>
          <w:rtl/>
        </w:rPr>
        <w:t xml:space="preserve"> העסקיים טרם הפסקת חשמל יזומה, ולבטח לא סייע בתיאום מועד ההפסקה היזומה עם הצרכן. בעוד ש</w:t>
      </w:r>
      <w:r w:rsidR="00206900">
        <w:rPr>
          <w:rFonts w:hint="cs"/>
          <w:rtl/>
        </w:rPr>
        <w:t>לקוחות</w:t>
      </w:r>
      <w:r>
        <w:rPr>
          <w:rFonts w:hint="cs"/>
          <w:rtl/>
        </w:rPr>
        <w:t xml:space="preserve"> עסקיים הרוכשים חשמל מחברת החשמל במקטע האספקה מקבלים הודעה אישית טלפונית מהמת"ל על מועד ההפסקה המתוכננת, הודעה על הפסקת חשמל מתוכננת </w:t>
      </w:r>
      <w:r w:rsidR="0053170B">
        <w:rPr>
          <w:rFonts w:hint="cs"/>
          <w:rtl/>
        </w:rPr>
        <w:t xml:space="preserve">ללקוחות </w:t>
      </w:r>
      <w:r>
        <w:rPr>
          <w:rFonts w:hint="cs"/>
          <w:rtl/>
        </w:rPr>
        <w:t xml:space="preserve">עסקיים שרוכשים חשמל </w:t>
      </w:r>
      <w:r w:rsidR="0053170B">
        <w:rPr>
          <w:rFonts w:hint="cs"/>
          <w:rtl/>
        </w:rPr>
        <w:t>מיצרנים פרטיים</w:t>
      </w:r>
      <w:r>
        <w:rPr>
          <w:rFonts w:hint="cs"/>
          <w:rtl/>
        </w:rPr>
        <w:t xml:space="preserve"> </w:t>
      </w:r>
      <w:r w:rsidR="0053170B">
        <w:rPr>
          <w:rFonts w:hint="cs"/>
          <w:rtl/>
        </w:rPr>
        <w:t xml:space="preserve">הודבקה </w:t>
      </w:r>
      <w:r>
        <w:rPr>
          <w:rFonts w:hint="cs"/>
          <w:rtl/>
        </w:rPr>
        <w:t>בכניסה למבנה לפני ההפסקה</w:t>
      </w:r>
      <w:r w:rsidR="0053170B">
        <w:rPr>
          <w:rFonts w:hint="cs"/>
          <w:rtl/>
        </w:rPr>
        <w:t xml:space="preserve">, בדומה ללקוחות </w:t>
      </w:r>
      <w:r w:rsidR="003B12D1">
        <w:rPr>
          <w:rFonts w:hint="cs"/>
          <w:rtl/>
        </w:rPr>
        <w:t>ביתיים</w:t>
      </w:r>
      <w:r>
        <w:rPr>
          <w:rFonts w:hint="cs"/>
          <w:rtl/>
        </w:rPr>
        <w:t>.</w:t>
      </w:r>
      <w:r w:rsidR="0053170B" w:rsidRPr="0053170B">
        <w:rPr>
          <w:rFonts w:hint="cs"/>
          <w:rtl/>
        </w:rPr>
        <w:t xml:space="preserve"> </w:t>
      </w:r>
      <w:r w:rsidR="0053170B">
        <w:rPr>
          <w:rFonts w:hint="cs"/>
          <w:rtl/>
        </w:rPr>
        <w:t xml:space="preserve">כאמור לעיל, הודעה אישית מראש על הפסקה מתוכננת, אפשרה ללקוח העסקי להיערך אליה באופן שצמצם את הנזק המסתבר מההפסקה בחשמל. </w:t>
      </w:r>
    </w:p>
    <w:p w:rsidR="00FC0813" w:rsidRDefault="00FC0813" w:rsidP="00D9686A">
      <w:r>
        <w:rPr>
          <w:rFonts w:hint="cs"/>
          <w:rtl/>
        </w:rPr>
        <w:t xml:space="preserve">שנית, להבדיל מהמת"ל, המוקד הייעודי לא סיפק שירות בעניין הגדלת חיבור או מענה בעניין חיבורים קיימים. </w:t>
      </w:r>
      <w:r w:rsidR="008F7169">
        <w:rPr>
          <w:rFonts w:hint="cs"/>
          <w:rtl/>
        </w:rPr>
        <w:t xml:space="preserve">לקוחות </w:t>
      </w:r>
      <w:r>
        <w:rPr>
          <w:rFonts w:hint="cs"/>
          <w:rtl/>
        </w:rPr>
        <w:t xml:space="preserve">עסקיים שרוכשים </w:t>
      </w:r>
      <w:r w:rsidR="00932B95">
        <w:rPr>
          <w:rFonts w:hint="cs"/>
          <w:rtl/>
        </w:rPr>
        <w:t xml:space="preserve">מיצרנים פרטיים </w:t>
      </w:r>
      <w:r>
        <w:rPr>
          <w:rFonts w:hint="cs"/>
          <w:rtl/>
        </w:rPr>
        <w:t>טופלו בעניינו חיבורים לרשת החשמל על-ידי המחלקות המסחריות במחוזות.</w:t>
      </w:r>
    </w:p>
    <w:p w:rsidR="00FC0813" w:rsidRDefault="00FC0813" w:rsidP="00D9686A">
      <w:pPr>
        <w:rPr>
          <w:rtl/>
        </w:rPr>
      </w:pPr>
      <w:r>
        <w:rPr>
          <w:rFonts w:hint="cs"/>
          <w:rtl/>
        </w:rPr>
        <w:t>כמו כן</w:t>
      </w:r>
      <w:r w:rsidRPr="00B70716">
        <w:rPr>
          <w:rFonts w:hint="cs"/>
          <w:rtl/>
        </w:rPr>
        <w:t xml:space="preserve">, </w:t>
      </w:r>
      <w:r>
        <w:rPr>
          <w:rFonts w:hint="cs"/>
          <w:rtl/>
        </w:rPr>
        <w:t>מהראיות עולה ש</w:t>
      </w:r>
      <w:r w:rsidRPr="00B70716">
        <w:rPr>
          <w:rFonts w:hint="cs"/>
          <w:rtl/>
        </w:rPr>
        <w:t xml:space="preserve">גם לאחר </w:t>
      </w:r>
      <w:r>
        <w:rPr>
          <w:rFonts w:hint="cs"/>
          <w:rtl/>
        </w:rPr>
        <w:t>יוני</w:t>
      </w:r>
      <w:r w:rsidRPr="00B70716">
        <w:rPr>
          <w:rFonts w:hint="cs"/>
          <w:rtl/>
        </w:rPr>
        <w:t xml:space="preserve"> 2015 חלק </w:t>
      </w:r>
      <w:r w:rsidR="008F7169">
        <w:rPr>
          <w:rFonts w:hint="cs"/>
          <w:rtl/>
        </w:rPr>
        <w:t>מהלקוחות</w:t>
      </w:r>
      <w:r w:rsidR="008F7169" w:rsidRPr="00B70716">
        <w:rPr>
          <w:rFonts w:hint="cs"/>
          <w:rtl/>
        </w:rPr>
        <w:t xml:space="preserve"> </w:t>
      </w:r>
      <w:r w:rsidRPr="00B70716">
        <w:rPr>
          <w:rFonts w:hint="cs"/>
          <w:rtl/>
        </w:rPr>
        <w:t xml:space="preserve">של </w:t>
      </w:r>
      <w:r>
        <w:rPr>
          <w:rFonts w:hint="cs"/>
          <w:rtl/>
        </w:rPr>
        <w:t xml:space="preserve">יצרנים פרטיים הופנו למוקד 103 </w:t>
      </w:r>
      <w:r w:rsidRPr="00C75730">
        <w:rPr>
          <w:rFonts w:hint="cs"/>
          <w:rtl/>
        </w:rPr>
        <w:t>בנושאי הפסקות חשמל</w:t>
      </w:r>
      <w:r>
        <w:rPr>
          <w:rFonts w:hint="cs"/>
          <w:rtl/>
        </w:rPr>
        <w:t>.</w:t>
      </w:r>
    </w:p>
    <w:p w:rsidR="00FC0813" w:rsidRDefault="00FC0813" w:rsidP="003B12D1">
      <w:pPr>
        <w:rPr>
          <w:rFonts w:ascii="Calibri" w:hAnsi="Calibri"/>
          <w:sz w:val="24"/>
        </w:rPr>
      </w:pPr>
      <w:r>
        <w:rPr>
          <w:rFonts w:hint="cs"/>
          <w:rtl/>
        </w:rPr>
        <w:t>ביום 26.11.2015 על רקע בדיקה שערכה בנושא</w:t>
      </w:r>
      <w:r w:rsidR="008720B0">
        <w:rPr>
          <w:rFonts w:hint="cs"/>
          <w:rtl/>
        </w:rPr>
        <w:t>,</w:t>
      </w:r>
      <w:r>
        <w:rPr>
          <w:rFonts w:hint="cs"/>
          <w:rtl/>
        </w:rPr>
        <w:t xml:space="preserve"> התריעה רשות ההגבלים העסקיים בפני חברת החשמל כי</w:t>
      </w:r>
      <w:r w:rsidRPr="00657871">
        <w:rPr>
          <w:rFonts w:hint="cs"/>
          <w:rtl/>
        </w:rPr>
        <w:t xml:space="preserve"> הגיע לידי</w:t>
      </w:r>
      <w:r>
        <w:rPr>
          <w:rFonts w:hint="cs"/>
          <w:rtl/>
        </w:rPr>
        <w:t>ה</w:t>
      </w:r>
      <w:r w:rsidRPr="00657871">
        <w:rPr>
          <w:rFonts w:hint="cs"/>
          <w:rtl/>
        </w:rPr>
        <w:t xml:space="preserve"> מידע לפיו חברת החשמל </w:t>
      </w:r>
      <w:r>
        <w:rPr>
          <w:rFonts w:hint="cs"/>
          <w:sz w:val="24"/>
          <w:rtl/>
        </w:rPr>
        <w:t xml:space="preserve">חברת החשמל חדלה לספק שירות מנהל תיק לקוח ללקוחות אשר החלו לרכוש חשמל מיצרן חשמל פרטי במקום מחברת החשמל, </w:t>
      </w:r>
      <w:r w:rsidRPr="00657871">
        <w:rPr>
          <w:rFonts w:hint="cs"/>
          <w:rtl/>
        </w:rPr>
        <w:t xml:space="preserve">ולכל היותר מעמידה </w:t>
      </w:r>
      <w:r w:rsidR="003B12D1">
        <w:rPr>
          <w:rFonts w:hint="cs"/>
          <w:rtl/>
        </w:rPr>
        <w:t>מוקד</w:t>
      </w:r>
      <w:r w:rsidR="003B12D1" w:rsidRPr="00657871">
        <w:rPr>
          <w:rFonts w:hint="cs"/>
          <w:rtl/>
        </w:rPr>
        <w:t xml:space="preserve"> </w:t>
      </w:r>
      <w:r w:rsidRPr="00657871">
        <w:rPr>
          <w:rFonts w:hint="cs"/>
          <w:rtl/>
        </w:rPr>
        <w:t>ייעודי הכולל שירותים חלקיים.</w:t>
      </w:r>
      <w:r>
        <w:rPr>
          <w:rFonts w:hint="cs"/>
          <w:rtl/>
        </w:rPr>
        <w:t xml:space="preserve"> על כן, ובטרם מוצתה הבדיקה, מצא לנכון הממונה להודיע לחברת החשמל שמן הראוי שחברת החשמל תחדל לאלתר מהתנהלות זו</w:t>
      </w:r>
      <w:r w:rsidRPr="00090458">
        <w:rPr>
          <w:rFonts w:ascii="Calibri" w:hAnsi="Calibri" w:hint="cs"/>
          <w:sz w:val="24"/>
          <w:rtl/>
        </w:rPr>
        <w:t xml:space="preserve"> עד למיצוי בדיקת הרשות.</w:t>
      </w:r>
      <w:r>
        <w:rPr>
          <w:rFonts w:ascii="Calibri" w:hAnsi="Calibri" w:hint="cs"/>
          <w:sz w:val="24"/>
          <w:rtl/>
        </w:rPr>
        <w:t xml:space="preserve"> </w:t>
      </w:r>
    </w:p>
    <w:p w:rsidR="00FC0813" w:rsidRPr="00EA20AA" w:rsidRDefault="00FC0813" w:rsidP="00042402">
      <w:r w:rsidRPr="00EA20AA">
        <w:rPr>
          <w:rFonts w:hint="cs"/>
          <w:rtl/>
        </w:rPr>
        <w:t>ב</w:t>
      </w:r>
      <w:r>
        <w:rPr>
          <w:rFonts w:hint="cs"/>
          <w:rtl/>
        </w:rPr>
        <w:t>חודש דצמבר 2015, בעקבות התרע</w:t>
      </w:r>
      <w:r w:rsidRPr="00EA20AA">
        <w:rPr>
          <w:rFonts w:hint="cs"/>
          <w:rtl/>
        </w:rPr>
        <w:t>ת רשות ההגבלים העסקיים, הוחזר שירות המת"ל ל</w:t>
      </w:r>
      <w:r w:rsidR="00206900">
        <w:rPr>
          <w:rFonts w:hint="cs"/>
          <w:rtl/>
        </w:rPr>
        <w:t>לקוחות</w:t>
      </w:r>
      <w:r w:rsidRPr="00EA20AA">
        <w:rPr>
          <w:rFonts w:hint="cs"/>
          <w:rtl/>
        </w:rPr>
        <w:t xml:space="preserve"> שעברו לרכוש מ</w:t>
      </w:r>
      <w:r>
        <w:rPr>
          <w:rFonts w:hint="cs"/>
          <w:rtl/>
        </w:rPr>
        <w:t>יצרנים פרטיים</w:t>
      </w:r>
      <w:r w:rsidRPr="00EA20AA">
        <w:rPr>
          <w:rFonts w:hint="cs"/>
          <w:rtl/>
        </w:rPr>
        <w:t>.</w:t>
      </w:r>
    </w:p>
    <w:p w:rsidR="00FC0813" w:rsidRDefault="009A1C3C" w:rsidP="009A1C3C">
      <w:pPr>
        <w:pStyle w:val="Heading2"/>
        <w:numPr>
          <w:ilvl w:val="0"/>
          <w:numId w:val="0"/>
        </w:numPr>
        <w:ind w:left="851"/>
        <w:jc w:val="left"/>
        <w:rPr>
          <w:rtl/>
        </w:rPr>
      </w:pPr>
      <w:bookmarkStart w:id="10" w:name="_Toc476497404"/>
      <w:r>
        <w:rPr>
          <w:rFonts w:hint="cs"/>
          <w:rtl/>
        </w:rPr>
        <w:lastRenderedPageBreak/>
        <w:t xml:space="preserve">ב.4. </w:t>
      </w:r>
      <w:r w:rsidR="00FC0813" w:rsidRPr="009A1C3C">
        <w:rPr>
          <w:rFonts w:hint="cs"/>
          <w:rtl/>
        </w:rPr>
        <w:t>סיכום</w:t>
      </w:r>
      <w:r w:rsidR="00FC0813">
        <w:rPr>
          <w:rFonts w:hint="cs"/>
          <w:rtl/>
        </w:rPr>
        <w:t xml:space="preserve"> עובדות ההפרה</w:t>
      </w:r>
      <w:bookmarkEnd w:id="10"/>
    </w:p>
    <w:p w:rsidR="00FC0813" w:rsidRDefault="00FC0813" w:rsidP="00D9686A">
      <w:pPr>
        <w:rPr>
          <w:rtl/>
        </w:rPr>
      </w:pPr>
      <w:r>
        <w:rPr>
          <w:rFonts w:hint="cs"/>
          <w:rtl/>
          <w:lang w:eastAsia="en-US"/>
        </w:rPr>
        <w:t xml:space="preserve">לסיכום חלק זה, </w:t>
      </w:r>
      <w:r>
        <w:rPr>
          <w:rFonts w:hint="cs"/>
          <w:rtl/>
        </w:rPr>
        <w:t xml:space="preserve">מהראיות שנאספו על ידי הרשות עולה כי חברת החשמל </w:t>
      </w:r>
      <w:r w:rsidR="00EB57CD">
        <w:rPr>
          <w:rFonts w:hint="cs"/>
          <w:rtl/>
        </w:rPr>
        <w:t>נקטה בפעולות שהובילו</w:t>
      </w:r>
      <w:r w:rsidR="00217E97">
        <w:rPr>
          <w:rFonts w:hint="cs"/>
          <w:rtl/>
        </w:rPr>
        <w:t xml:space="preserve"> להפסקת </w:t>
      </w:r>
      <w:r>
        <w:rPr>
          <w:rFonts w:hint="cs"/>
          <w:rtl/>
        </w:rPr>
        <w:t>שירותי המת"ל</w:t>
      </w:r>
      <w:r w:rsidR="00050669">
        <w:rPr>
          <w:rFonts w:hint="cs"/>
          <w:rtl/>
        </w:rPr>
        <w:t>, ובכלל זה אלה הנוגעים למקטעי ההולכה ו</w:t>
      </w:r>
      <w:r w:rsidR="005A0FCB">
        <w:rPr>
          <w:rFonts w:hint="cs"/>
          <w:rtl/>
        </w:rPr>
        <w:t>ה</w:t>
      </w:r>
      <w:r w:rsidR="00050669">
        <w:rPr>
          <w:rFonts w:hint="cs"/>
          <w:rtl/>
        </w:rPr>
        <w:t>חלוקה,</w:t>
      </w:r>
      <w:r>
        <w:rPr>
          <w:rFonts w:hint="cs"/>
          <w:rtl/>
        </w:rPr>
        <w:t xml:space="preserve"> ללקוחות שעברו לרכוש חשמל מיצרנים פרטיים החל מאמצע שנת 2013. המהלך נעשה הן ברמת הנהלת החברה וחטיבת הלקוחות </w:t>
      </w:r>
      <w:r w:rsidR="00217E97">
        <w:rPr>
          <w:rFonts w:hint="cs"/>
          <w:rtl/>
        </w:rPr>
        <w:t>אשר הנחו את עובדי החברה באמצעות תסריטי שיחה ונהלי החברה הפנימיים</w:t>
      </w:r>
      <w:r w:rsidR="00E64803">
        <w:rPr>
          <w:rFonts w:hint="cs"/>
          <w:rtl/>
        </w:rPr>
        <w:t xml:space="preserve"> </w:t>
      </w:r>
      <w:r>
        <w:rPr>
          <w:rFonts w:hint="cs"/>
          <w:rtl/>
        </w:rPr>
        <w:t>והן על ידי עובדי החברה במחוזות</w:t>
      </w:r>
      <w:r w:rsidR="00217E97">
        <w:rPr>
          <w:rFonts w:hint="cs"/>
          <w:rtl/>
        </w:rPr>
        <w:t>, אשר הודיעו ללקוחות עסקיים שעברו לרכוש חשמל מיצרנים פרטיים על הפסקת שירות המת"ל</w:t>
      </w:r>
      <w:r w:rsidR="00354DBF">
        <w:rPr>
          <w:rFonts w:hint="cs"/>
          <w:rtl/>
        </w:rPr>
        <w:t xml:space="preserve"> והפסיקו בפועל לספק את השירות</w:t>
      </w:r>
      <w:r>
        <w:rPr>
          <w:rFonts w:hint="cs"/>
          <w:rtl/>
        </w:rPr>
        <w:t xml:space="preserve">. </w:t>
      </w:r>
    </w:p>
    <w:p w:rsidR="00FC0813" w:rsidRDefault="00FC0813" w:rsidP="004E5B28">
      <w:pPr>
        <w:rPr>
          <w:rtl/>
        </w:rPr>
      </w:pPr>
      <w:r>
        <w:rPr>
          <w:rFonts w:hint="cs"/>
          <w:rtl/>
        </w:rPr>
        <w:t xml:space="preserve">בפברואר 2015 החזירה חברת החשמל את שירותי המת"ל באופן חלקי, </w:t>
      </w:r>
      <w:r w:rsidR="003D42A8">
        <w:rPr>
          <w:rFonts w:hint="cs"/>
          <w:rtl/>
        </w:rPr>
        <w:t xml:space="preserve">כשירות מגיב </w:t>
      </w:r>
      <w:r w:rsidRPr="003033EE">
        <w:rPr>
          <w:rFonts w:hint="cs"/>
          <w:rtl/>
        </w:rPr>
        <w:t>לנושאי תקלות והפרעות באספקת החשמל בלבד</w:t>
      </w:r>
      <w:r>
        <w:rPr>
          <w:rFonts w:hint="cs"/>
          <w:rtl/>
        </w:rPr>
        <w:t xml:space="preserve">, עד לחודש יוני 2015. ביוני 2015 החליפה חברת החשמל את שירותי המת"ל </w:t>
      </w:r>
      <w:r w:rsidR="00F718B9">
        <w:rPr>
          <w:rFonts w:hint="cs"/>
          <w:rtl/>
        </w:rPr>
        <w:t xml:space="preserve">החלקיים </w:t>
      </w:r>
      <w:r>
        <w:rPr>
          <w:rFonts w:hint="cs"/>
          <w:rtl/>
        </w:rPr>
        <w:t xml:space="preserve">ללקוחות שעברו לרכוש חשמל מיצרנים פרטיים במוקד ייעודי שהיווה שירות </w:t>
      </w:r>
      <w:r w:rsidR="004E5B28">
        <w:rPr>
          <w:rFonts w:hint="cs"/>
          <w:rtl/>
        </w:rPr>
        <w:t>חלקי ו</w:t>
      </w:r>
      <w:r>
        <w:rPr>
          <w:rFonts w:hint="cs"/>
          <w:rtl/>
        </w:rPr>
        <w:t xml:space="preserve">נחות ביחס לשירותי המת"ל. בדצמבר 2015 השיבה חברת החשמל את </w:t>
      </w:r>
      <w:r w:rsidR="00F718B9">
        <w:rPr>
          <w:rFonts w:hint="cs"/>
          <w:rtl/>
        </w:rPr>
        <w:t xml:space="preserve">מלוא </w:t>
      </w:r>
      <w:r>
        <w:rPr>
          <w:rFonts w:hint="cs"/>
          <w:rtl/>
        </w:rPr>
        <w:t xml:space="preserve">השירות בעקבות </w:t>
      </w:r>
      <w:r w:rsidR="004E5B28">
        <w:rPr>
          <w:rFonts w:hint="cs"/>
          <w:rtl/>
        </w:rPr>
        <w:t xml:space="preserve">התרעת </w:t>
      </w:r>
      <w:r>
        <w:rPr>
          <w:rFonts w:hint="cs"/>
          <w:rtl/>
        </w:rPr>
        <w:t xml:space="preserve">הרשות. </w:t>
      </w:r>
    </w:p>
    <w:p w:rsidR="00FC0813" w:rsidRDefault="00FC0813" w:rsidP="00C36DC0">
      <w:pPr>
        <w:rPr>
          <w:rtl/>
        </w:rPr>
      </w:pPr>
      <w:r>
        <w:rPr>
          <w:rFonts w:hint="cs"/>
          <w:rtl/>
        </w:rPr>
        <w:t xml:space="preserve">חברת החשמל </w:t>
      </w:r>
      <w:r w:rsidR="005626E9">
        <w:rPr>
          <w:rFonts w:hint="cs"/>
          <w:rtl/>
        </w:rPr>
        <w:t>אישרה את ה</w:t>
      </w:r>
      <w:r>
        <w:rPr>
          <w:rFonts w:hint="cs"/>
          <w:rtl/>
        </w:rPr>
        <w:t xml:space="preserve">עובדות </w:t>
      </w:r>
      <w:r w:rsidR="005626E9">
        <w:rPr>
          <w:rFonts w:hint="cs"/>
          <w:rtl/>
        </w:rPr>
        <w:t xml:space="preserve">המתוארות לעיל </w:t>
      </w:r>
      <w:r>
        <w:rPr>
          <w:rFonts w:hint="cs"/>
          <w:rtl/>
        </w:rPr>
        <w:t>במענה לדרישת נתונים ששלחה אליה הרשות</w:t>
      </w:r>
      <w:r w:rsidR="005626E9">
        <w:rPr>
          <w:rFonts w:hint="cs"/>
          <w:rtl/>
        </w:rPr>
        <w:t xml:space="preserve"> אך ציינה, כי לא הייתה עליה החובה לספק את השירות</w:t>
      </w:r>
      <w:r>
        <w:rPr>
          <w:rFonts w:hint="cs"/>
          <w:rtl/>
        </w:rPr>
        <w:t>. מאוחר יותר</w:t>
      </w:r>
      <w:r w:rsidR="008A1306">
        <w:rPr>
          <w:rFonts w:hint="cs"/>
          <w:rtl/>
        </w:rPr>
        <w:t xml:space="preserve">, במהלך </w:t>
      </w:r>
      <w:r w:rsidR="00C36DC0">
        <w:rPr>
          <w:rFonts w:hint="cs"/>
          <w:rtl/>
        </w:rPr>
        <w:t>הליך שמיעת חברת החשמל</w:t>
      </w:r>
      <w:r w:rsidR="008A1306">
        <w:rPr>
          <w:rFonts w:hint="cs"/>
          <w:rtl/>
        </w:rPr>
        <w:t xml:space="preserve"> טרם מתן החלטה זו,</w:t>
      </w:r>
      <w:r>
        <w:rPr>
          <w:rFonts w:hint="cs"/>
          <w:rtl/>
        </w:rPr>
        <w:t xml:space="preserve"> הכחישה חברת החשמל את עובדת הפסקת מתן שירותי המת"ל. אולם, כפי שראינו לעיל, מעשה ההפרה עולה גם מראיות מזמן אמת שנאספו על ידי הרשות ופורטו בהרחבה.</w:t>
      </w:r>
    </w:p>
    <w:p w:rsidR="00C25E87" w:rsidRDefault="00C25E87" w:rsidP="00260016">
      <w:pPr>
        <w:spacing w:line="240" w:lineRule="auto"/>
        <w:rPr>
          <w:rtl/>
        </w:rPr>
      </w:pPr>
    </w:p>
    <w:p w:rsidR="00F2258B" w:rsidRPr="009A1C3C" w:rsidRDefault="00F2258B" w:rsidP="009A1C3C">
      <w:pPr>
        <w:pStyle w:val="Heading1"/>
        <w:numPr>
          <w:ilvl w:val="0"/>
          <w:numId w:val="10"/>
        </w:numPr>
        <w:jc w:val="left"/>
        <w:rPr>
          <w:b/>
          <w:bCs/>
          <w:rtl/>
        </w:rPr>
      </w:pPr>
      <w:bookmarkStart w:id="11" w:name="_Toc476497405"/>
      <w:r w:rsidRPr="009A1C3C">
        <w:rPr>
          <w:rFonts w:hint="cs"/>
          <w:b/>
          <w:bCs/>
          <w:rtl/>
        </w:rPr>
        <w:t xml:space="preserve">הפסקת </w:t>
      </w:r>
      <w:r w:rsidRPr="009A1C3C">
        <w:rPr>
          <w:rFonts w:hint="cs"/>
          <w:b/>
          <w:bCs/>
          <w:szCs w:val="22"/>
          <w:rtl/>
        </w:rPr>
        <w:t>שירותי</w:t>
      </w:r>
      <w:r w:rsidRPr="009A1C3C">
        <w:rPr>
          <w:rFonts w:hint="cs"/>
          <w:b/>
          <w:bCs/>
          <w:rtl/>
        </w:rPr>
        <w:t xml:space="preserve"> המת"ל - ניצול מעמד מונופוליסטי לרעה וסירוב בלתי סביר לספק</w:t>
      </w:r>
      <w:bookmarkEnd w:id="11"/>
    </w:p>
    <w:p w:rsidR="00F2258B" w:rsidRDefault="00F2258B" w:rsidP="00F2258B">
      <w:pPr>
        <w:rPr>
          <w:sz w:val="24"/>
          <w:rtl/>
        </w:rPr>
      </w:pPr>
      <w:r>
        <w:rPr>
          <w:rFonts w:hint="cs"/>
          <w:sz w:val="24"/>
          <w:rtl/>
        </w:rPr>
        <w:t xml:space="preserve">חוק ההגבלים העסקיים קובע מגבלות על יכולתו של בעל מונופולין לפעול בדרכים שעשויות לפגוע בתחרות או </w:t>
      </w:r>
      <w:r w:rsidRPr="00FB1B7A">
        <w:rPr>
          <w:rFonts w:hint="cs"/>
          <w:sz w:val="24"/>
          <w:rtl/>
        </w:rPr>
        <w:t>בציבור</w:t>
      </w:r>
      <w:r>
        <w:rPr>
          <w:rFonts w:hint="cs"/>
          <w:sz w:val="24"/>
          <w:rtl/>
        </w:rPr>
        <w:t xml:space="preserve">. </w:t>
      </w:r>
      <w:r w:rsidRPr="00807818">
        <w:rPr>
          <w:sz w:val="24"/>
          <w:rtl/>
        </w:rPr>
        <w:t>על בעל מונופולין חלים כללי התנהגות מחמירים על רקע מעמדו המיוחד, אשר אינם חלים על מתחרים אחרים בשוק, והאוסרים עליו להתחרות בצורה לא הוגנת, גם אם מדובר בדרך התנהגות הרווחת בקרב מתחרים אחרים בשוק</w:t>
      </w:r>
      <w:r w:rsidRPr="00807818">
        <w:rPr>
          <w:sz w:val="24"/>
        </w:rPr>
        <w:t>.</w:t>
      </w:r>
      <w:bookmarkStart w:id="12" w:name="_Ref476465888"/>
      <w:r w:rsidRPr="00FB1B7A">
        <w:rPr>
          <w:vertAlign w:val="superscript"/>
          <w:rtl/>
        </w:rPr>
        <w:footnoteReference w:id="24"/>
      </w:r>
      <w:bookmarkEnd w:id="12"/>
      <w:r w:rsidRPr="00FB1B7A">
        <w:rPr>
          <w:rFonts w:hint="cs"/>
          <w:sz w:val="24"/>
          <w:vertAlign w:val="superscript"/>
          <w:rtl/>
        </w:rPr>
        <w:t xml:space="preserve"> </w:t>
      </w:r>
    </w:p>
    <w:p w:rsidR="00F2258B" w:rsidRDefault="00F2258B" w:rsidP="00F2258B">
      <w:pPr>
        <w:rPr>
          <w:sz w:val="24"/>
          <w:rtl/>
        </w:rPr>
      </w:pPr>
      <w:r>
        <w:rPr>
          <w:rFonts w:hint="cs"/>
          <w:sz w:val="24"/>
          <w:rtl/>
        </w:rPr>
        <w:t xml:space="preserve">עיקרן של מגבלות אלה מצוי בסעיף 29 לחוק, האוסר על בעל מונופולין לסרב באופן </w:t>
      </w:r>
      <w:r w:rsidRPr="00FB1B7A">
        <w:rPr>
          <w:rFonts w:hint="cs"/>
          <w:sz w:val="24"/>
          <w:rtl/>
        </w:rPr>
        <w:t>בלתי</w:t>
      </w:r>
      <w:r>
        <w:rPr>
          <w:rFonts w:hint="cs"/>
          <w:sz w:val="24"/>
          <w:rtl/>
        </w:rPr>
        <w:t xml:space="preserve"> סביר לספק את הנכס שבמונופולין, ובסעיף 29א לחוק, הקובע איסור על בעל מונופולין מלנצל את מעמדו לרעה </w:t>
      </w:r>
      <w:r w:rsidRPr="002931E1">
        <w:rPr>
          <w:rFonts w:hint="cs"/>
          <w:sz w:val="24"/>
          <w:rtl/>
        </w:rPr>
        <w:t>באופן העלול להפחית את התחרות או לפגוע בציבור</w:t>
      </w:r>
      <w:r>
        <w:rPr>
          <w:rFonts w:hint="cs"/>
          <w:sz w:val="24"/>
          <w:rtl/>
        </w:rPr>
        <w:t xml:space="preserve">. סעיף 29 אינו אלא מקרה פרטי של 29א. </w:t>
      </w:r>
    </w:p>
    <w:p w:rsidR="00F2258B" w:rsidRPr="001F0C3E" w:rsidRDefault="009A1C3C" w:rsidP="009A1C3C">
      <w:pPr>
        <w:pStyle w:val="Heading2"/>
        <w:numPr>
          <w:ilvl w:val="0"/>
          <w:numId w:val="0"/>
        </w:numPr>
        <w:ind w:left="851"/>
        <w:jc w:val="left"/>
      </w:pPr>
      <w:bookmarkStart w:id="13" w:name="_Toc476497406"/>
      <w:r>
        <w:rPr>
          <w:rFonts w:hint="cs"/>
          <w:rtl/>
        </w:rPr>
        <w:t xml:space="preserve">ג.1. </w:t>
      </w:r>
      <w:r w:rsidR="00F2258B">
        <w:rPr>
          <w:rFonts w:hint="cs"/>
          <w:rtl/>
        </w:rPr>
        <w:t xml:space="preserve">סעיף </w:t>
      </w:r>
      <w:r w:rsidR="00F2258B" w:rsidRPr="009A1C3C">
        <w:rPr>
          <w:rFonts w:hint="cs"/>
          <w:rtl/>
        </w:rPr>
        <w:t>29א</w:t>
      </w:r>
      <w:r w:rsidR="00F2258B">
        <w:rPr>
          <w:rFonts w:hint="cs"/>
          <w:rtl/>
        </w:rPr>
        <w:t xml:space="preserve"> לחוק</w:t>
      </w:r>
      <w:r w:rsidR="00F2258B" w:rsidRPr="001F0C3E">
        <w:rPr>
          <w:rFonts w:hint="cs"/>
          <w:rtl/>
        </w:rPr>
        <w:t xml:space="preserve">  </w:t>
      </w:r>
      <w:r w:rsidR="00F2258B">
        <w:rPr>
          <w:rtl/>
        </w:rPr>
        <w:t>–</w:t>
      </w:r>
      <w:r w:rsidR="00F2258B">
        <w:rPr>
          <w:rFonts w:hint="cs"/>
          <w:rtl/>
        </w:rPr>
        <w:t xml:space="preserve"> </w:t>
      </w:r>
      <w:r w:rsidR="00D9686A">
        <w:rPr>
          <w:rFonts w:hint="cs"/>
          <w:rtl/>
        </w:rPr>
        <w:t>כללי</w:t>
      </w:r>
      <w:bookmarkEnd w:id="13"/>
      <w:r w:rsidR="00F2258B">
        <w:rPr>
          <w:rFonts w:hint="cs"/>
          <w:rtl/>
        </w:rPr>
        <w:t xml:space="preserve"> </w:t>
      </w:r>
    </w:p>
    <w:p w:rsidR="00F2258B" w:rsidRDefault="00F2258B" w:rsidP="00F2258B">
      <w:pPr>
        <w:rPr>
          <w:sz w:val="24"/>
          <w:rtl/>
        </w:rPr>
      </w:pPr>
      <w:r w:rsidRPr="00727365">
        <w:rPr>
          <w:rFonts w:hint="cs"/>
          <w:sz w:val="24"/>
          <w:rtl/>
        </w:rPr>
        <w:t xml:space="preserve">סעיף 29א </w:t>
      </w:r>
      <w:r w:rsidRPr="00506792">
        <w:rPr>
          <w:rFonts w:hint="cs"/>
          <w:rtl/>
        </w:rPr>
        <w:t>לחוק</w:t>
      </w:r>
      <w:r w:rsidRPr="00727365">
        <w:rPr>
          <w:rFonts w:hint="cs"/>
          <w:sz w:val="24"/>
          <w:rtl/>
        </w:rPr>
        <w:t xml:space="preserve"> בנוי משני נדבכים</w:t>
      </w:r>
      <w:r>
        <w:rPr>
          <w:rFonts w:hint="cs"/>
          <w:sz w:val="24"/>
          <w:rtl/>
        </w:rPr>
        <w:t>:</w:t>
      </w:r>
      <w:r w:rsidRPr="00727365">
        <w:rPr>
          <w:rFonts w:hint="cs"/>
          <w:sz w:val="24"/>
          <w:rtl/>
        </w:rPr>
        <w:t xml:space="preserve"> סעיף </w:t>
      </w:r>
      <w:r>
        <w:rPr>
          <w:rFonts w:hint="cs"/>
          <w:sz w:val="24"/>
          <w:rtl/>
        </w:rPr>
        <w:t xml:space="preserve">קטן </w:t>
      </w:r>
      <w:r w:rsidRPr="00727365">
        <w:rPr>
          <w:rFonts w:hint="cs"/>
          <w:sz w:val="24"/>
          <w:rtl/>
        </w:rPr>
        <w:t xml:space="preserve">(א) קובע איסור כללי על בעל מונופולין מלנצל את מעמדו </w:t>
      </w:r>
      <w:r w:rsidRPr="00506792">
        <w:rPr>
          <w:rFonts w:hint="cs"/>
          <w:rtl/>
        </w:rPr>
        <w:t>לרעה</w:t>
      </w:r>
      <w:r>
        <w:rPr>
          <w:rFonts w:hint="cs"/>
          <w:sz w:val="24"/>
          <w:rtl/>
        </w:rPr>
        <w:t xml:space="preserve">; </w:t>
      </w:r>
      <w:r w:rsidRPr="00727365">
        <w:rPr>
          <w:rFonts w:hint="cs"/>
          <w:sz w:val="24"/>
          <w:rtl/>
        </w:rPr>
        <w:t xml:space="preserve">סעיף </w:t>
      </w:r>
      <w:r>
        <w:rPr>
          <w:rFonts w:hint="cs"/>
          <w:sz w:val="24"/>
          <w:rtl/>
        </w:rPr>
        <w:t xml:space="preserve">קטן </w:t>
      </w:r>
      <w:r w:rsidRPr="00727365">
        <w:rPr>
          <w:rFonts w:hint="cs"/>
          <w:sz w:val="24"/>
          <w:rtl/>
        </w:rPr>
        <w:t xml:space="preserve">(ב) קובע רשימה של מעשים </w:t>
      </w:r>
      <w:r>
        <w:rPr>
          <w:rFonts w:hint="cs"/>
          <w:sz w:val="24"/>
          <w:rtl/>
        </w:rPr>
        <w:t>פוגעניים, הבאים</w:t>
      </w:r>
      <w:r w:rsidRPr="00727365">
        <w:rPr>
          <w:rFonts w:hint="cs"/>
          <w:sz w:val="24"/>
          <w:rtl/>
        </w:rPr>
        <w:t xml:space="preserve"> להוסיף </w:t>
      </w:r>
      <w:r>
        <w:rPr>
          <w:rFonts w:hint="cs"/>
          <w:sz w:val="24"/>
          <w:rtl/>
        </w:rPr>
        <w:t>על האיסור הכללי ב</w:t>
      </w:r>
      <w:r w:rsidRPr="00727365">
        <w:rPr>
          <w:rFonts w:hint="cs"/>
          <w:sz w:val="24"/>
          <w:rtl/>
        </w:rPr>
        <w:t xml:space="preserve">סעיף </w:t>
      </w:r>
      <w:r>
        <w:rPr>
          <w:rFonts w:hint="cs"/>
          <w:sz w:val="24"/>
          <w:rtl/>
        </w:rPr>
        <w:t xml:space="preserve">קטן </w:t>
      </w:r>
      <w:r w:rsidRPr="00727365">
        <w:rPr>
          <w:rFonts w:hint="cs"/>
          <w:sz w:val="24"/>
          <w:rtl/>
        </w:rPr>
        <w:t>(א)</w:t>
      </w:r>
      <w:r>
        <w:rPr>
          <w:rFonts w:hint="cs"/>
          <w:sz w:val="24"/>
          <w:rtl/>
        </w:rPr>
        <w:t>:</w:t>
      </w:r>
    </w:p>
    <w:p w:rsidR="00F2258B" w:rsidRPr="00506792" w:rsidRDefault="00F2258B" w:rsidP="00881572">
      <w:pPr>
        <w:spacing w:line="240" w:lineRule="auto"/>
        <w:ind w:left="941" w:right="426"/>
        <w:rPr>
          <w:rtl/>
        </w:rPr>
      </w:pPr>
      <w:r>
        <w:rPr>
          <w:rFonts w:hint="cs"/>
          <w:sz w:val="24"/>
          <w:rtl/>
        </w:rPr>
        <w:t>"</w:t>
      </w:r>
      <w:bookmarkStart w:id="14" w:name="Seif24"/>
      <w:bookmarkEnd w:id="14"/>
      <w:r w:rsidRPr="00506792">
        <w:rPr>
          <w:rFonts w:hint="cs"/>
          <w:rtl/>
        </w:rPr>
        <w:t>29א.</w:t>
      </w:r>
      <w:r w:rsidR="002769B2">
        <w:rPr>
          <w:rFonts w:hint="cs"/>
          <w:rtl/>
        </w:rPr>
        <w:t xml:space="preserve"> </w:t>
      </w:r>
      <w:r w:rsidRPr="00506792">
        <w:rPr>
          <w:rFonts w:hint="cs"/>
          <w:rtl/>
        </w:rPr>
        <w:t>(א) בעל מונופולין לא ינצל לרעה את מעמדו בשוק באופן העלול להפחית את התחרות בעסקים או לפגוע בציבור.</w:t>
      </w:r>
    </w:p>
    <w:p w:rsidR="00F2258B" w:rsidRPr="00506792" w:rsidRDefault="00F2258B" w:rsidP="00881572">
      <w:pPr>
        <w:spacing w:line="240" w:lineRule="auto"/>
        <w:ind w:left="941" w:right="426"/>
        <w:rPr>
          <w:rtl/>
        </w:rPr>
      </w:pPr>
      <w:r w:rsidRPr="00506792">
        <w:rPr>
          <w:rFonts w:hint="cs"/>
          <w:rtl/>
        </w:rPr>
        <w:t>(ב) יראו בעל מונופולין כמנצל לרעה את מעמדו בשוק באופן העלול להפחית את התחרות בעסקים או לפגוע בציבור, בכל אחד מן המקרים האלה:</w:t>
      </w:r>
    </w:p>
    <w:p w:rsidR="00F2258B" w:rsidRPr="00506792" w:rsidRDefault="00F2258B" w:rsidP="00881572">
      <w:pPr>
        <w:spacing w:line="240" w:lineRule="auto"/>
        <w:ind w:left="941" w:right="426"/>
        <w:rPr>
          <w:rtl/>
        </w:rPr>
      </w:pPr>
      <w:r w:rsidRPr="00506792">
        <w:rPr>
          <w:rFonts w:hint="cs"/>
          <w:rtl/>
        </w:rPr>
        <w:lastRenderedPageBreak/>
        <w:t>(1)</w:t>
      </w:r>
      <w:r w:rsidRPr="00506792">
        <w:rPr>
          <w:rFonts w:hint="cs"/>
          <w:rtl/>
        </w:rPr>
        <w:tab/>
        <w:t>קביעה של רמת מחירי קניה או מכירה בלתי הוגנים של הנכס או של השירות שבמונופולין;</w:t>
      </w:r>
    </w:p>
    <w:p w:rsidR="00F2258B" w:rsidRPr="00506792" w:rsidRDefault="00F2258B" w:rsidP="00881572">
      <w:pPr>
        <w:spacing w:line="240" w:lineRule="auto"/>
        <w:ind w:left="941" w:right="426"/>
        <w:rPr>
          <w:rtl/>
        </w:rPr>
      </w:pPr>
      <w:r w:rsidRPr="00506792">
        <w:rPr>
          <w:rFonts w:hint="cs"/>
          <w:rtl/>
        </w:rPr>
        <w:t>(2)</w:t>
      </w:r>
      <w:r w:rsidRPr="00506792">
        <w:rPr>
          <w:rFonts w:hint="cs"/>
          <w:rtl/>
        </w:rPr>
        <w:tab/>
        <w:t>צמצום או הגדלה של כמות הנכסים או היקף השירותים המוצעים על-ידי בעל מונופולין, שלא במסגרת פעילות תחרותית הוגנת;</w:t>
      </w:r>
    </w:p>
    <w:p w:rsidR="00F2258B" w:rsidRPr="00506792" w:rsidRDefault="00F2258B" w:rsidP="00881572">
      <w:pPr>
        <w:spacing w:line="240" w:lineRule="auto"/>
        <w:ind w:left="941" w:right="426"/>
        <w:rPr>
          <w:rtl/>
        </w:rPr>
      </w:pPr>
      <w:r w:rsidRPr="00506792">
        <w:rPr>
          <w:rFonts w:hint="cs"/>
          <w:rtl/>
        </w:rPr>
        <w:t>(3)</w:t>
      </w:r>
      <w:r w:rsidRPr="00506792">
        <w:rPr>
          <w:rFonts w:hint="cs"/>
          <w:rtl/>
        </w:rPr>
        <w:tab/>
        <w:t>קביעת תנאי התקשרות שונים לעסקות דומות אשר עשויים להעניק ללקוחות או לספקים מסויימים יתרון בלתי הוגן כלפי המתחרים בהם;</w:t>
      </w:r>
    </w:p>
    <w:p w:rsidR="00F2258B" w:rsidRPr="00506792" w:rsidRDefault="00F2258B" w:rsidP="00881572">
      <w:pPr>
        <w:spacing w:line="240" w:lineRule="auto"/>
        <w:ind w:left="941" w:right="426"/>
        <w:rPr>
          <w:rtl/>
        </w:rPr>
      </w:pPr>
      <w:r w:rsidRPr="00506792">
        <w:rPr>
          <w:rFonts w:hint="cs"/>
          <w:rtl/>
        </w:rPr>
        <w:t>(4)</w:t>
      </w:r>
      <w:r w:rsidRPr="00506792">
        <w:rPr>
          <w:rFonts w:hint="cs"/>
          <w:rtl/>
        </w:rPr>
        <w:tab/>
        <w:t>התניית ההתקשרות בדבר הנכס או השירות שבמונופולין בתנאים אשר מטבעם או בהתאם לתנאי מסחר מקובלים אינם נוגעים לנושא ההתקשרות.</w:t>
      </w:r>
    </w:p>
    <w:p w:rsidR="00F2258B" w:rsidRPr="008527D0" w:rsidRDefault="00F2258B" w:rsidP="00881572">
      <w:pPr>
        <w:spacing w:line="240" w:lineRule="auto"/>
        <w:ind w:left="941" w:right="426"/>
        <w:rPr>
          <w:rtl/>
        </w:rPr>
      </w:pPr>
      <w:r w:rsidRPr="008527D0">
        <w:rPr>
          <w:rFonts w:hint="cs"/>
          <w:rtl/>
        </w:rPr>
        <w:t>הוראות סעיף קטן זה באות להוסיף על הוראות סעיף קטן (א).</w:t>
      </w:r>
      <w:r>
        <w:rPr>
          <w:rFonts w:hint="cs"/>
          <w:rtl/>
        </w:rPr>
        <w:t>"</w:t>
      </w:r>
    </w:p>
    <w:p w:rsidR="00F2258B" w:rsidRDefault="00F2258B" w:rsidP="00F2258B">
      <w:pPr>
        <w:rPr>
          <w:sz w:val="24"/>
          <w:rtl/>
        </w:rPr>
      </w:pPr>
      <w:r>
        <w:rPr>
          <w:rFonts w:hint="cs"/>
          <w:sz w:val="24"/>
          <w:rtl/>
        </w:rPr>
        <w:t xml:space="preserve">לצורך הקמת עילה על פי סעיף 29א(א) לחוק יש להראות כי פעולותיו של בעל המונופולין ניצלו את מעמדו לרעה באופן העלול להפחית את התחרות או לפגוע בציבור. חוק ההגבלים העסקיים אינו מגדיר את המושג "ניצול מעמד לרעה". על פי פסיקת בית הדין להגבלים עסקיים, </w:t>
      </w:r>
      <w:r w:rsidRPr="00086BF2">
        <w:rPr>
          <w:rFonts w:hint="cs"/>
          <w:sz w:val="24"/>
          <w:rtl/>
        </w:rPr>
        <w:t>התנהגות של בעל מונופולין עשויה להיחשב כניצול</w:t>
      </w:r>
      <w:r w:rsidRPr="00086BF2">
        <w:rPr>
          <w:sz w:val="24"/>
          <w:rtl/>
        </w:rPr>
        <w:t xml:space="preserve"> </w:t>
      </w:r>
      <w:r w:rsidRPr="00086BF2">
        <w:rPr>
          <w:rFonts w:hint="cs"/>
          <w:sz w:val="24"/>
          <w:rtl/>
        </w:rPr>
        <w:t>מעמד</w:t>
      </w:r>
      <w:r w:rsidRPr="00086BF2">
        <w:rPr>
          <w:sz w:val="24"/>
          <w:rtl/>
        </w:rPr>
        <w:t xml:space="preserve"> </w:t>
      </w:r>
      <w:r w:rsidRPr="00086BF2">
        <w:rPr>
          <w:rFonts w:hint="cs"/>
          <w:sz w:val="24"/>
          <w:rtl/>
        </w:rPr>
        <w:t>לרעה</w:t>
      </w:r>
      <w:r w:rsidRPr="00086BF2">
        <w:rPr>
          <w:sz w:val="24"/>
          <w:rtl/>
        </w:rPr>
        <w:t xml:space="preserve"> </w:t>
      </w:r>
      <w:r>
        <w:rPr>
          <w:rFonts w:hint="cs"/>
          <w:sz w:val="24"/>
          <w:rtl/>
        </w:rPr>
        <w:t>כל אימת</w:t>
      </w:r>
      <w:r w:rsidRPr="00086BF2">
        <w:rPr>
          <w:rFonts w:hint="cs"/>
          <w:sz w:val="24"/>
          <w:rtl/>
        </w:rPr>
        <w:t xml:space="preserve"> </w:t>
      </w:r>
      <w:r>
        <w:rPr>
          <w:rFonts w:hint="cs"/>
          <w:sz w:val="24"/>
          <w:rtl/>
        </w:rPr>
        <w:t>ש</w:t>
      </w:r>
      <w:r w:rsidRPr="00086BF2">
        <w:rPr>
          <w:rFonts w:hint="cs"/>
          <w:sz w:val="24"/>
          <w:rtl/>
        </w:rPr>
        <w:t>מדובר בהתנהלות שאינה במסגרת תחרות לגופו של עניין</w:t>
      </w:r>
      <w:r>
        <w:rPr>
          <w:rFonts w:hint="cs"/>
          <w:sz w:val="24"/>
          <w:rtl/>
        </w:rPr>
        <w:t xml:space="preserve"> וכאשר הפגיעה היא מעבר לנדרש</w:t>
      </w:r>
      <w:r w:rsidRPr="00086BF2">
        <w:rPr>
          <w:rFonts w:hint="cs"/>
          <w:sz w:val="24"/>
          <w:rtl/>
        </w:rPr>
        <w:t>.</w:t>
      </w:r>
      <w:r w:rsidRPr="008A7D79">
        <w:rPr>
          <w:rStyle w:val="FootnoteReference"/>
          <w:sz w:val="24"/>
          <w:rtl/>
        </w:rPr>
        <w:footnoteReference w:id="25"/>
      </w:r>
      <w:r>
        <w:rPr>
          <w:rFonts w:hint="cs"/>
          <w:sz w:val="24"/>
          <w:rtl/>
        </w:rPr>
        <w:t xml:space="preserve"> </w:t>
      </w:r>
    </w:p>
    <w:p w:rsidR="00F2258B" w:rsidRDefault="00F2258B" w:rsidP="00F2258B">
      <w:pPr>
        <w:rPr>
          <w:sz w:val="24"/>
          <w:rtl/>
        </w:rPr>
      </w:pPr>
      <w:r>
        <w:rPr>
          <w:rFonts w:hint="cs"/>
          <w:sz w:val="24"/>
          <w:rtl/>
        </w:rPr>
        <w:t>בכל הנוגע לפרקטיקות המפורטות בסעיף 29א(ב), הפרשנות הנהוגה בפסיקה היא כי הן מקימות חזקה בדבר ניצול לרעה של מעמד מונופוליסטי. דהיינו, בהתקיים היסודות של תתי-סעיף קטן 29א(ב), אין נדרשת הוכחת הפגיעה העלולה להיגרם לתחרות או לציבור עקב התנהגות כזאת.</w:t>
      </w:r>
      <w:r>
        <w:rPr>
          <w:rStyle w:val="FootnoteReference"/>
          <w:sz w:val="24"/>
          <w:rtl/>
        </w:rPr>
        <w:footnoteReference w:id="26"/>
      </w:r>
    </w:p>
    <w:p w:rsidR="00F2258B" w:rsidRDefault="002769B2" w:rsidP="00F2258B">
      <w:pPr>
        <w:rPr>
          <w:sz w:val="24"/>
          <w:rtl/>
        </w:rPr>
      </w:pPr>
      <w:r>
        <w:rPr>
          <w:rFonts w:hint="cs"/>
          <w:sz w:val="24"/>
          <w:rtl/>
        </w:rPr>
        <w:t xml:space="preserve">כאמור, </w:t>
      </w:r>
      <w:r w:rsidR="00F2258B" w:rsidRPr="000E0C34">
        <w:rPr>
          <w:rFonts w:hint="cs"/>
          <w:sz w:val="24"/>
          <w:rtl/>
        </w:rPr>
        <w:t xml:space="preserve">סעיף 29א(א) לחוק קובע כי </w:t>
      </w:r>
      <w:r w:rsidR="00F2258B">
        <w:rPr>
          <w:rFonts w:hint="cs"/>
          <w:sz w:val="24"/>
          <w:rtl/>
        </w:rPr>
        <w:t>התנהגות בעל מונופולין תחשב ניצול מעמד לרעה כאשר היא עלולה להפחית את התחרות בעסקים או לפגוע בציבור. מהמילה "עלול" עולה כי לשם ניצול מעמד לרעה לא חייבת להיגרם תוצאה של פגיעה בפועל בתחרות או בציבור, ודי בהסתברות לפגיעה כזו.</w:t>
      </w:r>
      <w:bookmarkStart w:id="15" w:name="_Ref476486405"/>
      <w:r w:rsidR="00F2258B">
        <w:rPr>
          <w:rStyle w:val="FootnoteReference"/>
          <w:sz w:val="24"/>
          <w:rtl/>
        </w:rPr>
        <w:footnoteReference w:id="27"/>
      </w:r>
      <w:bookmarkEnd w:id="15"/>
      <w:r w:rsidR="00F2258B">
        <w:rPr>
          <w:rFonts w:hint="cs"/>
          <w:sz w:val="24"/>
          <w:rtl/>
        </w:rPr>
        <w:t xml:space="preserve"> כמו כן, </w:t>
      </w:r>
      <w:r w:rsidR="00F2258B" w:rsidRPr="00530D41">
        <w:rPr>
          <w:rFonts w:hint="cs"/>
          <w:sz w:val="24"/>
          <w:rtl/>
        </w:rPr>
        <w:t xml:space="preserve">בחינה האם התנהגות המונופולין </w:t>
      </w:r>
      <w:r w:rsidR="00F2258B">
        <w:rPr>
          <w:rFonts w:hint="cs"/>
          <w:sz w:val="24"/>
          <w:rtl/>
        </w:rPr>
        <w:t xml:space="preserve">עלולה לפגוע בתחרות או בציבור </w:t>
      </w:r>
      <w:r w:rsidR="00F2258B" w:rsidRPr="00530D41">
        <w:rPr>
          <w:rFonts w:hint="cs"/>
          <w:sz w:val="24"/>
          <w:rtl/>
        </w:rPr>
        <w:t xml:space="preserve">תיעשה </w:t>
      </w:r>
      <w:r w:rsidR="00F2258B">
        <w:rPr>
          <w:rFonts w:hint="cs"/>
          <w:sz w:val="24"/>
          <w:rtl/>
        </w:rPr>
        <w:t xml:space="preserve">באופן אובייקטיבי על פי </w:t>
      </w:r>
      <w:r w:rsidR="00F2258B" w:rsidRPr="00530D41">
        <w:rPr>
          <w:rFonts w:hint="cs"/>
          <w:sz w:val="24"/>
          <w:rtl/>
        </w:rPr>
        <w:t>נסיבות</w:t>
      </w:r>
      <w:r w:rsidR="00F2258B" w:rsidRPr="00530D41">
        <w:rPr>
          <w:sz w:val="24"/>
          <w:rtl/>
        </w:rPr>
        <w:t xml:space="preserve"> </w:t>
      </w:r>
      <w:r w:rsidR="00F2258B" w:rsidRPr="00530D41">
        <w:rPr>
          <w:rFonts w:hint="cs"/>
          <w:sz w:val="24"/>
          <w:rtl/>
        </w:rPr>
        <w:t>השוק</w:t>
      </w:r>
      <w:r w:rsidR="00F2258B" w:rsidRPr="00530D41">
        <w:rPr>
          <w:sz w:val="24"/>
          <w:rtl/>
        </w:rPr>
        <w:t xml:space="preserve"> </w:t>
      </w:r>
      <w:r w:rsidR="00F2258B" w:rsidRPr="00530D41">
        <w:rPr>
          <w:rFonts w:hint="cs"/>
          <w:sz w:val="24"/>
          <w:rtl/>
        </w:rPr>
        <w:t>הנבחן</w:t>
      </w:r>
      <w:r w:rsidR="00F2258B">
        <w:rPr>
          <w:rFonts w:hint="cs"/>
          <w:sz w:val="24"/>
          <w:rtl/>
        </w:rPr>
        <w:t>. מכאן שהוראת החוק אינה מצריכה בחינה סובייקטיבית של כוונת בעל המונופולין לפגוע בתחרות או בציבור.</w:t>
      </w:r>
      <w:bookmarkStart w:id="16" w:name="_Ref476480574"/>
      <w:r w:rsidR="00F2258B">
        <w:rPr>
          <w:rStyle w:val="FootnoteReference"/>
          <w:sz w:val="24"/>
          <w:rtl/>
        </w:rPr>
        <w:footnoteReference w:id="28"/>
      </w:r>
      <w:bookmarkEnd w:id="16"/>
    </w:p>
    <w:p w:rsidR="00F2258B" w:rsidRPr="009A2C33" w:rsidRDefault="00F2258B" w:rsidP="00F2258B">
      <w:pPr>
        <w:rPr>
          <w:sz w:val="24"/>
          <w:rtl/>
        </w:rPr>
      </w:pPr>
      <w:r w:rsidRPr="009A2C33">
        <w:rPr>
          <w:rFonts w:hint="cs"/>
          <w:sz w:val="24"/>
          <w:rtl/>
        </w:rPr>
        <w:t>התנהלותה של חברת החשמל מהווה ניצול לרעה של מעמדה המונופוליסטי הן על פי האיסור הכללי בסעיף 29א(א), והן על פי שלוש מהחזקות הקבועות בסעיפי המשנה של 29א(ב) לחוק.</w:t>
      </w:r>
    </w:p>
    <w:p w:rsidR="00F2258B" w:rsidRPr="001F0C3E" w:rsidRDefault="009A1C3C" w:rsidP="009A1C3C">
      <w:pPr>
        <w:pStyle w:val="Heading2"/>
        <w:numPr>
          <w:ilvl w:val="0"/>
          <w:numId w:val="0"/>
        </w:numPr>
        <w:ind w:left="851"/>
        <w:jc w:val="left"/>
      </w:pPr>
      <w:bookmarkStart w:id="17" w:name="_Toc476497407"/>
      <w:r>
        <w:rPr>
          <w:rFonts w:hint="cs"/>
          <w:rtl/>
        </w:rPr>
        <w:t xml:space="preserve">ג.2. </w:t>
      </w:r>
      <w:r w:rsidR="00F2258B" w:rsidRPr="001F0C3E">
        <w:rPr>
          <w:rFonts w:hint="cs"/>
          <w:rtl/>
        </w:rPr>
        <w:t xml:space="preserve">חברת החשמל ניצלה </w:t>
      </w:r>
      <w:r w:rsidR="00F2258B">
        <w:rPr>
          <w:rFonts w:hint="cs"/>
          <w:rtl/>
        </w:rPr>
        <w:t xml:space="preserve">לרעה </w:t>
      </w:r>
      <w:r w:rsidR="00F2258B" w:rsidRPr="001F0C3E">
        <w:rPr>
          <w:rFonts w:hint="cs"/>
          <w:rtl/>
        </w:rPr>
        <w:t xml:space="preserve">מעמדה בשוק הולכת חשמל וחלוקתו </w:t>
      </w:r>
      <w:r w:rsidR="00F2258B">
        <w:rPr>
          <w:rFonts w:hint="cs"/>
          <w:rtl/>
        </w:rPr>
        <w:t>בניגוד לסעיף 29א(א)</w:t>
      </w:r>
      <w:bookmarkEnd w:id="17"/>
    </w:p>
    <w:p w:rsidR="00F2258B" w:rsidRPr="00506792" w:rsidRDefault="00F2258B" w:rsidP="00D924F1">
      <w:pPr>
        <w:rPr>
          <w:sz w:val="24"/>
          <w:rtl/>
        </w:rPr>
      </w:pPr>
      <w:r w:rsidRPr="00506792">
        <w:rPr>
          <w:rFonts w:hint="cs"/>
          <w:sz w:val="24"/>
          <w:rtl/>
        </w:rPr>
        <w:t>האיסור</w:t>
      </w:r>
      <w:r w:rsidRPr="00506792">
        <w:rPr>
          <w:sz w:val="24"/>
          <w:rtl/>
        </w:rPr>
        <w:t xml:space="preserve"> </w:t>
      </w:r>
      <w:r w:rsidRPr="00506792">
        <w:rPr>
          <w:rFonts w:hint="cs"/>
          <w:sz w:val="24"/>
          <w:rtl/>
        </w:rPr>
        <w:t>הכללי</w:t>
      </w:r>
      <w:r w:rsidRPr="00506792">
        <w:rPr>
          <w:sz w:val="24"/>
          <w:rtl/>
        </w:rPr>
        <w:t xml:space="preserve"> </w:t>
      </w:r>
      <w:r w:rsidRPr="00506792">
        <w:rPr>
          <w:rFonts w:hint="cs"/>
          <w:sz w:val="24"/>
          <w:rtl/>
        </w:rPr>
        <w:t>על</w:t>
      </w:r>
      <w:r w:rsidRPr="00506792">
        <w:rPr>
          <w:sz w:val="24"/>
          <w:rtl/>
        </w:rPr>
        <w:t xml:space="preserve"> </w:t>
      </w:r>
      <w:r w:rsidRPr="00506792">
        <w:rPr>
          <w:rFonts w:hint="cs"/>
          <w:sz w:val="24"/>
          <w:rtl/>
        </w:rPr>
        <w:t>ניצול</w:t>
      </w:r>
      <w:r w:rsidRPr="00506792">
        <w:rPr>
          <w:sz w:val="24"/>
          <w:rtl/>
        </w:rPr>
        <w:t xml:space="preserve"> </w:t>
      </w:r>
      <w:r w:rsidRPr="00506792">
        <w:rPr>
          <w:rFonts w:hint="cs"/>
          <w:sz w:val="24"/>
          <w:rtl/>
        </w:rPr>
        <w:t>לרעה</w:t>
      </w:r>
      <w:r w:rsidRPr="00506792">
        <w:rPr>
          <w:sz w:val="24"/>
          <w:rtl/>
        </w:rPr>
        <w:t xml:space="preserve"> </w:t>
      </w:r>
      <w:r w:rsidRPr="00506792">
        <w:rPr>
          <w:rFonts w:hint="cs"/>
          <w:sz w:val="24"/>
          <w:rtl/>
        </w:rPr>
        <w:t>של</w:t>
      </w:r>
      <w:r w:rsidRPr="00506792">
        <w:rPr>
          <w:sz w:val="24"/>
          <w:rtl/>
        </w:rPr>
        <w:t xml:space="preserve"> </w:t>
      </w:r>
      <w:r w:rsidRPr="00506792">
        <w:rPr>
          <w:rFonts w:hint="cs"/>
          <w:sz w:val="24"/>
          <w:rtl/>
        </w:rPr>
        <w:t>מעמד</w:t>
      </w:r>
      <w:r w:rsidRPr="00506792">
        <w:rPr>
          <w:sz w:val="24"/>
          <w:rtl/>
        </w:rPr>
        <w:t xml:space="preserve"> </w:t>
      </w:r>
      <w:r w:rsidRPr="00506792">
        <w:rPr>
          <w:rFonts w:hint="cs"/>
          <w:sz w:val="24"/>
          <w:rtl/>
        </w:rPr>
        <w:t>מונופוליסטי</w:t>
      </w:r>
      <w:r w:rsidRPr="00506792">
        <w:rPr>
          <w:sz w:val="24"/>
          <w:rtl/>
        </w:rPr>
        <w:t xml:space="preserve"> </w:t>
      </w:r>
      <w:r w:rsidRPr="00506792">
        <w:rPr>
          <w:rFonts w:hint="cs"/>
          <w:sz w:val="24"/>
          <w:rtl/>
        </w:rPr>
        <w:t>בהתאם</w:t>
      </w:r>
      <w:r w:rsidRPr="00506792">
        <w:rPr>
          <w:sz w:val="24"/>
          <w:rtl/>
        </w:rPr>
        <w:t xml:space="preserve"> </w:t>
      </w:r>
      <w:r w:rsidRPr="00506792">
        <w:rPr>
          <w:rFonts w:hint="cs"/>
          <w:sz w:val="24"/>
          <w:rtl/>
        </w:rPr>
        <w:t>לסעיף</w:t>
      </w:r>
      <w:r w:rsidRPr="00506792">
        <w:rPr>
          <w:sz w:val="24"/>
          <w:rtl/>
        </w:rPr>
        <w:t xml:space="preserve"> 29א(א)</w:t>
      </w:r>
      <w:r w:rsidRPr="00506792">
        <w:rPr>
          <w:rFonts w:hint="cs"/>
          <w:sz w:val="24"/>
          <w:rtl/>
        </w:rPr>
        <w:t xml:space="preserve"> </w:t>
      </w:r>
      <w:r>
        <w:rPr>
          <w:rFonts w:hint="cs"/>
          <w:sz w:val="24"/>
          <w:rtl/>
        </w:rPr>
        <w:t>מורכב משלושה יסודות</w:t>
      </w:r>
      <w:r w:rsidRPr="00506792">
        <w:rPr>
          <w:sz w:val="24"/>
          <w:rtl/>
        </w:rPr>
        <w:t xml:space="preserve">: </w:t>
      </w:r>
      <w:r w:rsidRPr="00506792">
        <w:rPr>
          <w:rFonts w:hint="cs"/>
          <w:sz w:val="24"/>
          <w:rtl/>
        </w:rPr>
        <w:t>בעל</w:t>
      </w:r>
      <w:r w:rsidRPr="00506792">
        <w:rPr>
          <w:sz w:val="24"/>
          <w:rtl/>
        </w:rPr>
        <w:t xml:space="preserve"> </w:t>
      </w:r>
      <w:r w:rsidRPr="00506792">
        <w:rPr>
          <w:rFonts w:hint="cs"/>
          <w:sz w:val="24"/>
          <w:rtl/>
        </w:rPr>
        <w:t>מונופולין</w:t>
      </w:r>
      <w:r w:rsidRPr="00506792">
        <w:rPr>
          <w:sz w:val="24"/>
          <w:rtl/>
        </w:rPr>
        <w:t xml:space="preserve">; </w:t>
      </w:r>
      <w:r w:rsidRPr="00506792">
        <w:rPr>
          <w:rFonts w:hint="cs"/>
          <w:sz w:val="24"/>
          <w:rtl/>
        </w:rPr>
        <w:t>ניצול</w:t>
      </w:r>
      <w:r w:rsidRPr="00506792">
        <w:rPr>
          <w:sz w:val="24"/>
          <w:rtl/>
        </w:rPr>
        <w:t xml:space="preserve"> </w:t>
      </w:r>
      <w:r w:rsidRPr="00506792">
        <w:rPr>
          <w:rFonts w:hint="cs"/>
          <w:sz w:val="24"/>
          <w:rtl/>
        </w:rPr>
        <w:t>לרעה</w:t>
      </w:r>
      <w:r w:rsidRPr="00506792">
        <w:rPr>
          <w:sz w:val="24"/>
          <w:rtl/>
        </w:rPr>
        <w:t xml:space="preserve"> </w:t>
      </w:r>
      <w:r w:rsidRPr="00506792">
        <w:rPr>
          <w:rFonts w:hint="cs"/>
          <w:sz w:val="24"/>
          <w:rtl/>
        </w:rPr>
        <w:t>של</w:t>
      </w:r>
      <w:r w:rsidRPr="00506792">
        <w:rPr>
          <w:sz w:val="24"/>
          <w:rtl/>
        </w:rPr>
        <w:t xml:space="preserve"> </w:t>
      </w:r>
      <w:r w:rsidRPr="00506792">
        <w:rPr>
          <w:rFonts w:hint="cs"/>
          <w:sz w:val="24"/>
          <w:rtl/>
        </w:rPr>
        <w:t>מעמדו</w:t>
      </w:r>
      <w:r w:rsidRPr="00506792">
        <w:rPr>
          <w:sz w:val="24"/>
          <w:rtl/>
        </w:rPr>
        <w:t xml:space="preserve"> </w:t>
      </w:r>
      <w:r w:rsidRPr="00506792">
        <w:rPr>
          <w:rFonts w:hint="cs"/>
          <w:sz w:val="24"/>
          <w:rtl/>
        </w:rPr>
        <w:t>בשוק</w:t>
      </w:r>
      <w:r w:rsidRPr="00506792">
        <w:rPr>
          <w:sz w:val="24"/>
          <w:rtl/>
        </w:rPr>
        <w:t xml:space="preserve">; </w:t>
      </w:r>
      <w:r w:rsidRPr="00506792">
        <w:rPr>
          <w:rFonts w:hint="cs"/>
          <w:sz w:val="24"/>
          <w:rtl/>
        </w:rPr>
        <w:t>באופן</w:t>
      </w:r>
      <w:r w:rsidRPr="00506792">
        <w:rPr>
          <w:sz w:val="24"/>
          <w:rtl/>
        </w:rPr>
        <w:t xml:space="preserve"> </w:t>
      </w:r>
      <w:r w:rsidRPr="00506792">
        <w:rPr>
          <w:rFonts w:hint="cs"/>
          <w:sz w:val="24"/>
          <w:rtl/>
        </w:rPr>
        <w:t>העלול</w:t>
      </w:r>
      <w:r w:rsidRPr="00506792">
        <w:rPr>
          <w:sz w:val="24"/>
          <w:rtl/>
        </w:rPr>
        <w:t xml:space="preserve"> </w:t>
      </w:r>
      <w:r w:rsidRPr="00506792">
        <w:rPr>
          <w:rFonts w:hint="cs"/>
          <w:sz w:val="24"/>
          <w:rtl/>
        </w:rPr>
        <w:t>להפחית</w:t>
      </w:r>
      <w:r w:rsidRPr="00506792">
        <w:rPr>
          <w:sz w:val="24"/>
          <w:rtl/>
        </w:rPr>
        <w:t xml:space="preserve"> </w:t>
      </w:r>
      <w:r w:rsidRPr="00506792">
        <w:rPr>
          <w:rFonts w:hint="cs"/>
          <w:sz w:val="24"/>
          <w:rtl/>
        </w:rPr>
        <w:t>את</w:t>
      </w:r>
      <w:r w:rsidRPr="00506792">
        <w:rPr>
          <w:sz w:val="24"/>
          <w:rtl/>
        </w:rPr>
        <w:t xml:space="preserve"> </w:t>
      </w:r>
      <w:r w:rsidRPr="00506792">
        <w:rPr>
          <w:rFonts w:hint="cs"/>
          <w:sz w:val="24"/>
          <w:rtl/>
        </w:rPr>
        <w:t>התחרות</w:t>
      </w:r>
      <w:r w:rsidRPr="00506792">
        <w:rPr>
          <w:sz w:val="24"/>
          <w:rtl/>
        </w:rPr>
        <w:t xml:space="preserve"> </w:t>
      </w:r>
      <w:r w:rsidRPr="00506792">
        <w:rPr>
          <w:rFonts w:hint="cs"/>
          <w:sz w:val="24"/>
          <w:rtl/>
        </w:rPr>
        <w:t>בעסקים</w:t>
      </w:r>
      <w:r w:rsidRPr="00506792">
        <w:rPr>
          <w:sz w:val="24"/>
          <w:rtl/>
        </w:rPr>
        <w:t xml:space="preserve"> </w:t>
      </w:r>
      <w:r w:rsidRPr="00506792">
        <w:rPr>
          <w:rFonts w:hint="cs"/>
          <w:sz w:val="24"/>
          <w:rtl/>
        </w:rPr>
        <w:t>או</w:t>
      </w:r>
      <w:r w:rsidRPr="00506792">
        <w:rPr>
          <w:sz w:val="24"/>
          <w:rtl/>
        </w:rPr>
        <w:t xml:space="preserve"> </w:t>
      </w:r>
      <w:r w:rsidRPr="00506792">
        <w:rPr>
          <w:rFonts w:hint="cs"/>
          <w:sz w:val="24"/>
          <w:rtl/>
        </w:rPr>
        <w:t>לפגוע</w:t>
      </w:r>
      <w:r w:rsidRPr="00506792">
        <w:rPr>
          <w:sz w:val="24"/>
          <w:rtl/>
        </w:rPr>
        <w:t xml:space="preserve"> </w:t>
      </w:r>
      <w:r w:rsidRPr="00506792">
        <w:rPr>
          <w:rFonts w:hint="cs"/>
          <w:sz w:val="24"/>
          <w:rtl/>
        </w:rPr>
        <w:t>בציבור</w:t>
      </w:r>
      <w:r w:rsidRPr="00506792">
        <w:rPr>
          <w:sz w:val="24"/>
          <w:rtl/>
        </w:rPr>
        <w:t>.</w:t>
      </w:r>
      <w:r>
        <w:rPr>
          <w:rFonts w:hint="cs"/>
          <w:sz w:val="24"/>
          <w:rtl/>
        </w:rPr>
        <w:t xml:space="preserve"> כפי שיפורט להלן, כל שלושת היסודות מתקיימים ב</w:t>
      </w:r>
      <w:r w:rsidRPr="00506792">
        <w:rPr>
          <w:rFonts w:hint="cs"/>
          <w:sz w:val="24"/>
          <w:rtl/>
        </w:rPr>
        <w:t xml:space="preserve">נסיבות העניין כך שהתנהגות חברת החשמל עלתה כדי ניצול מעמד לרעה, </w:t>
      </w:r>
      <w:r>
        <w:rPr>
          <w:rFonts w:hint="cs"/>
          <w:sz w:val="24"/>
          <w:rtl/>
        </w:rPr>
        <w:t>באופן העלול</w:t>
      </w:r>
      <w:r w:rsidRPr="00506792">
        <w:rPr>
          <w:rFonts w:hint="cs"/>
          <w:sz w:val="24"/>
          <w:rtl/>
        </w:rPr>
        <w:t xml:space="preserve"> לפגוע בתחרות </w:t>
      </w:r>
      <w:r>
        <w:rPr>
          <w:rFonts w:hint="cs"/>
          <w:sz w:val="24"/>
          <w:rtl/>
        </w:rPr>
        <w:t xml:space="preserve">אל מול יצרני החשמל </w:t>
      </w:r>
      <w:r>
        <w:rPr>
          <w:rFonts w:hint="cs"/>
          <w:sz w:val="24"/>
          <w:rtl/>
        </w:rPr>
        <w:lastRenderedPageBreak/>
        <w:t>הפרטיים באספקת חשמל</w:t>
      </w:r>
      <w:r w:rsidRPr="00506792">
        <w:rPr>
          <w:rFonts w:hint="cs"/>
          <w:sz w:val="24"/>
          <w:rtl/>
        </w:rPr>
        <w:t>.</w:t>
      </w:r>
      <w:r>
        <w:rPr>
          <w:rFonts w:hint="cs"/>
          <w:sz w:val="24"/>
          <w:rtl/>
        </w:rPr>
        <w:t xml:space="preserve"> חברת החשמל ניצלה לרעה את מעמדה כבעלת מונופולין בשוק הולכת החשמל וחלוקתו על מנת לפגוע בתחרות בשוק אספקת החשמל ולשמר את מעמדה בו. </w:t>
      </w:r>
    </w:p>
    <w:p w:rsidR="00F2258B" w:rsidRPr="006512CB" w:rsidRDefault="00F2258B" w:rsidP="00F2258B">
      <w:pPr>
        <w:pStyle w:val="Heading3"/>
        <w:numPr>
          <w:ilvl w:val="0"/>
          <w:numId w:val="0"/>
        </w:numPr>
        <w:spacing w:before="120" w:after="0"/>
        <w:ind w:left="658"/>
        <w:rPr>
          <w:rFonts w:cs="David"/>
          <w:rtl/>
        </w:rPr>
      </w:pPr>
      <w:bookmarkStart w:id="18" w:name="_Toc476497408"/>
      <w:r w:rsidRPr="006512CB">
        <w:rPr>
          <w:rFonts w:cs="David" w:hint="cs"/>
          <w:rtl/>
        </w:rPr>
        <w:t>חברת החשמל היא בעלת מונופולין במקטעי הולכה וחלוקת חשמל</w:t>
      </w:r>
      <w:bookmarkEnd w:id="18"/>
    </w:p>
    <w:p w:rsidR="00F2258B" w:rsidRDefault="00F2258B" w:rsidP="00A6570C">
      <w:pPr>
        <w:rPr>
          <w:sz w:val="24"/>
          <w:rtl/>
        </w:rPr>
      </w:pPr>
      <w:r w:rsidRPr="00506792">
        <w:rPr>
          <w:rFonts w:hint="cs"/>
          <w:sz w:val="24"/>
          <w:rtl/>
        </w:rPr>
        <w:t xml:space="preserve">חברת החשמל </w:t>
      </w:r>
      <w:r>
        <w:rPr>
          <w:rFonts w:hint="cs"/>
          <w:sz w:val="24"/>
          <w:rtl/>
        </w:rPr>
        <w:t xml:space="preserve">היא </w:t>
      </w:r>
      <w:r w:rsidRPr="00506792">
        <w:rPr>
          <w:rFonts w:hint="cs"/>
          <w:sz w:val="24"/>
          <w:rtl/>
        </w:rPr>
        <w:t xml:space="preserve">בעלת מונופולין </w:t>
      </w:r>
      <w:r>
        <w:rPr>
          <w:rFonts w:hint="cs"/>
          <w:sz w:val="24"/>
          <w:rtl/>
        </w:rPr>
        <w:t xml:space="preserve">ולמעשה מהווה ספק יחיד </w:t>
      </w:r>
      <w:r w:rsidRPr="00506792">
        <w:rPr>
          <w:rFonts w:hint="cs"/>
          <w:sz w:val="24"/>
          <w:rtl/>
        </w:rPr>
        <w:t xml:space="preserve">במקטעי </w:t>
      </w:r>
      <w:r>
        <w:rPr>
          <w:rFonts w:hint="cs"/>
          <w:sz w:val="24"/>
          <w:rtl/>
        </w:rPr>
        <w:t>הולכת החשמל</w:t>
      </w:r>
      <w:r w:rsidRPr="00506792">
        <w:rPr>
          <w:rFonts w:hint="cs"/>
          <w:sz w:val="24"/>
          <w:rtl/>
        </w:rPr>
        <w:t xml:space="preserve"> וחלוק</w:t>
      </w:r>
      <w:r>
        <w:rPr>
          <w:rFonts w:hint="cs"/>
          <w:sz w:val="24"/>
          <w:rtl/>
        </w:rPr>
        <w:t>תו.</w:t>
      </w:r>
      <w:r>
        <w:rPr>
          <w:rStyle w:val="FootnoteReference"/>
          <w:sz w:val="24"/>
          <w:rtl/>
        </w:rPr>
        <w:footnoteReference w:id="29"/>
      </w:r>
      <w:r>
        <w:rPr>
          <w:rFonts w:hint="cs"/>
          <w:sz w:val="24"/>
          <w:rtl/>
        </w:rPr>
        <w:t xml:space="preserve"> חברת החשמל מוכרזת כבעלת מונופולין במקטעים אלה החל משנת 1999 ולא חל כל שינוי במעמדה המונופוליסטי מאז. חברת החשמל ניצלה את מעמדה בשווקי הולכת החשמל וחלוקתו עת הפסיקה לספק שירותי מת"ל הנוגעים</w:t>
      </w:r>
      <w:r w:rsidRPr="00506792">
        <w:rPr>
          <w:rFonts w:hint="cs"/>
          <w:sz w:val="24"/>
          <w:rtl/>
        </w:rPr>
        <w:t xml:space="preserve"> למקטעי ההולכה והחלוקה</w:t>
      </w:r>
      <w:r>
        <w:rPr>
          <w:rFonts w:hint="cs"/>
          <w:sz w:val="24"/>
          <w:rtl/>
        </w:rPr>
        <w:t xml:space="preserve"> ללקוחות שעברו לצרוך חשמל ממתחריה </w:t>
      </w:r>
      <w:r>
        <w:rPr>
          <w:sz w:val="24"/>
          <w:rtl/>
        </w:rPr>
        <w:t>–</w:t>
      </w:r>
      <w:r>
        <w:rPr>
          <w:rFonts w:hint="cs"/>
          <w:sz w:val="24"/>
          <w:rtl/>
        </w:rPr>
        <w:t xml:space="preserve"> יצרני החשמל הפרטיים</w:t>
      </w:r>
      <w:r w:rsidRPr="00506792">
        <w:rPr>
          <w:rFonts w:hint="cs"/>
          <w:sz w:val="24"/>
          <w:rtl/>
        </w:rPr>
        <w:t>.</w:t>
      </w:r>
    </w:p>
    <w:p w:rsidR="00F2258B" w:rsidRPr="006512CB" w:rsidRDefault="00F2258B" w:rsidP="00F2258B">
      <w:pPr>
        <w:pStyle w:val="Heading3"/>
        <w:numPr>
          <w:ilvl w:val="0"/>
          <w:numId w:val="0"/>
        </w:numPr>
        <w:ind w:left="657"/>
        <w:rPr>
          <w:rFonts w:cs="David"/>
          <w:rtl/>
        </w:rPr>
      </w:pPr>
      <w:bookmarkStart w:id="19" w:name="_Toc476497409"/>
      <w:r w:rsidRPr="006512CB">
        <w:rPr>
          <w:rFonts w:cs="David" w:hint="cs"/>
          <w:rtl/>
        </w:rPr>
        <w:t>חברת החשמל ניצלה מעמדה בשו</w:t>
      </w:r>
      <w:r>
        <w:rPr>
          <w:rFonts w:cs="David" w:hint="cs"/>
          <w:rtl/>
        </w:rPr>
        <w:t>ו</w:t>
      </w:r>
      <w:r w:rsidRPr="006512CB">
        <w:rPr>
          <w:rFonts w:cs="David" w:hint="cs"/>
          <w:rtl/>
        </w:rPr>
        <w:t>ק</w:t>
      </w:r>
      <w:r>
        <w:rPr>
          <w:rFonts w:cs="David" w:hint="cs"/>
          <w:rtl/>
        </w:rPr>
        <w:t>י</w:t>
      </w:r>
      <w:r w:rsidRPr="006512CB">
        <w:rPr>
          <w:rFonts w:cs="David" w:hint="cs"/>
          <w:rtl/>
        </w:rPr>
        <w:t xml:space="preserve"> הולכת חשמל וחלוקתו</w:t>
      </w:r>
      <w:bookmarkEnd w:id="19"/>
      <w:r>
        <w:rPr>
          <w:rFonts w:cs="David" w:hint="cs"/>
          <w:rtl/>
        </w:rPr>
        <w:t xml:space="preserve"> </w:t>
      </w:r>
    </w:p>
    <w:p w:rsidR="00F2258B" w:rsidRDefault="00F2258B" w:rsidP="00F2258B">
      <w:pPr>
        <w:rPr>
          <w:sz w:val="24"/>
          <w:rtl/>
        </w:rPr>
      </w:pPr>
      <w:r w:rsidRPr="00506792">
        <w:rPr>
          <w:rFonts w:hint="cs"/>
          <w:sz w:val="24"/>
          <w:rtl/>
        </w:rPr>
        <w:t xml:space="preserve">חברת החשמל הפסיקה לספק </w:t>
      </w:r>
      <w:r>
        <w:rPr>
          <w:rFonts w:hint="cs"/>
          <w:sz w:val="24"/>
          <w:rtl/>
        </w:rPr>
        <w:t xml:space="preserve">שירות מת"ל </w:t>
      </w:r>
      <w:r w:rsidRPr="00506792">
        <w:rPr>
          <w:rFonts w:hint="cs"/>
          <w:sz w:val="24"/>
          <w:rtl/>
        </w:rPr>
        <w:t>ל</w:t>
      </w:r>
      <w:r w:rsidR="00206900">
        <w:rPr>
          <w:rFonts w:hint="cs"/>
          <w:sz w:val="24"/>
          <w:rtl/>
        </w:rPr>
        <w:t>לקוחות</w:t>
      </w:r>
      <w:r w:rsidRPr="00506792">
        <w:rPr>
          <w:rFonts w:hint="cs"/>
          <w:sz w:val="24"/>
          <w:rtl/>
        </w:rPr>
        <w:t xml:space="preserve"> שעברו לצרוך חשמל מיצרני חשמל פרטיים ובכללו גם שירות</w:t>
      </w:r>
      <w:r>
        <w:rPr>
          <w:rFonts w:hint="cs"/>
          <w:sz w:val="24"/>
          <w:rtl/>
        </w:rPr>
        <w:t>ים</w:t>
      </w:r>
      <w:r w:rsidRPr="00506792">
        <w:rPr>
          <w:rFonts w:hint="cs"/>
          <w:sz w:val="24"/>
          <w:rtl/>
        </w:rPr>
        <w:t xml:space="preserve"> הנוגעים ל</w:t>
      </w:r>
      <w:r>
        <w:rPr>
          <w:rFonts w:hint="cs"/>
          <w:sz w:val="24"/>
          <w:rtl/>
        </w:rPr>
        <w:t>מקטעי ה</w:t>
      </w:r>
      <w:r w:rsidRPr="00506792">
        <w:rPr>
          <w:rFonts w:hint="cs"/>
          <w:sz w:val="24"/>
          <w:rtl/>
        </w:rPr>
        <w:t>הולכה ו</w:t>
      </w:r>
      <w:r>
        <w:rPr>
          <w:rFonts w:hint="cs"/>
          <w:sz w:val="24"/>
          <w:rtl/>
        </w:rPr>
        <w:t>ה</w:t>
      </w:r>
      <w:r w:rsidRPr="00506792">
        <w:rPr>
          <w:rFonts w:hint="cs"/>
          <w:sz w:val="24"/>
          <w:rtl/>
        </w:rPr>
        <w:t>חלוקה. בהמשך, לאחר</w:t>
      </w:r>
      <w:r>
        <w:rPr>
          <w:rFonts w:hint="cs"/>
          <w:sz w:val="24"/>
          <w:rtl/>
        </w:rPr>
        <w:t xml:space="preserve"> </w:t>
      </w:r>
      <w:r w:rsidRPr="00506792">
        <w:rPr>
          <w:rFonts w:hint="cs"/>
          <w:sz w:val="24"/>
          <w:rtl/>
        </w:rPr>
        <w:t>שהתקבלו אצלה תלונות מ</w:t>
      </w:r>
      <w:r w:rsidR="00206900">
        <w:rPr>
          <w:rFonts w:hint="cs"/>
          <w:sz w:val="24"/>
          <w:rtl/>
        </w:rPr>
        <w:t>לקוחות</w:t>
      </w:r>
      <w:r w:rsidRPr="00506792">
        <w:rPr>
          <w:rFonts w:hint="cs"/>
          <w:sz w:val="24"/>
          <w:rtl/>
        </w:rPr>
        <w:t xml:space="preserve">, חברת החשמל העמידה לאותם </w:t>
      </w:r>
      <w:r w:rsidR="00206900">
        <w:rPr>
          <w:rFonts w:hint="cs"/>
          <w:sz w:val="24"/>
          <w:rtl/>
        </w:rPr>
        <w:t>לקוחות</w:t>
      </w:r>
      <w:r w:rsidRPr="00506792">
        <w:rPr>
          <w:rFonts w:hint="cs"/>
          <w:sz w:val="24"/>
          <w:rtl/>
        </w:rPr>
        <w:t xml:space="preserve"> עסקיים שירות חלקי</w:t>
      </w:r>
      <w:r>
        <w:rPr>
          <w:rFonts w:hint="cs"/>
          <w:sz w:val="24"/>
          <w:rtl/>
        </w:rPr>
        <w:t xml:space="preserve"> ונחות (בין אם באמצעות שירות המת"ל החלקי ובין </w:t>
      </w:r>
      <w:r w:rsidRPr="00506792">
        <w:rPr>
          <w:rFonts w:hint="cs"/>
          <w:sz w:val="24"/>
          <w:rtl/>
        </w:rPr>
        <w:t>באמצעות המוקד הייעודי</w:t>
      </w:r>
      <w:r>
        <w:rPr>
          <w:rFonts w:hint="cs"/>
          <w:sz w:val="24"/>
          <w:rtl/>
        </w:rPr>
        <w:t>)</w:t>
      </w:r>
      <w:r w:rsidRPr="00506792">
        <w:rPr>
          <w:rFonts w:hint="cs"/>
          <w:sz w:val="24"/>
          <w:rtl/>
        </w:rPr>
        <w:t xml:space="preserve">. </w:t>
      </w:r>
    </w:p>
    <w:p w:rsidR="00F2258B" w:rsidRDefault="00F2258B" w:rsidP="00F2258B">
      <w:pPr>
        <w:rPr>
          <w:sz w:val="24"/>
          <w:rtl/>
        </w:rPr>
      </w:pPr>
      <w:r w:rsidRPr="00506792">
        <w:rPr>
          <w:rFonts w:hint="cs"/>
          <w:sz w:val="24"/>
          <w:rtl/>
        </w:rPr>
        <w:t xml:space="preserve">חברת החשמל העמידה בפני </w:t>
      </w:r>
      <w:r w:rsidR="00206900">
        <w:rPr>
          <w:rFonts w:hint="cs"/>
          <w:sz w:val="24"/>
          <w:rtl/>
        </w:rPr>
        <w:t>לקוחות</w:t>
      </w:r>
      <w:r w:rsidRPr="00506792">
        <w:rPr>
          <w:rFonts w:hint="cs"/>
          <w:sz w:val="24"/>
          <w:rtl/>
        </w:rPr>
        <w:t xml:space="preserve"> עסקיים תנאי המתנה קבלת שירות </w:t>
      </w:r>
      <w:r>
        <w:rPr>
          <w:rFonts w:hint="cs"/>
          <w:sz w:val="24"/>
          <w:rtl/>
        </w:rPr>
        <w:t xml:space="preserve">מת"ל </w:t>
      </w:r>
      <w:r>
        <w:rPr>
          <w:sz w:val="24"/>
          <w:rtl/>
        </w:rPr>
        <w:t>–</w:t>
      </w:r>
      <w:r>
        <w:rPr>
          <w:rFonts w:hint="cs"/>
          <w:sz w:val="24"/>
          <w:rtl/>
        </w:rPr>
        <w:t xml:space="preserve"> שירות שהיא מעניקה כספקית יחידה בהולכת חשמל ובחלוקתו </w:t>
      </w:r>
      <w:r>
        <w:rPr>
          <w:sz w:val="24"/>
          <w:rtl/>
        </w:rPr>
        <w:t>–</w:t>
      </w:r>
      <w:r w:rsidRPr="00506792">
        <w:rPr>
          <w:rFonts w:hint="cs"/>
          <w:sz w:val="24"/>
          <w:rtl/>
        </w:rPr>
        <w:t xml:space="preserve"> ברכישת חשמל ממנה כמספק</w:t>
      </w:r>
      <w:r>
        <w:rPr>
          <w:rFonts w:hint="cs"/>
          <w:sz w:val="24"/>
          <w:rtl/>
        </w:rPr>
        <w:t xml:space="preserve"> המצוי בשוק תחרותי</w:t>
      </w:r>
      <w:r w:rsidRPr="00506792">
        <w:rPr>
          <w:rFonts w:hint="cs"/>
          <w:sz w:val="24"/>
          <w:rtl/>
        </w:rPr>
        <w:t xml:space="preserve">. לפי התנאי, על מנת שצרכן יקבל את מלוא השירותים, הוא חייב לרכוש חשמל מחברת החשמל גם במקטע האספקה. ואילו, אם יבחר לרכוש חשמל מיצרן פרטי מתחרה במחיר נמוך יותר ממחיר חברת החשמל, יופסק לו </w:t>
      </w:r>
      <w:r>
        <w:rPr>
          <w:rFonts w:hint="cs"/>
          <w:sz w:val="24"/>
          <w:rtl/>
        </w:rPr>
        <w:t>ה</w:t>
      </w:r>
      <w:r w:rsidRPr="00506792">
        <w:rPr>
          <w:rFonts w:hint="cs"/>
          <w:sz w:val="24"/>
          <w:rtl/>
        </w:rPr>
        <w:t xml:space="preserve">שירות. </w:t>
      </w:r>
    </w:p>
    <w:p w:rsidR="00F2258B" w:rsidRPr="00506792" w:rsidRDefault="00F2258B" w:rsidP="00F2258B">
      <w:pPr>
        <w:rPr>
          <w:sz w:val="24"/>
          <w:rtl/>
        </w:rPr>
      </w:pPr>
      <w:r w:rsidRPr="00506792">
        <w:rPr>
          <w:rFonts w:hint="cs"/>
          <w:sz w:val="24"/>
          <w:rtl/>
        </w:rPr>
        <w:t>תנאי זה יצר הפליה בין לקוחות</w:t>
      </w:r>
      <w:r>
        <w:rPr>
          <w:rFonts w:hint="cs"/>
          <w:sz w:val="24"/>
          <w:rtl/>
        </w:rPr>
        <w:t xml:space="preserve"> חברת חשמל</w:t>
      </w:r>
      <w:r w:rsidRPr="00506792">
        <w:rPr>
          <w:rFonts w:hint="cs"/>
          <w:sz w:val="24"/>
          <w:rtl/>
        </w:rPr>
        <w:t xml:space="preserve"> במקטעי ההולכה והחלוקה: לקוחות חברת החשמל במקטע ההולכה והחלוקה אשר עברו לרכוש </w:t>
      </w:r>
      <w:r>
        <w:rPr>
          <w:rFonts w:hint="cs"/>
          <w:sz w:val="24"/>
          <w:rtl/>
        </w:rPr>
        <w:t>חשמל מיצרנים פרטיים</w:t>
      </w:r>
      <w:r w:rsidRPr="00506792">
        <w:rPr>
          <w:rFonts w:hint="cs"/>
          <w:sz w:val="24"/>
          <w:rtl/>
        </w:rPr>
        <w:t xml:space="preserve"> במקטע האספקה לא קיבלו את אותם השירותים בהולכה וחלוקה שקיבלו לקוחות חברת החשמל </w:t>
      </w:r>
      <w:r>
        <w:rPr>
          <w:rFonts w:hint="cs"/>
          <w:sz w:val="24"/>
          <w:rtl/>
        </w:rPr>
        <w:t xml:space="preserve">שרכשו חשמל מחברת החשמל </w:t>
      </w:r>
      <w:r w:rsidRPr="00506792">
        <w:rPr>
          <w:rFonts w:hint="cs"/>
          <w:sz w:val="24"/>
          <w:rtl/>
        </w:rPr>
        <w:t>במקטע האספקה</w:t>
      </w:r>
      <w:r>
        <w:rPr>
          <w:rFonts w:hint="cs"/>
          <w:sz w:val="24"/>
          <w:rtl/>
        </w:rPr>
        <w:t>.</w:t>
      </w:r>
      <w:r w:rsidRPr="00506792">
        <w:rPr>
          <w:rFonts w:hint="cs"/>
          <w:sz w:val="24"/>
          <w:rtl/>
        </w:rPr>
        <w:t xml:space="preserve"> </w:t>
      </w:r>
      <w:r>
        <w:rPr>
          <w:rFonts w:hint="cs"/>
          <w:sz w:val="24"/>
          <w:rtl/>
        </w:rPr>
        <w:t xml:space="preserve">יצירת </w:t>
      </w:r>
      <w:r w:rsidRPr="00506792">
        <w:rPr>
          <w:rFonts w:hint="cs"/>
          <w:sz w:val="24"/>
          <w:rtl/>
        </w:rPr>
        <w:t xml:space="preserve">הפליה </w:t>
      </w:r>
      <w:r>
        <w:rPr>
          <w:rFonts w:hint="cs"/>
          <w:sz w:val="24"/>
          <w:rtl/>
        </w:rPr>
        <w:t>על ידי מתן שירות נחות יותר</w:t>
      </w:r>
      <w:r w:rsidRPr="00506792">
        <w:rPr>
          <w:rFonts w:hint="cs"/>
          <w:sz w:val="24"/>
          <w:rtl/>
        </w:rPr>
        <w:t>, מקום בו היא נעשית על-ידי בעל מונופולין מהווה ניצול לרעה של מעמד מונופוליסטי.</w:t>
      </w:r>
    </w:p>
    <w:p w:rsidR="00F2258B" w:rsidRDefault="00F2258B" w:rsidP="00A819C7">
      <w:pPr>
        <w:rPr>
          <w:sz w:val="24"/>
          <w:rtl/>
        </w:rPr>
      </w:pPr>
      <w:r>
        <w:rPr>
          <w:rFonts w:hint="cs"/>
          <w:sz w:val="24"/>
          <w:rtl/>
        </w:rPr>
        <w:t xml:space="preserve">בנוסף, </w:t>
      </w:r>
      <w:r w:rsidRPr="00506792">
        <w:rPr>
          <w:rFonts w:hint="cs"/>
          <w:sz w:val="24"/>
          <w:rtl/>
        </w:rPr>
        <w:t xml:space="preserve">בהפסקת שירות </w:t>
      </w:r>
      <w:r>
        <w:rPr>
          <w:rFonts w:hint="cs"/>
          <w:sz w:val="24"/>
          <w:rtl/>
        </w:rPr>
        <w:t>המת"ל</w:t>
      </w:r>
      <w:r w:rsidRPr="00506792">
        <w:rPr>
          <w:rFonts w:hint="cs"/>
          <w:sz w:val="24"/>
          <w:rtl/>
        </w:rPr>
        <w:t xml:space="preserve"> וצמצום השירות, חברת החשמל ניצלה את היתרון שלה הטמון בשליטתה הבלעדית במקטעי ההולכה והחלוקה, כדי ליצור לה יתרון תחרותי </w:t>
      </w:r>
      <w:r>
        <w:rPr>
          <w:rFonts w:hint="cs"/>
          <w:sz w:val="24"/>
          <w:rtl/>
        </w:rPr>
        <w:t xml:space="preserve">לא הוגן </w:t>
      </w:r>
      <w:r w:rsidRPr="00506792">
        <w:rPr>
          <w:rFonts w:hint="cs"/>
          <w:sz w:val="24"/>
          <w:rtl/>
        </w:rPr>
        <w:t xml:space="preserve">מול היצרנים הפרטיים במקטע האספקה. </w:t>
      </w:r>
    </w:p>
    <w:p w:rsidR="00F2258B" w:rsidRDefault="00F2258B" w:rsidP="00894C76">
      <w:pPr>
        <w:rPr>
          <w:sz w:val="24"/>
          <w:rtl/>
        </w:rPr>
      </w:pPr>
      <w:r>
        <w:rPr>
          <w:rFonts w:hint="cs"/>
          <w:sz w:val="24"/>
          <w:rtl/>
        </w:rPr>
        <w:t>מהבדיקה שנערכה ברשות עולה</w:t>
      </w:r>
      <w:r w:rsidRPr="0028523C">
        <w:rPr>
          <w:rFonts w:hint="cs"/>
          <w:sz w:val="24"/>
          <w:rtl/>
        </w:rPr>
        <w:t xml:space="preserve"> כי לא היה צידוק מסחרי לגיטימי להפסקת השירות </w:t>
      </w:r>
      <w:r w:rsidR="004511CB">
        <w:rPr>
          <w:rFonts w:hint="cs"/>
          <w:sz w:val="24"/>
          <w:rtl/>
        </w:rPr>
        <w:t>ו</w:t>
      </w:r>
      <w:r w:rsidRPr="0028523C">
        <w:rPr>
          <w:rFonts w:hint="cs"/>
          <w:sz w:val="24"/>
          <w:rtl/>
        </w:rPr>
        <w:t xml:space="preserve">מטרתו היתה למנוע נטישת לקוחות </w:t>
      </w:r>
      <w:r>
        <w:rPr>
          <w:rFonts w:hint="cs"/>
          <w:sz w:val="24"/>
          <w:rtl/>
        </w:rPr>
        <w:t xml:space="preserve">במקטע האספקה </w:t>
      </w:r>
      <w:r w:rsidRPr="0028523C">
        <w:rPr>
          <w:rFonts w:hint="cs"/>
          <w:sz w:val="24"/>
          <w:rtl/>
        </w:rPr>
        <w:t xml:space="preserve">למתחרי חברת החשמל. </w:t>
      </w:r>
      <w:r>
        <w:rPr>
          <w:rFonts w:hint="cs"/>
          <w:sz w:val="24"/>
          <w:rtl/>
        </w:rPr>
        <w:t xml:space="preserve">לא בכדי הפעולות להפסקת שירותי המת"ל החלו </w:t>
      </w:r>
      <w:r w:rsidRPr="00576CEB">
        <w:rPr>
          <w:rFonts w:hint="cs"/>
          <w:sz w:val="24"/>
          <w:rtl/>
        </w:rPr>
        <w:t xml:space="preserve">בסמוך למועד </w:t>
      </w:r>
      <w:r>
        <w:rPr>
          <w:rFonts w:hint="cs"/>
          <w:sz w:val="24"/>
          <w:rtl/>
        </w:rPr>
        <w:t xml:space="preserve">כניסתם לפעולה של </w:t>
      </w:r>
      <w:r w:rsidRPr="00576CEB">
        <w:rPr>
          <w:rFonts w:hint="cs"/>
          <w:sz w:val="24"/>
          <w:rtl/>
        </w:rPr>
        <w:t xml:space="preserve">יצרני חשמל פרטיים. </w:t>
      </w:r>
      <w:r>
        <w:rPr>
          <w:rFonts w:hint="cs"/>
          <w:sz w:val="24"/>
          <w:rtl/>
        </w:rPr>
        <w:t xml:space="preserve">חברת החשמל, אשר הרגולציה החלה עליה אסרה עליה להפחית את תעריפיה בתגובה לתחרות המתפתחת, בחרה לעשות </w:t>
      </w:r>
      <w:r>
        <w:rPr>
          <w:rFonts w:hint="cs"/>
          <w:sz w:val="24"/>
          <w:rtl/>
        </w:rPr>
        <w:lastRenderedPageBreak/>
        <w:t xml:space="preserve">שימוש במעמדה המונופוליסטי במקטעי ההולכה והחלוקה על מנת לגבות מחיר מלקוחות שהחליטו לנטוש אותה למתחריה. לא מדובר בהתנהלות </w:t>
      </w:r>
      <w:r w:rsidRPr="00506792">
        <w:rPr>
          <w:rFonts w:hint="cs"/>
          <w:sz w:val="24"/>
          <w:rtl/>
        </w:rPr>
        <w:t>לגיט</w:t>
      </w:r>
      <w:r>
        <w:rPr>
          <w:rFonts w:hint="cs"/>
          <w:sz w:val="24"/>
          <w:rtl/>
        </w:rPr>
        <w:t>ימית במסגרת תחרות לגופו של עניין</w:t>
      </w:r>
      <w:r w:rsidRPr="00576CEB">
        <w:rPr>
          <w:rFonts w:hint="cs"/>
          <w:sz w:val="24"/>
          <w:rtl/>
        </w:rPr>
        <w:t>.</w:t>
      </w:r>
      <w:bookmarkStart w:id="20" w:name="_Ref476486533"/>
      <w:r w:rsidRPr="00576CEB">
        <w:rPr>
          <w:rStyle w:val="FootnoteReference"/>
          <w:sz w:val="24"/>
          <w:rtl/>
        </w:rPr>
        <w:footnoteReference w:id="30"/>
      </w:r>
      <w:bookmarkEnd w:id="20"/>
      <w:r w:rsidRPr="00576CEB">
        <w:rPr>
          <w:rFonts w:hint="cs"/>
          <w:sz w:val="24"/>
          <w:rtl/>
        </w:rPr>
        <w:t xml:space="preserve"> </w:t>
      </w:r>
    </w:p>
    <w:p w:rsidR="00EC767C" w:rsidRDefault="00EC767C" w:rsidP="0087633A">
      <w:pPr>
        <w:rPr>
          <w:rtl/>
        </w:rPr>
      </w:pPr>
      <w:r>
        <w:rPr>
          <w:rFonts w:hint="cs"/>
          <w:sz w:val="24"/>
          <w:rtl/>
        </w:rPr>
        <w:t xml:space="preserve">זאת, בשונה משירותי המת"ל הנוגעים למקטע האספקה </w:t>
      </w:r>
      <w:r>
        <w:rPr>
          <w:rFonts w:hint="cs"/>
          <w:rtl/>
        </w:rPr>
        <w:t>(כגון מידע על חיובים וחשבונות) לגביהם פסק הקשר בין הלקוח שעבר ליצרן פרטי לבין חברת החשמל. כאמור, שירותי</w:t>
      </w:r>
      <w:r w:rsidR="0087633A">
        <w:rPr>
          <w:rFonts w:hint="cs"/>
          <w:rtl/>
        </w:rPr>
        <w:t xml:space="preserve"> המת"ל</w:t>
      </w:r>
      <w:r>
        <w:rPr>
          <w:rFonts w:hint="cs"/>
          <w:rtl/>
        </w:rPr>
        <w:t xml:space="preserve"> שהופסקו נגעו גם לשירותים המשויכים למקטעי ההולכה והחלוקה לגביהם, חברת החשמל היתה ועודנה ספק דומיננטי יחיד. </w:t>
      </w:r>
    </w:p>
    <w:p w:rsidR="00F2258B" w:rsidRDefault="00F2258B" w:rsidP="00F2258B">
      <w:pPr>
        <w:rPr>
          <w:rtl/>
        </w:rPr>
      </w:pPr>
      <w:r>
        <w:rPr>
          <w:rFonts w:hint="cs"/>
          <w:sz w:val="24"/>
          <w:rtl/>
        </w:rPr>
        <w:t>בית הדין להגבלים עסקיים קבע כי התנהגות בעל מונופולין שאין לה תועלת כלכלית למטרותיו של בעל המונופולין אלא נועדה רק כדי לפגוע במתחרים, איננה תחרות לגופו של עניין:</w:t>
      </w:r>
    </w:p>
    <w:p w:rsidR="00F2258B" w:rsidRDefault="00F2258B" w:rsidP="00881572">
      <w:pPr>
        <w:spacing w:line="240" w:lineRule="auto"/>
        <w:ind w:left="941" w:right="426"/>
        <w:rPr>
          <w:rtl/>
        </w:rPr>
      </w:pPr>
      <w:r w:rsidRPr="00B14FBA">
        <w:rPr>
          <w:rtl/>
        </w:rPr>
        <w:t>"</w:t>
      </w:r>
      <w:r w:rsidRPr="00B14FBA">
        <w:rPr>
          <w:rFonts w:hint="eastAsia"/>
          <w:rtl/>
        </w:rPr>
        <w:t>שיטת</w:t>
      </w:r>
      <w:r w:rsidRPr="00B14FBA">
        <w:rPr>
          <w:rtl/>
        </w:rPr>
        <w:t xml:space="preserve"> </w:t>
      </w:r>
      <w:r w:rsidRPr="00B14FBA">
        <w:rPr>
          <w:rFonts w:hint="eastAsia"/>
          <w:rtl/>
        </w:rPr>
        <w:t>תחרות</w:t>
      </w:r>
      <w:r w:rsidRPr="00B14FBA">
        <w:rPr>
          <w:rtl/>
        </w:rPr>
        <w:t xml:space="preserve"> </w:t>
      </w:r>
      <w:r w:rsidRPr="00B14FBA">
        <w:rPr>
          <w:rFonts w:hint="eastAsia"/>
          <w:rtl/>
        </w:rPr>
        <w:t>כזאת</w:t>
      </w:r>
      <w:r w:rsidRPr="00B14FBA">
        <w:rPr>
          <w:rtl/>
        </w:rPr>
        <w:t xml:space="preserve"> </w:t>
      </w:r>
      <w:r w:rsidRPr="00B14FBA">
        <w:rPr>
          <w:rFonts w:hint="eastAsia"/>
          <w:rtl/>
        </w:rPr>
        <w:t>הננקטת</w:t>
      </w:r>
      <w:r w:rsidRPr="00B14FBA">
        <w:rPr>
          <w:rtl/>
        </w:rPr>
        <w:t xml:space="preserve"> </w:t>
      </w:r>
      <w:r w:rsidRPr="00B14FBA">
        <w:rPr>
          <w:rFonts w:hint="eastAsia"/>
          <w:rtl/>
        </w:rPr>
        <w:t>על</w:t>
      </w:r>
      <w:r w:rsidRPr="00B14FBA">
        <w:rPr>
          <w:rtl/>
        </w:rPr>
        <w:t xml:space="preserve"> </w:t>
      </w:r>
      <w:r w:rsidRPr="00B14FBA">
        <w:rPr>
          <w:rFonts w:hint="eastAsia"/>
          <w:rtl/>
        </w:rPr>
        <w:t>ידי</w:t>
      </w:r>
      <w:r w:rsidRPr="00B14FBA">
        <w:rPr>
          <w:rtl/>
        </w:rPr>
        <w:t xml:space="preserve"> </w:t>
      </w:r>
      <w:r w:rsidRPr="00B14FBA">
        <w:rPr>
          <w:rFonts w:hint="eastAsia"/>
          <w:rtl/>
        </w:rPr>
        <w:t>בעל</w:t>
      </w:r>
      <w:r w:rsidRPr="00B14FBA">
        <w:rPr>
          <w:rtl/>
        </w:rPr>
        <w:t xml:space="preserve"> </w:t>
      </w:r>
      <w:r w:rsidRPr="00B14FBA">
        <w:rPr>
          <w:rFonts w:hint="eastAsia"/>
          <w:rtl/>
        </w:rPr>
        <w:t>מונופולין</w:t>
      </w:r>
      <w:r w:rsidRPr="00B14FBA">
        <w:rPr>
          <w:rtl/>
        </w:rPr>
        <w:t xml:space="preserve">, </w:t>
      </w:r>
      <w:r w:rsidRPr="00B14FBA">
        <w:rPr>
          <w:rFonts w:hint="eastAsia"/>
          <w:rtl/>
        </w:rPr>
        <w:t>שאין</w:t>
      </w:r>
      <w:r w:rsidRPr="00B14FBA">
        <w:rPr>
          <w:rtl/>
        </w:rPr>
        <w:t xml:space="preserve"> </w:t>
      </w:r>
      <w:r w:rsidRPr="00B14FBA">
        <w:rPr>
          <w:rFonts w:hint="eastAsia"/>
          <w:rtl/>
        </w:rPr>
        <w:t>בה</w:t>
      </w:r>
      <w:r w:rsidRPr="00B14FBA">
        <w:rPr>
          <w:rtl/>
        </w:rPr>
        <w:t xml:space="preserve"> </w:t>
      </w:r>
      <w:r w:rsidRPr="00B14FBA">
        <w:rPr>
          <w:rFonts w:hint="eastAsia"/>
          <w:rtl/>
        </w:rPr>
        <w:t>כדי</w:t>
      </w:r>
      <w:r w:rsidRPr="00B14FBA">
        <w:rPr>
          <w:rtl/>
        </w:rPr>
        <w:t xml:space="preserve"> </w:t>
      </w:r>
      <w:r w:rsidRPr="00B14FBA">
        <w:rPr>
          <w:rFonts w:hint="eastAsia"/>
          <w:rtl/>
        </w:rPr>
        <w:t>להצמיח</w:t>
      </w:r>
      <w:r w:rsidRPr="00B14FBA">
        <w:rPr>
          <w:rtl/>
        </w:rPr>
        <w:t xml:space="preserve"> </w:t>
      </w:r>
      <w:r w:rsidRPr="00B14FBA">
        <w:rPr>
          <w:rFonts w:hint="eastAsia"/>
          <w:rtl/>
        </w:rPr>
        <w:t>תועלת</w:t>
      </w:r>
      <w:r w:rsidRPr="00B14FBA">
        <w:rPr>
          <w:rtl/>
        </w:rPr>
        <w:t xml:space="preserve"> </w:t>
      </w:r>
      <w:r w:rsidRPr="00B14FBA">
        <w:rPr>
          <w:rFonts w:hint="eastAsia"/>
          <w:rtl/>
        </w:rPr>
        <w:t>כלכלית</w:t>
      </w:r>
      <w:r w:rsidRPr="00B14FBA">
        <w:rPr>
          <w:rtl/>
        </w:rPr>
        <w:t xml:space="preserve"> </w:t>
      </w:r>
      <w:r w:rsidRPr="00B14FBA">
        <w:rPr>
          <w:rFonts w:hint="eastAsia"/>
          <w:rtl/>
        </w:rPr>
        <w:t>ישירה</w:t>
      </w:r>
      <w:r w:rsidRPr="00B14FBA">
        <w:rPr>
          <w:rtl/>
        </w:rPr>
        <w:t xml:space="preserve"> </w:t>
      </w:r>
      <w:r w:rsidRPr="00B14FBA">
        <w:rPr>
          <w:rFonts w:hint="eastAsia"/>
          <w:rtl/>
        </w:rPr>
        <w:t>לבעל</w:t>
      </w:r>
      <w:r w:rsidRPr="00B14FBA">
        <w:rPr>
          <w:rtl/>
        </w:rPr>
        <w:t xml:space="preserve"> </w:t>
      </w:r>
      <w:r w:rsidRPr="00B14FBA">
        <w:rPr>
          <w:rFonts w:hint="eastAsia"/>
          <w:rtl/>
        </w:rPr>
        <w:t>המונופולין</w:t>
      </w:r>
      <w:r w:rsidRPr="00B14FBA">
        <w:rPr>
          <w:rtl/>
        </w:rPr>
        <w:t xml:space="preserve">, </w:t>
      </w:r>
      <w:r w:rsidRPr="00B14FBA">
        <w:rPr>
          <w:rFonts w:hint="eastAsia"/>
          <w:rtl/>
        </w:rPr>
        <w:t>ומטרתה</w:t>
      </w:r>
      <w:r w:rsidRPr="00B14FBA">
        <w:rPr>
          <w:rtl/>
        </w:rPr>
        <w:t xml:space="preserve"> </w:t>
      </w:r>
      <w:r w:rsidRPr="00B14FBA">
        <w:rPr>
          <w:rFonts w:hint="eastAsia"/>
          <w:rtl/>
        </w:rPr>
        <w:t>רק</w:t>
      </w:r>
      <w:r w:rsidRPr="00B14FBA">
        <w:rPr>
          <w:rtl/>
        </w:rPr>
        <w:t xml:space="preserve"> </w:t>
      </w:r>
      <w:r w:rsidRPr="00B14FBA">
        <w:rPr>
          <w:rFonts w:hint="eastAsia"/>
          <w:rtl/>
        </w:rPr>
        <w:t>לפגוע</w:t>
      </w:r>
      <w:r w:rsidRPr="00B14FBA">
        <w:rPr>
          <w:rtl/>
        </w:rPr>
        <w:t xml:space="preserve"> </w:t>
      </w:r>
      <w:r w:rsidRPr="00B14FBA">
        <w:rPr>
          <w:rFonts w:hint="eastAsia"/>
          <w:rtl/>
        </w:rPr>
        <w:t>בכושר</w:t>
      </w:r>
      <w:r w:rsidRPr="00B14FBA">
        <w:rPr>
          <w:rtl/>
        </w:rPr>
        <w:t xml:space="preserve"> </w:t>
      </w:r>
      <w:r w:rsidRPr="00B14FBA">
        <w:rPr>
          <w:rFonts w:hint="eastAsia"/>
          <w:rtl/>
        </w:rPr>
        <w:t>התחרות</w:t>
      </w:r>
      <w:r w:rsidRPr="00B14FBA">
        <w:rPr>
          <w:rtl/>
        </w:rPr>
        <w:t xml:space="preserve"> </w:t>
      </w:r>
      <w:r w:rsidRPr="00B14FBA">
        <w:rPr>
          <w:rFonts w:hint="eastAsia"/>
          <w:rtl/>
        </w:rPr>
        <w:t>של</w:t>
      </w:r>
      <w:r w:rsidRPr="00B14FBA">
        <w:rPr>
          <w:rtl/>
        </w:rPr>
        <w:t xml:space="preserve"> </w:t>
      </w:r>
      <w:r w:rsidRPr="00B14FBA">
        <w:rPr>
          <w:rFonts w:hint="eastAsia"/>
          <w:rtl/>
        </w:rPr>
        <w:t>המתחרה</w:t>
      </w:r>
      <w:r w:rsidRPr="00B14FBA">
        <w:rPr>
          <w:rtl/>
        </w:rPr>
        <w:t xml:space="preserve">, </w:t>
      </w:r>
      <w:r w:rsidRPr="00B14FBA">
        <w:rPr>
          <w:rFonts w:hint="eastAsia"/>
          <w:rtl/>
        </w:rPr>
        <w:t>הנה</w:t>
      </w:r>
      <w:r w:rsidRPr="00B14FBA">
        <w:rPr>
          <w:rtl/>
        </w:rPr>
        <w:t xml:space="preserve"> </w:t>
      </w:r>
      <w:r w:rsidRPr="00B14FBA">
        <w:rPr>
          <w:rFonts w:hint="eastAsia"/>
          <w:rtl/>
        </w:rPr>
        <w:t>דרך</w:t>
      </w:r>
      <w:r w:rsidRPr="00B14FBA">
        <w:rPr>
          <w:rtl/>
        </w:rPr>
        <w:t xml:space="preserve"> "</w:t>
      </w:r>
      <w:r w:rsidRPr="00B14FBA">
        <w:rPr>
          <w:rFonts w:hint="eastAsia"/>
          <w:rtl/>
        </w:rPr>
        <w:t>קלאסית</w:t>
      </w:r>
      <w:r w:rsidRPr="00B14FBA">
        <w:rPr>
          <w:rtl/>
        </w:rPr>
        <w:t xml:space="preserve">" </w:t>
      </w:r>
      <w:r w:rsidRPr="00B14FBA">
        <w:rPr>
          <w:rFonts w:hint="eastAsia"/>
          <w:rtl/>
        </w:rPr>
        <w:t>לדחיקת</w:t>
      </w:r>
      <w:r w:rsidRPr="00B14FBA">
        <w:rPr>
          <w:rtl/>
        </w:rPr>
        <w:t xml:space="preserve"> </w:t>
      </w:r>
      <w:r w:rsidRPr="00B14FBA">
        <w:rPr>
          <w:rFonts w:hint="eastAsia"/>
          <w:rtl/>
        </w:rPr>
        <w:t>רגלי</w:t>
      </w:r>
      <w:r w:rsidRPr="00B14FBA">
        <w:rPr>
          <w:rtl/>
        </w:rPr>
        <w:t xml:space="preserve"> </w:t>
      </w:r>
      <w:r w:rsidRPr="00B14FBA">
        <w:rPr>
          <w:rFonts w:hint="eastAsia"/>
          <w:rtl/>
        </w:rPr>
        <w:t>מתחרים</w:t>
      </w:r>
      <w:r w:rsidRPr="00B14FBA">
        <w:rPr>
          <w:rtl/>
        </w:rPr>
        <w:t xml:space="preserve"> ("</w:t>
      </w:r>
      <w:r w:rsidRPr="00B14FBA">
        <w:t>exclusionary behaviour</w:t>
      </w:r>
      <w:r w:rsidRPr="00B14FBA">
        <w:rPr>
          <w:rtl/>
        </w:rPr>
        <w:t xml:space="preserve">"), </w:t>
      </w:r>
      <w:r w:rsidRPr="00B14FBA">
        <w:rPr>
          <w:rFonts w:hint="eastAsia"/>
          <w:rtl/>
        </w:rPr>
        <w:t>שהיא</w:t>
      </w:r>
      <w:r w:rsidRPr="00B14FBA">
        <w:rPr>
          <w:rtl/>
        </w:rPr>
        <w:t xml:space="preserve"> </w:t>
      </w:r>
      <w:r w:rsidRPr="00B14FBA">
        <w:rPr>
          <w:rFonts w:hint="eastAsia"/>
          <w:rtl/>
        </w:rPr>
        <w:t>אחת</w:t>
      </w:r>
      <w:r w:rsidRPr="00B14FBA">
        <w:rPr>
          <w:rtl/>
        </w:rPr>
        <w:t xml:space="preserve"> </w:t>
      </w:r>
      <w:r w:rsidRPr="00B14FBA">
        <w:rPr>
          <w:rFonts w:hint="eastAsia"/>
          <w:rtl/>
        </w:rPr>
        <w:t>מדרכי</w:t>
      </w:r>
      <w:r w:rsidRPr="00B14FBA">
        <w:rPr>
          <w:rtl/>
        </w:rPr>
        <w:t xml:space="preserve"> </w:t>
      </w:r>
      <w:r w:rsidRPr="00B14FBA">
        <w:rPr>
          <w:rFonts w:hint="eastAsia"/>
          <w:rtl/>
        </w:rPr>
        <w:t>ההתנהגות</w:t>
      </w:r>
      <w:r w:rsidRPr="00B14FBA">
        <w:rPr>
          <w:rtl/>
        </w:rPr>
        <w:t xml:space="preserve"> </w:t>
      </w:r>
      <w:r w:rsidRPr="00B14FBA">
        <w:rPr>
          <w:rFonts w:hint="eastAsia"/>
          <w:rtl/>
        </w:rPr>
        <w:t>העיקריות</w:t>
      </w:r>
      <w:r w:rsidRPr="00B14FBA">
        <w:rPr>
          <w:rtl/>
        </w:rPr>
        <w:t xml:space="preserve"> </w:t>
      </w:r>
      <w:r w:rsidRPr="00B14FBA">
        <w:rPr>
          <w:rFonts w:hint="eastAsia"/>
          <w:rtl/>
        </w:rPr>
        <w:t>האסורות</w:t>
      </w:r>
      <w:r w:rsidRPr="00B14FBA">
        <w:rPr>
          <w:rtl/>
        </w:rPr>
        <w:t xml:space="preserve"> </w:t>
      </w:r>
      <w:r w:rsidRPr="00B14FBA">
        <w:rPr>
          <w:rFonts w:hint="eastAsia"/>
          <w:rtl/>
        </w:rPr>
        <w:t>על</w:t>
      </w:r>
      <w:r w:rsidRPr="00B14FBA">
        <w:rPr>
          <w:rtl/>
        </w:rPr>
        <w:t xml:space="preserve"> </w:t>
      </w:r>
      <w:r w:rsidRPr="00B14FBA">
        <w:rPr>
          <w:rFonts w:hint="eastAsia"/>
          <w:rtl/>
        </w:rPr>
        <w:t>בעל</w:t>
      </w:r>
      <w:r w:rsidRPr="00B14FBA">
        <w:rPr>
          <w:rtl/>
        </w:rPr>
        <w:t xml:space="preserve"> </w:t>
      </w:r>
      <w:r w:rsidRPr="00B14FBA">
        <w:rPr>
          <w:rFonts w:hint="eastAsia"/>
          <w:rtl/>
        </w:rPr>
        <w:t>מונופולין</w:t>
      </w:r>
      <w:r w:rsidRPr="00B14FBA">
        <w:rPr>
          <w:rtl/>
        </w:rPr>
        <w:t>".</w:t>
      </w:r>
      <w:r>
        <w:rPr>
          <w:rStyle w:val="FootnoteReference"/>
          <w:rtl/>
        </w:rPr>
        <w:footnoteReference w:id="31"/>
      </w:r>
      <w:r w:rsidRPr="00B14FBA">
        <w:rPr>
          <w:rtl/>
        </w:rPr>
        <w:t xml:space="preserve"> </w:t>
      </w:r>
    </w:p>
    <w:p w:rsidR="00F2258B" w:rsidRDefault="00F2258B" w:rsidP="00907B59">
      <w:pPr>
        <w:rPr>
          <w:sz w:val="24"/>
          <w:rtl/>
        </w:rPr>
      </w:pPr>
      <w:r>
        <w:rPr>
          <w:rFonts w:hint="cs"/>
          <w:sz w:val="24"/>
          <w:rtl/>
        </w:rPr>
        <w:t xml:space="preserve">גם על פי </w:t>
      </w:r>
      <w:r w:rsidRPr="00267CC7">
        <w:rPr>
          <w:rFonts w:hint="cs"/>
          <w:sz w:val="24"/>
          <w:rtl/>
        </w:rPr>
        <w:t xml:space="preserve">הפסיקה </w:t>
      </w:r>
      <w:r>
        <w:rPr>
          <w:rFonts w:hint="cs"/>
          <w:sz w:val="24"/>
          <w:rtl/>
        </w:rPr>
        <w:t xml:space="preserve">האירופית, </w:t>
      </w:r>
      <w:r w:rsidRPr="00267CC7">
        <w:rPr>
          <w:rFonts w:hint="cs"/>
          <w:sz w:val="24"/>
          <w:rtl/>
        </w:rPr>
        <w:t xml:space="preserve">בעל מעמד דומיננטי רשאי </w:t>
      </w:r>
      <w:r>
        <w:rPr>
          <w:rFonts w:hint="cs"/>
          <w:sz w:val="24"/>
          <w:rtl/>
        </w:rPr>
        <w:t xml:space="preserve">לנקוט צעדים סבירים על מנת </w:t>
      </w:r>
      <w:r w:rsidRPr="00267CC7">
        <w:rPr>
          <w:rFonts w:hint="cs"/>
          <w:sz w:val="24"/>
          <w:rtl/>
        </w:rPr>
        <w:t>להגן על האינטרסים המסחריים שלו שהותקפו על ידי צדדים שלישיים</w:t>
      </w:r>
      <w:r>
        <w:rPr>
          <w:rFonts w:hint="cs"/>
          <w:sz w:val="24"/>
          <w:rtl/>
        </w:rPr>
        <w:t>,</w:t>
      </w:r>
      <w:r w:rsidRPr="00267CC7">
        <w:rPr>
          <w:rFonts w:hint="cs"/>
          <w:sz w:val="24"/>
          <w:rtl/>
        </w:rPr>
        <w:t xml:space="preserve"> </w:t>
      </w:r>
      <w:r>
        <w:rPr>
          <w:rFonts w:hint="cs"/>
          <w:sz w:val="24"/>
          <w:rtl/>
        </w:rPr>
        <w:t>כל עוד מטרת פעולותיו</w:t>
      </w:r>
      <w:r w:rsidRPr="00A7337E">
        <w:rPr>
          <w:rFonts w:hint="cs"/>
          <w:sz w:val="24"/>
          <w:vertAlign w:val="superscript"/>
          <w:rtl/>
        </w:rPr>
        <w:t xml:space="preserve"> </w:t>
      </w:r>
      <w:r w:rsidRPr="00267CC7">
        <w:rPr>
          <w:rFonts w:hint="cs"/>
          <w:sz w:val="24"/>
          <w:rtl/>
        </w:rPr>
        <w:t xml:space="preserve">אינה </w:t>
      </w:r>
      <w:r>
        <w:rPr>
          <w:rFonts w:hint="cs"/>
          <w:sz w:val="24"/>
          <w:rtl/>
        </w:rPr>
        <w:t>לחזק את מעמדו הדומיננטי ו</w:t>
      </w:r>
      <w:r w:rsidRPr="00267CC7">
        <w:rPr>
          <w:rFonts w:hint="cs"/>
          <w:sz w:val="24"/>
          <w:rtl/>
        </w:rPr>
        <w:t>ל</w:t>
      </w:r>
      <w:r>
        <w:rPr>
          <w:rFonts w:hint="cs"/>
          <w:sz w:val="24"/>
          <w:rtl/>
        </w:rPr>
        <w:t xml:space="preserve">נצלו לרעה: </w:t>
      </w:r>
    </w:p>
    <w:p w:rsidR="00F2258B" w:rsidRPr="00F96C6A" w:rsidRDefault="00F2258B" w:rsidP="00881572">
      <w:pPr>
        <w:bidi w:val="0"/>
        <w:spacing w:line="240" w:lineRule="auto"/>
        <w:ind w:left="941" w:right="426"/>
        <w:rPr>
          <w:rStyle w:val="big-number"/>
          <w:sz w:val="24"/>
          <w:szCs w:val="24"/>
        </w:rPr>
      </w:pPr>
      <w:r>
        <w:rPr>
          <w:rStyle w:val="big-number"/>
          <w:sz w:val="24"/>
          <w:szCs w:val="24"/>
        </w:rPr>
        <w:t>"I</w:t>
      </w:r>
      <w:r w:rsidRPr="00F96C6A">
        <w:rPr>
          <w:rStyle w:val="big-number"/>
          <w:sz w:val="24"/>
          <w:szCs w:val="24"/>
        </w:rPr>
        <w:t>t is true</w:t>
      </w:r>
      <w:r>
        <w:rPr>
          <w:rStyle w:val="big-number"/>
          <w:sz w:val="24"/>
          <w:szCs w:val="24"/>
        </w:rPr>
        <w:t xml:space="preserve"> that</w:t>
      </w:r>
      <w:r w:rsidRPr="00F96C6A">
        <w:rPr>
          <w:rStyle w:val="big-number"/>
          <w:sz w:val="24"/>
          <w:szCs w:val="24"/>
        </w:rPr>
        <w:t xml:space="preserve">, </w:t>
      </w:r>
      <w:r>
        <w:rPr>
          <w:rStyle w:val="big-number"/>
          <w:sz w:val="24"/>
          <w:szCs w:val="24"/>
        </w:rPr>
        <w:t>according to the case-law</w:t>
      </w:r>
      <w:r w:rsidRPr="00F96C6A">
        <w:rPr>
          <w:rStyle w:val="big-number"/>
          <w:sz w:val="24"/>
          <w:szCs w:val="24"/>
        </w:rPr>
        <w:t xml:space="preserve">, the fact that an undertaking is in a dominant position cannot disentitle it from protecting its </w:t>
      </w:r>
      <w:r w:rsidRPr="00881572">
        <w:t>own</w:t>
      </w:r>
      <w:r w:rsidRPr="00F96C6A">
        <w:rPr>
          <w:rStyle w:val="big-number"/>
          <w:sz w:val="24"/>
          <w:szCs w:val="24"/>
        </w:rPr>
        <w:t xml:space="preserve"> commercial interests if they are attacked, and that such an undertaking must be conceded the right to take such reasonable steps as it deems appropriate to protect its said interests, </w:t>
      </w:r>
      <w:r>
        <w:rPr>
          <w:rStyle w:val="big-number"/>
          <w:sz w:val="24"/>
          <w:szCs w:val="24"/>
        </w:rPr>
        <w:t xml:space="preserve">provided however that the purpose of </w:t>
      </w:r>
      <w:r w:rsidRPr="00F96C6A">
        <w:rPr>
          <w:rStyle w:val="big-number"/>
          <w:sz w:val="24"/>
          <w:szCs w:val="24"/>
        </w:rPr>
        <w:t xml:space="preserve">such behaviour is </w:t>
      </w:r>
      <w:r>
        <w:rPr>
          <w:rStyle w:val="big-number"/>
          <w:sz w:val="24"/>
          <w:szCs w:val="24"/>
        </w:rPr>
        <w:t xml:space="preserve">not </w:t>
      </w:r>
      <w:r w:rsidRPr="00F96C6A">
        <w:rPr>
          <w:rStyle w:val="big-number"/>
          <w:sz w:val="24"/>
          <w:szCs w:val="24"/>
        </w:rPr>
        <w:t>to strengthen this dominant position and abuse it</w:t>
      </w:r>
      <w:r>
        <w:rPr>
          <w:rStyle w:val="big-number"/>
          <w:sz w:val="24"/>
          <w:szCs w:val="24"/>
        </w:rPr>
        <w:t>"</w:t>
      </w:r>
      <w:r w:rsidRPr="00F96C6A">
        <w:rPr>
          <w:rStyle w:val="big-number"/>
          <w:sz w:val="24"/>
          <w:szCs w:val="24"/>
        </w:rPr>
        <w:t>.</w:t>
      </w:r>
      <w:r w:rsidRPr="00F96C6A">
        <w:rPr>
          <w:rStyle w:val="big-number"/>
          <w:sz w:val="24"/>
          <w:szCs w:val="24"/>
          <w:rtl/>
        </w:rPr>
        <w:t xml:space="preserve"> </w:t>
      </w:r>
      <w:r w:rsidRPr="00F96C6A">
        <w:rPr>
          <w:rStyle w:val="big-number"/>
          <w:sz w:val="24"/>
          <w:szCs w:val="24"/>
          <w:vertAlign w:val="superscript"/>
          <w:rtl/>
        </w:rPr>
        <w:footnoteReference w:id="32"/>
      </w:r>
      <w:r w:rsidRPr="00F96C6A">
        <w:rPr>
          <w:rStyle w:val="big-number"/>
          <w:sz w:val="24"/>
          <w:szCs w:val="24"/>
        </w:rPr>
        <w:t xml:space="preserve"> </w:t>
      </w:r>
    </w:p>
    <w:p w:rsidR="00F2258B" w:rsidRPr="00506792" w:rsidRDefault="00F2258B" w:rsidP="00F2258B">
      <w:pPr>
        <w:rPr>
          <w:sz w:val="24"/>
          <w:rtl/>
        </w:rPr>
      </w:pPr>
      <w:r w:rsidRPr="00506792">
        <w:rPr>
          <w:rFonts w:hint="cs"/>
          <w:sz w:val="24"/>
          <w:rtl/>
        </w:rPr>
        <w:t xml:space="preserve">מכל האמור עולה כי בהתנהלות חברת החשמל היה משום </w:t>
      </w:r>
      <w:r>
        <w:rPr>
          <w:rFonts w:hint="cs"/>
          <w:sz w:val="24"/>
          <w:rtl/>
        </w:rPr>
        <w:t>ניצול</w:t>
      </w:r>
      <w:r w:rsidRPr="00506792">
        <w:rPr>
          <w:rFonts w:hint="cs"/>
          <w:sz w:val="24"/>
          <w:rtl/>
        </w:rPr>
        <w:t xml:space="preserve"> לרעה </w:t>
      </w:r>
      <w:r>
        <w:rPr>
          <w:rFonts w:hint="cs"/>
          <w:sz w:val="24"/>
          <w:rtl/>
        </w:rPr>
        <w:t>של מעמדה</w:t>
      </w:r>
      <w:r w:rsidRPr="00506792">
        <w:rPr>
          <w:rFonts w:hint="cs"/>
          <w:sz w:val="24"/>
          <w:rtl/>
        </w:rPr>
        <w:t xml:space="preserve"> המונופוליסטי במקטע ההולכה והחלוקה. </w:t>
      </w:r>
    </w:p>
    <w:p w:rsidR="00F2258B" w:rsidRPr="006512CB" w:rsidRDefault="00F05D75" w:rsidP="00260016">
      <w:pPr>
        <w:pStyle w:val="Heading3"/>
        <w:numPr>
          <w:ilvl w:val="0"/>
          <w:numId w:val="0"/>
        </w:numPr>
        <w:spacing w:line="240" w:lineRule="auto"/>
        <w:ind w:left="657"/>
        <w:rPr>
          <w:rFonts w:cs="David"/>
        </w:rPr>
      </w:pPr>
      <w:bookmarkStart w:id="21" w:name="_Toc476497410"/>
      <w:r>
        <w:rPr>
          <w:rFonts w:cs="David" w:hint="cs"/>
          <w:rtl/>
        </w:rPr>
        <w:lastRenderedPageBreak/>
        <w:t xml:space="preserve">ניצול המעמד לרעה נעשה </w:t>
      </w:r>
      <w:r w:rsidR="00F2258B" w:rsidRPr="006512CB">
        <w:rPr>
          <w:rFonts w:cs="David" w:hint="cs"/>
          <w:rtl/>
        </w:rPr>
        <w:t>באופן העלול להפחית את התחרות בעסקים</w:t>
      </w:r>
      <w:r w:rsidR="00F2258B">
        <w:rPr>
          <w:rFonts w:cs="David" w:hint="cs"/>
          <w:rtl/>
        </w:rPr>
        <w:t xml:space="preserve"> או לפגוע בציבור</w:t>
      </w:r>
      <w:bookmarkEnd w:id="21"/>
    </w:p>
    <w:p w:rsidR="00F2258B" w:rsidRPr="00506792" w:rsidRDefault="00F2258B" w:rsidP="00A819C7">
      <w:pPr>
        <w:rPr>
          <w:sz w:val="24"/>
          <w:rtl/>
        </w:rPr>
      </w:pPr>
      <w:r w:rsidRPr="00506792">
        <w:rPr>
          <w:rFonts w:hint="cs"/>
          <w:sz w:val="24"/>
          <w:rtl/>
        </w:rPr>
        <w:t xml:space="preserve">התנהלות חברת החשמל עלולה </w:t>
      </w:r>
      <w:r>
        <w:rPr>
          <w:rFonts w:hint="cs"/>
          <w:sz w:val="24"/>
          <w:rtl/>
        </w:rPr>
        <w:t xml:space="preserve">הייתה </w:t>
      </w:r>
      <w:r w:rsidRPr="00506792">
        <w:rPr>
          <w:rFonts w:hint="cs"/>
          <w:sz w:val="24"/>
          <w:rtl/>
        </w:rPr>
        <w:t xml:space="preserve">להביא לפגיעה בתחרות במקטע אספקת החשמל. זאת, באמצעות </w:t>
      </w:r>
      <w:r>
        <w:rPr>
          <w:rFonts w:hint="cs"/>
          <w:sz w:val="24"/>
          <w:rtl/>
        </w:rPr>
        <w:t>יצירת חסמי מעבר ללקוחות</w:t>
      </w:r>
      <w:r w:rsidRPr="00506792" w:rsidDel="00DC2EF8">
        <w:rPr>
          <w:rFonts w:hint="cs"/>
          <w:sz w:val="24"/>
          <w:rtl/>
        </w:rPr>
        <w:t xml:space="preserve"> </w:t>
      </w:r>
      <w:r>
        <w:rPr>
          <w:rFonts w:hint="cs"/>
          <w:sz w:val="24"/>
          <w:rtl/>
        </w:rPr>
        <w:t>והעלאת חסמי הכניסה וההתרחבות של המתחרים.</w:t>
      </w:r>
      <w:r w:rsidR="003668F7">
        <w:rPr>
          <w:rFonts w:hint="cs"/>
          <w:sz w:val="24"/>
          <w:rtl/>
        </w:rPr>
        <w:t xml:space="preserve"> </w:t>
      </w:r>
    </w:p>
    <w:p w:rsidR="00EE2F90" w:rsidRDefault="00F2258B" w:rsidP="00091664">
      <w:pPr>
        <w:rPr>
          <w:sz w:val="24"/>
          <w:rtl/>
        </w:rPr>
      </w:pPr>
      <w:r w:rsidRPr="00506792">
        <w:rPr>
          <w:rFonts w:hint="cs"/>
          <w:sz w:val="24"/>
          <w:rtl/>
        </w:rPr>
        <w:t>בדיקת הרשות העלתה כי השירותים שסיפק</w:t>
      </w:r>
      <w:r w:rsidRPr="00506792">
        <w:rPr>
          <w:sz w:val="24"/>
          <w:rtl/>
        </w:rPr>
        <w:t xml:space="preserve"> </w:t>
      </w:r>
      <w:r>
        <w:rPr>
          <w:rFonts w:hint="cs"/>
          <w:sz w:val="24"/>
          <w:rtl/>
        </w:rPr>
        <w:t>המת"ל</w:t>
      </w:r>
      <w:r w:rsidRPr="00506792">
        <w:rPr>
          <w:sz w:val="24"/>
          <w:rtl/>
        </w:rPr>
        <w:t xml:space="preserve"> </w:t>
      </w:r>
      <w:r w:rsidRPr="00506792">
        <w:rPr>
          <w:rFonts w:hint="cs"/>
          <w:sz w:val="24"/>
          <w:rtl/>
        </w:rPr>
        <w:t xml:space="preserve">הנוגעים </w:t>
      </w:r>
      <w:r>
        <w:rPr>
          <w:rFonts w:hint="cs"/>
          <w:sz w:val="24"/>
          <w:rtl/>
        </w:rPr>
        <w:t>למקטעי</w:t>
      </w:r>
      <w:r w:rsidRPr="00506792">
        <w:rPr>
          <w:rFonts w:hint="cs"/>
          <w:sz w:val="24"/>
          <w:rtl/>
        </w:rPr>
        <w:t xml:space="preserve"> ההולכה</w:t>
      </w:r>
      <w:r w:rsidRPr="00506792">
        <w:rPr>
          <w:sz w:val="24"/>
          <w:rtl/>
        </w:rPr>
        <w:t xml:space="preserve"> </w:t>
      </w:r>
      <w:r w:rsidRPr="00506792">
        <w:rPr>
          <w:rFonts w:hint="cs"/>
          <w:sz w:val="24"/>
          <w:rtl/>
        </w:rPr>
        <w:t>והחלוקה</w:t>
      </w:r>
      <w:r w:rsidRPr="00506792">
        <w:rPr>
          <w:sz w:val="24"/>
          <w:rtl/>
        </w:rPr>
        <w:t xml:space="preserve"> </w:t>
      </w:r>
      <w:r w:rsidRPr="00506792">
        <w:rPr>
          <w:rFonts w:hint="cs"/>
          <w:sz w:val="24"/>
          <w:rtl/>
        </w:rPr>
        <w:t>הנם</w:t>
      </w:r>
      <w:r w:rsidRPr="00506792">
        <w:rPr>
          <w:sz w:val="24"/>
          <w:rtl/>
        </w:rPr>
        <w:t xml:space="preserve"> </w:t>
      </w:r>
      <w:r w:rsidRPr="00506792">
        <w:rPr>
          <w:rFonts w:hint="cs"/>
          <w:sz w:val="24"/>
          <w:rtl/>
        </w:rPr>
        <w:t>שירותים</w:t>
      </w:r>
      <w:r w:rsidRPr="00506792">
        <w:rPr>
          <w:sz w:val="24"/>
          <w:rtl/>
        </w:rPr>
        <w:t xml:space="preserve"> </w:t>
      </w:r>
      <w:r w:rsidRPr="00506792">
        <w:rPr>
          <w:rFonts w:hint="cs"/>
          <w:sz w:val="24"/>
          <w:rtl/>
        </w:rPr>
        <w:t>בעלי</w:t>
      </w:r>
      <w:r w:rsidRPr="00506792">
        <w:rPr>
          <w:sz w:val="24"/>
          <w:rtl/>
        </w:rPr>
        <w:t xml:space="preserve"> </w:t>
      </w:r>
      <w:r w:rsidRPr="00506792">
        <w:rPr>
          <w:rFonts w:hint="cs"/>
          <w:sz w:val="24"/>
          <w:rtl/>
        </w:rPr>
        <w:t>חשיבות</w:t>
      </w:r>
      <w:r w:rsidRPr="00506792">
        <w:rPr>
          <w:sz w:val="24"/>
          <w:rtl/>
        </w:rPr>
        <w:t xml:space="preserve"> </w:t>
      </w:r>
      <w:r w:rsidRPr="00506792">
        <w:rPr>
          <w:rFonts w:hint="cs"/>
          <w:sz w:val="24"/>
          <w:rtl/>
        </w:rPr>
        <w:t>רבה</w:t>
      </w:r>
      <w:r w:rsidRPr="00506792">
        <w:rPr>
          <w:sz w:val="24"/>
          <w:rtl/>
        </w:rPr>
        <w:t xml:space="preserve"> </w:t>
      </w:r>
      <w:r w:rsidRPr="00506792">
        <w:rPr>
          <w:rFonts w:hint="cs"/>
          <w:sz w:val="24"/>
          <w:rtl/>
        </w:rPr>
        <w:t>ל</w:t>
      </w:r>
      <w:r w:rsidR="00206900">
        <w:rPr>
          <w:rFonts w:hint="cs"/>
          <w:sz w:val="24"/>
          <w:rtl/>
        </w:rPr>
        <w:t>לקוחות</w:t>
      </w:r>
      <w:r w:rsidRPr="00506792">
        <w:rPr>
          <w:sz w:val="24"/>
          <w:rtl/>
        </w:rPr>
        <w:t xml:space="preserve"> </w:t>
      </w:r>
      <w:r w:rsidRPr="00506792">
        <w:rPr>
          <w:rFonts w:hint="cs"/>
          <w:sz w:val="24"/>
          <w:rtl/>
        </w:rPr>
        <w:t>עסקיים</w:t>
      </w:r>
      <w:r w:rsidRPr="00506792">
        <w:rPr>
          <w:sz w:val="24"/>
          <w:rtl/>
        </w:rPr>
        <w:t xml:space="preserve">, </w:t>
      </w:r>
      <w:r w:rsidRPr="00506792">
        <w:rPr>
          <w:rFonts w:hint="cs"/>
          <w:sz w:val="24"/>
          <w:rtl/>
        </w:rPr>
        <w:t>בפרט</w:t>
      </w:r>
      <w:r w:rsidRPr="00506792">
        <w:rPr>
          <w:sz w:val="24"/>
          <w:rtl/>
        </w:rPr>
        <w:t xml:space="preserve"> </w:t>
      </w:r>
      <w:r w:rsidRPr="00506792">
        <w:rPr>
          <w:rFonts w:hint="cs"/>
          <w:sz w:val="24"/>
          <w:rtl/>
        </w:rPr>
        <w:t>כאשר</w:t>
      </w:r>
      <w:r w:rsidRPr="00506792">
        <w:rPr>
          <w:sz w:val="24"/>
          <w:rtl/>
        </w:rPr>
        <w:t xml:space="preserve"> </w:t>
      </w:r>
      <w:r w:rsidRPr="00506792">
        <w:rPr>
          <w:rFonts w:hint="cs"/>
          <w:sz w:val="24"/>
          <w:rtl/>
        </w:rPr>
        <w:t>מתרחשות</w:t>
      </w:r>
      <w:r w:rsidRPr="00506792">
        <w:rPr>
          <w:sz w:val="24"/>
          <w:rtl/>
        </w:rPr>
        <w:t xml:space="preserve"> </w:t>
      </w:r>
      <w:r w:rsidRPr="00506792">
        <w:rPr>
          <w:rFonts w:hint="cs"/>
          <w:sz w:val="24"/>
          <w:rtl/>
        </w:rPr>
        <w:t>תקלות</w:t>
      </w:r>
      <w:r w:rsidRPr="00506792">
        <w:rPr>
          <w:sz w:val="24"/>
          <w:rtl/>
        </w:rPr>
        <w:t xml:space="preserve"> </w:t>
      </w:r>
      <w:r w:rsidRPr="00506792">
        <w:rPr>
          <w:rFonts w:hint="cs"/>
          <w:sz w:val="24"/>
          <w:rtl/>
        </w:rPr>
        <w:t>או</w:t>
      </w:r>
      <w:r w:rsidRPr="00506792">
        <w:rPr>
          <w:sz w:val="24"/>
          <w:rtl/>
        </w:rPr>
        <w:t xml:space="preserve"> </w:t>
      </w:r>
      <w:r w:rsidRPr="00506792">
        <w:rPr>
          <w:rFonts w:hint="cs"/>
          <w:sz w:val="24"/>
          <w:rtl/>
        </w:rPr>
        <w:t>הפסקות</w:t>
      </w:r>
      <w:r w:rsidRPr="00506792">
        <w:rPr>
          <w:sz w:val="24"/>
          <w:rtl/>
        </w:rPr>
        <w:t xml:space="preserve"> </w:t>
      </w:r>
      <w:r w:rsidRPr="00506792">
        <w:rPr>
          <w:rFonts w:hint="cs"/>
          <w:sz w:val="24"/>
          <w:rtl/>
        </w:rPr>
        <w:t>יזומות</w:t>
      </w:r>
      <w:r w:rsidRPr="00506792">
        <w:rPr>
          <w:sz w:val="24"/>
          <w:rtl/>
        </w:rPr>
        <w:t xml:space="preserve"> </w:t>
      </w:r>
      <w:r w:rsidRPr="00506792">
        <w:rPr>
          <w:rFonts w:hint="cs"/>
          <w:sz w:val="24"/>
          <w:rtl/>
        </w:rPr>
        <w:t>בהזרמת</w:t>
      </w:r>
      <w:r w:rsidRPr="00506792">
        <w:rPr>
          <w:sz w:val="24"/>
          <w:rtl/>
        </w:rPr>
        <w:t xml:space="preserve"> </w:t>
      </w:r>
      <w:r w:rsidRPr="00506792">
        <w:rPr>
          <w:rFonts w:hint="cs"/>
          <w:sz w:val="24"/>
          <w:rtl/>
        </w:rPr>
        <w:t>החשמל</w:t>
      </w:r>
      <w:r w:rsidRPr="00506792">
        <w:rPr>
          <w:sz w:val="24"/>
          <w:rtl/>
        </w:rPr>
        <w:t xml:space="preserve"> </w:t>
      </w:r>
      <w:r w:rsidRPr="00506792">
        <w:rPr>
          <w:rFonts w:hint="cs"/>
          <w:sz w:val="24"/>
          <w:rtl/>
        </w:rPr>
        <w:t>לאתר</w:t>
      </w:r>
      <w:r w:rsidRPr="00506792">
        <w:rPr>
          <w:sz w:val="24"/>
          <w:rtl/>
        </w:rPr>
        <w:t xml:space="preserve"> </w:t>
      </w:r>
      <w:r w:rsidRPr="00506792">
        <w:rPr>
          <w:rFonts w:hint="cs"/>
          <w:sz w:val="24"/>
          <w:rtl/>
        </w:rPr>
        <w:t>הצריכה</w:t>
      </w:r>
      <w:r w:rsidRPr="00506792">
        <w:rPr>
          <w:sz w:val="24"/>
          <w:rtl/>
        </w:rPr>
        <w:t>.</w:t>
      </w:r>
      <w:r w:rsidRPr="00506792">
        <w:rPr>
          <w:rFonts w:hint="cs"/>
          <w:sz w:val="24"/>
          <w:rtl/>
        </w:rPr>
        <w:t xml:space="preserve"> </w:t>
      </w:r>
      <w:r>
        <w:rPr>
          <w:rFonts w:hint="cs"/>
          <w:sz w:val="24"/>
          <w:rtl/>
        </w:rPr>
        <w:t>מדובר בשירותים אשר ניתנים</w:t>
      </w:r>
      <w:r w:rsidRPr="00506792">
        <w:rPr>
          <w:rFonts w:hint="cs"/>
          <w:sz w:val="24"/>
          <w:rtl/>
        </w:rPr>
        <w:t xml:space="preserve"> על-ידי חברת החשמל בלבד</w:t>
      </w:r>
      <w:r>
        <w:rPr>
          <w:rFonts w:hint="cs"/>
          <w:sz w:val="24"/>
          <w:rtl/>
        </w:rPr>
        <w:t xml:space="preserve"> ושלא ניתן לספק באמצעות יצרני החשמל הפרטיים</w:t>
      </w:r>
      <w:r w:rsidRPr="00506792">
        <w:rPr>
          <w:rFonts w:hint="cs"/>
          <w:sz w:val="24"/>
          <w:rtl/>
        </w:rPr>
        <w:t xml:space="preserve">, </w:t>
      </w:r>
      <w:r>
        <w:rPr>
          <w:rFonts w:hint="cs"/>
          <w:sz w:val="24"/>
          <w:rtl/>
        </w:rPr>
        <w:t xml:space="preserve">מאחר וחברת החשמל היא </w:t>
      </w:r>
      <w:r w:rsidRPr="00506792">
        <w:rPr>
          <w:rFonts w:hint="cs"/>
          <w:sz w:val="24"/>
          <w:rtl/>
        </w:rPr>
        <w:t>מונופול וספק יחיד במקטעים</w:t>
      </w:r>
      <w:r>
        <w:rPr>
          <w:rFonts w:hint="cs"/>
          <w:sz w:val="24"/>
          <w:rtl/>
        </w:rPr>
        <w:t xml:space="preserve"> אלה</w:t>
      </w:r>
      <w:r w:rsidRPr="00506792">
        <w:rPr>
          <w:rFonts w:hint="cs"/>
          <w:sz w:val="24"/>
          <w:rtl/>
        </w:rPr>
        <w:t>.</w:t>
      </w:r>
    </w:p>
    <w:p w:rsidR="00F2258B" w:rsidRPr="00506792" w:rsidRDefault="00F2258B" w:rsidP="00091664">
      <w:pPr>
        <w:rPr>
          <w:sz w:val="24"/>
          <w:rtl/>
        </w:rPr>
      </w:pPr>
      <w:r w:rsidRPr="00506792">
        <w:rPr>
          <w:rFonts w:hint="cs"/>
          <w:sz w:val="24"/>
          <w:rtl/>
        </w:rPr>
        <w:t>החיסכון הכלכלי הנובע מההנחה שמציע היצרן הפרטי ביחס לתעריף חברת החשמל על רכישת חשמל הוא שיקול משמעותי בהחלטת ה</w:t>
      </w:r>
      <w:r w:rsidR="00206900">
        <w:rPr>
          <w:rFonts w:hint="cs"/>
          <w:sz w:val="24"/>
          <w:rtl/>
        </w:rPr>
        <w:t>לקוחות</w:t>
      </w:r>
      <w:r w:rsidRPr="00506792">
        <w:rPr>
          <w:rFonts w:hint="cs"/>
          <w:sz w:val="24"/>
          <w:rtl/>
        </w:rPr>
        <w:t xml:space="preserve"> העסקיים האם </w:t>
      </w:r>
      <w:r>
        <w:rPr>
          <w:rFonts w:hint="cs"/>
          <w:sz w:val="24"/>
          <w:rtl/>
        </w:rPr>
        <w:t>לרכוש חשמל מ</w:t>
      </w:r>
      <w:r w:rsidRPr="00506792">
        <w:rPr>
          <w:rFonts w:hint="cs"/>
          <w:sz w:val="24"/>
          <w:rtl/>
        </w:rPr>
        <w:t xml:space="preserve">יצרן פרטי או </w:t>
      </w:r>
      <w:r>
        <w:rPr>
          <w:rFonts w:hint="cs"/>
          <w:sz w:val="24"/>
          <w:rtl/>
        </w:rPr>
        <w:t>מ</w:t>
      </w:r>
      <w:r w:rsidRPr="00506792">
        <w:rPr>
          <w:rFonts w:hint="cs"/>
          <w:sz w:val="24"/>
          <w:rtl/>
        </w:rPr>
        <w:t xml:space="preserve">חברת החשמל. </w:t>
      </w:r>
      <w:r>
        <w:rPr>
          <w:rFonts w:hint="cs"/>
          <w:sz w:val="24"/>
          <w:rtl/>
        </w:rPr>
        <w:t>אולם</w:t>
      </w:r>
      <w:r w:rsidRPr="00506792">
        <w:rPr>
          <w:rFonts w:hint="cs"/>
          <w:sz w:val="24"/>
          <w:rtl/>
        </w:rPr>
        <w:t xml:space="preserve">, הפגיעה ביכולת </w:t>
      </w:r>
      <w:r>
        <w:rPr>
          <w:rFonts w:hint="cs"/>
          <w:sz w:val="24"/>
          <w:rtl/>
        </w:rPr>
        <w:t>הלקוחות</w:t>
      </w:r>
      <w:r w:rsidRPr="00506792">
        <w:rPr>
          <w:rFonts w:hint="cs"/>
          <w:sz w:val="24"/>
          <w:rtl/>
        </w:rPr>
        <w:t xml:space="preserve"> להיערך להפרעות בהזרמת החשמל ולצמצם נזקים הנגרמים מהן משיתה על ה</w:t>
      </w:r>
      <w:r w:rsidR="00206900">
        <w:rPr>
          <w:rFonts w:hint="cs"/>
          <w:sz w:val="24"/>
          <w:rtl/>
        </w:rPr>
        <w:t>לקוחות</w:t>
      </w:r>
      <w:r w:rsidRPr="00506792">
        <w:rPr>
          <w:rFonts w:hint="cs"/>
          <w:sz w:val="24"/>
          <w:rtl/>
        </w:rPr>
        <w:t xml:space="preserve"> עלויות שונות</w:t>
      </w:r>
      <w:r>
        <w:rPr>
          <w:rFonts w:hint="cs"/>
          <w:sz w:val="24"/>
          <w:rtl/>
        </w:rPr>
        <w:t xml:space="preserve">. </w:t>
      </w:r>
      <w:r w:rsidRPr="00506792">
        <w:rPr>
          <w:rFonts w:hint="cs"/>
          <w:sz w:val="24"/>
          <w:rtl/>
        </w:rPr>
        <w:t>למשל, עלויות של השבתת עבודה, נזקים למערכות הציוד, פגיעה בחומרי גלם ובתוצרים ועוד.</w:t>
      </w:r>
      <w:r>
        <w:rPr>
          <w:rFonts w:hint="cs"/>
          <w:sz w:val="24"/>
          <w:rtl/>
        </w:rPr>
        <w:t xml:space="preserve"> </w:t>
      </w:r>
      <w:r w:rsidRPr="00BE53A9">
        <w:rPr>
          <w:rFonts w:hint="cs"/>
          <w:sz w:val="24"/>
          <w:rtl/>
        </w:rPr>
        <w:t xml:space="preserve">מטבע הדברים, לאורך זמן היה החיסכון בעלויות רכישת החשמל </w:t>
      </w:r>
      <w:r>
        <w:rPr>
          <w:rFonts w:hint="cs"/>
          <w:sz w:val="24"/>
          <w:rtl/>
        </w:rPr>
        <w:t xml:space="preserve">מיצרנים פרטיים </w:t>
      </w:r>
      <w:r w:rsidRPr="00BE53A9">
        <w:rPr>
          <w:rFonts w:hint="cs"/>
          <w:sz w:val="24"/>
          <w:rtl/>
        </w:rPr>
        <w:t>נבח</w:t>
      </w:r>
      <w:r>
        <w:rPr>
          <w:rFonts w:hint="cs"/>
          <w:sz w:val="24"/>
          <w:rtl/>
        </w:rPr>
        <w:t>ן</w:t>
      </w:r>
      <w:r w:rsidRPr="00BE53A9">
        <w:rPr>
          <w:rFonts w:hint="cs"/>
          <w:sz w:val="24"/>
          <w:rtl/>
        </w:rPr>
        <w:t xml:space="preserve"> אל מול הנזקים הנגרמים ללקוח בשל הפגיעה בשירות </w:t>
      </w:r>
      <w:r>
        <w:rPr>
          <w:rFonts w:hint="cs"/>
          <w:sz w:val="24"/>
          <w:rtl/>
        </w:rPr>
        <w:t xml:space="preserve">המת"ל </w:t>
      </w:r>
      <w:r w:rsidRPr="00BE53A9">
        <w:rPr>
          <w:rFonts w:hint="cs"/>
          <w:sz w:val="24"/>
          <w:rtl/>
        </w:rPr>
        <w:t>הנוגע למקטעי ההולכה והחלוקה</w:t>
      </w:r>
      <w:r>
        <w:rPr>
          <w:rFonts w:hint="cs"/>
          <w:sz w:val="24"/>
          <w:rtl/>
        </w:rPr>
        <w:t xml:space="preserve">. בטווח הארוך </w:t>
      </w:r>
      <w:r w:rsidRPr="00506792">
        <w:rPr>
          <w:rFonts w:hint="cs"/>
          <w:sz w:val="24"/>
          <w:rtl/>
        </w:rPr>
        <w:t xml:space="preserve">היעדר שירות המת"ל בהולכה וחלוקה </w:t>
      </w:r>
      <w:r w:rsidR="008733CE">
        <w:rPr>
          <w:rFonts w:hint="cs"/>
          <w:sz w:val="24"/>
          <w:rtl/>
        </w:rPr>
        <w:t>צפוי היה להפוך</w:t>
      </w:r>
      <w:r>
        <w:rPr>
          <w:rFonts w:hint="cs"/>
          <w:sz w:val="24"/>
          <w:rtl/>
        </w:rPr>
        <w:t xml:space="preserve"> </w:t>
      </w:r>
      <w:r w:rsidR="008733CE">
        <w:rPr>
          <w:rFonts w:hint="cs"/>
          <w:sz w:val="24"/>
          <w:rtl/>
        </w:rPr>
        <w:t>ל</w:t>
      </w:r>
      <w:r>
        <w:rPr>
          <w:rFonts w:hint="cs"/>
          <w:sz w:val="24"/>
          <w:rtl/>
        </w:rPr>
        <w:t>שיקול משמעותי במסגרת שיקולי ה</w:t>
      </w:r>
      <w:r w:rsidR="00206900">
        <w:rPr>
          <w:rFonts w:hint="cs"/>
          <w:sz w:val="24"/>
          <w:rtl/>
        </w:rPr>
        <w:t>לקוחות</w:t>
      </w:r>
      <w:r>
        <w:rPr>
          <w:rFonts w:hint="cs"/>
          <w:sz w:val="24"/>
          <w:rtl/>
        </w:rPr>
        <w:t xml:space="preserve"> האם לצרוך חשמל מ</w:t>
      </w:r>
      <w:r w:rsidRPr="00506792">
        <w:rPr>
          <w:rFonts w:hint="cs"/>
          <w:sz w:val="24"/>
          <w:rtl/>
        </w:rPr>
        <w:t>מתחרי חברת החשמל באספקת חשמל.</w:t>
      </w:r>
    </w:p>
    <w:p w:rsidR="00F2258B" w:rsidRPr="00506792" w:rsidRDefault="00F2258B" w:rsidP="00F2258B">
      <w:pPr>
        <w:rPr>
          <w:sz w:val="24"/>
          <w:rtl/>
        </w:rPr>
      </w:pPr>
      <w:r>
        <w:rPr>
          <w:rFonts w:hint="cs"/>
          <w:sz w:val="24"/>
          <w:rtl/>
        </w:rPr>
        <w:t xml:space="preserve">גם </w:t>
      </w:r>
      <w:r w:rsidRPr="00506792">
        <w:rPr>
          <w:rFonts w:hint="cs"/>
          <w:sz w:val="24"/>
          <w:rtl/>
        </w:rPr>
        <w:t>ב</w:t>
      </w:r>
      <w:r>
        <w:rPr>
          <w:rFonts w:hint="cs"/>
          <w:sz w:val="24"/>
          <w:rtl/>
        </w:rPr>
        <w:t>תקופה בה ניתן שירות מת"ל חלקי ובתקופה בה הועמד ה</w:t>
      </w:r>
      <w:r w:rsidRPr="00506792">
        <w:rPr>
          <w:rFonts w:hint="cs"/>
          <w:sz w:val="24"/>
          <w:rtl/>
        </w:rPr>
        <w:t>מוקד הייעודי</w:t>
      </w:r>
      <w:r>
        <w:rPr>
          <w:rFonts w:hint="cs"/>
          <w:sz w:val="24"/>
          <w:rtl/>
        </w:rPr>
        <w:t>,</w:t>
      </w:r>
      <w:r w:rsidRPr="00506792">
        <w:rPr>
          <w:rFonts w:hint="cs"/>
          <w:sz w:val="24"/>
          <w:rtl/>
        </w:rPr>
        <w:t xml:space="preserve"> חסרונם של השירותים החשובים שניתנו על</w:t>
      </w:r>
      <w:r>
        <w:rPr>
          <w:rFonts w:hint="cs"/>
          <w:sz w:val="24"/>
          <w:rtl/>
        </w:rPr>
        <w:t xml:space="preserve"> </w:t>
      </w:r>
      <w:r w:rsidRPr="00506792">
        <w:rPr>
          <w:rFonts w:hint="cs"/>
          <w:sz w:val="24"/>
          <w:rtl/>
        </w:rPr>
        <w:t xml:space="preserve">ידי </w:t>
      </w:r>
      <w:r>
        <w:rPr>
          <w:rFonts w:hint="cs"/>
          <w:sz w:val="24"/>
          <w:rtl/>
        </w:rPr>
        <w:t>המת"ל</w:t>
      </w:r>
      <w:r w:rsidRPr="00506792">
        <w:rPr>
          <w:rFonts w:hint="cs"/>
          <w:sz w:val="24"/>
          <w:rtl/>
        </w:rPr>
        <w:t xml:space="preserve"> משמעותי דיו עד כי היה עלול </w:t>
      </w:r>
      <w:r>
        <w:rPr>
          <w:rFonts w:hint="cs"/>
          <w:sz w:val="24"/>
          <w:rtl/>
        </w:rPr>
        <w:t>לרסן</w:t>
      </w:r>
      <w:r w:rsidRPr="00506792">
        <w:rPr>
          <w:rFonts w:hint="cs"/>
          <w:sz w:val="24"/>
          <w:rtl/>
        </w:rPr>
        <w:t xml:space="preserve"> את </w:t>
      </w:r>
      <w:r>
        <w:rPr>
          <w:rFonts w:hint="cs"/>
          <w:sz w:val="24"/>
          <w:rtl/>
        </w:rPr>
        <w:t xml:space="preserve">מעבר הלקוחות </w:t>
      </w:r>
      <w:r w:rsidRPr="00506792">
        <w:rPr>
          <w:rFonts w:hint="cs"/>
          <w:sz w:val="24"/>
          <w:rtl/>
        </w:rPr>
        <w:t xml:space="preserve">ליצרני חשמל פרטיים. </w:t>
      </w:r>
      <w:r>
        <w:rPr>
          <w:rFonts w:hint="cs"/>
          <w:sz w:val="24"/>
          <w:rtl/>
        </w:rPr>
        <w:t xml:space="preserve">כפי שהורחב לעיל, השירות היוזם הוחלף בשירות מגיב בלבד, </w:t>
      </w:r>
      <w:r>
        <w:rPr>
          <w:rFonts w:hint="cs"/>
          <w:rtl/>
        </w:rPr>
        <w:t xml:space="preserve">שניתן רק </w:t>
      </w:r>
      <w:r w:rsidRPr="003033EE">
        <w:rPr>
          <w:rFonts w:hint="cs"/>
          <w:rtl/>
        </w:rPr>
        <w:t xml:space="preserve">במענה לפנייה של </w:t>
      </w:r>
      <w:r w:rsidR="00206900">
        <w:rPr>
          <w:rFonts w:hint="cs"/>
          <w:rtl/>
        </w:rPr>
        <w:t>לקוחות</w:t>
      </w:r>
      <w:r w:rsidRPr="003033EE">
        <w:rPr>
          <w:rFonts w:hint="cs"/>
          <w:rtl/>
        </w:rPr>
        <w:t xml:space="preserve"> לאחר קרות התקלה ולא באופן יזום מראש</w:t>
      </w:r>
      <w:r>
        <w:rPr>
          <w:rFonts w:hint="cs"/>
          <w:sz w:val="24"/>
          <w:rtl/>
        </w:rPr>
        <w:t xml:space="preserve">. </w:t>
      </w:r>
    </w:p>
    <w:p w:rsidR="00F2258B" w:rsidRDefault="00F2258B" w:rsidP="00455889">
      <w:pPr>
        <w:rPr>
          <w:sz w:val="24"/>
          <w:rtl/>
        </w:rPr>
      </w:pPr>
      <w:r w:rsidRPr="00506792">
        <w:rPr>
          <w:rFonts w:hint="cs"/>
          <w:sz w:val="24"/>
          <w:rtl/>
        </w:rPr>
        <w:t>הנה כי כן, פעולותיה של חברת החשמל יצרו</w:t>
      </w:r>
      <w:r w:rsidR="008733CE">
        <w:rPr>
          <w:rFonts w:hint="cs"/>
          <w:sz w:val="24"/>
          <w:rtl/>
        </w:rPr>
        <w:t>,</w:t>
      </w:r>
      <w:r w:rsidRPr="00506792">
        <w:rPr>
          <w:rFonts w:hint="cs"/>
          <w:sz w:val="24"/>
          <w:rtl/>
        </w:rPr>
        <w:t xml:space="preserve"> </w:t>
      </w:r>
      <w:r>
        <w:rPr>
          <w:rFonts w:hint="cs"/>
          <w:sz w:val="24"/>
          <w:rtl/>
        </w:rPr>
        <w:t>ו</w:t>
      </w:r>
      <w:r w:rsidRPr="00506792">
        <w:rPr>
          <w:rFonts w:hint="cs"/>
          <w:sz w:val="24"/>
          <w:rtl/>
        </w:rPr>
        <w:t>למצער העלו</w:t>
      </w:r>
      <w:r w:rsidR="008733CE">
        <w:rPr>
          <w:rFonts w:hint="cs"/>
          <w:sz w:val="24"/>
          <w:rtl/>
        </w:rPr>
        <w:t>,</w:t>
      </w:r>
      <w:r w:rsidRPr="00506792">
        <w:rPr>
          <w:rFonts w:hint="cs"/>
          <w:sz w:val="24"/>
          <w:rtl/>
        </w:rPr>
        <w:t xml:space="preserve"> את חסמי המעבר של </w:t>
      </w:r>
      <w:r w:rsidR="00206900">
        <w:rPr>
          <w:rFonts w:hint="cs"/>
          <w:sz w:val="24"/>
          <w:rtl/>
        </w:rPr>
        <w:t>לקוחות</w:t>
      </w:r>
      <w:r w:rsidRPr="00506792">
        <w:rPr>
          <w:rFonts w:hint="cs"/>
          <w:sz w:val="24"/>
          <w:rtl/>
        </w:rPr>
        <w:t xml:space="preserve"> עסקיים ליצרנים פרטיים.</w:t>
      </w:r>
      <w:r w:rsidRPr="00510465">
        <w:rPr>
          <w:rFonts w:hint="cs"/>
          <w:sz w:val="24"/>
          <w:rtl/>
        </w:rPr>
        <w:t xml:space="preserve"> </w:t>
      </w:r>
      <w:r>
        <w:rPr>
          <w:rFonts w:hint="cs"/>
          <w:sz w:val="24"/>
          <w:rtl/>
        </w:rPr>
        <w:t xml:space="preserve">העלאת חסמי המעבר בתורה היתה עלולה להקשות </w:t>
      </w:r>
      <w:r w:rsidRPr="00506792">
        <w:rPr>
          <w:rFonts w:hint="cs"/>
          <w:sz w:val="24"/>
          <w:rtl/>
        </w:rPr>
        <w:t xml:space="preserve">על יצרנים פרטיים להתקשר עם </w:t>
      </w:r>
      <w:r>
        <w:rPr>
          <w:rFonts w:hint="cs"/>
          <w:sz w:val="24"/>
          <w:rtl/>
        </w:rPr>
        <w:t xml:space="preserve">לקוחות עסקיים. </w:t>
      </w:r>
    </w:p>
    <w:p w:rsidR="00F2258B" w:rsidRDefault="00F2258B" w:rsidP="00B76296">
      <w:pPr>
        <w:rPr>
          <w:sz w:val="24"/>
          <w:rtl/>
        </w:rPr>
      </w:pPr>
      <w:r w:rsidRPr="00506792">
        <w:rPr>
          <w:rFonts w:hint="cs"/>
          <w:sz w:val="24"/>
          <w:rtl/>
        </w:rPr>
        <w:t xml:space="preserve">די בכך שפעולות חברת החשמל </w:t>
      </w:r>
      <w:r>
        <w:rPr>
          <w:rFonts w:hint="cs"/>
          <w:sz w:val="24"/>
          <w:rtl/>
        </w:rPr>
        <w:t>הקשו, שלא במסגרת תחרות לגופה,</w:t>
      </w:r>
      <w:r w:rsidRPr="00506792">
        <w:rPr>
          <w:rFonts w:hint="cs"/>
          <w:sz w:val="24"/>
          <w:rtl/>
        </w:rPr>
        <w:t xml:space="preserve"> על ה</w:t>
      </w:r>
      <w:r w:rsidR="00206900">
        <w:rPr>
          <w:rFonts w:hint="cs"/>
          <w:sz w:val="24"/>
          <w:rtl/>
        </w:rPr>
        <w:t>לקוחות</w:t>
      </w:r>
      <w:r w:rsidRPr="00506792">
        <w:rPr>
          <w:rFonts w:hint="cs"/>
          <w:sz w:val="24"/>
          <w:rtl/>
        </w:rPr>
        <w:t xml:space="preserve"> העסקיים לבחור באופן חופשי עם מי ברצונם להתקשר </w:t>
      </w:r>
      <w:r>
        <w:rPr>
          <w:rFonts w:hint="cs"/>
          <w:sz w:val="24"/>
          <w:rtl/>
        </w:rPr>
        <w:t>ו</w:t>
      </w:r>
      <w:r w:rsidRPr="00506792">
        <w:rPr>
          <w:rFonts w:hint="cs"/>
          <w:sz w:val="24"/>
          <w:rtl/>
        </w:rPr>
        <w:t>הצרו את מרחב התחרות של יצרנים פרטיים במקטע האספקה כדי לקבוע כי חברת החשמל ניצלה מעמדה לרעה באופן העלול להפחית את התחרות.</w:t>
      </w:r>
      <w:bookmarkStart w:id="22" w:name="_Ref476486391"/>
      <w:r w:rsidRPr="00506792">
        <w:rPr>
          <w:rStyle w:val="FootnoteReference"/>
          <w:sz w:val="24"/>
          <w:rtl/>
        </w:rPr>
        <w:footnoteReference w:id="33"/>
      </w:r>
      <w:bookmarkEnd w:id="22"/>
      <w:r>
        <w:rPr>
          <w:rFonts w:hint="cs"/>
          <w:sz w:val="24"/>
          <w:rtl/>
        </w:rPr>
        <w:t xml:space="preserve"> </w:t>
      </w:r>
      <w:r>
        <w:rPr>
          <w:rFonts w:hint="cs"/>
          <w:rtl/>
        </w:rPr>
        <w:t xml:space="preserve">כך, </w:t>
      </w:r>
      <w:r w:rsidR="00B76296">
        <w:rPr>
          <w:rFonts w:hint="cs"/>
          <w:rtl/>
        </w:rPr>
        <w:t>נקבע</w:t>
      </w:r>
      <w:r>
        <w:rPr>
          <w:rFonts w:hint="cs"/>
          <w:rtl/>
        </w:rPr>
        <w:t xml:space="preserve"> ב</w:t>
      </w:r>
      <w:r w:rsidRPr="002F3537">
        <w:rPr>
          <w:rFonts w:hint="cs"/>
          <w:rtl/>
        </w:rPr>
        <w:t>עניין</w:t>
      </w:r>
      <w:r w:rsidRPr="002F3537">
        <w:rPr>
          <w:rtl/>
        </w:rPr>
        <w:t xml:space="preserve"> </w:t>
      </w:r>
      <w:r w:rsidRPr="002F3537">
        <w:rPr>
          <w:rFonts w:hint="cs"/>
          <w:rtl/>
        </w:rPr>
        <w:t>בזק</w:t>
      </w:r>
      <w:r>
        <w:rPr>
          <w:rFonts w:hint="cs"/>
          <w:rtl/>
        </w:rPr>
        <w:t xml:space="preserve"> ביחס לפרקטיקת התמחור של הצרת מרווחים</w:t>
      </w:r>
      <w:r w:rsidRPr="002F3537">
        <w:rPr>
          <w:rtl/>
        </w:rPr>
        <w:t xml:space="preserve">, </w:t>
      </w:r>
      <w:r w:rsidRPr="002F3537">
        <w:rPr>
          <w:rFonts w:hint="cs"/>
          <w:rtl/>
        </w:rPr>
        <w:t>כי</w:t>
      </w:r>
      <w:r w:rsidRPr="002F3537">
        <w:rPr>
          <w:rtl/>
        </w:rPr>
        <w:t xml:space="preserve"> </w:t>
      </w:r>
      <w:r>
        <w:rPr>
          <w:rFonts w:hint="cs"/>
          <w:rtl/>
        </w:rPr>
        <w:t xml:space="preserve">הגבלת </w:t>
      </w:r>
      <w:r w:rsidRPr="002F3537">
        <w:rPr>
          <w:rFonts w:hint="cs"/>
          <w:rtl/>
        </w:rPr>
        <w:t>יכולותיהם</w:t>
      </w:r>
      <w:r w:rsidRPr="002F3537">
        <w:rPr>
          <w:rtl/>
        </w:rPr>
        <w:t xml:space="preserve"> </w:t>
      </w:r>
      <w:r w:rsidRPr="002F3537">
        <w:rPr>
          <w:rFonts w:hint="cs"/>
          <w:rtl/>
        </w:rPr>
        <w:t>של</w:t>
      </w:r>
      <w:r w:rsidRPr="002F3537">
        <w:rPr>
          <w:rtl/>
        </w:rPr>
        <w:t xml:space="preserve"> </w:t>
      </w:r>
      <w:r w:rsidRPr="002F3537">
        <w:rPr>
          <w:rFonts w:hint="cs"/>
          <w:rtl/>
        </w:rPr>
        <w:lastRenderedPageBreak/>
        <w:t>מתחרי בזק</w:t>
      </w:r>
      <w:r w:rsidRPr="002F3537">
        <w:rPr>
          <w:rtl/>
        </w:rPr>
        <w:t xml:space="preserve"> </w:t>
      </w:r>
      <w:r w:rsidRPr="002F3537">
        <w:rPr>
          <w:rFonts w:hint="cs"/>
          <w:rtl/>
        </w:rPr>
        <w:t>להעמיד</w:t>
      </w:r>
      <w:r w:rsidRPr="002F3537">
        <w:rPr>
          <w:rtl/>
        </w:rPr>
        <w:t xml:space="preserve"> </w:t>
      </w:r>
      <w:r w:rsidRPr="002F3537">
        <w:rPr>
          <w:rFonts w:hint="cs"/>
          <w:rtl/>
        </w:rPr>
        <w:t>בפני</w:t>
      </w:r>
      <w:r w:rsidRPr="002F3537">
        <w:rPr>
          <w:rtl/>
        </w:rPr>
        <w:t xml:space="preserve"> </w:t>
      </w:r>
      <w:r w:rsidRPr="002F3537">
        <w:rPr>
          <w:rFonts w:hint="cs"/>
          <w:rtl/>
        </w:rPr>
        <w:t>לקוחות</w:t>
      </w:r>
      <w:r w:rsidRPr="002F3537">
        <w:rPr>
          <w:rtl/>
        </w:rPr>
        <w:t xml:space="preserve"> </w:t>
      </w:r>
      <w:r w:rsidRPr="002F3537">
        <w:rPr>
          <w:rFonts w:hint="cs"/>
          <w:rtl/>
        </w:rPr>
        <w:t>הצעות</w:t>
      </w:r>
      <w:r w:rsidRPr="002F3537">
        <w:rPr>
          <w:rtl/>
        </w:rPr>
        <w:t xml:space="preserve"> </w:t>
      </w:r>
      <w:r w:rsidRPr="002F3537">
        <w:rPr>
          <w:rFonts w:hint="cs"/>
          <w:rtl/>
        </w:rPr>
        <w:t>בנות</w:t>
      </w:r>
      <w:r w:rsidRPr="002F3537">
        <w:rPr>
          <w:rtl/>
        </w:rPr>
        <w:t xml:space="preserve"> </w:t>
      </w:r>
      <w:r w:rsidRPr="002F3537">
        <w:rPr>
          <w:rFonts w:hint="cs"/>
          <w:rtl/>
        </w:rPr>
        <w:t>תחרות</w:t>
      </w:r>
      <w:r>
        <w:rPr>
          <w:rFonts w:hint="cs"/>
          <w:rtl/>
        </w:rPr>
        <w:t>, והצבת קושי על חדירתם והתרחבותם בשוק, מהווה ניצול מעמד לרעה בניגוד לסעיף 29א(א) לחוק</w:t>
      </w:r>
      <w:r>
        <w:rPr>
          <w:rFonts w:hint="cs"/>
          <w:sz w:val="24"/>
          <w:rtl/>
        </w:rPr>
        <w:t>.</w:t>
      </w:r>
      <w:r>
        <w:rPr>
          <w:rStyle w:val="FootnoteReference"/>
          <w:sz w:val="24"/>
          <w:rtl/>
        </w:rPr>
        <w:footnoteReference w:id="34"/>
      </w:r>
      <w:r>
        <w:rPr>
          <w:rFonts w:hint="cs"/>
          <w:sz w:val="24"/>
          <w:rtl/>
        </w:rPr>
        <w:t xml:space="preserve"> </w:t>
      </w:r>
    </w:p>
    <w:p w:rsidR="00F2258B" w:rsidRPr="00506792" w:rsidRDefault="00F2258B" w:rsidP="00A819C7">
      <w:pPr>
        <w:rPr>
          <w:sz w:val="24"/>
          <w:rtl/>
        </w:rPr>
      </w:pPr>
      <w:r>
        <w:rPr>
          <w:rFonts w:hint="cs"/>
          <w:sz w:val="24"/>
          <w:rtl/>
        </w:rPr>
        <w:t>אלא ש</w:t>
      </w:r>
      <w:r w:rsidRPr="00506792">
        <w:rPr>
          <w:rFonts w:hint="cs"/>
          <w:sz w:val="24"/>
          <w:rtl/>
        </w:rPr>
        <w:t>בנוסף ל</w:t>
      </w:r>
      <w:r>
        <w:rPr>
          <w:rFonts w:hint="cs"/>
          <w:sz w:val="24"/>
          <w:rtl/>
        </w:rPr>
        <w:t>אמור</w:t>
      </w:r>
      <w:r w:rsidRPr="00506792">
        <w:rPr>
          <w:rFonts w:hint="cs"/>
          <w:sz w:val="24"/>
          <w:rtl/>
        </w:rPr>
        <w:t>, פעולות חברת החשמל אף היו עלולות להוביל להפחתת התחרות במקטע האספקה.</w:t>
      </w:r>
    </w:p>
    <w:p w:rsidR="00F2258B" w:rsidRPr="00506792" w:rsidRDefault="00F2258B" w:rsidP="003D1FEA">
      <w:pPr>
        <w:rPr>
          <w:sz w:val="24"/>
          <w:rtl/>
        </w:rPr>
      </w:pPr>
      <w:r w:rsidRPr="00506792">
        <w:rPr>
          <w:rFonts w:hint="cs"/>
          <w:sz w:val="24"/>
          <w:rtl/>
        </w:rPr>
        <w:t>הקמת מתקן ייצור הוא פרויקט עתיר הון</w:t>
      </w:r>
      <w:r>
        <w:rPr>
          <w:rFonts w:hint="cs"/>
          <w:sz w:val="24"/>
          <w:rtl/>
        </w:rPr>
        <w:t xml:space="preserve">. </w:t>
      </w:r>
      <w:r w:rsidRPr="00506792">
        <w:rPr>
          <w:rFonts w:hint="cs"/>
          <w:sz w:val="24"/>
          <w:rtl/>
        </w:rPr>
        <w:t>במסלול מכירת חשמל לצרכנים, היצרן חשוף לסיכון</w:t>
      </w:r>
      <w:r>
        <w:rPr>
          <w:rFonts w:hint="cs"/>
          <w:sz w:val="24"/>
          <w:rtl/>
        </w:rPr>
        <w:t xml:space="preserve">. </w:t>
      </w:r>
      <w:r w:rsidRPr="00506792">
        <w:rPr>
          <w:rFonts w:hint="cs"/>
          <w:sz w:val="24"/>
          <w:rtl/>
        </w:rPr>
        <w:t>זאת מכיוון שהתשלום שמקבל היצרן מחברת החשמל עבור העמדת יכולת הייצור שלא מכר לצרכנים לטובת</w:t>
      </w:r>
      <w:r w:rsidR="003D1FEA">
        <w:rPr>
          <w:rFonts w:hint="cs"/>
          <w:sz w:val="24"/>
          <w:rtl/>
        </w:rPr>
        <w:t xml:space="preserve"> מנהל המערכת</w:t>
      </w:r>
      <w:r w:rsidRPr="00506792">
        <w:rPr>
          <w:rFonts w:hint="cs"/>
          <w:sz w:val="24"/>
          <w:rtl/>
        </w:rPr>
        <w:t>, מכסה רק באופן חלקי את עלויות ההקמה של מתקן הייצור. יצרן המעוניין להתחרות במקטע האספקה כמספק של חשמל לצרכני קצה צריך להתקשר עם צרכני קצה בעסקה בילטרלית של מוכר מרצון וקונה מרצון. אם לא יצליח למכור את מלוא ההספק לצרכנים בחוזים בילטרליים</w:t>
      </w:r>
      <w:r>
        <w:rPr>
          <w:rFonts w:hint="cs"/>
          <w:sz w:val="24"/>
          <w:rtl/>
        </w:rPr>
        <w:t xml:space="preserve"> יתממש הסיכון</w:t>
      </w:r>
      <w:r w:rsidRPr="00506792">
        <w:rPr>
          <w:rFonts w:hint="cs"/>
          <w:sz w:val="24"/>
          <w:rtl/>
        </w:rPr>
        <w:t xml:space="preserve">. </w:t>
      </w:r>
    </w:p>
    <w:p w:rsidR="00F2258B" w:rsidRPr="00506792" w:rsidRDefault="00F2258B" w:rsidP="00867633">
      <w:pPr>
        <w:rPr>
          <w:sz w:val="24"/>
          <w:rtl/>
        </w:rPr>
      </w:pPr>
      <w:r w:rsidRPr="00506792">
        <w:rPr>
          <w:rFonts w:hint="cs"/>
          <w:sz w:val="24"/>
          <w:rtl/>
        </w:rPr>
        <w:t>פעולות חברת החשמל</w:t>
      </w:r>
      <w:r>
        <w:rPr>
          <w:rFonts w:hint="cs"/>
          <w:sz w:val="24"/>
          <w:rtl/>
        </w:rPr>
        <w:t>,</w:t>
      </w:r>
      <w:r w:rsidRPr="00506792">
        <w:rPr>
          <w:rFonts w:hint="cs"/>
          <w:sz w:val="24"/>
          <w:rtl/>
        </w:rPr>
        <w:t xml:space="preserve"> עלולות היו להקטין את הביקוש של צרכנים לצרוך חשמל מיצרנים פרטיים</w:t>
      </w:r>
      <w:r>
        <w:rPr>
          <w:rFonts w:hint="cs"/>
          <w:sz w:val="24"/>
          <w:rtl/>
        </w:rPr>
        <w:t>, ובכך להקשות</w:t>
      </w:r>
      <w:r w:rsidRPr="00506792">
        <w:rPr>
          <w:rFonts w:hint="cs"/>
          <w:sz w:val="24"/>
          <w:rtl/>
        </w:rPr>
        <w:t xml:space="preserve"> על יצרנים פרטיים להתקשר עם צרכנים בחוזים בילטרליים למכירת הספק החשמל המיוצר על ידם.</w:t>
      </w:r>
      <w:r>
        <w:rPr>
          <w:rFonts w:hint="cs"/>
          <w:sz w:val="24"/>
          <w:rtl/>
        </w:rPr>
        <w:t xml:space="preserve"> משכך, ובהתחשב שמדובר </w:t>
      </w:r>
      <w:r w:rsidR="00867633">
        <w:rPr>
          <w:rFonts w:hint="cs"/>
          <w:sz w:val="24"/>
          <w:rtl/>
        </w:rPr>
        <w:t>ב</w:t>
      </w:r>
      <w:r w:rsidRPr="00506792">
        <w:rPr>
          <w:rFonts w:hint="cs"/>
          <w:sz w:val="24"/>
          <w:rtl/>
        </w:rPr>
        <w:t>פלח הצרכנים הגדולים</w:t>
      </w:r>
      <w:r w:rsidR="00867633">
        <w:rPr>
          <w:rFonts w:hint="cs"/>
          <w:sz w:val="24"/>
          <w:rtl/>
        </w:rPr>
        <w:t>,</w:t>
      </w:r>
      <w:r w:rsidRPr="00506792">
        <w:rPr>
          <w:rFonts w:hint="cs"/>
          <w:sz w:val="24"/>
          <w:rtl/>
        </w:rPr>
        <w:t xml:space="preserve"> שהם גם בעלי פוטנציאל הרווחיות הגבוה ביותר למספקי חשמל</w:t>
      </w:r>
      <w:r>
        <w:rPr>
          <w:rFonts w:hint="cs"/>
          <w:sz w:val="24"/>
          <w:rtl/>
        </w:rPr>
        <w:t>,</w:t>
      </w:r>
      <w:r w:rsidRPr="00506792">
        <w:rPr>
          <w:rStyle w:val="FootnoteReference"/>
          <w:sz w:val="24"/>
          <w:rtl/>
        </w:rPr>
        <w:footnoteReference w:id="35"/>
      </w:r>
      <w:r w:rsidRPr="00506792">
        <w:rPr>
          <w:rFonts w:hint="cs"/>
          <w:sz w:val="24"/>
          <w:rtl/>
        </w:rPr>
        <w:t xml:space="preserve"> חברת החשמל </w:t>
      </w:r>
      <w:r>
        <w:rPr>
          <w:rFonts w:hint="cs"/>
          <w:sz w:val="24"/>
          <w:rtl/>
        </w:rPr>
        <w:t xml:space="preserve">הגבילה את סוג הלקוחות </w:t>
      </w:r>
      <w:r w:rsidR="00867633">
        <w:rPr>
          <w:rFonts w:hint="cs"/>
          <w:sz w:val="24"/>
          <w:rtl/>
        </w:rPr>
        <w:t xml:space="preserve">אשר להם </w:t>
      </w:r>
      <w:r>
        <w:rPr>
          <w:rFonts w:hint="cs"/>
          <w:sz w:val="24"/>
          <w:rtl/>
        </w:rPr>
        <w:t>יכלו היצרנים הפרטיים למכור שירותים</w:t>
      </w:r>
      <w:r w:rsidR="00867633">
        <w:rPr>
          <w:rFonts w:hint="cs"/>
          <w:sz w:val="24"/>
          <w:rtl/>
        </w:rPr>
        <w:t>,</w:t>
      </w:r>
      <w:r>
        <w:rPr>
          <w:rFonts w:hint="cs"/>
          <w:sz w:val="24"/>
          <w:rtl/>
        </w:rPr>
        <w:t xml:space="preserve"> והעלתה את הסיכון הכרוך בכניסתם והתרחבותם של </w:t>
      </w:r>
      <w:r w:rsidRPr="00506792">
        <w:rPr>
          <w:rFonts w:hint="cs"/>
          <w:sz w:val="24"/>
          <w:rtl/>
        </w:rPr>
        <w:t>היצרנים הפרטיים</w:t>
      </w:r>
      <w:r>
        <w:rPr>
          <w:rFonts w:hint="cs"/>
          <w:sz w:val="24"/>
          <w:rtl/>
        </w:rPr>
        <w:t xml:space="preserve"> למקטע אספקת חשמל לצרכנים</w:t>
      </w:r>
      <w:r w:rsidRPr="00506792">
        <w:rPr>
          <w:rFonts w:hint="cs"/>
          <w:sz w:val="24"/>
          <w:rtl/>
        </w:rPr>
        <w:t>.</w:t>
      </w:r>
      <w:bookmarkStart w:id="23" w:name="_Ref476491082"/>
      <w:r w:rsidRPr="00506792">
        <w:rPr>
          <w:rStyle w:val="FootnoteReference"/>
          <w:sz w:val="24"/>
          <w:rtl/>
        </w:rPr>
        <w:footnoteReference w:id="36"/>
      </w:r>
      <w:bookmarkEnd w:id="23"/>
      <w:r w:rsidRPr="00506792">
        <w:rPr>
          <w:rFonts w:hint="cs"/>
          <w:sz w:val="24"/>
          <w:rtl/>
        </w:rPr>
        <w:t xml:space="preserve"> </w:t>
      </w:r>
    </w:p>
    <w:p w:rsidR="00F2258B" w:rsidRDefault="00F2258B" w:rsidP="00F2258B">
      <w:pPr>
        <w:rPr>
          <w:sz w:val="24"/>
          <w:rtl/>
        </w:rPr>
      </w:pPr>
      <w:r>
        <w:rPr>
          <w:rFonts w:hint="cs"/>
          <w:sz w:val="24"/>
          <w:rtl/>
        </w:rPr>
        <w:t>בנוסף</w:t>
      </w:r>
      <w:r w:rsidRPr="00506792">
        <w:rPr>
          <w:rFonts w:hint="cs"/>
          <w:sz w:val="24"/>
          <w:rtl/>
        </w:rPr>
        <w:t xml:space="preserve">, הגדלת הסיכונים של היצרנים הפרטיים במסלול מכירת חשמל לצרכנים עלול </w:t>
      </w:r>
      <w:r w:rsidR="00455889">
        <w:rPr>
          <w:rFonts w:hint="cs"/>
          <w:sz w:val="24"/>
          <w:rtl/>
        </w:rPr>
        <w:t xml:space="preserve">היה </w:t>
      </w:r>
      <w:r w:rsidRPr="00506792">
        <w:rPr>
          <w:rFonts w:hint="cs"/>
          <w:sz w:val="24"/>
          <w:rtl/>
        </w:rPr>
        <w:t>לפגוע משמעותית בתמריצים של יצרנים פרטיים לפנות למסלול זה</w:t>
      </w:r>
      <w:r>
        <w:rPr>
          <w:rFonts w:hint="cs"/>
          <w:sz w:val="24"/>
          <w:rtl/>
        </w:rPr>
        <w:t xml:space="preserve"> מלכתחילה</w:t>
      </w:r>
      <w:r w:rsidRPr="00506792">
        <w:rPr>
          <w:rFonts w:hint="cs"/>
          <w:sz w:val="24"/>
          <w:rtl/>
        </w:rPr>
        <w:t xml:space="preserve">. </w:t>
      </w:r>
      <w:r>
        <w:rPr>
          <w:rFonts w:hint="cs"/>
          <w:sz w:val="24"/>
          <w:rtl/>
        </w:rPr>
        <w:t>כאשר עומדת לרשותם הבחירה בין מכירת החשמל שהם מייצרים לחברת החשמל לבין מכירת החשמל ישירות לצרכנים</w:t>
      </w:r>
      <w:r w:rsidR="00B4368A">
        <w:rPr>
          <w:rFonts w:hint="cs"/>
          <w:sz w:val="24"/>
          <w:rtl/>
        </w:rPr>
        <w:t>,</w:t>
      </w:r>
      <w:r>
        <w:rPr>
          <w:rFonts w:hint="cs"/>
          <w:sz w:val="24"/>
          <w:rtl/>
        </w:rPr>
        <w:t xml:space="preserve"> עלולים יצרני החשמל הפרטיים לבחור לצמצם למינימום את מכירת החשמל לצרכנים ולמצער, שלא להגדיל את היקף מכירת החשמל לצרכנים. </w:t>
      </w:r>
      <w:r w:rsidRPr="00506792">
        <w:rPr>
          <w:rFonts w:hint="cs"/>
          <w:sz w:val="24"/>
          <w:rtl/>
        </w:rPr>
        <w:t>כך, פעולות חברת החשמל היו עלולות להוביל להפחתת רמת התחרות במקטע האספקה לצרכנים, ולהגדלת חלקה של חברת החשמל במקטע האספקה</w:t>
      </w:r>
      <w:r>
        <w:rPr>
          <w:rFonts w:hint="cs"/>
          <w:sz w:val="24"/>
          <w:rtl/>
        </w:rPr>
        <w:t>.</w:t>
      </w:r>
      <w:r w:rsidRPr="00506792">
        <w:rPr>
          <w:rFonts w:hint="cs"/>
          <w:sz w:val="24"/>
          <w:rtl/>
        </w:rPr>
        <w:t xml:space="preserve"> </w:t>
      </w:r>
    </w:p>
    <w:p w:rsidR="00455889" w:rsidRPr="00506792" w:rsidRDefault="00F2258B" w:rsidP="00F2258B">
      <w:pPr>
        <w:rPr>
          <w:sz w:val="24"/>
          <w:rtl/>
        </w:rPr>
      </w:pPr>
      <w:r w:rsidRPr="00506792">
        <w:rPr>
          <w:rFonts w:hint="cs"/>
          <w:sz w:val="24"/>
          <w:rtl/>
        </w:rPr>
        <w:t xml:space="preserve">פוטנציאל הפגיעה התחרותית כתוצאה מפעולות חברת החשמל גבוה </w:t>
      </w:r>
      <w:r w:rsidR="00B4368A">
        <w:rPr>
          <w:rFonts w:hint="cs"/>
          <w:sz w:val="24"/>
          <w:rtl/>
        </w:rPr>
        <w:t xml:space="preserve">במיוחד, </w:t>
      </w:r>
      <w:r w:rsidRPr="00506792">
        <w:rPr>
          <w:rFonts w:hint="cs"/>
          <w:sz w:val="24"/>
          <w:rtl/>
        </w:rPr>
        <w:t xml:space="preserve">נוכח מועד ביצוען. מקטע האספקה היה עד השנים האחרונות בשליטתה הבלעדית של חברת החשמל. פעולות חברת החשמל, שנעשו בסמוך לתחילתה של תחרות במקטע זה, אף היו עלולות להיתפס על-ידי המתחרים </w:t>
      </w:r>
      <w:r w:rsidRPr="00506792">
        <w:rPr>
          <w:rFonts w:hint="cs"/>
          <w:sz w:val="24"/>
          <w:rtl/>
        </w:rPr>
        <w:lastRenderedPageBreak/>
        <w:t>במקטע האספקה כ"תמרור אזהרה" מפני נקיטת צעדים נוספים כלפיהם במקטעים שבשליטת חברת החשמל.</w:t>
      </w:r>
      <w:r w:rsidRPr="00506792">
        <w:rPr>
          <w:rStyle w:val="FootnoteReference"/>
          <w:sz w:val="24"/>
          <w:rtl/>
        </w:rPr>
        <w:footnoteReference w:id="37"/>
      </w:r>
    </w:p>
    <w:p w:rsidR="00F2258B" w:rsidRPr="006512CB" w:rsidRDefault="00F2258B" w:rsidP="00260016">
      <w:pPr>
        <w:pStyle w:val="Heading3"/>
        <w:numPr>
          <w:ilvl w:val="0"/>
          <w:numId w:val="0"/>
        </w:numPr>
        <w:spacing w:line="240" w:lineRule="auto"/>
        <w:ind w:left="657"/>
        <w:rPr>
          <w:rFonts w:cs="David"/>
        </w:rPr>
      </w:pPr>
      <w:bookmarkStart w:id="24" w:name="_Toc476497411"/>
      <w:r>
        <w:rPr>
          <w:rFonts w:cs="David" w:hint="cs"/>
          <w:rtl/>
        </w:rPr>
        <w:t xml:space="preserve">גם על פי הדין המשווה </w:t>
      </w:r>
      <w:r>
        <w:rPr>
          <w:rFonts w:cs="David"/>
          <w:rtl/>
        </w:rPr>
        <w:t>–</w:t>
      </w:r>
      <w:r>
        <w:rPr>
          <w:rFonts w:cs="David" w:hint="cs"/>
          <w:rtl/>
        </w:rPr>
        <w:t xml:space="preserve"> </w:t>
      </w:r>
      <w:r w:rsidRPr="006512CB">
        <w:rPr>
          <w:rFonts w:cs="David" w:hint="cs"/>
          <w:rtl/>
        </w:rPr>
        <w:t>חברת החשמל ניצלה את מעמדה לרעה באופן העלול להפחית את התחרות בעסקים</w:t>
      </w:r>
      <w:r>
        <w:rPr>
          <w:rFonts w:cs="David" w:hint="cs"/>
          <w:rtl/>
        </w:rPr>
        <w:t xml:space="preserve"> או לפגוע בציבור</w:t>
      </w:r>
      <w:bookmarkEnd w:id="24"/>
    </w:p>
    <w:p w:rsidR="00F2258B" w:rsidRDefault="00F2258B" w:rsidP="00F2258B">
      <w:pPr>
        <w:rPr>
          <w:sz w:val="24"/>
          <w:rtl/>
        </w:rPr>
      </w:pPr>
      <w:r>
        <w:rPr>
          <w:rFonts w:hint="cs"/>
          <w:sz w:val="24"/>
          <w:rtl/>
        </w:rPr>
        <w:t xml:space="preserve">סעיף 29א לחוק נוסח על יסוד סעיף 102 </w:t>
      </w:r>
      <w:r w:rsidRPr="00740A9F">
        <w:rPr>
          <w:rFonts w:hint="cs"/>
          <w:sz w:val="24"/>
          <w:rtl/>
        </w:rPr>
        <w:t>לאמנה</w:t>
      </w:r>
      <w:r w:rsidRPr="00740A9F">
        <w:rPr>
          <w:sz w:val="24"/>
          <w:rtl/>
        </w:rPr>
        <w:t xml:space="preserve"> </w:t>
      </w:r>
      <w:r w:rsidRPr="00740A9F">
        <w:rPr>
          <w:rFonts w:hint="cs"/>
          <w:sz w:val="24"/>
          <w:rtl/>
        </w:rPr>
        <w:t>המסדירה</w:t>
      </w:r>
      <w:r w:rsidRPr="00740A9F">
        <w:rPr>
          <w:sz w:val="24"/>
          <w:rtl/>
        </w:rPr>
        <w:t xml:space="preserve"> </w:t>
      </w:r>
      <w:r w:rsidRPr="00740A9F">
        <w:rPr>
          <w:rFonts w:hint="cs"/>
          <w:sz w:val="24"/>
          <w:rtl/>
        </w:rPr>
        <w:t>את</w:t>
      </w:r>
      <w:r w:rsidRPr="00740A9F">
        <w:rPr>
          <w:sz w:val="24"/>
          <w:rtl/>
        </w:rPr>
        <w:t xml:space="preserve"> </w:t>
      </w:r>
      <w:r w:rsidRPr="00740A9F">
        <w:rPr>
          <w:rFonts w:hint="cs"/>
          <w:sz w:val="24"/>
          <w:rtl/>
        </w:rPr>
        <w:t>פעילות</w:t>
      </w:r>
      <w:r w:rsidRPr="00740A9F">
        <w:rPr>
          <w:sz w:val="24"/>
          <w:rtl/>
        </w:rPr>
        <w:t xml:space="preserve"> </w:t>
      </w:r>
      <w:r w:rsidRPr="00740A9F">
        <w:rPr>
          <w:rFonts w:hint="cs"/>
          <w:sz w:val="24"/>
          <w:rtl/>
        </w:rPr>
        <w:t>האיחוד</w:t>
      </w:r>
      <w:r w:rsidRPr="00740A9F">
        <w:rPr>
          <w:sz w:val="24"/>
          <w:rtl/>
        </w:rPr>
        <w:t xml:space="preserve"> </w:t>
      </w:r>
      <w:r w:rsidRPr="00740A9F">
        <w:rPr>
          <w:rFonts w:hint="cs"/>
          <w:sz w:val="24"/>
          <w:rtl/>
        </w:rPr>
        <w:t>האירופי</w:t>
      </w:r>
      <w:r w:rsidRPr="00740A9F">
        <w:rPr>
          <w:sz w:val="24"/>
          <w:rtl/>
        </w:rPr>
        <w:t xml:space="preserve"> </w:t>
      </w:r>
      <w:r>
        <w:rPr>
          <w:rFonts w:hint="cs"/>
          <w:sz w:val="24"/>
          <w:rtl/>
        </w:rPr>
        <w:t>(</w:t>
      </w:r>
      <w:r w:rsidRPr="00506792">
        <w:rPr>
          <w:rFonts w:cs="Times New Roman"/>
          <w:sz w:val="24"/>
        </w:rPr>
        <w:t>Treaty on the Functioning of Union</w:t>
      </w:r>
      <w:r w:rsidRPr="00740A9F">
        <w:rPr>
          <w:sz w:val="24"/>
        </w:rPr>
        <w:t xml:space="preserve"> </w:t>
      </w:r>
      <w:r w:rsidRPr="00506792">
        <w:rPr>
          <w:rFonts w:cs="Times New Roman"/>
          <w:sz w:val="24"/>
        </w:rPr>
        <w:t xml:space="preserve">European </w:t>
      </w:r>
      <w:r>
        <w:rPr>
          <w:rFonts w:hint="cs"/>
          <w:sz w:val="24"/>
          <w:rtl/>
        </w:rPr>
        <w:t xml:space="preserve">) </w:t>
      </w:r>
      <w:r>
        <w:rPr>
          <w:sz w:val="24"/>
          <w:rtl/>
        </w:rPr>
        <w:t>–</w:t>
      </w:r>
      <w:r>
        <w:rPr>
          <w:rFonts w:hint="cs"/>
          <w:sz w:val="24"/>
          <w:rtl/>
        </w:rPr>
        <w:t xml:space="preserve"> </w:t>
      </w:r>
      <w:r w:rsidRPr="00506792">
        <w:rPr>
          <w:rFonts w:cs="Times New Roman"/>
          <w:sz w:val="24"/>
        </w:rPr>
        <w:t>TFEU</w:t>
      </w:r>
      <w:r>
        <w:rPr>
          <w:rFonts w:hint="cs"/>
          <w:sz w:val="24"/>
          <w:rtl/>
        </w:rPr>
        <w:t xml:space="preserve"> </w:t>
      </w:r>
      <w:r w:rsidRPr="00740A9F">
        <w:rPr>
          <w:rFonts w:hint="cs"/>
          <w:sz w:val="24"/>
          <w:rtl/>
        </w:rPr>
        <w:t>הידועה</w:t>
      </w:r>
      <w:r w:rsidRPr="00740A9F">
        <w:rPr>
          <w:sz w:val="24"/>
          <w:rtl/>
        </w:rPr>
        <w:t xml:space="preserve"> </w:t>
      </w:r>
      <w:r w:rsidRPr="00740A9F">
        <w:rPr>
          <w:rFonts w:hint="cs"/>
          <w:sz w:val="24"/>
          <w:rtl/>
        </w:rPr>
        <w:t>גם</w:t>
      </w:r>
      <w:r w:rsidRPr="00740A9F">
        <w:rPr>
          <w:sz w:val="24"/>
          <w:rtl/>
        </w:rPr>
        <w:t xml:space="preserve"> </w:t>
      </w:r>
      <w:r w:rsidRPr="00740A9F">
        <w:rPr>
          <w:rFonts w:hint="cs"/>
          <w:sz w:val="24"/>
          <w:rtl/>
        </w:rPr>
        <w:t>בשם</w:t>
      </w:r>
      <w:r w:rsidRPr="00740A9F">
        <w:rPr>
          <w:sz w:val="24"/>
          <w:rtl/>
        </w:rPr>
        <w:t xml:space="preserve"> "</w:t>
      </w:r>
      <w:r w:rsidRPr="00740A9F">
        <w:rPr>
          <w:rFonts w:hint="cs"/>
          <w:sz w:val="24"/>
          <w:rtl/>
        </w:rPr>
        <w:t>אמנת</w:t>
      </w:r>
      <w:r w:rsidRPr="00740A9F">
        <w:rPr>
          <w:sz w:val="24"/>
          <w:rtl/>
        </w:rPr>
        <w:t xml:space="preserve"> </w:t>
      </w:r>
      <w:r w:rsidRPr="00740A9F">
        <w:rPr>
          <w:rFonts w:hint="cs"/>
          <w:sz w:val="24"/>
          <w:rtl/>
        </w:rPr>
        <w:t>רומא</w:t>
      </w:r>
      <w:r w:rsidRPr="00740A9F">
        <w:rPr>
          <w:sz w:val="24"/>
          <w:rtl/>
        </w:rPr>
        <w:t>"</w:t>
      </w:r>
      <w:r>
        <w:rPr>
          <w:rFonts w:hint="cs"/>
          <w:sz w:val="24"/>
          <w:rtl/>
        </w:rPr>
        <w:t>, שעניינו איסור על ניצול מעמד דומיננטי (</w:t>
      </w:r>
      <w:r w:rsidRPr="00506792">
        <w:rPr>
          <w:rFonts w:cs="Times New Roman"/>
          <w:sz w:val="24"/>
        </w:rPr>
        <w:t>abuse of dominant position</w:t>
      </w:r>
      <w:r>
        <w:rPr>
          <w:rFonts w:hint="cs"/>
          <w:sz w:val="24"/>
          <w:rtl/>
        </w:rPr>
        <w:t>).</w:t>
      </w:r>
      <w:r>
        <w:rPr>
          <w:rStyle w:val="FootnoteReference"/>
          <w:sz w:val="24"/>
          <w:rtl/>
        </w:rPr>
        <w:footnoteReference w:id="38"/>
      </w:r>
      <w:r>
        <w:rPr>
          <w:rFonts w:hint="cs"/>
          <w:sz w:val="24"/>
          <w:rtl/>
        </w:rPr>
        <w:t xml:space="preserve"> על כן לדין האירופאי בתחום המונופולין מקום ייחודי בפרשנותו של סעיף 29א. </w:t>
      </w:r>
      <w:r w:rsidRPr="00506792">
        <w:rPr>
          <w:rFonts w:hint="cs"/>
          <w:sz w:val="24"/>
          <w:rtl/>
        </w:rPr>
        <w:t xml:space="preserve">פסיקת בית המשפט האירופי לצדק </w:t>
      </w:r>
      <w:r w:rsidRPr="00506792">
        <w:rPr>
          <w:sz w:val="24"/>
        </w:rPr>
        <w:t>(ECJ)</w:t>
      </w:r>
      <w:r>
        <w:rPr>
          <w:rFonts w:hint="cs"/>
          <w:sz w:val="24"/>
          <w:rtl/>
        </w:rPr>
        <w:t xml:space="preserve"> קבעה כי </w:t>
      </w:r>
      <w:r w:rsidRPr="00506792">
        <w:rPr>
          <w:rFonts w:hint="cs"/>
          <w:sz w:val="24"/>
          <w:rtl/>
        </w:rPr>
        <w:t>ניצול מעמד דומיננטי לרעה בניגוד לסעיף 102</w:t>
      </w:r>
      <w:r>
        <w:rPr>
          <w:rFonts w:hint="cs"/>
          <w:sz w:val="24"/>
          <w:rtl/>
        </w:rPr>
        <w:t xml:space="preserve"> </w:t>
      </w:r>
      <w:r w:rsidRPr="00506792">
        <w:rPr>
          <w:rFonts w:hint="cs"/>
          <w:sz w:val="24"/>
          <w:rtl/>
        </w:rPr>
        <w:t xml:space="preserve">יתקיים </w:t>
      </w:r>
      <w:r>
        <w:rPr>
          <w:rFonts w:hint="cs"/>
          <w:sz w:val="24"/>
          <w:rtl/>
        </w:rPr>
        <w:t>כאשר</w:t>
      </w:r>
      <w:r w:rsidRPr="00506792">
        <w:rPr>
          <w:rFonts w:hint="cs"/>
          <w:sz w:val="24"/>
          <w:rtl/>
        </w:rPr>
        <w:t xml:space="preserve"> להתנהגות של בעל מונופולין עשויה להיות השפעה של הפחתת רמת התחרות הקיימת או של מניעת התפתחותה, </w:t>
      </w:r>
      <w:r>
        <w:rPr>
          <w:rFonts w:hint="cs"/>
          <w:sz w:val="24"/>
          <w:rtl/>
        </w:rPr>
        <w:t xml:space="preserve">ולא רק </w:t>
      </w:r>
      <w:r w:rsidRPr="00506792">
        <w:rPr>
          <w:rFonts w:hint="cs"/>
          <w:sz w:val="24"/>
          <w:rtl/>
        </w:rPr>
        <w:t xml:space="preserve">אם </w:t>
      </w:r>
      <w:r>
        <w:rPr>
          <w:rFonts w:hint="cs"/>
          <w:sz w:val="24"/>
          <w:rtl/>
        </w:rPr>
        <w:t>יש</w:t>
      </w:r>
      <w:r w:rsidRPr="00506792">
        <w:rPr>
          <w:rFonts w:hint="cs"/>
          <w:sz w:val="24"/>
          <w:rtl/>
        </w:rPr>
        <w:t xml:space="preserve"> בה לחסל את התחרות לגמרי.</w:t>
      </w:r>
      <w:r w:rsidRPr="00506792">
        <w:rPr>
          <w:rStyle w:val="FootnoteReference"/>
          <w:color w:val="333333"/>
          <w:sz w:val="24"/>
          <w:shd w:val="clear" w:color="auto" w:fill="FFFFFF"/>
        </w:rPr>
        <w:t xml:space="preserve"> </w:t>
      </w:r>
      <w:r w:rsidRPr="00506792">
        <w:rPr>
          <w:rStyle w:val="FootnoteReference"/>
          <w:color w:val="333333"/>
          <w:sz w:val="24"/>
          <w:shd w:val="clear" w:color="auto" w:fill="FFFFFF"/>
        </w:rPr>
        <w:footnoteReference w:id="39"/>
      </w:r>
      <w:r w:rsidRPr="00506792">
        <w:rPr>
          <w:sz w:val="24"/>
          <w:rtl/>
        </w:rPr>
        <w:t xml:space="preserve"> </w:t>
      </w:r>
    </w:p>
    <w:p w:rsidR="00F2258B" w:rsidRDefault="00F2258B" w:rsidP="00F2258B">
      <w:pPr>
        <w:rPr>
          <w:sz w:val="24"/>
          <w:rtl/>
        </w:rPr>
      </w:pPr>
      <w:r>
        <w:rPr>
          <w:rFonts w:hint="cs"/>
          <w:sz w:val="24"/>
          <w:rtl/>
        </w:rPr>
        <w:t xml:space="preserve">כך, בעניין טלפוניקה עמד ה- </w:t>
      </w:r>
      <w:r>
        <w:rPr>
          <w:sz w:val="24"/>
        </w:rPr>
        <w:t>General Court</w:t>
      </w:r>
      <w:r>
        <w:rPr>
          <w:rFonts w:hint="cs"/>
          <w:sz w:val="24"/>
          <w:rtl/>
        </w:rPr>
        <w:t xml:space="preserve"> של האיחוד האירופי על קיומו של</w:t>
      </w:r>
      <w:r w:rsidRPr="00506792">
        <w:rPr>
          <w:rFonts w:hint="cs"/>
          <w:sz w:val="24"/>
          <w:rtl/>
        </w:rPr>
        <w:t xml:space="preserve"> חשש לפגיעה </w:t>
      </w:r>
      <w:r w:rsidRPr="002E1709">
        <w:rPr>
          <w:rFonts w:hint="cs"/>
          <w:sz w:val="24"/>
          <w:rtl/>
        </w:rPr>
        <w:t>בתחרות כתוצאה מפגיעה במתחרים כאשר התנהגות</w:t>
      </w:r>
      <w:r w:rsidRPr="00506792">
        <w:rPr>
          <w:rFonts w:hint="cs"/>
          <w:sz w:val="24"/>
          <w:rtl/>
        </w:rPr>
        <w:t xml:space="preserve"> בעל המונופולין הופכת כניסתם או התרחבותם של המתחרים בשוק ל"קשה יותר" ולא רק כאשר אלו הופכות לבלתי אפשריות</w:t>
      </w:r>
      <w:r>
        <w:rPr>
          <w:rFonts w:hint="cs"/>
          <w:sz w:val="24"/>
          <w:rtl/>
        </w:rPr>
        <w:t>, וכאשר התנהגותו מקשה על הצדדים המתקשרים עמו לבחור בין מקורות היצע שונים:</w:t>
      </w:r>
    </w:p>
    <w:p w:rsidR="00F2258B" w:rsidRDefault="00F2258B" w:rsidP="00881572">
      <w:pPr>
        <w:bidi w:val="0"/>
        <w:spacing w:line="240" w:lineRule="auto"/>
        <w:ind w:left="941" w:right="426"/>
        <w:rPr>
          <w:rStyle w:val="big-number"/>
          <w:rFonts w:cs="David"/>
          <w:sz w:val="24"/>
          <w:szCs w:val="24"/>
        </w:rPr>
      </w:pPr>
      <w:r w:rsidRPr="00E26E84">
        <w:rPr>
          <w:rStyle w:val="big-number"/>
          <w:rFonts w:cs="David"/>
          <w:sz w:val="24"/>
          <w:szCs w:val="24"/>
        </w:rPr>
        <w:t xml:space="preserve"> It follows that Article 82 EC prohibits a dominant undertaking from, inter alia, adopting pricing practices which have an exclusionary </w:t>
      </w:r>
      <w:r w:rsidRPr="00881572">
        <w:t>effect</w:t>
      </w:r>
      <w:r w:rsidRPr="00E26E84">
        <w:rPr>
          <w:rStyle w:val="big-number"/>
          <w:rFonts w:cs="David"/>
          <w:sz w:val="24"/>
          <w:szCs w:val="24"/>
        </w:rPr>
        <w:t xml:space="preserve"> on its equally efficient actual or potential competitors, that is to say, practices which are capable of making market entry more difficult or indeed impossible for such competitors, and of making it more difficult or impossible for its contracting partners to choose between various sources of supply or commercial partners, thereby strengthening its dominant position by using methods other than those which come within the scope of competition on the merits.</w:t>
      </w:r>
      <w:r w:rsidRPr="00E26E84">
        <w:rPr>
          <w:rStyle w:val="big-number"/>
          <w:rFonts w:cs="David"/>
          <w:sz w:val="24"/>
          <w:szCs w:val="24"/>
          <w:vertAlign w:val="superscript"/>
        </w:rPr>
        <w:footnoteReference w:id="40"/>
      </w:r>
      <w:r w:rsidRPr="00E26E84">
        <w:rPr>
          <w:rStyle w:val="big-number"/>
          <w:rFonts w:cs="David"/>
          <w:sz w:val="24"/>
          <w:szCs w:val="24"/>
        </w:rPr>
        <w:t xml:space="preserve"> </w:t>
      </w:r>
    </w:p>
    <w:p w:rsidR="00A23080" w:rsidRPr="00E26E84" w:rsidRDefault="00A23080" w:rsidP="00A23080">
      <w:pPr>
        <w:bidi w:val="0"/>
        <w:spacing w:line="240" w:lineRule="auto"/>
        <w:ind w:left="941" w:right="426"/>
        <w:rPr>
          <w:rStyle w:val="big-number"/>
          <w:rFonts w:cs="David"/>
          <w:sz w:val="24"/>
          <w:szCs w:val="24"/>
        </w:rPr>
      </w:pPr>
    </w:p>
    <w:p w:rsidR="00F2258B" w:rsidRPr="00506792" w:rsidRDefault="0042779B" w:rsidP="0042779B">
      <w:pPr>
        <w:rPr>
          <w:sz w:val="24"/>
          <w:rtl/>
        </w:rPr>
      </w:pPr>
      <w:r w:rsidRPr="0042779B">
        <w:rPr>
          <w:rFonts w:hint="cs"/>
          <w:b/>
          <w:bCs/>
          <w:sz w:val="24"/>
          <w:rtl/>
        </w:rPr>
        <w:t>לסיכום כל האמור בפרק זה</w:t>
      </w:r>
      <w:r>
        <w:rPr>
          <w:rFonts w:hint="cs"/>
          <w:sz w:val="24"/>
          <w:rtl/>
        </w:rPr>
        <w:t xml:space="preserve">, </w:t>
      </w:r>
      <w:r w:rsidR="00F2258B" w:rsidRPr="00506792">
        <w:rPr>
          <w:rFonts w:hint="cs"/>
          <w:sz w:val="24"/>
          <w:rtl/>
        </w:rPr>
        <w:t xml:space="preserve">אני קובע כי, נוכח מעמדה המונופוליסטי של חברת החשמל בשוק ההולכה והחלוקה, הפסקת שירות </w:t>
      </w:r>
      <w:r w:rsidR="00F2258B">
        <w:rPr>
          <w:rFonts w:hint="cs"/>
          <w:sz w:val="24"/>
          <w:rtl/>
        </w:rPr>
        <w:t xml:space="preserve">המת"ל </w:t>
      </w:r>
      <w:r w:rsidR="00F2258B" w:rsidRPr="00506792">
        <w:rPr>
          <w:rFonts w:hint="cs"/>
          <w:sz w:val="24"/>
          <w:rtl/>
        </w:rPr>
        <w:t xml:space="preserve">ולאחר מכן העמדת שירות חלקי </w:t>
      </w:r>
      <w:r w:rsidR="00F2258B">
        <w:rPr>
          <w:rFonts w:hint="cs"/>
          <w:sz w:val="24"/>
          <w:rtl/>
        </w:rPr>
        <w:t>ונחות</w:t>
      </w:r>
      <w:r w:rsidR="00F2258B" w:rsidRPr="00506792">
        <w:rPr>
          <w:rFonts w:hint="cs"/>
          <w:sz w:val="24"/>
          <w:rtl/>
        </w:rPr>
        <w:t xml:space="preserve">, עולה כדי ניצול מעמד </w:t>
      </w:r>
      <w:r w:rsidR="00F2258B">
        <w:rPr>
          <w:rFonts w:hint="cs"/>
          <w:sz w:val="24"/>
          <w:rtl/>
        </w:rPr>
        <w:t xml:space="preserve">מונופוליסטי </w:t>
      </w:r>
      <w:r w:rsidR="00F2258B" w:rsidRPr="00506792">
        <w:rPr>
          <w:rFonts w:hint="cs"/>
          <w:sz w:val="24"/>
          <w:rtl/>
        </w:rPr>
        <w:t>לרעה</w:t>
      </w:r>
      <w:r w:rsidR="00F2258B" w:rsidRPr="00F32A42">
        <w:rPr>
          <w:rFonts w:hint="cs"/>
          <w:sz w:val="24"/>
          <w:rtl/>
        </w:rPr>
        <w:t xml:space="preserve"> </w:t>
      </w:r>
      <w:r w:rsidR="00F2258B" w:rsidRPr="00506792">
        <w:rPr>
          <w:rFonts w:hint="cs"/>
          <w:sz w:val="24"/>
          <w:rtl/>
        </w:rPr>
        <w:t>באופן העלול להפחית את התחרות בעסקים, תוך הפרה של סעיף 29א(א) לחוק.</w:t>
      </w:r>
    </w:p>
    <w:p w:rsidR="00F2258B" w:rsidRPr="001F0C3E" w:rsidRDefault="006838DF" w:rsidP="006838DF">
      <w:pPr>
        <w:pStyle w:val="Heading2"/>
        <w:numPr>
          <w:ilvl w:val="0"/>
          <w:numId w:val="0"/>
        </w:numPr>
        <w:spacing w:before="120" w:line="360" w:lineRule="auto"/>
        <w:ind w:left="360"/>
        <w:jc w:val="both"/>
        <w:rPr>
          <w:rFonts w:cs="David"/>
          <w:szCs w:val="26"/>
          <w:rtl/>
        </w:rPr>
      </w:pPr>
      <w:bookmarkStart w:id="25" w:name="_Toc476497412"/>
      <w:r>
        <w:rPr>
          <w:rFonts w:cs="David" w:hint="cs"/>
          <w:szCs w:val="26"/>
          <w:rtl/>
        </w:rPr>
        <w:t xml:space="preserve">ג.3. </w:t>
      </w:r>
      <w:r w:rsidR="00F2258B" w:rsidRPr="001F0C3E">
        <w:rPr>
          <w:rFonts w:cs="David" w:hint="cs"/>
          <w:szCs w:val="26"/>
          <w:rtl/>
        </w:rPr>
        <w:t>חברת החשמל ניצלה את מעמדה לרעה בניגוד להוראות סעיף 29א(ב) לחוק</w:t>
      </w:r>
      <w:bookmarkEnd w:id="25"/>
    </w:p>
    <w:p w:rsidR="00696FE1" w:rsidRDefault="00696FE1" w:rsidP="00907B59">
      <w:pPr>
        <w:rPr>
          <w:sz w:val="24"/>
          <w:rtl/>
        </w:rPr>
      </w:pPr>
      <w:r>
        <w:rPr>
          <w:rFonts w:hint="cs"/>
          <w:sz w:val="24"/>
          <w:rtl/>
        </w:rPr>
        <w:t>בנוסף</w:t>
      </w:r>
      <w:r w:rsidR="00F2258B">
        <w:rPr>
          <w:rFonts w:hint="cs"/>
          <w:sz w:val="24"/>
          <w:rtl/>
        </w:rPr>
        <w:t xml:space="preserve"> להפרת סעיף 29א(א) לחוק</w:t>
      </w:r>
      <w:r>
        <w:rPr>
          <w:rFonts w:hint="cs"/>
          <w:sz w:val="24"/>
          <w:rtl/>
        </w:rPr>
        <w:t>,</w:t>
      </w:r>
      <w:r w:rsidR="00F2258B">
        <w:rPr>
          <w:rFonts w:hint="cs"/>
          <w:sz w:val="24"/>
          <w:rtl/>
        </w:rPr>
        <w:t xml:space="preserve"> מעשי חברת החשמל </w:t>
      </w:r>
      <w:r w:rsidR="002E02C0">
        <w:rPr>
          <w:rFonts w:hint="cs"/>
          <w:sz w:val="24"/>
          <w:rtl/>
        </w:rPr>
        <w:t>עולים כדי</w:t>
      </w:r>
      <w:r w:rsidR="00F2258B">
        <w:rPr>
          <w:rFonts w:hint="cs"/>
          <w:sz w:val="24"/>
          <w:rtl/>
        </w:rPr>
        <w:t xml:space="preserve"> הפרה של הוראות סעיפים </w:t>
      </w:r>
      <w:r w:rsidR="00F2258B" w:rsidRPr="00DD5528">
        <w:rPr>
          <w:rFonts w:hint="cs"/>
          <w:sz w:val="24"/>
          <w:rtl/>
        </w:rPr>
        <w:t>29א(ב)(2), 29א(ב)(3) ו-29א(ב)(4) לחוק</w:t>
      </w:r>
      <w:r w:rsidR="00275E90">
        <w:rPr>
          <w:rFonts w:hint="cs"/>
          <w:sz w:val="24"/>
          <w:rtl/>
        </w:rPr>
        <w:t xml:space="preserve">, </w:t>
      </w:r>
      <w:r w:rsidR="002E02C0">
        <w:rPr>
          <w:rFonts w:hint="cs"/>
          <w:sz w:val="24"/>
          <w:rtl/>
        </w:rPr>
        <w:t>ה</w:t>
      </w:r>
      <w:r>
        <w:rPr>
          <w:rFonts w:hint="cs"/>
          <w:sz w:val="24"/>
          <w:rtl/>
        </w:rPr>
        <w:t xml:space="preserve">מפרטים מקרים בהם יראו בעל מונופולין כמנצל לרעה </w:t>
      </w:r>
      <w:r>
        <w:rPr>
          <w:rFonts w:hint="cs"/>
          <w:sz w:val="24"/>
          <w:rtl/>
        </w:rPr>
        <w:lastRenderedPageBreak/>
        <w:t>באופן העלול להפחית את התחרות בעסקים</w:t>
      </w:r>
      <w:r w:rsidR="00F2258B">
        <w:rPr>
          <w:rFonts w:hint="cs"/>
          <w:sz w:val="24"/>
          <w:rtl/>
        </w:rPr>
        <w:t>.</w:t>
      </w:r>
      <w:r w:rsidR="00412587">
        <w:rPr>
          <w:rFonts w:hint="cs"/>
          <w:sz w:val="24"/>
          <w:rtl/>
        </w:rPr>
        <w:t xml:space="preserve"> </w:t>
      </w:r>
      <w:r>
        <w:rPr>
          <w:rFonts w:hint="cs"/>
          <w:sz w:val="24"/>
          <w:rtl/>
        </w:rPr>
        <w:t xml:space="preserve">להלן יפורטו היסודות הרלוונטיים לקביעה בדבר הפרה של </w:t>
      </w:r>
      <w:r w:rsidR="00927152">
        <w:rPr>
          <w:rFonts w:hint="cs"/>
          <w:sz w:val="24"/>
          <w:rtl/>
        </w:rPr>
        <w:t xml:space="preserve">כל </w:t>
      </w:r>
      <w:r>
        <w:rPr>
          <w:rFonts w:hint="cs"/>
          <w:sz w:val="24"/>
          <w:rtl/>
        </w:rPr>
        <w:t>סעי</w:t>
      </w:r>
      <w:r w:rsidR="00927152">
        <w:rPr>
          <w:rFonts w:hint="cs"/>
          <w:sz w:val="24"/>
          <w:rtl/>
        </w:rPr>
        <w:t>ף</w:t>
      </w:r>
      <w:r>
        <w:rPr>
          <w:rFonts w:hint="cs"/>
          <w:sz w:val="24"/>
          <w:rtl/>
        </w:rPr>
        <w:t xml:space="preserve"> משנה, </w:t>
      </w:r>
      <w:r w:rsidR="00907B59">
        <w:rPr>
          <w:rFonts w:hint="cs"/>
          <w:sz w:val="24"/>
          <w:rtl/>
        </w:rPr>
        <w:t>מעבר</w:t>
      </w:r>
      <w:r>
        <w:rPr>
          <w:rFonts w:hint="cs"/>
          <w:sz w:val="24"/>
          <w:rtl/>
        </w:rPr>
        <w:t xml:space="preserve"> לאמור לעיל בפרק ג.2. </w:t>
      </w:r>
      <w:r w:rsidR="002E02C0">
        <w:rPr>
          <w:rFonts w:hint="cs"/>
          <w:sz w:val="24"/>
          <w:rtl/>
        </w:rPr>
        <w:t>לעניין</w:t>
      </w:r>
      <w:r>
        <w:rPr>
          <w:rFonts w:hint="cs"/>
          <w:sz w:val="24"/>
          <w:rtl/>
        </w:rPr>
        <w:t xml:space="preserve"> הפרת האיסור הכללי על ניצול מעמד לרעה. </w:t>
      </w:r>
    </w:p>
    <w:p w:rsidR="00F2258B" w:rsidRPr="006512CB" w:rsidRDefault="00F2258B" w:rsidP="00260016">
      <w:pPr>
        <w:pStyle w:val="Heading3"/>
        <w:numPr>
          <w:ilvl w:val="0"/>
          <w:numId w:val="0"/>
        </w:numPr>
        <w:spacing w:line="240" w:lineRule="auto"/>
        <w:ind w:left="657"/>
        <w:rPr>
          <w:rFonts w:cs="David"/>
          <w:rtl/>
        </w:rPr>
      </w:pPr>
      <w:bookmarkStart w:id="26" w:name="_Toc476497413"/>
      <w:r w:rsidRPr="006512CB">
        <w:rPr>
          <w:rFonts w:cs="David" w:hint="cs"/>
          <w:rtl/>
        </w:rPr>
        <w:t>חברת החשמל צמצמה את היקף השירותים המוצעים על-ידיה כבעלת מונופולין שלא במסגרת פעילות תחרותית הוגנת</w:t>
      </w:r>
      <w:r>
        <w:rPr>
          <w:rFonts w:cs="David" w:hint="cs"/>
          <w:rtl/>
        </w:rPr>
        <w:t>, בניגוד לסעיף 29א(ב)(2) לחוק</w:t>
      </w:r>
      <w:bookmarkEnd w:id="26"/>
    </w:p>
    <w:p w:rsidR="00F2258B" w:rsidRDefault="00F2258B" w:rsidP="00F2258B">
      <w:pPr>
        <w:rPr>
          <w:sz w:val="24"/>
          <w:rtl/>
        </w:rPr>
      </w:pPr>
      <w:r w:rsidRPr="00F158CF">
        <w:rPr>
          <w:rFonts w:hint="cs"/>
          <w:sz w:val="24"/>
          <w:rtl/>
        </w:rPr>
        <w:t xml:space="preserve">סעיף 29א(ב)(2) קובע כי יראו בעל מונופולין כמנצל את כוחו לרעה </w:t>
      </w:r>
      <w:r>
        <w:rPr>
          <w:rFonts w:hint="cs"/>
          <w:sz w:val="24"/>
          <w:rtl/>
        </w:rPr>
        <w:t>באופן העלול לפגוע בתחרות או בציבור במקרה של -</w:t>
      </w:r>
      <w:r w:rsidRPr="00F158CF">
        <w:rPr>
          <w:rFonts w:hint="cs"/>
          <w:sz w:val="24"/>
          <w:rtl/>
        </w:rPr>
        <w:t xml:space="preserve"> </w:t>
      </w:r>
    </w:p>
    <w:p w:rsidR="00F2258B" w:rsidRDefault="00F2258B" w:rsidP="00881572">
      <w:pPr>
        <w:spacing w:line="240" w:lineRule="auto"/>
        <w:ind w:left="941" w:right="426"/>
        <w:rPr>
          <w:sz w:val="24"/>
          <w:rtl/>
        </w:rPr>
      </w:pPr>
      <w:r w:rsidRPr="00F158CF">
        <w:rPr>
          <w:rFonts w:hint="cs"/>
          <w:sz w:val="24"/>
          <w:rtl/>
        </w:rPr>
        <w:t>"צמצום או ה</w:t>
      </w:r>
      <w:r>
        <w:rPr>
          <w:rFonts w:hint="cs"/>
          <w:sz w:val="24"/>
          <w:rtl/>
        </w:rPr>
        <w:t>גדלה</w:t>
      </w:r>
      <w:r w:rsidRPr="00F158CF">
        <w:rPr>
          <w:rFonts w:hint="cs"/>
          <w:sz w:val="24"/>
          <w:rtl/>
        </w:rPr>
        <w:t xml:space="preserve"> של כמות הנכסים או היקף השירותים המוצעים על ידי בעל מונופולין שלא במסגרת פעילות תחרותית הוגנת". </w:t>
      </w:r>
    </w:p>
    <w:p w:rsidR="00F2258B" w:rsidRDefault="00F2258B" w:rsidP="00F2258B">
      <w:pPr>
        <w:rPr>
          <w:sz w:val="24"/>
          <w:rtl/>
        </w:rPr>
      </w:pPr>
      <w:r w:rsidRPr="003F275C">
        <w:rPr>
          <w:rFonts w:hint="cs"/>
          <w:sz w:val="24"/>
          <w:rtl/>
        </w:rPr>
        <w:t xml:space="preserve">סעיף </w:t>
      </w:r>
      <w:r>
        <w:rPr>
          <w:rFonts w:hint="cs"/>
          <w:sz w:val="24"/>
          <w:rtl/>
        </w:rPr>
        <w:t>29א(ב)(2) לחוק</w:t>
      </w:r>
      <w:r w:rsidRPr="003F275C">
        <w:rPr>
          <w:rFonts w:hint="cs"/>
          <w:sz w:val="24"/>
          <w:rtl/>
        </w:rPr>
        <w:t xml:space="preserve"> מבוסס על סעיף 102(</w:t>
      </w:r>
      <w:r w:rsidRPr="003F275C">
        <w:rPr>
          <w:sz w:val="24"/>
        </w:rPr>
        <w:t>b</w:t>
      </w:r>
      <w:r w:rsidRPr="003F275C">
        <w:rPr>
          <w:rFonts w:hint="cs"/>
          <w:sz w:val="24"/>
          <w:rtl/>
        </w:rPr>
        <w:t xml:space="preserve">) </w:t>
      </w:r>
      <w:r>
        <w:rPr>
          <w:rFonts w:hint="cs"/>
          <w:sz w:val="24"/>
          <w:rtl/>
        </w:rPr>
        <w:t>לאמנת רומא</w:t>
      </w:r>
      <w:r w:rsidR="00A23080">
        <w:rPr>
          <w:rFonts w:hint="cs"/>
          <w:sz w:val="24"/>
          <w:rtl/>
        </w:rPr>
        <w:t xml:space="preserve"> (</w:t>
      </w:r>
      <w:r w:rsidR="00A23080">
        <w:rPr>
          <w:sz w:val="24"/>
        </w:rPr>
        <w:t>TFEU</w:t>
      </w:r>
      <w:r w:rsidR="00A23080">
        <w:rPr>
          <w:rFonts w:hint="cs"/>
          <w:sz w:val="24"/>
          <w:rtl/>
        </w:rPr>
        <w:t>)</w:t>
      </w:r>
      <w:r>
        <w:rPr>
          <w:rFonts w:hint="cs"/>
          <w:sz w:val="24"/>
          <w:rtl/>
        </w:rPr>
        <w:t xml:space="preserve"> אך שונה ממנו ב-2 היבטים: האחד</w:t>
      </w:r>
      <w:r w:rsidRPr="003F275C">
        <w:rPr>
          <w:rFonts w:hint="cs"/>
          <w:sz w:val="24"/>
          <w:rtl/>
        </w:rPr>
        <w:t xml:space="preserve">, סעיף 29א(ב)(2) </w:t>
      </w:r>
      <w:r>
        <w:rPr>
          <w:rFonts w:hint="cs"/>
          <w:sz w:val="24"/>
          <w:rtl/>
        </w:rPr>
        <w:t>חל</w:t>
      </w:r>
      <w:r w:rsidRPr="003F275C">
        <w:rPr>
          <w:rFonts w:hint="cs"/>
          <w:sz w:val="24"/>
          <w:rtl/>
        </w:rPr>
        <w:t xml:space="preserve"> </w:t>
      </w:r>
      <w:r>
        <w:rPr>
          <w:rFonts w:hint="cs"/>
          <w:sz w:val="24"/>
          <w:rtl/>
        </w:rPr>
        <w:t>גם על</w:t>
      </w:r>
      <w:r w:rsidRPr="003F275C">
        <w:rPr>
          <w:rFonts w:hint="cs"/>
          <w:sz w:val="24"/>
          <w:rtl/>
        </w:rPr>
        <w:t xml:space="preserve"> </w:t>
      </w:r>
      <w:r>
        <w:rPr>
          <w:rFonts w:hint="cs"/>
          <w:sz w:val="24"/>
          <w:rtl/>
        </w:rPr>
        <w:t>"</w:t>
      </w:r>
      <w:r w:rsidRPr="003F275C">
        <w:rPr>
          <w:rFonts w:hint="cs"/>
          <w:sz w:val="24"/>
          <w:rtl/>
        </w:rPr>
        <w:t>ה</w:t>
      </w:r>
      <w:r>
        <w:rPr>
          <w:rFonts w:hint="cs"/>
          <w:sz w:val="24"/>
          <w:rtl/>
        </w:rPr>
        <w:t>גדלה"</w:t>
      </w:r>
      <w:r w:rsidRPr="003F275C">
        <w:rPr>
          <w:rFonts w:hint="cs"/>
          <w:sz w:val="24"/>
          <w:rtl/>
        </w:rPr>
        <w:t xml:space="preserve"> של כמות הנכסים או </w:t>
      </w:r>
      <w:r>
        <w:rPr>
          <w:rFonts w:hint="cs"/>
          <w:sz w:val="24"/>
          <w:rtl/>
        </w:rPr>
        <w:t xml:space="preserve">של </w:t>
      </w:r>
      <w:r w:rsidRPr="003F275C">
        <w:rPr>
          <w:rFonts w:hint="cs"/>
          <w:sz w:val="24"/>
          <w:rtl/>
        </w:rPr>
        <w:t>היקף השירותים המוצעים על ידי בעל מונופולין</w:t>
      </w:r>
      <w:r>
        <w:rPr>
          <w:rFonts w:hint="cs"/>
          <w:sz w:val="24"/>
          <w:rtl/>
        </w:rPr>
        <w:t xml:space="preserve">; השני, </w:t>
      </w:r>
      <w:r w:rsidRPr="003F275C">
        <w:rPr>
          <w:rFonts w:hint="cs"/>
          <w:sz w:val="24"/>
          <w:rtl/>
        </w:rPr>
        <w:t xml:space="preserve">צמצום או הגדלת השירותים אינה חייבת להיות </w:t>
      </w:r>
      <w:r>
        <w:rPr>
          <w:rFonts w:hint="cs"/>
          <w:sz w:val="24"/>
          <w:rtl/>
        </w:rPr>
        <w:t xml:space="preserve">רק </w:t>
      </w:r>
      <w:r w:rsidRPr="003F275C">
        <w:rPr>
          <w:rFonts w:hint="cs"/>
          <w:sz w:val="24"/>
          <w:rtl/>
        </w:rPr>
        <w:t>לרעת הצרכנים</w:t>
      </w:r>
      <w:r>
        <w:rPr>
          <w:rFonts w:hint="cs"/>
          <w:sz w:val="24"/>
          <w:rtl/>
        </w:rPr>
        <w:t xml:space="preserve"> (</w:t>
      </w:r>
      <w:r w:rsidRPr="00F96C6A">
        <w:rPr>
          <w:rFonts w:cs="Times New Roman"/>
          <w:sz w:val="24"/>
        </w:rPr>
        <w:t>to the prejudice of consumers</w:t>
      </w:r>
      <w:r>
        <w:rPr>
          <w:rFonts w:hint="cs"/>
          <w:sz w:val="24"/>
          <w:rtl/>
        </w:rPr>
        <w:t>)</w:t>
      </w:r>
      <w:r w:rsidRPr="003F275C">
        <w:rPr>
          <w:rFonts w:hint="cs"/>
          <w:sz w:val="24"/>
          <w:rtl/>
        </w:rPr>
        <w:t>, אלא נדרש שתהיה "שלא במסגרת תחרותית הוגנת".</w:t>
      </w:r>
      <w:r>
        <w:rPr>
          <w:rStyle w:val="FootnoteReference"/>
          <w:sz w:val="24"/>
          <w:rtl/>
        </w:rPr>
        <w:footnoteReference w:id="41"/>
      </w:r>
      <w:r>
        <w:rPr>
          <w:rFonts w:hint="cs"/>
          <w:sz w:val="24"/>
          <w:rtl/>
        </w:rPr>
        <w:t xml:space="preserve"> </w:t>
      </w:r>
    </w:p>
    <w:p w:rsidR="00F2258B" w:rsidRDefault="00F2258B" w:rsidP="00F2258B">
      <w:pPr>
        <w:rPr>
          <w:sz w:val="24"/>
          <w:rtl/>
        </w:rPr>
      </w:pPr>
      <w:r>
        <w:rPr>
          <w:rFonts w:hint="cs"/>
          <w:sz w:val="24"/>
          <w:rtl/>
        </w:rPr>
        <w:t>משמעות הדבר, כי סעיף קטן (2) חל על פעולה אנטי תחרותית של בעל מונופולין שעלולה לפגוע במתחריו (</w:t>
      </w:r>
      <w:r>
        <w:rPr>
          <w:sz w:val="24"/>
        </w:rPr>
        <w:t>exclusionary</w:t>
      </w:r>
      <w:r w:rsidR="00927152">
        <w:rPr>
          <w:sz w:val="24"/>
        </w:rPr>
        <w:t xml:space="preserve"> conduct</w:t>
      </w:r>
      <w:r>
        <w:rPr>
          <w:rFonts w:hint="cs"/>
          <w:sz w:val="24"/>
          <w:rtl/>
        </w:rPr>
        <w:t>)</w:t>
      </w:r>
      <w:r w:rsidRPr="00414654">
        <w:rPr>
          <w:sz w:val="24"/>
          <w:rtl/>
        </w:rPr>
        <w:t>.</w:t>
      </w:r>
      <w:r>
        <w:rPr>
          <w:rFonts w:hint="cs"/>
          <w:sz w:val="24"/>
          <w:rtl/>
        </w:rPr>
        <w:t xml:space="preserve"> כך למשל, הגדלת כמות הנכסים או השירותים בשוק עד כדי הצפת השוק עלולה לפגוע במתחרי המונופול. </w:t>
      </w:r>
    </w:p>
    <w:p w:rsidR="00F2258B" w:rsidRDefault="00CB6B9D" w:rsidP="00045101">
      <w:pPr>
        <w:rPr>
          <w:sz w:val="24"/>
          <w:rtl/>
        </w:rPr>
      </w:pPr>
      <w:r>
        <w:rPr>
          <w:rFonts w:hint="cs"/>
          <w:sz w:val="24"/>
          <w:rtl/>
        </w:rPr>
        <w:t xml:space="preserve">מניעת </w:t>
      </w:r>
      <w:r w:rsidR="00F2258B">
        <w:rPr>
          <w:rFonts w:hint="cs"/>
          <w:sz w:val="24"/>
          <w:rtl/>
        </w:rPr>
        <w:t xml:space="preserve">שירותי המת"ל הנוגעים למקטעי ההולכה והחלוקה ללקוחות </w:t>
      </w:r>
      <w:r w:rsidR="00F2258B" w:rsidRPr="00DC09FF">
        <w:rPr>
          <w:rFonts w:hint="cs"/>
          <w:sz w:val="24"/>
          <w:rtl/>
        </w:rPr>
        <w:t>שעברו לרכוש חשמל מיצרנים פרטיים</w:t>
      </w:r>
      <w:r>
        <w:rPr>
          <w:rFonts w:hint="cs"/>
          <w:sz w:val="24"/>
          <w:rtl/>
        </w:rPr>
        <w:t xml:space="preserve"> ובהמשך, צמצומם והחלפתם במוקד הייעודי</w:t>
      </w:r>
      <w:r w:rsidR="00F2258B">
        <w:rPr>
          <w:rFonts w:hint="cs"/>
          <w:sz w:val="24"/>
          <w:rtl/>
        </w:rPr>
        <w:t xml:space="preserve">, </w:t>
      </w:r>
      <w:r w:rsidR="00045101">
        <w:rPr>
          <w:rFonts w:hint="cs"/>
          <w:sz w:val="24"/>
          <w:rtl/>
        </w:rPr>
        <w:t xml:space="preserve">נעשו </w:t>
      </w:r>
      <w:r w:rsidR="00F2258B">
        <w:rPr>
          <w:rFonts w:hint="cs"/>
          <w:sz w:val="24"/>
          <w:rtl/>
        </w:rPr>
        <w:t>שלא במסגרת פעילות תחרותית הוגנת.</w:t>
      </w:r>
      <w:r w:rsidR="00F2258B" w:rsidRPr="00A7337E">
        <w:rPr>
          <w:rStyle w:val="FootnoteReference"/>
          <w:sz w:val="24"/>
          <w:rtl/>
        </w:rPr>
        <w:footnoteReference w:id="42"/>
      </w:r>
      <w:r w:rsidR="00F2258B">
        <w:rPr>
          <w:rFonts w:hint="cs"/>
          <w:sz w:val="24"/>
          <w:rtl/>
        </w:rPr>
        <w:t xml:space="preserve"> בנסיבות העניין, כאשר מחיר השירות שבגינם שילמו הלקוחות לחברת החשמל נותר זהה,</w:t>
      </w:r>
      <w:r w:rsidR="00F2258B">
        <w:rPr>
          <w:rStyle w:val="FootnoteReference"/>
          <w:sz w:val="24"/>
          <w:rtl/>
        </w:rPr>
        <w:footnoteReference w:id="43"/>
      </w:r>
      <w:r w:rsidR="00F2258B">
        <w:rPr>
          <w:rFonts w:hint="cs"/>
          <w:sz w:val="24"/>
          <w:rtl/>
        </w:rPr>
        <w:t xml:space="preserve"> צמצום השירות </w:t>
      </w:r>
      <w:r w:rsidR="0067214C">
        <w:rPr>
          <w:rFonts w:hint="cs"/>
          <w:sz w:val="24"/>
          <w:rtl/>
        </w:rPr>
        <w:t xml:space="preserve">הוא </w:t>
      </w:r>
      <w:r w:rsidR="00F2258B">
        <w:rPr>
          <w:rFonts w:hint="cs"/>
          <w:sz w:val="24"/>
          <w:rtl/>
        </w:rPr>
        <w:t>בעל משמעות דומה לזו של העלאת מחירים לצרכנים.</w:t>
      </w:r>
    </w:p>
    <w:p w:rsidR="00F2258B" w:rsidRPr="006512CB" w:rsidRDefault="00F2258B" w:rsidP="00260016">
      <w:pPr>
        <w:pStyle w:val="Heading3"/>
        <w:numPr>
          <w:ilvl w:val="0"/>
          <w:numId w:val="0"/>
        </w:numPr>
        <w:spacing w:line="240" w:lineRule="auto"/>
        <w:ind w:left="657"/>
        <w:rPr>
          <w:rFonts w:cs="David"/>
          <w:rtl/>
        </w:rPr>
      </w:pPr>
      <w:bookmarkStart w:id="27" w:name="_Toc476497414"/>
      <w:r w:rsidRPr="006512CB">
        <w:rPr>
          <w:rFonts w:cs="David" w:hint="cs"/>
          <w:rtl/>
        </w:rPr>
        <w:t>חברת החשמל קבעה תנאי התקשרות שונים לעסקאות דומות במקטע</w:t>
      </w:r>
      <w:r w:rsidR="00045101">
        <w:rPr>
          <w:rFonts w:cs="David" w:hint="cs"/>
          <w:rtl/>
        </w:rPr>
        <w:t>י</w:t>
      </w:r>
      <w:r w:rsidRPr="006512CB">
        <w:rPr>
          <w:rFonts w:cs="David" w:hint="cs"/>
          <w:rtl/>
        </w:rPr>
        <w:t xml:space="preserve"> ההולכה והחלוקה שעשויים היו להעניק לחברת החשמל כ</w:t>
      </w:r>
      <w:r>
        <w:rPr>
          <w:rFonts w:cs="David" w:hint="cs"/>
          <w:rtl/>
        </w:rPr>
        <w:t>מ</w:t>
      </w:r>
      <w:r w:rsidRPr="006512CB">
        <w:rPr>
          <w:rFonts w:cs="David" w:hint="cs"/>
          <w:rtl/>
        </w:rPr>
        <w:t>ספק חשמל יתרון בלתי הוגן</w:t>
      </w:r>
      <w:r>
        <w:rPr>
          <w:rFonts w:cs="David" w:hint="cs"/>
          <w:rtl/>
        </w:rPr>
        <w:t xml:space="preserve"> בניגוד להוראות סעיף 29א(ב)(3)</w:t>
      </w:r>
      <w:bookmarkEnd w:id="27"/>
    </w:p>
    <w:p w:rsidR="00F2258B" w:rsidRDefault="00F2258B" w:rsidP="00F2258B">
      <w:pPr>
        <w:rPr>
          <w:sz w:val="24"/>
          <w:rtl/>
        </w:rPr>
      </w:pPr>
      <w:r>
        <w:rPr>
          <w:rFonts w:hint="cs"/>
          <w:sz w:val="24"/>
          <w:rtl/>
        </w:rPr>
        <w:t xml:space="preserve">סעיף 29א(ב)(3) לחוק קובע כי ייראה מי שמנצל לרעה את מעמדו בשוק באופן העלול להפחית את התחרות בעסקים או לפגוע בציבור במקרה של: </w:t>
      </w:r>
    </w:p>
    <w:p w:rsidR="00F2258B" w:rsidRDefault="00F2258B" w:rsidP="00881572">
      <w:pPr>
        <w:spacing w:line="240" w:lineRule="auto"/>
        <w:ind w:left="941" w:right="426"/>
        <w:rPr>
          <w:sz w:val="24"/>
          <w:rtl/>
        </w:rPr>
      </w:pPr>
      <w:r>
        <w:rPr>
          <w:rFonts w:hint="cs"/>
          <w:sz w:val="24"/>
          <w:rtl/>
        </w:rPr>
        <w:lastRenderedPageBreak/>
        <w:t>"קביעת תנאי התקשרות שונים לעסקות דומות אשר עשויים להעניק ללקוחות או לספקים מסויימים יתרון בלתי הוגן כלפי המתחרים בהם".</w:t>
      </w:r>
    </w:p>
    <w:p w:rsidR="00F2258B" w:rsidRPr="00FB1B7A" w:rsidRDefault="00F2258B" w:rsidP="00F2258B">
      <w:pPr>
        <w:rPr>
          <w:rStyle w:val="big-number"/>
          <w:rFonts w:cs="David"/>
          <w:sz w:val="24"/>
          <w:szCs w:val="24"/>
          <w:rtl/>
        </w:rPr>
      </w:pPr>
      <w:r>
        <w:rPr>
          <w:rFonts w:hint="cs"/>
          <w:sz w:val="24"/>
          <w:rtl/>
        </w:rPr>
        <w:t>סעיף 29א(ב)(3) אוסר על פרקטיקה של אפליית לקוחות על-ידי בעל מונופולין, כאשר מדובר ב"עסקות דומות", וכאשר האפליה מעניקה לחלק מהלקוחות "יתרון בלתי הוגן" כלפי המתחרים בהם.</w:t>
      </w:r>
      <w:r w:rsidRPr="00FB1B7A">
        <w:rPr>
          <w:rStyle w:val="big-number"/>
          <w:rFonts w:cs="David"/>
          <w:sz w:val="24"/>
          <w:szCs w:val="24"/>
          <w:vertAlign w:val="superscript"/>
          <w:rtl/>
        </w:rPr>
        <w:footnoteReference w:id="44"/>
      </w:r>
    </w:p>
    <w:p w:rsidR="00F2258B" w:rsidRDefault="00F2258B" w:rsidP="00F2258B">
      <w:pPr>
        <w:rPr>
          <w:sz w:val="24"/>
          <w:rtl/>
        </w:rPr>
      </w:pPr>
      <w:r>
        <w:rPr>
          <w:rFonts w:hint="cs"/>
          <w:sz w:val="24"/>
          <w:rtl/>
        </w:rPr>
        <w:t xml:space="preserve">חברת החשמל, כבעלת מונופולין בהולכה וחלוקה, קבעה </w:t>
      </w:r>
      <w:r w:rsidRPr="00720F4A">
        <w:rPr>
          <w:rFonts w:hint="cs"/>
          <w:sz w:val="24"/>
          <w:rtl/>
        </w:rPr>
        <w:t>"</w:t>
      </w:r>
      <w:r w:rsidRPr="00FB1B7A">
        <w:rPr>
          <w:rFonts w:hint="cs"/>
          <w:sz w:val="24"/>
          <w:rtl/>
        </w:rPr>
        <w:t>תנאי התקשרות שונים</w:t>
      </w:r>
      <w:r w:rsidRPr="00720F4A">
        <w:rPr>
          <w:rFonts w:hint="cs"/>
          <w:sz w:val="24"/>
          <w:rtl/>
        </w:rPr>
        <w:t>"</w:t>
      </w:r>
      <w:r>
        <w:rPr>
          <w:rFonts w:hint="cs"/>
          <w:sz w:val="24"/>
          <w:rtl/>
        </w:rPr>
        <w:t xml:space="preserve"> בשירותי ההולכה והחלוקה ללקוחות שצרכו חשמל בהיקפים דומים, רק בשל הגורם ממנו הם רכשו את החשמל. תנאי ההתקשרות השונים שקבעה חברת החשמל היו עשויים להעניק </w:t>
      </w:r>
      <w:r w:rsidRPr="00FB1B7A">
        <w:rPr>
          <w:rFonts w:hint="cs"/>
          <w:sz w:val="24"/>
          <w:rtl/>
        </w:rPr>
        <w:t>יתרון בלתי הוגן</w:t>
      </w:r>
      <w:r>
        <w:rPr>
          <w:rFonts w:hint="cs"/>
          <w:sz w:val="24"/>
          <w:rtl/>
        </w:rPr>
        <w:t xml:space="preserve"> לחברת החשמל כספקית חשמל אל מול מתחרותיה באספקת החשמל. יתרון בלתי הוגן זה בא לידי ביטוי בכך שלקוחות שעברו לצרוך מיצרנים פרטיים לא קיבלו שירותים הנוגעים למקטעי הולכה והחלוקה ולמצער, קיבלו שירותים חלקיים ונחותים יותר בהשוואה לשירותים שקיבלו לקוחות שצרכו חשמל מחברת החשמל </w:t>
      </w:r>
      <w:r w:rsidRPr="004E68D9">
        <w:rPr>
          <w:rFonts w:hint="cs"/>
          <w:sz w:val="24"/>
          <w:rtl/>
        </w:rPr>
        <w:t>במקטע האספקה.</w:t>
      </w:r>
    </w:p>
    <w:p w:rsidR="00F2258B" w:rsidRPr="006512CB" w:rsidRDefault="00F2258B" w:rsidP="00260016">
      <w:pPr>
        <w:pStyle w:val="Heading3"/>
        <w:numPr>
          <w:ilvl w:val="0"/>
          <w:numId w:val="0"/>
        </w:numPr>
        <w:spacing w:line="240" w:lineRule="auto"/>
        <w:ind w:left="657"/>
        <w:rPr>
          <w:rFonts w:cs="David"/>
          <w:rtl/>
        </w:rPr>
      </w:pPr>
      <w:bookmarkStart w:id="28" w:name="_Toc476497415"/>
      <w:r w:rsidRPr="006512CB">
        <w:rPr>
          <w:rFonts w:cs="David" w:hint="cs"/>
          <w:rtl/>
        </w:rPr>
        <w:t xml:space="preserve">חברת החשמל התנתה את ההתקשרות בדבר </w:t>
      </w:r>
      <w:r>
        <w:rPr>
          <w:rFonts w:cs="David" w:hint="cs"/>
          <w:rtl/>
        </w:rPr>
        <w:t>מקטעי ההולכה והחלוקה</w:t>
      </w:r>
      <w:r w:rsidRPr="006512CB">
        <w:rPr>
          <w:rFonts w:cs="David" w:hint="cs"/>
          <w:rtl/>
        </w:rPr>
        <w:t xml:space="preserve"> שבמונופולין בתנאים אשר אינם נוגעים לנושאי ההתקשרות</w:t>
      </w:r>
      <w:r>
        <w:rPr>
          <w:rFonts w:cs="David" w:hint="cs"/>
          <w:rtl/>
        </w:rPr>
        <w:t>, בניגוד לסעיף 29א(ב)(4)</w:t>
      </w:r>
      <w:bookmarkEnd w:id="28"/>
    </w:p>
    <w:p w:rsidR="00F2258B" w:rsidRDefault="00F2258B" w:rsidP="00F2258B">
      <w:pPr>
        <w:rPr>
          <w:sz w:val="24"/>
          <w:rtl/>
        </w:rPr>
      </w:pPr>
      <w:r w:rsidRPr="00F75F85">
        <w:rPr>
          <w:rFonts w:hint="cs"/>
          <w:sz w:val="24"/>
          <w:rtl/>
        </w:rPr>
        <w:t>סע</w:t>
      </w:r>
      <w:r>
        <w:rPr>
          <w:rFonts w:hint="cs"/>
          <w:sz w:val="24"/>
          <w:rtl/>
        </w:rPr>
        <w:t>יף</w:t>
      </w:r>
      <w:r w:rsidRPr="00F75F85">
        <w:rPr>
          <w:sz w:val="24"/>
          <w:rtl/>
        </w:rPr>
        <w:t xml:space="preserve"> 29</w:t>
      </w:r>
      <w:r w:rsidRPr="00F75F85">
        <w:rPr>
          <w:rFonts w:hint="cs"/>
          <w:sz w:val="24"/>
          <w:rtl/>
        </w:rPr>
        <w:t>א</w:t>
      </w:r>
      <w:r w:rsidRPr="00F75F85">
        <w:rPr>
          <w:sz w:val="24"/>
          <w:rtl/>
        </w:rPr>
        <w:t>(</w:t>
      </w:r>
      <w:r w:rsidRPr="00F75F85">
        <w:rPr>
          <w:rFonts w:hint="cs"/>
          <w:sz w:val="24"/>
          <w:rtl/>
        </w:rPr>
        <w:t>ב</w:t>
      </w:r>
      <w:r w:rsidRPr="00F75F85">
        <w:rPr>
          <w:sz w:val="24"/>
          <w:rtl/>
        </w:rPr>
        <w:t xml:space="preserve">)(4) </w:t>
      </w:r>
      <w:r w:rsidRPr="00F75F85">
        <w:rPr>
          <w:rFonts w:hint="cs"/>
          <w:sz w:val="24"/>
          <w:rtl/>
        </w:rPr>
        <w:t>קובע</w:t>
      </w:r>
      <w:r w:rsidRPr="00F75F85">
        <w:rPr>
          <w:sz w:val="24"/>
          <w:rtl/>
        </w:rPr>
        <w:t xml:space="preserve"> </w:t>
      </w:r>
      <w:r w:rsidRPr="00F75F85">
        <w:rPr>
          <w:rFonts w:hint="cs"/>
          <w:sz w:val="24"/>
          <w:rtl/>
        </w:rPr>
        <w:t>כי</w:t>
      </w:r>
      <w:r w:rsidRPr="00F75F85">
        <w:rPr>
          <w:sz w:val="24"/>
          <w:rtl/>
        </w:rPr>
        <w:t xml:space="preserve"> </w:t>
      </w:r>
      <w:r w:rsidRPr="00F75F85">
        <w:rPr>
          <w:rFonts w:hint="cs"/>
          <w:sz w:val="24"/>
          <w:rtl/>
        </w:rPr>
        <w:t>בעל</w:t>
      </w:r>
      <w:r w:rsidRPr="00F75F85">
        <w:rPr>
          <w:sz w:val="24"/>
          <w:rtl/>
        </w:rPr>
        <w:t xml:space="preserve"> </w:t>
      </w:r>
      <w:r w:rsidRPr="00F75F85">
        <w:rPr>
          <w:rFonts w:hint="cs"/>
          <w:sz w:val="24"/>
          <w:rtl/>
        </w:rPr>
        <w:t>מונופולין</w:t>
      </w:r>
      <w:r w:rsidRPr="00F75F85">
        <w:rPr>
          <w:sz w:val="24"/>
          <w:rtl/>
        </w:rPr>
        <w:t xml:space="preserve"> </w:t>
      </w:r>
      <w:r w:rsidRPr="00F75F85">
        <w:rPr>
          <w:rFonts w:hint="cs"/>
          <w:sz w:val="24"/>
          <w:rtl/>
        </w:rPr>
        <w:t>יראה</w:t>
      </w:r>
      <w:r w:rsidRPr="00F75F85">
        <w:rPr>
          <w:sz w:val="24"/>
          <w:rtl/>
        </w:rPr>
        <w:t xml:space="preserve"> </w:t>
      </w:r>
      <w:r w:rsidRPr="00F75F85">
        <w:rPr>
          <w:rFonts w:hint="cs"/>
          <w:sz w:val="24"/>
          <w:rtl/>
        </w:rPr>
        <w:t>כמנצל</w:t>
      </w:r>
      <w:r w:rsidRPr="00F75F85">
        <w:rPr>
          <w:sz w:val="24"/>
          <w:rtl/>
        </w:rPr>
        <w:t xml:space="preserve"> </w:t>
      </w:r>
      <w:r w:rsidRPr="00F75F85">
        <w:rPr>
          <w:rFonts w:hint="cs"/>
          <w:sz w:val="24"/>
          <w:rtl/>
        </w:rPr>
        <w:t>לרעה</w:t>
      </w:r>
      <w:r w:rsidRPr="00F75F85">
        <w:rPr>
          <w:sz w:val="24"/>
          <w:rtl/>
        </w:rPr>
        <w:t xml:space="preserve"> </w:t>
      </w:r>
      <w:r w:rsidRPr="00F75F85">
        <w:rPr>
          <w:rFonts w:hint="cs"/>
          <w:sz w:val="24"/>
          <w:rtl/>
        </w:rPr>
        <w:t>את</w:t>
      </w:r>
      <w:r w:rsidRPr="00F75F85">
        <w:rPr>
          <w:sz w:val="24"/>
          <w:rtl/>
        </w:rPr>
        <w:t xml:space="preserve"> </w:t>
      </w:r>
      <w:r w:rsidRPr="00F75F85">
        <w:rPr>
          <w:rFonts w:hint="cs"/>
          <w:sz w:val="24"/>
          <w:rtl/>
        </w:rPr>
        <w:t>מעמדו</w:t>
      </w:r>
      <w:r w:rsidRPr="00F75F85">
        <w:rPr>
          <w:sz w:val="24"/>
          <w:rtl/>
        </w:rPr>
        <w:t xml:space="preserve"> </w:t>
      </w:r>
      <w:r w:rsidRPr="00F75F85">
        <w:rPr>
          <w:rFonts w:hint="cs"/>
          <w:sz w:val="24"/>
          <w:rtl/>
        </w:rPr>
        <w:t>בשוק</w:t>
      </w:r>
      <w:r w:rsidRPr="00F75F85">
        <w:rPr>
          <w:sz w:val="24"/>
          <w:rtl/>
        </w:rPr>
        <w:t xml:space="preserve"> </w:t>
      </w:r>
      <w:r>
        <w:rPr>
          <w:rFonts w:hint="cs"/>
          <w:sz w:val="24"/>
          <w:rtl/>
        </w:rPr>
        <w:t xml:space="preserve">באופן העלול להפחית את התחרות בעסקים או לפגוע בציבור </w:t>
      </w:r>
      <w:r w:rsidRPr="00F75F85">
        <w:rPr>
          <w:rFonts w:hint="cs"/>
          <w:sz w:val="24"/>
          <w:rtl/>
        </w:rPr>
        <w:t>מקום</w:t>
      </w:r>
      <w:r w:rsidRPr="00F75F85">
        <w:rPr>
          <w:sz w:val="24"/>
          <w:rtl/>
        </w:rPr>
        <w:t xml:space="preserve"> </w:t>
      </w:r>
      <w:r w:rsidRPr="00F75F85">
        <w:rPr>
          <w:rFonts w:hint="cs"/>
          <w:sz w:val="24"/>
          <w:rtl/>
        </w:rPr>
        <w:t>בו</w:t>
      </w:r>
      <w:r>
        <w:rPr>
          <w:sz w:val="24"/>
        </w:rPr>
        <w:t>:</w:t>
      </w:r>
    </w:p>
    <w:p w:rsidR="00F2258B" w:rsidRPr="00817D3F" w:rsidRDefault="00F2258B" w:rsidP="00881572">
      <w:pPr>
        <w:spacing w:line="240" w:lineRule="auto"/>
        <w:ind w:left="941" w:right="426"/>
        <w:rPr>
          <w:sz w:val="24"/>
          <w:rtl/>
        </w:rPr>
      </w:pPr>
      <w:r>
        <w:rPr>
          <w:rFonts w:hint="cs"/>
          <w:color w:val="000000"/>
          <w:sz w:val="24"/>
          <w:rtl/>
        </w:rPr>
        <w:t>"</w:t>
      </w:r>
      <w:r w:rsidRPr="00817D3F">
        <w:rPr>
          <w:rFonts w:hint="cs"/>
          <w:color w:val="000000"/>
          <w:sz w:val="24"/>
          <w:rtl/>
        </w:rPr>
        <w:t xml:space="preserve">התניית ההתקשרות בדבר הנכס או השירות שבמונופולין בתנאים אשר מטבעם או בהתאם לתנאי מסחר מקובלים אינם </w:t>
      </w:r>
      <w:r w:rsidRPr="00817D3F">
        <w:rPr>
          <w:rFonts w:hint="cs"/>
          <w:sz w:val="24"/>
          <w:rtl/>
        </w:rPr>
        <w:t>נוגעים לנושא ההתקשרות</w:t>
      </w:r>
      <w:r w:rsidRPr="00817D3F">
        <w:rPr>
          <w:rFonts w:hint="cs"/>
          <w:sz w:val="24"/>
        </w:rPr>
        <w:t>.</w:t>
      </w:r>
      <w:r>
        <w:rPr>
          <w:rFonts w:hint="cs"/>
          <w:sz w:val="24"/>
          <w:rtl/>
        </w:rPr>
        <w:t>"</w:t>
      </w:r>
    </w:p>
    <w:p w:rsidR="00F2258B" w:rsidRDefault="00F2258B" w:rsidP="00F2258B">
      <w:pPr>
        <w:rPr>
          <w:sz w:val="24"/>
          <w:rtl/>
        </w:rPr>
      </w:pPr>
      <w:r>
        <w:rPr>
          <w:rFonts w:hint="cs"/>
          <w:sz w:val="24"/>
          <w:rtl/>
        </w:rPr>
        <w:t xml:space="preserve">חברת החשמל התנתה את חלק השירותים הנוגעים למקטעי ההולכה והחלוקה שבמונופולין בתנאי שהלקוחות ירכשו חשמל מעל היקף צריכה מסוים מחברת החשמל כמספק. </w:t>
      </w:r>
    </w:p>
    <w:p w:rsidR="00F2258B" w:rsidRDefault="00F2258B" w:rsidP="00907B59">
      <w:pPr>
        <w:rPr>
          <w:sz w:val="24"/>
          <w:rtl/>
        </w:rPr>
      </w:pPr>
      <w:r>
        <w:rPr>
          <w:rFonts w:hint="cs"/>
          <w:sz w:val="24"/>
          <w:rtl/>
        </w:rPr>
        <w:t xml:space="preserve">ההתנייה ברכישת חשמל מחברת החשמל מעל היקף צריכה מסוים אינה נוגעת, </w:t>
      </w:r>
      <w:r w:rsidRPr="00730CEA">
        <w:rPr>
          <w:rFonts w:hint="cs"/>
          <w:sz w:val="24"/>
          <w:rtl/>
        </w:rPr>
        <w:t>מטבעה או בהתאם</w:t>
      </w:r>
      <w:r w:rsidRPr="00730CEA">
        <w:rPr>
          <w:sz w:val="24"/>
          <w:rtl/>
        </w:rPr>
        <w:t xml:space="preserve"> </w:t>
      </w:r>
      <w:r w:rsidRPr="00730CEA">
        <w:rPr>
          <w:rFonts w:hint="cs"/>
          <w:sz w:val="24"/>
          <w:rtl/>
        </w:rPr>
        <w:t>לתנאי</w:t>
      </w:r>
      <w:r w:rsidRPr="00730CEA">
        <w:rPr>
          <w:sz w:val="24"/>
          <w:rtl/>
        </w:rPr>
        <w:t xml:space="preserve"> </w:t>
      </w:r>
      <w:r w:rsidRPr="00730CEA">
        <w:rPr>
          <w:rFonts w:hint="cs"/>
          <w:sz w:val="24"/>
          <w:rtl/>
        </w:rPr>
        <w:t>מסחר</w:t>
      </w:r>
      <w:r w:rsidRPr="00730CEA">
        <w:rPr>
          <w:sz w:val="24"/>
          <w:rtl/>
        </w:rPr>
        <w:t xml:space="preserve"> </w:t>
      </w:r>
      <w:r w:rsidRPr="00730CEA">
        <w:rPr>
          <w:rFonts w:hint="cs"/>
          <w:sz w:val="24"/>
          <w:rtl/>
        </w:rPr>
        <w:t>מקובלים</w:t>
      </w:r>
      <w:r w:rsidRPr="00730CEA">
        <w:rPr>
          <w:sz w:val="24"/>
          <w:rtl/>
        </w:rPr>
        <w:t xml:space="preserve"> </w:t>
      </w:r>
      <w:r w:rsidRPr="00730CEA">
        <w:rPr>
          <w:rFonts w:hint="cs"/>
          <w:sz w:val="24"/>
          <w:rtl/>
        </w:rPr>
        <w:t>לנושא</w:t>
      </w:r>
      <w:r w:rsidRPr="00730CEA">
        <w:rPr>
          <w:sz w:val="24"/>
          <w:rtl/>
        </w:rPr>
        <w:t xml:space="preserve"> </w:t>
      </w:r>
      <w:r w:rsidRPr="00730CEA">
        <w:rPr>
          <w:rFonts w:hint="cs"/>
          <w:sz w:val="24"/>
          <w:rtl/>
        </w:rPr>
        <w:t>ההתקשרות</w:t>
      </w:r>
      <w:r>
        <w:rPr>
          <w:rFonts w:hint="cs"/>
          <w:sz w:val="24"/>
          <w:rtl/>
        </w:rPr>
        <w:t xml:space="preserve"> - שירותי המת"ל הנוגעים למקטעי ההולכה והחלוקה.</w:t>
      </w:r>
      <w:r w:rsidRPr="00FE2EF6">
        <w:rPr>
          <w:sz w:val="24"/>
          <w:rtl/>
        </w:rPr>
        <w:t xml:space="preserve"> </w:t>
      </w:r>
      <w:r>
        <w:rPr>
          <w:rFonts w:hint="cs"/>
          <w:sz w:val="24"/>
          <w:rtl/>
        </w:rPr>
        <w:t>עסקינן בשירותים הנוגעים לאמינות ואיכות החשמל</w:t>
      </w:r>
      <w:r w:rsidR="0067214C">
        <w:rPr>
          <w:rFonts w:hint="cs"/>
          <w:sz w:val="24"/>
          <w:rtl/>
        </w:rPr>
        <w:t>,</w:t>
      </w:r>
      <w:r>
        <w:rPr>
          <w:rFonts w:hint="cs"/>
          <w:sz w:val="24"/>
          <w:rtl/>
        </w:rPr>
        <w:t xml:space="preserve"> המצויים באחריותה ובשליטתה הבלעדית של חברת החשמל כבעלים של רשת ההולכה והחלוקה. שירותי המת"ל הנוגעים למקטעי ההולכה והחלוקה אף אינם קשורים באופן טבעי או אינהרנטי לזהות ספק החשמל. שירותי המת"ל בהולכה וחלוקה ניתנים ללקוחות בשל הצרכים המורכבים שלהם במקטעים אלה, שאינם מושפעים מזהות ספק החשמל עמו התקשר הצרכן.</w:t>
      </w:r>
      <w:r w:rsidRPr="006032C9">
        <w:rPr>
          <w:rFonts w:hint="cs"/>
          <w:sz w:val="24"/>
          <w:rtl/>
        </w:rPr>
        <w:t xml:space="preserve"> </w:t>
      </w:r>
    </w:p>
    <w:p w:rsidR="00F2258B" w:rsidRPr="00B95A9B" w:rsidRDefault="00F2258B" w:rsidP="00F2258B">
      <w:pPr>
        <w:rPr>
          <w:b/>
          <w:bCs/>
          <w:sz w:val="24"/>
          <w:rtl/>
        </w:rPr>
      </w:pPr>
      <w:r w:rsidRPr="00B95A9B">
        <w:rPr>
          <w:rFonts w:hint="cs"/>
          <w:b/>
          <w:bCs/>
          <w:sz w:val="24"/>
          <w:rtl/>
        </w:rPr>
        <w:t xml:space="preserve">נוכח </w:t>
      </w:r>
      <w:r w:rsidR="00885D62" w:rsidRPr="00B95A9B">
        <w:rPr>
          <w:rFonts w:hint="cs"/>
          <w:b/>
          <w:bCs/>
          <w:sz w:val="24"/>
          <w:rtl/>
        </w:rPr>
        <w:t xml:space="preserve">כל </w:t>
      </w:r>
      <w:r w:rsidRPr="00B95A9B">
        <w:rPr>
          <w:rFonts w:hint="cs"/>
          <w:b/>
          <w:bCs/>
          <w:sz w:val="24"/>
          <w:rtl/>
        </w:rPr>
        <w:t xml:space="preserve">האמור לעיל, </w:t>
      </w:r>
      <w:r w:rsidRPr="00B201F4">
        <w:rPr>
          <w:rFonts w:hint="cs"/>
          <w:sz w:val="24"/>
          <w:rtl/>
        </w:rPr>
        <w:t>אני קובע כי התנהלות חברת החשמל היוותה ניצול מעמד לרעה בניגוד להוראות סעיפים 29א(ב)(2), 29א(ב)(3) ו-29א(ב)(4) לחוק.</w:t>
      </w:r>
    </w:p>
    <w:p w:rsidR="00F2258B" w:rsidRPr="001F0C3E" w:rsidRDefault="006838DF" w:rsidP="006838DF">
      <w:pPr>
        <w:pStyle w:val="Heading2"/>
        <w:numPr>
          <w:ilvl w:val="0"/>
          <w:numId w:val="0"/>
        </w:numPr>
        <w:ind w:left="851"/>
        <w:jc w:val="left"/>
        <w:rPr>
          <w:rtl/>
        </w:rPr>
      </w:pPr>
      <w:bookmarkStart w:id="29" w:name="_Toc476497416"/>
      <w:r>
        <w:rPr>
          <w:rFonts w:hint="cs"/>
          <w:rtl/>
        </w:rPr>
        <w:t xml:space="preserve">ג.4 </w:t>
      </w:r>
      <w:r w:rsidR="00F2258B" w:rsidRPr="001F0C3E">
        <w:rPr>
          <w:rFonts w:hint="cs"/>
          <w:rtl/>
        </w:rPr>
        <w:t xml:space="preserve">התנהגות חברת </w:t>
      </w:r>
      <w:r w:rsidR="00F2258B" w:rsidRPr="006838DF">
        <w:rPr>
          <w:rFonts w:hint="cs"/>
          <w:rtl/>
        </w:rPr>
        <w:t>החשמל</w:t>
      </w:r>
      <w:r w:rsidR="00F2258B" w:rsidRPr="001F0C3E">
        <w:rPr>
          <w:rFonts w:hint="cs"/>
          <w:rtl/>
        </w:rPr>
        <w:t xml:space="preserve"> עולה כדי סירוב בלתי סביר בניגוד לסעיף 29 לחוק</w:t>
      </w:r>
      <w:bookmarkEnd w:id="29"/>
      <w:r w:rsidR="00F2258B" w:rsidRPr="001F0C3E">
        <w:rPr>
          <w:rFonts w:hint="cs"/>
          <w:rtl/>
        </w:rPr>
        <w:t xml:space="preserve"> </w:t>
      </w:r>
    </w:p>
    <w:p w:rsidR="00F2258B" w:rsidRDefault="00F2258B" w:rsidP="00F2258B">
      <w:pPr>
        <w:autoSpaceDE w:val="0"/>
        <w:autoSpaceDN w:val="0"/>
        <w:rPr>
          <w:sz w:val="24"/>
          <w:rtl/>
        </w:rPr>
      </w:pPr>
      <w:r w:rsidRPr="00165AF2">
        <w:rPr>
          <w:rFonts w:hint="cs"/>
          <w:sz w:val="24"/>
          <w:rtl/>
        </w:rPr>
        <w:t>סעיף 29 לח</w:t>
      </w:r>
      <w:r>
        <w:rPr>
          <w:rFonts w:hint="cs"/>
          <w:sz w:val="24"/>
          <w:rtl/>
        </w:rPr>
        <w:t xml:space="preserve">וק מחייב שיתבצע </w:t>
      </w:r>
      <w:r w:rsidRPr="00165AF2">
        <w:rPr>
          <w:rFonts w:hint="cs"/>
          <w:sz w:val="24"/>
          <w:rtl/>
        </w:rPr>
        <w:t>סירוב לספק</w:t>
      </w:r>
      <w:r>
        <w:rPr>
          <w:rFonts w:hint="cs"/>
          <w:sz w:val="24"/>
          <w:rtl/>
        </w:rPr>
        <w:t>, של שירות במונופולין, וכי הס</w:t>
      </w:r>
      <w:r w:rsidRPr="00165AF2">
        <w:rPr>
          <w:rFonts w:hint="cs"/>
          <w:sz w:val="24"/>
          <w:rtl/>
        </w:rPr>
        <w:t xml:space="preserve">ירוב </w:t>
      </w:r>
      <w:r>
        <w:rPr>
          <w:rFonts w:hint="cs"/>
          <w:sz w:val="24"/>
          <w:rtl/>
        </w:rPr>
        <w:t xml:space="preserve">יהיה </w:t>
      </w:r>
      <w:r w:rsidRPr="00165AF2">
        <w:rPr>
          <w:rFonts w:hint="cs"/>
          <w:sz w:val="24"/>
          <w:rtl/>
        </w:rPr>
        <w:t>בלתי סביר;</w:t>
      </w:r>
      <w:r>
        <w:rPr>
          <w:rFonts w:hint="cs"/>
          <w:sz w:val="24"/>
          <w:rtl/>
        </w:rPr>
        <w:t xml:space="preserve"> שלושת יסודות אלו מתקיימים בענייננו.</w:t>
      </w:r>
    </w:p>
    <w:p w:rsidR="00F2258B" w:rsidRDefault="00F2258B" w:rsidP="00F2258B">
      <w:pPr>
        <w:autoSpaceDE w:val="0"/>
        <w:autoSpaceDN w:val="0"/>
        <w:rPr>
          <w:sz w:val="24"/>
          <w:rtl/>
        </w:rPr>
      </w:pPr>
      <w:r>
        <w:rPr>
          <w:rFonts w:hint="cs"/>
          <w:sz w:val="24"/>
          <w:rtl/>
        </w:rPr>
        <w:lastRenderedPageBreak/>
        <w:t>האיסור על סירוב לספק</w:t>
      </w:r>
      <w:r w:rsidRPr="00322E5E">
        <w:rPr>
          <w:rFonts w:hint="cs"/>
          <w:sz w:val="24"/>
          <w:rtl/>
        </w:rPr>
        <w:t xml:space="preserve"> עניינו</w:t>
      </w:r>
      <w:r w:rsidRPr="00322E5E">
        <w:rPr>
          <w:sz w:val="24"/>
          <w:rtl/>
        </w:rPr>
        <w:t xml:space="preserve"> </w:t>
      </w:r>
      <w:r w:rsidRPr="00322E5E">
        <w:rPr>
          <w:rFonts w:hint="cs"/>
          <w:sz w:val="24"/>
          <w:rtl/>
        </w:rPr>
        <w:t>בקשת</w:t>
      </w:r>
      <w:r w:rsidRPr="00322E5E">
        <w:rPr>
          <w:sz w:val="24"/>
          <w:rtl/>
        </w:rPr>
        <w:t xml:space="preserve"> </w:t>
      </w:r>
      <w:r w:rsidRPr="00322E5E">
        <w:rPr>
          <w:rFonts w:hint="cs"/>
          <w:sz w:val="24"/>
          <w:rtl/>
        </w:rPr>
        <w:t>של</w:t>
      </w:r>
      <w:r w:rsidRPr="00322E5E">
        <w:rPr>
          <w:sz w:val="24"/>
          <w:rtl/>
        </w:rPr>
        <w:t xml:space="preserve"> </w:t>
      </w:r>
      <w:r w:rsidRPr="00322E5E">
        <w:rPr>
          <w:rFonts w:hint="cs"/>
          <w:sz w:val="24"/>
          <w:rtl/>
        </w:rPr>
        <w:t>מצבי</w:t>
      </w:r>
      <w:r w:rsidRPr="00322E5E">
        <w:rPr>
          <w:sz w:val="24"/>
          <w:rtl/>
        </w:rPr>
        <w:t xml:space="preserve"> </w:t>
      </w:r>
      <w:r w:rsidRPr="00322E5E">
        <w:rPr>
          <w:rFonts w:hint="cs"/>
          <w:sz w:val="24"/>
          <w:rtl/>
        </w:rPr>
        <w:t>סירוב</w:t>
      </w:r>
      <w:r>
        <w:rPr>
          <w:rFonts w:hint="cs"/>
          <w:sz w:val="24"/>
          <w:rtl/>
        </w:rPr>
        <w:t xml:space="preserve"> ש</w:t>
      </w:r>
      <w:r w:rsidRPr="00322E5E">
        <w:rPr>
          <w:rFonts w:hint="cs"/>
          <w:sz w:val="24"/>
          <w:rtl/>
        </w:rPr>
        <w:t>לוכדת גם מצבים</w:t>
      </w:r>
      <w:r w:rsidRPr="00322E5E">
        <w:rPr>
          <w:sz w:val="24"/>
          <w:rtl/>
        </w:rPr>
        <w:t xml:space="preserve"> </w:t>
      </w:r>
      <w:r w:rsidRPr="00322E5E">
        <w:rPr>
          <w:rFonts w:hint="cs"/>
          <w:sz w:val="24"/>
          <w:rtl/>
        </w:rPr>
        <w:t>של</w:t>
      </w:r>
      <w:r w:rsidRPr="00322E5E">
        <w:rPr>
          <w:sz w:val="24"/>
          <w:rtl/>
        </w:rPr>
        <w:t xml:space="preserve"> </w:t>
      </w:r>
      <w:r w:rsidRPr="00322E5E">
        <w:rPr>
          <w:rFonts w:hint="cs"/>
          <w:sz w:val="24"/>
          <w:rtl/>
        </w:rPr>
        <w:t>התנאת</w:t>
      </w:r>
      <w:r w:rsidRPr="00322E5E">
        <w:rPr>
          <w:sz w:val="24"/>
          <w:rtl/>
        </w:rPr>
        <w:t xml:space="preserve"> </w:t>
      </w:r>
      <w:r w:rsidRPr="00322E5E">
        <w:rPr>
          <w:rFonts w:hint="cs"/>
          <w:sz w:val="24"/>
          <w:rtl/>
        </w:rPr>
        <w:t>הספקת</w:t>
      </w:r>
      <w:r w:rsidRPr="00322E5E">
        <w:rPr>
          <w:sz w:val="24"/>
          <w:rtl/>
        </w:rPr>
        <w:t xml:space="preserve"> </w:t>
      </w:r>
      <w:r w:rsidRPr="00322E5E">
        <w:rPr>
          <w:rFonts w:hint="cs"/>
          <w:sz w:val="24"/>
          <w:rtl/>
        </w:rPr>
        <w:t>המוצר</w:t>
      </w:r>
      <w:r w:rsidRPr="00322E5E">
        <w:rPr>
          <w:sz w:val="24"/>
          <w:rtl/>
        </w:rPr>
        <w:t xml:space="preserve"> </w:t>
      </w:r>
      <w:r w:rsidRPr="00322E5E">
        <w:rPr>
          <w:rFonts w:hint="cs"/>
          <w:sz w:val="24"/>
          <w:rtl/>
        </w:rPr>
        <w:t>שבמונופולין</w:t>
      </w:r>
      <w:r w:rsidRPr="00322E5E">
        <w:rPr>
          <w:sz w:val="24"/>
          <w:rtl/>
        </w:rPr>
        <w:t xml:space="preserve"> </w:t>
      </w:r>
      <w:r w:rsidRPr="00322E5E">
        <w:rPr>
          <w:rFonts w:hint="cs"/>
          <w:sz w:val="24"/>
          <w:rtl/>
        </w:rPr>
        <w:t>בתנאים</w:t>
      </w:r>
      <w:r w:rsidRPr="00322E5E">
        <w:rPr>
          <w:sz w:val="24"/>
          <w:rtl/>
        </w:rPr>
        <w:t xml:space="preserve"> </w:t>
      </w:r>
      <w:r w:rsidRPr="00322E5E">
        <w:rPr>
          <w:rFonts w:hint="cs"/>
          <w:sz w:val="24"/>
          <w:rtl/>
        </w:rPr>
        <w:t>לא</w:t>
      </w:r>
      <w:r w:rsidRPr="00322E5E">
        <w:rPr>
          <w:sz w:val="24"/>
          <w:rtl/>
        </w:rPr>
        <w:t>-</w:t>
      </w:r>
      <w:r w:rsidRPr="00322E5E">
        <w:rPr>
          <w:rFonts w:hint="cs"/>
          <w:sz w:val="24"/>
          <w:rtl/>
        </w:rPr>
        <w:t>תחרותיים, כגון ברכישת מוצר אחר.</w:t>
      </w:r>
      <w:r w:rsidRPr="00322E5E">
        <w:rPr>
          <w:rStyle w:val="FootnoteReference"/>
          <w:sz w:val="24"/>
          <w:rtl/>
        </w:rPr>
        <w:footnoteReference w:id="45"/>
      </w:r>
      <w:r w:rsidRPr="00322E5E">
        <w:rPr>
          <w:rFonts w:hint="cs"/>
          <w:sz w:val="24"/>
          <w:rtl/>
        </w:rPr>
        <w:t xml:space="preserve"> </w:t>
      </w:r>
      <w:r>
        <w:rPr>
          <w:rFonts w:hint="cs"/>
          <w:sz w:val="24"/>
          <w:rtl/>
        </w:rPr>
        <w:t>התנהלותה של חברת החשמל מקיימת את יסוד הסירוב לספק שירות שבמונופולין. במשך כל תקופת ההפרה חברת החשמל לא העמידה ללקוחות שעברו לרכוש חשמל מיצרנים פרטיים את שירותי המת"ל הנוגעים למקטע ההולכה והחלוקה ולמצער, העמידה להם שירותים חלקיים ונחותים יותר שאינם מהווים חלופה.</w:t>
      </w:r>
    </w:p>
    <w:p w:rsidR="00F2258B" w:rsidRDefault="00F2258B" w:rsidP="00F2258B">
      <w:pPr>
        <w:autoSpaceDE w:val="0"/>
        <w:autoSpaceDN w:val="0"/>
        <w:rPr>
          <w:sz w:val="24"/>
          <w:rtl/>
        </w:rPr>
      </w:pPr>
      <w:r>
        <w:rPr>
          <w:rFonts w:hint="cs"/>
          <w:sz w:val="24"/>
          <w:rtl/>
        </w:rPr>
        <w:t>חברת החשמל סירבה לספק ללקוחותיה שירות אשר נדרש על מנת שתתקיים תחרות מול יצרני חשמל פרטיים במקטע האספקה. לפיכך, הגם שהסירוב נעשה כלפי צרכני הקצה ולא כלפי מתחרי חברת החשמל שאינם משתמשים בעצמם בשירות מנהל תיק לקוח, סירובה של חברת החשמל לספק השירות עונה על הרציונאל של סעיף 29 לחוק.</w:t>
      </w:r>
      <w:bookmarkStart w:id="30" w:name="_Ref476240825"/>
      <w:r>
        <w:rPr>
          <w:rStyle w:val="FootnoteReference"/>
          <w:sz w:val="24"/>
          <w:rtl/>
        </w:rPr>
        <w:footnoteReference w:id="46"/>
      </w:r>
      <w:bookmarkEnd w:id="30"/>
    </w:p>
    <w:p w:rsidR="00F2258B" w:rsidRDefault="00F2258B" w:rsidP="00F2258B">
      <w:pPr>
        <w:autoSpaceDE w:val="0"/>
        <w:autoSpaceDN w:val="0"/>
        <w:rPr>
          <w:sz w:val="24"/>
          <w:rtl/>
        </w:rPr>
      </w:pPr>
      <w:r>
        <w:rPr>
          <w:rFonts w:hint="cs"/>
          <w:sz w:val="24"/>
          <w:rtl/>
        </w:rPr>
        <w:t>היעדר קיומה של חלופה קרובה שביכולתה להפחית את הפגיעה בלקוחות שרוכשים חשמל מיצרנים פרטיים הוא שיקול התומך בכך שהתנהלותה של חברת החשמל עולה כדי סירוב לספק, בניגוד להוראות סעיף 29 לחוק.</w:t>
      </w:r>
      <w:r>
        <w:rPr>
          <w:rStyle w:val="FootnoteReference"/>
          <w:sz w:val="24"/>
          <w:rtl/>
        </w:rPr>
        <w:footnoteReference w:id="47"/>
      </w:r>
    </w:p>
    <w:p w:rsidR="00F2258B" w:rsidRDefault="00F2258B" w:rsidP="00907B59">
      <w:pPr>
        <w:autoSpaceDE w:val="0"/>
        <w:autoSpaceDN w:val="0"/>
        <w:rPr>
          <w:sz w:val="24"/>
          <w:rtl/>
        </w:rPr>
      </w:pPr>
      <w:r>
        <w:rPr>
          <w:rFonts w:hint="cs"/>
          <w:sz w:val="24"/>
          <w:rtl/>
        </w:rPr>
        <w:t>בכל הנוגע ליסוד ה"סבירות", השימוש במונח "סביר" מצביע על מבחן אובייקטיבי, בדומה למבחן "האדם הסביר", אותו נקט המחוקק בתחומי משפט רבים.</w:t>
      </w:r>
      <w:r w:rsidR="00907B59">
        <w:rPr>
          <w:rStyle w:val="FootnoteReference"/>
          <w:rtl/>
        </w:rPr>
        <w:footnoteReference w:id="48"/>
      </w:r>
      <w:r>
        <w:rPr>
          <w:rFonts w:hint="cs"/>
          <w:rtl/>
        </w:rPr>
        <w:t xml:space="preserve"> </w:t>
      </w:r>
      <w:r>
        <w:rPr>
          <w:rFonts w:hint="cs"/>
          <w:sz w:val="24"/>
          <w:rtl/>
        </w:rPr>
        <w:t xml:space="preserve">קביעת דמותו של האדם הסביר תיעשה על-ידי בית המשפט על פי שיקולים של מדיניות משפטית, תוך </w:t>
      </w:r>
      <w:r w:rsidR="00583497">
        <w:rPr>
          <w:rFonts w:hint="cs"/>
          <w:sz w:val="24"/>
          <w:rtl/>
        </w:rPr>
        <w:t>התחשבות ב</w:t>
      </w:r>
      <w:r>
        <w:rPr>
          <w:rFonts w:hint="cs"/>
          <w:sz w:val="24"/>
          <w:rtl/>
        </w:rPr>
        <w:t>אינטרסים הלגיטימיים של</w:t>
      </w:r>
      <w:r w:rsidRPr="00A45F74">
        <w:rPr>
          <w:rFonts w:hint="cs"/>
          <w:sz w:val="24"/>
          <w:rtl/>
        </w:rPr>
        <w:t xml:space="preserve"> "הסו</w:t>
      </w:r>
      <w:r>
        <w:rPr>
          <w:rFonts w:hint="cs"/>
          <w:sz w:val="24"/>
          <w:rtl/>
        </w:rPr>
        <w:t xml:space="preserve">חר הסביר" </w:t>
      </w:r>
      <w:r w:rsidR="00F14E2B">
        <w:rPr>
          <w:rFonts w:hint="cs"/>
          <w:sz w:val="24"/>
          <w:rtl/>
        </w:rPr>
        <w:t>ובראש ובראשונה מתוך מגמה לתת ביטוי ל</w:t>
      </w:r>
      <w:r>
        <w:rPr>
          <w:rFonts w:hint="cs"/>
          <w:sz w:val="24"/>
          <w:rtl/>
        </w:rPr>
        <w:t xml:space="preserve">אינטרס הציבורי העומד ביסודו של החוק </w:t>
      </w:r>
      <w:r>
        <w:rPr>
          <w:sz w:val="24"/>
          <w:rtl/>
        </w:rPr>
        <w:t>–</w:t>
      </w:r>
      <w:r>
        <w:rPr>
          <w:rFonts w:hint="cs"/>
          <w:sz w:val="24"/>
          <w:rtl/>
        </w:rPr>
        <w:t xml:space="preserve"> הוא התחרות החופשית</w:t>
      </w:r>
      <w:r w:rsidR="00874BE2">
        <w:rPr>
          <w:rFonts w:hint="cs"/>
          <w:sz w:val="24"/>
          <w:rtl/>
        </w:rPr>
        <w:t xml:space="preserve"> וטובת הציבור</w:t>
      </w:r>
      <w:r>
        <w:rPr>
          <w:rFonts w:hint="cs"/>
          <w:sz w:val="24"/>
          <w:rtl/>
        </w:rPr>
        <w:t>.</w:t>
      </w:r>
      <w:r>
        <w:rPr>
          <w:rStyle w:val="FootnoteReference"/>
          <w:sz w:val="24"/>
          <w:rtl/>
        </w:rPr>
        <w:footnoteReference w:id="49"/>
      </w:r>
      <w:r>
        <w:rPr>
          <w:rFonts w:hint="cs"/>
          <w:sz w:val="24"/>
          <w:rtl/>
        </w:rPr>
        <w:t xml:space="preserve"> </w:t>
      </w:r>
    </w:p>
    <w:p w:rsidR="000652BC" w:rsidRDefault="00520DEB" w:rsidP="00400707">
      <w:pPr>
        <w:rPr>
          <w:sz w:val="24"/>
          <w:rtl/>
        </w:rPr>
      </w:pPr>
      <w:r>
        <w:rPr>
          <w:rFonts w:hint="cs"/>
          <w:sz w:val="24"/>
          <w:rtl/>
        </w:rPr>
        <w:t>גם אם חברת החשמל לא מחויבת לספק את שירותי המת"ל על פי אמות המידה וגם אם שיקוליה לספק את שירותי המת"ל לכתחילה לא נבעו מחובות על פי חוק ההגבלים העסקיים</w:t>
      </w:r>
      <w:r w:rsidR="00F53544">
        <w:rPr>
          <w:rFonts w:hint="cs"/>
          <w:sz w:val="24"/>
          <w:rtl/>
        </w:rPr>
        <w:t xml:space="preserve">, </w:t>
      </w:r>
      <w:r>
        <w:rPr>
          <w:rFonts w:hint="cs"/>
          <w:sz w:val="24"/>
          <w:rtl/>
        </w:rPr>
        <w:t>מש</w:t>
      </w:r>
      <w:r w:rsidR="00F53544">
        <w:rPr>
          <w:rFonts w:hint="cs"/>
          <w:sz w:val="24"/>
          <w:rtl/>
        </w:rPr>
        <w:t xml:space="preserve">חברת </w:t>
      </w:r>
      <w:r w:rsidR="00F53544">
        <w:rPr>
          <w:rFonts w:hint="cs"/>
          <w:sz w:val="24"/>
          <w:rtl/>
        </w:rPr>
        <w:lastRenderedPageBreak/>
        <w:t>החשמל סיפקה השירות ללקוחות העסקיים טרם מעברם ליצרן פרטי, לא ניתן להפסיקם לחלק מהלקוחות בלבד בהיעדר צידוקים אובייקטיבים</w:t>
      </w:r>
      <w:r>
        <w:rPr>
          <w:rFonts w:hint="cs"/>
          <w:sz w:val="24"/>
          <w:rtl/>
        </w:rPr>
        <w:t>.</w:t>
      </w:r>
    </w:p>
    <w:p w:rsidR="00E56050" w:rsidRDefault="00F2258B" w:rsidP="000652BC">
      <w:pPr>
        <w:rPr>
          <w:sz w:val="24"/>
          <w:rtl/>
        </w:rPr>
      </w:pPr>
      <w:r>
        <w:rPr>
          <w:rFonts w:hint="cs"/>
          <w:sz w:val="24"/>
          <w:rtl/>
        </w:rPr>
        <w:t xml:space="preserve">בענייננו וכפי שפורט לעיל, לא נמצאו צידוקים אובייקטיביים לסירוב לספק מעבר לרצון למנוע מעבר לקוחות למתחרי חברת החשמל. </w:t>
      </w:r>
      <w:r w:rsidR="00874BE2">
        <w:rPr>
          <w:rFonts w:hint="cs"/>
          <w:sz w:val="24"/>
          <w:rtl/>
        </w:rPr>
        <w:t>בנסיבות העניין, כשזהות הספק עמו התקשר הלקוח העסקי אינה רלוונטית ל</w:t>
      </w:r>
      <w:r w:rsidR="00EE5490">
        <w:rPr>
          <w:rFonts w:hint="cs"/>
          <w:sz w:val="24"/>
          <w:rtl/>
        </w:rPr>
        <w:t xml:space="preserve">מתן </w:t>
      </w:r>
      <w:r w:rsidR="00874BE2">
        <w:rPr>
          <w:rFonts w:hint="cs"/>
          <w:sz w:val="24"/>
          <w:rtl/>
        </w:rPr>
        <w:t>שירותי המת"ל</w:t>
      </w:r>
      <w:r w:rsidR="000652BC">
        <w:rPr>
          <w:rFonts w:hint="cs"/>
          <w:sz w:val="24"/>
          <w:rtl/>
        </w:rPr>
        <w:t xml:space="preserve"> בהולכה וחלוקה</w:t>
      </w:r>
      <w:r w:rsidR="00874BE2">
        <w:rPr>
          <w:rFonts w:hint="cs"/>
          <w:sz w:val="24"/>
          <w:rtl/>
        </w:rPr>
        <w:t xml:space="preserve">, סירוב לספקו ללקוח </w:t>
      </w:r>
      <w:r w:rsidR="00F25637">
        <w:rPr>
          <w:rFonts w:hint="cs"/>
          <w:sz w:val="24"/>
          <w:rtl/>
        </w:rPr>
        <w:t>איננו צעד לגיטימי ועלול</w:t>
      </w:r>
      <w:r w:rsidR="00874BE2">
        <w:rPr>
          <w:rFonts w:hint="cs"/>
          <w:sz w:val="24"/>
          <w:rtl/>
        </w:rPr>
        <w:t xml:space="preserve"> </w:t>
      </w:r>
      <w:r w:rsidR="006936C2">
        <w:rPr>
          <w:rFonts w:hint="cs"/>
          <w:sz w:val="24"/>
          <w:rtl/>
        </w:rPr>
        <w:t xml:space="preserve">היה </w:t>
      </w:r>
      <w:r w:rsidR="00874BE2">
        <w:rPr>
          <w:rFonts w:hint="cs"/>
          <w:sz w:val="24"/>
          <w:rtl/>
        </w:rPr>
        <w:t xml:space="preserve">לפגוע בתחרות. </w:t>
      </w:r>
    </w:p>
    <w:p w:rsidR="00520DEB" w:rsidRDefault="00520DEB" w:rsidP="00932B95">
      <w:pPr>
        <w:autoSpaceDE w:val="0"/>
        <w:autoSpaceDN w:val="0"/>
        <w:rPr>
          <w:sz w:val="24"/>
          <w:rtl/>
        </w:rPr>
      </w:pPr>
      <w:r>
        <w:rPr>
          <w:rFonts w:hint="cs"/>
          <w:sz w:val="24"/>
          <w:rtl/>
        </w:rPr>
        <w:t>יוזכר גם, כי בעקבות תלונות שהתקבלו אצל רשות החשמל, רשות החשמל החליטה לתקן את</w:t>
      </w:r>
      <w:r w:rsidRPr="002F3537">
        <w:rPr>
          <w:rFonts w:hint="cs"/>
          <w:rtl/>
        </w:rPr>
        <w:t xml:space="preserve"> אמת מידה 23 כך </w:t>
      </w:r>
      <w:r>
        <w:rPr>
          <w:rFonts w:hint="cs"/>
          <w:rtl/>
        </w:rPr>
        <w:t>שחובה על חברת החשמל לספק שירותים מסוימים שסופקו על-ידי המת"ל ל</w:t>
      </w:r>
      <w:r w:rsidR="00206900">
        <w:rPr>
          <w:rFonts w:hint="cs"/>
          <w:rtl/>
        </w:rPr>
        <w:t>לקוחות</w:t>
      </w:r>
      <w:r>
        <w:rPr>
          <w:rFonts w:hint="cs"/>
          <w:rtl/>
        </w:rPr>
        <w:t xml:space="preserve"> שרוכשים </w:t>
      </w:r>
      <w:r w:rsidR="00932B95">
        <w:rPr>
          <w:rFonts w:hint="cs"/>
          <w:rtl/>
        </w:rPr>
        <w:t xml:space="preserve">מיצרנים פרטיים </w:t>
      </w:r>
      <w:r>
        <w:rPr>
          <w:rFonts w:hint="cs"/>
          <w:rtl/>
        </w:rPr>
        <w:t>באמצעות אמצעי ייעודי ללקוח</w:t>
      </w:r>
      <w:r>
        <w:rPr>
          <w:rFonts w:hint="cs"/>
          <w:sz w:val="24"/>
          <w:rtl/>
        </w:rPr>
        <w:t>.</w:t>
      </w:r>
      <w:r>
        <w:rPr>
          <w:rStyle w:val="FootnoteReference"/>
          <w:sz w:val="24"/>
          <w:rtl/>
        </w:rPr>
        <w:footnoteReference w:id="50"/>
      </w:r>
      <w:r>
        <w:rPr>
          <w:rFonts w:hint="cs"/>
          <w:sz w:val="24"/>
          <w:rtl/>
        </w:rPr>
        <w:t xml:space="preserve"> </w:t>
      </w:r>
    </w:p>
    <w:p w:rsidR="00E56050" w:rsidRDefault="000652BC" w:rsidP="00885D62">
      <w:pPr>
        <w:rPr>
          <w:sz w:val="24"/>
          <w:rtl/>
        </w:rPr>
      </w:pPr>
      <w:r>
        <w:rPr>
          <w:rFonts w:hint="cs"/>
          <w:sz w:val="24"/>
          <w:rtl/>
        </w:rPr>
        <w:t xml:space="preserve">גם </w:t>
      </w:r>
      <w:r w:rsidR="00772707">
        <w:rPr>
          <w:rFonts w:hint="cs"/>
          <w:sz w:val="24"/>
          <w:rtl/>
        </w:rPr>
        <w:t>במשפט האירופי נקבע</w:t>
      </w:r>
      <w:r w:rsidR="00E56050">
        <w:rPr>
          <w:rFonts w:hint="cs"/>
          <w:sz w:val="24"/>
          <w:rtl/>
        </w:rPr>
        <w:t xml:space="preserve"> שסירובו של </w:t>
      </w:r>
      <w:r w:rsidR="00E56050" w:rsidRPr="00E84609">
        <w:rPr>
          <w:rFonts w:hint="cs"/>
          <w:sz w:val="24"/>
          <w:rtl/>
        </w:rPr>
        <w:t xml:space="preserve">בעל מונופולין </w:t>
      </w:r>
      <w:r w:rsidR="00E56050">
        <w:rPr>
          <w:rFonts w:hint="cs"/>
          <w:sz w:val="24"/>
          <w:rtl/>
        </w:rPr>
        <w:t xml:space="preserve">להמשיך </w:t>
      </w:r>
      <w:r w:rsidR="00E56050" w:rsidRPr="00E84609">
        <w:rPr>
          <w:rFonts w:hint="cs"/>
          <w:sz w:val="24"/>
          <w:rtl/>
        </w:rPr>
        <w:t xml:space="preserve">לספק </w:t>
      </w:r>
      <w:r w:rsidR="00E56050">
        <w:rPr>
          <w:rFonts w:hint="cs"/>
          <w:sz w:val="24"/>
          <w:rtl/>
        </w:rPr>
        <w:t xml:space="preserve">ללקוח קיים שסיפק לו בעבר מהווה ניצול מעמד לרעה, אלא אם כן </w:t>
      </w:r>
      <w:r w:rsidR="00885D62">
        <w:rPr>
          <w:rFonts w:hint="cs"/>
          <w:sz w:val="24"/>
          <w:rtl/>
        </w:rPr>
        <w:t>מתן השירות ל</w:t>
      </w:r>
      <w:r w:rsidR="00E56050">
        <w:rPr>
          <w:rFonts w:hint="cs"/>
          <w:sz w:val="24"/>
          <w:rtl/>
        </w:rPr>
        <w:t>לקוח ה</w:t>
      </w:r>
      <w:r w:rsidR="00885D62">
        <w:rPr>
          <w:rFonts w:hint="cs"/>
          <w:sz w:val="24"/>
          <w:rtl/>
        </w:rPr>
        <w:t>וא</w:t>
      </w:r>
      <w:r w:rsidR="00E56050">
        <w:rPr>
          <w:rFonts w:hint="cs"/>
          <w:sz w:val="24"/>
          <w:rtl/>
        </w:rPr>
        <w:t xml:space="preserve"> בלתי סביר.</w:t>
      </w:r>
      <w:r w:rsidR="00135825">
        <w:rPr>
          <w:rStyle w:val="FootnoteReference"/>
          <w:sz w:val="24"/>
          <w:rtl/>
        </w:rPr>
        <w:footnoteReference w:id="51"/>
      </w:r>
    </w:p>
    <w:p w:rsidR="00F2258B" w:rsidRDefault="00F2258B" w:rsidP="00F2258B">
      <w:pPr>
        <w:autoSpaceDE w:val="0"/>
        <w:autoSpaceDN w:val="0"/>
        <w:rPr>
          <w:sz w:val="24"/>
          <w:rtl/>
        </w:rPr>
      </w:pPr>
      <w:r>
        <w:rPr>
          <w:rFonts w:hint="cs"/>
          <w:sz w:val="24"/>
          <w:rtl/>
        </w:rPr>
        <w:t>בהתאם לאמור, מצאתי כי התנהלותה של חברת החשמל עולה כדי סירוב בלתי סביר לספק בניגוד לסעיף 29 לחוק.</w:t>
      </w:r>
    </w:p>
    <w:p w:rsidR="00FC0813" w:rsidRDefault="00FC0813" w:rsidP="00260016">
      <w:pPr>
        <w:tabs>
          <w:tab w:val="left" w:pos="3602"/>
        </w:tabs>
        <w:spacing w:line="240" w:lineRule="auto"/>
        <w:rPr>
          <w:rtl/>
        </w:rPr>
      </w:pPr>
      <w:r>
        <w:rPr>
          <w:rtl/>
        </w:rPr>
        <w:tab/>
      </w:r>
    </w:p>
    <w:p w:rsidR="00DE2D7D" w:rsidRPr="006838DF" w:rsidRDefault="00DE2D7D" w:rsidP="006838DF">
      <w:pPr>
        <w:pStyle w:val="Heading1"/>
        <w:numPr>
          <w:ilvl w:val="0"/>
          <w:numId w:val="10"/>
        </w:numPr>
        <w:rPr>
          <w:b/>
          <w:bCs/>
        </w:rPr>
      </w:pPr>
      <w:bookmarkStart w:id="31" w:name="_Toc476497417"/>
      <w:r w:rsidRPr="006838DF">
        <w:rPr>
          <w:rFonts w:hint="cs"/>
          <w:b/>
          <w:bCs/>
          <w:rtl/>
        </w:rPr>
        <w:t xml:space="preserve">הטלת </w:t>
      </w:r>
      <w:r w:rsidRPr="006838DF">
        <w:rPr>
          <w:rFonts w:hint="cs"/>
          <w:b/>
          <w:bCs/>
          <w:szCs w:val="22"/>
          <w:rtl/>
        </w:rPr>
        <w:t>עיצום</w:t>
      </w:r>
      <w:r w:rsidRPr="006838DF">
        <w:rPr>
          <w:rFonts w:hint="cs"/>
          <w:b/>
          <w:bCs/>
          <w:rtl/>
        </w:rPr>
        <w:t xml:space="preserve"> כספי</w:t>
      </w:r>
      <w:bookmarkEnd w:id="31"/>
    </w:p>
    <w:p w:rsidR="00DE2D7D" w:rsidRPr="001F0C3E" w:rsidRDefault="006838DF" w:rsidP="006838DF">
      <w:pPr>
        <w:pStyle w:val="Heading2"/>
        <w:numPr>
          <w:ilvl w:val="0"/>
          <w:numId w:val="0"/>
        </w:numPr>
        <w:ind w:left="851"/>
        <w:jc w:val="left"/>
      </w:pPr>
      <w:bookmarkStart w:id="32" w:name="_Toc476497418"/>
      <w:r>
        <w:rPr>
          <w:rFonts w:hint="cs"/>
          <w:rtl/>
        </w:rPr>
        <w:t xml:space="preserve">ד.1 </w:t>
      </w:r>
      <w:r w:rsidR="00DE2D7D" w:rsidRPr="006838DF">
        <w:rPr>
          <w:rFonts w:hint="cs"/>
          <w:rtl/>
        </w:rPr>
        <w:t>קביעת</w:t>
      </w:r>
      <w:r w:rsidR="00DE2D7D" w:rsidRPr="001F0C3E">
        <w:rPr>
          <w:rFonts w:hint="cs"/>
          <w:rtl/>
        </w:rPr>
        <w:t xml:space="preserve"> גובה העיצום</w:t>
      </w:r>
      <w:r w:rsidR="00DE2D7D">
        <w:rPr>
          <w:rFonts w:hint="cs"/>
          <w:rtl/>
        </w:rPr>
        <w:t xml:space="preserve"> - כללי</w:t>
      </w:r>
      <w:bookmarkEnd w:id="32"/>
    </w:p>
    <w:p w:rsidR="00DE2D7D" w:rsidRDefault="00DE2D7D" w:rsidP="00DE2D7D">
      <w:r>
        <w:rPr>
          <w:rFonts w:hint="cs"/>
          <w:rtl/>
        </w:rPr>
        <w:t xml:space="preserve">תיקון 13 לחוק, במסגרתו הוסף פרק ז'1 שעניינו עיצום כספי, מקנה לממונה סמכות להטיל עיצום כספי על המפר את הוראות </w:t>
      </w:r>
      <w:r w:rsidRPr="00272213">
        <w:rPr>
          <w:rFonts w:hint="cs"/>
          <w:rtl/>
        </w:rPr>
        <w:t>החוק</w:t>
      </w:r>
      <w:r>
        <w:rPr>
          <w:rFonts w:hint="cs"/>
          <w:rtl/>
        </w:rPr>
        <w:t xml:space="preserve"> ומסדיר את האופן להטלתו. על פי סעיף 50ד(א)(3) לחוק רשאי הממונה להטיל עיצום כספי כדלקמן:</w:t>
      </w:r>
      <w:r>
        <w:rPr>
          <w:rStyle w:val="FootnoteReference"/>
          <w:rtl/>
        </w:rPr>
        <w:footnoteReference w:id="52"/>
      </w:r>
    </w:p>
    <w:p w:rsidR="00DE2D7D" w:rsidRPr="00881572" w:rsidRDefault="00DE2D7D" w:rsidP="00881572">
      <w:pPr>
        <w:spacing w:line="240" w:lineRule="auto"/>
        <w:ind w:left="941" w:right="426"/>
        <w:rPr>
          <w:color w:val="000000"/>
          <w:sz w:val="24"/>
          <w:rtl/>
        </w:rPr>
      </w:pPr>
      <w:r w:rsidRPr="00881572">
        <w:rPr>
          <w:rFonts w:hint="cs"/>
          <w:color w:val="000000"/>
          <w:sz w:val="24"/>
          <w:rtl/>
        </w:rPr>
        <w:t>"</w:t>
      </w:r>
      <w:r w:rsidRPr="00881572">
        <w:rPr>
          <w:color w:val="000000"/>
          <w:sz w:val="24"/>
          <w:rtl/>
        </w:rPr>
        <w:t>50</w:t>
      </w:r>
      <w:r w:rsidRPr="00881572">
        <w:rPr>
          <w:rFonts w:hint="cs"/>
          <w:color w:val="000000"/>
          <w:sz w:val="24"/>
          <w:rtl/>
        </w:rPr>
        <w:t>ד</w:t>
      </w:r>
      <w:r w:rsidRPr="00881572">
        <w:rPr>
          <w:color w:val="000000"/>
          <w:sz w:val="24"/>
          <w:rtl/>
        </w:rPr>
        <w:t>.</w:t>
      </w:r>
      <w:r w:rsidRPr="00881572">
        <w:rPr>
          <w:rFonts w:hint="cs"/>
          <w:color w:val="000000"/>
          <w:sz w:val="24"/>
          <w:rtl/>
        </w:rPr>
        <w:t xml:space="preserve"> (א) הפר אדם הוראה מההוראות לפי חוק זה כמפורט להלן, רשאי הממונה להטיל עליו עיצום כספי לפי הוראות פרק זה, בסכום של עד מיליון שקלים חדשים; היה המפר תאגיד והיה לו, בשנה שקדמה לשנת הכספים שבה בוצעה ההפרה, מחזור מכירות בסכום העולה על עשרה מיליון שקלים חדשים, רשאי הממונה להטיל עליו עיצום כספי בשיעור של עד שמונה אחוזים ממחזור המכירות כאמור, ובלבד שסכום העיצום לא יעלה על 24 מיליון שקלים חדשים: </w:t>
      </w:r>
    </w:p>
    <w:p w:rsidR="00DE2D7D" w:rsidRPr="00881572" w:rsidRDefault="00DE2D7D" w:rsidP="00881572">
      <w:pPr>
        <w:spacing w:line="240" w:lineRule="auto"/>
        <w:ind w:left="941" w:right="426"/>
        <w:rPr>
          <w:color w:val="000000"/>
          <w:sz w:val="24"/>
          <w:rtl/>
        </w:rPr>
      </w:pPr>
      <w:r w:rsidRPr="00881572">
        <w:rPr>
          <w:rFonts w:hint="cs"/>
          <w:color w:val="000000"/>
          <w:sz w:val="24"/>
          <w:rtl/>
        </w:rPr>
        <w:t>....</w:t>
      </w:r>
    </w:p>
    <w:p w:rsidR="00DE2D7D" w:rsidRPr="00881572" w:rsidRDefault="00DE2D7D" w:rsidP="00881572">
      <w:pPr>
        <w:spacing w:line="240" w:lineRule="auto"/>
        <w:ind w:left="941" w:right="426"/>
        <w:rPr>
          <w:color w:val="000000"/>
          <w:sz w:val="24"/>
          <w:rtl/>
        </w:rPr>
      </w:pPr>
      <w:r w:rsidRPr="00881572">
        <w:rPr>
          <w:rFonts w:hint="cs"/>
          <w:color w:val="000000"/>
          <w:sz w:val="24"/>
          <w:rtl/>
        </w:rPr>
        <w:t>(3) עשה מעשה המהווה סירוב בלתי סביר לספק או לרכוש נכס או שירות שבמונופולין, בניגוד להוראות סעיף 29, או המהווה ניצול לרעה של מעמדו, בניגוד להוראות סעיף 29א, ובלבד שהמעשה הוא מסוג המעשים שקבע לעניין זה הממונה, ברשומות;"</w:t>
      </w:r>
    </w:p>
    <w:p w:rsidR="00DE2D7D" w:rsidRPr="000E611B" w:rsidRDefault="00DE2D7D" w:rsidP="00DE2D7D">
      <w:pPr>
        <w:rPr>
          <w:sz w:val="24"/>
        </w:rPr>
      </w:pPr>
      <w:r w:rsidRPr="000E611B">
        <w:rPr>
          <w:rFonts w:hint="cs"/>
          <w:rtl/>
        </w:rPr>
        <w:lastRenderedPageBreak/>
        <w:t>ביום</w:t>
      </w:r>
      <w:r w:rsidRPr="000E611B">
        <w:rPr>
          <w:rFonts w:hint="cs"/>
          <w:sz w:val="24"/>
          <w:rtl/>
        </w:rPr>
        <w:t xml:space="preserve"> </w:t>
      </w:r>
      <w:r>
        <w:rPr>
          <w:rFonts w:hint="cs"/>
          <w:sz w:val="24"/>
          <w:rtl/>
        </w:rPr>
        <w:t>24.10.2012</w:t>
      </w:r>
      <w:r w:rsidRPr="000E611B">
        <w:rPr>
          <w:rFonts w:hint="cs"/>
          <w:sz w:val="24"/>
          <w:rtl/>
        </w:rPr>
        <w:t xml:space="preserve"> פורסמה ברשומות הודעת הממונה בדבר סוג המעשים והמחדלים לעניין עיצום כספי</w:t>
      </w:r>
      <w:r w:rsidR="00F55E8C">
        <w:rPr>
          <w:rFonts w:hint="cs"/>
          <w:sz w:val="24"/>
          <w:rtl/>
        </w:rPr>
        <w:t xml:space="preserve"> (להלן: "</w:t>
      </w:r>
      <w:r w:rsidR="00F55E8C">
        <w:rPr>
          <w:rFonts w:hint="cs"/>
          <w:b/>
          <w:bCs/>
          <w:sz w:val="24"/>
          <w:rtl/>
        </w:rPr>
        <w:t>הודעת הממונה</w:t>
      </w:r>
      <w:r w:rsidR="00F55E8C">
        <w:rPr>
          <w:rFonts w:hint="cs"/>
          <w:sz w:val="24"/>
          <w:rtl/>
        </w:rPr>
        <w:t>")</w:t>
      </w:r>
      <w:r w:rsidRPr="000E611B">
        <w:rPr>
          <w:rFonts w:hint="cs"/>
          <w:sz w:val="24"/>
          <w:rtl/>
        </w:rPr>
        <w:t>.</w:t>
      </w:r>
      <w:r w:rsidRPr="000E611B">
        <w:rPr>
          <w:sz w:val="24"/>
          <w:vertAlign w:val="superscript"/>
          <w:rtl/>
        </w:rPr>
        <w:footnoteReference w:id="53"/>
      </w:r>
      <w:r w:rsidRPr="000E611B">
        <w:rPr>
          <w:rFonts w:hint="cs"/>
          <w:sz w:val="24"/>
          <w:vertAlign w:val="superscript"/>
          <w:rtl/>
        </w:rPr>
        <w:t xml:space="preserve"> </w:t>
      </w:r>
      <w:r w:rsidRPr="000E611B">
        <w:rPr>
          <w:rFonts w:hint="cs"/>
          <w:sz w:val="24"/>
          <w:rtl/>
        </w:rPr>
        <w:t xml:space="preserve">במסגרת הודעה זו </w:t>
      </w:r>
      <w:r w:rsidRPr="000E611B">
        <w:rPr>
          <w:rFonts w:hint="cs"/>
          <w:rtl/>
        </w:rPr>
        <w:t>נקבע</w:t>
      </w:r>
      <w:r w:rsidRPr="000E611B">
        <w:rPr>
          <w:rFonts w:hint="cs"/>
          <w:sz w:val="24"/>
          <w:rtl/>
        </w:rPr>
        <w:t xml:space="preserve">, בין היתר, כי יצירת חסמי כניסה ומעבר, קשירה בין </w:t>
      </w:r>
      <w:r w:rsidRPr="000E611B">
        <w:rPr>
          <w:rFonts w:hint="cs"/>
          <w:rtl/>
        </w:rPr>
        <w:t>טובין שבמונופולין לבין טובין אחרים</w:t>
      </w:r>
      <w:r w:rsidRPr="000E611B">
        <w:rPr>
          <w:rFonts w:hint="cs"/>
          <w:sz w:val="24"/>
          <w:rtl/>
        </w:rPr>
        <w:t>, אפליה בין רוכשים או ספקים וסירוב לספק הינם מעשים ברי עיצום:</w:t>
      </w:r>
    </w:p>
    <w:p w:rsidR="00DE2D7D" w:rsidRPr="00881572" w:rsidRDefault="00DE2D7D" w:rsidP="00881572">
      <w:pPr>
        <w:spacing w:line="240" w:lineRule="auto"/>
        <w:ind w:left="941" w:right="426"/>
        <w:rPr>
          <w:color w:val="000000"/>
          <w:sz w:val="24"/>
          <w:rtl/>
        </w:rPr>
      </w:pPr>
      <w:r w:rsidRPr="00881572">
        <w:rPr>
          <w:rFonts w:hint="cs"/>
          <w:color w:val="000000"/>
          <w:sz w:val="24"/>
          <w:rtl/>
        </w:rPr>
        <w:t>"...מעשה או מחדל כמפורט להלן הוא בר עיצום כספי, אם הוא מהווה סירוב בלתי סביר לספק או לרכוש נכס או שירות שבמונופולין בניגוד לסעיף 29 לחוק, או ניצול לרעה של מעמד בעל מונופולין בניגוד להוראות סעיף 29א לחוק:</w:t>
      </w:r>
    </w:p>
    <w:p w:rsidR="00DE2D7D" w:rsidRPr="00881572" w:rsidRDefault="00DE2D7D" w:rsidP="00881572">
      <w:pPr>
        <w:spacing w:line="240" w:lineRule="auto"/>
        <w:ind w:left="941" w:right="426"/>
        <w:rPr>
          <w:color w:val="000000"/>
          <w:sz w:val="24"/>
          <w:rtl/>
        </w:rPr>
      </w:pPr>
      <w:r w:rsidRPr="00881572">
        <w:rPr>
          <w:rFonts w:hint="cs"/>
          <w:color w:val="000000"/>
          <w:sz w:val="24"/>
          <w:rtl/>
        </w:rPr>
        <w:t xml:space="preserve">(1) יצירת חסם כניסה לענף או חסם למעבר בענף כהגדרתו בסעיף 30(ג)(5) לחוק; </w:t>
      </w:r>
    </w:p>
    <w:p w:rsidR="00DE2D7D" w:rsidRPr="00881572" w:rsidRDefault="00DE2D7D" w:rsidP="00881572">
      <w:pPr>
        <w:spacing w:line="240" w:lineRule="auto"/>
        <w:ind w:left="941" w:right="426"/>
        <w:rPr>
          <w:color w:val="000000"/>
          <w:sz w:val="24"/>
          <w:rtl/>
        </w:rPr>
      </w:pPr>
      <w:r w:rsidRPr="00881572">
        <w:rPr>
          <w:rFonts w:hint="cs"/>
          <w:color w:val="000000"/>
          <w:sz w:val="24"/>
          <w:rtl/>
        </w:rPr>
        <w:t xml:space="preserve">(2) יצירת חסם להמשך פעילות מתחרה בשוק, לרבות צמצום משמעותי של פעילות; </w:t>
      </w:r>
    </w:p>
    <w:p w:rsidR="00DE2D7D" w:rsidRPr="00881572" w:rsidRDefault="00DE2D7D" w:rsidP="00881572">
      <w:pPr>
        <w:spacing w:line="240" w:lineRule="auto"/>
        <w:ind w:left="941" w:right="426"/>
        <w:rPr>
          <w:color w:val="000000"/>
          <w:sz w:val="24"/>
          <w:rtl/>
        </w:rPr>
      </w:pPr>
      <w:r w:rsidRPr="00881572">
        <w:rPr>
          <w:rFonts w:hint="cs"/>
          <w:color w:val="000000"/>
          <w:sz w:val="24"/>
          <w:rtl/>
        </w:rPr>
        <w:t>......</w:t>
      </w:r>
    </w:p>
    <w:p w:rsidR="00DE2D7D" w:rsidRPr="00881572" w:rsidRDefault="00DE2D7D" w:rsidP="00881572">
      <w:pPr>
        <w:spacing w:line="240" w:lineRule="auto"/>
        <w:ind w:left="941" w:right="426"/>
        <w:rPr>
          <w:color w:val="000000"/>
          <w:sz w:val="24"/>
          <w:rtl/>
        </w:rPr>
      </w:pPr>
      <w:r w:rsidRPr="00881572">
        <w:rPr>
          <w:rFonts w:hint="cs"/>
          <w:color w:val="000000"/>
          <w:sz w:val="24"/>
          <w:rtl/>
        </w:rPr>
        <w:t>(7)</w:t>
      </w:r>
      <w:r w:rsidRPr="00881572">
        <w:rPr>
          <w:color w:val="000000"/>
          <w:sz w:val="24"/>
          <w:rtl/>
        </w:rPr>
        <w:t> </w:t>
      </w:r>
      <w:r w:rsidRPr="00881572">
        <w:rPr>
          <w:rFonts w:hint="cs"/>
          <w:color w:val="000000"/>
          <w:sz w:val="24"/>
          <w:rtl/>
        </w:rPr>
        <w:t xml:space="preserve">קשירת אספקה או רכישה של טובין שבמונופולין באספקה או ברכישה של טובין אחרים, לרבות בדרך של תמחור או אפיון המוצר; </w:t>
      </w:r>
    </w:p>
    <w:p w:rsidR="00DE2D7D" w:rsidRPr="00881572" w:rsidRDefault="00DE2D7D" w:rsidP="00881572">
      <w:pPr>
        <w:spacing w:line="240" w:lineRule="auto"/>
        <w:ind w:left="941" w:right="426"/>
        <w:rPr>
          <w:color w:val="000000"/>
          <w:sz w:val="24"/>
          <w:rtl/>
        </w:rPr>
      </w:pPr>
      <w:r w:rsidRPr="00881572">
        <w:rPr>
          <w:rFonts w:hint="cs"/>
          <w:color w:val="000000"/>
          <w:sz w:val="24"/>
          <w:rtl/>
        </w:rPr>
        <w:t>(8)</w:t>
      </w:r>
      <w:r w:rsidRPr="00881572">
        <w:rPr>
          <w:color w:val="000000"/>
          <w:sz w:val="24"/>
          <w:rtl/>
        </w:rPr>
        <w:t> </w:t>
      </w:r>
      <w:r w:rsidRPr="00881572">
        <w:rPr>
          <w:rFonts w:hint="cs"/>
          <w:color w:val="000000"/>
          <w:sz w:val="24"/>
          <w:rtl/>
        </w:rPr>
        <w:t>סירוב בלתי סביר לספק או לרכוש טובין שבמונופולין, לרבות התניית התקשרות בתנאים שאינם סבירים;</w:t>
      </w:r>
    </w:p>
    <w:p w:rsidR="00DE2D7D" w:rsidRPr="00881572" w:rsidRDefault="00DE2D7D" w:rsidP="00881572">
      <w:pPr>
        <w:spacing w:line="240" w:lineRule="auto"/>
        <w:ind w:left="941" w:right="426"/>
        <w:rPr>
          <w:color w:val="000000"/>
          <w:sz w:val="24"/>
          <w:rtl/>
        </w:rPr>
      </w:pPr>
      <w:r w:rsidRPr="00881572">
        <w:rPr>
          <w:rFonts w:hint="cs"/>
          <w:color w:val="000000"/>
          <w:sz w:val="24"/>
          <w:rtl/>
        </w:rPr>
        <w:t>......</w:t>
      </w:r>
      <w:r w:rsidRPr="00881572">
        <w:rPr>
          <w:color w:val="000000"/>
          <w:sz w:val="24"/>
          <w:rtl/>
        </w:rPr>
        <w:tab/>
      </w:r>
    </w:p>
    <w:p w:rsidR="00DE2D7D" w:rsidRPr="00881572" w:rsidRDefault="00DE2D7D" w:rsidP="00881572">
      <w:pPr>
        <w:spacing w:line="240" w:lineRule="auto"/>
        <w:ind w:left="941" w:right="426"/>
        <w:rPr>
          <w:color w:val="000000"/>
          <w:sz w:val="24"/>
          <w:rtl/>
        </w:rPr>
      </w:pPr>
      <w:r w:rsidRPr="00881572">
        <w:rPr>
          <w:rFonts w:hint="cs"/>
          <w:color w:val="000000"/>
          <w:sz w:val="24"/>
          <w:rtl/>
        </w:rPr>
        <w:t>(10)</w:t>
      </w:r>
      <w:r w:rsidRPr="00881572">
        <w:rPr>
          <w:color w:val="000000"/>
          <w:sz w:val="24"/>
          <w:rtl/>
        </w:rPr>
        <w:t> </w:t>
      </w:r>
      <w:r w:rsidRPr="00881572">
        <w:rPr>
          <w:rFonts w:hint="cs"/>
          <w:color w:val="000000"/>
          <w:sz w:val="24"/>
          <w:rtl/>
        </w:rPr>
        <w:t>אפליה בין רוכשים או בין ספקים.</w:t>
      </w:r>
    </w:p>
    <w:p w:rsidR="00DE2D7D" w:rsidRDefault="00DE2D7D" w:rsidP="00251ECD">
      <w:r>
        <w:rPr>
          <w:rFonts w:hint="cs"/>
          <w:rtl/>
        </w:rPr>
        <w:t>בנסיבות המתוארות לעיל, התנהגות חברת החשמל ונושאי המשרה הינה ברת עיצום כספי כמפורט בהודעת הממונה בדבר סוג המעשים והמחדלים לעניין עיצום כספי</w:t>
      </w:r>
      <w:r w:rsidR="00251ECD">
        <w:rPr>
          <w:rFonts w:hint="cs"/>
          <w:rtl/>
        </w:rPr>
        <w:t>.</w:t>
      </w:r>
      <w:r>
        <w:rPr>
          <w:rStyle w:val="FootnoteReference"/>
          <w:rtl/>
        </w:rPr>
        <w:footnoteReference w:id="54"/>
      </w:r>
    </w:p>
    <w:p w:rsidR="00DE2D7D" w:rsidRPr="008352FB" w:rsidRDefault="00DE2D7D" w:rsidP="00DE2D7D">
      <w:r w:rsidRPr="008352FB">
        <w:rPr>
          <w:rFonts w:hint="cs"/>
          <w:rtl/>
        </w:rPr>
        <w:t>סעיף 50</w:t>
      </w:r>
      <w:r>
        <w:rPr>
          <w:rFonts w:hint="cs"/>
          <w:rtl/>
        </w:rPr>
        <w:t>ה לחוק מפרט רשימה בלתי ממצה של השיקולים אותם ישקול הממונה בבואו להטיל עיצום כספי, כדלקמן:</w:t>
      </w:r>
      <w:r w:rsidRPr="008352FB">
        <w:rPr>
          <w:rFonts w:hint="cs"/>
          <w:rtl/>
        </w:rPr>
        <w:t xml:space="preserve"> </w:t>
      </w:r>
    </w:p>
    <w:p w:rsidR="00DE2D7D" w:rsidRPr="00881572" w:rsidRDefault="00DE2D7D" w:rsidP="00881572">
      <w:pPr>
        <w:spacing w:line="240" w:lineRule="auto"/>
        <w:ind w:left="941" w:right="426"/>
        <w:rPr>
          <w:color w:val="000000"/>
          <w:sz w:val="24"/>
          <w:rtl/>
        </w:rPr>
      </w:pPr>
      <w:r w:rsidRPr="00881572">
        <w:rPr>
          <w:rFonts w:hint="cs"/>
          <w:color w:val="000000"/>
          <w:sz w:val="24"/>
          <w:rtl/>
        </w:rPr>
        <w:t>"</w:t>
      </w:r>
      <w:r w:rsidRPr="00881572">
        <w:rPr>
          <w:color w:val="000000"/>
          <w:sz w:val="24"/>
          <w:rtl/>
        </w:rPr>
        <w:t>50</w:t>
      </w:r>
      <w:r w:rsidRPr="00881572">
        <w:rPr>
          <w:rFonts w:hint="cs"/>
          <w:color w:val="000000"/>
          <w:sz w:val="24"/>
          <w:rtl/>
        </w:rPr>
        <w:t>ה</w:t>
      </w:r>
      <w:r w:rsidRPr="00881572">
        <w:rPr>
          <w:color w:val="000000"/>
          <w:sz w:val="24"/>
          <w:rtl/>
        </w:rPr>
        <w:t>.</w:t>
      </w:r>
      <w:r w:rsidRPr="00881572">
        <w:rPr>
          <w:rFonts w:hint="cs"/>
          <w:color w:val="000000"/>
          <w:sz w:val="24"/>
          <w:rtl/>
        </w:rPr>
        <w:t xml:space="preserve"> בבואו לקבוע את סכום העיצום הכספי שיטיל לפי סעיף 50ד, ישקול הממונה, בין השאר, את הנסיבות והשיקולים שלהלן, לפי העניין:</w:t>
      </w:r>
    </w:p>
    <w:p w:rsidR="00DE2D7D" w:rsidRPr="00881572" w:rsidRDefault="00DE2D7D" w:rsidP="00881572">
      <w:pPr>
        <w:spacing w:line="240" w:lineRule="auto"/>
        <w:ind w:left="941" w:right="426"/>
        <w:rPr>
          <w:color w:val="000000"/>
          <w:sz w:val="24"/>
          <w:rtl/>
        </w:rPr>
      </w:pPr>
      <w:r w:rsidRPr="00881572">
        <w:rPr>
          <w:rFonts w:hint="cs"/>
          <w:color w:val="000000"/>
          <w:sz w:val="24"/>
          <w:rtl/>
        </w:rPr>
        <w:t>משך ההפרה;</w:t>
      </w:r>
    </w:p>
    <w:p w:rsidR="00DE2D7D" w:rsidRPr="00881572" w:rsidRDefault="00DE2D7D" w:rsidP="00881572">
      <w:pPr>
        <w:spacing w:line="240" w:lineRule="auto"/>
        <w:ind w:left="941" w:right="426"/>
        <w:rPr>
          <w:color w:val="000000"/>
          <w:sz w:val="24"/>
          <w:rtl/>
        </w:rPr>
      </w:pPr>
      <w:r w:rsidRPr="00881572">
        <w:rPr>
          <w:rFonts w:hint="cs"/>
          <w:color w:val="000000"/>
          <w:sz w:val="24"/>
          <w:rtl/>
        </w:rPr>
        <w:t>מידת הפגיעה שההפרה עלולה לגרום לתחרות או לציבור;</w:t>
      </w:r>
    </w:p>
    <w:p w:rsidR="00DE2D7D" w:rsidRPr="00881572" w:rsidRDefault="00DE2D7D" w:rsidP="00881572">
      <w:pPr>
        <w:spacing w:line="240" w:lineRule="auto"/>
        <w:ind w:left="941" w:right="426"/>
        <w:rPr>
          <w:color w:val="000000"/>
          <w:sz w:val="24"/>
          <w:rtl/>
        </w:rPr>
      </w:pPr>
      <w:r w:rsidRPr="00881572">
        <w:rPr>
          <w:rFonts w:hint="cs"/>
          <w:color w:val="000000"/>
          <w:sz w:val="24"/>
          <w:rtl/>
        </w:rPr>
        <w:t>חלקו של המפר בהפרה, ומידת השפעתו על ביצועה;</w:t>
      </w:r>
    </w:p>
    <w:p w:rsidR="00DE2D7D" w:rsidRPr="00881572" w:rsidRDefault="00DE2D7D" w:rsidP="00881572">
      <w:pPr>
        <w:spacing w:line="240" w:lineRule="auto"/>
        <w:ind w:left="941" w:right="426"/>
        <w:rPr>
          <w:color w:val="000000"/>
          <w:sz w:val="24"/>
          <w:rtl/>
        </w:rPr>
      </w:pPr>
      <w:r w:rsidRPr="00881572">
        <w:rPr>
          <w:rFonts w:hint="cs"/>
          <w:color w:val="000000"/>
          <w:sz w:val="24"/>
          <w:rtl/>
        </w:rPr>
        <w:t>קיומן או העדרן של הפרות קודמות ומועד ביצוען;</w:t>
      </w:r>
    </w:p>
    <w:p w:rsidR="00DE2D7D" w:rsidRPr="00881572" w:rsidRDefault="00DE2D7D" w:rsidP="00881572">
      <w:pPr>
        <w:spacing w:line="240" w:lineRule="auto"/>
        <w:ind w:left="941" w:right="426"/>
        <w:rPr>
          <w:color w:val="000000"/>
          <w:sz w:val="24"/>
          <w:rtl/>
        </w:rPr>
      </w:pPr>
      <w:r w:rsidRPr="00881572">
        <w:rPr>
          <w:rFonts w:hint="cs"/>
          <w:color w:val="000000"/>
          <w:sz w:val="24"/>
          <w:rtl/>
        </w:rPr>
        <w:t>פעולות שנקט המפר למניעת הישנות ההפרה או להפסקתה, לרבות דיווח מיוזמתו על ההפרה, או פעולות שנקט לתיקון תוצאות ההפרה;</w:t>
      </w:r>
    </w:p>
    <w:p w:rsidR="00DE2D7D" w:rsidRPr="00881572" w:rsidRDefault="00DE2D7D" w:rsidP="00881572">
      <w:pPr>
        <w:spacing w:line="240" w:lineRule="auto"/>
        <w:ind w:left="941" w:right="426"/>
        <w:rPr>
          <w:color w:val="000000"/>
          <w:sz w:val="24"/>
          <w:rtl/>
        </w:rPr>
      </w:pPr>
      <w:r w:rsidRPr="00881572">
        <w:rPr>
          <w:rFonts w:hint="cs"/>
          <w:color w:val="000000"/>
          <w:sz w:val="24"/>
          <w:rtl/>
        </w:rPr>
        <w:t xml:space="preserve">לגבי מפר שהוא יחיד </w:t>
      </w:r>
      <w:r w:rsidRPr="00881572">
        <w:rPr>
          <w:color w:val="000000"/>
          <w:sz w:val="24"/>
          <w:rtl/>
        </w:rPr>
        <w:t>–</w:t>
      </w:r>
      <w:r w:rsidRPr="00881572">
        <w:rPr>
          <w:rFonts w:hint="cs"/>
          <w:color w:val="000000"/>
          <w:sz w:val="24"/>
          <w:rtl/>
        </w:rPr>
        <w:t xml:space="preserve"> יכולתו הכלכלית, ובכלל זה הכנסתו שהופקה או שנצמחה מתאגיד הקשור בהפרה, וכן נסיבות אישיות שבעטיין בוצעה ההפרה או נסיבות אישיות קשות המצדיקות שלא למצות את הדין עם הפר;</w:t>
      </w:r>
    </w:p>
    <w:p w:rsidR="00DE2D7D" w:rsidRPr="00881572" w:rsidRDefault="00DE2D7D" w:rsidP="00881572">
      <w:pPr>
        <w:spacing w:line="240" w:lineRule="auto"/>
        <w:ind w:left="941" w:right="426"/>
        <w:rPr>
          <w:color w:val="000000"/>
          <w:sz w:val="24"/>
          <w:rtl/>
        </w:rPr>
      </w:pPr>
      <w:r w:rsidRPr="00881572">
        <w:rPr>
          <w:rFonts w:hint="cs"/>
          <w:color w:val="000000"/>
          <w:sz w:val="24"/>
          <w:rtl/>
        </w:rPr>
        <w:t xml:space="preserve">לגבי מפר שהוא תאגיד </w:t>
      </w:r>
      <w:r w:rsidRPr="00881572">
        <w:rPr>
          <w:color w:val="000000"/>
          <w:sz w:val="24"/>
          <w:rtl/>
        </w:rPr>
        <w:t>–</w:t>
      </w:r>
      <w:r w:rsidRPr="00881572">
        <w:rPr>
          <w:rFonts w:hint="cs"/>
          <w:color w:val="000000"/>
          <w:sz w:val="24"/>
          <w:rtl/>
        </w:rPr>
        <w:t xml:space="preserve"> קיומו של חשש משמעותי כי כתוצאה מהטלת העיצום לא יוכל המפר לפרוע את חובותיו ופעילותו תופסק."</w:t>
      </w:r>
    </w:p>
    <w:p w:rsidR="00DE2D7D" w:rsidRDefault="00DE2D7D" w:rsidP="006025B6">
      <w:pPr>
        <w:rPr>
          <w:rtl/>
        </w:rPr>
      </w:pPr>
      <w:r>
        <w:rPr>
          <w:rFonts w:hint="cs"/>
          <w:rtl/>
        </w:rPr>
        <w:t>עם כניסתו של תיקון 13 לחוק והוספת פרק ז'1 לחוק, פרסם הממונה גילוי דעת בדבר אמות המידה והשיקולים בקביעת גובה עיצום כספי (להלן: "</w:t>
      </w:r>
      <w:r w:rsidRPr="008352FB">
        <w:rPr>
          <w:rFonts w:hint="cs"/>
          <w:b/>
          <w:bCs/>
          <w:rtl/>
        </w:rPr>
        <w:t>גילוי דעת 2/12</w:t>
      </w:r>
      <w:r>
        <w:rPr>
          <w:rFonts w:hint="cs"/>
          <w:rtl/>
        </w:rPr>
        <w:t xml:space="preserve">"). </w:t>
      </w:r>
      <w:r>
        <w:rPr>
          <w:rFonts w:ascii="David" w:hAnsi="David" w:hint="cs"/>
          <w:rtl/>
        </w:rPr>
        <w:t>ביום 26.10.2016 פורסם גילוי דעת 1/16, שמחליף את גילוי דעת 2/12, ומטרתו ל</w:t>
      </w:r>
      <w:r w:rsidR="00314D88">
        <w:rPr>
          <w:rFonts w:ascii="David" w:hAnsi="David" w:hint="cs"/>
          <w:rtl/>
        </w:rPr>
        <w:t>הוסיף ול</w:t>
      </w:r>
      <w:r>
        <w:rPr>
          <w:rFonts w:ascii="David" w:hAnsi="David" w:hint="cs"/>
          <w:rtl/>
        </w:rPr>
        <w:t xml:space="preserve">התוות את שיקול דעתה של הממונה </w:t>
      </w:r>
      <w:r>
        <w:rPr>
          <w:rFonts w:ascii="David" w:hAnsi="David" w:hint="cs"/>
          <w:rtl/>
        </w:rPr>
        <w:lastRenderedPageBreak/>
        <w:t>בעת קביעת סכום העיצום הכספי</w:t>
      </w:r>
      <w:r w:rsidR="00D32ECF">
        <w:rPr>
          <w:rStyle w:val="FootnoteReference"/>
          <w:rFonts w:ascii="David" w:hAnsi="David"/>
          <w:rtl/>
        </w:rPr>
        <w:footnoteReference w:id="55"/>
      </w:r>
      <w:r>
        <w:rPr>
          <w:rFonts w:ascii="David" w:hAnsi="David" w:hint="cs"/>
          <w:rtl/>
        </w:rPr>
        <w:t xml:space="preserve"> (להלן: "</w:t>
      </w:r>
      <w:r w:rsidRPr="005314D4">
        <w:rPr>
          <w:rFonts w:ascii="David" w:hAnsi="David" w:hint="cs"/>
          <w:b/>
          <w:bCs/>
          <w:rtl/>
        </w:rPr>
        <w:t>גילוי דעת</w:t>
      </w:r>
      <w:r>
        <w:rPr>
          <w:rFonts w:ascii="David" w:hAnsi="David" w:hint="cs"/>
          <w:rtl/>
        </w:rPr>
        <w:t xml:space="preserve"> </w:t>
      </w:r>
      <w:r w:rsidRPr="000E611B">
        <w:rPr>
          <w:rFonts w:ascii="David" w:hAnsi="David" w:hint="cs"/>
          <w:b/>
          <w:bCs/>
          <w:rtl/>
        </w:rPr>
        <w:t>1/16</w:t>
      </w:r>
      <w:r>
        <w:rPr>
          <w:rFonts w:ascii="David" w:hAnsi="David" w:hint="cs"/>
          <w:rtl/>
        </w:rPr>
        <w:t>"), וזאת בהתבסס על הנ</w:t>
      </w:r>
      <w:r w:rsidR="00314D88">
        <w:rPr>
          <w:rFonts w:ascii="David" w:hAnsi="David" w:hint="cs"/>
          <w:rtl/>
        </w:rPr>
        <w:t>י</w:t>
      </w:r>
      <w:r>
        <w:rPr>
          <w:rFonts w:ascii="David" w:hAnsi="David" w:hint="cs"/>
          <w:rtl/>
        </w:rPr>
        <w:t xml:space="preserve">סיון </w:t>
      </w:r>
      <w:r w:rsidR="00314D88">
        <w:rPr>
          <w:rFonts w:ascii="David" w:hAnsi="David" w:hint="cs"/>
          <w:rtl/>
        </w:rPr>
        <w:t xml:space="preserve">שנצבר </w:t>
      </w:r>
      <w:r>
        <w:rPr>
          <w:rFonts w:ascii="David" w:hAnsi="David" w:hint="cs"/>
          <w:rtl/>
        </w:rPr>
        <w:t>ברשות ההגבלים העסקים מאז כניסתה לתוקף של הסמכות להטיל עיצומים</w:t>
      </w:r>
      <w:r w:rsidR="00314D88">
        <w:rPr>
          <w:rFonts w:ascii="David" w:hAnsi="David" w:hint="cs"/>
          <w:rtl/>
        </w:rPr>
        <w:t xml:space="preserve"> ויישום גילוי דעת 2/12</w:t>
      </w:r>
      <w:r>
        <w:rPr>
          <w:rFonts w:ascii="David" w:hAnsi="David" w:hint="cs"/>
          <w:rtl/>
        </w:rPr>
        <w:t xml:space="preserve">. </w:t>
      </w:r>
      <w:r>
        <w:rPr>
          <w:rFonts w:hint="cs"/>
          <w:rtl/>
        </w:rPr>
        <w:t xml:space="preserve">כפי שמפרט גילוי דעת 1/16, ההחלטה על הטלת עיצום כספי ושיעורו תיעשה על פי המתווה הקבוע בסעיף 50ה לחוק, ובהתאם לשיקולים הרלוונטיים לפי  נסיבותיו הייחודיות של כל מקרה ומקרה. </w:t>
      </w:r>
    </w:p>
    <w:p w:rsidR="00314D88" w:rsidRDefault="00A269C5" w:rsidP="004D764D">
      <w:pPr>
        <w:rPr>
          <w:rtl/>
        </w:rPr>
      </w:pPr>
      <w:r>
        <w:rPr>
          <w:rFonts w:hint="cs"/>
          <w:rtl/>
        </w:rPr>
        <w:t>הודעות על</w:t>
      </w:r>
      <w:r w:rsidR="00314D88">
        <w:rPr>
          <w:rFonts w:hint="cs"/>
          <w:rtl/>
        </w:rPr>
        <w:t xml:space="preserve"> כוונת </w:t>
      </w:r>
      <w:r w:rsidR="00057D2B">
        <w:rPr>
          <w:rFonts w:hint="cs"/>
          <w:rtl/>
        </w:rPr>
        <w:t>ה</w:t>
      </w:r>
      <w:r w:rsidR="00314D88">
        <w:rPr>
          <w:rFonts w:hint="cs"/>
          <w:rtl/>
        </w:rPr>
        <w:t xml:space="preserve">חיוב </w:t>
      </w:r>
      <w:r w:rsidR="00057D2B">
        <w:rPr>
          <w:rFonts w:hint="cs"/>
          <w:rtl/>
        </w:rPr>
        <w:t xml:space="preserve">נשלחו </w:t>
      </w:r>
      <w:r w:rsidR="00314D88">
        <w:rPr>
          <w:rFonts w:hint="cs"/>
          <w:rtl/>
        </w:rPr>
        <w:t xml:space="preserve">לחברת החשמל ונושאי המשרה </w:t>
      </w:r>
      <w:r w:rsidR="00240E60">
        <w:rPr>
          <w:rFonts w:hint="cs"/>
          <w:rtl/>
        </w:rPr>
        <w:t>ב</w:t>
      </w:r>
      <w:r w:rsidR="00057D2B">
        <w:rPr>
          <w:rFonts w:hint="cs"/>
          <w:rtl/>
        </w:rPr>
        <w:t>טרם פורסם גילוי דעת 1/16</w:t>
      </w:r>
      <w:r w:rsidR="00314D88">
        <w:rPr>
          <w:rFonts w:hint="cs"/>
          <w:rtl/>
        </w:rPr>
        <w:t xml:space="preserve">. במהלך שמיעת חברת החשמל ונושאי המשרה פורסמה טיוטת גילוי דעת 1/16 והמפרים טענו לגביה. במסגרת החלטה זו יושם גילוי דעת 1/16 בקביעת גובה העיצום, תוך שניתן משקל לקולא מקום בו הוא הוביל לחישוב גובה עיצום </w:t>
      </w:r>
      <w:r w:rsidR="00057D2B">
        <w:rPr>
          <w:rFonts w:hint="cs"/>
          <w:rtl/>
        </w:rPr>
        <w:t>ה</w:t>
      </w:r>
      <w:r w:rsidR="00314D88">
        <w:rPr>
          <w:rFonts w:hint="cs"/>
          <w:rtl/>
        </w:rPr>
        <w:t>גבוה מהנקוב ב</w:t>
      </w:r>
      <w:r>
        <w:rPr>
          <w:rFonts w:hint="cs"/>
          <w:rtl/>
        </w:rPr>
        <w:t>הודעות</w:t>
      </w:r>
      <w:r w:rsidR="00314D88">
        <w:rPr>
          <w:rFonts w:hint="cs"/>
          <w:rtl/>
        </w:rPr>
        <w:t xml:space="preserve"> כוונת </w:t>
      </w:r>
      <w:r w:rsidR="003D532A">
        <w:rPr>
          <w:rFonts w:hint="cs"/>
          <w:rtl/>
        </w:rPr>
        <w:t>החיוב</w:t>
      </w:r>
      <w:r w:rsidR="00314D88">
        <w:rPr>
          <w:rFonts w:hint="cs"/>
          <w:rtl/>
        </w:rPr>
        <w:t>.</w:t>
      </w:r>
    </w:p>
    <w:p w:rsidR="00DE2D7D" w:rsidRPr="008C1FE1" w:rsidRDefault="006838DF" w:rsidP="006838DF">
      <w:pPr>
        <w:pStyle w:val="Heading2"/>
        <w:numPr>
          <w:ilvl w:val="0"/>
          <w:numId w:val="0"/>
        </w:numPr>
        <w:ind w:left="851"/>
        <w:jc w:val="left"/>
        <w:rPr>
          <w:rtl/>
        </w:rPr>
      </w:pPr>
      <w:bookmarkStart w:id="33" w:name="_Toc476497419"/>
      <w:r>
        <w:rPr>
          <w:rFonts w:hint="cs"/>
          <w:rtl/>
        </w:rPr>
        <w:t xml:space="preserve">ד.2. </w:t>
      </w:r>
      <w:r w:rsidR="00DE2D7D" w:rsidRPr="006838DF">
        <w:rPr>
          <w:rFonts w:hint="cs"/>
          <w:rtl/>
        </w:rPr>
        <w:t>קביעת</w:t>
      </w:r>
      <w:r w:rsidR="00DE2D7D" w:rsidRPr="008C1FE1">
        <w:rPr>
          <w:rFonts w:hint="cs"/>
          <w:rtl/>
        </w:rPr>
        <w:t xml:space="preserve"> גובה העיצום </w:t>
      </w:r>
      <w:r w:rsidR="00DE2D7D" w:rsidRPr="008C1FE1">
        <w:rPr>
          <w:rtl/>
        </w:rPr>
        <w:t>–</w:t>
      </w:r>
      <w:r w:rsidR="00DE2D7D" w:rsidRPr="008C1FE1">
        <w:rPr>
          <w:rFonts w:hint="cs"/>
          <w:rtl/>
        </w:rPr>
        <w:t xml:space="preserve"> חברת החשמל</w:t>
      </w:r>
      <w:bookmarkEnd w:id="33"/>
    </w:p>
    <w:p w:rsidR="00DE2D7D" w:rsidRDefault="00DE2D7D" w:rsidP="00DE2D7D">
      <w:pPr>
        <w:rPr>
          <w:rtl/>
        </w:rPr>
      </w:pPr>
      <w:r w:rsidRPr="005A5229">
        <w:rPr>
          <w:rFonts w:hint="cs"/>
          <w:rtl/>
        </w:rPr>
        <w:t>גילוי דעת 1/16 מתווה ארבעה שלבים לקביעת סכום</w:t>
      </w:r>
      <w:r>
        <w:rPr>
          <w:rFonts w:hint="cs"/>
          <w:rtl/>
        </w:rPr>
        <w:t xml:space="preserve"> העיצום הכספי עבור תאגיד כדלקמן;</w:t>
      </w:r>
    </w:p>
    <w:p w:rsidR="00DE2D7D" w:rsidRPr="000E611B" w:rsidRDefault="00DE2D7D" w:rsidP="00DE2D7D">
      <w:pPr>
        <w:pStyle w:val="Heading3"/>
        <w:numPr>
          <w:ilvl w:val="0"/>
          <w:numId w:val="0"/>
        </w:numPr>
        <w:spacing w:before="120" w:after="0"/>
        <w:ind w:left="657"/>
        <w:rPr>
          <w:rFonts w:cs="David"/>
        </w:rPr>
      </w:pPr>
      <w:bookmarkStart w:id="34" w:name="_Toc476497420"/>
      <w:r w:rsidRPr="000E611B">
        <w:rPr>
          <w:rFonts w:cs="David" w:hint="cs"/>
          <w:rtl/>
        </w:rPr>
        <w:t xml:space="preserve">סכום העיצום המרבי שיוטל </w:t>
      </w:r>
      <w:r w:rsidR="007C286A">
        <w:rPr>
          <w:rFonts w:cs="David" w:hint="cs"/>
          <w:rtl/>
        </w:rPr>
        <w:t xml:space="preserve">על </w:t>
      </w:r>
      <w:r w:rsidRPr="000E611B">
        <w:rPr>
          <w:rFonts w:cs="David" w:hint="cs"/>
          <w:rtl/>
        </w:rPr>
        <w:t>חברת החשמל</w:t>
      </w:r>
      <w:bookmarkEnd w:id="34"/>
    </w:p>
    <w:p w:rsidR="00DE2D7D" w:rsidRDefault="00DE2D7D" w:rsidP="00B124EC">
      <w:pPr>
        <w:rPr>
          <w:rtl/>
        </w:rPr>
      </w:pPr>
      <w:r w:rsidRPr="00E04199">
        <w:rPr>
          <w:rFonts w:hint="cs"/>
          <w:rtl/>
        </w:rPr>
        <w:t>בשלב הראשון,</w:t>
      </w:r>
      <w:r w:rsidRPr="005A5229">
        <w:rPr>
          <w:rFonts w:hint="cs"/>
          <w:rtl/>
        </w:rPr>
        <w:t xml:space="preserve"> נקבע העיצום המרבי האפשרי עבור </w:t>
      </w:r>
      <w:r>
        <w:rPr>
          <w:rFonts w:hint="cs"/>
          <w:rtl/>
        </w:rPr>
        <w:t>חברת החשמל</w:t>
      </w:r>
      <w:r w:rsidRPr="005A5229">
        <w:rPr>
          <w:rFonts w:hint="cs"/>
          <w:rtl/>
        </w:rPr>
        <w:t xml:space="preserve">. </w:t>
      </w:r>
      <w:r w:rsidRPr="005A5229">
        <w:rPr>
          <w:rtl/>
        </w:rPr>
        <w:t>בהתאם לסעיף 50ד(א) לחוק</w:t>
      </w:r>
      <w:r w:rsidRPr="005A5229">
        <w:rPr>
          <w:rFonts w:hint="cs"/>
          <w:rtl/>
        </w:rPr>
        <w:t>,</w:t>
      </w:r>
      <w:r w:rsidRPr="005A5229">
        <w:rPr>
          <w:rtl/>
        </w:rPr>
        <w:t xml:space="preserve"> הממונה רשאי</w:t>
      </w:r>
      <w:r>
        <w:rPr>
          <w:rFonts w:hint="cs"/>
          <w:rtl/>
        </w:rPr>
        <w:t>ת</w:t>
      </w:r>
      <w:r w:rsidRPr="005A5229">
        <w:rPr>
          <w:rtl/>
        </w:rPr>
        <w:t xml:space="preserve"> להטיל על תאגיד שמחזור המכירות שלו בשנה שקדמה </w:t>
      </w:r>
      <w:r>
        <w:rPr>
          <w:rFonts w:hint="cs"/>
          <w:rtl/>
        </w:rPr>
        <w:t xml:space="preserve">לשנת הכספים בה בוצעה </w:t>
      </w:r>
      <w:r w:rsidRPr="005A5229">
        <w:rPr>
          <w:rtl/>
        </w:rPr>
        <w:t xml:space="preserve">ההפרה עלה על 10 מיליון </w:t>
      </w:r>
      <w:r w:rsidR="004F30D7">
        <w:rPr>
          <w:rFonts w:hint="cs"/>
          <w:rtl/>
        </w:rPr>
        <w:t>ש</w:t>
      </w:r>
      <w:r w:rsidR="004F30D7">
        <w:rPr>
          <w:rtl/>
        </w:rPr>
        <w:t>"</w:t>
      </w:r>
      <w:r w:rsidR="004F30D7">
        <w:rPr>
          <w:rFonts w:hint="cs"/>
          <w:rtl/>
        </w:rPr>
        <w:t>ח</w:t>
      </w:r>
      <w:r w:rsidRPr="005A5229">
        <w:rPr>
          <w:rtl/>
        </w:rPr>
        <w:t xml:space="preserve">, עיצום כספי בשיעור של עד שמונה אחוזים ממחזור המכירות שלו, ובלבד שסכום העיצום לא יעלה </w:t>
      </w:r>
      <w:r w:rsidRPr="005A5229">
        <w:rPr>
          <w:rFonts w:hint="cs"/>
          <w:rtl/>
        </w:rPr>
        <w:t xml:space="preserve">על </w:t>
      </w:r>
      <w:r w:rsidR="008B46C1">
        <w:rPr>
          <w:rFonts w:hint="cs"/>
          <w:sz w:val="24"/>
          <w:rtl/>
        </w:rPr>
        <w:t>24,490,070</w:t>
      </w:r>
      <w:r w:rsidRPr="005A5229">
        <w:rPr>
          <w:rFonts w:hint="cs"/>
          <w:rtl/>
        </w:rPr>
        <w:t xml:space="preserve"> </w:t>
      </w:r>
      <w:r w:rsidR="004F30D7">
        <w:rPr>
          <w:rFonts w:hint="cs"/>
          <w:rtl/>
        </w:rPr>
        <w:t>ש</w:t>
      </w:r>
      <w:r w:rsidR="004F30D7">
        <w:rPr>
          <w:rtl/>
        </w:rPr>
        <w:t>"</w:t>
      </w:r>
      <w:r w:rsidR="004F30D7">
        <w:rPr>
          <w:rFonts w:hint="cs"/>
          <w:rtl/>
        </w:rPr>
        <w:t>ח</w:t>
      </w:r>
      <w:r w:rsidRPr="005A5229">
        <w:rPr>
          <w:rFonts w:hint="cs"/>
          <w:rtl/>
        </w:rPr>
        <w:t xml:space="preserve">. </w:t>
      </w:r>
    </w:p>
    <w:p w:rsidR="00DE2D7D" w:rsidRPr="001F3D6F" w:rsidRDefault="00DE2D7D" w:rsidP="00B44D9C">
      <w:pPr>
        <w:rPr>
          <w:b/>
          <w:bCs/>
          <w:rtl/>
        </w:rPr>
      </w:pPr>
      <w:r>
        <w:rPr>
          <w:rFonts w:ascii="David" w:hAnsi="David" w:hint="cs"/>
          <w:rtl/>
        </w:rPr>
        <w:t xml:space="preserve">בענייננו, ההפרה ברת העיצום החלה באמצע שנת 2013 ונמשכה עד סוף שנת 2015, היינו </w:t>
      </w:r>
      <w:r w:rsidR="00B44D9C">
        <w:rPr>
          <w:rFonts w:ascii="David" w:hAnsi="David" w:hint="cs"/>
          <w:rtl/>
        </w:rPr>
        <w:t xml:space="preserve">במשך </w:t>
      </w:r>
      <w:r>
        <w:rPr>
          <w:rFonts w:ascii="David" w:hAnsi="David" w:hint="cs"/>
          <w:rtl/>
        </w:rPr>
        <w:t>שנתיים וחצי.</w:t>
      </w:r>
      <w:r w:rsidRPr="00ED509C">
        <w:rPr>
          <w:rFonts w:hint="cs"/>
          <w:rtl/>
        </w:rPr>
        <w:t xml:space="preserve"> </w:t>
      </w:r>
      <w:r w:rsidRPr="0096099A">
        <w:rPr>
          <w:rFonts w:hint="cs"/>
          <w:rtl/>
        </w:rPr>
        <w:t xml:space="preserve">מחזור המכירות הרלוונטי של </w:t>
      </w:r>
      <w:r>
        <w:rPr>
          <w:rFonts w:hint="cs"/>
          <w:rtl/>
        </w:rPr>
        <w:t>חברת החשמל</w:t>
      </w:r>
      <w:r w:rsidRPr="0096099A">
        <w:rPr>
          <w:rFonts w:hint="cs"/>
          <w:rtl/>
        </w:rPr>
        <w:t xml:space="preserve"> </w:t>
      </w:r>
      <w:r>
        <w:rPr>
          <w:rFonts w:hint="cs"/>
          <w:rtl/>
        </w:rPr>
        <w:t xml:space="preserve">לקביעת גובה העיצום </w:t>
      </w:r>
      <w:r w:rsidRPr="0096099A">
        <w:rPr>
          <w:rFonts w:hint="cs"/>
          <w:rtl/>
        </w:rPr>
        <w:t xml:space="preserve">חושב כממוצע משוקלל של מחזור המכירות </w:t>
      </w:r>
      <w:r>
        <w:rPr>
          <w:rFonts w:hint="cs"/>
          <w:rtl/>
        </w:rPr>
        <w:t xml:space="preserve">של חברת החשמל </w:t>
      </w:r>
      <w:r w:rsidRPr="0096099A">
        <w:rPr>
          <w:rFonts w:hint="cs"/>
          <w:rtl/>
        </w:rPr>
        <w:t xml:space="preserve">בכל אחת מהשנים </w:t>
      </w:r>
      <w:r>
        <w:rPr>
          <w:rFonts w:hint="cs"/>
          <w:rtl/>
        </w:rPr>
        <w:t xml:space="preserve">שקדמו לשנים הנ"ל בהן בוצעה ההפרה </w:t>
      </w:r>
      <w:r w:rsidRPr="0096099A">
        <w:rPr>
          <w:rFonts w:hint="cs"/>
          <w:rtl/>
        </w:rPr>
        <w:t>(ב</w:t>
      </w:r>
      <w:r>
        <w:rPr>
          <w:rFonts w:hint="cs"/>
          <w:rtl/>
        </w:rPr>
        <w:t>התאם למספר חודשי ההפרה בכל שנה)</w:t>
      </w:r>
      <w:r w:rsidRPr="0096099A">
        <w:rPr>
          <w:rFonts w:hint="cs"/>
          <w:rtl/>
        </w:rPr>
        <w:t>.</w:t>
      </w:r>
    </w:p>
    <w:p w:rsidR="00DE2D7D" w:rsidRDefault="00DE2D7D" w:rsidP="00A73788">
      <w:pPr>
        <w:rPr>
          <w:rtl/>
        </w:rPr>
      </w:pPr>
      <w:r>
        <w:rPr>
          <w:rFonts w:hint="cs"/>
          <w:rtl/>
        </w:rPr>
        <w:t xml:space="preserve">מחזור המכירות המשוקלל של חברת החשמל לשנים 2012-2014 עומד על </w:t>
      </w:r>
      <w:r w:rsidRPr="00C72F56">
        <w:rPr>
          <w:rFonts w:hint="cs"/>
          <w:rtl/>
        </w:rPr>
        <w:t>כ-</w:t>
      </w:r>
      <w:r>
        <w:rPr>
          <w:rFonts w:hint="cs"/>
          <w:rtl/>
        </w:rPr>
        <w:t>26.4</w:t>
      </w:r>
      <w:r w:rsidRPr="00C72F56">
        <w:rPr>
          <w:rFonts w:hint="cs"/>
          <w:rtl/>
        </w:rPr>
        <w:t xml:space="preserve"> </w:t>
      </w:r>
      <w:r>
        <w:rPr>
          <w:rFonts w:hint="cs"/>
          <w:rtl/>
        </w:rPr>
        <w:t xml:space="preserve">מיליארד </w:t>
      </w:r>
      <w:r w:rsidR="004F30D7">
        <w:rPr>
          <w:rFonts w:hint="cs"/>
          <w:rtl/>
        </w:rPr>
        <w:t>ש</w:t>
      </w:r>
      <w:r w:rsidR="004F30D7">
        <w:rPr>
          <w:rtl/>
        </w:rPr>
        <w:t>"</w:t>
      </w:r>
      <w:r w:rsidR="004F30D7">
        <w:rPr>
          <w:rFonts w:hint="cs"/>
          <w:rtl/>
        </w:rPr>
        <w:t>ח</w:t>
      </w:r>
      <w:r w:rsidRPr="00C72F56">
        <w:rPr>
          <w:rFonts w:hint="cs"/>
          <w:rtl/>
        </w:rPr>
        <w:t>.</w:t>
      </w:r>
      <w:r w:rsidRPr="00B346A5">
        <w:rPr>
          <w:rStyle w:val="FootnoteReference"/>
          <w:rtl/>
        </w:rPr>
        <w:footnoteReference w:id="56"/>
      </w:r>
      <w:r>
        <w:rPr>
          <w:rFonts w:hint="cs"/>
          <w:rtl/>
        </w:rPr>
        <w:t xml:space="preserve"> שמונה אחוזים ממחזור זה הוא סך העולה באופן ניכר על גובה העיצום המרבי הניתן להטיל על חברת החשמל בגין ההפרה, ועומד על שיעור של כ-2.08 מיליארד </w:t>
      </w:r>
      <w:r w:rsidR="004F30D7">
        <w:rPr>
          <w:rFonts w:hint="cs"/>
          <w:rtl/>
        </w:rPr>
        <w:t>ש</w:t>
      </w:r>
      <w:r w:rsidR="004F30D7">
        <w:rPr>
          <w:rtl/>
        </w:rPr>
        <w:t>"</w:t>
      </w:r>
      <w:r w:rsidR="004F30D7">
        <w:rPr>
          <w:rFonts w:hint="cs"/>
          <w:rtl/>
        </w:rPr>
        <w:t>ח</w:t>
      </w:r>
      <w:r>
        <w:rPr>
          <w:rFonts w:hint="cs"/>
          <w:rtl/>
        </w:rPr>
        <w:t xml:space="preserve">. בשל תקרת העיצום הקבועה בחוק, עומד סכום העיצום המרבי על סך של </w:t>
      </w:r>
      <w:r w:rsidR="00597414">
        <w:rPr>
          <w:rFonts w:hint="cs"/>
          <w:sz w:val="24"/>
          <w:rtl/>
        </w:rPr>
        <w:t>24,490,070</w:t>
      </w:r>
      <w:r>
        <w:rPr>
          <w:rFonts w:hint="cs"/>
          <w:rtl/>
        </w:rPr>
        <w:t xml:space="preserve"> </w:t>
      </w:r>
      <w:r w:rsidR="004F30D7">
        <w:rPr>
          <w:rFonts w:hint="cs"/>
          <w:rtl/>
        </w:rPr>
        <w:t>ש</w:t>
      </w:r>
      <w:r w:rsidR="004F30D7">
        <w:rPr>
          <w:rtl/>
        </w:rPr>
        <w:t>"</w:t>
      </w:r>
      <w:r w:rsidR="004F30D7">
        <w:rPr>
          <w:rFonts w:hint="cs"/>
          <w:rtl/>
        </w:rPr>
        <w:t>ח</w:t>
      </w:r>
      <w:r>
        <w:rPr>
          <w:rFonts w:hint="cs"/>
          <w:rtl/>
        </w:rPr>
        <w:t xml:space="preserve">. </w:t>
      </w:r>
    </w:p>
    <w:p w:rsidR="00DE2D7D" w:rsidRPr="000E611B" w:rsidRDefault="00DE2D7D" w:rsidP="00DE2D7D">
      <w:pPr>
        <w:pStyle w:val="Heading3"/>
        <w:numPr>
          <w:ilvl w:val="0"/>
          <w:numId w:val="0"/>
        </w:numPr>
        <w:spacing w:before="120" w:after="0"/>
        <w:ind w:left="657"/>
        <w:rPr>
          <w:rFonts w:cs="David"/>
          <w:rtl/>
        </w:rPr>
      </w:pPr>
      <w:bookmarkStart w:id="35" w:name="_Toc476497421"/>
      <w:r w:rsidRPr="000E611B">
        <w:rPr>
          <w:rFonts w:cs="David" w:hint="cs"/>
          <w:rtl/>
        </w:rPr>
        <w:t>עיצום הבסיס שיוטל על חברת החשמל</w:t>
      </w:r>
      <w:bookmarkEnd w:id="35"/>
    </w:p>
    <w:p w:rsidR="00DE2D7D" w:rsidRPr="003C6FC0" w:rsidRDefault="00DE2D7D" w:rsidP="00DE2D7D">
      <w:pPr>
        <w:rPr>
          <w:b/>
          <w:bCs/>
          <w:rtl/>
        </w:rPr>
      </w:pPr>
      <w:r w:rsidRPr="00E04199">
        <w:rPr>
          <w:rFonts w:hint="cs"/>
          <w:rtl/>
        </w:rPr>
        <w:t xml:space="preserve">בשלב </w:t>
      </w:r>
      <w:r>
        <w:rPr>
          <w:rFonts w:hint="cs"/>
          <w:rtl/>
        </w:rPr>
        <w:t>הבא</w:t>
      </w:r>
      <w:r>
        <w:rPr>
          <w:rFonts w:hint="cs"/>
          <w:b/>
          <w:bCs/>
          <w:rtl/>
        </w:rPr>
        <w:t xml:space="preserve"> </w:t>
      </w:r>
      <w:r w:rsidRPr="00382C2E">
        <w:rPr>
          <w:rFonts w:hint="cs"/>
          <w:rtl/>
        </w:rPr>
        <w:t xml:space="preserve">נשקלו הנסיבות הנוגעות להפרה עצמה, ועיקרן מידת הפגיעה שההפרה עלולה לגרום לתחרות או לציבור, בשים לב לזמן התמשכותה. </w:t>
      </w:r>
      <w:r>
        <w:rPr>
          <w:rFonts w:hint="cs"/>
          <w:rtl/>
        </w:rPr>
        <w:t xml:space="preserve">על פי גילוי דעת 1/16, </w:t>
      </w:r>
      <w:r w:rsidRPr="00382C2E">
        <w:rPr>
          <w:rFonts w:hint="cs"/>
          <w:rtl/>
        </w:rPr>
        <w:t xml:space="preserve">בהתאם לחומרת ההפרה נקבע "עיצום הבסיס", כשיעור באחוזים </w:t>
      </w:r>
      <w:r>
        <w:rPr>
          <w:rFonts w:hint="cs"/>
          <w:rtl/>
        </w:rPr>
        <w:t xml:space="preserve">בין 5%-90% </w:t>
      </w:r>
      <w:r w:rsidRPr="00382C2E">
        <w:rPr>
          <w:rFonts w:hint="cs"/>
          <w:rtl/>
        </w:rPr>
        <w:t xml:space="preserve">מתוך סכום העיצום המירבי. </w:t>
      </w:r>
    </w:p>
    <w:p w:rsidR="00DE2D7D" w:rsidRDefault="00DE2D7D" w:rsidP="0028080F">
      <w:r w:rsidRPr="000E611B">
        <w:rPr>
          <w:rFonts w:hint="cs"/>
          <w:sz w:val="24"/>
          <w:u w:val="single"/>
          <w:rtl/>
        </w:rPr>
        <w:t>חומרת ההפרה ומידת הפגיעה שעלולה להיגרם כתוצאה ממנה לתחרות או לציבור</w:t>
      </w:r>
      <w:r w:rsidRPr="00BB03D7">
        <w:rPr>
          <w:rFonts w:hint="cs"/>
          <w:sz w:val="24"/>
          <w:rtl/>
        </w:rPr>
        <w:t xml:space="preserve"> </w:t>
      </w:r>
      <w:r w:rsidRPr="000E611B">
        <w:rPr>
          <w:sz w:val="24"/>
          <w:rtl/>
        </w:rPr>
        <w:t>–</w:t>
      </w:r>
      <w:r w:rsidRPr="000E611B">
        <w:rPr>
          <w:rFonts w:hint="cs"/>
          <w:sz w:val="24"/>
          <w:rtl/>
        </w:rPr>
        <w:t xml:space="preserve"> </w:t>
      </w:r>
      <w:r w:rsidRPr="000E611B">
        <w:rPr>
          <w:rFonts w:hint="cs"/>
          <w:rtl/>
        </w:rPr>
        <w:t>ש</w:t>
      </w:r>
      <w:r>
        <w:rPr>
          <w:rFonts w:hint="cs"/>
          <w:rtl/>
        </w:rPr>
        <w:t xml:space="preserve">יקול זה מהווה את </w:t>
      </w:r>
      <w:r w:rsidRPr="00AC35E3">
        <w:rPr>
          <w:rFonts w:hint="cs"/>
          <w:rtl/>
        </w:rPr>
        <w:t xml:space="preserve">אמת המידה המרכזית מבין שיקולי הממונה בנוגע לאופן יישום סעיף 50ה לחוק וקביעת </w:t>
      </w:r>
      <w:r w:rsidRPr="00AC35E3">
        <w:rPr>
          <w:rFonts w:hint="cs"/>
          <w:rtl/>
        </w:rPr>
        <w:lastRenderedPageBreak/>
        <w:t>גובה העיצום הכספי.</w:t>
      </w:r>
      <w:r>
        <w:rPr>
          <w:rFonts w:hint="cs"/>
          <w:rtl/>
        </w:rPr>
        <w:t xml:space="preserve"> שיקול זה מביא בחשבון את </w:t>
      </w:r>
      <w:r w:rsidRPr="0070476E">
        <w:rPr>
          <w:rFonts w:hint="cs"/>
          <w:rtl/>
        </w:rPr>
        <w:t>פוטנציאל הפגיעה ש</w:t>
      </w:r>
      <w:r>
        <w:rPr>
          <w:rFonts w:hint="cs"/>
          <w:rtl/>
        </w:rPr>
        <w:t>ה</w:t>
      </w:r>
      <w:r w:rsidRPr="0070476E">
        <w:rPr>
          <w:rFonts w:hint="cs"/>
          <w:rtl/>
        </w:rPr>
        <w:t>הפרה</w:t>
      </w:r>
      <w:r>
        <w:rPr>
          <w:rFonts w:hint="cs"/>
          <w:rtl/>
        </w:rPr>
        <w:t xml:space="preserve"> עלולה לגרום ל</w:t>
      </w:r>
      <w:r w:rsidRPr="0070476E">
        <w:rPr>
          <w:rFonts w:hint="cs"/>
          <w:rtl/>
        </w:rPr>
        <w:t xml:space="preserve">תחרות </w:t>
      </w:r>
      <w:r>
        <w:rPr>
          <w:rFonts w:hint="cs"/>
          <w:rtl/>
        </w:rPr>
        <w:t xml:space="preserve">או לציבור, בהתחשב בטיב ההפרה ובנסיבות העניין. </w:t>
      </w:r>
    </w:p>
    <w:p w:rsidR="00DE2D7D" w:rsidRDefault="00C27D02" w:rsidP="00FF2D82">
      <w:pPr>
        <w:rPr>
          <w:rtl/>
        </w:rPr>
      </w:pPr>
      <w:r>
        <w:rPr>
          <w:rFonts w:hint="cs"/>
          <w:rtl/>
        </w:rPr>
        <w:t xml:space="preserve">במסגרת שיקול זה נלקחו בחשבון חומרת ההפרה כפי שבאה לידי ביטוי בהפסקת שירותי המת"ל ובהמשך, בהחזרתו החלקית והחלפתו במוקד ייעודי נחות. </w:t>
      </w:r>
      <w:r w:rsidR="00DE2D7D">
        <w:rPr>
          <w:rFonts w:hint="cs"/>
          <w:rtl/>
        </w:rPr>
        <w:t xml:space="preserve">פוטנציאל הפגיעה התחרותית הנובע </w:t>
      </w:r>
      <w:r>
        <w:rPr>
          <w:rFonts w:hint="cs"/>
          <w:rtl/>
        </w:rPr>
        <w:t>מהפסקת שירותי המת"ל</w:t>
      </w:r>
      <w:r w:rsidR="00DE2D7D">
        <w:rPr>
          <w:rFonts w:hint="cs"/>
          <w:rtl/>
        </w:rPr>
        <w:t xml:space="preserve"> הינו גבוה ביותר ולפיכך מצדיק הטלת עיצום כספי בשיעור משמעותי ביותר, </w:t>
      </w:r>
      <w:r w:rsidR="00DE2D7D" w:rsidRPr="009F5F5D">
        <w:rPr>
          <w:rFonts w:hint="cs"/>
          <w:rtl/>
        </w:rPr>
        <w:t xml:space="preserve">שראוי שיתקרב לשיעור המרבי הקבוע בחוק. </w:t>
      </w:r>
      <w:r>
        <w:rPr>
          <w:rFonts w:hint="cs"/>
          <w:rtl/>
        </w:rPr>
        <w:t xml:space="preserve">גם פוטנציאל הפגיעה התחרותית </w:t>
      </w:r>
      <w:r w:rsidR="00A73788">
        <w:rPr>
          <w:rFonts w:hint="cs"/>
          <w:rtl/>
        </w:rPr>
        <w:t xml:space="preserve">לאחר </w:t>
      </w:r>
      <w:r>
        <w:rPr>
          <w:rFonts w:hint="cs"/>
          <w:rtl/>
        </w:rPr>
        <w:t xml:space="preserve">החזרת שירותי המת"ל באופן חלקי </w:t>
      </w:r>
      <w:r w:rsidR="00A73788">
        <w:rPr>
          <w:rFonts w:hint="cs"/>
          <w:rtl/>
        </w:rPr>
        <w:t xml:space="preserve">ובעת העמדת </w:t>
      </w:r>
      <w:r>
        <w:rPr>
          <w:rFonts w:hint="cs"/>
          <w:rtl/>
        </w:rPr>
        <w:t xml:space="preserve">מוקד ייעודי חלקי הינו גבוה, גם אם נמוך במעט ביחס להפסקה מלאה של שירותי המת"ל. </w:t>
      </w:r>
      <w:r w:rsidR="0028080F">
        <w:rPr>
          <w:rFonts w:hint="cs"/>
          <w:rtl/>
        </w:rPr>
        <w:t xml:space="preserve">כפי שפורט לעיל, </w:t>
      </w:r>
      <w:r w:rsidR="00DE2D7D">
        <w:rPr>
          <w:rFonts w:hint="cs"/>
          <w:rtl/>
        </w:rPr>
        <w:t xml:space="preserve">פעולות חברת החשמל עלולות היו </w:t>
      </w:r>
      <w:r w:rsidR="0028080F">
        <w:rPr>
          <w:rFonts w:hint="cs"/>
          <w:rtl/>
        </w:rPr>
        <w:t>ליצור</w:t>
      </w:r>
      <w:r w:rsidR="00DE2D7D">
        <w:rPr>
          <w:rFonts w:hint="cs"/>
          <w:rtl/>
        </w:rPr>
        <w:t xml:space="preserve"> חסמי מעבר של </w:t>
      </w:r>
      <w:r w:rsidR="00206900">
        <w:rPr>
          <w:rFonts w:hint="cs"/>
          <w:rtl/>
        </w:rPr>
        <w:t>לקוחות</w:t>
      </w:r>
      <w:r w:rsidR="00DE2D7D">
        <w:rPr>
          <w:rFonts w:hint="cs"/>
          <w:rtl/>
        </w:rPr>
        <w:t xml:space="preserve"> עסקיים למתחרי</w:t>
      </w:r>
      <w:r w:rsidR="0028080F">
        <w:rPr>
          <w:rFonts w:hint="cs"/>
          <w:rtl/>
        </w:rPr>
        <w:t xml:space="preserve"> חברת החשמל </w:t>
      </w:r>
      <w:r w:rsidR="00DE2D7D">
        <w:rPr>
          <w:rFonts w:hint="cs"/>
          <w:rtl/>
        </w:rPr>
        <w:t>ו</w:t>
      </w:r>
      <w:r w:rsidR="0028080F">
        <w:rPr>
          <w:rFonts w:hint="cs"/>
          <w:rtl/>
        </w:rPr>
        <w:t xml:space="preserve">כן </w:t>
      </w:r>
      <w:r w:rsidR="000760AA">
        <w:rPr>
          <w:rFonts w:hint="cs"/>
          <w:rtl/>
        </w:rPr>
        <w:t>ל</w:t>
      </w:r>
      <w:r w:rsidR="00DE2D7D">
        <w:rPr>
          <w:rFonts w:hint="cs"/>
          <w:rtl/>
        </w:rPr>
        <w:t>העל</w:t>
      </w:r>
      <w:r w:rsidR="00FF2D82">
        <w:rPr>
          <w:rFonts w:hint="cs"/>
          <w:rtl/>
        </w:rPr>
        <w:t>ו</w:t>
      </w:r>
      <w:r w:rsidR="00DE2D7D">
        <w:rPr>
          <w:rFonts w:hint="cs"/>
          <w:rtl/>
        </w:rPr>
        <w:t>ת חסמי הכניסה וההתרחבות של יצרנים פרטיים למקטע האספקה. ה</w:t>
      </w:r>
      <w:r w:rsidR="00DE2D7D" w:rsidRPr="009F5F5D">
        <w:rPr>
          <w:rFonts w:hint="cs"/>
          <w:rtl/>
        </w:rPr>
        <w:t>פרקטיקה</w:t>
      </w:r>
      <w:r w:rsidR="00DE2D7D">
        <w:rPr>
          <w:rFonts w:hint="cs"/>
          <w:rtl/>
        </w:rPr>
        <w:t xml:space="preserve"> של חברת החשמל אף נושאת בחובה חומרה מיוחדת נוכח עיתויה</w:t>
      </w:r>
      <w:r w:rsidR="00B44D9C">
        <w:rPr>
          <w:rFonts w:hint="cs"/>
          <w:rtl/>
        </w:rPr>
        <w:t>,</w:t>
      </w:r>
      <w:r w:rsidR="00DE2D7D">
        <w:rPr>
          <w:rFonts w:hint="cs"/>
          <w:rtl/>
        </w:rPr>
        <w:t xml:space="preserve"> ערב כניסתה של תחרות למקטעי ייצור החשמל ואספקתו. </w:t>
      </w:r>
    </w:p>
    <w:p w:rsidR="00DE2D7D" w:rsidRDefault="00DE2D7D" w:rsidP="004C1F7B">
      <w:pPr>
        <w:rPr>
          <w:rtl/>
        </w:rPr>
      </w:pPr>
      <w:r w:rsidRPr="000E611B">
        <w:rPr>
          <w:rFonts w:hint="cs"/>
          <w:sz w:val="24"/>
          <w:u w:val="single"/>
          <w:rtl/>
        </w:rPr>
        <w:t>משך ההפרה</w:t>
      </w:r>
      <w:r w:rsidRPr="007117E6">
        <w:rPr>
          <w:rFonts w:hint="cs"/>
          <w:sz w:val="24"/>
          <w:rtl/>
        </w:rPr>
        <w:t xml:space="preserve"> </w:t>
      </w:r>
      <w:r w:rsidRPr="000E611B">
        <w:rPr>
          <w:sz w:val="24"/>
          <w:rtl/>
        </w:rPr>
        <w:t>–</w:t>
      </w:r>
      <w:r>
        <w:rPr>
          <w:rFonts w:hint="cs"/>
          <w:sz w:val="24"/>
          <w:rtl/>
        </w:rPr>
        <w:t xml:space="preserve"> </w:t>
      </w:r>
      <w:r w:rsidRPr="00C40C31">
        <w:rPr>
          <w:rFonts w:hint="cs"/>
          <w:rtl/>
        </w:rPr>
        <w:t>ההפרה נמשכה כשנתיים</w:t>
      </w:r>
      <w:r>
        <w:rPr>
          <w:rFonts w:hint="cs"/>
          <w:rtl/>
        </w:rPr>
        <w:t xml:space="preserve"> וחצי</w:t>
      </w:r>
      <w:r w:rsidRPr="00C40C31">
        <w:rPr>
          <w:rFonts w:hint="cs"/>
          <w:rtl/>
        </w:rPr>
        <w:t>,</w:t>
      </w:r>
      <w:r w:rsidRPr="000D595D">
        <w:rPr>
          <w:rFonts w:hint="cs"/>
          <w:rtl/>
        </w:rPr>
        <w:t xml:space="preserve"> </w:t>
      </w:r>
      <w:r w:rsidR="004C1F7B">
        <w:rPr>
          <w:rFonts w:hint="cs"/>
          <w:rtl/>
        </w:rPr>
        <w:t>לכל המאוחר מחודש יולי</w:t>
      </w:r>
      <w:r w:rsidRPr="00B70716">
        <w:rPr>
          <w:rFonts w:hint="cs"/>
          <w:rtl/>
        </w:rPr>
        <w:t xml:space="preserve"> 2013 ועד </w:t>
      </w:r>
      <w:r>
        <w:rPr>
          <w:rFonts w:hint="cs"/>
          <w:rtl/>
        </w:rPr>
        <w:t>ל</w:t>
      </w:r>
      <w:r w:rsidRPr="00652ACD">
        <w:rPr>
          <w:rFonts w:hint="cs"/>
          <w:rtl/>
        </w:rPr>
        <w:t>חודש דצמבר 2015</w:t>
      </w:r>
      <w:r w:rsidRPr="00B70716">
        <w:rPr>
          <w:rFonts w:hint="cs"/>
          <w:rtl/>
        </w:rPr>
        <w:t xml:space="preserve">. </w:t>
      </w:r>
      <w:r w:rsidR="00E63DBF">
        <w:rPr>
          <w:rFonts w:hint="cs"/>
          <w:rtl/>
        </w:rPr>
        <w:t>בשנה וחצי הראשונות של ההפרה</w:t>
      </w:r>
      <w:r w:rsidR="00E63DBF" w:rsidRPr="00652ACD">
        <w:rPr>
          <w:rFonts w:hint="cs"/>
          <w:rtl/>
        </w:rPr>
        <w:t xml:space="preserve"> </w:t>
      </w:r>
      <w:r w:rsidR="004C1F7B">
        <w:rPr>
          <w:rFonts w:hint="cs"/>
          <w:rtl/>
        </w:rPr>
        <w:t>הופסק</w:t>
      </w:r>
      <w:r w:rsidR="004C1F7B" w:rsidRPr="00652ACD">
        <w:rPr>
          <w:rFonts w:hint="cs"/>
          <w:rtl/>
        </w:rPr>
        <w:t xml:space="preserve"> </w:t>
      </w:r>
      <w:r w:rsidR="00E63DBF" w:rsidRPr="00652ACD">
        <w:rPr>
          <w:rFonts w:hint="cs"/>
          <w:rtl/>
        </w:rPr>
        <w:t xml:space="preserve">שירות המת"ל </w:t>
      </w:r>
      <w:r w:rsidR="006B5558">
        <w:rPr>
          <w:rFonts w:hint="cs"/>
          <w:rtl/>
        </w:rPr>
        <w:t xml:space="preserve">בהולכה וחלוקה </w:t>
      </w:r>
      <w:r w:rsidR="004C1F7B">
        <w:rPr>
          <w:rFonts w:hint="cs"/>
          <w:rtl/>
        </w:rPr>
        <w:t>ל</w:t>
      </w:r>
      <w:r w:rsidR="00206900">
        <w:rPr>
          <w:rFonts w:hint="cs"/>
          <w:rtl/>
        </w:rPr>
        <w:t>לקוחות</w:t>
      </w:r>
      <w:r w:rsidR="004C1F7B" w:rsidRPr="00652ACD">
        <w:rPr>
          <w:rFonts w:hint="cs"/>
          <w:rtl/>
        </w:rPr>
        <w:t xml:space="preserve"> </w:t>
      </w:r>
      <w:r w:rsidR="00E63DBF" w:rsidRPr="00652ACD">
        <w:rPr>
          <w:rFonts w:hint="cs"/>
          <w:rtl/>
        </w:rPr>
        <w:t xml:space="preserve">שעברו </w:t>
      </w:r>
      <w:r w:rsidR="00E63DBF">
        <w:rPr>
          <w:rFonts w:hint="cs"/>
          <w:rtl/>
        </w:rPr>
        <w:t>לרכוש</w:t>
      </w:r>
      <w:r w:rsidR="00E63DBF" w:rsidRPr="000D595D">
        <w:rPr>
          <w:rFonts w:hint="cs"/>
          <w:rtl/>
        </w:rPr>
        <w:t xml:space="preserve"> חשמל מיצרני חשמל פרטיים. </w:t>
      </w:r>
      <w:r w:rsidR="00E63DBF">
        <w:rPr>
          <w:rFonts w:hint="cs"/>
          <w:rtl/>
        </w:rPr>
        <w:t xml:space="preserve">לאחר מכן ולמשך כשנה, חברת החשמל סיפקה </w:t>
      </w:r>
      <w:r w:rsidR="00E63DBF" w:rsidRPr="00652ACD">
        <w:rPr>
          <w:rFonts w:hint="cs"/>
          <w:rtl/>
        </w:rPr>
        <w:t>שירות חלקי ונחות ל</w:t>
      </w:r>
      <w:r w:rsidR="00206900">
        <w:rPr>
          <w:rFonts w:hint="cs"/>
          <w:rtl/>
        </w:rPr>
        <w:t>לקוחות</w:t>
      </w:r>
      <w:r w:rsidR="00E63DBF" w:rsidRPr="00652ACD">
        <w:rPr>
          <w:rFonts w:hint="cs"/>
          <w:rtl/>
        </w:rPr>
        <w:t xml:space="preserve"> שעברו לרכוש חשמל מיצרן חשמל פרטי</w:t>
      </w:r>
      <w:r w:rsidR="00E63DBF" w:rsidRPr="003C3B55">
        <w:rPr>
          <w:rFonts w:hint="cs"/>
          <w:rtl/>
        </w:rPr>
        <w:t>.</w:t>
      </w:r>
      <w:r w:rsidR="00E63DBF">
        <w:rPr>
          <w:rFonts w:hint="cs"/>
          <w:rtl/>
        </w:rPr>
        <w:t xml:space="preserve"> </w:t>
      </w:r>
      <w:r>
        <w:rPr>
          <w:rFonts w:hint="cs"/>
          <w:rtl/>
        </w:rPr>
        <w:t>מדובר במשך הפרה ממושך ומשמעותי בשים לב לסוג ההפרה</w:t>
      </w:r>
      <w:r w:rsidR="00BD4943">
        <w:rPr>
          <w:rFonts w:hint="cs"/>
          <w:rtl/>
        </w:rPr>
        <w:t xml:space="preserve"> ומועד ביצועה</w:t>
      </w:r>
      <w:r w:rsidR="00C27D02">
        <w:rPr>
          <w:rFonts w:hint="cs"/>
          <w:rtl/>
        </w:rPr>
        <w:t>, אגב כניסתם של מתחרים חדשים למשק החשמל</w:t>
      </w:r>
      <w:r>
        <w:rPr>
          <w:rFonts w:hint="cs"/>
          <w:rtl/>
        </w:rPr>
        <w:t>.</w:t>
      </w:r>
      <w:r w:rsidR="006168C8">
        <w:rPr>
          <w:rStyle w:val="FootnoteReference"/>
          <w:rtl/>
        </w:rPr>
        <w:footnoteReference w:id="57"/>
      </w:r>
      <w:r>
        <w:rPr>
          <w:rFonts w:hint="cs"/>
          <w:rtl/>
        </w:rPr>
        <w:t xml:space="preserve"> </w:t>
      </w:r>
    </w:p>
    <w:p w:rsidR="00DE2D7D" w:rsidRDefault="00DE2D7D" w:rsidP="00BC2861">
      <w:pPr>
        <w:rPr>
          <w:rtl/>
        </w:rPr>
      </w:pPr>
      <w:r>
        <w:rPr>
          <w:rFonts w:hint="cs"/>
          <w:rtl/>
        </w:rPr>
        <w:t>נוכח חומרת ההפרה</w:t>
      </w:r>
      <w:r w:rsidR="00405EB0">
        <w:rPr>
          <w:rFonts w:hint="cs"/>
          <w:rtl/>
        </w:rPr>
        <w:t>,</w:t>
      </w:r>
      <w:r w:rsidR="00405EB0" w:rsidRPr="00405EB0">
        <w:rPr>
          <w:rFonts w:hint="cs"/>
          <w:rtl/>
        </w:rPr>
        <w:t xml:space="preserve"> </w:t>
      </w:r>
      <w:r w:rsidR="00405EB0">
        <w:rPr>
          <w:rFonts w:hint="cs"/>
          <w:rtl/>
        </w:rPr>
        <w:t xml:space="preserve">כפי שבאה לידי ביטוי בהפסקת שירותי המת"ל וכן, בהחזרתו החלקית והחלפתו במוקד ייעודי נחות, </w:t>
      </w:r>
      <w:r>
        <w:rPr>
          <w:rFonts w:hint="cs"/>
          <w:rtl/>
        </w:rPr>
        <w:t>ומשכה</w:t>
      </w:r>
      <w:r w:rsidR="00405EB0">
        <w:rPr>
          <w:rFonts w:hint="cs"/>
          <w:rtl/>
        </w:rPr>
        <w:t xml:space="preserve"> של ההפרה</w:t>
      </w:r>
      <w:r>
        <w:rPr>
          <w:rFonts w:hint="cs"/>
          <w:rtl/>
        </w:rPr>
        <w:t xml:space="preserve">, החלטתי להעמיד את שיעור עיצום הבסיס שיוטל על חברת החשמל על </w:t>
      </w:r>
      <w:r w:rsidR="00876CB2">
        <w:rPr>
          <w:rFonts w:hint="cs"/>
          <w:rtl/>
        </w:rPr>
        <w:t>75</w:t>
      </w:r>
      <w:r>
        <w:rPr>
          <w:rFonts w:hint="cs"/>
          <w:rtl/>
        </w:rPr>
        <w:t>% מגובה העיצום המרבי</w:t>
      </w:r>
      <w:r w:rsidR="006B5558">
        <w:rPr>
          <w:rFonts w:hint="cs"/>
          <w:rtl/>
        </w:rPr>
        <w:t xml:space="preserve">, היינו על </w:t>
      </w:r>
      <w:r w:rsidR="002E47FE">
        <w:rPr>
          <w:rFonts w:hint="cs"/>
          <w:rtl/>
        </w:rPr>
        <w:t xml:space="preserve">סך של </w:t>
      </w:r>
      <w:r w:rsidR="003F11EC">
        <w:rPr>
          <w:rFonts w:hint="cs"/>
          <w:rtl/>
        </w:rPr>
        <w:t>כ</w:t>
      </w:r>
      <w:r w:rsidR="00BC2861">
        <w:rPr>
          <w:rFonts w:hint="cs"/>
          <w:rtl/>
        </w:rPr>
        <w:t>-18.3</w:t>
      </w:r>
      <w:r w:rsidR="003F11EC">
        <w:rPr>
          <w:rFonts w:hint="cs"/>
          <w:rtl/>
        </w:rPr>
        <w:t xml:space="preserve"> מיליון </w:t>
      </w:r>
      <w:r w:rsidR="004F30D7">
        <w:rPr>
          <w:rFonts w:hint="cs"/>
          <w:rtl/>
        </w:rPr>
        <w:t>ש</w:t>
      </w:r>
      <w:r w:rsidR="004F30D7">
        <w:rPr>
          <w:rtl/>
        </w:rPr>
        <w:t>"</w:t>
      </w:r>
      <w:r w:rsidR="004F30D7">
        <w:rPr>
          <w:rFonts w:hint="cs"/>
          <w:rtl/>
        </w:rPr>
        <w:t>ח</w:t>
      </w:r>
      <w:r w:rsidR="006B5558">
        <w:rPr>
          <w:rFonts w:hint="cs"/>
          <w:rtl/>
        </w:rPr>
        <w:t>.</w:t>
      </w:r>
    </w:p>
    <w:p w:rsidR="00DE2D7D" w:rsidRPr="000E611B" w:rsidRDefault="00DE2D7D" w:rsidP="0035033C">
      <w:pPr>
        <w:pStyle w:val="Heading3"/>
        <w:numPr>
          <w:ilvl w:val="0"/>
          <w:numId w:val="0"/>
        </w:numPr>
        <w:spacing w:before="120" w:after="0"/>
        <w:ind w:left="657"/>
        <w:rPr>
          <w:rFonts w:cs="David"/>
        </w:rPr>
      </w:pPr>
      <w:bookmarkStart w:id="36" w:name="_Toc476497422"/>
      <w:r w:rsidRPr="000E611B">
        <w:rPr>
          <w:rFonts w:cs="David" w:hint="cs"/>
          <w:rtl/>
        </w:rPr>
        <w:t xml:space="preserve">נסיבות הנוגעות להתנהגות </w:t>
      </w:r>
      <w:r w:rsidR="0035033C">
        <w:rPr>
          <w:rFonts w:cs="David" w:hint="cs"/>
          <w:rtl/>
        </w:rPr>
        <w:t>חברת החשמל</w:t>
      </w:r>
      <w:r w:rsidRPr="000E611B">
        <w:rPr>
          <w:rFonts w:cs="David" w:hint="cs"/>
          <w:rtl/>
        </w:rPr>
        <w:t xml:space="preserve"> ביחס להפרה</w:t>
      </w:r>
      <w:bookmarkEnd w:id="36"/>
    </w:p>
    <w:p w:rsidR="00DE2D7D" w:rsidRPr="00F26915" w:rsidRDefault="00DE2D7D" w:rsidP="00DE2D7D">
      <w:pPr>
        <w:rPr>
          <w:b/>
          <w:bCs/>
        </w:rPr>
      </w:pPr>
      <w:r w:rsidRPr="00F26915">
        <w:rPr>
          <w:rFonts w:ascii="David" w:hAnsi="David" w:hint="cs"/>
          <w:rtl/>
        </w:rPr>
        <w:t>בשלב</w:t>
      </w:r>
      <w:r w:rsidRPr="00F26915">
        <w:rPr>
          <w:rFonts w:ascii="David" w:hAnsi="David"/>
          <w:rtl/>
        </w:rPr>
        <w:t xml:space="preserve"> </w:t>
      </w:r>
      <w:r w:rsidRPr="00F26915">
        <w:rPr>
          <w:rFonts w:ascii="David" w:hAnsi="David" w:hint="cs"/>
          <w:rtl/>
        </w:rPr>
        <w:t xml:space="preserve">השלישי של קביעת גובה העיצום </w:t>
      </w:r>
      <w:r w:rsidR="00E11D58">
        <w:rPr>
          <w:rFonts w:ascii="David" w:hAnsi="David" w:hint="cs"/>
          <w:rtl/>
        </w:rPr>
        <w:t>י</w:t>
      </w:r>
      <w:r>
        <w:rPr>
          <w:rFonts w:ascii="David" w:hAnsi="David" w:hint="cs"/>
          <w:rtl/>
        </w:rPr>
        <w:t>ילקחו</w:t>
      </w:r>
      <w:r w:rsidRPr="00F26915">
        <w:rPr>
          <w:rFonts w:ascii="David" w:hAnsi="David" w:hint="cs"/>
          <w:rtl/>
        </w:rPr>
        <w:t xml:space="preserve"> בחשבון נסיבות הנוגעות להתנהגות </w:t>
      </w:r>
      <w:r>
        <w:rPr>
          <w:rFonts w:ascii="David" w:hAnsi="David" w:hint="cs"/>
          <w:rtl/>
        </w:rPr>
        <w:t>המפר ביחס להפרה, במהלכה או בעקבותיה. ככלל, נסיבות אלו עשויות להוביל להפחתה בשיעור של עד 50% מעיצום הבסיס או להעלאה של עד 20% מעיצום הבסיס.</w:t>
      </w:r>
    </w:p>
    <w:p w:rsidR="00DE2D7D" w:rsidRDefault="00DE2D7D" w:rsidP="00DE6A33">
      <w:pPr>
        <w:rPr>
          <w:rtl/>
        </w:rPr>
      </w:pPr>
      <w:r w:rsidRPr="000E611B">
        <w:rPr>
          <w:rFonts w:hint="cs"/>
          <w:sz w:val="24"/>
          <w:u w:val="single"/>
          <w:rtl/>
        </w:rPr>
        <w:t>פעולות שננקטו על ידי המפרים למניעת ההפרה או להפסקתה</w:t>
      </w:r>
      <w:r>
        <w:rPr>
          <w:rFonts w:hint="cs"/>
          <w:sz w:val="24"/>
          <w:u w:val="single"/>
          <w:rtl/>
        </w:rPr>
        <w:t xml:space="preserve"> </w:t>
      </w:r>
      <w:r w:rsidRPr="000E611B">
        <w:rPr>
          <w:sz w:val="24"/>
          <w:rtl/>
        </w:rPr>
        <w:t>–</w:t>
      </w:r>
      <w:r w:rsidRPr="000E611B">
        <w:rPr>
          <w:rFonts w:hint="cs"/>
          <w:sz w:val="24"/>
          <w:rtl/>
        </w:rPr>
        <w:t xml:space="preserve"> </w:t>
      </w:r>
      <w:r w:rsidR="00DE6A33">
        <w:rPr>
          <w:rFonts w:hint="cs"/>
          <w:rtl/>
        </w:rPr>
        <w:t xml:space="preserve">חברת חשמל </w:t>
      </w:r>
      <w:r>
        <w:rPr>
          <w:rFonts w:hint="cs"/>
          <w:rtl/>
        </w:rPr>
        <w:t>לא נקט</w:t>
      </w:r>
      <w:r w:rsidR="00DE6A33">
        <w:rPr>
          <w:rFonts w:hint="cs"/>
          <w:rtl/>
        </w:rPr>
        <w:t>ה</w:t>
      </w:r>
      <w:r>
        <w:rPr>
          <w:rFonts w:hint="cs"/>
          <w:rtl/>
        </w:rPr>
        <w:t xml:space="preserve"> פעולות </w:t>
      </w:r>
      <w:r w:rsidR="006D3DFB">
        <w:rPr>
          <w:rFonts w:hint="cs"/>
          <w:rtl/>
        </w:rPr>
        <w:t xml:space="preserve">להפסקת </w:t>
      </w:r>
      <w:r>
        <w:rPr>
          <w:rFonts w:hint="cs"/>
          <w:rtl/>
        </w:rPr>
        <w:t>ההפרה או להפ</w:t>
      </w:r>
      <w:r w:rsidR="007F0681">
        <w:rPr>
          <w:rFonts w:hint="cs"/>
          <w:rtl/>
        </w:rPr>
        <w:t>ס</w:t>
      </w:r>
      <w:r>
        <w:rPr>
          <w:rFonts w:hint="cs"/>
          <w:rtl/>
        </w:rPr>
        <w:t>קת</w:t>
      </w:r>
      <w:r w:rsidR="002E47FE">
        <w:rPr>
          <w:rFonts w:hint="cs"/>
          <w:rtl/>
        </w:rPr>
        <w:t>ה</w:t>
      </w:r>
      <w:r>
        <w:rPr>
          <w:rFonts w:hint="cs"/>
          <w:rtl/>
        </w:rPr>
        <w:t xml:space="preserve"> טרם התגלה דבר ההפרה על ידי הממונה. גם לאחר שפתחה הרשות בבדיקה ופנתה לחברת החשמל בנושא, לא פעלה חברת החשמל להפסקת ההפרה. </w:t>
      </w:r>
    </w:p>
    <w:p w:rsidR="00DE2D7D" w:rsidRDefault="00DE2D7D" w:rsidP="005861FC">
      <w:pPr>
        <w:tabs>
          <w:tab w:val="left" w:pos="566"/>
        </w:tabs>
        <w:rPr>
          <w:rFonts w:ascii="David" w:hAnsi="David"/>
          <w:rtl/>
        </w:rPr>
      </w:pPr>
      <w:r>
        <w:rPr>
          <w:rFonts w:hint="cs"/>
          <w:rtl/>
        </w:rPr>
        <w:t xml:space="preserve">יחד עם זאת, </w:t>
      </w:r>
      <w:r w:rsidR="00BB03D7">
        <w:rPr>
          <w:rFonts w:hint="cs"/>
          <w:rtl/>
        </w:rPr>
        <w:t xml:space="preserve">מצאתי לנכון לתת </w:t>
      </w:r>
      <w:r w:rsidRPr="00F53512">
        <w:rPr>
          <w:rFonts w:hint="cs"/>
          <w:rtl/>
        </w:rPr>
        <w:t xml:space="preserve">משקל נמוך </w:t>
      </w:r>
      <w:r w:rsidR="00160576">
        <w:rPr>
          <w:rFonts w:hint="cs"/>
          <w:rtl/>
        </w:rPr>
        <w:t>לקולא לעובדה ש</w:t>
      </w:r>
      <w:r>
        <w:rPr>
          <w:rFonts w:hint="cs"/>
          <w:rtl/>
        </w:rPr>
        <w:t>בסופו של יום פעלה חברת החשמל להפסקת ההפרה. בעקבות התרעה מפורשת מצד הרשות בחודש נובמבר 2015, הודיעה חברת החשמל כי תחזור לספק ל</w:t>
      </w:r>
      <w:r w:rsidR="00206900">
        <w:rPr>
          <w:rFonts w:hint="cs"/>
          <w:rtl/>
        </w:rPr>
        <w:t>לקוחות</w:t>
      </w:r>
      <w:r>
        <w:rPr>
          <w:rFonts w:hint="cs"/>
          <w:rtl/>
        </w:rPr>
        <w:t xml:space="preserve"> </w:t>
      </w:r>
      <w:r w:rsidR="002E47FE">
        <w:rPr>
          <w:rFonts w:hint="cs"/>
          <w:rtl/>
        </w:rPr>
        <w:t>שעברו לרכוש מ</w:t>
      </w:r>
      <w:r>
        <w:rPr>
          <w:rFonts w:hint="cs"/>
          <w:rtl/>
        </w:rPr>
        <w:t xml:space="preserve">יצרני חשמל פרטיים את מלוא שירות המת"ל הנוגע למקטעי ההולכה והחלוקה. על פי הודעת חברת החשמל השירות הוחזר בחודש דצמבר 2015. </w:t>
      </w:r>
    </w:p>
    <w:p w:rsidR="00CE0C49" w:rsidRDefault="00CE0C49" w:rsidP="00CE0C49">
      <w:pPr>
        <w:rPr>
          <w:sz w:val="24"/>
          <w:rtl/>
        </w:rPr>
      </w:pPr>
      <w:r w:rsidRPr="00CE0C49">
        <w:rPr>
          <w:sz w:val="24"/>
          <w:u w:val="single"/>
          <w:rtl/>
        </w:rPr>
        <w:t>חלקו של המפר בהפרה, ומידת השפעתו על ביצועה</w:t>
      </w:r>
      <w:r>
        <w:rPr>
          <w:rFonts w:hint="cs"/>
          <w:sz w:val="24"/>
          <w:rtl/>
        </w:rPr>
        <w:t xml:space="preserve"> </w:t>
      </w:r>
      <w:r>
        <w:rPr>
          <w:sz w:val="24"/>
          <w:rtl/>
        </w:rPr>
        <w:t>–</w:t>
      </w:r>
      <w:r>
        <w:rPr>
          <w:rFonts w:hint="cs"/>
          <w:sz w:val="24"/>
          <w:rtl/>
        </w:rPr>
        <w:t xml:space="preserve"> שיקול זה אינו רלוונטי בנסיבות העניין.</w:t>
      </w:r>
    </w:p>
    <w:p w:rsidR="00486E1D" w:rsidRDefault="00486E1D" w:rsidP="005861FC">
      <w:pPr>
        <w:tabs>
          <w:tab w:val="left" w:pos="566"/>
        </w:tabs>
        <w:rPr>
          <w:rFonts w:ascii="David" w:hAnsi="David"/>
          <w:rtl/>
        </w:rPr>
      </w:pPr>
      <w:r w:rsidRPr="00BC2861">
        <w:rPr>
          <w:rFonts w:hint="cs"/>
          <w:rtl/>
        </w:rPr>
        <w:lastRenderedPageBreak/>
        <w:t xml:space="preserve">לכן, </w:t>
      </w:r>
      <w:r w:rsidR="00DE6A33" w:rsidRPr="00BC2861">
        <w:rPr>
          <w:rFonts w:hint="cs"/>
          <w:rtl/>
        </w:rPr>
        <w:t xml:space="preserve">בשקלול הנסיבות הנוגעות להתנהגות חברת חשמל ביחס להפרה, </w:t>
      </w:r>
      <w:r w:rsidRPr="00BC2861">
        <w:rPr>
          <w:rFonts w:hint="cs"/>
          <w:rtl/>
        </w:rPr>
        <w:t xml:space="preserve">הוחלט </w:t>
      </w:r>
      <w:r w:rsidRPr="00BC2861">
        <w:rPr>
          <w:rFonts w:ascii="David" w:hAnsi="David" w:hint="cs"/>
          <w:rtl/>
        </w:rPr>
        <w:t>להפחית ב-</w:t>
      </w:r>
      <w:r w:rsidR="005861FC" w:rsidRPr="00BC2861">
        <w:rPr>
          <w:rFonts w:ascii="David" w:hAnsi="David" w:hint="cs"/>
          <w:rtl/>
        </w:rPr>
        <w:t>5</w:t>
      </w:r>
      <w:r w:rsidRPr="00BC2861">
        <w:rPr>
          <w:rFonts w:ascii="David" w:hAnsi="David" w:hint="cs"/>
          <w:rtl/>
        </w:rPr>
        <w:t>%</w:t>
      </w:r>
      <w:r w:rsidR="005861FC" w:rsidRPr="00BC2861">
        <w:rPr>
          <w:rFonts w:ascii="David" w:hAnsi="David" w:hint="cs"/>
          <w:rtl/>
        </w:rPr>
        <w:t xml:space="preserve"> </w:t>
      </w:r>
      <w:r w:rsidRPr="00BC2861">
        <w:rPr>
          <w:rFonts w:ascii="David" w:hAnsi="David" w:hint="cs"/>
          <w:rtl/>
        </w:rPr>
        <w:t>את גובה העיצום שיוטל על חברת החשמל.</w:t>
      </w:r>
    </w:p>
    <w:p w:rsidR="00DE2D7D" w:rsidRPr="000E611B" w:rsidRDefault="00DE2D7D" w:rsidP="00DE2D7D">
      <w:pPr>
        <w:pStyle w:val="Heading3"/>
        <w:numPr>
          <w:ilvl w:val="0"/>
          <w:numId w:val="0"/>
        </w:numPr>
        <w:spacing w:before="120" w:after="0"/>
        <w:ind w:left="657"/>
        <w:rPr>
          <w:rFonts w:cs="David"/>
          <w:rtl/>
        </w:rPr>
      </w:pPr>
      <w:bookmarkStart w:id="37" w:name="_Toc476497423"/>
      <w:r w:rsidRPr="000E611B">
        <w:rPr>
          <w:rFonts w:cs="David" w:hint="cs"/>
          <w:rtl/>
        </w:rPr>
        <w:t>נסיבות חיצוניות להפרה</w:t>
      </w:r>
      <w:bookmarkEnd w:id="37"/>
    </w:p>
    <w:p w:rsidR="00DE2D7D" w:rsidRDefault="00DE2D7D" w:rsidP="00DE2D7D">
      <w:pPr>
        <w:tabs>
          <w:tab w:val="left" w:pos="566"/>
        </w:tabs>
      </w:pPr>
      <w:r>
        <w:rPr>
          <w:rFonts w:hint="cs"/>
          <w:rtl/>
        </w:rPr>
        <w:t xml:space="preserve">מעבר </w:t>
      </w:r>
      <w:r w:rsidRPr="000E611B">
        <w:rPr>
          <w:rFonts w:ascii="David" w:hAnsi="David" w:hint="cs"/>
          <w:rtl/>
        </w:rPr>
        <w:t>לכל</w:t>
      </w:r>
      <w:r>
        <w:rPr>
          <w:rFonts w:hint="cs"/>
          <w:rtl/>
        </w:rPr>
        <w:t xml:space="preserve"> האמור לעיל, נלקחו בחשבון שיקולים נוספים לקולא ולחומרא כמפורט להלן:</w:t>
      </w:r>
    </w:p>
    <w:p w:rsidR="00DE2D7D" w:rsidRPr="000E611B" w:rsidRDefault="00DE2D7D" w:rsidP="00DE2D7D">
      <w:r w:rsidRPr="000E611B">
        <w:rPr>
          <w:rFonts w:hint="cs"/>
          <w:sz w:val="24"/>
          <w:u w:val="single"/>
          <w:rtl/>
        </w:rPr>
        <w:t>היעדר הפרות קודמות</w:t>
      </w:r>
      <w:r w:rsidRPr="000E611B">
        <w:rPr>
          <w:rFonts w:hint="cs"/>
          <w:sz w:val="24"/>
          <w:rtl/>
        </w:rPr>
        <w:t xml:space="preserve"> </w:t>
      </w:r>
      <w:r w:rsidRPr="000E611B">
        <w:rPr>
          <w:sz w:val="24"/>
          <w:rtl/>
        </w:rPr>
        <w:t>–</w:t>
      </w:r>
      <w:r w:rsidRPr="00283E3E">
        <w:rPr>
          <w:rFonts w:hint="cs"/>
          <w:rtl/>
        </w:rPr>
        <w:t xml:space="preserve"> </w:t>
      </w:r>
      <w:r>
        <w:rPr>
          <w:rFonts w:hint="cs"/>
          <w:rtl/>
        </w:rPr>
        <w:t>הוחלט להפחית</w:t>
      </w:r>
      <w:r w:rsidRPr="00516B3F">
        <w:rPr>
          <w:rFonts w:hint="cs"/>
          <w:rtl/>
        </w:rPr>
        <w:t xml:space="preserve"> 5% מהעיצום שיוטל על</w:t>
      </w:r>
      <w:r w:rsidRPr="000E611B">
        <w:rPr>
          <w:rFonts w:hint="cs"/>
          <w:rtl/>
        </w:rPr>
        <w:t xml:space="preserve"> </w:t>
      </w:r>
      <w:r w:rsidRPr="00283E3E">
        <w:rPr>
          <w:rFonts w:hint="cs"/>
          <w:rtl/>
        </w:rPr>
        <w:t>חברת החשמל.</w:t>
      </w:r>
    </w:p>
    <w:p w:rsidR="00DE2D7D" w:rsidRDefault="00DE2D7D" w:rsidP="00DE2D7D">
      <w:r w:rsidRPr="000E611B">
        <w:rPr>
          <w:rFonts w:hint="cs"/>
          <w:sz w:val="24"/>
          <w:u w:val="single"/>
          <w:rtl/>
        </w:rPr>
        <w:t xml:space="preserve">מחזור מכירות גבוה במיוחד </w:t>
      </w:r>
      <w:r w:rsidRPr="0030309A">
        <w:rPr>
          <w:sz w:val="24"/>
          <w:rtl/>
        </w:rPr>
        <w:t>–</w:t>
      </w:r>
      <w:r w:rsidRPr="000E611B">
        <w:rPr>
          <w:rFonts w:hint="cs"/>
          <w:sz w:val="24"/>
          <w:rtl/>
        </w:rPr>
        <w:t xml:space="preserve"> </w:t>
      </w:r>
      <w:r>
        <w:rPr>
          <w:rFonts w:hint="cs"/>
          <w:rtl/>
        </w:rPr>
        <w:t xml:space="preserve">בהתאם לגילוי דעת 1/16, כאשר המפר הוא תאגיד ש-8% מהמחזור השנתי שלו גבוה מרף העיצום המקסימלי הקבוע בחוק יהיה בכך שיקול להחמרה בשיעור העיצום המוטל על התאגיד, במטרה ליצור הרתעה הולמת מפני ביצוע הפרות חוק. ככל שמחזור המכירות העודף מעל הרף ממנו נגזרת תקרת העיצום הכספי בחוק הינו משמעותי יותר, יהיה בכך משום שיקול להחמיר בגובה העיצום שיוטל, כך שיינתן ביטוי לגודלו של התאגיד (בכפוף לגבול העיצום המקסימלי הקבוע בחוק). </w:t>
      </w:r>
    </w:p>
    <w:p w:rsidR="00DE2D7D" w:rsidRDefault="00DE2D7D" w:rsidP="0037357D">
      <w:pPr>
        <w:rPr>
          <w:rtl/>
        </w:rPr>
      </w:pPr>
      <w:r>
        <w:rPr>
          <w:rFonts w:hint="cs"/>
          <w:rtl/>
        </w:rPr>
        <w:t xml:space="preserve">מאחר שמחזורה המשוקלל של חברת החשמל בתקופת ההפרה עמד על 26.4 מיליארד </w:t>
      </w:r>
      <w:r w:rsidR="004F30D7">
        <w:rPr>
          <w:rFonts w:hint="cs"/>
          <w:rtl/>
        </w:rPr>
        <w:t>ש</w:t>
      </w:r>
      <w:r w:rsidR="004F30D7">
        <w:rPr>
          <w:rtl/>
        </w:rPr>
        <w:t>"</w:t>
      </w:r>
      <w:r w:rsidR="004F30D7">
        <w:rPr>
          <w:rFonts w:hint="cs"/>
          <w:rtl/>
        </w:rPr>
        <w:t>ח</w:t>
      </w:r>
      <w:r>
        <w:rPr>
          <w:rFonts w:hint="cs"/>
          <w:rtl/>
        </w:rPr>
        <w:t xml:space="preserve">, </w:t>
      </w:r>
      <w:r>
        <w:rPr>
          <w:rFonts w:hint="cs"/>
          <w:sz w:val="24"/>
          <w:rtl/>
        </w:rPr>
        <w:t xml:space="preserve">הועלה סכום העיצום הכספי </w:t>
      </w:r>
      <w:r w:rsidR="003235D3">
        <w:rPr>
          <w:rFonts w:hint="cs"/>
          <w:sz w:val="24"/>
          <w:rtl/>
        </w:rPr>
        <w:t>בשיעור שחושב בהתאם לגילוי הדעת 1/16</w:t>
      </w:r>
      <w:r w:rsidR="00014FC2">
        <w:rPr>
          <w:rFonts w:hint="cs"/>
          <w:sz w:val="24"/>
          <w:rtl/>
        </w:rPr>
        <w:t xml:space="preserve"> (בכ-</w:t>
      </w:r>
      <w:r w:rsidR="0037357D">
        <w:rPr>
          <w:rFonts w:hint="cs"/>
          <w:sz w:val="24"/>
          <w:rtl/>
        </w:rPr>
        <w:t>64</w:t>
      </w:r>
      <w:r w:rsidR="00014FC2">
        <w:rPr>
          <w:rFonts w:hint="cs"/>
          <w:sz w:val="24"/>
          <w:rtl/>
        </w:rPr>
        <w:t>%)</w:t>
      </w:r>
      <w:r>
        <w:rPr>
          <w:rFonts w:hint="cs"/>
          <w:sz w:val="24"/>
          <w:rtl/>
        </w:rPr>
        <w:t>.</w:t>
      </w:r>
      <w:r w:rsidRPr="00AD3C67">
        <w:rPr>
          <w:rStyle w:val="FootnoteReference"/>
          <w:sz w:val="24"/>
          <w:rtl/>
        </w:rPr>
        <w:footnoteReference w:id="58"/>
      </w:r>
      <w:r>
        <w:rPr>
          <w:rFonts w:hint="cs"/>
          <w:rtl/>
        </w:rPr>
        <w:t xml:space="preserve"> </w:t>
      </w:r>
    </w:p>
    <w:p w:rsidR="00DE2D7D" w:rsidRDefault="00DE2D7D" w:rsidP="00DE2D7D">
      <w:r w:rsidRPr="000E611B">
        <w:rPr>
          <w:rFonts w:hint="cs"/>
          <w:u w:val="single"/>
          <w:rtl/>
        </w:rPr>
        <w:t>ראשית האכיפה</w:t>
      </w:r>
      <w:r w:rsidRPr="00AF5A36">
        <w:rPr>
          <w:rFonts w:hint="cs"/>
          <w:b/>
          <w:bCs/>
          <w:rtl/>
        </w:rPr>
        <w:t xml:space="preserve"> </w:t>
      </w:r>
      <w:r>
        <w:rPr>
          <w:rtl/>
        </w:rPr>
        <w:t>–</w:t>
      </w:r>
      <w:r>
        <w:rPr>
          <w:rFonts w:hint="cs"/>
          <w:rtl/>
        </w:rPr>
        <w:t xml:space="preserve"> מדובר בשיקול משמעותי ביותר, שהשפעתו בהפחתת העיצום הכספי בנסיבות מקרה זה הינה מכרעת, עד כדי הפחתה של </w:t>
      </w:r>
      <w:r w:rsidRPr="004441AC">
        <w:rPr>
          <w:rFonts w:hint="cs"/>
          <w:rtl/>
        </w:rPr>
        <w:t>50%</w:t>
      </w:r>
      <w:r>
        <w:rPr>
          <w:rFonts w:hint="cs"/>
          <w:rtl/>
        </w:rPr>
        <w:t xml:space="preserve"> בגובה העיצום הכספי שיוטל על חברת החשמל.</w:t>
      </w:r>
      <w:r w:rsidRPr="002B212F">
        <w:rPr>
          <w:rFonts w:hint="cs"/>
          <w:b/>
          <w:bCs/>
          <w:rtl/>
        </w:rPr>
        <w:t xml:space="preserve"> </w:t>
      </w:r>
    </w:p>
    <w:p w:rsidR="00CE0C49" w:rsidRPr="00CE0C49" w:rsidRDefault="00CE0C49" w:rsidP="00324DD1">
      <w:pPr>
        <w:rPr>
          <w:rtl/>
        </w:rPr>
      </w:pPr>
      <w:r w:rsidRPr="00CE0C49">
        <w:rPr>
          <w:rFonts w:hint="cs"/>
          <w:u w:val="single"/>
          <w:rtl/>
        </w:rPr>
        <w:t>שיקולים נוספים</w:t>
      </w:r>
      <w:r>
        <w:rPr>
          <w:rFonts w:hint="cs"/>
          <w:rtl/>
        </w:rPr>
        <w:t xml:space="preserve"> </w:t>
      </w:r>
      <w:r>
        <w:rPr>
          <w:rtl/>
        </w:rPr>
        <w:t>–</w:t>
      </w:r>
      <w:r>
        <w:rPr>
          <w:rFonts w:hint="cs"/>
          <w:rtl/>
        </w:rPr>
        <w:t xml:space="preserve"> בנסיבות העניין לא מצאתי </w:t>
      </w:r>
      <w:r w:rsidR="00324DD1">
        <w:rPr>
          <w:rFonts w:hint="cs"/>
          <w:rtl/>
        </w:rPr>
        <w:t>כי יש שיקולים נוספים המצדיקים שינוי בגובה העיצום.</w:t>
      </w:r>
    </w:p>
    <w:p w:rsidR="00DE2D7D" w:rsidRPr="00570BC4" w:rsidRDefault="00DE2D7D" w:rsidP="00BC2861">
      <w:pPr>
        <w:tabs>
          <w:tab w:val="left" w:pos="566"/>
        </w:tabs>
        <w:rPr>
          <w:rtl/>
        </w:rPr>
      </w:pPr>
      <w:r w:rsidRPr="00BC2861">
        <w:rPr>
          <w:rFonts w:hint="cs"/>
          <w:rtl/>
        </w:rPr>
        <w:t xml:space="preserve">נוכח כל </w:t>
      </w:r>
      <w:r w:rsidRPr="00BC2861">
        <w:rPr>
          <w:rFonts w:ascii="David" w:hAnsi="David" w:hint="cs"/>
          <w:rtl/>
        </w:rPr>
        <w:t>המפורט</w:t>
      </w:r>
      <w:r w:rsidRPr="00BC2861">
        <w:rPr>
          <w:rFonts w:hint="cs"/>
          <w:rtl/>
        </w:rPr>
        <w:t xml:space="preserve"> לעיל, בגין ההפרה של הוראות סעיפים 29 ו-29א לחוק הוחלט להטיל עיצום כספי על חברת החשמל בגובה </w:t>
      </w:r>
      <w:r w:rsidR="00BC2861" w:rsidRPr="00BC2861">
        <w:rPr>
          <w:rFonts w:hint="cs"/>
          <w:b/>
          <w:bCs/>
          <w:rtl/>
        </w:rPr>
        <w:t xml:space="preserve">13 </w:t>
      </w:r>
      <w:r w:rsidRPr="00BC2861">
        <w:rPr>
          <w:rFonts w:hint="cs"/>
          <w:b/>
          <w:bCs/>
          <w:rtl/>
        </w:rPr>
        <w:t xml:space="preserve">מיליון </w:t>
      </w:r>
      <w:r w:rsidR="004F30D7">
        <w:rPr>
          <w:rFonts w:hint="cs"/>
          <w:b/>
          <w:bCs/>
          <w:rtl/>
        </w:rPr>
        <w:t>ש</w:t>
      </w:r>
      <w:r w:rsidR="004F30D7">
        <w:rPr>
          <w:b/>
          <w:bCs/>
          <w:rtl/>
        </w:rPr>
        <w:t>"</w:t>
      </w:r>
      <w:r w:rsidR="004F30D7">
        <w:rPr>
          <w:rFonts w:hint="cs"/>
          <w:b/>
          <w:bCs/>
          <w:rtl/>
        </w:rPr>
        <w:t>ח</w:t>
      </w:r>
      <w:r w:rsidRPr="00BC2861">
        <w:rPr>
          <w:rFonts w:hint="cs"/>
          <w:b/>
          <w:bCs/>
          <w:rtl/>
        </w:rPr>
        <w:t>.</w:t>
      </w:r>
    </w:p>
    <w:p w:rsidR="00DE2D7D" w:rsidRPr="008C1FE1" w:rsidRDefault="006838DF" w:rsidP="006838DF">
      <w:pPr>
        <w:pStyle w:val="Heading2"/>
        <w:numPr>
          <w:ilvl w:val="0"/>
          <w:numId w:val="0"/>
        </w:numPr>
        <w:ind w:left="851"/>
        <w:jc w:val="left"/>
        <w:rPr>
          <w:rtl/>
        </w:rPr>
      </w:pPr>
      <w:bookmarkStart w:id="38" w:name="_Toc476497424"/>
      <w:r>
        <w:rPr>
          <w:rFonts w:hint="cs"/>
          <w:rtl/>
        </w:rPr>
        <w:t xml:space="preserve">ד.3  </w:t>
      </w:r>
      <w:r w:rsidR="00DE2D7D" w:rsidRPr="006838DF">
        <w:rPr>
          <w:rFonts w:hint="cs"/>
          <w:rtl/>
        </w:rPr>
        <w:t>נושאי</w:t>
      </w:r>
      <w:r w:rsidR="00DE2D7D" w:rsidRPr="008C1FE1">
        <w:rPr>
          <w:rFonts w:hint="cs"/>
          <w:rtl/>
        </w:rPr>
        <w:t xml:space="preserve"> משרה</w:t>
      </w:r>
      <w:bookmarkEnd w:id="38"/>
    </w:p>
    <w:p w:rsidR="008C1FE1" w:rsidRDefault="008C1FE1" w:rsidP="008C1FE1">
      <w:pPr>
        <w:rPr>
          <w:rFonts w:ascii="Calibri" w:hAnsi="Calibri"/>
          <w:rtl/>
        </w:rPr>
      </w:pPr>
      <w:r w:rsidRPr="0022706C">
        <w:rPr>
          <w:rFonts w:ascii="David" w:hAnsi="David" w:hint="cs"/>
          <w:rtl/>
        </w:rPr>
        <w:t xml:space="preserve">סעיף 50ד </w:t>
      </w:r>
      <w:r>
        <w:rPr>
          <w:rFonts w:ascii="David" w:hAnsi="David" w:hint="cs"/>
          <w:rtl/>
        </w:rPr>
        <w:t>לחוק ההגבלים העסקיים מסמיך את הממונה להטיל עיצום כספי על אדם שהפר הוראה מהוראות החוק המפורטות בסעיף. כמפ</w:t>
      </w:r>
      <w:r w:rsidR="006F637D">
        <w:rPr>
          <w:rFonts w:ascii="David" w:hAnsi="David" w:hint="cs"/>
          <w:rtl/>
        </w:rPr>
        <w:t>ו</w:t>
      </w:r>
      <w:r>
        <w:rPr>
          <w:rFonts w:ascii="David" w:hAnsi="David" w:hint="cs"/>
          <w:rtl/>
        </w:rPr>
        <w:t xml:space="preserve">רט בגילוי דעת 1/16, </w:t>
      </w:r>
      <w:r w:rsidRPr="00874D80">
        <w:rPr>
          <w:rFonts w:ascii="Calibri" w:hAnsi="Calibri" w:hint="cs"/>
          <w:rtl/>
        </w:rPr>
        <w:t>ככלל</w:t>
      </w:r>
      <w:r>
        <w:rPr>
          <w:rFonts w:ascii="Calibri" w:hAnsi="Calibri" w:hint="cs"/>
          <w:rtl/>
        </w:rPr>
        <w:t>,</w:t>
      </w:r>
      <w:r w:rsidRPr="00874D80">
        <w:rPr>
          <w:rFonts w:ascii="Calibri" w:hAnsi="Calibri" w:hint="cs"/>
          <w:rtl/>
        </w:rPr>
        <w:t xml:space="preserve"> עיצום כספי יוטל על יחידים רק אם ההפרה הקימה פוטנציאל לפגיעה של ממש בתחרות וכן ניתן לעמוד בצורה ברורה ובהתאם לאמות המידה המקובלות בדין המנהלי על זהות היחידים שביצעו את ההפרה או שאחראים לביצועה. </w:t>
      </w:r>
      <w:r>
        <w:rPr>
          <w:rFonts w:ascii="Calibri" w:hAnsi="Calibri" w:hint="cs"/>
          <w:rtl/>
        </w:rPr>
        <w:t>לפיכך, כש</w:t>
      </w:r>
      <w:r w:rsidRPr="00874D80">
        <w:rPr>
          <w:rFonts w:ascii="Calibri" w:hAnsi="Calibri" w:hint="cs"/>
          <w:rtl/>
        </w:rPr>
        <w:t>מדובר בהפרת חוק המקימה פוטנציאל לפגיעה של ממש בתחרות</w:t>
      </w:r>
      <w:r>
        <w:rPr>
          <w:rFonts w:ascii="Calibri" w:hAnsi="Calibri" w:hint="cs"/>
          <w:rtl/>
        </w:rPr>
        <w:t>,</w:t>
      </w:r>
      <w:r w:rsidRPr="00874D80">
        <w:rPr>
          <w:rFonts w:ascii="Calibri" w:hAnsi="Calibri" w:hint="cs"/>
          <w:rtl/>
        </w:rPr>
        <w:t xml:space="preserve"> האינטרס הציבורי מצדיק הטלת עיצום כספי על יחידים.</w:t>
      </w:r>
      <w:r w:rsidRPr="00874D80">
        <w:rPr>
          <w:rFonts w:ascii="Calibri" w:hAnsi="Calibri"/>
          <w:vertAlign w:val="superscript"/>
          <w:rtl/>
        </w:rPr>
        <w:footnoteReference w:id="59"/>
      </w:r>
    </w:p>
    <w:p w:rsidR="00764977" w:rsidRDefault="00B02E9F" w:rsidP="00C21209">
      <w:pPr>
        <w:rPr>
          <w:rtl/>
        </w:rPr>
      </w:pPr>
      <w:r>
        <w:rPr>
          <w:rFonts w:hint="cs"/>
          <w:rtl/>
        </w:rPr>
        <w:t xml:space="preserve">מן </w:t>
      </w:r>
      <w:r w:rsidRPr="00B02E9F">
        <w:rPr>
          <w:rFonts w:ascii="David" w:hAnsi="David" w:hint="cs"/>
          <w:rtl/>
        </w:rPr>
        <w:t>הראיות</w:t>
      </w:r>
      <w:r>
        <w:rPr>
          <w:rFonts w:hint="cs"/>
          <w:rtl/>
        </w:rPr>
        <w:t xml:space="preserve"> שנאספו על ידי הרשות עולה, כי נושאי המשרה הבכירים הבאים </w:t>
      </w:r>
      <w:r w:rsidRPr="007C58A2">
        <w:rPr>
          <w:rFonts w:ascii="Calibri" w:hAnsi="Calibri" w:hint="cs"/>
          <w:rtl/>
        </w:rPr>
        <w:t>ביצעו את ההפרה או אחראים לביצועה</w:t>
      </w:r>
      <w:r>
        <w:rPr>
          <w:rFonts w:ascii="Calibri" w:hAnsi="Calibri" w:hint="cs"/>
          <w:rtl/>
        </w:rPr>
        <w:t>.</w:t>
      </w:r>
      <w:r>
        <w:rPr>
          <w:rFonts w:hint="cs"/>
          <w:rtl/>
        </w:rPr>
        <w:t xml:space="preserve"> </w:t>
      </w:r>
      <w:r w:rsidR="00C21209">
        <w:rPr>
          <w:rFonts w:hint="cs"/>
          <w:rtl/>
        </w:rPr>
        <w:t xml:space="preserve">בנסיבות העניין, משההפרה הקימה פוטנציאל לפגיעה של ממש בתחרות, מצאתי כי יש מקום להטיל על נושאי המשרה </w:t>
      </w:r>
      <w:r w:rsidR="008C7F1A">
        <w:rPr>
          <w:rFonts w:hint="cs"/>
          <w:rtl/>
        </w:rPr>
        <w:t>ע</w:t>
      </w:r>
      <w:r w:rsidR="00C21209">
        <w:rPr>
          <w:rFonts w:hint="cs"/>
          <w:rtl/>
        </w:rPr>
        <w:t xml:space="preserve">יצום אישי בגין מעורבותם בהפרה. </w:t>
      </w:r>
      <w:r w:rsidR="003242F6">
        <w:rPr>
          <w:rFonts w:hint="cs"/>
          <w:rtl/>
        </w:rPr>
        <w:t xml:space="preserve">בנוסף וכפי שעולה מתיאור העובדות לעיל, בביצוע ההפרה של חברת החשמל היו מעורבים נושאי משרה בדרגים נמוכים יותר בחברת החשמל. יחד עם זאת, בשל שיקולי מדיניות אכיפה, הוחלט להתמקד בנושאי המשרה הבכירים ביותר. </w:t>
      </w:r>
    </w:p>
    <w:p w:rsidR="000510B4" w:rsidRDefault="000510B4" w:rsidP="000510B4">
      <w:pPr>
        <w:rPr>
          <w:rtl/>
        </w:rPr>
      </w:pPr>
      <w:r>
        <w:rPr>
          <w:rFonts w:hint="cs"/>
          <w:rtl/>
        </w:rPr>
        <w:lastRenderedPageBreak/>
        <w:t xml:space="preserve">יוער למען שלמות התמונה, כי לאחר שמיעת עמדת חברת החשמל וטרם קבלת החלטה זו, ביצעה רשות ההגבלים העסקיים בדיקות נוספות מהן עולה לכאורה כי נושא משרה בכיר נוסף היה מעורב בביצוע ההפרה או אחראי לביצועה. לפיכך, </w:t>
      </w:r>
      <w:r w:rsidRPr="00AA7D67">
        <w:rPr>
          <w:rFonts w:hint="cs"/>
          <w:rtl/>
        </w:rPr>
        <w:t>בד בבד עם מתן החלטה זו</w:t>
      </w:r>
      <w:r>
        <w:rPr>
          <w:rFonts w:hint="cs"/>
          <w:rtl/>
        </w:rPr>
        <w:t xml:space="preserve">, נשלח לנושא משרה זה מכתב הודעה על כוונת חיוב. </w:t>
      </w:r>
    </w:p>
    <w:p w:rsidR="008C1FE1" w:rsidRDefault="008C1FE1" w:rsidP="008C1FE1">
      <w:pPr>
        <w:rPr>
          <w:rtl/>
        </w:rPr>
      </w:pPr>
      <w:r w:rsidRPr="00BF0E02">
        <w:rPr>
          <w:rFonts w:hint="cs"/>
          <w:rtl/>
        </w:rPr>
        <w:t>מר</w:t>
      </w:r>
      <w:r w:rsidRPr="007C58A2">
        <w:rPr>
          <w:rFonts w:hint="cs"/>
          <w:b/>
          <w:bCs/>
          <w:rtl/>
        </w:rPr>
        <w:t xml:space="preserve"> </w:t>
      </w:r>
      <w:r w:rsidR="009F50C0" w:rsidRPr="0044109C">
        <w:rPr>
          <w:rFonts w:hint="cs"/>
          <w:b/>
          <w:bCs/>
          <w:color w:val="000000"/>
          <w:highlight w:val="black"/>
        </w:rPr>
        <w:t>XXX</w:t>
      </w:r>
      <w:r w:rsidRPr="007C58A2">
        <w:rPr>
          <w:rFonts w:hint="cs"/>
          <w:rtl/>
        </w:rPr>
        <w:t xml:space="preserve"> שימש כמשנה למנכ"ל חברת החשמל וכסמנכ"ל לקוחות ופיתוח עסקי </w:t>
      </w:r>
      <w:r>
        <w:rPr>
          <w:rFonts w:hint="cs"/>
          <w:rtl/>
        </w:rPr>
        <w:t>מתחילת ה</w:t>
      </w:r>
      <w:r w:rsidRPr="007C58A2">
        <w:rPr>
          <w:rFonts w:hint="cs"/>
          <w:rtl/>
        </w:rPr>
        <w:t xml:space="preserve">הפרה ועד לפרישתו מהתפקיד </w:t>
      </w:r>
      <w:r>
        <w:rPr>
          <w:rFonts w:hint="cs"/>
          <w:rtl/>
        </w:rPr>
        <w:t>בסוף שנת 2014</w:t>
      </w:r>
      <w:r w:rsidRPr="007C58A2">
        <w:rPr>
          <w:rFonts w:hint="cs"/>
          <w:rtl/>
        </w:rPr>
        <w:t xml:space="preserve">. </w:t>
      </w:r>
      <w:r>
        <w:rPr>
          <w:rFonts w:hint="cs"/>
          <w:rtl/>
        </w:rPr>
        <w:t xml:space="preserve">מר </w:t>
      </w:r>
      <w:r w:rsidR="009F50C0" w:rsidRPr="0044109C">
        <w:rPr>
          <w:rFonts w:hint="cs"/>
          <w:color w:val="000000"/>
          <w:highlight w:val="black"/>
        </w:rPr>
        <w:t>XXX</w:t>
      </w:r>
      <w:r w:rsidRPr="007C58A2">
        <w:rPr>
          <w:rFonts w:hint="cs"/>
          <w:rtl/>
        </w:rPr>
        <w:t xml:space="preserve"> עמד בראש חטיבת לקוחות, האחראית על אגף</w:t>
      </w:r>
      <w:r>
        <w:rPr>
          <w:rFonts w:hint="cs"/>
          <w:rtl/>
        </w:rPr>
        <w:t xml:space="preserve"> השיווק וחמשת מחוזות חברת החשמל, והיה </w:t>
      </w:r>
      <w:r w:rsidRPr="007C58A2">
        <w:rPr>
          <w:rFonts w:hint="cs"/>
          <w:rtl/>
        </w:rPr>
        <w:t xml:space="preserve">אחראי על שירותי המת"ל </w:t>
      </w:r>
      <w:r>
        <w:rPr>
          <w:rFonts w:hint="cs"/>
          <w:rtl/>
        </w:rPr>
        <w:t>ללקוחות</w:t>
      </w:r>
      <w:r w:rsidRPr="007C58A2">
        <w:rPr>
          <w:rFonts w:hint="cs"/>
          <w:rtl/>
        </w:rPr>
        <w:t xml:space="preserve"> עסקיים. </w:t>
      </w:r>
    </w:p>
    <w:p w:rsidR="00B201F4" w:rsidRDefault="00B201F4" w:rsidP="00B201F4">
      <w:pPr>
        <w:rPr>
          <w:rtl/>
        </w:rPr>
      </w:pPr>
      <w:r>
        <w:rPr>
          <w:rFonts w:hint="cs"/>
          <w:rtl/>
        </w:rPr>
        <w:t xml:space="preserve">מר </w:t>
      </w:r>
      <w:r w:rsidR="009F50C0" w:rsidRPr="00EE2F90">
        <w:rPr>
          <w:rFonts w:hint="cs"/>
          <w:color w:val="000000"/>
          <w:sz w:val="20"/>
          <w:szCs w:val="22"/>
          <w:highlight w:val="black"/>
        </w:rPr>
        <w:t>XXX</w:t>
      </w:r>
      <w:r w:rsidRPr="00EE2F90">
        <w:rPr>
          <w:rFonts w:hint="cs"/>
          <w:sz w:val="20"/>
          <w:szCs w:val="22"/>
          <w:rtl/>
        </w:rPr>
        <w:t xml:space="preserve"> </w:t>
      </w:r>
      <w:r>
        <w:rPr>
          <w:rFonts w:hint="cs"/>
          <w:rtl/>
        </w:rPr>
        <w:t xml:space="preserve">נכח בישיבות בהם נדונה אסטרטגיית החברה בנוגע לשימור לקוחות עסקיים. מר </w:t>
      </w:r>
      <w:r w:rsidR="009F50C0" w:rsidRPr="0044109C">
        <w:rPr>
          <w:rFonts w:hint="cs"/>
          <w:color w:val="000000"/>
          <w:highlight w:val="black"/>
        </w:rPr>
        <w:t>XXX</w:t>
      </w:r>
      <w:r>
        <w:rPr>
          <w:rFonts w:hint="cs"/>
          <w:rtl/>
        </w:rPr>
        <w:t xml:space="preserve"> </w:t>
      </w:r>
      <w:r w:rsidRPr="00F27783">
        <w:rPr>
          <w:rFonts w:hint="cs"/>
          <w:rtl/>
        </w:rPr>
        <w:t>ידע</w:t>
      </w:r>
      <w:r>
        <w:rPr>
          <w:rFonts w:hint="cs"/>
          <w:rtl/>
        </w:rPr>
        <w:t xml:space="preserve"> על ההנחיות שהופצו למחוזות החברה</w:t>
      </w:r>
      <w:r w:rsidRPr="00F27783">
        <w:rPr>
          <w:rFonts w:hint="cs"/>
          <w:rtl/>
        </w:rPr>
        <w:t xml:space="preserve">, </w:t>
      </w:r>
      <w:r>
        <w:rPr>
          <w:rFonts w:hint="cs"/>
          <w:rtl/>
        </w:rPr>
        <w:t>וידע, כי</w:t>
      </w:r>
      <w:r w:rsidRPr="00F27783">
        <w:rPr>
          <w:rFonts w:hint="cs"/>
          <w:rtl/>
        </w:rPr>
        <w:t xml:space="preserve"> </w:t>
      </w:r>
      <w:r>
        <w:rPr>
          <w:rFonts w:hint="cs"/>
          <w:rtl/>
        </w:rPr>
        <w:t>עובדי החברה לא מספקים שירותי מת"ל ללקוחות שעברו לרכוש חשמל מיצרנים פרטיים</w:t>
      </w:r>
      <w:r w:rsidRPr="00F27783">
        <w:rPr>
          <w:rFonts w:hint="cs"/>
          <w:rtl/>
        </w:rPr>
        <w:t xml:space="preserve">. </w:t>
      </w:r>
      <w:r>
        <w:rPr>
          <w:rFonts w:hint="cs"/>
          <w:rtl/>
        </w:rPr>
        <w:t xml:space="preserve">מר </w:t>
      </w:r>
      <w:r w:rsidR="009F50C0" w:rsidRPr="00EE2F90">
        <w:rPr>
          <w:rFonts w:hint="cs"/>
          <w:color w:val="000000"/>
          <w:sz w:val="20"/>
          <w:szCs w:val="22"/>
          <w:highlight w:val="black"/>
        </w:rPr>
        <w:t>XXX</w:t>
      </w:r>
      <w:r w:rsidRPr="00EE2F90">
        <w:rPr>
          <w:rFonts w:hint="cs"/>
          <w:sz w:val="20"/>
          <w:szCs w:val="22"/>
          <w:rtl/>
        </w:rPr>
        <w:t xml:space="preserve"> </w:t>
      </w:r>
      <w:r>
        <w:rPr>
          <w:rFonts w:hint="cs"/>
          <w:rtl/>
        </w:rPr>
        <w:t>פעל כדי להבהיר לעובדי החברה, כי לקוחות שיעברו לצרוך חשמל מיצרני חשמל לא יהיו זכאים לשירותי המת"ל.</w:t>
      </w:r>
    </w:p>
    <w:p w:rsidR="00257F47" w:rsidRDefault="008C1FE1" w:rsidP="008210C6">
      <w:pPr>
        <w:ind w:left="90"/>
      </w:pPr>
      <w:r w:rsidRPr="007C58A2">
        <w:rPr>
          <w:rFonts w:hint="cs"/>
          <w:rtl/>
        </w:rPr>
        <w:t xml:space="preserve">מר </w:t>
      </w:r>
      <w:r w:rsidR="009F50C0" w:rsidRPr="00EE2F90">
        <w:rPr>
          <w:rFonts w:hint="cs"/>
          <w:color w:val="000000"/>
          <w:sz w:val="20"/>
          <w:szCs w:val="22"/>
          <w:highlight w:val="black"/>
        </w:rPr>
        <w:t>XXX</w:t>
      </w:r>
      <w:r w:rsidRPr="00EE2F90">
        <w:rPr>
          <w:rFonts w:hint="cs"/>
          <w:sz w:val="20"/>
          <w:szCs w:val="22"/>
          <w:rtl/>
        </w:rPr>
        <w:t xml:space="preserve"> </w:t>
      </w:r>
      <w:r w:rsidR="006F637D">
        <w:rPr>
          <w:rFonts w:hint="cs"/>
          <w:rtl/>
        </w:rPr>
        <w:t>נקט פעולות שהובילו</w:t>
      </w:r>
      <w:r>
        <w:rPr>
          <w:rFonts w:hint="cs"/>
          <w:rtl/>
        </w:rPr>
        <w:t xml:space="preserve"> להפסקת </w:t>
      </w:r>
      <w:r w:rsidRPr="007C58A2">
        <w:rPr>
          <w:rFonts w:hint="cs"/>
          <w:rtl/>
        </w:rPr>
        <w:t xml:space="preserve">שירות המת"ל </w:t>
      </w:r>
      <w:r>
        <w:rPr>
          <w:rFonts w:hint="cs"/>
          <w:rtl/>
        </w:rPr>
        <w:t>ללקוחות</w:t>
      </w:r>
      <w:r w:rsidRPr="007C58A2">
        <w:rPr>
          <w:rFonts w:hint="cs"/>
          <w:rtl/>
        </w:rPr>
        <w:t xml:space="preserve"> שעברו לרכוש חשמל מ</w:t>
      </w:r>
      <w:r>
        <w:rPr>
          <w:rFonts w:hint="cs"/>
          <w:rtl/>
        </w:rPr>
        <w:t xml:space="preserve">יצרנים פרטיים, ידע כי השירות הופסק </w:t>
      </w:r>
      <w:r w:rsidRPr="007C58A2">
        <w:rPr>
          <w:rFonts w:hint="cs"/>
          <w:rtl/>
        </w:rPr>
        <w:t xml:space="preserve">ולא </w:t>
      </w:r>
      <w:r>
        <w:rPr>
          <w:rFonts w:hint="cs"/>
          <w:rtl/>
        </w:rPr>
        <w:t>פעל</w:t>
      </w:r>
      <w:r w:rsidRPr="007C58A2">
        <w:rPr>
          <w:rFonts w:hint="cs"/>
          <w:rtl/>
        </w:rPr>
        <w:t xml:space="preserve"> כדי למנוע את הפסקת שירות המת"ל או כדי להחזירו. </w:t>
      </w:r>
      <w:r w:rsidR="002A4D12">
        <w:rPr>
          <w:rFonts w:hint="cs"/>
          <w:rtl/>
        </w:rPr>
        <w:t xml:space="preserve">מעשיו ומחדליו של מר </w:t>
      </w:r>
      <w:r w:rsidR="009F50C0" w:rsidRPr="00EE2F90">
        <w:rPr>
          <w:rFonts w:hint="cs"/>
          <w:color w:val="000000"/>
          <w:sz w:val="20"/>
          <w:szCs w:val="22"/>
          <w:highlight w:val="black"/>
        </w:rPr>
        <w:t>XXX</w:t>
      </w:r>
      <w:r w:rsidR="00BE737B">
        <w:rPr>
          <w:rFonts w:hint="cs"/>
          <w:rtl/>
        </w:rPr>
        <w:t xml:space="preserve">, </w:t>
      </w:r>
      <w:r w:rsidR="00257F47">
        <w:rPr>
          <w:rFonts w:hint="cs"/>
          <w:rtl/>
        </w:rPr>
        <w:t>מעור</w:t>
      </w:r>
      <w:r w:rsidR="00257F47" w:rsidRPr="00AA7D67">
        <w:rPr>
          <w:rtl/>
        </w:rPr>
        <w:t xml:space="preserve">בותו של מר </w:t>
      </w:r>
      <w:r w:rsidR="009F50C0" w:rsidRPr="00EE2F90">
        <w:rPr>
          <w:rFonts w:hint="cs"/>
          <w:color w:val="000000"/>
          <w:sz w:val="20"/>
          <w:szCs w:val="22"/>
          <w:highlight w:val="black"/>
        </w:rPr>
        <w:t>XXX</w:t>
      </w:r>
      <w:r w:rsidR="00257F47" w:rsidRPr="00EE2F90">
        <w:rPr>
          <w:sz w:val="20"/>
          <w:szCs w:val="22"/>
          <w:rtl/>
        </w:rPr>
        <w:t xml:space="preserve"> </w:t>
      </w:r>
      <w:r w:rsidR="00257F47" w:rsidRPr="00AA7D67">
        <w:rPr>
          <w:rtl/>
        </w:rPr>
        <w:t xml:space="preserve">בניצול מעמדה של חברת החשמל בהולכת חשמל וחלוקתו לרעה באופן העלול להפחית את התחרות בעסקים או לפגוע בציבור </w:t>
      </w:r>
      <w:r w:rsidR="00257F47">
        <w:rPr>
          <w:rFonts w:hint="cs"/>
          <w:rtl/>
        </w:rPr>
        <w:t xml:space="preserve">וסירובה </w:t>
      </w:r>
      <w:r w:rsidR="00CF0061">
        <w:rPr>
          <w:rFonts w:hint="cs"/>
          <w:rtl/>
        </w:rPr>
        <w:t xml:space="preserve">הבלתי סביר </w:t>
      </w:r>
      <w:r w:rsidR="00257F47">
        <w:rPr>
          <w:rFonts w:hint="cs"/>
          <w:rtl/>
        </w:rPr>
        <w:t xml:space="preserve">לספק </w:t>
      </w:r>
      <w:r w:rsidR="00257F47" w:rsidRPr="00AA7D67">
        <w:rPr>
          <w:rtl/>
        </w:rPr>
        <w:t xml:space="preserve">עולים כדי הפרת הוראות סעיפים </w:t>
      </w:r>
      <w:r w:rsidR="00257F47">
        <w:rPr>
          <w:rFonts w:hint="cs"/>
          <w:rtl/>
        </w:rPr>
        <w:t>29,</w:t>
      </w:r>
      <w:r w:rsidR="00257F47" w:rsidRPr="00584F8F">
        <w:rPr>
          <w:rFonts w:hint="cs"/>
          <w:rtl/>
        </w:rPr>
        <w:t xml:space="preserve"> 29א(א), 29א(ב)(2), 29א(ב)(3) ו-29א(ב)(4) לחוק</w:t>
      </w:r>
      <w:r w:rsidR="00257F47">
        <w:rPr>
          <w:rFonts w:hint="cs"/>
          <w:rtl/>
        </w:rPr>
        <w:t>.</w:t>
      </w:r>
    </w:p>
    <w:p w:rsidR="008C1FE1" w:rsidRDefault="008C1FE1" w:rsidP="008C1FE1">
      <w:pPr>
        <w:rPr>
          <w:rtl/>
        </w:rPr>
      </w:pPr>
      <w:r w:rsidRPr="00BF0E02">
        <w:rPr>
          <w:rFonts w:hint="cs"/>
          <w:rtl/>
        </w:rPr>
        <w:t>מר</w:t>
      </w:r>
      <w:r w:rsidRPr="004A31E3">
        <w:rPr>
          <w:rFonts w:hint="cs"/>
          <w:b/>
          <w:bCs/>
          <w:rtl/>
        </w:rPr>
        <w:t xml:space="preserve"> </w:t>
      </w:r>
      <w:r w:rsidR="009F50C0" w:rsidRPr="00EE2F90">
        <w:rPr>
          <w:rFonts w:hint="cs"/>
          <w:b/>
          <w:bCs/>
          <w:color w:val="000000"/>
          <w:sz w:val="20"/>
          <w:szCs w:val="22"/>
          <w:highlight w:val="black"/>
        </w:rPr>
        <w:t>XXX</w:t>
      </w:r>
      <w:r w:rsidRPr="00EE2F90">
        <w:rPr>
          <w:rFonts w:hint="cs"/>
          <w:sz w:val="20"/>
          <w:szCs w:val="22"/>
          <w:rtl/>
        </w:rPr>
        <w:t xml:space="preserve"> </w:t>
      </w:r>
      <w:r w:rsidRPr="004A31E3">
        <w:rPr>
          <w:rFonts w:hint="cs"/>
          <w:rtl/>
        </w:rPr>
        <w:t xml:space="preserve">מכהן בתפקיד משנה למנכ"ל חברת החשמל וכסמנכ"ל לקוחות ופיתוח עסקי החל מתחילת שנת 2015 ועד היום. </w:t>
      </w:r>
      <w:r w:rsidRPr="009841EE">
        <w:rPr>
          <w:rFonts w:hint="cs"/>
          <w:rtl/>
        </w:rPr>
        <w:t>החל מיום 1.5.2015 ועד ליום 10.6.2015</w:t>
      </w:r>
      <w:r w:rsidRPr="004A31E3">
        <w:rPr>
          <w:rFonts w:hint="cs"/>
          <w:rtl/>
        </w:rPr>
        <w:t xml:space="preserve"> כיהן כממלא מקום מנכ"ל חברת החשמל.</w:t>
      </w:r>
    </w:p>
    <w:p w:rsidR="00B201F4" w:rsidRDefault="009841EE" w:rsidP="00B201F4">
      <w:pPr>
        <w:rPr>
          <w:rtl/>
        </w:rPr>
      </w:pPr>
      <w:r>
        <w:rPr>
          <w:rFonts w:hint="cs"/>
          <w:rtl/>
        </w:rPr>
        <w:t xml:space="preserve">עוד במסגרת תפקידו הקודם כסמנכ"ל ייצור ואנרגיה השתתף בישיבות בהם נדונה אסטרטגיית החברה בנוגע לשימור לקוחות </w:t>
      </w:r>
      <w:r w:rsidRPr="008002EA">
        <w:rPr>
          <w:rFonts w:hint="cs"/>
          <w:rtl/>
        </w:rPr>
        <w:t>עסקיים</w:t>
      </w:r>
      <w:r>
        <w:rPr>
          <w:rFonts w:hint="cs"/>
          <w:rtl/>
        </w:rPr>
        <w:t>.</w:t>
      </w:r>
      <w:r w:rsidR="00B201F4">
        <w:rPr>
          <w:rFonts w:hint="cs"/>
          <w:rtl/>
        </w:rPr>
        <w:t xml:space="preserve"> </w:t>
      </w:r>
      <w:r w:rsidR="000F089A">
        <w:rPr>
          <w:rFonts w:hint="cs"/>
          <w:rtl/>
        </w:rPr>
        <w:t>כחודש לאחר כניסתו לתפקיד</w:t>
      </w:r>
      <w:r w:rsidR="00B201F4">
        <w:rPr>
          <w:rFonts w:hint="cs"/>
          <w:rtl/>
        </w:rPr>
        <w:t xml:space="preserve"> סמנכ</w:t>
      </w:r>
      <w:r w:rsidR="00B201F4" w:rsidRPr="004A31E3">
        <w:rPr>
          <w:rFonts w:hint="cs"/>
          <w:rtl/>
        </w:rPr>
        <w:t>"ל לקוחות ופיתוח עסקי</w:t>
      </w:r>
      <w:r w:rsidR="000F089A">
        <w:rPr>
          <w:rFonts w:hint="cs"/>
          <w:rtl/>
        </w:rPr>
        <w:t xml:space="preserve">, </w:t>
      </w:r>
      <w:r w:rsidR="000F089A" w:rsidRPr="000227A5">
        <w:rPr>
          <w:rFonts w:hint="cs"/>
          <w:rtl/>
        </w:rPr>
        <w:t xml:space="preserve">החליט מר </w:t>
      </w:r>
      <w:r w:rsidR="009F50C0" w:rsidRPr="00EE2F90">
        <w:rPr>
          <w:rFonts w:hint="cs"/>
          <w:color w:val="000000"/>
          <w:sz w:val="20"/>
          <w:szCs w:val="22"/>
          <w:highlight w:val="black"/>
        </w:rPr>
        <w:t>XXX</w:t>
      </w:r>
      <w:r w:rsidR="000F089A" w:rsidRPr="00EE2F90">
        <w:rPr>
          <w:rFonts w:hint="cs"/>
          <w:sz w:val="20"/>
          <w:szCs w:val="22"/>
          <w:rtl/>
        </w:rPr>
        <w:t xml:space="preserve"> </w:t>
      </w:r>
      <w:r w:rsidR="000F089A" w:rsidRPr="000227A5">
        <w:rPr>
          <w:rFonts w:hint="cs"/>
          <w:rtl/>
        </w:rPr>
        <w:t>על החזרה חלקית של שירות המת"ל ל</w:t>
      </w:r>
      <w:r w:rsidR="00206900">
        <w:rPr>
          <w:rFonts w:hint="cs"/>
          <w:rtl/>
        </w:rPr>
        <w:t>לקוחות</w:t>
      </w:r>
      <w:r w:rsidR="000F089A" w:rsidRPr="000227A5">
        <w:rPr>
          <w:rFonts w:hint="cs"/>
          <w:rtl/>
        </w:rPr>
        <w:t xml:space="preserve"> עסקיים הרוכשים חשמל מיצרני חשמל פרטיים</w:t>
      </w:r>
      <w:r w:rsidR="000F089A">
        <w:rPr>
          <w:rFonts w:hint="cs"/>
          <w:rtl/>
        </w:rPr>
        <w:t xml:space="preserve"> ולאחר מכן, על החלפתו במוקד ייעודי </w:t>
      </w:r>
      <w:r w:rsidR="004A31E3">
        <w:rPr>
          <w:rFonts w:hint="cs"/>
          <w:rtl/>
        </w:rPr>
        <w:t>חלקי ו</w:t>
      </w:r>
      <w:r w:rsidR="000F089A">
        <w:rPr>
          <w:rFonts w:hint="cs"/>
          <w:rtl/>
        </w:rPr>
        <w:t>נחות</w:t>
      </w:r>
      <w:r w:rsidR="000F089A" w:rsidRPr="000227A5">
        <w:rPr>
          <w:rFonts w:hint="cs"/>
          <w:rtl/>
        </w:rPr>
        <w:t>.</w:t>
      </w:r>
      <w:r w:rsidR="000F089A">
        <w:rPr>
          <w:rFonts w:hint="cs"/>
          <w:rtl/>
        </w:rPr>
        <w:t xml:space="preserve"> </w:t>
      </w:r>
    </w:p>
    <w:p w:rsidR="000F089A" w:rsidRPr="008210C6" w:rsidRDefault="000F089A" w:rsidP="00B201F4">
      <w:pPr>
        <w:rPr>
          <w:rtl/>
        </w:rPr>
      </w:pPr>
      <w:r w:rsidRPr="000227A5">
        <w:rPr>
          <w:rFonts w:hint="cs"/>
          <w:rtl/>
        </w:rPr>
        <w:t xml:space="preserve">מר </w:t>
      </w:r>
      <w:r w:rsidR="009F50C0" w:rsidRPr="0044109C">
        <w:rPr>
          <w:rFonts w:hint="cs"/>
          <w:color w:val="000000"/>
          <w:highlight w:val="black"/>
        </w:rPr>
        <w:t>XXX</w:t>
      </w:r>
      <w:r w:rsidR="00257F47">
        <w:rPr>
          <w:rFonts w:hint="cs"/>
          <w:rtl/>
        </w:rPr>
        <w:t xml:space="preserve"> </w:t>
      </w:r>
      <w:r w:rsidRPr="000227A5">
        <w:rPr>
          <w:rFonts w:hint="cs"/>
          <w:rtl/>
        </w:rPr>
        <w:t>נמנע מלהחזיר את שירות</w:t>
      </w:r>
      <w:r>
        <w:rPr>
          <w:rFonts w:hint="cs"/>
          <w:rtl/>
        </w:rPr>
        <w:t>י</w:t>
      </w:r>
      <w:r w:rsidRPr="000227A5">
        <w:rPr>
          <w:rFonts w:hint="cs"/>
          <w:rtl/>
        </w:rPr>
        <w:t xml:space="preserve"> המת"ל במלוא</w:t>
      </w:r>
      <w:r>
        <w:rPr>
          <w:rFonts w:hint="cs"/>
          <w:rtl/>
        </w:rPr>
        <w:t>ם</w:t>
      </w:r>
      <w:r w:rsidRPr="000227A5">
        <w:rPr>
          <w:rFonts w:hint="cs"/>
          <w:rtl/>
        </w:rPr>
        <w:t xml:space="preserve"> </w:t>
      </w:r>
      <w:r>
        <w:rPr>
          <w:rFonts w:hint="cs"/>
          <w:rtl/>
        </w:rPr>
        <w:t>וביכר להוסיף ולמנוע מלקוחות הצורכים חשמל מיצרנים פרטיים שירותי מת"ל הנוגעים למקטעי ההולכה והחלוקה</w:t>
      </w:r>
      <w:r w:rsidRPr="000227A5">
        <w:rPr>
          <w:rFonts w:hint="cs"/>
          <w:rtl/>
        </w:rPr>
        <w:t xml:space="preserve">. </w:t>
      </w:r>
      <w:r w:rsidR="00257F47">
        <w:rPr>
          <w:rFonts w:hint="cs"/>
          <w:rtl/>
        </w:rPr>
        <w:t>מעור</w:t>
      </w:r>
      <w:r w:rsidR="00257F47" w:rsidRPr="00675CC8">
        <w:rPr>
          <w:rtl/>
        </w:rPr>
        <w:t xml:space="preserve">בותו של מר </w:t>
      </w:r>
      <w:r w:rsidR="009F50C0" w:rsidRPr="0044109C">
        <w:rPr>
          <w:rFonts w:hint="cs"/>
          <w:color w:val="000000"/>
          <w:highlight w:val="black"/>
        </w:rPr>
        <w:t>XXX</w:t>
      </w:r>
      <w:r w:rsidR="00257F47" w:rsidRPr="00675CC8">
        <w:rPr>
          <w:rtl/>
        </w:rPr>
        <w:t xml:space="preserve"> בניצול מעמדה של חברת החשמל בהולכת חשמל וחלוקתו לרעה באופן העלול להפחית את התחרות בעסקים או לפגוע בציבור </w:t>
      </w:r>
      <w:r w:rsidR="00257F47">
        <w:rPr>
          <w:rFonts w:hint="cs"/>
          <w:rtl/>
        </w:rPr>
        <w:t>וסירובה</w:t>
      </w:r>
      <w:r w:rsidR="00CF0061">
        <w:rPr>
          <w:rFonts w:hint="cs"/>
          <w:rtl/>
        </w:rPr>
        <w:t xml:space="preserve"> הבלתי סביר</w:t>
      </w:r>
      <w:r w:rsidR="00257F47">
        <w:rPr>
          <w:rFonts w:hint="cs"/>
          <w:rtl/>
        </w:rPr>
        <w:t xml:space="preserve"> לספק </w:t>
      </w:r>
      <w:r w:rsidR="00257F47" w:rsidRPr="00675CC8">
        <w:rPr>
          <w:rtl/>
        </w:rPr>
        <w:t xml:space="preserve">עולים כדי הפרת הוראות סעיפים </w:t>
      </w:r>
      <w:r w:rsidR="00257F47">
        <w:rPr>
          <w:rFonts w:hint="cs"/>
          <w:rtl/>
        </w:rPr>
        <w:t>29,</w:t>
      </w:r>
      <w:r w:rsidR="00257F47" w:rsidRPr="00584F8F">
        <w:rPr>
          <w:rFonts w:hint="cs"/>
          <w:rtl/>
        </w:rPr>
        <w:t xml:space="preserve"> 29א(א), 29א(ב)(2), 29א(ב)(3) ו-29א(ב)(4) לחוק</w:t>
      </w:r>
      <w:r w:rsidR="00257F47">
        <w:rPr>
          <w:rFonts w:hint="cs"/>
          <w:rtl/>
        </w:rPr>
        <w:t>.</w:t>
      </w:r>
    </w:p>
    <w:p w:rsidR="008C1FE1" w:rsidRPr="0030309A" w:rsidRDefault="000F089A" w:rsidP="008C1FE1">
      <w:pPr>
        <w:pStyle w:val="Heading3"/>
        <w:numPr>
          <w:ilvl w:val="0"/>
          <w:numId w:val="0"/>
        </w:numPr>
        <w:spacing w:before="120" w:after="0"/>
        <w:ind w:left="657"/>
        <w:rPr>
          <w:rFonts w:cs="David"/>
          <w:rtl/>
        </w:rPr>
      </w:pPr>
      <w:bookmarkStart w:id="39" w:name="_Toc476497425"/>
      <w:r>
        <w:rPr>
          <w:rFonts w:cs="David" w:hint="cs"/>
          <w:rtl/>
        </w:rPr>
        <w:t xml:space="preserve">נושאי משרה - </w:t>
      </w:r>
      <w:r w:rsidR="008C1FE1">
        <w:rPr>
          <w:rFonts w:cs="David" w:hint="cs"/>
          <w:rtl/>
        </w:rPr>
        <w:t>קביעת גובה העיצום הכספי</w:t>
      </w:r>
      <w:bookmarkEnd w:id="39"/>
      <w:r w:rsidR="008C1FE1">
        <w:rPr>
          <w:rFonts w:cs="David" w:hint="cs"/>
          <w:rtl/>
        </w:rPr>
        <w:t xml:space="preserve"> </w:t>
      </w:r>
    </w:p>
    <w:p w:rsidR="00DE2D7D" w:rsidRDefault="00DE2D7D" w:rsidP="00DE2D7D">
      <w:pPr>
        <w:rPr>
          <w:rFonts w:ascii="David" w:hAnsi="David"/>
          <w:rtl/>
        </w:rPr>
      </w:pPr>
      <w:r w:rsidRPr="00F72899">
        <w:rPr>
          <w:rFonts w:ascii="Calibri" w:hAnsi="Calibri" w:hint="cs"/>
          <w:rtl/>
        </w:rPr>
        <w:t xml:space="preserve">אופן קביעת גובה העיצום </w:t>
      </w:r>
      <w:r>
        <w:rPr>
          <w:rFonts w:ascii="Calibri" w:hAnsi="Calibri" w:hint="cs"/>
          <w:rtl/>
        </w:rPr>
        <w:t xml:space="preserve">ביחס למפרים יחידים </w:t>
      </w:r>
      <w:r w:rsidRPr="00F72899">
        <w:rPr>
          <w:rFonts w:ascii="Calibri" w:hAnsi="Calibri" w:hint="cs"/>
          <w:rtl/>
        </w:rPr>
        <w:t>יתבצ</w:t>
      </w:r>
      <w:r>
        <w:rPr>
          <w:rFonts w:ascii="Calibri" w:hAnsi="Calibri" w:hint="cs"/>
          <w:rtl/>
        </w:rPr>
        <w:t xml:space="preserve">ע בדומה לקביעת גובה העיצום ביחס לתאגידים מפרים על פי ארבעת השלבים שתוארו לעיל, </w:t>
      </w:r>
      <w:r w:rsidRPr="00F72899">
        <w:rPr>
          <w:rFonts w:ascii="Calibri" w:hAnsi="Calibri" w:hint="cs"/>
          <w:rtl/>
        </w:rPr>
        <w:t>בשינויים המחויבים, כדלקמן.</w:t>
      </w:r>
      <w:r w:rsidRPr="00F72899">
        <w:rPr>
          <w:rFonts w:ascii="David" w:hAnsi="David" w:hint="cs"/>
          <w:rtl/>
        </w:rPr>
        <w:t xml:space="preserve"> </w:t>
      </w:r>
    </w:p>
    <w:p w:rsidR="00DE2D7D" w:rsidRDefault="00DE2D7D" w:rsidP="00B124EC">
      <w:pPr>
        <w:rPr>
          <w:rFonts w:ascii="David" w:hAnsi="David"/>
          <w:rtl/>
        </w:rPr>
      </w:pPr>
      <w:r>
        <w:rPr>
          <w:rFonts w:ascii="Calibri" w:hAnsi="Calibri" w:hint="cs"/>
          <w:rtl/>
        </w:rPr>
        <w:t xml:space="preserve">השלב הראשון הוא קביעת סכום העיצום המרבי שיוטל על המפר: </w:t>
      </w:r>
      <w:r w:rsidRPr="00F72899">
        <w:rPr>
          <w:rFonts w:ascii="Calibri" w:hAnsi="Calibri" w:hint="cs"/>
          <w:rtl/>
        </w:rPr>
        <w:t>נקודת המוצא לחישוב העיצום על מפר יחיד היא בקביעת גובה העיצום המרבי שניתן להטיל עליו</w:t>
      </w:r>
      <w:r>
        <w:rPr>
          <w:rFonts w:ascii="David" w:hAnsi="David" w:hint="cs"/>
          <w:rtl/>
        </w:rPr>
        <w:t xml:space="preserve">, כשהסכום המרבי על פי </w:t>
      </w:r>
      <w:r w:rsidRPr="00B172BF">
        <w:rPr>
          <w:rFonts w:ascii="David" w:hAnsi="David" w:hint="cs"/>
          <w:rtl/>
        </w:rPr>
        <w:t xml:space="preserve">סעיף </w:t>
      </w:r>
      <w:r>
        <w:rPr>
          <w:rFonts w:ascii="David" w:hAnsi="David" w:hint="cs"/>
          <w:rtl/>
        </w:rPr>
        <w:t xml:space="preserve">סעיף </w:t>
      </w:r>
      <w:r w:rsidRPr="00B172BF">
        <w:rPr>
          <w:rFonts w:ascii="David" w:hAnsi="David" w:hint="cs"/>
          <w:rtl/>
        </w:rPr>
        <w:t>50ד(א)</w:t>
      </w:r>
      <w:r>
        <w:rPr>
          <w:rFonts w:ascii="David" w:hAnsi="David" w:hint="cs"/>
          <w:rtl/>
        </w:rPr>
        <w:t xml:space="preserve"> לחוק </w:t>
      </w:r>
      <w:r w:rsidRPr="00B172BF">
        <w:rPr>
          <w:rFonts w:ascii="David" w:hAnsi="David" w:hint="cs"/>
          <w:rtl/>
        </w:rPr>
        <w:t xml:space="preserve">הינו </w:t>
      </w:r>
      <w:r w:rsidR="008B46C1">
        <w:rPr>
          <w:rFonts w:hint="cs"/>
          <w:sz w:val="24"/>
          <w:rtl/>
        </w:rPr>
        <w:t xml:space="preserve">1,020,420 </w:t>
      </w:r>
      <w:r w:rsidR="004F30D7">
        <w:rPr>
          <w:rFonts w:ascii="David" w:hAnsi="David" w:hint="cs"/>
          <w:rtl/>
        </w:rPr>
        <w:t>ש</w:t>
      </w:r>
      <w:r w:rsidR="004F30D7">
        <w:rPr>
          <w:rFonts w:ascii="David" w:hAnsi="David"/>
          <w:rtl/>
        </w:rPr>
        <w:t>"</w:t>
      </w:r>
      <w:r w:rsidR="004F30D7">
        <w:rPr>
          <w:rFonts w:ascii="David" w:hAnsi="David" w:hint="cs"/>
          <w:rtl/>
        </w:rPr>
        <w:t>ח</w:t>
      </w:r>
      <w:r w:rsidRPr="00B172BF">
        <w:rPr>
          <w:rFonts w:ascii="David" w:hAnsi="David" w:hint="cs"/>
          <w:rtl/>
        </w:rPr>
        <w:t>. יחד</w:t>
      </w:r>
      <w:r w:rsidRPr="00B172BF">
        <w:rPr>
          <w:rFonts w:ascii="David" w:hAnsi="David"/>
          <w:rtl/>
        </w:rPr>
        <w:t xml:space="preserve"> עם זאת, הסכום </w:t>
      </w:r>
      <w:r w:rsidRPr="00B172BF">
        <w:rPr>
          <w:rFonts w:ascii="David" w:hAnsi="David" w:hint="cs"/>
          <w:rtl/>
        </w:rPr>
        <w:t>המרבי</w:t>
      </w:r>
      <w:r>
        <w:rPr>
          <w:rFonts w:ascii="David" w:hAnsi="David" w:hint="cs"/>
          <w:rtl/>
        </w:rPr>
        <w:t xml:space="preserve"> עשוי להיות מופחת</w:t>
      </w:r>
      <w:r w:rsidRPr="00B172BF">
        <w:rPr>
          <w:rFonts w:ascii="David" w:hAnsi="David"/>
          <w:rtl/>
        </w:rPr>
        <w:t xml:space="preserve">, במקרים </w:t>
      </w:r>
      <w:r w:rsidRPr="00B172BF">
        <w:rPr>
          <w:rFonts w:ascii="David" w:hAnsi="David"/>
          <w:rtl/>
        </w:rPr>
        <w:lastRenderedPageBreak/>
        <w:t xml:space="preserve">בהם ישכנע המפר כי יכולתו הכלכלית מצדיקה הפחתה </w:t>
      </w:r>
      <w:r w:rsidRPr="00B172BF">
        <w:rPr>
          <w:rFonts w:ascii="David" w:hAnsi="David" w:hint="cs"/>
          <w:rtl/>
        </w:rPr>
        <w:t>כאמור</w:t>
      </w:r>
      <w:r w:rsidRPr="00B172BF">
        <w:rPr>
          <w:rFonts w:ascii="David" w:hAnsi="David"/>
          <w:rtl/>
        </w:rPr>
        <w:t xml:space="preserve">. </w:t>
      </w:r>
      <w:r>
        <w:rPr>
          <w:rFonts w:ascii="David" w:hAnsi="David" w:hint="cs"/>
          <w:rtl/>
        </w:rPr>
        <w:t xml:space="preserve">רוצה לומר, </w:t>
      </w:r>
      <w:r w:rsidRPr="00B172BF">
        <w:rPr>
          <w:rFonts w:ascii="David" w:hAnsi="David" w:hint="cs"/>
          <w:rtl/>
        </w:rPr>
        <w:t>יכולתו</w:t>
      </w:r>
      <w:r w:rsidRPr="00B172BF">
        <w:rPr>
          <w:rFonts w:ascii="David" w:hAnsi="David"/>
          <w:rtl/>
        </w:rPr>
        <w:t xml:space="preserve"> הכלכלית </w:t>
      </w:r>
      <w:r w:rsidRPr="00B172BF">
        <w:rPr>
          <w:rFonts w:ascii="David" w:hAnsi="David" w:hint="cs"/>
          <w:rtl/>
        </w:rPr>
        <w:t>של</w:t>
      </w:r>
      <w:r w:rsidRPr="00B172BF">
        <w:rPr>
          <w:rFonts w:ascii="David" w:hAnsi="David"/>
          <w:rtl/>
        </w:rPr>
        <w:t xml:space="preserve"> מפר יחיד </w:t>
      </w:r>
      <w:r>
        <w:rPr>
          <w:rFonts w:ascii="David" w:hAnsi="David" w:hint="cs"/>
          <w:rtl/>
        </w:rPr>
        <w:t>שהציג את מלוא המידע בנוגע ליכולתו הכלכלית,</w:t>
      </w:r>
      <w:r w:rsidRPr="00B172BF">
        <w:rPr>
          <w:rFonts w:ascii="David" w:hAnsi="David" w:hint="cs"/>
          <w:rtl/>
        </w:rPr>
        <w:t xml:space="preserve"> עשויה</w:t>
      </w:r>
      <w:r w:rsidRPr="00B172BF">
        <w:rPr>
          <w:rFonts w:ascii="David" w:hAnsi="David"/>
          <w:rtl/>
        </w:rPr>
        <w:t xml:space="preserve"> </w:t>
      </w:r>
      <w:r w:rsidRPr="00B172BF">
        <w:rPr>
          <w:rFonts w:ascii="David" w:hAnsi="David" w:hint="cs"/>
          <w:rtl/>
        </w:rPr>
        <w:t>להשפיע על</w:t>
      </w:r>
      <w:r w:rsidRPr="00B172BF">
        <w:rPr>
          <w:rFonts w:ascii="David" w:hAnsi="David"/>
          <w:rtl/>
        </w:rPr>
        <w:t xml:space="preserve"> </w:t>
      </w:r>
      <w:r w:rsidRPr="00B172BF">
        <w:rPr>
          <w:rFonts w:ascii="David" w:hAnsi="David" w:hint="cs"/>
          <w:rtl/>
        </w:rPr>
        <w:t>קביעת</w:t>
      </w:r>
      <w:r w:rsidRPr="00B172BF">
        <w:rPr>
          <w:rFonts w:ascii="David" w:hAnsi="David"/>
          <w:rtl/>
        </w:rPr>
        <w:t xml:space="preserve"> </w:t>
      </w:r>
      <w:r w:rsidRPr="00B172BF">
        <w:rPr>
          <w:rFonts w:ascii="David" w:hAnsi="David" w:hint="cs"/>
          <w:rtl/>
        </w:rPr>
        <w:t>סכום</w:t>
      </w:r>
      <w:r w:rsidRPr="00B172BF">
        <w:rPr>
          <w:rFonts w:ascii="David" w:hAnsi="David"/>
          <w:rtl/>
        </w:rPr>
        <w:t xml:space="preserve"> </w:t>
      </w:r>
      <w:r w:rsidRPr="00B172BF">
        <w:rPr>
          <w:rFonts w:ascii="David" w:hAnsi="David" w:hint="cs"/>
          <w:rtl/>
        </w:rPr>
        <w:t>העיצום</w:t>
      </w:r>
      <w:r w:rsidRPr="00B172BF">
        <w:rPr>
          <w:rFonts w:ascii="David" w:hAnsi="David"/>
          <w:rtl/>
        </w:rPr>
        <w:t xml:space="preserve"> </w:t>
      </w:r>
      <w:r w:rsidRPr="00B172BF">
        <w:rPr>
          <w:rFonts w:ascii="David" w:hAnsi="David" w:hint="cs"/>
          <w:rtl/>
        </w:rPr>
        <w:t>המרבי</w:t>
      </w:r>
      <w:r w:rsidRPr="00B172BF">
        <w:rPr>
          <w:rFonts w:ascii="David" w:hAnsi="David"/>
          <w:rtl/>
        </w:rPr>
        <w:t xml:space="preserve"> </w:t>
      </w:r>
      <w:r w:rsidRPr="00B172BF">
        <w:rPr>
          <w:rFonts w:ascii="David" w:hAnsi="David" w:hint="cs"/>
          <w:rtl/>
        </w:rPr>
        <w:t>של</w:t>
      </w:r>
      <w:r w:rsidRPr="00B172BF">
        <w:rPr>
          <w:rFonts w:ascii="David" w:hAnsi="David"/>
          <w:rtl/>
        </w:rPr>
        <w:t xml:space="preserve"> </w:t>
      </w:r>
      <w:r w:rsidRPr="00B172BF">
        <w:rPr>
          <w:rFonts w:ascii="David" w:hAnsi="David" w:hint="cs"/>
          <w:rtl/>
        </w:rPr>
        <w:t>מפר</w:t>
      </w:r>
      <w:r w:rsidRPr="00B172BF">
        <w:rPr>
          <w:rFonts w:ascii="David" w:hAnsi="David"/>
          <w:rtl/>
        </w:rPr>
        <w:t xml:space="preserve"> </w:t>
      </w:r>
      <w:r w:rsidRPr="00B172BF">
        <w:rPr>
          <w:rFonts w:ascii="David" w:hAnsi="David" w:hint="cs"/>
          <w:rtl/>
        </w:rPr>
        <w:t>יחיד כך שיופחת</w:t>
      </w:r>
      <w:r w:rsidRPr="00B172BF">
        <w:rPr>
          <w:rFonts w:ascii="David" w:hAnsi="David"/>
          <w:rtl/>
        </w:rPr>
        <w:t xml:space="preserve"> מהסכום המקסימאלי בחוק.</w:t>
      </w:r>
      <w:r w:rsidRPr="00895F4F">
        <w:rPr>
          <w:rFonts w:ascii="David" w:hAnsi="David" w:hint="cs"/>
          <w:rtl/>
        </w:rPr>
        <w:t xml:space="preserve"> </w:t>
      </w:r>
    </w:p>
    <w:p w:rsidR="00DE2D7D" w:rsidRDefault="00DE2D7D" w:rsidP="00E14CFC">
      <w:pPr>
        <w:rPr>
          <w:rFonts w:ascii="David" w:hAnsi="David"/>
          <w:rtl/>
        </w:rPr>
      </w:pPr>
      <w:r w:rsidRPr="00874D80">
        <w:rPr>
          <w:rFonts w:ascii="David" w:hAnsi="David" w:hint="cs"/>
          <w:rtl/>
        </w:rPr>
        <w:t>בשלב</w:t>
      </w:r>
      <w:r w:rsidRPr="00874D80">
        <w:rPr>
          <w:rFonts w:ascii="David" w:hAnsi="David"/>
          <w:rtl/>
        </w:rPr>
        <w:t xml:space="preserve"> </w:t>
      </w:r>
      <w:r w:rsidRPr="00874D80">
        <w:rPr>
          <w:rFonts w:ascii="David" w:hAnsi="David" w:hint="cs"/>
          <w:rtl/>
        </w:rPr>
        <w:t>השני</w:t>
      </w:r>
      <w:r>
        <w:rPr>
          <w:rFonts w:ascii="David" w:hAnsi="David" w:hint="cs"/>
          <w:rtl/>
        </w:rPr>
        <w:t xml:space="preserve"> ייקבע עיצום הבסיס על פי חומרת ההפרה, ויעמוד על </w:t>
      </w:r>
      <w:r w:rsidR="00E14CFC">
        <w:rPr>
          <w:rFonts w:ascii="David" w:hAnsi="David" w:hint="cs"/>
          <w:rtl/>
        </w:rPr>
        <w:t>שיעור ש</w:t>
      </w:r>
      <w:r>
        <w:rPr>
          <w:rFonts w:ascii="David" w:hAnsi="David" w:hint="cs"/>
          <w:rtl/>
        </w:rPr>
        <w:t>בין 90% ל-5% מהעיצום המירבי</w:t>
      </w:r>
      <w:r w:rsidR="00E14CFC">
        <w:rPr>
          <w:rFonts w:ascii="David" w:hAnsi="David" w:hint="cs"/>
          <w:rtl/>
        </w:rPr>
        <w:t>,</w:t>
      </w:r>
      <w:r>
        <w:rPr>
          <w:rFonts w:ascii="David" w:hAnsi="David" w:hint="cs"/>
          <w:rtl/>
        </w:rPr>
        <w:t xml:space="preserve"> בדומה להטלת עיצום על תאגיד. ככלל, עיצום הבסיס שיקבע יהיה זהה ביחס לכל אחד מהמפרים המעורבים בהפרה. עם זאת, במקרים בהם מפר יחיד שהוא נושא משרה היה מעורב בהפרה רק באופן חלקי או לתקופה חלקית מתקופת ההפרה, עשוי עיצום הבסיס של נושא המשרה להיות נמוך מזה של התאגיד או שונה בין נושאי המשרה.</w:t>
      </w:r>
    </w:p>
    <w:p w:rsidR="00DE2D7D" w:rsidRDefault="00DE2D7D" w:rsidP="00582EDF">
      <w:pPr>
        <w:rPr>
          <w:rFonts w:ascii="David" w:hAnsi="David"/>
          <w:rtl/>
        </w:rPr>
      </w:pPr>
      <w:r>
        <w:rPr>
          <w:rFonts w:ascii="David" w:hAnsi="David" w:hint="cs"/>
          <w:rtl/>
        </w:rPr>
        <w:t xml:space="preserve">בשלב השלישי </w:t>
      </w:r>
      <w:r w:rsidRPr="00F72899">
        <w:rPr>
          <w:rFonts w:ascii="Calibri" w:hAnsi="Calibri" w:hint="cs"/>
          <w:rtl/>
        </w:rPr>
        <w:t xml:space="preserve">בו נבחנות נסיבות הנוגעות להתנהגות המפר ביחס להפרה, </w:t>
      </w:r>
      <w:r>
        <w:rPr>
          <w:rFonts w:ascii="Calibri" w:hAnsi="Calibri" w:hint="cs"/>
          <w:rtl/>
        </w:rPr>
        <w:t>יבחן הצורך</w:t>
      </w:r>
      <w:r w:rsidRPr="00F72899">
        <w:rPr>
          <w:rFonts w:ascii="Calibri" w:hAnsi="Calibri" w:hint="cs"/>
          <w:rtl/>
        </w:rPr>
        <w:t xml:space="preserve"> </w:t>
      </w:r>
      <w:r>
        <w:rPr>
          <w:rFonts w:ascii="Calibri" w:hAnsi="Calibri" w:hint="cs"/>
          <w:rtl/>
        </w:rPr>
        <w:t xml:space="preserve">בביצוע </w:t>
      </w:r>
      <w:r w:rsidRPr="00F72899">
        <w:rPr>
          <w:rFonts w:ascii="Calibri" w:hAnsi="Calibri" w:hint="cs"/>
          <w:rtl/>
        </w:rPr>
        <w:t xml:space="preserve">התאמות לעומת שיעור ההקלה או ההחמרה שנקבע לעניין זה בהתייחס לתאגיד המפר. דהיינו, </w:t>
      </w:r>
      <w:r>
        <w:rPr>
          <w:rFonts w:ascii="Calibri" w:hAnsi="Calibri" w:hint="cs"/>
          <w:rtl/>
        </w:rPr>
        <w:t>האם יש צורך</w:t>
      </w:r>
      <w:r w:rsidRPr="00F72899">
        <w:rPr>
          <w:rFonts w:ascii="Calibri" w:hAnsi="Calibri" w:hint="cs"/>
          <w:rtl/>
        </w:rPr>
        <w:t xml:space="preserve"> לשנות </w:t>
      </w:r>
      <w:r>
        <w:rPr>
          <w:rFonts w:ascii="Calibri" w:hAnsi="Calibri" w:hint="cs"/>
          <w:rtl/>
        </w:rPr>
        <w:t xml:space="preserve">את </w:t>
      </w:r>
      <w:r w:rsidRPr="00F72899">
        <w:rPr>
          <w:rFonts w:ascii="Calibri" w:hAnsi="Calibri" w:hint="cs"/>
          <w:rtl/>
        </w:rPr>
        <w:t>שיעור ההחמרה או ההקלה שנקבע לתאגיד,  וזאת בשים לב למידת מעורבותו הישירה של אותו נושא משרה בהפרה, מידת בכירותו בתאגיד המפר ויכולתו להשפיע על קבלת ההחלטות בתאגיד.</w:t>
      </w:r>
    </w:p>
    <w:p w:rsidR="00DE2D7D" w:rsidRDefault="00DE2D7D" w:rsidP="00DE2D7D">
      <w:pPr>
        <w:rPr>
          <w:rFonts w:ascii="David" w:hAnsi="David"/>
          <w:rtl/>
        </w:rPr>
      </w:pPr>
      <w:r>
        <w:rPr>
          <w:rFonts w:ascii="David" w:hAnsi="David" w:hint="cs"/>
          <w:rtl/>
        </w:rPr>
        <w:t xml:space="preserve">בשלב הרביעי </w:t>
      </w:r>
      <w:r>
        <w:rPr>
          <w:rFonts w:ascii="Calibri" w:hAnsi="Calibri" w:hint="cs"/>
          <w:rtl/>
        </w:rPr>
        <w:t>ישקלו</w:t>
      </w:r>
      <w:r w:rsidRPr="00F72899">
        <w:rPr>
          <w:rFonts w:ascii="Calibri" w:hAnsi="Calibri" w:hint="cs"/>
          <w:rtl/>
        </w:rPr>
        <w:t xml:space="preserve"> נסיבות נוספות, חיצוניות להפרה, הרלוונטיות לקביעת סכום העיצום הכספי שיוטל על היחיד, בדומה לאלו שהוכרו לגבי תאגיד. בכלל אלו</w:t>
      </w:r>
      <w:r>
        <w:rPr>
          <w:rFonts w:ascii="Calibri" w:hAnsi="Calibri" w:hint="cs"/>
          <w:rtl/>
        </w:rPr>
        <w:t xml:space="preserve"> יישקלו</w:t>
      </w:r>
      <w:r w:rsidRPr="00F72899">
        <w:rPr>
          <w:rFonts w:ascii="Calibri" w:hAnsi="Calibri" w:hint="cs"/>
          <w:rtl/>
        </w:rPr>
        <w:t xml:space="preserve"> גם נסיבות אישיות המצדיקות כי לא יוטל על המפר מל</w:t>
      </w:r>
      <w:r>
        <w:rPr>
          <w:rFonts w:ascii="Calibri" w:hAnsi="Calibri" w:hint="cs"/>
          <w:rtl/>
        </w:rPr>
        <w:t>ו</w:t>
      </w:r>
      <w:r w:rsidRPr="00F72899">
        <w:rPr>
          <w:rFonts w:ascii="Calibri" w:hAnsi="Calibri" w:hint="cs"/>
          <w:rtl/>
        </w:rPr>
        <w:t>א סכום העיצום שהיה מוטל עליו אלמלא קיומן של אותן נסיבות אישיות מיוחדות, בין שהמדובר בנסיבות אישיות שהובילו להפרה, ובין שהמדובר בנסיבות אישיות אחרות. על מנת ששיקולים אלו יובאו בחשבון בקביעת גובהו של עיצום, על הטוען לכך להציג בפני הממונה את מלוא המידע הרלוונטי לעניין, כשהוא מגובה בראיות אובייקטיביות ממשיות.</w:t>
      </w:r>
    </w:p>
    <w:p w:rsidR="00DE2D7D" w:rsidRDefault="00DE2D7D" w:rsidP="00DE2D7D">
      <w:pPr>
        <w:rPr>
          <w:rFonts w:ascii="David" w:hAnsi="David"/>
          <w:rtl/>
        </w:rPr>
      </w:pPr>
      <w:r>
        <w:rPr>
          <w:rFonts w:ascii="David" w:hAnsi="David" w:hint="cs"/>
          <w:rtl/>
        </w:rPr>
        <w:t>מן הכלל אל הפרט:</w:t>
      </w:r>
    </w:p>
    <w:p w:rsidR="00DE2D7D" w:rsidRPr="0030309A" w:rsidRDefault="00633156" w:rsidP="00DE2D7D">
      <w:pPr>
        <w:pStyle w:val="Heading3"/>
        <w:numPr>
          <w:ilvl w:val="0"/>
          <w:numId w:val="0"/>
        </w:numPr>
        <w:spacing w:before="120" w:after="0"/>
        <w:ind w:left="657"/>
        <w:rPr>
          <w:rFonts w:cs="David"/>
          <w:rtl/>
        </w:rPr>
      </w:pPr>
      <w:bookmarkStart w:id="40" w:name="_Toc476497426"/>
      <w:r>
        <w:rPr>
          <w:rFonts w:cs="David" w:hint="cs"/>
          <w:rtl/>
        </w:rPr>
        <w:t xml:space="preserve">מר </w:t>
      </w:r>
      <w:r w:rsidR="009F50C0" w:rsidRPr="00EE2F90">
        <w:rPr>
          <w:rFonts w:ascii="Times New Roman" w:hAnsi="Times New Roman" w:cs="David" w:hint="cs"/>
          <w:b w:val="0"/>
          <w:bCs w:val="0"/>
          <w:color w:val="000000"/>
          <w:sz w:val="20"/>
          <w:szCs w:val="20"/>
          <w:highlight w:val="black"/>
          <w:lang w:eastAsia="en-US"/>
        </w:rPr>
        <w:t>XXX</w:t>
      </w:r>
      <w:bookmarkEnd w:id="40"/>
    </w:p>
    <w:p w:rsidR="00DE2D7D" w:rsidRDefault="00DE2D7D" w:rsidP="00943C10">
      <w:pPr>
        <w:pStyle w:val="ListParagraph"/>
        <w:bidi/>
        <w:spacing w:before="120" w:beforeAutospacing="0" w:after="0" w:afterAutospacing="0" w:line="360" w:lineRule="auto"/>
        <w:jc w:val="both"/>
        <w:rPr>
          <w:rFonts w:cs="David"/>
          <w:rtl/>
        </w:rPr>
      </w:pPr>
      <w:r w:rsidRPr="0030309A">
        <w:rPr>
          <w:rFonts w:cs="David" w:hint="cs"/>
          <w:rtl/>
        </w:rPr>
        <w:t xml:space="preserve">קביעת גובה העיצום הכספי שיוטל על מר </w:t>
      </w:r>
      <w:r w:rsidR="009F50C0" w:rsidRPr="00EE2F90">
        <w:rPr>
          <w:rFonts w:cs="David" w:hint="cs"/>
          <w:color w:val="000000"/>
          <w:sz w:val="20"/>
          <w:szCs w:val="20"/>
          <w:highlight w:val="black"/>
        </w:rPr>
        <w:t>XXX</w:t>
      </w:r>
      <w:r w:rsidRPr="00EE2F90">
        <w:rPr>
          <w:rFonts w:cs="David" w:hint="cs"/>
          <w:sz w:val="20"/>
          <w:szCs w:val="20"/>
          <w:rtl/>
        </w:rPr>
        <w:t xml:space="preserve"> </w:t>
      </w:r>
      <w:r w:rsidRPr="0030309A">
        <w:rPr>
          <w:rFonts w:cs="David" w:hint="cs"/>
          <w:rtl/>
        </w:rPr>
        <w:t xml:space="preserve">מתבססת על כלל השיקולים המפורטים לעיל ביחס לחברת החשמל, ובנוסף על השיקולים שיפורטו להלן ביחס אליו. </w:t>
      </w:r>
    </w:p>
    <w:p w:rsidR="00DE2D7D" w:rsidRPr="0035033C" w:rsidRDefault="00DE2D7D" w:rsidP="0014724E">
      <w:pPr>
        <w:rPr>
          <w:b/>
          <w:bCs/>
          <w:sz w:val="24"/>
        </w:rPr>
      </w:pPr>
      <w:r w:rsidRPr="0035033C">
        <w:rPr>
          <w:rFonts w:hint="cs"/>
          <w:b/>
          <w:bCs/>
          <w:sz w:val="24"/>
          <w:rtl/>
        </w:rPr>
        <w:t xml:space="preserve">סכום העיצום המרבי </w:t>
      </w:r>
    </w:p>
    <w:p w:rsidR="00DE2D7D" w:rsidRPr="000E611B" w:rsidRDefault="000A0A44" w:rsidP="000A0A44">
      <w:pPr>
        <w:pStyle w:val="ListParagraph"/>
        <w:bidi/>
        <w:spacing w:before="120" w:beforeAutospacing="0" w:after="0" w:afterAutospacing="0" w:line="360" w:lineRule="auto"/>
        <w:jc w:val="both"/>
        <w:rPr>
          <w:rFonts w:cs="David"/>
          <w:b/>
          <w:bCs/>
          <w:rtl/>
        </w:rPr>
      </w:pPr>
      <w:r>
        <w:rPr>
          <w:rFonts w:cs="David" w:hint="cs"/>
          <w:rtl/>
        </w:rPr>
        <w:t>גילוי דעת 1/16 התפרסם לאחר ההודעה על כוונת חיוב. קביעת העיצום המירבי על פי</w:t>
      </w:r>
      <w:r w:rsidRPr="000E611B">
        <w:rPr>
          <w:rFonts w:cs="David" w:hint="cs"/>
          <w:rtl/>
        </w:rPr>
        <w:t xml:space="preserve"> </w:t>
      </w:r>
      <w:r>
        <w:rPr>
          <w:rFonts w:cs="David" w:hint="cs"/>
          <w:rtl/>
        </w:rPr>
        <w:t xml:space="preserve">גילוי דעת 1/16, בהיעדר נסיבות המצדיקות הפחתתו, הייתה מובילה לעיצום מירבי על סך </w:t>
      </w:r>
      <w:r w:rsidRPr="000969CD">
        <w:rPr>
          <w:rFonts w:cs="David"/>
          <w:rtl/>
        </w:rPr>
        <w:t>1,020,420</w:t>
      </w:r>
      <w:r w:rsidR="004F30D7">
        <w:rPr>
          <w:rFonts w:cs="David" w:hint="cs"/>
          <w:rtl/>
        </w:rPr>
        <w:t>ש</w:t>
      </w:r>
      <w:r w:rsidR="004F30D7">
        <w:rPr>
          <w:rFonts w:cs="David"/>
          <w:rtl/>
        </w:rPr>
        <w:t>"</w:t>
      </w:r>
      <w:r w:rsidR="004F30D7">
        <w:rPr>
          <w:rFonts w:cs="David" w:hint="cs"/>
          <w:rtl/>
        </w:rPr>
        <w:t>ח</w:t>
      </w:r>
      <w:r w:rsidRPr="000E611B">
        <w:rPr>
          <w:rFonts w:cs="David" w:hint="cs"/>
          <w:rtl/>
        </w:rPr>
        <w:t>.</w:t>
      </w:r>
      <w:r>
        <w:rPr>
          <w:rFonts w:cs="David" w:hint="cs"/>
          <w:rtl/>
        </w:rPr>
        <w:t xml:space="preserve"> </w:t>
      </w:r>
    </w:p>
    <w:p w:rsidR="00DE2D7D" w:rsidRPr="0035033C" w:rsidRDefault="00DE2D7D" w:rsidP="0014724E">
      <w:pPr>
        <w:rPr>
          <w:b/>
          <w:bCs/>
          <w:sz w:val="24"/>
        </w:rPr>
      </w:pPr>
      <w:r w:rsidRPr="0035033C">
        <w:rPr>
          <w:rFonts w:hint="cs"/>
          <w:b/>
          <w:bCs/>
          <w:sz w:val="24"/>
          <w:rtl/>
        </w:rPr>
        <w:t xml:space="preserve">סכום עיצום הבסיס </w:t>
      </w:r>
    </w:p>
    <w:p w:rsidR="00DE2D7D" w:rsidRPr="0030309A" w:rsidRDefault="00DE2D7D" w:rsidP="00DE2D7D">
      <w:pPr>
        <w:pStyle w:val="ListParagraph"/>
        <w:bidi/>
        <w:spacing w:before="120" w:beforeAutospacing="0" w:after="0" w:afterAutospacing="0" w:line="360" w:lineRule="auto"/>
        <w:jc w:val="both"/>
        <w:rPr>
          <w:rFonts w:cs="David"/>
          <w:b/>
          <w:bCs/>
        </w:rPr>
      </w:pPr>
      <w:r w:rsidRPr="0035033C">
        <w:rPr>
          <w:rFonts w:cs="David" w:hint="cs"/>
          <w:u w:val="single"/>
          <w:rtl/>
        </w:rPr>
        <w:t>חומרת ההפרה ומידת הפגיעה שעלולה להיגרם כתוצאה ממנה לתחרות או לציבור</w:t>
      </w:r>
      <w:r w:rsidRPr="0030309A">
        <w:rPr>
          <w:rFonts w:cs="David" w:hint="cs"/>
          <w:rtl/>
        </w:rPr>
        <w:t xml:space="preserve"> </w:t>
      </w:r>
      <w:r w:rsidRPr="0030309A">
        <w:rPr>
          <w:rFonts w:cs="David"/>
          <w:rtl/>
        </w:rPr>
        <w:t>–</w:t>
      </w:r>
      <w:r w:rsidRPr="0030309A">
        <w:rPr>
          <w:rFonts w:cs="David" w:hint="cs"/>
          <w:rtl/>
        </w:rPr>
        <w:t xml:space="preserve"> בדומה לחברת החשמל, פוטנציאל הפגיעה </w:t>
      </w:r>
      <w:r w:rsidR="0077741A">
        <w:rPr>
          <w:rFonts w:cs="David" w:hint="cs"/>
          <w:rtl/>
        </w:rPr>
        <w:t>ב</w:t>
      </w:r>
      <w:r w:rsidRPr="0030309A">
        <w:rPr>
          <w:rFonts w:cs="David" w:hint="cs"/>
          <w:rtl/>
        </w:rPr>
        <w:t xml:space="preserve">תחרות כתוצאה מהתנהלותו של מר </w:t>
      </w:r>
      <w:r w:rsidR="009F50C0" w:rsidRPr="00EE2F90">
        <w:rPr>
          <w:rFonts w:cs="David" w:hint="cs"/>
          <w:color w:val="000000"/>
          <w:sz w:val="22"/>
          <w:szCs w:val="22"/>
          <w:highlight w:val="black"/>
        </w:rPr>
        <w:t>XXX</w:t>
      </w:r>
      <w:r w:rsidRPr="00EE2F90">
        <w:rPr>
          <w:rFonts w:cs="David" w:hint="cs"/>
          <w:sz w:val="22"/>
          <w:szCs w:val="22"/>
          <w:rtl/>
        </w:rPr>
        <w:t xml:space="preserve"> </w:t>
      </w:r>
      <w:r w:rsidRPr="0030309A">
        <w:rPr>
          <w:rFonts w:cs="David" w:hint="cs"/>
          <w:rtl/>
        </w:rPr>
        <w:t>שהיה מעורב בהפסקת שירות המת"ל ל</w:t>
      </w:r>
      <w:r w:rsidR="00206900">
        <w:rPr>
          <w:rFonts w:cs="David" w:hint="cs"/>
          <w:rtl/>
        </w:rPr>
        <w:t>לקוחות</w:t>
      </w:r>
      <w:r w:rsidRPr="0030309A">
        <w:rPr>
          <w:rFonts w:cs="David" w:hint="cs"/>
          <w:rtl/>
        </w:rPr>
        <w:t xml:space="preserve"> עסקיים גבוה ביותר.</w:t>
      </w:r>
      <w:r w:rsidRPr="0030309A">
        <w:rPr>
          <w:rFonts w:cs="David" w:hint="cs"/>
          <w:b/>
          <w:bCs/>
          <w:rtl/>
        </w:rPr>
        <w:t xml:space="preserve"> </w:t>
      </w:r>
    </w:p>
    <w:p w:rsidR="00DE2D7D" w:rsidRPr="0030309A" w:rsidRDefault="00DE2D7D" w:rsidP="0077741A">
      <w:pPr>
        <w:pStyle w:val="ListParagraph"/>
        <w:bidi/>
        <w:spacing w:before="120" w:beforeAutospacing="0" w:after="0" w:afterAutospacing="0" w:line="360" w:lineRule="auto"/>
        <w:jc w:val="both"/>
        <w:rPr>
          <w:rFonts w:cs="David"/>
          <w:b/>
          <w:bCs/>
        </w:rPr>
      </w:pPr>
      <w:r w:rsidRPr="0035033C">
        <w:rPr>
          <w:rFonts w:cs="David" w:hint="cs"/>
          <w:u w:val="single"/>
          <w:rtl/>
        </w:rPr>
        <w:t>משך ההפרה</w:t>
      </w:r>
      <w:r w:rsidRPr="0030309A">
        <w:rPr>
          <w:rFonts w:cs="David" w:hint="cs"/>
          <w:b/>
          <w:bCs/>
          <w:rtl/>
        </w:rPr>
        <w:t xml:space="preserve"> </w:t>
      </w:r>
      <w:r w:rsidRPr="0030309A">
        <w:rPr>
          <w:rFonts w:cs="David" w:hint="cs"/>
          <w:rtl/>
        </w:rPr>
        <w:t xml:space="preserve">- מר </w:t>
      </w:r>
      <w:r w:rsidR="009F50C0" w:rsidRPr="00EE2F90">
        <w:rPr>
          <w:rFonts w:cs="David" w:hint="cs"/>
          <w:color w:val="000000"/>
          <w:sz w:val="22"/>
          <w:szCs w:val="22"/>
          <w:highlight w:val="black"/>
        </w:rPr>
        <w:t>XXX</w:t>
      </w:r>
      <w:r w:rsidRPr="00EE2F90">
        <w:rPr>
          <w:rFonts w:cs="David" w:hint="cs"/>
          <w:sz w:val="22"/>
          <w:szCs w:val="22"/>
          <w:rtl/>
        </w:rPr>
        <w:t xml:space="preserve"> </w:t>
      </w:r>
      <w:r w:rsidRPr="0030309A">
        <w:rPr>
          <w:rFonts w:cs="David" w:hint="cs"/>
          <w:rtl/>
        </w:rPr>
        <w:t xml:space="preserve">שימש כסמנכ"ל לקוחות מאז תחילת ביצוע ההפרה ועד לסיום תפקידו בסוף דצמבר 2014. מדובר על משך הפרה </w:t>
      </w:r>
      <w:r w:rsidR="0077741A">
        <w:rPr>
          <w:rFonts w:cs="David" w:hint="cs"/>
          <w:rtl/>
        </w:rPr>
        <w:t>ארוך ומשמעותי</w:t>
      </w:r>
      <w:r w:rsidRPr="0030309A">
        <w:rPr>
          <w:rFonts w:cs="David" w:hint="cs"/>
          <w:rtl/>
        </w:rPr>
        <w:t xml:space="preserve"> של כ</w:t>
      </w:r>
      <w:r w:rsidR="002E5FCA">
        <w:rPr>
          <w:rFonts w:cs="David" w:hint="cs"/>
          <w:rtl/>
        </w:rPr>
        <w:t>שנה ו</w:t>
      </w:r>
      <w:r w:rsidRPr="0030309A">
        <w:rPr>
          <w:rFonts w:cs="David" w:hint="cs"/>
          <w:rtl/>
        </w:rPr>
        <w:t>חצי.</w:t>
      </w:r>
    </w:p>
    <w:p w:rsidR="00DE2D7D" w:rsidRPr="0030309A" w:rsidRDefault="00DE2D7D" w:rsidP="0014724E">
      <w:pPr>
        <w:pStyle w:val="ListParagraph"/>
        <w:bidi/>
        <w:spacing w:before="120" w:beforeAutospacing="0" w:after="0" w:afterAutospacing="0" w:line="360" w:lineRule="auto"/>
        <w:jc w:val="both"/>
        <w:rPr>
          <w:rFonts w:cs="David"/>
        </w:rPr>
      </w:pPr>
      <w:r w:rsidRPr="0030309A">
        <w:rPr>
          <w:rFonts w:cs="David" w:hint="cs"/>
          <w:rtl/>
        </w:rPr>
        <w:t xml:space="preserve">על בסיס השיקולים הנ"ל עיצום הבסיס </w:t>
      </w:r>
      <w:r w:rsidR="0014724E">
        <w:rPr>
          <w:rFonts w:cs="David" w:hint="cs"/>
          <w:rtl/>
        </w:rPr>
        <w:t>ההולם</w:t>
      </w:r>
      <w:r w:rsidRPr="0030309A">
        <w:rPr>
          <w:rFonts w:cs="David" w:hint="cs"/>
          <w:rtl/>
        </w:rPr>
        <w:t xml:space="preserve"> </w:t>
      </w:r>
      <w:r w:rsidR="000B133E">
        <w:rPr>
          <w:rFonts w:cs="David" w:hint="cs"/>
          <w:rtl/>
        </w:rPr>
        <w:t xml:space="preserve">למר </w:t>
      </w:r>
      <w:r w:rsidR="009F50C0" w:rsidRPr="00EE2F90">
        <w:rPr>
          <w:rFonts w:cs="David" w:hint="cs"/>
          <w:color w:val="000000"/>
          <w:sz w:val="22"/>
          <w:szCs w:val="22"/>
          <w:highlight w:val="black"/>
        </w:rPr>
        <w:t>XXX</w:t>
      </w:r>
      <w:r w:rsidRPr="00EE2F90">
        <w:rPr>
          <w:rFonts w:cs="David" w:hint="cs"/>
          <w:sz w:val="22"/>
          <w:szCs w:val="22"/>
          <w:rtl/>
        </w:rPr>
        <w:t xml:space="preserve"> </w:t>
      </w:r>
      <w:r w:rsidR="0014724E">
        <w:rPr>
          <w:rFonts w:cs="David" w:hint="cs"/>
          <w:rtl/>
        </w:rPr>
        <w:t xml:space="preserve">הינו </w:t>
      </w:r>
      <w:r w:rsidRPr="0030309A">
        <w:rPr>
          <w:rFonts w:cs="David" w:hint="cs"/>
          <w:rtl/>
        </w:rPr>
        <w:t xml:space="preserve">65% מהעיצום המירבי, היינו בגובה של </w:t>
      </w:r>
      <w:r w:rsidR="000C5EB6">
        <w:rPr>
          <w:rFonts w:cs="David" w:hint="cs"/>
          <w:rtl/>
        </w:rPr>
        <w:t>663,273</w:t>
      </w:r>
      <w:r w:rsidRPr="0030309A">
        <w:rPr>
          <w:rFonts w:cs="David" w:hint="cs"/>
          <w:rtl/>
        </w:rPr>
        <w:t xml:space="preserve"> </w:t>
      </w:r>
      <w:r w:rsidR="004F30D7">
        <w:rPr>
          <w:rFonts w:cs="David" w:hint="cs"/>
          <w:rtl/>
        </w:rPr>
        <w:t>ש</w:t>
      </w:r>
      <w:r w:rsidR="004F30D7">
        <w:rPr>
          <w:rFonts w:cs="David"/>
          <w:rtl/>
        </w:rPr>
        <w:t>"</w:t>
      </w:r>
      <w:r w:rsidR="004F30D7">
        <w:rPr>
          <w:rFonts w:cs="David" w:hint="cs"/>
          <w:rtl/>
        </w:rPr>
        <w:t>ח</w:t>
      </w:r>
      <w:r w:rsidRPr="0030309A">
        <w:rPr>
          <w:rFonts w:cs="David" w:hint="cs"/>
          <w:rtl/>
        </w:rPr>
        <w:t>.</w:t>
      </w:r>
    </w:p>
    <w:p w:rsidR="00DE2D7D" w:rsidRPr="0035033C" w:rsidRDefault="00DE2D7D" w:rsidP="00DE2D7D">
      <w:pPr>
        <w:rPr>
          <w:b/>
          <w:bCs/>
          <w:sz w:val="24"/>
        </w:rPr>
      </w:pPr>
      <w:r w:rsidRPr="0035033C">
        <w:rPr>
          <w:rFonts w:hint="cs"/>
          <w:b/>
          <w:bCs/>
          <w:sz w:val="24"/>
          <w:rtl/>
        </w:rPr>
        <w:lastRenderedPageBreak/>
        <w:t>נסיבות הנוגעות להתנהגות המפר ביחס להפרה</w:t>
      </w:r>
    </w:p>
    <w:p w:rsidR="00DB17B8" w:rsidRDefault="00DE2D7D" w:rsidP="009F5BC0">
      <w:pPr>
        <w:pStyle w:val="ListParagraph"/>
        <w:bidi/>
        <w:spacing w:before="120" w:beforeAutospacing="0" w:after="0" w:afterAutospacing="0" w:line="360" w:lineRule="auto"/>
        <w:jc w:val="both"/>
        <w:rPr>
          <w:rFonts w:cs="David"/>
          <w:rtl/>
        </w:rPr>
      </w:pPr>
      <w:r w:rsidRPr="0035033C">
        <w:rPr>
          <w:rFonts w:cs="David" w:hint="cs"/>
          <w:u w:val="single"/>
          <w:rtl/>
        </w:rPr>
        <w:t xml:space="preserve">חלקו היחסי של מר </w:t>
      </w:r>
      <w:r w:rsidR="009F50C0" w:rsidRPr="00EE2F90">
        <w:rPr>
          <w:rFonts w:cs="David" w:hint="cs"/>
          <w:color w:val="000000"/>
          <w:sz w:val="20"/>
          <w:szCs w:val="20"/>
          <w:highlight w:val="black"/>
          <w:u w:val="single"/>
        </w:rPr>
        <w:t>XXX</w:t>
      </w:r>
      <w:r w:rsidRPr="00EE2F90">
        <w:rPr>
          <w:rFonts w:cs="David" w:hint="cs"/>
          <w:sz w:val="20"/>
          <w:szCs w:val="20"/>
          <w:u w:val="single"/>
          <w:rtl/>
        </w:rPr>
        <w:t xml:space="preserve"> </w:t>
      </w:r>
      <w:r w:rsidRPr="0035033C">
        <w:rPr>
          <w:rFonts w:cs="David" w:hint="cs"/>
          <w:u w:val="single"/>
          <w:rtl/>
        </w:rPr>
        <w:t>בהפרה ומידת השפעתו על ביצועה</w:t>
      </w:r>
      <w:r w:rsidRPr="0030309A">
        <w:rPr>
          <w:rFonts w:cs="David" w:hint="cs"/>
          <w:rtl/>
        </w:rPr>
        <w:t xml:space="preserve"> </w:t>
      </w:r>
      <w:r w:rsidRPr="0030309A">
        <w:rPr>
          <w:rFonts w:cs="David"/>
          <w:rtl/>
        </w:rPr>
        <w:t>–</w:t>
      </w:r>
      <w:r w:rsidRPr="0030309A">
        <w:rPr>
          <w:rFonts w:cs="David" w:hint="cs"/>
          <w:rtl/>
        </w:rPr>
        <w:t xml:space="preserve"> בהיותו מנהל חטיבת לקוחות, מר </w:t>
      </w:r>
      <w:r w:rsidR="009F50C0" w:rsidRPr="00EE2F90">
        <w:rPr>
          <w:rFonts w:cs="David" w:hint="cs"/>
          <w:color w:val="000000"/>
          <w:sz w:val="22"/>
          <w:szCs w:val="22"/>
          <w:highlight w:val="black"/>
        </w:rPr>
        <w:t>XXX</w:t>
      </w:r>
      <w:r w:rsidRPr="00EE2F90">
        <w:rPr>
          <w:rFonts w:cs="David" w:hint="cs"/>
          <w:sz w:val="22"/>
          <w:szCs w:val="22"/>
          <w:rtl/>
        </w:rPr>
        <w:t xml:space="preserve"> </w:t>
      </w:r>
      <w:r w:rsidRPr="0030309A">
        <w:rPr>
          <w:rFonts w:cs="David" w:hint="cs"/>
          <w:rtl/>
        </w:rPr>
        <w:t xml:space="preserve">היה הגורם הבכיר האחראי לנושא שירות המת"ל שניתן </w:t>
      </w:r>
      <w:r>
        <w:rPr>
          <w:rFonts w:cs="David" w:hint="cs"/>
          <w:rtl/>
        </w:rPr>
        <w:t>ללקוחות חברת החשמל</w:t>
      </w:r>
      <w:r w:rsidRPr="0030309A">
        <w:rPr>
          <w:rFonts w:cs="David" w:hint="cs"/>
          <w:rtl/>
        </w:rPr>
        <w:t xml:space="preserve">. </w:t>
      </w:r>
      <w:r>
        <w:rPr>
          <w:rFonts w:cs="David" w:hint="cs"/>
          <w:rtl/>
        </w:rPr>
        <w:t xml:space="preserve">מר </w:t>
      </w:r>
      <w:r w:rsidR="009F50C0" w:rsidRPr="00EE2F90">
        <w:rPr>
          <w:rFonts w:cs="David" w:hint="cs"/>
          <w:color w:val="000000"/>
          <w:sz w:val="20"/>
          <w:szCs w:val="20"/>
          <w:highlight w:val="black"/>
        </w:rPr>
        <w:t>XXX</w:t>
      </w:r>
      <w:r w:rsidRPr="00EE2F90">
        <w:rPr>
          <w:rFonts w:cs="David" w:hint="cs"/>
          <w:sz w:val="20"/>
          <w:szCs w:val="20"/>
          <w:rtl/>
        </w:rPr>
        <w:t xml:space="preserve"> </w:t>
      </w:r>
      <w:r>
        <w:rPr>
          <w:rFonts w:cs="David" w:hint="cs"/>
          <w:rtl/>
        </w:rPr>
        <w:t xml:space="preserve">היה מעורב בתהליכי קבלת ההחלטות שהובילו להפסקת שירותי המת"ל. </w:t>
      </w:r>
      <w:r w:rsidR="00DB17B8">
        <w:rPr>
          <w:rFonts w:cs="David" w:hint="cs"/>
          <w:rtl/>
        </w:rPr>
        <w:t>משכך, מן הראוי היה להחמיר עמו באופן יחסי.</w:t>
      </w:r>
    </w:p>
    <w:p w:rsidR="009F5BC0" w:rsidRDefault="0013753D" w:rsidP="00F36FA1">
      <w:pPr>
        <w:pStyle w:val="ListParagraph"/>
        <w:bidi/>
        <w:spacing w:before="120" w:beforeAutospacing="0" w:after="0" w:afterAutospacing="0" w:line="360" w:lineRule="auto"/>
        <w:jc w:val="both"/>
        <w:rPr>
          <w:rFonts w:ascii="David" w:hAnsi="David" w:cs="David"/>
          <w:rtl/>
        </w:rPr>
      </w:pPr>
      <w:r>
        <w:rPr>
          <w:rFonts w:cs="David" w:hint="cs"/>
          <w:rtl/>
        </w:rPr>
        <w:t xml:space="preserve">לצד זאת, </w:t>
      </w:r>
      <w:r w:rsidR="00E90A0A">
        <w:rPr>
          <w:rFonts w:cs="David" w:hint="cs"/>
          <w:rtl/>
        </w:rPr>
        <w:t xml:space="preserve">ראיות שהתקבלו ברשות </w:t>
      </w:r>
      <w:r>
        <w:rPr>
          <w:rFonts w:cs="David" w:hint="cs"/>
          <w:rtl/>
        </w:rPr>
        <w:t xml:space="preserve">לאחר </w:t>
      </w:r>
      <w:r w:rsidR="00E90A0A">
        <w:rPr>
          <w:rFonts w:cs="David" w:hint="cs"/>
          <w:rtl/>
        </w:rPr>
        <w:t xml:space="preserve">השימוע שנערך למר </w:t>
      </w:r>
      <w:r w:rsidR="009F50C0" w:rsidRPr="0044109C">
        <w:rPr>
          <w:rFonts w:cs="David" w:hint="cs"/>
          <w:color w:val="000000"/>
          <w:highlight w:val="black"/>
        </w:rPr>
        <w:t>XXX</w:t>
      </w:r>
      <w:r w:rsidR="00E90A0A">
        <w:rPr>
          <w:rFonts w:cs="David" w:hint="cs"/>
          <w:rtl/>
        </w:rPr>
        <w:t xml:space="preserve"> </w:t>
      </w:r>
      <w:r>
        <w:rPr>
          <w:rFonts w:cs="David" w:hint="cs"/>
          <w:rtl/>
        </w:rPr>
        <w:t xml:space="preserve">מצביעות על מעורבות </w:t>
      </w:r>
      <w:r w:rsidR="008011D3">
        <w:rPr>
          <w:rFonts w:cs="David" w:hint="cs"/>
          <w:rtl/>
        </w:rPr>
        <w:t xml:space="preserve">לכאורה </w:t>
      </w:r>
      <w:r w:rsidR="00E90A0A">
        <w:rPr>
          <w:rFonts w:cs="David" w:hint="cs"/>
          <w:rtl/>
        </w:rPr>
        <w:t xml:space="preserve">בהפרה </w:t>
      </w:r>
      <w:r w:rsidR="008011D3">
        <w:rPr>
          <w:rFonts w:cs="David" w:hint="cs"/>
          <w:rtl/>
        </w:rPr>
        <w:t>מצד</w:t>
      </w:r>
      <w:r>
        <w:rPr>
          <w:rFonts w:cs="David" w:hint="cs"/>
          <w:rtl/>
        </w:rPr>
        <w:t xml:space="preserve"> </w:t>
      </w:r>
      <w:r w:rsidR="009F5BC0">
        <w:rPr>
          <w:rFonts w:cs="David" w:hint="cs"/>
          <w:rtl/>
        </w:rPr>
        <w:t>נושא משרה נוסף ב</w:t>
      </w:r>
      <w:r>
        <w:rPr>
          <w:rFonts w:cs="David" w:hint="cs"/>
          <w:rtl/>
        </w:rPr>
        <w:t>חברת החשמל</w:t>
      </w:r>
      <w:r w:rsidR="009F5BC0">
        <w:rPr>
          <w:rFonts w:cs="David" w:hint="cs"/>
          <w:rtl/>
        </w:rPr>
        <w:t>.</w:t>
      </w:r>
      <w:r w:rsidR="00DB17B8">
        <w:rPr>
          <w:rFonts w:cs="David" w:hint="cs"/>
          <w:rtl/>
        </w:rPr>
        <w:t xml:space="preserve"> </w:t>
      </w:r>
      <w:r w:rsidR="00C76522">
        <w:rPr>
          <w:rFonts w:cs="David" w:hint="cs"/>
          <w:rtl/>
        </w:rPr>
        <w:t>בשים לב למידת מעורבותו בביצוע ההפרה ו</w:t>
      </w:r>
      <w:r w:rsidR="009F5BC0">
        <w:rPr>
          <w:rFonts w:cs="David" w:hint="cs"/>
          <w:rtl/>
        </w:rPr>
        <w:t>ל</w:t>
      </w:r>
      <w:r w:rsidR="00C76522">
        <w:rPr>
          <w:rFonts w:cs="David" w:hint="cs"/>
          <w:rtl/>
        </w:rPr>
        <w:t xml:space="preserve">תפקידו של מר </w:t>
      </w:r>
      <w:r w:rsidR="009F50C0" w:rsidRPr="007F1053">
        <w:rPr>
          <w:rFonts w:cs="David" w:hint="cs"/>
          <w:color w:val="000000"/>
          <w:sz w:val="22"/>
          <w:szCs w:val="22"/>
          <w:highlight w:val="black"/>
        </w:rPr>
        <w:t>XXX</w:t>
      </w:r>
      <w:r w:rsidR="009F5BC0" w:rsidRPr="007F1053">
        <w:rPr>
          <w:rFonts w:cs="David" w:hint="cs"/>
          <w:sz w:val="22"/>
          <w:szCs w:val="22"/>
          <w:rtl/>
        </w:rPr>
        <w:t xml:space="preserve"> </w:t>
      </w:r>
      <w:r w:rsidR="009F5BC0">
        <w:rPr>
          <w:rFonts w:cs="David" w:hint="cs"/>
          <w:rtl/>
        </w:rPr>
        <w:t>בהשוואה למעורבותו הלכאורית ותפקידו של נושא המשרה הנוסף</w:t>
      </w:r>
      <w:r w:rsidR="00C76522">
        <w:rPr>
          <w:rFonts w:cs="David" w:hint="cs"/>
          <w:rtl/>
        </w:rPr>
        <w:t xml:space="preserve">, </w:t>
      </w:r>
      <w:r w:rsidR="009F5BC0">
        <w:rPr>
          <w:rFonts w:cs="David" w:hint="cs"/>
          <w:rtl/>
        </w:rPr>
        <w:t xml:space="preserve">לא מצאתי </w:t>
      </w:r>
      <w:r w:rsidR="0014724E">
        <w:rPr>
          <w:rFonts w:cs="David" w:hint="cs"/>
          <w:rtl/>
        </w:rPr>
        <w:t>שיש לתת</w:t>
      </w:r>
      <w:r w:rsidR="009F5BC0">
        <w:rPr>
          <w:rFonts w:cs="David" w:hint="cs"/>
          <w:rtl/>
        </w:rPr>
        <w:t xml:space="preserve"> משקל לחומרה או לקולא לשיקול זה. </w:t>
      </w:r>
    </w:p>
    <w:p w:rsidR="0090268E" w:rsidRDefault="0090268E" w:rsidP="0090268E">
      <w:pPr>
        <w:pStyle w:val="ListParagraph"/>
        <w:bidi/>
        <w:spacing w:before="120" w:beforeAutospacing="0" w:after="0" w:afterAutospacing="0" w:line="360" w:lineRule="auto"/>
        <w:jc w:val="both"/>
        <w:rPr>
          <w:rFonts w:ascii="David" w:hAnsi="David" w:cs="David"/>
          <w:rtl/>
        </w:rPr>
      </w:pPr>
      <w:r>
        <w:rPr>
          <w:rFonts w:ascii="David" w:hAnsi="David" w:cs="David" w:hint="cs"/>
          <w:rtl/>
        </w:rPr>
        <w:t xml:space="preserve">מר </w:t>
      </w:r>
      <w:r w:rsidR="009F50C0" w:rsidRPr="007F1053">
        <w:rPr>
          <w:rFonts w:ascii="David" w:hAnsi="David" w:cs="David" w:hint="cs"/>
          <w:color w:val="000000"/>
          <w:sz w:val="22"/>
          <w:szCs w:val="22"/>
          <w:highlight w:val="black"/>
        </w:rPr>
        <w:t>XXX</w:t>
      </w:r>
      <w:r w:rsidRPr="007F1053">
        <w:rPr>
          <w:rFonts w:ascii="David" w:hAnsi="David" w:cs="David" w:hint="cs"/>
          <w:sz w:val="22"/>
          <w:szCs w:val="22"/>
          <w:rtl/>
        </w:rPr>
        <w:t xml:space="preserve"> </w:t>
      </w:r>
      <w:r>
        <w:rPr>
          <w:rFonts w:ascii="David" w:hAnsi="David" w:cs="David" w:hint="cs"/>
          <w:rtl/>
        </w:rPr>
        <w:t>אף לא נקט בפעולות לצמצום או הפסקת ההפרה.</w:t>
      </w:r>
    </w:p>
    <w:p w:rsidR="0090268E" w:rsidRDefault="0090268E" w:rsidP="0090268E">
      <w:pPr>
        <w:pStyle w:val="ListParagraph"/>
        <w:bidi/>
        <w:spacing w:before="120" w:beforeAutospacing="0" w:after="0" w:afterAutospacing="0" w:line="360" w:lineRule="auto"/>
        <w:jc w:val="both"/>
        <w:rPr>
          <w:rFonts w:ascii="David" w:hAnsi="David" w:cs="David"/>
          <w:rtl/>
        </w:rPr>
      </w:pPr>
      <w:r w:rsidRPr="005F07A0">
        <w:rPr>
          <w:rFonts w:ascii="David" w:hAnsi="David" w:cs="David" w:hint="cs"/>
          <w:rtl/>
        </w:rPr>
        <w:t xml:space="preserve">משכך בגין נסיבות הנוגעות להתנהגות המפר מצאתי </w:t>
      </w:r>
      <w:r w:rsidRPr="00EF230C">
        <w:rPr>
          <w:rFonts w:ascii="David" w:hAnsi="David" w:cs="David" w:hint="cs"/>
          <w:rtl/>
        </w:rPr>
        <w:t>שלא להפחית מעיצום הבסיס.</w:t>
      </w:r>
    </w:p>
    <w:p w:rsidR="00DE2D7D" w:rsidRPr="0035033C" w:rsidRDefault="00DE2D7D" w:rsidP="00DE2D7D">
      <w:pPr>
        <w:rPr>
          <w:b/>
          <w:bCs/>
          <w:sz w:val="24"/>
        </w:rPr>
      </w:pPr>
      <w:r w:rsidRPr="0035033C">
        <w:rPr>
          <w:rFonts w:hint="cs"/>
          <w:b/>
          <w:bCs/>
          <w:sz w:val="24"/>
          <w:rtl/>
        </w:rPr>
        <w:t xml:space="preserve">נסיבות חיצוניות להפרה </w:t>
      </w:r>
    </w:p>
    <w:p w:rsidR="00DE2D7D" w:rsidRPr="0030309A" w:rsidRDefault="00DE2D7D" w:rsidP="006307E3">
      <w:pPr>
        <w:pStyle w:val="ListParagraph"/>
        <w:bidi/>
        <w:spacing w:before="120" w:beforeAutospacing="0" w:after="0" w:afterAutospacing="0" w:line="360" w:lineRule="auto"/>
        <w:jc w:val="both"/>
        <w:rPr>
          <w:rFonts w:cs="David"/>
        </w:rPr>
      </w:pPr>
      <w:r w:rsidRPr="0030309A">
        <w:rPr>
          <w:rFonts w:cs="David" w:hint="cs"/>
          <w:rtl/>
        </w:rPr>
        <w:t xml:space="preserve">למר </w:t>
      </w:r>
      <w:r w:rsidR="009F50C0" w:rsidRPr="007F1053">
        <w:rPr>
          <w:rFonts w:cs="David" w:hint="cs"/>
          <w:color w:val="000000"/>
          <w:sz w:val="22"/>
          <w:szCs w:val="22"/>
          <w:highlight w:val="black"/>
        </w:rPr>
        <w:t>XXX</w:t>
      </w:r>
      <w:r w:rsidRPr="007F1053">
        <w:rPr>
          <w:rFonts w:cs="David" w:hint="cs"/>
          <w:sz w:val="22"/>
          <w:szCs w:val="22"/>
          <w:rtl/>
        </w:rPr>
        <w:t xml:space="preserve"> </w:t>
      </w:r>
      <w:r w:rsidRPr="0030309A">
        <w:rPr>
          <w:rFonts w:cs="David" w:hint="cs"/>
          <w:rtl/>
        </w:rPr>
        <w:t xml:space="preserve">אין הפרות קודמות של חוק ההגבלים העסקיים. בגין שיקול זה </w:t>
      </w:r>
      <w:r w:rsidR="0014724E">
        <w:rPr>
          <w:rFonts w:cs="David" w:hint="cs"/>
          <w:rtl/>
        </w:rPr>
        <w:t>יש מקום</w:t>
      </w:r>
      <w:r w:rsidRPr="0030309A">
        <w:rPr>
          <w:rFonts w:cs="David" w:hint="cs"/>
          <w:rtl/>
        </w:rPr>
        <w:t xml:space="preserve"> להפחית 5% מהעיצום שיוטל על מר </w:t>
      </w:r>
      <w:r w:rsidR="009F50C0" w:rsidRPr="007F1053">
        <w:rPr>
          <w:rFonts w:cs="David" w:hint="cs"/>
          <w:color w:val="000000"/>
          <w:sz w:val="22"/>
          <w:szCs w:val="22"/>
          <w:highlight w:val="black"/>
        </w:rPr>
        <w:t>XXX</w:t>
      </w:r>
      <w:r w:rsidRPr="0030309A">
        <w:rPr>
          <w:rFonts w:cs="David" w:hint="cs"/>
          <w:rtl/>
        </w:rPr>
        <w:t xml:space="preserve">. </w:t>
      </w:r>
      <w:r>
        <w:rPr>
          <w:rFonts w:cs="David" w:hint="cs"/>
          <w:rtl/>
        </w:rPr>
        <w:t xml:space="preserve">בנוסף, </w:t>
      </w:r>
      <w:r w:rsidRPr="0030309A">
        <w:rPr>
          <w:rFonts w:cs="David" w:hint="cs"/>
          <w:rtl/>
        </w:rPr>
        <w:t xml:space="preserve">המדובר בפעם השנייה בה מוטלים עיצומים כספיים בהתאם לפרק ז'1 לחוק על מפרים יחידים שהם נושאי משרה בתאגיד המפר. בנסיבות מקרה זה, מדובר בשיקול משמעותי ביותר, שהשפעתו בהפחתת העיצום הכספי שיוטל על מר </w:t>
      </w:r>
      <w:r w:rsidR="009F50C0" w:rsidRPr="007F1053">
        <w:rPr>
          <w:rFonts w:cs="David" w:hint="cs"/>
          <w:color w:val="000000"/>
          <w:sz w:val="22"/>
          <w:szCs w:val="22"/>
          <w:highlight w:val="black"/>
        </w:rPr>
        <w:t>XXX</w:t>
      </w:r>
      <w:r w:rsidR="006307E3" w:rsidRPr="007F1053">
        <w:rPr>
          <w:rFonts w:cs="David" w:hint="cs"/>
          <w:sz w:val="22"/>
          <w:szCs w:val="22"/>
          <w:rtl/>
        </w:rPr>
        <w:t xml:space="preserve"> </w:t>
      </w:r>
      <w:r w:rsidRPr="0030309A">
        <w:rPr>
          <w:rFonts w:cs="David" w:hint="cs"/>
          <w:rtl/>
        </w:rPr>
        <w:t>היא ב</w:t>
      </w:r>
      <w:r w:rsidRPr="0030309A">
        <w:rPr>
          <w:rFonts w:ascii="Calibri" w:hAnsi="Calibri" w:cs="David" w:hint="cs"/>
          <w:rtl/>
        </w:rPr>
        <w:t>הפחתה של 50% מגובה העיצום</w:t>
      </w:r>
      <w:r w:rsidRPr="0030309A">
        <w:rPr>
          <w:rFonts w:ascii="David" w:hAnsi="David" w:cs="David" w:hint="cs"/>
          <w:rtl/>
        </w:rPr>
        <w:t>.</w:t>
      </w:r>
    </w:p>
    <w:p w:rsidR="00DE2D7D" w:rsidRPr="0030309A" w:rsidRDefault="00DE2D7D" w:rsidP="006307E3">
      <w:pPr>
        <w:pStyle w:val="ListParagraph"/>
        <w:bidi/>
        <w:spacing w:before="120" w:beforeAutospacing="0" w:after="0" w:afterAutospacing="0" w:line="360" w:lineRule="auto"/>
        <w:jc w:val="both"/>
        <w:rPr>
          <w:rFonts w:cs="David"/>
        </w:rPr>
      </w:pPr>
      <w:r w:rsidRPr="004E254C">
        <w:rPr>
          <w:rFonts w:cs="David" w:hint="cs"/>
          <w:rtl/>
        </w:rPr>
        <w:t xml:space="preserve">מר </w:t>
      </w:r>
      <w:r w:rsidR="009F50C0" w:rsidRPr="007F1053">
        <w:rPr>
          <w:rFonts w:cs="David" w:hint="cs"/>
          <w:color w:val="000000"/>
          <w:sz w:val="20"/>
          <w:szCs w:val="20"/>
          <w:highlight w:val="black"/>
        </w:rPr>
        <w:t>XXX</w:t>
      </w:r>
      <w:r w:rsidR="006307E3" w:rsidRPr="007F1053">
        <w:rPr>
          <w:rFonts w:cs="David" w:hint="cs"/>
          <w:sz w:val="20"/>
          <w:szCs w:val="20"/>
          <w:rtl/>
        </w:rPr>
        <w:t xml:space="preserve"> </w:t>
      </w:r>
      <w:r w:rsidR="00BD450E" w:rsidRPr="004E254C">
        <w:rPr>
          <w:rFonts w:cs="David" w:hint="cs"/>
          <w:rtl/>
        </w:rPr>
        <w:t xml:space="preserve">הציג בפניי ראיות </w:t>
      </w:r>
      <w:r w:rsidRPr="004E254C">
        <w:rPr>
          <w:rFonts w:cs="David" w:hint="cs"/>
          <w:rtl/>
        </w:rPr>
        <w:t xml:space="preserve">בדבר נסיבות אישיות-פרטיות, המצדיקות לעמדתו את הפחתת גובה העיצום הכספי. </w:t>
      </w:r>
      <w:r w:rsidR="003C0BFB" w:rsidRPr="004E254C">
        <w:rPr>
          <w:rFonts w:cs="David" w:hint="cs"/>
          <w:rtl/>
        </w:rPr>
        <w:t>הגם ש</w:t>
      </w:r>
      <w:r w:rsidR="00EF230C">
        <w:rPr>
          <w:rFonts w:cs="David" w:hint="cs"/>
          <w:rtl/>
        </w:rPr>
        <w:t xml:space="preserve">מר </w:t>
      </w:r>
      <w:r w:rsidR="009F50C0" w:rsidRPr="007F1053">
        <w:rPr>
          <w:rFonts w:cs="David" w:hint="cs"/>
          <w:color w:val="000000"/>
          <w:sz w:val="20"/>
          <w:szCs w:val="20"/>
          <w:highlight w:val="black"/>
        </w:rPr>
        <w:t>XXX</w:t>
      </w:r>
      <w:r w:rsidR="006307E3" w:rsidRPr="007F1053">
        <w:rPr>
          <w:rFonts w:cs="David" w:hint="cs"/>
          <w:sz w:val="20"/>
          <w:szCs w:val="20"/>
          <w:rtl/>
        </w:rPr>
        <w:t xml:space="preserve"> </w:t>
      </w:r>
      <w:r w:rsidR="00EF230C">
        <w:rPr>
          <w:rFonts w:cs="David" w:hint="cs"/>
          <w:rtl/>
        </w:rPr>
        <w:t xml:space="preserve">לא טען כי </w:t>
      </w:r>
      <w:r w:rsidR="00BD450E" w:rsidRPr="004E254C">
        <w:rPr>
          <w:rFonts w:cs="David" w:hint="cs"/>
          <w:rtl/>
        </w:rPr>
        <w:t>נסיבות אלה</w:t>
      </w:r>
      <w:r w:rsidR="00061A65" w:rsidRPr="004E254C">
        <w:rPr>
          <w:rFonts w:cs="David" w:hint="cs"/>
          <w:rtl/>
        </w:rPr>
        <w:t xml:space="preserve"> משליכות על יכולתו של לעמוד בתשלום,</w:t>
      </w:r>
      <w:r w:rsidR="00BD450E" w:rsidRPr="004E254C">
        <w:rPr>
          <w:rFonts w:cs="David" w:hint="cs"/>
          <w:rtl/>
        </w:rPr>
        <w:t xml:space="preserve"> </w:t>
      </w:r>
      <w:r w:rsidR="00EF230C">
        <w:rPr>
          <w:rFonts w:cs="David" w:hint="cs"/>
          <w:rtl/>
        </w:rPr>
        <w:t xml:space="preserve">ולכן </w:t>
      </w:r>
      <w:r w:rsidR="00BD450E" w:rsidRPr="004E254C">
        <w:rPr>
          <w:rFonts w:cs="David" w:hint="cs"/>
          <w:rtl/>
        </w:rPr>
        <w:t xml:space="preserve">מצדיקות </w:t>
      </w:r>
      <w:r w:rsidR="00E22F34" w:rsidRPr="004E254C">
        <w:rPr>
          <w:rFonts w:cs="David" w:hint="cs"/>
          <w:rtl/>
        </w:rPr>
        <w:t xml:space="preserve">הפחתת </w:t>
      </w:r>
      <w:r w:rsidR="0095164A" w:rsidRPr="004E254C">
        <w:rPr>
          <w:rFonts w:cs="David" w:hint="cs"/>
          <w:rtl/>
        </w:rPr>
        <w:t xml:space="preserve">גובה </w:t>
      </w:r>
      <w:r w:rsidR="00E22F34" w:rsidRPr="004E254C">
        <w:rPr>
          <w:rFonts w:cs="David" w:hint="cs"/>
          <w:rtl/>
        </w:rPr>
        <w:t>העיצום</w:t>
      </w:r>
      <w:r w:rsidR="003C0BFB" w:rsidRPr="004E254C">
        <w:rPr>
          <w:rFonts w:cs="David" w:hint="cs"/>
          <w:rtl/>
        </w:rPr>
        <w:t xml:space="preserve">, לפנים משורת הדין החלטתי להפחית את גובה העיצום </w:t>
      </w:r>
      <w:r w:rsidR="00B2322A" w:rsidRPr="004E254C">
        <w:rPr>
          <w:rFonts w:cs="David" w:hint="cs"/>
          <w:rtl/>
        </w:rPr>
        <w:t>ב-5%</w:t>
      </w:r>
      <w:r w:rsidR="00E22F34" w:rsidRPr="004E254C">
        <w:rPr>
          <w:rFonts w:cs="David" w:hint="cs"/>
          <w:rtl/>
        </w:rPr>
        <w:t>.</w:t>
      </w:r>
      <w:r w:rsidR="00BD450E" w:rsidRPr="004E254C">
        <w:rPr>
          <w:rFonts w:cs="David" w:hint="cs"/>
          <w:rtl/>
        </w:rPr>
        <w:t xml:space="preserve"> </w:t>
      </w:r>
    </w:p>
    <w:p w:rsidR="00E22F34" w:rsidRDefault="00E22F34" w:rsidP="00F36FA1">
      <w:pPr>
        <w:pStyle w:val="ListParagraph"/>
        <w:bidi/>
        <w:spacing w:before="120" w:beforeAutospacing="0" w:after="0" w:afterAutospacing="0" w:line="360" w:lineRule="auto"/>
        <w:jc w:val="both"/>
        <w:rPr>
          <w:rFonts w:cs="David"/>
          <w:rtl/>
        </w:rPr>
      </w:pPr>
      <w:r>
        <w:rPr>
          <w:rFonts w:cs="David" w:hint="cs"/>
          <w:rtl/>
        </w:rPr>
        <w:t xml:space="preserve">שקילת השיקולים המפורטים לעיל בהתאם לגילוי דעת 1/16 הוביל לקביעת עיצום בגובה </w:t>
      </w:r>
      <w:r w:rsidR="002242FB">
        <w:rPr>
          <w:rFonts w:cs="David" w:hint="cs"/>
          <w:rtl/>
        </w:rPr>
        <w:t>315</w:t>
      </w:r>
      <w:r>
        <w:rPr>
          <w:rFonts w:cs="David" w:hint="cs"/>
          <w:rtl/>
        </w:rPr>
        <w:t>,</w:t>
      </w:r>
      <w:r w:rsidR="002242FB">
        <w:rPr>
          <w:rFonts w:cs="David" w:hint="cs"/>
          <w:rtl/>
        </w:rPr>
        <w:t xml:space="preserve">055 </w:t>
      </w:r>
      <w:r>
        <w:rPr>
          <w:rFonts w:cs="David" w:hint="cs"/>
          <w:rtl/>
        </w:rPr>
        <w:t xml:space="preserve">ש"ח. יחד עם זאת, </w:t>
      </w:r>
      <w:r w:rsidR="008C5533">
        <w:rPr>
          <w:rFonts w:cs="David" w:hint="cs"/>
          <w:rtl/>
        </w:rPr>
        <w:t xml:space="preserve">גובה העיצום </w:t>
      </w:r>
      <w:r w:rsidR="00F36FA1">
        <w:rPr>
          <w:rFonts w:cs="David" w:hint="cs"/>
          <w:rtl/>
        </w:rPr>
        <w:t xml:space="preserve">שננקב </w:t>
      </w:r>
      <w:r w:rsidR="008C5533">
        <w:rPr>
          <w:rFonts w:cs="David" w:hint="cs"/>
          <w:rtl/>
        </w:rPr>
        <w:t>בהודעה על כוונת חיוב</w:t>
      </w:r>
      <w:r w:rsidR="00F36FA1">
        <w:rPr>
          <w:rFonts w:cs="David" w:hint="cs"/>
          <w:rtl/>
        </w:rPr>
        <w:t xml:space="preserve"> שניתנה</w:t>
      </w:r>
      <w:r w:rsidR="008C5533">
        <w:rPr>
          <w:rFonts w:cs="David" w:hint="cs"/>
          <w:rtl/>
        </w:rPr>
        <w:t xml:space="preserve"> עובר לגילוי דעת 1/16 </w:t>
      </w:r>
      <w:r w:rsidR="00F36FA1">
        <w:rPr>
          <w:rFonts w:cs="David" w:hint="cs"/>
          <w:rtl/>
        </w:rPr>
        <w:t xml:space="preserve">עמד על </w:t>
      </w:r>
      <w:r w:rsidR="008C5533">
        <w:rPr>
          <w:rFonts w:cs="David" w:hint="cs"/>
          <w:rtl/>
        </w:rPr>
        <w:t>סך 165,000 ש"ח ומשכך החלטתי שלא לחרוג מגובה עיצום זה.</w:t>
      </w:r>
    </w:p>
    <w:p w:rsidR="00DE2D7D" w:rsidRPr="0030309A" w:rsidRDefault="00DE2D7D" w:rsidP="006307E3">
      <w:pPr>
        <w:pStyle w:val="ListParagraph"/>
        <w:bidi/>
        <w:spacing w:before="120" w:beforeAutospacing="0" w:after="0" w:afterAutospacing="0" w:line="360" w:lineRule="auto"/>
        <w:jc w:val="both"/>
        <w:rPr>
          <w:rFonts w:cs="David"/>
          <w:rtl/>
        </w:rPr>
      </w:pPr>
      <w:r w:rsidRPr="0030309A">
        <w:rPr>
          <w:rFonts w:cs="David" w:hint="cs"/>
          <w:rtl/>
        </w:rPr>
        <w:t xml:space="preserve">נוכח כל השיקולים המפורטים לעיל, בגין ההפרה של הוראות סעיפים 29 ו-29א לחוק </w:t>
      </w:r>
      <w:r>
        <w:rPr>
          <w:rFonts w:cs="David" w:hint="cs"/>
          <w:rtl/>
        </w:rPr>
        <w:t>הוחלט</w:t>
      </w:r>
      <w:r w:rsidRPr="0030309A">
        <w:rPr>
          <w:rFonts w:cs="David" w:hint="cs"/>
          <w:rtl/>
        </w:rPr>
        <w:t xml:space="preserve"> להטיל עיצום כספי על מר </w:t>
      </w:r>
      <w:r w:rsidR="009F50C0" w:rsidRPr="007F1053">
        <w:rPr>
          <w:rFonts w:cs="David" w:hint="cs"/>
          <w:color w:val="000000"/>
          <w:sz w:val="22"/>
          <w:szCs w:val="22"/>
          <w:highlight w:val="black"/>
        </w:rPr>
        <w:t>XXX</w:t>
      </w:r>
      <w:r w:rsidR="006307E3" w:rsidRPr="007F1053">
        <w:rPr>
          <w:rFonts w:cs="David" w:hint="cs"/>
          <w:sz w:val="22"/>
          <w:szCs w:val="22"/>
          <w:rtl/>
        </w:rPr>
        <w:t xml:space="preserve"> </w:t>
      </w:r>
      <w:r w:rsidRPr="0030309A">
        <w:rPr>
          <w:rFonts w:cs="David" w:hint="cs"/>
          <w:rtl/>
        </w:rPr>
        <w:t xml:space="preserve">בגובה </w:t>
      </w:r>
      <w:r w:rsidRPr="004F30D7">
        <w:rPr>
          <w:rFonts w:cs="David" w:hint="cs"/>
          <w:b/>
          <w:bCs/>
          <w:rtl/>
        </w:rPr>
        <w:t>165,000</w:t>
      </w:r>
      <w:r w:rsidRPr="0030309A">
        <w:rPr>
          <w:rFonts w:cs="David" w:hint="cs"/>
          <w:rtl/>
        </w:rPr>
        <w:t xml:space="preserve"> </w:t>
      </w:r>
      <w:r w:rsidR="004F30D7">
        <w:rPr>
          <w:rFonts w:cs="David" w:hint="cs"/>
          <w:rtl/>
        </w:rPr>
        <w:t>ש</w:t>
      </w:r>
      <w:r w:rsidR="004F30D7">
        <w:rPr>
          <w:rFonts w:cs="David"/>
          <w:rtl/>
        </w:rPr>
        <w:t>"</w:t>
      </w:r>
      <w:r w:rsidR="004F30D7">
        <w:rPr>
          <w:rFonts w:cs="David" w:hint="cs"/>
          <w:rtl/>
        </w:rPr>
        <w:t>ח</w:t>
      </w:r>
      <w:r w:rsidRPr="0030309A">
        <w:rPr>
          <w:rFonts w:cs="David" w:hint="cs"/>
          <w:rtl/>
        </w:rPr>
        <w:t>.</w:t>
      </w:r>
    </w:p>
    <w:p w:rsidR="00DE2D7D" w:rsidRPr="000E611B" w:rsidRDefault="00DE2D7D" w:rsidP="00DE2D7D">
      <w:pPr>
        <w:pStyle w:val="Heading3"/>
        <w:numPr>
          <w:ilvl w:val="0"/>
          <w:numId w:val="0"/>
        </w:numPr>
        <w:spacing w:before="120" w:after="0"/>
        <w:ind w:left="657"/>
        <w:rPr>
          <w:rFonts w:cs="David"/>
        </w:rPr>
      </w:pPr>
      <w:bookmarkStart w:id="41" w:name="_Toc476497427"/>
      <w:r w:rsidRPr="000E611B">
        <w:rPr>
          <w:rFonts w:cs="David" w:hint="cs"/>
          <w:rtl/>
        </w:rPr>
        <w:t xml:space="preserve">מר </w:t>
      </w:r>
      <w:r w:rsidR="009F50C0" w:rsidRPr="005D3EF8">
        <w:rPr>
          <w:rFonts w:ascii="Times New Roman" w:hAnsi="Times New Roman"/>
          <w:color w:val="000000"/>
          <w:sz w:val="20"/>
          <w:szCs w:val="20"/>
          <w:highlight w:val="black"/>
        </w:rPr>
        <w:t>XXX</w:t>
      </w:r>
      <w:bookmarkEnd w:id="41"/>
    </w:p>
    <w:p w:rsidR="00DE2D7D" w:rsidRDefault="00DE2D7D" w:rsidP="00DE2D7D">
      <w:pPr>
        <w:rPr>
          <w:rtl/>
        </w:rPr>
      </w:pPr>
      <w:r>
        <w:rPr>
          <w:rFonts w:hint="cs"/>
          <w:rtl/>
        </w:rPr>
        <w:t xml:space="preserve">קביעת גובה העיצום הכספי שיוטל על מר </w:t>
      </w:r>
      <w:r w:rsidR="009F50C0" w:rsidRPr="007F1053">
        <w:rPr>
          <w:rFonts w:hint="cs"/>
          <w:color w:val="000000"/>
          <w:sz w:val="20"/>
          <w:szCs w:val="22"/>
          <w:highlight w:val="black"/>
        </w:rPr>
        <w:t>XXX</w:t>
      </w:r>
      <w:r w:rsidRPr="007F1053">
        <w:rPr>
          <w:rFonts w:hint="cs"/>
          <w:sz w:val="20"/>
          <w:szCs w:val="22"/>
          <w:rtl/>
        </w:rPr>
        <w:t xml:space="preserve"> </w:t>
      </w:r>
      <w:r>
        <w:rPr>
          <w:rFonts w:hint="cs"/>
          <w:rtl/>
        </w:rPr>
        <w:t xml:space="preserve">מתבססת על כלל השיקולים המפורטים לעיל ביחס לחברת החשמל, ובנוסף על השיקולים שיפורטו להלן ביחס אליו. </w:t>
      </w:r>
    </w:p>
    <w:p w:rsidR="00DE2D7D" w:rsidRPr="0035033C" w:rsidRDefault="00DE2D7D" w:rsidP="0014724E">
      <w:pPr>
        <w:rPr>
          <w:b/>
          <w:bCs/>
          <w:sz w:val="24"/>
        </w:rPr>
      </w:pPr>
      <w:r w:rsidRPr="0035033C">
        <w:rPr>
          <w:rFonts w:hint="cs"/>
          <w:b/>
          <w:bCs/>
          <w:sz w:val="24"/>
          <w:rtl/>
        </w:rPr>
        <w:t xml:space="preserve">סכום העיצום המרבי </w:t>
      </w:r>
    </w:p>
    <w:p w:rsidR="0014724E" w:rsidRPr="000E611B" w:rsidRDefault="0014724E" w:rsidP="0014724E">
      <w:pPr>
        <w:pStyle w:val="ListParagraph"/>
        <w:bidi/>
        <w:spacing w:before="120" w:beforeAutospacing="0" w:after="0" w:afterAutospacing="0" w:line="360" w:lineRule="auto"/>
        <w:jc w:val="both"/>
        <w:rPr>
          <w:rFonts w:cs="David"/>
          <w:b/>
          <w:bCs/>
          <w:rtl/>
        </w:rPr>
      </w:pPr>
      <w:r>
        <w:rPr>
          <w:rFonts w:cs="David" w:hint="cs"/>
          <w:rtl/>
        </w:rPr>
        <w:t>גילוי דעת 1/16 התפרסם לאחר ההודעה על כוונת חיוב. קביעת העיצום המירבי על פי</w:t>
      </w:r>
      <w:r w:rsidRPr="000E611B">
        <w:rPr>
          <w:rFonts w:cs="David" w:hint="cs"/>
          <w:rtl/>
        </w:rPr>
        <w:t xml:space="preserve"> </w:t>
      </w:r>
      <w:r>
        <w:rPr>
          <w:rFonts w:cs="David" w:hint="cs"/>
          <w:rtl/>
        </w:rPr>
        <w:t xml:space="preserve">גילוי דעת 1/16, בהיעדר נסיבות המצדיקות הפחתתו, הייתה מובילה לעיצום מירבי על סך </w:t>
      </w:r>
      <w:r w:rsidRPr="000969CD">
        <w:rPr>
          <w:rFonts w:cs="David"/>
          <w:rtl/>
        </w:rPr>
        <w:t>1,020,420</w:t>
      </w:r>
      <w:r w:rsidR="00BF0E02">
        <w:rPr>
          <w:rFonts w:cs="David" w:hint="cs"/>
          <w:rtl/>
        </w:rPr>
        <w:t xml:space="preserve"> </w:t>
      </w:r>
      <w:r w:rsidR="004F30D7">
        <w:rPr>
          <w:rFonts w:cs="David" w:hint="cs"/>
          <w:rtl/>
        </w:rPr>
        <w:t>ש</w:t>
      </w:r>
      <w:r w:rsidR="004F30D7">
        <w:rPr>
          <w:rFonts w:cs="David"/>
          <w:rtl/>
        </w:rPr>
        <w:t>"</w:t>
      </w:r>
      <w:r w:rsidR="004F30D7">
        <w:rPr>
          <w:rFonts w:cs="David" w:hint="cs"/>
          <w:rtl/>
        </w:rPr>
        <w:t>ח</w:t>
      </w:r>
      <w:r w:rsidRPr="000E611B">
        <w:rPr>
          <w:rFonts w:cs="David" w:hint="cs"/>
          <w:rtl/>
        </w:rPr>
        <w:t>.</w:t>
      </w:r>
      <w:r>
        <w:rPr>
          <w:rFonts w:cs="David" w:hint="cs"/>
          <w:rtl/>
        </w:rPr>
        <w:t xml:space="preserve"> </w:t>
      </w:r>
    </w:p>
    <w:p w:rsidR="00DE2D7D" w:rsidRPr="0035033C" w:rsidRDefault="00DE2D7D" w:rsidP="0014724E">
      <w:pPr>
        <w:rPr>
          <w:b/>
          <w:bCs/>
          <w:sz w:val="24"/>
        </w:rPr>
      </w:pPr>
      <w:r w:rsidRPr="0035033C">
        <w:rPr>
          <w:rFonts w:hint="cs"/>
          <w:b/>
          <w:bCs/>
          <w:sz w:val="24"/>
          <w:rtl/>
        </w:rPr>
        <w:t xml:space="preserve">עיצום הבסיס </w:t>
      </w:r>
    </w:p>
    <w:p w:rsidR="00DE2D7D" w:rsidRDefault="00DE2D7D" w:rsidP="0014724E">
      <w:r w:rsidRPr="008F306F">
        <w:rPr>
          <w:rFonts w:hint="cs"/>
          <w:u w:val="single"/>
          <w:rtl/>
        </w:rPr>
        <w:lastRenderedPageBreak/>
        <w:t xml:space="preserve">חומרת ההפרה ומידת הפגיעה שעלולה להיגרם כתוצאה ממנה לתחרות או לציבור </w:t>
      </w:r>
      <w:r w:rsidRPr="008F306F">
        <w:rPr>
          <w:u w:val="single"/>
          <w:rtl/>
        </w:rPr>
        <w:t>–</w:t>
      </w:r>
      <w:r>
        <w:rPr>
          <w:rFonts w:hint="cs"/>
          <w:rtl/>
        </w:rPr>
        <w:t xml:space="preserve">מר </w:t>
      </w:r>
      <w:r w:rsidR="009F50C0" w:rsidRPr="007F1053">
        <w:rPr>
          <w:rFonts w:hint="cs"/>
          <w:color w:val="000000"/>
          <w:sz w:val="20"/>
          <w:szCs w:val="22"/>
          <w:highlight w:val="black"/>
        </w:rPr>
        <w:t>XXX</w:t>
      </w:r>
      <w:r w:rsidRPr="007F1053">
        <w:rPr>
          <w:rFonts w:hint="cs"/>
          <w:sz w:val="20"/>
          <w:szCs w:val="22"/>
          <w:rtl/>
        </w:rPr>
        <w:t xml:space="preserve"> </w:t>
      </w:r>
      <w:r>
        <w:rPr>
          <w:rFonts w:hint="cs"/>
          <w:rtl/>
        </w:rPr>
        <w:t xml:space="preserve">נכנס לתפקיד סמנכ"ל חטיבת לקוחות בתחילת 2015 וכיהן כממלא מקום מנכ"ל חברת החשמל בין התאריכים 1.5.15-10.6.15. זמן לא רב לאחר כניסתו לתפקיד, לאחר שנודע למר </w:t>
      </w:r>
      <w:r w:rsidR="009F50C0" w:rsidRPr="007F1053">
        <w:rPr>
          <w:rFonts w:hint="cs"/>
          <w:color w:val="000000"/>
          <w:sz w:val="20"/>
          <w:szCs w:val="22"/>
          <w:highlight w:val="black"/>
        </w:rPr>
        <w:t>XXX</w:t>
      </w:r>
      <w:r w:rsidRPr="007F1053">
        <w:rPr>
          <w:rFonts w:hint="cs"/>
          <w:sz w:val="20"/>
          <w:szCs w:val="22"/>
          <w:rtl/>
        </w:rPr>
        <w:t xml:space="preserve"> </w:t>
      </w:r>
      <w:r>
        <w:rPr>
          <w:rFonts w:hint="cs"/>
          <w:rtl/>
        </w:rPr>
        <w:t xml:space="preserve">על תלונות </w:t>
      </w:r>
      <w:r w:rsidR="00206900">
        <w:rPr>
          <w:rFonts w:hint="cs"/>
          <w:rtl/>
        </w:rPr>
        <w:t>לקוחות</w:t>
      </w:r>
      <w:r>
        <w:rPr>
          <w:rFonts w:hint="cs"/>
          <w:rtl/>
        </w:rPr>
        <w:t xml:space="preserve"> בדבר אי קבלת שירות מת"ל, הורה מר </w:t>
      </w:r>
      <w:r w:rsidR="009F50C0" w:rsidRPr="007F1053">
        <w:rPr>
          <w:rFonts w:hint="cs"/>
          <w:color w:val="000000"/>
          <w:sz w:val="20"/>
          <w:szCs w:val="22"/>
          <w:highlight w:val="black"/>
        </w:rPr>
        <w:t>XXX</w:t>
      </w:r>
      <w:r w:rsidRPr="007F1053">
        <w:rPr>
          <w:rFonts w:hint="cs"/>
          <w:sz w:val="20"/>
          <w:szCs w:val="22"/>
          <w:rtl/>
        </w:rPr>
        <w:t xml:space="preserve"> </w:t>
      </w:r>
      <w:r>
        <w:rPr>
          <w:rFonts w:hint="cs"/>
          <w:rtl/>
        </w:rPr>
        <w:t>על מתן השירות ל</w:t>
      </w:r>
      <w:r w:rsidR="00206900">
        <w:rPr>
          <w:rFonts w:hint="cs"/>
          <w:rtl/>
        </w:rPr>
        <w:t>לקוחות</w:t>
      </w:r>
      <w:r>
        <w:rPr>
          <w:rFonts w:hint="cs"/>
          <w:rtl/>
        </w:rPr>
        <w:t xml:space="preserve"> אלו החל מפברואר 2015. אלא שמר </w:t>
      </w:r>
      <w:r w:rsidR="009F50C0" w:rsidRPr="007F1053">
        <w:rPr>
          <w:rFonts w:hint="cs"/>
          <w:color w:val="000000"/>
          <w:sz w:val="20"/>
          <w:szCs w:val="22"/>
          <w:highlight w:val="black"/>
        </w:rPr>
        <w:t>XXX</w:t>
      </w:r>
      <w:r w:rsidRPr="007F1053">
        <w:rPr>
          <w:rFonts w:hint="cs"/>
          <w:sz w:val="20"/>
          <w:szCs w:val="22"/>
          <w:rtl/>
        </w:rPr>
        <w:t xml:space="preserve"> </w:t>
      </w:r>
      <w:r>
        <w:rPr>
          <w:rFonts w:hint="cs"/>
          <w:rtl/>
        </w:rPr>
        <w:t xml:space="preserve">הורה על העמדת שירות </w:t>
      </w:r>
      <w:r w:rsidRPr="000717CE">
        <w:rPr>
          <w:rFonts w:hint="cs"/>
          <w:rtl/>
        </w:rPr>
        <w:t>נחות וחלקי ל</w:t>
      </w:r>
      <w:r w:rsidR="00206900">
        <w:rPr>
          <w:rFonts w:hint="cs"/>
          <w:rtl/>
        </w:rPr>
        <w:t>לקוחות</w:t>
      </w:r>
      <w:r w:rsidRPr="000717CE">
        <w:rPr>
          <w:rFonts w:hint="cs"/>
          <w:rtl/>
        </w:rPr>
        <w:t xml:space="preserve"> הרוכשים חשמל מיצרני חשמל פרטיים - הן בעת ההחזרה הזמנית של שירות המת"ל </w:t>
      </w:r>
      <w:r>
        <w:rPr>
          <w:rFonts w:hint="cs"/>
          <w:rtl/>
        </w:rPr>
        <w:t xml:space="preserve">(פברואר-יוני 2015) </w:t>
      </w:r>
      <w:r w:rsidRPr="000717CE">
        <w:rPr>
          <w:rFonts w:hint="cs"/>
          <w:rtl/>
        </w:rPr>
        <w:t>והן באמצעות המוקד הייעודי</w:t>
      </w:r>
      <w:r>
        <w:rPr>
          <w:rFonts w:hint="cs"/>
          <w:rtl/>
        </w:rPr>
        <w:t xml:space="preserve"> (החל מיוני 2015)</w:t>
      </w:r>
      <w:r w:rsidRPr="000717CE">
        <w:rPr>
          <w:rFonts w:hint="cs"/>
          <w:rtl/>
        </w:rPr>
        <w:t xml:space="preserve">. מתן שירות חלקי ונחות בלבד </w:t>
      </w:r>
      <w:r>
        <w:rPr>
          <w:rFonts w:hint="cs"/>
          <w:rtl/>
        </w:rPr>
        <w:t xml:space="preserve">טומן אף הוא בחובו פוטנציאל גבוה של פגיעה בתחרות ובציבור. לפיכך, גם החלטותיו ופעולותיו של </w:t>
      </w:r>
      <w:r w:rsidR="009F50C0" w:rsidRPr="007F1053">
        <w:rPr>
          <w:rFonts w:hint="cs"/>
          <w:color w:val="000000"/>
          <w:sz w:val="20"/>
          <w:szCs w:val="22"/>
          <w:highlight w:val="black"/>
        </w:rPr>
        <w:t>XXX</w:t>
      </w:r>
      <w:r w:rsidRPr="007F1053">
        <w:rPr>
          <w:rFonts w:hint="cs"/>
          <w:sz w:val="20"/>
          <w:szCs w:val="22"/>
          <w:rtl/>
        </w:rPr>
        <w:t xml:space="preserve"> </w:t>
      </w:r>
      <w:r>
        <w:rPr>
          <w:rFonts w:hint="cs"/>
          <w:rtl/>
        </w:rPr>
        <w:t xml:space="preserve">במתן השירות המתואר נושאות בצדן פוטנציאל גבוה של פגיעה בתחרות ובציבור. יחד עם זאת, בקביעת גובה העיצום </w:t>
      </w:r>
      <w:r w:rsidR="0014724E">
        <w:rPr>
          <w:rFonts w:hint="cs"/>
          <w:rtl/>
        </w:rPr>
        <w:t>יש לשקול</w:t>
      </w:r>
      <w:r>
        <w:rPr>
          <w:rFonts w:hint="cs"/>
          <w:rtl/>
        </w:rPr>
        <w:t xml:space="preserve"> לזכותו </w:t>
      </w:r>
      <w:r w:rsidR="00D231A6">
        <w:rPr>
          <w:rFonts w:hint="cs"/>
          <w:rtl/>
        </w:rPr>
        <w:t xml:space="preserve">את </w:t>
      </w:r>
      <w:r>
        <w:rPr>
          <w:rFonts w:hint="cs"/>
          <w:rtl/>
        </w:rPr>
        <w:t xml:space="preserve">העובדה כי מדובר בפוטנציאל נמוך יותר ביחס לתקופת ההפרה שקדמה לכניסתו של מר </w:t>
      </w:r>
      <w:r w:rsidR="009F50C0" w:rsidRPr="007F1053">
        <w:rPr>
          <w:rFonts w:hint="cs"/>
          <w:color w:val="000000"/>
          <w:sz w:val="20"/>
          <w:szCs w:val="22"/>
          <w:highlight w:val="black"/>
        </w:rPr>
        <w:t>XXX</w:t>
      </w:r>
      <w:r w:rsidRPr="007F1053">
        <w:rPr>
          <w:rFonts w:hint="cs"/>
          <w:sz w:val="20"/>
          <w:szCs w:val="22"/>
          <w:rtl/>
        </w:rPr>
        <w:t xml:space="preserve"> </w:t>
      </w:r>
      <w:r>
        <w:rPr>
          <w:rFonts w:hint="cs"/>
          <w:rtl/>
        </w:rPr>
        <w:t xml:space="preserve">לתפקיד. </w:t>
      </w:r>
    </w:p>
    <w:p w:rsidR="00DE2D7D" w:rsidRDefault="00DE2D7D" w:rsidP="005C6959">
      <w:r w:rsidRPr="0035033C">
        <w:rPr>
          <w:rFonts w:hint="cs"/>
          <w:u w:val="single"/>
          <w:rtl/>
        </w:rPr>
        <w:t>משך ההפרה</w:t>
      </w:r>
      <w:r>
        <w:rPr>
          <w:rFonts w:hint="cs"/>
          <w:rtl/>
        </w:rPr>
        <w:t xml:space="preserve"> של מר </w:t>
      </w:r>
      <w:r w:rsidR="009F50C0" w:rsidRPr="007F1053">
        <w:rPr>
          <w:rFonts w:hint="cs"/>
          <w:color w:val="000000"/>
          <w:sz w:val="20"/>
          <w:szCs w:val="22"/>
          <w:highlight w:val="black"/>
        </w:rPr>
        <w:t>XXX</w:t>
      </w:r>
      <w:r w:rsidRPr="007F1053">
        <w:rPr>
          <w:rFonts w:hint="cs"/>
          <w:sz w:val="20"/>
          <w:szCs w:val="22"/>
          <w:rtl/>
        </w:rPr>
        <w:t xml:space="preserve"> </w:t>
      </w:r>
      <w:r w:rsidR="00EA48AD">
        <w:rPr>
          <w:rFonts w:hint="cs"/>
          <w:rtl/>
        </w:rPr>
        <w:t xml:space="preserve">עומד על כ-11 חודשים </w:t>
      </w:r>
      <w:r>
        <w:rPr>
          <w:rFonts w:hint="cs"/>
          <w:rtl/>
        </w:rPr>
        <w:t xml:space="preserve">נוכח כניסתו לתפקיד סמנכ"ל לקוחות בינואר 2015  </w:t>
      </w:r>
      <w:r w:rsidR="00EA48AD">
        <w:rPr>
          <w:rFonts w:hint="cs"/>
          <w:rtl/>
        </w:rPr>
        <w:t>ו</w:t>
      </w:r>
      <w:r>
        <w:rPr>
          <w:rFonts w:hint="cs"/>
          <w:rtl/>
        </w:rPr>
        <w:t xml:space="preserve">עד להחזרת השירות במלואו בעקבות התרעת הרשות. אף על פי </w:t>
      </w:r>
      <w:r w:rsidR="00617872">
        <w:rPr>
          <w:rFonts w:hint="cs"/>
          <w:rtl/>
        </w:rPr>
        <w:t xml:space="preserve">שמשך ההפרה </w:t>
      </w:r>
      <w:r w:rsidR="005C6959">
        <w:rPr>
          <w:rFonts w:hint="cs"/>
          <w:rtl/>
        </w:rPr>
        <w:t xml:space="preserve">שלו </w:t>
      </w:r>
      <w:r w:rsidR="00617872">
        <w:rPr>
          <w:rFonts w:hint="cs"/>
          <w:rtl/>
        </w:rPr>
        <w:t>קצ</w:t>
      </w:r>
      <w:r w:rsidR="005C6959">
        <w:rPr>
          <w:rFonts w:hint="cs"/>
          <w:rtl/>
        </w:rPr>
        <w:t>ר</w:t>
      </w:r>
      <w:r w:rsidR="00617872">
        <w:rPr>
          <w:rFonts w:hint="cs"/>
          <w:rtl/>
        </w:rPr>
        <w:t xml:space="preserve"> יותר ממעורבים אחרים בפרשה</w:t>
      </w:r>
      <w:r>
        <w:rPr>
          <w:rFonts w:hint="cs"/>
          <w:rtl/>
        </w:rPr>
        <w:t>, פרק זמן זה הינו משמעותי בכל הנוגע לפגיעה בשירותי ההולכה והחלוקה שניתנו ל</w:t>
      </w:r>
      <w:r w:rsidR="00206900">
        <w:rPr>
          <w:rFonts w:hint="cs"/>
          <w:rtl/>
        </w:rPr>
        <w:t>לקוחות</w:t>
      </w:r>
      <w:r>
        <w:rPr>
          <w:rFonts w:hint="cs"/>
          <w:rtl/>
        </w:rPr>
        <w:t xml:space="preserve"> העסקיים. </w:t>
      </w:r>
    </w:p>
    <w:p w:rsidR="00DE2D7D" w:rsidRPr="000E611B" w:rsidRDefault="00DE2D7D" w:rsidP="009F50C0">
      <w:r w:rsidRPr="000E611B">
        <w:rPr>
          <w:rFonts w:hint="cs"/>
          <w:rtl/>
        </w:rPr>
        <w:t xml:space="preserve">על בסיס השיקולים הנ"ל עיצום הבסיס </w:t>
      </w:r>
      <w:r w:rsidR="0014724E">
        <w:rPr>
          <w:rFonts w:hint="cs"/>
          <w:rtl/>
        </w:rPr>
        <w:t xml:space="preserve">ההולם </w:t>
      </w:r>
      <w:r w:rsidRPr="000E611B">
        <w:rPr>
          <w:rFonts w:hint="cs"/>
          <w:rtl/>
        </w:rPr>
        <w:t>ל</w:t>
      </w:r>
      <w:r w:rsidR="009F50C0" w:rsidRPr="007F1053">
        <w:rPr>
          <w:sz w:val="20"/>
          <w:szCs w:val="22"/>
          <w:highlight w:val="black"/>
        </w:rPr>
        <w:t>XXX</w:t>
      </w:r>
      <w:r w:rsidRPr="007F1053">
        <w:rPr>
          <w:rFonts w:hint="cs"/>
          <w:sz w:val="20"/>
          <w:szCs w:val="22"/>
          <w:highlight w:val="black"/>
          <w:rtl/>
        </w:rPr>
        <w:t xml:space="preserve"> </w:t>
      </w:r>
      <w:r w:rsidR="009F50C0" w:rsidRPr="007F1053">
        <w:rPr>
          <w:rFonts w:hint="cs"/>
          <w:color w:val="000000"/>
          <w:sz w:val="20"/>
          <w:szCs w:val="22"/>
          <w:highlight w:val="black"/>
        </w:rPr>
        <w:t>XXX</w:t>
      </w:r>
      <w:r w:rsidRPr="007F1053">
        <w:rPr>
          <w:rFonts w:hint="cs"/>
          <w:sz w:val="20"/>
          <w:szCs w:val="22"/>
          <w:rtl/>
        </w:rPr>
        <w:t xml:space="preserve"> </w:t>
      </w:r>
      <w:r w:rsidR="0014724E">
        <w:rPr>
          <w:rFonts w:hint="cs"/>
          <w:rtl/>
        </w:rPr>
        <w:t xml:space="preserve">הינו </w:t>
      </w:r>
      <w:r w:rsidR="00661621">
        <w:rPr>
          <w:rFonts w:hint="cs"/>
          <w:rtl/>
        </w:rPr>
        <w:t>55</w:t>
      </w:r>
      <w:r w:rsidRPr="000E611B">
        <w:rPr>
          <w:rFonts w:hint="cs"/>
          <w:rtl/>
        </w:rPr>
        <w:t>% מהעיצום</w:t>
      </w:r>
      <w:r w:rsidR="00494EC5">
        <w:rPr>
          <w:rFonts w:hint="cs"/>
          <w:rtl/>
        </w:rPr>
        <w:t xml:space="preserve"> המירבי, היינו בגובה של </w:t>
      </w:r>
      <w:r w:rsidR="00B90367">
        <w:rPr>
          <w:rFonts w:hint="cs"/>
          <w:rtl/>
        </w:rPr>
        <w:t>561,231</w:t>
      </w:r>
      <w:r w:rsidR="00B90367" w:rsidRPr="000E611B">
        <w:rPr>
          <w:rFonts w:hint="cs"/>
          <w:rtl/>
        </w:rPr>
        <w:t xml:space="preserve"> </w:t>
      </w:r>
      <w:r w:rsidR="004F30D7">
        <w:rPr>
          <w:rFonts w:hint="cs"/>
          <w:rtl/>
        </w:rPr>
        <w:t>ש</w:t>
      </w:r>
      <w:r w:rsidR="004F30D7">
        <w:rPr>
          <w:rtl/>
        </w:rPr>
        <w:t>"</w:t>
      </w:r>
      <w:r w:rsidR="004F30D7">
        <w:rPr>
          <w:rFonts w:hint="cs"/>
          <w:rtl/>
        </w:rPr>
        <w:t>ח</w:t>
      </w:r>
      <w:r w:rsidRPr="000E611B">
        <w:rPr>
          <w:rFonts w:hint="cs"/>
          <w:rtl/>
        </w:rPr>
        <w:t>.</w:t>
      </w:r>
    </w:p>
    <w:p w:rsidR="00DE2D7D" w:rsidRPr="0035033C" w:rsidRDefault="00DE2D7D" w:rsidP="00DE2D7D">
      <w:pPr>
        <w:rPr>
          <w:b/>
          <w:bCs/>
          <w:sz w:val="24"/>
          <w:rtl/>
        </w:rPr>
      </w:pPr>
      <w:r w:rsidRPr="0035033C">
        <w:rPr>
          <w:rFonts w:hint="cs"/>
          <w:b/>
          <w:bCs/>
          <w:sz w:val="24"/>
          <w:rtl/>
        </w:rPr>
        <w:t xml:space="preserve">נסיבות הנוגעות להתנהגות </w:t>
      </w:r>
      <w:r w:rsidR="009F50C0" w:rsidRPr="007F1053">
        <w:rPr>
          <w:rFonts w:hint="cs"/>
          <w:b/>
          <w:bCs/>
          <w:color w:val="000000"/>
          <w:sz w:val="20"/>
          <w:szCs w:val="20"/>
          <w:highlight w:val="black"/>
        </w:rPr>
        <w:t>XXX</w:t>
      </w:r>
      <w:r w:rsidRPr="007F1053">
        <w:rPr>
          <w:rFonts w:hint="cs"/>
          <w:b/>
          <w:bCs/>
          <w:sz w:val="20"/>
          <w:szCs w:val="20"/>
          <w:rtl/>
        </w:rPr>
        <w:t xml:space="preserve"> </w:t>
      </w:r>
      <w:r w:rsidRPr="0035033C">
        <w:rPr>
          <w:rFonts w:hint="cs"/>
          <w:b/>
          <w:bCs/>
          <w:sz w:val="24"/>
          <w:rtl/>
        </w:rPr>
        <w:t>ביחס להפרה</w:t>
      </w:r>
    </w:p>
    <w:p w:rsidR="006D3DFB" w:rsidRDefault="00DE2D7D" w:rsidP="008210C6">
      <w:r w:rsidRPr="0035033C">
        <w:rPr>
          <w:rFonts w:hint="cs"/>
          <w:u w:val="single"/>
          <w:rtl/>
        </w:rPr>
        <w:t xml:space="preserve">פעולות שנקט </w:t>
      </w:r>
      <w:r w:rsidR="009F50C0" w:rsidRPr="007F1053">
        <w:rPr>
          <w:rFonts w:hint="cs"/>
          <w:color w:val="000000"/>
          <w:sz w:val="20"/>
          <w:szCs w:val="22"/>
          <w:highlight w:val="black"/>
          <w:u w:val="single"/>
        </w:rPr>
        <w:t>XXX</w:t>
      </w:r>
      <w:r w:rsidRPr="007F1053">
        <w:rPr>
          <w:rFonts w:hint="cs"/>
          <w:sz w:val="20"/>
          <w:szCs w:val="22"/>
          <w:u w:val="single"/>
          <w:rtl/>
        </w:rPr>
        <w:t xml:space="preserve"> </w:t>
      </w:r>
      <w:r w:rsidRPr="0035033C">
        <w:rPr>
          <w:rFonts w:hint="cs"/>
          <w:u w:val="single"/>
          <w:rtl/>
        </w:rPr>
        <w:t>למניעת הישנות ההפרה או להפסקתה</w:t>
      </w:r>
      <w:r>
        <w:rPr>
          <w:rFonts w:hint="cs"/>
          <w:rtl/>
        </w:rPr>
        <w:t xml:space="preserve"> </w:t>
      </w:r>
      <w:r>
        <w:rPr>
          <w:rtl/>
        </w:rPr>
        <w:t>–</w:t>
      </w:r>
      <w:r w:rsidR="006D3DFB">
        <w:rPr>
          <w:rFonts w:hint="cs"/>
          <w:rtl/>
        </w:rPr>
        <w:t xml:space="preserve">בעקבות התרעת הרשות, </w:t>
      </w:r>
      <w:r w:rsidR="005861FC">
        <w:rPr>
          <w:rFonts w:hint="cs"/>
          <w:rtl/>
        </w:rPr>
        <w:t xml:space="preserve">מר </w:t>
      </w:r>
      <w:r w:rsidR="009F50C0" w:rsidRPr="007F1053">
        <w:rPr>
          <w:rFonts w:hint="cs"/>
          <w:color w:val="000000"/>
          <w:sz w:val="20"/>
          <w:szCs w:val="22"/>
          <w:highlight w:val="black"/>
        </w:rPr>
        <w:t>XXX</w:t>
      </w:r>
      <w:r w:rsidR="005861FC" w:rsidRPr="007F1053">
        <w:rPr>
          <w:rFonts w:hint="cs"/>
          <w:sz w:val="20"/>
          <w:szCs w:val="22"/>
          <w:rtl/>
        </w:rPr>
        <w:t xml:space="preserve"> </w:t>
      </w:r>
      <w:r w:rsidR="005861FC">
        <w:rPr>
          <w:rFonts w:hint="cs"/>
          <w:rtl/>
        </w:rPr>
        <w:t xml:space="preserve">הורה </w:t>
      </w:r>
      <w:r w:rsidR="006D3DFB">
        <w:rPr>
          <w:rFonts w:hint="cs"/>
          <w:rtl/>
        </w:rPr>
        <w:t xml:space="preserve">בדצמבר 2015 </w:t>
      </w:r>
      <w:r w:rsidR="005861FC">
        <w:rPr>
          <w:rFonts w:hint="cs"/>
          <w:rtl/>
        </w:rPr>
        <w:t>על החזרת שירות</w:t>
      </w:r>
      <w:r w:rsidR="006D3DFB">
        <w:rPr>
          <w:rFonts w:hint="cs"/>
          <w:rtl/>
        </w:rPr>
        <w:t xml:space="preserve"> שירות המת"ל במלואו לכלל </w:t>
      </w:r>
      <w:r w:rsidR="00206900">
        <w:rPr>
          <w:rFonts w:hint="cs"/>
          <w:rtl/>
        </w:rPr>
        <w:t>הלקוחות העסקיים</w:t>
      </w:r>
      <w:r w:rsidR="006D3DFB">
        <w:rPr>
          <w:rFonts w:hint="cs"/>
          <w:rtl/>
        </w:rPr>
        <w:t xml:space="preserve">. יש לשקול עובדה זו לזכותו בקביעת גובה העיצום שיוטל על מר </w:t>
      </w:r>
      <w:r w:rsidR="009F50C0" w:rsidRPr="007F1053">
        <w:rPr>
          <w:rFonts w:hint="cs"/>
          <w:color w:val="000000"/>
          <w:sz w:val="20"/>
          <w:szCs w:val="22"/>
          <w:highlight w:val="black"/>
        </w:rPr>
        <w:t>XXX</w:t>
      </w:r>
      <w:r w:rsidR="006D3DFB">
        <w:rPr>
          <w:rFonts w:hint="cs"/>
          <w:rtl/>
        </w:rPr>
        <w:t>, גם אם במידה מועטה.</w:t>
      </w:r>
    </w:p>
    <w:p w:rsidR="00DB17B8" w:rsidRDefault="00DE2D7D" w:rsidP="00DB17B8">
      <w:pPr>
        <w:pStyle w:val="ListParagraph"/>
        <w:bidi/>
        <w:spacing w:before="120" w:beforeAutospacing="0" w:after="0" w:afterAutospacing="0" w:line="360" w:lineRule="auto"/>
        <w:jc w:val="both"/>
        <w:rPr>
          <w:rFonts w:cs="David"/>
          <w:rtl/>
        </w:rPr>
      </w:pPr>
      <w:r w:rsidRPr="00661621">
        <w:rPr>
          <w:rFonts w:cs="David" w:hint="cs"/>
          <w:u w:val="single"/>
          <w:rtl/>
        </w:rPr>
        <w:t xml:space="preserve">חלקו היחסי של מר </w:t>
      </w:r>
      <w:r w:rsidR="009F50C0" w:rsidRPr="007F1053">
        <w:rPr>
          <w:rFonts w:cs="David" w:hint="cs"/>
          <w:color w:val="000000"/>
          <w:sz w:val="20"/>
          <w:szCs w:val="20"/>
          <w:highlight w:val="black"/>
          <w:u w:val="single"/>
        </w:rPr>
        <w:t>XXX</w:t>
      </w:r>
      <w:r w:rsidRPr="007F1053">
        <w:rPr>
          <w:rFonts w:cs="David" w:hint="cs"/>
          <w:sz w:val="20"/>
          <w:szCs w:val="20"/>
          <w:u w:val="single"/>
          <w:rtl/>
        </w:rPr>
        <w:t xml:space="preserve"> </w:t>
      </w:r>
      <w:r w:rsidRPr="00661621">
        <w:rPr>
          <w:rFonts w:cs="David" w:hint="cs"/>
          <w:u w:val="single"/>
          <w:rtl/>
        </w:rPr>
        <w:t xml:space="preserve">בהפרה ומידת השפעתו על ביצועה </w:t>
      </w:r>
      <w:r w:rsidRPr="00661621">
        <w:rPr>
          <w:rFonts w:cs="David"/>
          <w:rtl/>
        </w:rPr>
        <w:t>–</w:t>
      </w:r>
      <w:r w:rsidRPr="00661621">
        <w:rPr>
          <w:rFonts w:cs="David" w:hint="cs"/>
          <w:rtl/>
        </w:rPr>
        <w:t xml:space="preserve">  </w:t>
      </w:r>
      <w:r w:rsidR="00293D0D" w:rsidRPr="00661621">
        <w:rPr>
          <w:rFonts w:ascii="David" w:hAnsi="David" w:cs="David" w:hint="cs"/>
          <w:rtl/>
        </w:rPr>
        <w:t xml:space="preserve">מתוקף תפקידו כמשנה למנכ"ל </w:t>
      </w:r>
      <w:r w:rsidR="00293D0D" w:rsidRPr="00661621">
        <w:rPr>
          <w:rFonts w:cs="David" w:hint="cs"/>
          <w:rtl/>
        </w:rPr>
        <w:t>ו</w:t>
      </w:r>
      <w:r w:rsidR="00C21882" w:rsidRPr="00661621">
        <w:rPr>
          <w:rFonts w:cs="David" w:hint="cs"/>
          <w:rtl/>
        </w:rPr>
        <w:t>כ</w:t>
      </w:r>
      <w:r w:rsidR="00293D0D" w:rsidRPr="00661621">
        <w:rPr>
          <w:rFonts w:cs="David" w:hint="cs"/>
          <w:rtl/>
        </w:rPr>
        <w:t>סמנכ</w:t>
      </w:r>
      <w:r w:rsidR="00293D0D" w:rsidRPr="00661621">
        <w:rPr>
          <w:rFonts w:ascii="David" w:hAnsi="David" w:cs="David" w:hint="cs"/>
          <w:rtl/>
        </w:rPr>
        <w:t>"ל הלקוחות</w:t>
      </w:r>
      <w:r w:rsidR="0092195B">
        <w:rPr>
          <w:rFonts w:ascii="David" w:hAnsi="David" w:cs="David" w:hint="cs"/>
          <w:rtl/>
        </w:rPr>
        <w:t>,</w:t>
      </w:r>
      <w:r w:rsidR="00293D0D" w:rsidRPr="00661621">
        <w:rPr>
          <w:rFonts w:ascii="David" w:hAnsi="David" w:cs="David" w:hint="cs"/>
          <w:rtl/>
        </w:rPr>
        <w:t xml:space="preserve"> שהוא בעל האחריות הבכירה על מחלקת השיווק ששירות המת"ל ניתן בהתאם לנהליו</w:t>
      </w:r>
      <w:r w:rsidR="0092195B">
        <w:rPr>
          <w:rFonts w:cs="David" w:hint="cs"/>
          <w:rtl/>
        </w:rPr>
        <w:t>,</w:t>
      </w:r>
      <w:r w:rsidR="00293D0D" w:rsidRPr="00661621">
        <w:rPr>
          <w:rFonts w:cs="David" w:hint="cs"/>
          <w:rtl/>
        </w:rPr>
        <w:t xml:space="preserve"> </w:t>
      </w:r>
      <w:r w:rsidRPr="00661621">
        <w:rPr>
          <w:rFonts w:cs="David" w:hint="cs"/>
          <w:rtl/>
        </w:rPr>
        <w:t>ל</w:t>
      </w:r>
      <w:r w:rsidR="009F50C0" w:rsidRPr="007F1053">
        <w:rPr>
          <w:rFonts w:cs="David" w:hint="cs"/>
          <w:color w:val="000000"/>
          <w:sz w:val="20"/>
          <w:szCs w:val="20"/>
          <w:highlight w:val="black"/>
        </w:rPr>
        <w:t>XXX</w:t>
      </w:r>
      <w:r w:rsidR="00293D0D" w:rsidRPr="00661621">
        <w:rPr>
          <w:rFonts w:cs="David" w:hint="cs"/>
          <w:rtl/>
        </w:rPr>
        <w:t xml:space="preserve"> </w:t>
      </w:r>
      <w:r w:rsidR="00C21882" w:rsidRPr="00661621">
        <w:rPr>
          <w:rFonts w:cs="David" w:hint="cs"/>
          <w:rtl/>
        </w:rPr>
        <w:t xml:space="preserve">היתה </w:t>
      </w:r>
      <w:r w:rsidRPr="00661621">
        <w:rPr>
          <w:rFonts w:cs="David" w:hint="cs"/>
          <w:rtl/>
        </w:rPr>
        <w:t xml:space="preserve">מעורבות ישירה בהחלטה כי השירות שיסופק החל מפברואר 2015 ועד לסוף שנת 2015 יהיה שירות חלקי ונחות בהולכה ובחלוקה לצרכני יצרני חשמל פרטיים. </w:t>
      </w:r>
      <w:r w:rsidR="00DB17B8">
        <w:rPr>
          <w:rFonts w:cs="David" w:hint="cs"/>
          <w:rtl/>
        </w:rPr>
        <w:t>משכך, מן הראוי היה להחמיר עמו באופן יחסי.</w:t>
      </w:r>
    </w:p>
    <w:p w:rsidR="00661621" w:rsidRDefault="00661621" w:rsidP="00C36DC0">
      <w:pPr>
        <w:pStyle w:val="ListParagraph"/>
        <w:bidi/>
        <w:spacing w:before="120" w:beforeAutospacing="0" w:after="0" w:afterAutospacing="0" w:line="360" w:lineRule="auto"/>
        <w:jc w:val="both"/>
        <w:rPr>
          <w:rFonts w:ascii="David" w:hAnsi="David" w:cs="David"/>
          <w:rtl/>
        </w:rPr>
      </w:pPr>
      <w:r w:rsidRPr="00661621">
        <w:rPr>
          <w:rFonts w:cs="David" w:hint="cs"/>
          <w:rtl/>
        </w:rPr>
        <w:t xml:space="preserve">לצד זאת, ראיות שהתקבלו ברשות לאחר השימוע שנערך למר </w:t>
      </w:r>
      <w:r w:rsidR="009F50C0" w:rsidRPr="007F1053">
        <w:rPr>
          <w:rFonts w:cs="David" w:hint="cs"/>
          <w:color w:val="000000"/>
          <w:sz w:val="20"/>
          <w:szCs w:val="20"/>
          <w:highlight w:val="black"/>
        </w:rPr>
        <w:t>XXX</w:t>
      </w:r>
      <w:r w:rsidR="006C7789" w:rsidRPr="007F1053">
        <w:rPr>
          <w:rFonts w:cs="David" w:hint="cs"/>
          <w:sz w:val="20"/>
          <w:szCs w:val="20"/>
          <w:rtl/>
        </w:rPr>
        <w:t xml:space="preserve"> </w:t>
      </w:r>
      <w:r w:rsidRPr="00661621">
        <w:rPr>
          <w:rFonts w:cs="David" w:hint="cs"/>
          <w:rtl/>
        </w:rPr>
        <w:t>מצביעות על מעורבות לכאורה בהפרה מצד נושא משרה נוסף בחברת החשמל.</w:t>
      </w:r>
      <w:r w:rsidR="003C0BFB">
        <w:rPr>
          <w:rFonts w:cs="David" w:hint="cs"/>
          <w:rtl/>
        </w:rPr>
        <w:t xml:space="preserve"> </w:t>
      </w:r>
      <w:r>
        <w:rPr>
          <w:rFonts w:cs="David" w:hint="cs"/>
          <w:rtl/>
        </w:rPr>
        <w:t xml:space="preserve">בשים לב למידת מעורבותו בביצוע ההפרה ולתפקידו של מר </w:t>
      </w:r>
      <w:r w:rsidR="009F50C0" w:rsidRPr="007F1053">
        <w:rPr>
          <w:rFonts w:cs="David" w:hint="cs"/>
          <w:color w:val="000000"/>
          <w:sz w:val="20"/>
          <w:szCs w:val="20"/>
          <w:highlight w:val="black"/>
        </w:rPr>
        <w:t>XXX</w:t>
      </w:r>
      <w:r w:rsidRPr="007F1053">
        <w:rPr>
          <w:rFonts w:cs="David" w:hint="cs"/>
          <w:sz w:val="20"/>
          <w:szCs w:val="20"/>
          <w:rtl/>
        </w:rPr>
        <w:t xml:space="preserve"> </w:t>
      </w:r>
      <w:r>
        <w:rPr>
          <w:rFonts w:cs="David" w:hint="cs"/>
          <w:rtl/>
        </w:rPr>
        <w:t xml:space="preserve">בהשוואה למעורבותו הלכאורית ותפקידו של נושא המשרה הנוסף, לא מצאתי </w:t>
      </w:r>
      <w:r w:rsidR="00401E05">
        <w:rPr>
          <w:rFonts w:cs="David" w:hint="cs"/>
          <w:rtl/>
        </w:rPr>
        <w:t>שיש לתת</w:t>
      </w:r>
      <w:r>
        <w:rPr>
          <w:rFonts w:cs="David" w:hint="cs"/>
          <w:rtl/>
        </w:rPr>
        <w:t xml:space="preserve"> משקל לחומרה או לקולא לשיקול זה. </w:t>
      </w:r>
    </w:p>
    <w:p w:rsidR="00354E5E" w:rsidRDefault="00354E5E" w:rsidP="005861FC">
      <w:pPr>
        <w:tabs>
          <w:tab w:val="left" w:pos="566"/>
        </w:tabs>
        <w:rPr>
          <w:rFonts w:ascii="David" w:hAnsi="David"/>
          <w:rtl/>
        </w:rPr>
      </w:pPr>
      <w:r w:rsidRPr="005F07A0">
        <w:rPr>
          <w:rFonts w:hint="cs"/>
          <w:rtl/>
        </w:rPr>
        <w:t xml:space="preserve">לכן, </w:t>
      </w:r>
      <w:r w:rsidRPr="00EF230C">
        <w:rPr>
          <w:rFonts w:hint="cs"/>
          <w:rtl/>
        </w:rPr>
        <w:t xml:space="preserve">הוחלט </w:t>
      </w:r>
      <w:r w:rsidRPr="00EF230C">
        <w:rPr>
          <w:rFonts w:ascii="David" w:hAnsi="David" w:hint="cs"/>
          <w:rtl/>
        </w:rPr>
        <w:t>להפחית ב-</w:t>
      </w:r>
      <w:r w:rsidR="005861FC">
        <w:rPr>
          <w:rFonts w:ascii="David" w:hAnsi="David" w:hint="cs"/>
          <w:rtl/>
        </w:rPr>
        <w:t>5</w:t>
      </w:r>
      <w:r w:rsidRPr="00EF230C">
        <w:rPr>
          <w:rFonts w:ascii="David" w:hAnsi="David" w:hint="cs"/>
          <w:rtl/>
        </w:rPr>
        <w:t>% א</w:t>
      </w:r>
      <w:r w:rsidRPr="005F07A0">
        <w:rPr>
          <w:rFonts w:ascii="David" w:hAnsi="David" w:hint="cs"/>
          <w:rtl/>
        </w:rPr>
        <w:t xml:space="preserve">ת גובה העיצום שיוטל על מר </w:t>
      </w:r>
      <w:r w:rsidR="009F50C0" w:rsidRPr="007F1053">
        <w:rPr>
          <w:rFonts w:ascii="David" w:hAnsi="David" w:hint="cs"/>
          <w:color w:val="000000"/>
          <w:sz w:val="20"/>
          <w:szCs w:val="22"/>
          <w:highlight w:val="black"/>
        </w:rPr>
        <w:t>XXX</w:t>
      </w:r>
      <w:r w:rsidRPr="005F07A0">
        <w:rPr>
          <w:rFonts w:ascii="David" w:hAnsi="David" w:hint="cs"/>
          <w:rtl/>
        </w:rPr>
        <w:t>.</w:t>
      </w:r>
    </w:p>
    <w:p w:rsidR="00DE2D7D" w:rsidRPr="0035033C" w:rsidRDefault="00DE2D7D" w:rsidP="00661621">
      <w:pPr>
        <w:rPr>
          <w:b/>
          <w:bCs/>
          <w:sz w:val="24"/>
        </w:rPr>
      </w:pPr>
      <w:r w:rsidRPr="0035033C">
        <w:rPr>
          <w:rFonts w:hint="cs"/>
          <w:b/>
          <w:bCs/>
          <w:sz w:val="24"/>
          <w:rtl/>
        </w:rPr>
        <w:t xml:space="preserve">נסיבות חיצוניות להפרה </w:t>
      </w:r>
    </w:p>
    <w:p w:rsidR="00DE2D7D" w:rsidRPr="000E611B" w:rsidRDefault="00DE2D7D" w:rsidP="005044D7">
      <w:pPr>
        <w:pStyle w:val="ListParagraph"/>
        <w:bidi/>
        <w:spacing w:before="120" w:beforeAutospacing="0" w:after="0" w:afterAutospacing="0" w:line="360" w:lineRule="auto"/>
        <w:jc w:val="both"/>
        <w:rPr>
          <w:rFonts w:cs="David"/>
          <w:rtl/>
        </w:rPr>
      </w:pPr>
      <w:r w:rsidRPr="000E611B">
        <w:rPr>
          <w:rFonts w:cs="David" w:hint="cs"/>
          <w:rtl/>
        </w:rPr>
        <w:t xml:space="preserve">מעבר לכל האמור לעיל, קיימות נסיבות </w:t>
      </w:r>
      <w:r w:rsidR="005C759C">
        <w:rPr>
          <w:rFonts w:cs="David" w:hint="cs"/>
          <w:rtl/>
        </w:rPr>
        <w:t>נוספות המהוות שיקול לקולא</w:t>
      </w:r>
      <w:r w:rsidRPr="000E611B">
        <w:rPr>
          <w:rFonts w:cs="David" w:hint="cs"/>
          <w:rtl/>
        </w:rPr>
        <w:t>, כמפורט להלן:</w:t>
      </w:r>
      <w:r>
        <w:rPr>
          <w:rFonts w:cs="David" w:hint="cs"/>
          <w:b/>
          <w:bCs/>
          <w:rtl/>
        </w:rPr>
        <w:t xml:space="preserve"> </w:t>
      </w:r>
      <w:r w:rsidRPr="000E611B">
        <w:rPr>
          <w:rFonts w:cs="David" w:hint="cs"/>
          <w:rtl/>
        </w:rPr>
        <w:t xml:space="preserve">למר </w:t>
      </w:r>
      <w:r w:rsidR="009F50C0" w:rsidRPr="007F1053">
        <w:rPr>
          <w:rFonts w:cs="David" w:hint="cs"/>
          <w:color w:val="000000"/>
          <w:sz w:val="20"/>
          <w:szCs w:val="20"/>
          <w:highlight w:val="black"/>
        </w:rPr>
        <w:t>XXX</w:t>
      </w:r>
      <w:r w:rsidRPr="007F1053">
        <w:rPr>
          <w:rFonts w:cs="David" w:hint="cs"/>
          <w:sz w:val="20"/>
          <w:szCs w:val="20"/>
          <w:rtl/>
        </w:rPr>
        <w:t xml:space="preserve"> </w:t>
      </w:r>
      <w:r w:rsidRPr="000E611B">
        <w:rPr>
          <w:rFonts w:cs="David" w:hint="cs"/>
          <w:rtl/>
        </w:rPr>
        <w:t xml:space="preserve">אין הפרות קודמות של חוק </w:t>
      </w:r>
      <w:r w:rsidRPr="000E611B">
        <w:rPr>
          <w:rFonts w:cs="David" w:hint="cs"/>
          <w:sz w:val="22"/>
          <w:rtl/>
          <w:lang w:eastAsia="he-IL"/>
        </w:rPr>
        <w:t>ההגבלים</w:t>
      </w:r>
      <w:r w:rsidRPr="000E611B">
        <w:rPr>
          <w:rFonts w:cs="David" w:hint="cs"/>
          <w:rtl/>
        </w:rPr>
        <w:t xml:space="preserve"> העסקיים. בגין שיקול זה מצא הממונה להפחית 5% מהעיצום שיוטל על מר </w:t>
      </w:r>
      <w:r w:rsidR="009F50C0" w:rsidRPr="007F1053">
        <w:rPr>
          <w:rFonts w:cs="David" w:hint="cs"/>
          <w:color w:val="000000"/>
          <w:sz w:val="20"/>
          <w:szCs w:val="20"/>
          <w:highlight w:val="black"/>
        </w:rPr>
        <w:t>XXX</w:t>
      </w:r>
      <w:r w:rsidRPr="000E611B">
        <w:rPr>
          <w:rFonts w:cs="David" w:hint="cs"/>
          <w:rtl/>
        </w:rPr>
        <w:t xml:space="preserve">. </w:t>
      </w:r>
      <w:r>
        <w:rPr>
          <w:rFonts w:cs="David" w:hint="cs"/>
          <w:rtl/>
        </w:rPr>
        <w:t xml:space="preserve">בנוסף, </w:t>
      </w:r>
      <w:r w:rsidRPr="000E611B">
        <w:rPr>
          <w:rFonts w:cs="David" w:hint="cs"/>
          <w:rtl/>
        </w:rPr>
        <w:t xml:space="preserve">המדובר בפעם השנייה בה מוטלים עיצומים כספיים בהתאם לפרק ז'1 </w:t>
      </w:r>
      <w:r w:rsidRPr="000E611B">
        <w:rPr>
          <w:rFonts w:cs="David" w:hint="cs"/>
          <w:rtl/>
        </w:rPr>
        <w:lastRenderedPageBreak/>
        <w:t xml:space="preserve">לחוק על מפרים יחידים שהם נושאי משרה בתאגיד המפר. בנסיבות מקרה זה, מדובר בשיקול משמעותי ביותר, שהשפעתו בהפחתת העיצום הכספי שיוטל על מר </w:t>
      </w:r>
      <w:r w:rsidR="009F50C0" w:rsidRPr="007F1053">
        <w:rPr>
          <w:rFonts w:cs="David" w:hint="cs"/>
          <w:color w:val="000000"/>
          <w:sz w:val="20"/>
          <w:szCs w:val="20"/>
          <w:highlight w:val="black"/>
        </w:rPr>
        <w:t>XXX</w:t>
      </w:r>
      <w:r w:rsidRPr="007F1053">
        <w:rPr>
          <w:rFonts w:cs="David" w:hint="cs"/>
          <w:sz w:val="20"/>
          <w:szCs w:val="20"/>
          <w:rtl/>
        </w:rPr>
        <w:t xml:space="preserve"> </w:t>
      </w:r>
      <w:r w:rsidRPr="000E611B">
        <w:rPr>
          <w:rFonts w:cs="David" w:hint="cs"/>
          <w:rtl/>
        </w:rPr>
        <w:t>היא בהפחתה של 50% מגובה העיצום.</w:t>
      </w:r>
    </w:p>
    <w:p w:rsidR="00661621" w:rsidRDefault="00661621" w:rsidP="00BC2861">
      <w:pPr>
        <w:pStyle w:val="ListParagraph"/>
        <w:bidi/>
        <w:spacing w:before="120" w:beforeAutospacing="0" w:after="0" w:afterAutospacing="0" w:line="360" w:lineRule="auto"/>
        <w:jc w:val="both"/>
        <w:rPr>
          <w:rFonts w:cs="David"/>
          <w:rtl/>
        </w:rPr>
      </w:pPr>
      <w:r>
        <w:rPr>
          <w:rFonts w:cs="David" w:hint="cs"/>
          <w:rtl/>
        </w:rPr>
        <w:t xml:space="preserve">שקילת השיקולים המפורטים לעיל בהתאם לגילוי דעת 1/16 הוביל לקביעת עיצום בגובה </w:t>
      </w:r>
      <w:r w:rsidR="00BC2861">
        <w:rPr>
          <w:rFonts w:cs="David" w:hint="cs"/>
          <w:rtl/>
        </w:rPr>
        <w:t>235,255</w:t>
      </w:r>
      <w:r w:rsidR="002242FB">
        <w:rPr>
          <w:rFonts w:cs="David" w:hint="cs"/>
          <w:rtl/>
        </w:rPr>
        <w:t xml:space="preserve"> </w:t>
      </w:r>
      <w:r>
        <w:rPr>
          <w:rFonts w:cs="David" w:hint="cs"/>
          <w:rtl/>
        </w:rPr>
        <w:t>ש"ח. יחד עם זאת, גובה העיצום</w:t>
      </w:r>
      <w:r w:rsidR="00F36FA1">
        <w:rPr>
          <w:rFonts w:cs="David" w:hint="cs"/>
          <w:rtl/>
        </w:rPr>
        <w:t xml:space="preserve"> שננקב</w:t>
      </w:r>
      <w:r>
        <w:rPr>
          <w:rFonts w:cs="David" w:hint="cs"/>
          <w:rtl/>
        </w:rPr>
        <w:t xml:space="preserve"> בהודעה על כוונת חיוב</w:t>
      </w:r>
      <w:r w:rsidR="00F36FA1">
        <w:rPr>
          <w:rFonts w:cs="David" w:hint="cs"/>
          <w:rtl/>
        </w:rPr>
        <w:t xml:space="preserve"> שניתנה</w:t>
      </w:r>
      <w:r>
        <w:rPr>
          <w:rFonts w:cs="David" w:hint="cs"/>
          <w:rtl/>
        </w:rPr>
        <w:t xml:space="preserve"> עובר לגילוי דעת 1/16 </w:t>
      </w:r>
      <w:r w:rsidR="00F36FA1">
        <w:rPr>
          <w:rFonts w:cs="David" w:hint="cs"/>
          <w:rtl/>
        </w:rPr>
        <w:t xml:space="preserve">עמד על </w:t>
      </w:r>
      <w:r>
        <w:rPr>
          <w:rFonts w:cs="David" w:hint="cs"/>
          <w:rtl/>
        </w:rPr>
        <w:t>סך 110,000 ש"ח ומשכך החלטתי שלא לחרוג מגובה עיצום זה.</w:t>
      </w:r>
    </w:p>
    <w:p w:rsidR="00DE2D7D" w:rsidRPr="000E611B" w:rsidRDefault="00DE2D7D" w:rsidP="00661621">
      <w:pPr>
        <w:pStyle w:val="ListParagraph"/>
        <w:bidi/>
        <w:spacing w:before="120" w:beforeAutospacing="0" w:after="0" w:afterAutospacing="0" w:line="360" w:lineRule="auto"/>
        <w:jc w:val="both"/>
        <w:rPr>
          <w:rFonts w:cs="David"/>
          <w:rtl/>
        </w:rPr>
      </w:pPr>
      <w:r w:rsidRPr="000E611B">
        <w:rPr>
          <w:rFonts w:cs="David" w:hint="cs"/>
          <w:rtl/>
        </w:rPr>
        <w:t xml:space="preserve">לפיכך, בגין ההפרה של הוראות סעיפים 29 ו-29א לחוק שוקל הממונה להטיל עיצום כספי על מר </w:t>
      </w:r>
      <w:r w:rsidR="009F50C0" w:rsidRPr="007F1053">
        <w:rPr>
          <w:rFonts w:cs="David" w:hint="cs"/>
          <w:color w:val="000000"/>
          <w:sz w:val="20"/>
          <w:szCs w:val="20"/>
          <w:highlight w:val="black"/>
        </w:rPr>
        <w:t>XXX</w:t>
      </w:r>
      <w:r w:rsidRPr="007F1053">
        <w:rPr>
          <w:rFonts w:cs="David" w:hint="cs"/>
          <w:sz w:val="20"/>
          <w:szCs w:val="20"/>
          <w:rtl/>
        </w:rPr>
        <w:t xml:space="preserve"> </w:t>
      </w:r>
      <w:r w:rsidRPr="000E611B">
        <w:rPr>
          <w:rFonts w:cs="David" w:hint="cs"/>
          <w:rtl/>
        </w:rPr>
        <w:t xml:space="preserve">בגובה </w:t>
      </w:r>
      <w:r w:rsidR="00E11D58" w:rsidRPr="004F30D7">
        <w:rPr>
          <w:rFonts w:cs="David" w:hint="cs"/>
          <w:b/>
          <w:bCs/>
          <w:rtl/>
        </w:rPr>
        <w:t>1</w:t>
      </w:r>
      <w:r w:rsidR="00661621" w:rsidRPr="004F30D7">
        <w:rPr>
          <w:rFonts w:cs="David" w:hint="cs"/>
          <w:b/>
          <w:bCs/>
          <w:rtl/>
        </w:rPr>
        <w:t>1</w:t>
      </w:r>
      <w:r w:rsidR="00E11D58" w:rsidRPr="004F30D7">
        <w:rPr>
          <w:rFonts w:cs="David" w:hint="cs"/>
          <w:b/>
          <w:bCs/>
          <w:rtl/>
        </w:rPr>
        <w:t>0</w:t>
      </w:r>
      <w:r w:rsidRPr="004F30D7">
        <w:rPr>
          <w:rFonts w:cs="David" w:hint="cs"/>
          <w:b/>
          <w:bCs/>
          <w:rtl/>
        </w:rPr>
        <w:t>,000</w:t>
      </w:r>
      <w:r w:rsidRPr="000E611B">
        <w:rPr>
          <w:rFonts w:cs="David" w:hint="cs"/>
          <w:rtl/>
        </w:rPr>
        <w:t xml:space="preserve"> </w:t>
      </w:r>
      <w:r w:rsidR="004F30D7">
        <w:rPr>
          <w:rFonts w:cs="David" w:hint="cs"/>
          <w:rtl/>
        </w:rPr>
        <w:t>ש</w:t>
      </w:r>
      <w:r w:rsidR="004F30D7">
        <w:rPr>
          <w:rFonts w:cs="David"/>
          <w:rtl/>
        </w:rPr>
        <w:t>"</w:t>
      </w:r>
      <w:r w:rsidR="004F30D7">
        <w:rPr>
          <w:rFonts w:cs="David" w:hint="cs"/>
          <w:rtl/>
        </w:rPr>
        <w:t>ח</w:t>
      </w:r>
      <w:r w:rsidRPr="000E611B">
        <w:rPr>
          <w:rFonts w:cs="David" w:hint="cs"/>
          <w:rtl/>
        </w:rPr>
        <w:t>.</w:t>
      </w:r>
    </w:p>
    <w:p w:rsidR="00DE2D7D" w:rsidRPr="00AA7D67" w:rsidRDefault="006838DF" w:rsidP="006838DF">
      <w:pPr>
        <w:pStyle w:val="Heading2"/>
        <w:numPr>
          <w:ilvl w:val="0"/>
          <w:numId w:val="0"/>
        </w:numPr>
        <w:ind w:left="851"/>
        <w:jc w:val="left"/>
        <w:rPr>
          <w:rtl/>
        </w:rPr>
      </w:pPr>
      <w:bookmarkStart w:id="42" w:name="_Toc476497428"/>
      <w:r>
        <w:rPr>
          <w:rFonts w:hint="cs"/>
          <w:rtl/>
        </w:rPr>
        <w:t xml:space="preserve">ד.4  </w:t>
      </w:r>
      <w:r w:rsidR="00DE2D7D" w:rsidRPr="006838DF">
        <w:rPr>
          <w:rFonts w:hint="cs"/>
          <w:rtl/>
        </w:rPr>
        <w:t>היוועצות</w:t>
      </w:r>
      <w:r w:rsidR="00DE2D7D" w:rsidRPr="00AA7D67">
        <w:rPr>
          <w:rFonts w:hint="cs"/>
          <w:rtl/>
        </w:rPr>
        <w:t xml:space="preserve"> בוועדה לפטורים ומיזוגים</w:t>
      </w:r>
      <w:bookmarkEnd w:id="42"/>
    </w:p>
    <w:p w:rsidR="00375C50" w:rsidRPr="00793A60" w:rsidRDefault="00375C50" w:rsidP="00AA7D67">
      <w:pPr>
        <w:pStyle w:val="ListParagraph"/>
        <w:bidi/>
        <w:spacing w:before="120" w:beforeAutospacing="0" w:after="0" w:afterAutospacing="0" w:line="360" w:lineRule="auto"/>
        <w:jc w:val="both"/>
      </w:pPr>
      <w:r w:rsidRPr="00793A60">
        <w:rPr>
          <w:rFonts w:cs="David" w:hint="cs"/>
          <w:rtl/>
        </w:rPr>
        <w:t xml:space="preserve">בהתאם לסעיף 50ח(א)(1) לחוק, ביום </w:t>
      </w:r>
      <w:r>
        <w:rPr>
          <w:rFonts w:cs="David" w:hint="cs"/>
          <w:rtl/>
        </w:rPr>
        <w:t>1.3.2017</w:t>
      </w:r>
      <w:r w:rsidRPr="00793A60">
        <w:rPr>
          <w:rFonts w:cs="David" w:hint="cs"/>
          <w:rtl/>
        </w:rPr>
        <w:t xml:space="preserve"> נועצתי בוועדה לפטורים ולמיזוגים בעניין החלטתי להטיל עיצום כספי על המפרים וסכומי העיצומים. </w:t>
      </w:r>
    </w:p>
    <w:p w:rsidR="00375C50" w:rsidRPr="00793A60" w:rsidRDefault="00375C50" w:rsidP="00AA7D67">
      <w:pPr>
        <w:pStyle w:val="ListParagraph"/>
        <w:bidi/>
        <w:spacing w:before="120" w:beforeAutospacing="0" w:after="0" w:afterAutospacing="0" w:line="360" w:lineRule="auto"/>
        <w:jc w:val="both"/>
        <w:rPr>
          <w:rFonts w:cs="David"/>
        </w:rPr>
      </w:pPr>
      <w:r w:rsidRPr="00793A60">
        <w:rPr>
          <w:rFonts w:cs="David" w:hint="cs"/>
          <w:rtl/>
        </w:rPr>
        <w:t xml:space="preserve">הוועדה סברה פה אחד כי חברת </w:t>
      </w:r>
      <w:r>
        <w:rPr>
          <w:rFonts w:cs="David" w:hint="cs"/>
          <w:rtl/>
        </w:rPr>
        <w:t>החשמל</w:t>
      </w:r>
      <w:r w:rsidRPr="00793A60">
        <w:rPr>
          <w:rFonts w:cs="David" w:hint="cs"/>
          <w:rtl/>
        </w:rPr>
        <w:t xml:space="preserve"> ונושאי המשרה הפרו את הוראות </w:t>
      </w:r>
      <w:r w:rsidRPr="00A74836">
        <w:rPr>
          <w:rFonts w:cs="David" w:hint="cs"/>
          <w:rtl/>
        </w:rPr>
        <w:t>סעיפים 29, 29א(א), 29א(ב)(2), 29א(ב)(3) ו-29א(ב)(4) לחוק</w:t>
      </w:r>
      <w:r w:rsidRPr="00793A60">
        <w:rPr>
          <w:rFonts w:cs="David" w:hint="cs"/>
          <w:rtl/>
        </w:rPr>
        <w:t xml:space="preserve">. עוד סברו חברי הועדה פה אחד, כי יש מקום להשית עיצומים כספיים על חברת </w:t>
      </w:r>
      <w:r>
        <w:rPr>
          <w:rFonts w:cs="David" w:hint="cs"/>
          <w:rtl/>
        </w:rPr>
        <w:t>החשמל</w:t>
      </w:r>
      <w:r w:rsidRPr="00793A60">
        <w:rPr>
          <w:rFonts w:cs="David" w:hint="cs"/>
          <w:rtl/>
        </w:rPr>
        <w:t xml:space="preserve"> ו</w:t>
      </w:r>
      <w:r w:rsidR="00EE2852">
        <w:rPr>
          <w:rFonts w:cs="David" w:hint="cs"/>
          <w:rtl/>
        </w:rPr>
        <w:t xml:space="preserve">על </w:t>
      </w:r>
      <w:r w:rsidRPr="00793A60">
        <w:rPr>
          <w:rFonts w:cs="David" w:hint="cs"/>
          <w:rtl/>
        </w:rPr>
        <w:t xml:space="preserve">נושאי המשרה. </w:t>
      </w:r>
    </w:p>
    <w:p w:rsidR="00375C50" w:rsidRDefault="00375C50" w:rsidP="00AA7D67">
      <w:pPr>
        <w:pStyle w:val="ListParagraph"/>
        <w:bidi/>
        <w:spacing w:before="120" w:beforeAutospacing="0" w:after="0" w:afterAutospacing="0" w:line="360" w:lineRule="auto"/>
        <w:jc w:val="both"/>
        <w:rPr>
          <w:rFonts w:cs="David"/>
          <w:rtl/>
        </w:rPr>
      </w:pPr>
      <w:r w:rsidRPr="00793A60">
        <w:rPr>
          <w:rFonts w:cs="David" w:hint="cs"/>
          <w:rtl/>
        </w:rPr>
        <w:t xml:space="preserve">חברי הועדה המליצו פה אחד להשית על חברת </w:t>
      </w:r>
      <w:r>
        <w:rPr>
          <w:rFonts w:cs="David" w:hint="cs"/>
          <w:rtl/>
        </w:rPr>
        <w:t>החשמל</w:t>
      </w:r>
      <w:r w:rsidRPr="00793A60">
        <w:rPr>
          <w:rFonts w:cs="David" w:hint="cs"/>
          <w:rtl/>
        </w:rPr>
        <w:t xml:space="preserve"> עיצום כספי בסך </w:t>
      </w:r>
      <w:r>
        <w:rPr>
          <w:rFonts w:cs="David" w:hint="cs"/>
          <w:rtl/>
        </w:rPr>
        <w:t>13</w:t>
      </w:r>
      <w:r w:rsidRPr="00793A60">
        <w:rPr>
          <w:rFonts w:cs="David" w:hint="cs"/>
          <w:rtl/>
        </w:rPr>
        <w:t xml:space="preserve"> מיליון ש"ח. </w:t>
      </w:r>
      <w:r>
        <w:rPr>
          <w:rFonts w:cs="David" w:hint="cs"/>
          <w:rtl/>
        </w:rPr>
        <w:t xml:space="preserve">על אף שסברו כי ניתן היה להטיל עיצום כספי גבוה יותר, </w:t>
      </w:r>
      <w:r w:rsidRPr="00793A60">
        <w:rPr>
          <w:rFonts w:cs="David" w:hint="cs"/>
          <w:rtl/>
        </w:rPr>
        <w:t xml:space="preserve">חברי הועדה המליצו פה אחד להשית על </w:t>
      </w:r>
      <w:r>
        <w:rPr>
          <w:rFonts w:cs="David" w:hint="cs"/>
          <w:rtl/>
        </w:rPr>
        <w:t xml:space="preserve">מר </w:t>
      </w:r>
      <w:r w:rsidR="009F50C0" w:rsidRPr="0044109C">
        <w:rPr>
          <w:rFonts w:cs="David" w:hint="cs"/>
          <w:color w:val="000000"/>
          <w:highlight w:val="black"/>
        </w:rPr>
        <w:t>XXX</w:t>
      </w:r>
      <w:r w:rsidRPr="00793A60">
        <w:rPr>
          <w:rFonts w:cs="David" w:hint="cs"/>
          <w:rtl/>
        </w:rPr>
        <w:t xml:space="preserve"> עיצום כספי בסך </w:t>
      </w:r>
      <w:r>
        <w:rPr>
          <w:rFonts w:cs="David" w:hint="cs"/>
          <w:rtl/>
        </w:rPr>
        <w:t>165,000</w:t>
      </w:r>
      <w:r w:rsidRPr="00793A60">
        <w:rPr>
          <w:rFonts w:cs="David" w:hint="cs"/>
          <w:rtl/>
        </w:rPr>
        <w:t xml:space="preserve"> </w:t>
      </w:r>
      <w:r>
        <w:rPr>
          <w:rFonts w:cs="David" w:hint="cs"/>
          <w:rtl/>
        </w:rPr>
        <w:t xml:space="preserve">₪ ועל מר </w:t>
      </w:r>
      <w:r w:rsidR="009F50C0" w:rsidRPr="0044109C">
        <w:rPr>
          <w:rFonts w:cs="David" w:hint="cs"/>
          <w:color w:val="000000"/>
          <w:highlight w:val="black"/>
        </w:rPr>
        <w:t>XXX</w:t>
      </w:r>
      <w:r>
        <w:rPr>
          <w:rFonts w:cs="David" w:hint="cs"/>
          <w:rtl/>
        </w:rPr>
        <w:t xml:space="preserve"> עיצום כספי בסך 110,000 ש"ח</w:t>
      </w:r>
      <w:r w:rsidRPr="00793A60">
        <w:rPr>
          <w:rFonts w:cs="David" w:hint="cs"/>
          <w:rtl/>
        </w:rPr>
        <w:t xml:space="preserve">. </w:t>
      </w:r>
    </w:p>
    <w:p w:rsidR="00375C50" w:rsidRDefault="00375C50" w:rsidP="00AA7D67">
      <w:pPr>
        <w:pStyle w:val="ListParagraph"/>
        <w:bidi/>
        <w:spacing w:before="120" w:beforeAutospacing="0" w:after="0" w:afterAutospacing="0" w:line="360" w:lineRule="auto"/>
        <w:jc w:val="both"/>
        <w:rPr>
          <w:rFonts w:cs="David"/>
          <w:rtl/>
        </w:rPr>
      </w:pPr>
      <w:r w:rsidRPr="00793A60">
        <w:rPr>
          <w:rFonts w:cs="David" w:hint="cs"/>
          <w:rtl/>
        </w:rPr>
        <w:t xml:space="preserve">לאחר שקילת טענות הצדדים ולאחר שנטלתי את עצת הוועדה לפטורים ולמיזוגים, החלטתי </w:t>
      </w:r>
      <w:r>
        <w:rPr>
          <w:rFonts w:cs="David" w:hint="cs"/>
          <w:rtl/>
        </w:rPr>
        <w:t>שלא לשנות</w:t>
      </w:r>
      <w:r w:rsidRPr="00793A60">
        <w:rPr>
          <w:rFonts w:cs="David" w:hint="cs"/>
          <w:rtl/>
        </w:rPr>
        <w:t xml:space="preserve"> את העיצומים הכספיים שיוטלו על המפרים ביחס לסכומים שננקבו בהודעה על כוונת חיוב כך </w:t>
      </w:r>
      <w:r w:rsidRPr="00AA7D67">
        <w:rPr>
          <w:rFonts w:cs="David" w:hint="cs"/>
          <w:rtl/>
        </w:rPr>
        <w:t xml:space="preserve">שעל חברת החשמל יושת עיצום כספי בסך 13 מיליון </w:t>
      </w:r>
      <w:r>
        <w:rPr>
          <w:rFonts w:cs="David" w:hint="cs"/>
          <w:rtl/>
        </w:rPr>
        <w:t>ש"ח</w:t>
      </w:r>
      <w:r w:rsidRPr="00AA7D67">
        <w:rPr>
          <w:rFonts w:cs="David" w:hint="cs"/>
          <w:rtl/>
        </w:rPr>
        <w:t xml:space="preserve">, </w:t>
      </w:r>
      <w:r w:rsidRPr="00793A60">
        <w:rPr>
          <w:rFonts w:cs="David" w:hint="cs"/>
          <w:rtl/>
        </w:rPr>
        <w:t xml:space="preserve">על </w:t>
      </w:r>
      <w:r>
        <w:rPr>
          <w:rFonts w:cs="David" w:hint="cs"/>
          <w:rtl/>
        </w:rPr>
        <w:t xml:space="preserve">מר </w:t>
      </w:r>
      <w:r w:rsidR="009F50C0" w:rsidRPr="0044109C">
        <w:rPr>
          <w:rFonts w:cs="David" w:hint="cs"/>
          <w:color w:val="000000"/>
          <w:highlight w:val="black"/>
        </w:rPr>
        <w:t>XXX</w:t>
      </w:r>
      <w:r w:rsidRPr="00793A60">
        <w:rPr>
          <w:rFonts w:cs="David" w:hint="cs"/>
          <w:rtl/>
        </w:rPr>
        <w:t xml:space="preserve"> עיצום כספי בסך </w:t>
      </w:r>
      <w:r>
        <w:rPr>
          <w:rFonts w:cs="David" w:hint="cs"/>
          <w:rtl/>
        </w:rPr>
        <w:t>165,000</w:t>
      </w:r>
      <w:r w:rsidRPr="00793A60">
        <w:rPr>
          <w:rFonts w:cs="David" w:hint="cs"/>
          <w:rtl/>
        </w:rPr>
        <w:t xml:space="preserve"> </w:t>
      </w:r>
      <w:r>
        <w:rPr>
          <w:rFonts w:cs="David" w:hint="cs"/>
          <w:rtl/>
        </w:rPr>
        <w:t xml:space="preserve">ש"ח ועל מר </w:t>
      </w:r>
      <w:r w:rsidR="009F50C0" w:rsidRPr="0044109C">
        <w:rPr>
          <w:rFonts w:cs="David" w:hint="cs"/>
          <w:color w:val="000000"/>
          <w:highlight w:val="black"/>
        </w:rPr>
        <w:t>XXX</w:t>
      </w:r>
      <w:r>
        <w:rPr>
          <w:rFonts w:cs="David" w:hint="cs"/>
          <w:rtl/>
        </w:rPr>
        <w:t xml:space="preserve"> עיצום כספי בסך 110,000 ש"ח</w:t>
      </w:r>
      <w:r w:rsidRPr="00793A60">
        <w:rPr>
          <w:rFonts w:cs="David" w:hint="cs"/>
          <w:rtl/>
        </w:rPr>
        <w:t xml:space="preserve">. </w:t>
      </w:r>
    </w:p>
    <w:p w:rsidR="00DE2D7D" w:rsidRPr="000E611B" w:rsidRDefault="00DE2D7D" w:rsidP="00260016">
      <w:pPr>
        <w:spacing w:line="240" w:lineRule="auto"/>
        <w:rPr>
          <w:lang w:eastAsia="en-US"/>
        </w:rPr>
      </w:pPr>
    </w:p>
    <w:p w:rsidR="007E59CE" w:rsidRPr="006838DF" w:rsidRDefault="007E59CE" w:rsidP="006838DF">
      <w:pPr>
        <w:pStyle w:val="Heading1"/>
        <w:numPr>
          <w:ilvl w:val="0"/>
          <w:numId w:val="10"/>
        </w:numPr>
        <w:rPr>
          <w:b/>
          <w:bCs/>
          <w:rtl/>
        </w:rPr>
      </w:pPr>
      <w:bookmarkStart w:id="43" w:name="_Toc476497429"/>
      <w:r w:rsidRPr="006838DF">
        <w:rPr>
          <w:rFonts w:hint="cs"/>
          <w:b/>
          <w:bCs/>
          <w:rtl/>
        </w:rPr>
        <w:t>טענות המפרים בשימוע</w:t>
      </w:r>
      <w:bookmarkEnd w:id="43"/>
    </w:p>
    <w:p w:rsidR="008E3A54" w:rsidRPr="008E3A54" w:rsidRDefault="008E3A54" w:rsidP="001512C2">
      <w:r>
        <w:rPr>
          <w:rFonts w:hint="cs"/>
          <w:rtl/>
        </w:rPr>
        <w:t>במסגרת נייר העמדה שהגישו חברת החשמל ונושאי המשרה ב</w:t>
      </w:r>
      <w:r w:rsidR="00C36DC0">
        <w:rPr>
          <w:rFonts w:hint="cs"/>
          <w:rtl/>
        </w:rPr>
        <w:t>הליך ה</w:t>
      </w:r>
      <w:r>
        <w:rPr>
          <w:rFonts w:hint="cs"/>
          <w:rtl/>
        </w:rPr>
        <w:t xml:space="preserve">שימוע הועלו טענות רבות בנוגע למסד העובדתי, הניתוח המשפטי והכלכלי והסבירות המנהלית של ההחלטה שנבחנה. לאחר שנבחנו לעומק כל הטענות, לא נמצא כי יש לקבל את טענות המפרים. למעלה מן הצורך, אדון כעת במספר טענות עיקריות שהועלו על ידי המפרים בנייר העמדה ואשר מצאתי לנכון </w:t>
      </w:r>
      <w:r w:rsidR="001512C2">
        <w:rPr>
          <w:rFonts w:hint="cs"/>
          <w:rtl/>
        </w:rPr>
        <w:t>לתת ביטוי</w:t>
      </w:r>
      <w:r>
        <w:rPr>
          <w:rFonts w:hint="cs"/>
          <w:rtl/>
        </w:rPr>
        <w:t xml:space="preserve"> </w:t>
      </w:r>
      <w:r w:rsidR="001512C2">
        <w:rPr>
          <w:rFonts w:hint="cs"/>
          <w:rtl/>
        </w:rPr>
        <w:t>ל</w:t>
      </w:r>
      <w:r>
        <w:rPr>
          <w:rFonts w:hint="cs"/>
          <w:rtl/>
        </w:rPr>
        <w:t>עמדתי ביחד אליהן.</w:t>
      </w:r>
    </w:p>
    <w:p w:rsidR="00704C76" w:rsidRPr="00704C76" w:rsidRDefault="00704C76" w:rsidP="001A6367">
      <w:pPr>
        <w:pStyle w:val="ListParagraph"/>
        <w:numPr>
          <w:ilvl w:val="0"/>
          <w:numId w:val="2"/>
        </w:numPr>
        <w:bidi/>
        <w:spacing w:before="120" w:beforeAutospacing="0" w:after="0" w:afterAutospacing="0" w:line="360" w:lineRule="auto"/>
        <w:jc w:val="both"/>
        <w:rPr>
          <w:rFonts w:cs="David"/>
          <w:b/>
          <w:bCs/>
          <w:vanish/>
          <w:sz w:val="22"/>
          <w:u w:val="single"/>
          <w:rtl/>
          <w:lang w:eastAsia="he-IL"/>
        </w:rPr>
      </w:pPr>
    </w:p>
    <w:p w:rsidR="00704C76" w:rsidRPr="00704C76" w:rsidRDefault="00704C76" w:rsidP="001A6367">
      <w:pPr>
        <w:pStyle w:val="ListParagraph"/>
        <w:numPr>
          <w:ilvl w:val="0"/>
          <w:numId w:val="2"/>
        </w:numPr>
        <w:bidi/>
        <w:spacing w:before="120" w:beforeAutospacing="0" w:after="0" w:afterAutospacing="0" w:line="360" w:lineRule="auto"/>
        <w:jc w:val="both"/>
        <w:rPr>
          <w:rFonts w:cs="David"/>
          <w:b/>
          <w:bCs/>
          <w:vanish/>
          <w:sz w:val="22"/>
          <w:u w:val="single"/>
          <w:rtl/>
          <w:lang w:eastAsia="he-IL"/>
        </w:rPr>
      </w:pPr>
    </w:p>
    <w:p w:rsidR="00704C76" w:rsidRPr="00704C76" w:rsidRDefault="00704C76" w:rsidP="001A6367">
      <w:pPr>
        <w:pStyle w:val="ListParagraph"/>
        <w:numPr>
          <w:ilvl w:val="0"/>
          <w:numId w:val="2"/>
        </w:numPr>
        <w:bidi/>
        <w:spacing w:before="120" w:beforeAutospacing="0" w:after="0" w:afterAutospacing="0" w:line="360" w:lineRule="auto"/>
        <w:jc w:val="both"/>
        <w:rPr>
          <w:rFonts w:cs="David"/>
          <w:b/>
          <w:bCs/>
          <w:vanish/>
          <w:sz w:val="22"/>
          <w:u w:val="single"/>
          <w:rtl/>
          <w:lang w:eastAsia="he-IL"/>
        </w:rPr>
      </w:pPr>
    </w:p>
    <w:p w:rsidR="00704C76" w:rsidRPr="00704C76" w:rsidRDefault="00704C76" w:rsidP="001A6367">
      <w:pPr>
        <w:pStyle w:val="ListParagraph"/>
        <w:numPr>
          <w:ilvl w:val="0"/>
          <w:numId w:val="2"/>
        </w:numPr>
        <w:bidi/>
        <w:spacing w:before="120" w:beforeAutospacing="0" w:after="0" w:afterAutospacing="0" w:line="360" w:lineRule="auto"/>
        <w:jc w:val="both"/>
        <w:rPr>
          <w:rFonts w:cs="David"/>
          <w:b/>
          <w:bCs/>
          <w:vanish/>
          <w:sz w:val="22"/>
          <w:u w:val="single"/>
          <w:rtl/>
          <w:lang w:eastAsia="he-IL"/>
        </w:rPr>
      </w:pPr>
    </w:p>
    <w:p w:rsidR="00704C76" w:rsidRPr="00704C76" w:rsidRDefault="00704C76" w:rsidP="001A6367">
      <w:pPr>
        <w:pStyle w:val="ListParagraph"/>
        <w:numPr>
          <w:ilvl w:val="0"/>
          <w:numId w:val="2"/>
        </w:numPr>
        <w:bidi/>
        <w:spacing w:before="120" w:beforeAutospacing="0" w:after="0" w:afterAutospacing="0" w:line="360" w:lineRule="auto"/>
        <w:jc w:val="both"/>
        <w:rPr>
          <w:rFonts w:cs="David"/>
          <w:b/>
          <w:bCs/>
          <w:vanish/>
          <w:sz w:val="22"/>
          <w:u w:val="single"/>
          <w:rtl/>
          <w:lang w:eastAsia="he-IL"/>
        </w:rPr>
      </w:pPr>
    </w:p>
    <w:p w:rsidR="00704C76" w:rsidRDefault="006838DF" w:rsidP="006838DF">
      <w:pPr>
        <w:pStyle w:val="Heading2"/>
        <w:numPr>
          <w:ilvl w:val="0"/>
          <w:numId w:val="0"/>
        </w:numPr>
        <w:ind w:left="851"/>
        <w:jc w:val="left"/>
        <w:rPr>
          <w:rtl/>
        </w:rPr>
      </w:pPr>
      <w:bookmarkStart w:id="44" w:name="_Toc476497430"/>
      <w:r>
        <w:rPr>
          <w:rFonts w:hint="cs"/>
          <w:rtl/>
        </w:rPr>
        <w:t xml:space="preserve">ה.1. </w:t>
      </w:r>
      <w:r w:rsidR="00775DD9">
        <w:rPr>
          <w:rFonts w:hint="cs"/>
          <w:rtl/>
        </w:rPr>
        <w:t xml:space="preserve">טענה לפגמים </w:t>
      </w:r>
      <w:r w:rsidR="00775DD9" w:rsidRPr="006838DF">
        <w:rPr>
          <w:rFonts w:hint="cs"/>
          <w:rtl/>
        </w:rPr>
        <w:t>ראייתיים</w:t>
      </w:r>
      <w:r w:rsidR="00775DD9">
        <w:rPr>
          <w:rFonts w:hint="cs"/>
          <w:rtl/>
        </w:rPr>
        <w:t xml:space="preserve"> בהליך </w:t>
      </w:r>
      <w:r w:rsidR="00356AE9">
        <w:rPr>
          <w:rFonts w:hint="cs"/>
          <w:rtl/>
        </w:rPr>
        <w:t>בדיקת הממונה</w:t>
      </w:r>
      <w:bookmarkEnd w:id="44"/>
    </w:p>
    <w:p w:rsidR="00807B34" w:rsidRPr="008D2CF7" w:rsidRDefault="00807B34" w:rsidP="007837B1">
      <w:r>
        <w:rPr>
          <w:rFonts w:hint="cs"/>
          <w:rtl/>
        </w:rPr>
        <w:t>לטענת המפרים</w:t>
      </w:r>
      <w:r w:rsidR="00BB53B5">
        <w:rPr>
          <w:rFonts w:hint="cs"/>
          <w:rtl/>
        </w:rPr>
        <w:t>,</w:t>
      </w:r>
      <w:r w:rsidRPr="00964630">
        <w:rPr>
          <w:rtl/>
        </w:rPr>
        <w:t xml:space="preserve"> </w:t>
      </w:r>
      <w:r w:rsidRPr="008D2CF7">
        <w:rPr>
          <w:rFonts w:hint="cs"/>
          <w:rtl/>
        </w:rPr>
        <w:t>ב</w:t>
      </w:r>
      <w:r>
        <w:rPr>
          <w:rFonts w:hint="cs"/>
          <w:rtl/>
        </w:rPr>
        <w:t>הליך איסוף הראיות עובר לשימוע שנערך להם</w:t>
      </w:r>
      <w:r w:rsidR="00BB53B5">
        <w:rPr>
          <w:rFonts w:hint="cs"/>
          <w:rtl/>
        </w:rPr>
        <w:t>,</w:t>
      </w:r>
      <w:r>
        <w:rPr>
          <w:rFonts w:hint="cs"/>
          <w:rtl/>
        </w:rPr>
        <w:t xml:space="preserve"> נפלו שורה של </w:t>
      </w:r>
      <w:r w:rsidRPr="00964630">
        <w:rPr>
          <w:rFonts w:hint="cs"/>
          <w:rtl/>
        </w:rPr>
        <w:t>פגמים</w:t>
      </w:r>
      <w:r>
        <w:rPr>
          <w:rFonts w:hint="cs"/>
          <w:rtl/>
        </w:rPr>
        <w:t>. עיון בטענות המפרים מעלה, כי לשיטתם הסטנדרט הראוי לאיסוף הראיות הינו הסטנדרט הנוהג במשפט הפלילי</w:t>
      </w:r>
      <w:r w:rsidRPr="008D2CF7">
        <w:rPr>
          <w:rtl/>
        </w:rPr>
        <w:t>.</w:t>
      </w:r>
      <w:r w:rsidRPr="00F13E38">
        <w:rPr>
          <w:rtl/>
        </w:rPr>
        <w:t xml:space="preserve"> </w:t>
      </w:r>
    </w:p>
    <w:p w:rsidR="00DC0DFA" w:rsidRDefault="00DC0DFA" w:rsidP="00DC0DFA">
      <w:pPr>
        <w:rPr>
          <w:rtl/>
        </w:rPr>
      </w:pPr>
      <w:r>
        <w:rPr>
          <w:rFonts w:hint="cs"/>
          <w:rtl/>
        </w:rPr>
        <w:t>טענות אלה דינן להידחות.</w:t>
      </w:r>
    </w:p>
    <w:p w:rsidR="00660B2D" w:rsidRDefault="00660B2D" w:rsidP="00EF230C">
      <w:pPr>
        <w:rPr>
          <w:sz w:val="24"/>
          <w:rtl/>
        </w:rPr>
      </w:pPr>
      <w:r>
        <w:rPr>
          <w:rFonts w:hint="cs"/>
          <w:sz w:val="24"/>
          <w:rtl/>
        </w:rPr>
        <w:t xml:space="preserve">כפי שנקבע זה מכבר בפסיקת בית המשפט העליון </w:t>
      </w:r>
      <w:r w:rsidRPr="00660B2D">
        <w:rPr>
          <w:rFonts w:hint="cs"/>
          <w:sz w:val="24"/>
          <w:rtl/>
        </w:rPr>
        <w:t xml:space="preserve">הטלת עיצום כספי </w:t>
      </w:r>
      <w:r w:rsidRPr="00EF230C">
        <w:rPr>
          <w:rFonts w:hint="cs"/>
          <w:rtl/>
        </w:rPr>
        <w:t>הינו</w:t>
      </w:r>
      <w:r w:rsidRPr="00660B2D">
        <w:rPr>
          <w:rFonts w:hint="cs"/>
          <w:sz w:val="24"/>
          <w:rtl/>
        </w:rPr>
        <w:t xml:space="preserve"> אמצעי אכיפה מנהלי</w:t>
      </w:r>
      <w:r>
        <w:rPr>
          <w:rFonts w:hint="cs"/>
          <w:sz w:val="24"/>
          <w:rtl/>
        </w:rPr>
        <w:t xml:space="preserve"> אשר אין להחיל עליו סטנדרטים מן המשפט הפלילי:</w:t>
      </w:r>
    </w:p>
    <w:p w:rsidR="00660B2D" w:rsidRPr="00EF230C" w:rsidRDefault="00660B2D" w:rsidP="00EF230C">
      <w:pPr>
        <w:spacing w:line="240" w:lineRule="auto"/>
        <w:ind w:left="941" w:right="426"/>
        <w:rPr>
          <w:color w:val="000000"/>
          <w:sz w:val="24"/>
          <w:rtl/>
        </w:rPr>
      </w:pPr>
      <w:r>
        <w:rPr>
          <w:rFonts w:hint="cs"/>
          <w:color w:val="000000"/>
          <w:spacing w:val="10"/>
          <w:sz w:val="24"/>
          <w:rtl/>
        </w:rPr>
        <w:lastRenderedPageBreak/>
        <w:t>"</w:t>
      </w:r>
      <w:r w:rsidRPr="00EF230C">
        <w:rPr>
          <w:rFonts w:hint="cs"/>
          <w:color w:val="000000"/>
          <w:spacing w:val="10"/>
          <w:sz w:val="24"/>
          <w:rtl/>
        </w:rPr>
        <w:t xml:space="preserve">אשר להחלת סדר הדין הפלילי על </w:t>
      </w:r>
      <w:r w:rsidRPr="00EF230C">
        <w:rPr>
          <w:rFonts w:hint="cs"/>
          <w:color w:val="000000"/>
          <w:sz w:val="24"/>
          <w:rtl/>
        </w:rPr>
        <w:t>ענייננו – דבר שלא ברור אף האם המבקשת מעוניינת בו שכן לא הציעה סדרי דין החלים לשיטתה – ניכר כי לא זו הייתה כוונת המחוקק:</w:t>
      </w:r>
      <w:r w:rsidRPr="00EF230C">
        <w:rPr>
          <w:rFonts w:hint="cs"/>
          <w:sz w:val="24"/>
          <w:rtl/>
        </w:rPr>
        <w:t> </w:t>
      </w:r>
      <w:r w:rsidRPr="00EF230C">
        <w:rPr>
          <w:rFonts w:hint="cs"/>
          <w:color w:val="000000"/>
          <w:sz w:val="24"/>
          <w:rtl/>
        </w:rPr>
        <w:t>ראשית, ניכר כי תכליתו העיקרית של המחוקק בהכנסת מנגנון העיצום הכספי לחוקים שונים, לרבות חוק הביטוח וחוק הייעוץ שלפנינו, הייתה יצירת</w:t>
      </w:r>
      <w:r w:rsidRPr="00EF230C">
        <w:rPr>
          <w:rFonts w:hint="cs"/>
          <w:sz w:val="24"/>
          <w:rtl/>
        </w:rPr>
        <w:t> </w:t>
      </w:r>
      <w:r w:rsidRPr="00EF230C">
        <w:rPr>
          <w:rFonts w:hint="cs"/>
          <w:color w:val="000000"/>
          <w:sz w:val="24"/>
          <w:rtl/>
        </w:rPr>
        <w:t>חלופה להליך הפלילי</w:t>
      </w:r>
      <w:r w:rsidRPr="00EF230C">
        <w:rPr>
          <w:rFonts w:hint="cs"/>
          <w:sz w:val="24"/>
          <w:rtl/>
        </w:rPr>
        <w:t> </w:t>
      </w:r>
      <w:r w:rsidRPr="00EF230C">
        <w:rPr>
          <w:rFonts w:hint="cs"/>
          <w:color w:val="000000"/>
          <w:sz w:val="24"/>
          <w:rtl/>
        </w:rPr>
        <w:t>הקיים בחוקים השונים ולא</w:t>
      </w:r>
      <w:r w:rsidRPr="00EF230C">
        <w:rPr>
          <w:rFonts w:hint="cs"/>
          <w:sz w:val="24"/>
          <w:rtl/>
        </w:rPr>
        <w:t> </w:t>
      </w:r>
      <w:r w:rsidRPr="00EF230C">
        <w:rPr>
          <w:rFonts w:hint="cs"/>
          <w:color w:val="000000"/>
          <w:sz w:val="24"/>
          <w:rtl/>
        </w:rPr>
        <w:t xml:space="preserve"> הרחבתו.</w:t>
      </w:r>
      <w:r>
        <w:rPr>
          <w:rFonts w:hint="cs"/>
          <w:color w:val="000000"/>
          <w:sz w:val="24"/>
          <w:rtl/>
        </w:rPr>
        <w:t>.........</w:t>
      </w:r>
    </w:p>
    <w:p w:rsidR="00660B2D" w:rsidRPr="00EF230C" w:rsidRDefault="00660B2D" w:rsidP="00EF230C">
      <w:pPr>
        <w:spacing w:line="240" w:lineRule="auto"/>
        <w:ind w:left="941" w:right="426"/>
        <w:rPr>
          <w:color w:val="000000"/>
          <w:sz w:val="24"/>
          <w:rtl/>
        </w:rPr>
      </w:pPr>
      <w:r w:rsidRPr="00EF230C">
        <w:rPr>
          <w:rFonts w:hint="cs"/>
          <w:color w:val="000000"/>
          <w:sz w:val="24"/>
          <w:rtl/>
        </w:rPr>
        <w:t>גם בית משפט זה נדרש לתכלית העומדת בבסיס העיצומים הכספיים ולשוני שבינם לבין ההליך הפלילי. כך נקבע:</w:t>
      </w:r>
    </w:p>
    <w:p w:rsidR="00660B2D" w:rsidRDefault="00660B2D" w:rsidP="00EF230C">
      <w:pPr>
        <w:spacing w:line="240" w:lineRule="auto"/>
        <w:ind w:left="941" w:right="426"/>
        <w:rPr>
          <w:sz w:val="24"/>
          <w:rtl/>
        </w:rPr>
      </w:pPr>
      <w:r w:rsidRPr="00EF230C">
        <w:rPr>
          <w:rFonts w:hint="cs"/>
          <w:color w:val="000000"/>
          <w:sz w:val="24"/>
          <w:rtl/>
        </w:rPr>
        <w:t>"פעמים רבות הוראת החוק שבגין הפרתה ניתן להטיל עיצום כספי מוגדרת גם כעבירה פלילית. עם זאת,</w:t>
      </w:r>
      <w:r w:rsidRPr="00EF230C">
        <w:rPr>
          <w:rFonts w:hint="cs"/>
          <w:sz w:val="24"/>
          <w:rtl/>
        </w:rPr>
        <w:t> </w:t>
      </w:r>
      <w:r w:rsidRPr="00EF230C">
        <w:rPr>
          <w:rFonts w:hint="cs"/>
          <w:color w:val="000000"/>
          <w:sz w:val="24"/>
          <w:rtl/>
        </w:rPr>
        <w:t>אין מניעה לקבוע בחוק סנקציה של הטלת עיצום כספי גם ביחס להפרת הוראת חוק שאינה עבירה פלילית כשלעצמה. בניגוד למנגנוני האכיפה של עבירת קנס או עבירה מינהלית, אין לפרט זכות להישפט בפלילים חלף תשלום העיצום שהוטל עליו. אם פרט מעוניין לתקוף את החלטת הרשות להטיל עליו עיצום כספי, עומדים לרשותו מנגנוני השגה מינהליים וכן אפשרות פנייה לבית המשפט המוסמך, כל זאת שלא במסגרת הליך פלילי. הטלת עיצום כספי על פרט בגין הפרת הוראת</w:t>
      </w:r>
      <w:r>
        <w:rPr>
          <w:rFonts w:hint="cs"/>
          <w:color w:val="000000"/>
          <w:sz w:val="24"/>
          <w:rtl/>
        </w:rPr>
        <w:t xml:space="preserve"> </w:t>
      </w:r>
      <w:r w:rsidRPr="00EF230C">
        <w:rPr>
          <w:rFonts w:hint="cs"/>
          <w:color w:val="000000"/>
          <w:sz w:val="24"/>
          <w:rtl/>
        </w:rPr>
        <w:t>חוק</w:t>
      </w:r>
      <w:r w:rsidRPr="00EF230C">
        <w:rPr>
          <w:rFonts w:hint="cs"/>
          <w:sz w:val="24"/>
          <w:rtl/>
        </w:rPr>
        <w:t> </w:t>
      </w:r>
      <w:r w:rsidRPr="00EF230C">
        <w:rPr>
          <w:rFonts w:hint="cs"/>
          <w:color w:val="000000"/>
          <w:sz w:val="24"/>
          <w:rtl/>
        </w:rPr>
        <w:t>אינה כרוכה אפוא בהרשעה פלילית, ולכן ממילא אינה מופיעה ברישום הפלילי (</w:t>
      </w:r>
      <w:hyperlink r:id="rId9" w:history="1">
        <w:r w:rsidRPr="00EF230C">
          <w:rPr>
            <w:rFonts w:hint="cs"/>
            <w:color w:val="000000"/>
            <w:sz w:val="24"/>
            <w:rtl/>
          </w:rPr>
          <w:t>רע"פ 3515/12</w:t>
        </w:r>
      </w:hyperlink>
      <w:r w:rsidRPr="00EF230C">
        <w:rPr>
          <w:rFonts w:hint="cs"/>
          <w:sz w:val="24"/>
          <w:rtl/>
        </w:rPr>
        <w:t> </w:t>
      </w:r>
      <w:r w:rsidRPr="00EF230C">
        <w:rPr>
          <w:rFonts w:hint="cs"/>
          <w:color w:val="000000"/>
          <w:sz w:val="24"/>
          <w:rtl/>
        </w:rPr>
        <w:t>מדינת ישראל נ' שבתאי,</w:t>
      </w:r>
      <w:r w:rsidRPr="00EF230C">
        <w:rPr>
          <w:rFonts w:hint="cs"/>
          <w:sz w:val="24"/>
          <w:rtl/>
        </w:rPr>
        <w:t> </w:t>
      </w:r>
      <w:r w:rsidRPr="00EF230C">
        <w:rPr>
          <w:rFonts w:hint="cs"/>
          <w:color w:val="000000"/>
          <w:sz w:val="24"/>
          <w:rtl/>
        </w:rPr>
        <w:t>[פורסם בנבו]</w:t>
      </w:r>
      <w:r w:rsidRPr="00EF230C">
        <w:rPr>
          <w:rFonts w:hint="cs"/>
          <w:sz w:val="24"/>
          <w:rtl/>
        </w:rPr>
        <w:t> </w:t>
      </w:r>
      <w:r w:rsidRPr="00EF230C">
        <w:rPr>
          <w:rFonts w:hint="cs"/>
          <w:color w:val="000000"/>
          <w:sz w:val="24"/>
          <w:rtl/>
        </w:rPr>
        <w:t>פסקה 28 לפסק דינו של השופט</w:t>
      </w:r>
      <w:r w:rsidRPr="00EF230C">
        <w:rPr>
          <w:rFonts w:hint="cs"/>
          <w:sz w:val="24"/>
          <w:rtl/>
        </w:rPr>
        <w:t> </w:t>
      </w:r>
      <w:r w:rsidRPr="00EF230C">
        <w:rPr>
          <w:rFonts w:hint="cs"/>
          <w:color w:val="000000"/>
          <w:sz w:val="24"/>
          <w:rtl/>
        </w:rPr>
        <w:t>פוגלמן (2013), ההדגשה במקור).</w:t>
      </w:r>
      <w:r>
        <w:rPr>
          <w:rFonts w:hint="cs"/>
          <w:color w:val="000000"/>
          <w:sz w:val="24"/>
          <w:rtl/>
        </w:rPr>
        <w:t>"</w:t>
      </w:r>
      <w:bookmarkStart w:id="45" w:name="_Ref476486796"/>
      <w:r>
        <w:rPr>
          <w:rStyle w:val="FootnoteReference"/>
          <w:sz w:val="24"/>
          <w:rtl/>
        </w:rPr>
        <w:footnoteReference w:id="60"/>
      </w:r>
      <w:bookmarkEnd w:id="45"/>
      <w:r w:rsidRPr="00EE41BE">
        <w:rPr>
          <w:rFonts w:hint="cs"/>
          <w:sz w:val="24"/>
          <w:rtl/>
        </w:rPr>
        <w:t xml:space="preserve"> </w:t>
      </w:r>
    </w:p>
    <w:p w:rsidR="00FD5EB5" w:rsidRDefault="00FD5EB5" w:rsidP="00FD5EB5">
      <w:pPr>
        <w:rPr>
          <w:sz w:val="24"/>
          <w:rtl/>
        </w:rPr>
      </w:pPr>
      <w:r>
        <w:rPr>
          <w:rFonts w:hint="cs"/>
          <w:sz w:val="24"/>
          <w:rtl/>
        </w:rPr>
        <w:t>גם בכל הנוגע לרף הראייתי, בתי המשפט הבהירו, כי  החלטה על הטלת עיצום כספי צריכה להתבסס על ראיות העומדות ברף המנהלי:</w:t>
      </w:r>
    </w:p>
    <w:p w:rsidR="00FD5EB5" w:rsidRPr="0090558F" w:rsidRDefault="00FD5EB5" w:rsidP="0090558F">
      <w:pPr>
        <w:spacing w:line="240" w:lineRule="auto"/>
        <w:ind w:left="941" w:right="426"/>
        <w:rPr>
          <w:rtl/>
        </w:rPr>
      </w:pPr>
      <w:r>
        <w:rPr>
          <w:rFonts w:hint="cs"/>
          <w:rtl/>
        </w:rPr>
        <w:t>"</w:t>
      </w:r>
      <w:r w:rsidRPr="0090558F">
        <w:rPr>
          <w:rtl/>
        </w:rPr>
        <w:t xml:space="preserve">כך נפסק גם כי גם בסנקציות אזרחיות עונשיות הרף הראייתי הנדרש הינו הרף המינהלי הרגיל, וכי אין מדובר בהליך שבו יש למפר זכות טיעון מלאה ואפשרות להביא עדויות וראיות (בש"א (חיפה) 10598/07 וולך מטאלס בע"מ נ' מנהל מס ערך מוסף ומס קנייה בע"מ </w:t>
      </w:r>
      <w:r w:rsidRPr="0027679B">
        <w:rPr>
          <w:rtl/>
        </w:rPr>
        <w:t xml:space="preserve">[פורסם בנבו] </w:t>
      </w:r>
      <w:r w:rsidRPr="0090558F">
        <w:rPr>
          <w:rtl/>
        </w:rPr>
        <w:t>(3.3.2008)). בהליכים אלו קבעו בתי המשפט כי על אף ההיבט העונשי הכרוך בה, כל אמירה אחרת למעשה תעקר את הסנקציה האזרחית מתוכן ומהתכלית שנקבעה לה לשיפור האכיפה כתחליף להליך הפלילי.</w:t>
      </w:r>
      <w:r>
        <w:rPr>
          <w:rFonts w:hint="cs"/>
          <w:rtl/>
        </w:rPr>
        <w:t>"</w:t>
      </w:r>
      <w:r>
        <w:rPr>
          <w:rStyle w:val="FootnoteReference"/>
          <w:rtl/>
        </w:rPr>
        <w:footnoteReference w:id="61"/>
      </w:r>
      <w:r w:rsidRPr="0090558F">
        <w:rPr>
          <w:rtl/>
        </w:rPr>
        <w:t xml:space="preserve"> </w:t>
      </w:r>
    </w:p>
    <w:p w:rsidR="00660B2D" w:rsidRPr="00EE41BE" w:rsidRDefault="00FF39DE" w:rsidP="00C63065">
      <w:pPr>
        <w:rPr>
          <w:sz w:val="24"/>
          <w:rtl/>
        </w:rPr>
      </w:pPr>
      <w:r>
        <w:rPr>
          <w:rFonts w:hint="cs"/>
          <w:sz w:val="24"/>
          <w:rtl/>
        </w:rPr>
        <w:t xml:space="preserve">גישה זו עולה בקנה אחד עם </w:t>
      </w:r>
      <w:r w:rsidR="00660B2D" w:rsidRPr="00EE41BE">
        <w:rPr>
          <w:rFonts w:hint="cs"/>
          <w:sz w:val="24"/>
          <w:rtl/>
        </w:rPr>
        <w:t xml:space="preserve">מטרות </w:t>
      </w:r>
      <w:r>
        <w:rPr>
          <w:rFonts w:hint="cs"/>
          <w:sz w:val="24"/>
          <w:rtl/>
        </w:rPr>
        <w:t xml:space="preserve">הליך </w:t>
      </w:r>
      <w:r w:rsidR="00660B2D" w:rsidRPr="00EE41BE">
        <w:rPr>
          <w:rFonts w:hint="cs"/>
          <w:sz w:val="24"/>
          <w:rtl/>
        </w:rPr>
        <w:t>העיצום הכספי</w:t>
      </w:r>
      <w:r w:rsidR="00C63065">
        <w:rPr>
          <w:rFonts w:hint="cs"/>
          <w:sz w:val="24"/>
          <w:rtl/>
        </w:rPr>
        <w:t xml:space="preserve"> בחוק ההגבלים העסקיים</w:t>
      </w:r>
      <w:r>
        <w:rPr>
          <w:rFonts w:hint="cs"/>
          <w:sz w:val="24"/>
          <w:rtl/>
        </w:rPr>
        <w:t>. כפי שעולה מ</w:t>
      </w:r>
      <w:r w:rsidRPr="00EE41BE">
        <w:rPr>
          <w:rFonts w:hint="cs"/>
          <w:sz w:val="24"/>
          <w:rtl/>
        </w:rPr>
        <w:t>דברי ההסבר לתיקון לחוק ה</w:t>
      </w:r>
      <w:r>
        <w:rPr>
          <w:rFonts w:hint="cs"/>
          <w:sz w:val="24"/>
          <w:rtl/>
        </w:rPr>
        <w:t>הגבלים העסקיים (תיקון מס' 14) (עיצומים כספיים), התשע"ב-2011 הליך העיצום הכספי נועד</w:t>
      </w:r>
      <w:r w:rsidR="00660B2D" w:rsidRPr="00EE41BE">
        <w:rPr>
          <w:rFonts w:hint="cs"/>
          <w:sz w:val="24"/>
          <w:rtl/>
        </w:rPr>
        <w:t xml:space="preserve"> לאפשר מתן מענה אפקטיבי, מהיר ויעיל </w:t>
      </w:r>
      <w:r w:rsidR="00C63065">
        <w:rPr>
          <w:rFonts w:hint="cs"/>
          <w:sz w:val="24"/>
          <w:rtl/>
        </w:rPr>
        <w:t>להפרות החוק</w:t>
      </w:r>
      <w:r w:rsidR="00660B2D" w:rsidRPr="00EE41BE">
        <w:rPr>
          <w:rFonts w:hint="cs"/>
          <w:sz w:val="24"/>
          <w:rtl/>
        </w:rPr>
        <w:t xml:space="preserve">: </w:t>
      </w:r>
    </w:p>
    <w:p w:rsidR="00660B2D" w:rsidRPr="00EE41BE" w:rsidRDefault="00660B2D" w:rsidP="00FF39DE">
      <w:pPr>
        <w:spacing w:line="240" w:lineRule="auto"/>
        <w:ind w:left="941" w:right="426"/>
        <w:rPr>
          <w:rtl/>
        </w:rPr>
      </w:pPr>
      <w:r w:rsidRPr="00EE41BE">
        <w:rPr>
          <w:rFonts w:hint="cs"/>
          <w:rtl/>
        </w:rPr>
        <w:t>"</w:t>
      </w:r>
      <w:r w:rsidR="00C63065">
        <w:rPr>
          <w:rtl/>
        </w:rPr>
        <w:t>אכיפה באמצעות עיצומים כספיים הפכה בעשור האחרון לרווחת בחקיקה הישראלית, ובמיוחד בחוקים העוסקים בתחומים כלכליים. העיצום הכספי הוא אמצעי אכיפה רגולטורי יעיל ומהיר, המוטל על ידי הרשות המינהלית ומטרתו להביא להגברת הציות של ציבור המפוקחים</w:t>
      </w:r>
      <w:r w:rsidR="00C63065">
        <w:rPr>
          <w:rFonts w:hint="cs"/>
          <w:rtl/>
        </w:rPr>
        <w:t xml:space="preserve">. </w:t>
      </w:r>
      <w:r w:rsidR="000F7BAD">
        <w:rPr>
          <w:rFonts w:hint="cs"/>
          <w:rtl/>
        </w:rPr>
        <w:t>ל</w:t>
      </w:r>
      <w:r w:rsidRPr="00EE41BE">
        <w:rPr>
          <w:rFonts w:hint="cs"/>
          <w:rtl/>
        </w:rPr>
        <w:t>נוכח</w:t>
      </w:r>
      <w:r w:rsidRPr="00EE41BE">
        <w:rPr>
          <w:rtl/>
        </w:rPr>
        <w:t xml:space="preserve"> </w:t>
      </w:r>
      <w:r w:rsidRPr="00EE41BE">
        <w:rPr>
          <w:rFonts w:hint="cs"/>
          <w:rtl/>
        </w:rPr>
        <w:t>העובדה</w:t>
      </w:r>
      <w:r w:rsidRPr="00EE41BE">
        <w:rPr>
          <w:rtl/>
        </w:rPr>
        <w:t xml:space="preserve"> </w:t>
      </w:r>
      <w:r w:rsidRPr="00EE41BE">
        <w:rPr>
          <w:rFonts w:hint="cs"/>
          <w:rtl/>
        </w:rPr>
        <w:t>שמדובר</w:t>
      </w:r>
      <w:r w:rsidRPr="00EE41BE">
        <w:rPr>
          <w:rtl/>
        </w:rPr>
        <w:t xml:space="preserve"> </w:t>
      </w:r>
      <w:r w:rsidRPr="00EE41BE">
        <w:rPr>
          <w:rFonts w:hint="cs"/>
          <w:rtl/>
        </w:rPr>
        <w:t>בהליך</w:t>
      </w:r>
      <w:r w:rsidRPr="00EE41BE">
        <w:rPr>
          <w:rtl/>
        </w:rPr>
        <w:t xml:space="preserve"> </w:t>
      </w:r>
      <w:r w:rsidRPr="00EE41BE">
        <w:rPr>
          <w:rFonts w:hint="cs"/>
          <w:rtl/>
        </w:rPr>
        <w:t>מנהלי</w:t>
      </w:r>
      <w:r w:rsidRPr="00EE41BE">
        <w:rPr>
          <w:rtl/>
        </w:rPr>
        <w:t xml:space="preserve">, </w:t>
      </w:r>
      <w:r w:rsidRPr="00EE41BE">
        <w:rPr>
          <w:rFonts w:hint="cs"/>
          <w:rtl/>
        </w:rPr>
        <w:t>עשויה יעילותו</w:t>
      </w:r>
      <w:r w:rsidRPr="00EE41BE">
        <w:rPr>
          <w:rtl/>
        </w:rPr>
        <w:t xml:space="preserve"> </w:t>
      </w:r>
      <w:r w:rsidRPr="00EE41BE">
        <w:rPr>
          <w:rFonts w:hint="cs"/>
          <w:rtl/>
        </w:rPr>
        <w:t>ומהירותו</w:t>
      </w:r>
      <w:r w:rsidRPr="00EE41BE">
        <w:rPr>
          <w:rtl/>
        </w:rPr>
        <w:t xml:space="preserve"> </w:t>
      </w:r>
      <w:r w:rsidRPr="00EE41BE">
        <w:rPr>
          <w:rFonts w:hint="cs"/>
          <w:rtl/>
        </w:rPr>
        <w:t>לשמש</w:t>
      </w:r>
      <w:r w:rsidRPr="00EE41BE">
        <w:rPr>
          <w:rtl/>
        </w:rPr>
        <w:t xml:space="preserve"> </w:t>
      </w:r>
      <w:r w:rsidRPr="00EE41BE">
        <w:rPr>
          <w:rFonts w:hint="cs"/>
          <w:rtl/>
        </w:rPr>
        <w:t>גורם</w:t>
      </w:r>
      <w:r w:rsidRPr="00EE41BE">
        <w:rPr>
          <w:rtl/>
        </w:rPr>
        <w:t xml:space="preserve"> </w:t>
      </w:r>
      <w:r w:rsidRPr="00EE41BE">
        <w:rPr>
          <w:rFonts w:hint="cs"/>
          <w:rtl/>
        </w:rPr>
        <w:t>מרתיע</w:t>
      </w:r>
      <w:r w:rsidRPr="00EE41BE">
        <w:rPr>
          <w:rtl/>
        </w:rPr>
        <w:t xml:space="preserve"> </w:t>
      </w:r>
      <w:r w:rsidRPr="00EE41BE">
        <w:rPr>
          <w:rFonts w:hint="cs"/>
          <w:rtl/>
        </w:rPr>
        <w:t>ולהביא</w:t>
      </w:r>
      <w:r w:rsidRPr="00EE41BE">
        <w:rPr>
          <w:rtl/>
        </w:rPr>
        <w:t xml:space="preserve"> </w:t>
      </w:r>
      <w:r w:rsidRPr="00EE41BE">
        <w:rPr>
          <w:rFonts w:hint="cs"/>
          <w:rtl/>
        </w:rPr>
        <w:t>להקטנת השכיחות</w:t>
      </w:r>
      <w:r w:rsidRPr="00EE41BE">
        <w:rPr>
          <w:rtl/>
        </w:rPr>
        <w:t xml:space="preserve"> </w:t>
      </w:r>
      <w:r w:rsidRPr="00EE41BE">
        <w:rPr>
          <w:rFonts w:hint="cs"/>
          <w:rtl/>
        </w:rPr>
        <w:t>של</w:t>
      </w:r>
      <w:r w:rsidRPr="00EE41BE">
        <w:rPr>
          <w:rtl/>
        </w:rPr>
        <w:t xml:space="preserve"> </w:t>
      </w:r>
      <w:r w:rsidRPr="00EE41BE">
        <w:rPr>
          <w:rFonts w:hint="cs"/>
          <w:rtl/>
        </w:rPr>
        <w:t>הפרת</w:t>
      </w:r>
      <w:r w:rsidRPr="00EE41BE">
        <w:rPr>
          <w:rtl/>
        </w:rPr>
        <w:t xml:space="preserve"> </w:t>
      </w:r>
      <w:r w:rsidRPr="00EE41BE">
        <w:rPr>
          <w:rFonts w:hint="cs"/>
          <w:rtl/>
        </w:rPr>
        <w:t>החובות</w:t>
      </w:r>
      <w:r w:rsidRPr="00EE41BE">
        <w:rPr>
          <w:rtl/>
        </w:rPr>
        <w:t xml:space="preserve"> </w:t>
      </w:r>
      <w:r w:rsidRPr="00EE41BE">
        <w:rPr>
          <w:rFonts w:hint="cs"/>
          <w:rtl/>
        </w:rPr>
        <w:t>שבגינן</w:t>
      </w:r>
      <w:r w:rsidRPr="00EE41BE">
        <w:rPr>
          <w:rtl/>
        </w:rPr>
        <w:t xml:space="preserve"> </w:t>
      </w:r>
      <w:r w:rsidRPr="00EE41BE">
        <w:rPr>
          <w:rFonts w:hint="cs"/>
          <w:rtl/>
        </w:rPr>
        <w:t>ניתן</w:t>
      </w:r>
      <w:r w:rsidRPr="00EE41BE">
        <w:rPr>
          <w:rtl/>
        </w:rPr>
        <w:t xml:space="preserve"> </w:t>
      </w:r>
      <w:r w:rsidRPr="00EE41BE">
        <w:rPr>
          <w:rFonts w:hint="cs"/>
          <w:rtl/>
        </w:rPr>
        <w:t>להטילו.</w:t>
      </w:r>
      <w:r w:rsidRPr="00EE41BE">
        <w:rPr>
          <w:rtl/>
        </w:rPr>
        <w:t xml:space="preserve"> </w:t>
      </w:r>
      <w:r w:rsidRPr="00EE41BE">
        <w:rPr>
          <w:rFonts w:hint="cs"/>
          <w:rtl/>
        </w:rPr>
        <w:t>הטלת העיצום</w:t>
      </w:r>
      <w:r w:rsidRPr="00EE41BE">
        <w:rPr>
          <w:rtl/>
        </w:rPr>
        <w:t xml:space="preserve"> </w:t>
      </w:r>
      <w:r w:rsidRPr="00EE41BE">
        <w:rPr>
          <w:rFonts w:hint="cs"/>
          <w:rtl/>
        </w:rPr>
        <w:t>הכספי</w:t>
      </w:r>
      <w:r w:rsidRPr="00EE41BE">
        <w:rPr>
          <w:rtl/>
        </w:rPr>
        <w:t xml:space="preserve"> </w:t>
      </w:r>
      <w:r w:rsidRPr="00EE41BE">
        <w:rPr>
          <w:rFonts w:hint="cs"/>
          <w:rtl/>
        </w:rPr>
        <w:t>נבדלת</w:t>
      </w:r>
      <w:r w:rsidRPr="00EE41BE">
        <w:rPr>
          <w:rtl/>
        </w:rPr>
        <w:t xml:space="preserve"> </w:t>
      </w:r>
      <w:r w:rsidRPr="00EE41BE">
        <w:rPr>
          <w:rFonts w:hint="cs"/>
          <w:rtl/>
        </w:rPr>
        <w:t>מהטלת</w:t>
      </w:r>
      <w:r w:rsidRPr="00EE41BE">
        <w:rPr>
          <w:rtl/>
        </w:rPr>
        <w:t xml:space="preserve"> </w:t>
      </w:r>
      <w:r w:rsidRPr="00EE41BE">
        <w:rPr>
          <w:rFonts w:hint="cs"/>
          <w:rtl/>
        </w:rPr>
        <w:t>סנקציה</w:t>
      </w:r>
      <w:r w:rsidRPr="00EE41BE">
        <w:rPr>
          <w:rtl/>
        </w:rPr>
        <w:t xml:space="preserve"> </w:t>
      </w:r>
      <w:r w:rsidRPr="00EE41BE">
        <w:rPr>
          <w:rFonts w:hint="cs"/>
          <w:rtl/>
        </w:rPr>
        <w:t>פלילית</w:t>
      </w:r>
      <w:r w:rsidRPr="00EE41BE">
        <w:rPr>
          <w:rtl/>
        </w:rPr>
        <w:t xml:space="preserve"> </w:t>
      </w:r>
      <w:r w:rsidRPr="00EE41BE">
        <w:rPr>
          <w:rFonts w:hint="cs"/>
          <w:rtl/>
        </w:rPr>
        <w:t>בכך</w:t>
      </w:r>
      <w:r w:rsidRPr="00EE41BE">
        <w:rPr>
          <w:rtl/>
        </w:rPr>
        <w:t xml:space="preserve"> </w:t>
      </w:r>
      <w:r w:rsidRPr="00EE41BE">
        <w:rPr>
          <w:rFonts w:hint="cs"/>
          <w:rtl/>
        </w:rPr>
        <w:t>שהיא אינה</w:t>
      </w:r>
      <w:r w:rsidRPr="00EE41BE">
        <w:rPr>
          <w:rtl/>
        </w:rPr>
        <w:t xml:space="preserve"> </w:t>
      </w:r>
      <w:r w:rsidRPr="00EE41BE">
        <w:rPr>
          <w:rFonts w:hint="cs"/>
          <w:rtl/>
        </w:rPr>
        <w:t>מלווה</w:t>
      </w:r>
      <w:r w:rsidRPr="00EE41BE">
        <w:rPr>
          <w:rtl/>
        </w:rPr>
        <w:t xml:space="preserve"> </w:t>
      </w:r>
      <w:r w:rsidRPr="00EE41BE">
        <w:rPr>
          <w:rFonts w:hint="cs"/>
          <w:rtl/>
        </w:rPr>
        <w:t>בקלון</w:t>
      </w:r>
      <w:r w:rsidRPr="00EE41BE">
        <w:rPr>
          <w:rtl/>
        </w:rPr>
        <w:t xml:space="preserve"> </w:t>
      </w:r>
      <w:r w:rsidRPr="00EE41BE">
        <w:rPr>
          <w:rFonts w:hint="cs"/>
          <w:rtl/>
        </w:rPr>
        <w:t>החברתי</w:t>
      </w:r>
      <w:r w:rsidRPr="00EE41BE">
        <w:rPr>
          <w:rtl/>
        </w:rPr>
        <w:t xml:space="preserve"> </w:t>
      </w:r>
      <w:r w:rsidRPr="00EE41BE">
        <w:rPr>
          <w:rFonts w:hint="cs"/>
          <w:rtl/>
        </w:rPr>
        <w:t>שכרוכה</w:t>
      </w:r>
      <w:r w:rsidRPr="00EE41BE">
        <w:rPr>
          <w:rtl/>
        </w:rPr>
        <w:t xml:space="preserve"> </w:t>
      </w:r>
      <w:r w:rsidRPr="00EE41BE">
        <w:rPr>
          <w:rFonts w:hint="cs"/>
          <w:rtl/>
        </w:rPr>
        <w:t>בו</w:t>
      </w:r>
      <w:r w:rsidRPr="00EE41BE">
        <w:rPr>
          <w:rtl/>
        </w:rPr>
        <w:t xml:space="preserve"> </w:t>
      </w:r>
      <w:r w:rsidRPr="00EE41BE">
        <w:rPr>
          <w:rFonts w:hint="cs"/>
          <w:rtl/>
        </w:rPr>
        <w:t>הרשעה</w:t>
      </w:r>
      <w:r w:rsidRPr="00EE41BE">
        <w:rPr>
          <w:rtl/>
        </w:rPr>
        <w:t xml:space="preserve"> </w:t>
      </w:r>
      <w:r w:rsidRPr="00EE41BE">
        <w:rPr>
          <w:rFonts w:hint="cs"/>
          <w:rtl/>
        </w:rPr>
        <w:t>בפלילים</w:t>
      </w:r>
      <w:r w:rsidRPr="00EE41BE">
        <w:rPr>
          <w:rtl/>
        </w:rPr>
        <w:t>,</w:t>
      </w:r>
      <w:r w:rsidRPr="00EE41BE">
        <w:rPr>
          <w:rFonts w:hint="cs"/>
          <w:rtl/>
        </w:rPr>
        <w:t xml:space="preserve"> והיא</w:t>
      </w:r>
      <w:r w:rsidRPr="00EE41BE">
        <w:rPr>
          <w:rtl/>
        </w:rPr>
        <w:t xml:space="preserve"> </w:t>
      </w:r>
      <w:r w:rsidRPr="00EE41BE">
        <w:rPr>
          <w:rFonts w:hint="cs"/>
          <w:rtl/>
        </w:rPr>
        <w:t>אף</w:t>
      </w:r>
      <w:r w:rsidRPr="00EE41BE">
        <w:rPr>
          <w:rtl/>
        </w:rPr>
        <w:t xml:space="preserve"> </w:t>
      </w:r>
      <w:r w:rsidRPr="00EE41BE">
        <w:rPr>
          <w:rFonts w:hint="cs"/>
          <w:rtl/>
        </w:rPr>
        <w:t>אינה</w:t>
      </w:r>
      <w:r w:rsidRPr="00EE41BE">
        <w:rPr>
          <w:rtl/>
        </w:rPr>
        <w:t xml:space="preserve"> </w:t>
      </w:r>
      <w:r w:rsidRPr="00EE41BE">
        <w:rPr>
          <w:rFonts w:hint="cs"/>
          <w:rtl/>
        </w:rPr>
        <w:t>גוררת</w:t>
      </w:r>
      <w:r w:rsidRPr="00EE41BE">
        <w:rPr>
          <w:rtl/>
        </w:rPr>
        <w:t xml:space="preserve"> </w:t>
      </w:r>
      <w:r w:rsidRPr="00EE41BE">
        <w:rPr>
          <w:rFonts w:hint="cs"/>
          <w:rtl/>
        </w:rPr>
        <w:t>אחריה</w:t>
      </w:r>
      <w:r w:rsidRPr="00EE41BE">
        <w:rPr>
          <w:rtl/>
        </w:rPr>
        <w:t xml:space="preserve"> </w:t>
      </w:r>
      <w:r w:rsidRPr="00EE41BE">
        <w:rPr>
          <w:rFonts w:hint="cs"/>
          <w:rtl/>
        </w:rPr>
        <w:t>רישום</w:t>
      </w:r>
      <w:r w:rsidRPr="00EE41BE">
        <w:rPr>
          <w:rtl/>
        </w:rPr>
        <w:t xml:space="preserve"> </w:t>
      </w:r>
      <w:r w:rsidRPr="00EE41BE">
        <w:rPr>
          <w:rFonts w:hint="cs"/>
          <w:rtl/>
        </w:rPr>
        <w:t>פלילי</w:t>
      </w:r>
      <w:r w:rsidRPr="00EE41BE">
        <w:rPr>
          <w:rtl/>
        </w:rPr>
        <w:t>.</w:t>
      </w:r>
      <w:r w:rsidRPr="00EE41BE">
        <w:rPr>
          <w:rFonts w:hint="cs"/>
          <w:rtl/>
        </w:rPr>
        <w:t>"</w:t>
      </w:r>
      <w:r w:rsidR="00C63065">
        <w:rPr>
          <w:rStyle w:val="FootnoteReference"/>
          <w:rtl/>
        </w:rPr>
        <w:footnoteReference w:id="62"/>
      </w:r>
    </w:p>
    <w:p w:rsidR="00660B2D" w:rsidRDefault="00660B2D" w:rsidP="001C0B04">
      <w:r>
        <w:rPr>
          <w:rFonts w:hint="cs"/>
          <w:rtl/>
        </w:rPr>
        <w:t>גם בית הדין להגבלים עסקיים התייחס לאופיו המנהלי של הליך הטלת עיצום כספי על, כאשר דן לראשונה בערר על החלטת הממונה להטיל עיצום כספי</w:t>
      </w:r>
      <w:r w:rsidR="001C0B04">
        <w:rPr>
          <w:rFonts w:hint="cs"/>
          <w:rtl/>
        </w:rPr>
        <w:t>:</w:t>
      </w:r>
      <w:r>
        <w:rPr>
          <w:rFonts w:hint="cs"/>
          <w:rtl/>
        </w:rPr>
        <w:t xml:space="preserve"> </w:t>
      </w:r>
    </w:p>
    <w:p w:rsidR="001C0B04" w:rsidRDefault="001C0B04" w:rsidP="00E520AE">
      <w:pPr>
        <w:spacing w:line="240" w:lineRule="auto"/>
        <w:ind w:left="941" w:right="426"/>
        <w:rPr>
          <w:sz w:val="24"/>
          <w:rtl/>
        </w:rPr>
      </w:pPr>
      <w:r>
        <w:rPr>
          <w:rFonts w:hint="cs"/>
          <w:sz w:val="24"/>
          <w:rtl/>
        </w:rPr>
        <w:lastRenderedPageBreak/>
        <w:t>"</w:t>
      </w:r>
      <w:r w:rsidRPr="00EF230C">
        <w:rPr>
          <w:rFonts w:hint="cs"/>
          <w:sz w:val="24"/>
          <w:rtl/>
        </w:rPr>
        <w:t>העיצום הכספי הינו, אם כן, מנגנון אכיפה חלופי עקב הפרת חוק, והוא מבטא, כמנגנונים חלופיים אחרים (כגון "עבירות קנס" ועבירות מנהליות), מגמה הולכת וגוברת להעביר את הטיפול בהפרות מסוימות של החוק מן ההליך הפלילי "הקלאסי" אל המישור המנהלי. מנגנוני אכיפה חלופיים אלה נוצרו מאחר שההליך הפלילי הוא הליך עתיר משאבים ומסורבל, ומאחר שהחקיקה המודרנית מכילה עבירות רבות שהן עבירות של</w:t>
      </w:r>
      <w:r w:rsidRPr="00EF230C">
        <w:rPr>
          <w:rFonts w:hint="cs"/>
          <w:sz w:val="24"/>
        </w:rPr>
        <w:t> </w:t>
      </w:r>
      <w:r w:rsidRPr="00EF230C">
        <w:rPr>
          <w:sz w:val="24"/>
        </w:rPr>
        <w:t>mala prohibita</w:t>
      </w:r>
      <w:r w:rsidRPr="00EF230C">
        <w:rPr>
          <w:rFonts w:hint="cs"/>
          <w:sz w:val="24"/>
        </w:rPr>
        <w:t xml:space="preserve">, </w:t>
      </w:r>
      <w:r w:rsidRPr="00EF230C">
        <w:rPr>
          <w:rFonts w:hint="cs"/>
          <w:sz w:val="24"/>
          <w:rtl/>
        </w:rPr>
        <w:t>עבירות אסדרתיות (רגולטוריות) שתכליתן לאכוף הסדרים מנהליים. בנוסף, במקרים רבים מתעוררת שאלת ההצדקה שבהכתמת אדם בכתם של עבריין פלילי מקום שמעשהו אינו נגוע באנטי-חברתיות מובהקת. המנגנון החלופי מאפשר בחירה באמצעי אכיפה מידתי והולם יותר. העיצום הכספי יכול שיוטל חלף נקיטת הליך פלילי, ויכול שיוטל בגין הפרת חוק שאינה מהווה כשלעצמה עבירה פלילית. בדומה לקנס "אזרחי", המדובר באמצעי אזרחי או מנהלי לאכיפת החוק</w:t>
      </w:r>
      <w:r w:rsidRPr="00EF230C">
        <w:rPr>
          <w:rFonts w:hint="cs"/>
          <w:sz w:val="24"/>
        </w:rPr>
        <w:t xml:space="preserve"> (</w:t>
      </w:r>
      <w:hyperlink r:id="rId10" w:history="1">
        <w:r w:rsidRPr="00692A34">
          <w:rPr>
            <w:rFonts w:hint="cs"/>
            <w:sz w:val="24"/>
            <w:rtl/>
          </w:rPr>
          <w:t>ר"ע 277/82 נירוסטה בע"מ נ' מדינת ישאטל, פ"ד לז</w:t>
        </w:r>
      </w:hyperlink>
      <w:r w:rsidR="00E520AE">
        <w:rPr>
          <w:rFonts w:hint="cs"/>
          <w:sz w:val="24"/>
          <w:rtl/>
        </w:rPr>
        <w:t>(1)826 (1983)</w:t>
      </w:r>
      <w:r>
        <w:rPr>
          <w:rFonts w:hint="cs"/>
          <w:sz w:val="24"/>
          <w:rtl/>
        </w:rPr>
        <w:t>."</w:t>
      </w:r>
      <w:r>
        <w:rPr>
          <w:rStyle w:val="FootnoteReference"/>
          <w:rtl/>
        </w:rPr>
        <w:footnoteReference w:id="63"/>
      </w:r>
    </w:p>
    <w:p w:rsidR="00EC3F32" w:rsidRDefault="00DC59E8" w:rsidP="00E80E73">
      <w:pPr>
        <w:rPr>
          <w:rtl/>
        </w:rPr>
      </w:pPr>
      <w:r>
        <w:rPr>
          <w:rFonts w:hint="cs"/>
          <w:rtl/>
        </w:rPr>
        <w:t xml:space="preserve">בהתאם לאופיו המנהלי של הליך העיצום הכספי, כך גם </w:t>
      </w:r>
      <w:r w:rsidR="00DC0DFA" w:rsidRPr="00CE5F75">
        <w:rPr>
          <w:rFonts w:hint="cs"/>
          <w:rtl/>
        </w:rPr>
        <w:t xml:space="preserve">איסוף התשתית הראייתית הדרושה לצורך </w:t>
      </w:r>
      <w:r w:rsidR="00DC0DFA">
        <w:rPr>
          <w:rFonts w:hint="cs"/>
          <w:rtl/>
        </w:rPr>
        <w:t xml:space="preserve">הטלת עיצומים כספיים לפי פרק ז'1 לחוק </w:t>
      </w:r>
      <w:r>
        <w:rPr>
          <w:rFonts w:hint="cs"/>
          <w:rtl/>
        </w:rPr>
        <w:t>נעשה בהתאם לסטנדרטים שנקבעו ב</w:t>
      </w:r>
      <w:r w:rsidR="00DC0DFA" w:rsidRPr="00CE5F75">
        <w:rPr>
          <w:rFonts w:hint="cs"/>
          <w:rtl/>
        </w:rPr>
        <w:t xml:space="preserve">הליך מנהלי, </w:t>
      </w:r>
      <w:r w:rsidR="00E80E73" w:rsidRPr="00CE5F75">
        <w:rPr>
          <w:rFonts w:hint="cs"/>
          <w:rtl/>
        </w:rPr>
        <w:t>ש</w:t>
      </w:r>
      <w:r w:rsidR="00E80E73">
        <w:rPr>
          <w:rFonts w:hint="cs"/>
          <w:rtl/>
        </w:rPr>
        <w:t>סדרי הדין</w:t>
      </w:r>
      <w:r w:rsidR="00E80E73" w:rsidRPr="00CE5F75">
        <w:rPr>
          <w:rFonts w:hint="cs"/>
          <w:rtl/>
        </w:rPr>
        <w:t xml:space="preserve"> </w:t>
      </w:r>
      <w:r w:rsidR="00DC0DFA" w:rsidRPr="00CE5F75">
        <w:rPr>
          <w:rFonts w:hint="cs"/>
          <w:rtl/>
        </w:rPr>
        <w:t>החלים עליו שונים</w:t>
      </w:r>
      <w:r w:rsidR="00E80E73">
        <w:rPr>
          <w:rFonts w:hint="cs"/>
          <w:rtl/>
        </w:rPr>
        <w:t xml:space="preserve"> מסדרי הדין הפלילי</w:t>
      </w:r>
      <w:r w:rsidR="00DC0DFA" w:rsidRPr="00CE5F75">
        <w:rPr>
          <w:rFonts w:hint="cs"/>
          <w:rtl/>
        </w:rPr>
        <w:t xml:space="preserve"> החלים על החלטה על הגשת כתב אישום. </w:t>
      </w:r>
    </w:p>
    <w:p w:rsidR="00CF6378" w:rsidRPr="00CF6378" w:rsidRDefault="00EC3F32" w:rsidP="003A09CF">
      <w:pPr>
        <w:rPr>
          <w:rtl/>
        </w:rPr>
      </w:pPr>
      <w:r>
        <w:rPr>
          <w:rFonts w:hint="cs"/>
          <w:rtl/>
        </w:rPr>
        <w:t xml:space="preserve">ככל </w:t>
      </w:r>
      <w:r w:rsidR="00944F93">
        <w:rPr>
          <w:rFonts w:hint="cs"/>
          <w:rtl/>
        </w:rPr>
        <w:t xml:space="preserve">החלטה </w:t>
      </w:r>
      <w:r w:rsidR="00BB5783">
        <w:rPr>
          <w:rFonts w:hint="cs"/>
          <w:rtl/>
        </w:rPr>
        <w:t xml:space="preserve">מינהלית </w:t>
      </w:r>
      <w:r>
        <w:rPr>
          <w:rFonts w:hint="cs"/>
          <w:rtl/>
        </w:rPr>
        <w:t xml:space="preserve">גם ההחלטה בדבר הטלת עיצום כספי </w:t>
      </w:r>
      <w:r w:rsidR="00BB5783">
        <w:rPr>
          <w:rFonts w:hint="cs"/>
          <w:rtl/>
        </w:rPr>
        <w:t xml:space="preserve">צריכה </w:t>
      </w:r>
      <w:r w:rsidR="00BB5783" w:rsidRPr="00191985">
        <w:rPr>
          <w:rFonts w:hint="cs"/>
          <w:sz w:val="24"/>
          <w:rtl/>
        </w:rPr>
        <w:t>לעמוד</w:t>
      </w:r>
      <w:r w:rsidR="00BB5783">
        <w:rPr>
          <w:rFonts w:hint="cs"/>
          <w:rtl/>
        </w:rPr>
        <w:t xml:space="preserve"> במבחנים החלים על הפעלת סמכות מינהלית</w:t>
      </w:r>
      <w:r w:rsidR="00944F93">
        <w:rPr>
          <w:rFonts w:hint="cs"/>
          <w:color w:val="000000"/>
          <w:rtl/>
        </w:rPr>
        <w:t>.</w:t>
      </w:r>
      <w:r w:rsidR="00DC0DFA">
        <w:rPr>
          <w:rStyle w:val="FootnoteReference"/>
          <w:color w:val="000000"/>
          <w:rtl/>
        </w:rPr>
        <w:footnoteReference w:id="64"/>
      </w:r>
      <w:r w:rsidR="00DC0DFA">
        <w:rPr>
          <w:rFonts w:hint="cs"/>
          <w:color w:val="000000"/>
          <w:rtl/>
        </w:rPr>
        <w:t xml:space="preserve"> </w:t>
      </w:r>
      <w:r w:rsidR="00BB5783">
        <w:rPr>
          <w:rFonts w:hint="cs"/>
          <w:rtl/>
        </w:rPr>
        <w:t xml:space="preserve">על פי ההלכה הפסוקה, החלטה מינהלית </w:t>
      </w:r>
      <w:r w:rsidR="00CC328D">
        <w:rPr>
          <w:rFonts w:hint="cs"/>
          <w:rtl/>
        </w:rPr>
        <w:t xml:space="preserve">צריכה להיות </w:t>
      </w:r>
      <w:r w:rsidR="00BB5783" w:rsidRPr="009A182C">
        <w:rPr>
          <w:rFonts w:hint="cs"/>
          <w:rtl/>
        </w:rPr>
        <w:t>מבוססת</w:t>
      </w:r>
      <w:r w:rsidR="00BB5783" w:rsidRPr="009A182C">
        <w:rPr>
          <w:rtl/>
        </w:rPr>
        <w:t xml:space="preserve"> </w:t>
      </w:r>
      <w:r w:rsidR="00BB5783" w:rsidRPr="009A182C">
        <w:rPr>
          <w:rFonts w:hint="cs"/>
          <w:rtl/>
        </w:rPr>
        <w:t>על</w:t>
      </w:r>
      <w:r w:rsidR="00BB5783" w:rsidRPr="009A182C">
        <w:rPr>
          <w:rtl/>
        </w:rPr>
        <w:t xml:space="preserve"> </w:t>
      </w:r>
      <w:r w:rsidR="00BB5783" w:rsidRPr="009A182C">
        <w:rPr>
          <w:rFonts w:hint="cs"/>
          <w:rtl/>
        </w:rPr>
        <w:t>תשתית</w:t>
      </w:r>
      <w:r w:rsidR="00BB5783" w:rsidRPr="009A182C">
        <w:rPr>
          <w:rtl/>
        </w:rPr>
        <w:t xml:space="preserve"> </w:t>
      </w:r>
      <w:r w:rsidR="00BB5783">
        <w:rPr>
          <w:rFonts w:hint="cs"/>
          <w:rtl/>
        </w:rPr>
        <w:t xml:space="preserve">ראויה </w:t>
      </w:r>
      <w:r w:rsidR="00BB5783" w:rsidRPr="009A182C">
        <w:rPr>
          <w:rFonts w:hint="cs"/>
          <w:rtl/>
        </w:rPr>
        <w:t>של</w:t>
      </w:r>
      <w:r w:rsidR="00BB5783" w:rsidRPr="009A182C">
        <w:rPr>
          <w:rtl/>
        </w:rPr>
        <w:t xml:space="preserve"> </w:t>
      </w:r>
      <w:r w:rsidR="00BB5783" w:rsidRPr="009A182C">
        <w:rPr>
          <w:rFonts w:hint="cs"/>
          <w:rtl/>
        </w:rPr>
        <w:t>עובדות</w:t>
      </w:r>
      <w:r w:rsidR="00BB5783" w:rsidRPr="001636BB">
        <w:rPr>
          <w:rFonts w:hint="cs"/>
          <w:rtl/>
        </w:rPr>
        <w:t>.</w:t>
      </w:r>
      <w:r w:rsidR="00DC0DFA">
        <w:rPr>
          <w:rStyle w:val="FootnoteReference"/>
          <w:rtl/>
        </w:rPr>
        <w:footnoteReference w:id="65"/>
      </w:r>
      <w:r w:rsidR="00BB5783">
        <w:rPr>
          <w:rFonts w:hint="cs"/>
          <w:rtl/>
        </w:rPr>
        <w:t xml:space="preserve"> </w:t>
      </w:r>
      <w:r w:rsidR="005935E8" w:rsidRPr="005935E8">
        <w:rPr>
          <w:rFonts w:hint="cs"/>
          <w:rtl/>
        </w:rPr>
        <w:t xml:space="preserve">הליך קביעת התשתית העובדתית הנדרשת כבסיס להחלטה מינהלית </w:t>
      </w:r>
      <w:r w:rsidR="00B245F0" w:rsidRPr="005935E8">
        <w:rPr>
          <w:rFonts w:hint="cs"/>
          <w:rtl/>
        </w:rPr>
        <w:t xml:space="preserve">צריך לעמוד בארבעה מבחנים </w:t>
      </w:r>
      <w:r w:rsidR="00C83AB7">
        <w:rPr>
          <w:rFonts w:hint="cs"/>
          <w:rtl/>
        </w:rPr>
        <w:t>מינהליים</w:t>
      </w:r>
      <w:r w:rsidR="00DC0DFA">
        <w:rPr>
          <w:rFonts w:hint="cs"/>
          <w:rtl/>
        </w:rPr>
        <w:t>:</w:t>
      </w:r>
      <w:r w:rsidR="00DC0DFA">
        <w:rPr>
          <w:rStyle w:val="FootnoteReference"/>
          <w:rtl/>
        </w:rPr>
        <w:footnoteReference w:id="66"/>
      </w:r>
      <w:r w:rsidR="00C83AB7">
        <w:rPr>
          <w:rFonts w:hint="cs"/>
          <w:rtl/>
        </w:rPr>
        <w:t xml:space="preserve"> איסוף הנתונים יעשה באופן סביר</w:t>
      </w:r>
      <w:r w:rsidR="00CE5F75">
        <w:rPr>
          <w:rFonts w:hint="cs"/>
          <w:rtl/>
        </w:rPr>
        <w:t>;</w:t>
      </w:r>
      <w:r w:rsidR="00C83AB7">
        <w:rPr>
          <w:rFonts w:hint="cs"/>
          <w:rtl/>
        </w:rPr>
        <w:t xml:space="preserve"> הרשות תבחין בין</w:t>
      </w:r>
      <w:r w:rsidR="00BB5783" w:rsidRPr="00CF6378">
        <w:rPr>
          <w:rtl/>
        </w:rPr>
        <w:t xml:space="preserve"> </w:t>
      </w:r>
      <w:r w:rsidR="00BB5783" w:rsidRPr="00CF6378">
        <w:rPr>
          <w:rFonts w:hint="cs"/>
          <w:rtl/>
        </w:rPr>
        <w:t>נתונים</w:t>
      </w:r>
      <w:r w:rsidR="00BB5783" w:rsidRPr="00CF6378">
        <w:rPr>
          <w:rtl/>
        </w:rPr>
        <w:t xml:space="preserve"> </w:t>
      </w:r>
      <w:r w:rsidR="00BB5783" w:rsidRPr="00CF6378">
        <w:rPr>
          <w:rFonts w:hint="cs"/>
          <w:rtl/>
        </w:rPr>
        <w:t>השייכים</w:t>
      </w:r>
      <w:r w:rsidR="00BB5783" w:rsidRPr="00CF6378">
        <w:rPr>
          <w:rtl/>
        </w:rPr>
        <w:t xml:space="preserve"> </w:t>
      </w:r>
      <w:r w:rsidR="00BB5783" w:rsidRPr="00CF6378">
        <w:rPr>
          <w:rFonts w:hint="cs"/>
          <w:rtl/>
        </w:rPr>
        <w:t>לעניין</w:t>
      </w:r>
      <w:r w:rsidR="00BB5783" w:rsidRPr="00CF6378">
        <w:rPr>
          <w:rtl/>
        </w:rPr>
        <w:t xml:space="preserve"> </w:t>
      </w:r>
      <w:r w:rsidR="00BB5783" w:rsidRPr="00CF6378">
        <w:rPr>
          <w:rFonts w:hint="cs"/>
          <w:rtl/>
        </w:rPr>
        <w:t>לבין</w:t>
      </w:r>
      <w:r w:rsidR="00BB5783" w:rsidRPr="00CF6378">
        <w:rPr>
          <w:rtl/>
        </w:rPr>
        <w:t xml:space="preserve"> </w:t>
      </w:r>
      <w:r w:rsidR="00BB5783" w:rsidRPr="00CF6378">
        <w:rPr>
          <w:rFonts w:hint="cs"/>
          <w:rtl/>
        </w:rPr>
        <w:t>נתונים</w:t>
      </w:r>
      <w:r w:rsidR="00BB5783" w:rsidRPr="00CF6378">
        <w:rPr>
          <w:rtl/>
        </w:rPr>
        <w:t xml:space="preserve"> </w:t>
      </w:r>
      <w:r w:rsidR="00BB5783" w:rsidRPr="00CF6378">
        <w:rPr>
          <w:rFonts w:hint="cs"/>
          <w:rtl/>
        </w:rPr>
        <w:t>שאינם</w:t>
      </w:r>
      <w:r w:rsidR="00BB5783" w:rsidRPr="00CF6378">
        <w:rPr>
          <w:rtl/>
        </w:rPr>
        <w:t xml:space="preserve"> </w:t>
      </w:r>
      <w:r w:rsidR="00BB5783" w:rsidRPr="00CF6378">
        <w:rPr>
          <w:rFonts w:hint="cs"/>
          <w:rtl/>
        </w:rPr>
        <w:t>שייכים</w:t>
      </w:r>
      <w:r w:rsidR="00BB5783" w:rsidRPr="00CF6378">
        <w:rPr>
          <w:rtl/>
        </w:rPr>
        <w:t xml:space="preserve"> </w:t>
      </w:r>
      <w:r w:rsidR="00BB5783" w:rsidRPr="00CF6378">
        <w:rPr>
          <w:rFonts w:hint="cs"/>
          <w:rtl/>
        </w:rPr>
        <w:t>לעניין</w:t>
      </w:r>
      <w:r w:rsidR="00C83AB7" w:rsidRPr="00CF6378">
        <w:rPr>
          <w:rFonts w:hint="cs"/>
          <w:rtl/>
        </w:rPr>
        <w:t>; הראיות עליהן תסמוך יהיו ראיות</w:t>
      </w:r>
      <w:r w:rsidR="00C83AB7" w:rsidRPr="00CF6378">
        <w:rPr>
          <w:rtl/>
        </w:rPr>
        <w:t xml:space="preserve"> </w:t>
      </w:r>
      <w:r w:rsidR="00C83AB7" w:rsidRPr="00CF6378">
        <w:rPr>
          <w:rFonts w:hint="cs"/>
          <w:rtl/>
        </w:rPr>
        <w:t>שאדם</w:t>
      </w:r>
      <w:r w:rsidR="00C83AB7" w:rsidRPr="00CF6378">
        <w:rPr>
          <w:rtl/>
        </w:rPr>
        <w:t xml:space="preserve"> </w:t>
      </w:r>
      <w:r w:rsidR="00C83AB7" w:rsidRPr="00CF6378">
        <w:rPr>
          <w:rFonts w:hint="cs"/>
          <w:rtl/>
        </w:rPr>
        <w:t>סביר</w:t>
      </w:r>
      <w:r w:rsidR="00C83AB7" w:rsidRPr="00CF6378">
        <w:rPr>
          <w:rtl/>
        </w:rPr>
        <w:t xml:space="preserve"> </w:t>
      </w:r>
      <w:r w:rsidR="00C83AB7" w:rsidRPr="00CF6378">
        <w:rPr>
          <w:rFonts w:hint="cs"/>
          <w:rtl/>
        </w:rPr>
        <w:t>היה</w:t>
      </w:r>
      <w:r w:rsidR="00C83AB7" w:rsidRPr="00CF6378">
        <w:rPr>
          <w:rtl/>
        </w:rPr>
        <w:t xml:space="preserve"> </w:t>
      </w:r>
      <w:r w:rsidR="00C83AB7" w:rsidRPr="00CF6378">
        <w:rPr>
          <w:rFonts w:hint="cs"/>
          <w:rtl/>
        </w:rPr>
        <w:t>סומך</w:t>
      </w:r>
      <w:r w:rsidR="00C83AB7" w:rsidRPr="00CF6378">
        <w:rPr>
          <w:rtl/>
        </w:rPr>
        <w:t xml:space="preserve"> </w:t>
      </w:r>
      <w:r w:rsidR="00C83AB7" w:rsidRPr="00CF6378">
        <w:rPr>
          <w:rFonts w:hint="cs"/>
          <w:rtl/>
        </w:rPr>
        <w:t>עליהם</w:t>
      </w:r>
      <w:r w:rsidR="00C83AB7" w:rsidRPr="00CF6378">
        <w:rPr>
          <w:rtl/>
        </w:rPr>
        <w:t xml:space="preserve"> </w:t>
      </w:r>
      <w:r w:rsidR="00C83AB7" w:rsidRPr="00CF6378">
        <w:rPr>
          <w:rFonts w:hint="cs"/>
          <w:rtl/>
        </w:rPr>
        <w:t>לצורך</w:t>
      </w:r>
      <w:r w:rsidR="00C83AB7" w:rsidRPr="00CF6378">
        <w:rPr>
          <w:rtl/>
        </w:rPr>
        <w:t xml:space="preserve"> </w:t>
      </w:r>
      <w:r w:rsidR="00C83AB7" w:rsidRPr="00CF6378">
        <w:rPr>
          <w:rFonts w:hint="cs"/>
          <w:rtl/>
        </w:rPr>
        <w:t>קבלת</w:t>
      </w:r>
      <w:r w:rsidR="00C83AB7" w:rsidRPr="00CF6378">
        <w:rPr>
          <w:rtl/>
        </w:rPr>
        <w:t xml:space="preserve"> </w:t>
      </w:r>
      <w:r w:rsidR="00C83AB7" w:rsidRPr="00CF6378">
        <w:rPr>
          <w:rFonts w:hint="cs"/>
          <w:rtl/>
        </w:rPr>
        <w:t>ההחלטה</w:t>
      </w:r>
      <w:r w:rsidR="00C83AB7" w:rsidRPr="00CF6378">
        <w:rPr>
          <w:rtl/>
        </w:rPr>
        <w:t xml:space="preserve"> </w:t>
      </w:r>
      <w:r w:rsidR="00C83AB7" w:rsidRPr="00CF6378">
        <w:rPr>
          <w:rFonts w:hint="cs"/>
          <w:rtl/>
        </w:rPr>
        <w:t>הנדונה</w:t>
      </w:r>
      <w:r w:rsidR="00DC0DFA">
        <w:rPr>
          <w:rFonts w:hint="cs"/>
          <w:rtl/>
        </w:rPr>
        <w:t>;</w:t>
      </w:r>
      <w:r w:rsidR="00CF6378" w:rsidRPr="00CF6378">
        <w:rPr>
          <w:rFonts w:hint="cs"/>
          <w:rtl/>
        </w:rPr>
        <w:t xml:space="preserve"> והתשתית</w:t>
      </w:r>
      <w:r w:rsidR="00CF6378" w:rsidRPr="00CF6378">
        <w:rPr>
          <w:rtl/>
        </w:rPr>
        <w:t xml:space="preserve"> </w:t>
      </w:r>
      <w:r w:rsidR="00CE5F75">
        <w:rPr>
          <w:rFonts w:hint="cs"/>
          <w:rtl/>
        </w:rPr>
        <w:t>תהיה</w:t>
      </w:r>
      <w:r w:rsidR="00CF6378" w:rsidRPr="00CF6378">
        <w:rPr>
          <w:rtl/>
        </w:rPr>
        <w:t xml:space="preserve"> </w:t>
      </w:r>
      <w:r w:rsidR="00CF6378" w:rsidRPr="00CF6378">
        <w:rPr>
          <w:rFonts w:hint="cs"/>
          <w:rtl/>
        </w:rPr>
        <w:t>מוצקה</w:t>
      </w:r>
      <w:r w:rsidR="00CF6378" w:rsidRPr="00CF6378">
        <w:rPr>
          <w:rtl/>
        </w:rPr>
        <w:t xml:space="preserve"> </w:t>
      </w:r>
      <w:r w:rsidR="00CF6378" w:rsidRPr="00CF6378">
        <w:rPr>
          <w:rFonts w:hint="cs"/>
          <w:rtl/>
        </w:rPr>
        <w:t>במידה</w:t>
      </w:r>
      <w:r w:rsidR="00CF6378" w:rsidRPr="00CF6378">
        <w:rPr>
          <w:rtl/>
        </w:rPr>
        <w:t xml:space="preserve"> </w:t>
      </w:r>
      <w:r w:rsidR="00CF6378" w:rsidRPr="00CF6378">
        <w:rPr>
          <w:rFonts w:hint="cs"/>
          <w:rtl/>
        </w:rPr>
        <w:t>מספקת</w:t>
      </w:r>
      <w:r w:rsidR="00CF6378" w:rsidRPr="00CF6378">
        <w:rPr>
          <w:rtl/>
        </w:rPr>
        <w:t xml:space="preserve"> </w:t>
      </w:r>
      <w:r w:rsidR="00CF6378" w:rsidRPr="00CF6378">
        <w:rPr>
          <w:rFonts w:hint="cs"/>
          <w:rtl/>
        </w:rPr>
        <w:t>וסבירה כדי</w:t>
      </w:r>
      <w:r w:rsidR="00CF6378" w:rsidRPr="00CF6378">
        <w:rPr>
          <w:rtl/>
        </w:rPr>
        <w:t xml:space="preserve"> </w:t>
      </w:r>
      <w:r w:rsidR="00CF6378" w:rsidRPr="00CF6378">
        <w:rPr>
          <w:rFonts w:hint="cs"/>
          <w:rtl/>
        </w:rPr>
        <w:t>לתמוך</w:t>
      </w:r>
      <w:r w:rsidR="00CF6378" w:rsidRPr="00CF6378">
        <w:rPr>
          <w:rtl/>
        </w:rPr>
        <w:t xml:space="preserve"> </w:t>
      </w:r>
      <w:r w:rsidR="00CF6378" w:rsidRPr="00CF6378">
        <w:rPr>
          <w:rFonts w:hint="cs"/>
          <w:rtl/>
        </w:rPr>
        <w:t>בהחלטה</w:t>
      </w:r>
      <w:r w:rsidR="00DC0DFA">
        <w:rPr>
          <w:rFonts w:hint="cs"/>
          <w:rtl/>
        </w:rPr>
        <w:t>.</w:t>
      </w:r>
      <w:r w:rsidR="00CF6378" w:rsidRPr="00CF6378">
        <w:rPr>
          <w:rtl/>
        </w:rPr>
        <w:t xml:space="preserve"> </w:t>
      </w:r>
    </w:p>
    <w:p w:rsidR="00BB5783" w:rsidRDefault="00143CF5" w:rsidP="00DC0DFA">
      <w:pPr>
        <w:rPr>
          <w:rtl/>
        </w:rPr>
      </w:pPr>
      <w:r w:rsidRPr="00724DDC">
        <w:rPr>
          <w:rFonts w:hint="cs"/>
          <w:sz w:val="24"/>
          <w:rtl/>
        </w:rPr>
        <w:t>הרשות המינהלית</w:t>
      </w:r>
      <w:r>
        <w:rPr>
          <w:rFonts w:hint="cs"/>
          <w:rtl/>
        </w:rPr>
        <w:t xml:space="preserve"> </w:t>
      </w:r>
      <w:r w:rsidRPr="00724DDC">
        <w:rPr>
          <w:rFonts w:hint="cs"/>
          <w:sz w:val="24"/>
          <w:rtl/>
        </w:rPr>
        <w:t xml:space="preserve">אינה כפופה לדיני הראיות, </w:t>
      </w:r>
      <w:r>
        <w:rPr>
          <w:rFonts w:hint="cs"/>
          <w:sz w:val="24"/>
          <w:rtl/>
        </w:rPr>
        <w:t xml:space="preserve">וזאת על מנת לאפשר לה </w:t>
      </w:r>
      <w:r w:rsidRPr="00724DDC">
        <w:rPr>
          <w:rFonts w:hint="cs"/>
          <w:sz w:val="24"/>
          <w:rtl/>
        </w:rPr>
        <w:t xml:space="preserve">היעילות והמהירות </w:t>
      </w:r>
      <w:r w:rsidRPr="00191985">
        <w:rPr>
          <w:rFonts w:hint="cs"/>
          <w:rtl/>
        </w:rPr>
        <w:t>הנדרש</w:t>
      </w:r>
      <w:r w:rsidR="00944F93" w:rsidRPr="00191985">
        <w:rPr>
          <w:rFonts w:hint="cs"/>
          <w:rtl/>
        </w:rPr>
        <w:t>ו</w:t>
      </w:r>
      <w:r w:rsidRPr="00191985">
        <w:rPr>
          <w:rFonts w:hint="cs"/>
          <w:rtl/>
        </w:rPr>
        <w:t>ת</w:t>
      </w:r>
      <w:r w:rsidRPr="00724DDC">
        <w:rPr>
          <w:rFonts w:hint="cs"/>
          <w:sz w:val="24"/>
          <w:rtl/>
        </w:rPr>
        <w:t xml:space="preserve"> בקבלת החלטות מנהליות</w:t>
      </w:r>
      <w:r w:rsidRPr="00933E68">
        <w:rPr>
          <w:rFonts w:hint="cs"/>
          <w:rtl/>
        </w:rPr>
        <w:t>.</w:t>
      </w:r>
      <w:r w:rsidR="00DC0DFA">
        <w:rPr>
          <w:rStyle w:val="FootnoteReference"/>
          <w:rtl/>
        </w:rPr>
        <w:footnoteReference w:id="67"/>
      </w:r>
      <w:r w:rsidRPr="00DC057C">
        <w:rPr>
          <w:rFonts w:hint="cs"/>
          <w:sz w:val="24"/>
          <w:rtl/>
        </w:rPr>
        <w:t xml:space="preserve"> </w:t>
      </w:r>
      <w:r>
        <w:rPr>
          <w:rFonts w:hint="cs"/>
          <w:sz w:val="24"/>
          <w:rtl/>
        </w:rPr>
        <w:t>מבחן הראיה המינהלית מוותר על דרישות הסף של קבילות ולחילופין מתמקד בשאלה מה צריך להיות משקלן של הראיות על מנת שניתן יהיה לבסס עליהן החלטה.</w:t>
      </w:r>
      <w:r w:rsidR="00DC0DFA">
        <w:rPr>
          <w:rStyle w:val="FootnoteReference"/>
          <w:sz w:val="24"/>
          <w:rtl/>
        </w:rPr>
        <w:footnoteReference w:id="68"/>
      </w:r>
      <w:r w:rsidR="00C312D5">
        <w:rPr>
          <w:rFonts w:hint="cs"/>
          <w:rtl/>
        </w:rPr>
        <w:t xml:space="preserve"> </w:t>
      </w:r>
      <w:r w:rsidR="00CE5F75">
        <w:rPr>
          <w:rFonts w:hint="cs"/>
          <w:rtl/>
        </w:rPr>
        <w:t>כל עוד הרשות פועלת באופן סביר,</w:t>
      </w:r>
      <w:r w:rsidR="00BB5783" w:rsidRPr="00CE5F75">
        <w:rPr>
          <w:rFonts w:hint="cs"/>
          <w:rtl/>
        </w:rPr>
        <w:t xml:space="preserve"> ניתן לה שיקול דעת רחב באשר לסוג הנתונים שהרשות תאסוף, באיזה פירוט ועומק תברר את הנתונים</w:t>
      </w:r>
      <w:r w:rsidR="006B30DD">
        <w:rPr>
          <w:rFonts w:hint="cs"/>
          <w:rtl/>
        </w:rPr>
        <w:t xml:space="preserve"> כמו גם ביחס</w:t>
      </w:r>
      <w:r w:rsidR="00BB5783" w:rsidRPr="00CE5F75">
        <w:rPr>
          <w:rFonts w:hint="cs"/>
          <w:rtl/>
        </w:rPr>
        <w:t xml:space="preserve"> </w:t>
      </w:r>
      <w:r w:rsidR="006B30DD">
        <w:rPr>
          <w:rFonts w:hint="cs"/>
          <w:rtl/>
        </w:rPr>
        <w:t>ל</w:t>
      </w:r>
      <w:r w:rsidR="00BB5783" w:rsidRPr="00CE5F75">
        <w:rPr>
          <w:rFonts w:hint="cs"/>
          <w:rtl/>
        </w:rPr>
        <w:t xml:space="preserve">כמות </w:t>
      </w:r>
      <w:r w:rsidR="00CE5F75">
        <w:rPr>
          <w:rFonts w:hint="cs"/>
          <w:rtl/>
        </w:rPr>
        <w:t>המשאבים שת</w:t>
      </w:r>
      <w:r w:rsidR="00BB5783" w:rsidRPr="00CE5F75">
        <w:rPr>
          <w:rFonts w:hint="cs"/>
          <w:rtl/>
        </w:rPr>
        <w:t>קדיש לתהליך</w:t>
      </w:r>
      <w:r w:rsidR="00DC0DFA">
        <w:rPr>
          <w:rFonts w:hint="cs"/>
          <w:rtl/>
        </w:rPr>
        <w:t>.</w:t>
      </w:r>
      <w:r w:rsidR="00DC0DFA">
        <w:rPr>
          <w:rStyle w:val="FootnoteReference"/>
          <w:sz w:val="24"/>
          <w:rtl/>
        </w:rPr>
        <w:footnoteReference w:id="69"/>
      </w:r>
    </w:p>
    <w:p w:rsidR="00B379CB" w:rsidRDefault="00B379CB" w:rsidP="00B379CB">
      <w:pPr>
        <w:rPr>
          <w:rtl/>
        </w:rPr>
      </w:pPr>
      <w:r>
        <w:rPr>
          <w:rFonts w:hint="cs"/>
          <w:rtl/>
        </w:rPr>
        <w:t>הראיות שנאספו בהליך זה עומדות בדרישות המשפט המנהלי.</w:t>
      </w:r>
    </w:p>
    <w:p w:rsidR="00BB5783" w:rsidRDefault="00F30F34" w:rsidP="007F092D">
      <w:pPr>
        <w:rPr>
          <w:rtl/>
        </w:rPr>
      </w:pPr>
      <w:r>
        <w:rPr>
          <w:rFonts w:hint="cs"/>
          <w:rtl/>
        </w:rPr>
        <w:lastRenderedPageBreak/>
        <w:t>החלט</w:t>
      </w:r>
      <w:r w:rsidR="007F092D">
        <w:rPr>
          <w:rFonts w:hint="cs"/>
          <w:rtl/>
        </w:rPr>
        <w:t>ה</w:t>
      </w:r>
      <w:r>
        <w:rPr>
          <w:rFonts w:hint="cs"/>
          <w:rtl/>
        </w:rPr>
        <w:t xml:space="preserve"> </w:t>
      </w:r>
      <w:r w:rsidR="007F092D">
        <w:rPr>
          <w:rFonts w:hint="cs"/>
          <w:rtl/>
        </w:rPr>
        <w:t>זו</w:t>
      </w:r>
      <w:r>
        <w:rPr>
          <w:rFonts w:hint="cs"/>
          <w:rtl/>
        </w:rPr>
        <w:t xml:space="preserve"> מושתתת על תשתית עובדתית רחבה ומבוססת</w:t>
      </w:r>
      <w:r w:rsidR="007F092D">
        <w:rPr>
          <w:rFonts w:hint="cs"/>
          <w:rtl/>
        </w:rPr>
        <w:t xml:space="preserve"> ובכלל זה</w:t>
      </w:r>
      <w:r>
        <w:rPr>
          <w:rFonts w:hint="cs"/>
          <w:rtl/>
        </w:rPr>
        <w:t xml:space="preserve">, </w:t>
      </w:r>
      <w:r w:rsidR="007F092D">
        <w:rPr>
          <w:rFonts w:hint="cs"/>
          <w:rtl/>
        </w:rPr>
        <w:t xml:space="preserve">מסמכים פנימיים מזמן אמת של חברת החשמל ושיחות עם לקוחות. התשתית העובדתית </w:t>
      </w:r>
      <w:r w:rsidR="00AC5240">
        <w:rPr>
          <w:rFonts w:hint="cs"/>
          <w:rtl/>
        </w:rPr>
        <w:t xml:space="preserve">נאספה באופן ראוי וסביר, והיא </w:t>
      </w:r>
      <w:r>
        <w:rPr>
          <w:rFonts w:hint="cs"/>
          <w:rtl/>
        </w:rPr>
        <w:t>עומדת באמות המידה של הדין המנהלי.</w:t>
      </w:r>
    </w:p>
    <w:p w:rsidR="00860CA8" w:rsidRDefault="00860CA8" w:rsidP="00E80E73">
      <w:pPr>
        <w:rPr>
          <w:rtl/>
        </w:rPr>
      </w:pPr>
      <w:r>
        <w:rPr>
          <w:rFonts w:hint="cs"/>
          <w:rtl/>
        </w:rPr>
        <w:t xml:space="preserve">במאמר </w:t>
      </w:r>
      <w:r w:rsidR="00E80E73">
        <w:rPr>
          <w:rFonts w:hint="cs"/>
          <w:rtl/>
        </w:rPr>
        <w:t xml:space="preserve">מוסגר </w:t>
      </w:r>
      <w:r>
        <w:rPr>
          <w:rFonts w:hint="cs"/>
          <w:rtl/>
        </w:rPr>
        <w:t>יצוין כי בעקבות טענות המפרים</w:t>
      </w:r>
      <w:r w:rsidR="00E80E73">
        <w:rPr>
          <w:rFonts w:hint="cs"/>
          <w:rtl/>
        </w:rPr>
        <w:t>, בוצעו</w:t>
      </w:r>
      <w:r>
        <w:rPr>
          <w:rFonts w:hint="cs"/>
          <w:rtl/>
        </w:rPr>
        <w:t xml:space="preserve"> </w:t>
      </w:r>
      <w:r w:rsidR="00C42577">
        <w:rPr>
          <w:rFonts w:hint="cs"/>
          <w:rtl/>
        </w:rPr>
        <w:t>בדיקות נוספות</w:t>
      </w:r>
      <w:r>
        <w:rPr>
          <w:rFonts w:hint="cs"/>
          <w:rtl/>
        </w:rPr>
        <w:t xml:space="preserve"> שביססו והעמיקו את התשתית העובדתית עליה ניצבת ההחלטה. </w:t>
      </w:r>
    </w:p>
    <w:p w:rsidR="007B5144" w:rsidRDefault="006838DF" w:rsidP="006838DF">
      <w:pPr>
        <w:pStyle w:val="Heading2"/>
        <w:numPr>
          <w:ilvl w:val="0"/>
          <w:numId w:val="0"/>
        </w:numPr>
        <w:ind w:left="851"/>
        <w:jc w:val="left"/>
        <w:rPr>
          <w:rtl/>
        </w:rPr>
      </w:pPr>
      <w:bookmarkStart w:id="48" w:name="_Toc476497431"/>
      <w:r>
        <w:rPr>
          <w:rFonts w:hint="cs"/>
          <w:rtl/>
        </w:rPr>
        <w:t xml:space="preserve">ה.2. </w:t>
      </w:r>
      <w:r w:rsidR="007B5144">
        <w:rPr>
          <w:rFonts w:hint="cs"/>
          <w:rtl/>
        </w:rPr>
        <w:t xml:space="preserve">סמכות </w:t>
      </w:r>
      <w:r w:rsidR="007B5144" w:rsidRPr="006838DF">
        <w:rPr>
          <w:rFonts w:hint="cs"/>
          <w:rtl/>
        </w:rPr>
        <w:t>הממונה</w:t>
      </w:r>
      <w:r w:rsidR="007B5144">
        <w:rPr>
          <w:rFonts w:hint="cs"/>
          <w:rtl/>
        </w:rPr>
        <w:t xml:space="preserve"> להטיל עיצומים כספיים</w:t>
      </w:r>
      <w:bookmarkEnd w:id="48"/>
    </w:p>
    <w:p w:rsidR="00005532" w:rsidRDefault="006B30DD" w:rsidP="00C71E5A">
      <w:r>
        <w:rPr>
          <w:rFonts w:hint="cs"/>
          <w:rtl/>
        </w:rPr>
        <w:t>עוד</w:t>
      </w:r>
      <w:r w:rsidR="00F3722D">
        <w:rPr>
          <w:rFonts w:hint="cs"/>
          <w:rtl/>
        </w:rPr>
        <w:t xml:space="preserve"> תוקפים המפרים</w:t>
      </w:r>
      <w:r w:rsidR="00005532">
        <w:rPr>
          <w:rFonts w:hint="cs"/>
          <w:rtl/>
        </w:rPr>
        <w:t xml:space="preserve"> את סמכות הממונה להטיל עיצום כספי מכוח החוק בגין ניצול מעמד לרעה של מונופולין</w:t>
      </w:r>
      <w:r w:rsidR="00F3722D">
        <w:rPr>
          <w:rFonts w:hint="cs"/>
          <w:rtl/>
        </w:rPr>
        <w:t>. לטענתם, ה</w:t>
      </w:r>
      <w:r w:rsidR="00C71E5A">
        <w:rPr>
          <w:rFonts w:hint="cs"/>
          <w:rtl/>
        </w:rPr>
        <w:t>ודעת הממונה</w:t>
      </w:r>
      <w:r>
        <w:rPr>
          <w:rFonts w:hint="cs"/>
          <w:rtl/>
        </w:rPr>
        <w:t xml:space="preserve"> </w:t>
      </w:r>
      <w:r w:rsidR="00005532">
        <w:rPr>
          <w:rFonts w:hint="cs"/>
          <w:rtl/>
        </w:rPr>
        <w:t>בדבר סוג המעשים והמחדלים ברי עיצום כספי</w:t>
      </w:r>
      <w:r w:rsidR="00F3722D">
        <w:rPr>
          <w:rFonts w:hint="cs"/>
          <w:rtl/>
        </w:rPr>
        <w:t xml:space="preserve">, שנעשה בהתאם להוראות </w:t>
      </w:r>
      <w:r w:rsidR="00F3722D" w:rsidRPr="008D2CF7">
        <w:rPr>
          <w:rFonts w:hint="cs"/>
          <w:rtl/>
        </w:rPr>
        <w:t>סעיף 50ד(א)(3)</w:t>
      </w:r>
      <w:r w:rsidR="00F3722D">
        <w:rPr>
          <w:rFonts w:hint="cs"/>
          <w:rtl/>
        </w:rPr>
        <w:t xml:space="preserve"> אינו ברור דיו ולכן, מחייב הבהרה קונקרטית קודם שניתן יהיה להטיל עיצום כספי בגינם.</w:t>
      </w:r>
    </w:p>
    <w:p w:rsidR="00F3722D" w:rsidRDefault="00005532" w:rsidP="00191985">
      <w:pPr>
        <w:rPr>
          <w:rtl/>
        </w:rPr>
      </w:pPr>
      <w:r>
        <w:rPr>
          <w:rFonts w:hint="cs"/>
          <w:rtl/>
        </w:rPr>
        <w:t xml:space="preserve">אינני מקבל טענה זו. </w:t>
      </w:r>
    </w:p>
    <w:p w:rsidR="004702A4" w:rsidRDefault="00005532" w:rsidP="004702A4">
      <w:r w:rsidRPr="008D2CF7">
        <w:rPr>
          <w:rFonts w:hint="cs"/>
          <w:rtl/>
        </w:rPr>
        <w:t xml:space="preserve">הודעת הממונה ברשומות מונה רשימה של </w:t>
      </w:r>
      <w:r w:rsidRPr="008D2CF7">
        <w:rPr>
          <w:rFonts w:hint="cs"/>
          <w:b/>
          <w:bCs/>
          <w:rtl/>
        </w:rPr>
        <w:t>סוגי</w:t>
      </w:r>
      <w:r w:rsidRPr="008D2CF7">
        <w:rPr>
          <w:rFonts w:hint="cs"/>
          <w:rtl/>
        </w:rPr>
        <w:t xml:space="preserve"> מעשים ומחדלים שיהיו ברי עיצום כספי אם נעשו בניגוד לסעיפים 29, 29א לחוק</w:t>
      </w:r>
      <w:r w:rsidR="00F3722D">
        <w:rPr>
          <w:rFonts w:hint="cs"/>
          <w:rtl/>
        </w:rPr>
        <w:t>. זאת</w:t>
      </w:r>
      <w:r w:rsidRPr="008D2CF7">
        <w:rPr>
          <w:rFonts w:hint="cs"/>
          <w:rtl/>
        </w:rPr>
        <w:t xml:space="preserve">, כנדרש על פי </w:t>
      </w:r>
      <w:r w:rsidR="00F345F9">
        <w:rPr>
          <w:rFonts w:hint="cs"/>
          <w:rtl/>
        </w:rPr>
        <w:t xml:space="preserve">הסיפא של </w:t>
      </w:r>
      <w:r w:rsidRPr="008D2CF7">
        <w:rPr>
          <w:rFonts w:hint="cs"/>
          <w:rtl/>
        </w:rPr>
        <w:t xml:space="preserve">סעיף 50ד(א)(3): "ובלבד שהמעשה הוא מסוג המעשים שקבע לעניין זה הממונה, ברשומות". </w:t>
      </w:r>
      <w:r w:rsidR="004702A4" w:rsidRPr="006B2EA8">
        <w:rPr>
          <w:rFonts w:hint="cs"/>
          <w:rtl/>
        </w:rPr>
        <w:t>הפרקטיקות שפורטו בהודעה לרשומות מוכרות ומקובלות בפסיקה</w:t>
      </w:r>
      <w:r w:rsidR="004702A4">
        <w:rPr>
          <w:rFonts w:hint="cs"/>
          <w:rtl/>
        </w:rPr>
        <w:t xml:space="preserve"> ובספרות דיני ההגבלים העסקיים בארץ ובעולם. כפי שציינו לעיל, סעיף 29א לחוק מבוסס על ההפרות הקבועות בסעיף 102 לאמנת רומא, שגם הן ברות עיצום כספי.</w:t>
      </w:r>
      <w:r w:rsidR="004702A4">
        <w:rPr>
          <w:rStyle w:val="FootnoteReference"/>
          <w:rtl/>
        </w:rPr>
        <w:footnoteReference w:id="70"/>
      </w:r>
    </w:p>
    <w:p w:rsidR="00005532" w:rsidRPr="008D2CF7" w:rsidRDefault="00005532" w:rsidP="00D00F10">
      <w:r w:rsidRPr="008D2CF7">
        <w:rPr>
          <w:rFonts w:hint="cs"/>
          <w:rtl/>
        </w:rPr>
        <w:t xml:space="preserve">הודעת הממונה לא נדרשה להבהיר את אופן ניתוח המעשים ואת כל </w:t>
      </w:r>
      <w:r w:rsidR="00D00F10" w:rsidRPr="008D2CF7">
        <w:rPr>
          <w:rFonts w:hint="cs"/>
          <w:rtl/>
        </w:rPr>
        <w:t>המו</w:t>
      </w:r>
      <w:r w:rsidR="00D00F10">
        <w:rPr>
          <w:rFonts w:hint="cs"/>
          <w:rtl/>
        </w:rPr>
        <w:t>נח</w:t>
      </w:r>
      <w:r w:rsidR="00D00F10" w:rsidRPr="008D2CF7">
        <w:rPr>
          <w:rFonts w:hint="cs"/>
          <w:rtl/>
        </w:rPr>
        <w:t xml:space="preserve">ים </w:t>
      </w:r>
      <w:r w:rsidRPr="008D2CF7">
        <w:rPr>
          <w:rFonts w:hint="cs"/>
          <w:rtl/>
        </w:rPr>
        <w:t xml:space="preserve">המופיעים באיסורים השונים החלים על בעל מונופולין. </w:t>
      </w:r>
      <w:r>
        <w:rPr>
          <w:rFonts w:hint="cs"/>
          <w:rtl/>
        </w:rPr>
        <w:t xml:space="preserve">פירוט ברמה הנטענת על ידי </w:t>
      </w:r>
      <w:r w:rsidR="004702A4">
        <w:rPr>
          <w:rFonts w:hint="cs"/>
          <w:rtl/>
        </w:rPr>
        <w:t>המפרים</w:t>
      </w:r>
      <w:r>
        <w:rPr>
          <w:rFonts w:hint="cs"/>
          <w:rtl/>
        </w:rPr>
        <w:t xml:space="preserve"> </w:t>
      </w:r>
      <w:r w:rsidRPr="008D2CF7">
        <w:rPr>
          <w:rFonts w:hint="cs"/>
          <w:rtl/>
        </w:rPr>
        <w:t xml:space="preserve">אינו </w:t>
      </w:r>
      <w:r>
        <w:rPr>
          <w:rFonts w:hint="cs"/>
          <w:rtl/>
        </w:rPr>
        <w:t xml:space="preserve">נדרש </w:t>
      </w:r>
      <w:r w:rsidRPr="008D2CF7">
        <w:rPr>
          <w:rFonts w:hint="cs"/>
          <w:rtl/>
        </w:rPr>
        <w:t xml:space="preserve">ואף אינו </w:t>
      </w:r>
      <w:r>
        <w:rPr>
          <w:rFonts w:hint="cs"/>
          <w:rtl/>
        </w:rPr>
        <w:t>ראוי</w:t>
      </w:r>
      <w:r w:rsidRPr="008D2CF7">
        <w:rPr>
          <w:rFonts w:hint="cs"/>
          <w:rtl/>
        </w:rPr>
        <w:t>, שכן</w:t>
      </w:r>
      <w:r>
        <w:rPr>
          <w:rFonts w:hint="cs"/>
          <w:rtl/>
        </w:rPr>
        <w:t xml:space="preserve"> </w:t>
      </w:r>
      <w:r w:rsidRPr="008D2CF7">
        <w:rPr>
          <w:rFonts w:hint="cs"/>
          <w:rtl/>
        </w:rPr>
        <w:t>הוא עלול ל</w:t>
      </w:r>
      <w:r>
        <w:rPr>
          <w:rFonts w:hint="cs"/>
          <w:rtl/>
        </w:rPr>
        <w:t>אפשר</w:t>
      </w:r>
      <w:r w:rsidRPr="008D2CF7">
        <w:rPr>
          <w:rFonts w:hint="cs"/>
          <w:rtl/>
        </w:rPr>
        <w:t xml:space="preserve"> עקיפת האיסור באמצעות </w:t>
      </w:r>
      <w:r w:rsidR="00D00F10">
        <w:rPr>
          <w:rFonts w:hint="cs"/>
          <w:rtl/>
        </w:rPr>
        <w:t xml:space="preserve">נקיטת </w:t>
      </w:r>
      <w:r w:rsidRPr="008D2CF7">
        <w:rPr>
          <w:rFonts w:hint="cs"/>
          <w:rtl/>
        </w:rPr>
        <w:t>פרקטיקה אחרת שתוצאתה הכלכלית זהה, ולהרח</w:t>
      </w:r>
      <w:r w:rsidR="00D00F10">
        <w:rPr>
          <w:rFonts w:hint="cs"/>
          <w:rtl/>
        </w:rPr>
        <w:t>י</w:t>
      </w:r>
      <w:r w:rsidRPr="008D2CF7">
        <w:rPr>
          <w:rFonts w:hint="cs"/>
          <w:rtl/>
        </w:rPr>
        <w:t>ק הנורמות התחרותיות מההיגיון הכלכלי העומד בבסיסן</w:t>
      </w:r>
      <w:r w:rsidR="00A65AB7">
        <w:rPr>
          <w:rFonts w:hint="cs"/>
          <w:rtl/>
        </w:rPr>
        <w:t>.</w:t>
      </w:r>
      <w:r w:rsidR="00A65AB7">
        <w:rPr>
          <w:rStyle w:val="FootnoteReference"/>
          <w:rtl/>
        </w:rPr>
        <w:footnoteReference w:id="71"/>
      </w:r>
      <w:r w:rsidRPr="008D2CF7">
        <w:rPr>
          <w:rFonts w:hint="cs"/>
          <w:rtl/>
        </w:rPr>
        <w:t xml:space="preserve"> </w:t>
      </w:r>
    </w:p>
    <w:p w:rsidR="000D7AE2" w:rsidRDefault="000D7AE2" w:rsidP="000D7AE2">
      <w:pPr>
        <w:rPr>
          <w:rtl/>
        </w:rPr>
      </w:pPr>
      <w:r>
        <w:rPr>
          <w:rFonts w:hint="cs"/>
          <w:rtl/>
        </w:rPr>
        <w:t>הנה כי כן, דין טענה זו להדחות אף היא.</w:t>
      </w:r>
    </w:p>
    <w:p w:rsidR="00B67F0C" w:rsidRPr="001F0C3E" w:rsidRDefault="006838DF" w:rsidP="006838DF">
      <w:pPr>
        <w:pStyle w:val="Heading2"/>
        <w:numPr>
          <w:ilvl w:val="0"/>
          <w:numId w:val="0"/>
        </w:numPr>
        <w:ind w:left="851"/>
        <w:jc w:val="left"/>
        <w:rPr>
          <w:rtl/>
        </w:rPr>
      </w:pPr>
      <w:bookmarkStart w:id="49" w:name="_Toc476497432"/>
      <w:r>
        <w:rPr>
          <w:rFonts w:hint="cs"/>
          <w:rtl/>
        </w:rPr>
        <w:t xml:space="preserve">ה.3. </w:t>
      </w:r>
      <w:r w:rsidR="00B67F0C" w:rsidRPr="006838DF">
        <w:rPr>
          <w:rFonts w:hint="cs"/>
          <w:rtl/>
        </w:rPr>
        <w:t>הסתמכות</w:t>
      </w:r>
      <w:r w:rsidR="00B67F0C" w:rsidRPr="001F0C3E">
        <w:rPr>
          <w:rFonts w:hint="cs"/>
          <w:rtl/>
        </w:rPr>
        <w:t xml:space="preserve"> על יעוץ משפטי</w:t>
      </w:r>
      <w:bookmarkEnd w:id="49"/>
    </w:p>
    <w:p w:rsidR="00B67F0C" w:rsidRDefault="00B67F0C" w:rsidP="00B67F0C">
      <w:pPr>
        <w:rPr>
          <w:sz w:val="24"/>
          <w:rtl/>
        </w:rPr>
      </w:pPr>
      <w:r>
        <w:rPr>
          <w:rFonts w:hint="cs"/>
          <w:sz w:val="24"/>
          <w:rtl/>
        </w:rPr>
        <w:t>לטענת המפרים, חברת החשמל ונושאי המשרה התייעצו עם מומחים משפטיים בתחום ההגבלים העסקיים ופעלו בהתאם ובכפוף לאישורם. נראה, והדברים לא נאמרו מפורשות, שלשיטת המפרים אין מקום להטיל עליהם עיצומים כספיים בשל כך.</w:t>
      </w:r>
    </w:p>
    <w:p w:rsidR="001F7CC9" w:rsidRDefault="00B67F0C" w:rsidP="00727822">
      <w:pPr>
        <w:rPr>
          <w:sz w:val="24"/>
          <w:rtl/>
        </w:rPr>
      </w:pPr>
      <w:r>
        <w:rPr>
          <w:rFonts w:hint="cs"/>
          <w:sz w:val="24"/>
          <w:rtl/>
        </w:rPr>
        <w:t>לאחר שבחנתי את הטענה הגעתי למסקנה, כי אין בה כדי לשלול את החלטתי</w:t>
      </w:r>
      <w:r w:rsidR="00727822">
        <w:rPr>
          <w:rFonts w:hint="cs"/>
          <w:sz w:val="24"/>
          <w:rtl/>
        </w:rPr>
        <w:t xml:space="preserve">, זאת שכן ממילא </w:t>
      </w:r>
      <w:r w:rsidR="001F7CC9">
        <w:rPr>
          <w:rFonts w:hint="cs"/>
          <w:sz w:val="24"/>
          <w:rtl/>
        </w:rPr>
        <w:t xml:space="preserve">הייעוץ המשפטי שניתן לחברת החשמל ולנושאי המשרה </w:t>
      </w:r>
      <w:r w:rsidR="00727822">
        <w:rPr>
          <w:rFonts w:hint="cs"/>
          <w:sz w:val="24"/>
          <w:rtl/>
        </w:rPr>
        <w:t xml:space="preserve">דווקא </w:t>
      </w:r>
      <w:r w:rsidR="00F83475">
        <w:rPr>
          <w:rFonts w:hint="cs"/>
          <w:sz w:val="24"/>
          <w:rtl/>
        </w:rPr>
        <w:t>הזהיר מפני</w:t>
      </w:r>
      <w:r w:rsidR="001F7CC9">
        <w:rPr>
          <w:rFonts w:hint="cs"/>
          <w:sz w:val="24"/>
          <w:rtl/>
        </w:rPr>
        <w:t xml:space="preserve"> הפסקת שירותי המת"ל</w:t>
      </w:r>
      <w:r w:rsidR="00727822">
        <w:rPr>
          <w:rFonts w:hint="cs"/>
          <w:sz w:val="24"/>
          <w:rtl/>
        </w:rPr>
        <w:t>.</w:t>
      </w:r>
      <w:r w:rsidR="001F7CC9">
        <w:rPr>
          <w:rFonts w:hint="cs"/>
          <w:sz w:val="24"/>
          <w:rtl/>
        </w:rPr>
        <w:t xml:space="preserve"> </w:t>
      </w:r>
      <w:r w:rsidR="00727822">
        <w:rPr>
          <w:rFonts w:hint="cs"/>
          <w:sz w:val="24"/>
          <w:rtl/>
        </w:rPr>
        <w:t>מכל מקום, ו</w:t>
      </w:r>
      <w:r w:rsidR="001F7CC9">
        <w:rPr>
          <w:rFonts w:hint="cs"/>
          <w:sz w:val="24"/>
          <w:rtl/>
        </w:rPr>
        <w:t xml:space="preserve">למעלה מן הצורך, </w:t>
      </w:r>
      <w:r w:rsidR="00727822">
        <w:rPr>
          <w:rFonts w:hint="cs"/>
          <w:sz w:val="24"/>
          <w:rtl/>
        </w:rPr>
        <w:t xml:space="preserve">אציין כי </w:t>
      </w:r>
      <w:r w:rsidR="001F7CC9">
        <w:rPr>
          <w:rFonts w:hint="cs"/>
          <w:sz w:val="24"/>
          <w:rtl/>
        </w:rPr>
        <w:t xml:space="preserve">יעוץ משפטי </w:t>
      </w:r>
      <w:r w:rsidR="00727822">
        <w:rPr>
          <w:rFonts w:hint="cs"/>
          <w:sz w:val="24"/>
          <w:rtl/>
        </w:rPr>
        <w:t>אינו מהווה</w:t>
      </w:r>
      <w:r w:rsidR="001F7CC9">
        <w:rPr>
          <w:rFonts w:hint="cs"/>
          <w:sz w:val="24"/>
          <w:rtl/>
        </w:rPr>
        <w:t xml:space="preserve"> הגנה מפני סנקציה מנהלית. והכל, כדלקמן:</w:t>
      </w:r>
    </w:p>
    <w:p w:rsidR="001F7CC9" w:rsidRDefault="00B67F0C" w:rsidP="00254F56">
      <w:pPr>
        <w:rPr>
          <w:sz w:val="24"/>
          <w:rtl/>
        </w:rPr>
      </w:pPr>
      <w:r w:rsidRPr="005E36F6">
        <w:rPr>
          <w:rFonts w:hint="cs"/>
          <w:sz w:val="24"/>
          <w:rtl/>
        </w:rPr>
        <w:t>ראשית</w:t>
      </w:r>
      <w:r>
        <w:rPr>
          <w:rFonts w:hint="cs"/>
          <w:sz w:val="24"/>
          <w:rtl/>
        </w:rPr>
        <w:t xml:space="preserve">, </w:t>
      </w:r>
      <w:r w:rsidR="00B35761">
        <w:rPr>
          <w:rFonts w:hint="cs"/>
          <w:sz w:val="24"/>
          <w:rtl/>
        </w:rPr>
        <w:t>מצאתי כי בנסיבות העניין, הפסקת שירותי המת"ל נעשתה בניגוד ליעוץ המשפטי הפנימי והחיצוני שקיבלה חברת החשמל</w:t>
      </w:r>
      <w:r w:rsidR="002E751A">
        <w:rPr>
          <w:rFonts w:hint="cs"/>
          <w:sz w:val="24"/>
          <w:rtl/>
        </w:rPr>
        <w:t xml:space="preserve">. </w:t>
      </w:r>
      <w:r w:rsidR="00727822">
        <w:rPr>
          <w:rFonts w:hint="cs"/>
          <w:sz w:val="24"/>
          <w:rtl/>
        </w:rPr>
        <w:t xml:space="preserve">בנסיבות אלו, </w:t>
      </w:r>
      <w:r w:rsidR="00254F56">
        <w:rPr>
          <w:rFonts w:hint="cs"/>
          <w:sz w:val="24"/>
          <w:rtl/>
        </w:rPr>
        <w:t>לא ברור מה מבקשים חברת החשמל ונושאי המשרה להסיק מיעוץ משפטי אשר לא נתן גיבוי משפטי למעשיהם</w:t>
      </w:r>
      <w:r w:rsidR="00B35761">
        <w:rPr>
          <w:rFonts w:hint="cs"/>
          <w:sz w:val="24"/>
          <w:rtl/>
        </w:rPr>
        <w:t xml:space="preserve">. </w:t>
      </w:r>
    </w:p>
    <w:p w:rsidR="00817C22" w:rsidRDefault="001F7CC9" w:rsidP="001F7CC9">
      <w:pPr>
        <w:rPr>
          <w:sz w:val="24"/>
          <w:rtl/>
        </w:rPr>
      </w:pPr>
      <w:r>
        <w:rPr>
          <w:rFonts w:hint="cs"/>
          <w:sz w:val="24"/>
          <w:rtl/>
        </w:rPr>
        <w:lastRenderedPageBreak/>
        <w:t xml:space="preserve">חברת החשמל מבקשת להסתמך על </w:t>
      </w:r>
      <w:r>
        <w:rPr>
          <w:rFonts w:hint="cs"/>
          <w:rtl/>
        </w:rPr>
        <w:t xml:space="preserve">טיוטה לא חתומה של חוות דעת משפטית שהכין משרד עו"ד הרצוג פוקס נאמן </w:t>
      </w:r>
      <w:r>
        <w:rPr>
          <w:rFonts w:hint="cs"/>
          <w:sz w:val="24"/>
          <w:rtl/>
        </w:rPr>
        <w:t xml:space="preserve">והעביר לעיונה בראשית שנת 2013. כפי שעולה מטיוטת חוות הדעת, </w:t>
      </w:r>
      <w:r w:rsidR="00817C22">
        <w:rPr>
          <w:rFonts w:hint="cs"/>
          <w:sz w:val="24"/>
          <w:rtl/>
        </w:rPr>
        <w:t>בפני עורכי הדין שהתבקשו להעניק יעוץ משפטי לחברת החשמל ונושאי המשרה לא נפרשה התמונה העובדתית המלאה. בפרט, עורכי הדין הוטעו לחשוב כי שירות המת"ל אינם נוגעים למקטעי ההולכה והחלוקה.</w:t>
      </w:r>
      <w:r>
        <w:rPr>
          <w:rFonts w:hint="cs"/>
          <w:sz w:val="24"/>
          <w:rtl/>
        </w:rPr>
        <w:t xml:space="preserve"> </w:t>
      </w:r>
      <w:r w:rsidR="00817C22">
        <w:rPr>
          <w:rFonts w:hint="cs"/>
          <w:sz w:val="24"/>
          <w:rtl/>
        </w:rPr>
        <w:t xml:space="preserve">כפי שהראנו לעיל, שירות מנהל תיק לקוח נוגע גם למקטעי ההולכה והחלוקה </w:t>
      </w:r>
      <w:r>
        <w:rPr>
          <w:rFonts w:hint="cs"/>
          <w:sz w:val="24"/>
          <w:rtl/>
        </w:rPr>
        <w:t xml:space="preserve">וחברת החשמל ונושאי המשרה ידעו זאת. </w:t>
      </w:r>
      <w:r w:rsidR="00817C22">
        <w:rPr>
          <w:rFonts w:hint="cs"/>
          <w:sz w:val="24"/>
          <w:rtl/>
        </w:rPr>
        <w:t xml:space="preserve">משכך, התבססה </w:t>
      </w:r>
      <w:r w:rsidR="00817C22" w:rsidRPr="00BC7281">
        <w:rPr>
          <w:rFonts w:hint="cs"/>
          <w:sz w:val="24"/>
          <w:rtl/>
        </w:rPr>
        <w:t xml:space="preserve">חוות הדעת על מידע שגוי. </w:t>
      </w:r>
    </w:p>
    <w:p w:rsidR="00817C22" w:rsidRDefault="00817C22" w:rsidP="00B124EC">
      <w:pPr>
        <w:rPr>
          <w:rtl/>
        </w:rPr>
      </w:pPr>
      <w:r w:rsidRPr="004452F0">
        <w:rPr>
          <w:rFonts w:hint="cs"/>
          <w:rtl/>
        </w:rPr>
        <w:t xml:space="preserve">בנוסף, </w:t>
      </w:r>
      <w:r w:rsidR="00C93A11">
        <w:rPr>
          <w:rFonts w:hint="cs"/>
          <w:rtl/>
        </w:rPr>
        <w:t>ה</w:t>
      </w:r>
      <w:r w:rsidR="00D55DFD">
        <w:rPr>
          <w:rFonts w:hint="cs"/>
          <w:rtl/>
        </w:rPr>
        <w:t>יועץ המשפטי</w:t>
      </w:r>
      <w:r w:rsidR="00C93A11">
        <w:rPr>
          <w:rFonts w:hint="cs"/>
          <w:rtl/>
        </w:rPr>
        <w:t xml:space="preserve"> </w:t>
      </w:r>
      <w:r w:rsidR="00D55DFD">
        <w:rPr>
          <w:rFonts w:hint="cs"/>
          <w:rtl/>
        </w:rPr>
        <w:t xml:space="preserve">החיצוני </w:t>
      </w:r>
      <w:r w:rsidR="00F83475">
        <w:rPr>
          <w:rFonts w:hint="cs"/>
          <w:rtl/>
        </w:rPr>
        <w:t>הזהיר</w:t>
      </w:r>
      <w:r w:rsidR="00C93A11">
        <w:rPr>
          <w:rFonts w:hint="cs"/>
          <w:rtl/>
        </w:rPr>
        <w:t xml:space="preserve"> פרטנית</w:t>
      </w:r>
      <w:r w:rsidR="00D55DFD">
        <w:rPr>
          <w:rFonts w:hint="cs"/>
          <w:rtl/>
        </w:rPr>
        <w:t>,</w:t>
      </w:r>
      <w:r w:rsidR="00C93A11">
        <w:rPr>
          <w:rFonts w:hint="cs"/>
          <w:rtl/>
        </w:rPr>
        <w:t xml:space="preserve"> </w:t>
      </w:r>
      <w:r w:rsidRPr="004452F0">
        <w:rPr>
          <w:rFonts w:hint="cs"/>
          <w:rtl/>
        </w:rPr>
        <w:t xml:space="preserve">אגב הכנת תרחישי שיחות עם לקוחות שמתכוונים לעבור ליצרני חשמל פרטיים, שהוזכר לעיל, </w:t>
      </w:r>
      <w:r w:rsidR="00C93A11">
        <w:rPr>
          <w:rFonts w:hint="cs"/>
          <w:rtl/>
        </w:rPr>
        <w:t>ש</w:t>
      </w:r>
      <w:r w:rsidRPr="004452F0">
        <w:rPr>
          <w:rFonts w:hint="cs"/>
          <w:rtl/>
        </w:rPr>
        <w:t xml:space="preserve">"לפני שמצמצמים את השירות/מפסיקים בפועל </w:t>
      </w:r>
      <w:r w:rsidRPr="004452F0">
        <w:rPr>
          <w:rtl/>
        </w:rPr>
        <w:t>–</w:t>
      </w:r>
      <w:r w:rsidRPr="004452F0">
        <w:rPr>
          <w:rFonts w:hint="cs"/>
          <w:rtl/>
        </w:rPr>
        <w:t xml:space="preserve"> אני מציע שנדבר שוב ונראה מה בפועל כולל השירות."</w:t>
      </w:r>
      <w:r>
        <w:rPr>
          <w:rFonts w:hint="cs"/>
          <w:rtl/>
        </w:rPr>
        <w:t xml:space="preserve"> </w:t>
      </w:r>
    </w:p>
    <w:p w:rsidR="00817C22" w:rsidRPr="009C49FB" w:rsidRDefault="00D55DFD" w:rsidP="00B124EC">
      <w:r>
        <w:rPr>
          <w:rFonts w:hint="cs"/>
          <w:rtl/>
        </w:rPr>
        <w:t xml:space="preserve">מעבר לכך, היועצים המשפטיים הפנימיים של חברת החשמל הבהירו מפורשות, כי </w:t>
      </w:r>
      <w:r w:rsidR="00817C22" w:rsidRPr="00134030">
        <w:rPr>
          <w:rFonts w:hint="cs"/>
          <w:rtl/>
        </w:rPr>
        <w:t>"</w:t>
      </w:r>
      <w:r w:rsidR="00817C22" w:rsidRPr="002F55BE">
        <w:rPr>
          <w:rFonts w:hint="cs"/>
          <w:rtl/>
        </w:rPr>
        <w:t xml:space="preserve">ביטול שירותי המת"ל ללקוחות שנחשבו בעבר לקוחות עסקיים של החברה ועברו לצרוך חשמל באמצעות מספק </w:t>
      </w:r>
      <w:r w:rsidR="00817C22" w:rsidRPr="002F55BE">
        <w:rPr>
          <w:rFonts w:hint="cs"/>
          <w:sz w:val="24"/>
          <w:rtl/>
        </w:rPr>
        <w:t>אחר</w:t>
      </w:r>
      <w:r w:rsidR="00817C22" w:rsidRPr="002F55BE">
        <w:rPr>
          <w:rFonts w:hint="cs"/>
          <w:rtl/>
        </w:rPr>
        <w:t>, יש בו חשיפה משפטית מתחום ההגבלים העסקיים ולפיכך ההמלצה המשפטית היא להמשיך ולספקו לכל הפחות למספק עצמו"</w:t>
      </w:r>
      <w:r w:rsidR="00817C22" w:rsidRPr="00134030">
        <w:rPr>
          <w:rFonts w:hint="cs"/>
          <w:rtl/>
        </w:rPr>
        <w:t>.</w:t>
      </w:r>
    </w:p>
    <w:p w:rsidR="00817C22" w:rsidRDefault="00817C22" w:rsidP="00817C22">
      <w:pPr>
        <w:rPr>
          <w:rtl/>
        </w:rPr>
      </w:pPr>
      <w:r>
        <w:rPr>
          <w:rFonts w:hint="cs"/>
          <w:rtl/>
        </w:rPr>
        <w:t>הנה כי כן, הייעוץ המשפטי הפנימי והחיצוני של חברת החשמל לא תמך בהפסקת שירותי המת"ל ללקוחות שעברו לצרוך חשמל מיצרנים פרטיים ואף התריע נגד המהלך. חברת החשמל ונושאי המשרה פעלו בניגוד ליעוץ המשפטי עת הפסיקו את שירותי המת"ל.</w:t>
      </w:r>
    </w:p>
    <w:p w:rsidR="00817C22" w:rsidRDefault="00817C22" w:rsidP="00D55DFD">
      <w:pPr>
        <w:rPr>
          <w:sz w:val="24"/>
          <w:rtl/>
        </w:rPr>
      </w:pPr>
      <w:r w:rsidRPr="00D55DFD">
        <w:rPr>
          <w:rFonts w:hint="cs"/>
          <w:sz w:val="24"/>
          <w:rtl/>
        </w:rPr>
        <w:t xml:space="preserve">בכל הנוגע להחלטה להעמיד לרשות לקוחות יצרני החשמל הפרטיים מוקד ייעודי חלף שירותי המת"ל, לא הציגו המפרים ראיה לקיומו של יעוץ משפטי התומך במהלך. בנייר העמדה שהוגש בשימוע, נטען, </w:t>
      </w:r>
      <w:r w:rsidRPr="00960CC9">
        <w:rPr>
          <w:rFonts w:hint="cs"/>
          <w:sz w:val="24"/>
          <w:rtl/>
        </w:rPr>
        <w:t>ללא ביסוס ראייתי,</w:t>
      </w:r>
      <w:r w:rsidRPr="00D55DFD">
        <w:rPr>
          <w:rFonts w:hint="cs"/>
          <w:sz w:val="24"/>
          <w:rtl/>
        </w:rPr>
        <w:t xml:space="preserve"> כי עו"ד מטעם חברת החשמל התבקשה לבחון את ההחלטה על הקמת המוקד הייעוד </w:t>
      </w:r>
      <w:r w:rsidR="00D55DFD">
        <w:rPr>
          <w:rFonts w:hint="cs"/>
          <w:sz w:val="24"/>
          <w:rtl/>
        </w:rPr>
        <w:t>וסברה כי</w:t>
      </w:r>
      <w:r w:rsidRPr="00D55DFD">
        <w:rPr>
          <w:rFonts w:hint="cs"/>
          <w:sz w:val="24"/>
          <w:rtl/>
        </w:rPr>
        <w:t xml:space="preserve"> ההחלטה בדבר המוקד הייעודי עומדת בדרישות הדין. בין יתר המידע שעמד בפניה, על פי הנטען, היתה העובדה, כי "..עיקר עיסוקו של המת"ל הוא במקטע האספקה" וכן, כי "אין הבדל של ממש בין המענה שנותן המת"ל בקשר לתקלות ולהפסקות חשמל לבין זה שנותן מוקד שירות 103....".</w:t>
      </w:r>
      <w:r>
        <w:rPr>
          <w:rFonts w:hint="cs"/>
          <w:sz w:val="24"/>
          <w:rtl/>
        </w:rPr>
        <w:t xml:space="preserve"> </w:t>
      </w:r>
    </w:p>
    <w:p w:rsidR="00817C22" w:rsidRDefault="00817C22" w:rsidP="00817C22">
      <w:pPr>
        <w:rPr>
          <w:rtl/>
        </w:rPr>
      </w:pPr>
      <w:r>
        <w:rPr>
          <w:rFonts w:hint="cs"/>
          <w:sz w:val="24"/>
          <w:rtl/>
        </w:rPr>
        <w:t xml:space="preserve">כפי שפורט בהרחבה לעיל, מדובר במידע מוטעה: שירותי המת"ל נוגעים למקטעי ההולכה והחלוקה באופן משמעותי, ויש הבדל של ממש בין המוקד הייעודי המגיב לבין שירותי המת"ל היוזמים. לכן, </w:t>
      </w:r>
      <w:r>
        <w:rPr>
          <w:rFonts w:hint="cs"/>
          <w:rtl/>
        </w:rPr>
        <w:t xml:space="preserve">לא ניתן לקבל את טענת ההיוועצות על יעוץ משפטי גם בכל הנוגע למוקד הייעודי ודין טענה זו להידחות. </w:t>
      </w:r>
    </w:p>
    <w:p w:rsidR="005E36F6" w:rsidRDefault="005E36F6" w:rsidP="005E36F6">
      <w:pPr>
        <w:rPr>
          <w:sz w:val="24"/>
          <w:rtl/>
        </w:rPr>
      </w:pPr>
      <w:r>
        <w:rPr>
          <w:rFonts w:hint="cs"/>
          <w:sz w:val="24"/>
          <w:rtl/>
        </w:rPr>
        <w:t>למעלה מן הצורך ועל אף שראינו לעיל, כי הייעוץ המשפטי</w:t>
      </w:r>
      <w:r w:rsidR="00727822">
        <w:rPr>
          <w:rFonts w:hint="cs"/>
          <w:sz w:val="24"/>
          <w:rtl/>
        </w:rPr>
        <w:t xml:space="preserve"> ממילא</w:t>
      </w:r>
      <w:r>
        <w:rPr>
          <w:rFonts w:hint="cs"/>
          <w:sz w:val="24"/>
          <w:rtl/>
        </w:rPr>
        <w:t xml:space="preserve"> לא תמך בהפסקת שירותי המת"ל</w:t>
      </w:r>
      <w:r w:rsidR="001F7CC9">
        <w:rPr>
          <w:rFonts w:hint="cs"/>
          <w:sz w:val="24"/>
          <w:rtl/>
        </w:rPr>
        <w:t xml:space="preserve">, </w:t>
      </w:r>
      <w:r>
        <w:rPr>
          <w:rFonts w:hint="cs"/>
          <w:sz w:val="24"/>
          <w:rtl/>
        </w:rPr>
        <w:t>מצאתי לנכון להתייחס גם לטענה (אשר לא הועלתה מפורשות), כי הסתמכות על יעוץ משפטי מהווה הגנה מפני הטלת עיצום כספי.</w:t>
      </w:r>
      <w:r w:rsidR="001F7CC9">
        <w:rPr>
          <w:rFonts w:hint="cs"/>
          <w:sz w:val="24"/>
          <w:rtl/>
        </w:rPr>
        <w:t xml:space="preserve"> </w:t>
      </w:r>
    </w:p>
    <w:p w:rsidR="00B67F0C" w:rsidRDefault="001F7CC9" w:rsidP="00DC671B">
      <w:pPr>
        <w:rPr>
          <w:sz w:val="24"/>
          <w:rtl/>
        </w:rPr>
      </w:pPr>
      <w:r>
        <w:rPr>
          <w:rFonts w:hint="cs"/>
          <w:sz w:val="24"/>
          <w:rtl/>
        </w:rPr>
        <w:t xml:space="preserve">הטענה בדבר הסתמכות על יעוץ משפטי הינה מסוג טענות ההגנה המועלת בהליכים פליליים מכוח סעיף 34יט לחוק העונשין, תשל"ז-1977 ואשר נוגעת ליסוד הנפשי של המפר. </w:t>
      </w:r>
      <w:r w:rsidR="00B67F0C">
        <w:rPr>
          <w:rFonts w:hint="cs"/>
          <w:sz w:val="24"/>
          <w:rtl/>
        </w:rPr>
        <w:t>הגנת ההסתמכות על עצת עו</w:t>
      </w:r>
      <w:r w:rsidR="002E1B7C">
        <w:rPr>
          <w:rFonts w:hint="cs"/>
          <w:sz w:val="24"/>
          <w:rtl/>
        </w:rPr>
        <w:t>רך דין</w:t>
      </w:r>
      <w:r w:rsidR="00B67F0C">
        <w:rPr>
          <w:rFonts w:hint="cs"/>
          <w:sz w:val="24"/>
          <w:rtl/>
        </w:rPr>
        <w:t xml:space="preserve"> </w:t>
      </w:r>
      <w:r w:rsidR="00B67F0C" w:rsidRPr="009E42C7">
        <w:rPr>
          <w:rFonts w:hint="cs"/>
          <w:sz w:val="24"/>
          <w:rtl/>
        </w:rPr>
        <w:t xml:space="preserve">הינה מקרה פרטי של </w:t>
      </w:r>
      <w:r w:rsidR="006422F7">
        <w:rPr>
          <w:rFonts w:hint="cs"/>
          <w:sz w:val="24"/>
          <w:rtl/>
        </w:rPr>
        <w:t>סייג</w:t>
      </w:r>
      <w:r w:rsidR="00B67F0C" w:rsidRPr="009E42C7">
        <w:rPr>
          <w:rFonts w:hint="cs"/>
          <w:sz w:val="24"/>
          <w:rtl/>
        </w:rPr>
        <w:t xml:space="preserve"> </w:t>
      </w:r>
      <w:r w:rsidR="006422F7">
        <w:rPr>
          <w:rFonts w:hint="cs"/>
          <w:sz w:val="24"/>
          <w:rtl/>
        </w:rPr>
        <w:t xml:space="preserve">מפני הרשעה בדין פלילי בגין </w:t>
      </w:r>
      <w:r w:rsidR="00B67F0C" w:rsidRPr="009E42C7">
        <w:rPr>
          <w:rFonts w:hint="cs"/>
          <w:sz w:val="24"/>
          <w:rtl/>
        </w:rPr>
        <w:t xml:space="preserve">טעות במצב </w:t>
      </w:r>
      <w:r w:rsidR="00B67F0C">
        <w:rPr>
          <w:rFonts w:hint="cs"/>
          <w:sz w:val="24"/>
          <w:rtl/>
        </w:rPr>
        <w:t>ה</w:t>
      </w:r>
      <w:r w:rsidR="00B67F0C" w:rsidRPr="009E42C7">
        <w:rPr>
          <w:rFonts w:hint="cs"/>
          <w:sz w:val="24"/>
          <w:rtl/>
        </w:rPr>
        <w:t xml:space="preserve">משפטי. </w:t>
      </w:r>
      <w:r w:rsidR="00B67F0C">
        <w:rPr>
          <w:rFonts w:hint="cs"/>
          <w:sz w:val="24"/>
          <w:rtl/>
        </w:rPr>
        <w:t xml:space="preserve">במשפט </w:t>
      </w:r>
      <w:r w:rsidR="00B67F0C">
        <w:rPr>
          <w:rFonts w:hint="cs"/>
          <w:sz w:val="24"/>
          <w:rtl/>
        </w:rPr>
        <w:lastRenderedPageBreak/>
        <w:t xml:space="preserve">הפלילי נקבע כלל לפיו </w:t>
      </w:r>
      <w:r w:rsidR="00B67F0C" w:rsidRPr="009E42C7">
        <w:rPr>
          <w:rFonts w:hint="cs"/>
          <w:sz w:val="24"/>
          <w:rtl/>
        </w:rPr>
        <w:t>הסתמכות בתום לב על עצה ש</w:t>
      </w:r>
      <w:r w:rsidR="00B67F0C">
        <w:rPr>
          <w:rFonts w:hint="cs"/>
          <w:sz w:val="24"/>
          <w:rtl/>
        </w:rPr>
        <w:t>התקבלה</w:t>
      </w:r>
      <w:r w:rsidR="00B67F0C" w:rsidRPr="009E42C7">
        <w:rPr>
          <w:rFonts w:hint="cs"/>
          <w:sz w:val="24"/>
          <w:rtl/>
        </w:rPr>
        <w:t xml:space="preserve"> מעורך דין מומחה בתחום ושידועות לו הסיבות הדרושות לעניין, </w:t>
      </w:r>
      <w:r w:rsidR="00B67F0C" w:rsidRPr="009E42C7">
        <w:rPr>
          <w:sz w:val="24"/>
          <w:rtl/>
        </w:rPr>
        <w:t xml:space="preserve">עשויה </w:t>
      </w:r>
      <w:r w:rsidR="003654AE">
        <w:rPr>
          <w:rFonts w:hint="cs"/>
          <w:sz w:val="24"/>
          <w:rtl/>
        </w:rPr>
        <w:t>לפטור את הנאשם מאחריות פליל</w:t>
      </w:r>
      <w:r w:rsidR="00635C3B">
        <w:rPr>
          <w:rFonts w:hint="cs"/>
          <w:sz w:val="24"/>
          <w:rtl/>
        </w:rPr>
        <w:t>י</w:t>
      </w:r>
      <w:r w:rsidR="003654AE">
        <w:rPr>
          <w:rFonts w:hint="cs"/>
          <w:sz w:val="24"/>
          <w:rtl/>
        </w:rPr>
        <w:t>ת</w:t>
      </w:r>
      <w:r w:rsidR="00B67F0C">
        <w:rPr>
          <w:rFonts w:hint="cs"/>
          <w:sz w:val="24"/>
          <w:rtl/>
        </w:rPr>
        <w:t>.</w:t>
      </w:r>
      <w:r w:rsidR="00B67F0C" w:rsidRPr="009E42C7">
        <w:rPr>
          <w:sz w:val="24"/>
          <w:vertAlign w:val="superscript"/>
          <w:rtl/>
        </w:rPr>
        <w:footnoteReference w:id="72"/>
      </w:r>
      <w:r w:rsidR="00B67F0C">
        <w:rPr>
          <w:rFonts w:hint="cs"/>
          <w:sz w:val="24"/>
          <w:rtl/>
        </w:rPr>
        <w:t xml:space="preserve"> </w:t>
      </w:r>
    </w:p>
    <w:p w:rsidR="00B67F0C" w:rsidRPr="00386A77" w:rsidRDefault="00E006A2" w:rsidP="00A12F7F">
      <w:pPr>
        <w:rPr>
          <w:sz w:val="24"/>
        </w:rPr>
      </w:pPr>
      <w:r>
        <w:rPr>
          <w:rFonts w:hint="cs"/>
          <w:sz w:val="24"/>
          <w:rtl/>
        </w:rPr>
        <w:t xml:space="preserve">בהליכים מנהליים ובפרט, בהליכי עיצומים כספיים ממילא אין צורך בהוכחת יסוד נפשי לצורך ביסוס ההפרה. </w:t>
      </w:r>
      <w:r w:rsidR="00B67F0C">
        <w:rPr>
          <w:rFonts w:hint="cs"/>
          <w:sz w:val="24"/>
          <w:rtl/>
        </w:rPr>
        <w:t xml:space="preserve">בכל הנוגע לדין המנהלי, הגנה זו חותרת תחת הראציונאל של הליך העיצומים הכספיים. </w:t>
      </w:r>
      <w:r>
        <w:rPr>
          <w:rFonts w:hint="cs"/>
          <w:sz w:val="24"/>
          <w:rtl/>
        </w:rPr>
        <w:t xml:space="preserve">כפי שפורט בפרק </w:t>
      </w:r>
      <w:r w:rsidR="00F83475">
        <w:rPr>
          <w:rFonts w:hint="cs"/>
          <w:sz w:val="24"/>
          <w:rtl/>
        </w:rPr>
        <w:t>ה.1.</w:t>
      </w:r>
      <w:r>
        <w:rPr>
          <w:rFonts w:hint="cs"/>
          <w:sz w:val="24"/>
          <w:rtl/>
        </w:rPr>
        <w:t xml:space="preserve"> לעיל, </w:t>
      </w:r>
      <w:r w:rsidR="00B67F0C" w:rsidRPr="00EE41BE">
        <w:rPr>
          <w:rFonts w:hint="cs"/>
          <w:sz w:val="24"/>
          <w:rtl/>
        </w:rPr>
        <w:t xml:space="preserve">הטלת עיצום כספי </w:t>
      </w:r>
      <w:r w:rsidR="00B67F0C">
        <w:rPr>
          <w:rFonts w:hint="cs"/>
          <w:sz w:val="24"/>
          <w:rtl/>
        </w:rPr>
        <w:t>הינו</w:t>
      </w:r>
      <w:r w:rsidR="00B67F0C" w:rsidRPr="00EE41BE">
        <w:rPr>
          <w:rFonts w:hint="cs"/>
          <w:sz w:val="24"/>
          <w:rtl/>
        </w:rPr>
        <w:t xml:space="preserve"> אמצעי אכיפה מנהלי </w:t>
      </w:r>
      <w:r w:rsidR="00B67F0C">
        <w:rPr>
          <w:rFonts w:hint="cs"/>
          <w:sz w:val="24"/>
          <w:rtl/>
        </w:rPr>
        <w:t xml:space="preserve">ולא מהווה </w:t>
      </w:r>
      <w:r w:rsidR="00B67F0C" w:rsidRPr="00EE41BE">
        <w:rPr>
          <w:rFonts w:hint="cs"/>
          <w:sz w:val="24"/>
          <w:rtl/>
        </w:rPr>
        <w:t>הרחבה להליך אכיפה פלילי</w:t>
      </w:r>
      <w:r w:rsidR="00B67F0C">
        <w:rPr>
          <w:rFonts w:hint="cs"/>
          <w:sz w:val="24"/>
          <w:rtl/>
        </w:rPr>
        <w:t>.</w:t>
      </w:r>
      <w:r w:rsidR="00B67F0C">
        <w:rPr>
          <w:rStyle w:val="FootnoteReference"/>
          <w:sz w:val="24"/>
          <w:rtl/>
        </w:rPr>
        <w:footnoteReference w:id="73"/>
      </w:r>
      <w:r w:rsidR="00B67F0C" w:rsidRPr="00EE41BE">
        <w:rPr>
          <w:rFonts w:hint="cs"/>
          <w:sz w:val="24"/>
          <w:rtl/>
        </w:rPr>
        <w:t xml:space="preserve"> </w:t>
      </w:r>
      <w:r w:rsidR="00E220AE">
        <w:rPr>
          <w:rFonts w:hint="cs"/>
          <w:rtl/>
        </w:rPr>
        <w:t xml:space="preserve">בהתאמה, </w:t>
      </w:r>
      <w:r w:rsidR="00B67F0C" w:rsidRPr="00386A77">
        <w:rPr>
          <w:rFonts w:hint="cs"/>
          <w:sz w:val="24"/>
          <w:rtl/>
        </w:rPr>
        <w:t xml:space="preserve">בתי המשפט הבהירו, כי בהליכי עיצומים אין כל משמעות ליסוד הנפשי של העותרת: </w:t>
      </w:r>
    </w:p>
    <w:p w:rsidR="00B67F0C" w:rsidRPr="00386A77" w:rsidRDefault="00B67F0C" w:rsidP="00E006A2">
      <w:pPr>
        <w:spacing w:line="240" w:lineRule="auto"/>
        <w:ind w:left="941" w:right="426"/>
        <w:rPr>
          <w:sz w:val="24"/>
          <w:rtl/>
        </w:rPr>
      </w:pPr>
      <w:r w:rsidRPr="00386A77">
        <w:rPr>
          <w:rFonts w:hint="cs"/>
          <w:sz w:val="24"/>
          <w:rtl/>
        </w:rPr>
        <w:t>"</w:t>
      </w:r>
      <w:r w:rsidRPr="00386A77">
        <w:rPr>
          <w:rFonts w:hint="eastAsia"/>
          <w:sz w:val="24"/>
          <w:rtl/>
        </w:rPr>
        <w:t>הדגש</w:t>
      </w:r>
      <w:r w:rsidRPr="00386A77">
        <w:rPr>
          <w:sz w:val="24"/>
          <w:rtl/>
        </w:rPr>
        <w:t xml:space="preserve"> </w:t>
      </w:r>
      <w:r w:rsidRPr="00386A77">
        <w:rPr>
          <w:rFonts w:hint="eastAsia"/>
          <w:sz w:val="24"/>
          <w:rtl/>
        </w:rPr>
        <w:t>בהליך</w:t>
      </w:r>
      <w:r w:rsidRPr="00386A77">
        <w:rPr>
          <w:sz w:val="24"/>
          <w:rtl/>
        </w:rPr>
        <w:t xml:space="preserve"> </w:t>
      </w:r>
      <w:r w:rsidRPr="00FC2951">
        <w:rPr>
          <w:rFonts w:hint="eastAsia"/>
          <w:rtl/>
        </w:rPr>
        <w:t>המינהלי</w:t>
      </w:r>
      <w:r w:rsidRPr="00386A77">
        <w:rPr>
          <w:sz w:val="24"/>
          <w:rtl/>
        </w:rPr>
        <w:t xml:space="preserve"> </w:t>
      </w:r>
      <w:r w:rsidRPr="00386A77">
        <w:rPr>
          <w:rFonts w:hint="eastAsia"/>
          <w:sz w:val="24"/>
          <w:rtl/>
        </w:rPr>
        <w:t>הוא</w:t>
      </w:r>
      <w:r w:rsidRPr="00386A77">
        <w:rPr>
          <w:sz w:val="24"/>
          <w:rtl/>
        </w:rPr>
        <w:t xml:space="preserve"> </w:t>
      </w:r>
      <w:r w:rsidRPr="00386A77">
        <w:rPr>
          <w:rFonts w:hint="eastAsia"/>
          <w:sz w:val="24"/>
          <w:rtl/>
        </w:rPr>
        <w:t>על</w:t>
      </w:r>
      <w:r w:rsidRPr="00386A77">
        <w:rPr>
          <w:sz w:val="24"/>
          <w:rtl/>
        </w:rPr>
        <w:t xml:space="preserve"> </w:t>
      </w:r>
      <w:r w:rsidRPr="00386A77">
        <w:rPr>
          <w:rFonts w:hint="eastAsia"/>
          <w:sz w:val="24"/>
          <w:rtl/>
        </w:rPr>
        <w:t>מניעת</w:t>
      </w:r>
      <w:r w:rsidRPr="00386A77">
        <w:rPr>
          <w:sz w:val="24"/>
          <w:rtl/>
        </w:rPr>
        <w:t xml:space="preserve"> </w:t>
      </w:r>
      <w:r w:rsidRPr="00386A77">
        <w:rPr>
          <w:rFonts w:hint="eastAsia"/>
          <w:sz w:val="24"/>
          <w:rtl/>
        </w:rPr>
        <w:t>הסכנה</w:t>
      </w:r>
      <w:r w:rsidRPr="00386A77">
        <w:rPr>
          <w:sz w:val="24"/>
          <w:rtl/>
        </w:rPr>
        <w:t xml:space="preserve"> </w:t>
      </w:r>
      <w:r w:rsidRPr="00386A77">
        <w:rPr>
          <w:rFonts w:hint="eastAsia"/>
          <w:sz w:val="24"/>
          <w:rtl/>
        </w:rPr>
        <w:t>לציבור</w:t>
      </w:r>
      <w:r w:rsidRPr="00386A77">
        <w:rPr>
          <w:sz w:val="24"/>
          <w:rtl/>
        </w:rPr>
        <w:t xml:space="preserve">, </w:t>
      </w:r>
      <w:r w:rsidRPr="00386A77">
        <w:rPr>
          <w:rFonts w:hint="eastAsia"/>
          <w:sz w:val="24"/>
          <w:rtl/>
        </w:rPr>
        <w:t>בעוד</w:t>
      </w:r>
      <w:r w:rsidRPr="00386A77">
        <w:rPr>
          <w:sz w:val="24"/>
          <w:rtl/>
        </w:rPr>
        <w:t xml:space="preserve"> </w:t>
      </w:r>
      <w:r w:rsidRPr="00386A77">
        <w:rPr>
          <w:rFonts w:hint="eastAsia"/>
          <w:sz w:val="24"/>
          <w:rtl/>
        </w:rPr>
        <w:t>הדגש</w:t>
      </w:r>
      <w:r w:rsidRPr="00386A77">
        <w:rPr>
          <w:sz w:val="24"/>
          <w:rtl/>
        </w:rPr>
        <w:t xml:space="preserve"> </w:t>
      </w:r>
      <w:r w:rsidRPr="00386A77">
        <w:rPr>
          <w:rFonts w:hint="eastAsia"/>
          <w:sz w:val="24"/>
          <w:rtl/>
        </w:rPr>
        <w:t>בהליך</w:t>
      </w:r>
      <w:r w:rsidRPr="00386A77">
        <w:rPr>
          <w:sz w:val="24"/>
          <w:rtl/>
        </w:rPr>
        <w:t xml:space="preserve"> </w:t>
      </w:r>
      <w:r w:rsidRPr="00386A77">
        <w:rPr>
          <w:rFonts w:hint="eastAsia"/>
          <w:sz w:val="24"/>
          <w:rtl/>
        </w:rPr>
        <w:t>הפלילי</w:t>
      </w:r>
      <w:r w:rsidRPr="00386A77">
        <w:rPr>
          <w:sz w:val="24"/>
          <w:rtl/>
        </w:rPr>
        <w:t xml:space="preserve"> </w:t>
      </w:r>
      <w:r w:rsidRPr="00386A77">
        <w:rPr>
          <w:rFonts w:hint="eastAsia"/>
          <w:sz w:val="24"/>
          <w:rtl/>
        </w:rPr>
        <w:t>הוא</w:t>
      </w:r>
      <w:r w:rsidRPr="00386A77">
        <w:rPr>
          <w:sz w:val="24"/>
          <w:rtl/>
        </w:rPr>
        <w:t xml:space="preserve"> </w:t>
      </w:r>
      <w:r w:rsidRPr="00386A77">
        <w:rPr>
          <w:rFonts w:hint="eastAsia"/>
          <w:sz w:val="24"/>
          <w:rtl/>
        </w:rPr>
        <w:t>על</w:t>
      </w:r>
      <w:r w:rsidRPr="00386A77">
        <w:rPr>
          <w:sz w:val="24"/>
          <w:rtl/>
        </w:rPr>
        <w:t xml:space="preserve"> </w:t>
      </w:r>
      <w:r w:rsidRPr="00386A77">
        <w:rPr>
          <w:rFonts w:hint="eastAsia"/>
          <w:sz w:val="24"/>
          <w:rtl/>
        </w:rPr>
        <w:t>האשמה</w:t>
      </w:r>
      <w:r w:rsidRPr="00386A77">
        <w:rPr>
          <w:sz w:val="24"/>
          <w:rtl/>
        </w:rPr>
        <w:t xml:space="preserve"> </w:t>
      </w:r>
      <w:r w:rsidRPr="00386A77">
        <w:rPr>
          <w:rFonts w:hint="eastAsia"/>
          <w:sz w:val="24"/>
          <w:rtl/>
        </w:rPr>
        <w:t>הנלווית</w:t>
      </w:r>
      <w:r w:rsidRPr="00386A77">
        <w:rPr>
          <w:sz w:val="24"/>
          <w:rtl/>
        </w:rPr>
        <w:t xml:space="preserve"> </w:t>
      </w:r>
      <w:r w:rsidRPr="00386A77">
        <w:rPr>
          <w:rFonts w:hint="eastAsia"/>
          <w:sz w:val="24"/>
          <w:rtl/>
        </w:rPr>
        <w:t>להתנהגות</w:t>
      </w:r>
      <w:r w:rsidRPr="00386A77">
        <w:rPr>
          <w:sz w:val="24"/>
          <w:rtl/>
        </w:rPr>
        <w:t xml:space="preserve">. </w:t>
      </w:r>
      <w:r w:rsidRPr="00386A77">
        <w:rPr>
          <w:rFonts w:hint="eastAsia"/>
          <w:sz w:val="24"/>
          <w:rtl/>
        </w:rPr>
        <w:t>ממילא</w:t>
      </w:r>
      <w:r w:rsidRPr="00386A77">
        <w:rPr>
          <w:sz w:val="24"/>
          <w:rtl/>
        </w:rPr>
        <w:t xml:space="preserve">, </w:t>
      </w:r>
      <w:r w:rsidRPr="00386A77">
        <w:rPr>
          <w:rFonts w:hint="eastAsia"/>
          <w:sz w:val="24"/>
          <w:rtl/>
        </w:rPr>
        <w:t>אין</w:t>
      </w:r>
      <w:r w:rsidRPr="00386A77">
        <w:rPr>
          <w:sz w:val="24"/>
          <w:rtl/>
        </w:rPr>
        <w:t xml:space="preserve"> </w:t>
      </w:r>
      <w:r w:rsidRPr="00386A77">
        <w:rPr>
          <w:rFonts w:hint="eastAsia"/>
          <w:sz w:val="24"/>
          <w:rtl/>
        </w:rPr>
        <w:t>נפקות</w:t>
      </w:r>
      <w:r w:rsidRPr="00386A77">
        <w:rPr>
          <w:sz w:val="24"/>
          <w:rtl/>
        </w:rPr>
        <w:t xml:space="preserve"> </w:t>
      </w:r>
      <w:r w:rsidRPr="00386A77">
        <w:rPr>
          <w:rFonts w:hint="eastAsia"/>
          <w:sz w:val="24"/>
          <w:rtl/>
        </w:rPr>
        <w:t>לטענת</w:t>
      </w:r>
      <w:r w:rsidRPr="00386A77">
        <w:rPr>
          <w:sz w:val="24"/>
          <w:rtl/>
        </w:rPr>
        <w:t xml:space="preserve"> </w:t>
      </w:r>
      <w:r w:rsidRPr="00386A77">
        <w:rPr>
          <w:rFonts w:hint="eastAsia"/>
          <w:sz w:val="24"/>
          <w:rtl/>
        </w:rPr>
        <w:t>ברן</w:t>
      </w:r>
      <w:r w:rsidRPr="00386A77">
        <w:rPr>
          <w:sz w:val="24"/>
          <w:rtl/>
        </w:rPr>
        <w:t xml:space="preserve"> </w:t>
      </w:r>
      <w:r w:rsidRPr="00386A77">
        <w:rPr>
          <w:rFonts w:hint="eastAsia"/>
          <w:sz w:val="24"/>
          <w:rtl/>
        </w:rPr>
        <w:t>על</w:t>
      </w:r>
      <w:r w:rsidRPr="00386A77">
        <w:rPr>
          <w:sz w:val="24"/>
          <w:rtl/>
        </w:rPr>
        <w:t xml:space="preserve"> </w:t>
      </w:r>
      <w:r w:rsidRPr="00386A77">
        <w:rPr>
          <w:rFonts w:hint="eastAsia"/>
          <w:sz w:val="24"/>
          <w:rtl/>
        </w:rPr>
        <w:t>כך</w:t>
      </w:r>
      <w:r w:rsidRPr="00386A77">
        <w:rPr>
          <w:sz w:val="24"/>
          <w:rtl/>
        </w:rPr>
        <w:t xml:space="preserve"> </w:t>
      </w:r>
      <w:r w:rsidRPr="00386A77">
        <w:rPr>
          <w:rFonts w:hint="eastAsia"/>
          <w:sz w:val="24"/>
          <w:rtl/>
        </w:rPr>
        <w:t>שלא</w:t>
      </w:r>
      <w:r w:rsidRPr="00386A77">
        <w:rPr>
          <w:sz w:val="24"/>
          <w:rtl/>
        </w:rPr>
        <w:t xml:space="preserve"> </w:t>
      </w:r>
      <w:r w:rsidRPr="00386A77">
        <w:rPr>
          <w:rFonts w:hint="eastAsia"/>
          <w:sz w:val="24"/>
          <w:rtl/>
        </w:rPr>
        <w:t>התקיים</w:t>
      </w:r>
      <w:r w:rsidRPr="00386A77">
        <w:rPr>
          <w:sz w:val="24"/>
          <w:rtl/>
        </w:rPr>
        <w:t xml:space="preserve"> </w:t>
      </w:r>
      <w:r w:rsidRPr="00386A77">
        <w:rPr>
          <w:rFonts w:hint="eastAsia"/>
          <w:sz w:val="24"/>
          <w:rtl/>
        </w:rPr>
        <w:t>כביכול</w:t>
      </w:r>
      <w:r w:rsidRPr="00386A77">
        <w:rPr>
          <w:sz w:val="24"/>
          <w:rtl/>
        </w:rPr>
        <w:t xml:space="preserve"> "</w:t>
      </w:r>
      <w:r w:rsidRPr="00386A77">
        <w:rPr>
          <w:rFonts w:hint="eastAsia"/>
          <w:sz w:val="24"/>
          <w:rtl/>
        </w:rPr>
        <w:t>יסוד</w:t>
      </w:r>
      <w:r w:rsidRPr="00386A77">
        <w:rPr>
          <w:sz w:val="24"/>
          <w:rtl/>
        </w:rPr>
        <w:t xml:space="preserve"> </w:t>
      </w:r>
      <w:r w:rsidRPr="00386A77">
        <w:rPr>
          <w:rFonts w:hint="eastAsia"/>
          <w:sz w:val="24"/>
          <w:rtl/>
        </w:rPr>
        <w:t>נפשי</w:t>
      </w:r>
      <w:r w:rsidRPr="00386A77">
        <w:rPr>
          <w:sz w:val="24"/>
          <w:rtl/>
        </w:rPr>
        <w:t xml:space="preserve">", </w:t>
      </w:r>
      <w:r w:rsidRPr="00386A77">
        <w:rPr>
          <w:rFonts w:hint="eastAsia"/>
          <w:sz w:val="24"/>
          <w:rtl/>
        </w:rPr>
        <w:t>כי</w:t>
      </w:r>
      <w:r w:rsidRPr="00386A77">
        <w:rPr>
          <w:sz w:val="24"/>
          <w:rtl/>
        </w:rPr>
        <w:t xml:space="preserve"> </w:t>
      </w:r>
      <w:r w:rsidRPr="00386A77">
        <w:rPr>
          <w:rFonts w:hint="eastAsia"/>
          <w:sz w:val="24"/>
          <w:rtl/>
        </w:rPr>
        <w:t>ביצעה</w:t>
      </w:r>
      <w:r w:rsidRPr="00386A77">
        <w:rPr>
          <w:sz w:val="24"/>
          <w:rtl/>
        </w:rPr>
        <w:t xml:space="preserve"> </w:t>
      </w:r>
      <w:r w:rsidRPr="00386A77">
        <w:rPr>
          <w:rFonts w:hint="eastAsia"/>
          <w:sz w:val="24"/>
          <w:rtl/>
        </w:rPr>
        <w:t>את</w:t>
      </w:r>
      <w:r w:rsidRPr="00386A77">
        <w:rPr>
          <w:sz w:val="24"/>
          <w:rtl/>
        </w:rPr>
        <w:t xml:space="preserve"> </w:t>
      </w:r>
      <w:r w:rsidRPr="00386A77">
        <w:rPr>
          <w:rFonts w:hint="eastAsia"/>
          <w:sz w:val="24"/>
          <w:rtl/>
        </w:rPr>
        <w:t>ההפרה</w:t>
      </w:r>
      <w:r w:rsidRPr="00386A77">
        <w:rPr>
          <w:sz w:val="24"/>
          <w:rtl/>
        </w:rPr>
        <w:t xml:space="preserve"> </w:t>
      </w:r>
      <w:r w:rsidRPr="00386A77">
        <w:rPr>
          <w:rFonts w:hint="eastAsia"/>
          <w:sz w:val="24"/>
          <w:rtl/>
        </w:rPr>
        <w:t>שלא</w:t>
      </w:r>
      <w:r w:rsidRPr="00386A77">
        <w:rPr>
          <w:sz w:val="24"/>
          <w:rtl/>
        </w:rPr>
        <w:t xml:space="preserve"> </w:t>
      </w:r>
      <w:r w:rsidRPr="00386A77">
        <w:rPr>
          <w:rFonts w:hint="eastAsia"/>
          <w:sz w:val="24"/>
          <w:rtl/>
        </w:rPr>
        <w:t>ביודעין</w:t>
      </w:r>
      <w:r w:rsidRPr="00386A77">
        <w:rPr>
          <w:sz w:val="24"/>
          <w:rtl/>
        </w:rPr>
        <w:t xml:space="preserve">. </w:t>
      </w:r>
      <w:r w:rsidRPr="00386A77">
        <w:rPr>
          <w:rFonts w:hint="eastAsia"/>
          <w:sz w:val="24"/>
          <w:rtl/>
        </w:rPr>
        <w:t>די</w:t>
      </w:r>
      <w:r w:rsidRPr="00386A77">
        <w:rPr>
          <w:sz w:val="24"/>
          <w:rtl/>
        </w:rPr>
        <w:t xml:space="preserve"> </w:t>
      </w:r>
      <w:r w:rsidRPr="00386A77">
        <w:rPr>
          <w:rFonts w:hint="eastAsia"/>
          <w:sz w:val="24"/>
          <w:rtl/>
        </w:rPr>
        <w:t>בעצם</w:t>
      </w:r>
      <w:r w:rsidRPr="00386A77">
        <w:rPr>
          <w:sz w:val="24"/>
          <w:rtl/>
        </w:rPr>
        <w:t xml:space="preserve"> </w:t>
      </w:r>
      <w:r w:rsidRPr="00386A77">
        <w:rPr>
          <w:rFonts w:hint="eastAsia"/>
          <w:sz w:val="24"/>
          <w:rtl/>
        </w:rPr>
        <w:t>ההפרה</w:t>
      </w:r>
      <w:r w:rsidRPr="00386A77">
        <w:rPr>
          <w:sz w:val="24"/>
          <w:rtl/>
        </w:rPr>
        <w:t xml:space="preserve">, </w:t>
      </w:r>
      <w:r w:rsidRPr="00386A77">
        <w:rPr>
          <w:rFonts w:hint="eastAsia"/>
          <w:sz w:val="24"/>
          <w:rtl/>
        </w:rPr>
        <w:t>אין</w:t>
      </w:r>
      <w:r w:rsidRPr="00386A77">
        <w:rPr>
          <w:sz w:val="24"/>
          <w:rtl/>
        </w:rPr>
        <w:t xml:space="preserve"> </w:t>
      </w:r>
      <w:r w:rsidRPr="00386A77">
        <w:rPr>
          <w:rFonts w:hint="eastAsia"/>
          <w:sz w:val="24"/>
          <w:rtl/>
        </w:rPr>
        <w:t>צורך</w:t>
      </w:r>
      <w:r w:rsidRPr="00386A77">
        <w:rPr>
          <w:sz w:val="24"/>
          <w:rtl/>
        </w:rPr>
        <w:t xml:space="preserve"> </w:t>
      </w:r>
      <w:r w:rsidRPr="00386A77">
        <w:rPr>
          <w:rFonts w:hint="eastAsia"/>
          <w:sz w:val="24"/>
          <w:rtl/>
        </w:rPr>
        <w:t>בידיעה</w:t>
      </w:r>
      <w:r w:rsidRPr="00386A77">
        <w:rPr>
          <w:sz w:val="24"/>
          <w:rtl/>
        </w:rPr>
        <w:t xml:space="preserve"> </w:t>
      </w:r>
      <w:r w:rsidRPr="00386A77">
        <w:rPr>
          <w:rFonts w:hint="eastAsia"/>
          <w:sz w:val="24"/>
          <w:rtl/>
        </w:rPr>
        <w:t>על</w:t>
      </w:r>
      <w:r w:rsidRPr="00386A77">
        <w:rPr>
          <w:sz w:val="24"/>
          <w:rtl/>
        </w:rPr>
        <w:t xml:space="preserve"> </w:t>
      </w:r>
      <w:r w:rsidRPr="00386A77">
        <w:rPr>
          <w:rFonts w:hint="eastAsia"/>
          <w:sz w:val="24"/>
          <w:rtl/>
        </w:rPr>
        <w:t>ההפרה</w:t>
      </w:r>
      <w:r w:rsidRPr="00386A77">
        <w:rPr>
          <w:sz w:val="24"/>
          <w:rtl/>
        </w:rPr>
        <w:t xml:space="preserve">. </w:t>
      </w:r>
      <w:r w:rsidRPr="00386A77">
        <w:rPr>
          <w:rFonts w:hint="eastAsia"/>
          <w:sz w:val="24"/>
          <w:rtl/>
        </w:rPr>
        <w:t>כיוצא</w:t>
      </w:r>
      <w:r w:rsidRPr="00386A77">
        <w:rPr>
          <w:sz w:val="24"/>
          <w:rtl/>
        </w:rPr>
        <w:t xml:space="preserve"> </w:t>
      </w:r>
      <w:r w:rsidRPr="00386A77">
        <w:rPr>
          <w:rFonts w:hint="eastAsia"/>
          <w:sz w:val="24"/>
          <w:rtl/>
        </w:rPr>
        <w:t>בזה</w:t>
      </w:r>
      <w:r w:rsidRPr="00386A77">
        <w:rPr>
          <w:sz w:val="24"/>
          <w:rtl/>
        </w:rPr>
        <w:t xml:space="preserve"> </w:t>
      </w:r>
      <w:r w:rsidRPr="00386A77">
        <w:rPr>
          <w:rFonts w:hint="eastAsia"/>
          <w:sz w:val="24"/>
          <w:rtl/>
        </w:rPr>
        <w:t>לעניין</w:t>
      </w:r>
      <w:r w:rsidRPr="00386A77">
        <w:rPr>
          <w:sz w:val="24"/>
          <w:rtl/>
        </w:rPr>
        <w:t xml:space="preserve"> </w:t>
      </w:r>
      <w:r w:rsidRPr="00386A77">
        <w:rPr>
          <w:rFonts w:hint="eastAsia"/>
          <w:sz w:val="24"/>
          <w:rtl/>
        </w:rPr>
        <w:t>הנזק</w:t>
      </w:r>
      <w:r w:rsidRPr="00386A77">
        <w:rPr>
          <w:sz w:val="24"/>
          <w:rtl/>
        </w:rPr>
        <w:t xml:space="preserve">. </w:t>
      </w:r>
      <w:r w:rsidRPr="00386A77">
        <w:rPr>
          <w:rFonts w:hint="eastAsia"/>
          <w:sz w:val="24"/>
          <w:rtl/>
        </w:rPr>
        <w:t>כאמור</w:t>
      </w:r>
      <w:r w:rsidRPr="00386A77">
        <w:rPr>
          <w:sz w:val="24"/>
          <w:rtl/>
        </w:rPr>
        <w:t xml:space="preserve"> </w:t>
      </w:r>
      <w:r w:rsidRPr="00386A77">
        <w:rPr>
          <w:rFonts w:hint="eastAsia"/>
          <w:sz w:val="24"/>
          <w:rtl/>
        </w:rPr>
        <w:t>לעיל</w:t>
      </w:r>
      <w:r w:rsidRPr="00386A77">
        <w:rPr>
          <w:sz w:val="24"/>
          <w:rtl/>
        </w:rPr>
        <w:t xml:space="preserve">, </w:t>
      </w:r>
      <w:r w:rsidRPr="00386A77">
        <w:rPr>
          <w:rFonts w:hint="eastAsia"/>
          <w:sz w:val="24"/>
          <w:rtl/>
        </w:rPr>
        <w:t>על</w:t>
      </w:r>
      <w:r w:rsidRPr="00386A77">
        <w:rPr>
          <w:sz w:val="24"/>
          <w:rtl/>
        </w:rPr>
        <w:t xml:space="preserve"> </w:t>
      </w:r>
      <w:r w:rsidRPr="00386A77">
        <w:rPr>
          <w:rFonts w:hint="eastAsia"/>
          <w:sz w:val="24"/>
          <w:rtl/>
        </w:rPr>
        <w:t>מנת</w:t>
      </w:r>
      <w:r w:rsidRPr="00386A77">
        <w:rPr>
          <w:sz w:val="24"/>
          <w:rtl/>
        </w:rPr>
        <w:t xml:space="preserve"> </w:t>
      </w:r>
      <w:r w:rsidRPr="00386A77">
        <w:rPr>
          <w:rFonts w:hint="eastAsia"/>
          <w:sz w:val="24"/>
          <w:rtl/>
        </w:rPr>
        <w:t>להטיל</w:t>
      </w:r>
      <w:r w:rsidRPr="00386A77">
        <w:rPr>
          <w:sz w:val="24"/>
          <w:rtl/>
        </w:rPr>
        <w:t xml:space="preserve"> </w:t>
      </w:r>
      <w:r w:rsidRPr="00386A77">
        <w:rPr>
          <w:rFonts w:hint="eastAsia"/>
          <w:sz w:val="24"/>
          <w:rtl/>
        </w:rPr>
        <w:t>עיצום</w:t>
      </w:r>
      <w:r w:rsidRPr="00386A77">
        <w:rPr>
          <w:sz w:val="24"/>
          <w:rtl/>
        </w:rPr>
        <w:t xml:space="preserve"> </w:t>
      </w:r>
      <w:r w:rsidRPr="00386A77">
        <w:rPr>
          <w:rFonts w:hint="eastAsia"/>
          <w:sz w:val="24"/>
          <w:rtl/>
        </w:rPr>
        <w:t>כספי</w:t>
      </w:r>
      <w:r w:rsidRPr="00386A77">
        <w:rPr>
          <w:sz w:val="24"/>
          <w:rtl/>
        </w:rPr>
        <w:t xml:space="preserve"> </w:t>
      </w:r>
      <w:r w:rsidRPr="00386A77">
        <w:rPr>
          <w:rFonts w:hint="eastAsia"/>
          <w:sz w:val="24"/>
          <w:rtl/>
        </w:rPr>
        <w:t>אין</w:t>
      </w:r>
      <w:r w:rsidRPr="00386A77">
        <w:rPr>
          <w:sz w:val="24"/>
          <w:rtl/>
        </w:rPr>
        <w:t xml:space="preserve"> </w:t>
      </w:r>
      <w:r w:rsidRPr="00386A77">
        <w:rPr>
          <w:rFonts w:hint="eastAsia"/>
          <w:sz w:val="24"/>
          <w:rtl/>
        </w:rPr>
        <w:t>צורך</w:t>
      </w:r>
      <w:r w:rsidRPr="00386A77">
        <w:rPr>
          <w:sz w:val="24"/>
          <w:rtl/>
        </w:rPr>
        <w:t xml:space="preserve"> </w:t>
      </w:r>
      <w:r w:rsidRPr="00386A77">
        <w:rPr>
          <w:rFonts w:hint="eastAsia"/>
          <w:sz w:val="24"/>
          <w:rtl/>
        </w:rPr>
        <w:t>בהוכחת</w:t>
      </w:r>
      <w:r w:rsidRPr="00386A77">
        <w:rPr>
          <w:sz w:val="24"/>
          <w:rtl/>
        </w:rPr>
        <w:t xml:space="preserve"> </w:t>
      </w:r>
      <w:r w:rsidRPr="00386A77">
        <w:rPr>
          <w:rFonts w:hint="eastAsia"/>
          <w:sz w:val="24"/>
          <w:rtl/>
        </w:rPr>
        <w:t>נזק</w:t>
      </w:r>
      <w:r w:rsidRPr="00386A77">
        <w:rPr>
          <w:rFonts w:hint="cs"/>
          <w:sz w:val="24"/>
          <w:rtl/>
        </w:rPr>
        <w:t>"</w:t>
      </w:r>
      <w:r w:rsidRPr="00386A77">
        <w:rPr>
          <w:rStyle w:val="FootnoteReference"/>
          <w:sz w:val="24"/>
          <w:rtl/>
        </w:rPr>
        <w:footnoteReference w:id="74"/>
      </w:r>
      <w:r w:rsidRPr="00386A77">
        <w:rPr>
          <w:rFonts w:hint="cs"/>
          <w:sz w:val="24"/>
          <w:rtl/>
        </w:rPr>
        <w:t xml:space="preserve"> </w:t>
      </w:r>
      <w:r w:rsidR="00974CB5">
        <w:rPr>
          <w:rFonts w:hint="cs"/>
          <w:sz w:val="24"/>
          <w:rtl/>
        </w:rPr>
        <w:t>.</w:t>
      </w:r>
    </w:p>
    <w:p w:rsidR="00B67F0C" w:rsidRDefault="00B67F0C" w:rsidP="00960CC9">
      <w:pPr>
        <w:rPr>
          <w:sz w:val="24"/>
          <w:rtl/>
        </w:rPr>
      </w:pPr>
      <w:r>
        <w:rPr>
          <w:rFonts w:hint="cs"/>
          <w:sz w:val="24"/>
          <w:rtl/>
        </w:rPr>
        <w:t>אשר על כן, לא ניתן לקבל את טענת ההגנה של חברת החשמל ונושאי המשרה</w:t>
      </w:r>
      <w:r w:rsidR="00960CC9">
        <w:rPr>
          <w:rFonts w:hint="cs"/>
          <w:sz w:val="24"/>
          <w:rtl/>
        </w:rPr>
        <w:t xml:space="preserve"> בהקשר זה</w:t>
      </w:r>
      <w:r>
        <w:rPr>
          <w:rFonts w:hint="cs"/>
          <w:sz w:val="24"/>
          <w:rtl/>
        </w:rPr>
        <w:t>.</w:t>
      </w:r>
    </w:p>
    <w:p w:rsidR="000D7AE2" w:rsidRPr="00405B7C" w:rsidRDefault="00651ED7" w:rsidP="00260016">
      <w:pPr>
        <w:spacing w:line="240" w:lineRule="auto"/>
      </w:pPr>
      <w:r>
        <w:rPr>
          <w:rtl/>
        </w:rPr>
        <w:tab/>
      </w:r>
    </w:p>
    <w:p w:rsidR="007E59CE" w:rsidRPr="006838DF" w:rsidRDefault="007E59CE" w:rsidP="006838DF">
      <w:pPr>
        <w:pStyle w:val="Heading1"/>
        <w:numPr>
          <w:ilvl w:val="0"/>
          <w:numId w:val="2"/>
        </w:numPr>
        <w:rPr>
          <w:b/>
          <w:bCs/>
        </w:rPr>
      </w:pPr>
      <w:bookmarkStart w:id="50" w:name="_Toc476497433"/>
      <w:r w:rsidRPr="006838DF">
        <w:rPr>
          <w:rFonts w:hint="cs"/>
          <w:b/>
          <w:bCs/>
          <w:szCs w:val="22"/>
          <w:rtl/>
        </w:rPr>
        <w:t>סיכום</w:t>
      </w:r>
      <w:r w:rsidRPr="006838DF">
        <w:rPr>
          <w:rFonts w:hint="cs"/>
          <w:b/>
          <w:bCs/>
          <w:rtl/>
        </w:rPr>
        <w:t xml:space="preserve"> </w:t>
      </w:r>
      <w:r w:rsidRPr="006838DF">
        <w:rPr>
          <w:b/>
          <w:bCs/>
          <w:rtl/>
        </w:rPr>
        <w:t>–</w:t>
      </w:r>
      <w:r w:rsidRPr="006838DF">
        <w:rPr>
          <w:rFonts w:hint="cs"/>
          <w:b/>
          <w:bCs/>
          <w:rtl/>
        </w:rPr>
        <w:t xml:space="preserve"> קביעה </w:t>
      </w:r>
      <w:r w:rsidR="00FC4E93" w:rsidRPr="006838DF">
        <w:rPr>
          <w:rFonts w:hint="cs"/>
          <w:b/>
          <w:bCs/>
          <w:rtl/>
        </w:rPr>
        <w:t xml:space="preserve">ודרישת </w:t>
      </w:r>
      <w:r w:rsidR="00023ED5" w:rsidRPr="006838DF">
        <w:rPr>
          <w:rFonts w:hint="cs"/>
          <w:b/>
          <w:bCs/>
          <w:rtl/>
        </w:rPr>
        <w:t>תשלום</w:t>
      </w:r>
      <w:bookmarkEnd w:id="50"/>
    </w:p>
    <w:p w:rsidR="00FC4E93" w:rsidRPr="00AA7D67" w:rsidRDefault="0085424D" w:rsidP="00AA7D67">
      <w:pPr>
        <w:rPr>
          <w:sz w:val="24"/>
          <w:rtl/>
        </w:rPr>
      </w:pPr>
      <w:r>
        <w:rPr>
          <w:rFonts w:hint="cs"/>
          <w:sz w:val="24"/>
          <w:rtl/>
        </w:rPr>
        <w:t>אשר על כן ו</w:t>
      </w:r>
      <w:r w:rsidR="00FC4E93" w:rsidRPr="00AA7D67">
        <w:rPr>
          <w:rFonts w:hint="cs"/>
          <w:sz w:val="24"/>
          <w:rtl/>
        </w:rPr>
        <w:t xml:space="preserve">בהתאם לסמכותי על פי סעיף 43(א)(5) לחוק, אני קובע כי חברת </w:t>
      </w:r>
      <w:r w:rsidR="00FC4E93">
        <w:rPr>
          <w:rFonts w:hint="cs"/>
          <w:sz w:val="24"/>
          <w:rtl/>
        </w:rPr>
        <w:t>החשמל</w:t>
      </w:r>
      <w:r w:rsidR="00FC4E93" w:rsidRPr="00AA7D67">
        <w:rPr>
          <w:rFonts w:hint="cs"/>
          <w:sz w:val="24"/>
          <w:rtl/>
        </w:rPr>
        <w:t xml:space="preserve"> ניצלה את מעמדה המונופוליסטי </w:t>
      </w:r>
      <w:r w:rsidR="00FC4E93">
        <w:rPr>
          <w:rFonts w:hint="cs"/>
          <w:rtl/>
        </w:rPr>
        <w:t xml:space="preserve">לרעה בניגוד </w:t>
      </w:r>
      <w:r w:rsidR="00FC4E93" w:rsidRPr="00B30A10">
        <w:rPr>
          <w:rFonts w:hint="cs"/>
          <w:rtl/>
        </w:rPr>
        <w:t xml:space="preserve">להוראת </w:t>
      </w:r>
      <w:r w:rsidR="00FC4E93">
        <w:rPr>
          <w:rFonts w:hint="cs"/>
          <w:rtl/>
        </w:rPr>
        <w:t>סעיפים</w:t>
      </w:r>
      <w:r w:rsidR="00FC4E93" w:rsidRPr="00B30A10">
        <w:rPr>
          <w:rFonts w:hint="cs"/>
          <w:rtl/>
        </w:rPr>
        <w:t xml:space="preserve"> 29א(א)</w:t>
      </w:r>
      <w:r w:rsidR="00FC4E93">
        <w:rPr>
          <w:rFonts w:hint="cs"/>
          <w:rtl/>
        </w:rPr>
        <w:t>, 29א(ב)(2),29א(ב)(3) ו-29א(ב)(4) לחוק</w:t>
      </w:r>
      <w:r w:rsidR="00FC4E93">
        <w:rPr>
          <w:rFonts w:hint="cs"/>
          <w:sz w:val="24"/>
          <w:rtl/>
        </w:rPr>
        <w:t>.</w:t>
      </w:r>
      <w:r w:rsidR="00FC4E93" w:rsidRPr="00FC4E93">
        <w:rPr>
          <w:rFonts w:hint="cs"/>
          <w:sz w:val="24"/>
          <w:rtl/>
        </w:rPr>
        <w:t xml:space="preserve"> </w:t>
      </w:r>
      <w:r w:rsidR="00FC4E93" w:rsidRPr="00AA7D67">
        <w:rPr>
          <w:rFonts w:hint="cs"/>
          <w:sz w:val="24"/>
          <w:rtl/>
        </w:rPr>
        <w:t xml:space="preserve">הקביעה תהא ראיה לכאורה לנקבע בה בכל הליך משפטי בהתאם לסעיף 43(ה) לחוק.  חברת </w:t>
      </w:r>
      <w:r w:rsidR="00FC4E93">
        <w:rPr>
          <w:rFonts w:hint="cs"/>
          <w:sz w:val="24"/>
          <w:rtl/>
        </w:rPr>
        <w:t>החשמל</w:t>
      </w:r>
      <w:r w:rsidR="00FC4E93" w:rsidRPr="00AA7D67">
        <w:rPr>
          <w:rFonts w:hint="cs"/>
          <w:sz w:val="24"/>
          <w:rtl/>
        </w:rPr>
        <w:t xml:space="preserve"> רשאית לערור על קביעה זו, או על חלקה, בדרך של ערר לבית הדין להגבלים עסקיים בתוך 30 יום מיום קבלת הודעה על קביעה זו.</w:t>
      </w:r>
    </w:p>
    <w:p w:rsidR="00FC4E93" w:rsidRPr="00AA7D67" w:rsidRDefault="00FC4E93" w:rsidP="00AA7D67">
      <w:pPr>
        <w:rPr>
          <w:sz w:val="24"/>
          <w:rtl/>
        </w:rPr>
      </w:pPr>
      <w:r>
        <w:rPr>
          <w:rFonts w:hint="cs"/>
          <w:sz w:val="24"/>
          <w:rtl/>
        </w:rPr>
        <w:t>כמו כן,</w:t>
      </w:r>
      <w:r w:rsidRPr="00AA7D67">
        <w:rPr>
          <w:rFonts w:hint="cs"/>
          <w:sz w:val="24"/>
          <w:rtl/>
        </w:rPr>
        <w:t xml:space="preserve"> בהתאם לסמכותי על פי סעיף 50ד(א)(3) לחוק, ראיתי לנכון להטיל על כל אחד מהמפרים עיצום כספי בגין הפרת סעי</w:t>
      </w:r>
      <w:r w:rsidR="00240E60">
        <w:rPr>
          <w:rFonts w:hint="cs"/>
          <w:sz w:val="24"/>
          <w:rtl/>
        </w:rPr>
        <w:t>פים 29</w:t>
      </w:r>
      <w:r w:rsidR="00AA7D67">
        <w:rPr>
          <w:rFonts w:hint="cs"/>
          <w:sz w:val="24"/>
          <w:rtl/>
        </w:rPr>
        <w:t>,</w:t>
      </w:r>
      <w:r w:rsidR="00240E60">
        <w:rPr>
          <w:rFonts w:hint="cs"/>
          <w:sz w:val="24"/>
          <w:rtl/>
        </w:rPr>
        <w:t xml:space="preserve"> </w:t>
      </w:r>
      <w:r w:rsidR="00AA7D67" w:rsidRPr="00B30A10">
        <w:rPr>
          <w:rFonts w:hint="cs"/>
          <w:rtl/>
        </w:rPr>
        <w:t>29א(א)</w:t>
      </w:r>
      <w:r w:rsidR="00AA7D67">
        <w:rPr>
          <w:rFonts w:hint="cs"/>
          <w:rtl/>
        </w:rPr>
        <w:t xml:space="preserve">, 29א(ב)(2),29א(ב)(3) ו-29א(ב)(4) </w:t>
      </w:r>
      <w:r w:rsidRPr="00AA7D67">
        <w:rPr>
          <w:rFonts w:hint="cs"/>
          <w:sz w:val="24"/>
          <w:rtl/>
        </w:rPr>
        <w:t xml:space="preserve">לחוק, כדלקמן: </w:t>
      </w:r>
    </w:p>
    <w:p w:rsidR="00FC4E93" w:rsidRPr="00AA7D67" w:rsidRDefault="00FC4E93" w:rsidP="00AA7D67">
      <w:pPr>
        <w:rPr>
          <w:sz w:val="24"/>
          <w:rtl/>
        </w:rPr>
      </w:pPr>
      <w:r w:rsidRPr="00AA7D67">
        <w:rPr>
          <w:rFonts w:hint="cs"/>
          <w:sz w:val="24"/>
          <w:rtl/>
        </w:rPr>
        <w:t xml:space="preserve">חברת </w:t>
      </w:r>
      <w:r>
        <w:rPr>
          <w:rFonts w:hint="cs"/>
          <w:sz w:val="24"/>
          <w:rtl/>
        </w:rPr>
        <w:t>החשמל</w:t>
      </w:r>
      <w:r w:rsidRPr="00AA7D67">
        <w:rPr>
          <w:rFonts w:hint="cs"/>
          <w:sz w:val="24"/>
          <w:rtl/>
        </w:rPr>
        <w:t xml:space="preserve"> תשלם לאוצר המדינה סכום של </w:t>
      </w:r>
      <w:r>
        <w:rPr>
          <w:rFonts w:hint="cs"/>
          <w:sz w:val="24"/>
          <w:rtl/>
        </w:rPr>
        <w:t>13</w:t>
      </w:r>
      <w:r w:rsidRPr="00AA7D67">
        <w:rPr>
          <w:rFonts w:hint="cs"/>
          <w:sz w:val="24"/>
          <w:rtl/>
        </w:rPr>
        <w:t xml:space="preserve"> מ</w:t>
      </w:r>
      <w:r w:rsidR="00997DAD">
        <w:rPr>
          <w:rFonts w:hint="cs"/>
          <w:sz w:val="24"/>
          <w:rtl/>
        </w:rPr>
        <w:t>י</w:t>
      </w:r>
      <w:r w:rsidRPr="00AA7D67">
        <w:rPr>
          <w:rFonts w:hint="cs"/>
          <w:sz w:val="24"/>
          <w:rtl/>
        </w:rPr>
        <w:t xml:space="preserve">ליון ש"ח </w:t>
      </w:r>
      <w:r>
        <w:rPr>
          <w:rFonts w:hint="cs"/>
          <w:sz w:val="24"/>
          <w:rtl/>
        </w:rPr>
        <w:t>בתוך 30 יום ממועד החלטתי זו</w:t>
      </w:r>
      <w:r w:rsidRPr="00AA7D67">
        <w:rPr>
          <w:rFonts w:hint="cs"/>
          <w:sz w:val="24"/>
          <w:rtl/>
        </w:rPr>
        <w:t>;</w:t>
      </w:r>
    </w:p>
    <w:p w:rsidR="00FC4E93" w:rsidRPr="00AA7D67" w:rsidRDefault="00FC4E93" w:rsidP="00AA7D67">
      <w:pPr>
        <w:rPr>
          <w:sz w:val="24"/>
          <w:rtl/>
        </w:rPr>
      </w:pPr>
      <w:r w:rsidRPr="00AA7D67">
        <w:rPr>
          <w:rFonts w:hint="cs"/>
          <w:sz w:val="24"/>
          <w:rtl/>
        </w:rPr>
        <w:t xml:space="preserve">מר </w:t>
      </w:r>
      <w:r w:rsidR="009F50C0" w:rsidRPr="00AD74BA">
        <w:rPr>
          <w:rFonts w:hint="cs"/>
          <w:color w:val="000000"/>
          <w:sz w:val="20"/>
          <w:szCs w:val="20"/>
          <w:highlight w:val="black"/>
        </w:rPr>
        <w:t>XXX</w:t>
      </w:r>
      <w:r w:rsidRPr="00AD74BA">
        <w:rPr>
          <w:rFonts w:hint="cs"/>
          <w:sz w:val="20"/>
          <w:szCs w:val="20"/>
          <w:rtl/>
        </w:rPr>
        <w:t xml:space="preserve"> </w:t>
      </w:r>
      <w:r w:rsidRPr="00AA7D67">
        <w:rPr>
          <w:rFonts w:hint="cs"/>
          <w:sz w:val="24"/>
          <w:rtl/>
        </w:rPr>
        <w:t xml:space="preserve">ישלם לאוצר המדינה סכום של </w:t>
      </w:r>
      <w:r>
        <w:rPr>
          <w:rFonts w:hint="cs"/>
          <w:sz w:val="24"/>
          <w:rtl/>
        </w:rPr>
        <w:t>165,000</w:t>
      </w:r>
      <w:r w:rsidRPr="00AA7D67">
        <w:rPr>
          <w:rFonts w:hint="cs"/>
          <w:sz w:val="24"/>
          <w:rtl/>
        </w:rPr>
        <w:t xml:space="preserve"> ש"ח </w:t>
      </w:r>
      <w:r>
        <w:rPr>
          <w:rFonts w:hint="cs"/>
          <w:sz w:val="24"/>
          <w:rtl/>
        </w:rPr>
        <w:t>בתוך 30 יום ממועד החלטתי זו</w:t>
      </w:r>
      <w:r w:rsidRPr="00AA7D67">
        <w:rPr>
          <w:rFonts w:hint="cs"/>
          <w:sz w:val="24"/>
          <w:rtl/>
        </w:rPr>
        <w:t>;</w:t>
      </w:r>
    </w:p>
    <w:p w:rsidR="00FC4E93" w:rsidRPr="00AA7D67" w:rsidRDefault="00FC4E93" w:rsidP="00AA7D67">
      <w:pPr>
        <w:rPr>
          <w:sz w:val="24"/>
          <w:rtl/>
        </w:rPr>
      </w:pPr>
      <w:r w:rsidRPr="00AA7D67">
        <w:rPr>
          <w:rFonts w:hint="cs"/>
          <w:sz w:val="24"/>
          <w:rtl/>
        </w:rPr>
        <w:t xml:space="preserve">מר </w:t>
      </w:r>
      <w:r w:rsidR="009F50C0" w:rsidRPr="00AD74BA">
        <w:rPr>
          <w:rFonts w:hint="cs"/>
          <w:color w:val="000000"/>
          <w:sz w:val="20"/>
          <w:szCs w:val="20"/>
          <w:highlight w:val="black"/>
        </w:rPr>
        <w:t>XXX</w:t>
      </w:r>
      <w:r w:rsidRPr="00AD74BA">
        <w:rPr>
          <w:rFonts w:hint="cs"/>
          <w:sz w:val="20"/>
          <w:szCs w:val="20"/>
          <w:rtl/>
        </w:rPr>
        <w:t xml:space="preserve"> </w:t>
      </w:r>
      <w:r w:rsidRPr="00AA7D67">
        <w:rPr>
          <w:rFonts w:hint="cs"/>
          <w:sz w:val="24"/>
          <w:rtl/>
        </w:rPr>
        <w:t xml:space="preserve">ישלם לאוצר המדינה סכום של </w:t>
      </w:r>
      <w:r>
        <w:rPr>
          <w:rFonts w:hint="cs"/>
          <w:sz w:val="24"/>
          <w:rtl/>
        </w:rPr>
        <w:t>110,000</w:t>
      </w:r>
      <w:r w:rsidRPr="00AA7D67">
        <w:rPr>
          <w:rFonts w:hint="cs"/>
          <w:sz w:val="24"/>
          <w:rtl/>
        </w:rPr>
        <w:t xml:space="preserve"> ש"ח </w:t>
      </w:r>
      <w:r>
        <w:rPr>
          <w:rFonts w:hint="cs"/>
          <w:sz w:val="24"/>
          <w:rtl/>
        </w:rPr>
        <w:t>בתוך 30 יום ממועד החלטתי זו</w:t>
      </w:r>
      <w:r w:rsidRPr="00AA7D67">
        <w:rPr>
          <w:rFonts w:hint="cs"/>
          <w:sz w:val="24"/>
          <w:rtl/>
        </w:rPr>
        <w:t>.</w:t>
      </w:r>
    </w:p>
    <w:p w:rsidR="00FC4E93" w:rsidRPr="00AA7D67" w:rsidRDefault="00FC4E93" w:rsidP="00AA7D67">
      <w:pPr>
        <w:rPr>
          <w:sz w:val="24"/>
          <w:rtl/>
        </w:rPr>
      </w:pPr>
      <w:r w:rsidRPr="00AA7D67">
        <w:rPr>
          <w:rFonts w:hint="cs"/>
          <w:sz w:val="24"/>
          <w:rtl/>
        </w:rPr>
        <w:t xml:space="preserve">בהתאם לסעיף 50יג(א) לחוק, חברת </w:t>
      </w:r>
      <w:r>
        <w:rPr>
          <w:rFonts w:hint="cs"/>
          <w:sz w:val="24"/>
          <w:rtl/>
        </w:rPr>
        <w:t>החשמל</w:t>
      </w:r>
      <w:r w:rsidRPr="00AA7D67">
        <w:rPr>
          <w:rFonts w:hint="cs"/>
          <w:sz w:val="24"/>
          <w:rtl/>
        </w:rPr>
        <w:t xml:space="preserve"> ונושאי המשרה רשאים לערור על דרישת התשלום לפני בית הדין בתוך 30 ימים מיום מסירת הדרישה להם.</w:t>
      </w:r>
    </w:p>
    <w:p w:rsidR="00260016" w:rsidRDefault="00260016" w:rsidP="00260016">
      <w:pPr>
        <w:spacing w:before="0" w:line="240" w:lineRule="auto"/>
        <w:ind w:left="5431"/>
        <w:jc w:val="center"/>
        <w:rPr>
          <w:rStyle w:val="Strong"/>
          <w:rFonts w:ascii="David" w:hAnsi="David"/>
          <w:b w:val="0"/>
          <w:bCs w:val="0"/>
          <w:rtl/>
        </w:rPr>
      </w:pPr>
      <w:bookmarkStart w:id="51" w:name="_GoBack"/>
      <w:bookmarkEnd w:id="51"/>
      <w:r>
        <w:rPr>
          <w:rStyle w:val="Strong"/>
          <w:rFonts w:ascii="David" w:hAnsi="David" w:hint="cs"/>
          <w:b w:val="0"/>
          <w:bCs w:val="0"/>
          <w:rtl/>
        </w:rPr>
        <w:t>_________________</w:t>
      </w:r>
    </w:p>
    <w:p w:rsidR="00260016" w:rsidRDefault="00260016" w:rsidP="00260016">
      <w:pPr>
        <w:spacing w:before="0" w:line="240" w:lineRule="auto"/>
        <w:ind w:left="5432"/>
        <w:jc w:val="center"/>
        <w:rPr>
          <w:rStyle w:val="Strong"/>
          <w:rFonts w:ascii="David" w:hAnsi="David"/>
          <w:b w:val="0"/>
          <w:bCs w:val="0"/>
          <w:rtl/>
        </w:rPr>
      </w:pPr>
      <w:r>
        <w:rPr>
          <w:rStyle w:val="Strong"/>
          <w:rFonts w:ascii="David" w:hAnsi="David" w:hint="cs"/>
          <w:b w:val="0"/>
          <w:bCs w:val="0"/>
          <w:rtl/>
        </w:rPr>
        <w:t>אורי שוורץ</w:t>
      </w:r>
    </w:p>
    <w:p w:rsidR="00260016" w:rsidRDefault="00421CD5" w:rsidP="00421CD5">
      <w:pPr>
        <w:spacing w:before="0" w:line="240" w:lineRule="auto"/>
        <w:ind w:left="5432"/>
        <w:jc w:val="center"/>
        <w:rPr>
          <w:rStyle w:val="Strong"/>
          <w:rFonts w:ascii="David" w:hAnsi="David"/>
          <w:b w:val="0"/>
          <w:bCs w:val="0"/>
          <w:rtl/>
        </w:rPr>
      </w:pPr>
      <w:r>
        <w:rPr>
          <w:rStyle w:val="Strong"/>
          <w:rFonts w:ascii="David" w:hAnsi="David" w:hint="cs"/>
          <w:b w:val="0"/>
          <w:bCs w:val="0"/>
          <w:rtl/>
        </w:rPr>
        <w:t xml:space="preserve">מ"מ </w:t>
      </w:r>
      <w:r w:rsidR="00260016">
        <w:rPr>
          <w:rStyle w:val="Strong"/>
          <w:rFonts w:ascii="David" w:hAnsi="David" w:hint="cs"/>
          <w:b w:val="0"/>
          <w:bCs w:val="0"/>
          <w:rtl/>
        </w:rPr>
        <w:t xml:space="preserve">הממונה על הגבלים עסקיים </w:t>
      </w:r>
    </w:p>
    <w:p w:rsidR="00260016" w:rsidRDefault="00260016" w:rsidP="00260016">
      <w:pPr>
        <w:tabs>
          <w:tab w:val="left" w:pos="2657"/>
        </w:tabs>
        <w:spacing w:before="0" w:line="240" w:lineRule="auto"/>
        <w:rPr>
          <w:rStyle w:val="Strong"/>
          <w:rFonts w:ascii="David" w:hAnsi="David"/>
          <w:b w:val="0"/>
          <w:bCs w:val="0"/>
          <w:rtl/>
        </w:rPr>
      </w:pPr>
      <w:r>
        <w:rPr>
          <w:rStyle w:val="Strong"/>
          <w:rFonts w:ascii="David" w:hAnsi="David" w:hint="cs"/>
          <w:b w:val="0"/>
          <w:bCs w:val="0"/>
          <w:rtl/>
        </w:rPr>
        <w:t>ירושלים, ‏</w:t>
      </w:r>
      <w:r>
        <w:rPr>
          <w:rStyle w:val="Strong"/>
          <w:rFonts w:ascii="David" w:hAnsi="David" w:hint="eastAsia"/>
          <w:b w:val="0"/>
          <w:bCs w:val="0"/>
          <w:rtl/>
        </w:rPr>
        <w:t>‏</w:t>
      </w:r>
      <w:r>
        <w:rPr>
          <w:rStyle w:val="Strong"/>
          <w:rFonts w:ascii="David" w:hAnsi="David" w:hint="cs"/>
          <w:b w:val="0"/>
          <w:bCs w:val="0"/>
          <w:rtl/>
        </w:rPr>
        <w:t>ח</w:t>
      </w:r>
      <w:r>
        <w:rPr>
          <w:rStyle w:val="Strong"/>
          <w:rFonts w:ascii="David" w:hAnsi="David"/>
          <w:b w:val="0"/>
          <w:bCs w:val="0"/>
          <w:rtl/>
        </w:rPr>
        <w:t xml:space="preserve">' </w:t>
      </w:r>
      <w:r>
        <w:rPr>
          <w:rStyle w:val="Strong"/>
          <w:rFonts w:ascii="David" w:hAnsi="David" w:hint="cs"/>
          <w:b w:val="0"/>
          <w:bCs w:val="0"/>
          <w:rtl/>
        </w:rPr>
        <w:t>ב</w:t>
      </w:r>
      <w:r>
        <w:rPr>
          <w:rStyle w:val="Strong"/>
          <w:rFonts w:ascii="David" w:hAnsi="David"/>
          <w:b w:val="0"/>
          <w:bCs w:val="0"/>
          <w:rtl/>
        </w:rPr>
        <w:t>אדר תשע"ז</w:t>
      </w:r>
    </w:p>
    <w:p w:rsidR="009F50C0" w:rsidRPr="00D608B1" w:rsidRDefault="00260016" w:rsidP="00AD74BA">
      <w:pPr>
        <w:spacing w:before="0" w:line="240" w:lineRule="auto"/>
        <w:rPr>
          <w:sz w:val="24"/>
        </w:rPr>
      </w:pPr>
      <w:r>
        <w:rPr>
          <w:rStyle w:val="Strong"/>
          <w:rFonts w:ascii="David" w:hAnsi="David" w:hint="cs"/>
          <w:b w:val="0"/>
          <w:bCs w:val="0"/>
          <w:rtl/>
        </w:rPr>
        <w:t xml:space="preserve">               </w:t>
      </w:r>
      <w:r>
        <w:rPr>
          <w:rStyle w:val="Strong"/>
          <w:rFonts w:ascii="David" w:hAnsi="David" w:hint="eastAsia"/>
          <w:b w:val="0"/>
          <w:bCs w:val="0"/>
          <w:rtl/>
        </w:rPr>
        <w:t>‏</w:t>
      </w:r>
      <w:r>
        <w:rPr>
          <w:rStyle w:val="Strong"/>
          <w:rFonts w:ascii="David" w:hAnsi="David" w:hint="cs"/>
          <w:b w:val="0"/>
          <w:bCs w:val="0"/>
          <w:rtl/>
        </w:rPr>
        <w:t>6</w:t>
      </w:r>
      <w:r>
        <w:rPr>
          <w:rStyle w:val="Strong"/>
          <w:rFonts w:ascii="David" w:hAnsi="David"/>
          <w:b w:val="0"/>
          <w:bCs w:val="0"/>
          <w:rtl/>
        </w:rPr>
        <w:t xml:space="preserve"> </w:t>
      </w:r>
      <w:r>
        <w:rPr>
          <w:rStyle w:val="Strong"/>
          <w:rFonts w:ascii="David" w:hAnsi="David" w:hint="cs"/>
          <w:b w:val="0"/>
          <w:bCs w:val="0"/>
          <w:rtl/>
        </w:rPr>
        <w:t>ב</w:t>
      </w:r>
      <w:r>
        <w:rPr>
          <w:rStyle w:val="Strong"/>
          <w:rFonts w:ascii="David" w:hAnsi="David"/>
          <w:b w:val="0"/>
          <w:bCs w:val="0"/>
          <w:rtl/>
        </w:rPr>
        <w:t>מרץ 2017</w:t>
      </w:r>
    </w:p>
    <w:sectPr w:rsidR="009F50C0" w:rsidRPr="00D608B1" w:rsidSect="006E2043">
      <w:headerReference w:type="even" r:id="rId11"/>
      <w:headerReference w:type="default" r:id="rId12"/>
      <w:footerReference w:type="even" r:id="rId13"/>
      <w:footerReference w:type="default" r:id="rId14"/>
      <w:headerReference w:type="first" r:id="rId15"/>
      <w:footerReference w:type="first" r:id="rId16"/>
      <w:pgSz w:w="11906" w:h="16838"/>
      <w:pgMar w:top="1440" w:right="1797" w:bottom="1440" w:left="1797" w:header="720" w:footer="618" w:gutter="0"/>
      <w:cols w:space="708"/>
      <w:titlePg/>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4">
      <wne:macro wne:macroName="TEMPLATEPROJECT.NEWMACROS.תאריך"/>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67F" w:rsidRDefault="001C367F">
      <w:r>
        <w:separator/>
      </w:r>
    </w:p>
  </w:endnote>
  <w:endnote w:type="continuationSeparator" w:id="0">
    <w:p w:rsidR="001C367F" w:rsidRDefault="001C3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B1"/>
    <w:family w:val="swiss"/>
    <w:pitch w:val="variable"/>
    <w:sig w:usb0="00000801" w:usb1="00000000" w:usb2="00000000" w:usb3="00000000" w:csb0="00000020" w:csb1="00000000"/>
  </w:font>
  <w:font w:name="Narkisim">
    <w:panose1 w:val="020E05020501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AFF" w:usb1="C0007843" w:usb2="00000009" w:usb3="00000000" w:csb0="000001FF" w:csb1="00000000"/>
  </w:font>
  <w:font w:name="FrankRuehl">
    <w:panose1 w:val="020E0503060101010101"/>
    <w:charset w:val="B1"/>
    <w:family w:val="swiss"/>
    <w:pitch w:val="variable"/>
    <w:sig w:usb0="00000801" w:usb1="00000000" w:usb2="00000000" w:usb3="00000000" w:csb0="00000020"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67F" w:rsidRDefault="001C367F" w:rsidP="0059050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1C367F" w:rsidRDefault="001C36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67F" w:rsidRDefault="001C367F" w:rsidP="00EE2F6F">
    <w:pPr>
      <w:pStyle w:val="Footer"/>
      <w:jc w:val="center"/>
      <w:rPr>
        <w:rtl/>
      </w:rPr>
    </w:pPr>
    <w:r>
      <w:fldChar w:fldCharType="begin"/>
    </w:r>
    <w:r>
      <w:rPr>
        <w:rtl/>
        <w:cs/>
      </w:rPr>
      <w:instrText xml:space="preserve">PAGE   </w:instrText>
    </w:r>
    <w:r>
      <w:rPr>
        <w:cs/>
      </w:rPr>
      <w:instrText>\</w:instrText>
    </w:r>
    <w:r>
      <w:rPr>
        <w:rtl/>
        <w:cs/>
      </w:rPr>
      <w:instrText xml:space="preserve">* </w:instrText>
    </w:r>
    <w:r>
      <w:rPr>
        <w:cs/>
      </w:rPr>
      <w:instrText>MERGEFORMAT</w:instrText>
    </w:r>
    <w:r>
      <w:fldChar w:fldCharType="separate"/>
    </w:r>
    <w:r w:rsidR="006838DF" w:rsidRPr="006838DF">
      <w:rPr>
        <w:noProof/>
        <w:rtl/>
        <w:lang w:val="he-IL"/>
      </w:rPr>
      <w:t>38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67F" w:rsidRPr="00742EFD" w:rsidRDefault="001C367F" w:rsidP="00742EFD">
    <w:pPr>
      <w:pStyle w:val="Footer"/>
      <w:jc w:val="left"/>
      <w:rPr>
        <w:sz w:val="18"/>
        <w:szCs w:val="22"/>
        <w:rtl/>
      </w:rPr>
    </w:pPr>
    <w:r>
      <w:rPr>
        <w:sz w:val="18"/>
        <w:szCs w:val="22"/>
        <w:rtl/>
      </w:rPr>
      <w:t>9992/ 577600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67F" w:rsidRDefault="001C367F">
      <w:r>
        <w:separator/>
      </w:r>
    </w:p>
  </w:footnote>
  <w:footnote w:type="continuationSeparator" w:id="0">
    <w:p w:rsidR="001C367F" w:rsidRDefault="001C367F">
      <w:r>
        <w:continuationSeparator/>
      </w:r>
    </w:p>
  </w:footnote>
  <w:footnote w:id="1">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ייצור חשמל מתבצע ברובו בתחנות כוח, השורפות דלקים שונים כמקור אנרגיה.</w:t>
      </w:r>
    </w:p>
  </w:footnote>
  <w:footnote w:id="2">
    <w:p w:rsidR="001C367F" w:rsidRPr="00522A3C" w:rsidRDefault="001C367F" w:rsidP="00582CE6">
      <w:pPr>
        <w:pStyle w:val="FootnoteText"/>
        <w:spacing w:before="0" w:line="240" w:lineRule="auto"/>
      </w:pPr>
      <w:r w:rsidRPr="00522A3C">
        <w:rPr>
          <w:rStyle w:val="FootnoteReference"/>
        </w:rPr>
        <w:footnoteRef/>
      </w:r>
      <w:r w:rsidRPr="00522A3C">
        <w:rPr>
          <w:rtl/>
        </w:rPr>
        <w:t xml:space="preserve"> </w:t>
      </w:r>
      <w:r w:rsidRPr="00522A3C">
        <w:rPr>
          <w:rFonts w:hint="cs"/>
          <w:rtl/>
        </w:rPr>
        <w:t>רשת הולכת החשמל היא בבחינת עורק ראשי להעברת</w:t>
      </w:r>
      <w:r w:rsidRPr="00522A3C">
        <w:rPr>
          <w:rtl/>
        </w:rPr>
        <w:t xml:space="preserve"> </w:t>
      </w:r>
      <w:r w:rsidRPr="00522A3C">
        <w:rPr>
          <w:rFonts w:hint="cs"/>
          <w:rtl/>
        </w:rPr>
        <w:t>חשמל</w:t>
      </w:r>
      <w:r w:rsidRPr="00522A3C">
        <w:rPr>
          <w:rtl/>
        </w:rPr>
        <w:t xml:space="preserve"> </w:t>
      </w:r>
      <w:r w:rsidRPr="00522A3C">
        <w:rPr>
          <w:rFonts w:hint="cs"/>
          <w:rtl/>
        </w:rPr>
        <w:t>בכל</w:t>
      </w:r>
      <w:r w:rsidRPr="00522A3C">
        <w:rPr>
          <w:rtl/>
        </w:rPr>
        <w:t xml:space="preserve"> </w:t>
      </w:r>
      <w:r w:rsidRPr="00522A3C">
        <w:rPr>
          <w:rFonts w:hint="cs"/>
          <w:rtl/>
        </w:rPr>
        <w:t>הארץ, באמצעותה מועבר חשמל מאתרי</w:t>
      </w:r>
      <w:r w:rsidRPr="00522A3C">
        <w:rPr>
          <w:rtl/>
        </w:rPr>
        <w:t xml:space="preserve"> </w:t>
      </w:r>
      <w:r w:rsidRPr="00522A3C">
        <w:rPr>
          <w:rFonts w:hint="cs"/>
          <w:rtl/>
        </w:rPr>
        <w:t>הייצור אל</w:t>
      </w:r>
      <w:r w:rsidRPr="00522A3C">
        <w:rPr>
          <w:rtl/>
        </w:rPr>
        <w:t xml:space="preserve"> </w:t>
      </w:r>
      <w:r w:rsidRPr="00522A3C">
        <w:rPr>
          <w:rFonts w:hint="cs"/>
          <w:rtl/>
        </w:rPr>
        <w:t>תחנות</w:t>
      </w:r>
      <w:r w:rsidRPr="00522A3C">
        <w:rPr>
          <w:rtl/>
        </w:rPr>
        <w:t xml:space="preserve"> </w:t>
      </w:r>
      <w:r w:rsidRPr="00522A3C">
        <w:rPr>
          <w:rFonts w:hint="cs"/>
          <w:rtl/>
        </w:rPr>
        <w:t>המיתוג</w:t>
      </w:r>
      <w:r w:rsidRPr="00522A3C">
        <w:rPr>
          <w:rtl/>
        </w:rPr>
        <w:t xml:space="preserve"> </w:t>
      </w:r>
      <w:r w:rsidRPr="00522A3C">
        <w:rPr>
          <w:rFonts w:hint="cs"/>
          <w:rtl/>
        </w:rPr>
        <w:t>ותחנות</w:t>
      </w:r>
      <w:r w:rsidRPr="00522A3C">
        <w:rPr>
          <w:rtl/>
        </w:rPr>
        <w:t xml:space="preserve"> </w:t>
      </w:r>
      <w:r w:rsidRPr="00522A3C">
        <w:rPr>
          <w:rFonts w:hint="cs"/>
          <w:rtl/>
        </w:rPr>
        <w:t>המשנה.</w:t>
      </w:r>
    </w:p>
  </w:footnote>
  <w:footnote w:id="3">
    <w:p w:rsidR="001C367F" w:rsidRPr="00522A3C" w:rsidRDefault="001C367F" w:rsidP="00582CE6">
      <w:pPr>
        <w:pStyle w:val="FootnoteText"/>
        <w:spacing w:before="0" w:line="240" w:lineRule="auto"/>
      </w:pPr>
      <w:r w:rsidRPr="00522A3C">
        <w:rPr>
          <w:rStyle w:val="FootnoteReference"/>
        </w:rPr>
        <w:footnoteRef/>
      </w:r>
      <w:r w:rsidRPr="00522A3C">
        <w:rPr>
          <w:rtl/>
        </w:rPr>
        <w:t xml:space="preserve"> </w:t>
      </w:r>
      <w:r w:rsidRPr="00522A3C">
        <w:rPr>
          <w:rFonts w:hint="cs"/>
          <w:rtl/>
        </w:rPr>
        <w:t>רשת החלוקה</w:t>
      </w:r>
      <w:r w:rsidRPr="00522A3C">
        <w:rPr>
          <w:rtl/>
        </w:rPr>
        <w:t xml:space="preserve"> </w:t>
      </w:r>
      <w:r w:rsidRPr="00522A3C">
        <w:rPr>
          <w:rFonts w:hint="cs"/>
          <w:rtl/>
        </w:rPr>
        <w:t>מאפשרת העברת חשמל</w:t>
      </w:r>
      <w:r w:rsidRPr="00522A3C">
        <w:rPr>
          <w:rtl/>
        </w:rPr>
        <w:t xml:space="preserve"> </w:t>
      </w:r>
      <w:r w:rsidRPr="00522A3C">
        <w:rPr>
          <w:rFonts w:hint="cs"/>
          <w:rtl/>
        </w:rPr>
        <w:t>מתחנות</w:t>
      </w:r>
      <w:r w:rsidRPr="00522A3C">
        <w:rPr>
          <w:rtl/>
        </w:rPr>
        <w:t xml:space="preserve"> </w:t>
      </w:r>
      <w:r w:rsidRPr="00522A3C">
        <w:rPr>
          <w:rFonts w:hint="cs"/>
          <w:rtl/>
        </w:rPr>
        <w:t>משנה</w:t>
      </w:r>
      <w:r w:rsidRPr="00522A3C">
        <w:rPr>
          <w:rtl/>
        </w:rPr>
        <w:t xml:space="preserve"> </w:t>
      </w:r>
      <w:r w:rsidRPr="00522A3C">
        <w:rPr>
          <w:rFonts w:hint="cs"/>
          <w:rtl/>
        </w:rPr>
        <w:t>אל</w:t>
      </w:r>
      <w:r w:rsidRPr="00522A3C">
        <w:rPr>
          <w:rtl/>
        </w:rPr>
        <w:t xml:space="preserve"> </w:t>
      </w:r>
      <w:r w:rsidRPr="00522A3C">
        <w:rPr>
          <w:rFonts w:hint="cs"/>
          <w:rtl/>
        </w:rPr>
        <w:t>אזורי הצריכה. מקטע</w:t>
      </w:r>
      <w:r w:rsidRPr="00522A3C">
        <w:rPr>
          <w:rtl/>
        </w:rPr>
        <w:t xml:space="preserve"> </w:t>
      </w:r>
      <w:r w:rsidRPr="00522A3C">
        <w:rPr>
          <w:rFonts w:hint="cs"/>
          <w:rtl/>
        </w:rPr>
        <w:t>החלוקה</w:t>
      </w:r>
      <w:r w:rsidRPr="00522A3C">
        <w:rPr>
          <w:rtl/>
        </w:rPr>
        <w:t xml:space="preserve"> </w:t>
      </w:r>
      <w:r w:rsidRPr="00522A3C">
        <w:rPr>
          <w:rFonts w:hint="cs"/>
          <w:rtl/>
        </w:rPr>
        <w:t>מחולק</w:t>
      </w:r>
      <w:r w:rsidRPr="00522A3C">
        <w:rPr>
          <w:rtl/>
        </w:rPr>
        <w:t xml:space="preserve"> </w:t>
      </w:r>
      <w:r w:rsidRPr="00522A3C">
        <w:rPr>
          <w:rFonts w:hint="cs"/>
          <w:rtl/>
        </w:rPr>
        <w:t>בין</w:t>
      </w:r>
      <w:r w:rsidRPr="00522A3C">
        <w:rPr>
          <w:rtl/>
        </w:rPr>
        <w:t xml:space="preserve"> </w:t>
      </w:r>
      <w:r w:rsidRPr="00522A3C">
        <w:rPr>
          <w:rFonts w:hint="cs"/>
          <w:rtl/>
        </w:rPr>
        <w:t>חמישה</w:t>
      </w:r>
      <w:r w:rsidRPr="00522A3C">
        <w:rPr>
          <w:rtl/>
        </w:rPr>
        <w:t xml:space="preserve"> </w:t>
      </w:r>
      <w:r w:rsidRPr="00522A3C">
        <w:rPr>
          <w:rFonts w:hint="cs"/>
          <w:rtl/>
        </w:rPr>
        <w:t>מחוזות</w:t>
      </w:r>
      <w:r w:rsidRPr="00522A3C">
        <w:rPr>
          <w:rtl/>
        </w:rPr>
        <w:t xml:space="preserve"> </w:t>
      </w:r>
      <w:r w:rsidRPr="00522A3C">
        <w:rPr>
          <w:rFonts w:hint="cs"/>
          <w:rtl/>
        </w:rPr>
        <w:t xml:space="preserve">ורשת החלוקה נמצאת בשליטה כמעט בלעדית של חברת החשמל. </w:t>
      </w:r>
    </w:p>
  </w:footnote>
  <w:footnote w:id="4">
    <w:p w:rsidR="001C367F" w:rsidRPr="00522A3C" w:rsidRDefault="001C367F" w:rsidP="00582CE6">
      <w:pPr>
        <w:pStyle w:val="FootnoteText"/>
        <w:spacing w:before="0" w:line="240" w:lineRule="auto"/>
      </w:pPr>
      <w:r w:rsidRPr="00522A3C">
        <w:rPr>
          <w:rStyle w:val="FootnoteReference"/>
        </w:rPr>
        <w:footnoteRef/>
      </w:r>
      <w:r w:rsidRPr="00522A3C">
        <w:rPr>
          <w:rtl/>
        </w:rPr>
        <w:t xml:space="preserve"> </w:t>
      </w:r>
      <w:r w:rsidRPr="00522A3C">
        <w:rPr>
          <w:rFonts w:hint="cs"/>
          <w:rtl/>
        </w:rPr>
        <w:t>מקטע האספקה כולל את מכירת החשמל לצרכני החשמל על סוגיהם השונים.</w:t>
      </w:r>
    </w:p>
  </w:footnote>
  <w:footnote w:id="5">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ניהול</w:t>
      </w:r>
      <w:r w:rsidRPr="00522A3C">
        <w:rPr>
          <w:rtl/>
        </w:rPr>
        <w:t xml:space="preserve"> </w:t>
      </w:r>
      <w:r w:rsidRPr="00522A3C">
        <w:rPr>
          <w:rFonts w:hint="cs"/>
          <w:rtl/>
        </w:rPr>
        <w:t>המערכת</w:t>
      </w:r>
      <w:r w:rsidRPr="00522A3C">
        <w:rPr>
          <w:rtl/>
        </w:rPr>
        <w:t xml:space="preserve"> </w:t>
      </w:r>
      <w:r w:rsidRPr="00522A3C">
        <w:rPr>
          <w:rFonts w:hint="cs"/>
          <w:rtl/>
        </w:rPr>
        <w:t>נמצא בשליטתה המלאה של חברת החשמל וכולל</w:t>
      </w:r>
      <w:r w:rsidRPr="00522A3C">
        <w:rPr>
          <w:rtl/>
        </w:rPr>
        <w:t xml:space="preserve"> </w:t>
      </w:r>
      <w:r w:rsidRPr="00522A3C">
        <w:rPr>
          <w:rFonts w:hint="cs"/>
          <w:rtl/>
        </w:rPr>
        <w:t>את ניהול</w:t>
      </w:r>
      <w:r w:rsidRPr="00522A3C">
        <w:rPr>
          <w:rtl/>
        </w:rPr>
        <w:t xml:space="preserve"> </w:t>
      </w:r>
      <w:r w:rsidRPr="00522A3C">
        <w:rPr>
          <w:rFonts w:hint="cs"/>
          <w:rtl/>
        </w:rPr>
        <w:t>מרכז</w:t>
      </w:r>
      <w:r w:rsidRPr="00522A3C">
        <w:rPr>
          <w:rtl/>
        </w:rPr>
        <w:t xml:space="preserve"> </w:t>
      </w:r>
      <w:r w:rsidRPr="00522A3C">
        <w:rPr>
          <w:rFonts w:hint="cs"/>
          <w:rtl/>
        </w:rPr>
        <w:t>הפיקוח</w:t>
      </w:r>
      <w:r w:rsidRPr="00522A3C">
        <w:rPr>
          <w:rtl/>
        </w:rPr>
        <w:t xml:space="preserve">, </w:t>
      </w:r>
      <w:r w:rsidRPr="00522A3C">
        <w:rPr>
          <w:rFonts w:hint="cs"/>
          <w:rtl/>
        </w:rPr>
        <w:t>הבקרה</w:t>
      </w:r>
      <w:r w:rsidRPr="00522A3C">
        <w:rPr>
          <w:rtl/>
        </w:rPr>
        <w:t xml:space="preserve"> </w:t>
      </w:r>
      <w:r w:rsidRPr="00522A3C">
        <w:rPr>
          <w:rFonts w:hint="cs"/>
          <w:rtl/>
        </w:rPr>
        <w:t>והפיקוד</w:t>
      </w:r>
      <w:r w:rsidRPr="00522A3C">
        <w:rPr>
          <w:rtl/>
        </w:rPr>
        <w:t xml:space="preserve"> </w:t>
      </w:r>
      <w:r w:rsidRPr="00522A3C">
        <w:rPr>
          <w:rFonts w:hint="cs"/>
          <w:rtl/>
        </w:rPr>
        <w:t>על</w:t>
      </w:r>
      <w:r w:rsidRPr="00522A3C">
        <w:rPr>
          <w:rtl/>
        </w:rPr>
        <w:t xml:space="preserve"> </w:t>
      </w:r>
      <w:r w:rsidRPr="00522A3C">
        <w:rPr>
          <w:rFonts w:hint="cs"/>
          <w:rtl/>
        </w:rPr>
        <w:t>עומסים</w:t>
      </w:r>
      <w:r w:rsidRPr="00522A3C">
        <w:rPr>
          <w:rtl/>
        </w:rPr>
        <w:t xml:space="preserve"> </w:t>
      </w:r>
      <w:r w:rsidRPr="00522A3C">
        <w:rPr>
          <w:rFonts w:hint="cs"/>
          <w:rtl/>
        </w:rPr>
        <w:t>ברשת</w:t>
      </w:r>
      <w:r w:rsidRPr="00522A3C">
        <w:rPr>
          <w:rtl/>
        </w:rPr>
        <w:t xml:space="preserve"> </w:t>
      </w:r>
      <w:r w:rsidRPr="00522A3C">
        <w:rPr>
          <w:rFonts w:hint="cs"/>
          <w:rtl/>
        </w:rPr>
        <w:t>החשמל,</w:t>
      </w:r>
      <w:r w:rsidRPr="00522A3C">
        <w:rPr>
          <w:rtl/>
        </w:rPr>
        <w:t xml:space="preserve"> </w:t>
      </w:r>
      <w:r w:rsidRPr="00522A3C">
        <w:rPr>
          <w:rFonts w:hint="cs"/>
          <w:rtl/>
        </w:rPr>
        <w:t>שליטה</w:t>
      </w:r>
      <w:r w:rsidRPr="00522A3C">
        <w:rPr>
          <w:rtl/>
        </w:rPr>
        <w:t xml:space="preserve"> </w:t>
      </w:r>
      <w:r w:rsidRPr="00522A3C">
        <w:rPr>
          <w:rFonts w:hint="cs"/>
          <w:rtl/>
        </w:rPr>
        <w:t>בוויסות</w:t>
      </w:r>
      <w:r w:rsidRPr="00522A3C">
        <w:rPr>
          <w:rtl/>
        </w:rPr>
        <w:t xml:space="preserve"> </w:t>
      </w:r>
      <w:r w:rsidRPr="00522A3C">
        <w:rPr>
          <w:rFonts w:hint="cs"/>
          <w:rtl/>
        </w:rPr>
        <w:t>ההפקה</w:t>
      </w:r>
      <w:r w:rsidRPr="00522A3C">
        <w:rPr>
          <w:rtl/>
        </w:rPr>
        <w:t xml:space="preserve"> </w:t>
      </w:r>
      <w:r w:rsidRPr="00522A3C">
        <w:rPr>
          <w:rFonts w:hint="cs"/>
          <w:rtl/>
        </w:rPr>
        <w:t>והצריכה</w:t>
      </w:r>
      <w:r w:rsidRPr="00522A3C">
        <w:rPr>
          <w:rtl/>
        </w:rPr>
        <w:t xml:space="preserve"> </w:t>
      </w:r>
      <w:r w:rsidRPr="00522A3C">
        <w:rPr>
          <w:rFonts w:hint="cs"/>
          <w:rtl/>
        </w:rPr>
        <w:t>של</w:t>
      </w:r>
      <w:r w:rsidRPr="00522A3C">
        <w:rPr>
          <w:rtl/>
        </w:rPr>
        <w:t xml:space="preserve"> </w:t>
      </w:r>
      <w:r w:rsidRPr="00522A3C">
        <w:rPr>
          <w:rFonts w:hint="cs"/>
          <w:rtl/>
        </w:rPr>
        <w:t>חשמל</w:t>
      </w:r>
      <w:r w:rsidRPr="00522A3C">
        <w:rPr>
          <w:rtl/>
        </w:rPr>
        <w:t xml:space="preserve"> </w:t>
      </w:r>
      <w:r w:rsidRPr="00522A3C">
        <w:rPr>
          <w:rFonts w:hint="cs"/>
          <w:rtl/>
        </w:rPr>
        <w:t>ברשת</w:t>
      </w:r>
      <w:r w:rsidRPr="00522A3C">
        <w:rPr>
          <w:rtl/>
        </w:rPr>
        <w:t xml:space="preserve"> </w:t>
      </w:r>
      <w:r w:rsidRPr="00522A3C">
        <w:rPr>
          <w:rFonts w:hint="cs"/>
          <w:rtl/>
        </w:rPr>
        <w:t>החשמל</w:t>
      </w:r>
      <w:r w:rsidRPr="00522A3C">
        <w:rPr>
          <w:rtl/>
        </w:rPr>
        <w:t xml:space="preserve"> </w:t>
      </w:r>
      <w:r w:rsidRPr="00522A3C">
        <w:rPr>
          <w:rFonts w:hint="cs"/>
          <w:rtl/>
        </w:rPr>
        <w:t>וניהול</w:t>
      </w:r>
      <w:r w:rsidRPr="00522A3C">
        <w:rPr>
          <w:rtl/>
        </w:rPr>
        <w:t xml:space="preserve"> </w:t>
      </w:r>
      <w:r w:rsidRPr="00522A3C">
        <w:rPr>
          <w:rFonts w:hint="cs"/>
          <w:rtl/>
        </w:rPr>
        <w:t>מערך</w:t>
      </w:r>
      <w:r w:rsidRPr="00522A3C">
        <w:rPr>
          <w:rtl/>
        </w:rPr>
        <w:t xml:space="preserve"> </w:t>
      </w:r>
      <w:r w:rsidRPr="00522A3C">
        <w:rPr>
          <w:rFonts w:hint="cs"/>
          <w:rtl/>
        </w:rPr>
        <w:t>הסחר</w:t>
      </w:r>
      <w:r w:rsidRPr="00522A3C">
        <w:rPr>
          <w:rtl/>
        </w:rPr>
        <w:t xml:space="preserve"> </w:t>
      </w:r>
      <w:r w:rsidRPr="00522A3C">
        <w:rPr>
          <w:rFonts w:hint="cs"/>
          <w:rtl/>
        </w:rPr>
        <w:t>בחשמל</w:t>
      </w:r>
      <w:r w:rsidRPr="00522A3C">
        <w:rPr>
          <w:rtl/>
        </w:rPr>
        <w:t xml:space="preserve">. </w:t>
      </w:r>
      <w:r w:rsidRPr="00522A3C">
        <w:rPr>
          <w:rFonts w:hint="cs"/>
          <w:rtl/>
        </w:rPr>
        <w:t>מנהל</w:t>
      </w:r>
      <w:r w:rsidRPr="00522A3C">
        <w:rPr>
          <w:rtl/>
        </w:rPr>
        <w:t xml:space="preserve"> </w:t>
      </w:r>
      <w:r w:rsidRPr="00522A3C">
        <w:rPr>
          <w:rFonts w:hint="cs"/>
          <w:rtl/>
        </w:rPr>
        <w:t>המערכת</w:t>
      </w:r>
      <w:r w:rsidRPr="00522A3C">
        <w:rPr>
          <w:rtl/>
        </w:rPr>
        <w:t xml:space="preserve"> </w:t>
      </w:r>
      <w:r w:rsidRPr="00522A3C">
        <w:rPr>
          <w:rFonts w:hint="cs"/>
          <w:rtl/>
        </w:rPr>
        <w:t>מחליט</w:t>
      </w:r>
      <w:r w:rsidRPr="00522A3C">
        <w:rPr>
          <w:rtl/>
        </w:rPr>
        <w:t xml:space="preserve"> </w:t>
      </w:r>
      <w:r w:rsidRPr="00522A3C">
        <w:rPr>
          <w:rFonts w:hint="cs"/>
          <w:rtl/>
        </w:rPr>
        <w:t>לגבי</w:t>
      </w:r>
      <w:r w:rsidRPr="00522A3C">
        <w:rPr>
          <w:rtl/>
        </w:rPr>
        <w:t xml:space="preserve"> </w:t>
      </w:r>
      <w:r w:rsidRPr="00522A3C">
        <w:rPr>
          <w:rFonts w:hint="cs"/>
          <w:rtl/>
        </w:rPr>
        <w:t>הפעלת</w:t>
      </w:r>
      <w:r w:rsidRPr="00522A3C">
        <w:rPr>
          <w:rtl/>
        </w:rPr>
        <w:t xml:space="preserve"> </w:t>
      </w:r>
      <w:r w:rsidRPr="00522A3C">
        <w:rPr>
          <w:rFonts w:hint="cs"/>
          <w:rtl/>
        </w:rPr>
        <w:t>תחנות</w:t>
      </w:r>
      <w:r w:rsidRPr="00522A3C">
        <w:rPr>
          <w:rtl/>
        </w:rPr>
        <w:t xml:space="preserve"> </w:t>
      </w:r>
      <w:r w:rsidRPr="00522A3C">
        <w:rPr>
          <w:rFonts w:hint="cs"/>
          <w:rtl/>
        </w:rPr>
        <w:t>הייצור</w:t>
      </w:r>
      <w:r w:rsidRPr="00522A3C">
        <w:rPr>
          <w:rtl/>
        </w:rPr>
        <w:t xml:space="preserve"> </w:t>
      </w:r>
      <w:r w:rsidRPr="00522A3C">
        <w:rPr>
          <w:rFonts w:hint="cs"/>
          <w:rtl/>
        </w:rPr>
        <w:t>השונות וסדר הפעלתן,</w:t>
      </w:r>
      <w:r w:rsidRPr="00522A3C">
        <w:rPr>
          <w:rtl/>
        </w:rPr>
        <w:t xml:space="preserve"> </w:t>
      </w:r>
      <w:r w:rsidRPr="00522A3C">
        <w:rPr>
          <w:rFonts w:hint="cs"/>
          <w:rtl/>
        </w:rPr>
        <w:t>בהתאם</w:t>
      </w:r>
      <w:r w:rsidRPr="00522A3C">
        <w:rPr>
          <w:rtl/>
        </w:rPr>
        <w:t xml:space="preserve"> </w:t>
      </w:r>
      <w:r w:rsidRPr="00522A3C">
        <w:rPr>
          <w:rFonts w:hint="cs"/>
          <w:rtl/>
        </w:rPr>
        <w:t>לאסדרה הקיימת, הביקושים</w:t>
      </w:r>
      <w:r w:rsidRPr="00522A3C">
        <w:rPr>
          <w:rtl/>
        </w:rPr>
        <w:t xml:space="preserve"> </w:t>
      </w:r>
      <w:r w:rsidRPr="00522A3C">
        <w:rPr>
          <w:rFonts w:hint="cs"/>
          <w:rtl/>
        </w:rPr>
        <w:t>במשק והעלות</w:t>
      </w:r>
      <w:r w:rsidRPr="00522A3C">
        <w:rPr>
          <w:rtl/>
        </w:rPr>
        <w:t xml:space="preserve"> </w:t>
      </w:r>
      <w:r w:rsidRPr="00522A3C">
        <w:rPr>
          <w:rFonts w:hint="cs"/>
          <w:rtl/>
        </w:rPr>
        <w:t>הייצור</w:t>
      </w:r>
      <w:r w:rsidRPr="00522A3C">
        <w:rPr>
          <w:rtl/>
        </w:rPr>
        <w:t xml:space="preserve"> </w:t>
      </w:r>
      <w:r w:rsidRPr="00522A3C">
        <w:rPr>
          <w:rFonts w:hint="cs"/>
          <w:rtl/>
        </w:rPr>
        <w:t>השולית של יצרן החשמל הפרטי</w:t>
      </w:r>
      <w:r w:rsidRPr="00522A3C">
        <w:rPr>
          <w:rtl/>
        </w:rPr>
        <w:t xml:space="preserve">. </w:t>
      </w:r>
      <w:r w:rsidRPr="00522A3C">
        <w:rPr>
          <w:rFonts w:hint="cs"/>
          <w:rtl/>
        </w:rPr>
        <w:t>ברכישת חשמל, מנהל</w:t>
      </w:r>
      <w:r w:rsidRPr="00522A3C">
        <w:rPr>
          <w:rtl/>
        </w:rPr>
        <w:t xml:space="preserve"> </w:t>
      </w:r>
      <w:r w:rsidRPr="00522A3C">
        <w:rPr>
          <w:rFonts w:hint="cs"/>
          <w:rtl/>
        </w:rPr>
        <w:t>המערכת</w:t>
      </w:r>
      <w:r w:rsidRPr="00522A3C">
        <w:rPr>
          <w:rtl/>
        </w:rPr>
        <w:t xml:space="preserve"> </w:t>
      </w:r>
      <w:r w:rsidRPr="00522A3C">
        <w:rPr>
          <w:rFonts w:hint="cs"/>
          <w:rtl/>
        </w:rPr>
        <w:t>אמור לתחר</w:t>
      </w:r>
      <w:r w:rsidRPr="00522A3C">
        <w:rPr>
          <w:rtl/>
        </w:rPr>
        <w:t xml:space="preserve"> </w:t>
      </w:r>
      <w:r w:rsidRPr="00522A3C">
        <w:rPr>
          <w:rFonts w:hint="cs"/>
          <w:rtl/>
        </w:rPr>
        <w:t>בין</w:t>
      </w:r>
      <w:r w:rsidRPr="00522A3C">
        <w:rPr>
          <w:rtl/>
        </w:rPr>
        <w:t xml:space="preserve"> </w:t>
      </w:r>
      <w:r w:rsidRPr="00522A3C">
        <w:rPr>
          <w:rFonts w:hint="cs"/>
          <w:rtl/>
        </w:rPr>
        <w:t>מתקני</w:t>
      </w:r>
      <w:r w:rsidRPr="00522A3C">
        <w:rPr>
          <w:rtl/>
        </w:rPr>
        <w:t xml:space="preserve"> </w:t>
      </w:r>
      <w:r w:rsidRPr="00522A3C">
        <w:rPr>
          <w:rFonts w:hint="cs"/>
          <w:rtl/>
        </w:rPr>
        <w:t>הייצור</w:t>
      </w:r>
      <w:r w:rsidRPr="00522A3C">
        <w:rPr>
          <w:rtl/>
        </w:rPr>
        <w:t xml:space="preserve"> </w:t>
      </w:r>
      <w:r w:rsidRPr="00522A3C">
        <w:rPr>
          <w:rFonts w:hint="cs"/>
          <w:rtl/>
        </w:rPr>
        <w:t>השונים</w:t>
      </w:r>
      <w:r w:rsidRPr="00522A3C">
        <w:rPr>
          <w:rtl/>
        </w:rPr>
        <w:t>.</w:t>
      </w:r>
    </w:p>
  </w:footnote>
  <w:footnote w:id="6">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 xml:space="preserve">הכרזה בדבר קיום מונופולין </w:t>
      </w:r>
      <w:r w:rsidRPr="00522A3C">
        <w:rPr>
          <w:rtl/>
        </w:rPr>
        <w:t>–</w:t>
      </w:r>
      <w:r w:rsidRPr="00522A3C">
        <w:rPr>
          <w:rFonts w:hint="cs"/>
          <w:rtl/>
        </w:rPr>
        <w:t xml:space="preserve"> חברת החשמל לישראל בע"מ (5.1.99) </w:t>
      </w:r>
      <w:r w:rsidRPr="00522A3C">
        <w:rPr>
          <w:rFonts w:hint="cs"/>
          <w:b/>
          <w:bCs/>
          <w:rtl/>
        </w:rPr>
        <w:t xml:space="preserve">הגבלים עסקיים </w:t>
      </w:r>
      <w:r w:rsidRPr="00522A3C">
        <w:rPr>
          <w:rFonts w:hint="cs"/>
          <w:rtl/>
        </w:rPr>
        <w:t xml:space="preserve">3001749. </w:t>
      </w:r>
    </w:p>
  </w:footnote>
  <w:footnote w:id="7">
    <w:p w:rsidR="001C367F" w:rsidRPr="00522A3C" w:rsidRDefault="001C367F" w:rsidP="00563E59">
      <w:pPr>
        <w:pStyle w:val="FootnoteText"/>
        <w:spacing w:before="0" w:line="240" w:lineRule="auto"/>
      </w:pPr>
      <w:r w:rsidRPr="00522A3C">
        <w:rPr>
          <w:rStyle w:val="FootnoteReference"/>
        </w:rPr>
        <w:footnoteRef/>
      </w:r>
      <w:r w:rsidRPr="00522A3C">
        <w:rPr>
          <w:rtl/>
        </w:rPr>
        <w:t xml:space="preserve"> </w:t>
      </w:r>
      <w:r w:rsidRPr="00522A3C">
        <w:rPr>
          <w:rFonts w:hint="cs"/>
          <w:rtl/>
        </w:rPr>
        <w:t xml:space="preserve">ערר 2/99 </w:t>
      </w:r>
      <w:r w:rsidRPr="00522A3C">
        <w:rPr>
          <w:rFonts w:hint="cs"/>
          <w:b/>
          <w:bCs/>
          <w:rtl/>
        </w:rPr>
        <w:t>חברת חשמל לישראל בע"מ נ' הממונה על הגבלים עסקיים ואח'</w:t>
      </w:r>
      <w:r w:rsidRPr="00522A3C">
        <w:rPr>
          <w:rFonts w:hint="cs"/>
          <w:rtl/>
        </w:rPr>
        <w:t xml:space="preserve"> (19.3.01)</w:t>
      </w:r>
      <w:r>
        <w:rPr>
          <w:rFonts w:hint="cs"/>
          <w:b/>
          <w:bCs/>
          <w:rtl/>
        </w:rPr>
        <w:t xml:space="preserve"> </w:t>
      </w:r>
      <w:r w:rsidRPr="00522A3C">
        <w:rPr>
          <w:rFonts w:hint="cs"/>
          <w:b/>
          <w:bCs/>
          <w:rtl/>
        </w:rPr>
        <w:t>הגבלים עסקיים</w:t>
      </w:r>
      <w:r w:rsidRPr="00522A3C">
        <w:rPr>
          <w:rFonts w:hint="cs"/>
          <w:rtl/>
        </w:rPr>
        <w:t xml:space="preserve"> 3010471. על פי פסק הדין הוראות פרק ד' לחוק חלות על העוררת כבעלת מונופולין, הן במשק החשמל בכללותו והן בכל אחד מרכביו המפורטים בפסק הדין.</w:t>
      </w:r>
    </w:p>
  </w:footnote>
  <w:footnote w:id="8">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ראו גם דברי ההסבר להצעת חוק משק החשמל, התשנ"ו-1996, ה"ח 2485.</w:t>
      </w:r>
    </w:p>
  </w:footnote>
  <w:footnote w:id="9">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רשימת רישיונות הייצור הקבועים באתר רשות החשמל (מאי 2016):</w:t>
      </w:r>
    </w:p>
    <w:p w:rsidR="001C367F" w:rsidRPr="00522A3C" w:rsidRDefault="001C367F" w:rsidP="00582CE6">
      <w:pPr>
        <w:pStyle w:val="FootnoteText"/>
        <w:bidi w:val="0"/>
        <w:spacing w:before="0" w:line="240" w:lineRule="auto"/>
      </w:pPr>
      <w:r w:rsidRPr="00522A3C">
        <w:t>https://pua.gov.il/Licenses/Documents/%D7%A2%D7%93%D7%9B%D7%95%D7%A0%D7%99%20%D7%A1%D7%98%D7%98%D7%95%D7%A1/konventzionaly_yitzur_orange.pdf</w:t>
      </w:r>
    </w:p>
  </w:footnote>
  <w:footnote w:id="10">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החלטה 2 של הרשות לשירותים ציבוריים - חשמל "הסדרה תעריפית ליצרן חשמל פרטי קונבנציונאלי במסגרת רשת ביטחון מלאה (יכולת זמינה קבועה) או רשת ביטחון חלקית (יכולת זמינה משתנה)" (02.12.2008).</w:t>
      </w:r>
    </w:p>
  </w:footnote>
  <w:footnote w:id="11">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 xml:space="preserve">תקנה 17 לתקנות </w:t>
      </w:r>
      <w:r w:rsidRPr="00522A3C">
        <w:rPr>
          <w:rtl/>
        </w:rPr>
        <w:t xml:space="preserve">משק החשמל (יצרן חשמל פרטי קונבנציונלי), </w:t>
      </w:r>
      <w:r w:rsidRPr="00522A3C">
        <w:rPr>
          <w:rFonts w:hint="cs"/>
          <w:rtl/>
        </w:rPr>
        <w:t>ה</w:t>
      </w:r>
      <w:r w:rsidRPr="00522A3C">
        <w:rPr>
          <w:rtl/>
        </w:rPr>
        <w:t>תשס"ה-2005</w:t>
      </w:r>
      <w:r w:rsidRPr="00522A3C">
        <w:rPr>
          <w:rFonts w:hint="cs"/>
          <w:rtl/>
        </w:rPr>
        <w:t xml:space="preserve"> (להלן: </w:t>
      </w:r>
      <w:r w:rsidRPr="00522A3C">
        <w:rPr>
          <w:rFonts w:hint="cs"/>
          <w:b/>
          <w:bCs/>
          <w:rtl/>
        </w:rPr>
        <w:t>תקנות יצרן חשמל פרטי קונבנציונלי</w:t>
      </w:r>
      <w:r w:rsidRPr="00522A3C">
        <w:rPr>
          <w:rFonts w:hint="cs"/>
          <w:rtl/>
        </w:rPr>
        <w:t xml:space="preserve">), קובעת כי יצרני חשמל פרטיים רשאים למכור חשמל רק לצרכני תעריף עומס וזמן בעלי מונה רציף. ראו: אמת מידה 63 ואמת מידה 31 ל"קביעת אמות מידה לרמה, לטיב ולאיכות השירות שנותן ספק שירות חיוני, לפי חוק משק החשמל התשנ"ו-1996" </w:t>
      </w:r>
      <w:r w:rsidRPr="00522A3C">
        <w:t>https://pua.gov.il/Standards/Pages/default.aspx</w:t>
      </w:r>
      <w:r w:rsidRPr="00522A3C">
        <w:rPr>
          <w:rFonts w:hint="cs"/>
          <w:rtl/>
        </w:rPr>
        <w:t xml:space="preserve"> </w:t>
      </w:r>
    </w:p>
    <w:p w:rsidR="001C367F" w:rsidRPr="00522A3C" w:rsidRDefault="001C367F" w:rsidP="00582CE6">
      <w:pPr>
        <w:pStyle w:val="FootnoteText"/>
        <w:spacing w:before="0" w:line="240" w:lineRule="auto"/>
        <w:rPr>
          <w:rtl/>
        </w:rPr>
      </w:pPr>
      <w:r w:rsidRPr="00522A3C">
        <w:rPr>
          <w:rFonts w:hint="cs"/>
          <w:rtl/>
        </w:rPr>
        <w:t xml:space="preserve">(להלן: </w:t>
      </w:r>
      <w:r w:rsidRPr="00522A3C">
        <w:rPr>
          <w:rFonts w:hint="cs"/>
          <w:b/>
          <w:bCs/>
          <w:rtl/>
        </w:rPr>
        <w:t>ספר אמות המידה</w:t>
      </w:r>
      <w:r w:rsidRPr="00522A3C">
        <w:rPr>
          <w:rFonts w:hint="cs"/>
          <w:rtl/>
        </w:rPr>
        <w:t xml:space="preserve">). </w:t>
      </w:r>
    </w:p>
  </w:footnote>
  <w:footnote w:id="12">
    <w:p w:rsidR="001C367F" w:rsidRPr="00522A3C" w:rsidRDefault="001C367F" w:rsidP="00582CE6">
      <w:pPr>
        <w:pStyle w:val="FootnoteText"/>
        <w:spacing w:before="0" w:line="240" w:lineRule="auto"/>
      </w:pPr>
      <w:r w:rsidRPr="00522A3C">
        <w:rPr>
          <w:rStyle w:val="FootnoteReference"/>
        </w:rPr>
        <w:footnoteRef/>
      </w:r>
      <w:r w:rsidRPr="00522A3C">
        <w:rPr>
          <w:rtl/>
        </w:rPr>
        <w:t xml:space="preserve"> </w:t>
      </w:r>
      <w:r w:rsidRPr="00522A3C">
        <w:rPr>
          <w:rFonts w:hint="cs"/>
          <w:rtl/>
        </w:rPr>
        <w:t>אמת מידה 106, ספר אמות המידה.</w:t>
      </w:r>
    </w:p>
  </w:footnote>
  <w:footnote w:id="13">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 xml:space="preserve">קיימים מקומות מעטים להם חברת החשמל מספקת חשמל בצובר (במרוכז) לנקודה אחת, והחלוקה עצמה מתבצעת באופן עצמאי לצרכנים הסופיים באמצעות מערכות חלוקה פנימיות של מקומות אלו. </w:t>
      </w:r>
    </w:p>
  </w:footnote>
  <w:footnote w:id="14">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 xml:space="preserve">תקנות 14 ו-15(א) לתקנות יצרן חשמל פרטי קונבנציונלי; תק' 13 ו-14(א) לתקנות משק החשמל (קוגנרציה), התשס"ה-2004; אמת מידה 64 לספר אמות המידה. </w:t>
      </w:r>
    </w:p>
  </w:footnote>
  <w:footnote w:id="15">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נוהל חברת החשמל "שירות לקוחות עסקיים" (20.3.2005). לפי נוהל זה, "לקוחות עסקיים" היו מוגדרים כלקוחות שהאנרגיה השנתית באחד מאתריהם עולה על 1 מיליון קוט"ש בשנה; או האנרגיה השנתית בכל אתריהם עולה על 5 מיליון קוט"ש בשנה. כפי שיפורט בהמשך, ההגדרה של לקוח עסקי גדול שונתה במהלך החודשים ספטמבר-דצמבר 2014, כך שהצריכה השנתית צריכה להיעשות מחברת החשמל כמספק וזאת, על מנת לאפשר הפסקת שירותי מת"ל ללקוחות עסקיים שלא צרכו חשמל מחברת החשמל כמספק.</w:t>
      </w:r>
    </w:p>
  </w:footnote>
  <w:footnote w:id="16">
    <w:p w:rsidR="001C367F" w:rsidRPr="00522A3C" w:rsidRDefault="001C367F" w:rsidP="00582CE6">
      <w:pPr>
        <w:pStyle w:val="FootnoteText"/>
        <w:spacing w:before="0" w:line="240" w:lineRule="auto"/>
      </w:pPr>
      <w:r w:rsidRPr="00522A3C">
        <w:rPr>
          <w:rStyle w:val="FootnoteReference"/>
        </w:rPr>
        <w:footnoteRef/>
      </w:r>
      <w:r w:rsidRPr="00522A3C">
        <w:rPr>
          <w:rtl/>
        </w:rPr>
        <w:t xml:space="preserve"> </w:t>
      </w:r>
      <w:r w:rsidRPr="00522A3C">
        <w:rPr>
          <w:rFonts w:hint="cs"/>
          <w:rtl/>
        </w:rPr>
        <w:t xml:space="preserve">סעיף 5 לנספח לנוהל מנהל תיק לקוח 06-50-06 של חברת החשמל, בתוקף מתאריך 27.10.2014. </w:t>
      </w:r>
    </w:p>
  </w:footnote>
  <w:footnote w:id="17">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אמת מידה 37 לספר אמות מידה.</w:t>
      </w:r>
    </w:p>
  </w:footnote>
  <w:footnote w:id="18">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החל</w:t>
      </w:r>
      <w:r w:rsidRPr="00522A3C">
        <w:rPr>
          <w:rtl/>
        </w:rPr>
        <w:t xml:space="preserve"> </w:t>
      </w:r>
      <w:r w:rsidRPr="00522A3C">
        <w:rPr>
          <w:rFonts w:hint="cs"/>
          <w:rtl/>
        </w:rPr>
        <w:t>מיום</w:t>
      </w:r>
      <w:r w:rsidRPr="00522A3C">
        <w:rPr>
          <w:rtl/>
        </w:rPr>
        <w:t xml:space="preserve"> 25.11.</w:t>
      </w:r>
      <w:r>
        <w:rPr>
          <w:rFonts w:hint="cs"/>
          <w:rtl/>
        </w:rPr>
        <w:t>20</w:t>
      </w:r>
      <w:r w:rsidRPr="00522A3C">
        <w:rPr>
          <w:rtl/>
        </w:rPr>
        <w:t xml:space="preserve">15, </w:t>
      </w:r>
      <w:r w:rsidRPr="00522A3C">
        <w:rPr>
          <w:rFonts w:hint="cs"/>
          <w:rtl/>
        </w:rPr>
        <w:t>הוסיפה</w:t>
      </w:r>
      <w:r w:rsidRPr="00522A3C">
        <w:rPr>
          <w:rtl/>
        </w:rPr>
        <w:t xml:space="preserve"> </w:t>
      </w:r>
      <w:r w:rsidRPr="00522A3C">
        <w:rPr>
          <w:rFonts w:hint="cs"/>
          <w:rtl/>
        </w:rPr>
        <w:t>רשות</w:t>
      </w:r>
      <w:r w:rsidRPr="00522A3C">
        <w:rPr>
          <w:rtl/>
        </w:rPr>
        <w:t xml:space="preserve"> </w:t>
      </w:r>
      <w:r w:rsidRPr="00522A3C">
        <w:rPr>
          <w:rFonts w:hint="cs"/>
          <w:rtl/>
        </w:rPr>
        <w:t>החשמל</w:t>
      </w:r>
      <w:r w:rsidRPr="00522A3C">
        <w:rPr>
          <w:rtl/>
        </w:rPr>
        <w:t xml:space="preserve"> </w:t>
      </w:r>
      <w:r w:rsidRPr="00522A3C">
        <w:rPr>
          <w:rFonts w:hint="cs"/>
          <w:rtl/>
        </w:rPr>
        <w:t>לפרק</w:t>
      </w:r>
      <w:r w:rsidRPr="00522A3C">
        <w:rPr>
          <w:rtl/>
        </w:rPr>
        <w:t xml:space="preserve"> 1 </w:t>
      </w:r>
      <w:r w:rsidRPr="00522A3C">
        <w:rPr>
          <w:rFonts w:hint="cs"/>
          <w:rtl/>
        </w:rPr>
        <w:t>לספר אמות</w:t>
      </w:r>
      <w:r w:rsidRPr="00522A3C">
        <w:rPr>
          <w:rtl/>
        </w:rPr>
        <w:t xml:space="preserve"> </w:t>
      </w:r>
      <w:r w:rsidRPr="00522A3C">
        <w:rPr>
          <w:rFonts w:hint="cs"/>
          <w:rtl/>
        </w:rPr>
        <w:t>המידה</w:t>
      </w:r>
      <w:r w:rsidRPr="00522A3C">
        <w:rPr>
          <w:rtl/>
        </w:rPr>
        <w:t xml:space="preserve"> </w:t>
      </w:r>
      <w:r w:rsidRPr="00522A3C">
        <w:rPr>
          <w:rFonts w:hint="cs"/>
          <w:rtl/>
        </w:rPr>
        <w:t>הגדרת</w:t>
      </w:r>
      <w:r w:rsidRPr="00522A3C">
        <w:rPr>
          <w:rtl/>
        </w:rPr>
        <w:t xml:space="preserve"> "</w:t>
      </w:r>
      <w:r w:rsidRPr="00522A3C">
        <w:rPr>
          <w:rFonts w:hint="cs"/>
          <w:rtl/>
        </w:rPr>
        <w:t>שירותי</w:t>
      </w:r>
      <w:r w:rsidRPr="00522A3C">
        <w:rPr>
          <w:rtl/>
        </w:rPr>
        <w:t xml:space="preserve"> </w:t>
      </w:r>
      <w:r w:rsidRPr="00522A3C">
        <w:rPr>
          <w:rFonts w:hint="cs"/>
          <w:rtl/>
        </w:rPr>
        <w:t>רשת</w:t>
      </w:r>
      <w:r w:rsidRPr="00522A3C">
        <w:rPr>
          <w:rtl/>
        </w:rPr>
        <w:t xml:space="preserve">", </w:t>
      </w:r>
      <w:r w:rsidRPr="00522A3C">
        <w:rPr>
          <w:rFonts w:hint="cs"/>
          <w:rtl/>
        </w:rPr>
        <w:t>הכוללת</w:t>
      </w:r>
      <w:r w:rsidRPr="00522A3C">
        <w:rPr>
          <w:rtl/>
        </w:rPr>
        <w:t>: "</w:t>
      </w:r>
      <w:r w:rsidRPr="00522A3C">
        <w:rPr>
          <w:rFonts w:hint="cs"/>
          <w:rtl/>
        </w:rPr>
        <w:t>הזמנות</w:t>
      </w:r>
      <w:r w:rsidRPr="00522A3C">
        <w:rPr>
          <w:rtl/>
        </w:rPr>
        <w:t xml:space="preserve"> </w:t>
      </w:r>
      <w:r w:rsidRPr="00522A3C">
        <w:rPr>
          <w:rFonts w:hint="cs"/>
          <w:rtl/>
        </w:rPr>
        <w:t>חיבור</w:t>
      </w:r>
      <w:r w:rsidRPr="00522A3C">
        <w:rPr>
          <w:rtl/>
        </w:rPr>
        <w:t xml:space="preserve"> </w:t>
      </w:r>
      <w:r w:rsidRPr="00522A3C">
        <w:rPr>
          <w:rFonts w:hint="cs"/>
          <w:rtl/>
        </w:rPr>
        <w:t>לרשת</w:t>
      </w:r>
      <w:r w:rsidRPr="00522A3C">
        <w:rPr>
          <w:rtl/>
        </w:rPr>
        <w:t xml:space="preserve"> (</w:t>
      </w:r>
      <w:r w:rsidRPr="00522A3C">
        <w:rPr>
          <w:rFonts w:hint="cs"/>
          <w:rtl/>
        </w:rPr>
        <w:t>חיבורים</w:t>
      </w:r>
      <w:r w:rsidRPr="00522A3C">
        <w:rPr>
          <w:rtl/>
        </w:rPr>
        <w:t xml:space="preserve"> </w:t>
      </w:r>
      <w:r w:rsidRPr="00522A3C">
        <w:rPr>
          <w:rFonts w:hint="cs"/>
          <w:rtl/>
        </w:rPr>
        <w:t>חדשים</w:t>
      </w:r>
      <w:r w:rsidRPr="00522A3C">
        <w:rPr>
          <w:rtl/>
        </w:rPr>
        <w:t xml:space="preserve"> </w:t>
      </w:r>
      <w:r w:rsidRPr="00522A3C">
        <w:rPr>
          <w:rFonts w:hint="cs"/>
          <w:rtl/>
        </w:rPr>
        <w:t>והגדלות</w:t>
      </w:r>
      <w:r w:rsidRPr="00522A3C">
        <w:rPr>
          <w:rtl/>
        </w:rPr>
        <w:t xml:space="preserve"> </w:t>
      </w:r>
      <w:r w:rsidRPr="00522A3C">
        <w:rPr>
          <w:rFonts w:hint="cs"/>
          <w:rtl/>
        </w:rPr>
        <w:t>חיבור</w:t>
      </w:r>
      <w:r w:rsidRPr="00522A3C">
        <w:rPr>
          <w:rtl/>
        </w:rPr>
        <w:t xml:space="preserve">), </w:t>
      </w:r>
      <w:r w:rsidRPr="00522A3C">
        <w:rPr>
          <w:rFonts w:hint="cs"/>
          <w:rtl/>
        </w:rPr>
        <w:t>הודעה</w:t>
      </w:r>
      <w:r w:rsidRPr="00522A3C">
        <w:rPr>
          <w:rtl/>
        </w:rPr>
        <w:t xml:space="preserve"> </w:t>
      </w:r>
      <w:r w:rsidRPr="00522A3C">
        <w:rPr>
          <w:rFonts w:hint="cs"/>
          <w:rtl/>
        </w:rPr>
        <w:t>ותיאום</w:t>
      </w:r>
      <w:r w:rsidRPr="00522A3C">
        <w:rPr>
          <w:rtl/>
        </w:rPr>
        <w:t xml:space="preserve"> </w:t>
      </w:r>
      <w:r w:rsidRPr="00522A3C">
        <w:rPr>
          <w:rFonts w:hint="cs"/>
          <w:rtl/>
        </w:rPr>
        <w:t>יזום</w:t>
      </w:r>
      <w:r w:rsidRPr="00522A3C">
        <w:rPr>
          <w:rtl/>
        </w:rPr>
        <w:t xml:space="preserve"> </w:t>
      </w:r>
      <w:r w:rsidRPr="00522A3C">
        <w:rPr>
          <w:rFonts w:hint="cs"/>
          <w:rtl/>
        </w:rPr>
        <w:t>של</w:t>
      </w:r>
      <w:r w:rsidRPr="00522A3C">
        <w:rPr>
          <w:rtl/>
        </w:rPr>
        <w:t xml:space="preserve"> </w:t>
      </w:r>
      <w:r w:rsidRPr="00522A3C">
        <w:rPr>
          <w:rFonts w:hint="cs"/>
          <w:rtl/>
        </w:rPr>
        <w:t>הפסקות</w:t>
      </w:r>
      <w:r w:rsidRPr="00522A3C">
        <w:rPr>
          <w:rtl/>
        </w:rPr>
        <w:t xml:space="preserve"> </w:t>
      </w:r>
      <w:r w:rsidRPr="00522A3C">
        <w:rPr>
          <w:rFonts w:hint="cs"/>
          <w:rtl/>
        </w:rPr>
        <w:t>חשמל</w:t>
      </w:r>
      <w:r w:rsidRPr="00522A3C">
        <w:rPr>
          <w:rtl/>
        </w:rPr>
        <w:t xml:space="preserve">, </w:t>
      </w:r>
      <w:r w:rsidRPr="00522A3C">
        <w:rPr>
          <w:rFonts w:hint="cs"/>
          <w:rtl/>
        </w:rPr>
        <w:t>בירור</w:t>
      </w:r>
      <w:r w:rsidRPr="00522A3C">
        <w:rPr>
          <w:rtl/>
        </w:rPr>
        <w:t xml:space="preserve"> </w:t>
      </w:r>
      <w:r w:rsidRPr="00522A3C">
        <w:rPr>
          <w:rFonts w:hint="cs"/>
          <w:rtl/>
        </w:rPr>
        <w:t>תקלות</w:t>
      </w:r>
      <w:r w:rsidRPr="00522A3C">
        <w:rPr>
          <w:rtl/>
        </w:rPr>
        <w:t xml:space="preserve"> </w:t>
      </w:r>
      <w:r w:rsidRPr="00522A3C">
        <w:rPr>
          <w:rFonts w:hint="cs"/>
          <w:rtl/>
        </w:rPr>
        <w:t>ברשת</w:t>
      </w:r>
      <w:r w:rsidRPr="00522A3C">
        <w:rPr>
          <w:rtl/>
        </w:rPr>
        <w:t xml:space="preserve">, </w:t>
      </w:r>
      <w:r w:rsidRPr="00522A3C">
        <w:rPr>
          <w:rFonts w:hint="cs"/>
          <w:rtl/>
        </w:rPr>
        <w:t>העברה</w:t>
      </w:r>
      <w:r w:rsidRPr="00522A3C">
        <w:rPr>
          <w:rtl/>
        </w:rPr>
        <w:t xml:space="preserve"> </w:t>
      </w:r>
      <w:r w:rsidRPr="00522A3C">
        <w:rPr>
          <w:rFonts w:hint="cs"/>
          <w:rtl/>
        </w:rPr>
        <w:t>בין</w:t>
      </w:r>
      <w:r w:rsidRPr="00522A3C">
        <w:rPr>
          <w:rtl/>
        </w:rPr>
        <w:t xml:space="preserve"> </w:t>
      </w:r>
      <w:r w:rsidRPr="00522A3C">
        <w:rPr>
          <w:rFonts w:hint="cs"/>
          <w:rtl/>
        </w:rPr>
        <w:t>קווי</w:t>
      </w:r>
      <w:r w:rsidRPr="00522A3C">
        <w:rPr>
          <w:rtl/>
        </w:rPr>
        <w:t xml:space="preserve"> </w:t>
      </w:r>
      <w:r w:rsidRPr="00522A3C">
        <w:rPr>
          <w:rFonts w:hint="cs"/>
          <w:rtl/>
        </w:rPr>
        <w:t>הזנה</w:t>
      </w:r>
      <w:r w:rsidRPr="00522A3C">
        <w:rPr>
          <w:rtl/>
        </w:rPr>
        <w:t xml:space="preserve"> </w:t>
      </w:r>
      <w:r w:rsidRPr="00522A3C">
        <w:rPr>
          <w:rFonts w:hint="cs"/>
          <w:rtl/>
        </w:rPr>
        <w:t>לצורך</w:t>
      </w:r>
      <w:r w:rsidRPr="00522A3C">
        <w:rPr>
          <w:rtl/>
        </w:rPr>
        <w:t xml:space="preserve"> </w:t>
      </w:r>
      <w:r w:rsidRPr="00522A3C">
        <w:rPr>
          <w:rFonts w:hint="cs"/>
          <w:rtl/>
        </w:rPr>
        <w:t>אספקת</w:t>
      </w:r>
      <w:r w:rsidRPr="00522A3C">
        <w:rPr>
          <w:rtl/>
        </w:rPr>
        <w:t xml:space="preserve"> </w:t>
      </w:r>
      <w:r w:rsidRPr="00522A3C">
        <w:rPr>
          <w:rFonts w:hint="cs"/>
          <w:rtl/>
        </w:rPr>
        <w:t>חשמל</w:t>
      </w:r>
      <w:r w:rsidRPr="00522A3C">
        <w:rPr>
          <w:rtl/>
        </w:rPr>
        <w:t xml:space="preserve"> </w:t>
      </w:r>
      <w:r w:rsidRPr="00522A3C">
        <w:rPr>
          <w:rFonts w:hint="cs"/>
          <w:rtl/>
        </w:rPr>
        <w:t>שוטפת</w:t>
      </w:r>
      <w:r w:rsidRPr="00522A3C">
        <w:rPr>
          <w:rtl/>
        </w:rPr>
        <w:t xml:space="preserve"> </w:t>
      </w:r>
      <w:r w:rsidRPr="00522A3C">
        <w:rPr>
          <w:rFonts w:hint="cs"/>
          <w:rtl/>
        </w:rPr>
        <w:t>והכל</w:t>
      </w:r>
      <w:r w:rsidRPr="00522A3C">
        <w:rPr>
          <w:rtl/>
        </w:rPr>
        <w:t xml:space="preserve"> </w:t>
      </w:r>
      <w:r w:rsidRPr="00522A3C">
        <w:rPr>
          <w:rFonts w:hint="cs"/>
          <w:rtl/>
        </w:rPr>
        <w:t>באמצעי</w:t>
      </w:r>
      <w:r w:rsidRPr="00522A3C">
        <w:rPr>
          <w:rtl/>
        </w:rPr>
        <w:t xml:space="preserve"> </w:t>
      </w:r>
      <w:r w:rsidRPr="00522A3C">
        <w:rPr>
          <w:rFonts w:hint="cs"/>
          <w:rtl/>
        </w:rPr>
        <w:t>ייעודי</w:t>
      </w:r>
      <w:r w:rsidRPr="00522A3C">
        <w:rPr>
          <w:rtl/>
        </w:rPr>
        <w:t xml:space="preserve"> </w:t>
      </w:r>
      <w:r w:rsidRPr="00522A3C">
        <w:rPr>
          <w:rFonts w:hint="cs"/>
          <w:rtl/>
        </w:rPr>
        <w:t>לצרכן</w:t>
      </w:r>
      <w:r w:rsidRPr="00522A3C">
        <w:rPr>
          <w:rtl/>
        </w:rPr>
        <w:t xml:space="preserve">, </w:t>
      </w:r>
      <w:r w:rsidRPr="00522A3C">
        <w:rPr>
          <w:rFonts w:hint="cs"/>
          <w:rtl/>
        </w:rPr>
        <w:t>באופן</w:t>
      </w:r>
      <w:r w:rsidRPr="00522A3C">
        <w:rPr>
          <w:rtl/>
        </w:rPr>
        <w:t xml:space="preserve"> </w:t>
      </w:r>
      <w:r w:rsidRPr="00522A3C">
        <w:rPr>
          <w:rFonts w:hint="cs"/>
          <w:rtl/>
        </w:rPr>
        <w:t>ישיר</w:t>
      </w:r>
      <w:r w:rsidRPr="00522A3C">
        <w:rPr>
          <w:rtl/>
        </w:rPr>
        <w:t xml:space="preserve"> </w:t>
      </w:r>
      <w:r w:rsidRPr="00522A3C">
        <w:rPr>
          <w:rFonts w:hint="cs"/>
          <w:rtl/>
        </w:rPr>
        <w:t>ושוטף</w:t>
      </w:r>
      <w:r w:rsidRPr="00522A3C">
        <w:rPr>
          <w:rtl/>
        </w:rPr>
        <w:t xml:space="preserve">". </w:t>
      </w:r>
      <w:r w:rsidRPr="00522A3C">
        <w:rPr>
          <w:rFonts w:hint="cs"/>
          <w:rtl/>
        </w:rPr>
        <w:t xml:space="preserve">כמו כן, תוקנה אמת מידה 23 כך שנוסף </w:t>
      </w:r>
      <w:r w:rsidRPr="00522A3C">
        <w:rPr>
          <w:rtl/>
        </w:rPr>
        <w:t xml:space="preserve">ס"ק שכותרתו </w:t>
      </w:r>
      <w:r w:rsidRPr="00522A3C">
        <w:rPr>
          <w:rFonts w:hint="cs"/>
          <w:rtl/>
        </w:rPr>
        <w:t>(יג)</w:t>
      </w:r>
      <w:r w:rsidRPr="00522A3C">
        <w:rPr>
          <w:rtl/>
        </w:rPr>
        <w:t xml:space="preserve"> "שירותי רשת לצרכן" - "ספק שירות חיוני יעמיד לרשות כלל צרכני החשמל בגודל חיבור </w:t>
      </w:r>
      <w:r w:rsidRPr="00522A3C">
        <w:rPr>
          <w:rFonts w:hint="cs"/>
          <w:rtl/>
        </w:rPr>
        <w:t>200</w:t>
      </w:r>
      <w:r w:rsidRPr="00522A3C">
        <w:rPr>
          <w:rFonts w:hint="cs"/>
        </w:rPr>
        <w:t>X</w:t>
      </w:r>
      <w:r w:rsidRPr="00522A3C">
        <w:rPr>
          <w:rFonts w:hint="cs"/>
          <w:rtl/>
        </w:rPr>
        <w:t xml:space="preserve">3 </w:t>
      </w:r>
      <w:r w:rsidRPr="00522A3C">
        <w:rPr>
          <w:rtl/>
        </w:rPr>
        <w:t>אמפר ומעלה, בין אם מקבלים שירות אספקה מספק שירות חיוני ובין אם מקבלים שירות אספקה מיצרן חשמל פרטי, את שירותי הר</w:t>
      </w:r>
      <w:r w:rsidRPr="00522A3C">
        <w:rPr>
          <w:rFonts w:hint="cs"/>
          <w:rtl/>
        </w:rPr>
        <w:t>שת.</w:t>
      </w:r>
      <w:r w:rsidRPr="00522A3C">
        <w:rPr>
          <w:rtl/>
        </w:rPr>
        <w:t xml:space="preserve"> ככל שלא ניתן השירות ישלם ספק שירות חיוני לצרכן סך הפרה כקבוע בלוח תשלומים 15-1 בלוח התעריפים</w:t>
      </w:r>
      <w:r w:rsidRPr="00522A3C">
        <w:rPr>
          <w:rFonts w:hint="cs"/>
          <w:rtl/>
        </w:rPr>
        <w:t>." החלטה</w:t>
      </w:r>
      <w:r w:rsidRPr="00522A3C">
        <w:rPr>
          <w:rtl/>
        </w:rPr>
        <w:t xml:space="preserve"> 4 (1015)</w:t>
      </w:r>
      <w:r w:rsidRPr="00522A3C">
        <w:rPr>
          <w:rFonts w:hint="cs"/>
          <w:rtl/>
        </w:rPr>
        <w:t xml:space="preserve"> של הרשות לשירותים ציבוריים- חשמל</w:t>
      </w:r>
      <w:r w:rsidRPr="00522A3C">
        <w:rPr>
          <w:rtl/>
        </w:rPr>
        <w:t xml:space="preserve"> </w:t>
      </w:r>
      <w:r w:rsidRPr="00522A3C">
        <w:rPr>
          <w:rFonts w:hint="cs"/>
          <w:rtl/>
        </w:rPr>
        <w:t>"שינויים</w:t>
      </w:r>
      <w:r w:rsidRPr="00522A3C">
        <w:rPr>
          <w:rtl/>
        </w:rPr>
        <w:t xml:space="preserve"> </w:t>
      </w:r>
      <w:r w:rsidRPr="00522A3C">
        <w:rPr>
          <w:rFonts w:hint="cs"/>
          <w:rtl/>
        </w:rPr>
        <w:t>ועדכונים</w:t>
      </w:r>
      <w:r w:rsidRPr="00522A3C">
        <w:rPr>
          <w:rtl/>
        </w:rPr>
        <w:t xml:space="preserve"> </w:t>
      </w:r>
      <w:r w:rsidRPr="00522A3C">
        <w:rPr>
          <w:rFonts w:hint="cs"/>
          <w:rtl/>
        </w:rPr>
        <w:t>באמות</w:t>
      </w:r>
      <w:r w:rsidRPr="00522A3C">
        <w:rPr>
          <w:rtl/>
        </w:rPr>
        <w:t xml:space="preserve"> </w:t>
      </w:r>
      <w:r w:rsidRPr="00522A3C">
        <w:rPr>
          <w:rFonts w:hint="cs"/>
          <w:rtl/>
        </w:rPr>
        <w:t>המידה</w:t>
      </w:r>
      <w:r w:rsidRPr="00522A3C">
        <w:rPr>
          <w:rtl/>
        </w:rPr>
        <w:t xml:space="preserve"> </w:t>
      </w:r>
      <w:r w:rsidRPr="00522A3C">
        <w:rPr>
          <w:rFonts w:hint="cs"/>
          <w:rtl/>
        </w:rPr>
        <w:t>צרכנות</w:t>
      </w:r>
      <w:r w:rsidRPr="00522A3C">
        <w:rPr>
          <w:rFonts w:hint="cs"/>
          <w:b/>
          <w:bCs/>
          <w:rtl/>
        </w:rPr>
        <w:t>"</w:t>
      </w:r>
      <w:r w:rsidRPr="00522A3C">
        <w:rPr>
          <w:rtl/>
        </w:rPr>
        <w:t xml:space="preserve"> </w:t>
      </w:r>
      <w:r w:rsidRPr="00522A3C">
        <w:rPr>
          <w:rFonts w:hint="cs"/>
          <w:rtl/>
        </w:rPr>
        <w:t>(</w:t>
      </w:r>
      <w:r w:rsidRPr="00522A3C">
        <w:rPr>
          <w:rtl/>
        </w:rPr>
        <w:t>25.11.</w:t>
      </w:r>
      <w:r>
        <w:rPr>
          <w:rFonts w:hint="cs"/>
          <w:rtl/>
        </w:rPr>
        <w:t>20</w:t>
      </w:r>
      <w:r w:rsidRPr="00522A3C">
        <w:rPr>
          <w:rtl/>
        </w:rPr>
        <w:t>15</w:t>
      </w:r>
      <w:r w:rsidRPr="00522A3C">
        <w:rPr>
          <w:rFonts w:hint="cs"/>
          <w:rtl/>
        </w:rPr>
        <w:t xml:space="preserve">) (להלן: </w:t>
      </w:r>
      <w:r w:rsidRPr="00522A3C">
        <w:rPr>
          <w:rFonts w:hint="cs"/>
          <w:b/>
          <w:bCs/>
          <w:rtl/>
        </w:rPr>
        <w:t>החלטה בדבר שינויים ועדכונים באמות המידה צרכנות</w:t>
      </w:r>
      <w:r w:rsidRPr="00522A3C">
        <w:rPr>
          <w:rFonts w:hint="cs"/>
          <w:rtl/>
        </w:rPr>
        <w:t>).</w:t>
      </w:r>
    </w:p>
  </w:footnote>
  <w:footnote w:id="19">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סעיף 2 לחוק משק החשמל, התשנ"ו-1996, ס"ח התשס"ז 132, מגדיר "</w:t>
      </w:r>
      <w:r w:rsidRPr="00522A3C">
        <w:rPr>
          <w:rtl/>
        </w:rPr>
        <w:t>רישיון ספק שירות חיוני</w:t>
      </w:r>
      <w:r w:rsidRPr="00522A3C">
        <w:rPr>
          <w:rFonts w:hint="cs"/>
          <w:rtl/>
        </w:rPr>
        <w:t xml:space="preserve">" </w:t>
      </w:r>
      <w:r w:rsidRPr="00522A3C">
        <w:rPr>
          <w:rtl/>
        </w:rPr>
        <w:t xml:space="preserve">– </w:t>
      </w:r>
      <w:r w:rsidRPr="00522A3C">
        <w:rPr>
          <w:rFonts w:hint="cs"/>
          <w:rtl/>
        </w:rPr>
        <w:t>"</w:t>
      </w:r>
      <w:r w:rsidRPr="00522A3C">
        <w:rPr>
          <w:rtl/>
        </w:rPr>
        <w:t>רישיון לניהול המערכת, להולכה או לחלוקה של חשמל.</w:t>
      </w:r>
      <w:r w:rsidRPr="00522A3C">
        <w:rPr>
          <w:rFonts w:hint="cs"/>
          <w:rtl/>
        </w:rPr>
        <w:t>"</w:t>
      </w:r>
    </w:p>
  </w:footnote>
  <w:footnote w:id="20">
    <w:p w:rsidR="001C367F" w:rsidRPr="00522A3C" w:rsidRDefault="001C367F" w:rsidP="00582CE6">
      <w:pPr>
        <w:pStyle w:val="FootnoteText"/>
        <w:spacing w:before="0" w:line="240" w:lineRule="auto"/>
      </w:pPr>
      <w:r w:rsidRPr="00522A3C">
        <w:rPr>
          <w:rStyle w:val="FootnoteReference"/>
        </w:rPr>
        <w:footnoteRef/>
      </w:r>
      <w:r w:rsidRPr="00522A3C">
        <w:rPr>
          <w:rtl/>
        </w:rPr>
        <w:t xml:space="preserve"> </w:t>
      </w:r>
      <w:r w:rsidRPr="00522A3C">
        <w:rPr>
          <w:rFonts w:hint="cs"/>
          <w:rtl/>
        </w:rPr>
        <w:t>אמות מידה 60-62 לספר אמות המידה</w:t>
      </w:r>
      <w:r>
        <w:rPr>
          <w:rFonts w:hint="cs"/>
          <w:rtl/>
        </w:rPr>
        <w:t>.</w:t>
      </w:r>
    </w:p>
  </w:footnote>
  <w:footnote w:id="21">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 xml:space="preserve">תק' 15 לתקנות </w:t>
      </w:r>
      <w:r w:rsidRPr="00522A3C">
        <w:rPr>
          <w:rtl/>
        </w:rPr>
        <w:t>יצרן חשמל פרטי קונבנציונלי</w:t>
      </w:r>
      <w:r w:rsidRPr="00522A3C">
        <w:rPr>
          <w:rFonts w:hint="cs"/>
          <w:rtl/>
        </w:rPr>
        <w:t xml:space="preserve">; אמת מידה 64 בפרק ה' שעוסק בשירותי תשתית נושאת את הכותרת "מחויבות ספק שירות חיוני" וקובעת, בין היתר: "אין בקיומה של העסקה הפרטית כדי לגרוע מחובותיו, כולן או חלקן, של ספק השירות החיוני כלפי שאר הצרכנים, לרבות מי שרוכש מספק שירות אחר ולרבות בנושאי בטיחות ואמינות החשמל". בנוסף, ברשיון הספקת חשמל שניתן שר האנרגיה ליצרן החשמל הפרטי נקבע כי אין באמור ברשיון "כדי להטיל על בעל הרישיון אחריות המוטלת על ספק שירות חיוני לפי דין". </w:t>
      </w:r>
    </w:p>
  </w:footnote>
  <w:footnote w:id="22">
    <w:p w:rsidR="001C367F" w:rsidRPr="00522A3C" w:rsidRDefault="001C367F" w:rsidP="00582CE6">
      <w:pPr>
        <w:spacing w:before="0" w:line="240" w:lineRule="auto"/>
        <w:rPr>
          <w:sz w:val="20"/>
          <w:szCs w:val="20"/>
          <w:rtl/>
        </w:rPr>
      </w:pPr>
      <w:r w:rsidRPr="00522A3C">
        <w:rPr>
          <w:rStyle w:val="FootnoteReference"/>
          <w:sz w:val="20"/>
          <w:szCs w:val="20"/>
        </w:rPr>
        <w:footnoteRef/>
      </w:r>
      <w:r w:rsidRPr="00522A3C">
        <w:rPr>
          <w:sz w:val="20"/>
          <w:szCs w:val="20"/>
          <w:rtl/>
        </w:rPr>
        <w:t xml:space="preserve"> </w:t>
      </w:r>
      <w:r w:rsidRPr="00522A3C">
        <w:rPr>
          <w:rFonts w:hint="cs"/>
          <w:sz w:val="20"/>
          <w:szCs w:val="20"/>
          <w:rtl/>
        </w:rPr>
        <w:t>נוהל שירות לקוחות עסקיים הראשון פורסם בשנת 2005 כאשר ההגדרה של 'לקוחות עסקיים' נקבעה על פי היקף הצריכה שלהם: "הצריכה השנתית באחד מאתריהם עולה על 1 מיליון קוט"ש בשנה. הצריכה המצרפית בכל אתריהם, עולה על 5 מיליון קוט"ש בשנה." ביום 27.11.2014 עודכן נוהל שירות לקוחות עסקיים. בין היתר, נערך שינוי בהגדרת "לקוחות עסקיים" כך שהיא חלה על לקוחות שעונים על הקריטריונים הבאים: "לקוחות אשר האנרגיה השנתית הנרכשת מחח"י כמספק באחד מאתריהם עולה על 1 מיליון קוט"ש בשנה. לקוחות אשר האנרגיה המצרפית הנרכשת מחח"י כמספק בכל אתריהם, עולה על 5 מיליון קוט"ש בשנה." על פי סעיף 8 לנוהל שירות לקוחות עסקיים מיום 27.11.2014, במקרה בו פחתה האנרגיה של הלקוח הנרכשת מחח"י כמספק ב-20% מהסף שקבע בהגדרה יבדוק מנהל תיק הלקוח עם נציגיו את הנסיבות. לאחר בירורן, בסמכות סגן מנהל המחוז לענייני שיווק להחליט על הפסקת הטיפול בו כלקוח עסקי והסרת סימונו מהמערכות התפעוליות.</w:t>
      </w:r>
    </w:p>
  </w:footnote>
  <w:footnote w:id="23">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בסוף שנת 2014 פרש מתפקידו מי שכיהן עד אז כסמנכ"ל הלקוחות ובתחילת שנת 2015 נכנס לתפקידו סמנכ"ל לקוחות חדש.</w:t>
      </w:r>
    </w:p>
  </w:footnote>
  <w:footnote w:id="24">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 xml:space="preserve">ה"ע 2/96 </w:t>
      </w:r>
      <w:r w:rsidRPr="00522A3C">
        <w:rPr>
          <w:rFonts w:hint="cs"/>
          <w:b/>
          <w:bCs/>
          <w:rtl/>
        </w:rPr>
        <w:t>הממונה</w:t>
      </w:r>
      <w:r w:rsidRPr="00522A3C">
        <w:rPr>
          <w:b/>
          <w:bCs/>
          <w:rtl/>
        </w:rPr>
        <w:t xml:space="preserve"> </w:t>
      </w:r>
      <w:r w:rsidRPr="00522A3C">
        <w:rPr>
          <w:rFonts w:hint="cs"/>
          <w:b/>
          <w:bCs/>
          <w:rtl/>
        </w:rPr>
        <w:t>על</w:t>
      </w:r>
      <w:r w:rsidRPr="00522A3C">
        <w:rPr>
          <w:b/>
          <w:bCs/>
          <w:rtl/>
        </w:rPr>
        <w:t xml:space="preserve"> </w:t>
      </w:r>
      <w:r w:rsidRPr="00522A3C">
        <w:rPr>
          <w:rFonts w:hint="cs"/>
          <w:b/>
          <w:bCs/>
          <w:rtl/>
        </w:rPr>
        <w:t>ההגבלים</w:t>
      </w:r>
      <w:r w:rsidRPr="00522A3C">
        <w:rPr>
          <w:b/>
          <w:bCs/>
          <w:rtl/>
        </w:rPr>
        <w:t xml:space="preserve"> </w:t>
      </w:r>
      <w:r w:rsidRPr="00522A3C">
        <w:rPr>
          <w:rFonts w:hint="cs"/>
          <w:b/>
          <w:bCs/>
          <w:rtl/>
        </w:rPr>
        <w:t>העסקיים</w:t>
      </w:r>
      <w:r w:rsidRPr="00522A3C">
        <w:rPr>
          <w:b/>
          <w:bCs/>
          <w:rtl/>
        </w:rPr>
        <w:t xml:space="preserve"> </w:t>
      </w:r>
      <w:r w:rsidRPr="00522A3C">
        <w:rPr>
          <w:rFonts w:hint="cs"/>
          <w:b/>
          <w:bCs/>
          <w:rtl/>
        </w:rPr>
        <w:t>נ</w:t>
      </w:r>
      <w:r w:rsidRPr="00522A3C">
        <w:rPr>
          <w:b/>
          <w:bCs/>
          <w:rtl/>
        </w:rPr>
        <w:t xml:space="preserve">' </w:t>
      </w:r>
      <w:r w:rsidRPr="00522A3C">
        <w:rPr>
          <w:rFonts w:hint="cs"/>
          <w:b/>
          <w:bCs/>
          <w:rtl/>
        </w:rPr>
        <w:t>ידיעות</w:t>
      </w:r>
      <w:r w:rsidRPr="00522A3C">
        <w:rPr>
          <w:b/>
          <w:bCs/>
          <w:rtl/>
        </w:rPr>
        <w:t xml:space="preserve"> </w:t>
      </w:r>
      <w:r w:rsidRPr="00522A3C">
        <w:rPr>
          <w:rFonts w:hint="cs"/>
          <w:b/>
          <w:bCs/>
          <w:rtl/>
        </w:rPr>
        <w:t>אחרונות</w:t>
      </w:r>
      <w:r w:rsidRPr="00522A3C">
        <w:rPr>
          <w:b/>
          <w:bCs/>
          <w:rtl/>
        </w:rPr>
        <w:t xml:space="preserve"> </w:t>
      </w:r>
      <w:r w:rsidRPr="00522A3C">
        <w:rPr>
          <w:rFonts w:hint="cs"/>
          <w:b/>
          <w:bCs/>
          <w:rtl/>
        </w:rPr>
        <w:t>בע</w:t>
      </w:r>
      <w:r w:rsidRPr="00522A3C">
        <w:rPr>
          <w:b/>
          <w:bCs/>
          <w:rtl/>
        </w:rPr>
        <w:t>"</w:t>
      </w:r>
      <w:r w:rsidRPr="00522A3C">
        <w:rPr>
          <w:rFonts w:hint="cs"/>
          <w:b/>
          <w:bCs/>
          <w:rtl/>
        </w:rPr>
        <w:t>מ</w:t>
      </w:r>
      <w:r w:rsidRPr="00522A3C">
        <w:rPr>
          <w:rFonts w:hint="cs"/>
          <w:rtl/>
        </w:rPr>
        <w:t xml:space="preserve">, פסקאות </w:t>
      </w:r>
      <w:r w:rsidRPr="00522A3C">
        <w:t>55-52</w:t>
      </w:r>
      <w:r w:rsidRPr="00522A3C">
        <w:rPr>
          <w:rFonts w:hint="cs"/>
          <w:rtl/>
        </w:rPr>
        <w:t xml:space="preserve"> לפסק הדין (פורסם בנבו, 7.6.2000) (להלן: </w:t>
      </w:r>
      <w:r w:rsidRPr="00522A3C">
        <w:rPr>
          <w:rFonts w:hint="cs"/>
          <w:b/>
          <w:bCs/>
          <w:rtl/>
        </w:rPr>
        <w:t>פסק דין משלים ידיעות אחרונות</w:t>
      </w:r>
      <w:r w:rsidRPr="00522A3C">
        <w:rPr>
          <w:rFonts w:hint="cs"/>
          <w:rtl/>
        </w:rPr>
        <w:t xml:space="preserve">); השוו: </w:t>
      </w:r>
      <w:r w:rsidRPr="00522A3C">
        <w:t>Case C-280/08, Deutsche Telekom v. Commission, 2010 E.C.R I-09555, para. 176</w:t>
      </w:r>
      <w:r w:rsidRPr="00522A3C">
        <w:rPr>
          <w:rFonts w:hint="cs"/>
          <w:rtl/>
        </w:rPr>
        <w:t xml:space="preserve"> (להלן: עניין </w:t>
      </w:r>
      <w:r w:rsidRPr="00522A3C">
        <w:rPr>
          <w:i/>
          <w:iCs/>
        </w:rPr>
        <w:t>Deutsche Telekom</w:t>
      </w:r>
      <w:r w:rsidRPr="00522A3C">
        <w:rPr>
          <w:rFonts w:hint="cs"/>
          <w:rtl/>
        </w:rPr>
        <w:t>).</w:t>
      </w:r>
    </w:p>
  </w:footnote>
  <w:footnote w:id="25">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b/>
          <w:bCs/>
          <w:rtl/>
        </w:rPr>
        <w:t>פסק דין משלים ידיעות אחרונות</w:t>
      </w:r>
      <w:r w:rsidRPr="00522A3C">
        <w:rPr>
          <w:rFonts w:hint="cs"/>
          <w:rtl/>
        </w:rPr>
        <w:t xml:space="preserve">, לעיל ה"ש </w:t>
      </w:r>
      <w:r w:rsidRPr="00522A3C">
        <w:rPr>
          <w:rtl/>
        </w:rPr>
        <w:fldChar w:fldCharType="begin"/>
      </w:r>
      <w:r w:rsidRPr="00522A3C">
        <w:rPr>
          <w:rtl/>
        </w:rPr>
        <w:instrText xml:space="preserve"> </w:instrText>
      </w:r>
      <w:r w:rsidRPr="00522A3C">
        <w:rPr>
          <w:rFonts w:hint="cs"/>
        </w:rPr>
        <w:instrText>NOTEREF</w:instrText>
      </w:r>
      <w:r w:rsidRPr="00522A3C">
        <w:rPr>
          <w:rFonts w:hint="cs"/>
          <w:rtl/>
        </w:rPr>
        <w:instrText xml:space="preserve"> _</w:instrText>
      </w:r>
      <w:r w:rsidRPr="00522A3C">
        <w:rPr>
          <w:rFonts w:hint="cs"/>
        </w:rPr>
        <w:instrText>Ref476465888 \h</w:instrText>
      </w:r>
      <w:r w:rsidRPr="00522A3C">
        <w:rPr>
          <w:rtl/>
        </w:rPr>
        <w:instrText xml:space="preserve"> </w:instrText>
      </w:r>
      <w:r>
        <w:rPr>
          <w:rtl/>
        </w:rPr>
        <w:instrText xml:space="preserve"> \* </w:instrText>
      </w:r>
      <w:r>
        <w:instrText>MERGEFORMAT</w:instrText>
      </w:r>
      <w:r>
        <w:rPr>
          <w:rtl/>
        </w:rPr>
        <w:instrText xml:space="preserve"> </w:instrText>
      </w:r>
      <w:r w:rsidRPr="00522A3C">
        <w:rPr>
          <w:rtl/>
        </w:rPr>
      </w:r>
      <w:r w:rsidRPr="00522A3C">
        <w:rPr>
          <w:rtl/>
        </w:rPr>
        <w:fldChar w:fldCharType="separate"/>
      </w:r>
      <w:r>
        <w:rPr>
          <w:rtl/>
        </w:rPr>
        <w:t>24</w:t>
      </w:r>
      <w:r w:rsidRPr="00522A3C">
        <w:rPr>
          <w:rtl/>
        </w:rPr>
        <w:fldChar w:fldCharType="end"/>
      </w:r>
      <w:r w:rsidRPr="00522A3C">
        <w:rPr>
          <w:rFonts w:hint="cs"/>
          <w:rtl/>
        </w:rPr>
        <w:t>, פס' 51 לפסק הדין.</w:t>
      </w:r>
    </w:p>
  </w:footnote>
  <w:footnote w:id="26">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שם, פס' 56 לפסק הדין.</w:t>
      </w:r>
    </w:p>
  </w:footnote>
  <w:footnote w:id="27">
    <w:p w:rsidR="001C367F" w:rsidRPr="00522A3C" w:rsidRDefault="001C367F" w:rsidP="00582CE6">
      <w:pPr>
        <w:pStyle w:val="FootnoteText"/>
        <w:spacing w:before="0" w:line="240" w:lineRule="auto"/>
      </w:pPr>
      <w:r w:rsidRPr="00522A3C">
        <w:rPr>
          <w:rStyle w:val="FootnoteReference"/>
        </w:rPr>
        <w:footnoteRef/>
      </w:r>
      <w:r w:rsidRPr="00522A3C">
        <w:rPr>
          <w:rtl/>
        </w:rPr>
        <w:t xml:space="preserve"> </w:t>
      </w:r>
      <w:r w:rsidRPr="00522A3C">
        <w:rPr>
          <w:rFonts w:hint="cs"/>
          <w:rtl/>
        </w:rPr>
        <w:t xml:space="preserve">ה"ע 801/08 </w:t>
      </w:r>
      <w:r w:rsidRPr="00522A3C">
        <w:rPr>
          <w:rFonts w:hint="cs"/>
          <w:b/>
          <w:bCs/>
          <w:rtl/>
        </w:rPr>
        <w:t>בזק החברה הישראלית לתקשורת בע"מ נ' הממונה על הגבלים</w:t>
      </w:r>
      <w:r w:rsidRPr="00522A3C">
        <w:rPr>
          <w:rFonts w:hint="cs"/>
          <w:rtl/>
        </w:rPr>
        <w:t xml:space="preserve">, פס' 65 לפסק הדין (פורסם בנבו, 16.12.2009) (להלן: </w:t>
      </w:r>
      <w:r w:rsidRPr="00522A3C">
        <w:rPr>
          <w:rFonts w:hint="cs"/>
          <w:b/>
          <w:bCs/>
          <w:rtl/>
        </w:rPr>
        <w:t>פסק דין בעניין בזק - קישור הגומלין</w:t>
      </w:r>
      <w:r w:rsidRPr="00522A3C">
        <w:rPr>
          <w:rFonts w:hint="cs"/>
          <w:rtl/>
        </w:rPr>
        <w:t>).</w:t>
      </w:r>
    </w:p>
  </w:footnote>
  <w:footnote w:id="28">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שם, שם; קביעה לפי סעיף 43(א)(5) לחוק ההגבלים העסקיים, התשמ"ח-1988 בדבר ניצול מעמד לרעה בשוק שירותי המחזור של מכלי משקה החייבים בפיקדון (14.7.2013)</w:t>
      </w:r>
      <w:r w:rsidRPr="00522A3C">
        <w:rPr>
          <w:rFonts w:hint="cs"/>
          <w:b/>
          <w:bCs/>
          <w:rtl/>
        </w:rPr>
        <w:t xml:space="preserve"> הגבלים עסקיים </w:t>
      </w:r>
      <w:r w:rsidRPr="00522A3C">
        <w:rPr>
          <w:rFonts w:hint="cs"/>
          <w:rtl/>
        </w:rPr>
        <w:t>500420</w:t>
      </w:r>
      <w:r w:rsidRPr="00522A3C">
        <w:rPr>
          <w:rFonts w:hint="cs"/>
          <w:b/>
          <w:bCs/>
          <w:rtl/>
        </w:rPr>
        <w:t xml:space="preserve">, </w:t>
      </w:r>
      <w:r w:rsidRPr="00522A3C">
        <w:rPr>
          <w:rFonts w:hint="cs"/>
          <w:rtl/>
        </w:rPr>
        <w:t xml:space="preserve">פס' 34 לקביעה (להלן: </w:t>
      </w:r>
      <w:r w:rsidRPr="00522A3C">
        <w:rPr>
          <w:rFonts w:hint="cs"/>
          <w:b/>
          <w:bCs/>
          <w:rtl/>
        </w:rPr>
        <w:t>קביעת ממונה בעניין אל"ה</w:t>
      </w:r>
      <w:r w:rsidRPr="00522A3C">
        <w:rPr>
          <w:rFonts w:hint="cs"/>
          <w:rtl/>
        </w:rPr>
        <w:t xml:space="preserve">). ראו עוד: ת"א 33666-07-11 </w:t>
      </w:r>
      <w:r w:rsidRPr="00522A3C">
        <w:rPr>
          <w:rFonts w:hint="cs"/>
          <w:b/>
          <w:bCs/>
          <w:rtl/>
        </w:rPr>
        <w:t xml:space="preserve">אוניפארם נ' </w:t>
      </w:r>
      <w:r w:rsidRPr="00522A3C">
        <w:rPr>
          <w:b/>
          <w:bCs/>
        </w:rPr>
        <w:t>Sanofi</w:t>
      </w:r>
      <w:r w:rsidRPr="00522A3C">
        <w:rPr>
          <w:rFonts w:hint="cs"/>
          <w:b/>
          <w:bCs/>
          <w:rtl/>
        </w:rPr>
        <w:t xml:space="preserve"> ואח'</w:t>
      </w:r>
      <w:r w:rsidRPr="00522A3C">
        <w:rPr>
          <w:rFonts w:hint="cs"/>
          <w:rtl/>
        </w:rPr>
        <w:t xml:space="preserve">, פס' 85 לפסק הדין (פורסם בנבו, 8.10.2015). השוו גם: </w:t>
      </w:r>
      <w:r w:rsidRPr="00522A3C">
        <w:t>Case C-549/10 P Tomra Systems v Commission, 2012 E.C.R. 4 CMLR 1093, para. 21</w:t>
      </w:r>
      <w:r w:rsidRPr="00522A3C">
        <w:rPr>
          <w:rtl/>
        </w:rPr>
        <w:t>.</w:t>
      </w:r>
    </w:p>
  </w:footnote>
  <w:footnote w:id="29">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 xml:space="preserve">כאמור לעיל, קיימים מקומות מעטים דוגמת מועצות מקומיות או קיבוצים להם חברת החשמל מספקת חשמל בצובר (במרוכז) לנקודה אחת, והחלוקה עצמה מתבצעת באופן עצמאי לצרכנים הסופיים באמצעות מערכות חלוקה פנימיות של מקומות אלו. אף על פי כן, אין בכך בכדי לגרוע ממעמדה המונופוליסטי של חברת החשמל במקטע החלוקה או בהשפעתם האנטי-תחרותית של מעשיה. </w:t>
      </w:r>
    </w:p>
  </w:footnote>
  <w:footnote w:id="30">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 xml:space="preserve">השוו: </w:t>
      </w:r>
      <w:r w:rsidRPr="00522A3C">
        <w:t>Case T-228/97 Irish Sugar v. Commission, 1999 E.C.R. II-2969, para. 165-167</w:t>
      </w:r>
      <w:r w:rsidRPr="00522A3C">
        <w:rPr>
          <w:rFonts w:hint="cs"/>
          <w:rtl/>
        </w:rPr>
        <w:t xml:space="preserve"> (להלן: עניין </w:t>
      </w:r>
      <w:r w:rsidRPr="00522A3C">
        <w:rPr>
          <w:i/>
          <w:iCs/>
        </w:rPr>
        <w:t>Irish Sugar</w:t>
      </w:r>
      <w:r w:rsidRPr="00522A3C">
        <w:rPr>
          <w:rFonts w:hint="cs"/>
          <w:rtl/>
        </w:rPr>
        <w:t xml:space="preserve">); </w:t>
      </w:r>
      <w:r w:rsidRPr="00522A3C">
        <w:t xml:space="preserve"> Upheld on appeal: Case C-497/99  Irish Sugar v. Commission,  2001 E.C.R. I-5335</w:t>
      </w:r>
      <w:r w:rsidRPr="00522A3C">
        <w:rPr>
          <w:rFonts w:hint="cs"/>
          <w:rtl/>
        </w:rPr>
        <w:t xml:space="preserve"> (להלן: ערעור בעניין </w:t>
      </w:r>
      <w:r w:rsidRPr="00522A3C">
        <w:rPr>
          <w:i/>
          <w:iCs/>
        </w:rPr>
        <w:t>Irish Sugar</w:t>
      </w:r>
      <w:r w:rsidRPr="00522A3C">
        <w:rPr>
          <w:rFonts w:hint="cs"/>
          <w:rtl/>
        </w:rPr>
        <w:t xml:space="preserve">): </w:t>
      </w:r>
    </w:p>
    <w:p w:rsidR="001C367F" w:rsidRPr="00522A3C" w:rsidRDefault="001C367F" w:rsidP="00582CE6">
      <w:pPr>
        <w:pStyle w:val="FootnoteText"/>
        <w:spacing w:before="0" w:line="240" w:lineRule="auto"/>
        <w:rPr>
          <w:b/>
          <w:bCs/>
          <w:rtl/>
        </w:rPr>
      </w:pPr>
      <w:r w:rsidRPr="00522A3C">
        <w:t>"The Court of Justice has held that an undertaking in a dominant position on a raw materials market could not abuse that dominant position on that market to facilitate its entry to a derivative products market incorporating those raw materials, affecting the competitive position of other operators on the latter market, for example by refusing to supply them with the raw materials necessary for their activities on the second market (Joined Cases 6/73 and 7/73 Istituto Chemioterapico Italiano and Commercial Solvents ν Commission (Commercial Solvents),  [1974] ECR 223, para. 25)</w:t>
      </w:r>
      <w:r w:rsidRPr="00522A3C">
        <w:rPr>
          <w:rFonts w:hint="cs"/>
          <w:rtl/>
        </w:rPr>
        <w:t>;</w:t>
      </w:r>
      <w:r w:rsidRPr="00522A3C">
        <w:rPr>
          <w:rFonts w:hint="cs"/>
          <w:b/>
          <w:bCs/>
          <w:rtl/>
        </w:rPr>
        <w:t xml:space="preserve"> </w:t>
      </w:r>
      <w:r w:rsidRPr="00522A3C">
        <w:rPr>
          <w:rFonts w:hint="cs"/>
          <w:rtl/>
        </w:rPr>
        <w:t>וראו גם:</w:t>
      </w:r>
      <w:r w:rsidRPr="00522A3C">
        <w:rPr>
          <w:rFonts w:hint="cs"/>
          <w:b/>
          <w:bCs/>
          <w:rtl/>
        </w:rPr>
        <w:t xml:space="preserve"> קביעת ממונה בעניין אל"ה</w:t>
      </w:r>
      <w:r w:rsidRPr="00522A3C">
        <w:rPr>
          <w:rFonts w:hint="cs"/>
          <w:rtl/>
        </w:rPr>
        <w:t xml:space="preserve">, לעיל ה"ש </w:t>
      </w:r>
      <w:r w:rsidRPr="00522A3C">
        <w:rPr>
          <w:rtl/>
        </w:rPr>
        <w:fldChar w:fldCharType="begin"/>
      </w:r>
      <w:r w:rsidRPr="00522A3C">
        <w:rPr>
          <w:rtl/>
        </w:rPr>
        <w:instrText xml:space="preserve"> </w:instrText>
      </w:r>
      <w:r w:rsidRPr="00522A3C">
        <w:rPr>
          <w:rFonts w:hint="cs"/>
        </w:rPr>
        <w:instrText>NOTEREF</w:instrText>
      </w:r>
      <w:r w:rsidRPr="00522A3C">
        <w:rPr>
          <w:rFonts w:hint="cs"/>
          <w:rtl/>
        </w:rPr>
        <w:instrText xml:space="preserve"> _</w:instrText>
      </w:r>
      <w:r w:rsidRPr="00522A3C">
        <w:rPr>
          <w:rFonts w:hint="cs"/>
        </w:rPr>
        <w:instrText>Ref476480574 \h</w:instrText>
      </w:r>
      <w:r w:rsidRPr="00522A3C">
        <w:rPr>
          <w:rtl/>
        </w:rPr>
        <w:instrText xml:space="preserve"> </w:instrText>
      </w:r>
      <w:r>
        <w:rPr>
          <w:rtl/>
        </w:rPr>
        <w:instrText xml:space="preserve"> \* </w:instrText>
      </w:r>
      <w:r>
        <w:instrText>MERGEFORMAT</w:instrText>
      </w:r>
      <w:r>
        <w:rPr>
          <w:rtl/>
        </w:rPr>
        <w:instrText xml:space="preserve"> </w:instrText>
      </w:r>
      <w:r w:rsidRPr="00522A3C">
        <w:rPr>
          <w:rtl/>
        </w:rPr>
      </w:r>
      <w:r w:rsidRPr="00522A3C">
        <w:rPr>
          <w:rtl/>
        </w:rPr>
        <w:fldChar w:fldCharType="separate"/>
      </w:r>
      <w:r>
        <w:rPr>
          <w:rtl/>
        </w:rPr>
        <w:t>28</w:t>
      </w:r>
      <w:r w:rsidRPr="00522A3C">
        <w:rPr>
          <w:rtl/>
        </w:rPr>
        <w:fldChar w:fldCharType="end"/>
      </w:r>
      <w:r w:rsidRPr="00522A3C">
        <w:rPr>
          <w:rFonts w:hint="cs"/>
          <w:rtl/>
        </w:rPr>
        <w:t>.</w:t>
      </w:r>
    </w:p>
  </w:footnote>
  <w:footnote w:id="31">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eastAsia"/>
          <w:b/>
          <w:bCs/>
          <w:rtl/>
        </w:rPr>
        <w:t>פסק</w:t>
      </w:r>
      <w:r w:rsidRPr="00522A3C">
        <w:rPr>
          <w:b/>
          <w:bCs/>
          <w:rtl/>
        </w:rPr>
        <w:t xml:space="preserve"> </w:t>
      </w:r>
      <w:r w:rsidRPr="00522A3C">
        <w:rPr>
          <w:rFonts w:hint="eastAsia"/>
          <w:b/>
          <w:bCs/>
          <w:rtl/>
        </w:rPr>
        <w:t>דין</w:t>
      </w:r>
      <w:r w:rsidRPr="00522A3C">
        <w:rPr>
          <w:b/>
          <w:bCs/>
          <w:rtl/>
        </w:rPr>
        <w:t xml:space="preserve"> </w:t>
      </w:r>
      <w:r w:rsidRPr="00522A3C">
        <w:rPr>
          <w:rFonts w:hint="eastAsia"/>
          <w:b/>
          <w:bCs/>
          <w:rtl/>
        </w:rPr>
        <w:t>משלים</w:t>
      </w:r>
      <w:r w:rsidRPr="00522A3C">
        <w:rPr>
          <w:b/>
          <w:bCs/>
          <w:rtl/>
        </w:rPr>
        <w:t xml:space="preserve"> </w:t>
      </w:r>
      <w:r w:rsidRPr="00522A3C">
        <w:rPr>
          <w:rFonts w:hint="eastAsia"/>
          <w:b/>
          <w:bCs/>
          <w:rtl/>
        </w:rPr>
        <w:t>ידיעות</w:t>
      </w:r>
      <w:r w:rsidRPr="00522A3C">
        <w:rPr>
          <w:b/>
          <w:bCs/>
          <w:rtl/>
        </w:rPr>
        <w:t xml:space="preserve"> </w:t>
      </w:r>
      <w:r w:rsidRPr="00522A3C">
        <w:rPr>
          <w:rFonts w:hint="eastAsia"/>
          <w:b/>
          <w:bCs/>
          <w:rtl/>
        </w:rPr>
        <w:t>אחרונות</w:t>
      </w:r>
      <w:r w:rsidRPr="00522A3C">
        <w:rPr>
          <w:rtl/>
        </w:rPr>
        <w:t xml:space="preserve">, </w:t>
      </w:r>
      <w:r w:rsidRPr="00522A3C">
        <w:rPr>
          <w:rFonts w:hint="cs"/>
          <w:rtl/>
        </w:rPr>
        <w:t xml:space="preserve">לעיל ה"ש </w:t>
      </w:r>
      <w:r w:rsidRPr="00522A3C">
        <w:rPr>
          <w:rtl/>
        </w:rPr>
        <w:fldChar w:fldCharType="begin"/>
      </w:r>
      <w:r w:rsidRPr="00522A3C">
        <w:rPr>
          <w:rtl/>
        </w:rPr>
        <w:instrText xml:space="preserve"> </w:instrText>
      </w:r>
      <w:r w:rsidRPr="00522A3C">
        <w:rPr>
          <w:rFonts w:hint="cs"/>
        </w:rPr>
        <w:instrText>NOTEREF</w:instrText>
      </w:r>
      <w:r w:rsidRPr="00522A3C">
        <w:rPr>
          <w:rFonts w:hint="cs"/>
          <w:rtl/>
        </w:rPr>
        <w:instrText xml:space="preserve"> _</w:instrText>
      </w:r>
      <w:r w:rsidRPr="00522A3C">
        <w:rPr>
          <w:rFonts w:hint="cs"/>
        </w:rPr>
        <w:instrText>Ref476465888 \h</w:instrText>
      </w:r>
      <w:r w:rsidRPr="00522A3C">
        <w:rPr>
          <w:rtl/>
        </w:rPr>
        <w:instrText xml:space="preserve"> </w:instrText>
      </w:r>
      <w:r>
        <w:rPr>
          <w:rtl/>
        </w:rPr>
        <w:instrText xml:space="preserve"> \* </w:instrText>
      </w:r>
      <w:r>
        <w:instrText>MERGEFORMAT</w:instrText>
      </w:r>
      <w:r>
        <w:rPr>
          <w:rtl/>
        </w:rPr>
        <w:instrText xml:space="preserve"> </w:instrText>
      </w:r>
      <w:r w:rsidRPr="00522A3C">
        <w:rPr>
          <w:rtl/>
        </w:rPr>
      </w:r>
      <w:r w:rsidRPr="00522A3C">
        <w:rPr>
          <w:rtl/>
        </w:rPr>
        <w:fldChar w:fldCharType="separate"/>
      </w:r>
      <w:r>
        <w:rPr>
          <w:rtl/>
        </w:rPr>
        <w:t>24</w:t>
      </w:r>
      <w:r w:rsidRPr="00522A3C">
        <w:rPr>
          <w:rtl/>
        </w:rPr>
        <w:fldChar w:fldCharType="end"/>
      </w:r>
      <w:r w:rsidRPr="00522A3C">
        <w:rPr>
          <w:rFonts w:hint="cs"/>
          <w:rtl/>
        </w:rPr>
        <w:t xml:space="preserve">, </w:t>
      </w:r>
      <w:r w:rsidRPr="00522A3C">
        <w:rPr>
          <w:rFonts w:hint="eastAsia"/>
          <w:rtl/>
        </w:rPr>
        <w:t>פסקה</w:t>
      </w:r>
      <w:r w:rsidRPr="00522A3C">
        <w:rPr>
          <w:rtl/>
        </w:rPr>
        <w:t xml:space="preserve"> 51 </w:t>
      </w:r>
      <w:r w:rsidRPr="00522A3C">
        <w:rPr>
          <w:rFonts w:hint="eastAsia"/>
          <w:rtl/>
        </w:rPr>
        <w:t>לפסק</w:t>
      </w:r>
      <w:r w:rsidRPr="00522A3C">
        <w:rPr>
          <w:rtl/>
        </w:rPr>
        <w:t xml:space="preserve"> </w:t>
      </w:r>
      <w:r w:rsidRPr="00522A3C">
        <w:rPr>
          <w:rFonts w:hint="eastAsia"/>
          <w:rtl/>
        </w:rPr>
        <w:t>הדין</w:t>
      </w:r>
      <w:r w:rsidRPr="00522A3C">
        <w:rPr>
          <w:rFonts w:hint="cs"/>
          <w:rtl/>
        </w:rPr>
        <w:t>.</w:t>
      </w:r>
    </w:p>
  </w:footnote>
  <w:footnote w:id="32">
    <w:p w:rsidR="001C367F" w:rsidRPr="00522A3C" w:rsidRDefault="001C367F" w:rsidP="00582CE6">
      <w:pPr>
        <w:spacing w:before="0" w:line="240" w:lineRule="auto"/>
        <w:rPr>
          <w:sz w:val="20"/>
          <w:szCs w:val="20"/>
          <w:rtl/>
        </w:rPr>
      </w:pPr>
      <w:r w:rsidRPr="00522A3C">
        <w:rPr>
          <w:vertAlign w:val="superscript"/>
        </w:rPr>
        <w:footnoteRef/>
      </w:r>
      <w:r w:rsidRPr="00522A3C">
        <w:rPr>
          <w:vertAlign w:val="superscript"/>
          <w:rtl/>
        </w:rPr>
        <w:t xml:space="preserve"> </w:t>
      </w:r>
      <w:r w:rsidRPr="00522A3C">
        <w:rPr>
          <w:sz w:val="20"/>
          <w:szCs w:val="22"/>
        </w:rPr>
        <w:t>Case T-191/98 Atlantic Container Line and Others v Commission, 2003 E.C.R. II-</w:t>
      </w:r>
      <w:r w:rsidRPr="00522A3C">
        <w:rPr>
          <w:sz w:val="18"/>
          <w:szCs w:val="18"/>
        </w:rPr>
        <w:t>3275 (para. 1112-1114)</w:t>
      </w:r>
      <w:r w:rsidRPr="00522A3C">
        <w:rPr>
          <w:rFonts w:hint="cs"/>
          <w:sz w:val="20"/>
          <w:szCs w:val="20"/>
          <w:rtl/>
        </w:rPr>
        <w:t>.</w:t>
      </w:r>
      <w:r w:rsidRPr="00522A3C">
        <w:rPr>
          <w:sz w:val="20"/>
          <w:szCs w:val="20"/>
        </w:rPr>
        <w:t xml:space="preserve"> </w:t>
      </w:r>
      <w:r w:rsidRPr="00522A3C">
        <w:rPr>
          <w:rFonts w:hint="cs"/>
          <w:sz w:val="20"/>
          <w:szCs w:val="20"/>
          <w:rtl/>
        </w:rPr>
        <w:t xml:space="preserve">ראו עוד: </w:t>
      </w:r>
      <w:r w:rsidRPr="00522A3C">
        <w:rPr>
          <w:sz w:val="20"/>
          <w:szCs w:val="20"/>
        </w:rPr>
        <w:t>No. 92/213/EEC (British Midland v. Aer Lingus) 1992 OJ L 96</w:t>
      </w:r>
      <w:r w:rsidRPr="00522A3C">
        <w:rPr>
          <w:rFonts w:hint="cs"/>
          <w:sz w:val="20"/>
          <w:szCs w:val="20"/>
          <w:rtl/>
        </w:rPr>
        <w:t xml:space="preserve"> </w:t>
      </w:r>
      <w:r w:rsidRPr="00522A3C">
        <w:rPr>
          <w:sz w:val="20"/>
          <w:szCs w:val="20"/>
        </w:rPr>
        <w:t>Commission Decision</w:t>
      </w:r>
      <w:r w:rsidRPr="00522A3C">
        <w:rPr>
          <w:rFonts w:hint="cs"/>
          <w:sz w:val="20"/>
          <w:szCs w:val="20"/>
          <w:rtl/>
        </w:rPr>
        <w:t xml:space="preserve">, בפסקאות 24-25 נקבע שהפסד רווחים או נתח שוק מסוים למתחרה אינו מצדיק סירוב לספק, כאשר הסירוב לספק עלול להגביל משמעותית את התחרות מצד המתחרים; </w:t>
      </w:r>
      <w:r w:rsidRPr="00522A3C">
        <w:rPr>
          <w:sz w:val="20"/>
          <w:szCs w:val="20"/>
        </w:rPr>
        <w:t xml:space="preserve">Commission Decision No.87/500/EEC (BBI/Boosey &amp; Hawkes), 1987 O.J. L 286/36.   </w:t>
      </w:r>
      <w:r w:rsidRPr="00522A3C">
        <w:rPr>
          <w:rFonts w:hint="cs"/>
          <w:sz w:val="20"/>
          <w:szCs w:val="20"/>
          <w:rtl/>
        </w:rPr>
        <w:t>, פסקה 19 להחלטת הנציבות למתן סעדים זמניים, בה נקבע כי החלטה להפסיק לספק ללקוחות בגלל שהתקשרו עם מתחרה היתה בלתי מידתית כדי להגן על האינטרסים של בעל המונופולין.</w:t>
      </w:r>
    </w:p>
  </w:footnote>
  <w:footnote w:id="33">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 xml:space="preserve">ראו: </w:t>
      </w:r>
      <w:r w:rsidRPr="00522A3C">
        <w:rPr>
          <w:rFonts w:hint="cs"/>
          <w:b/>
          <w:bCs/>
          <w:rtl/>
        </w:rPr>
        <w:t>פסק דין משלים ידיעות אחרונות</w:t>
      </w:r>
      <w:r w:rsidRPr="00522A3C">
        <w:rPr>
          <w:rFonts w:hint="cs"/>
          <w:rtl/>
        </w:rPr>
        <w:t xml:space="preserve">, לעיל ה"ש </w:t>
      </w:r>
      <w:r w:rsidRPr="00522A3C">
        <w:rPr>
          <w:rtl/>
        </w:rPr>
        <w:fldChar w:fldCharType="begin"/>
      </w:r>
      <w:r w:rsidRPr="00522A3C">
        <w:rPr>
          <w:rtl/>
        </w:rPr>
        <w:instrText xml:space="preserve"> </w:instrText>
      </w:r>
      <w:r w:rsidRPr="00522A3C">
        <w:rPr>
          <w:rFonts w:hint="cs"/>
        </w:rPr>
        <w:instrText>NOTEREF</w:instrText>
      </w:r>
      <w:r w:rsidRPr="00522A3C">
        <w:rPr>
          <w:rFonts w:hint="cs"/>
          <w:rtl/>
        </w:rPr>
        <w:instrText xml:space="preserve"> _</w:instrText>
      </w:r>
      <w:r w:rsidRPr="00522A3C">
        <w:rPr>
          <w:rFonts w:hint="cs"/>
        </w:rPr>
        <w:instrText>Ref476465888 \h</w:instrText>
      </w:r>
      <w:r w:rsidRPr="00522A3C">
        <w:rPr>
          <w:rtl/>
        </w:rPr>
        <w:instrText xml:space="preserve"> </w:instrText>
      </w:r>
      <w:r>
        <w:rPr>
          <w:rtl/>
        </w:rPr>
        <w:instrText xml:space="preserve"> \* </w:instrText>
      </w:r>
      <w:r>
        <w:instrText>MERGEFORMAT</w:instrText>
      </w:r>
      <w:r>
        <w:rPr>
          <w:rtl/>
        </w:rPr>
        <w:instrText xml:space="preserve"> </w:instrText>
      </w:r>
      <w:r w:rsidRPr="00522A3C">
        <w:rPr>
          <w:rtl/>
        </w:rPr>
      </w:r>
      <w:r w:rsidRPr="00522A3C">
        <w:rPr>
          <w:rtl/>
        </w:rPr>
        <w:fldChar w:fldCharType="separate"/>
      </w:r>
      <w:r>
        <w:rPr>
          <w:rtl/>
        </w:rPr>
        <w:t>24</w:t>
      </w:r>
      <w:r w:rsidRPr="00522A3C">
        <w:rPr>
          <w:rtl/>
        </w:rPr>
        <w:fldChar w:fldCharType="end"/>
      </w:r>
      <w:r w:rsidRPr="00522A3C">
        <w:rPr>
          <w:rFonts w:hint="cs"/>
          <w:rtl/>
        </w:rPr>
        <w:t xml:space="preserve">, </w:t>
      </w:r>
      <w:r w:rsidRPr="00522A3C">
        <w:rPr>
          <w:rStyle w:val="big-number"/>
          <w:rFonts w:cs="David" w:hint="cs"/>
          <w:sz w:val="20"/>
          <w:szCs w:val="20"/>
          <w:rtl/>
        </w:rPr>
        <w:t xml:space="preserve">פס' 51; </w:t>
      </w:r>
      <w:r w:rsidRPr="00522A3C">
        <w:rPr>
          <w:rFonts w:hint="cs"/>
          <w:rtl/>
        </w:rPr>
        <w:t xml:space="preserve">ע"פ 4855/02 </w:t>
      </w:r>
      <w:r w:rsidRPr="00522A3C">
        <w:rPr>
          <w:rFonts w:hint="cs"/>
          <w:b/>
          <w:bCs/>
          <w:rtl/>
        </w:rPr>
        <w:t>מדינת ישראל נ' בורביץ'</w:t>
      </w:r>
      <w:r w:rsidRPr="00522A3C">
        <w:rPr>
          <w:rFonts w:hint="cs"/>
          <w:rtl/>
        </w:rPr>
        <w:t xml:space="preserve"> פ"ד נט(6) 776, פס' 88 (2005); </w:t>
      </w:r>
      <w:r w:rsidRPr="00522A3C">
        <w:rPr>
          <w:rFonts w:hint="cs"/>
          <w:b/>
          <w:bCs/>
          <w:rtl/>
        </w:rPr>
        <w:t>קביעת ממונה בעניין אל"ה</w:t>
      </w:r>
      <w:r w:rsidRPr="00522A3C">
        <w:rPr>
          <w:rFonts w:hint="cs"/>
          <w:rtl/>
        </w:rPr>
        <w:t xml:space="preserve">, לעיל ה"ש </w:t>
      </w:r>
      <w:r w:rsidRPr="00522A3C">
        <w:rPr>
          <w:rtl/>
        </w:rPr>
        <w:fldChar w:fldCharType="begin"/>
      </w:r>
      <w:r w:rsidRPr="00522A3C">
        <w:rPr>
          <w:rtl/>
        </w:rPr>
        <w:instrText xml:space="preserve"> </w:instrText>
      </w:r>
      <w:r w:rsidRPr="00522A3C">
        <w:rPr>
          <w:rFonts w:hint="cs"/>
        </w:rPr>
        <w:instrText>NOTEREF</w:instrText>
      </w:r>
      <w:r w:rsidRPr="00522A3C">
        <w:rPr>
          <w:rFonts w:hint="cs"/>
          <w:rtl/>
        </w:rPr>
        <w:instrText xml:space="preserve"> _</w:instrText>
      </w:r>
      <w:r w:rsidRPr="00522A3C">
        <w:rPr>
          <w:rFonts w:hint="cs"/>
        </w:rPr>
        <w:instrText>Ref476480574 \h</w:instrText>
      </w:r>
      <w:r w:rsidRPr="00522A3C">
        <w:rPr>
          <w:rtl/>
        </w:rPr>
        <w:instrText xml:space="preserve"> </w:instrText>
      </w:r>
      <w:r>
        <w:rPr>
          <w:rtl/>
        </w:rPr>
        <w:instrText xml:space="preserve"> \* </w:instrText>
      </w:r>
      <w:r>
        <w:instrText>MERGEFORMAT</w:instrText>
      </w:r>
      <w:r>
        <w:rPr>
          <w:rtl/>
        </w:rPr>
        <w:instrText xml:space="preserve"> </w:instrText>
      </w:r>
      <w:r w:rsidRPr="00522A3C">
        <w:rPr>
          <w:rtl/>
        </w:rPr>
      </w:r>
      <w:r w:rsidRPr="00522A3C">
        <w:rPr>
          <w:rtl/>
        </w:rPr>
        <w:fldChar w:fldCharType="separate"/>
      </w:r>
      <w:r>
        <w:rPr>
          <w:rtl/>
        </w:rPr>
        <w:t>28</w:t>
      </w:r>
      <w:r w:rsidRPr="00522A3C">
        <w:rPr>
          <w:rtl/>
        </w:rPr>
        <w:fldChar w:fldCharType="end"/>
      </w:r>
      <w:r w:rsidRPr="00522A3C">
        <w:rPr>
          <w:rFonts w:hint="cs"/>
          <w:rtl/>
        </w:rPr>
        <w:t xml:space="preserve">, עמ' 7 להחלטה; קביעה לפי סעיף 43(א) לחוק ההגבלים העסקיים, התשמ"ח-1988 בדבר ניצול לרעה של מעמד בשוק: בזק בינלאומי בע"מ (09.11.1997) </w:t>
      </w:r>
      <w:r w:rsidRPr="00522A3C">
        <w:rPr>
          <w:rFonts w:hint="cs"/>
          <w:b/>
          <w:bCs/>
          <w:rtl/>
        </w:rPr>
        <w:t>הגבלים עסקיים</w:t>
      </w:r>
      <w:r w:rsidRPr="00522A3C">
        <w:rPr>
          <w:rFonts w:hint="cs"/>
          <w:rtl/>
        </w:rPr>
        <w:t xml:space="preserve"> 3010364, עמ' 28-27 להחלטה (להלן: "</w:t>
      </w:r>
      <w:r w:rsidRPr="00522A3C">
        <w:rPr>
          <w:rFonts w:hint="cs"/>
          <w:b/>
          <w:bCs/>
          <w:rtl/>
        </w:rPr>
        <w:t>קביעת בזק בינלאומי</w:t>
      </w:r>
      <w:r w:rsidRPr="00522A3C">
        <w:rPr>
          <w:rFonts w:hint="cs"/>
          <w:rtl/>
        </w:rPr>
        <w:t xml:space="preserve">"); </w:t>
      </w:r>
      <w:r w:rsidRPr="00522A3C">
        <w:rPr>
          <w:rFonts w:ascii="Calibri" w:hAnsi="Calibri" w:hint="cs"/>
          <w:rtl/>
        </w:rPr>
        <w:t xml:space="preserve">קביעה לפי סעיף 29א לחוק ההגבלים העסקיים, התשמ"ח-1989 בדבר ניצול מעמד לרעה בניגוד לסעיף 29א לחוק ודרישת תשלום לפי סעיף 50ח לחוק – נמל אשדוד (21.12.2015) </w:t>
      </w:r>
      <w:r w:rsidRPr="00522A3C">
        <w:rPr>
          <w:rFonts w:ascii="Calibri" w:hAnsi="Calibri" w:hint="cs"/>
          <w:b/>
          <w:bCs/>
          <w:rtl/>
        </w:rPr>
        <w:t>הגבלים עסקיים</w:t>
      </w:r>
      <w:r w:rsidRPr="00522A3C">
        <w:rPr>
          <w:rFonts w:ascii="Calibri" w:hAnsi="Calibri" w:hint="cs"/>
          <w:rtl/>
        </w:rPr>
        <w:t xml:space="preserve"> 500909</w:t>
      </w:r>
      <w:r w:rsidRPr="00522A3C">
        <w:rPr>
          <w:rFonts w:hint="cs"/>
          <w:rtl/>
        </w:rPr>
        <w:t xml:space="preserve"> (להלן: </w:t>
      </w:r>
      <w:r w:rsidRPr="00522A3C">
        <w:rPr>
          <w:rFonts w:hint="cs"/>
          <w:b/>
          <w:bCs/>
          <w:rtl/>
        </w:rPr>
        <w:t>קביעה בעניין נמל אשדוד</w:t>
      </w:r>
      <w:r w:rsidRPr="00522A3C">
        <w:rPr>
          <w:rFonts w:hint="cs"/>
          <w:rtl/>
        </w:rPr>
        <w:t>).</w:t>
      </w:r>
      <w:r w:rsidRPr="00522A3C">
        <w:rPr>
          <w:rFonts w:ascii="David" w:hAnsi="David" w:hint="cs"/>
          <w:rtl/>
        </w:rPr>
        <w:t xml:space="preserve"> </w:t>
      </w:r>
      <w:r w:rsidRPr="00522A3C">
        <w:rPr>
          <w:rFonts w:ascii="David" w:hAnsi="David"/>
          <w:rtl/>
        </w:rPr>
        <w:t>בעמ' 10-11 להחלטה</w:t>
      </w:r>
      <w:r w:rsidRPr="00522A3C">
        <w:rPr>
          <w:rFonts w:ascii="David" w:hAnsi="David" w:hint="cs"/>
          <w:rtl/>
        </w:rPr>
        <w:t xml:space="preserve"> צוין </w:t>
      </w:r>
      <w:r w:rsidRPr="00522A3C">
        <w:rPr>
          <w:rFonts w:hint="cs"/>
          <w:rtl/>
        </w:rPr>
        <w:t xml:space="preserve">כי </w:t>
      </w:r>
      <w:r w:rsidRPr="00522A3C">
        <w:rPr>
          <w:rFonts w:ascii="David" w:hAnsi="David" w:hint="cs"/>
          <w:rtl/>
        </w:rPr>
        <w:t>ל</w:t>
      </w:r>
      <w:r w:rsidRPr="00522A3C">
        <w:rPr>
          <w:rFonts w:ascii="David" w:hAnsi="David"/>
          <w:rtl/>
        </w:rPr>
        <w:t xml:space="preserve">מתן </w:t>
      </w:r>
      <w:r w:rsidRPr="00522A3C">
        <w:rPr>
          <w:rFonts w:ascii="David" w:hAnsi="David" w:hint="cs"/>
          <w:rtl/>
        </w:rPr>
        <w:t>ה</w:t>
      </w:r>
      <w:r w:rsidRPr="00522A3C">
        <w:rPr>
          <w:rFonts w:ascii="David" w:hAnsi="David"/>
          <w:rtl/>
        </w:rPr>
        <w:t>הנחות</w:t>
      </w:r>
      <w:r w:rsidRPr="00522A3C">
        <w:rPr>
          <w:rFonts w:ascii="David" w:hAnsi="David" w:hint="cs"/>
          <w:rtl/>
        </w:rPr>
        <w:t xml:space="preserve"> פוטנציאל גבוה במיוחד להפחית את התחרות שכן הן </w:t>
      </w:r>
      <w:r w:rsidRPr="00522A3C">
        <w:rPr>
          <w:rFonts w:ascii="David" w:hAnsi="David"/>
          <w:rtl/>
        </w:rPr>
        <w:t>פוגע</w:t>
      </w:r>
      <w:r w:rsidRPr="00522A3C">
        <w:rPr>
          <w:rFonts w:ascii="David" w:hAnsi="David" w:hint="cs"/>
          <w:rtl/>
        </w:rPr>
        <w:t>ו</w:t>
      </w:r>
      <w:r w:rsidRPr="00522A3C">
        <w:rPr>
          <w:rFonts w:ascii="David" w:hAnsi="David"/>
          <w:rtl/>
        </w:rPr>
        <w:t>ת ב</w:t>
      </w:r>
      <w:r w:rsidRPr="00522A3C">
        <w:rPr>
          <w:rFonts w:ascii="David" w:hAnsi="David" w:hint="cs"/>
          <w:rtl/>
        </w:rPr>
        <w:t xml:space="preserve">חופש הבחירה של הלקוח וביכולת ההתמודדות של המתחרה. </w:t>
      </w:r>
      <w:r w:rsidRPr="00522A3C">
        <w:rPr>
          <w:rFonts w:hint="cs"/>
          <w:rtl/>
        </w:rPr>
        <w:t>ראו גם:</w:t>
      </w:r>
      <w:r w:rsidRPr="00522A3C">
        <w:t>Case T-52/09 Konkurrensverket v. Telia Sonera Sverige AB, 2011 E.CR. I-00527, para. 82</w:t>
      </w:r>
      <w:r w:rsidRPr="00522A3C">
        <w:rPr>
          <w:rFonts w:hint="cs"/>
          <w:rtl/>
        </w:rPr>
        <w:t>. שם קבע בית הדין האירופי כי הגבלת חופש ההתקשרות של הצרכן באמצעות פרקטיקה של הצרת מרווחים עשויה לעלות כדי ניצול מעמד דומינטי לרעה.</w:t>
      </w:r>
    </w:p>
  </w:footnote>
  <w:footnote w:id="34">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 xml:space="preserve">קביעה לפי סעיף 43(א)(5) לחוק ההגבלים העסקיים, התשמ"ח-1988 בדבר ניצול לרעה של מעמד בשוק על ידי בזק החברה הישראלית לתקשורת (16.11.2014) </w:t>
      </w:r>
      <w:r w:rsidRPr="00522A3C">
        <w:rPr>
          <w:rFonts w:hint="cs"/>
          <w:b/>
          <w:bCs/>
          <w:rtl/>
        </w:rPr>
        <w:t>הגבלים עסקיים</w:t>
      </w:r>
      <w:r w:rsidRPr="00522A3C">
        <w:rPr>
          <w:rFonts w:hint="cs"/>
          <w:rtl/>
        </w:rPr>
        <w:t xml:space="preserve"> 500713, בעמ' 13 (</w:t>
      </w:r>
      <w:r w:rsidRPr="00522A3C">
        <w:rPr>
          <w:rFonts w:hint="cs"/>
          <w:b/>
          <w:bCs/>
          <w:rtl/>
        </w:rPr>
        <w:t xml:space="preserve">בזק </w:t>
      </w:r>
      <w:r w:rsidRPr="00522A3C">
        <w:rPr>
          <w:b/>
          <w:bCs/>
          <w:rtl/>
        </w:rPr>
        <w:t>–</w:t>
      </w:r>
      <w:r w:rsidRPr="00522A3C">
        <w:rPr>
          <w:rFonts w:hint="cs"/>
          <w:b/>
          <w:bCs/>
          <w:rtl/>
        </w:rPr>
        <w:t xml:space="preserve"> הצרת מרווחים</w:t>
      </w:r>
      <w:r w:rsidRPr="00522A3C">
        <w:rPr>
          <w:rFonts w:hint="cs"/>
          <w:rtl/>
        </w:rPr>
        <w:t>).</w:t>
      </w:r>
    </w:p>
  </w:footnote>
  <w:footnote w:id="35">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על פי דו"ח שנערך עבור חברת החשמל, הלקוחות העדיפים ביותר הם לקוחות עם היקף צריכה גבוה, לקוחות שהאתר שלהם בעל גודל צריכה מינימאלי שיצדיק את הנשיאה בעלויות החיבור ליצרן חשמל פרטי, ולקוחות שהיחס בין הצריכה הממוצעת שלהם לצריכה המקסימאלית שלהם גבוה, באופן המאפשר ניצולת טובה יותר של קיבולת הייצור. גם הצרכנים הזכאים לשירות המת"ל על פי נהלי חברת החשמל הם הלקוחות בעלי היקף צריכה גבוה.</w:t>
      </w:r>
    </w:p>
  </w:footnote>
  <w:footnote w:id="36">
    <w:p w:rsidR="001C367F" w:rsidRPr="00522A3C" w:rsidRDefault="001C367F" w:rsidP="00582CE6">
      <w:pPr>
        <w:pStyle w:val="FootnoteText"/>
        <w:spacing w:before="0" w:line="240" w:lineRule="auto"/>
        <w:rPr>
          <w:rtl/>
        </w:rPr>
      </w:pPr>
      <w:r w:rsidRPr="00522A3C">
        <w:rPr>
          <w:rStyle w:val="FootnoteReference"/>
        </w:rPr>
        <w:footnoteRef/>
      </w:r>
      <w:r w:rsidRPr="00522A3C">
        <w:rPr>
          <w:rFonts w:hint="cs"/>
          <w:rtl/>
        </w:rPr>
        <w:t xml:space="preserve"> השוו:</w:t>
      </w:r>
      <w:r w:rsidRPr="00522A3C">
        <w:rPr>
          <w:rFonts w:ascii="Calibri" w:hAnsi="Calibri" w:hint="cs"/>
          <w:rtl/>
        </w:rPr>
        <w:t xml:space="preserve"> </w:t>
      </w:r>
      <w:r w:rsidRPr="00522A3C">
        <w:rPr>
          <w:rFonts w:ascii="Calibri" w:hAnsi="Calibri" w:hint="cs"/>
          <w:b/>
          <w:bCs/>
          <w:rtl/>
        </w:rPr>
        <w:t>קביעה בעניין</w:t>
      </w:r>
      <w:r w:rsidRPr="00522A3C">
        <w:rPr>
          <w:rFonts w:ascii="Calibri" w:hAnsi="Calibri" w:hint="cs"/>
          <w:rtl/>
        </w:rPr>
        <w:t xml:space="preserve"> </w:t>
      </w:r>
      <w:r w:rsidRPr="00522A3C">
        <w:rPr>
          <w:rFonts w:ascii="Calibri" w:hAnsi="Calibri" w:hint="cs"/>
          <w:b/>
          <w:bCs/>
          <w:rtl/>
        </w:rPr>
        <w:t>נמל אשדוד</w:t>
      </w:r>
      <w:r w:rsidRPr="00522A3C">
        <w:rPr>
          <w:rFonts w:hint="cs"/>
          <w:rtl/>
        </w:rPr>
        <w:t xml:space="preserve">, לעיל ה"ש </w:t>
      </w:r>
      <w:r w:rsidRPr="00522A3C">
        <w:rPr>
          <w:rtl/>
        </w:rPr>
        <w:fldChar w:fldCharType="begin"/>
      </w:r>
      <w:r w:rsidRPr="00522A3C">
        <w:rPr>
          <w:rtl/>
        </w:rPr>
        <w:instrText xml:space="preserve"> </w:instrText>
      </w:r>
      <w:r w:rsidRPr="00522A3C">
        <w:rPr>
          <w:rFonts w:hint="cs"/>
        </w:rPr>
        <w:instrText>NOTEREF</w:instrText>
      </w:r>
      <w:r w:rsidRPr="00522A3C">
        <w:rPr>
          <w:rFonts w:hint="cs"/>
          <w:rtl/>
        </w:rPr>
        <w:instrText xml:space="preserve"> _</w:instrText>
      </w:r>
      <w:r w:rsidRPr="00522A3C">
        <w:rPr>
          <w:rFonts w:hint="cs"/>
        </w:rPr>
        <w:instrText>Ref476486391 \h</w:instrText>
      </w:r>
      <w:r w:rsidRPr="00522A3C">
        <w:rPr>
          <w:rtl/>
        </w:rPr>
        <w:instrText xml:space="preserve"> </w:instrText>
      </w:r>
      <w:r>
        <w:rPr>
          <w:rtl/>
        </w:rPr>
        <w:instrText xml:space="preserve"> \* </w:instrText>
      </w:r>
      <w:r>
        <w:instrText>MERGEFORMAT</w:instrText>
      </w:r>
      <w:r>
        <w:rPr>
          <w:rtl/>
        </w:rPr>
        <w:instrText xml:space="preserve"> </w:instrText>
      </w:r>
      <w:r w:rsidRPr="00522A3C">
        <w:rPr>
          <w:rtl/>
        </w:rPr>
      </w:r>
      <w:r w:rsidRPr="00522A3C">
        <w:rPr>
          <w:rtl/>
        </w:rPr>
        <w:fldChar w:fldCharType="separate"/>
      </w:r>
      <w:r>
        <w:rPr>
          <w:rtl/>
        </w:rPr>
        <w:t>33</w:t>
      </w:r>
      <w:r w:rsidRPr="00522A3C">
        <w:rPr>
          <w:rtl/>
        </w:rPr>
        <w:fldChar w:fldCharType="end"/>
      </w:r>
      <w:r w:rsidRPr="00522A3C">
        <w:rPr>
          <w:rFonts w:hint="cs"/>
          <w:rtl/>
        </w:rPr>
        <w:t xml:space="preserve">, בעמ' 13 להחלטה; </w:t>
      </w:r>
      <w:r w:rsidRPr="00522A3C">
        <w:t>Guidance on the Commission's enforcement priorities in applying Article 82 of the EC Treaty, 2009/C 45/02, at para 20 ("</w:t>
      </w:r>
      <w:r w:rsidRPr="00522A3C">
        <w:rPr>
          <w:b/>
          <w:bCs/>
        </w:rPr>
        <w:t>Commission Guidance</w:t>
      </w:r>
      <w:r w:rsidRPr="00522A3C">
        <w:t>"):</w:t>
      </w:r>
      <w:r w:rsidRPr="00522A3C">
        <w:rPr>
          <w:rFonts w:hint="cs"/>
          <w:rtl/>
        </w:rPr>
        <w:t>)</w:t>
      </w:r>
      <w:r w:rsidRPr="00522A3C">
        <w:t>"The position of the "customers or input suppliers: this may include consideration of the possible selectivity of the conduct in question. The dominant undertaking may apply the practice only to selected customers or input suppliers who may be of particular importance for the entry or expansion of competitors, thereby enhancing the likelihood of anti-competitive foreclosure"</w:t>
      </w:r>
      <w:r w:rsidRPr="00522A3C">
        <w:rPr>
          <w:rFonts w:hint="cs"/>
          <w:rtl/>
        </w:rPr>
        <w:t xml:space="preserve">. </w:t>
      </w:r>
    </w:p>
    <w:p w:rsidR="001C367F" w:rsidRPr="00522A3C" w:rsidRDefault="001C367F" w:rsidP="00582CE6">
      <w:pPr>
        <w:pStyle w:val="FootnoteText"/>
        <w:spacing w:before="0" w:line="240" w:lineRule="auto"/>
        <w:rPr>
          <w:rtl/>
        </w:rPr>
      </w:pPr>
      <w:r w:rsidRPr="00522A3C">
        <w:rPr>
          <w:rFonts w:hint="cs"/>
          <w:rtl/>
        </w:rPr>
        <w:t xml:space="preserve">ראו גם </w:t>
      </w:r>
      <w:r w:rsidRPr="00522A3C">
        <w:t>Case T-30/89, Hilti AG v. Commission, 1991 E.C.R. II-01439, para. 99-101; Commission Decision No. 97/624/EC, ( Irish Sugar), 1997 OJ L 258/1, para. 128</w:t>
      </w:r>
      <w:r w:rsidRPr="00522A3C">
        <w:rPr>
          <w:rFonts w:hint="cs"/>
          <w:rtl/>
        </w:rPr>
        <w:t>.</w:t>
      </w:r>
      <w:r w:rsidRPr="00522A3C">
        <w:t xml:space="preserve"> </w:t>
      </w:r>
      <w:r w:rsidRPr="00522A3C">
        <w:rPr>
          <w:rFonts w:hint="cs"/>
          <w:rtl/>
        </w:rPr>
        <w:t xml:space="preserve"> </w:t>
      </w:r>
    </w:p>
  </w:footnote>
  <w:footnote w:id="37">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 xml:space="preserve">קביעה בעניין </w:t>
      </w:r>
      <w:r w:rsidRPr="00522A3C">
        <w:rPr>
          <w:rFonts w:hint="cs"/>
          <w:b/>
          <w:bCs/>
          <w:rtl/>
        </w:rPr>
        <w:t xml:space="preserve">בזק </w:t>
      </w:r>
      <w:r w:rsidRPr="00522A3C">
        <w:rPr>
          <w:b/>
          <w:bCs/>
          <w:rtl/>
        </w:rPr>
        <w:t>–</w:t>
      </w:r>
      <w:r w:rsidRPr="00522A3C">
        <w:rPr>
          <w:rFonts w:hint="cs"/>
          <w:b/>
          <w:bCs/>
          <w:rtl/>
        </w:rPr>
        <w:t xml:space="preserve"> קישור הגומלין</w:t>
      </w:r>
      <w:r w:rsidRPr="00522A3C">
        <w:rPr>
          <w:rFonts w:hint="cs"/>
          <w:rtl/>
        </w:rPr>
        <w:t xml:space="preserve">, לעיל ה"ש </w:t>
      </w:r>
      <w:r w:rsidRPr="00522A3C">
        <w:rPr>
          <w:rtl/>
        </w:rPr>
        <w:fldChar w:fldCharType="begin"/>
      </w:r>
      <w:r w:rsidRPr="00522A3C">
        <w:rPr>
          <w:rtl/>
        </w:rPr>
        <w:instrText xml:space="preserve"> </w:instrText>
      </w:r>
      <w:r w:rsidRPr="00522A3C">
        <w:rPr>
          <w:rFonts w:hint="cs"/>
        </w:rPr>
        <w:instrText>NOTEREF</w:instrText>
      </w:r>
      <w:r w:rsidRPr="00522A3C">
        <w:rPr>
          <w:rFonts w:hint="cs"/>
          <w:rtl/>
        </w:rPr>
        <w:instrText xml:space="preserve"> _</w:instrText>
      </w:r>
      <w:r w:rsidRPr="00522A3C">
        <w:rPr>
          <w:rFonts w:hint="cs"/>
        </w:rPr>
        <w:instrText>Ref476486405 \h</w:instrText>
      </w:r>
      <w:r w:rsidRPr="00522A3C">
        <w:rPr>
          <w:rtl/>
        </w:rPr>
        <w:instrText xml:space="preserve"> </w:instrText>
      </w:r>
      <w:r>
        <w:rPr>
          <w:rtl/>
        </w:rPr>
        <w:instrText xml:space="preserve"> \* </w:instrText>
      </w:r>
      <w:r>
        <w:instrText>MERGEFORMAT</w:instrText>
      </w:r>
      <w:r>
        <w:rPr>
          <w:rtl/>
        </w:rPr>
        <w:instrText xml:space="preserve"> </w:instrText>
      </w:r>
      <w:r w:rsidRPr="00522A3C">
        <w:rPr>
          <w:rtl/>
        </w:rPr>
      </w:r>
      <w:r w:rsidRPr="00522A3C">
        <w:rPr>
          <w:rtl/>
        </w:rPr>
        <w:fldChar w:fldCharType="separate"/>
      </w:r>
      <w:r>
        <w:rPr>
          <w:rtl/>
        </w:rPr>
        <w:t>27</w:t>
      </w:r>
      <w:r w:rsidRPr="00522A3C">
        <w:rPr>
          <w:rtl/>
        </w:rPr>
        <w:fldChar w:fldCharType="end"/>
      </w:r>
      <w:r w:rsidRPr="00522A3C">
        <w:rPr>
          <w:rFonts w:hint="cs"/>
          <w:rtl/>
        </w:rPr>
        <w:t xml:space="preserve">, פס' 30, 66; קביעת </w:t>
      </w:r>
      <w:r w:rsidRPr="00522A3C">
        <w:rPr>
          <w:rFonts w:hint="cs"/>
          <w:b/>
          <w:bCs/>
          <w:rtl/>
        </w:rPr>
        <w:t>בזק בינלאומי</w:t>
      </w:r>
      <w:r w:rsidRPr="00522A3C">
        <w:rPr>
          <w:rFonts w:hint="cs"/>
          <w:rtl/>
        </w:rPr>
        <w:t xml:space="preserve">, לעיל ה"ש </w:t>
      </w:r>
      <w:r w:rsidRPr="00522A3C">
        <w:rPr>
          <w:rtl/>
        </w:rPr>
        <w:fldChar w:fldCharType="begin"/>
      </w:r>
      <w:r w:rsidRPr="00522A3C">
        <w:rPr>
          <w:rtl/>
        </w:rPr>
        <w:instrText xml:space="preserve"> </w:instrText>
      </w:r>
      <w:r w:rsidRPr="00522A3C">
        <w:rPr>
          <w:rFonts w:hint="cs"/>
        </w:rPr>
        <w:instrText>NOTEREF</w:instrText>
      </w:r>
      <w:r w:rsidRPr="00522A3C">
        <w:rPr>
          <w:rFonts w:hint="cs"/>
          <w:rtl/>
        </w:rPr>
        <w:instrText xml:space="preserve"> _</w:instrText>
      </w:r>
      <w:r w:rsidRPr="00522A3C">
        <w:rPr>
          <w:rFonts w:hint="cs"/>
        </w:rPr>
        <w:instrText>Ref476486391 \h</w:instrText>
      </w:r>
      <w:r w:rsidRPr="00522A3C">
        <w:rPr>
          <w:rtl/>
        </w:rPr>
        <w:instrText xml:space="preserve"> </w:instrText>
      </w:r>
      <w:r>
        <w:rPr>
          <w:rtl/>
        </w:rPr>
        <w:instrText xml:space="preserve"> \* </w:instrText>
      </w:r>
      <w:r>
        <w:instrText>MERGEFORMAT</w:instrText>
      </w:r>
      <w:r>
        <w:rPr>
          <w:rtl/>
        </w:rPr>
        <w:instrText xml:space="preserve"> </w:instrText>
      </w:r>
      <w:r w:rsidRPr="00522A3C">
        <w:rPr>
          <w:rtl/>
        </w:rPr>
      </w:r>
      <w:r w:rsidRPr="00522A3C">
        <w:rPr>
          <w:rtl/>
        </w:rPr>
        <w:fldChar w:fldCharType="separate"/>
      </w:r>
      <w:r>
        <w:rPr>
          <w:rtl/>
        </w:rPr>
        <w:t>33</w:t>
      </w:r>
      <w:r w:rsidRPr="00522A3C">
        <w:rPr>
          <w:rtl/>
        </w:rPr>
        <w:fldChar w:fldCharType="end"/>
      </w:r>
      <w:r w:rsidRPr="00522A3C">
        <w:rPr>
          <w:rFonts w:hint="cs"/>
          <w:rtl/>
        </w:rPr>
        <w:t>, בעמ' 17.</w:t>
      </w:r>
    </w:p>
  </w:footnote>
  <w:footnote w:id="38">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 xml:space="preserve">ר' דברי ההסבר להצעת חוק ההגבלים העסקיים (תיקון מס' 2), התשנ"ו-1995, ה"ח 2446 228 וכן </w:t>
      </w:r>
      <w:r w:rsidRPr="00522A3C">
        <w:rPr>
          <w:rFonts w:hint="cs"/>
          <w:b/>
          <w:bCs/>
          <w:rtl/>
        </w:rPr>
        <w:t>פסק דין משלים ידיעות</w:t>
      </w:r>
      <w:r w:rsidRPr="00522A3C">
        <w:rPr>
          <w:rFonts w:hint="cs"/>
          <w:rtl/>
        </w:rPr>
        <w:t xml:space="preserve">, לעיל ה"ש </w:t>
      </w:r>
      <w:r w:rsidRPr="00522A3C">
        <w:rPr>
          <w:rtl/>
        </w:rPr>
        <w:fldChar w:fldCharType="begin"/>
      </w:r>
      <w:r w:rsidRPr="00522A3C">
        <w:rPr>
          <w:rtl/>
        </w:rPr>
        <w:instrText xml:space="preserve"> </w:instrText>
      </w:r>
      <w:r w:rsidRPr="00522A3C">
        <w:rPr>
          <w:rFonts w:hint="cs"/>
        </w:rPr>
        <w:instrText>NOTEREF</w:instrText>
      </w:r>
      <w:r w:rsidRPr="00522A3C">
        <w:rPr>
          <w:rFonts w:hint="cs"/>
          <w:rtl/>
        </w:rPr>
        <w:instrText xml:space="preserve"> _</w:instrText>
      </w:r>
      <w:r w:rsidRPr="00522A3C">
        <w:rPr>
          <w:rFonts w:hint="cs"/>
        </w:rPr>
        <w:instrText>Ref476465888 \h</w:instrText>
      </w:r>
      <w:r w:rsidRPr="00522A3C">
        <w:rPr>
          <w:rtl/>
        </w:rPr>
        <w:instrText xml:space="preserve"> </w:instrText>
      </w:r>
      <w:r>
        <w:rPr>
          <w:rtl/>
        </w:rPr>
        <w:instrText xml:space="preserve"> \* </w:instrText>
      </w:r>
      <w:r>
        <w:instrText>MERGEFORMAT</w:instrText>
      </w:r>
      <w:r>
        <w:rPr>
          <w:rtl/>
        </w:rPr>
        <w:instrText xml:space="preserve"> </w:instrText>
      </w:r>
      <w:r w:rsidRPr="00522A3C">
        <w:rPr>
          <w:rtl/>
        </w:rPr>
      </w:r>
      <w:r w:rsidRPr="00522A3C">
        <w:rPr>
          <w:rtl/>
        </w:rPr>
        <w:fldChar w:fldCharType="separate"/>
      </w:r>
      <w:r>
        <w:rPr>
          <w:rtl/>
        </w:rPr>
        <w:t>24</w:t>
      </w:r>
      <w:r w:rsidRPr="00522A3C">
        <w:rPr>
          <w:rtl/>
        </w:rPr>
        <w:fldChar w:fldCharType="end"/>
      </w:r>
      <w:r w:rsidRPr="00522A3C">
        <w:rPr>
          <w:rFonts w:hint="cs"/>
          <w:rtl/>
        </w:rPr>
        <w:t>, בפס' 53.</w:t>
      </w:r>
    </w:p>
  </w:footnote>
  <w:footnote w:id="39">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 xml:space="preserve">עניין </w:t>
      </w:r>
      <w:r w:rsidRPr="00522A3C">
        <w:rPr>
          <w:i/>
          <w:iCs/>
        </w:rPr>
        <w:t>Deutsche Telekom</w:t>
      </w:r>
      <w:r w:rsidRPr="00522A3C" w:rsidDel="00604417">
        <w:t xml:space="preserve"> </w:t>
      </w:r>
      <w:r w:rsidRPr="00522A3C">
        <w:rPr>
          <w:rFonts w:hint="cs"/>
          <w:rtl/>
        </w:rPr>
        <w:t xml:space="preserve">, לעיל ה"ש </w:t>
      </w:r>
      <w:r w:rsidRPr="00522A3C">
        <w:rPr>
          <w:rtl/>
        </w:rPr>
        <w:fldChar w:fldCharType="begin"/>
      </w:r>
      <w:r w:rsidRPr="00522A3C">
        <w:rPr>
          <w:rtl/>
        </w:rPr>
        <w:instrText xml:space="preserve"> </w:instrText>
      </w:r>
      <w:r w:rsidRPr="00522A3C">
        <w:rPr>
          <w:rFonts w:hint="cs"/>
        </w:rPr>
        <w:instrText>NOTEREF</w:instrText>
      </w:r>
      <w:r w:rsidRPr="00522A3C">
        <w:rPr>
          <w:rFonts w:hint="cs"/>
          <w:rtl/>
        </w:rPr>
        <w:instrText xml:space="preserve"> _</w:instrText>
      </w:r>
      <w:r w:rsidRPr="00522A3C">
        <w:rPr>
          <w:rFonts w:hint="cs"/>
        </w:rPr>
        <w:instrText>Ref476465888 \h</w:instrText>
      </w:r>
      <w:r w:rsidRPr="00522A3C">
        <w:rPr>
          <w:rtl/>
        </w:rPr>
        <w:instrText xml:space="preserve"> </w:instrText>
      </w:r>
      <w:r>
        <w:rPr>
          <w:rtl/>
        </w:rPr>
        <w:instrText xml:space="preserve"> \* </w:instrText>
      </w:r>
      <w:r>
        <w:instrText>MERGEFORMAT</w:instrText>
      </w:r>
      <w:r>
        <w:rPr>
          <w:rtl/>
        </w:rPr>
        <w:instrText xml:space="preserve"> </w:instrText>
      </w:r>
      <w:r w:rsidRPr="00522A3C">
        <w:rPr>
          <w:rtl/>
        </w:rPr>
      </w:r>
      <w:r w:rsidRPr="00522A3C">
        <w:rPr>
          <w:rtl/>
        </w:rPr>
        <w:fldChar w:fldCharType="separate"/>
      </w:r>
      <w:r>
        <w:rPr>
          <w:rtl/>
        </w:rPr>
        <w:t>24</w:t>
      </w:r>
      <w:r w:rsidRPr="00522A3C">
        <w:rPr>
          <w:rtl/>
        </w:rPr>
        <w:fldChar w:fldCharType="end"/>
      </w:r>
      <w:r w:rsidRPr="00522A3C">
        <w:rPr>
          <w:rFonts w:hint="cs"/>
          <w:rtl/>
        </w:rPr>
        <w:t xml:space="preserve">, בפס' 251; </w:t>
      </w:r>
      <w:r w:rsidRPr="00522A3C">
        <w:t xml:space="preserve"> Case 85/76, Hoffman-La Roche v Commission, 1979 E.C.R. 464, para. 91</w:t>
      </w:r>
      <w:r w:rsidRPr="00522A3C">
        <w:rPr>
          <w:rFonts w:hint="cs"/>
          <w:rtl/>
        </w:rPr>
        <w:t>.</w:t>
      </w:r>
    </w:p>
  </w:footnote>
  <w:footnote w:id="40">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t>Case T-336/07, Telefonica and Telefonica de Espana v. Commission, 2012 OJ C138/13, para. 17</w:t>
      </w:r>
      <w:r w:rsidRPr="00522A3C">
        <w:rPr>
          <w:rFonts w:hint="cs"/>
          <w:rtl/>
        </w:rPr>
        <w:t>.</w:t>
      </w:r>
    </w:p>
  </w:footnote>
  <w:footnote w:id="41">
    <w:p w:rsidR="001C367F" w:rsidRPr="00522A3C" w:rsidRDefault="001C367F" w:rsidP="00582CE6">
      <w:pPr>
        <w:pStyle w:val="FootnoteText"/>
        <w:spacing w:before="0" w:line="240" w:lineRule="auto"/>
        <w:rPr>
          <w:rtl/>
        </w:rPr>
      </w:pPr>
      <w:r w:rsidRPr="00522A3C">
        <w:rPr>
          <w:rStyle w:val="FootnoteReference"/>
        </w:rPr>
        <w:footnoteRef/>
      </w:r>
      <w:r w:rsidRPr="00522A3C">
        <w:rPr>
          <w:rFonts w:hint="cs"/>
          <w:rtl/>
        </w:rPr>
        <w:t>השוו:</w:t>
      </w:r>
      <w:r w:rsidRPr="00522A3C">
        <w:rPr>
          <w:rtl/>
        </w:rPr>
        <w:t xml:space="preserve"> </w:t>
      </w:r>
      <w:r w:rsidRPr="00522A3C">
        <w:rPr>
          <w:smallCaps/>
        </w:rPr>
        <w:t>Renato Nazzini, The Foundation of European Union Competition Law 111 (2012)</w:t>
      </w:r>
      <w:r w:rsidRPr="00522A3C">
        <w:rPr>
          <w:rFonts w:hint="cs"/>
          <w:smallCaps/>
          <w:rtl/>
        </w:rPr>
        <w:t>:</w:t>
      </w:r>
    </w:p>
    <w:p w:rsidR="001C367F" w:rsidRPr="00522A3C" w:rsidRDefault="001C367F" w:rsidP="00582CE6">
      <w:pPr>
        <w:pStyle w:val="FootnoteText"/>
        <w:bidi w:val="0"/>
        <w:spacing w:before="0" w:line="240" w:lineRule="auto"/>
      </w:pPr>
      <w:r w:rsidRPr="00522A3C">
        <w:t>"Limiting production involves reducing market output. The term 'market' means an arrangement in which buyers</w:t>
      </w:r>
      <w:r w:rsidRPr="00522A3C">
        <w:rPr>
          <w:rFonts w:hint="cs"/>
          <w:rtl/>
        </w:rPr>
        <w:t xml:space="preserve"> </w:t>
      </w:r>
      <w:r w:rsidRPr="00522A3C">
        <w:t>and sellers transact with one another. Therefore limiting a market involves limiting the possibilities for sellers and buyers to transact with one another… 'Technical development' means dynamic efficiency, or, in other words, innovation in production technologies or product development".</w:t>
      </w:r>
    </w:p>
  </w:footnote>
  <w:footnote w:id="42">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 xml:space="preserve">קביעה בעניין </w:t>
      </w:r>
      <w:r w:rsidRPr="00522A3C">
        <w:rPr>
          <w:rFonts w:hint="cs"/>
          <w:b/>
          <w:bCs/>
          <w:rtl/>
        </w:rPr>
        <w:t xml:space="preserve">בזק </w:t>
      </w:r>
      <w:r w:rsidRPr="00522A3C">
        <w:rPr>
          <w:b/>
          <w:bCs/>
          <w:rtl/>
        </w:rPr>
        <w:t>–</w:t>
      </w:r>
      <w:r w:rsidRPr="00522A3C">
        <w:rPr>
          <w:rFonts w:hint="cs"/>
          <w:b/>
          <w:bCs/>
          <w:rtl/>
        </w:rPr>
        <w:t xml:space="preserve"> קישור הגומלין</w:t>
      </w:r>
      <w:r w:rsidRPr="00522A3C">
        <w:rPr>
          <w:rFonts w:hint="cs"/>
          <w:rtl/>
        </w:rPr>
        <w:t xml:space="preserve">, לעיל ה"ש </w:t>
      </w:r>
      <w:r w:rsidRPr="00522A3C">
        <w:rPr>
          <w:rtl/>
        </w:rPr>
        <w:fldChar w:fldCharType="begin"/>
      </w:r>
      <w:r w:rsidRPr="00522A3C">
        <w:rPr>
          <w:rtl/>
        </w:rPr>
        <w:instrText xml:space="preserve"> </w:instrText>
      </w:r>
      <w:r w:rsidRPr="00522A3C">
        <w:rPr>
          <w:rFonts w:hint="cs"/>
        </w:rPr>
        <w:instrText>NOTEREF</w:instrText>
      </w:r>
      <w:r w:rsidRPr="00522A3C">
        <w:rPr>
          <w:rFonts w:hint="cs"/>
          <w:rtl/>
        </w:rPr>
        <w:instrText xml:space="preserve"> _</w:instrText>
      </w:r>
      <w:r w:rsidRPr="00522A3C">
        <w:rPr>
          <w:rFonts w:hint="cs"/>
        </w:rPr>
        <w:instrText>Ref476486405 \h</w:instrText>
      </w:r>
      <w:r w:rsidRPr="00522A3C">
        <w:rPr>
          <w:rtl/>
        </w:rPr>
        <w:instrText xml:space="preserve"> </w:instrText>
      </w:r>
      <w:r>
        <w:rPr>
          <w:rtl/>
        </w:rPr>
        <w:instrText xml:space="preserve"> \* </w:instrText>
      </w:r>
      <w:r>
        <w:instrText>MERGEFORMAT</w:instrText>
      </w:r>
      <w:r>
        <w:rPr>
          <w:rtl/>
        </w:rPr>
        <w:instrText xml:space="preserve"> </w:instrText>
      </w:r>
      <w:r w:rsidRPr="00522A3C">
        <w:rPr>
          <w:rtl/>
        </w:rPr>
      </w:r>
      <w:r w:rsidRPr="00522A3C">
        <w:rPr>
          <w:rtl/>
        </w:rPr>
        <w:fldChar w:fldCharType="separate"/>
      </w:r>
      <w:r>
        <w:rPr>
          <w:rtl/>
        </w:rPr>
        <w:t>27</w:t>
      </w:r>
      <w:r w:rsidRPr="00522A3C">
        <w:rPr>
          <w:rtl/>
        </w:rPr>
        <w:fldChar w:fldCharType="end"/>
      </w:r>
      <w:r w:rsidRPr="00522A3C">
        <w:rPr>
          <w:rFonts w:hint="cs"/>
          <w:rtl/>
        </w:rPr>
        <w:t>, עמ' 31-32; קביעה זו, עסקה באי מתן שירותי תיקון לאירוע ניתוק אחד של קישור הגומלין בין רשת הוט טלקום לבין רשת בזק, באופן שהשפיע על כ-100,000 מנויי הוט טלקום מרשת בזק ושלא במטרה להעלות מחיר על-ידי בזק.</w:t>
      </w:r>
      <w:r w:rsidRPr="00522A3C">
        <w:rPr>
          <w:rtl/>
        </w:rPr>
        <w:t xml:space="preserve"> בית הדין דחה את הערר של בזק, ובפסק הדין לא יוחד דיון לקביעה לפי סעיף 29א(ב)(2) לחוק</w:t>
      </w:r>
      <w:r w:rsidRPr="00522A3C">
        <w:rPr>
          <w:rFonts w:hint="cs"/>
          <w:rtl/>
        </w:rPr>
        <w:t>. פרקטיקה של צמצום שירותים על-ידי בעל מעמד דומיננטי, שלא נעשתה על מנת להביא במישרין להעלאת מחירים, נמצאה כהפרה של סעיף 102(</w:t>
      </w:r>
      <w:r w:rsidRPr="00522A3C">
        <w:t>b</w:t>
      </w:r>
      <w:r w:rsidRPr="00522A3C">
        <w:rPr>
          <w:rFonts w:hint="cs"/>
          <w:rtl/>
        </w:rPr>
        <w:t>) בפסק הדין</w:t>
      </w:r>
      <w:r w:rsidRPr="00522A3C">
        <w:t>Case 114/73, Suiker Unie and Others v. Commission, 1975 E.C.R. 1663, para. 396-398</w:t>
      </w:r>
      <w:r w:rsidRPr="00522A3C">
        <w:rPr>
          <w:rFonts w:hint="cs"/>
          <w:rtl/>
        </w:rPr>
        <w:t>.</w:t>
      </w:r>
      <w:r w:rsidRPr="00522A3C">
        <w:t xml:space="preserve"> </w:t>
      </w:r>
    </w:p>
  </w:footnote>
  <w:footnote w:id="43">
    <w:p w:rsidR="001C367F" w:rsidRPr="00522A3C" w:rsidRDefault="001C367F" w:rsidP="00582CE6">
      <w:pPr>
        <w:pStyle w:val="FootnoteText"/>
        <w:spacing w:before="0" w:line="240" w:lineRule="auto"/>
      </w:pPr>
      <w:r w:rsidRPr="00522A3C">
        <w:rPr>
          <w:rStyle w:val="FootnoteReference"/>
        </w:rPr>
        <w:footnoteRef/>
      </w:r>
      <w:r w:rsidRPr="00522A3C">
        <w:rPr>
          <w:rtl/>
        </w:rPr>
        <w:t xml:space="preserve"> </w:t>
      </w:r>
      <w:r w:rsidRPr="00522A3C">
        <w:rPr>
          <w:rFonts w:hint="cs"/>
          <w:rtl/>
        </w:rPr>
        <w:t xml:space="preserve">סעיף 2א(א) </w:t>
      </w:r>
      <w:r w:rsidRPr="00522A3C">
        <w:rPr>
          <w:rFonts w:hint="cs"/>
          <w:b/>
          <w:bCs/>
          <w:rtl/>
        </w:rPr>
        <w:t>להחלטה בדבר שינויים ועדכונים באמת המידה צרכנות</w:t>
      </w:r>
      <w:r w:rsidRPr="00522A3C">
        <w:rPr>
          <w:rFonts w:hint="cs"/>
          <w:rtl/>
        </w:rPr>
        <w:t xml:space="preserve">, לעיל ה"ש </w:t>
      </w:r>
      <w:r w:rsidRPr="00522A3C">
        <w:rPr>
          <w:rtl/>
        </w:rPr>
        <w:fldChar w:fldCharType="begin"/>
      </w:r>
      <w:r w:rsidRPr="00522A3C">
        <w:rPr>
          <w:rtl/>
        </w:rPr>
        <w:instrText xml:space="preserve"> </w:instrText>
      </w:r>
      <w:r w:rsidRPr="00522A3C">
        <w:rPr>
          <w:rFonts w:hint="cs"/>
        </w:rPr>
        <w:instrText>NOTEREF</w:instrText>
      </w:r>
      <w:r w:rsidRPr="00522A3C">
        <w:rPr>
          <w:rFonts w:hint="cs"/>
          <w:rtl/>
        </w:rPr>
        <w:instrText xml:space="preserve"> _</w:instrText>
      </w:r>
      <w:r w:rsidRPr="00522A3C">
        <w:rPr>
          <w:rFonts w:hint="cs"/>
        </w:rPr>
        <w:instrText>Ref476486509 \h</w:instrText>
      </w:r>
      <w:r w:rsidRPr="00522A3C">
        <w:rPr>
          <w:rtl/>
        </w:rPr>
        <w:instrText xml:space="preserve"> </w:instrText>
      </w:r>
      <w:r>
        <w:rPr>
          <w:rtl/>
        </w:rPr>
        <w:instrText xml:space="preserve"> \* </w:instrText>
      </w:r>
      <w:r>
        <w:instrText>MERGEFORMAT</w:instrText>
      </w:r>
      <w:r>
        <w:rPr>
          <w:rtl/>
        </w:rPr>
        <w:instrText xml:space="preserve"> </w:instrText>
      </w:r>
      <w:r w:rsidRPr="00522A3C">
        <w:rPr>
          <w:rtl/>
        </w:rPr>
      </w:r>
      <w:r w:rsidRPr="00522A3C">
        <w:rPr>
          <w:rtl/>
        </w:rPr>
        <w:fldChar w:fldCharType="separate"/>
      </w:r>
      <w:r>
        <w:rPr>
          <w:rtl/>
        </w:rPr>
        <w:t>18</w:t>
      </w:r>
      <w:r w:rsidRPr="00522A3C">
        <w:rPr>
          <w:rtl/>
        </w:rPr>
        <w:fldChar w:fldCharType="end"/>
      </w:r>
      <w:r w:rsidRPr="00522A3C">
        <w:rPr>
          <w:rFonts w:hint="cs"/>
          <w:rtl/>
        </w:rPr>
        <w:t>; הצעת</w:t>
      </w:r>
      <w:r w:rsidRPr="00522A3C">
        <w:rPr>
          <w:rtl/>
        </w:rPr>
        <w:t xml:space="preserve"> </w:t>
      </w:r>
      <w:r w:rsidRPr="00522A3C">
        <w:rPr>
          <w:rFonts w:hint="cs"/>
          <w:rtl/>
        </w:rPr>
        <w:t>החלטה</w:t>
      </w:r>
      <w:r w:rsidRPr="00522A3C">
        <w:rPr>
          <w:rtl/>
        </w:rPr>
        <w:t xml:space="preserve"> </w:t>
      </w:r>
      <w:r w:rsidRPr="00522A3C">
        <w:rPr>
          <w:rFonts w:hint="cs"/>
          <w:rtl/>
        </w:rPr>
        <w:t>לשימוע</w:t>
      </w:r>
      <w:r w:rsidRPr="00522A3C">
        <w:rPr>
          <w:rtl/>
        </w:rPr>
        <w:t xml:space="preserve"> </w:t>
      </w:r>
      <w:r w:rsidRPr="00522A3C">
        <w:rPr>
          <w:rFonts w:hint="cs"/>
          <w:rtl/>
        </w:rPr>
        <w:t>שינויים</w:t>
      </w:r>
      <w:r w:rsidRPr="00522A3C">
        <w:rPr>
          <w:rtl/>
        </w:rPr>
        <w:t xml:space="preserve"> </w:t>
      </w:r>
      <w:r w:rsidRPr="00522A3C">
        <w:rPr>
          <w:rFonts w:hint="cs"/>
          <w:rtl/>
        </w:rPr>
        <w:t>ועדכונים</w:t>
      </w:r>
      <w:r w:rsidRPr="00522A3C">
        <w:rPr>
          <w:rtl/>
        </w:rPr>
        <w:t xml:space="preserve"> </w:t>
      </w:r>
      <w:r w:rsidRPr="00522A3C">
        <w:rPr>
          <w:rFonts w:hint="cs"/>
          <w:rtl/>
        </w:rPr>
        <w:t>אמות</w:t>
      </w:r>
      <w:r w:rsidRPr="00522A3C">
        <w:rPr>
          <w:rtl/>
        </w:rPr>
        <w:t xml:space="preserve"> </w:t>
      </w:r>
      <w:r w:rsidRPr="00522A3C">
        <w:rPr>
          <w:rFonts w:hint="cs"/>
          <w:rtl/>
        </w:rPr>
        <w:t>מידה (צרכנות)</w:t>
      </w:r>
      <w:r w:rsidRPr="00522A3C">
        <w:rPr>
          <w:rtl/>
        </w:rPr>
        <w:t xml:space="preserve"> – </w:t>
      </w:r>
      <w:r w:rsidRPr="00522A3C">
        <w:rPr>
          <w:rFonts w:hint="cs"/>
          <w:rtl/>
        </w:rPr>
        <w:t>אוגוסט 2015. בניגוד להצעת ההחלטה לשימוע שהוציאה רשות החשמל בחודש אוגוסט 2015, החלטתה של רשות החשמל לאחר השימוע שלא להוסיף תשלום בגין מתן "שרותי רשת לצרכן תעו"ז" מעבר לתשלום שמעבירים הלקוחות העסקיים לחברת החשמל בגין שירותי תשתית באמצעות היצרן הפרטי, מלמדת שהתשלום על השירות החדש נחשב חלק מהתשלום בגין שירותי התשתית.</w:t>
      </w:r>
    </w:p>
  </w:footnote>
  <w:footnote w:id="44">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על פי לשון סעיף קטן 29א(ב)(3), אין כל מניעה כי הסעיף יחול על פרקטיקה המפלה בשוק אחד, ומעניקה יתרון בלתי הוגן ללקוחות או לספקים בשוק שני. באופן דומה, בית הדין האירופי לצדק אישר החלטה של הנציבות כי אפליה של בעל מעמד דומיננטי בשוק אחד העלולה להשפיע על התחרות בשוק אחר, בו מתחרה בעל המעמד הדומיננטי, עשויה להקים הפרה של סעיף 102(</w:t>
      </w:r>
      <w:r w:rsidRPr="00522A3C">
        <w:t>c</w:t>
      </w:r>
      <w:r w:rsidRPr="00522A3C">
        <w:rPr>
          <w:rFonts w:hint="cs"/>
          <w:rtl/>
        </w:rPr>
        <w:t xml:space="preserve">) לאמנת רומא, המקביל לסעיף 29א(ב)(3) לחוק. זאת בעניין </w:t>
      </w:r>
      <w:r w:rsidRPr="00522A3C">
        <w:rPr>
          <w:i/>
          <w:iCs/>
        </w:rPr>
        <w:t>Irish Sugar</w:t>
      </w:r>
      <w:r w:rsidRPr="00522A3C">
        <w:rPr>
          <w:rFonts w:hint="cs"/>
          <w:i/>
          <w:iCs/>
          <w:rtl/>
        </w:rPr>
        <w:t xml:space="preserve">, </w:t>
      </w:r>
      <w:r w:rsidRPr="00522A3C">
        <w:rPr>
          <w:rFonts w:hint="cs"/>
          <w:rtl/>
        </w:rPr>
        <w:t xml:space="preserve">לעיל ה"ש </w:t>
      </w:r>
      <w:r w:rsidRPr="00522A3C">
        <w:rPr>
          <w:rtl/>
        </w:rPr>
        <w:fldChar w:fldCharType="begin"/>
      </w:r>
      <w:r w:rsidRPr="00522A3C">
        <w:rPr>
          <w:rtl/>
        </w:rPr>
        <w:instrText xml:space="preserve"> </w:instrText>
      </w:r>
      <w:r w:rsidRPr="00522A3C">
        <w:rPr>
          <w:rFonts w:hint="cs"/>
        </w:rPr>
        <w:instrText>NOTEREF</w:instrText>
      </w:r>
      <w:r w:rsidRPr="00522A3C">
        <w:rPr>
          <w:rFonts w:hint="cs"/>
          <w:rtl/>
        </w:rPr>
        <w:instrText xml:space="preserve"> _</w:instrText>
      </w:r>
      <w:r w:rsidRPr="00522A3C">
        <w:rPr>
          <w:rFonts w:hint="cs"/>
        </w:rPr>
        <w:instrText>Ref476486533 \h</w:instrText>
      </w:r>
      <w:r w:rsidRPr="00522A3C">
        <w:rPr>
          <w:rtl/>
        </w:rPr>
        <w:instrText xml:space="preserve"> </w:instrText>
      </w:r>
      <w:r>
        <w:rPr>
          <w:rtl/>
        </w:rPr>
        <w:instrText xml:space="preserve"> \* </w:instrText>
      </w:r>
      <w:r>
        <w:instrText>MERGEFORMAT</w:instrText>
      </w:r>
      <w:r>
        <w:rPr>
          <w:rtl/>
        </w:rPr>
        <w:instrText xml:space="preserve"> </w:instrText>
      </w:r>
      <w:r w:rsidRPr="00522A3C">
        <w:rPr>
          <w:rtl/>
        </w:rPr>
      </w:r>
      <w:r w:rsidRPr="00522A3C">
        <w:rPr>
          <w:rtl/>
        </w:rPr>
        <w:fldChar w:fldCharType="separate"/>
      </w:r>
      <w:r>
        <w:rPr>
          <w:rtl/>
        </w:rPr>
        <w:t>30</w:t>
      </w:r>
      <w:r w:rsidRPr="00522A3C">
        <w:rPr>
          <w:rtl/>
        </w:rPr>
        <w:fldChar w:fldCharType="end"/>
      </w:r>
      <w:r w:rsidRPr="00522A3C">
        <w:rPr>
          <w:rFonts w:hint="cs"/>
          <w:rtl/>
        </w:rPr>
        <w:t xml:space="preserve"> בפסקאות 165-167; ערעור בעניין </w:t>
      </w:r>
      <w:r w:rsidRPr="00522A3C">
        <w:rPr>
          <w:i/>
          <w:iCs/>
        </w:rPr>
        <w:t>Irish Sugar</w:t>
      </w:r>
      <w:r w:rsidRPr="00522A3C">
        <w:rPr>
          <w:rFonts w:hint="cs"/>
          <w:rtl/>
        </w:rPr>
        <w:t xml:space="preserve">, לעיל ה"ש </w:t>
      </w:r>
      <w:r w:rsidRPr="00522A3C">
        <w:rPr>
          <w:rtl/>
        </w:rPr>
        <w:fldChar w:fldCharType="begin"/>
      </w:r>
      <w:r w:rsidRPr="00522A3C">
        <w:rPr>
          <w:rtl/>
        </w:rPr>
        <w:instrText xml:space="preserve"> </w:instrText>
      </w:r>
      <w:r w:rsidRPr="00522A3C">
        <w:rPr>
          <w:rFonts w:hint="cs"/>
        </w:rPr>
        <w:instrText>NOTEREF</w:instrText>
      </w:r>
      <w:r w:rsidRPr="00522A3C">
        <w:rPr>
          <w:rFonts w:hint="cs"/>
          <w:rtl/>
        </w:rPr>
        <w:instrText xml:space="preserve"> _</w:instrText>
      </w:r>
      <w:r w:rsidRPr="00522A3C">
        <w:rPr>
          <w:rFonts w:hint="cs"/>
        </w:rPr>
        <w:instrText>Ref476486533 \h</w:instrText>
      </w:r>
      <w:r w:rsidRPr="00522A3C">
        <w:rPr>
          <w:rtl/>
        </w:rPr>
        <w:instrText xml:space="preserve"> </w:instrText>
      </w:r>
      <w:r>
        <w:rPr>
          <w:rtl/>
        </w:rPr>
        <w:instrText xml:space="preserve"> \* </w:instrText>
      </w:r>
      <w:r>
        <w:instrText>MERGEFORMAT</w:instrText>
      </w:r>
      <w:r>
        <w:rPr>
          <w:rtl/>
        </w:rPr>
        <w:instrText xml:space="preserve"> </w:instrText>
      </w:r>
      <w:r w:rsidRPr="00522A3C">
        <w:rPr>
          <w:rtl/>
        </w:rPr>
      </w:r>
      <w:r w:rsidRPr="00522A3C">
        <w:rPr>
          <w:rtl/>
        </w:rPr>
        <w:fldChar w:fldCharType="separate"/>
      </w:r>
      <w:r>
        <w:rPr>
          <w:rtl/>
        </w:rPr>
        <w:t>30</w:t>
      </w:r>
      <w:r w:rsidRPr="00522A3C">
        <w:rPr>
          <w:rtl/>
        </w:rPr>
        <w:fldChar w:fldCharType="end"/>
      </w:r>
      <w:r w:rsidRPr="00522A3C">
        <w:rPr>
          <w:rFonts w:hint="cs"/>
          <w:rtl/>
        </w:rPr>
        <w:t>.</w:t>
      </w:r>
    </w:p>
  </w:footnote>
  <w:footnote w:id="45">
    <w:p w:rsidR="001C367F" w:rsidRPr="00522A3C" w:rsidRDefault="001C367F" w:rsidP="00582CE6">
      <w:pPr>
        <w:pStyle w:val="FootnoteText"/>
        <w:spacing w:before="0" w:line="240" w:lineRule="auto"/>
      </w:pPr>
      <w:r w:rsidRPr="00522A3C">
        <w:rPr>
          <w:rStyle w:val="FootnoteReference"/>
        </w:rPr>
        <w:footnoteRef/>
      </w:r>
      <w:r w:rsidRPr="00522A3C">
        <w:rPr>
          <w:rtl/>
        </w:rPr>
        <w:t xml:space="preserve"> </w:t>
      </w:r>
      <w:r w:rsidRPr="00522A3C">
        <w:rPr>
          <w:rFonts w:hint="cs"/>
          <w:rtl/>
        </w:rPr>
        <w:t xml:space="preserve">הכרזה בדבר מונופולין </w:t>
      </w:r>
      <w:r w:rsidRPr="00522A3C">
        <w:rPr>
          <w:rtl/>
        </w:rPr>
        <w:t>–</w:t>
      </w:r>
      <w:r w:rsidRPr="00522A3C">
        <w:rPr>
          <w:rFonts w:hint="cs"/>
          <w:rtl/>
        </w:rPr>
        <w:t xml:space="preserve"> עיתון יומי בשפה העברית: "ידיעות אחרונות", קובץ ההגבלים העסקיים, כרך ב', התשנ"ו-1996, הוצאת ועד מחוז ת"א-יפו, לשכת עו"ד בישראל, עמ' 119, 136.; </w:t>
      </w:r>
    </w:p>
  </w:footnote>
  <w:footnote w:id="46">
    <w:p w:rsidR="001C367F" w:rsidRPr="00522A3C" w:rsidRDefault="001C367F" w:rsidP="00582CE6">
      <w:pPr>
        <w:pStyle w:val="FootnoteText"/>
        <w:spacing w:before="0" w:line="240" w:lineRule="auto"/>
        <w:rPr>
          <w:rtl/>
        </w:rPr>
      </w:pPr>
      <w:r w:rsidRPr="00522A3C">
        <w:rPr>
          <w:rStyle w:val="FootnoteReference"/>
        </w:rPr>
        <w:footnoteRef/>
      </w:r>
      <w:r w:rsidRPr="00522A3C">
        <w:rPr>
          <w:rFonts w:hint="cs"/>
          <w:rtl/>
        </w:rPr>
        <w:t xml:space="preserve"> </w:t>
      </w:r>
      <w:r w:rsidRPr="00522A3C">
        <w:t>Case 27/76, United Brands Company v. Commission, 1978 E.C.R. 207, para. 182-193</w:t>
      </w:r>
      <w:r w:rsidRPr="00522A3C">
        <w:rPr>
          <w:rFonts w:hint="cs"/>
          <w:rtl/>
        </w:rPr>
        <w:t xml:space="preserve"> (להלן: עניין </w:t>
      </w:r>
      <w:r w:rsidRPr="00522A3C">
        <w:rPr>
          <w:i/>
          <w:iCs/>
        </w:rPr>
        <w:t>United Brands Company</w:t>
      </w:r>
      <w:r w:rsidRPr="00522A3C">
        <w:rPr>
          <w:rFonts w:hint="cs"/>
          <w:rtl/>
        </w:rPr>
        <w:t xml:space="preserve">). בעניין זה, בית הדין פסק כי סירובה של </w:t>
      </w:r>
      <w:r w:rsidRPr="00522A3C">
        <w:rPr>
          <w:rFonts w:hint="cs"/>
        </w:rPr>
        <w:t>UBC</w:t>
      </w:r>
      <w:r w:rsidRPr="00522A3C">
        <w:rPr>
          <w:rFonts w:hint="cs"/>
          <w:rtl/>
        </w:rPr>
        <w:t xml:space="preserve">, בעלת מעמד מונופוליסטי בשיווק בננות בדנמרק, לספק בננות לאחד מלקוחותיה עקב השתתפותו בקמפיין פרסומי של ספק מתחרה, פגע בעצמאות לקוחותיו לבחור עם מי להתקשר, ועולה כדי ניצול מעמד לרעה. </w:t>
      </w:r>
    </w:p>
  </w:footnote>
  <w:footnote w:id="47">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 xml:space="preserve">השוו: </w:t>
      </w:r>
      <w:r w:rsidRPr="00522A3C">
        <w:rPr>
          <w:b/>
          <w:bCs/>
        </w:rPr>
        <w:t>Commission Guidance</w:t>
      </w:r>
      <w:r w:rsidRPr="00522A3C">
        <w:rPr>
          <w:rFonts w:hint="cs"/>
          <w:rtl/>
        </w:rPr>
        <w:t xml:space="preserve">, לעיל ה"ש </w:t>
      </w:r>
      <w:r w:rsidRPr="00522A3C">
        <w:rPr>
          <w:rtl/>
        </w:rPr>
        <w:fldChar w:fldCharType="begin"/>
      </w:r>
      <w:r w:rsidRPr="00522A3C">
        <w:rPr>
          <w:rtl/>
        </w:rPr>
        <w:instrText xml:space="preserve"> </w:instrText>
      </w:r>
      <w:r w:rsidRPr="00522A3C">
        <w:rPr>
          <w:rFonts w:hint="cs"/>
        </w:rPr>
        <w:instrText>NOTEREF</w:instrText>
      </w:r>
      <w:r w:rsidRPr="00522A3C">
        <w:rPr>
          <w:rFonts w:hint="cs"/>
          <w:rtl/>
        </w:rPr>
        <w:instrText xml:space="preserve"> _</w:instrText>
      </w:r>
      <w:r w:rsidRPr="00522A3C">
        <w:rPr>
          <w:rFonts w:hint="cs"/>
        </w:rPr>
        <w:instrText>Ref476491082 \h</w:instrText>
      </w:r>
      <w:r w:rsidRPr="00522A3C">
        <w:rPr>
          <w:rtl/>
        </w:rPr>
        <w:instrText xml:space="preserve"> </w:instrText>
      </w:r>
      <w:r>
        <w:rPr>
          <w:rtl/>
        </w:rPr>
        <w:instrText xml:space="preserve"> \* </w:instrText>
      </w:r>
      <w:r>
        <w:instrText>MERGEFORMAT</w:instrText>
      </w:r>
      <w:r>
        <w:rPr>
          <w:rtl/>
        </w:rPr>
        <w:instrText xml:space="preserve"> </w:instrText>
      </w:r>
      <w:r w:rsidRPr="00522A3C">
        <w:rPr>
          <w:rtl/>
        </w:rPr>
      </w:r>
      <w:r w:rsidRPr="00522A3C">
        <w:rPr>
          <w:rtl/>
        </w:rPr>
        <w:fldChar w:fldCharType="separate"/>
      </w:r>
      <w:r>
        <w:rPr>
          <w:rtl/>
        </w:rPr>
        <w:t>36</w:t>
      </w:r>
      <w:r w:rsidRPr="00522A3C">
        <w:rPr>
          <w:rtl/>
        </w:rPr>
        <w:fldChar w:fldCharType="end"/>
      </w:r>
      <w:r w:rsidRPr="00522A3C">
        <w:rPr>
          <w:rFonts w:hint="cs"/>
          <w:rtl/>
        </w:rPr>
        <w:t xml:space="preserve">, בפס' </w:t>
      </w:r>
      <w:r w:rsidRPr="00522A3C">
        <w:t xml:space="preserve"> 83</w:t>
      </w:r>
      <w:r w:rsidRPr="00522A3C">
        <w:rPr>
          <w:rFonts w:hint="cs"/>
          <w:rtl/>
        </w:rPr>
        <w:t xml:space="preserve">- </w:t>
      </w:r>
    </w:p>
    <w:p w:rsidR="001C367F" w:rsidRPr="00522A3C" w:rsidRDefault="001C367F" w:rsidP="00582CE6">
      <w:pPr>
        <w:pStyle w:val="FootnoteText"/>
        <w:bidi w:val="0"/>
        <w:spacing w:before="0" w:line="240" w:lineRule="auto"/>
      </w:pPr>
      <w:r w:rsidRPr="00522A3C">
        <w:t>"In examining whether a refusal to supply deserves its priority attention, the Commission will consider whether the supply of the refused input is objectively necessary for operators to be able to compete effectively on the market</w:t>
      </w:r>
      <w:r w:rsidRPr="00522A3C">
        <w:rPr>
          <w:rtl/>
        </w:rPr>
        <w:t>.</w:t>
      </w:r>
      <w:r w:rsidRPr="00522A3C">
        <w:t xml:space="preserve"> This does not mean that, without the refused input, no competitor could ever enter or survive on the downstream market (1). Rather, an input is indispensable where there is no actual or potential substitute on which competitors in the downstream market could rely so as to counter — at least in the long-term — the negative consequences of the refusal"; </w:t>
      </w:r>
    </w:p>
    <w:p w:rsidR="001C367F" w:rsidRPr="00522A3C" w:rsidRDefault="001C367F" w:rsidP="00582CE6">
      <w:pPr>
        <w:pStyle w:val="FootnoteText"/>
        <w:spacing w:before="0" w:line="240" w:lineRule="auto"/>
        <w:rPr>
          <w:rtl/>
        </w:rPr>
      </w:pPr>
      <w:r w:rsidRPr="00522A3C">
        <w:rPr>
          <w:rFonts w:hint="cs"/>
          <w:rtl/>
        </w:rPr>
        <w:t xml:space="preserve">ראו עוד: </w:t>
      </w:r>
      <w:r w:rsidRPr="00522A3C">
        <w:t>Case C-418/01, IMS Health GmbH &amp; Co. OHG v NDC Health GmbH &amp; Co. KG., 2004 E.C.R. I-05039 , para. 28</w:t>
      </w:r>
      <w:r w:rsidRPr="00522A3C">
        <w:rPr>
          <w:rFonts w:hint="cs"/>
          <w:rtl/>
        </w:rPr>
        <w:t xml:space="preserve">. </w:t>
      </w:r>
    </w:p>
  </w:footnote>
  <w:footnote w:id="48">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 xml:space="preserve">ת"פ (ת"א) 4783/93 </w:t>
      </w:r>
      <w:r w:rsidRPr="00522A3C">
        <w:rPr>
          <w:rFonts w:hint="cs"/>
          <w:b/>
          <w:bCs/>
          <w:rtl/>
        </w:rPr>
        <w:t>מדינת ישראל נ' גיבור סברינה מפעלי טקסטיל בע"מ</w:t>
      </w:r>
      <w:r w:rsidRPr="00522A3C">
        <w:rPr>
          <w:rFonts w:hint="cs"/>
          <w:rtl/>
        </w:rPr>
        <w:t>, פס' 10 לפסק הדין (פורסם בנבו, 15.2.1996).</w:t>
      </w:r>
    </w:p>
  </w:footnote>
  <w:footnote w:id="49">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תא (חי') 12430-07-09 </w:t>
      </w:r>
      <w:r w:rsidRPr="00522A3C">
        <w:rPr>
          <w:b/>
          <w:bCs/>
          <w:rtl/>
        </w:rPr>
        <w:t>ערן קילשטיין נ' דשנים וחמרים כימיים בע"מ</w:t>
      </w:r>
      <w:r w:rsidRPr="00522A3C">
        <w:rPr>
          <w:rFonts w:hint="cs"/>
          <w:rtl/>
        </w:rPr>
        <w:t>,</w:t>
      </w:r>
      <w:r w:rsidRPr="00522A3C">
        <w:rPr>
          <w:rtl/>
        </w:rPr>
        <w:t xml:space="preserve"> </w:t>
      </w:r>
      <w:r w:rsidRPr="00522A3C">
        <w:rPr>
          <w:rFonts w:hint="eastAsia"/>
          <w:rtl/>
        </w:rPr>
        <w:t>פס</w:t>
      </w:r>
      <w:r w:rsidRPr="00522A3C">
        <w:rPr>
          <w:rtl/>
        </w:rPr>
        <w:t>' 39</w:t>
      </w:r>
      <w:r w:rsidRPr="00522A3C">
        <w:rPr>
          <w:rFonts w:hint="cs"/>
          <w:rtl/>
        </w:rPr>
        <w:t xml:space="preserve"> לפסק הדין</w:t>
      </w:r>
      <w:r w:rsidRPr="00522A3C">
        <w:rPr>
          <w:rtl/>
        </w:rPr>
        <w:t xml:space="preserve"> (פורסם בנבו, 21.06.2011)</w:t>
      </w:r>
      <w:r w:rsidRPr="00522A3C">
        <w:rPr>
          <w:rFonts w:hint="cs"/>
          <w:rtl/>
        </w:rPr>
        <w:t xml:space="preserve">; </w:t>
      </w:r>
      <w:r w:rsidRPr="00522A3C">
        <w:rPr>
          <w:rtl/>
        </w:rPr>
        <w:t xml:space="preserve">ה"ע 8011/03 </w:t>
      </w:r>
      <w:r w:rsidRPr="00522A3C">
        <w:rPr>
          <w:b/>
          <w:bCs/>
          <w:rtl/>
        </w:rPr>
        <w:t>תנובה מרכז שיתופי לשווק תוצרת חקלאית בע"מ נ' נציגי מובילי החלב העצמאיים</w:t>
      </w:r>
      <w:r w:rsidRPr="00522A3C">
        <w:rPr>
          <w:rFonts w:hint="cs"/>
          <w:rtl/>
        </w:rPr>
        <w:t>,</w:t>
      </w:r>
      <w:r w:rsidRPr="00522A3C">
        <w:rPr>
          <w:rtl/>
        </w:rPr>
        <w:t xml:space="preserve"> </w:t>
      </w:r>
      <w:r w:rsidRPr="00522A3C">
        <w:rPr>
          <w:rFonts w:hint="cs"/>
          <w:rtl/>
        </w:rPr>
        <w:t>פס'</w:t>
      </w:r>
      <w:r w:rsidRPr="00522A3C">
        <w:rPr>
          <w:rtl/>
        </w:rPr>
        <w:t xml:space="preserve"> 36</w:t>
      </w:r>
      <w:r w:rsidRPr="00522A3C">
        <w:rPr>
          <w:rFonts w:hint="cs"/>
          <w:rtl/>
        </w:rPr>
        <w:t xml:space="preserve"> לפסק הדין</w:t>
      </w:r>
      <w:r w:rsidRPr="00522A3C">
        <w:rPr>
          <w:rtl/>
        </w:rPr>
        <w:t xml:space="preserve"> (פורסם בנבו, 20.1.</w:t>
      </w:r>
      <w:r w:rsidRPr="00522A3C">
        <w:rPr>
          <w:rFonts w:hint="cs"/>
          <w:rtl/>
        </w:rPr>
        <w:t>20</w:t>
      </w:r>
      <w:r w:rsidRPr="00522A3C">
        <w:rPr>
          <w:rtl/>
        </w:rPr>
        <w:t>05))</w:t>
      </w:r>
      <w:r w:rsidRPr="00522A3C">
        <w:rPr>
          <w:rFonts w:hint="cs"/>
          <w:rtl/>
        </w:rPr>
        <w:t xml:space="preserve">. </w:t>
      </w:r>
      <w:r w:rsidRPr="00522A3C">
        <w:rPr>
          <w:rFonts w:hint="cs"/>
          <w:rtl/>
          <w:lang w:val="en-GB"/>
        </w:rPr>
        <w:t>בית המשפט נדרש מספר פעמים לשאלה אימתי סירוב יחשב סביר וקבע כי מדובר במקרים בהם הסירוב נובע ממגבלות כושר ייצור, חשש סביר ומבוסס לכושר הפירעון של לקוח</w:t>
      </w:r>
      <w:r w:rsidRPr="00522A3C">
        <w:rPr>
          <w:rFonts w:hint="cs"/>
          <w:rtl/>
        </w:rPr>
        <w:t xml:space="preserve"> </w:t>
      </w:r>
      <w:r w:rsidRPr="00522A3C">
        <w:rPr>
          <w:rFonts w:hint="cs"/>
          <w:rtl/>
          <w:lang w:val="en-GB"/>
        </w:rPr>
        <w:t xml:space="preserve">או לקוח אשר נעדר מוסר תשלומים, ראו: </w:t>
      </w:r>
      <w:r w:rsidRPr="00522A3C">
        <w:rPr>
          <w:rtl/>
        </w:rPr>
        <w:t xml:space="preserve">ת"א 1921-12-09 </w:t>
      </w:r>
      <w:r w:rsidRPr="00522A3C">
        <w:rPr>
          <w:b/>
          <w:bCs/>
          <w:rtl/>
        </w:rPr>
        <w:t>פרופ' יונה תדיר נ' אסותא מרכזים רפואיים בע"מ</w:t>
      </w:r>
      <w:r w:rsidRPr="00522A3C">
        <w:rPr>
          <w:rFonts w:hint="cs"/>
          <w:rtl/>
        </w:rPr>
        <w:t>, פס' 23 לפסק הדין</w:t>
      </w:r>
      <w:r w:rsidRPr="00522A3C">
        <w:rPr>
          <w:rtl/>
        </w:rPr>
        <w:t xml:space="preserve"> (פורסם בנבו, 6.1.2015)</w:t>
      </w:r>
      <w:r w:rsidRPr="00522A3C">
        <w:rPr>
          <w:rFonts w:hint="cs"/>
          <w:rtl/>
        </w:rPr>
        <w:t xml:space="preserve">. </w:t>
      </w:r>
    </w:p>
  </w:footnote>
  <w:footnote w:id="50">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b/>
          <w:bCs/>
          <w:rtl/>
        </w:rPr>
        <w:t>החלטה בדבר שינויים ועדכונים באמות המידה צרכנות</w:t>
      </w:r>
      <w:r w:rsidRPr="00522A3C">
        <w:rPr>
          <w:rFonts w:hint="cs"/>
          <w:rtl/>
        </w:rPr>
        <w:t xml:space="preserve">, לעיל ה"ש </w:t>
      </w:r>
      <w:r w:rsidRPr="00522A3C">
        <w:rPr>
          <w:rtl/>
        </w:rPr>
        <w:fldChar w:fldCharType="begin"/>
      </w:r>
      <w:r w:rsidRPr="00522A3C">
        <w:rPr>
          <w:rtl/>
        </w:rPr>
        <w:instrText xml:space="preserve"> </w:instrText>
      </w:r>
      <w:r w:rsidRPr="00522A3C">
        <w:rPr>
          <w:rFonts w:hint="cs"/>
        </w:rPr>
        <w:instrText>NOTEREF</w:instrText>
      </w:r>
      <w:r w:rsidRPr="00522A3C">
        <w:rPr>
          <w:rFonts w:hint="cs"/>
          <w:rtl/>
        </w:rPr>
        <w:instrText xml:space="preserve"> _</w:instrText>
      </w:r>
      <w:r w:rsidRPr="00522A3C">
        <w:rPr>
          <w:rFonts w:hint="cs"/>
        </w:rPr>
        <w:instrText>Ref476486509 \h</w:instrText>
      </w:r>
      <w:r w:rsidRPr="00522A3C">
        <w:rPr>
          <w:rtl/>
        </w:rPr>
        <w:instrText xml:space="preserve"> </w:instrText>
      </w:r>
      <w:r>
        <w:rPr>
          <w:rtl/>
        </w:rPr>
        <w:instrText xml:space="preserve"> \* </w:instrText>
      </w:r>
      <w:r>
        <w:instrText>MERGEFORMAT</w:instrText>
      </w:r>
      <w:r>
        <w:rPr>
          <w:rtl/>
        </w:rPr>
        <w:instrText xml:space="preserve"> </w:instrText>
      </w:r>
      <w:r w:rsidRPr="00522A3C">
        <w:rPr>
          <w:rtl/>
        </w:rPr>
      </w:r>
      <w:r w:rsidRPr="00522A3C">
        <w:rPr>
          <w:rtl/>
        </w:rPr>
        <w:fldChar w:fldCharType="separate"/>
      </w:r>
      <w:r>
        <w:rPr>
          <w:rtl/>
        </w:rPr>
        <w:t>18</w:t>
      </w:r>
      <w:r w:rsidRPr="00522A3C">
        <w:rPr>
          <w:rtl/>
        </w:rPr>
        <w:fldChar w:fldCharType="end"/>
      </w:r>
      <w:r w:rsidRPr="00522A3C">
        <w:rPr>
          <w:rFonts w:hint="cs"/>
          <w:rtl/>
        </w:rPr>
        <w:t>.</w:t>
      </w:r>
    </w:p>
  </w:footnote>
  <w:footnote w:id="51">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 xml:space="preserve">עניין </w:t>
      </w:r>
      <w:r w:rsidRPr="00522A3C">
        <w:rPr>
          <w:i/>
          <w:iCs/>
        </w:rPr>
        <w:t>United Brands Company</w:t>
      </w:r>
      <w:r w:rsidRPr="00522A3C">
        <w:rPr>
          <w:rFonts w:hint="cs"/>
          <w:rtl/>
        </w:rPr>
        <w:t xml:space="preserve">, לעיל ה"ש </w:t>
      </w:r>
      <w:r w:rsidRPr="00522A3C">
        <w:rPr>
          <w:rtl/>
        </w:rPr>
        <w:fldChar w:fldCharType="begin"/>
      </w:r>
      <w:r w:rsidRPr="00522A3C">
        <w:rPr>
          <w:rtl/>
        </w:rPr>
        <w:instrText xml:space="preserve"> </w:instrText>
      </w:r>
      <w:r w:rsidRPr="00522A3C">
        <w:rPr>
          <w:rFonts w:hint="cs"/>
        </w:rPr>
        <w:instrText>NOTEREF</w:instrText>
      </w:r>
      <w:r w:rsidRPr="00522A3C">
        <w:rPr>
          <w:rFonts w:hint="cs"/>
          <w:rtl/>
        </w:rPr>
        <w:instrText xml:space="preserve"> _</w:instrText>
      </w:r>
      <w:r w:rsidRPr="00522A3C">
        <w:rPr>
          <w:rFonts w:hint="cs"/>
        </w:rPr>
        <w:instrText>Ref476240825 \h</w:instrText>
      </w:r>
      <w:r w:rsidRPr="00522A3C">
        <w:rPr>
          <w:rtl/>
        </w:rPr>
        <w:instrText xml:space="preserve"> </w:instrText>
      </w:r>
      <w:r>
        <w:rPr>
          <w:rtl/>
        </w:rPr>
        <w:instrText xml:space="preserve"> \* </w:instrText>
      </w:r>
      <w:r>
        <w:instrText>MERGEFORMAT</w:instrText>
      </w:r>
      <w:r>
        <w:rPr>
          <w:rtl/>
        </w:rPr>
        <w:instrText xml:space="preserve"> </w:instrText>
      </w:r>
      <w:r w:rsidRPr="00522A3C">
        <w:rPr>
          <w:rtl/>
        </w:rPr>
      </w:r>
      <w:r w:rsidRPr="00522A3C">
        <w:rPr>
          <w:rtl/>
        </w:rPr>
        <w:fldChar w:fldCharType="separate"/>
      </w:r>
      <w:r>
        <w:rPr>
          <w:rtl/>
        </w:rPr>
        <w:t>46</w:t>
      </w:r>
      <w:r w:rsidRPr="00522A3C">
        <w:rPr>
          <w:rtl/>
        </w:rPr>
        <w:fldChar w:fldCharType="end"/>
      </w:r>
      <w:r w:rsidRPr="00522A3C">
        <w:rPr>
          <w:rFonts w:hint="cs"/>
          <w:rtl/>
        </w:rPr>
        <w:t>, פס' 163-168, 182; כן ראו</w:t>
      </w:r>
      <w:r w:rsidRPr="00522A3C">
        <w:rPr>
          <w:rFonts w:hint="cs"/>
          <w:sz w:val="24"/>
          <w:rtl/>
        </w:rPr>
        <w:t xml:space="preserve"> למשל, בחוות דעת מקדמית שנתן בית הדין האירופי לצדק (</w:t>
      </w:r>
      <w:r w:rsidRPr="00522A3C">
        <w:rPr>
          <w:sz w:val="24"/>
        </w:rPr>
        <w:t>ECJ</w:t>
      </w:r>
      <w:r w:rsidRPr="00522A3C">
        <w:rPr>
          <w:rFonts w:hint="cs"/>
          <w:sz w:val="24"/>
          <w:rtl/>
        </w:rPr>
        <w:t xml:space="preserve">) נמצא כי סירוב של חברת תרופות דומיננטית להמשיך לספק תרופות למשווקי תרופות עמם עבדה בעבר, כדי להגביל את </w:t>
      </w:r>
      <w:r w:rsidRPr="00522A3C">
        <w:rPr>
          <w:rFonts w:hint="cs"/>
          <w:rtl/>
        </w:rPr>
        <w:t>יכולת</w:t>
      </w:r>
      <w:r w:rsidRPr="00522A3C">
        <w:rPr>
          <w:rFonts w:hint="cs"/>
          <w:sz w:val="24"/>
          <w:rtl/>
        </w:rPr>
        <w:t xml:space="preserve"> התחרות שלהם באמצעות יצוא מקביל, היא ניצול מעמד לרעה.</w:t>
      </w:r>
      <w:r w:rsidRPr="00522A3C">
        <w:rPr>
          <w:rStyle w:val="FootnoteReference"/>
          <w:sz w:val="24"/>
        </w:rPr>
        <w:t xml:space="preserve"> </w:t>
      </w:r>
      <w:r w:rsidRPr="00522A3C">
        <w:t>Joined Cases C-468/06 to C-478/06, Sot. Lélos kai Sia EE and Others v GlaxoSmithKline AEVE Farmakeftikon Proionton, formerly Glaxowellcome AEVE, 2008 E.C.R. I-07139, para. 49</w:t>
      </w:r>
      <w:r w:rsidRPr="00522A3C">
        <w:rPr>
          <w:rFonts w:hint="cs"/>
          <w:rtl/>
        </w:rPr>
        <w:t xml:space="preserve">. </w:t>
      </w:r>
    </w:p>
  </w:footnote>
  <w:footnote w:id="52">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סכום העיצום הכספי עודכן ביום 1.1.2017 בהתאם להוראות סעיף 50ט לחוק. ראו: הודעה בדבר עדכון סכום עיצום כספי לפי סעיף 50ט(ג) לחוק ההגבלים העסקיים, התשמ"ח-1988 י"פ 7433, 2660 (26.1.2017).</w:t>
      </w:r>
    </w:p>
  </w:footnote>
  <w:footnote w:id="53">
    <w:p w:rsidR="001C367F" w:rsidRPr="00522A3C" w:rsidRDefault="001C367F" w:rsidP="00582CE6">
      <w:pPr>
        <w:pStyle w:val="FootnoteText"/>
        <w:spacing w:before="0" w:line="240" w:lineRule="auto"/>
      </w:pPr>
      <w:r w:rsidRPr="00522A3C">
        <w:rPr>
          <w:rStyle w:val="FootnoteReference"/>
        </w:rPr>
        <w:footnoteRef/>
      </w:r>
      <w:r w:rsidRPr="00522A3C">
        <w:rPr>
          <w:rtl/>
        </w:rPr>
        <w:t xml:space="preserve"> </w:t>
      </w:r>
      <w:r w:rsidRPr="00522A3C">
        <w:rPr>
          <w:rFonts w:hint="cs"/>
          <w:rtl/>
        </w:rPr>
        <w:t>הודעה בדבר סוג המעשים והמחדלים לעניין עיצום כספי לפי חוק ההגבלים העסקיים, התשמ"ח-1988, ילקוט הפרסומים 6487, ח' בחשוון התשע"ג, 24.10.12.</w:t>
      </w:r>
    </w:p>
  </w:footnote>
  <w:footnote w:id="54">
    <w:p w:rsidR="001C367F" w:rsidRPr="00522A3C" w:rsidRDefault="001C367F" w:rsidP="00582CE6">
      <w:pPr>
        <w:pStyle w:val="FootnoteText"/>
        <w:spacing w:before="0" w:line="240" w:lineRule="auto"/>
      </w:pPr>
      <w:r w:rsidRPr="00522A3C">
        <w:rPr>
          <w:rStyle w:val="FootnoteReference"/>
        </w:rPr>
        <w:footnoteRef/>
      </w:r>
      <w:r w:rsidRPr="00522A3C">
        <w:rPr>
          <w:rtl/>
        </w:rPr>
        <w:t xml:space="preserve"> </w:t>
      </w:r>
      <w:r w:rsidRPr="00522A3C">
        <w:rPr>
          <w:rFonts w:hint="cs"/>
          <w:rtl/>
        </w:rPr>
        <w:t xml:space="preserve">בעניין זה ראו גם סעיף ב.6 לגילוי דעת 1/12 של הממונה על ההגבלים העסקיים "הנחיות רשות ההגבלים העסקיים בדבר השימוש בהליכי אכיפה של עיצומים כספיים" (24.7.2012) </w:t>
      </w:r>
      <w:r w:rsidRPr="00522A3C">
        <w:rPr>
          <w:rFonts w:hint="eastAsia"/>
          <w:b/>
          <w:bCs/>
          <w:rtl/>
        </w:rPr>
        <w:t>הגבלים</w:t>
      </w:r>
      <w:r w:rsidRPr="00522A3C">
        <w:rPr>
          <w:b/>
          <w:bCs/>
          <w:rtl/>
        </w:rPr>
        <w:t xml:space="preserve"> </w:t>
      </w:r>
      <w:r w:rsidRPr="00522A3C">
        <w:rPr>
          <w:rFonts w:hint="eastAsia"/>
          <w:b/>
          <w:bCs/>
          <w:rtl/>
        </w:rPr>
        <w:t>עסקיים</w:t>
      </w:r>
      <w:r w:rsidRPr="00522A3C">
        <w:rPr>
          <w:rFonts w:hint="cs"/>
          <w:rtl/>
        </w:rPr>
        <w:t xml:space="preserve"> </w:t>
      </w:r>
      <w:r w:rsidRPr="00522A3C">
        <w:rPr>
          <w:rtl/>
        </w:rPr>
        <w:t>5001998</w:t>
      </w:r>
      <w:r w:rsidRPr="00522A3C">
        <w:rPr>
          <w:rFonts w:hint="cs"/>
          <w:rtl/>
        </w:rPr>
        <w:t xml:space="preserve"> (להלן: "</w:t>
      </w:r>
      <w:r w:rsidRPr="00522A3C">
        <w:rPr>
          <w:rFonts w:hint="cs"/>
          <w:b/>
          <w:bCs/>
          <w:rtl/>
        </w:rPr>
        <w:t>גילוי</w:t>
      </w:r>
      <w:r w:rsidRPr="00522A3C">
        <w:rPr>
          <w:b/>
          <w:bCs/>
          <w:rtl/>
        </w:rPr>
        <w:t xml:space="preserve"> </w:t>
      </w:r>
      <w:r w:rsidRPr="00522A3C">
        <w:rPr>
          <w:rFonts w:hint="cs"/>
          <w:b/>
          <w:bCs/>
          <w:rtl/>
        </w:rPr>
        <w:t>דעת</w:t>
      </w:r>
      <w:r w:rsidRPr="00522A3C">
        <w:rPr>
          <w:b/>
          <w:bCs/>
          <w:rtl/>
        </w:rPr>
        <w:t xml:space="preserve"> 1/12</w:t>
      </w:r>
      <w:r w:rsidRPr="00522A3C">
        <w:rPr>
          <w:rFonts w:hint="cs"/>
          <w:rtl/>
        </w:rPr>
        <w:t>").</w:t>
      </w:r>
    </w:p>
  </w:footnote>
  <w:footnote w:id="55">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 xml:space="preserve">גילוי דעת 1/16 של הממונה על ההגבלים העסקיים "שיקולי הממונה על הגבלים עסקיים בקביעת גובה עיצום כספי" (26.10.2016) </w:t>
      </w:r>
      <w:r w:rsidRPr="00522A3C">
        <w:rPr>
          <w:rFonts w:hint="eastAsia"/>
          <w:b/>
          <w:bCs/>
          <w:rtl/>
        </w:rPr>
        <w:t>הגבלים</w:t>
      </w:r>
      <w:r w:rsidRPr="00522A3C">
        <w:rPr>
          <w:b/>
          <w:bCs/>
          <w:rtl/>
        </w:rPr>
        <w:t xml:space="preserve"> </w:t>
      </w:r>
      <w:r w:rsidRPr="00522A3C">
        <w:rPr>
          <w:rFonts w:hint="eastAsia"/>
          <w:b/>
          <w:bCs/>
          <w:rtl/>
        </w:rPr>
        <w:t>עסקיים</w:t>
      </w:r>
      <w:r w:rsidRPr="00522A3C">
        <w:rPr>
          <w:rFonts w:hint="cs"/>
          <w:rtl/>
        </w:rPr>
        <w:t xml:space="preserve"> 501072 (להלן: "</w:t>
      </w:r>
      <w:r w:rsidRPr="00522A3C">
        <w:rPr>
          <w:rFonts w:hint="cs"/>
          <w:b/>
          <w:bCs/>
          <w:rtl/>
        </w:rPr>
        <w:t>גילוי</w:t>
      </w:r>
      <w:r w:rsidRPr="00522A3C">
        <w:rPr>
          <w:b/>
          <w:bCs/>
          <w:rtl/>
        </w:rPr>
        <w:t xml:space="preserve"> </w:t>
      </w:r>
      <w:r w:rsidRPr="00522A3C">
        <w:rPr>
          <w:rFonts w:hint="cs"/>
          <w:b/>
          <w:bCs/>
          <w:rtl/>
        </w:rPr>
        <w:t>דעת</w:t>
      </w:r>
      <w:r w:rsidRPr="00522A3C">
        <w:rPr>
          <w:b/>
          <w:bCs/>
          <w:rtl/>
        </w:rPr>
        <w:t xml:space="preserve"> 1/</w:t>
      </w:r>
      <w:r w:rsidRPr="00522A3C">
        <w:rPr>
          <w:rFonts w:hint="cs"/>
          <w:b/>
          <w:bCs/>
          <w:rtl/>
        </w:rPr>
        <w:t>16</w:t>
      </w:r>
      <w:r w:rsidRPr="00522A3C">
        <w:rPr>
          <w:rFonts w:hint="cs"/>
          <w:rtl/>
        </w:rPr>
        <w:t>").</w:t>
      </w:r>
    </w:p>
  </w:footnote>
  <w:footnote w:id="56">
    <w:p w:rsidR="001C367F" w:rsidRPr="00522A3C" w:rsidRDefault="001C367F" w:rsidP="00582CE6">
      <w:pPr>
        <w:pStyle w:val="FootnoteText"/>
        <w:spacing w:before="0" w:line="240" w:lineRule="auto"/>
        <w:rPr>
          <w:b/>
          <w:bCs/>
        </w:rPr>
      </w:pPr>
      <w:r w:rsidRPr="00522A3C">
        <w:rPr>
          <w:rStyle w:val="FootnoteReference"/>
        </w:rPr>
        <w:footnoteRef/>
      </w:r>
      <w:r w:rsidRPr="00522A3C">
        <w:rPr>
          <w:rtl/>
        </w:rPr>
        <w:t xml:space="preserve"> </w:t>
      </w:r>
      <w:r w:rsidRPr="00522A3C">
        <w:rPr>
          <w:rFonts w:hint="cs"/>
          <w:rtl/>
        </w:rPr>
        <w:t>מחזור המכירות של חברת החשמל לשנת 2012 עומד על סך של כ-28 מיליארד ש</w:t>
      </w:r>
      <w:r w:rsidRPr="00522A3C">
        <w:rPr>
          <w:rtl/>
        </w:rPr>
        <w:t>"</w:t>
      </w:r>
      <w:r w:rsidRPr="00522A3C">
        <w:rPr>
          <w:rFonts w:hint="cs"/>
          <w:rtl/>
        </w:rPr>
        <w:t>ח, לשנת 2013 עומד על כ-27 מיליארד ש</w:t>
      </w:r>
      <w:r w:rsidRPr="00522A3C">
        <w:rPr>
          <w:rtl/>
        </w:rPr>
        <w:t>"</w:t>
      </w:r>
      <w:r w:rsidRPr="00522A3C">
        <w:rPr>
          <w:rFonts w:hint="cs"/>
          <w:rtl/>
        </w:rPr>
        <w:t>ח, ולשנת 2014 עומד על כ-25 מיליארד ש</w:t>
      </w:r>
      <w:r w:rsidRPr="00522A3C">
        <w:rPr>
          <w:rtl/>
        </w:rPr>
        <w:t>"</w:t>
      </w:r>
      <w:r w:rsidRPr="00522A3C">
        <w:rPr>
          <w:rFonts w:hint="cs"/>
          <w:rtl/>
        </w:rPr>
        <w:t xml:space="preserve">ח, דוחות מאוחדים על רווח והפסד לשנת 2014, בעמ' 11, זמין ב: </w:t>
      </w:r>
      <w:hyperlink r:id="rId1" w:history="1">
        <w:r w:rsidRPr="00522A3C">
          <w:rPr>
            <w:rStyle w:val="Hyperlink"/>
          </w:rPr>
          <w:t>https://www.iec.co.il/investors/DocLib1/isa_2014.pdf</w:t>
        </w:r>
      </w:hyperlink>
      <w:r w:rsidRPr="00522A3C">
        <w:rPr>
          <w:rFonts w:hint="cs"/>
          <w:rtl/>
        </w:rPr>
        <w:t xml:space="preserve"> ). מחזור המכירות המשוקלל חברת החשמל לתקופת ההפרה הוא: </w:t>
      </w:r>
      <w:r w:rsidRPr="00522A3C">
        <w:t>((28,000,000,000*6) + (27,000,000,000*12) + (25,000,000,000*12) /30 ≈ 26,400,000,000</w:t>
      </w:r>
      <w:r w:rsidRPr="00522A3C">
        <w:rPr>
          <w:rFonts w:hint="cs"/>
          <w:b/>
          <w:bCs/>
          <w:rtl/>
        </w:rPr>
        <w:t>.</w:t>
      </w:r>
    </w:p>
  </w:footnote>
  <w:footnote w:id="57">
    <w:p w:rsidR="001C367F" w:rsidRPr="00522A3C" w:rsidRDefault="001C367F" w:rsidP="00582CE6">
      <w:pPr>
        <w:spacing w:before="0" w:line="240" w:lineRule="auto"/>
        <w:rPr>
          <w:color w:val="000000"/>
          <w:sz w:val="20"/>
          <w:szCs w:val="20"/>
          <w:lang w:eastAsia="en-US"/>
        </w:rPr>
      </w:pPr>
      <w:r w:rsidRPr="00522A3C">
        <w:rPr>
          <w:rStyle w:val="FootnoteReference"/>
          <w:sz w:val="20"/>
          <w:szCs w:val="20"/>
        </w:rPr>
        <w:footnoteRef/>
      </w:r>
      <w:r w:rsidRPr="00522A3C">
        <w:rPr>
          <w:sz w:val="20"/>
          <w:szCs w:val="20"/>
          <w:rtl/>
        </w:rPr>
        <w:t xml:space="preserve"> </w:t>
      </w:r>
      <w:r w:rsidRPr="00522A3C">
        <w:rPr>
          <w:rFonts w:hint="cs"/>
          <w:sz w:val="20"/>
          <w:szCs w:val="20"/>
          <w:rtl/>
        </w:rPr>
        <w:t xml:space="preserve">השוו: ת"פ 417/97 </w:t>
      </w:r>
      <w:r w:rsidRPr="00522A3C">
        <w:rPr>
          <w:rFonts w:hint="cs"/>
          <w:b/>
          <w:bCs/>
          <w:sz w:val="20"/>
          <w:szCs w:val="20"/>
          <w:rtl/>
        </w:rPr>
        <w:t>מדינת ישראל נ' הפניקס חברה לביטוח בע"מ</w:t>
      </w:r>
      <w:r w:rsidRPr="00522A3C">
        <w:rPr>
          <w:rFonts w:hint="cs"/>
          <w:sz w:val="20"/>
          <w:szCs w:val="20"/>
          <w:rtl/>
        </w:rPr>
        <w:t>, פס' 12 לפסק דינו של השופט ד' חשין (פורסם בנבו, 22.2.02). שם שנת פעילות אחת של הקרטל הוכרה כנסיבה מחמירה לגבי קרטל שפעל טרם הולדתו של סעיף </w:t>
      </w:r>
      <w:hyperlink r:id="rId2" w:history="1">
        <w:r w:rsidRPr="00522A3C">
          <w:rPr>
            <w:rFonts w:hint="cs"/>
            <w:sz w:val="20"/>
            <w:szCs w:val="20"/>
            <w:rtl/>
          </w:rPr>
          <w:t>47א</w:t>
        </w:r>
      </w:hyperlink>
      <w:r w:rsidRPr="00522A3C">
        <w:rPr>
          <w:rFonts w:hint="cs"/>
          <w:sz w:val="20"/>
          <w:szCs w:val="20"/>
          <w:rtl/>
        </w:rPr>
        <w:t xml:space="preserve"> לחוק;  בע"פ 2560/08 </w:t>
      </w:r>
      <w:r w:rsidRPr="00522A3C">
        <w:rPr>
          <w:rFonts w:hint="cs"/>
          <w:b/>
          <w:bCs/>
          <w:sz w:val="20"/>
          <w:szCs w:val="20"/>
          <w:rtl/>
        </w:rPr>
        <w:t>מדינת ישראל - רשות ההגבלים העסקיים נ' ירון וול</w:t>
      </w:r>
      <w:r w:rsidRPr="00522A3C">
        <w:rPr>
          <w:rFonts w:hint="cs"/>
          <w:color w:val="000000"/>
          <w:sz w:val="20"/>
          <w:szCs w:val="20"/>
          <w:rtl/>
          <w:lang w:eastAsia="en-US"/>
        </w:rPr>
        <w:t>, פס' קנב (פורסם בנבו, 6.7.09). בפסק הדין התקבלה הטענה שהימשכות הסדר כובל לתקופה של כשנתיים עולה כדי "נסיבות מחמירות" לפי סעיפים 47א(1) ו-47א(2) לחוק.</w:t>
      </w:r>
    </w:p>
    <w:p w:rsidR="001C367F" w:rsidRPr="00522A3C" w:rsidRDefault="001C367F" w:rsidP="00582CE6">
      <w:pPr>
        <w:pStyle w:val="FootnoteText"/>
        <w:spacing w:before="0" w:line="240" w:lineRule="auto"/>
        <w:rPr>
          <w:rtl/>
        </w:rPr>
      </w:pPr>
    </w:p>
  </w:footnote>
  <w:footnote w:id="58">
    <w:p w:rsidR="001C367F" w:rsidRPr="00522A3C" w:rsidRDefault="001C367F" w:rsidP="00582CE6">
      <w:pPr>
        <w:pStyle w:val="FootnoteText"/>
        <w:spacing w:before="0" w:line="240" w:lineRule="auto"/>
        <w:rPr>
          <w:color w:val="FF0000"/>
          <w:rtl/>
        </w:rPr>
      </w:pPr>
      <w:r w:rsidRPr="00522A3C">
        <w:rPr>
          <w:rStyle w:val="FootnoteReference"/>
        </w:rPr>
        <w:footnoteRef/>
      </w:r>
      <w:r w:rsidRPr="00522A3C">
        <w:rPr>
          <w:color w:val="FF0000"/>
          <w:rtl/>
        </w:rPr>
        <w:t xml:space="preserve"> </w:t>
      </w:r>
      <w:r w:rsidRPr="00522A3C">
        <w:t>10%*log</w:t>
      </w:r>
      <w:r w:rsidRPr="00522A3C">
        <w:rPr>
          <w:vertAlign w:val="subscript"/>
        </w:rPr>
        <w:t>2</w:t>
      </w:r>
      <w:r w:rsidRPr="00522A3C">
        <w:t>(26400000000/307000000) ≈ 0.6426</w:t>
      </w:r>
    </w:p>
  </w:footnote>
  <w:footnote w:id="59">
    <w:p w:rsidR="001C367F" w:rsidRPr="00522A3C" w:rsidRDefault="001C367F" w:rsidP="00582CE6">
      <w:pPr>
        <w:pStyle w:val="FootnoteText"/>
        <w:spacing w:before="0" w:line="240" w:lineRule="auto"/>
        <w:rPr>
          <w:rFonts w:ascii="Calibri" w:hAnsi="Calibri"/>
          <w:rtl/>
        </w:rPr>
      </w:pPr>
      <w:r w:rsidRPr="00522A3C">
        <w:rPr>
          <w:rStyle w:val="FootnoteReference"/>
        </w:rPr>
        <w:footnoteRef/>
      </w:r>
      <w:r w:rsidRPr="00522A3C">
        <w:rPr>
          <w:rFonts w:ascii="Calibri" w:hAnsi="Calibri"/>
          <w:rtl/>
        </w:rPr>
        <w:t xml:space="preserve"> </w:t>
      </w:r>
      <w:r w:rsidRPr="00522A3C">
        <w:rPr>
          <w:rFonts w:ascii="Calibri" w:hAnsi="Calibri" w:hint="cs"/>
          <w:rtl/>
        </w:rPr>
        <w:t>ראו לעניין זה קביעה בעניין</w:t>
      </w:r>
      <w:r w:rsidRPr="00522A3C">
        <w:rPr>
          <w:rFonts w:ascii="Calibri" w:hAnsi="Calibri" w:hint="cs"/>
          <w:b/>
          <w:bCs/>
          <w:rtl/>
        </w:rPr>
        <w:t xml:space="preserve"> נמל אשדוד</w:t>
      </w:r>
      <w:r w:rsidRPr="00522A3C">
        <w:rPr>
          <w:rFonts w:ascii="Calibri" w:hAnsi="Calibri" w:hint="cs"/>
          <w:rtl/>
        </w:rPr>
        <w:t xml:space="preserve">, לעיל ה"ש </w:t>
      </w:r>
      <w:r w:rsidRPr="00522A3C">
        <w:rPr>
          <w:rFonts w:ascii="Calibri" w:hAnsi="Calibri"/>
          <w:rtl/>
        </w:rPr>
        <w:fldChar w:fldCharType="begin"/>
      </w:r>
      <w:r w:rsidRPr="00522A3C">
        <w:rPr>
          <w:rFonts w:ascii="Calibri" w:hAnsi="Calibri"/>
          <w:rtl/>
        </w:rPr>
        <w:instrText xml:space="preserve"> </w:instrText>
      </w:r>
      <w:r w:rsidRPr="00522A3C">
        <w:rPr>
          <w:rFonts w:ascii="Calibri" w:hAnsi="Calibri" w:hint="cs"/>
        </w:rPr>
        <w:instrText>NOTEREF</w:instrText>
      </w:r>
      <w:r w:rsidRPr="00522A3C">
        <w:rPr>
          <w:rFonts w:ascii="Calibri" w:hAnsi="Calibri" w:hint="cs"/>
          <w:rtl/>
        </w:rPr>
        <w:instrText xml:space="preserve"> _</w:instrText>
      </w:r>
      <w:r w:rsidRPr="00522A3C">
        <w:rPr>
          <w:rFonts w:ascii="Calibri" w:hAnsi="Calibri" w:hint="cs"/>
        </w:rPr>
        <w:instrText>Ref476486391 \h</w:instrText>
      </w:r>
      <w:r w:rsidRPr="00522A3C">
        <w:rPr>
          <w:rFonts w:ascii="Calibri" w:hAnsi="Calibri"/>
          <w:rtl/>
        </w:rPr>
        <w:instrText xml:space="preserve"> </w:instrText>
      </w:r>
      <w:r>
        <w:rPr>
          <w:rFonts w:ascii="Calibri" w:hAnsi="Calibri"/>
          <w:rtl/>
        </w:rPr>
        <w:instrText xml:space="preserve"> \* </w:instrText>
      </w:r>
      <w:r>
        <w:rPr>
          <w:rFonts w:ascii="Calibri" w:hAnsi="Calibri"/>
        </w:rPr>
        <w:instrText>MERGEFORMAT</w:instrText>
      </w:r>
      <w:r>
        <w:rPr>
          <w:rFonts w:ascii="Calibri" w:hAnsi="Calibri"/>
          <w:rtl/>
        </w:rPr>
        <w:instrText xml:space="preserve"> </w:instrText>
      </w:r>
      <w:r w:rsidRPr="00522A3C">
        <w:rPr>
          <w:rFonts w:ascii="Calibri" w:hAnsi="Calibri"/>
          <w:rtl/>
        </w:rPr>
      </w:r>
      <w:r w:rsidRPr="00522A3C">
        <w:rPr>
          <w:rFonts w:ascii="Calibri" w:hAnsi="Calibri"/>
          <w:rtl/>
        </w:rPr>
        <w:fldChar w:fldCharType="separate"/>
      </w:r>
      <w:r>
        <w:rPr>
          <w:rFonts w:ascii="Calibri" w:hAnsi="Calibri"/>
          <w:rtl/>
        </w:rPr>
        <w:t>33</w:t>
      </w:r>
      <w:r w:rsidRPr="00522A3C">
        <w:rPr>
          <w:rFonts w:ascii="Calibri" w:hAnsi="Calibri"/>
          <w:rtl/>
        </w:rPr>
        <w:fldChar w:fldCharType="end"/>
      </w:r>
      <w:r w:rsidRPr="00522A3C">
        <w:rPr>
          <w:rFonts w:ascii="Calibri" w:hAnsi="Calibri" w:hint="cs"/>
          <w:rtl/>
        </w:rPr>
        <w:t>.</w:t>
      </w:r>
      <w:r w:rsidRPr="00522A3C">
        <w:rPr>
          <w:rFonts w:ascii="Calibri" w:hAnsi="Calibri"/>
          <w:rtl/>
        </w:rPr>
        <w:t xml:space="preserve"> </w:t>
      </w:r>
      <w:r w:rsidRPr="00522A3C">
        <w:rPr>
          <w:rFonts w:ascii="Calibri" w:hAnsi="Calibri" w:hint="cs"/>
          <w:rtl/>
        </w:rPr>
        <w:t>שם הוטלו עיצומים כספיים אישיים על סמנכ"ל הלקוחות בחברת נמל אשדוד ועל מנכ"ל החברה, לאחר שנמצא כי ההפרה מקימה פוטנציאל לפגיעה של ממש בתחרות.</w:t>
      </w:r>
    </w:p>
  </w:footnote>
  <w:footnote w:id="60">
    <w:p w:rsidR="001C367F" w:rsidRPr="00522A3C" w:rsidRDefault="001C367F" w:rsidP="00582CE6">
      <w:pPr>
        <w:pStyle w:val="FootnoteText"/>
        <w:spacing w:before="0" w:line="240" w:lineRule="auto"/>
      </w:pPr>
      <w:r w:rsidRPr="00522A3C">
        <w:rPr>
          <w:rStyle w:val="FootnoteReference"/>
        </w:rPr>
        <w:footnoteRef/>
      </w:r>
      <w:r w:rsidRPr="00522A3C">
        <w:rPr>
          <w:rtl/>
        </w:rPr>
        <w:t xml:space="preserve"> </w:t>
      </w:r>
      <w:r w:rsidRPr="00522A3C">
        <w:rPr>
          <w:rFonts w:hint="cs"/>
          <w:rtl/>
        </w:rPr>
        <w:t xml:space="preserve">רע"א </w:t>
      </w:r>
      <w:bookmarkStart w:id="46" w:name="OLE_LINK1"/>
      <w:bookmarkStart w:id="47" w:name="OLE_LINK2"/>
      <w:r w:rsidRPr="00522A3C">
        <w:rPr>
          <w:rFonts w:hint="cs"/>
          <w:rtl/>
        </w:rPr>
        <w:t xml:space="preserve">1506/14 </w:t>
      </w:r>
      <w:bookmarkEnd w:id="46"/>
      <w:bookmarkEnd w:id="47"/>
      <w:r w:rsidRPr="00522A3C">
        <w:rPr>
          <w:b/>
          <w:bCs/>
          <w:rtl/>
        </w:rPr>
        <w:t>נטו משווקים פיננסים סוכנות ביטוח בע"מ</w:t>
      </w:r>
      <w:r w:rsidRPr="00522A3C">
        <w:rPr>
          <w:b/>
          <w:bCs/>
        </w:rPr>
        <w:t> </w:t>
      </w:r>
      <w:r w:rsidRPr="00522A3C">
        <w:rPr>
          <w:b/>
          <w:bCs/>
          <w:rtl/>
        </w:rPr>
        <w:t>נ</w:t>
      </w:r>
      <w:r w:rsidRPr="00522A3C">
        <w:rPr>
          <w:rFonts w:hint="cs"/>
          <w:b/>
          <w:bCs/>
          <w:rtl/>
        </w:rPr>
        <w:t>'</w:t>
      </w:r>
      <w:r w:rsidRPr="00522A3C">
        <w:rPr>
          <w:b/>
          <w:bCs/>
        </w:rPr>
        <w:t> </w:t>
      </w:r>
      <w:r w:rsidRPr="00522A3C">
        <w:rPr>
          <w:b/>
          <w:bCs/>
          <w:rtl/>
        </w:rPr>
        <w:t>הממונה על שוק ההון, ביטוח וחיסכון</w:t>
      </w:r>
      <w:r w:rsidRPr="00522A3C">
        <w:rPr>
          <w:rFonts w:hint="cs"/>
          <w:rtl/>
        </w:rPr>
        <w:t>, פס' י'-יא' (פורסם בנבו 14.07.14) (להלן: "</w:t>
      </w:r>
      <w:r w:rsidRPr="00522A3C">
        <w:rPr>
          <w:rFonts w:hint="cs"/>
          <w:b/>
          <w:bCs/>
          <w:rtl/>
        </w:rPr>
        <w:t>עניין נטו</w:t>
      </w:r>
      <w:r w:rsidRPr="00522A3C">
        <w:rPr>
          <w:rFonts w:hint="cs"/>
          <w:rtl/>
        </w:rPr>
        <w:t xml:space="preserve">"). ראו גם: עע"מ 6999/12 </w:t>
      </w:r>
      <w:r w:rsidRPr="00522A3C">
        <w:rPr>
          <w:rFonts w:hint="cs"/>
          <w:b/>
          <w:bCs/>
          <w:rtl/>
        </w:rPr>
        <w:t xml:space="preserve">יו"ר הרשות לניירות ערך נ' מנועי בית שמש אחזקות (1997) בע"מ, </w:t>
      </w:r>
      <w:r w:rsidRPr="00522A3C">
        <w:rPr>
          <w:rFonts w:hint="cs"/>
          <w:rtl/>
        </w:rPr>
        <w:t xml:space="preserve">עמ' 2 לפסק דינו של השופט רובינשטיין (פורסם בנבו, 7.11.2013); עת"מ (י-ם) 45126-05-14 </w:t>
      </w:r>
      <w:r w:rsidRPr="00522A3C">
        <w:rPr>
          <w:rFonts w:hint="cs"/>
          <w:b/>
          <w:bCs/>
          <w:rtl/>
        </w:rPr>
        <w:t xml:space="preserve">דרך הים התפלה בע"מ נ' הממונה על האכיפה במשרד להגנת הסביבה, </w:t>
      </w:r>
      <w:r w:rsidRPr="00522A3C">
        <w:rPr>
          <w:rFonts w:hint="cs"/>
          <w:rtl/>
        </w:rPr>
        <w:t xml:space="preserve">פס' 38 לפסק דינו של השופט חשין (פורסם בנבו, 01.12.2014); ת"פ 29436-05-16 </w:t>
      </w:r>
      <w:r w:rsidRPr="00522A3C">
        <w:rPr>
          <w:rFonts w:hint="cs"/>
          <w:b/>
          <w:bCs/>
          <w:rtl/>
        </w:rPr>
        <w:t>מדינת ישראל נ' רדו</w:t>
      </w:r>
      <w:r w:rsidRPr="00522A3C">
        <w:rPr>
          <w:rFonts w:hint="cs"/>
          <w:rtl/>
        </w:rPr>
        <w:t xml:space="preserve">, פס' 38 לפסק הדין (פורסם בנבו, 31.1.2017); ת"פ </w:t>
      </w:r>
      <w:r w:rsidRPr="00522A3C">
        <w:rPr>
          <w:rtl/>
        </w:rPr>
        <w:t xml:space="preserve">22390-06-16 </w:t>
      </w:r>
      <w:r w:rsidRPr="00522A3C">
        <w:rPr>
          <w:b/>
          <w:bCs/>
          <w:rtl/>
        </w:rPr>
        <w:t>מדינת ישראל נ' חדד</w:t>
      </w:r>
      <w:r w:rsidRPr="00522A3C">
        <w:rPr>
          <w:rFonts w:ascii="David" w:hAnsi="David" w:hint="cs"/>
          <w:rtl/>
        </w:rPr>
        <w:t>, פס' 47 לפסק הדין</w:t>
      </w:r>
      <w:r w:rsidRPr="00522A3C">
        <w:rPr>
          <w:rFonts w:ascii="Arial" w:hAnsi="Arial"/>
          <w:b/>
          <w:bCs/>
          <w:sz w:val="26"/>
          <w:szCs w:val="26"/>
          <w:rtl/>
        </w:rPr>
        <w:t xml:space="preserve"> </w:t>
      </w:r>
      <w:r w:rsidRPr="00522A3C">
        <w:rPr>
          <w:rFonts w:hint="cs"/>
          <w:rtl/>
        </w:rPr>
        <w:t>(פורסם בנבו, 1.2.2017 ).</w:t>
      </w:r>
    </w:p>
  </w:footnote>
  <w:footnote w:id="61">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עת"מ 10714-04-14 </w:t>
      </w:r>
      <w:r w:rsidRPr="00522A3C">
        <w:rPr>
          <w:b/>
          <w:bCs/>
          <w:rtl/>
        </w:rPr>
        <w:t>רכבת ישראל בע"מ נ' המשרד להגנת  הסביבה</w:t>
      </w:r>
      <w:r w:rsidRPr="00522A3C">
        <w:rPr>
          <w:rFonts w:hint="cs"/>
          <w:rtl/>
        </w:rPr>
        <w:t xml:space="preserve"> בפס' 38 לפסק הדין (פורסם בנבו, 9.7.2014). במסגרת ערעור על פסק הדין, קבע בית המשפט העליון, תוך הפחתת גובה העיצום בהסכמת הצדדים, כי פסק הדין קמא יעמוד על כנו (</w:t>
      </w:r>
      <w:r w:rsidRPr="00522A3C">
        <w:rPr>
          <w:rtl/>
        </w:rPr>
        <w:t xml:space="preserve">עע"מ 6312/14 </w:t>
      </w:r>
      <w:r w:rsidRPr="00522A3C">
        <w:rPr>
          <w:b/>
          <w:bCs/>
          <w:rtl/>
        </w:rPr>
        <w:t xml:space="preserve">רכבת ישראל בע"מ נ' המשרד להגנת הסביבה </w:t>
      </w:r>
      <w:r w:rsidRPr="00522A3C">
        <w:rPr>
          <w:rtl/>
        </w:rPr>
        <w:t xml:space="preserve">(פורסם בנבו, </w:t>
      </w:r>
      <w:r w:rsidRPr="00522A3C">
        <w:rPr>
          <w:rFonts w:hint="cs"/>
          <w:rtl/>
        </w:rPr>
        <w:t>27.7.2015</w:t>
      </w:r>
      <w:r w:rsidRPr="00522A3C">
        <w:rPr>
          <w:rtl/>
        </w:rPr>
        <w:t>)</w:t>
      </w:r>
      <w:r w:rsidRPr="00522A3C">
        <w:rPr>
          <w:rFonts w:hint="cs"/>
          <w:rtl/>
        </w:rPr>
        <w:t>).</w:t>
      </w:r>
    </w:p>
  </w:footnote>
  <w:footnote w:id="62">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הצעת חוק תיקון חוק ההגבלים העסקיים (תיקון מס' 4) (עיצומים כספיים), התשע"ב-2011, ה"ח 637.</w:t>
      </w:r>
    </w:p>
  </w:footnote>
  <w:footnote w:id="63">
    <w:p w:rsidR="001C367F" w:rsidRPr="00522A3C" w:rsidRDefault="001C367F" w:rsidP="00582CE6">
      <w:pPr>
        <w:pStyle w:val="FootnoteText"/>
        <w:spacing w:before="0" w:line="240" w:lineRule="auto"/>
      </w:pPr>
      <w:r w:rsidRPr="00522A3C">
        <w:rPr>
          <w:rStyle w:val="FootnoteReference"/>
        </w:rPr>
        <w:footnoteRef/>
      </w:r>
      <w:r w:rsidRPr="00522A3C">
        <w:rPr>
          <w:rtl/>
        </w:rPr>
        <w:t xml:space="preserve"> </w:t>
      </w:r>
      <w:r w:rsidRPr="00522A3C">
        <w:rPr>
          <w:rFonts w:hint="cs"/>
          <w:rtl/>
        </w:rPr>
        <w:t>ה</w:t>
      </w:r>
      <w:r w:rsidRPr="00522A3C">
        <w:rPr>
          <w:rtl/>
        </w:rPr>
        <w:t>"</w:t>
      </w:r>
      <w:r w:rsidRPr="00522A3C">
        <w:rPr>
          <w:rFonts w:hint="cs"/>
          <w:rtl/>
        </w:rPr>
        <w:t>ע</w:t>
      </w:r>
      <w:r w:rsidRPr="00522A3C">
        <w:rPr>
          <w:rtl/>
        </w:rPr>
        <w:t xml:space="preserve"> (</w:t>
      </w:r>
      <w:r w:rsidRPr="00522A3C">
        <w:rPr>
          <w:rFonts w:hint="cs"/>
          <w:rtl/>
        </w:rPr>
        <w:t>י</w:t>
      </w:r>
      <w:r w:rsidRPr="00522A3C">
        <w:rPr>
          <w:rtl/>
        </w:rPr>
        <w:t>-</w:t>
      </w:r>
      <w:r w:rsidRPr="00522A3C">
        <w:rPr>
          <w:rFonts w:hint="cs"/>
          <w:rtl/>
        </w:rPr>
        <w:t>ם</w:t>
      </w:r>
      <w:r w:rsidRPr="00522A3C">
        <w:rPr>
          <w:rtl/>
        </w:rPr>
        <w:t xml:space="preserve">) 49471-12-15 </w:t>
      </w:r>
      <w:r w:rsidRPr="00522A3C">
        <w:rPr>
          <w:rFonts w:hint="cs"/>
          <w:b/>
          <w:bCs/>
          <w:rtl/>
        </w:rPr>
        <w:t>יהודה</w:t>
      </w:r>
      <w:r w:rsidRPr="00522A3C">
        <w:rPr>
          <w:b/>
          <w:bCs/>
          <w:rtl/>
        </w:rPr>
        <w:t xml:space="preserve"> </w:t>
      </w:r>
      <w:r w:rsidRPr="00522A3C">
        <w:rPr>
          <w:rFonts w:hint="cs"/>
          <w:b/>
          <w:bCs/>
          <w:rtl/>
        </w:rPr>
        <w:t>ברמן</w:t>
      </w:r>
      <w:r w:rsidRPr="00522A3C">
        <w:rPr>
          <w:b/>
          <w:bCs/>
          <w:rtl/>
        </w:rPr>
        <w:t xml:space="preserve"> </w:t>
      </w:r>
      <w:r w:rsidRPr="00522A3C">
        <w:rPr>
          <w:rFonts w:hint="cs"/>
          <w:b/>
          <w:bCs/>
          <w:rtl/>
        </w:rPr>
        <w:t>בע</w:t>
      </w:r>
      <w:r w:rsidRPr="00522A3C">
        <w:rPr>
          <w:b/>
          <w:bCs/>
          <w:rtl/>
        </w:rPr>
        <w:t>"</w:t>
      </w:r>
      <w:r w:rsidRPr="00522A3C">
        <w:rPr>
          <w:rFonts w:hint="cs"/>
          <w:b/>
          <w:bCs/>
          <w:rtl/>
        </w:rPr>
        <w:t>מ</w:t>
      </w:r>
      <w:r w:rsidRPr="00522A3C">
        <w:rPr>
          <w:b/>
          <w:bCs/>
          <w:rtl/>
        </w:rPr>
        <w:t xml:space="preserve"> </w:t>
      </w:r>
      <w:r w:rsidRPr="00522A3C">
        <w:rPr>
          <w:rFonts w:hint="cs"/>
          <w:b/>
          <w:bCs/>
          <w:rtl/>
        </w:rPr>
        <w:t>נ</w:t>
      </w:r>
      <w:r w:rsidRPr="00522A3C">
        <w:rPr>
          <w:b/>
          <w:bCs/>
          <w:rtl/>
        </w:rPr>
        <w:t xml:space="preserve">' </w:t>
      </w:r>
      <w:r w:rsidRPr="00522A3C">
        <w:rPr>
          <w:rFonts w:hint="cs"/>
          <w:b/>
          <w:bCs/>
          <w:rtl/>
        </w:rPr>
        <w:t>הממונה</w:t>
      </w:r>
      <w:r w:rsidRPr="00522A3C">
        <w:rPr>
          <w:b/>
          <w:bCs/>
          <w:rtl/>
        </w:rPr>
        <w:t xml:space="preserve"> </w:t>
      </w:r>
      <w:r w:rsidRPr="00522A3C">
        <w:rPr>
          <w:rFonts w:hint="cs"/>
          <w:b/>
          <w:bCs/>
          <w:rtl/>
        </w:rPr>
        <w:t>על</w:t>
      </w:r>
      <w:r w:rsidRPr="00522A3C">
        <w:rPr>
          <w:b/>
          <w:bCs/>
          <w:rtl/>
        </w:rPr>
        <w:t xml:space="preserve"> </w:t>
      </w:r>
      <w:r w:rsidRPr="00522A3C">
        <w:rPr>
          <w:rFonts w:hint="cs"/>
          <w:b/>
          <w:bCs/>
          <w:rtl/>
        </w:rPr>
        <w:t>ההגבלים</w:t>
      </w:r>
      <w:r w:rsidRPr="00522A3C">
        <w:rPr>
          <w:b/>
          <w:bCs/>
          <w:rtl/>
        </w:rPr>
        <w:t xml:space="preserve"> </w:t>
      </w:r>
      <w:r w:rsidRPr="00522A3C">
        <w:rPr>
          <w:rFonts w:hint="cs"/>
          <w:b/>
          <w:bCs/>
          <w:rtl/>
        </w:rPr>
        <w:t>העסקיים</w:t>
      </w:r>
      <w:r w:rsidRPr="00522A3C">
        <w:rPr>
          <w:rtl/>
        </w:rPr>
        <w:t xml:space="preserve">, </w:t>
      </w:r>
      <w:r w:rsidRPr="00522A3C">
        <w:rPr>
          <w:rFonts w:hint="cs"/>
          <w:rtl/>
        </w:rPr>
        <w:t>בעמ' 14-13 (פורסם</w:t>
      </w:r>
      <w:r w:rsidRPr="00522A3C">
        <w:rPr>
          <w:rtl/>
        </w:rPr>
        <w:t xml:space="preserve"> </w:t>
      </w:r>
      <w:r w:rsidRPr="00522A3C">
        <w:rPr>
          <w:rFonts w:hint="cs"/>
          <w:rtl/>
        </w:rPr>
        <w:t>בנבו</w:t>
      </w:r>
      <w:r w:rsidRPr="00522A3C">
        <w:rPr>
          <w:rtl/>
        </w:rPr>
        <w:t xml:space="preserve"> 16.5.16</w:t>
      </w:r>
      <w:r w:rsidRPr="00522A3C">
        <w:rPr>
          <w:rFonts w:hint="cs"/>
          <w:rtl/>
        </w:rPr>
        <w:t>).</w:t>
      </w:r>
    </w:p>
  </w:footnote>
  <w:footnote w:id="64">
    <w:p w:rsidR="001C367F" w:rsidRPr="00522A3C" w:rsidRDefault="001C367F" w:rsidP="00582CE6">
      <w:pPr>
        <w:pStyle w:val="FootnoteText"/>
        <w:spacing w:before="0" w:line="240" w:lineRule="auto"/>
      </w:pPr>
      <w:r w:rsidRPr="00522A3C">
        <w:rPr>
          <w:rStyle w:val="FootnoteReference"/>
        </w:rPr>
        <w:footnoteRef/>
      </w:r>
      <w:r w:rsidRPr="00522A3C">
        <w:rPr>
          <w:rtl/>
        </w:rPr>
        <w:t xml:space="preserve"> </w:t>
      </w:r>
      <w:r w:rsidRPr="00522A3C">
        <w:rPr>
          <w:rFonts w:hint="cs"/>
          <w:color w:val="000000"/>
          <w:rtl/>
        </w:rPr>
        <w:t xml:space="preserve">בג"ץ 389/80 </w:t>
      </w:r>
      <w:r w:rsidRPr="00522A3C">
        <w:rPr>
          <w:rFonts w:hint="cs"/>
          <w:b/>
          <w:bCs/>
          <w:color w:val="000000"/>
          <w:rtl/>
        </w:rPr>
        <w:t>דפי זהב בע"מ נ' רשות השידור</w:t>
      </w:r>
      <w:r w:rsidRPr="00522A3C">
        <w:rPr>
          <w:rFonts w:hint="cs"/>
          <w:color w:val="000000"/>
          <w:rtl/>
        </w:rPr>
        <w:t>, פ"ד לה(1) 421, 435 (10.11.80); בג</w:t>
      </w:r>
      <w:r w:rsidRPr="00522A3C">
        <w:rPr>
          <w:color w:val="000000"/>
          <w:rtl/>
        </w:rPr>
        <w:t>"</w:t>
      </w:r>
      <w:r w:rsidRPr="00522A3C">
        <w:rPr>
          <w:rFonts w:hint="cs"/>
          <w:color w:val="000000"/>
          <w:rtl/>
        </w:rPr>
        <w:t>ץ</w:t>
      </w:r>
      <w:r w:rsidRPr="00522A3C">
        <w:rPr>
          <w:color w:val="000000"/>
          <w:rtl/>
        </w:rPr>
        <w:t xml:space="preserve"> 3071/05 </w:t>
      </w:r>
      <w:r w:rsidRPr="00522A3C">
        <w:rPr>
          <w:rFonts w:hint="cs"/>
          <w:b/>
          <w:bCs/>
          <w:color w:val="000000"/>
          <w:rtl/>
        </w:rPr>
        <w:t>גילה</w:t>
      </w:r>
      <w:r w:rsidRPr="00522A3C">
        <w:rPr>
          <w:b/>
          <w:bCs/>
          <w:color w:val="000000"/>
          <w:rtl/>
        </w:rPr>
        <w:t xml:space="preserve"> </w:t>
      </w:r>
      <w:r w:rsidRPr="00522A3C">
        <w:rPr>
          <w:rFonts w:hint="cs"/>
          <w:b/>
          <w:bCs/>
          <w:color w:val="000000"/>
          <w:rtl/>
        </w:rPr>
        <w:t>לוזון</w:t>
      </w:r>
      <w:r w:rsidRPr="00522A3C">
        <w:rPr>
          <w:b/>
          <w:bCs/>
          <w:color w:val="000000"/>
          <w:rtl/>
        </w:rPr>
        <w:t xml:space="preserve"> </w:t>
      </w:r>
      <w:r w:rsidRPr="00522A3C">
        <w:rPr>
          <w:rFonts w:hint="cs"/>
          <w:b/>
          <w:bCs/>
          <w:color w:val="000000"/>
          <w:rtl/>
        </w:rPr>
        <w:t>נ</w:t>
      </w:r>
      <w:r w:rsidRPr="00522A3C">
        <w:rPr>
          <w:b/>
          <w:bCs/>
          <w:color w:val="000000"/>
          <w:rtl/>
        </w:rPr>
        <w:t xml:space="preserve">' </w:t>
      </w:r>
      <w:r w:rsidRPr="00522A3C">
        <w:rPr>
          <w:rFonts w:hint="cs"/>
          <w:b/>
          <w:bCs/>
          <w:color w:val="000000"/>
          <w:rtl/>
        </w:rPr>
        <w:t>ממשלת</w:t>
      </w:r>
      <w:r w:rsidRPr="00522A3C">
        <w:rPr>
          <w:b/>
          <w:bCs/>
          <w:color w:val="000000"/>
          <w:rtl/>
        </w:rPr>
        <w:t xml:space="preserve"> </w:t>
      </w:r>
      <w:r w:rsidRPr="00522A3C">
        <w:rPr>
          <w:rFonts w:hint="cs"/>
          <w:b/>
          <w:bCs/>
          <w:color w:val="000000"/>
          <w:rtl/>
        </w:rPr>
        <w:t>ישראל</w:t>
      </w:r>
      <w:r w:rsidRPr="00522A3C">
        <w:rPr>
          <w:color w:val="000000"/>
          <w:rtl/>
        </w:rPr>
        <w:t>,</w:t>
      </w:r>
      <w:r w:rsidRPr="00522A3C">
        <w:rPr>
          <w:rFonts w:hint="cs"/>
          <w:color w:val="000000"/>
          <w:rtl/>
        </w:rPr>
        <w:t xml:space="preserve"> פס' 22 לפסק הדין</w:t>
      </w:r>
      <w:r w:rsidRPr="00522A3C">
        <w:rPr>
          <w:color w:val="000000"/>
          <w:rtl/>
        </w:rPr>
        <w:t xml:space="preserve"> (</w:t>
      </w:r>
      <w:r w:rsidRPr="00522A3C">
        <w:rPr>
          <w:rFonts w:hint="cs"/>
          <w:color w:val="000000"/>
          <w:rtl/>
        </w:rPr>
        <w:t>פורסם</w:t>
      </w:r>
      <w:r w:rsidRPr="00522A3C">
        <w:rPr>
          <w:color w:val="000000"/>
          <w:rtl/>
        </w:rPr>
        <w:t xml:space="preserve"> </w:t>
      </w:r>
      <w:r w:rsidRPr="00522A3C">
        <w:rPr>
          <w:rFonts w:hint="cs"/>
          <w:color w:val="000000"/>
          <w:rtl/>
        </w:rPr>
        <w:t>באר</w:t>
      </w:r>
      <w:r w:rsidRPr="00522A3C">
        <w:rPr>
          <w:color w:val="000000"/>
          <w:rtl/>
        </w:rPr>
        <w:t>"</w:t>
      </w:r>
      <w:r w:rsidRPr="00522A3C">
        <w:rPr>
          <w:rFonts w:hint="cs"/>
          <w:color w:val="000000"/>
          <w:rtl/>
        </w:rPr>
        <w:t>ש</w:t>
      </w:r>
      <w:r w:rsidRPr="00522A3C">
        <w:rPr>
          <w:color w:val="000000"/>
          <w:rtl/>
        </w:rPr>
        <w:t>, 28.7.08)</w:t>
      </w:r>
      <w:r w:rsidRPr="00522A3C">
        <w:rPr>
          <w:rFonts w:hint="cs"/>
          <w:color w:val="000000"/>
          <w:rtl/>
        </w:rPr>
        <w:t>.</w:t>
      </w:r>
    </w:p>
  </w:footnote>
  <w:footnote w:id="65">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 xml:space="preserve">בג"ץ 297/82 </w:t>
      </w:r>
      <w:r w:rsidRPr="00522A3C">
        <w:rPr>
          <w:rFonts w:hint="cs"/>
          <w:b/>
          <w:bCs/>
          <w:rtl/>
        </w:rPr>
        <w:t>ברגר נ' שר הפנים</w:t>
      </w:r>
      <w:r w:rsidRPr="00522A3C">
        <w:rPr>
          <w:rFonts w:hint="cs"/>
          <w:rtl/>
        </w:rPr>
        <w:t xml:space="preserve">, פ"ד לז(3) 29 (12.6.83); בג"ץ 8569/96 </w:t>
      </w:r>
      <w:r w:rsidRPr="00522A3C">
        <w:rPr>
          <w:rFonts w:hint="cs"/>
          <w:b/>
          <w:bCs/>
          <w:rtl/>
        </w:rPr>
        <w:t>הסתדרות</w:t>
      </w:r>
      <w:r w:rsidRPr="00522A3C">
        <w:rPr>
          <w:b/>
          <w:bCs/>
          <w:rtl/>
        </w:rPr>
        <w:t xml:space="preserve"> </w:t>
      </w:r>
      <w:r w:rsidRPr="00522A3C">
        <w:rPr>
          <w:rFonts w:hint="cs"/>
          <w:b/>
          <w:bCs/>
          <w:rtl/>
        </w:rPr>
        <w:t>הנוער</w:t>
      </w:r>
      <w:r w:rsidRPr="00522A3C">
        <w:rPr>
          <w:b/>
          <w:bCs/>
          <w:rtl/>
        </w:rPr>
        <w:t xml:space="preserve"> </w:t>
      </w:r>
      <w:r w:rsidRPr="00522A3C">
        <w:rPr>
          <w:rFonts w:hint="cs"/>
          <w:b/>
          <w:bCs/>
          <w:rtl/>
        </w:rPr>
        <w:t>העובד</w:t>
      </w:r>
      <w:r w:rsidRPr="00522A3C">
        <w:rPr>
          <w:b/>
          <w:bCs/>
          <w:rtl/>
        </w:rPr>
        <w:t xml:space="preserve"> </w:t>
      </w:r>
      <w:r w:rsidRPr="00522A3C">
        <w:rPr>
          <w:rFonts w:hint="cs"/>
          <w:b/>
          <w:bCs/>
          <w:rtl/>
        </w:rPr>
        <w:t>והלומד</w:t>
      </w:r>
      <w:r w:rsidRPr="00522A3C">
        <w:rPr>
          <w:b/>
          <w:bCs/>
          <w:rtl/>
        </w:rPr>
        <w:t xml:space="preserve"> </w:t>
      </w:r>
      <w:r w:rsidRPr="00522A3C">
        <w:rPr>
          <w:rFonts w:hint="cs"/>
          <w:b/>
          <w:bCs/>
          <w:rtl/>
        </w:rPr>
        <w:t>נ</w:t>
      </w:r>
      <w:r w:rsidRPr="00522A3C">
        <w:rPr>
          <w:b/>
          <w:bCs/>
          <w:rtl/>
        </w:rPr>
        <w:t xml:space="preserve">' </w:t>
      </w:r>
      <w:r w:rsidRPr="00522A3C">
        <w:rPr>
          <w:rFonts w:hint="cs"/>
          <w:b/>
          <w:bCs/>
          <w:rtl/>
        </w:rPr>
        <w:t>שר</w:t>
      </w:r>
      <w:r w:rsidRPr="00522A3C">
        <w:rPr>
          <w:b/>
          <w:bCs/>
          <w:rtl/>
        </w:rPr>
        <w:t xml:space="preserve"> </w:t>
      </w:r>
      <w:r w:rsidRPr="00522A3C">
        <w:rPr>
          <w:rFonts w:hint="cs"/>
          <w:b/>
          <w:bCs/>
          <w:rtl/>
        </w:rPr>
        <w:t>החינוך</w:t>
      </w:r>
      <w:r w:rsidRPr="00522A3C">
        <w:rPr>
          <w:rFonts w:hint="cs"/>
          <w:rtl/>
        </w:rPr>
        <w:t>, פ"ד נב(1) 597, 620 (8.3.98); בג</w:t>
      </w:r>
      <w:r w:rsidRPr="00522A3C">
        <w:rPr>
          <w:rtl/>
        </w:rPr>
        <w:t>"</w:t>
      </w:r>
      <w:r w:rsidRPr="00522A3C">
        <w:rPr>
          <w:rFonts w:hint="cs"/>
          <w:rtl/>
        </w:rPr>
        <w:t>ץ</w:t>
      </w:r>
      <w:r w:rsidRPr="00522A3C">
        <w:rPr>
          <w:rtl/>
        </w:rPr>
        <w:t xml:space="preserve"> 3975/95 </w:t>
      </w:r>
      <w:r w:rsidRPr="00522A3C">
        <w:rPr>
          <w:rFonts w:hint="cs"/>
          <w:b/>
          <w:bCs/>
          <w:rtl/>
        </w:rPr>
        <w:t>קניאל</w:t>
      </w:r>
      <w:r w:rsidRPr="00522A3C">
        <w:rPr>
          <w:b/>
          <w:bCs/>
          <w:rtl/>
        </w:rPr>
        <w:t xml:space="preserve"> </w:t>
      </w:r>
      <w:r w:rsidRPr="00522A3C">
        <w:rPr>
          <w:rFonts w:hint="cs"/>
          <w:b/>
          <w:bCs/>
          <w:rtl/>
        </w:rPr>
        <w:t>נ</w:t>
      </w:r>
      <w:r w:rsidRPr="00522A3C">
        <w:rPr>
          <w:b/>
          <w:bCs/>
          <w:rtl/>
        </w:rPr>
        <w:t xml:space="preserve">' </w:t>
      </w:r>
      <w:r w:rsidRPr="00522A3C">
        <w:rPr>
          <w:rFonts w:hint="cs"/>
          <w:b/>
          <w:bCs/>
          <w:rtl/>
        </w:rPr>
        <w:t>ממשלת</w:t>
      </w:r>
      <w:r w:rsidRPr="00522A3C">
        <w:rPr>
          <w:b/>
          <w:bCs/>
          <w:rtl/>
        </w:rPr>
        <w:t xml:space="preserve"> </w:t>
      </w:r>
      <w:r w:rsidRPr="00522A3C">
        <w:rPr>
          <w:rFonts w:hint="cs"/>
          <w:b/>
          <w:bCs/>
          <w:rtl/>
        </w:rPr>
        <w:t>ישראל</w:t>
      </w:r>
      <w:r w:rsidRPr="00522A3C">
        <w:rPr>
          <w:rtl/>
        </w:rPr>
        <w:t xml:space="preserve">, </w:t>
      </w:r>
      <w:r w:rsidRPr="00522A3C">
        <w:rPr>
          <w:rFonts w:hint="cs"/>
          <w:rtl/>
        </w:rPr>
        <w:t>פ</w:t>
      </w:r>
      <w:r w:rsidRPr="00522A3C">
        <w:rPr>
          <w:rtl/>
        </w:rPr>
        <w:t>"</w:t>
      </w:r>
      <w:r w:rsidRPr="00522A3C">
        <w:rPr>
          <w:rFonts w:hint="cs"/>
          <w:rtl/>
        </w:rPr>
        <w:t>ד</w:t>
      </w:r>
      <w:r w:rsidRPr="00522A3C">
        <w:rPr>
          <w:rtl/>
        </w:rPr>
        <w:t xml:space="preserve"> </w:t>
      </w:r>
      <w:r w:rsidRPr="00522A3C">
        <w:rPr>
          <w:rFonts w:hint="cs"/>
          <w:rtl/>
        </w:rPr>
        <w:t>נג</w:t>
      </w:r>
      <w:r w:rsidRPr="00522A3C">
        <w:rPr>
          <w:rtl/>
        </w:rPr>
        <w:t>(5) 459, 493</w:t>
      </w:r>
      <w:r w:rsidRPr="00522A3C">
        <w:rPr>
          <w:rFonts w:hint="cs"/>
          <w:rtl/>
        </w:rPr>
        <w:t xml:space="preserve"> (15.11.99).</w:t>
      </w:r>
    </w:p>
  </w:footnote>
  <w:footnote w:id="66">
    <w:p w:rsidR="001C367F" w:rsidRPr="00522A3C" w:rsidRDefault="001C367F" w:rsidP="00582CE6">
      <w:pPr>
        <w:pStyle w:val="FootnoteText"/>
        <w:tabs>
          <w:tab w:val="left" w:pos="7562"/>
        </w:tabs>
        <w:spacing w:before="0" w:line="240" w:lineRule="auto"/>
        <w:rPr>
          <w:rtl/>
        </w:rPr>
      </w:pPr>
      <w:r w:rsidRPr="00522A3C">
        <w:rPr>
          <w:rStyle w:val="FootnoteReference"/>
        </w:rPr>
        <w:footnoteRef/>
      </w:r>
      <w:r w:rsidRPr="00522A3C">
        <w:rPr>
          <w:rtl/>
        </w:rPr>
        <w:t xml:space="preserve"> </w:t>
      </w:r>
      <w:r w:rsidRPr="00522A3C">
        <w:rPr>
          <w:rFonts w:hint="cs"/>
          <w:rtl/>
        </w:rPr>
        <w:t xml:space="preserve">בג"ץ 987/94 </w:t>
      </w:r>
      <w:r w:rsidRPr="00522A3C">
        <w:rPr>
          <w:rFonts w:hint="cs"/>
          <w:b/>
          <w:bCs/>
          <w:rtl/>
        </w:rPr>
        <w:t>יורונט</w:t>
      </w:r>
      <w:r w:rsidRPr="00522A3C">
        <w:rPr>
          <w:b/>
          <w:bCs/>
          <w:rtl/>
        </w:rPr>
        <w:t xml:space="preserve"> </w:t>
      </w:r>
      <w:r w:rsidRPr="00522A3C">
        <w:rPr>
          <w:rFonts w:hint="cs"/>
          <w:b/>
          <w:bCs/>
          <w:rtl/>
        </w:rPr>
        <w:t>קווי</w:t>
      </w:r>
      <w:r w:rsidRPr="00522A3C">
        <w:rPr>
          <w:b/>
          <w:bCs/>
          <w:rtl/>
        </w:rPr>
        <w:t xml:space="preserve"> </w:t>
      </w:r>
      <w:r w:rsidRPr="00522A3C">
        <w:rPr>
          <w:rFonts w:hint="cs"/>
          <w:b/>
          <w:bCs/>
          <w:rtl/>
        </w:rPr>
        <w:t>זהב</w:t>
      </w:r>
      <w:r w:rsidRPr="00522A3C">
        <w:rPr>
          <w:b/>
          <w:bCs/>
          <w:rtl/>
        </w:rPr>
        <w:t xml:space="preserve"> (1992) </w:t>
      </w:r>
      <w:r w:rsidRPr="00522A3C">
        <w:rPr>
          <w:rFonts w:hint="cs"/>
          <w:b/>
          <w:bCs/>
          <w:rtl/>
        </w:rPr>
        <w:t>בע</w:t>
      </w:r>
      <w:r w:rsidRPr="00522A3C">
        <w:rPr>
          <w:b/>
          <w:bCs/>
          <w:rtl/>
        </w:rPr>
        <w:t>"</w:t>
      </w:r>
      <w:r w:rsidRPr="00522A3C">
        <w:rPr>
          <w:rFonts w:hint="cs"/>
          <w:b/>
          <w:bCs/>
          <w:rtl/>
        </w:rPr>
        <w:t>מ</w:t>
      </w:r>
      <w:r w:rsidRPr="00522A3C">
        <w:rPr>
          <w:b/>
          <w:bCs/>
          <w:rtl/>
        </w:rPr>
        <w:t xml:space="preserve"> </w:t>
      </w:r>
      <w:r w:rsidRPr="00522A3C">
        <w:rPr>
          <w:rFonts w:hint="cs"/>
          <w:b/>
          <w:bCs/>
          <w:rtl/>
        </w:rPr>
        <w:t>ואח</w:t>
      </w:r>
      <w:r w:rsidRPr="00522A3C">
        <w:rPr>
          <w:b/>
          <w:bCs/>
          <w:rtl/>
        </w:rPr>
        <w:t xml:space="preserve">' </w:t>
      </w:r>
      <w:r w:rsidRPr="00522A3C">
        <w:rPr>
          <w:rFonts w:hint="cs"/>
          <w:b/>
          <w:bCs/>
          <w:rtl/>
        </w:rPr>
        <w:t>נ</w:t>
      </w:r>
      <w:r w:rsidRPr="00522A3C">
        <w:rPr>
          <w:b/>
          <w:bCs/>
          <w:rtl/>
        </w:rPr>
        <w:t xml:space="preserve">' </w:t>
      </w:r>
      <w:r w:rsidRPr="00522A3C">
        <w:rPr>
          <w:rFonts w:hint="cs"/>
          <w:b/>
          <w:bCs/>
          <w:rtl/>
        </w:rPr>
        <w:t>שרת</w:t>
      </w:r>
      <w:r w:rsidRPr="00522A3C">
        <w:rPr>
          <w:b/>
          <w:bCs/>
          <w:rtl/>
        </w:rPr>
        <w:t xml:space="preserve"> </w:t>
      </w:r>
      <w:r w:rsidRPr="00522A3C">
        <w:rPr>
          <w:rFonts w:hint="cs"/>
          <w:b/>
          <w:bCs/>
          <w:rtl/>
        </w:rPr>
        <w:t>התקשורת</w:t>
      </w:r>
      <w:r w:rsidRPr="00522A3C">
        <w:rPr>
          <w:rFonts w:hint="cs"/>
          <w:rtl/>
        </w:rPr>
        <w:t>, פ"ד מח(5) 412, פס' 11 לפסק הדין (16.11.94).</w:t>
      </w:r>
    </w:p>
  </w:footnote>
  <w:footnote w:id="67">
    <w:p w:rsidR="001C367F" w:rsidRPr="00522A3C" w:rsidRDefault="001C367F" w:rsidP="00582CE6">
      <w:pPr>
        <w:pStyle w:val="FootnoteText"/>
        <w:spacing w:before="0" w:line="240" w:lineRule="auto"/>
      </w:pPr>
      <w:r w:rsidRPr="00522A3C">
        <w:rPr>
          <w:rStyle w:val="FootnoteReference"/>
        </w:rPr>
        <w:footnoteRef/>
      </w:r>
      <w:r w:rsidRPr="00522A3C">
        <w:rPr>
          <w:rtl/>
        </w:rPr>
        <w:t xml:space="preserve"> </w:t>
      </w:r>
      <w:r w:rsidRPr="00522A3C">
        <w:rPr>
          <w:rFonts w:hint="cs"/>
          <w:rtl/>
        </w:rPr>
        <w:t>דפנה</w:t>
      </w:r>
      <w:r w:rsidRPr="00522A3C">
        <w:rPr>
          <w:rtl/>
        </w:rPr>
        <w:t xml:space="preserve"> </w:t>
      </w:r>
      <w:r w:rsidRPr="00522A3C">
        <w:rPr>
          <w:rFonts w:hint="cs"/>
          <w:rtl/>
        </w:rPr>
        <w:t>ברק</w:t>
      </w:r>
      <w:r w:rsidRPr="00522A3C">
        <w:rPr>
          <w:rtl/>
        </w:rPr>
        <w:t>-</w:t>
      </w:r>
      <w:r w:rsidRPr="00522A3C">
        <w:rPr>
          <w:rFonts w:hint="cs"/>
          <w:rtl/>
        </w:rPr>
        <w:t>ארז</w:t>
      </w:r>
      <w:r w:rsidRPr="00522A3C">
        <w:rPr>
          <w:rtl/>
        </w:rPr>
        <w:t xml:space="preserve"> </w:t>
      </w:r>
      <w:r w:rsidRPr="00522A3C">
        <w:rPr>
          <w:rFonts w:hint="cs"/>
          <w:b/>
          <w:bCs/>
          <w:rtl/>
        </w:rPr>
        <w:t>משפט</w:t>
      </w:r>
      <w:r w:rsidRPr="00522A3C">
        <w:rPr>
          <w:b/>
          <w:bCs/>
          <w:rtl/>
        </w:rPr>
        <w:t xml:space="preserve"> </w:t>
      </w:r>
      <w:r w:rsidRPr="00522A3C">
        <w:rPr>
          <w:rFonts w:hint="cs"/>
          <w:b/>
          <w:bCs/>
          <w:rtl/>
        </w:rPr>
        <w:t>מינהלי</w:t>
      </w:r>
      <w:r w:rsidRPr="00522A3C">
        <w:rPr>
          <w:rtl/>
        </w:rPr>
        <w:t xml:space="preserve"> </w:t>
      </w:r>
      <w:r w:rsidRPr="00522A3C">
        <w:rPr>
          <w:rFonts w:hint="cs"/>
          <w:rtl/>
        </w:rPr>
        <w:t>כרך</w:t>
      </w:r>
      <w:r w:rsidRPr="00522A3C">
        <w:rPr>
          <w:rtl/>
        </w:rPr>
        <w:t xml:space="preserve"> </w:t>
      </w:r>
      <w:r w:rsidRPr="00522A3C">
        <w:rPr>
          <w:rFonts w:hint="cs"/>
          <w:rtl/>
        </w:rPr>
        <w:t>א</w:t>
      </w:r>
      <w:r w:rsidRPr="00522A3C">
        <w:rPr>
          <w:rtl/>
        </w:rPr>
        <w:t>' 44</w:t>
      </w:r>
      <w:r w:rsidRPr="00522A3C">
        <w:rPr>
          <w:rFonts w:hint="cs"/>
          <w:rtl/>
        </w:rPr>
        <w:t xml:space="preserve">4 </w:t>
      </w:r>
      <w:r w:rsidRPr="00522A3C">
        <w:rPr>
          <w:rtl/>
        </w:rPr>
        <w:t>(2010)</w:t>
      </w:r>
      <w:r w:rsidRPr="00522A3C">
        <w:rPr>
          <w:rFonts w:hint="cs"/>
          <w:rtl/>
        </w:rPr>
        <w:t xml:space="preserve">; בג"צ 164/97 </w:t>
      </w:r>
      <w:r w:rsidRPr="00522A3C">
        <w:rPr>
          <w:rFonts w:hint="cs"/>
          <w:b/>
          <w:bCs/>
          <w:rtl/>
        </w:rPr>
        <w:t>קונטרם</w:t>
      </w:r>
      <w:r w:rsidRPr="00522A3C">
        <w:rPr>
          <w:b/>
          <w:bCs/>
          <w:rtl/>
        </w:rPr>
        <w:t xml:space="preserve"> </w:t>
      </w:r>
      <w:r w:rsidRPr="00522A3C">
        <w:rPr>
          <w:rFonts w:hint="cs"/>
          <w:b/>
          <w:bCs/>
          <w:rtl/>
        </w:rPr>
        <w:t>בע</w:t>
      </w:r>
      <w:r w:rsidRPr="00522A3C">
        <w:rPr>
          <w:b/>
          <w:bCs/>
          <w:rtl/>
        </w:rPr>
        <w:t>"</w:t>
      </w:r>
      <w:r w:rsidRPr="00522A3C">
        <w:rPr>
          <w:rFonts w:hint="cs"/>
          <w:b/>
          <w:bCs/>
          <w:rtl/>
        </w:rPr>
        <w:t>מ</w:t>
      </w:r>
      <w:r w:rsidRPr="00522A3C">
        <w:rPr>
          <w:b/>
          <w:bCs/>
          <w:rtl/>
        </w:rPr>
        <w:t xml:space="preserve"> </w:t>
      </w:r>
      <w:r w:rsidRPr="00522A3C">
        <w:rPr>
          <w:rFonts w:hint="cs"/>
          <w:b/>
          <w:bCs/>
          <w:rtl/>
        </w:rPr>
        <w:t>נ</w:t>
      </w:r>
      <w:r w:rsidRPr="00522A3C">
        <w:rPr>
          <w:b/>
          <w:bCs/>
          <w:rtl/>
        </w:rPr>
        <w:t xml:space="preserve">' </w:t>
      </w:r>
      <w:r w:rsidRPr="00522A3C">
        <w:rPr>
          <w:rFonts w:hint="cs"/>
          <w:b/>
          <w:bCs/>
          <w:rtl/>
        </w:rPr>
        <w:t>משרד</w:t>
      </w:r>
      <w:r w:rsidRPr="00522A3C">
        <w:rPr>
          <w:b/>
          <w:bCs/>
          <w:rtl/>
        </w:rPr>
        <w:t xml:space="preserve"> </w:t>
      </w:r>
      <w:r w:rsidRPr="00522A3C">
        <w:rPr>
          <w:rFonts w:hint="cs"/>
          <w:b/>
          <w:bCs/>
          <w:rtl/>
        </w:rPr>
        <w:t>האוצר</w:t>
      </w:r>
      <w:r w:rsidRPr="00522A3C">
        <w:rPr>
          <w:b/>
          <w:bCs/>
          <w:rtl/>
        </w:rPr>
        <w:t xml:space="preserve">, </w:t>
      </w:r>
      <w:r w:rsidRPr="00522A3C">
        <w:rPr>
          <w:rFonts w:hint="cs"/>
          <w:b/>
          <w:bCs/>
          <w:rtl/>
        </w:rPr>
        <w:t>אגף</w:t>
      </w:r>
      <w:r w:rsidRPr="00522A3C">
        <w:rPr>
          <w:b/>
          <w:bCs/>
          <w:rtl/>
        </w:rPr>
        <w:t xml:space="preserve"> </w:t>
      </w:r>
      <w:r w:rsidRPr="00522A3C">
        <w:rPr>
          <w:rFonts w:hint="cs"/>
          <w:b/>
          <w:bCs/>
          <w:rtl/>
        </w:rPr>
        <w:t>המכס</w:t>
      </w:r>
      <w:r w:rsidRPr="00522A3C">
        <w:rPr>
          <w:b/>
          <w:bCs/>
          <w:rtl/>
        </w:rPr>
        <w:t xml:space="preserve"> </w:t>
      </w:r>
      <w:r w:rsidRPr="00522A3C">
        <w:rPr>
          <w:rFonts w:hint="cs"/>
          <w:b/>
          <w:bCs/>
          <w:rtl/>
        </w:rPr>
        <w:t>והמע</w:t>
      </w:r>
      <w:r w:rsidRPr="00522A3C">
        <w:rPr>
          <w:b/>
          <w:bCs/>
          <w:rtl/>
        </w:rPr>
        <w:t>"</w:t>
      </w:r>
      <w:r w:rsidRPr="00522A3C">
        <w:rPr>
          <w:rFonts w:hint="cs"/>
          <w:b/>
          <w:bCs/>
          <w:rtl/>
        </w:rPr>
        <w:t>מ</w:t>
      </w:r>
      <w:r w:rsidRPr="00522A3C">
        <w:rPr>
          <w:b/>
          <w:bCs/>
          <w:rtl/>
        </w:rPr>
        <w:t xml:space="preserve"> </w:t>
      </w:r>
      <w:r w:rsidRPr="00522A3C">
        <w:rPr>
          <w:rFonts w:hint="cs"/>
          <w:b/>
          <w:bCs/>
          <w:rtl/>
        </w:rPr>
        <w:t>ואח</w:t>
      </w:r>
      <w:r w:rsidRPr="00522A3C">
        <w:rPr>
          <w:b/>
          <w:bCs/>
          <w:rtl/>
        </w:rPr>
        <w:t>'</w:t>
      </w:r>
      <w:r w:rsidRPr="00522A3C">
        <w:rPr>
          <w:rFonts w:hint="cs"/>
          <w:rtl/>
        </w:rPr>
        <w:t>, פ"ד נב(1), 289, בעמ' 331 (4.2.98).</w:t>
      </w:r>
    </w:p>
  </w:footnote>
  <w:footnote w:id="68">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בג</w:t>
      </w:r>
      <w:r w:rsidRPr="00522A3C">
        <w:rPr>
          <w:rtl/>
        </w:rPr>
        <w:t>"</w:t>
      </w:r>
      <w:r w:rsidRPr="00522A3C">
        <w:rPr>
          <w:rFonts w:hint="cs"/>
          <w:rtl/>
        </w:rPr>
        <w:t>צ</w:t>
      </w:r>
      <w:r w:rsidRPr="00522A3C">
        <w:rPr>
          <w:rtl/>
        </w:rPr>
        <w:t xml:space="preserve"> 442/71 </w:t>
      </w:r>
      <w:r w:rsidRPr="00522A3C">
        <w:rPr>
          <w:rFonts w:hint="cs"/>
          <w:b/>
          <w:bCs/>
          <w:rtl/>
        </w:rPr>
        <w:t>לנסקי</w:t>
      </w:r>
      <w:r w:rsidRPr="00522A3C">
        <w:rPr>
          <w:b/>
          <w:bCs/>
          <w:rtl/>
        </w:rPr>
        <w:t xml:space="preserve"> </w:t>
      </w:r>
      <w:r w:rsidRPr="00522A3C">
        <w:rPr>
          <w:rFonts w:hint="cs"/>
          <w:b/>
          <w:bCs/>
          <w:rtl/>
        </w:rPr>
        <w:t>נ</w:t>
      </w:r>
      <w:r w:rsidRPr="00522A3C">
        <w:rPr>
          <w:b/>
          <w:bCs/>
          <w:rtl/>
        </w:rPr>
        <w:t xml:space="preserve">' </w:t>
      </w:r>
      <w:r w:rsidRPr="00522A3C">
        <w:rPr>
          <w:rFonts w:hint="cs"/>
          <w:b/>
          <w:bCs/>
          <w:rtl/>
        </w:rPr>
        <w:t>שר</w:t>
      </w:r>
      <w:r w:rsidRPr="00522A3C">
        <w:rPr>
          <w:b/>
          <w:bCs/>
          <w:rtl/>
        </w:rPr>
        <w:t xml:space="preserve"> </w:t>
      </w:r>
      <w:r w:rsidRPr="00522A3C">
        <w:rPr>
          <w:rFonts w:hint="cs"/>
          <w:b/>
          <w:bCs/>
          <w:rtl/>
        </w:rPr>
        <w:t>הפנים</w:t>
      </w:r>
      <w:r w:rsidRPr="00522A3C">
        <w:rPr>
          <w:rtl/>
        </w:rPr>
        <w:t xml:space="preserve">, </w:t>
      </w:r>
      <w:r w:rsidRPr="00522A3C">
        <w:rPr>
          <w:rFonts w:hint="cs"/>
          <w:rtl/>
        </w:rPr>
        <w:t>פ</w:t>
      </w:r>
      <w:r w:rsidRPr="00522A3C">
        <w:rPr>
          <w:rtl/>
        </w:rPr>
        <w:t>"</w:t>
      </w:r>
      <w:r w:rsidRPr="00522A3C">
        <w:rPr>
          <w:rFonts w:hint="cs"/>
          <w:rtl/>
        </w:rPr>
        <w:t>ד</w:t>
      </w:r>
      <w:r w:rsidRPr="00522A3C">
        <w:rPr>
          <w:rtl/>
        </w:rPr>
        <w:t xml:space="preserve"> </w:t>
      </w:r>
      <w:r w:rsidRPr="00522A3C">
        <w:rPr>
          <w:rFonts w:hint="cs"/>
          <w:rtl/>
        </w:rPr>
        <w:t>כו</w:t>
      </w:r>
      <w:r w:rsidRPr="00522A3C">
        <w:rPr>
          <w:rtl/>
        </w:rPr>
        <w:t>(2) 337, 357</w:t>
      </w:r>
      <w:r w:rsidRPr="00522A3C">
        <w:rPr>
          <w:rFonts w:hint="cs"/>
          <w:rtl/>
        </w:rPr>
        <w:t xml:space="preserve"> (11.9.72).</w:t>
      </w:r>
    </w:p>
  </w:footnote>
  <w:footnote w:id="69">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ראו למשל: ד</w:t>
      </w:r>
      <w:r w:rsidRPr="00522A3C">
        <w:rPr>
          <w:rtl/>
        </w:rPr>
        <w:t xml:space="preserve">נג"ץ 4128/00 </w:t>
      </w:r>
      <w:r w:rsidRPr="00522A3C">
        <w:rPr>
          <w:b/>
          <w:bCs/>
          <w:rtl/>
        </w:rPr>
        <w:t>מנכ"ל משרד ראש-הממשלה נ' ענת הופמן</w:t>
      </w:r>
      <w:r w:rsidRPr="00522A3C">
        <w:rPr>
          <w:rtl/>
        </w:rPr>
        <w:t>, נז(3) 289</w:t>
      </w:r>
      <w:r w:rsidRPr="00522A3C">
        <w:rPr>
          <w:rFonts w:hint="cs"/>
          <w:rtl/>
        </w:rPr>
        <w:t>, בעמ' 325-324</w:t>
      </w:r>
      <w:r w:rsidRPr="00522A3C">
        <w:rPr>
          <w:rtl/>
        </w:rPr>
        <w:t xml:space="preserve"> (2003)</w:t>
      </w:r>
      <w:r w:rsidRPr="00522A3C">
        <w:rPr>
          <w:rFonts w:hint="cs"/>
          <w:rtl/>
        </w:rPr>
        <w:t xml:space="preserve">; יצחק זמיר </w:t>
      </w:r>
      <w:r w:rsidRPr="00522A3C">
        <w:rPr>
          <w:rFonts w:hint="cs"/>
          <w:b/>
          <w:bCs/>
          <w:rtl/>
        </w:rPr>
        <w:t>הסמכות המינהלית</w:t>
      </w:r>
      <w:r w:rsidRPr="00522A3C">
        <w:rPr>
          <w:rFonts w:hint="cs"/>
          <w:rtl/>
        </w:rPr>
        <w:t xml:space="preserve"> כרך ב  1136-1135 (מהדורה שנייה, 2010).</w:t>
      </w:r>
    </w:p>
  </w:footnote>
  <w:footnote w:id="70">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t>Council Regulation 1/2003, art. 23(2), 2002 O.J. (L. 1) 1-25 (EC) on the  implementation of the rules on competition laid down in Articles 81 and 82 of the Treaty Regulation on Procedure</w:t>
      </w:r>
      <w:r w:rsidRPr="00522A3C">
        <w:rPr>
          <w:rFonts w:hint="cs"/>
          <w:rtl/>
        </w:rPr>
        <w:t>.</w:t>
      </w:r>
    </w:p>
  </w:footnote>
  <w:footnote w:id="71">
    <w:p w:rsidR="001C367F" w:rsidRPr="00522A3C" w:rsidRDefault="001C367F" w:rsidP="00582CE6">
      <w:pPr>
        <w:pStyle w:val="FootnoteText"/>
        <w:spacing w:before="0" w:line="240" w:lineRule="auto"/>
      </w:pPr>
      <w:r w:rsidRPr="00522A3C">
        <w:rPr>
          <w:rStyle w:val="FootnoteReference"/>
        </w:rPr>
        <w:footnoteRef/>
      </w:r>
      <w:r w:rsidRPr="00522A3C">
        <w:rPr>
          <w:rtl/>
        </w:rPr>
        <w:t xml:space="preserve"> </w:t>
      </w:r>
      <w:r w:rsidRPr="00522A3C">
        <w:rPr>
          <w:rFonts w:hint="cs"/>
          <w:rtl/>
        </w:rPr>
        <w:t xml:space="preserve">ראו: אורי שוורץ "וכל האוכף הרי זה משובח </w:t>
      </w:r>
      <w:r w:rsidRPr="00522A3C">
        <w:rPr>
          <w:rtl/>
        </w:rPr>
        <w:t>–</w:t>
      </w:r>
      <w:r w:rsidRPr="00522A3C">
        <w:rPr>
          <w:rFonts w:hint="cs"/>
          <w:rtl/>
        </w:rPr>
        <w:t xml:space="preserve"> עידן חדש באכיפת דיני ההגבלים העסקיים" </w:t>
      </w:r>
      <w:r w:rsidRPr="00522A3C">
        <w:rPr>
          <w:rFonts w:hint="cs"/>
          <w:b/>
          <w:bCs/>
          <w:rtl/>
        </w:rPr>
        <w:t xml:space="preserve">תאגידים </w:t>
      </w:r>
      <w:r w:rsidRPr="00522A3C">
        <w:rPr>
          <w:rFonts w:hint="cs"/>
          <w:rtl/>
        </w:rPr>
        <w:t>ט/4 110 (2012).</w:t>
      </w:r>
    </w:p>
  </w:footnote>
  <w:footnote w:id="72">
    <w:p w:rsidR="001C367F" w:rsidRPr="00522A3C" w:rsidRDefault="001C367F" w:rsidP="00582CE6">
      <w:pPr>
        <w:pStyle w:val="FootnoteText"/>
        <w:spacing w:before="0" w:line="240" w:lineRule="auto"/>
        <w:rPr>
          <w:color w:val="000000"/>
          <w:rtl/>
        </w:rPr>
      </w:pPr>
      <w:r w:rsidRPr="00522A3C">
        <w:rPr>
          <w:rStyle w:val="FootnoteReference"/>
        </w:rPr>
        <w:footnoteRef/>
      </w:r>
      <w:r w:rsidRPr="00522A3C">
        <w:rPr>
          <w:rtl/>
        </w:rPr>
        <w:t xml:space="preserve"> </w:t>
      </w:r>
      <w:r w:rsidRPr="00522A3C">
        <w:rPr>
          <w:rFonts w:hint="cs"/>
          <w:rtl/>
        </w:rPr>
        <w:t>ע"פ</w:t>
      </w:r>
      <w:r w:rsidRPr="00522A3C">
        <w:rPr>
          <w:rFonts w:hint="cs"/>
          <w:b/>
          <w:bCs/>
          <w:rtl/>
        </w:rPr>
        <w:t xml:space="preserve"> 845/02 מדינת ישראל נ' תנובה </w:t>
      </w:r>
      <w:r w:rsidRPr="00522A3C">
        <w:rPr>
          <w:b/>
          <w:bCs/>
          <w:rtl/>
        </w:rPr>
        <w:t>מרכז שיתופי לשיווק תוצרת חקלאית לי</w:t>
      </w:r>
      <w:r w:rsidRPr="00522A3C">
        <w:rPr>
          <w:rFonts w:hint="cs"/>
          <w:b/>
          <w:bCs/>
          <w:rtl/>
        </w:rPr>
        <w:t>שראל בע"מ</w:t>
      </w:r>
      <w:r w:rsidRPr="00522A3C">
        <w:rPr>
          <w:rFonts w:hint="cs"/>
          <w:rtl/>
        </w:rPr>
        <w:t xml:space="preserve">, פס' 34 לפסק הדין (פורסם בנבו, 10.10.2007); עפ 1672/06 </w:t>
      </w:r>
      <w:r w:rsidRPr="00522A3C">
        <w:rPr>
          <w:rFonts w:hint="cs"/>
          <w:b/>
          <w:bCs/>
          <w:rtl/>
        </w:rPr>
        <w:t>אברהם בלילי נ' מדינת ישראל-הרשות להגבלים עסקיים</w:t>
      </w:r>
      <w:r w:rsidRPr="00522A3C">
        <w:rPr>
          <w:rFonts w:hint="cs"/>
          <w:rtl/>
        </w:rPr>
        <w:t>, פס' 13-12 לפסק הדין</w:t>
      </w:r>
      <w:r w:rsidRPr="00522A3C">
        <w:rPr>
          <w:color w:val="000000"/>
        </w:rPr>
        <w:t xml:space="preserve"> </w:t>
      </w:r>
      <w:r w:rsidRPr="00522A3C">
        <w:rPr>
          <w:rFonts w:hint="cs"/>
          <w:rtl/>
        </w:rPr>
        <w:t>(פורסם בנבו, 10.3.2208)</w:t>
      </w:r>
      <w:r w:rsidRPr="00522A3C">
        <w:rPr>
          <w:rFonts w:hint="cs"/>
          <w:color w:val="000000"/>
          <w:rtl/>
        </w:rPr>
        <w:t>.</w:t>
      </w:r>
    </w:p>
  </w:footnote>
  <w:footnote w:id="73">
    <w:p w:rsidR="001C367F" w:rsidRPr="00522A3C" w:rsidRDefault="001C367F" w:rsidP="00582CE6">
      <w:pPr>
        <w:pStyle w:val="FootnoteText"/>
        <w:spacing w:before="0" w:line="240" w:lineRule="auto"/>
      </w:pPr>
      <w:r w:rsidRPr="00522A3C">
        <w:rPr>
          <w:rStyle w:val="FootnoteReference"/>
        </w:rPr>
        <w:footnoteRef/>
      </w:r>
      <w:r w:rsidRPr="00522A3C">
        <w:rPr>
          <w:rtl/>
        </w:rPr>
        <w:t xml:space="preserve"> </w:t>
      </w:r>
      <w:r w:rsidRPr="00522A3C">
        <w:rPr>
          <w:rFonts w:hint="cs"/>
          <w:rtl/>
        </w:rPr>
        <w:t xml:space="preserve">ר' גם </w:t>
      </w:r>
      <w:r w:rsidRPr="00522A3C">
        <w:rPr>
          <w:rFonts w:hint="cs"/>
          <w:b/>
          <w:bCs/>
          <w:rtl/>
        </w:rPr>
        <w:t>עניין נטו</w:t>
      </w:r>
      <w:r w:rsidRPr="00522A3C">
        <w:rPr>
          <w:rFonts w:hint="cs"/>
          <w:rtl/>
        </w:rPr>
        <w:t xml:space="preserve">, לעיל ה"ש </w:t>
      </w:r>
      <w:r w:rsidRPr="00522A3C">
        <w:rPr>
          <w:rtl/>
        </w:rPr>
        <w:fldChar w:fldCharType="begin"/>
      </w:r>
      <w:r w:rsidRPr="00522A3C">
        <w:rPr>
          <w:rtl/>
        </w:rPr>
        <w:instrText xml:space="preserve"> </w:instrText>
      </w:r>
      <w:r w:rsidRPr="00522A3C">
        <w:rPr>
          <w:rFonts w:hint="cs"/>
        </w:rPr>
        <w:instrText>NOTEREF</w:instrText>
      </w:r>
      <w:r w:rsidRPr="00522A3C">
        <w:rPr>
          <w:rFonts w:hint="cs"/>
          <w:rtl/>
        </w:rPr>
        <w:instrText xml:space="preserve"> _</w:instrText>
      </w:r>
      <w:r w:rsidRPr="00522A3C">
        <w:rPr>
          <w:rFonts w:hint="cs"/>
        </w:rPr>
        <w:instrText>Ref476486796 \h</w:instrText>
      </w:r>
      <w:r w:rsidRPr="00522A3C">
        <w:rPr>
          <w:rtl/>
        </w:rPr>
        <w:instrText xml:space="preserve"> </w:instrText>
      </w:r>
      <w:r>
        <w:rPr>
          <w:rtl/>
        </w:rPr>
        <w:instrText xml:space="preserve"> \* </w:instrText>
      </w:r>
      <w:r>
        <w:instrText>MERGEFORMAT</w:instrText>
      </w:r>
      <w:r>
        <w:rPr>
          <w:rtl/>
        </w:rPr>
        <w:instrText xml:space="preserve"> </w:instrText>
      </w:r>
      <w:r w:rsidRPr="00522A3C">
        <w:rPr>
          <w:rtl/>
        </w:rPr>
      </w:r>
      <w:r w:rsidRPr="00522A3C">
        <w:rPr>
          <w:rtl/>
        </w:rPr>
        <w:fldChar w:fldCharType="separate"/>
      </w:r>
      <w:r>
        <w:rPr>
          <w:rtl/>
        </w:rPr>
        <w:t>60</w:t>
      </w:r>
      <w:r w:rsidRPr="00522A3C">
        <w:rPr>
          <w:rtl/>
        </w:rPr>
        <w:fldChar w:fldCharType="end"/>
      </w:r>
      <w:r w:rsidRPr="00522A3C">
        <w:rPr>
          <w:rFonts w:hint="cs"/>
          <w:rtl/>
        </w:rPr>
        <w:t>, פס' י'.</w:t>
      </w:r>
    </w:p>
  </w:footnote>
  <w:footnote w:id="74">
    <w:p w:rsidR="001C367F" w:rsidRPr="00522A3C" w:rsidRDefault="001C367F" w:rsidP="00582CE6">
      <w:pPr>
        <w:pStyle w:val="FootnoteText"/>
        <w:spacing w:before="0" w:line="240" w:lineRule="auto"/>
        <w:rPr>
          <w:rtl/>
        </w:rPr>
      </w:pPr>
      <w:r w:rsidRPr="00522A3C">
        <w:rPr>
          <w:rStyle w:val="FootnoteReference"/>
        </w:rPr>
        <w:footnoteRef/>
      </w:r>
      <w:r w:rsidRPr="00522A3C">
        <w:rPr>
          <w:rtl/>
        </w:rPr>
        <w:t xml:space="preserve"> </w:t>
      </w:r>
      <w:r w:rsidRPr="00522A3C">
        <w:rPr>
          <w:rFonts w:hint="cs"/>
          <w:rtl/>
        </w:rPr>
        <w:t xml:space="preserve">עת"מ (י-ם) 1092/09 </w:t>
      </w:r>
      <w:r w:rsidRPr="00522A3C">
        <w:rPr>
          <w:rFonts w:hint="cs"/>
          <w:b/>
          <w:bCs/>
          <w:rtl/>
        </w:rPr>
        <w:t>קבוצת ברן בע"מ נ' רשות לניירות ערך</w:t>
      </w:r>
      <w:r w:rsidRPr="00522A3C">
        <w:rPr>
          <w:rFonts w:hint="cs"/>
          <w:rtl/>
        </w:rPr>
        <w:t xml:space="preserve">, בעמ' 7-6 (פורסם בנבו, 28.07.2009).ראו גם: בש"א (ת"א) 179448/06 </w:t>
      </w:r>
      <w:r w:rsidRPr="00522A3C">
        <w:rPr>
          <w:rFonts w:hint="cs"/>
          <w:b/>
          <w:bCs/>
          <w:rtl/>
        </w:rPr>
        <w:t>הפניקס חברה לביטוח נ' הממונה על שוק ההון</w:t>
      </w:r>
      <w:r w:rsidRPr="00522A3C">
        <w:rPr>
          <w:rFonts w:hint="cs"/>
          <w:rtl/>
        </w:rPr>
        <w:t xml:space="preserve">, פס' 40 לפסק הדין (פורסם נבו, 30.4.09), וכן ו"ע (רמלה) 1/07 </w:t>
      </w:r>
      <w:r w:rsidRPr="00522A3C">
        <w:rPr>
          <w:rFonts w:hint="cs"/>
          <w:b/>
          <w:bCs/>
          <w:rtl/>
        </w:rPr>
        <w:t>חאז' נ' גבאי רפאל מנהל בית המכס</w:t>
      </w:r>
      <w:r w:rsidRPr="00522A3C">
        <w:rPr>
          <w:rFonts w:hint="cs"/>
          <w:rtl/>
        </w:rPr>
        <w:t xml:space="preserve">, בעמ' 8 (פורסם נבו, 8.6.08). </w:t>
      </w:r>
    </w:p>
    <w:p w:rsidR="001C367F" w:rsidRPr="00522A3C" w:rsidRDefault="001C367F" w:rsidP="00582CE6">
      <w:pPr>
        <w:pStyle w:val="FootnoteText"/>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67F" w:rsidRDefault="001C367F">
    <w:pPr>
      <w:pStyle w:val="Head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1C367F" w:rsidRDefault="001C367F">
    <w:pPr>
      <w:pStyle w:val="Header"/>
      <w:rPr>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67F" w:rsidRDefault="001C367F">
    <w:pPr>
      <w:pStyle w:val="Header"/>
      <w:framePr w:wrap="around" w:vAnchor="text" w:hAnchor="margin" w:xAlign="center" w:y="1"/>
      <w:rPr>
        <w:rStyle w:val="PageNumber"/>
        <w:rtl/>
      </w:rPr>
    </w:pPr>
  </w:p>
  <w:p w:rsidR="001C367F" w:rsidRDefault="001C367F" w:rsidP="0074080D">
    <w:pPr>
      <w:jc w:val="center"/>
      <w:rPr>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67F" w:rsidRDefault="001C367F" w:rsidP="00BB50BA">
    <w:pPr>
      <w:pStyle w:val="Header"/>
      <w:jc w:val="center"/>
      <w:rPr>
        <w:rtl/>
      </w:rPr>
    </w:pPr>
    <w:r>
      <w:rPr>
        <w:noProof/>
        <w:lang w:eastAsia="en-US"/>
      </w:rPr>
      <w:drawing>
        <wp:inline distT="0" distB="0" distL="0" distR="0">
          <wp:extent cx="533400" cy="847725"/>
          <wp:effectExtent l="0" t="0" r="0" b="9525"/>
          <wp:docPr id="1" name="תמונה 2" descr="cid:image003.png@01CE8612.6B34F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cid:image003.png@01CE8612.6B34F89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33400" cy="8477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2873"/>
    <w:multiLevelType w:val="hybridMultilevel"/>
    <w:tmpl w:val="811A643C"/>
    <w:lvl w:ilvl="0" w:tplc="F2A42D7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370B47"/>
    <w:multiLevelType w:val="multilevel"/>
    <w:tmpl w:val="87FC702E"/>
    <w:lvl w:ilvl="0">
      <w:start w:val="1"/>
      <w:numFmt w:val="hebrew1"/>
      <w:lvlText w:val="%1."/>
      <w:lvlJc w:val="center"/>
      <w:pPr>
        <w:ind w:left="360" w:hanging="360"/>
      </w:pPr>
      <w:rPr>
        <w:rFonts w:hint="default"/>
      </w:rPr>
    </w:lvl>
    <w:lvl w:ilvl="1">
      <w:start w:val="1"/>
      <w:numFmt w:val="decimal"/>
      <w:lvlText w:val="ב.%2."/>
      <w:lvlJc w:val="center"/>
      <w:pPr>
        <w:ind w:left="720" w:hanging="360"/>
      </w:pPr>
      <w:rPr>
        <w:rFonts w:hint="default"/>
      </w:rPr>
    </w:lvl>
    <w:lvl w:ilvl="2">
      <w:start w:val="1"/>
      <w:numFmt w:val="hebrew1"/>
      <w:lvlText w:val="%1.%2.%3."/>
      <w:lvlJc w:val="center"/>
      <w:pPr>
        <w:ind w:left="1080" w:hanging="360"/>
      </w:pPr>
      <w:rPr>
        <w:rFonts w:hint="default"/>
      </w:rPr>
    </w:lvl>
    <w:lvl w:ilvl="3">
      <w:start w:val="1"/>
      <w:numFmt w:val="decimal"/>
      <w:lvlText w:val="%1.%2.%3.%4."/>
      <w:lvlJc w:val="center"/>
      <w:pPr>
        <w:ind w:left="1440" w:hanging="360"/>
      </w:pPr>
      <w:rPr>
        <w:rFonts w:hint="default"/>
      </w:rPr>
    </w:lvl>
    <w:lvl w:ilvl="4">
      <w:start w:val="1"/>
      <w:numFmt w:val="hebrew1"/>
      <w:lvlText w:val="%1.%2.%3.%4.%5."/>
      <w:lvlJc w:val="center"/>
      <w:pPr>
        <w:ind w:left="1800" w:hanging="360"/>
      </w:pPr>
      <w:rPr>
        <w:rFonts w:hint="default"/>
      </w:rPr>
    </w:lvl>
    <w:lvl w:ilvl="5">
      <w:start w:val="1"/>
      <w:numFmt w:val="decimal"/>
      <w:lvlText w:val="%1.%2.%3.%4.%5.%6."/>
      <w:lvlJc w:val="center"/>
      <w:pPr>
        <w:ind w:left="2160" w:hanging="360"/>
      </w:pPr>
      <w:rPr>
        <w:rFonts w:hint="default"/>
      </w:rPr>
    </w:lvl>
    <w:lvl w:ilvl="6">
      <w:start w:val="1"/>
      <w:numFmt w:val="hebrew1"/>
      <w:lvlText w:val="%1.%2.%3.%4.%5.%6.%7."/>
      <w:lvlJc w:val="center"/>
      <w:pPr>
        <w:ind w:left="2520" w:hanging="360"/>
      </w:pPr>
      <w:rPr>
        <w:rFonts w:hint="default"/>
      </w:rPr>
    </w:lvl>
    <w:lvl w:ilvl="7">
      <w:start w:val="1"/>
      <w:numFmt w:val="decimal"/>
      <w:lvlText w:val="%1.%2.%3.%4.%5.%6.%7.%8."/>
      <w:lvlJc w:val="center"/>
      <w:pPr>
        <w:ind w:left="2880" w:hanging="360"/>
      </w:pPr>
      <w:rPr>
        <w:rFonts w:hint="default"/>
      </w:rPr>
    </w:lvl>
    <w:lvl w:ilvl="8">
      <w:start w:val="1"/>
      <w:numFmt w:val="hebrew1"/>
      <w:lvlText w:val="%1.%2.%3.%4.%5.%6.%7.%8.%9."/>
      <w:lvlJc w:val="center"/>
      <w:pPr>
        <w:ind w:left="3240" w:hanging="360"/>
      </w:pPr>
      <w:rPr>
        <w:rFonts w:hint="default"/>
      </w:rPr>
    </w:lvl>
  </w:abstractNum>
  <w:abstractNum w:abstractNumId="2" w15:restartNumberingAfterBreak="0">
    <w:nsid w:val="06592C65"/>
    <w:multiLevelType w:val="multilevel"/>
    <w:tmpl w:val="4E96434A"/>
    <w:lvl w:ilvl="0">
      <w:start w:val="1"/>
      <w:numFmt w:val="decimal"/>
      <w:lvlText w:val="%1."/>
      <w:lvlJc w:val="left"/>
      <w:pPr>
        <w:ind w:left="502" w:hanging="360"/>
      </w:pPr>
      <w:rPr>
        <w:rFonts w:hint="default"/>
        <w:b w:val="0"/>
        <w:bCs w:val="0"/>
        <w:sz w:val="24"/>
        <w:lang w:val="en-U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B75BCB"/>
    <w:multiLevelType w:val="multilevel"/>
    <w:tmpl w:val="010A23F6"/>
    <w:lvl w:ilvl="0">
      <w:start w:val="1"/>
      <w:numFmt w:val="hebrew1"/>
      <w:lvlText w:val="%1."/>
      <w:lvlJc w:val="center"/>
      <w:pPr>
        <w:ind w:left="360" w:hanging="360"/>
      </w:pPr>
      <w:rPr>
        <w:rFonts w:hint="default"/>
      </w:rPr>
    </w:lvl>
    <w:lvl w:ilvl="1">
      <w:start w:val="1"/>
      <w:numFmt w:val="decimal"/>
      <w:lvlText w:val="ד.%2."/>
      <w:lvlJc w:val="center"/>
      <w:pPr>
        <w:ind w:left="720" w:hanging="360"/>
      </w:pPr>
      <w:rPr>
        <w:rFonts w:hint="default"/>
      </w:rPr>
    </w:lvl>
    <w:lvl w:ilvl="2">
      <w:start w:val="1"/>
      <w:numFmt w:val="hebrew1"/>
      <w:lvlText w:val="%1.%2.%3."/>
      <w:lvlJc w:val="center"/>
      <w:pPr>
        <w:ind w:left="1080" w:hanging="360"/>
      </w:pPr>
      <w:rPr>
        <w:rFonts w:hint="default"/>
      </w:rPr>
    </w:lvl>
    <w:lvl w:ilvl="3">
      <w:start w:val="1"/>
      <w:numFmt w:val="decimal"/>
      <w:lvlText w:val="%1.%2.%3.%4."/>
      <w:lvlJc w:val="center"/>
      <w:pPr>
        <w:ind w:left="1440" w:hanging="360"/>
      </w:pPr>
      <w:rPr>
        <w:rFonts w:hint="default"/>
      </w:rPr>
    </w:lvl>
    <w:lvl w:ilvl="4">
      <w:start w:val="1"/>
      <w:numFmt w:val="hebrew1"/>
      <w:lvlText w:val="%1.%2.%3.%4.%5."/>
      <w:lvlJc w:val="center"/>
      <w:pPr>
        <w:ind w:left="1800" w:hanging="360"/>
      </w:pPr>
      <w:rPr>
        <w:rFonts w:hint="default"/>
      </w:rPr>
    </w:lvl>
    <w:lvl w:ilvl="5">
      <w:start w:val="1"/>
      <w:numFmt w:val="decimal"/>
      <w:lvlText w:val="%1.%2.%3.%4.%5.%6."/>
      <w:lvlJc w:val="center"/>
      <w:pPr>
        <w:ind w:left="2160" w:hanging="360"/>
      </w:pPr>
      <w:rPr>
        <w:rFonts w:hint="default"/>
      </w:rPr>
    </w:lvl>
    <w:lvl w:ilvl="6">
      <w:start w:val="1"/>
      <w:numFmt w:val="hebrew1"/>
      <w:lvlText w:val="%1.%2.%3.%4.%5.%6.%7."/>
      <w:lvlJc w:val="center"/>
      <w:pPr>
        <w:ind w:left="2520" w:hanging="360"/>
      </w:pPr>
      <w:rPr>
        <w:rFonts w:hint="default"/>
      </w:rPr>
    </w:lvl>
    <w:lvl w:ilvl="7">
      <w:start w:val="1"/>
      <w:numFmt w:val="decimal"/>
      <w:lvlText w:val="%1.%2.%3.%4.%5.%6.%7.%8."/>
      <w:lvlJc w:val="center"/>
      <w:pPr>
        <w:ind w:left="2880" w:hanging="360"/>
      </w:pPr>
      <w:rPr>
        <w:rFonts w:hint="default"/>
      </w:rPr>
    </w:lvl>
    <w:lvl w:ilvl="8">
      <w:start w:val="1"/>
      <w:numFmt w:val="hebrew1"/>
      <w:lvlText w:val="%1.%2.%3.%4.%5.%6.%7.%8.%9."/>
      <w:lvlJc w:val="center"/>
      <w:pPr>
        <w:ind w:left="3240" w:hanging="360"/>
      </w:pPr>
      <w:rPr>
        <w:rFonts w:hint="default"/>
      </w:rPr>
    </w:lvl>
  </w:abstractNum>
  <w:abstractNum w:abstractNumId="4" w15:restartNumberingAfterBreak="0">
    <w:nsid w:val="0E631CA5"/>
    <w:multiLevelType w:val="hybridMultilevel"/>
    <w:tmpl w:val="2F2C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15B3F"/>
    <w:multiLevelType w:val="multilevel"/>
    <w:tmpl w:val="BA26E194"/>
    <w:lvl w:ilvl="0">
      <w:start w:val="1"/>
      <w:numFmt w:val="hebrew1"/>
      <w:lvlText w:val="%1."/>
      <w:lvlJc w:val="center"/>
      <w:pPr>
        <w:ind w:left="360" w:hanging="360"/>
      </w:pPr>
      <w:rPr>
        <w:rFonts w:hint="default"/>
      </w:rPr>
    </w:lvl>
    <w:lvl w:ilvl="1">
      <w:start w:val="1"/>
      <w:numFmt w:val="decimal"/>
      <w:lvlText w:val="ד.%2."/>
      <w:lvlJc w:val="center"/>
      <w:pPr>
        <w:ind w:left="720" w:hanging="360"/>
      </w:pPr>
      <w:rPr>
        <w:rFonts w:hint="default"/>
      </w:rPr>
    </w:lvl>
    <w:lvl w:ilvl="2">
      <w:start w:val="1"/>
      <w:numFmt w:val="hebrew1"/>
      <w:lvlText w:val="%1.%2.%3."/>
      <w:lvlJc w:val="center"/>
      <w:pPr>
        <w:ind w:left="1080" w:hanging="360"/>
      </w:pPr>
      <w:rPr>
        <w:rFonts w:hint="default"/>
      </w:rPr>
    </w:lvl>
    <w:lvl w:ilvl="3">
      <w:start w:val="1"/>
      <w:numFmt w:val="decimal"/>
      <w:lvlText w:val="%1.%2.%3.%4."/>
      <w:lvlJc w:val="center"/>
      <w:pPr>
        <w:ind w:left="1440" w:hanging="360"/>
      </w:pPr>
      <w:rPr>
        <w:rFonts w:hint="default"/>
      </w:rPr>
    </w:lvl>
    <w:lvl w:ilvl="4">
      <w:start w:val="1"/>
      <w:numFmt w:val="hebrew1"/>
      <w:lvlText w:val="%1.%2.%3.%4.%5."/>
      <w:lvlJc w:val="center"/>
      <w:pPr>
        <w:ind w:left="1800" w:hanging="360"/>
      </w:pPr>
      <w:rPr>
        <w:rFonts w:hint="default"/>
      </w:rPr>
    </w:lvl>
    <w:lvl w:ilvl="5">
      <w:start w:val="1"/>
      <w:numFmt w:val="decimal"/>
      <w:lvlText w:val="%1.%2.%3.%4.%5.%6."/>
      <w:lvlJc w:val="center"/>
      <w:pPr>
        <w:ind w:left="2160" w:hanging="360"/>
      </w:pPr>
      <w:rPr>
        <w:rFonts w:hint="default"/>
      </w:rPr>
    </w:lvl>
    <w:lvl w:ilvl="6">
      <w:start w:val="1"/>
      <w:numFmt w:val="hebrew1"/>
      <w:lvlText w:val="%1.%2.%3.%4.%5.%6.%7."/>
      <w:lvlJc w:val="center"/>
      <w:pPr>
        <w:ind w:left="2520" w:hanging="360"/>
      </w:pPr>
      <w:rPr>
        <w:rFonts w:hint="default"/>
      </w:rPr>
    </w:lvl>
    <w:lvl w:ilvl="7">
      <w:start w:val="1"/>
      <w:numFmt w:val="decimal"/>
      <w:lvlText w:val="%1.%2.%3.%4.%5.%6.%7.%8."/>
      <w:lvlJc w:val="center"/>
      <w:pPr>
        <w:ind w:left="2880" w:hanging="360"/>
      </w:pPr>
      <w:rPr>
        <w:rFonts w:hint="default"/>
      </w:rPr>
    </w:lvl>
    <w:lvl w:ilvl="8">
      <w:start w:val="1"/>
      <w:numFmt w:val="hebrew1"/>
      <w:lvlText w:val="%1.%2.%3.%4.%5.%6.%7.%8.%9."/>
      <w:lvlJc w:val="center"/>
      <w:pPr>
        <w:ind w:left="3240" w:hanging="360"/>
      </w:pPr>
      <w:rPr>
        <w:rFonts w:hint="default"/>
      </w:rPr>
    </w:lvl>
  </w:abstractNum>
  <w:abstractNum w:abstractNumId="6" w15:restartNumberingAfterBreak="0">
    <w:nsid w:val="19E75F03"/>
    <w:multiLevelType w:val="hybridMultilevel"/>
    <w:tmpl w:val="6D7EE2FE"/>
    <w:lvl w:ilvl="0" w:tplc="04090001">
      <w:start w:val="1"/>
      <w:numFmt w:val="bullet"/>
      <w:lvlText w:val=""/>
      <w:lvlJc w:val="left"/>
      <w:pPr>
        <w:ind w:left="1661" w:hanging="360"/>
      </w:pPr>
      <w:rPr>
        <w:rFonts w:ascii="Symbol" w:hAnsi="Symbol" w:hint="default"/>
      </w:rPr>
    </w:lvl>
    <w:lvl w:ilvl="1" w:tplc="04090003" w:tentative="1">
      <w:start w:val="1"/>
      <w:numFmt w:val="bullet"/>
      <w:lvlText w:val="o"/>
      <w:lvlJc w:val="left"/>
      <w:pPr>
        <w:ind w:left="2381" w:hanging="360"/>
      </w:pPr>
      <w:rPr>
        <w:rFonts w:ascii="Courier New" w:hAnsi="Courier New" w:cs="Courier New" w:hint="default"/>
      </w:rPr>
    </w:lvl>
    <w:lvl w:ilvl="2" w:tplc="04090005" w:tentative="1">
      <w:start w:val="1"/>
      <w:numFmt w:val="bullet"/>
      <w:lvlText w:val=""/>
      <w:lvlJc w:val="left"/>
      <w:pPr>
        <w:ind w:left="3101" w:hanging="360"/>
      </w:pPr>
      <w:rPr>
        <w:rFonts w:ascii="Wingdings" w:hAnsi="Wingdings" w:hint="default"/>
      </w:rPr>
    </w:lvl>
    <w:lvl w:ilvl="3" w:tplc="04090001" w:tentative="1">
      <w:start w:val="1"/>
      <w:numFmt w:val="bullet"/>
      <w:lvlText w:val=""/>
      <w:lvlJc w:val="left"/>
      <w:pPr>
        <w:ind w:left="3821" w:hanging="360"/>
      </w:pPr>
      <w:rPr>
        <w:rFonts w:ascii="Symbol" w:hAnsi="Symbol" w:hint="default"/>
      </w:rPr>
    </w:lvl>
    <w:lvl w:ilvl="4" w:tplc="04090003" w:tentative="1">
      <w:start w:val="1"/>
      <w:numFmt w:val="bullet"/>
      <w:lvlText w:val="o"/>
      <w:lvlJc w:val="left"/>
      <w:pPr>
        <w:ind w:left="4541" w:hanging="360"/>
      </w:pPr>
      <w:rPr>
        <w:rFonts w:ascii="Courier New" w:hAnsi="Courier New" w:cs="Courier New" w:hint="default"/>
      </w:rPr>
    </w:lvl>
    <w:lvl w:ilvl="5" w:tplc="04090005" w:tentative="1">
      <w:start w:val="1"/>
      <w:numFmt w:val="bullet"/>
      <w:lvlText w:val=""/>
      <w:lvlJc w:val="left"/>
      <w:pPr>
        <w:ind w:left="5261" w:hanging="360"/>
      </w:pPr>
      <w:rPr>
        <w:rFonts w:ascii="Wingdings" w:hAnsi="Wingdings" w:hint="default"/>
      </w:rPr>
    </w:lvl>
    <w:lvl w:ilvl="6" w:tplc="04090001" w:tentative="1">
      <w:start w:val="1"/>
      <w:numFmt w:val="bullet"/>
      <w:lvlText w:val=""/>
      <w:lvlJc w:val="left"/>
      <w:pPr>
        <w:ind w:left="5981" w:hanging="360"/>
      </w:pPr>
      <w:rPr>
        <w:rFonts w:ascii="Symbol" w:hAnsi="Symbol" w:hint="default"/>
      </w:rPr>
    </w:lvl>
    <w:lvl w:ilvl="7" w:tplc="04090003" w:tentative="1">
      <w:start w:val="1"/>
      <w:numFmt w:val="bullet"/>
      <w:lvlText w:val="o"/>
      <w:lvlJc w:val="left"/>
      <w:pPr>
        <w:ind w:left="6701" w:hanging="360"/>
      </w:pPr>
      <w:rPr>
        <w:rFonts w:ascii="Courier New" w:hAnsi="Courier New" w:cs="Courier New" w:hint="default"/>
      </w:rPr>
    </w:lvl>
    <w:lvl w:ilvl="8" w:tplc="04090005" w:tentative="1">
      <w:start w:val="1"/>
      <w:numFmt w:val="bullet"/>
      <w:lvlText w:val=""/>
      <w:lvlJc w:val="left"/>
      <w:pPr>
        <w:ind w:left="7421" w:hanging="360"/>
      </w:pPr>
      <w:rPr>
        <w:rFonts w:ascii="Wingdings" w:hAnsi="Wingdings" w:hint="default"/>
      </w:rPr>
    </w:lvl>
  </w:abstractNum>
  <w:abstractNum w:abstractNumId="7" w15:restartNumberingAfterBreak="0">
    <w:nsid w:val="1DDA6037"/>
    <w:multiLevelType w:val="hybridMultilevel"/>
    <w:tmpl w:val="B0868FDC"/>
    <w:lvl w:ilvl="0" w:tplc="524A526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8D3C74"/>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851"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9" w15:restartNumberingAfterBreak="0">
    <w:nsid w:val="2AF942F7"/>
    <w:multiLevelType w:val="hybridMultilevel"/>
    <w:tmpl w:val="366E6CBC"/>
    <w:lvl w:ilvl="0" w:tplc="0F207B8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E31C8"/>
    <w:multiLevelType w:val="multilevel"/>
    <w:tmpl w:val="0D0CCCE8"/>
    <w:lvl w:ilvl="0">
      <w:start w:val="1"/>
      <w:numFmt w:val="hebrew1"/>
      <w:lvlText w:val="%1."/>
      <w:lvlJc w:val="center"/>
      <w:pPr>
        <w:ind w:left="360" w:hanging="360"/>
      </w:pPr>
      <w:rPr>
        <w:rFonts w:hint="default"/>
      </w:rPr>
    </w:lvl>
    <w:lvl w:ilvl="1">
      <w:start w:val="1"/>
      <w:numFmt w:val="decimal"/>
      <w:lvlText w:val="ה.%2."/>
      <w:lvlJc w:val="center"/>
      <w:pPr>
        <w:ind w:left="720" w:hanging="360"/>
      </w:pPr>
      <w:rPr>
        <w:rFonts w:hint="default"/>
      </w:rPr>
    </w:lvl>
    <w:lvl w:ilvl="2">
      <w:start w:val="1"/>
      <w:numFmt w:val="hebrew1"/>
      <w:lvlText w:val="%1.%2.%3."/>
      <w:lvlJc w:val="center"/>
      <w:pPr>
        <w:ind w:left="1080" w:hanging="360"/>
      </w:pPr>
      <w:rPr>
        <w:rFonts w:hint="default"/>
      </w:rPr>
    </w:lvl>
    <w:lvl w:ilvl="3">
      <w:start w:val="1"/>
      <w:numFmt w:val="decimal"/>
      <w:lvlText w:val="%1.%2.%3.%4."/>
      <w:lvlJc w:val="center"/>
      <w:pPr>
        <w:ind w:left="1440" w:hanging="360"/>
      </w:pPr>
      <w:rPr>
        <w:rFonts w:hint="default"/>
      </w:rPr>
    </w:lvl>
    <w:lvl w:ilvl="4">
      <w:start w:val="1"/>
      <w:numFmt w:val="hebrew1"/>
      <w:lvlText w:val="%1.%2.%3.%4.%5."/>
      <w:lvlJc w:val="center"/>
      <w:pPr>
        <w:ind w:left="1800" w:hanging="360"/>
      </w:pPr>
      <w:rPr>
        <w:rFonts w:hint="default"/>
      </w:rPr>
    </w:lvl>
    <w:lvl w:ilvl="5">
      <w:start w:val="1"/>
      <w:numFmt w:val="decimal"/>
      <w:lvlText w:val="%1.%2.%3.%4.%5.%6."/>
      <w:lvlJc w:val="center"/>
      <w:pPr>
        <w:ind w:left="2160" w:hanging="360"/>
      </w:pPr>
      <w:rPr>
        <w:rFonts w:hint="default"/>
      </w:rPr>
    </w:lvl>
    <w:lvl w:ilvl="6">
      <w:start w:val="1"/>
      <w:numFmt w:val="hebrew1"/>
      <w:lvlText w:val="%1.%2.%3.%4.%5.%6.%7."/>
      <w:lvlJc w:val="center"/>
      <w:pPr>
        <w:ind w:left="2520" w:hanging="360"/>
      </w:pPr>
      <w:rPr>
        <w:rFonts w:hint="default"/>
      </w:rPr>
    </w:lvl>
    <w:lvl w:ilvl="7">
      <w:start w:val="1"/>
      <w:numFmt w:val="decimal"/>
      <w:lvlText w:val="%1.%2.%3.%4.%5.%6.%7.%8."/>
      <w:lvlJc w:val="center"/>
      <w:pPr>
        <w:ind w:left="2880" w:hanging="360"/>
      </w:pPr>
      <w:rPr>
        <w:rFonts w:hint="default"/>
      </w:rPr>
    </w:lvl>
    <w:lvl w:ilvl="8">
      <w:start w:val="1"/>
      <w:numFmt w:val="hebrew1"/>
      <w:lvlText w:val="%1.%2.%3.%4.%5.%6.%7.%8.%9."/>
      <w:lvlJc w:val="center"/>
      <w:pPr>
        <w:ind w:left="3240" w:hanging="360"/>
      </w:pPr>
      <w:rPr>
        <w:rFonts w:hint="default"/>
      </w:rPr>
    </w:lvl>
  </w:abstractNum>
  <w:abstractNum w:abstractNumId="11" w15:restartNumberingAfterBreak="0">
    <w:nsid w:val="32AE789D"/>
    <w:multiLevelType w:val="multilevel"/>
    <w:tmpl w:val="5A62FB08"/>
    <w:lvl w:ilvl="0">
      <w:start w:val="1"/>
      <w:numFmt w:val="decimal"/>
      <w:pStyle w:val="1"/>
      <w:lvlText w:val="%1."/>
      <w:lvlJc w:val="center"/>
      <w:pPr>
        <w:tabs>
          <w:tab w:val="num" w:pos="601"/>
        </w:tabs>
        <w:ind w:left="601" w:right="34" w:hanging="601"/>
      </w:pPr>
      <w:rPr>
        <w:rFonts w:hint="default"/>
        <w:bCs w:val="0"/>
        <w:iCs w:val="0"/>
        <w:u w:val="none"/>
        <w:lang w:bidi="he-IL"/>
      </w:rPr>
    </w:lvl>
    <w:lvl w:ilvl="1">
      <w:start w:val="1"/>
      <w:numFmt w:val="hebrew1"/>
      <w:pStyle w:val="2"/>
      <w:lvlText w:val="%2."/>
      <w:lvlJc w:val="center"/>
      <w:pPr>
        <w:tabs>
          <w:tab w:val="num" w:pos="1134"/>
        </w:tabs>
        <w:ind w:left="1134" w:right="567" w:hanging="510"/>
      </w:pPr>
      <w:rPr>
        <w:rFonts w:hint="default"/>
        <w:u w:val="none"/>
      </w:rPr>
    </w:lvl>
    <w:lvl w:ilvl="2">
      <w:start w:val="1"/>
      <w:numFmt w:val="decimal"/>
      <w:pStyle w:val="3"/>
      <w:lvlText w:val="%3)"/>
      <w:lvlJc w:val="center"/>
      <w:pPr>
        <w:tabs>
          <w:tab w:val="num" w:pos="1701"/>
        </w:tabs>
        <w:ind w:left="1701" w:right="1134" w:hanging="567"/>
      </w:pPr>
      <w:rPr>
        <w:rFonts w:hint="default"/>
        <w:u w:val="none"/>
      </w:rPr>
    </w:lvl>
    <w:lvl w:ilvl="3">
      <w:start w:val="1"/>
      <w:numFmt w:val="hebrew1"/>
      <w:lvlText w:val="(%4)"/>
      <w:lvlJc w:val="center"/>
      <w:pPr>
        <w:tabs>
          <w:tab w:val="num" w:pos="2551"/>
        </w:tabs>
        <w:ind w:left="2551" w:right="1984" w:hanging="510"/>
      </w:pPr>
      <w:rPr>
        <w:rFonts w:hint="default"/>
        <w:u w:val="none"/>
      </w:rPr>
    </w:lvl>
    <w:lvl w:ilvl="4">
      <w:start w:val="1"/>
      <w:numFmt w:val="upperRoman"/>
      <w:lvlText w:val="%5"/>
      <w:lvlJc w:val="center"/>
      <w:pPr>
        <w:tabs>
          <w:tab w:val="num" w:pos="3118"/>
        </w:tabs>
        <w:ind w:left="3118" w:right="2551" w:hanging="567"/>
      </w:pPr>
      <w:rPr>
        <w:rFonts w:hint="default"/>
        <w:u w:val="none"/>
      </w:rPr>
    </w:lvl>
    <w:lvl w:ilvl="5">
      <w:start w:val="1"/>
      <w:numFmt w:val="lowerRoman"/>
      <w:lvlText w:val="%6"/>
      <w:lvlJc w:val="center"/>
      <w:pPr>
        <w:tabs>
          <w:tab w:val="num" w:pos="3685"/>
        </w:tabs>
        <w:ind w:left="3685" w:right="3118" w:hanging="567"/>
      </w:pPr>
      <w:rPr>
        <w:rFonts w:hint="default"/>
        <w:u w:val="none"/>
      </w:rPr>
    </w:lvl>
    <w:lvl w:ilvl="6">
      <w:start w:val="1"/>
      <w:numFmt w:val="bullet"/>
      <w:lvlText w:val=""/>
      <w:lvlJc w:val="left"/>
      <w:pPr>
        <w:tabs>
          <w:tab w:val="num" w:pos="4252"/>
        </w:tabs>
        <w:ind w:left="4252" w:right="3685" w:hanging="567"/>
      </w:pPr>
      <w:rPr>
        <w:rFonts w:ascii="Symbol" w:hAnsi="Symbol" w:cs="Times New Roman" w:hint="default"/>
        <w:u w:val="none"/>
      </w:rPr>
    </w:lvl>
    <w:lvl w:ilvl="7">
      <w:start w:val="1"/>
      <w:numFmt w:val="lowerLetter"/>
      <w:lvlText w:val="(%8)"/>
      <w:lvlJc w:val="center"/>
      <w:pPr>
        <w:tabs>
          <w:tab w:val="num" w:pos="4819"/>
        </w:tabs>
        <w:ind w:left="4819" w:right="4252" w:hanging="510"/>
      </w:pPr>
      <w:rPr>
        <w:rFonts w:hint="default"/>
        <w:u w:val="none"/>
      </w:rPr>
    </w:lvl>
    <w:lvl w:ilvl="8">
      <w:start w:val="1"/>
      <w:numFmt w:val="lowerRoman"/>
      <w:lvlText w:val="(%9)"/>
      <w:lvlJc w:val="center"/>
      <w:pPr>
        <w:tabs>
          <w:tab w:val="num" w:pos="5386"/>
        </w:tabs>
        <w:ind w:left="5386" w:right="4819" w:hanging="510"/>
      </w:pPr>
      <w:rPr>
        <w:rFonts w:hint="default"/>
        <w:u w:val="none"/>
      </w:rPr>
    </w:lvl>
  </w:abstractNum>
  <w:abstractNum w:abstractNumId="12" w15:restartNumberingAfterBreak="0">
    <w:nsid w:val="38E84DA7"/>
    <w:multiLevelType w:val="hybridMultilevel"/>
    <w:tmpl w:val="8BF48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943192"/>
    <w:multiLevelType w:val="hybridMultilevel"/>
    <w:tmpl w:val="97A2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D52741"/>
    <w:multiLevelType w:val="hybridMultilevel"/>
    <w:tmpl w:val="3E7C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5F7D44"/>
    <w:multiLevelType w:val="hybridMultilevel"/>
    <w:tmpl w:val="FDE4C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7A5BEE"/>
    <w:multiLevelType w:val="multilevel"/>
    <w:tmpl w:val="0D0CCCE8"/>
    <w:lvl w:ilvl="0">
      <w:start w:val="1"/>
      <w:numFmt w:val="hebrew1"/>
      <w:lvlText w:val="%1."/>
      <w:lvlJc w:val="center"/>
      <w:pPr>
        <w:ind w:left="360" w:hanging="360"/>
      </w:pPr>
      <w:rPr>
        <w:rFonts w:hint="default"/>
      </w:rPr>
    </w:lvl>
    <w:lvl w:ilvl="1">
      <w:start w:val="1"/>
      <w:numFmt w:val="decimal"/>
      <w:lvlText w:val="ה.%2."/>
      <w:lvlJc w:val="center"/>
      <w:pPr>
        <w:ind w:left="720" w:hanging="360"/>
      </w:pPr>
      <w:rPr>
        <w:rFonts w:hint="default"/>
      </w:rPr>
    </w:lvl>
    <w:lvl w:ilvl="2">
      <w:start w:val="1"/>
      <w:numFmt w:val="hebrew1"/>
      <w:lvlText w:val="%1.%2.%3."/>
      <w:lvlJc w:val="center"/>
      <w:pPr>
        <w:ind w:left="1080" w:hanging="360"/>
      </w:pPr>
      <w:rPr>
        <w:rFonts w:hint="default"/>
      </w:rPr>
    </w:lvl>
    <w:lvl w:ilvl="3">
      <w:start w:val="1"/>
      <w:numFmt w:val="decimal"/>
      <w:lvlText w:val="%1.%2.%3.%4."/>
      <w:lvlJc w:val="center"/>
      <w:pPr>
        <w:ind w:left="1440" w:hanging="360"/>
      </w:pPr>
      <w:rPr>
        <w:rFonts w:hint="default"/>
      </w:rPr>
    </w:lvl>
    <w:lvl w:ilvl="4">
      <w:start w:val="1"/>
      <w:numFmt w:val="hebrew1"/>
      <w:lvlText w:val="%1.%2.%3.%4.%5."/>
      <w:lvlJc w:val="center"/>
      <w:pPr>
        <w:ind w:left="1800" w:hanging="360"/>
      </w:pPr>
      <w:rPr>
        <w:rFonts w:hint="default"/>
      </w:rPr>
    </w:lvl>
    <w:lvl w:ilvl="5">
      <w:start w:val="1"/>
      <w:numFmt w:val="decimal"/>
      <w:lvlText w:val="%1.%2.%3.%4.%5.%6."/>
      <w:lvlJc w:val="center"/>
      <w:pPr>
        <w:ind w:left="2160" w:hanging="360"/>
      </w:pPr>
      <w:rPr>
        <w:rFonts w:hint="default"/>
      </w:rPr>
    </w:lvl>
    <w:lvl w:ilvl="6">
      <w:start w:val="1"/>
      <w:numFmt w:val="hebrew1"/>
      <w:lvlText w:val="%1.%2.%3.%4.%5.%6.%7."/>
      <w:lvlJc w:val="center"/>
      <w:pPr>
        <w:ind w:left="2520" w:hanging="360"/>
      </w:pPr>
      <w:rPr>
        <w:rFonts w:hint="default"/>
      </w:rPr>
    </w:lvl>
    <w:lvl w:ilvl="7">
      <w:start w:val="1"/>
      <w:numFmt w:val="decimal"/>
      <w:lvlText w:val="%1.%2.%3.%4.%5.%6.%7.%8."/>
      <w:lvlJc w:val="center"/>
      <w:pPr>
        <w:ind w:left="2880" w:hanging="360"/>
      </w:pPr>
      <w:rPr>
        <w:rFonts w:hint="default"/>
      </w:rPr>
    </w:lvl>
    <w:lvl w:ilvl="8">
      <w:start w:val="1"/>
      <w:numFmt w:val="hebrew1"/>
      <w:lvlText w:val="%1.%2.%3.%4.%5.%6.%7.%8.%9."/>
      <w:lvlJc w:val="center"/>
      <w:pPr>
        <w:ind w:left="3240" w:hanging="360"/>
      </w:pPr>
      <w:rPr>
        <w:rFonts w:hint="default"/>
      </w:rPr>
    </w:lvl>
  </w:abstractNum>
  <w:abstractNum w:abstractNumId="17" w15:restartNumberingAfterBreak="0">
    <w:nsid w:val="70C92682"/>
    <w:multiLevelType w:val="hybridMultilevel"/>
    <w:tmpl w:val="AECEC8C6"/>
    <w:lvl w:ilvl="0" w:tplc="0409000F">
      <w:start w:val="1"/>
      <w:numFmt w:val="decimal"/>
      <w:lvlText w:val="%1."/>
      <w:lvlJc w:val="left"/>
      <w:pPr>
        <w:ind w:left="360" w:hanging="360"/>
      </w:pPr>
    </w:lvl>
    <w:lvl w:ilvl="1" w:tplc="04090013">
      <w:start w:val="1"/>
      <w:numFmt w:val="hebrew1"/>
      <w:lvlText w:val="%2."/>
      <w:lvlJc w:val="center"/>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2FC71F5"/>
    <w:multiLevelType w:val="hybridMultilevel"/>
    <w:tmpl w:val="7FFEA8CA"/>
    <w:lvl w:ilvl="0" w:tplc="BC7A1D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165623"/>
    <w:multiLevelType w:val="multilevel"/>
    <w:tmpl w:val="04090021"/>
    <w:lvl w:ilvl="0">
      <w:start w:val="1"/>
      <w:numFmt w:val="hebrew1"/>
      <w:lvlText w:val="%1."/>
      <w:lvlJc w:val="center"/>
      <w:pPr>
        <w:ind w:left="360" w:hanging="360"/>
      </w:pPr>
      <w:rPr>
        <w:rFonts w:hint="default"/>
        <w:sz w:val="28"/>
      </w:r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20" w15:restartNumberingAfterBreak="0">
    <w:nsid w:val="736942B5"/>
    <w:multiLevelType w:val="hybridMultilevel"/>
    <w:tmpl w:val="D9622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9E5C15"/>
    <w:multiLevelType w:val="hybridMultilevel"/>
    <w:tmpl w:val="4D4265A2"/>
    <w:lvl w:ilvl="0" w:tplc="524A5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FC16AD5"/>
    <w:multiLevelType w:val="multilevel"/>
    <w:tmpl w:val="9140D718"/>
    <w:lvl w:ilvl="0">
      <w:start w:val="1"/>
      <w:numFmt w:val="hebrew1"/>
      <w:lvlText w:val="%1."/>
      <w:lvlJc w:val="center"/>
      <w:pPr>
        <w:ind w:left="360" w:hanging="360"/>
      </w:pPr>
      <w:rPr>
        <w:rFonts w:hint="default"/>
      </w:rPr>
    </w:lvl>
    <w:lvl w:ilvl="1">
      <w:start w:val="1"/>
      <w:numFmt w:val="decimal"/>
      <w:lvlText w:val="ג.%2."/>
      <w:lvlJc w:val="center"/>
      <w:pPr>
        <w:ind w:left="720" w:hanging="360"/>
      </w:pPr>
      <w:rPr>
        <w:rFonts w:hint="default"/>
      </w:rPr>
    </w:lvl>
    <w:lvl w:ilvl="2">
      <w:start w:val="1"/>
      <w:numFmt w:val="hebrew1"/>
      <w:lvlText w:val="%1.%2.%3."/>
      <w:lvlJc w:val="center"/>
      <w:pPr>
        <w:ind w:left="1080" w:hanging="360"/>
      </w:pPr>
      <w:rPr>
        <w:rFonts w:hint="default"/>
      </w:rPr>
    </w:lvl>
    <w:lvl w:ilvl="3">
      <w:start w:val="1"/>
      <w:numFmt w:val="decimal"/>
      <w:lvlText w:val="%1.%2.%3.%4."/>
      <w:lvlJc w:val="center"/>
      <w:pPr>
        <w:ind w:left="1440" w:hanging="360"/>
      </w:pPr>
      <w:rPr>
        <w:rFonts w:hint="default"/>
      </w:rPr>
    </w:lvl>
    <w:lvl w:ilvl="4">
      <w:start w:val="1"/>
      <w:numFmt w:val="hebrew1"/>
      <w:lvlText w:val="%1.%2.%3.%4.%5."/>
      <w:lvlJc w:val="center"/>
      <w:pPr>
        <w:ind w:left="1800" w:hanging="360"/>
      </w:pPr>
      <w:rPr>
        <w:rFonts w:hint="default"/>
      </w:rPr>
    </w:lvl>
    <w:lvl w:ilvl="5">
      <w:start w:val="1"/>
      <w:numFmt w:val="decimal"/>
      <w:lvlText w:val="%1.%2.%3.%4.%5.%6."/>
      <w:lvlJc w:val="center"/>
      <w:pPr>
        <w:ind w:left="2160" w:hanging="360"/>
      </w:pPr>
      <w:rPr>
        <w:rFonts w:hint="default"/>
      </w:rPr>
    </w:lvl>
    <w:lvl w:ilvl="6">
      <w:start w:val="1"/>
      <w:numFmt w:val="hebrew1"/>
      <w:lvlText w:val="%1.%2.%3.%4.%5.%6.%7."/>
      <w:lvlJc w:val="center"/>
      <w:pPr>
        <w:ind w:left="2520" w:hanging="360"/>
      </w:pPr>
      <w:rPr>
        <w:rFonts w:hint="default"/>
      </w:rPr>
    </w:lvl>
    <w:lvl w:ilvl="7">
      <w:start w:val="1"/>
      <w:numFmt w:val="decimal"/>
      <w:lvlText w:val="%1.%2.%3.%4.%5.%6.%7.%8."/>
      <w:lvlJc w:val="center"/>
      <w:pPr>
        <w:ind w:left="2880" w:hanging="360"/>
      </w:pPr>
      <w:rPr>
        <w:rFonts w:hint="default"/>
      </w:rPr>
    </w:lvl>
    <w:lvl w:ilvl="8">
      <w:start w:val="1"/>
      <w:numFmt w:val="hebrew1"/>
      <w:lvlText w:val="%1.%2.%3.%4.%5.%6.%7.%8.%9."/>
      <w:lvlJc w:val="center"/>
      <w:pPr>
        <w:ind w:left="3240" w:hanging="360"/>
      </w:pPr>
      <w:rPr>
        <w:rFonts w:hint="default"/>
      </w:rPr>
    </w:lvl>
  </w:abstractNum>
  <w:num w:numId="1">
    <w:abstractNumId w:val="11"/>
  </w:num>
  <w:num w:numId="2">
    <w:abstractNumId w:val="5"/>
  </w:num>
  <w:num w:numId="3">
    <w:abstractNumId w:val="12"/>
  </w:num>
  <w:num w:numId="4">
    <w:abstractNumId w:val="4"/>
  </w:num>
  <w:num w:numId="5">
    <w:abstractNumId w:val="14"/>
  </w:num>
  <w:num w:numId="6">
    <w:abstractNumId w:val="13"/>
  </w:num>
  <w:num w:numId="7">
    <w:abstractNumId w:val="20"/>
  </w:num>
  <w:num w:numId="8">
    <w:abstractNumId w:val="19"/>
  </w:num>
  <w:num w:numId="9">
    <w:abstractNumId w:val="8"/>
  </w:num>
  <w:num w:numId="10">
    <w:abstractNumId w:val="1"/>
  </w:num>
  <w:num w:numId="11">
    <w:abstractNumId w:val="22"/>
  </w:num>
  <w:num w:numId="12">
    <w:abstractNumId w:val="3"/>
  </w:num>
  <w:num w:numId="13">
    <w:abstractNumId w:val="16"/>
  </w:num>
  <w:num w:numId="14">
    <w:abstractNumId w:val="21"/>
  </w:num>
  <w:num w:numId="15">
    <w:abstractNumId w:val="7"/>
  </w:num>
  <w:num w:numId="16">
    <w:abstractNumId w:val="8"/>
  </w:num>
  <w:num w:numId="17">
    <w:abstractNumId w:val="8"/>
  </w:num>
  <w:num w:numId="18">
    <w:abstractNumId w:val="6"/>
  </w:num>
  <w:num w:numId="19">
    <w:abstractNumId w:val="17"/>
  </w:num>
  <w:num w:numId="20">
    <w:abstractNumId w:val="10"/>
  </w:num>
  <w:num w:numId="21">
    <w:abstractNumId w:val="8"/>
  </w:num>
  <w:num w:numId="22">
    <w:abstractNumId w:val="0"/>
  </w:num>
  <w:num w:numId="23">
    <w:abstractNumId w:val="18"/>
  </w:num>
  <w:num w:numId="24">
    <w:abstractNumId w:val="8"/>
  </w:num>
  <w:num w:numId="25">
    <w:abstractNumId w:val="8"/>
  </w:num>
  <w:num w:numId="26">
    <w:abstractNumId w:val="2"/>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15"/>
  </w:num>
  <w:num w:numId="3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8FA"/>
    <w:rsid w:val="000000D2"/>
    <w:rsid w:val="0000062B"/>
    <w:rsid w:val="00001A7C"/>
    <w:rsid w:val="00003361"/>
    <w:rsid w:val="00003A63"/>
    <w:rsid w:val="00004356"/>
    <w:rsid w:val="000051E1"/>
    <w:rsid w:val="00005532"/>
    <w:rsid w:val="000059B3"/>
    <w:rsid w:val="00006680"/>
    <w:rsid w:val="000068C9"/>
    <w:rsid w:val="00006A98"/>
    <w:rsid w:val="00006ADE"/>
    <w:rsid w:val="00007559"/>
    <w:rsid w:val="0000762C"/>
    <w:rsid w:val="00007E6C"/>
    <w:rsid w:val="0001151C"/>
    <w:rsid w:val="00011B52"/>
    <w:rsid w:val="0001290D"/>
    <w:rsid w:val="00013887"/>
    <w:rsid w:val="00014FC2"/>
    <w:rsid w:val="000154C2"/>
    <w:rsid w:val="00016E19"/>
    <w:rsid w:val="00016EAB"/>
    <w:rsid w:val="000172FB"/>
    <w:rsid w:val="000174A2"/>
    <w:rsid w:val="000175E8"/>
    <w:rsid w:val="0001781E"/>
    <w:rsid w:val="00020116"/>
    <w:rsid w:val="00020B53"/>
    <w:rsid w:val="00020C45"/>
    <w:rsid w:val="000211C4"/>
    <w:rsid w:val="00022012"/>
    <w:rsid w:val="0002225B"/>
    <w:rsid w:val="00022441"/>
    <w:rsid w:val="000227A5"/>
    <w:rsid w:val="00023ED5"/>
    <w:rsid w:val="00024149"/>
    <w:rsid w:val="000242CC"/>
    <w:rsid w:val="000242D1"/>
    <w:rsid w:val="00024916"/>
    <w:rsid w:val="00025A4F"/>
    <w:rsid w:val="00025BAB"/>
    <w:rsid w:val="00026223"/>
    <w:rsid w:val="00027FB5"/>
    <w:rsid w:val="000309B5"/>
    <w:rsid w:val="00031363"/>
    <w:rsid w:val="00032E87"/>
    <w:rsid w:val="00033123"/>
    <w:rsid w:val="000338A7"/>
    <w:rsid w:val="00033A02"/>
    <w:rsid w:val="00034116"/>
    <w:rsid w:val="00034468"/>
    <w:rsid w:val="00034734"/>
    <w:rsid w:val="00035AD5"/>
    <w:rsid w:val="00035F19"/>
    <w:rsid w:val="00040628"/>
    <w:rsid w:val="00040EC9"/>
    <w:rsid w:val="000411AF"/>
    <w:rsid w:val="00041717"/>
    <w:rsid w:val="00042402"/>
    <w:rsid w:val="00042930"/>
    <w:rsid w:val="000430BF"/>
    <w:rsid w:val="00043612"/>
    <w:rsid w:val="00044138"/>
    <w:rsid w:val="00044B57"/>
    <w:rsid w:val="00044F67"/>
    <w:rsid w:val="00045101"/>
    <w:rsid w:val="00045C34"/>
    <w:rsid w:val="00046D7D"/>
    <w:rsid w:val="00047587"/>
    <w:rsid w:val="00047B93"/>
    <w:rsid w:val="00047BE6"/>
    <w:rsid w:val="00050424"/>
    <w:rsid w:val="00050669"/>
    <w:rsid w:val="000508CE"/>
    <w:rsid w:val="000510B4"/>
    <w:rsid w:val="00051516"/>
    <w:rsid w:val="0005158C"/>
    <w:rsid w:val="00051FA9"/>
    <w:rsid w:val="00052309"/>
    <w:rsid w:val="000524D3"/>
    <w:rsid w:val="00052CC9"/>
    <w:rsid w:val="0005573D"/>
    <w:rsid w:val="000571E0"/>
    <w:rsid w:val="00057D2B"/>
    <w:rsid w:val="0006011B"/>
    <w:rsid w:val="000607CB"/>
    <w:rsid w:val="00060A22"/>
    <w:rsid w:val="00061559"/>
    <w:rsid w:val="00061A65"/>
    <w:rsid w:val="00063E9E"/>
    <w:rsid w:val="00064F54"/>
    <w:rsid w:val="000652BC"/>
    <w:rsid w:val="000653DD"/>
    <w:rsid w:val="0006603F"/>
    <w:rsid w:val="0006658E"/>
    <w:rsid w:val="00066E7F"/>
    <w:rsid w:val="0006710C"/>
    <w:rsid w:val="00070028"/>
    <w:rsid w:val="000717CE"/>
    <w:rsid w:val="000718E4"/>
    <w:rsid w:val="0007195B"/>
    <w:rsid w:val="00071FD8"/>
    <w:rsid w:val="000725D7"/>
    <w:rsid w:val="00074F5F"/>
    <w:rsid w:val="00075621"/>
    <w:rsid w:val="00075DA3"/>
    <w:rsid w:val="000760AA"/>
    <w:rsid w:val="00076452"/>
    <w:rsid w:val="00076EE4"/>
    <w:rsid w:val="000779ED"/>
    <w:rsid w:val="00077E45"/>
    <w:rsid w:val="0008130B"/>
    <w:rsid w:val="00081AE1"/>
    <w:rsid w:val="00081B34"/>
    <w:rsid w:val="00082C29"/>
    <w:rsid w:val="00084347"/>
    <w:rsid w:val="000843C6"/>
    <w:rsid w:val="00085911"/>
    <w:rsid w:val="000874D3"/>
    <w:rsid w:val="00087985"/>
    <w:rsid w:val="000902D0"/>
    <w:rsid w:val="00091664"/>
    <w:rsid w:val="00091A9C"/>
    <w:rsid w:val="000926BD"/>
    <w:rsid w:val="00092ECF"/>
    <w:rsid w:val="00093638"/>
    <w:rsid w:val="000936E1"/>
    <w:rsid w:val="00093926"/>
    <w:rsid w:val="00094346"/>
    <w:rsid w:val="00095229"/>
    <w:rsid w:val="000964D7"/>
    <w:rsid w:val="000969CD"/>
    <w:rsid w:val="000A006D"/>
    <w:rsid w:val="000A0635"/>
    <w:rsid w:val="000A0A44"/>
    <w:rsid w:val="000A100E"/>
    <w:rsid w:val="000A1246"/>
    <w:rsid w:val="000A1975"/>
    <w:rsid w:val="000A2CFB"/>
    <w:rsid w:val="000A2D30"/>
    <w:rsid w:val="000A477F"/>
    <w:rsid w:val="000A49B4"/>
    <w:rsid w:val="000A52C1"/>
    <w:rsid w:val="000A5346"/>
    <w:rsid w:val="000A6436"/>
    <w:rsid w:val="000A6763"/>
    <w:rsid w:val="000A6B11"/>
    <w:rsid w:val="000A7C6A"/>
    <w:rsid w:val="000B12D7"/>
    <w:rsid w:val="000B133E"/>
    <w:rsid w:val="000B1D8A"/>
    <w:rsid w:val="000B1E2B"/>
    <w:rsid w:val="000B2E71"/>
    <w:rsid w:val="000B49CB"/>
    <w:rsid w:val="000B7695"/>
    <w:rsid w:val="000B7A46"/>
    <w:rsid w:val="000C09FC"/>
    <w:rsid w:val="000C1793"/>
    <w:rsid w:val="000C1FDA"/>
    <w:rsid w:val="000C3C66"/>
    <w:rsid w:val="000C3F46"/>
    <w:rsid w:val="000C4B66"/>
    <w:rsid w:val="000C5EB6"/>
    <w:rsid w:val="000C6A0B"/>
    <w:rsid w:val="000C6C82"/>
    <w:rsid w:val="000C7781"/>
    <w:rsid w:val="000C7CB3"/>
    <w:rsid w:val="000D1FC0"/>
    <w:rsid w:val="000D2772"/>
    <w:rsid w:val="000D27B3"/>
    <w:rsid w:val="000D28F5"/>
    <w:rsid w:val="000D3ADF"/>
    <w:rsid w:val="000D40AF"/>
    <w:rsid w:val="000D4881"/>
    <w:rsid w:val="000D595D"/>
    <w:rsid w:val="000D5C62"/>
    <w:rsid w:val="000D7AE2"/>
    <w:rsid w:val="000E0710"/>
    <w:rsid w:val="000E1A30"/>
    <w:rsid w:val="000E1C51"/>
    <w:rsid w:val="000E21A7"/>
    <w:rsid w:val="000E2351"/>
    <w:rsid w:val="000E2FAF"/>
    <w:rsid w:val="000E3F7F"/>
    <w:rsid w:val="000E409A"/>
    <w:rsid w:val="000E506C"/>
    <w:rsid w:val="000E6D52"/>
    <w:rsid w:val="000E7AE4"/>
    <w:rsid w:val="000F018B"/>
    <w:rsid w:val="000F07EE"/>
    <w:rsid w:val="000F089A"/>
    <w:rsid w:val="000F0FE6"/>
    <w:rsid w:val="000F1756"/>
    <w:rsid w:val="000F2EB2"/>
    <w:rsid w:val="000F30A3"/>
    <w:rsid w:val="000F3669"/>
    <w:rsid w:val="000F383C"/>
    <w:rsid w:val="000F3FCC"/>
    <w:rsid w:val="000F46A9"/>
    <w:rsid w:val="000F4FD6"/>
    <w:rsid w:val="000F6736"/>
    <w:rsid w:val="000F6B4A"/>
    <w:rsid w:val="000F6EF1"/>
    <w:rsid w:val="000F71D8"/>
    <w:rsid w:val="000F77C3"/>
    <w:rsid w:val="000F7BAD"/>
    <w:rsid w:val="000F7CC1"/>
    <w:rsid w:val="001005C5"/>
    <w:rsid w:val="00100F8D"/>
    <w:rsid w:val="00101028"/>
    <w:rsid w:val="00101BD3"/>
    <w:rsid w:val="00101DDE"/>
    <w:rsid w:val="0010244F"/>
    <w:rsid w:val="00103754"/>
    <w:rsid w:val="0010596D"/>
    <w:rsid w:val="00105FE0"/>
    <w:rsid w:val="001073A6"/>
    <w:rsid w:val="001073B1"/>
    <w:rsid w:val="001074B3"/>
    <w:rsid w:val="00107ADC"/>
    <w:rsid w:val="00111292"/>
    <w:rsid w:val="0011173F"/>
    <w:rsid w:val="00111DF7"/>
    <w:rsid w:val="00114231"/>
    <w:rsid w:val="00115BC2"/>
    <w:rsid w:val="001169B9"/>
    <w:rsid w:val="0011775D"/>
    <w:rsid w:val="00117BC0"/>
    <w:rsid w:val="00120A0A"/>
    <w:rsid w:val="001215AD"/>
    <w:rsid w:val="0012182E"/>
    <w:rsid w:val="00123425"/>
    <w:rsid w:val="00123C31"/>
    <w:rsid w:val="00125D8D"/>
    <w:rsid w:val="00126B6A"/>
    <w:rsid w:val="00127E62"/>
    <w:rsid w:val="001302EB"/>
    <w:rsid w:val="00132C2C"/>
    <w:rsid w:val="00132DD6"/>
    <w:rsid w:val="0013300B"/>
    <w:rsid w:val="00135825"/>
    <w:rsid w:val="0013753D"/>
    <w:rsid w:val="00140616"/>
    <w:rsid w:val="00141154"/>
    <w:rsid w:val="00141ABA"/>
    <w:rsid w:val="0014265D"/>
    <w:rsid w:val="00142808"/>
    <w:rsid w:val="00143A5A"/>
    <w:rsid w:val="00143CF5"/>
    <w:rsid w:val="00143ED0"/>
    <w:rsid w:val="00145902"/>
    <w:rsid w:val="00145AC4"/>
    <w:rsid w:val="0014652D"/>
    <w:rsid w:val="0014724E"/>
    <w:rsid w:val="00147AA4"/>
    <w:rsid w:val="00147AF8"/>
    <w:rsid w:val="00150D59"/>
    <w:rsid w:val="001512C2"/>
    <w:rsid w:val="001526D8"/>
    <w:rsid w:val="00152807"/>
    <w:rsid w:val="001549B3"/>
    <w:rsid w:val="0015543A"/>
    <w:rsid w:val="00155486"/>
    <w:rsid w:val="00155780"/>
    <w:rsid w:val="001557B1"/>
    <w:rsid w:val="00155D86"/>
    <w:rsid w:val="00155E49"/>
    <w:rsid w:val="0015618E"/>
    <w:rsid w:val="0015638F"/>
    <w:rsid w:val="001563DA"/>
    <w:rsid w:val="00156583"/>
    <w:rsid w:val="001565C0"/>
    <w:rsid w:val="00156751"/>
    <w:rsid w:val="00156C5B"/>
    <w:rsid w:val="00157011"/>
    <w:rsid w:val="00157037"/>
    <w:rsid w:val="001570FF"/>
    <w:rsid w:val="001578E6"/>
    <w:rsid w:val="00160576"/>
    <w:rsid w:val="00161B6E"/>
    <w:rsid w:val="00161F8D"/>
    <w:rsid w:val="001633AB"/>
    <w:rsid w:val="00163F07"/>
    <w:rsid w:val="001641A7"/>
    <w:rsid w:val="001646F4"/>
    <w:rsid w:val="001654A3"/>
    <w:rsid w:val="00165BE8"/>
    <w:rsid w:val="00166C58"/>
    <w:rsid w:val="00167626"/>
    <w:rsid w:val="001715DA"/>
    <w:rsid w:val="001725F1"/>
    <w:rsid w:val="001731AB"/>
    <w:rsid w:val="001738A2"/>
    <w:rsid w:val="001747A0"/>
    <w:rsid w:val="00174E78"/>
    <w:rsid w:val="001764C0"/>
    <w:rsid w:val="00176823"/>
    <w:rsid w:val="00176DF1"/>
    <w:rsid w:val="001772C9"/>
    <w:rsid w:val="001809FE"/>
    <w:rsid w:val="001815DF"/>
    <w:rsid w:val="00181D76"/>
    <w:rsid w:val="00183304"/>
    <w:rsid w:val="00183434"/>
    <w:rsid w:val="00183E1E"/>
    <w:rsid w:val="00187F99"/>
    <w:rsid w:val="001909CA"/>
    <w:rsid w:val="00190D3B"/>
    <w:rsid w:val="001916C6"/>
    <w:rsid w:val="0019190F"/>
    <w:rsid w:val="00191985"/>
    <w:rsid w:val="001945C0"/>
    <w:rsid w:val="0019476B"/>
    <w:rsid w:val="00195640"/>
    <w:rsid w:val="001958DE"/>
    <w:rsid w:val="0019669B"/>
    <w:rsid w:val="00196AAC"/>
    <w:rsid w:val="00197300"/>
    <w:rsid w:val="00197D6A"/>
    <w:rsid w:val="001A04BA"/>
    <w:rsid w:val="001A13B3"/>
    <w:rsid w:val="001A153C"/>
    <w:rsid w:val="001A1B8E"/>
    <w:rsid w:val="001A22E2"/>
    <w:rsid w:val="001A3B04"/>
    <w:rsid w:val="001A3E3E"/>
    <w:rsid w:val="001A5538"/>
    <w:rsid w:val="001A6367"/>
    <w:rsid w:val="001A65BA"/>
    <w:rsid w:val="001B01DB"/>
    <w:rsid w:val="001B0D3C"/>
    <w:rsid w:val="001B0E31"/>
    <w:rsid w:val="001B16CC"/>
    <w:rsid w:val="001B1AB9"/>
    <w:rsid w:val="001B1CCD"/>
    <w:rsid w:val="001B24C2"/>
    <w:rsid w:val="001B2B40"/>
    <w:rsid w:val="001B2B5C"/>
    <w:rsid w:val="001B2FF9"/>
    <w:rsid w:val="001B303B"/>
    <w:rsid w:val="001B3868"/>
    <w:rsid w:val="001B3983"/>
    <w:rsid w:val="001B4255"/>
    <w:rsid w:val="001B4BAD"/>
    <w:rsid w:val="001B6293"/>
    <w:rsid w:val="001B65B5"/>
    <w:rsid w:val="001B69B8"/>
    <w:rsid w:val="001B6B55"/>
    <w:rsid w:val="001B6D79"/>
    <w:rsid w:val="001B7CF1"/>
    <w:rsid w:val="001C0B04"/>
    <w:rsid w:val="001C25B3"/>
    <w:rsid w:val="001C2C3B"/>
    <w:rsid w:val="001C329F"/>
    <w:rsid w:val="001C367F"/>
    <w:rsid w:val="001C399C"/>
    <w:rsid w:val="001C3D5E"/>
    <w:rsid w:val="001C422B"/>
    <w:rsid w:val="001C4942"/>
    <w:rsid w:val="001C5BB7"/>
    <w:rsid w:val="001C652A"/>
    <w:rsid w:val="001C77E1"/>
    <w:rsid w:val="001D0342"/>
    <w:rsid w:val="001D0552"/>
    <w:rsid w:val="001D125D"/>
    <w:rsid w:val="001D1FEA"/>
    <w:rsid w:val="001D40D4"/>
    <w:rsid w:val="001D480C"/>
    <w:rsid w:val="001D5030"/>
    <w:rsid w:val="001D56DC"/>
    <w:rsid w:val="001D5CB5"/>
    <w:rsid w:val="001D5F56"/>
    <w:rsid w:val="001D7AE7"/>
    <w:rsid w:val="001E02D2"/>
    <w:rsid w:val="001E1467"/>
    <w:rsid w:val="001E1700"/>
    <w:rsid w:val="001E205E"/>
    <w:rsid w:val="001E39DE"/>
    <w:rsid w:val="001E3E99"/>
    <w:rsid w:val="001E3FD9"/>
    <w:rsid w:val="001E416E"/>
    <w:rsid w:val="001E44E7"/>
    <w:rsid w:val="001E555E"/>
    <w:rsid w:val="001F0ABA"/>
    <w:rsid w:val="001F0C3E"/>
    <w:rsid w:val="001F0C9B"/>
    <w:rsid w:val="001F1488"/>
    <w:rsid w:val="001F38F1"/>
    <w:rsid w:val="001F3D6F"/>
    <w:rsid w:val="001F4186"/>
    <w:rsid w:val="001F4E26"/>
    <w:rsid w:val="001F50CE"/>
    <w:rsid w:val="001F62D8"/>
    <w:rsid w:val="001F661E"/>
    <w:rsid w:val="001F6E2B"/>
    <w:rsid w:val="001F7BF2"/>
    <w:rsid w:val="001F7CC9"/>
    <w:rsid w:val="001F7CCD"/>
    <w:rsid w:val="001F7F73"/>
    <w:rsid w:val="001F7F8D"/>
    <w:rsid w:val="002003E8"/>
    <w:rsid w:val="002009EE"/>
    <w:rsid w:val="00201E21"/>
    <w:rsid w:val="0020200B"/>
    <w:rsid w:val="00202084"/>
    <w:rsid w:val="00202400"/>
    <w:rsid w:val="0020293B"/>
    <w:rsid w:val="00204F0E"/>
    <w:rsid w:val="00205C48"/>
    <w:rsid w:val="0020614B"/>
    <w:rsid w:val="00206900"/>
    <w:rsid w:val="00207C42"/>
    <w:rsid w:val="00207DED"/>
    <w:rsid w:val="0021094D"/>
    <w:rsid w:val="00210D99"/>
    <w:rsid w:val="00210F61"/>
    <w:rsid w:val="002124F1"/>
    <w:rsid w:val="002141A5"/>
    <w:rsid w:val="002164D8"/>
    <w:rsid w:val="0021713B"/>
    <w:rsid w:val="0021739D"/>
    <w:rsid w:val="00217E97"/>
    <w:rsid w:val="0022115D"/>
    <w:rsid w:val="00221E47"/>
    <w:rsid w:val="00222A3A"/>
    <w:rsid w:val="00222C5E"/>
    <w:rsid w:val="0022395A"/>
    <w:rsid w:val="0022417A"/>
    <w:rsid w:val="002242FB"/>
    <w:rsid w:val="00224450"/>
    <w:rsid w:val="00224B31"/>
    <w:rsid w:val="00226189"/>
    <w:rsid w:val="0022675C"/>
    <w:rsid w:val="0023161D"/>
    <w:rsid w:val="00231B62"/>
    <w:rsid w:val="002322E1"/>
    <w:rsid w:val="00233B49"/>
    <w:rsid w:val="00234776"/>
    <w:rsid w:val="00235320"/>
    <w:rsid w:val="002365C0"/>
    <w:rsid w:val="00236A43"/>
    <w:rsid w:val="002374B4"/>
    <w:rsid w:val="00240124"/>
    <w:rsid w:val="0024025A"/>
    <w:rsid w:val="00240814"/>
    <w:rsid w:val="00240E60"/>
    <w:rsid w:val="0024140E"/>
    <w:rsid w:val="00241E3E"/>
    <w:rsid w:val="0024211C"/>
    <w:rsid w:val="00243848"/>
    <w:rsid w:val="0024503A"/>
    <w:rsid w:val="002450B9"/>
    <w:rsid w:val="0024535A"/>
    <w:rsid w:val="002456DD"/>
    <w:rsid w:val="00247FF4"/>
    <w:rsid w:val="00250361"/>
    <w:rsid w:val="002512A3"/>
    <w:rsid w:val="00251581"/>
    <w:rsid w:val="00251D61"/>
    <w:rsid w:val="00251ECD"/>
    <w:rsid w:val="00252109"/>
    <w:rsid w:val="00252D26"/>
    <w:rsid w:val="00252D51"/>
    <w:rsid w:val="002536B3"/>
    <w:rsid w:val="00254F56"/>
    <w:rsid w:val="00255017"/>
    <w:rsid w:val="0025514E"/>
    <w:rsid w:val="002566B3"/>
    <w:rsid w:val="002569AF"/>
    <w:rsid w:val="00257F47"/>
    <w:rsid w:val="00260016"/>
    <w:rsid w:val="0026012F"/>
    <w:rsid w:val="00260391"/>
    <w:rsid w:val="00260F56"/>
    <w:rsid w:val="0026161C"/>
    <w:rsid w:val="00262143"/>
    <w:rsid w:val="002628BC"/>
    <w:rsid w:val="00263C9C"/>
    <w:rsid w:val="002647B7"/>
    <w:rsid w:val="00264B66"/>
    <w:rsid w:val="00264DC7"/>
    <w:rsid w:val="00265A25"/>
    <w:rsid w:val="00265A60"/>
    <w:rsid w:val="00266302"/>
    <w:rsid w:val="00267BF1"/>
    <w:rsid w:val="00267E39"/>
    <w:rsid w:val="00270595"/>
    <w:rsid w:val="002712FA"/>
    <w:rsid w:val="002715A3"/>
    <w:rsid w:val="0027179F"/>
    <w:rsid w:val="00271B29"/>
    <w:rsid w:val="00272B00"/>
    <w:rsid w:val="00272E39"/>
    <w:rsid w:val="00273B2D"/>
    <w:rsid w:val="00273DED"/>
    <w:rsid w:val="002743CD"/>
    <w:rsid w:val="00274F2E"/>
    <w:rsid w:val="002754CB"/>
    <w:rsid w:val="00275E90"/>
    <w:rsid w:val="00276396"/>
    <w:rsid w:val="00276821"/>
    <w:rsid w:val="002769B2"/>
    <w:rsid w:val="002769B9"/>
    <w:rsid w:val="00276F3D"/>
    <w:rsid w:val="002779F0"/>
    <w:rsid w:val="00277E1E"/>
    <w:rsid w:val="002802C3"/>
    <w:rsid w:val="00280335"/>
    <w:rsid w:val="0028080F"/>
    <w:rsid w:val="002825B3"/>
    <w:rsid w:val="00283D37"/>
    <w:rsid w:val="00283E3E"/>
    <w:rsid w:val="00284004"/>
    <w:rsid w:val="00284312"/>
    <w:rsid w:val="00284E84"/>
    <w:rsid w:val="0028523C"/>
    <w:rsid w:val="002858D3"/>
    <w:rsid w:val="00285F4E"/>
    <w:rsid w:val="002861C6"/>
    <w:rsid w:val="00287920"/>
    <w:rsid w:val="00290AB4"/>
    <w:rsid w:val="00291333"/>
    <w:rsid w:val="00291C94"/>
    <w:rsid w:val="0029200D"/>
    <w:rsid w:val="00292816"/>
    <w:rsid w:val="00293081"/>
    <w:rsid w:val="002930A6"/>
    <w:rsid w:val="00293D0D"/>
    <w:rsid w:val="0029427B"/>
    <w:rsid w:val="0029467A"/>
    <w:rsid w:val="00295470"/>
    <w:rsid w:val="00296968"/>
    <w:rsid w:val="002A09E2"/>
    <w:rsid w:val="002A1B26"/>
    <w:rsid w:val="002A247F"/>
    <w:rsid w:val="002A28C1"/>
    <w:rsid w:val="002A3C9A"/>
    <w:rsid w:val="002A4D12"/>
    <w:rsid w:val="002A5F86"/>
    <w:rsid w:val="002A61E1"/>
    <w:rsid w:val="002A7BDC"/>
    <w:rsid w:val="002A7D72"/>
    <w:rsid w:val="002B093C"/>
    <w:rsid w:val="002B0F59"/>
    <w:rsid w:val="002B1273"/>
    <w:rsid w:val="002B212F"/>
    <w:rsid w:val="002B22C3"/>
    <w:rsid w:val="002B3098"/>
    <w:rsid w:val="002B33FA"/>
    <w:rsid w:val="002B347F"/>
    <w:rsid w:val="002B3B37"/>
    <w:rsid w:val="002B3E6A"/>
    <w:rsid w:val="002B47B2"/>
    <w:rsid w:val="002B6DD4"/>
    <w:rsid w:val="002B7169"/>
    <w:rsid w:val="002B7691"/>
    <w:rsid w:val="002C085D"/>
    <w:rsid w:val="002C0E57"/>
    <w:rsid w:val="002C1540"/>
    <w:rsid w:val="002C16AD"/>
    <w:rsid w:val="002C3CEE"/>
    <w:rsid w:val="002C4AF3"/>
    <w:rsid w:val="002C5009"/>
    <w:rsid w:val="002C5C7B"/>
    <w:rsid w:val="002C625B"/>
    <w:rsid w:val="002D0034"/>
    <w:rsid w:val="002D03F4"/>
    <w:rsid w:val="002D05BD"/>
    <w:rsid w:val="002D0D81"/>
    <w:rsid w:val="002D1485"/>
    <w:rsid w:val="002D1F1D"/>
    <w:rsid w:val="002D3FAD"/>
    <w:rsid w:val="002D4481"/>
    <w:rsid w:val="002D4C41"/>
    <w:rsid w:val="002D53C3"/>
    <w:rsid w:val="002D54C1"/>
    <w:rsid w:val="002D55EA"/>
    <w:rsid w:val="002D5ED6"/>
    <w:rsid w:val="002D5F52"/>
    <w:rsid w:val="002D60F2"/>
    <w:rsid w:val="002D6591"/>
    <w:rsid w:val="002D6D3E"/>
    <w:rsid w:val="002D762A"/>
    <w:rsid w:val="002D77B1"/>
    <w:rsid w:val="002E02C0"/>
    <w:rsid w:val="002E159D"/>
    <w:rsid w:val="002E1709"/>
    <w:rsid w:val="002E1B7C"/>
    <w:rsid w:val="002E2B80"/>
    <w:rsid w:val="002E334E"/>
    <w:rsid w:val="002E47FE"/>
    <w:rsid w:val="002E4D19"/>
    <w:rsid w:val="002E5FC8"/>
    <w:rsid w:val="002E5FCA"/>
    <w:rsid w:val="002E6F96"/>
    <w:rsid w:val="002E751A"/>
    <w:rsid w:val="002E7FD3"/>
    <w:rsid w:val="002F1228"/>
    <w:rsid w:val="002F2503"/>
    <w:rsid w:val="002F3537"/>
    <w:rsid w:val="002F3E23"/>
    <w:rsid w:val="002F5285"/>
    <w:rsid w:val="002F55BE"/>
    <w:rsid w:val="002F5DB8"/>
    <w:rsid w:val="002F7C09"/>
    <w:rsid w:val="002F7F81"/>
    <w:rsid w:val="0030036E"/>
    <w:rsid w:val="00300D38"/>
    <w:rsid w:val="00300FB7"/>
    <w:rsid w:val="00301D28"/>
    <w:rsid w:val="0030294E"/>
    <w:rsid w:val="003033EE"/>
    <w:rsid w:val="003035B8"/>
    <w:rsid w:val="003044EA"/>
    <w:rsid w:val="003053E9"/>
    <w:rsid w:val="003059C1"/>
    <w:rsid w:val="00305BC1"/>
    <w:rsid w:val="003063C0"/>
    <w:rsid w:val="003067C4"/>
    <w:rsid w:val="00310850"/>
    <w:rsid w:val="00310D2D"/>
    <w:rsid w:val="00312424"/>
    <w:rsid w:val="00312FD2"/>
    <w:rsid w:val="003144D1"/>
    <w:rsid w:val="00314D88"/>
    <w:rsid w:val="003157A1"/>
    <w:rsid w:val="00315866"/>
    <w:rsid w:val="00316319"/>
    <w:rsid w:val="003166BB"/>
    <w:rsid w:val="00317E33"/>
    <w:rsid w:val="00317ECF"/>
    <w:rsid w:val="00317F38"/>
    <w:rsid w:val="00317FDA"/>
    <w:rsid w:val="0032047C"/>
    <w:rsid w:val="00320ABC"/>
    <w:rsid w:val="00321DEC"/>
    <w:rsid w:val="003234CD"/>
    <w:rsid w:val="003235D3"/>
    <w:rsid w:val="00323924"/>
    <w:rsid w:val="00323E24"/>
    <w:rsid w:val="003242F6"/>
    <w:rsid w:val="00324AF5"/>
    <w:rsid w:val="00324CBC"/>
    <w:rsid w:val="00324DD1"/>
    <w:rsid w:val="00324F48"/>
    <w:rsid w:val="003255D6"/>
    <w:rsid w:val="00326108"/>
    <w:rsid w:val="00326514"/>
    <w:rsid w:val="0032685D"/>
    <w:rsid w:val="00327B9D"/>
    <w:rsid w:val="00331688"/>
    <w:rsid w:val="0033181D"/>
    <w:rsid w:val="00331E86"/>
    <w:rsid w:val="00332346"/>
    <w:rsid w:val="00332855"/>
    <w:rsid w:val="00332DA8"/>
    <w:rsid w:val="00333DB1"/>
    <w:rsid w:val="00334432"/>
    <w:rsid w:val="00335D15"/>
    <w:rsid w:val="0033747A"/>
    <w:rsid w:val="00337DF6"/>
    <w:rsid w:val="00337F5E"/>
    <w:rsid w:val="003400C2"/>
    <w:rsid w:val="0034014E"/>
    <w:rsid w:val="00340D66"/>
    <w:rsid w:val="00342262"/>
    <w:rsid w:val="00343298"/>
    <w:rsid w:val="00343A22"/>
    <w:rsid w:val="003452D9"/>
    <w:rsid w:val="003456C6"/>
    <w:rsid w:val="003460E7"/>
    <w:rsid w:val="00346F64"/>
    <w:rsid w:val="003470C2"/>
    <w:rsid w:val="003476A1"/>
    <w:rsid w:val="003477A7"/>
    <w:rsid w:val="0035033C"/>
    <w:rsid w:val="003505EE"/>
    <w:rsid w:val="00351401"/>
    <w:rsid w:val="0035222A"/>
    <w:rsid w:val="00352E43"/>
    <w:rsid w:val="003531CD"/>
    <w:rsid w:val="00353DCF"/>
    <w:rsid w:val="00354DBF"/>
    <w:rsid w:val="00354E5E"/>
    <w:rsid w:val="003553BF"/>
    <w:rsid w:val="00355F58"/>
    <w:rsid w:val="00356240"/>
    <w:rsid w:val="00356AE9"/>
    <w:rsid w:val="003573BB"/>
    <w:rsid w:val="003601E4"/>
    <w:rsid w:val="003602E4"/>
    <w:rsid w:val="00360B13"/>
    <w:rsid w:val="00362AA4"/>
    <w:rsid w:val="003639AF"/>
    <w:rsid w:val="0036489E"/>
    <w:rsid w:val="003654AE"/>
    <w:rsid w:val="00365F37"/>
    <w:rsid w:val="003661CD"/>
    <w:rsid w:val="00366201"/>
    <w:rsid w:val="003662FB"/>
    <w:rsid w:val="003668F7"/>
    <w:rsid w:val="00366A89"/>
    <w:rsid w:val="00366CA9"/>
    <w:rsid w:val="003670DA"/>
    <w:rsid w:val="003700B9"/>
    <w:rsid w:val="00371768"/>
    <w:rsid w:val="00371C06"/>
    <w:rsid w:val="00371C51"/>
    <w:rsid w:val="003721F5"/>
    <w:rsid w:val="003722B8"/>
    <w:rsid w:val="003728B1"/>
    <w:rsid w:val="00372E82"/>
    <w:rsid w:val="0037357D"/>
    <w:rsid w:val="00373D28"/>
    <w:rsid w:val="00374ACF"/>
    <w:rsid w:val="00374EE9"/>
    <w:rsid w:val="00375C50"/>
    <w:rsid w:val="003768BE"/>
    <w:rsid w:val="00377A4B"/>
    <w:rsid w:val="00377ACF"/>
    <w:rsid w:val="00380CAB"/>
    <w:rsid w:val="00381958"/>
    <w:rsid w:val="00383C49"/>
    <w:rsid w:val="003847FC"/>
    <w:rsid w:val="00384CD3"/>
    <w:rsid w:val="003860EA"/>
    <w:rsid w:val="0038619D"/>
    <w:rsid w:val="00386A24"/>
    <w:rsid w:val="00386CE5"/>
    <w:rsid w:val="00387CC9"/>
    <w:rsid w:val="00390236"/>
    <w:rsid w:val="00390CE8"/>
    <w:rsid w:val="00391AD8"/>
    <w:rsid w:val="00391FA0"/>
    <w:rsid w:val="003923E6"/>
    <w:rsid w:val="003926BD"/>
    <w:rsid w:val="0039275E"/>
    <w:rsid w:val="003937A5"/>
    <w:rsid w:val="00393AEC"/>
    <w:rsid w:val="00393C73"/>
    <w:rsid w:val="00395AE6"/>
    <w:rsid w:val="00397718"/>
    <w:rsid w:val="003A0130"/>
    <w:rsid w:val="003A09CF"/>
    <w:rsid w:val="003A0AA5"/>
    <w:rsid w:val="003A2194"/>
    <w:rsid w:val="003A23EF"/>
    <w:rsid w:val="003A2861"/>
    <w:rsid w:val="003A4FE0"/>
    <w:rsid w:val="003A5190"/>
    <w:rsid w:val="003A6643"/>
    <w:rsid w:val="003A6833"/>
    <w:rsid w:val="003A6AF8"/>
    <w:rsid w:val="003A7D5C"/>
    <w:rsid w:val="003B12D1"/>
    <w:rsid w:val="003B2858"/>
    <w:rsid w:val="003B2C69"/>
    <w:rsid w:val="003B3E44"/>
    <w:rsid w:val="003B4586"/>
    <w:rsid w:val="003B465C"/>
    <w:rsid w:val="003B4920"/>
    <w:rsid w:val="003B49C5"/>
    <w:rsid w:val="003B5330"/>
    <w:rsid w:val="003B550E"/>
    <w:rsid w:val="003B562E"/>
    <w:rsid w:val="003B5A0B"/>
    <w:rsid w:val="003B6624"/>
    <w:rsid w:val="003B7090"/>
    <w:rsid w:val="003B78A5"/>
    <w:rsid w:val="003C0662"/>
    <w:rsid w:val="003C0803"/>
    <w:rsid w:val="003C0BB4"/>
    <w:rsid w:val="003C0BFB"/>
    <w:rsid w:val="003C0C0B"/>
    <w:rsid w:val="003C1DD7"/>
    <w:rsid w:val="003C2ABE"/>
    <w:rsid w:val="003C2E2A"/>
    <w:rsid w:val="003C2F42"/>
    <w:rsid w:val="003C3B55"/>
    <w:rsid w:val="003C3E2B"/>
    <w:rsid w:val="003C49D0"/>
    <w:rsid w:val="003C5101"/>
    <w:rsid w:val="003C5D74"/>
    <w:rsid w:val="003C6FC0"/>
    <w:rsid w:val="003C72D7"/>
    <w:rsid w:val="003C730F"/>
    <w:rsid w:val="003C7B42"/>
    <w:rsid w:val="003C7C88"/>
    <w:rsid w:val="003C7E7A"/>
    <w:rsid w:val="003D0906"/>
    <w:rsid w:val="003D14B8"/>
    <w:rsid w:val="003D1FEA"/>
    <w:rsid w:val="003D342E"/>
    <w:rsid w:val="003D3ECE"/>
    <w:rsid w:val="003D3F73"/>
    <w:rsid w:val="003D3FE7"/>
    <w:rsid w:val="003D42A8"/>
    <w:rsid w:val="003D431B"/>
    <w:rsid w:val="003D4656"/>
    <w:rsid w:val="003D4DEE"/>
    <w:rsid w:val="003D532A"/>
    <w:rsid w:val="003D5EF0"/>
    <w:rsid w:val="003D68C6"/>
    <w:rsid w:val="003D6BE2"/>
    <w:rsid w:val="003D6FD0"/>
    <w:rsid w:val="003D739E"/>
    <w:rsid w:val="003E03F8"/>
    <w:rsid w:val="003E08D5"/>
    <w:rsid w:val="003E346B"/>
    <w:rsid w:val="003E3766"/>
    <w:rsid w:val="003E3930"/>
    <w:rsid w:val="003E4812"/>
    <w:rsid w:val="003E4ACD"/>
    <w:rsid w:val="003E4F11"/>
    <w:rsid w:val="003E51A4"/>
    <w:rsid w:val="003E5477"/>
    <w:rsid w:val="003E5F10"/>
    <w:rsid w:val="003E76E3"/>
    <w:rsid w:val="003E7B0D"/>
    <w:rsid w:val="003F11EC"/>
    <w:rsid w:val="003F1377"/>
    <w:rsid w:val="003F1B8C"/>
    <w:rsid w:val="003F244F"/>
    <w:rsid w:val="003F3B92"/>
    <w:rsid w:val="003F464C"/>
    <w:rsid w:val="003F4E48"/>
    <w:rsid w:val="003F50C9"/>
    <w:rsid w:val="003F5440"/>
    <w:rsid w:val="003F6142"/>
    <w:rsid w:val="003F64D6"/>
    <w:rsid w:val="003F6A77"/>
    <w:rsid w:val="003F6A7B"/>
    <w:rsid w:val="003F7130"/>
    <w:rsid w:val="003F721C"/>
    <w:rsid w:val="003F7931"/>
    <w:rsid w:val="004003DB"/>
    <w:rsid w:val="00400707"/>
    <w:rsid w:val="004016E0"/>
    <w:rsid w:val="00401751"/>
    <w:rsid w:val="00401E05"/>
    <w:rsid w:val="00402508"/>
    <w:rsid w:val="004036D6"/>
    <w:rsid w:val="00403D87"/>
    <w:rsid w:val="00405350"/>
    <w:rsid w:val="00405B7C"/>
    <w:rsid w:val="00405EB0"/>
    <w:rsid w:val="00407610"/>
    <w:rsid w:val="00407D7A"/>
    <w:rsid w:val="00410E28"/>
    <w:rsid w:val="004112A0"/>
    <w:rsid w:val="004113D1"/>
    <w:rsid w:val="00411559"/>
    <w:rsid w:val="00411B88"/>
    <w:rsid w:val="00412587"/>
    <w:rsid w:val="00413EB4"/>
    <w:rsid w:val="004148B4"/>
    <w:rsid w:val="00414E94"/>
    <w:rsid w:val="00415DF7"/>
    <w:rsid w:val="004166BE"/>
    <w:rsid w:val="00417C2A"/>
    <w:rsid w:val="004202BA"/>
    <w:rsid w:val="00420767"/>
    <w:rsid w:val="00421CD5"/>
    <w:rsid w:val="00421FEB"/>
    <w:rsid w:val="00423825"/>
    <w:rsid w:val="00423EF2"/>
    <w:rsid w:val="00425860"/>
    <w:rsid w:val="00425B23"/>
    <w:rsid w:val="00426AF2"/>
    <w:rsid w:val="00426C02"/>
    <w:rsid w:val="00426CD3"/>
    <w:rsid w:val="0042779B"/>
    <w:rsid w:val="00427816"/>
    <w:rsid w:val="00430588"/>
    <w:rsid w:val="00432A69"/>
    <w:rsid w:val="00433445"/>
    <w:rsid w:val="004351AD"/>
    <w:rsid w:val="00435483"/>
    <w:rsid w:val="00437252"/>
    <w:rsid w:val="00437E37"/>
    <w:rsid w:val="0044003F"/>
    <w:rsid w:val="00440872"/>
    <w:rsid w:val="00440C06"/>
    <w:rsid w:val="00440C08"/>
    <w:rsid w:val="0044109C"/>
    <w:rsid w:val="00441503"/>
    <w:rsid w:val="0044151F"/>
    <w:rsid w:val="00441996"/>
    <w:rsid w:val="00442800"/>
    <w:rsid w:val="00442A83"/>
    <w:rsid w:val="00442C1B"/>
    <w:rsid w:val="0044325A"/>
    <w:rsid w:val="00443A4B"/>
    <w:rsid w:val="00443F56"/>
    <w:rsid w:val="004441AC"/>
    <w:rsid w:val="004446A2"/>
    <w:rsid w:val="004452F0"/>
    <w:rsid w:val="004455E4"/>
    <w:rsid w:val="00445849"/>
    <w:rsid w:val="00446C2B"/>
    <w:rsid w:val="00447C53"/>
    <w:rsid w:val="00450234"/>
    <w:rsid w:val="0045062B"/>
    <w:rsid w:val="00450697"/>
    <w:rsid w:val="004511CB"/>
    <w:rsid w:val="00452199"/>
    <w:rsid w:val="00452F6B"/>
    <w:rsid w:val="00453EAB"/>
    <w:rsid w:val="004546E6"/>
    <w:rsid w:val="004547FB"/>
    <w:rsid w:val="00454AC5"/>
    <w:rsid w:val="00455313"/>
    <w:rsid w:val="004555CC"/>
    <w:rsid w:val="00455889"/>
    <w:rsid w:val="00456415"/>
    <w:rsid w:val="0045737A"/>
    <w:rsid w:val="004573C6"/>
    <w:rsid w:val="0046133E"/>
    <w:rsid w:val="00461F68"/>
    <w:rsid w:val="00462BDD"/>
    <w:rsid w:val="00464B6A"/>
    <w:rsid w:val="00465D3D"/>
    <w:rsid w:val="00465DC1"/>
    <w:rsid w:val="00465EF6"/>
    <w:rsid w:val="0046642D"/>
    <w:rsid w:val="004676B5"/>
    <w:rsid w:val="00470059"/>
    <w:rsid w:val="004702A4"/>
    <w:rsid w:val="004729B9"/>
    <w:rsid w:val="00474D19"/>
    <w:rsid w:val="00474E15"/>
    <w:rsid w:val="00474F6A"/>
    <w:rsid w:val="0047594A"/>
    <w:rsid w:val="00475960"/>
    <w:rsid w:val="0047632E"/>
    <w:rsid w:val="00476C10"/>
    <w:rsid w:val="00477B81"/>
    <w:rsid w:val="0048042D"/>
    <w:rsid w:val="00480916"/>
    <w:rsid w:val="00480D6B"/>
    <w:rsid w:val="004819F0"/>
    <w:rsid w:val="00482B64"/>
    <w:rsid w:val="0048493C"/>
    <w:rsid w:val="00484A8B"/>
    <w:rsid w:val="00486E1D"/>
    <w:rsid w:val="004876F4"/>
    <w:rsid w:val="00492E61"/>
    <w:rsid w:val="004944B5"/>
    <w:rsid w:val="00494547"/>
    <w:rsid w:val="00494EC5"/>
    <w:rsid w:val="00495458"/>
    <w:rsid w:val="00495F84"/>
    <w:rsid w:val="004966E4"/>
    <w:rsid w:val="00496E30"/>
    <w:rsid w:val="0049725B"/>
    <w:rsid w:val="00497A43"/>
    <w:rsid w:val="004A31E3"/>
    <w:rsid w:val="004A3947"/>
    <w:rsid w:val="004A4737"/>
    <w:rsid w:val="004A4806"/>
    <w:rsid w:val="004A4C31"/>
    <w:rsid w:val="004A4C51"/>
    <w:rsid w:val="004A52FE"/>
    <w:rsid w:val="004A590C"/>
    <w:rsid w:val="004A5E1A"/>
    <w:rsid w:val="004A66F0"/>
    <w:rsid w:val="004A6C6A"/>
    <w:rsid w:val="004A7072"/>
    <w:rsid w:val="004A70A6"/>
    <w:rsid w:val="004A7D8B"/>
    <w:rsid w:val="004B0E09"/>
    <w:rsid w:val="004B1B01"/>
    <w:rsid w:val="004B2488"/>
    <w:rsid w:val="004B406A"/>
    <w:rsid w:val="004B51D3"/>
    <w:rsid w:val="004B5F1F"/>
    <w:rsid w:val="004C0965"/>
    <w:rsid w:val="004C0B8C"/>
    <w:rsid w:val="004C1303"/>
    <w:rsid w:val="004C1C6B"/>
    <w:rsid w:val="004C1F53"/>
    <w:rsid w:val="004C1F7B"/>
    <w:rsid w:val="004C21F5"/>
    <w:rsid w:val="004C2810"/>
    <w:rsid w:val="004C3512"/>
    <w:rsid w:val="004C3AB0"/>
    <w:rsid w:val="004C43E7"/>
    <w:rsid w:val="004C45A1"/>
    <w:rsid w:val="004C52BF"/>
    <w:rsid w:val="004C542E"/>
    <w:rsid w:val="004C56AE"/>
    <w:rsid w:val="004C5953"/>
    <w:rsid w:val="004C5FFA"/>
    <w:rsid w:val="004C69D3"/>
    <w:rsid w:val="004C7975"/>
    <w:rsid w:val="004D031C"/>
    <w:rsid w:val="004D0666"/>
    <w:rsid w:val="004D09FC"/>
    <w:rsid w:val="004D177A"/>
    <w:rsid w:val="004D365F"/>
    <w:rsid w:val="004D36FF"/>
    <w:rsid w:val="004D56A3"/>
    <w:rsid w:val="004D6016"/>
    <w:rsid w:val="004D764D"/>
    <w:rsid w:val="004D7A86"/>
    <w:rsid w:val="004E0185"/>
    <w:rsid w:val="004E08FE"/>
    <w:rsid w:val="004E0B4A"/>
    <w:rsid w:val="004E21D2"/>
    <w:rsid w:val="004E254C"/>
    <w:rsid w:val="004E264D"/>
    <w:rsid w:val="004E3D86"/>
    <w:rsid w:val="004E3E07"/>
    <w:rsid w:val="004E44BF"/>
    <w:rsid w:val="004E5512"/>
    <w:rsid w:val="004E5B28"/>
    <w:rsid w:val="004E5CAC"/>
    <w:rsid w:val="004E755E"/>
    <w:rsid w:val="004E7999"/>
    <w:rsid w:val="004F018E"/>
    <w:rsid w:val="004F14FE"/>
    <w:rsid w:val="004F1894"/>
    <w:rsid w:val="004F2007"/>
    <w:rsid w:val="004F25E2"/>
    <w:rsid w:val="004F30D7"/>
    <w:rsid w:val="004F3390"/>
    <w:rsid w:val="004F557D"/>
    <w:rsid w:val="004F6E4F"/>
    <w:rsid w:val="004F6F40"/>
    <w:rsid w:val="005024AE"/>
    <w:rsid w:val="0050274E"/>
    <w:rsid w:val="00503443"/>
    <w:rsid w:val="005042FB"/>
    <w:rsid w:val="005044D7"/>
    <w:rsid w:val="00504EEF"/>
    <w:rsid w:val="005062C1"/>
    <w:rsid w:val="0050666A"/>
    <w:rsid w:val="00506792"/>
    <w:rsid w:val="00506A8E"/>
    <w:rsid w:val="00506EBD"/>
    <w:rsid w:val="00510114"/>
    <w:rsid w:val="00510465"/>
    <w:rsid w:val="00510B88"/>
    <w:rsid w:val="005112E0"/>
    <w:rsid w:val="005149F0"/>
    <w:rsid w:val="005150C7"/>
    <w:rsid w:val="005153FC"/>
    <w:rsid w:val="0051547D"/>
    <w:rsid w:val="00515EEF"/>
    <w:rsid w:val="00516B3F"/>
    <w:rsid w:val="00516DA8"/>
    <w:rsid w:val="00517116"/>
    <w:rsid w:val="00517E74"/>
    <w:rsid w:val="0052092D"/>
    <w:rsid w:val="00520936"/>
    <w:rsid w:val="00520DEB"/>
    <w:rsid w:val="00520E17"/>
    <w:rsid w:val="00521DAB"/>
    <w:rsid w:val="00522315"/>
    <w:rsid w:val="00522A3C"/>
    <w:rsid w:val="00523146"/>
    <w:rsid w:val="00523243"/>
    <w:rsid w:val="0052498C"/>
    <w:rsid w:val="00525160"/>
    <w:rsid w:val="00525D1A"/>
    <w:rsid w:val="005272C0"/>
    <w:rsid w:val="005303BE"/>
    <w:rsid w:val="00530C75"/>
    <w:rsid w:val="00530FDC"/>
    <w:rsid w:val="005311F7"/>
    <w:rsid w:val="0053170B"/>
    <w:rsid w:val="005325EB"/>
    <w:rsid w:val="00533063"/>
    <w:rsid w:val="00533420"/>
    <w:rsid w:val="0053496D"/>
    <w:rsid w:val="00535629"/>
    <w:rsid w:val="0053651A"/>
    <w:rsid w:val="00537292"/>
    <w:rsid w:val="0053739D"/>
    <w:rsid w:val="00537788"/>
    <w:rsid w:val="00537B07"/>
    <w:rsid w:val="00540A72"/>
    <w:rsid w:val="0054282E"/>
    <w:rsid w:val="0054318C"/>
    <w:rsid w:val="00544EB5"/>
    <w:rsid w:val="005459E2"/>
    <w:rsid w:val="00545C94"/>
    <w:rsid w:val="00550F23"/>
    <w:rsid w:val="00551831"/>
    <w:rsid w:val="00551C5A"/>
    <w:rsid w:val="0055213A"/>
    <w:rsid w:val="00552662"/>
    <w:rsid w:val="00552CC6"/>
    <w:rsid w:val="00553C07"/>
    <w:rsid w:val="00553C17"/>
    <w:rsid w:val="00553D5A"/>
    <w:rsid w:val="00554181"/>
    <w:rsid w:val="005541B6"/>
    <w:rsid w:val="0055445C"/>
    <w:rsid w:val="00555C38"/>
    <w:rsid w:val="005579C0"/>
    <w:rsid w:val="0056024F"/>
    <w:rsid w:val="00560A5F"/>
    <w:rsid w:val="00560AC4"/>
    <w:rsid w:val="00560C1A"/>
    <w:rsid w:val="00561305"/>
    <w:rsid w:val="0056187F"/>
    <w:rsid w:val="005626E9"/>
    <w:rsid w:val="00563A3F"/>
    <w:rsid w:val="00563E59"/>
    <w:rsid w:val="0056453A"/>
    <w:rsid w:val="00564A09"/>
    <w:rsid w:val="00564AE3"/>
    <w:rsid w:val="005652C3"/>
    <w:rsid w:val="00566738"/>
    <w:rsid w:val="00566DE8"/>
    <w:rsid w:val="005679CE"/>
    <w:rsid w:val="00567B73"/>
    <w:rsid w:val="00567B85"/>
    <w:rsid w:val="00567D0A"/>
    <w:rsid w:val="00570AE9"/>
    <w:rsid w:val="00570BC4"/>
    <w:rsid w:val="00570D06"/>
    <w:rsid w:val="00571417"/>
    <w:rsid w:val="005714C6"/>
    <w:rsid w:val="00571672"/>
    <w:rsid w:val="00572B97"/>
    <w:rsid w:val="00572FE5"/>
    <w:rsid w:val="00573F97"/>
    <w:rsid w:val="0057498B"/>
    <w:rsid w:val="00574D0C"/>
    <w:rsid w:val="00576044"/>
    <w:rsid w:val="00576428"/>
    <w:rsid w:val="005768CD"/>
    <w:rsid w:val="00576CEB"/>
    <w:rsid w:val="00577A0B"/>
    <w:rsid w:val="00577AB6"/>
    <w:rsid w:val="00580038"/>
    <w:rsid w:val="00580A97"/>
    <w:rsid w:val="005818DE"/>
    <w:rsid w:val="0058228E"/>
    <w:rsid w:val="00582CBC"/>
    <w:rsid w:val="00582CE6"/>
    <w:rsid w:val="00582EDF"/>
    <w:rsid w:val="00583416"/>
    <w:rsid w:val="00583497"/>
    <w:rsid w:val="005835B7"/>
    <w:rsid w:val="00584C6E"/>
    <w:rsid w:val="00584F8F"/>
    <w:rsid w:val="00585BDF"/>
    <w:rsid w:val="00585C11"/>
    <w:rsid w:val="005861FC"/>
    <w:rsid w:val="00586AA1"/>
    <w:rsid w:val="005873D9"/>
    <w:rsid w:val="005878CD"/>
    <w:rsid w:val="00590505"/>
    <w:rsid w:val="00592530"/>
    <w:rsid w:val="0059286F"/>
    <w:rsid w:val="00592DBC"/>
    <w:rsid w:val="0059305E"/>
    <w:rsid w:val="005930C1"/>
    <w:rsid w:val="005935E8"/>
    <w:rsid w:val="00593BBA"/>
    <w:rsid w:val="00593F7C"/>
    <w:rsid w:val="0059441F"/>
    <w:rsid w:val="00594676"/>
    <w:rsid w:val="00595096"/>
    <w:rsid w:val="0059623A"/>
    <w:rsid w:val="005971C4"/>
    <w:rsid w:val="00597414"/>
    <w:rsid w:val="00597852"/>
    <w:rsid w:val="005A09CE"/>
    <w:rsid w:val="005A0FCB"/>
    <w:rsid w:val="005A0FD4"/>
    <w:rsid w:val="005A1284"/>
    <w:rsid w:val="005A12F7"/>
    <w:rsid w:val="005A1C4E"/>
    <w:rsid w:val="005A1CEC"/>
    <w:rsid w:val="005A3DE0"/>
    <w:rsid w:val="005A3DE4"/>
    <w:rsid w:val="005B0047"/>
    <w:rsid w:val="005B0202"/>
    <w:rsid w:val="005B09CF"/>
    <w:rsid w:val="005B1627"/>
    <w:rsid w:val="005B4779"/>
    <w:rsid w:val="005B51DF"/>
    <w:rsid w:val="005B6066"/>
    <w:rsid w:val="005B65A8"/>
    <w:rsid w:val="005B6BE1"/>
    <w:rsid w:val="005C1942"/>
    <w:rsid w:val="005C3125"/>
    <w:rsid w:val="005C401F"/>
    <w:rsid w:val="005C556C"/>
    <w:rsid w:val="005C5A4E"/>
    <w:rsid w:val="005C6959"/>
    <w:rsid w:val="005C759C"/>
    <w:rsid w:val="005D0E6C"/>
    <w:rsid w:val="005D12A5"/>
    <w:rsid w:val="005D352B"/>
    <w:rsid w:val="005D3EF8"/>
    <w:rsid w:val="005D3FEF"/>
    <w:rsid w:val="005D40F4"/>
    <w:rsid w:val="005D536C"/>
    <w:rsid w:val="005D5CCE"/>
    <w:rsid w:val="005D624B"/>
    <w:rsid w:val="005D658D"/>
    <w:rsid w:val="005E0300"/>
    <w:rsid w:val="005E140E"/>
    <w:rsid w:val="005E1601"/>
    <w:rsid w:val="005E160C"/>
    <w:rsid w:val="005E234E"/>
    <w:rsid w:val="005E270F"/>
    <w:rsid w:val="005E2995"/>
    <w:rsid w:val="005E3080"/>
    <w:rsid w:val="005E36F6"/>
    <w:rsid w:val="005E3AAD"/>
    <w:rsid w:val="005E4964"/>
    <w:rsid w:val="005E61E3"/>
    <w:rsid w:val="005E6AE2"/>
    <w:rsid w:val="005E6B3E"/>
    <w:rsid w:val="005E6E0A"/>
    <w:rsid w:val="005E7D49"/>
    <w:rsid w:val="005F07A0"/>
    <w:rsid w:val="005F1C22"/>
    <w:rsid w:val="005F257D"/>
    <w:rsid w:val="005F3340"/>
    <w:rsid w:val="005F36A2"/>
    <w:rsid w:val="005F36D4"/>
    <w:rsid w:val="005F3938"/>
    <w:rsid w:val="005F5F1C"/>
    <w:rsid w:val="005F6BCE"/>
    <w:rsid w:val="005F6BE2"/>
    <w:rsid w:val="005F6D2D"/>
    <w:rsid w:val="005F7161"/>
    <w:rsid w:val="005F723C"/>
    <w:rsid w:val="005F7BF1"/>
    <w:rsid w:val="0060248B"/>
    <w:rsid w:val="006025B6"/>
    <w:rsid w:val="00602E57"/>
    <w:rsid w:val="00603940"/>
    <w:rsid w:val="00604417"/>
    <w:rsid w:val="00606CB9"/>
    <w:rsid w:val="006077F4"/>
    <w:rsid w:val="00607D71"/>
    <w:rsid w:val="0061050F"/>
    <w:rsid w:val="0061123D"/>
    <w:rsid w:val="00611665"/>
    <w:rsid w:val="00611B38"/>
    <w:rsid w:val="006124DA"/>
    <w:rsid w:val="006126C4"/>
    <w:rsid w:val="006126F1"/>
    <w:rsid w:val="006133BD"/>
    <w:rsid w:val="006133EF"/>
    <w:rsid w:val="00613C96"/>
    <w:rsid w:val="00614717"/>
    <w:rsid w:val="006147F4"/>
    <w:rsid w:val="00614F7E"/>
    <w:rsid w:val="006152CD"/>
    <w:rsid w:val="00615E47"/>
    <w:rsid w:val="006168C8"/>
    <w:rsid w:val="006169F7"/>
    <w:rsid w:val="00617872"/>
    <w:rsid w:val="00620759"/>
    <w:rsid w:val="00620D6F"/>
    <w:rsid w:val="00621193"/>
    <w:rsid w:val="00622141"/>
    <w:rsid w:val="006222A5"/>
    <w:rsid w:val="00624218"/>
    <w:rsid w:val="00626020"/>
    <w:rsid w:val="0062764D"/>
    <w:rsid w:val="006307E3"/>
    <w:rsid w:val="006307F1"/>
    <w:rsid w:val="00630A72"/>
    <w:rsid w:val="00631D05"/>
    <w:rsid w:val="006322D1"/>
    <w:rsid w:val="00633156"/>
    <w:rsid w:val="0063317D"/>
    <w:rsid w:val="00633380"/>
    <w:rsid w:val="00634956"/>
    <w:rsid w:val="00635B64"/>
    <w:rsid w:val="00635C3B"/>
    <w:rsid w:val="00635CB9"/>
    <w:rsid w:val="0063600E"/>
    <w:rsid w:val="0063629D"/>
    <w:rsid w:val="0063640B"/>
    <w:rsid w:val="00636D63"/>
    <w:rsid w:val="00636D8C"/>
    <w:rsid w:val="006374D0"/>
    <w:rsid w:val="0063795D"/>
    <w:rsid w:val="00637D14"/>
    <w:rsid w:val="00640563"/>
    <w:rsid w:val="00640AAE"/>
    <w:rsid w:val="006422F7"/>
    <w:rsid w:val="0064337B"/>
    <w:rsid w:val="00644AA6"/>
    <w:rsid w:val="0064558F"/>
    <w:rsid w:val="006458FF"/>
    <w:rsid w:val="00646E80"/>
    <w:rsid w:val="00647383"/>
    <w:rsid w:val="0064742E"/>
    <w:rsid w:val="00647B3C"/>
    <w:rsid w:val="00647B4D"/>
    <w:rsid w:val="006512CB"/>
    <w:rsid w:val="00651453"/>
    <w:rsid w:val="00651E34"/>
    <w:rsid w:val="00651ED7"/>
    <w:rsid w:val="00652ACD"/>
    <w:rsid w:val="00652D6D"/>
    <w:rsid w:val="006536F6"/>
    <w:rsid w:val="006553C2"/>
    <w:rsid w:val="00655C5F"/>
    <w:rsid w:val="0065686E"/>
    <w:rsid w:val="006570C6"/>
    <w:rsid w:val="0066029F"/>
    <w:rsid w:val="00660B2D"/>
    <w:rsid w:val="00660CF7"/>
    <w:rsid w:val="00661366"/>
    <w:rsid w:val="00661621"/>
    <w:rsid w:val="0066164D"/>
    <w:rsid w:val="00661D74"/>
    <w:rsid w:val="00662751"/>
    <w:rsid w:val="00662C0F"/>
    <w:rsid w:val="006643DF"/>
    <w:rsid w:val="0066460A"/>
    <w:rsid w:val="006652B8"/>
    <w:rsid w:val="00665B62"/>
    <w:rsid w:val="006663D7"/>
    <w:rsid w:val="0066668A"/>
    <w:rsid w:val="00666A5A"/>
    <w:rsid w:val="00666B71"/>
    <w:rsid w:val="006670A9"/>
    <w:rsid w:val="006673F4"/>
    <w:rsid w:val="0067214C"/>
    <w:rsid w:val="00673790"/>
    <w:rsid w:val="0067398E"/>
    <w:rsid w:val="00673A6D"/>
    <w:rsid w:val="00673AED"/>
    <w:rsid w:val="00674CB0"/>
    <w:rsid w:val="006764FD"/>
    <w:rsid w:val="00681320"/>
    <w:rsid w:val="0068223C"/>
    <w:rsid w:val="00682DE8"/>
    <w:rsid w:val="00682F7A"/>
    <w:rsid w:val="006838DF"/>
    <w:rsid w:val="006842E2"/>
    <w:rsid w:val="006844A9"/>
    <w:rsid w:val="006845C1"/>
    <w:rsid w:val="00684A8C"/>
    <w:rsid w:val="00684C9B"/>
    <w:rsid w:val="00685154"/>
    <w:rsid w:val="0068612E"/>
    <w:rsid w:val="00686470"/>
    <w:rsid w:val="006878FC"/>
    <w:rsid w:val="006910CC"/>
    <w:rsid w:val="00691106"/>
    <w:rsid w:val="00691302"/>
    <w:rsid w:val="006915D9"/>
    <w:rsid w:val="00692144"/>
    <w:rsid w:val="0069221D"/>
    <w:rsid w:val="00692A34"/>
    <w:rsid w:val="0069350D"/>
    <w:rsid w:val="00693543"/>
    <w:rsid w:val="006936C2"/>
    <w:rsid w:val="00693C9B"/>
    <w:rsid w:val="00694682"/>
    <w:rsid w:val="00695894"/>
    <w:rsid w:val="00695F4B"/>
    <w:rsid w:val="00696F92"/>
    <w:rsid w:val="00696FE1"/>
    <w:rsid w:val="00697A9A"/>
    <w:rsid w:val="006A0148"/>
    <w:rsid w:val="006A057D"/>
    <w:rsid w:val="006A0768"/>
    <w:rsid w:val="006A0A56"/>
    <w:rsid w:val="006A0B0D"/>
    <w:rsid w:val="006A1D5E"/>
    <w:rsid w:val="006A2419"/>
    <w:rsid w:val="006A390C"/>
    <w:rsid w:val="006A3C2B"/>
    <w:rsid w:val="006A6398"/>
    <w:rsid w:val="006B00D2"/>
    <w:rsid w:val="006B073D"/>
    <w:rsid w:val="006B0EA5"/>
    <w:rsid w:val="006B1431"/>
    <w:rsid w:val="006B1807"/>
    <w:rsid w:val="006B2840"/>
    <w:rsid w:val="006B2A0B"/>
    <w:rsid w:val="006B2D31"/>
    <w:rsid w:val="006B2F2F"/>
    <w:rsid w:val="006B30DD"/>
    <w:rsid w:val="006B3283"/>
    <w:rsid w:val="006B383C"/>
    <w:rsid w:val="006B3A21"/>
    <w:rsid w:val="006B3AE6"/>
    <w:rsid w:val="006B4358"/>
    <w:rsid w:val="006B4F04"/>
    <w:rsid w:val="006B4F12"/>
    <w:rsid w:val="006B5546"/>
    <w:rsid w:val="006B5558"/>
    <w:rsid w:val="006B6653"/>
    <w:rsid w:val="006B6733"/>
    <w:rsid w:val="006B7037"/>
    <w:rsid w:val="006B7ACE"/>
    <w:rsid w:val="006C05C1"/>
    <w:rsid w:val="006C2843"/>
    <w:rsid w:val="006C2A86"/>
    <w:rsid w:val="006C35CD"/>
    <w:rsid w:val="006C382D"/>
    <w:rsid w:val="006C42DC"/>
    <w:rsid w:val="006C4972"/>
    <w:rsid w:val="006C4ED4"/>
    <w:rsid w:val="006C5F4F"/>
    <w:rsid w:val="006C6E76"/>
    <w:rsid w:val="006C7789"/>
    <w:rsid w:val="006C7CF8"/>
    <w:rsid w:val="006D06A7"/>
    <w:rsid w:val="006D141B"/>
    <w:rsid w:val="006D1885"/>
    <w:rsid w:val="006D1921"/>
    <w:rsid w:val="006D31CB"/>
    <w:rsid w:val="006D33F7"/>
    <w:rsid w:val="006D3B4A"/>
    <w:rsid w:val="006D3DFB"/>
    <w:rsid w:val="006D4A63"/>
    <w:rsid w:val="006D67A1"/>
    <w:rsid w:val="006E2043"/>
    <w:rsid w:val="006E21FF"/>
    <w:rsid w:val="006E306F"/>
    <w:rsid w:val="006E3503"/>
    <w:rsid w:val="006E5C56"/>
    <w:rsid w:val="006E5EB5"/>
    <w:rsid w:val="006E6C18"/>
    <w:rsid w:val="006E726D"/>
    <w:rsid w:val="006E7356"/>
    <w:rsid w:val="006F1044"/>
    <w:rsid w:val="006F389D"/>
    <w:rsid w:val="006F4C12"/>
    <w:rsid w:val="006F512A"/>
    <w:rsid w:val="006F535E"/>
    <w:rsid w:val="006F637D"/>
    <w:rsid w:val="006F79E4"/>
    <w:rsid w:val="00700571"/>
    <w:rsid w:val="007014B5"/>
    <w:rsid w:val="00701879"/>
    <w:rsid w:val="00701A84"/>
    <w:rsid w:val="00703CED"/>
    <w:rsid w:val="0070449F"/>
    <w:rsid w:val="00704A47"/>
    <w:rsid w:val="00704C76"/>
    <w:rsid w:val="00705681"/>
    <w:rsid w:val="0070706E"/>
    <w:rsid w:val="0070729E"/>
    <w:rsid w:val="007072A5"/>
    <w:rsid w:val="00707783"/>
    <w:rsid w:val="0071022A"/>
    <w:rsid w:val="007104B5"/>
    <w:rsid w:val="00711378"/>
    <w:rsid w:val="007115DC"/>
    <w:rsid w:val="007117E6"/>
    <w:rsid w:val="0071292B"/>
    <w:rsid w:val="007129DB"/>
    <w:rsid w:val="00712C5A"/>
    <w:rsid w:val="00713192"/>
    <w:rsid w:val="00713A2D"/>
    <w:rsid w:val="00714132"/>
    <w:rsid w:val="00715DE1"/>
    <w:rsid w:val="00716984"/>
    <w:rsid w:val="00716AFC"/>
    <w:rsid w:val="00717BEE"/>
    <w:rsid w:val="00717C42"/>
    <w:rsid w:val="007200C2"/>
    <w:rsid w:val="00720CC6"/>
    <w:rsid w:val="00720F4A"/>
    <w:rsid w:val="007217DA"/>
    <w:rsid w:val="00721987"/>
    <w:rsid w:val="00722D4E"/>
    <w:rsid w:val="00723213"/>
    <w:rsid w:val="007232D3"/>
    <w:rsid w:val="00723787"/>
    <w:rsid w:val="00727181"/>
    <w:rsid w:val="00727668"/>
    <w:rsid w:val="00727822"/>
    <w:rsid w:val="00730C32"/>
    <w:rsid w:val="00730CEA"/>
    <w:rsid w:val="00731587"/>
    <w:rsid w:val="0073260C"/>
    <w:rsid w:val="00732BF8"/>
    <w:rsid w:val="0073327C"/>
    <w:rsid w:val="007337FD"/>
    <w:rsid w:val="00734CB6"/>
    <w:rsid w:val="007362F1"/>
    <w:rsid w:val="00736651"/>
    <w:rsid w:val="00737341"/>
    <w:rsid w:val="00737824"/>
    <w:rsid w:val="0074080D"/>
    <w:rsid w:val="00742059"/>
    <w:rsid w:val="0074250D"/>
    <w:rsid w:val="00742E0F"/>
    <w:rsid w:val="00742E8A"/>
    <w:rsid w:val="00742EFD"/>
    <w:rsid w:val="0074330E"/>
    <w:rsid w:val="007436F7"/>
    <w:rsid w:val="00743D48"/>
    <w:rsid w:val="00743E82"/>
    <w:rsid w:val="007440E4"/>
    <w:rsid w:val="007441E4"/>
    <w:rsid w:val="00744277"/>
    <w:rsid w:val="007450EF"/>
    <w:rsid w:val="0074534A"/>
    <w:rsid w:val="00745830"/>
    <w:rsid w:val="00746BCA"/>
    <w:rsid w:val="00751070"/>
    <w:rsid w:val="00751352"/>
    <w:rsid w:val="007517ED"/>
    <w:rsid w:val="00752742"/>
    <w:rsid w:val="00752C4B"/>
    <w:rsid w:val="00753559"/>
    <w:rsid w:val="00754D09"/>
    <w:rsid w:val="00757FBA"/>
    <w:rsid w:val="00760DF1"/>
    <w:rsid w:val="00760DF7"/>
    <w:rsid w:val="00762375"/>
    <w:rsid w:val="00762B77"/>
    <w:rsid w:val="00763EB1"/>
    <w:rsid w:val="00764977"/>
    <w:rsid w:val="00764DD0"/>
    <w:rsid w:val="00766E84"/>
    <w:rsid w:val="007700EB"/>
    <w:rsid w:val="00770802"/>
    <w:rsid w:val="00770985"/>
    <w:rsid w:val="00772707"/>
    <w:rsid w:val="0077347A"/>
    <w:rsid w:val="007734A8"/>
    <w:rsid w:val="007739F7"/>
    <w:rsid w:val="00773B49"/>
    <w:rsid w:val="0077436D"/>
    <w:rsid w:val="007744E2"/>
    <w:rsid w:val="00774FC8"/>
    <w:rsid w:val="00775205"/>
    <w:rsid w:val="00775C53"/>
    <w:rsid w:val="00775DD9"/>
    <w:rsid w:val="00775FC7"/>
    <w:rsid w:val="0077684A"/>
    <w:rsid w:val="00776C08"/>
    <w:rsid w:val="00777159"/>
    <w:rsid w:val="00777213"/>
    <w:rsid w:val="0077741A"/>
    <w:rsid w:val="007775FE"/>
    <w:rsid w:val="007776B5"/>
    <w:rsid w:val="00777759"/>
    <w:rsid w:val="00777F3E"/>
    <w:rsid w:val="0078198A"/>
    <w:rsid w:val="00782236"/>
    <w:rsid w:val="0078301C"/>
    <w:rsid w:val="007837B1"/>
    <w:rsid w:val="00783B26"/>
    <w:rsid w:val="00785D6A"/>
    <w:rsid w:val="00785EAA"/>
    <w:rsid w:val="00786854"/>
    <w:rsid w:val="0078778E"/>
    <w:rsid w:val="00790360"/>
    <w:rsid w:val="00790ABE"/>
    <w:rsid w:val="00790FA5"/>
    <w:rsid w:val="007916C9"/>
    <w:rsid w:val="007917E5"/>
    <w:rsid w:val="00791D44"/>
    <w:rsid w:val="00792C9B"/>
    <w:rsid w:val="0079379F"/>
    <w:rsid w:val="0079471A"/>
    <w:rsid w:val="00795507"/>
    <w:rsid w:val="007957CE"/>
    <w:rsid w:val="00795F42"/>
    <w:rsid w:val="007964DF"/>
    <w:rsid w:val="00796850"/>
    <w:rsid w:val="007A160D"/>
    <w:rsid w:val="007A195A"/>
    <w:rsid w:val="007A2552"/>
    <w:rsid w:val="007A33E8"/>
    <w:rsid w:val="007A4690"/>
    <w:rsid w:val="007B168F"/>
    <w:rsid w:val="007B2912"/>
    <w:rsid w:val="007B33AF"/>
    <w:rsid w:val="007B4D6D"/>
    <w:rsid w:val="007B4E13"/>
    <w:rsid w:val="007B5144"/>
    <w:rsid w:val="007B530D"/>
    <w:rsid w:val="007B627D"/>
    <w:rsid w:val="007B6676"/>
    <w:rsid w:val="007B7533"/>
    <w:rsid w:val="007C0027"/>
    <w:rsid w:val="007C0AB6"/>
    <w:rsid w:val="007C224E"/>
    <w:rsid w:val="007C24F3"/>
    <w:rsid w:val="007C286A"/>
    <w:rsid w:val="007C2F7B"/>
    <w:rsid w:val="007C30BA"/>
    <w:rsid w:val="007C33DC"/>
    <w:rsid w:val="007C3B47"/>
    <w:rsid w:val="007C439B"/>
    <w:rsid w:val="007C46F3"/>
    <w:rsid w:val="007C5181"/>
    <w:rsid w:val="007C54DF"/>
    <w:rsid w:val="007C58A2"/>
    <w:rsid w:val="007C66C9"/>
    <w:rsid w:val="007C73ED"/>
    <w:rsid w:val="007C784C"/>
    <w:rsid w:val="007C7BFE"/>
    <w:rsid w:val="007D012C"/>
    <w:rsid w:val="007D09E2"/>
    <w:rsid w:val="007D17E0"/>
    <w:rsid w:val="007D1CF4"/>
    <w:rsid w:val="007D2ABB"/>
    <w:rsid w:val="007D2CE4"/>
    <w:rsid w:val="007D35DD"/>
    <w:rsid w:val="007D412B"/>
    <w:rsid w:val="007D454B"/>
    <w:rsid w:val="007D4C72"/>
    <w:rsid w:val="007D5AEA"/>
    <w:rsid w:val="007D6299"/>
    <w:rsid w:val="007D728F"/>
    <w:rsid w:val="007D7B2D"/>
    <w:rsid w:val="007D7CD1"/>
    <w:rsid w:val="007D7FC9"/>
    <w:rsid w:val="007E04A8"/>
    <w:rsid w:val="007E0E89"/>
    <w:rsid w:val="007E11D7"/>
    <w:rsid w:val="007E1857"/>
    <w:rsid w:val="007E23E7"/>
    <w:rsid w:val="007E33F7"/>
    <w:rsid w:val="007E35B5"/>
    <w:rsid w:val="007E3A97"/>
    <w:rsid w:val="007E3B3E"/>
    <w:rsid w:val="007E4267"/>
    <w:rsid w:val="007E50B4"/>
    <w:rsid w:val="007E5788"/>
    <w:rsid w:val="007E59CE"/>
    <w:rsid w:val="007E5F3E"/>
    <w:rsid w:val="007E6C98"/>
    <w:rsid w:val="007F04A4"/>
    <w:rsid w:val="007F04B4"/>
    <w:rsid w:val="007F0681"/>
    <w:rsid w:val="007F092D"/>
    <w:rsid w:val="007F0DC5"/>
    <w:rsid w:val="007F1053"/>
    <w:rsid w:val="007F1071"/>
    <w:rsid w:val="007F2AE4"/>
    <w:rsid w:val="007F2F60"/>
    <w:rsid w:val="007F2FF7"/>
    <w:rsid w:val="007F690C"/>
    <w:rsid w:val="007F6F8A"/>
    <w:rsid w:val="007F70D8"/>
    <w:rsid w:val="007F7F05"/>
    <w:rsid w:val="008011D3"/>
    <w:rsid w:val="00801A16"/>
    <w:rsid w:val="00802046"/>
    <w:rsid w:val="00802F39"/>
    <w:rsid w:val="0080302A"/>
    <w:rsid w:val="00803437"/>
    <w:rsid w:val="00804B9C"/>
    <w:rsid w:val="00805978"/>
    <w:rsid w:val="00806621"/>
    <w:rsid w:val="00806647"/>
    <w:rsid w:val="00806A9F"/>
    <w:rsid w:val="00806DE3"/>
    <w:rsid w:val="00806F88"/>
    <w:rsid w:val="00807AFC"/>
    <w:rsid w:val="00807B34"/>
    <w:rsid w:val="008109FC"/>
    <w:rsid w:val="00811058"/>
    <w:rsid w:val="00814474"/>
    <w:rsid w:val="0081461F"/>
    <w:rsid w:val="008150BE"/>
    <w:rsid w:val="00815DD3"/>
    <w:rsid w:val="008170B6"/>
    <w:rsid w:val="008171D1"/>
    <w:rsid w:val="0081781C"/>
    <w:rsid w:val="00817C22"/>
    <w:rsid w:val="008202F4"/>
    <w:rsid w:val="00820A30"/>
    <w:rsid w:val="00820DD0"/>
    <w:rsid w:val="00820E70"/>
    <w:rsid w:val="008210C6"/>
    <w:rsid w:val="00821F40"/>
    <w:rsid w:val="0082263F"/>
    <w:rsid w:val="00822A80"/>
    <w:rsid w:val="00822F1A"/>
    <w:rsid w:val="00822F27"/>
    <w:rsid w:val="00823443"/>
    <w:rsid w:val="00823F1F"/>
    <w:rsid w:val="00824452"/>
    <w:rsid w:val="00824F5D"/>
    <w:rsid w:val="0082535A"/>
    <w:rsid w:val="0082568E"/>
    <w:rsid w:val="00826974"/>
    <w:rsid w:val="00827567"/>
    <w:rsid w:val="00827C3C"/>
    <w:rsid w:val="00830229"/>
    <w:rsid w:val="00830884"/>
    <w:rsid w:val="00831900"/>
    <w:rsid w:val="008325FF"/>
    <w:rsid w:val="008327C6"/>
    <w:rsid w:val="00832E3D"/>
    <w:rsid w:val="00834AF1"/>
    <w:rsid w:val="00834DF1"/>
    <w:rsid w:val="00835BD9"/>
    <w:rsid w:val="00836921"/>
    <w:rsid w:val="00837179"/>
    <w:rsid w:val="00837A66"/>
    <w:rsid w:val="00837AF5"/>
    <w:rsid w:val="00840915"/>
    <w:rsid w:val="00840D66"/>
    <w:rsid w:val="0084134A"/>
    <w:rsid w:val="0084157D"/>
    <w:rsid w:val="00841E8A"/>
    <w:rsid w:val="00842387"/>
    <w:rsid w:val="00842ED9"/>
    <w:rsid w:val="00843665"/>
    <w:rsid w:val="00843CE1"/>
    <w:rsid w:val="0084415E"/>
    <w:rsid w:val="00845599"/>
    <w:rsid w:val="008457D8"/>
    <w:rsid w:val="00845FA9"/>
    <w:rsid w:val="00846EFF"/>
    <w:rsid w:val="008473F6"/>
    <w:rsid w:val="00847F74"/>
    <w:rsid w:val="008504FE"/>
    <w:rsid w:val="00850E42"/>
    <w:rsid w:val="0085123E"/>
    <w:rsid w:val="00851288"/>
    <w:rsid w:val="00851358"/>
    <w:rsid w:val="00851AFA"/>
    <w:rsid w:val="00852559"/>
    <w:rsid w:val="0085266B"/>
    <w:rsid w:val="008528C3"/>
    <w:rsid w:val="008538AD"/>
    <w:rsid w:val="00853C2F"/>
    <w:rsid w:val="00853F05"/>
    <w:rsid w:val="0085424D"/>
    <w:rsid w:val="008544CC"/>
    <w:rsid w:val="00854805"/>
    <w:rsid w:val="00856004"/>
    <w:rsid w:val="00856119"/>
    <w:rsid w:val="008569C9"/>
    <w:rsid w:val="008575C9"/>
    <w:rsid w:val="00857E06"/>
    <w:rsid w:val="00860CA8"/>
    <w:rsid w:val="00861129"/>
    <w:rsid w:val="00861B34"/>
    <w:rsid w:val="008640B9"/>
    <w:rsid w:val="008646D6"/>
    <w:rsid w:val="00866861"/>
    <w:rsid w:val="008668DD"/>
    <w:rsid w:val="008669E2"/>
    <w:rsid w:val="00867633"/>
    <w:rsid w:val="00867EF0"/>
    <w:rsid w:val="00871C6F"/>
    <w:rsid w:val="008720B0"/>
    <w:rsid w:val="008733CE"/>
    <w:rsid w:val="0087420E"/>
    <w:rsid w:val="00874BE2"/>
    <w:rsid w:val="00874D80"/>
    <w:rsid w:val="00874F47"/>
    <w:rsid w:val="00875ADF"/>
    <w:rsid w:val="0087633A"/>
    <w:rsid w:val="00876CB2"/>
    <w:rsid w:val="008772E5"/>
    <w:rsid w:val="00880E31"/>
    <w:rsid w:val="00880FD8"/>
    <w:rsid w:val="00881572"/>
    <w:rsid w:val="00881681"/>
    <w:rsid w:val="00884990"/>
    <w:rsid w:val="00884BDF"/>
    <w:rsid w:val="00884CEE"/>
    <w:rsid w:val="00885D62"/>
    <w:rsid w:val="008869EA"/>
    <w:rsid w:val="0088799B"/>
    <w:rsid w:val="008907EA"/>
    <w:rsid w:val="00891D85"/>
    <w:rsid w:val="00892547"/>
    <w:rsid w:val="00892D11"/>
    <w:rsid w:val="00892DB5"/>
    <w:rsid w:val="00893FEC"/>
    <w:rsid w:val="00894AA8"/>
    <w:rsid w:val="00894C76"/>
    <w:rsid w:val="00895569"/>
    <w:rsid w:val="00895F4F"/>
    <w:rsid w:val="00895FAD"/>
    <w:rsid w:val="008A1306"/>
    <w:rsid w:val="008A1496"/>
    <w:rsid w:val="008A2D2E"/>
    <w:rsid w:val="008A452C"/>
    <w:rsid w:val="008A485C"/>
    <w:rsid w:val="008B06FC"/>
    <w:rsid w:val="008B1AA1"/>
    <w:rsid w:val="008B222C"/>
    <w:rsid w:val="008B369E"/>
    <w:rsid w:val="008B4618"/>
    <w:rsid w:val="008B46C1"/>
    <w:rsid w:val="008B4AE0"/>
    <w:rsid w:val="008B7382"/>
    <w:rsid w:val="008C0AFE"/>
    <w:rsid w:val="008C15CC"/>
    <w:rsid w:val="008C1E3C"/>
    <w:rsid w:val="008C1FE1"/>
    <w:rsid w:val="008C2485"/>
    <w:rsid w:val="008C26E9"/>
    <w:rsid w:val="008C2892"/>
    <w:rsid w:val="008C2C7C"/>
    <w:rsid w:val="008C3C3A"/>
    <w:rsid w:val="008C4258"/>
    <w:rsid w:val="008C50F7"/>
    <w:rsid w:val="008C5533"/>
    <w:rsid w:val="008C59C6"/>
    <w:rsid w:val="008C73A3"/>
    <w:rsid w:val="008C7584"/>
    <w:rsid w:val="008C7DE8"/>
    <w:rsid w:val="008C7F1A"/>
    <w:rsid w:val="008D176C"/>
    <w:rsid w:val="008D276C"/>
    <w:rsid w:val="008D2875"/>
    <w:rsid w:val="008E006A"/>
    <w:rsid w:val="008E0686"/>
    <w:rsid w:val="008E0938"/>
    <w:rsid w:val="008E2796"/>
    <w:rsid w:val="008E2C46"/>
    <w:rsid w:val="008E35F5"/>
    <w:rsid w:val="008E36AD"/>
    <w:rsid w:val="008E3974"/>
    <w:rsid w:val="008E3A54"/>
    <w:rsid w:val="008E4034"/>
    <w:rsid w:val="008E41B2"/>
    <w:rsid w:val="008E48CD"/>
    <w:rsid w:val="008E5419"/>
    <w:rsid w:val="008E63A9"/>
    <w:rsid w:val="008F0769"/>
    <w:rsid w:val="008F123D"/>
    <w:rsid w:val="008F143A"/>
    <w:rsid w:val="008F16DE"/>
    <w:rsid w:val="008F1708"/>
    <w:rsid w:val="008F1C8E"/>
    <w:rsid w:val="008F306F"/>
    <w:rsid w:val="008F4BF6"/>
    <w:rsid w:val="008F4D81"/>
    <w:rsid w:val="008F67BF"/>
    <w:rsid w:val="008F6FD9"/>
    <w:rsid w:val="008F7169"/>
    <w:rsid w:val="008F7371"/>
    <w:rsid w:val="009018A6"/>
    <w:rsid w:val="0090268E"/>
    <w:rsid w:val="00902810"/>
    <w:rsid w:val="00902F2B"/>
    <w:rsid w:val="009039E3"/>
    <w:rsid w:val="00903C7D"/>
    <w:rsid w:val="00904032"/>
    <w:rsid w:val="00905282"/>
    <w:rsid w:val="0090558F"/>
    <w:rsid w:val="0090602E"/>
    <w:rsid w:val="00906AA3"/>
    <w:rsid w:val="00907B59"/>
    <w:rsid w:val="0091114A"/>
    <w:rsid w:val="009122A6"/>
    <w:rsid w:val="00912ED7"/>
    <w:rsid w:val="00913129"/>
    <w:rsid w:val="00913C32"/>
    <w:rsid w:val="009145A2"/>
    <w:rsid w:val="009146B0"/>
    <w:rsid w:val="00915246"/>
    <w:rsid w:val="00916522"/>
    <w:rsid w:val="00921909"/>
    <w:rsid w:val="0092195B"/>
    <w:rsid w:val="009219F1"/>
    <w:rsid w:val="009224C0"/>
    <w:rsid w:val="00922642"/>
    <w:rsid w:val="0092282A"/>
    <w:rsid w:val="00922B0F"/>
    <w:rsid w:val="009237DE"/>
    <w:rsid w:val="009251E5"/>
    <w:rsid w:val="0092582B"/>
    <w:rsid w:val="00925A9B"/>
    <w:rsid w:val="00927152"/>
    <w:rsid w:val="00927853"/>
    <w:rsid w:val="00927902"/>
    <w:rsid w:val="0092790D"/>
    <w:rsid w:val="00932B95"/>
    <w:rsid w:val="00932C59"/>
    <w:rsid w:val="00932E10"/>
    <w:rsid w:val="009334EF"/>
    <w:rsid w:val="00933C5B"/>
    <w:rsid w:val="00934F4B"/>
    <w:rsid w:val="00935623"/>
    <w:rsid w:val="00937ADA"/>
    <w:rsid w:val="00940821"/>
    <w:rsid w:val="00940DC7"/>
    <w:rsid w:val="00941995"/>
    <w:rsid w:val="00942E8C"/>
    <w:rsid w:val="00942FF9"/>
    <w:rsid w:val="00943007"/>
    <w:rsid w:val="009433FD"/>
    <w:rsid w:val="00943C10"/>
    <w:rsid w:val="00943C98"/>
    <w:rsid w:val="009444EB"/>
    <w:rsid w:val="00944F93"/>
    <w:rsid w:val="0094610A"/>
    <w:rsid w:val="00946D06"/>
    <w:rsid w:val="00947070"/>
    <w:rsid w:val="00947815"/>
    <w:rsid w:val="009500B2"/>
    <w:rsid w:val="00950747"/>
    <w:rsid w:val="0095086E"/>
    <w:rsid w:val="00951242"/>
    <w:rsid w:val="0095164A"/>
    <w:rsid w:val="0095171F"/>
    <w:rsid w:val="00951C85"/>
    <w:rsid w:val="00951E8C"/>
    <w:rsid w:val="00952728"/>
    <w:rsid w:val="009528D2"/>
    <w:rsid w:val="009531DD"/>
    <w:rsid w:val="00954098"/>
    <w:rsid w:val="00955F0E"/>
    <w:rsid w:val="009564CA"/>
    <w:rsid w:val="00956D6E"/>
    <w:rsid w:val="009579E1"/>
    <w:rsid w:val="00960CC9"/>
    <w:rsid w:val="00960EB0"/>
    <w:rsid w:val="00961274"/>
    <w:rsid w:val="00961DC3"/>
    <w:rsid w:val="00963FFD"/>
    <w:rsid w:val="00964966"/>
    <w:rsid w:val="00964A41"/>
    <w:rsid w:val="009653BE"/>
    <w:rsid w:val="00966EC2"/>
    <w:rsid w:val="00971DAE"/>
    <w:rsid w:val="00972B46"/>
    <w:rsid w:val="0097370C"/>
    <w:rsid w:val="00974CB5"/>
    <w:rsid w:val="00977D93"/>
    <w:rsid w:val="009800CE"/>
    <w:rsid w:val="00980F1A"/>
    <w:rsid w:val="00981689"/>
    <w:rsid w:val="00982879"/>
    <w:rsid w:val="009841EE"/>
    <w:rsid w:val="00984968"/>
    <w:rsid w:val="00985809"/>
    <w:rsid w:val="00985892"/>
    <w:rsid w:val="00986366"/>
    <w:rsid w:val="00986E8C"/>
    <w:rsid w:val="00987E1C"/>
    <w:rsid w:val="00990637"/>
    <w:rsid w:val="00991B91"/>
    <w:rsid w:val="009931B4"/>
    <w:rsid w:val="009935B6"/>
    <w:rsid w:val="00993FDA"/>
    <w:rsid w:val="00994CB7"/>
    <w:rsid w:val="00995678"/>
    <w:rsid w:val="0099593C"/>
    <w:rsid w:val="00996258"/>
    <w:rsid w:val="00997C5E"/>
    <w:rsid w:val="00997D3B"/>
    <w:rsid w:val="00997DAD"/>
    <w:rsid w:val="009A0213"/>
    <w:rsid w:val="009A0DE3"/>
    <w:rsid w:val="009A1C3C"/>
    <w:rsid w:val="009A297A"/>
    <w:rsid w:val="009A2AF9"/>
    <w:rsid w:val="009A3B5A"/>
    <w:rsid w:val="009A48F6"/>
    <w:rsid w:val="009A55F7"/>
    <w:rsid w:val="009A5D83"/>
    <w:rsid w:val="009A62CE"/>
    <w:rsid w:val="009B06AA"/>
    <w:rsid w:val="009B1A54"/>
    <w:rsid w:val="009B21E8"/>
    <w:rsid w:val="009B2622"/>
    <w:rsid w:val="009B2783"/>
    <w:rsid w:val="009B2934"/>
    <w:rsid w:val="009B328A"/>
    <w:rsid w:val="009B41E4"/>
    <w:rsid w:val="009B49C1"/>
    <w:rsid w:val="009B4D3A"/>
    <w:rsid w:val="009B4FB5"/>
    <w:rsid w:val="009B5006"/>
    <w:rsid w:val="009B546B"/>
    <w:rsid w:val="009B56C0"/>
    <w:rsid w:val="009B66C1"/>
    <w:rsid w:val="009B6900"/>
    <w:rsid w:val="009B6CA4"/>
    <w:rsid w:val="009B718D"/>
    <w:rsid w:val="009C0AFD"/>
    <w:rsid w:val="009C16A9"/>
    <w:rsid w:val="009C1A7E"/>
    <w:rsid w:val="009C1E1C"/>
    <w:rsid w:val="009C2FB9"/>
    <w:rsid w:val="009C3022"/>
    <w:rsid w:val="009C4A13"/>
    <w:rsid w:val="009C57B5"/>
    <w:rsid w:val="009C599D"/>
    <w:rsid w:val="009C5AE8"/>
    <w:rsid w:val="009C5D42"/>
    <w:rsid w:val="009C6571"/>
    <w:rsid w:val="009C686E"/>
    <w:rsid w:val="009C7649"/>
    <w:rsid w:val="009C7667"/>
    <w:rsid w:val="009C76DF"/>
    <w:rsid w:val="009D02C4"/>
    <w:rsid w:val="009D0C48"/>
    <w:rsid w:val="009D130D"/>
    <w:rsid w:val="009D1485"/>
    <w:rsid w:val="009D150C"/>
    <w:rsid w:val="009D201A"/>
    <w:rsid w:val="009D24C9"/>
    <w:rsid w:val="009D2945"/>
    <w:rsid w:val="009D30D8"/>
    <w:rsid w:val="009D3C53"/>
    <w:rsid w:val="009D3D23"/>
    <w:rsid w:val="009D3FAB"/>
    <w:rsid w:val="009D43C6"/>
    <w:rsid w:val="009D5EBD"/>
    <w:rsid w:val="009D661D"/>
    <w:rsid w:val="009D70D2"/>
    <w:rsid w:val="009D726C"/>
    <w:rsid w:val="009E03A9"/>
    <w:rsid w:val="009E1084"/>
    <w:rsid w:val="009E1BE6"/>
    <w:rsid w:val="009E2B01"/>
    <w:rsid w:val="009E2C2A"/>
    <w:rsid w:val="009E31B7"/>
    <w:rsid w:val="009E32CE"/>
    <w:rsid w:val="009E3494"/>
    <w:rsid w:val="009E4810"/>
    <w:rsid w:val="009E5681"/>
    <w:rsid w:val="009E5B3F"/>
    <w:rsid w:val="009E5BAF"/>
    <w:rsid w:val="009E6567"/>
    <w:rsid w:val="009E7499"/>
    <w:rsid w:val="009E77DE"/>
    <w:rsid w:val="009E7AA9"/>
    <w:rsid w:val="009F1032"/>
    <w:rsid w:val="009F1735"/>
    <w:rsid w:val="009F1BDF"/>
    <w:rsid w:val="009F1C51"/>
    <w:rsid w:val="009F1F94"/>
    <w:rsid w:val="009F4615"/>
    <w:rsid w:val="009F50C0"/>
    <w:rsid w:val="009F5A26"/>
    <w:rsid w:val="009F5BC0"/>
    <w:rsid w:val="009F5E69"/>
    <w:rsid w:val="009F6B9B"/>
    <w:rsid w:val="009F6E52"/>
    <w:rsid w:val="009F7495"/>
    <w:rsid w:val="00A02735"/>
    <w:rsid w:val="00A029E2"/>
    <w:rsid w:val="00A02ED3"/>
    <w:rsid w:val="00A02F3E"/>
    <w:rsid w:val="00A03711"/>
    <w:rsid w:val="00A0373E"/>
    <w:rsid w:val="00A04BEB"/>
    <w:rsid w:val="00A04EB6"/>
    <w:rsid w:val="00A063CE"/>
    <w:rsid w:val="00A06F8E"/>
    <w:rsid w:val="00A1036A"/>
    <w:rsid w:val="00A10E03"/>
    <w:rsid w:val="00A110B0"/>
    <w:rsid w:val="00A11BE0"/>
    <w:rsid w:val="00A11CD4"/>
    <w:rsid w:val="00A121BD"/>
    <w:rsid w:val="00A12F7F"/>
    <w:rsid w:val="00A1368E"/>
    <w:rsid w:val="00A143A8"/>
    <w:rsid w:val="00A15591"/>
    <w:rsid w:val="00A15622"/>
    <w:rsid w:val="00A15B24"/>
    <w:rsid w:val="00A15F6B"/>
    <w:rsid w:val="00A16F1B"/>
    <w:rsid w:val="00A17280"/>
    <w:rsid w:val="00A172D5"/>
    <w:rsid w:val="00A172FF"/>
    <w:rsid w:val="00A222C8"/>
    <w:rsid w:val="00A23080"/>
    <w:rsid w:val="00A2425D"/>
    <w:rsid w:val="00A24B40"/>
    <w:rsid w:val="00A24CEB"/>
    <w:rsid w:val="00A26281"/>
    <w:rsid w:val="00A267AC"/>
    <w:rsid w:val="00A269C5"/>
    <w:rsid w:val="00A273F4"/>
    <w:rsid w:val="00A2765C"/>
    <w:rsid w:val="00A30627"/>
    <w:rsid w:val="00A3082F"/>
    <w:rsid w:val="00A315F8"/>
    <w:rsid w:val="00A316E9"/>
    <w:rsid w:val="00A31D6D"/>
    <w:rsid w:val="00A320B9"/>
    <w:rsid w:val="00A321AA"/>
    <w:rsid w:val="00A327C1"/>
    <w:rsid w:val="00A32C9E"/>
    <w:rsid w:val="00A3373D"/>
    <w:rsid w:val="00A337E0"/>
    <w:rsid w:val="00A3445B"/>
    <w:rsid w:val="00A34DCD"/>
    <w:rsid w:val="00A3606F"/>
    <w:rsid w:val="00A37C91"/>
    <w:rsid w:val="00A415F1"/>
    <w:rsid w:val="00A41BAA"/>
    <w:rsid w:val="00A4552B"/>
    <w:rsid w:val="00A45CDA"/>
    <w:rsid w:val="00A45F92"/>
    <w:rsid w:val="00A4627B"/>
    <w:rsid w:val="00A4648D"/>
    <w:rsid w:val="00A47E8F"/>
    <w:rsid w:val="00A511FA"/>
    <w:rsid w:val="00A519AC"/>
    <w:rsid w:val="00A52530"/>
    <w:rsid w:val="00A532E3"/>
    <w:rsid w:val="00A5437C"/>
    <w:rsid w:val="00A54C74"/>
    <w:rsid w:val="00A556BA"/>
    <w:rsid w:val="00A560E8"/>
    <w:rsid w:val="00A565EE"/>
    <w:rsid w:val="00A56EEA"/>
    <w:rsid w:val="00A57548"/>
    <w:rsid w:val="00A6094F"/>
    <w:rsid w:val="00A6154B"/>
    <w:rsid w:val="00A62A5C"/>
    <w:rsid w:val="00A62E3D"/>
    <w:rsid w:val="00A64D0F"/>
    <w:rsid w:val="00A656A4"/>
    <w:rsid w:val="00A6570C"/>
    <w:rsid w:val="00A65AB7"/>
    <w:rsid w:val="00A66569"/>
    <w:rsid w:val="00A66764"/>
    <w:rsid w:val="00A66A57"/>
    <w:rsid w:val="00A673F5"/>
    <w:rsid w:val="00A67A03"/>
    <w:rsid w:val="00A708CB"/>
    <w:rsid w:val="00A70B5D"/>
    <w:rsid w:val="00A7278A"/>
    <w:rsid w:val="00A7295C"/>
    <w:rsid w:val="00A73788"/>
    <w:rsid w:val="00A73AC8"/>
    <w:rsid w:val="00A73BE6"/>
    <w:rsid w:val="00A74D83"/>
    <w:rsid w:val="00A7604F"/>
    <w:rsid w:val="00A76255"/>
    <w:rsid w:val="00A80389"/>
    <w:rsid w:val="00A819C7"/>
    <w:rsid w:val="00A82098"/>
    <w:rsid w:val="00A823E8"/>
    <w:rsid w:val="00A831A1"/>
    <w:rsid w:val="00A83A4E"/>
    <w:rsid w:val="00A8434F"/>
    <w:rsid w:val="00A84C3C"/>
    <w:rsid w:val="00A859D2"/>
    <w:rsid w:val="00A85C2C"/>
    <w:rsid w:val="00A86161"/>
    <w:rsid w:val="00A86367"/>
    <w:rsid w:val="00A86E3F"/>
    <w:rsid w:val="00A87441"/>
    <w:rsid w:val="00A87D6F"/>
    <w:rsid w:val="00A90561"/>
    <w:rsid w:val="00A9060E"/>
    <w:rsid w:val="00A9107F"/>
    <w:rsid w:val="00A9111D"/>
    <w:rsid w:val="00A911F4"/>
    <w:rsid w:val="00A91752"/>
    <w:rsid w:val="00A92569"/>
    <w:rsid w:val="00A94206"/>
    <w:rsid w:val="00A9539A"/>
    <w:rsid w:val="00A95425"/>
    <w:rsid w:val="00A95E37"/>
    <w:rsid w:val="00A970AA"/>
    <w:rsid w:val="00A973EC"/>
    <w:rsid w:val="00A97D82"/>
    <w:rsid w:val="00AA1583"/>
    <w:rsid w:val="00AA19ED"/>
    <w:rsid w:val="00AA1E6B"/>
    <w:rsid w:val="00AA1F97"/>
    <w:rsid w:val="00AA2DFF"/>
    <w:rsid w:val="00AA35B6"/>
    <w:rsid w:val="00AA3798"/>
    <w:rsid w:val="00AA4A0F"/>
    <w:rsid w:val="00AA5118"/>
    <w:rsid w:val="00AA5DC5"/>
    <w:rsid w:val="00AA6833"/>
    <w:rsid w:val="00AA710A"/>
    <w:rsid w:val="00AA719A"/>
    <w:rsid w:val="00AA7210"/>
    <w:rsid w:val="00AA731E"/>
    <w:rsid w:val="00AA7D67"/>
    <w:rsid w:val="00AB013A"/>
    <w:rsid w:val="00AB0E8B"/>
    <w:rsid w:val="00AB488F"/>
    <w:rsid w:val="00AB549D"/>
    <w:rsid w:val="00AB5764"/>
    <w:rsid w:val="00AC0EE5"/>
    <w:rsid w:val="00AC0F84"/>
    <w:rsid w:val="00AC1523"/>
    <w:rsid w:val="00AC1797"/>
    <w:rsid w:val="00AC1FD0"/>
    <w:rsid w:val="00AC28CD"/>
    <w:rsid w:val="00AC2D8A"/>
    <w:rsid w:val="00AC348C"/>
    <w:rsid w:val="00AC35E3"/>
    <w:rsid w:val="00AC38E3"/>
    <w:rsid w:val="00AC412A"/>
    <w:rsid w:val="00AC47F8"/>
    <w:rsid w:val="00AC486A"/>
    <w:rsid w:val="00AC4B59"/>
    <w:rsid w:val="00AC5240"/>
    <w:rsid w:val="00AC56C9"/>
    <w:rsid w:val="00AC5735"/>
    <w:rsid w:val="00AC5761"/>
    <w:rsid w:val="00AC64F3"/>
    <w:rsid w:val="00AC651D"/>
    <w:rsid w:val="00AD11B7"/>
    <w:rsid w:val="00AD217A"/>
    <w:rsid w:val="00AD22D8"/>
    <w:rsid w:val="00AD3179"/>
    <w:rsid w:val="00AD3C67"/>
    <w:rsid w:val="00AD3DB0"/>
    <w:rsid w:val="00AD4D98"/>
    <w:rsid w:val="00AD5687"/>
    <w:rsid w:val="00AD6617"/>
    <w:rsid w:val="00AD6679"/>
    <w:rsid w:val="00AD7336"/>
    <w:rsid w:val="00AD74BA"/>
    <w:rsid w:val="00AD7DBD"/>
    <w:rsid w:val="00AE0C62"/>
    <w:rsid w:val="00AE0E0B"/>
    <w:rsid w:val="00AE0FF5"/>
    <w:rsid w:val="00AE1D40"/>
    <w:rsid w:val="00AE1EC7"/>
    <w:rsid w:val="00AE321E"/>
    <w:rsid w:val="00AE3C2C"/>
    <w:rsid w:val="00AE3D2C"/>
    <w:rsid w:val="00AE4307"/>
    <w:rsid w:val="00AE5BC1"/>
    <w:rsid w:val="00AE67A9"/>
    <w:rsid w:val="00AE72C2"/>
    <w:rsid w:val="00AE7D85"/>
    <w:rsid w:val="00AF09B1"/>
    <w:rsid w:val="00AF0EB1"/>
    <w:rsid w:val="00AF16F3"/>
    <w:rsid w:val="00AF2129"/>
    <w:rsid w:val="00AF2F4A"/>
    <w:rsid w:val="00AF333B"/>
    <w:rsid w:val="00AF3CDF"/>
    <w:rsid w:val="00AF41FF"/>
    <w:rsid w:val="00AF49CC"/>
    <w:rsid w:val="00AF5A36"/>
    <w:rsid w:val="00AF5FDE"/>
    <w:rsid w:val="00AF6492"/>
    <w:rsid w:val="00AF66BF"/>
    <w:rsid w:val="00AF7D80"/>
    <w:rsid w:val="00B004BC"/>
    <w:rsid w:val="00B00A3F"/>
    <w:rsid w:val="00B00E45"/>
    <w:rsid w:val="00B01589"/>
    <w:rsid w:val="00B02E90"/>
    <w:rsid w:val="00B02E9F"/>
    <w:rsid w:val="00B0459E"/>
    <w:rsid w:val="00B04F92"/>
    <w:rsid w:val="00B06784"/>
    <w:rsid w:val="00B06E86"/>
    <w:rsid w:val="00B06FD1"/>
    <w:rsid w:val="00B07C5A"/>
    <w:rsid w:val="00B10A9A"/>
    <w:rsid w:val="00B11641"/>
    <w:rsid w:val="00B11C4D"/>
    <w:rsid w:val="00B124EC"/>
    <w:rsid w:val="00B12A90"/>
    <w:rsid w:val="00B130B3"/>
    <w:rsid w:val="00B13DCD"/>
    <w:rsid w:val="00B1569D"/>
    <w:rsid w:val="00B17287"/>
    <w:rsid w:val="00B172BF"/>
    <w:rsid w:val="00B17A7A"/>
    <w:rsid w:val="00B201F4"/>
    <w:rsid w:val="00B213A6"/>
    <w:rsid w:val="00B214A6"/>
    <w:rsid w:val="00B2167E"/>
    <w:rsid w:val="00B22D48"/>
    <w:rsid w:val="00B2322A"/>
    <w:rsid w:val="00B23D35"/>
    <w:rsid w:val="00B245F0"/>
    <w:rsid w:val="00B24D40"/>
    <w:rsid w:val="00B25EAA"/>
    <w:rsid w:val="00B2613C"/>
    <w:rsid w:val="00B26CB2"/>
    <w:rsid w:val="00B26D3A"/>
    <w:rsid w:val="00B271AB"/>
    <w:rsid w:val="00B27BA6"/>
    <w:rsid w:val="00B310C7"/>
    <w:rsid w:val="00B31D1A"/>
    <w:rsid w:val="00B32262"/>
    <w:rsid w:val="00B322CC"/>
    <w:rsid w:val="00B33261"/>
    <w:rsid w:val="00B3340C"/>
    <w:rsid w:val="00B33E95"/>
    <w:rsid w:val="00B34362"/>
    <w:rsid w:val="00B35546"/>
    <w:rsid w:val="00B35761"/>
    <w:rsid w:val="00B379CB"/>
    <w:rsid w:val="00B4067A"/>
    <w:rsid w:val="00B40AFC"/>
    <w:rsid w:val="00B41420"/>
    <w:rsid w:val="00B41A24"/>
    <w:rsid w:val="00B41DD3"/>
    <w:rsid w:val="00B42BCC"/>
    <w:rsid w:val="00B42E76"/>
    <w:rsid w:val="00B4368A"/>
    <w:rsid w:val="00B447D7"/>
    <w:rsid w:val="00B44D9C"/>
    <w:rsid w:val="00B45073"/>
    <w:rsid w:val="00B45374"/>
    <w:rsid w:val="00B46C8A"/>
    <w:rsid w:val="00B4758F"/>
    <w:rsid w:val="00B47EEE"/>
    <w:rsid w:val="00B507D8"/>
    <w:rsid w:val="00B517CE"/>
    <w:rsid w:val="00B53F03"/>
    <w:rsid w:val="00B5452D"/>
    <w:rsid w:val="00B55310"/>
    <w:rsid w:val="00B5568D"/>
    <w:rsid w:val="00B57A76"/>
    <w:rsid w:val="00B60FF2"/>
    <w:rsid w:val="00B611CC"/>
    <w:rsid w:val="00B6185F"/>
    <w:rsid w:val="00B61E10"/>
    <w:rsid w:val="00B63668"/>
    <w:rsid w:val="00B643B3"/>
    <w:rsid w:val="00B6562E"/>
    <w:rsid w:val="00B65E93"/>
    <w:rsid w:val="00B66CA1"/>
    <w:rsid w:val="00B675D3"/>
    <w:rsid w:val="00B67C3B"/>
    <w:rsid w:val="00B67F0C"/>
    <w:rsid w:val="00B703C1"/>
    <w:rsid w:val="00B70716"/>
    <w:rsid w:val="00B70D30"/>
    <w:rsid w:val="00B7228E"/>
    <w:rsid w:val="00B733B1"/>
    <w:rsid w:val="00B74270"/>
    <w:rsid w:val="00B743AF"/>
    <w:rsid w:val="00B74850"/>
    <w:rsid w:val="00B74E45"/>
    <w:rsid w:val="00B75090"/>
    <w:rsid w:val="00B75091"/>
    <w:rsid w:val="00B7586C"/>
    <w:rsid w:val="00B75A81"/>
    <w:rsid w:val="00B75BA1"/>
    <w:rsid w:val="00B75EEE"/>
    <w:rsid w:val="00B760DF"/>
    <w:rsid w:val="00B76296"/>
    <w:rsid w:val="00B77C6D"/>
    <w:rsid w:val="00B81350"/>
    <w:rsid w:val="00B81CAF"/>
    <w:rsid w:val="00B82910"/>
    <w:rsid w:val="00B82932"/>
    <w:rsid w:val="00B84799"/>
    <w:rsid w:val="00B8518F"/>
    <w:rsid w:val="00B856F0"/>
    <w:rsid w:val="00B86E89"/>
    <w:rsid w:val="00B879AE"/>
    <w:rsid w:val="00B87A82"/>
    <w:rsid w:val="00B90367"/>
    <w:rsid w:val="00B93317"/>
    <w:rsid w:val="00B9347D"/>
    <w:rsid w:val="00B94CAC"/>
    <w:rsid w:val="00B95A9B"/>
    <w:rsid w:val="00B9675A"/>
    <w:rsid w:val="00B9684A"/>
    <w:rsid w:val="00B96990"/>
    <w:rsid w:val="00B96EA4"/>
    <w:rsid w:val="00BA0B21"/>
    <w:rsid w:val="00BA1296"/>
    <w:rsid w:val="00BA26D0"/>
    <w:rsid w:val="00BA2D9B"/>
    <w:rsid w:val="00BA44A3"/>
    <w:rsid w:val="00BA44AF"/>
    <w:rsid w:val="00BA4882"/>
    <w:rsid w:val="00BA5DFA"/>
    <w:rsid w:val="00BA5EAD"/>
    <w:rsid w:val="00BA6263"/>
    <w:rsid w:val="00BA6D4C"/>
    <w:rsid w:val="00BB03D7"/>
    <w:rsid w:val="00BB10CD"/>
    <w:rsid w:val="00BB25DC"/>
    <w:rsid w:val="00BB2723"/>
    <w:rsid w:val="00BB2BF9"/>
    <w:rsid w:val="00BB382E"/>
    <w:rsid w:val="00BB4938"/>
    <w:rsid w:val="00BB4A0B"/>
    <w:rsid w:val="00BB50BA"/>
    <w:rsid w:val="00BB53B5"/>
    <w:rsid w:val="00BB5783"/>
    <w:rsid w:val="00BB6793"/>
    <w:rsid w:val="00BB68E7"/>
    <w:rsid w:val="00BB7092"/>
    <w:rsid w:val="00BB7D38"/>
    <w:rsid w:val="00BC0179"/>
    <w:rsid w:val="00BC054E"/>
    <w:rsid w:val="00BC0EDB"/>
    <w:rsid w:val="00BC166B"/>
    <w:rsid w:val="00BC1ECE"/>
    <w:rsid w:val="00BC2861"/>
    <w:rsid w:val="00BC305B"/>
    <w:rsid w:val="00BC43A5"/>
    <w:rsid w:val="00BC5651"/>
    <w:rsid w:val="00BC65B3"/>
    <w:rsid w:val="00BC6CB4"/>
    <w:rsid w:val="00BC7281"/>
    <w:rsid w:val="00BC77A7"/>
    <w:rsid w:val="00BD3E17"/>
    <w:rsid w:val="00BD421B"/>
    <w:rsid w:val="00BD450E"/>
    <w:rsid w:val="00BD482F"/>
    <w:rsid w:val="00BD4943"/>
    <w:rsid w:val="00BD5681"/>
    <w:rsid w:val="00BD5B2D"/>
    <w:rsid w:val="00BD5EB7"/>
    <w:rsid w:val="00BD6886"/>
    <w:rsid w:val="00BD68E8"/>
    <w:rsid w:val="00BD6B69"/>
    <w:rsid w:val="00BD6F9A"/>
    <w:rsid w:val="00BD7497"/>
    <w:rsid w:val="00BD7A24"/>
    <w:rsid w:val="00BE0851"/>
    <w:rsid w:val="00BE08A4"/>
    <w:rsid w:val="00BE09E3"/>
    <w:rsid w:val="00BE0A6A"/>
    <w:rsid w:val="00BE0FED"/>
    <w:rsid w:val="00BE1B4F"/>
    <w:rsid w:val="00BE23B8"/>
    <w:rsid w:val="00BE2653"/>
    <w:rsid w:val="00BE2B63"/>
    <w:rsid w:val="00BE3A36"/>
    <w:rsid w:val="00BE42C2"/>
    <w:rsid w:val="00BE49EB"/>
    <w:rsid w:val="00BE49F9"/>
    <w:rsid w:val="00BE53A9"/>
    <w:rsid w:val="00BE687F"/>
    <w:rsid w:val="00BE70A0"/>
    <w:rsid w:val="00BE737B"/>
    <w:rsid w:val="00BE789D"/>
    <w:rsid w:val="00BE7EB1"/>
    <w:rsid w:val="00BF03F8"/>
    <w:rsid w:val="00BF0BAB"/>
    <w:rsid w:val="00BF0E02"/>
    <w:rsid w:val="00BF135F"/>
    <w:rsid w:val="00BF1E35"/>
    <w:rsid w:val="00BF3762"/>
    <w:rsid w:val="00BF3BF0"/>
    <w:rsid w:val="00BF47EF"/>
    <w:rsid w:val="00BF4CB8"/>
    <w:rsid w:val="00BF4E7D"/>
    <w:rsid w:val="00BF60CC"/>
    <w:rsid w:val="00BF7989"/>
    <w:rsid w:val="00BF7FBB"/>
    <w:rsid w:val="00C00D86"/>
    <w:rsid w:val="00C00E96"/>
    <w:rsid w:val="00C00F4F"/>
    <w:rsid w:val="00C01105"/>
    <w:rsid w:val="00C018D9"/>
    <w:rsid w:val="00C01931"/>
    <w:rsid w:val="00C01E67"/>
    <w:rsid w:val="00C03748"/>
    <w:rsid w:val="00C057CD"/>
    <w:rsid w:val="00C05921"/>
    <w:rsid w:val="00C05FD3"/>
    <w:rsid w:val="00C060F3"/>
    <w:rsid w:val="00C06833"/>
    <w:rsid w:val="00C069AB"/>
    <w:rsid w:val="00C102BB"/>
    <w:rsid w:val="00C116F2"/>
    <w:rsid w:val="00C1233D"/>
    <w:rsid w:val="00C140AE"/>
    <w:rsid w:val="00C14165"/>
    <w:rsid w:val="00C142FD"/>
    <w:rsid w:val="00C17270"/>
    <w:rsid w:val="00C20097"/>
    <w:rsid w:val="00C20BF8"/>
    <w:rsid w:val="00C21209"/>
    <w:rsid w:val="00C21882"/>
    <w:rsid w:val="00C21CE2"/>
    <w:rsid w:val="00C223D8"/>
    <w:rsid w:val="00C23A3D"/>
    <w:rsid w:val="00C25569"/>
    <w:rsid w:val="00C25825"/>
    <w:rsid w:val="00C25906"/>
    <w:rsid w:val="00C25E87"/>
    <w:rsid w:val="00C26375"/>
    <w:rsid w:val="00C266B3"/>
    <w:rsid w:val="00C26AC2"/>
    <w:rsid w:val="00C272DE"/>
    <w:rsid w:val="00C2767E"/>
    <w:rsid w:val="00C279B7"/>
    <w:rsid w:val="00C27D02"/>
    <w:rsid w:val="00C312D5"/>
    <w:rsid w:val="00C313CE"/>
    <w:rsid w:val="00C313F0"/>
    <w:rsid w:val="00C31CD3"/>
    <w:rsid w:val="00C321A1"/>
    <w:rsid w:val="00C32720"/>
    <w:rsid w:val="00C33162"/>
    <w:rsid w:val="00C333AB"/>
    <w:rsid w:val="00C340E8"/>
    <w:rsid w:val="00C3432B"/>
    <w:rsid w:val="00C354E5"/>
    <w:rsid w:val="00C36C7D"/>
    <w:rsid w:val="00C36DC0"/>
    <w:rsid w:val="00C372C3"/>
    <w:rsid w:val="00C409F5"/>
    <w:rsid w:val="00C40C31"/>
    <w:rsid w:val="00C41FF9"/>
    <w:rsid w:val="00C42577"/>
    <w:rsid w:val="00C42921"/>
    <w:rsid w:val="00C4341B"/>
    <w:rsid w:val="00C43A07"/>
    <w:rsid w:val="00C43D36"/>
    <w:rsid w:val="00C452DC"/>
    <w:rsid w:val="00C4583A"/>
    <w:rsid w:val="00C45D5E"/>
    <w:rsid w:val="00C4644D"/>
    <w:rsid w:val="00C473BF"/>
    <w:rsid w:val="00C47FCD"/>
    <w:rsid w:val="00C5083B"/>
    <w:rsid w:val="00C50A1F"/>
    <w:rsid w:val="00C51196"/>
    <w:rsid w:val="00C514CE"/>
    <w:rsid w:val="00C520B7"/>
    <w:rsid w:val="00C520DB"/>
    <w:rsid w:val="00C52AAC"/>
    <w:rsid w:val="00C52FE2"/>
    <w:rsid w:val="00C53C1A"/>
    <w:rsid w:val="00C57BF6"/>
    <w:rsid w:val="00C57DE5"/>
    <w:rsid w:val="00C60CE2"/>
    <w:rsid w:val="00C60E54"/>
    <w:rsid w:val="00C611AD"/>
    <w:rsid w:val="00C6264A"/>
    <w:rsid w:val="00C62F05"/>
    <w:rsid w:val="00C63065"/>
    <w:rsid w:val="00C6358B"/>
    <w:rsid w:val="00C636EE"/>
    <w:rsid w:val="00C648FA"/>
    <w:rsid w:val="00C64F44"/>
    <w:rsid w:val="00C71D54"/>
    <w:rsid w:val="00C71E5A"/>
    <w:rsid w:val="00C72D51"/>
    <w:rsid w:val="00C72F56"/>
    <w:rsid w:val="00C73984"/>
    <w:rsid w:val="00C74687"/>
    <w:rsid w:val="00C756A5"/>
    <w:rsid w:val="00C75730"/>
    <w:rsid w:val="00C75C30"/>
    <w:rsid w:val="00C76522"/>
    <w:rsid w:val="00C771F8"/>
    <w:rsid w:val="00C811CE"/>
    <w:rsid w:val="00C8126F"/>
    <w:rsid w:val="00C822FD"/>
    <w:rsid w:val="00C82612"/>
    <w:rsid w:val="00C82839"/>
    <w:rsid w:val="00C83AB7"/>
    <w:rsid w:val="00C83E92"/>
    <w:rsid w:val="00C84587"/>
    <w:rsid w:val="00C90A6F"/>
    <w:rsid w:val="00C90B61"/>
    <w:rsid w:val="00C90F67"/>
    <w:rsid w:val="00C9136B"/>
    <w:rsid w:val="00C91730"/>
    <w:rsid w:val="00C9190F"/>
    <w:rsid w:val="00C9315A"/>
    <w:rsid w:val="00C93A11"/>
    <w:rsid w:val="00C94929"/>
    <w:rsid w:val="00C950DA"/>
    <w:rsid w:val="00C95780"/>
    <w:rsid w:val="00C958B4"/>
    <w:rsid w:val="00C96C55"/>
    <w:rsid w:val="00C97234"/>
    <w:rsid w:val="00C976A4"/>
    <w:rsid w:val="00CA09E5"/>
    <w:rsid w:val="00CA27FC"/>
    <w:rsid w:val="00CA4C76"/>
    <w:rsid w:val="00CA5556"/>
    <w:rsid w:val="00CA5EFE"/>
    <w:rsid w:val="00CA7263"/>
    <w:rsid w:val="00CB0425"/>
    <w:rsid w:val="00CB0771"/>
    <w:rsid w:val="00CB2A67"/>
    <w:rsid w:val="00CB4C40"/>
    <w:rsid w:val="00CB4E14"/>
    <w:rsid w:val="00CB5093"/>
    <w:rsid w:val="00CB5922"/>
    <w:rsid w:val="00CB596F"/>
    <w:rsid w:val="00CB5C41"/>
    <w:rsid w:val="00CB626E"/>
    <w:rsid w:val="00CB68B2"/>
    <w:rsid w:val="00CB6B9D"/>
    <w:rsid w:val="00CB705D"/>
    <w:rsid w:val="00CC06DC"/>
    <w:rsid w:val="00CC0C17"/>
    <w:rsid w:val="00CC104E"/>
    <w:rsid w:val="00CC1A51"/>
    <w:rsid w:val="00CC1C56"/>
    <w:rsid w:val="00CC294B"/>
    <w:rsid w:val="00CC328D"/>
    <w:rsid w:val="00CC3A0F"/>
    <w:rsid w:val="00CC3D0C"/>
    <w:rsid w:val="00CC542A"/>
    <w:rsid w:val="00CC6661"/>
    <w:rsid w:val="00CC6D85"/>
    <w:rsid w:val="00CC71A1"/>
    <w:rsid w:val="00CC71B5"/>
    <w:rsid w:val="00CC7F04"/>
    <w:rsid w:val="00CD04D6"/>
    <w:rsid w:val="00CD1D02"/>
    <w:rsid w:val="00CD23BE"/>
    <w:rsid w:val="00CD3514"/>
    <w:rsid w:val="00CD3AD4"/>
    <w:rsid w:val="00CD3C14"/>
    <w:rsid w:val="00CD4022"/>
    <w:rsid w:val="00CD40C5"/>
    <w:rsid w:val="00CD4468"/>
    <w:rsid w:val="00CD506B"/>
    <w:rsid w:val="00CD776F"/>
    <w:rsid w:val="00CD7BDC"/>
    <w:rsid w:val="00CE0C49"/>
    <w:rsid w:val="00CE0E62"/>
    <w:rsid w:val="00CE1420"/>
    <w:rsid w:val="00CE14CA"/>
    <w:rsid w:val="00CE295C"/>
    <w:rsid w:val="00CE2C0F"/>
    <w:rsid w:val="00CE2E6C"/>
    <w:rsid w:val="00CE31F9"/>
    <w:rsid w:val="00CE4288"/>
    <w:rsid w:val="00CE58B5"/>
    <w:rsid w:val="00CE58E2"/>
    <w:rsid w:val="00CE5F75"/>
    <w:rsid w:val="00CE6385"/>
    <w:rsid w:val="00CE6B09"/>
    <w:rsid w:val="00CF0061"/>
    <w:rsid w:val="00CF027F"/>
    <w:rsid w:val="00CF0914"/>
    <w:rsid w:val="00CF0AD3"/>
    <w:rsid w:val="00CF0FA5"/>
    <w:rsid w:val="00CF147B"/>
    <w:rsid w:val="00CF17D8"/>
    <w:rsid w:val="00CF2AE0"/>
    <w:rsid w:val="00CF3DEF"/>
    <w:rsid w:val="00CF566F"/>
    <w:rsid w:val="00CF6378"/>
    <w:rsid w:val="00CF672D"/>
    <w:rsid w:val="00CF6E70"/>
    <w:rsid w:val="00CF7ED8"/>
    <w:rsid w:val="00D00F10"/>
    <w:rsid w:val="00D01758"/>
    <w:rsid w:val="00D01E07"/>
    <w:rsid w:val="00D02459"/>
    <w:rsid w:val="00D037BE"/>
    <w:rsid w:val="00D047C2"/>
    <w:rsid w:val="00D04874"/>
    <w:rsid w:val="00D04DB9"/>
    <w:rsid w:val="00D055E4"/>
    <w:rsid w:val="00D0625A"/>
    <w:rsid w:val="00D06B47"/>
    <w:rsid w:val="00D06D97"/>
    <w:rsid w:val="00D1124B"/>
    <w:rsid w:val="00D11730"/>
    <w:rsid w:val="00D120CD"/>
    <w:rsid w:val="00D129D7"/>
    <w:rsid w:val="00D12FBC"/>
    <w:rsid w:val="00D130BD"/>
    <w:rsid w:val="00D13A78"/>
    <w:rsid w:val="00D13CF7"/>
    <w:rsid w:val="00D14DCC"/>
    <w:rsid w:val="00D17A47"/>
    <w:rsid w:val="00D207A7"/>
    <w:rsid w:val="00D208D2"/>
    <w:rsid w:val="00D22DE2"/>
    <w:rsid w:val="00D231A6"/>
    <w:rsid w:val="00D236F4"/>
    <w:rsid w:val="00D23DA3"/>
    <w:rsid w:val="00D2407A"/>
    <w:rsid w:val="00D243E2"/>
    <w:rsid w:val="00D2445A"/>
    <w:rsid w:val="00D24701"/>
    <w:rsid w:val="00D249E2"/>
    <w:rsid w:val="00D24EC8"/>
    <w:rsid w:val="00D2505B"/>
    <w:rsid w:val="00D26775"/>
    <w:rsid w:val="00D27793"/>
    <w:rsid w:val="00D30E38"/>
    <w:rsid w:val="00D30F5F"/>
    <w:rsid w:val="00D310AA"/>
    <w:rsid w:val="00D31F63"/>
    <w:rsid w:val="00D32ECF"/>
    <w:rsid w:val="00D33AFB"/>
    <w:rsid w:val="00D351BC"/>
    <w:rsid w:val="00D35F2E"/>
    <w:rsid w:val="00D3615B"/>
    <w:rsid w:val="00D36178"/>
    <w:rsid w:val="00D36344"/>
    <w:rsid w:val="00D37A1D"/>
    <w:rsid w:val="00D37D4F"/>
    <w:rsid w:val="00D40360"/>
    <w:rsid w:val="00D404A4"/>
    <w:rsid w:val="00D4059C"/>
    <w:rsid w:val="00D406C3"/>
    <w:rsid w:val="00D4070C"/>
    <w:rsid w:val="00D40C04"/>
    <w:rsid w:val="00D40D57"/>
    <w:rsid w:val="00D40D63"/>
    <w:rsid w:val="00D41355"/>
    <w:rsid w:val="00D41FD1"/>
    <w:rsid w:val="00D45437"/>
    <w:rsid w:val="00D460D0"/>
    <w:rsid w:val="00D46CBE"/>
    <w:rsid w:val="00D479E4"/>
    <w:rsid w:val="00D47B5A"/>
    <w:rsid w:val="00D47E07"/>
    <w:rsid w:val="00D47FFC"/>
    <w:rsid w:val="00D51A7D"/>
    <w:rsid w:val="00D51C73"/>
    <w:rsid w:val="00D53A2C"/>
    <w:rsid w:val="00D55710"/>
    <w:rsid w:val="00D55DFD"/>
    <w:rsid w:val="00D56B81"/>
    <w:rsid w:val="00D57440"/>
    <w:rsid w:val="00D60096"/>
    <w:rsid w:val="00D603F6"/>
    <w:rsid w:val="00D604A4"/>
    <w:rsid w:val="00D608B1"/>
    <w:rsid w:val="00D608E5"/>
    <w:rsid w:val="00D60BFC"/>
    <w:rsid w:val="00D6257C"/>
    <w:rsid w:val="00D62D04"/>
    <w:rsid w:val="00D63293"/>
    <w:rsid w:val="00D63D12"/>
    <w:rsid w:val="00D63DE7"/>
    <w:rsid w:val="00D641AE"/>
    <w:rsid w:val="00D64583"/>
    <w:rsid w:val="00D648CF"/>
    <w:rsid w:val="00D65A34"/>
    <w:rsid w:val="00D66D6F"/>
    <w:rsid w:val="00D66E88"/>
    <w:rsid w:val="00D72ACE"/>
    <w:rsid w:val="00D72AEA"/>
    <w:rsid w:val="00D73445"/>
    <w:rsid w:val="00D7375C"/>
    <w:rsid w:val="00D737BA"/>
    <w:rsid w:val="00D7392F"/>
    <w:rsid w:val="00D73C57"/>
    <w:rsid w:val="00D7452C"/>
    <w:rsid w:val="00D775FF"/>
    <w:rsid w:val="00D77B37"/>
    <w:rsid w:val="00D80716"/>
    <w:rsid w:val="00D80894"/>
    <w:rsid w:val="00D80A2F"/>
    <w:rsid w:val="00D81379"/>
    <w:rsid w:val="00D823E2"/>
    <w:rsid w:val="00D8256F"/>
    <w:rsid w:val="00D83D78"/>
    <w:rsid w:val="00D840D0"/>
    <w:rsid w:val="00D843CD"/>
    <w:rsid w:val="00D84FA7"/>
    <w:rsid w:val="00D859C5"/>
    <w:rsid w:val="00D85D5E"/>
    <w:rsid w:val="00D86177"/>
    <w:rsid w:val="00D87213"/>
    <w:rsid w:val="00D90811"/>
    <w:rsid w:val="00D90F6F"/>
    <w:rsid w:val="00D924F1"/>
    <w:rsid w:val="00D93684"/>
    <w:rsid w:val="00D94935"/>
    <w:rsid w:val="00D9686A"/>
    <w:rsid w:val="00DA2714"/>
    <w:rsid w:val="00DA29E1"/>
    <w:rsid w:val="00DA2E09"/>
    <w:rsid w:val="00DA31B9"/>
    <w:rsid w:val="00DA3CFB"/>
    <w:rsid w:val="00DA3D4F"/>
    <w:rsid w:val="00DA41E0"/>
    <w:rsid w:val="00DA4579"/>
    <w:rsid w:val="00DA583D"/>
    <w:rsid w:val="00DA6BB5"/>
    <w:rsid w:val="00DA7263"/>
    <w:rsid w:val="00DA75DD"/>
    <w:rsid w:val="00DB0372"/>
    <w:rsid w:val="00DB06B4"/>
    <w:rsid w:val="00DB17B8"/>
    <w:rsid w:val="00DB28E0"/>
    <w:rsid w:val="00DB2DE3"/>
    <w:rsid w:val="00DB2EC8"/>
    <w:rsid w:val="00DB60D3"/>
    <w:rsid w:val="00DB6D50"/>
    <w:rsid w:val="00DB712D"/>
    <w:rsid w:val="00DB7157"/>
    <w:rsid w:val="00DB7597"/>
    <w:rsid w:val="00DB7879"/>
    <w:rsid w:val="00DB7C80"/>
    <w:rsid w:val="00DB7EB5"/>
    <w:rsid w:val="00DC0243"/>
    <w:rsid w:val="00DC09FF"/>
    <w:rsid w:val="00DC0DFA"/>
    <w:rsid w:val="00DC1567"/>
    <w:rsid w:val="00DC2074"/>
    <w:rsid w:val="00DC2E57"/>
    <w:rsid w:val="00DC2EF8"/>
    <w:rsid w:val="00DC34F4"/>
    <w:rsid w:val="00DC485C"/>
    <w:rsid w:val="00DC4971"/>
    <w:rsid w:val="00DC4EA3"/>
    <w:rsid w:val="00DC59E8"/>
    <w:rsid w:val="00DC5C1C"/>
    <w:rsid w:val="00DC5D2F"/>
    <w:rsid w:val="00DC671B"/>
    <w:rsid w:val="00DC7342"/>
    <w:rsid w:val="00DC7A0D"/>
    <w:rsid w:val="00DD0082"/>
    <w:rsid w:val="00DD046A"/>
    <w:rsid w:val="00DD12A9"/>
    <w:rsid w:val="00DD1576"/>
    <w:rsid w:val="00DD1CA7"/>
    <w:rsid w:val="00DD1E81"/>
    <w:rsid w:val="00DD24B5"/>
    <w:rsid w:val="00DD46EA"/>
    <w:rsid w:val="00DD50CA"/>
    <w:rsid w:val="00DD5429"/>
    <w:rsid w:val="00DD5528"/>
    <w:rsid w:val="00DD6B68"/>
    <w:rsid w:val="00DD6F75"/>
    <w:rsid w:val="00DD7914"/>
    <w:rsid w:val="00DE0526"/>
    <w:rsid w:val="00DE1896"/>
    <w:rsid w:val="00DE1A86"/>
    <w:rsid w:val="00DE1DF5"/>
    <w:rsid w:val="00DE1FAE"/>
    <w:rsid w:val="00DE2C20"/>
    <w:rsid w:val="00DE2C30"/>
    <w:rsid w:val="00DE2D7D"/>
    <w:rsid w:val="00DE3019"/>
    <w:rsid w:val="00DE367D"/>
    <w:rsid w:val="00DE3E6A"/>
    <w:rsid w:val="00DE42C4"/>
    <w:rsid w:val="00DE52C9"/>
    <w:rsid w:val="00DE5347"/>
    <w:rsid w:val="00DE5D33"/>
    <w:rsid w:val="00DE62C2"/>
    <w:rsid w:val="00DE6A33"/>
    <w:rsid w:val="00DF00D6"/>
    <w:rsid w:val="00DF0395"/>
    <w:rsid w:val="00DF0988"/>
    <w:rsid w:val="00DF1FBB"/>
    <w:rsid w:val="00DF2332"/>
    <w:rsid w:val="00DF2D4C"/>
    <w:rsid w:val="00DF2E07"/>
    <w:rsid w:val="00DF5F99"/>
    <w:rsid w:val="00DF6CF5"/>
    <w:rsid w:val="00DF706D"/>
    <w:rsid w:val="00E006A2"/>
    <w:rsid w:val="00E01828"/>
    <w:rsid w:val="00E01C20"/>
    <w:rsid w:val="00E02E11"/>
    <w:rsid w:val="00E031A9"/>
    <w:rsid w:val="00E035C7"/>
    <w:rsid w:val="00E03BF9"/>
    <w:rsid w:val="00E03D8B"/>
    <w:rsid w:val="00E03ECA"/>
    <w:rsid w:val="00E03F0B"/>
    <w:rsid w:val="00E04199"/>
    <w:rsid w:val="00E05D05"/>
    <w:rsid w:val="00E063F4"/>
    <w:rsid w:val="00E07C9F"/>
    <w:rsid w:val="00E101D4"/>
    <w:rsid w:val="00E1058B"/>
    <w:rsid w:val="00E10CF9"/>
    <w:rsid w:val="00E11D58"/>
    <w:rsid w:val="00E14CFC"/>
    <w:rsid w:val="00E14E8A"/>
    <w:rsid w:val="00E15025"/>
    <w:rsid w:val="00E15680"/>
    <w:rsid w:val="00E15699"/>
    <w:rsid w:val="00E15AFC"/>
    <w:rsid w:val="00E17038"/>
    <w:rsid w:val="00E1749E"/>
    <w:rsid w:val="00E20B52"/>
    <w:rsid w:val="00E20E9D"/>
    <w:rsid w:val="00E218C6"/>
    <w:rsid w:val="00E220AE"/>
    <w:rsid w:val="00E22A46"/>
    <w:rsid w:val="00E22C0E"/>
    <w:rsid w:val="00E22F34"/>
    <w:rsid w:val="00E23F42"/>
    <w:rsid w:val="00E250CC"/>
    <w:rsid w:val="00E251DA"/>
    <w:rsid w:val="00E2539A"/>
    <w:rsid w:val="00E26041"/>
    <w:rsid w:val="00E263BA"/>
    <w:rsid w:val="00E267DE"/>
    <w:rsid w:val="00E26E84"/>
    <w:rsid w:val="00E278FB"/>
    <w:rsid w:val="00E3002C"/>
    <w:rsid w:val="00E30297"/>
    <w:rsid w:val="00E31683"/>
    <w:rsid w:val="00E317E0"/>
    <w:rsid w:val="00E317FE"/>
    <w:rsid w:val="00E331EE"/>
    <w:rsid w:val="00E34A6C"/>
    <w:rsid w:val="00E3547E"/>
    <w:rsid w:val="00E36578"/>
    <w:rsid w:val="00E3669F"/>
    <w:rsid w:val="00E36E53"/>
    <w:rsid w:val="00E4005B"/>
    <w:rsid w:val="00E40FA0"/>
    <w:rsid w:val="00E41C1B"/>
    <w:rsid w:val="00E42024"/>
    <w:rsid w:val="00E421A9"/>
    <w:rsid w:val="00E446D0"/>
    <w:rsid w:val="00E44FAF"/>
    <w:rsid w:val="00E456B7"/>
    <w:rsid w:val="00E465AC"/>
    <w:rsid w:val="00E47361"/>
    <w:rsid w:val="00E47A13"/>
    <w:rsid w:val="00E51FDD"/>
    <w:rsid w:val="00E520AE"/>
    <w:rsid w:val="00E52145"/>
    <w:rsid w:val="00E5244B"/>
    <w:rsid w:val="00E52F94"/>
    <w:rsid w:val="00E5327F"/>
    <w:rsid w:val="00E53C49"/>
    <w:rsid w:val="00E543E1"/>
    <w:rsid w:val="00E546C3"/>
    <w:rsid w:val="00E54D5F"/>
    <w:rsid w:val="00E5503F"/>
    <w:rsid w:val="00E551F2"/>
    <w:rsid w:val="00E55ECD"/>
    <w:rsid w:val="00E56050"/>
    <w:rsid w:val="00E56A7A"/>
    <w:rsid w:val="00E56DAA"/>
    <w:rsid w:val="00E57612"/>
    <w:rsid w:val="00E60FEB"/>
    <w:rsid w:val="00E61198"/>
    <w:rsid w:val="00E616DA"/>
    <w:rsid w:val="00E620EC"/>
    <w:rsid w:val="00E62CC4"/>
    <w:rsid w:val="00E62EC1"/>
    <w:rsid w:val="00E63DBF"/>
    <w:rsid w:val="00E64803"/>
    <w:rsid w:val="00E65B4A"/>
    <w:rsid w:val="00E70095"/>
    <w:rsid w:val="00E708CD"/>
    <w:rsid w:val="00E72082"/>
    <w:rsid w:val="00E75628"/>
    <w:rsid w:val="00E764FB"/>
    <w:rsid w:val="00E76910"/>
    <w:rsid w:val="00E7720D"/>
    <w:rsid w:val="00E777A2"/>
    <w:rsid w:val="00E77E96"/>
    <w:rsid w:val="00E80D56"/>
    <w:rsid w:val="00E80E73"/>
    <w:rsid w:val="00E814A1"/>
    <w:rsid w:val="00E81EBE"/>
    <w:rsid w:val="00E829B3"/>
    <w:rsid w:val="00E82D01"/>
    <w:rsid w:val="00E83C14"/>
    <w:rsid w:val="00E8530C"/>
    <w:rsid w:val="00E86D17"/>
    <w:rsid w:val="00E871A4"/>
    <w:rsid w:val="00E8725E"/>
    <w:rsid w:val="00E87BAE"/>
    <w:rsid w:val="00E9026F"/>
    <w:rsid w:val="00E9089C"/>
    <w:rsid w:val="00E909B1"/>
    <w:rsid w:val="00E90A0A"/>
    <w:rsid w:val="00E90BCF"/>
    <w:rsid w:val="00E90D78"/>
    <w:rsid w:val="00E91C43"/>
    <w:rsid w:val="00E921F2"/>
    <w:rsid w:val="00E92EC7"/>
    <w:rsid w:val="00E93800"/>
    <w:rsid w:val="00E93B42"/>
    <w:rsid w:val="00E964F1"/>
    <w:rsid w:val="00EA0A4E"/>
    <w:rsid w:val="00EA11F1"/>
    <w:rsid w:val="00EA20AA"/>
    <w:rsid w:val="00EA2507"/>
    <w:rsid w:val="00EA317E"/>
    <w:rsid w:val="00EA3B0D"/>
    <w:rsid w:val="00EA3FD5"/>
    <w:rsid w:val="00EA48AD"/>
    <w:rsid w:val="00EA4CD4"/>
    <w:rsid w:val="00EA565D"/>
    <w:rsid w:val="00EB2AE5"/>
    <w:rsid w:val="00EB2D42"/>
    <w:rsid w:val="00EB3BF6"/>
    <w:rsid w:val="00EB45DB"/>
    <w:rsid w:val="00EB4F97"/>
    <w:rsid w:val="00EB50A2"/>
    <w:rsid w:val="00EB55B7"/>
    <w:rsid w:val="00EB57CD"/>
    <w:rsid w:val="00EB63F2"/>
    <w:rsid w:val="00EB70B0"/>
    <w:rsid w:val="00EB73EF"/>
    <w:rsid w:val="00EC12B1"/>
    <w:rsid w:val="00EC2018"/>
    <w:rsid w:val="00EC2CE1"/>
    <w:rsid w:val="00EC2FAC"/>
    <w:rsid w:val="00EC3574"/>
    <w:rsid w:val="00EC3F32"/>
    <w:rsid w:val="00EC524D"/>
    <w:rsid w:val="00EC6C89"/>
    <w:rsid w:val="00EC767C"/>
    <w:rsid w:val="00EC78B0"/>
    <w:rsid w:val="00ED36C2"/>
    <w:rsid w:val="00ED509C"/>
    <w:rsid w:val="00ED57C0"/>
    <w:rsid w:val="00ED5FF3"/>
    <w:rsid w:val="00ED6437"/>
    <w:rsid w:val="00ED64E9"/>
    <w:rsid w:val="00ED7092"/>
    <w:rsid w:val="00ED7B8D"/>
    <w:rsid w:val="00ED7BFB"/>
    <w:rsid w:val="00EE0D60"/>
    <w:rsid w:val="00EE1317"/>
    <w:rsid w:val="00EE1CF1"/>
    <w:rsid w:val="00EE2852"/>
    <w:rsid w:val="00EE2F6F"/>
    <w:rsid w:val="00EE2F90"/>
    <w:rsid w:val="00EE3175"/>
    <w:rsid w:val="00EE3BAA"/>
    <w:rsid w:val="00EE3EEA"/>
    <w:rsid w:val="00EE4DF5"/>
    <w:rsid w:val="00EE4E01"/>
    <w:rsid w:val="00EE5490"/>
    <w:rsid w:val="00EE6456"/>
    <w:rsid w:val="00EE67E7"/>
    <w:rsid w:val="00EE723C"/>
    <w:rsid w:val="00EF0C1C"/>
    <w:rsid w:val="00EF1909"/>
    <w:rsid w:val="00EF230C"/>
    <w:rsid w:val="00EF2C25"/>
    <w:rsid w:val="00EF3499"/>
    <w:rsid w:val="00EF3E85"/>
    <w:rsid w:val="00EF439E"/>
    <w:rsid w:val="00EF4992"/>
    <w:rsid w:val="00EF5A0D"/>
    <w:rsid w:val="00EF5B34"/>
    <w:rsid w:val="00EF686F"/>
    <w:rsid w:val="00EF6D02"/>
    <w:rsid w:val="00EF6DE0"/>
    <w:rsid w:val="00F0064F"/>
    <w:rsid w:val="00F00B4A"/>
    <w:rsid w:val="00F00EDC"/>
    <w:rsid w:val="00F0140A"/>
    <w:rsid w:val="00F021FA"/>
    <w:rsid w:val="00F032EF"/>
    <w:rsid w:val="00F04A51"/>
    <w:rsid w:val="00F04EE5"/>
    <w:rsid w:val="00F05D75"/>
    <w:rsid w:val="00F065E3"/>
    <w:rsid w:val="00F07190"/>
    <w:rsid w:val="00F07ED9"/>
    <w:rsid w:val="00F11325"/>
    <w:rsid w:val="00F1189E"/>
    <w:rsid w:val="00F1276F"/>
    <w:rsid w:val="00F12DAE"/>
    <w:rsid w:val="00F13516"/>
    <w:rsid w:val="00F14B2C"/>
    <w:rsid w:val="00F14E2B"/>
    <w:rsid w:val="00F14E5A"/>
    <w:rsid w:val="00F151CE"/>
    <w:rsid w:val="00F15FC7"/>
    <w:rsid w:val="00F163C2"/>
    <w:rsid w:val="00F16DBE"/>
    <w:rsid w:val="00F16F13"/>
    <w:rsid w:val="00F1776A"/>
    <w:rsid w:val="00F21B0C"/>
    <w:rsid w:val="00F21D36"/>
    <w:rsid w:val="00F2258B"/>
    <w:rsid w:val="00F229EC"/>
    <w:rsid w:val="00F22ACC"/>
    <w:rsid w:val="00F2301C"/>
    <w:rsid w:val="00F23DC8"/>
    <w:rsid w:val="00F2484A"/>
    <w:rsid w:val="00F24908"/>
    <w:rsid w:val="00F25188"/>
    <w:rsid w:val="00F253DA"/>
    <w:rsid w:val="00F25637"/>
    <w:rsid w:val="00F25CBE"/>
    <w:rsid w:val="00F2602B"/>
    <w:rsid w:val="00F2663E"/>
    <w:rsid w:val="00F26915"/>
    <w:rsid w:val="00F27103"/>
    <w:rsid w:val="00F27432"/>
    <w:rsid w:val="00F27783"/>
    <w:rsid w:val="00F27851"/>
    <w:rsid w:val="00F30E6F"/>
    <w:rsid w:val="00F30F34"/>
    <w:rsid w:val="00F322A4"/>
    <w:rsid w:val="00F32A42"/>
    <w:rsid w:val="00F33D2D"/>
    <w:rsid w:val="00F345F9"/>
    <w:rsid w:val="00F346B4"/>
    <w:rsid w:val="00F34DC6"/>
    <w:rsid w:val="00F3592E"/>
    <w:rsid w:val="00F36F25"/>
    <w:rsid w:val="00F36FA1"/>
    <w:rsid w:val="00F3701D"/>
    <w:rsid w:val="00F3722D"/>
    <w:rsid w:val="00F3726C"/>
    <w:rsid w:val="00F406B9"/>
    <w:rsid w:val="00F412DF"/>
    <w:rsid w:val="00F4158D"/>
    <w:rsid w:val="00F4336A"/>
    <w:rsid w:val="00F43A16"/>
    <w:rsid w:val="00F44ED2"/>
    <w:rsid w:val="00F472EE"/>
    <w:rsid w:val="00F47986"/>
    <w:rsid w:val="00F47E35"/>
    <w:rsid w:val="00F50025"/>
    <w:rsid w:val="00F50365"/>
    <w:rsid w:val="00F506E1"/>
    <w:rsid w:val="00F51253"/>
    <w:rsid w:val="00F5231D"/>
    <w:rsid w:val="00F52DC2"/>
    <w:rsid w:val="00F5318B"/>
    <w:rsid w:val="00F53512"/>
    <w:rsid w:val="00F53544"/>
    <w:rsid w:val="00F53794"/>
    <w:rsid w:val="00F538DC"/>
    <w:rsid w:val="00F54FA5"/>
    <w:rsid w:val="00F55519"/>
    <w:rsid w:val="00F5593E"/>
    <w:rsid w:val="00F55E8C"/>
    <w:rsid w:val="00F57DAA"/>
    <w:rsid w:val="00F60F7F"/>
    <w:rsid w:val="00F618A8"/>
    <w:rsid w:val="00F62426"/>
    <w:rsid w:val="00F63702"/>
    <w:rsid w:val="00F63A10"/>
    <w:rsid w:val="00F6441E"/>
    <w:rsid w:val="00F64810"/>
    <w:rsid w:val="00F654C3"/>
    <w:rsid w:val="00F658CB"/>
    <w:rsid w:val="00F65B3F"/>
    <w:rsid w:val="00F65E43"/>
    <w:rsid w:val="00F65F09"/>
    <w:rsid w:val="00F667ED"/>
    <w:rsid w:val="00F66F6E"/>
    <w:rsid w:val="00F67610"/>
    <w:rsid w:val="00F67C6E"/>
    <w:rsid w:val="00F70149"/>
    <w:rsid w:val="00F702EE"/>
    <w:rsid w:val="00F70373"/>
    <w:rsid w:val="00F718B9"/>
    <w:rsid w:val="00F71F4A"/>
    <w:rsid w:val="00F72591"/>
    <w:rsid w:val="00F727CB"/>
    <w:rsid w:val="00F72899"/>
    <w:rsid w:val="00F72965"/>
    <w:rsid w:val="00F72E21"/>
    <w:rsid w:val="00F731CD"/>
    <w:rsid w:val="00F7387C"/>
    <w:rsid w:val="00F746BC"/>
    <w:rsid w:val="00F75D54"/>
    <w:rsid w:val="00F76117"/>
    <w:rsid w:val="00F77AC0"/>
    <w:rsid w:val="00F81BE7"/>
    <w:rsid w:val="00F81DFA"/>
    <w:rsid w:val="00F821BF"/>
    <w:rsid w:val="00F825A4"/>
    <w:rsid w:val="00F82E4C"/>
    <w:rsid w:val="00F83475"/>
    <w:rsid w:val="00F855B5"/>
    <w:rsid w:val="00F855C1"/>
    <w:rsid w:val="00F86BAE"/>
    <w:rsid w:val="00F86F5A"/>
    <w:rsid w:val="00F8749E"/>
    <w:rsid w:val="00F9076B"/>
    <w:rsid w:val="00F9122B"/>
    <w:rsid w:val="00F9284C"/>
    <w:rsid w:val="00F9306A"/>
    <w:rsid w:val="00F930BD"/>
    <w:rsid w:val="00F932DD"/>
    <w:rsid w:val="00F933A7"/>
    <w:rsid w:val="00F93E82"/>
    <w:rsid w:val="00F9410B"/>
    <w:rsid w:val="00F946DC"/>
    <w:rsid w:val="00F94A8F"/>
    <w:rsid w:val="00F959F0"/>
    <w:rsid w:val="00F95A32"/>
    <w:rsid w:val="00F95DE2"/>
    <w:rsid w:val="00F96108"/>
    <w:rsid w:val="00F9656C"/>
    <w:rsid w:val="00F96C6A"/>
    <w:rsid w:val="00FA1CB4"/>
    <w:rsid w:val="00FA2893"/>
    <w:rsid w:val="00FA3BDA"/>
    <w:rsid w:val="00FA5531"/>
    <w:rsid w:val="00FA56E1"/>
    <w:rsid w:val="00FA572C"/>
    <w:rsid w:val="00FA5AD7"/>
    <w:rsid w:val="00FA6780"/>
    <w:rsid w:val="00FA6F74"/>
    <w:rsid w:val="00FA7836"/>
    <w:rsid w:val="00FB0034"/>
    <w:rsid w:val="00FB0081"/>
    <w:rsid w:val="00FB0B8F"/>
    <w:rsid w:val="00FB1B7A"/>
    <w:rsid w:val="00FB20F6"/>
    <w:rsid w:val="00FB587D"/>
    <w:rsid w:val="00FB6652"/>
    <w:rsid w:val="00FC0813"/>
    <w:rsid w:val="00FC1ABF"/>
    <w:rsid w:val="00FC260F"/>
    <w:rsid w:val="00FC26B0"/>
    <w:rsid w:val="00FC2951"/>
    <w:rsid w:val="00FC2DA9"/>
    <w:rsid w:val="00FC4806"/>
    <w:rsid w:val="00FC4E93"/>
    <w:rsid w:val="00FC517B"/>
    <w:rsid w:val="00FC518B"/>
    <w:rsid w:val="00FC5B10"/>
    <w:rsid w:val="00FC73B0"/>
    <w:rsid w:val="00FC79E3"/>
    <w:rsid w:val="00FD00C1"/>
    <w:rsid w:val="00FD090B"/>
    <w:rsid w:val="00FD0DC9"/>
    <w:rsid w:val="00FD16F3"/>
    <w:rsid w:val="00FD1B19"/>
    <w:rsid w:val="00FD2ABA"/>
    <w:rsid w:val="00FD3DF6"/>
    <w:rsid w:val="00FD4523"/>
    <w:rsid w:val="00FD491F"/>
    <w:rsid w:val="00FD5D79"/>
    <w:rsid w:val="00FD5EB5"/>
    <w:rsid w:val="00FD63D0"/>
    <w:rsid w:val="00FD7BF0"/>
    <w:rsid w:val="00FD7DFC"/>
    <w:rsid w:val="00FD7E82"/>
    <w:rsid w:val="00FE040B"/>
    <w:rsid w:val="00FE0DE8"/>
    <w:rsid w:val="00FE2463"/>
    <w:rsid w:val="00FE313B"/>
    <w:rsid w:val="00FE3330"/>
    <w:rsid w:val="00FE5B2A"/>
    <w:rsid w:val="00FE6C24"/>
    <w:rsid w:val="00FE6D9A"/>
    <w:rsid w:val="00FE7AAD"/>
    <w:rsid w:val="00FE7DA2"/>
    <w:rsid w:val="00FF0B35"/>
    <w:rsid w:val="00FF0D73"/>
    <w:rsid w:val="00FF1257"/>
    <w:rsid w:val="00FF1F01"/>
    <w:rsid w:val="00FF2137"/>
    <w:rsid w:val="00FF2325"/>
    <w:rsid w:val="00FF2C6A"/>
    <w:rsid w:val="00FF2D82"/>
    <w:rsid w:val="00FF30FE"/>
    <w:rsid w:val="00FF39DE"/>
    <w:rsid w:val="00FF48AE"/>
    <w:rsid w:val="00FF509D"/>
    <w:rsid w:val="00FF5B5B"/>
    <w:rsid w:val="00FF6D2B"/>
    <w:rsid w:val="00FF7443"/>
    <w:rsid w:val="00FF770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5B74999F"/>
  <w15:docId w15:val="{64CAAF49-09FB-4D67-A831-C3D893A4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spacing w:before="120" w:line="360" w:lineRule="auto"/>
      <w:jc w:val="both"/>
    </w:pPr>
    <w:rPr>
      <w:rFonts w:cs="David"/>
      <w:sz w:val="22"/>
      <w:szCs w:val="24"/>
      <w:lang w:eastAsia="he-IL"/>
    </w:rPr>
  </w:style>
  <w:style w:type="paragraph" w:styleId="Heading1">
    <w:name w:val="heading 1"/>
    <w:basedOn w:val="Normal"/>
    <w:next w:val="Normal"/>
    <w:link w:val="Heading1Char"/>
    <w:uiPriority w:val="9"/>
    <w:qFormat/>
    <w:pPr>
      <w:keepNext/>
      <w:numPr>
        <w:numId w:val="9"/>
      </w:numPr>
      <w:outlineLvl w:val="0"/>
    </w:pPr>
    <w:rPr>
      <w:u w:val="single"/>
    </w:rPr>
  </w:style>
  <w:style w:type="paragraph" w:styleId="Heading2">
    <w:name w:val="heading 2"/>
    <w:basedOn w:val="Normal"/>
    <w:next w:val="Normal"/>
    <w:link w:val="Heading2Char"/>
    <w:uiPriority w:val="9"/>
    <w:qFormat/>
    <w:pPr>
      <w:keepNext/>
      <w:numPr>
        <w:ilvl w:val="1"/>
        <w:numId w:val="9"/>
      </w:numPr>
      <w:spacing w:before="0" w:line="240" w:lineRule="auto"/>
      <w:jc w:val="center"/>
      <w:outlineLvl w:val="1"/>
    </w:pPr>
    <w:rPr>
      <w:rFonts w:cs="Narkisim"/>
      <w:b/>
      <w:bCs/>
      <w:noProof/>
      <w:sz w:val="24"/>
      <w:u w:val="single"/>
      <w:lang w:eastAsia="en-US"/>
    </w:rPr>
  </w:style>
  <w:style w:type="paragraph" w:styleId="Heading3">
    <w:name w:val="heading 3"/>
    <w:basedOn w:val="Normal"/>
    <w:next w:val="Normal"/>
    <w:link w:val="Heading3Char"/>
    <w:uiPriority w:val="9"/>
    <w:unhideWhenUsed/>
    <w:qFormat/>
    <w:rsid w:val="007A160D"/>
    <w:pPr>
      <w:keepNext/>
      <w:numPr>
        <w:ilvl w:val="2"/>
        <w:numId w:val="9"/>
      </w:numPr>
      <w:spacing w:before="240" w:after="60"/>
      <w:outlineLvl w:val="2"/>
    </w:pPr>
    <w:rPr>
      <w:rFonts w:ascii="Cambria" w:hAnsi="Cambria" w:cs="Times New Roman"/>
      <w:b/>
      <w:bCs/>
      <w:sz w:val="26"/>
      <w:szCs w:val="26"/>
    </w:rPr>
  </w:style>
  <w:style w:type="paragraph" w:styleId="Heading4">
    <w:name w:val="heading 4"/>
    <w:basedOn w:val="Normal"/>
    <w:next w:val="Normal"/>
    <w:qFormat/>
    <w:pPr>
      <w:keepNext/>
      <w:numPr>
        <w:ilvl w:val="3"/>
        <w:numId w:val="9"/>
      </w:numPr>
      <w:spacing w:before="0" w:line="240" w:lineRule="auto"/>
      <w:ind w:right="-284"/>
      <w:jc w:val="left"/>
      <w:outlineLvl w:val="3"/>
    </w:pPr>
    <w:rPr>
      <w:rFonts w:cs="Narkisim"/>
      <w:b/>
      <w:bCs/>
      <w:noProof/>
      <w:sz w:val="24"/>
      <w:lang w:eastAsia="en-US"/>
    </w:rPr>
  </w:style>
  <w:style w:type="paragraph" w:styleId="Heading5">
    <w:name w:val="heading 5"/>
    <w:basedOn w:val="Normal"/>
    <w:next w:val="Normal"/>
    <w:link w:val="Heading5Char"/>
    <w:semiHidden/>
    <w:unhideWhenUsed/>
    <w:qFormat/>
    <w:rsid w:val="007A160D"/>
    <w:pPr>
      <w:numPr>
        <w:ilvl w:val="4"/>
        <w:numId w:val="9"/>
      </w:numPr>
      <w:spacing w:before="240" w:after="60"/>
      <w:outlineLvl w:val="4"/>
    </w:pPr>
    <w:rPr>
      <w:rFonts w:ascii="Calibri" w:hAnsi="Calibri" w:cs="Arial"/>
      <w:b/>
      <w:bCs/>
      <w:i/>
      <w:iCs/>
      <w:sz w:val="26"/>
      <w:szCs w:val="26"/>
    </w:rPr>
  </w:style>
  <w:style w:type="paragraph" w:styleId="Heading6">
    <w:name w:val="heading 6"/>
    <w:basedOn w:val="Normal"/>
    <w:next w:val="Normal"/>
    <w:qFormat/>
    <w:pPr>
      <w:keepNext/>
      <w:numPr>
        <w:ilvl w:val="5"/>
        <w:numId w:val="9"/>
      </w:numPr>
      <w:spacing w:before="0"/>
      <w:ind w:right="-284"/>
      <w:jc w:val="left"/>
      <w:outlineLvl w:val="5"/>
    </w:pPr>
    <w:rPr>
      <w:rFonts w:cs="Narkisim"/>
      <w:noProof/>
      <w:sz w:val="24"/>
      <w:lang w:eastAsia="en-US"/>
    </w:rPr>
  </w:style>
  <w:style w:type="paragraph" w:styleId="Heading7">
    <w:name w:val="heading 7"/>
    <w:basedOn w:val="Normal"/>
    <w:next w:val="Normal"/>
    <w:qFormat/>
    <w:pPr>
      <w:keepNext/>
      <w:numPr>
        <w:ilvl w:val="6"/>
        <w:numId w:val="9"/>
      </w:numPr>
      <w:spacing w:before="0" w:line="240" w:lineRule="auto"/>
      <w:ind w:right="-284"/>
      <w:outlineLvl w:val="6"/>
    </w:pPr>
    <w:rPr>
      <w:rFonts w:cs="Narkisim"/>
      <w:noProof/>
      <w:sz w:val="24"/>
      <w:lang w:eastAsia="en-US"/>
    </w:rPr>
  </w:style>
  <w:style w:type="paragraph" w:styleId="Heading8">
    <w:name w:val="heading 8"/>
    <w:basedOn w:val="Normal"/>
    <w:next w:val="Normal"/>
    <w:qFormat/>
    <w:pPr>
      <w:keepNext/>
      <w:numPr>
        <w:ilvl w:val="7"/>
        <w:numId w:val="9"/>
      </w:numPr>
      <w:spacing w:before="0" w:line="240" w:lineRule="auto"/>
      <w:jc w:val="left"/>
      <w:outlineLvl w:val="7"/>
    </w:pPr>
    <w:rPr>
      <w:rFonts w:cs="Narkisim"/>
      <w:noProof/>
      <w:sz w:val="28"/>
      <w:szCs w:val="28"/>
      <w:lang w:eastAsia="en-US"/>
    </w:rPr>
  </w:style>
  <w:style w:type="paragraph" w:styleId="Heading9">
    <w:name w:val="heading 9"/>
    <w:basedOn w:val="Normal"/>
    <w:next w:val="Normal"/>
    <w:link w:val="Heading9Char"/>
    <w:semiHidden/>
    <w:unhideWhenUsed/>
    <w:qFormat/>
    <w:rsid w:val="007A160D"/>
    <w:pPr>
      <w:numPr>
        <w:ilvl w:val="8"/>
        <w:numId w:val="9"/>
      </w:numPr>
      <w:spacing w:before="240" w:after="60"/>
      <w:outlineLvl w:val="8"/>
    </w:pPr>
    <w:rPr>
      <w:rFonts w:ascii="Cambria" w:hAnsi="Cambria"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שושי"/>
    <w:basedOn w:val="Normal"/>
    <w:pPr>
      <w:jc w:val="right"/>
    </w:pPr>
  </w:style>
  <w:style w:type="paragraph" w:styleId="Header">
    <w:name w:val="header"/>
    <w:basedOn w:val="Normal"/>
    <w:link w:val="HeaderChar"/>
    <w:uiPriority w:val="99"/>
    <w:pPr>
      <w:tabs>
        <w:tab w:val="center" w:pos="4153"/>
        <w:tab w:val="right" w:pos="8306"/>
      </w:tabs>
      <w:jc w:val="right"/>
    </w:pPr>
  </w:style>
  <w:style w:type="paragraph" w:styleId="Footer">
    <w:name w:val="footer"/>
    <w:basedOn w:val="Normal"/>
    <w:link w:val="FooterChar"/>
    <w:uiPriority w:val="99"/>
    <w:pPr>
      <w:tabs>
        <w:tab w:val="center" w:pos="4153"/>
        <w:tab w:val="right" w:pos="8306"/>
      </w:tabs>
      <w:jc w:val="right"/>
    </w:pPr>
  </w:style>
  <w:style w:type="character" w:styleId="PageNumber">
    <w:name w:val="page number"/>
    <w:basedOn w:val="DefaultParagraphFont"/>
  </w:style>
  <w:style w:type="character" w:styleId="Hyperlink">
    <w:name w:val="Hyperlink"/>
    <w:uiPriority w:val="99"/>
    <w:rPr>
      <w:color w:val="0000FF"/>
      <w:u w:val="single"/>
    </w:rPr>
  </w:style>
  <w:style w:type="paragraph" w:styleId="BodyText">
    <w:name w:val="Body Text"/>
    <w:basedOn w:val="Normal"/>
    <w:pPr>
      <w:spacing w:before="0" w:line="240" w:lineRule="auto"/>
      <w:jc w:val="left"/>
    </w:pPr>
    <w:rPr>
      <w:rFonts w:cs="Narkisim"/>
      <w:noProof/>
      <w:sz w:val="24"/>
      <w:lang w:eastAsia="en-US"/>
    </w:rPr>
  </w:style>
  <w:style w:type="paragraph" w:styleId="BodyTextIndent">
    <w:name w:val="Body Text Indent"/>
    <w:basedOn w:val="Normal"/>
    <w:pPr>
      <w:tabs>
        <w:tab w:val="left" w:pos="1472"/>
        <w:tab w:val="left" w:pos="1832"/>
      </w:tabs>
      <w:ind w:left="1440"/>
    </w:pPr>
    <w:rPr>
      <w:sz w:val="24"/>
      <w:lang w:eastAsia="en-US"/>
    </w:rPr>
  </w:style>
  <w:style w:type="paragraph" w:styleId="BodyTextIndent2">
    <w:name w:val="Body Text Indent 2"/>
    <w:basedOn w:val="Normal"/>
    <w:pPr>
      <w:tabs>
        <w:tab w:val="left" w:pos="1472"/>
        <w:tab w:val="left" w:pos="1832"/>
      </w:tabs>
      <w:ind w:left="1112"/>
    </w:pPr>
    <w:rPr>
      <w:sz w:val="24"/>
      <w:lang w:eastAsia="en-US"/>
    </w:rPr>
  </w:style>
  <w:style w:type="paragraph" w:styleId="BalloonText">
    <w:name w:val="Balloon Text"/>
    <w:basedOn w:val="Normal"/>
    <w:link w:val="BalloonTextChar"/>
    <w:uiPriority w:val="99"/>
    <w:semiHidden/>
    <w:rsid w:val="00074F5F"/>
    <w:rPr>
      <w:rFonts w:ascii="Tahoma" w:hAnsi="Tahoma" w:cs="Tahoma"/>
      <w:sz w:val="16"/>
      <w:szCs w:val="16"/>
    </w:rPr>
  </w:style>
  <w:style w:type="character" w:customStyle="1" w:styleId="emailstyle18">
    <w:name w:val="emailstyle18"/>
    <w:semiHidden/>
    <w:rsid w:val="00762B77"/>
    <w:rPr>
      <w:rFonts w:ascii="Arial" w:hAnsi="Arial" w:cs="Arial" w:hint="default"/>
      <w:color w:val="000080"/>
      <w:sz w:val="20"/>
      <w:szCs w:val="20"/>
    </w:rPr>
  </w:style>
  <w:style w:type="paragraph" w:customStyle="1" w:styleId="2">
    <w:name w:val="מיספור2"/>
    <w:basedOn w:val="Normal"/>
    <w:next w:val="Normal"/>
    <w:rsid w:val="00C409F5"/>
    <w:pPr>
      <w:numPr>
        <w:ilvl w:val="1"/>
        <w:numId w:val="1"/>
      </w:numPr>
      <w:spacing w:after="60"/>
      <w:ind w:right="0"/>
    </w:pPr>
    <w:rPr>
      <w:sz w:val="20"/>
    </w:rPr>
  </w:style>
  <w:style w:type="paragraph" w:customStyle="1" w:styleId="1">
    <w:name w:val="מספור1"/>
    <w:basedOn w:val="Normal"/>
    <w:next w:val="Normal"/>
    <w:link w:val="10"/>
    <w:rsid w:val="00C409F5"/>
    <w:pPr>
      <w:numPr>
        <w:numId w:val="1"/>
      </w:numPr>
      <w:spacing w:after="60"/>
    </w:pPr>
    <w:rPr>
      <w:color w:val="000000"/>
      <w:sz w:val="20"/>
      <w:lang w:eastAsia="en-US"/>
    </w:rPr>
  </w:style>
  <w:style w:type="paragraph" w:customStyle="1" w:styleId="3">
    <w:name w:val="מספור3"/>
    <w:basedOn w:val="Normal"/>
    <w:next w:val="Normal"/>
    <w:rsid w:val="00C409F5"/>
    <w:pPr>
      <w:numPr>
        <w:ilvl w:val="2"/>
        <w:numId w:val="1"/>
      </w:numPr>
      <w:spacing w:after="60"/>
      <w:ind w:right="0"/>
    </w:pPr>
    <w:rPr>
      <w:sz w:val="20"/>
    </w:rPr>
  </w:style>
  <w:style w:type="paragraph" w:styleId="FootnoteText">
    <w:name w:val="footnote text"/>
    <w:basedOn w:val="Normal"/>
    <w:link w:val="FootnoteTextChar"/>
    <w:uiPriority w:val="99"/>
    <w:rsid w:val="00207C42"/>
    <w:rPr>
      <w:sz w:val="20"/>
      <w:szCs w:val="20"/>
    </w:rPr>
  </w:style>
  <w:style w:type="character" w:customStyle="1" w:styleId="FootnoteTextChar">
    <w:name w:val="Footnote Text Char"/>
    <w:link w:val="FootnoteText"/>
    <w:uiPriority w:val="99"/>
    <w:rsid w:val="00207C42"/>
    <w:rPr>
      <w:rFonts w:cs="David"/>
      <w:lang w:eastAsia="he-IL"/>
    </w:rPr>
  </w:style>
  <w:style w:type="character" w:styleId="FootnoteReference">
    <w:name w:val="footnote reference"/>
    <w:uiPriority w:val="99"/>
    <w:rsid w:val="00207C42"/>
    <w:rPr>
      <w:vertAlign w:val="superscript"/>
    </w:rPr>
  </w:style>
  <w:style w:type="character" w:customStyle="1" w:styleId="default">
    <w:name w:val="default"/>
    <w:rsid w:val="00305BC1"/>
    <w:rPr>
      <w:rFonts w:ascii="Times New Roman" w:hAnsi="Times New Roman" w:cs="Times New Roman"/>
      <w:sz w:val="26"/>
      <w:szCs w:val="26"/>
    </w:rPr>
  </w:style>
  <w:style w:type="paragraph" w:customStyle="1" w:styleId="P00">
    <w:name w:val="P00"/>
    <w:rsid w:val="00305BC1"/>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character" w:customStyle="1" w:styleId="big-number">
    <w:name w:val="big-number"/>
    <w:rsid w:val="00305BC1"/>
    <w:rPr>
      <w:rFonts w:ascii="Times New Roman" w:hAnsi="Times New Roman" w:cs="Times New Roman"/>
      <w:sz w:val="32"/>
      <w:szCs w:val="32"/>
    </w:rPr>
  </w:style>
  <w:style w:type="paragraph" w:styleId="ListParagraph">
    <w:name w:val="List Paragraph"/>
    <w:basedOn w:val="Normal"/>
    <w:uiPriority w:val="34"/>
    <w:qFormat/>
    <w:rsid w:val="00EB50A2"/>
    <w:pPr>
      <w:bidi w:val="0"/>
      <w:spacing w:before="100" w:beforeAutospacing="1" w:after="100" w:afterAutospacing="1" w:line="240" w:lineRule="auto"/>
      <w:jc w:val="left"/>
    </w:pPr>
    <w:rPr>
      <w:rFonts w:cs="Times New Roman"/>
      <w:sz w:val="24"/>
      <w:lang w:eastAsia="en-US"/>
    </w:rPr>
  </w:style>
  <w:style w:type="character" w:customStyle="1" w:styleId="FooterChar">
    <w:name w:val="Footer Char"/>
    <w:link w:val="Footer"/>
    <w:uiPriority w:val="99"/>
    <w:rsid w:val="006152CD"/>
    <w:rPr>
      <w:rFonts w:cs="David"/>
      <w:sz w:val="22"/>
      <w:szCs w:val="24"/>
      <w:lang w:eastAsia="he-IL"/>
    </w:rPr>
  </w:style>
  <w:style w:type="character" w:styleId="CommentReference">
    <w:name w:val="annotation reference"/>
    <w:uiPriority w:val="99"/>
    <w:rsid w:val="002374B4"/>
    <w:rPr>
      <w:sz w:val="16"/>
      <w:szCs w:val="16"/>
    </w:rPr>
  </w:style>
  <w:style w:type="paragraph" w:styleId="CommentText">
    <w:name w:val="annotation text"/>
    <w:basedOn w:val="Normal"/>
    <w:link w:val="CommentTextChar"/>
    <w:uiPriority w:val="99"/>
    <w:rsid w:val="002374B4"/>
    <w:rPr>
      <w:sz w:val="20"/>
      <w:szCs w:val="20"/>
    </w:rPr>
  </w:style>
  <w:style w:type="character" w:customStyle="1" w:styleId="CommentTextChar">
    <w:name w:val="Comment Text Char"/>
    <w:link w:val="CommentText"/>
    <w:uiPriority w:val="99"/>
    <w:rsid w:val="002374B4"/>
    <w:rPr>
      <w:rFonts w:cs="David"/>
      <w:lang w:eastAsia="he-IL"/>
    </w:rPr>
  </w:style>
  <w:style w:type="paragraph" w:styleId="CommentSubject">
    <w:name w:val="annotation subject"/>
    <w:basedOn w:val="CommentText"/>
    <w:next w:val="CommentText"/>
    <w:link w:val="CommentSubjectChar"/>
    <w:rsid w:val="002374B4"/>
    <w:rPr>
      <w:b/>
      <w:bCs/>
    </w:rPr>
  </w:style>
  <w:style w:type="character" w:customStyle="1" w:styleId="CommentSubjectChar">
    <w:name w:val="Comment Subject Char"/>
    <w:link w:val="CommentSubject"/>
    <w:rsid w:val="002374B4"/>
    <w:rPr>
      <w:rFonts w:cs="David"/>
      <w:b/>
      <w:bCs/>
      <w:lang w:eastAsia="he-IL"/>
    </w:rPr>
  </w:style>
  <w:style w:type="character" w:styleId="FollowedHyperlink">
    <w:name w:val="FollowedHyperlink"/>
    <w:rsid w:val="00F702EE"/>
    <w:rPr>
      <w:color w:val="800080"/>
      <w:u w:val="single"/>
    </w:rPr>
  </w:style>
  <w:style w:type="paragraph" w:styleId="Revision">
    <w:name w:val="Revision"/>
    <w:hidden/>
    <w:uiPriority w:val="99"/>
    <w:semiHidden/>
    <w:rsid w:val="00440C06"/>
    <w:rPr>
      <w:rFonts w:cs="David"/>
      <w:sz w:val="22"/>
      <w:szCs w:val="24"/>
      <w:lang w:eastAsia="he-IL"/>
    </w:rPr>
  </w:style>
  <w:style w:type="paragraph" w:styleId="TOCHeading">
    <w:name w:val="TOC Heading"/>
    <w:basedOn w:val="Heading1"/>
    <w:next w:val="Normal"/>
    <w:uiPriority w:val="39"/>
    <w:semiHidden/>
    <w:unhideWhenUsed/>
    <w:qFormat/>
    <w:rsid w:val="009B4FB5"/>
    <w:pPr>
      <w:keepLines/>
      <w:spacing w:before="480" w:line="276" w:lineRule="auto"/>
      <w:jc w:val="left"/>
      <w:outlineLvl w:val="9"/>
    </w:pPr>
    <w:rPr>
      <w:rFonts w:ascii="Cambria" w:hAnsi="Cambria" w:cs="Times New Roman"/>
      <w:b/>
      <w:bCs/>
      <w:color w:val="365F91"/>
      <w:sz w:val="28"/>
      <w:szCs w:val="28"/>
      <w:u w:val="none"/>
      <w:rtl/>
      <w:cs/>
      <w:lang w:eastAsia="en-US"/>
    </w:rPr>
  </w:style>
  <w:style w:type="paragraph" w:customStyle="1" w:styleId="p000">
    <w:name w:val="p00"/>
    <w:basedOn w:val="Normal"/>
    <w:rsid w:val="00506792"/>
    <w:pPr>
      <w:bidi w:val="0"/>
      <w:spacing w:before="100" w:beforeAutospacing="1" w:after="100" w:afterAutospacing="1" w:line="240" w:lineRule="auto"/>
      <w:jc w:val="left"/>
    </w:pPr>
    <w:rPr>
      <w:rFonts w:cs="Times New Roman"/>
      <w:sz w:val="24"/>
      <w:lang w:eastAsia="en-US"/>
    </w:rPr>
  </w:style>
  <w:style w:type="paragraph" w:customStyle="1" w:styleId="p22">
    <w:name w:val="p22"/>
    <w:basedOn w:val="Normal"/>
    <w:rsid w:val="00506792"/>
    <w:pPr>
      <w:bidi w:val="0"/>
      <w:spacing w:before="100" w:beforeAutospacing="1" w:after="100" w:afterAutospacing="1" w:line="240" w:lineRule="auto"/>
      <w:jc w:val="left"/>
    </w:pPr>
    <w:rPr>
      <w:rFonts w:cs="Times New Roman"/>
      <w:sz w:val="24"/>
      <w:lang w:eastAsia="en-US"/>
    </w:rPr>
  </w:style>
  <w:style w:type="character" w:customStyle="1" w:styleId="apple-converted-space">
    <w:name w:val="apple-converted-space"/>
    <w:rsid w:val="00F96C6A"/>
  </w:style>
  <w:style w:type="paragraph" w:styleId="TOC1">
    <w:name w:val="toc 1"/>
    <w:basedOn w:val="Normal"/>
    <w:next w:val="Normal"/>
    <w:autoRedefine/>
    <w:uiPriority w:val="39"/>
    <w:rsid w:val="007A160D"/>
  </w:style>
  <w:style w:type="character" w:customStyle="1" w:styleId="Heading3Char">
    <w:name w:val="Heading 3 Char"/>
    <w:link w:val="Heading3"/>
    <w:uiPriority w:val="9"/>
    <w:rsid w:val="007A160D"/>
    <w:rPr>
      <w:rFonts w:ascii="Cambria" w:hAnsi="Cambria"/>
      <w:b/>
      <w:bCs/>
      <w:sz w:val="26"/>
      <w:szCs w:val="26"/>
      <w:lang w:eastAsia="he-IL"/>
    </w:rPr>
  </w:style>
  <w:style w:type="character" w:customStyle="1" w:styleId="Heading5Char">
    <w:name w:val="Heading 5 Char"/>
    <w:link w:val="Heading5"/>
    <w:semiHidden/>
    <w:rsid w:val="007A160D"/>
    <w:rPr>
      <w:rFonts w:ascii="Calibri" w:hAnsi="Calibri" w:cs="Arial"/>
      <w:b/>
      <w:bCs/>
      <w:i/>
      <w:iCs/>
      <w:sz w:val="26"/>
      <w:szCs w:val="26"/>
      <w:lang w:eastAsia="he-IL"/>
    </w:rPr>
  </w:style>
  <w:style w:type="character" w:customStyle="1" w:styleId="Heading9Char">
    <w:name w:val="Heading 9 Char"/>
    <w:link w:val="Heading9"/>
    <w:semiHidden/>
    <w:rsid w:val="007A160D"/>
    <w:rPr>
      <w:rFonts w:ascii="Cambria" w:hAnsi="Cambria"/>
      <w:sz w:val="22"/>
      <w:szCs w:val="22"/>
      <w:lang w:eastAsia="he-IL"/>
    </w:rPr>
  </w:style>
  <w:style w:type="paragraph" w:styleId="TOC2">
    <w:name w:val="toc 2"/>
    <w:basedOn w:val="Normal"/>
    <w:next w:val="Normal"/>
    <w:autoRedefine/>
    <w:uiPriority w:val="39"/>
    <w:rsid w:val="006512CB"/>
    <w:pPr>
      <w:ind w:left="220"/>
    </w:pPr>
  </w:style>
  <w:style w:type="paragraph" w:styleId="TOC3">
    <w:name w:val="toc 3"/>
    <w:basedOn w:val="Normal"/>
    <w:next w:val="Normal"/>
    <w:autoRedefine/>
    <w:uiPriority w:val="39"/>
    <w:rsid w:val="00235320"/>
    <w:pPr>
      <w:tabs>
        <w:tab w:val="right" w:leader="dot" w:pos="8302"/>
      </w:tabs>
      <w:spacing w:line="240" w:lineRule="auto"/>
      <w:ind w:left="442"/>
    </w:pPr>
  </w:style>
  <w:style w:type="character" w:customStyle="1" w:styleId="spelle">
    <w:name w:val="spelle"/>
    <w:rsid w:val="001B3983"/>
  </w:style>
  <w:style w:type="character" w:customStyle="1" w:styleId="Heading1Char">
    <w:name w:val="Heading 1 Char"/>
    <w:link w:val="Heading1"/>
    <w:uiPriority w:val="9"/>
    <w:rsid w:val="00BB5783"/>
    <w:rPr>
      <w:rFonts w:cs="David"/>
      <w:sz w:val="22"/>
      <w:szCs w:val="24"/>
      <w:u w:val="single"/>
      <w:lang w:eastAsia="he-IL"/>
    </w:rPr>
  </w:style>
  <w:style w:type="character" w:customStyle="1" w:styleId="Heading2Char">
    <w:name w:val="Heading 2 Char"/>
    <w:link w:val="Heading2"/>
    <w:uiPriority w:val="9"/>
    <w:rsid w:val="00BB5783"/>
    <w:rPr>
      <w:rFonts w:cs="Narkisim"/>
      <w:b/>
      <w:bCs/>
      <w:noProof/>
      <w:sz w:val="24"/>
      <w:szCs w:val="24"/>
      <w:u w:val="single"/>
    </w:rPr>
  </w:style>
  <w:style w:type="character" w:customStyle="1" w:styleId="Ruller4">
    <w:name w:val="Ruller4 תו"/>
    <w:link w:val="Ruller40"/>
    <w:locked/>
    <w:rsid w:val="00BB5783"/>
    <w:rPr>
      <w:rFonts w:ascii="Arial TUR" w:hAnsi="Arial TUR" w:cs="FrankRuehl"/>
      <w:spacing w:val="10"/>
      <w:szCs w:val="28"/>
    </w:rPr>
  </w:style>
  <w:style w:type="paragraph" w:customStyle="1" w:styleId="Ruller40">
    <w:name w:val="Ruller4"/>
    <w:basedOn w:val="Normal"/>
    <w:link w:val="Ruller4"/>
    <w:rsid w:val="00BB5783"/>
    <w:pPr>
      <w:tabs>
        <w:tab w:val="left" w:pos="800"/>
      </w:tabs>
      <w:overflowPunct w:val="0"/>
      <w:autoSpaceDE w:val="0"/>
      <w:autoSpaceDN w:val="0"/>
      <w:adjustRightInd w:val="0"/>
      <w:spacing w:before="0"/>
    </w:pPr>
    <w:rPr>
      <w:rFonts w:ascii="Arial TUR" w:hAnsi="Arial TUR" w:cs="FrankRuehl"/>
      <w:spacing w:val="10"/>
      <w:sz w:val="20"/>
      <w:szCs w:val="28"/>
      <w:lang w:eastAsia="en-US"/>
    </w:rPr>
  </w:style>
  <w:style w:type="paragraph" w:customStyle="1" w:styleId="Ruller5">
    <w:name w:val="Ruller5"/>
    <w:basedOn w:val="Normal"/>
    <w:rsid w:val="00BB5783"/>
    <w:pPr>
      <w:overflowPunct w:val="0"/>
      <w:autoSpaceDE w:val="0"/>
      <w:autoSpaceDN w:val="0"/>
      <w:adjustRightInd w:val="0"/>
      <w:spacing w:before="0" w:line="240" w:lineRule="auto"/>
      <w:ind w:left="1642" w:right="1282"/>
    </w:pPr>
    <w:rPr>
      <w:rFonts w:ascii="Arial TUR" w:hAnsi="Arial TUR" w:cs="FrankRuehl"/>
      <w:spacing w:val="10"/>
      <w:szCs w:val="28"/>
      <w:lang w:eastAsia="en-US"/>
    </w:rPr>
  </w:style>
  <w:style w:type="character" w:customStyle="1" w:styleId="BalloonTextChar">
    <w:name w:val="Balloon Text Char"/>
    <w:link w:val="BalloonText"/>
    <w:uiPriority w:val="99"/>
    <w:semiHidden/>
    <w:rsid w:val="00BB5783"/>
    <w:rPr>
      <w:rFonts w:ascii="Tahoma" w:hAnsi="Tahoma" w:cs="Tahoma"/>
      <w:sz w:val="16"/>
      <w:szCs w:val="16"/>
      <w:lang w:eastAsia="he-IL"/>
    </w:rPr>
  </w:style>
  <w:style w:type="character" w:customStyle="1" w:styleId="10">
    <w:name w:val="מספור1 תו"/>
    <w:link w:val="1"/>
    <w:locked/>
    <w:rsid w:val="00BB5783"/>
    <w:rPr>
      <w:rFonts w:cs="David"/>
      <w:color w:val="000000"/>
      <w:szCs w:val="24"/>
    </w:rPr>
  </w:style>
  <w:style w:type="paragraph" w:styleId="Quote">
    <w:name w:val="Quote"/>
    <w:basedOn w:val="Normal"/>
    <w:link w:val="QuoteChar"/>
    <w:uiPriority w:val="29"/>
    <w:qFormat/>
    <w:rsid w:val="00BB5783"/>
    <w:pPr>
      <w:spacing w:before="0"/>
      <w:ind w:left="1134" w:right="992"/>
    </w:pPr>
    <w:rPr>
      <w:rFonts w:ascii="Georgia" w:eastAsia="Calibri" w:hAnsi="Georgia" w:cs="Times New Roman"/>
      <w:b/>
      <w:bCs/>
      <w:sz w:val="24"/>
    </w:rPr>
  </w:style>
  <w:style w:type="character" w:customStyle="1" w:styleId="QuoteChar">
    <w:name w:val="Quote Char"/>
    <w:link w:val="Quote"/>
    <w:uiPriority w:val="29"/>
    <w:rsid w:val="00BB5783"/>
    <w:rPr>
      <w:rFonts w:ascii="Georgia" w:eastAsia="Calibri" w:hAnsi="Georgia"/>
      <w:b/>
      <w:bCs/>
      <w:sz w:val="24"/>
      <w:szCs w:val="24"/>
      <w:lang w:eastAsia="he-IL"/>
    </w:rPr>
  </w:style>
  <w:style w:type="character" w:customStyle="1" w:styleId="11">
    <w:name w:val="רמה1 תו"/>
    <w:link w:val="12"/>
    <w:locked/>
    <w:rsid w:val="00BB5783"/>
    <w:rPr>
      <w:rFonts w:ascii="Georgia" w:hAnsi="Georgia"/>
      <w:lang w:eastAsia="he-IL"/>
    </w:rPr>
  </w:style>
  <w:style w:type="paragraph" w:customStyle="1" w:styleId="12">
    <w:name w:val="רמה1"/>
    <w:basedOn w:val="Normal"/>
    <w:link w:val="11"/>
    <w:rsid w:val="00BB5783"/>
    <w:pPr>
      <w:spacing w:after="60"/>
      <w:ind w:left="567"/>
    </w:pPr>
    <w:rPr>
      <w:rFonts w:ascii="Georgia" w:hAnsi="Georgia" w:cs="Times New Roman"/>
      <w:sz w:val="20"/>
      <w:szCs w:val="20"/>
    </w:rPr>
  </w:style>
  <w:style w:type="character" w:customStyle="1" w:styleId="HeaderChar">
    <w:name w:val="Header Char"/>
    <w:link w:val="Header"/>
    <w:uiPriority w:val="99"/>
    <w:rsid w:val="00BB5783"/>
    <w:rPr>
      <w:rFonts w:cs="David"/>
      <w:sz w:val="22"/>
      <w:szCs w:val="24"/>
      <w:lang w:eastAsia="he-IL"/>
    </w:rPr>
  </w:style>
  <w:style w:type="paragraph" w:customStyle="1" w:styleId="listparagraph0">
    <w:name w:val="listparagraph"/>
    <w:basedOn w:val="Normal"/>
    <w:rsid w:val="00BB5783"/>
    <w:pPr>
      <w:bidi w:val="0"/>
      <w:spacing w:before="100" w:beforeAutospacing="1" w:after="100" w:afterAutospacing="1" w:line="240" w:lineRule="auto"/>
      <w:jc w:val="left"/>
    </w:pPr>
    <w:rPr>
      <w:rFonts w:cs="Times New Roman"/>
      <w:sz w:val="24"/>
      <w:lang w:eastAsia="en-US"/>
    </w:rPr>
  </w:style>
  <w:style w:type="paragraph" w:customStyle="1" w:styleId="filenumber0">
    <w:name w:val="filenumber0"/>
    <w:basedOn w:val="Normal"/>
    <w:rsid w:val="00791D44"/>
    <w:pPr>
      <w:bidi w:val="0"/>
      <w:spacing w:before="100" w:beforeAutospacing="1" w:after="100" w:afterAutospacing="1" w:line="240" w:lineRule="auto"/>
      <w:jc w:val="left"/>
    </w:pPr>
    <w:rPr>
      <w:rFonts w:cs="Times New Roman"/>
      <w:sz w:val="24"/>
      <w:lang w:eastAsia="en-US"/>
    </w:rPr>
  </w:style>
  <w:style w:type="character" w:customStyle="1" w:styleId="hrfix">
    <w:name w:val="hrfix"/>
    <w:rsid w:val="00907B59"/>
  </w:style>
  <w:style w:type="character" w:styleId="Strong">
    <w:name w:val="Strong"/>
    <w:uiPriority w:val="22"/>
    <w:qFormat/>
    <w:rsid w:val="00FC4E93"/>
    <w:rPr>
      <w:b/>
      <w:bCs/>
    </w:rPr>
  </w:style>
  <w:style w:type="paragraph" w:styleId="Title">
    <w:name w:val="Title"/>
    <w:basedOn w:val="Normal"/>
    <w:next w:val="Normal"/>
    <w:link w:val="TitleChar"/>
    <w:qFormat/>
    <w:rsid w:val="001C367F"/>
    <w:pPr>
      <w:spacing w:before="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367F"/>
    <w:rPr>
      <w:rFonts w:asciiTheme="majorHAnsi" w:eastAsiaTheme="majorEastAsia" w:hAnsiTheme="majorHAnsi" w:cstheme="majorBidi"/>
      <w:spacing w:val="-10"/>
      <w:kern w:val="28"/>
      <w:sz w:val="56"/>
      <w:szCs w:val="56"/>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55900">
      <w:bodyDiv w:val="1"/>
      <w:marLeft w:val="0"/>
      <w:marRight w:val="0"/>
      <w:marTop w:val="0"/>
      <w:marBottom w:val="0"/>
      <w:divBdr>
        <w:top w:val="none" w:sz="0" w:space="0" w:color="auto"/>
        <w:left w:val="none" w:sz="0" w:space="0" w:color="auto"/>
        <w:bottom w:val="none" w:sz="0" w:space="0" w:color="auto"/>
        <w:right w:val="none" w:sz="0" w:space="0" w:color="auto"/>
      </w:divBdr>
    </w:div>
    <w:div w:id="229466496">
      <w:bodyDiv w:val="1"/>
      <w:marLeft w:val="0"/>
      <w:marRight w:val="0"/>
      <w:marTop w:val="0"/>
      <w:marBottom w:val="0"/>
      <w:divBdr>
        <w:top w:val="none" w:sz="0" w:space="0" w:color="auto"/>
        <w:left w:val="none" w:sz="0" w:space="0" w:color="auto"/>
        <w:bottom w:val="none" w:sz="0" w:space="0" w:color="auto"/>
        <w:right w:val="none" w:sz="0" w:space="0" w:color="auto"/>
      </w:divBdr>
    </w:div>
    <w:div w:id="242566978">
      <w:bodyDiv w:val="1"/>
      <w:marLeft w:val="0"/>
      <w:marRight w:val="0"/>
      <w:marTop w:val="0"/>
      <w:marBottom w:val="0"/>
      <w:divBdr>
        <w:top w:val="none" w:sz="0" w:space="0" w:color="auto"/>
        <w:left w:val="none" w:sz="0" w:space="0" w:color="auto"/>
        <w:bottom w:val="none" w:sz="0" w:space="0" w:color="auto"/>
        <w:right w:val="none" w:sz="0" w:space="0" w:color="auto"/>
      </w:divBdr>
    </w:div>
    <w:div w:id="254485107">
      <w:bodyDiv w:val="1"/>
      <w:marLeft w:val="0"/>
      <w:marRight w:val="0"/>
      <w:marTop w:val="0"/>
      <w:marBottom w:val="0"/>
      <w:divBdr>
        <w:top w:val="none" w:sz="0" w:space="0" w:color="auto"/>
        <w:left w:val="none" w:sz="0" w:space="0" w:color="auto"/>
        <w:bottom w:val="none" w:sz="0" w:space="0" w:color="auto"/>
        <w:right w:val="none" w:sz="0" w:space="0" w:color="auto"/>
      </w:divBdr>
    </w:div>
    <w:div w:id="435060646">
      <w:bodyDiv w:val="1"/>
      <w:marLeft w:val="0"/>
      <w:marRight w:val="0"/>
      <w:marTop w:val="0"/>
      <w:marBottom w:val="0"/>
      <w:divBdr>
        <w:top w:val="none" w:sz="0" w:space="0" w:color="auto"/>
        <w:left w:val="none" w:sz="0" w:space="0" w:color="auto"/>
        <w:bottom w:val="none" w:sz="0" w:space="0" w:color="auto"/>
        <w:right w:val="none" w:sz="0" w:space="0" w:color="auto"/>
      </w:divBdr>
    </w:div>
    <w:div w:id="436406282">
      <w:bodyDiv w:val="1"/>
      <w:marLeft w:val="0"/>
      <w:marRight w:val="0"/>
      <w:marTop w:val="0"/>
      <w:marBottom w:val="0"/>
      <w:divBdr>
        <w:top w:val="none" w:sz="0" w:space="0" w:color="auto"/>
        <w:left w:val="none" w:sz="0" w:space="0" w:color="auto"/>
        <w:bottom w:val="none" w:sz="0" w:space="0" w:color="auto"/>
        <w:right w:val="none" w:sz="0" w:space="0" w:color="auto"/>
      </w:divBdr>
    </w:div>
    <w:div w:id="436994171">
      <w:bodyDiv w:val="1"/>
      <w:marLeft w:val="0"/>
      <w:marRight w:val="0"/>
      <w:marTop w:val="0"/>
      <w:marBottom w:val="0"/>
      <w:divBdr>
        <w:top w:val="none" w:sz="0" w:space="0" w:color="auto"/>
        <w:left w:val="none" w:sz="0" w:space="0" w:color="auto"/>
        <w:bottom w:val="none" w:sz="0" w:space="0" w:color="auto"/>
        <w:right w:val="none" w:sz="0" w:space="0" w:color="auto"/>
      </w:divBdr>
    </w:div>
    <w:div w:id="443354960">
      <w:bodyDiv w:val="1"/>
      <w:marLeft w:val="0"/>
      <w:marRight w:val="0"/>
      <w:marTop w:val="0"/>
      <w:marBottom w:val="0"/>
      <w:divBdr>
        <w:top w:val="none" w:sz="0" w:space="0" w:color="auto"/>
        <w:left w:val="none" w:sz="0" w:space="0" w:color="auto"/>
        <w:bottom w:val="none" w:sz="0" w:space="0" w:color="auto"/>
        <w:right w:val="none" w:sz="0" w:space="0" w:color="auto"/>
      </w:divBdr>
    </w:div>
    <w:div w:id="462427644">
      <w:bodyDiv w:val="1"/>
      <w:marLeft w:val="0"/>
      <w:marRight w:val="0"/>
      <w:marTop w:val="0"/>
      <w:marBottom w:val="0"/>
      <w:divBdr>
        <w:top w:val="none" w:sz="0" w:space="0" w:color="auto"/>
        <w:left w:val="none" w:sz="0" w:space="0" w:color="auto"/>
        <w:bottom w:val="none" w:sz="0" w:space="0" w:color="auto"/>
        <w:right w:val="none" w:sz="0" w:space="0" w:color="auto"/>
      </w:divBdr>
    </w:div>
    <w:div w:id="512109166">
      <w:bodyDiv w:val="1"/>
      <w:marLeft w:val="0"/>
      <w:marRight w:val="0"/>
      <w:marTop w:val="0"/>
      <w:marBottom w:val="0"/>
      <w:divBdr>
        <w:top w:val="none" w:sz="0" w:space="0" w:color="auto"/>
        <w:left w:val="none" w:sz="0" w:space="0" w:color="auto"/>
        <w:bottom w:val="none" w:sz="0" w:space="0" w:color="auto"/>
        <w:right w:val="none" w:sz="0" w:space="0" w:color="auto"/>
      </w:divBdr>
    </w:div>
    <w:div w:id="685208628">
      <w:bodyDiv w:val="1"/>
      <w:marLeft w:val="0"/>
      <w:marRight w:val="0"/>
      <w:marTop w:val="0"/>
      <w:marBottom w:val="0"/>
      <w:divBdr>
        <w:top w:val="none" w:sz="0" w:space="0" w:color="auto"/>
        <w:left w:val="none" w:sz="0" w:space="0" w:color="auto"/>
        <w:bottom w:val="none" w:sz="0" w:space="0" w:color="auto"/>
        <w:right w:val="none" w:sz="0" w:space="0" w:color="auto"/>
      </w:divBdr>
    </w:div>
    <w:div w:id="693921276">
      <w:bodyDiv w:val="1"/>
      <w:marLeft w:val="0"/>
      <w:marRight w:val="0"/>
      <w:marTop w:val="0"/>
      <w:marBottom w:val="0"/>
      <w:divBdr>
        <w:top w:val="none" w:sz="0" w:space="0" w:color="auto"/>
        <w:left w:val="none" w:sz="0" w:space="0" w:color="auto"/>
        <w:bottom w:val="none" w:sz="0" w:space="0" w:color="auto"/>
        <w:right w:val="none" w:sz="0" w:space="0" w:color="auto"/>
      </w:divBdr>
    </w:div>
    <w:div w:id="708798365">
      <w:bodyDiv w:val="1"/>
      <w:marLeft w:val="0"/>
      <w:marRight w:val="0"/>
      <w:marTop w:val="0"/>
      <w:marBottom w:val="0"/>
      <w:divBdr>
        <w:top w:val="none" w:sz="0" w:space="0" w:color="auto"/>
        <w:left w:val="none" w:sz="0" w:space="0" w:color="auto"/>
        <w:bottom w:val="none" w:sz="0" w:space="0" w:color="auto"/>
        <w:right w:val="none" w:sz="0" w:space="0" w:color="auto"/>
      </w:divBdr>
    </w:div>
    <w:div w:id="789206883">
      <w:bodyDiv w:val="1"/>
      <w:marLeft w:val="0"/>
      <w:marRight w:val="0"/>
      <w:marTop w:val="0"/>
      <w:marBottom w:val="0"/>
      <w:divBdr>
        <w:top w:val="none" w:sz="0" w:space="0" w:color="auto"/>
        <w:left w:val="none" w:sz="0" w:space="0" w:color="auto"/>
        <w:bottom w:val="none" w:sz="0" w:space="0" w:color="auto"/>
        <w:right w:val="none" w:sz="0" w:space="0" w:color="auto"/>
      </w:divBdr>
    </w:div>
    <w:div w:id="874930233">
      <w:bodyDiv w:val="1"/>
      <w:marLeft w:val="0"/>
      <w:marRight w:val="0"/>
      <w:marTop w:val="0"/>
      <w:marBottom w:val="0"/>
      <w:divBdr>
        <w:top w:val="none" w:sz="0" w:space="0" w:color="auto"/>
        <w:left w:val="none" w:sz="0" w:space="0" w:color="auto"/>
        <w:bottom w:val="none" w:sz="0" w:space="0" w:color="auto"/>
        <w:right w:val="none" w:sz="0" w:space="0" w:color="auto"/>
      </w:divBdr>
      <w:divsChild>
        <w:div w:id="613556651">
          <w:marLeft w:val="0"/>
          <w:marRight w:val="0"/>
          <w:marTop w:val="0"/>
          <w:marBottom w:val="0"/>
          <w:divBdr>
            <w:top w:val="none" w:sz="0" w:space="0" w:color="auto"/>
            <w:left w:val="none" w:sz="0" w:space="0" w:color="auto"/>
            <w:bottom w:val="none" w:sz="0" w:space="0" w:color="auto"/>
            <w:right w:val="none" w:sz="0" w:space="0" w:color="auto"/>
          </w:divBdr>
        </w:div>
      </w:divsChild>
    </w:div>
    <w:div w:id="890842018">
      <w:bodyDiv w:val="1"/>
      <w:marLeft w:val="0"/>
      <w:marRight w:val="0"/>
      <w:marTop w:val="0"/>
      <w:marBottom w:val="0"/>
      <w:divBdr>
        <w:top w:val="none" w:sz="0" w:space="0" w:color="auto"/>
        <w:left w:val="none" w:sz="0" w:space="0" w:color="auto"/>
        <w:bottom w:val="none" w:sz="0" w:space="0" w:color="auto"/>
        <w:right w:val="none" w:sz="0" w:space="0" w:color="auto"/>
      </w:divBdr>
    </w:div>
    <w:div w:id="914128438">
      <w:bodyDiv w:val="1"/>
      <w:marLeft w:val="0"/>
      <w:marRight w:val="0"/>
      <w:marTop w:val="0"/>
      <w:marBottom w:val="0"/>
      <w:divBdr>
        <w:top w:val="none" w:sz="0" w:space="0" w:color="auto"/>
        <w:left w:val="none" w:sz="0" w:space="0" w:color="auto"/>
        <w:bottom w:val="none" w:sz="0" w:space="0" w:color="auto"/>
        <w:right w:val="none" w:sz="0" w:space="0" w:color="auto"/>
      </w:divBdr>
    </w:div>
    <w:div w:id="976373518">
      <w:bodyDiv w:val="1"/>
      <w:marLeft w:val="0"/>
      <w:marRight w:val="0"/>
      <w:marTop w:val="0"/>
      <w:marBottom w:val="0"/>
      <w:divBdr>
        <w:top w:val="none" w:sz="0" w:space="0" w:color="auto"/>
        <w:left w:val="none" w:sz="0" w:space="0" w:color="auto"/>
        <w:bottom w:val="none" w:sz="0" w:space="0" w:color="auto"/>
        <w:right w:val="none" w:sz="0" w:space="0" w:color="auto"/>
      </w:divBdr>
    </w:div>
    <w:div w:id="1043866538">
      <w:bodyDiv w:val="1"/>
      <w:marLeft w:val="0"/>
      <w:marRight w:val="0"/>
      <w:marTop w:val="0"/>
      <w:marBottom w:val="0"/>
      <w:divBdr>
        <w:top w:val="none" w:sz="0" w:space="0" w:color="auto"/>
        <w:left w:val="none" w:sz="0" w:space="0" w:color="auto"/>
        <w:bottom w:val="none" w:sz="0" w:space="0" w:color="auto"/>
        <w:right w:val="none" w:sz="0" w:space="0" w:color="auto"/>
      </w:divBdr>
    </w:div>
    <w:div w:id="1056784033">
      <w:bodyDiv w:val="1"/>
      <w:marLeft w:val="0"/>
      <w:marRight w:val="0"/>
      <w:marTop w:val="0"/>
      <w:marBottom w:val="0"/>
      <w:divBdr>
        <w:top w:val="none" w:sz="0" w:space="0" w:color="auto"/>
        <w:left w:val="none" w:sz="0" w:space="0" w:color="auto"/>
        <w:bottom w:val="none" w:sz="0" w:space="0" w:color="auto"/>
        <w:right w:val="none" w:sz="0" w:space="0" w:color="auto"/>
      </w:divBdr>
      <w:divsChild>
        <w:div w:id="2074159605">
          <w:marLeft w:val="0"/>
          <w:marRight w:val="0"/>
          <w:marTop w:val="0"/>
          <w:marBottom w:val="0"/>
          <w:divBdr>
            <w:top w:val="none" w:sz="0" w:space="0" w:color="auto"/>
            <w:left w:val="none" w:sz="0" w:space="0" w:color="auto"/>
            <w:bottom w:val="none" w:sz="0" w:space="0" w:color="auto"/>
            <w:right w:val="none" w:sz="0" w:space="0" w:color="auto"/>
          </w:divBdr>
        </w:div>
      </w:divsChild>
    </w:div>
    <w:div w:id="1076395589">
      <w:bodyDiv w:val="1"/>
      <w:marLeft w:val="0"/>
      <w:marRight w:val="0"/>
      <w:marTop w:val="0"/>
      <w:marBottom w:val="0"/>
      <w:divBdr>
        <w:top w:val="none" w:sz="0" w:space="0" w:color="auto"/>
        <w:left w:val="none" w:sz="0" w:space="0" w:color="auto"/>
        <w:bottom w:val="none" w:sz="0" w:space="0" w:color="auto"/>
        <w:right w:val="none" w:sz="0" w:space="0" w:color="auto"/>
      </w:divBdr>
    </w:div>
    <w:div w:id="1172840218">
      <w:bodyDiv w:val="1"/>
      <w:marLeft w:val="0"/>
      <w:marRight w:val="0"/>
      <w:marTop w:val="0"/>
      <w:marBottom w:val="0"/>
      <w:divBdr>
        <w:top w:val="none" w:sz="0" w:space="0" w:color="auto"/>
        <w:left w:val="none" w:sz="0" w:space="0" w:color="auto"/>
        <w:bottom w:val="none" w:sz="0" w:space="0" w:color="auto"/>
        <w:right w:val="none" w:sz="0" w:space="0" w:color="auto"/>
      </w:divBdr>
    </w:div>
    <w:div w:id="1227301795">
      <w:bodyDiv w:val="1"/>
      <w:marLeft w:val="0"/>
      <w:marRight w:val="0"/>
      <w:marTop w:val="0"/>
      <w:marBottom w:val="0"/>
      <w:divBdr>
        <w:top w:val="none" w:sz="0" w:space="0" w:color="auto"/>
        <w:left w:val="none" w:sz="0" w:space="0" w:color="auto"/>
        <w:bottom w:val="none" w:sz="0" w:space="0" w:color="auto"/>
        <w:right w:val="none" w:sz="0" w:space="0" w:color="auto"/>
      </w:divBdr>
    </w:div>
    <w:div w:id="1237934470">
      <w:bodyDiv w:val="1"/>
      <w:marLeft w:val="0"/>
      <w:marRight w:val="0"/>
      <w:marTop w:val="0"/>
      <w:marBottom w:val="0"/>
      <w:divBdr>
        <w:top w:val="none" w:sz="0" w:space="0" w:color="auto"/>
        <w:left w:val="none" w:sz="0" w:space="0" w:color="auto"/>
        <w:bottom w:val="none" w:sz="0" w:space="0" w:color="auto"/>
        <w:right w:val="none" w:sz="0" w:space="0" w:color="auto"/>
      </w:divBdr>
    </w:div>
    <w:div w:id="1293825687">
      <w:bodyDiv w:val="1"/>
      <w:marLeft w:val="0"/>
      <w:marRight w:val="0"/>
      <w:marTop w:val="0"/>
      <w:marBottom w:val="0"/>
      <w:divBdr>
        <w:top w:val="none" w:sz="0" w:space="0" w:color="auto"/>
        <w:left w:val="none" w:sz="0" w:space="0" w:color="auto"/>
        <w:bottom w:val="none" w:sz="0" w:space="0" w:color="auto"/>
        <w:right w:val="none" w:sz="0" w:space="0" w:color="auto"/>
      </w:divBdr>
    </w:div>
    <w:div w:id="1425566921">
      <w:bodyDiv w:val="1"/>
      <w:marLeft w:val="0"/>
      <w:marRight w:val="0"/>
      <w:marTop w:val="0"/>
      <w:marBottom w:val="0"/>
      <w:divBdr>
        <w:top w:val="none" w:sz="0" w:space="0" w:color="auto"/>
        <w:left w:val="none" w:sz="0" w:space="0" w:color="auto"/>
        <w:bottom w:val="none" w:sz="0" w:space="0" w:color="auto"/>
        <w:right w:val="none" w:sz="0" w:space="0" w:color="auto"/>
      </w:divBdr>
    </w:div>
    <w:div w:id="1431394209">
      <w:bodyDiv w:val="1"/>
      <w:marLeft w:val="0"/>
      <w:marRight w:val="0"/>
      <w:marTop w:val="0"/>
      <w:marBottom w:val="0"/>
      <w:divBdr>
        <w:top w:val="none" w:sz="0" w:space="0" w:color="auto"/>
        <w:left w:val="none" w:sz="0" w:space="0" w:color="auto"/>
        <w:bottom w:val="none" w:sz="0" w:space="0" w:color="auto"/>
        <w:right w:val="none" w:sz="0" w:space="0" w:color="auto"/>
      </w:divBdr>
    </w:div>
    <w:div w:id="1433159210">
      <w:bodyDiv w:val="1"/>
      <w:marLeft w:val="0"/>
      <w:marRight w:val="0"/>
      <w:marTop w:val="0"/>
      <w:marBottom w:val="0"/>
      <w:divBdr>
        <w:top w:val="none" w:sz="0" w:space="0" w:color="auto"/>
        <w:left w:val="none" w:sz="0" w:space="0" w:color="auto"/>
        <w:bottom w:val="none" w:sz="0" w:space="0" w:color="auto"/>
        <w:right w:val="none" w:sz="0" w:space="0" w:color="auto"/>
      </w:divBdr>
    </w:div>
    <w:div w:id="1501964061">
      <w:bodyDiv w:val="1"/>
      <w:marLeft w:val="0"/>
      <w:marRight w:val="0"/>
      <w:marTop w:val="0"/>
      <w:marBottom w:val="0"/>
      <w:divBdr>
        <w:top w:val="none" w:sz="0" w:space="0" w:color="auto"/>
        <w:left w:val="none" w:sz="0" w:space="0" w:color="auto"/>
        <w:bottom w:val="none" w:sz="0" w:space="0" w:color="auto"/>
        <w:right w:val="none" w:sz="0" w:space="0" w:color="auto"/>
      </w:divBdr>
    </w:div>
    <w:div w:id="1508984837">
      <w:bodyDiv w:val="1"/>
      <w:marLeft w:val="0"/>
      <w:marRight w:val="0"/>
      <w:marTop w:val="0"/>
      <w:marBottom w:val="0"/>
      <w:divBdr>
        <w:top w:val="none" w:sz="0" w:space="0" w:color="auto"/>
        <w:left w:val="none" w:sz="0" w:space="0" w:color="auto"/>
        <w:bottom w:val="none" w:sz="0" w:space="0" w:color="auto"/>
        <w:right w:val="none" w:sz="0" w:space="0" w:color="auto"/>
      </w:divBdr>
    </w:div>
    <w:div w:id="1529493213">
      <w:bodyDiv w:val="1"/>
      <w:marLeft w:val="0"/>
      <w:marRight w:val="0"/>
      <w:marTop w:val="0"/>
      <w:marBottom w:val="0"/>
      <w:divBdr>
        <w:top w:val="none" w:sz="0" w:space="0" w:color="auto"/>
        <w:left w:val="none" w:sz="0" w:space="0" w:color="auto"/>
        <w:bottom w:val="none" w:sz="0" w:space="0" w:color="auto"/>
        <w:right w:val="none" w:sz="0" w:space="0" w:color="auto"/>
      </w:divBdr>
    </w:div>
    <w:div w:id="1531912767">
      <w:bodyDiv w:val="1"/>
      <w:marLeft w:val="0"/>
      <w:marRight w:val="0"/>
      <w:marTop w:val="0"/>
      <w:marBottom w:val="0"/>
      <w:divBdr>
        <w:top w:val="none" w:sz="0" w:space="0" w:color="auto"/>
        <w:left w:val="none" w:sz="0" w:space="0" w:color="auto"/>
        <w:bottom w:val="none" w:sz="0" w:space="0" w:color="auto"/>
        <w:right w:val="none" w:sz="0" w:space="0" w:color="auto"/>
      </w:divBdr>
    </w:div>
    <w:div w:id="1598713552">
      <w:bodyDiv w:val="1"/>
      <w:marLeft w:val="0"/>
      <w:marRight w:val="0"/>
      <w:marTop w:val="0"/>
      <w:marBottom w:val="0"/>
      <w:divBdr>
        <w:top w:val="none" w:sz="0" w:space="0" w:color="auto"/>
        <w:left w:val="none" w:sz="0" w:space="0" w:color="auto"/>
        <w:bottom w:val="none" w:sz="0" w:space="0" w:color="auto"/>
        <w:right w:val="none" w:sz="0" w:space="0" w:color="auto"/>
      </w:divBdr>
    </w:div>
    <w:div w:id="1661498384">
      <w:bodyDiv w:val="1"/>
      <w:marLeft w:val="0"/>
      <w:marRight w:val="0"/>
      <w:marTop w:val="0"/>
      <w:marBottom w:val="0"/>
      <w:divBdr>
        <w:top w:val="none" w:sz="0" w:space="0" w:color="auto"/>
        <w:left w:val="none" w:sz="0" w:space="0" w:color="auto"/>
        <w:bottom w:val="none" w:sz="0" w:space="0" w:color="auto"/>
        <w:right w:val="none" w:sz="0" w:space="0" w:color="auto"/>
      </w:divBdr>
    </w:div>
    <w:div w:id="1718427881">
      <w:bodyDiv w:val="1"/>
      <w:marLeft w:val="0"/>
      <w:marRight w:val="0"/>
      <w:marTop w:val="0"/>
      <w:marBottom w:val="0"/>
      <w:divBdr>
        <w:top w:val="none" w:sz="0" w:space="0" w:color="auto"/>
        <w:left w:val="none" w:sz="0" w:space="0" w:color="auto"/>
        <w:bottom w:val="none" w:sz="0" w:space="0" w:color="auto"/>
        <w:right w:val="none" w:sz="0" w:space="0" w:color="auto"/>
      </w:divBdr>
    </w:div>
    <w:div w:id="1828015002">
      <w:bodyDiv w:val="1"/>
      <w:marLeft w:val="0"/>
      <w:marRight w:val="0"/>
      <w:marTop w:val="0"/>
      <w:marBottom w:val="0"/>
      <w:divBdr>
        <w:top w:val="none" w:sz="0" w:space="0" w:color="auto"/>
        <w:left w:val="none" w:sz="0" w:space="0" w:color="auto"/>
        <w:bottom w:val="none" w:sz="0" w:space="0" w:color="auto"/>
        <w:right w:val="none" w:sz="0" w:space="0" w:color="auto"/>
      </w:divBdr>
    </w:div>
    <w:div w:id="1853296017">
      <w:bodyDiv w:val="1"/>
      <w:marLeft w:val="0"/>
      <w:marRight w:val="0"/>
      <w:marTop w:val="0"/>
      <w:marBottom w:val="0"/>
      <w:divBdr>
        <w:top w:val="none" w:sz="0" w:space="0" w:color="auto"/>
        <w:left w:val="none" w:sz="0" w:space="0" w:color="auto"/>
        <w:bottom w:val="none" w:sz="0" w:space="0" w:color="auto"/>
        <w:right w:val="none" w:sz="0" w:space="0" w:color="auto"/>
      </w:divBdr>
      <w:divsChild>
        <w:div w:id="1235429608">
          <w:marLeft w:val="0"/>
          <w:marRight w:val="0"/>
          <w:marTop w:val="0"/>
          <w:marBottom w:val="0"/>
          <w:divBdr>
            <w:top w:val="none" w:sz="0" w:space="0" w:color="auto"/>
            <w:left w:val="none" w:sz="0" w:space="0" w:color="auto"/>
            <w:bottom w:val="none" w:sz="0" w:space="0" w:color="auto"/>
            <w:right w:val="none" w:sz="0" w:space="0" w:color="auto"/>
          </w:divBdr>
        </w:div>
      </w:divsChild>
    </w:div>
    <w:div w:id="1917782083">
      <w:bodyDiv w:val="1"/>
      <w:marLeft w:val="0"/>
      <w:marRight w:val="0"/>
      <w:marTop w:val="0"/>
      <w:marBottom w:val="0"/>
      <w:divBdr>
        <w:top w:val="none" w:sz="0" w:space="0" w:color="auto"/>
        <w:left w:val="none" w:sz="0" w:space="0" w:color="auto"/>
        <w:bottom w:val="none" w:sz="0" w:space="0" w:color="auto"/>
        <w:right w:val="none" w:sz="0" w:space="0" w:color="auto"/>
      </w:divBdr>
    </w:div>
    <w:div w:id="2026243329">
      <w:bodyDiv w:val="1"/>
      <w:marLeft w:val="0"/>
      <w:marRight w:val="0"/>
      <w:marTop w:val="0"/>
      <w:marBottom w:val="0"/>
      <w:divBdr>
        <w:top w:val="none" w:sz="0" w:space="0" w:color="auto"/>
        <w:left w:val="none" w:sz="0" w:space="0" w:color="auto"/>
        <w:bottom w:val="none" w:sz="0" w:space="0" w:color="auto"/>
        <w:right w:val="none" w:sz="0" w:space="0" w:color="auto"/>
      </w:divBdr>
    </w:div>
    <w:div w:id="2044477217">
      <w:bodyDiv w:val="1"/>
      <w:marLeft w:val="0"/>
      <w:marRight w:val="0"/>
      <w:marTop w:val="0"/>
      <w:marBottom w:val="0"/>
      <w:divBdr>
        <w:top w:val="none" w:sz="0" w:space="0" w:color="auto"/>
        <w:left w:val="none" w:sz="0" w:space="0" w:color="auto"/>
        <w:bottom w:val="none" w:sz="0" w:space="0" w:color="auto"/>
        <w:right w:val="none" w:sz="0" w:space="0" w:color="auto"/>
      </w:divBdr>
    </w:div>
    <w:div w:id="2065524507">
      <w:bodyDiv w:val="1"/>
      <w:marLeft w:val="0"/>
      <w:marRight w:val="0"/>
      <w:marTop w:val="0"/>
      <w:marBottom w:val="0"/>
      <w:divBdr>
        <w:top w:val="none" w:sz="0" w:space="0" w:color="auto"/>
        <w:left w:val="none" w:sz="0" w:space="0" w:color="auto"/>
        <w:bottom w:val="none" w:sz="0" w:space="0" w:color="auto"/>
        <w:right w:val="none" w:sz="0" w:space="0" w:color="auto"/>
      </w:divBdr>
    </w:div>
    <w:div w:id="2104644513">
      <w:bodyDiv w:val="1"/>
      <w:marLeft w:val="0"/>
      <w:marRight w:val="0"/>
      <w:marTop w:val="0"/>
      <w:marBottom w:val="0"/>
      <w:divBdr>
        <w:top w:val="none" w:sz="0" w:space="0" w:color="auto"/>
        <w:left w:val="none" w:sz="0" w:space="0" w:color="auto"/>
        <w:bottom w:val="none" w:sz="0" w:space="0" w:color="auto"/>
        <w:right w:val="none" w:sz="0" w:space="0" w:color="auto"/>
      </w:divBdr>
    </w:div>
    <w:div w:id="2110195801">
      <w:bodyDiv w:val="1"/>
      <w:marLeft w:val="0"/>
      <w:marRight w:val="0"/>
      <w:marTop w:val="0"/>
      <w:marBottom w:val="0"/>
      <w:divBdr>
        <w:top w:val="none" w:sz="0" w:space="0" w:color="auto"/>
        <w:left w:val="none" w:sz="0" w:space="0" w:color="auto"/>
        <w:bottom w:val="none" w:sz="0" w:space="0" w:color="auto"/>
        <w:right w:val="none" w:sz="0" w:space="0" w:color="auto"/>
      </w:divBdr>
    </w:div>
    <w:div w:id="212607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nevo.co.il/case/17917297" TargetMode="External"/><Relationship Id="rId4" Type="http://schemas.openxmlformats.org/officeDocument/2006/relationships/styles" Target="styles.xml"/><Relationship Id="rId9" Type="http://schemas.openxmlformats.org/officeDocument/2006/relationships/hyperlink" Target="http://www.nevo.co.il/case/5583699"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www.nevo.co.il/law/71600/47a" TargetMode="External"/><Relationship Id="rId1" Type="http://schemas.openxmlformats.org/officeDocument/2006/relationships/hyperlink" Target="https://www.iec.co.il/investors/DocLib1/isa_2014.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cid:image003.png@01CE8612.6B34F890" TargetMode="External"/><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EFECA-6205-4A88-A52B-861703BD7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13805</Words>
  <Characters>69028</Characters>
  <Application>Microsoft Office Word</Application>
  <DocSecurity>0</DocSecurity>
  <Lines>575</Lines>
  <Paragraphs>165</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‏15 דצמבר 1999</vt:lpstr>
      <vt:lpstr>‏15 דצמבר 1999</vt:lpstr>
    </vt:vector>
  </TitlesOfParts>
  <Company>Bashan Systems LTD</Company>
  <LinksUpToDate>false</LinksUpToDate>
  <CharactersWithSpaces>82668</CharactersWithSpaces>
  <SharedDoc>false</SharedDoc>
  <HLinks>
    <vt:vector size="258" baseType="variant">
      <vt:variant>
        <vt:i4>3539056</vt:i4>
      </vt:variant>
      <vt:variant>
        <vt:i4>234</vt:i4>
      </vt:variant>
      <vt:variant>
        <vt:i4>0</vt:i4>
      </vt:variant>
      <vt:variant>
        <vt:i4>5</vt:i4>
      </vt:variant>
      <vt:variant>
        <vt:lpwstr>http://www.nevo.co.il/case/17917297</vt:lpwstr>
      </vt:variant>
      <vt:variant>
        <vt:lpwstr/>
      </vt:variant>
      <vt:variant>
        <vt:i4>3276923</vt:i4>
      </vt:variant>
      <vt:variant>
        <vt:i4>231</vt:i4>
      </vt:variant>
      <vt:variant>
        <vt:i4>0</vt:i4>
      </vt:variant>
      <vt:variant>
        <vt:i4>5</vt:i4>
      </vt:variant>
      <vt:variant>
        <vt:lpwstr>http://www.nevo.co.il/case/5583699</vt:lpwstr>
      </vt:variant>
      <vt:variant>
        <vt:lpwstr/>
      </vt:variant>
      <vt:variant>
        <vt:i4>1048639</vt:i4>
      </vt:variant>
      <vt:variant>
        <vt:i4>224</vt:i4>
      </vt:variant>
      <vt:variant>
        <vt:i4>0</vt:i4>
      </vt:variant>
      <vt:variant>
        <vt:i4>5</vt:i4>
      </vt:variant>
      <vt:variant>
        <vt:lpwstr/>
      </vt:variant>
      <vt:variant>
        <vt:lpwstr>_Toc476497433</vt:lpwstr>
      </vt:variant>
      <vt:variant>
        <vt:i4>1048639</vt:i4>
      </vt:variant>
      <vt:variant>
        <vt:i4>218</vt:i4>
      </vt:variant>
      <vt:variant>
        <vt:i4>0</vt:i4>
      </vt:variant>
      <vt:variant>
        <vt:i4>5</vt:i4>
      </vt:variant>
      <vt:variant>
        <vt:lpwstr/>
      </vt:variant>
      <vt:variant>
        <vt:lpwstr>_Toc476497432</vt:lpwstr>
      </vt:variant>
      <vt:variant>
        <vt:i4>1048639</vt:i4>
      </vt:variant>
      <vt:variant>
        <vt:i4>212</vt:i4>
      </vt:variant>
      <vt:variant>
        <vt:i4>0</vt:i4>
      </vt:variant>
      <vt:variant>
        <vt:i4>5</vt:i4>
      </vt:variant>
      <vt:variant>
        <vt:lpwstr/>
      </vt:variant>
      <vt:variant>
        <vt:lpwstr>_Toc476497431</vt:lpwstr>
      </vt:variant>
      <vt:variant>
        <vt:i4>1048639</vt:i4>
      </vt:variant>
      <vt:variant>
        <vt:i4>206</vt:i4>
      </vt:variant>
      <vt:variant>
        <vt:i4>0</vt:i4>
      </vt:variant>
      <vt:variant>
        <vt:i4>5</vt:i4>
      </vt:variant>
      <vt:variant>
        <vt:lpwstr/>
      </vt:variant>
      <vt:variant>
        <vt:lpwstr>_Toc476497430</vt:lpwstr>
      </vt:variant>
      <vt:variant>
        <vt:i4>1114175</vt:i4>
      </vt:variant>
      <vt:variant>
        <vt:i4>200</vt:i4>
      </vt:variant>
      <vt:variant>
        <vt:i4>0</vt:i4>
      </vt:variant>
      <vt:variant>
        <vt:i4>5</vt:i4>
      </vt:variant>
      <vt:variant>
        <vt:lpwstr/>
      </vt:variant>
      <vt:variant>
        <vt:lpwstr>_Toc476497429</vt:lpwstr>
      </vt:variant>
      <vt:variant>
        <vt:i4>1114175</vt:i4>
      </vt:variant>
      <vt:variant>
        <vt:i4>194</vt:i4>
      </vt:variant>
      <vt:variant>
        <vt:i4>0</vt:i4>
      </vt:variant>
      <vt:variant>
        <vt:i4>5</vt:i4>
      </vt:variant>
      <vt:variant>
        <vt:lpwstr/>
      </vt:variant>
      <vt:variant>
        <vt:lpwstr>_Toc476497428</vt:lpwstr>
      </vt:variant>
      <vt:variant>
        <vt:i4>1114175</vt:i4>
      </vt:variant>
      <vt:variant>
        <vt:i4>188</vt:i4>
      </vt:variant>
      <vt:variant>
        <vt:i4>0</vt:i4>
      </vt:variant>
      <vt:variant>
        <vt:i4>5</vt:i4>
      </vt:variant>
      <vt:variant>
        <vt:lpwstr/>
      </vt:variant>
      <vt:variant>
        <vt:lpwstr>_Toc476497427</vt:lpwstr>
      </vt:variant>
      <vt:variant>
        <vt:i4>1114175</vt:i4>
      </vt:variant>
      <vt:variant>
        <vt:i4>182</vt:i4>
      </vt:variant>
      <vt:variant>
        <vt:i4>0</vt:i4>
      </vt:variant>
      <vt:variant>
        <vt:i4>5</vt:i4>
      </vt:variant>
      <vt:variant>
        <vt:lpwstr/>
      </vt:variant>
      <vt:variant>
        <vt:lpwstr>_Toc476497426</vt:lpwstr>
      </vt:variant>
      <vt:variant>
        <vt:i4>1114175</vt:i4>
      </vt:variant>
      <vt:variant>
        <vt:i4>176</vt:i4>
      </vt:variant>
      <vt:variant>
        <vt:i4>0</vt:i4>
      </vt:variant>
      <vt:variant>
        <vt:i4>5</vt:i4>
      </vt:variant>
      <vt:variant>
        <vt:lpwstr/>
      </vt:variant>
      <vt:variant>
        <vt:lpwstr>_Toc476497425</vt:lpwstr>
      </vt:variant>
      <vt:variant>
        <vt:i4>1114175</vt:i4>
      </vt:variant>
      <vt:variant>
        <vt:i4>170</vt:i4>
      </vt:variant>
      <vt:variant>
        <vt:i4>0</vt:i4>
      </vt:variant>
      <vt:variant>
        <vt:i4>5</vt:i4>
      </vt:variant>
      <vt:variant>
        <vt:lpwstr/>
      </vt:variant>
      <vt:variant>
        <vt:lpwstr>_Toc476497424</vt:lpwstr>
      </vt:variant>
      <vt:variant>
        <vt:i4>1114175</vt:i4>
      </vt:variant>
      <vt:variant>
        <vt:i4>164</vt:i4>
      </vt:variant>
      <vt:variant>
        <vt:i4>0</vt:i4>
      </vt:variant>
      <vt:variant>
        <vt:i4>5</vt:i4>
      </vt:variant>
      <vt:variant>
        <vt:lpwstr/>
      </vt:variant>
      <vt:variant>
        <vt:lpwstr>_Toc476497423</vt:lpwstr>
      </vt:variant>
      <vt:variant>
        <vt:i4>1114175</vt:i4>
      </vt:variant>
      <vt:variant>
        <vt:i4>158</vt:i4>
      </vt:variant>
      <vt:variant>
        <vt:i4>0</vt:i4>
      </vt:variant>
      <vt:variant>
        <vt:i4>5</vt:i4>
      </vt:variant>
      <vt:variant>
        <vt:lpwstr/>
      </vt:variant>
      <vt:variant>
        <vt:lpwstr>_Toc476497422</vt:lpwstr>
      </vt:variant>
      <vt:variant>
        <vt:i4>1114175</vt:i4>
      </vt:variant>
      <vt:variant>
        <vt:i4>152</vt:i4>
      </vt:variant>
      <vt:variant>
        <vt:i4>0</vt:i4>
      </vt:variant>
      <vt:variant>
        <vt:i4>5</vt:i4>
      </vt:variant>
      <vt:variant>
        <vt:lpwstr/>
      </vt:variant>
      <vt:variant>
        <vt:lpwstr>_Toc476497421</vt:lpwstr>
      </vt:variant>
      <vt:variant>
        <vt:i4>1114175</vt:i4>
      </vt:variant>
      <vt:variant>
        <vt:i4>146</vt:i4>
      </vt:variant>
      <vt:variant>
        <vt:i4>0</vt:i4>
      </vt:variant>
      <vt:variant>
        <vt:i4>5</vt:i4>
      </vt:variant>
      <vt:variant>
        <vt:lpwstr/>
      </vt:variant>
      <vt:variant>
        <vt:lpwstr>_Toc476497420</vt:lpwstr>
      </vt:variant>
      <vt:variant>
        <vt:i4>1179711</vt:i4>
      </vt:variant>
      <vt:variant>
        <vt:i4>140</vt:i4>
      </vt:variant>
      <vt:variant>
        <vt:i4>0</vt:i4>
      </vt:variant>
      <vt:variant>
        <vt:i4>5</vt:i4>
      </vt:variant>
      <vt:variant>
        <vt:lpwstr/>
      </vt:variant>
      <vt:variant>
        <vt:lpwstr>_Toc476497419</vt:lpwstr>
      </vt:variant>
      <vt:variant>
        <vt:i4>1179711</vt:i4>
      </vt:variant>
      <vt:variant>
        <vt:i4>134</vt:i4>
      </vt:variant>
      <vt:variant>
        <vt:i4>0</vt:i4>
      </vt:variant>
      <vt:variant>
        <vt:i4>5</vt:i4>
      </vt:variant>
      <vt:variant>
        <vt:lpwstr/>
      </vt:variant>
      <vt:variant>
        <vt:lpwstr>_Toc476497418</vt:lpwstr>
      </vt:variant>
      <vt:variant>
        <vt:i4>1179711</vt:i4>
      </vt:variant>
      <vt:variant>
        <vt:i4>128</vt:i4>
      </vt:variant>
      <vt:variant>
        <vt:i4>0</vt:i4>
      </vt:variant>
      <vt:variant>
        <vt:i4>5</vt:i4>
      </vt:variant>
      <vt:variant>
        <vt:lpwstr/>
      </vt:variant>
      <vt:variant>
        <vt:lpwstr>_Toc476497417</vt:lpwstr>
      </vt:variant>
      <vt:variant>
        <vt:i4>1179711</vt:i4>
      </vt:variant>
      <vt:variant>
        <vt:i4>122</vt:i4>
      </vt:variant>
      <vt:variant>
        <vt:i4>0</vt:i4>
      </vt:variant>
      <vt:variant>
        <vt:i4>5</vt:i4>
      </vt:variant>
      <vt:variant>
        <vt:lpwstr/>
      </vt:variant>
      <vt:variant>
        <vt:lpwstr>_Toc476497416</vt:lpwstr>
      </vt:variant>
      <vt:variant>
        <vt:i4>1179711</vt:i4>
      </vt:variant>
      <vt:variant>
        <vt:i4>116</vt:i4>
      </vt:variant>
      <vt:variant>
        <vt:i4>0</vt:i4>
      </vt:variant>
      <vt:variant>
        <vt:i4>5</vt:i4>
      </vt:variant>
      <vt:variant>
        <vt:lpwstr/>
      </vt:variant>
      <vt:variant>
        <vt:lpwstr>_Toc476497415</vt:lpwstr>
      </vt:variant>
      <vt:variant>
        <vt:i4>1179711</vt:i4>
      </vt:variant>
      <vt:variant>
        <vt:i4>110</vt:i4>
      </vt:variant>
      <vt:variant>
        <vt:i4>0</vt:i4>
      </vt:variant>
      <vt:variant>
        <vt:i4>5</vt:i4>
      </vt:variant>
      <vt:variant>
        <vt:lpwstr/>
      </vt:variant>
      <vt:variant>
        <vt:lpwstr>_Toc476497414</vt:lpwstr>
      </vt:variant>
      <vt:variant>
        <vt:i4>1179711</vt:i4>
      </vt:variant>
      <vt:variant>
        <vt:i4>104</vt:i4>
      </vt:variant>
      <vt:variant>
        <vt:i4>0</vt:i4>
      </vt:variant>
      <vt:variant>
        <vt:i4>5</vt:i4>
      </vt:variant>
      <vt:variant>
        <vt:lpwstr/>
      </vt:variant>
      <vt:variant>
        <vt:lpwstr>_Toc476497413</vt:lpwstr>
      </vt:variant>
      <vt:variant>
        <vt:i4>1179711</vt:i4>
      </vt:variant>
      <vt:variant>
        <vt:i4>98</vt:i4>
      </vt:variant>
      <vt:variant>
        <vt:i4>0</vt:i4>
      </vt:variant>
      <vt:variant>
        <vt:i4>5</vt:i4>
      </vt:variant>
      <vt:variant>
        <vt:lpwstr/>
      </vt:variant>
      <vt:variant>
        <vt:lpwstr>_Toc476497412</vt:lpwstr>
      </vt:variant>
      <vt:variant>
        <vt:i4>1179711</vt:i4>
      </vt:variant>
      <vt:variant>
        <vt:i4>92</vt:i4>
      </vt:variant>
      <vt:variant>
        <vt:i4>0</vt:i4>
      </vt:variant>
      <vt:variant>
        <vt:i4>5</vt:i4>
      </vt:variant>
      <vt:variant>
        <vt:lpwstr/>
      </vt:variant>
      <vt:variant>
        <vt:lpwstr>_Toc476497411</vt:lpwstr>
      </vt:variant>
      <vt:variant>
        <vt:i4>1179711</vt:i4>
      </vt:variant>
      <vt:variant>
        <vt:i4>86</vt:i4>
      </vt:variant>
      <vt:variant>
        <vt:i4>0</vt:i4>
      </vt:variant>
      <vt:variant>
        <vt:i4>5</vt:i4>
      </vt:variant>
      <vt:variant>
        <vt:lpwstr/>
      </vt:variant>
      <vt:variant>
        <vt:lpwstr>_Toc476497410</vt:lpwstr>
      </vt:variant>
      <vt:variant>
        <vt:i4>1245247</vt:i4>
      </vt:variant>
      <vt:variant>
        <vt:i4>80</vt:i4>
      </vt:variant>
      <vt:variant>
        <vt:i4>0</vt:i4>
      </vt:variant>
      <vt:variant>
        <vt:i4>5</vt:i4>
      </vt:variant>
      <vt:variant>
        <vt:lpwstr/>
      </vt:variant>
      <vt:variant>
        <vt:lpwstr>_Toc476497409</vt:lpwstr>
      </vt:variant>
      <vt:variant>
        <vt:i4>1245247</vt:i4>
      </vt:variant>
      <vt:variant>
        <vt:i4>74</vt:i4>
      </vt:variant>
      <vt:variant>
        <vt:i4>0</vt:i4>
      </vt:variant>
      <vt:variant>
        <vt:i4>5</vt:i4>
      </vt:variant>
      <vt:variant>
        <vt:lpwstr/>
      </vt:variant>
      <vt:variant>
        <vt:lpwstr>_Toc476497408</vt:lpwstr>
      </vt:variant>
      <vt:variant>
        <vt:i4>1245247</vt:i4>
      </vt:variant>
      <vt:variant>
        <vt:i4>68</vt:i4>
      </vt:variant>
      <vt:variant>
        <vt:i4>0</vt:i4>
      </vt:variant>
      <vt:variant>
        <vt:i4>5</vt:i4>
      </vt:variant>
      <vt:variant>
        <vt:lpwstr/>
      </vt:variant>
      <vt:variant>
        <vt:lpwstr>_Toc476497407</vt:lpwstr>
      </vt:variant>
      <vt:variant>
        <vt:i4>1245247</vt:i4>
      </vt:variant>
      <vt:variant>
        <vt:i4>62</vt:i4>
      </vt:variant>
      <vt:variant>
        <vt:i4>0</vt:i4>
      </vt:variant>
      <vt:variant>
        <vt:i4>5</vt:i4>
      </vt:variant>
      <vt:variant>
        <vt:lpwstr/>
      </vt:variant>
      <vt:variant>
        <vt:lpwstr>_Toc476497406</vt:lpwstr>
      </vt:variant>
      <vt:variant>
        <vt:i4>1245247</vt:i4>
      </vt:variant>
      <vt:variant>
        <vt:i4>56</vt:i4>
      </vt:variant>
      <vt:variant>
        <vt:i4>0</vt:i4>
      </vt:variant>
      <vt:variant>
        <vt:i4>5</vt:i4>
      </vt:variant>
      <vt:variant>
        <vt:lpwstr/>
      </vt:variant>
      <vt:variant>
        <vt:lpwstr>_Toc476497405</vt:lpwstr>
      </vt:variant>
      <vt:variant>
        <vt:i4>1245247</vt:i4>
      </vt:variant>
      <vt:variant>
        <vt:i4>50</vt:i4>
      </vt:variant>
      <vt:variant>
        <vt:i4>0</vt:i4>
      </vt:variant>
      <vt:variant>
        <vt:i4>5</vt:i4>
      </vt:variant>
      <vt:variant>
        <vt:lpwstr/>
      </vt:variant>
      <vt:variant>
        <vt:lpwstr>_Toc476497404</vt:lpwstr>
      </vt:variant>
      <vt:variant>
        <vt:i4>1245247</vt:i4>
      </vt:variant>
      <vt:variant>
        <vt:i4>44</vt:i4>
      </vt:variant>
      <vt:variant>
        <vt:i4>0</vt:i4>
      </vt:variant>
      <vt:variant>
        <vt:i4>5</vt:i4>
      </vt:variant>
      <vt:variant>
        <vt:lpwstr/>
      </vt:variant>
      <vt:variant>
        <vt:lpwstr>_Toc476497403</vt:lpwstr>
      </vt:variant>
      <vt:variant>
        <vt:i4>1245247</vt:i4>
      </vt:variant>
      <vt:variant>
        <vt:i4>38</vt:i4>
      </vt:variant>
      <vt:variant>
        <vt:i4>0</vt:i4>
      </vt:variant>
      <vt:variant>
        <vt:i4>5</vt:i4>
      </vt:variant>
      <vt:variant>
        <vt:lpwstr/>
      </vt:variant>
      <vt:variant>
        <vt:lpwstr>_Toc476497402</vt:lpwstr>
      </vt:variant>
      <vt:variant>
        <vt:i4>1245247</vt:i4>
      </vt:variant>
      <vt:variant>
        <vt:i4>32</vt:i4>
      </vt:variant>
      <vt:variant>
        <vt:i4>0</vt:i4>
      </vt:variant>
      <vt:variant>
        <vt:i4>5</vt:i4>
      </vt:variant>
      <vt:variant>
        <vt:lpwstr/>
      </vt:variant>
      <vt:variant>
        <vt:lpwstr>_Toc476497401</vt:lpwstr>
      </vt:variant>
      <vt:variant>
        <vt:i4>1245247</vt:i4>
      </vt:variant>
      <vt:variant>
        <vt:i4>26</vt:i4>
      </vt:variant>
      <vt:variant>
        <vt:i4>0</vt:i4>
      </vt:variant>
      <vt:variant>
        <vt:i4>5</vt:i4>
      </vt:variant>
      <vt:variant>
        <vt:lpwstr/>
      </vt:variant>
      <vt:variant>
        <vt:lpwstr>_Toc476497400</vt:lpwstr>
      </vt:variant>
      <vt:variant>
        <vt:i4>1703992</vt:i4>
      </vt:variant>
      <vt:variant>
        <vt:i4>20</vt:i4>
      </vt:variant>
      <vt:variant>
        <vt:i4>0</vt:i4>
      </vt:variant>
      <vt:variant>
        <vt:i4>5</vt:i4>
      </vt:variant>
      <vt:variant>
        <vt:lpwstr/>
      </vt:variant>
      <vt:variant>
        <vt:lpwstr>_Toc476497399</vt:lpwstr>
      </vt:variant>
      <vt:variant>
        <vt:i4>1703992</vt:i4>
      </vt:variant>
      <vt:variant>
        <vt:i4>14</vt:i4>
      </vt:variant>
      <vt:variant>
        <vt:i4>0</vt:i4>
      </vt:variant>
      <vt:variant>
        <vt:i4>5</vt:i4>
      </vt:variant>
      <vt:variant>
        <vt:lpwstr/>
      </vt:variant>
      <vt:variant>
        <vt:lpwstr>_Toc476497398</vt:lpwstr>
      </vt:variant>
      <vt:variant>
        <vt:i4>1703992</vt:i4>
      </vt:variant>
      <vt:variant>
        <vt:i4>8</vt:i4>
      </vt:variant>
      <vt:variant>
        <vt:i4>0</vt:i4>
      </vt:variant>
      <vt:variant>
        <vt:i4>5</vt:i4>
      </vt:variant>
      <vt:variant>
        <vt:lpwstr/>
      </vt:variant>
      <vt:variant>
        <vt:lpwstr>_Toc476497397</vt:lpwstr>
      </vt:variant>
      <vt:variant>
        <vt:i4>1703992</vt:i4>
      </vt:variant>
      <vt:variant>
        <vt:i4>2</vt:i4>
      </vt:variant>
      <vt:variant>
        <vt:i4>0</vt:i4>
      </vt:variant>
      <vt:variant>
        <vt:i4>5</vt:i4>
      </vt:variant>
      <vt:variant>
        <vt:lpwstr/>
      </vt:variant>
      <vt:variant>
        <vt:lpwstr>_Toc476497396</vt:lpwstr>
      </vt:variant>
      <vt:variant>
        <vt:i4>6488165</vt:i4>
      </vt:variant>
      <vt:variant>
        <vt:i4>54</vt:i4>
      </vt:variant>
      <vt:variant>
        <vt:i4>0</vt:i4>
      </vt:variant>
      <vt:variant>
        <vt:i4>5</vt:i4>
      </vt:variant>
      <vt:variant>
        <vt:lpwstr>http://www.nevo.co.il/law/71600/47a</vt:lpwstr>
      </vt:variant>
      <vt:variant>
        <vt:lpwstr/>
      </vt:variant>
      <vt:variant>
        <vt:i4>7864325</vt:i4>
      </vt:variant>
      <vt:variant>
        <vt:i4>51</vt:i4>
      </vt:variant>
      <vt:variant>
        <vt:i4>0</vt:i4>
      </vt:variant>
      <vt:variant>
        <vt:i4>5</vt:i4>
      </vt:variant>
      <vt:variant>
        <vt:lpwstr>https://www.iec.co.il/investors/DocLib1/isa_2014.pdf</vt:lpwstr>
      </vt:variant>
      <vt:variant>
        <vt:lpwstr/>
      </vt:variant>
      <vt:variant>
        <vt:i4>6750288</vt:i4>
      </vt:variant>
      <vt:variant>
        <vt:i4>267866</vt:i4>
      </vt:variant>
      <vt:variant>
        <vt:i4>1025</vt:i4>
      </vt:variant>
      <vt:variant>
        <vt:i4>1</vt:i4>
      </vt:variant>
      <vt:variant>
        <vt:lpwstr>cid:image003.png@01CE8612.6B34F890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דצמבר 1999</dc:title>
  <dc:creator>יעלש</dc:creator>
  <cp:lastModifiedBy>Melita Shafir</cp:lastModifiedBy>
  <cp:revision>2</cp:revision>
  <cp:lastPrinted>2017-03-06T09:39:00Z</cp:lastPrinted>
  <dcterms:created xsi:type="dcterms:W3CDTF">2018-12-11T13:46:00Z</dcterms:created>
  <dcterms:modified xsi:type="dcterms:W3CDTF">2018-12-11T13:46:00Z</dcterms:modified>
</cp:coreProperties>
</file>