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displacedByCustomXml="next"/>
    <w:bookmarkEnd w:id="0" w:displacedByCustomXml="next"/>
    <w:sdt>
      <w:sdtPr>
        <w:rPr>
          <w:rFonts w:ascii="Alef" w:eastAsiaTheme="majorEastAsia" w:hAnsi="Alef" w:cs="Alef"/>
          <w:caps/>
          <w:rtl/>
        </w:rPr>
        <w:id w:val="131909489"/>
        <w:docPartObj>
          <w:docPartGallery w:val="Cover Pages"/>
          <w:docPartUnique/>
        </w:docPartObj>
      </w:sdtPr>
      <w:sdtEndPr>
        <w:rPr>
          <w:caps w:val="0"/>
          <w:sz w:val="72"/>
          <w:szCs w:val="72"/>
          <w:rtl w:val="0"/>
        </w:rPr>
      </w:sdtEndPr>
      <w:sdtContent>
        <w:tbl>
          <w:tblPr>
            <w:bidiVisual/>
            <w:tblW w:w="5203" w:type="pct"/>
            <w:jc w:val="center"/>
            <w:tblLook w:val="04A0" w:firstRow="1" w:lastRow="0" w:firstColumn="1" w:lastColumn="0" w:noHBand="0" w:noVBand="1"/>
          </w:tblPr>
          <w:tblGrid>
            <w:gridCol w:w="8643"/>
          </w:tblGrid>
          <w:tr w:rsidR="00EB5588" w:rsidRPr="00BA63B1" w14:paraId="79DDEEBE" w14:textId="77777777" w:rsidTr="006439A8">
            <w:trPr>
              <w:trHeight w:val="2904"/>
              <w:jc w:val="center"/>
            </w:trPr>
            <w:tc>
              <w:tcPr>
                <w:tcW w:w="5000" w:type="pct"/>
              </w:tcPr>
              <w:p w14:paraId="4C8DE02D" w14:textId="46E856CD" w:rsidR="00EB5588" w:rsidRPr="00BA63B1" w:rsidRDefault="00221548" w:rsidP="006439A8">
                <w:pPr>
                  <w:pStyle w:val="NoSpacing"/>
                  <w:jc w:val="center"/>
                  <w:rPr>
                    <w:rFonts w:ascii="Alef" w:eastAsiaTheme="majorEastAsia" w:hAnsi="Alef" w:cs="Alef"/>
                    <w:caps/>
                    <w:rtl/>
                    <w:cs/>
                  </w:rPr>
                </w:pPr>
                <w:r w:rsidRPr="00E71B20">
                  <w:rPr>
                    <w:rFonts w:asciiTheme="majorBidi" w:hAnsiTheme="majorBidi"/>
                    <w:b/>
                    <w:bCs/>
                    <w:noProof/>
                    <w:sz w:val="32"/>
                    <w:szCs w:val="32"/>
                  </w:rPr>
                  <w:drawing>
                    <wp:inline distT="0" distB="0" distL="0" distR="0" wp14:anchorId="5A56D1CF" wp14:editId="4FBBDC26">
                      <wp:extent cx="1654110" cy="1915286"/>
                      <wp:effectExtent l="0" t="0" r="0" b="0"/>
                      <wp:docPr id="2051" name="תמונה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תמונה 15"/>
                              <pic:cNvPicPr>
                                <a:picLocks noChangeAspect="1"/>
                              </pic:cNvPicPr>
                            </pic:nvPicPr>
                            <pic:blipFill rotWithShape="1">
                              <a:blip r:embed="rId9">
                                <a:extLst>
                                  <a:ext uri="{28A0092B-C50C-407E-A947-70E740481C1C}">
                                    <a14:useLocalDpi xmlns:a14="http://schemas.microsoft.com/office/drawing/2010/main" val="0"/>
                                  </a:ext>
                                </a:extLst>
                              </a:blip>
                              <a:srcRect l="73115" t="17286" r="9075" b="6654"/>
                              <a:stretch/>
                            </pic:blipFill>
                            <pic:spPr bwMode="auto">
                              <a:xfrm>
                                <a:off x="0" y="0"/>
                                <a:ext cx="1663820" cy="1926530"/>
                              </a:xfrm>
                              <a:prstGeom prst="rect">
                                <a:avLst/>
                              </a:prstGeom>
                              <a:noFill/>
                              <a:ln>
                                <a:noFill/>
                              </a:ln>
                              <a:extLst/>
                            </pic:spPr>
                          </pic:pic>
                        </a:graphicData>
                      </a:graphic>
                    </wp:inline>
                  </w:drawing>
                </w:r>
              </w:p>
            </w:tc>
          </w:tr>
          <w:tr w:rsidR="00EB5588" w:rsidRPr="00BA63B1" w14:paraId="3A7FBC57" w14:textId="77777777" w:rsidTr="00221548">
            <w:trPr>
              <w:trHeight w:val="3998"/>
              <w:jc w:val="center"/>
            </w:trPr>
            <w:sdt>
              <w:sdtPr>
                <w:rPr>
                  <w:rFonts w:ascii="Alef" w:eastAsiaTheme="majorEastAsia" w:hAnsi="Alef" w:cs="Alef"/>
                  <w:sz w:val="80"/>
                  <w:szCs w:val="80"/>
                  <w:rtl/>
                </w:rPr>
                <w:alias w:val="כותרת"/>
                <w:id w:val="15524250"/>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14:paraId="521CEB67" w14:textId="1C69688F" w:rsidR="00EB5588" w:rsidRPr="00BA63B1" w:rsidRDefault="00F26CA2" w:rsidP="006439A8">
                    <w:pPr>
                      <w:pStyle w:val="NoSpacing"/>
                      <w:jc w:val="center"/>
                      <w:rPr>
                        <w:rFonts w:ascii="Alef" w:eastAsiaTheme="majorEastAsia" w:hAnsi="Alef" w:cs="Alef"/>
                        <w:sz w:val="80"/>
                        <w:szCs w:val="80"/>
                        <w:rtl/>
                        <w:cs/>
                      </w:rPr>
                    </w:pPr>
                    <w:r w:rsidRPr="00BA63B1">
                      <w:rPr>
                        <w:rFonts w:ascii="Alef" w:eastAsiaTheme="majorEastAsia" w:hAnsi="Alef" w:cs="Alef"/>
                        <w:sz w:val="80"/>
                        <w:szCs w:val="80"/>
                        <w:rtl/>
                      </w:rPr>
                      <w:t>דוח הערכת השפעת רגולציה</w:t>
                    </w:r>
                  </w:p>
                </w:tc>
              </w:sdtContent>
            </w:sdt>
          </w:tr>
          <w:tr w:rsidR="00EB5588" w:rsidRPr="00BA63B1" w14:paraId="483D3D64" w14:textId="77777777" w:rsidTr="006439A8">
            <w:trPr>
              <w:trHeight w:val="726"/>
              <w:jc w:val="center"/>
            </w:trPr>
            <w:sdt>
              <w:sdtPr>
                <w:rPr>
                  <w:rFonts w:ascii="Alef" w:eastAsiaTheme="minorHAnsi" w:hAnsi="Alef" w:cs="Alef"/>
                  <w:sz w:val="36"/>
                  <w:szCs w:val="36"/>
                  <w:rtl/>
                </w:rPr>
                <w:alias w:val="כותרת משנה"/>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1691AFD" w14:textId="0898BD7E" w:rsidR="00EB5588" w:rsidRPr="00BA63B1" w:rsidRDefault="00DC24FB" w:rsidP="00DC24FB">
                    <w:pPr>
                      <w:pStyle w:val="NoSpacing"/>
                      <w:jc w:val="center"/>
                      <w:rPr>
                        <w:rFonts w:ascii="Alef" w:eastAsiaTheme="majorEastAsia" w:hAnsi="Alef" w:cs="Alef"/>
                        <w:sz w:val="44"/>
                        <w:szCs w:val="44"/>
                      </w:rPr>
                    </w:pPr>
                    <w:r>
                      <w:rPr>
                        <w:rFonts w:ascii="Alef" w:eastAsiaTheme="minorHAnsi" w:hAnsi="Alef" w:cs="Alef" w:hint="cs"/>
                        <w:sz w:val="36"/>
                        <w:szCs w:val="36"/>
                        <w:rtl/>
                      </w:rPr>
                      <w:t>פטור סוג למיזמים משותפים והוראות והגדרות כלליות לפטורי הסוג</w:t>
                    </w:r>
                  </w:p>
                </w:tc>
              </w:sdtContent>
            </w:sdt>
          </w:tr>
          <w:tr w:rsidR="00EB5588" w:rsidRPr="00BA63B1" w14:paraId="08E0B17A" w14:textId="77777777" w:rsidTr="006439A8">
            <w:trPr>
              <w:trHeight w:val="363"/>
              <w:jc w:val="center"/>
            </w:trPr>
            <w:sdt>
              <w:sdtPr>
                <w:rPr>
                  <w:rFonts w:ascii="Alef" w:hAnsi="Alef" w:cs="Alef"/>
                  <w:b/>
                  <w:bCs/>
                  <w:rtl/>
                </w:rPr>
                <w:alias w:val="תאריך"/>
                <w:id w:val="516659546"/>
                <w:dataBinding w:prefixMappings="xmlns:ns0='http://schemas.microsoft.com/office/2006/coverPageProps'" w:xpath="/ns0:CoverPageProperties[1]/ns0:PublishDate[1]" w:storeItemID="{55AF091B-3C7A-41E3-B477-F2FDAA23CFDA}"/>
                <w:date w:fullDate="2021-05-20T00:00:00Z">
                  <w:dateFormat w:val="dd/MM/yyyy"/>
                  <w:lid w:val="he-IL"/>
                  <w:storeMappedDataAs w:val="dateTime"/>
                  <w:calendar w:val="gregorian"/>
                </w:date>
              </w:sdtPr>
              <w:sdtEndPr/>
              <w:sdtContent>
                <w:tc>
                  <w:tcPr>
                    <w:tcW w:w="5000" w:type="pct"/>
                    <w:vAlign w:val="center"/>
                  </w:tcPr>
                  <w:p w14:paraId="70690B3A" w14:textId="17487320" w:rsidR="00EB5588" w:rsidRPr="00BA63B1" w:rsidRDefault="005847BD" w:rsidP="00DC24FB">
                    <w:pPr>
                      <w:pStyle w:val="NoSpacing"/>
                      <w:jc w:val="center"/>
                      <w:rPr>
                        <w:rFonts w:ascii="Alef" w:hAnsi="Alef" w:cs="Alef"/>
                        <w:b/>
                        <w:bCs/>
                        <w:rtl/>
                        <w:cs/>
                      </w:rPr>
                    </w:pPr>
                    <w:r w:rsidRPr="005847BD">
                      <w:rPr>
                        <w:rFonts w:ascii="Alef" w:hAnsi="Alef" w:cs="Alef" w:hint="cs"/>
                        <w:b/>
                        <w:bCs/>
                        <w:rtl/>
                      </w:rPr>
                      <w:t>‏20/05/2021</w:t>
                    </w:r>
                  </w:p>
                </w:tc>
              </w:sdtContent>
            </w:sdt>
          </w:tr>
        </w:tbl>
        <w:p w14:paraId="2F053D1C" w14:textId="77777777" w:rsidR="00EB5588" w:rsidRPr="00BA63B1" w:rsidRDefault="00EB5588" w:rsidP="00EB5588">
          <w:pPr>
            <w:rPr>
              <w:rFonts w:ascii="Alef" w:hAnsi="Alef" w:cs="Alef"/>
              <w:b/>
              <w:bCs/>
              <w:rtl/>
            </w:rPr>
          </w:pPr>
        </w:p>
        <w:p w14:paraId="77061FF4" w14:textId="77777777" w:rsidR="00EB5588" w:rsidRPr="00BA63B1" w:rsidRDefault="00EB5588" w:rsidP="00EB5588">
          <w:pPr>
            <w:ind w:left="1440"/>
            <w:rPr>
              <w:rFonts w:ascii="Alef" w:hAnsi="Alef" w:cs="Alef"/>
              <w:b/>
              <w:bCs/>
              <w:sz w:val="28"/>
              <w:szCs w:val="28"/>
              <w:rtl/>
            </w:rPr>
          </w:pPr>
        </w:p>
        <w:p w14:paraId="4104CA1A" w14:textId="436743DC" w:rsidR="00EB5588" w:rsidRPr="00BA63B1" w:rsidRDefault="00EB5588" w:rsidP="003F3817">
          <w:pPr>
            <w:rPr>
              <w:rFonts w:ascii="Alef" w:hAnsi="Alef" w:cs="Alef"/>
              <w:b/>
              <w:bCs/>
              <w:sz w:val="28"/>
              <w:szCs w:val="28"/>
              <w:rtl/>
              <w:cs/>
            </w:rPr>
          </w:pPr>
          <w:r w:rsidRPr="00BA63B1">
            <w:rPr>
              <w:rFonts w:ascii="Alef" w:hAnsi="Alef" w:cs="Alef"/>
              <w:b/>
              <w:bCs/>
              <w:sz w:val="28"/>
              <w:szCs w:val="28"/>
              <w:u w:val="single"/>
              <w:rtl/>
            </w:rPr>
            <w:t>עור</w:t>
          </w:r>
          <w:r w:rsidR="003F3817" w:rsidRPr="00BA63B1">
            <w:rPr>
              <w:rFonts w:ascii="Alef" w:hAnsi="Alef" w:cs="Alef"/>
              <w:b/>
              <w:bCs/>
              <w:sz w:val="28"/>
              <w:szCs w:val="28"/>
              <w:u w:val="single"/>
              <w:rtl/>
            </w:rPr>
            <w:t>כי</w:t>
          </w:r>
          <w:r w:rsidRPr="00BA63B1">
            <w:rPr>
              <w:rFonts w:ascii="Alef" w:hAnsi="Alef" w:cs="Alef"/>
              <w:b/>
              <w:bCs/>
              <w:sz w:val="28"/>
              <w:szCs w:val="28"/>
              <w:u w:val="single"/>
              <w:rtl/>
            </w:rPr>
            <w:t xml:space="preserve"> הדו"ח</w:t>
          </w:r>
          <w:r w:rsidRPr="00BA63B1">
            <w:rPr>
              <w:rFonts w:ascii="Alef" w:hAnsi="Alef" w:cs="Alef"/>
              <w:b/>
              <w:bCs/>
              <w:sz w:val="28"/>
              <w:szCs w:val="28"/>
              <w:rtl/>
            </w:rPr>
            <w:t xml:space="preserve">: </w:t>
          </w:r>
          <w:r w:rsidR="003F3817" w:rsidRPr="00BA63B1">
            <w:rPr>
              <w:rFonts w:ascii="Alef" w:hAnsi="Alef" w:cs="Alef"/>
              <w:b/>
              <w:bCs/>
              <w:sz w:val="28"/>
              <w:szCs w:val="28"/>
              <w:rtl/>
            </w:rPr>
            <w:t xml:space="preserve">עוה"ד </w:t>
          </w:r>
          <w:r w:rsidRPr="00BA63B1">
            <w:rPr>
              <w:rFonts w:ascii="Alef" w:hAnsi="Alef" w:cs="Alef"/>
              <w:b/>
              <w:bCs/>
              <w:sz w:val="28"/>
              <w:szCs w:val="28"/>
              <w:rtl/>
            </w:rPr>
            <w:t>אור בלקין</w:t>
          </w:r>
          <w:r w:rsidR="003F3817" w:rsidRPr="00BA63B1">
            <w:rPr>
              <w:rFonts w:ascii="Alef" w:hAnsi="Alef" w:cs="Alef"/>
              <w:b/>
              <w:bCs/>
              <w:sz w:val="28"/>
              <w:szCs w:val="28"/>
              <w:rtl/>
              <w:cs/>
            </w:rPr>
            <w:t xml:space="preserve"> ועמנואל ברכפלד</w:t>
          </w:r>
        </w:p>
        <w:p w14:paraId="6FCA2806" w14:textId="77777777" w:rsidR="00EB5588" w:rsidRPr="00BA63B1" w:rsidRDefault="00EB5588" w:rsidP="00EB5588">
          <w:pPr>
            <w:rPr>
              <w:rFonts w:ascii="Alef" w:hAnsi="Alef" w:cs="Alef"/>
              <w:rtl/>
              <w:cs/>
            </w:rPr>
          </w:pPr>
        </w:p>
        <w:p w14:paraId="396E738E" w14:textId="77777777" w:rsidR="00EB5588" w:rsidRPr="00BA63B1" w:rsidRDefault="00EB5588" w:rsidP="00EB5588">
          <w:pPr>
            <w:rPr>
              <w:rFonts w:ascii="Alef" w:hAnsi="Alef" w:cs="Alef"/>
              <w:rtl/>
              <w:cs/>
            </w:rPr>
          </w:pPr>
        </w:p>
        <w:p w14:paraId="5D53CE59" w14:textId="77777777" w:rsidR="00EB5588" w:rsidRPr="00BA63B1" w:rsidRDefault="00EB5588" w:rsidP="00EB5588">
          <w:pPr>
            <w:bidi w:val="0"/>
            <w:rPr>
              <w:rFonts w:ascii="Alef" w:eastAsiaTheme="majorEastAsia" w:hAnsi="Alef" w:cs="Alef"/>
              <w:sz w:val="72"/>
              <w:szCs w:val="72"/>
            </w:rPr>
          </w:pPr>
          <w:r w:rsidRPr="00BA63B1">
            <w:rPr>
              <w:rFonts w:ascii="Alef" w:eastAsiaTheme="majorEastAsia" w:hAnsi="Alef" w:cs="Alef"/>
              <w:sz w:val="72"/>
              <w:szCs w:val="72"/>
              <w:rtl/>
            </w:rPr>
            <w:br w:type="page"/>
          </w:r>
        </w:p>
      </w:sdtContent>
    </w:sdt>
    <w:p w14:paraId="1EFC8194" w14:textId="1347FCA4" w:rsidR="004F09CA" w:rsidRDefault="004F09CA" w:rsidP="00F301EF">
      <w:pPr>
        <w:pStyle w:val="Heading1"/>
        <w:rPr>
          <w:rFonts w:ascii="Alef" w:hAnsi="Alef" w:cs="Alef"/>
          <w:b/>
          <w:bCs/>
          <w:color w:val="auto"/>
          <w:sz w:val="28"/>
          <w:szCs w:val="28"/>
          <w:rtl/>
        </w:rPr>
      </w:pPr>
      <w:r>
        <w:rPr>
          <w:rFonts w:ascii="Alef" w:hAnsi="Alef" w:cs="Alef" w:hint="cs"/>
          <w:b/>
          <w:bCs/>
          <w:color w:val="auto"/>
          <w:sz w:val="28"/>
          <w:szCs w:val="28"/>
          <w:rtl/>
        </w:rPr>
        <w:lastRenderedPageBreak/>
        <w:t xml:space="preserve">רקע </w:t>
      </w:r>
      <w:r>
        <w:rPr>
          <w:rFonts w:ascii="Alef" w:hAnsi="Alef" w:cs="Alef"/>
          <w:b/>
          <w:bCs/>
          <w:color w:val="auto"/>
          <w:sz w:val="28"/>
          <w:szCs w:val="28"/>
          <w:rtl/>
        </w:rPr>
        <w:t>–</w:t>
      </w:r>
      <w:r>
        <w:rPr>
          <w:rFonts w:ascii="Alef" w:hAnsi="Alef" w:cs="Alef" w:hint="cs"/>
          <w:b/>
          <w:bCs/>
          <w:color w:val="auto"/>
          <w:sz w:val="28"/>
          <w:szCs w:val="28"/>
          <w:rtl/>
        </w:rPr>
        <w:t xml:space="preserve"> פטור סוג למיזמים משותפים ולהוראות והגדרות כלליות</w:t>
      </w:r>
    </w:p>
    <w:p w14:paraId="53EDD269" w14:textId="2E443D4B" w:rsidR="003508A1" w:rsidRDefault="00413EFB" w:rsidP="00CC1B39">
      <w:pPr>
        <w:jc w:val="both"/>
        <w:rPr>
          <w:rFonts w:ascii="Alef" w:hAnsi="Alef" w:cs="Alef"/>
          <w:sz w:val="24"/>
          <w:szCs w:val="24"/>
          <w:rtl/>
        </w:rPr>
      </w:pPr>
      <w:r>
        <w:rPr>
          <w:rFonts w:ascii="Alef" w:hAnsi="Alef" w:cs="Alef" w:hint="cs"/>
          <w:sz w:val="24"/>
          <w:szCs w:val="24"/>
          <w:rtl/>
        </w:rPr>
        <w:t xml:space="preserve">כללי </w:t>
      </w:r>
      <w:r w:rsidR="002B1C17">
        <w:rPr>
          <w:rFonts w:ascii="Alef" w:hAnsi="Alef" w:cs="Alef" w:hint="cs"/>
          <w:sz w:val="24"/>
          <w:szCs w:val="24"/>
          <w:rtl/>
        </w:rPr>
        <w:t xml:space="preserve">פטור </w:t>
      </w:r>
      <w:r>
        <w:rPr>
          <w:rFonts w:ascii="Alef" w:hAnsi="Alef" w:cs="Alef" w:hint="cs"/>
          <w:sz w:val="24"/>
          <w:szCs w:val="24"/>
          <w:rtl/>
        </w:rPr>
        <w:t>ה</w:t>
      </w:r>
      <w:r w:rsidR="002B1C17">
        <w:rPr>
          <w:rFonts w:ascii="Alef" w:hAnsi="Alef" w:cs="Alef" w:hint="cs"/>
          <w:sz w:val="24"/>
          <w:szCs w:val="24"/>
          <w:rtl/>
        </w:rPr>
        <w:t xml:space="preserve">סוג למיזמים משותפים (להלן </w:t>
      </w:r>
      <w:r w:rsidR="002B1C17" w:rsidRPr="00850DC2">
        <w:rPr>
          <w:rFonts w:ascii="Alef" w:hAnsi="Alef" w:cs="Alef" w:hint="cs"/>
          <w:b/>
          <w:bCs/>
          <w:sz w:val="24"/>
          <w:szCs w:val="24"/>
          <w:rtl/>
        </w:rPr>
        <w:t>פטור הסוג</w:t>
      </w:r>
      <w:r w:rsidR="002B1C17">
        <w:rPr>
          <w:rFonts w:ascii="Alef" w:hAnsi="Alef" w:cs="Alef" w:hint="cs"/>
          <w:sz w:val="24"/>
          <w:szCs w:val="24"/>
          <w:rtl/>
        </w:rPr>
        <w:t xml:space="preserve">) הוא פטור סוג שנועד לפטור שיתופי פעולה </w:t>
      </w:r>
      <w:r w:rsidR="001E5778">
        <w:rPr>
          <w:rFonts w:ascii="Alef" w:hAnsi="Alef" w:cs="Alef" w:hint="cs"/>
          <w:sz w:val="24"/>
          <w:szCs w:val="24"/>
          <w:rtl/>
        </w:rPr>
        <w:t>בייצור,</w:t>
      </w:r>
      <w:r w:rsidR="00D92FD6">
        <w:rPr>
          <w:rFonts w:ascii="Alef" w:hAnsi="Alef" w:cs="Alef" w:hint="cs"/>
          <w:sz w:val="24"/>
          <w:szCs w:val="24"/>
          <w:rtl/>
        </w:rPr>
        <w:t xml:space="preserve"> שיווק או רכישת טובין</w:t>
      </w:r>
      <w:r w:rsidR="001E5778">
        <w:rPr>
          <w:rFonts w:ascii="Alef" w:hAnsi="Alef" w:cs="Alef" w:hint="cs"/>
          <w:sz w:val="24"/>
          <w:szCs w:val="24"/>
          <w:rtl/>
        </w:rPr>
        <w:t xml:space="preserve"> </w:t>
      </w:r>
      <w:r w:rsidR="00D92FD6">
        <w:rPr>
          <w:rFonts w:ascii="Alef" w:hAnsi="Alef" w:cs="Alef" w:hint="cs"/>
          <w:sz w:val="24"/>
          <w:szCs w:val="24"/>
          <w:rtl/>
        </w:rPr>
        <w:t xml:space="preserve">שהם הסדרים כובלים </w:t>
      </w:r>
      <w:r w:rsidR="001E5778">
        <w:rPr>
          <w:rFonts w:ascii="Alef" w:hAnsi="Alef" w:cs="Alef" w:hint="cs"/>
          <w:sz w:val="24"/>
          <w:szCs w:val="24"/>
          <w:rtl/>
        </w:rPr>
        <w:t>מ</w:t>
      </w:r>
      <w:r w:rsidR="00D92FD6">
        <w:rPr>
          <w:rFonts w:ascii="Alef" w:hAnsi="Alef" w:cs="Alef" w:hint="cs"/>
          <w:sz w:val="24"/>
          <w:szCs w:val="24"/>
          <w:rtl/>
        </w:rPr>
        <w:t>החובה ל</w:t>
      </w:r>
      <w:r w:rsidR="001E5778">
        <w:rPr>
          <w:rFonts w:ascii="Alef" w:hAnsi="Alef" w:cs="Alef" w:hint="cs"/>
          <w:sz w:val="24"/>
          <w:szCs w:val="24"/>
          <w:rtl/>
        </w:rPr>
        <w:t>קבל</w:t>
      </w:r>
      <w:r w:rsidR="00D92FD6">
        <w:rPr>
          <w:rFonts w:ascii="Alef" w:hAnsi="Alef" w:cs="Alef" w:hint="cs"/>
          <w:sz w:val="24"/>
          <w:szCs w:val="24"/>
          <w:rtl/>
        </w:rPr>
        <w:t xml:space="preserve"> פטור מהסדר כובל מהממונה על התחרות. </w:t>
      </w:r>
      <w:r w:rsidR="003508A1">
        <w:rPr>
          <w:rFonts w:ascii="Alef" w:hAnsi="Alef" w:cs="Alef" w:hint="cs"/>
          <w:sz w:val="24"/>
          <w:szCs w:val="24"/>
          <w:rtl/>
        </w:rPr>
        <w:t xml:space="preserve">צדדים שמבקשים לעשות הסדרים </w:t>
      </w:r>
      <w:r w:rsidR="009515BB">
        <w:rPr>
          <w:rFonts w:ascii="Alef" w:hAnsi="Alef" w:cs="Alef" w:hint="cs"/>
          <w:sz w:val="24"/>
          <w:szCs w:val="24"/>
          <w:rtl/>
        </w:rPr>
        <w:t xml:space="preserve">כאלה </w:t>
      </w:r>
      <w:r w:rsidR="003508A1">
        <w:rPr>
          <w:rFonts w:ascii="Alef" w:hAnsi="Alef" w:cs="Alef" w:hint="cs"/>
          <w:sz w:val="24"/>
          <w:szCs w:val="24"/>
          <w:rtl/>
        </w:rPr>
        <w:t xml:space="preserve">שעומדים בתנאים שנקבעו בפטור </w:t>
      </w:r>
      <w:r w:rsidR="00DD26ED">
        <w:rPr>
          <w:rFonts w:ascii="Alef" w:hAnsi="Alef" w:cs="Alef" w:hint="cs"/>
          <w:sz w:val="24"/>
          <w:szCs w:val="24"/>
          <w:rtl/>
        </w:rPr>
        <w:t xml:space="preserve">הסוג </w:t>
      </w:r>
      <w:r w:rsidR="003508A1">
        <w:rPr>
          <w:rFonts w:ascii="Alef" w:hAnsi="Alef" w:cs="Alef" w:hint="cs"/>
          <w:sz w:val="24"/>
          <w:szCs w:val="24"/>
          <w:rtl/>
        </w:rPr>
        <w:t>רשאים לערוך את ההסדרים בלי לבקש פטור פרטני מרשות התחרות ובלי להמתין להחלטת הממונה ביחס לבקשה.</w:t>
      </w:r>
    </w:p>
    <w:p w14:paraId="017E5140" w14:textId="010D62F1" w:rsidR="00413EFB" w:rsidRPr="00413EFB" w:rsidRDefault="00D92FD6" w:rsidP="00CC1B39">
      <w:pPr>
        <w:jc w:val="both"/>
        <w:rPr>
          <w:rFonts w:ascii="Alef" w:hAnsi="Alef" w:cs="Alef"/>
          <w:sz w:val="24"/>
          <w:szCs w:val="24"/>
        </w:rPr>
      </w:pPr>
      <w:r>
        <w:rPr>
          <w:rFonts w:ascii="Alef" w:hAnsi="Alef" w:cs="Alef" w:hint="cs"/>
          <w:sz w:val="24"/>
          <w:szCs w:val="24"/>
          <w:rtl/>
        </w:rPr>
        <w:t xml:space="preserve">במקביל, </w:t>
      </w:r>
      <w:r w:rsidR="003508A1">
        <w:rPr>
          <w:rFonts w:ascii="Alef" w:hAnsi="Alef" w:cs="Alef" w:hint="cs"/>
          <w:sz w:val="24"/>
          <w:szCs w:val="24"/>
          <w:rtl/>
        </w:rPr>
        <w:t>מ</w:t>
      </w:r>
      <w:r w:rsidR="00413EFB">
        <w:rPr>
          <w:rFonts w:ascii="Alef" w:hAnsi="Alef" w:cs="Alef" w:hint="cs"/>
          <w:sz w:val="24"/>
          <w:szCs w:val="24"/>
          <w:rtl/>
        </w:rPr>
        <w:t xml:space="preserve">וארכים </w:t>
      </w:r>
      <w:r w:rsidR="00281706">
        <w:rPr>
          <w:rFonts w:ascii="Alef" w:hAnsi="Alef" w:cs="Alef" w:hint="cs"/>
          <w:sz w:val="24"/>
          <w:szCs w:val="24"/>
          <w:rtl/>
        </w:rPr>
        <w:t xml:space="preserve">כללי ההגבלים העסקיים </w:t>
      </w:r>
      <w:r>
        <w:rPr>
          <w:rFonts w:ascii="Alef" w:hAnsi="Alef" w:cs="Alef" w:hint="cs"/>
          <w:sz w:val="24"/>
          <w:szCs w:val="24"/>
          <w:rtl/>
        </w:rPr>
        <w:t>(הוראות והגדרות כל</w:t>
      </w:r>
      <w:r w:rsidR="00413EFB">
        <w:rPr>
          <w:rFonts w:ascii="Alef" w:hAnsi="Alef" w:cs="Alef" w:hint="cs"/>
          <w:sz w:val="24"/>
          <w:szCs w:val="24"/>
          <w:rtl/>
        </w:rPr>
        <w:t>ליות)</w:t>
      </w:r>
      <w:r w:rsidR="00CC1B39">
        <w:rPr>
          <w:rFonts w:ascii="Alef" w:hAnsi="Alef" w:cs="Alef" w:hint="cs"/>
          <w:sz w:val="24"/>
          <w:szCs w:val="24"/>
          <w:rtl/>
        </w:rPr>
        <w:t xml:space="preserve"> (להלן </w:t>
      </w:r>
      <w:r w:rsidR="00CC1B39">
        <w:rPr>
          <w:rFonts w:ascii="Alef" w:hAnsi="Alef" w:cs="Alef" w:hint="cs"/>
          <w:b/>
          <w:bCs/>
          <w:sz w:val="24"/>
          <w:szCs w:val="24"/>
          <w:rtl/>
        </w:rPr>
        <w:t>כללי הוראות והגדרות כלליות</w:t>
      </w:r>
      <w:r w:rsidR="00CC1B39">
        <w:rPr>
          <w:rFonts w:ascii="Alef" w:hAnsi="Alef" w:cs="Alef" w:hint="cs"/>
          <w:sz w:val="24"/>
          <w:szCs w:val="24"/>
          <w:rtl/>
        </w:rPr>
        <w:t>)</w:t>
      </w:r>
      <w:r w:rsidR="00413EFB">
        <w:rPr>
          <w:rFonts w:ascii="Alef" w:hAnsi="Alef" w:cs="Alef" w:hint="cs"/>
          <w:sz w:val="24"/>
          <w:szCs w:val="24"/>
          <w:rtl/>
        </w:rPr>
        <w:t xml:space="preserve"> שמשמשים לפרשנות פטורי סוג.</w:t>
      </w:r>
      <w:r w:rsidR="003508A1">
        <w:rPr>
          <w:rFonts w:ascii="Alef" w:hAnsi="Alef" w:cs="Alef" w:hint="cs"/>
          <w:sz w:val="24"/>
          <w:szCs w:val="24"/>
          <w:rtl/>
        </w:rPr>
        <w:t xml:space="preserve"> </w:t>
      </w:r>
      <w:r w:rsidR="00413EFB">
        <w:rPr>
          <w:rFonts w:ascii="Alef" w:hAnsi="Alef" w:cs="Alef" w:hint="cs"/>
          <w:sz w:val="24"/>
          <w:szCs w:val="24"/>
          <w:rtl/>
        </w:rPr>
        <w:t xml:space="preserve">הוראות והגדרות אלו </w:t>
      </w:r>
      <w:r w:rsidR="00413EFB" w:rsidRPr="00413EFB">
        <w:rPr>
          <w:rFonts w:ascii="Alef" w:hAnsi="Alef" w:cs="Alef" w:hint="cs"/>
          <w:sz w:val="24"/>
          <w:szCs w:val="24"/>
          <w:rtl/>
        </w:rPr>
        <w:t xml:space="preserve">נקבעו במטרה להוות מקור פרשני למונחים השונים הקבועים בפטורי הסוג שהוצאו על ידי הממונה </w:t>
      </w:r>
      <w:r w:rsidR="00413EFB">
        <w:rPr>
          <w:rFonts w:ascii="Alef" w:hAnsi="Alef" w:cs="Alef" w:hint="cs"/>
          <w:sz w:val="24"/>
          <w:szCs w:val="24"/>
          <w:rtl/>
        </w:rPr>
        <w:t xml:space="preserve">על התחרות </w:t>
      </w:r>
      <w:r w:rsidR="00413EFB" w:rsidRPr="00413EFB">
        <w:rPr>
          <w:rFonts w:ascii="Alef" w:hAnsi="Alef" w:cs="Alef" w:hint="cs"/>
          <w:sz w:val="24"/>
          <w:szCs w:val="24"/>
          <w:rtl/>
        </w:rPr>
        <w:t>מכוח הסמכות הקבועה בסעיף 15א לחוק התחרות הכלכלית התשמ"ח-1988. בכללים אלה קיימות</w:t>
      </w:r>
      <w:r w:rsidR="00413EFB" w:rsidRPr="00413EFB">
        <w:rPr>
          <w:rFonts w:ascii="Alef" w:hAnsi="Alef" w:cs="Alef"/>
          <w:sz w:val="24"/>
          <w:szCs w:val="24"/>
          <w:rtl/>
        </w:rPr>
        <w:t xml:space="preserve"> הגדרות של מונחים המופיעים בפטורי הסוג השונים</w:t>
      </w:r>
      <w:r w:rsidR="00413EFB" w:rsidRPr="00413EFB">
        <w:rPr>
          <w:rFonts w:ascii="Alef" w:hAnsi="Alef" w:cs="Alef" w:hint="cs"/>
          <w:sz w:val="24"/>
          <w:szCs w:val="24"/>
          <w:rtl/>
        </w:rPr>
        <w:t xml:space="preserve"> </w:t>
      </w:r>
      <w:r w:rsidR="00413EFB" w:rsidRPr="00413EFB">
        <w:rPr>
          <w:rFonts w:ascii="Alef" w:hAnsi="Alef" w:cs="Alef"/>
          <w:sz w:val="24"/>
          <w:szCs w:val="24"/>
          <w:rtl/>
        </w:rPr>
        <w:t xml:space="preserve">וכן הוראות שרלבנטיות </w:t>
      </w:r>
      <w:r w:rsidR="00413EFB" w:rsidRPr="00413EFB">
        <w:rPr>
          <w:rFonts w:ascii="Alef" w:hAnsi="Alef" w:cs="Alef"/>
          <w:sz w:val="24"/>
          <w:szCs w:val="24"/>
          <w:rtl/>
        </w:rPr>
        <w:lastRenderedPageBreak/>
        <w:t>לכלל</w:t>
      </w:r>
      <w:r w:rsidR="00413EFB" w:rsidRPr="00413EFB">
        <w:rPr>
          <w:rFonts w:ascii="Alef" w:hAnsi="Alef" w:cs="Alef" w:hint="cs"/>
          <w:sz w:val="24"/>
          <w:szCs w:val="24"/>
          <w:rtl/>
        </w:rPr>
        <w:t xml:space="preserve"> </w:t>
      </w:r>
      <w:r w:rsidR="00413EFB" w:rsidRPr="00413EFB">
        <w:rPr>
          <w:rFonts w:ascii="Alef" w:hAnsi="Alef" w:cs="Alef"/>
          <w:sz w:val="24"/>
          <w:szCs w:val="24"/>
          <w:rtl/>
        </w:rPr>
        <w:t>פטורי הסוג.</w:t>
      </w:r>
      <w:r w:rsidR="00413EFB" w:rsidRPr="00413EFB">
        <w:rPr>
          <w:rFonts w:ascii="Alef" w:hAnsi="Alef" w:cs="Alef"/>
          <w:rtl/>
        </w:rPr>
        <w:t xml:space="preserve"> </w:t>
      </w:r>
      <w:r w:rsidR="00413EFB" w:rsidRPr="00413EFB">
        <w:rPr>
          <w:rFonts w:ascii="Alef" w:hAnsi="Alef" w:cs="Alef"/>
          <w:sz w:val="24"/>
          <w:szCs w:val="24"/>
          <w:rtl/>
        </w:rPr>
        <w:t>ההוראות בכללים אלה</w:t>
      </w:r>
      <w:r w:rsidR="00413EFB" w:rsidRPr="00413EFB">
        <w:rPr>
          <w:rFonts w:ascii="Alef" w:hAnsi="Alef" w:cs="Alef" w:hint="cs"/>
          <w:sz w:val="24"/>
          <w:szCs w:val="24"/>
          <w:rtl/>
        </w:rPr>
        <w:t xml:space="preserve"> </w:t>
      </w:r>
      <w:r w:rsidR="00413EFB" w:rsidRPr="00413EFB">
        <w:rPr>
          <w:rFonts w:ascii="Alef" w:hAnsi="Alef" w:cs="Alef"/>
          <w:sz w:val="24"/>
          <w:szCs w:val="24"/>
          <w:rtl/>
        </w:rPr>
        <w:t>נוספות לכל אחד מפטורי הסוג</w:t>
      </w:r>
      <w:r w:rsidR="00413EFB" w:rsidRPr="00413EFB">
        <w:rPr>
          <w:rFonts w:ascii="Alef" w:hAnsi="Alef" w:cs="Alef" w:hint="cs"/>
          <w:sz w:val="24"/>
          <w:szCs w:val="24"/>
          <w:rtl/>
        </w:rPr>
        <w:t xml:space="preserve"> השונים, למעט מקום בו נקבע חריג מפורש לכללים אלה בפטור סוג ספציפי.</w:t>
      </w:r>
    </w:p>
    <w:p w14:paraId="643101C0" w14:textId="445530E0" w:rsidR="002B1C17" w:rsidRDefault="00A70D93" w:rsidP="00F24D25">
      <w:pPr>
        <w:jc w:val="both"/>
        <w:rPr>
          <w:rFonts w:ascii="Alef" w:hAnsi="Alef" w:cs="Alef"/>
          <w:sz w:val="24"/>
          <w:szCs w:val="24"/>
          <w:rtl/>
        </w:rPr>
      </w:pPr>
      <w:r>
        <w:rPr>
          <w:rFonts w:ascii="Alef" w:hAnsi="Alef" w:cs="Alef" w:hint="cs"/>
          <w:sz w:val="24"/>
          <w:szCs w:val="24"/>
          <w:rtl/>
        </w:rPr>
        <w:t xml:space="preserve">עוד </w:t>
      </w:r>
      <w:r w:rsidR="003508A1">
        <w:rPr>
          <w:rFonts w:ascii="Alef" w:hAnsi="Alef" w:cs="Alef" w:hint="cs"/>
          <w:sz w:val="24"/>
          <w:szCs w:val="24"/>
          <w:rtl/>
        </w:rPr>
        <w:t>הוחלט שלא לחדש</w:t>
      </w:r>
      <w:r w:rsidR="00D92FD6">
        <w:rPr>
          <w:rFonts w:ascii="Alef" w:hAnsi="Alef" w:cs="Alef" w:hint="cs"/>
          <w:sz w:val="24"/>
          <w:szCs w:val="24"/>
          <w:rtl/>
        </w:rPr>
        <w:t xml:space="preserve"> את </w:t>
      </w:r>
      <w:r w:rsidR="009515BB">
        <w:rPr>
          <w:rFonts w:ascii="Alef" w:hAnsi="Alef" w:cs="Alef" w:hint="cs"/>
          <w:sz w:val="24"/>
          <w:szCs w:val="24"/>
          <w:rtl/>
        </w:rPr>
        <w:t>כללי ההגבלים העסקיים (</w:t>
      </w:r>
      <w:r w:rsidR="00D92FD6">
        <w:rPr>
          <w:rFonts w:ascii="Alef" w:hAnsi="Alef" w:cs="Alef" w:hint="cs"/>
          <w:sz w:val="24"/>
          <w:szCs w:val="24"/>
          <w:rtl/>
        </w:rPr>
        <w:t xml:space="preserve">פטור סוג </w:t>
      </w:r>
      <w:r w:rsidR="003508A1">
        <w:rPr>
          <w:rFonts w:ascii="Alef" w:hAnsi="Alef" w:cs="Alef" w:hint="cs"/>
          <w:sz w:val="24"/>
          <w:szCs w:val="24"/>
          <w:rtl/>
        </w:rPr>
        <w:t>להסכמים לביצוע מחקר ופיתוח</w:t>
      </w:r>
      <w:r w:rsidR="009515BB">
        <w:rPr>
          <w:rFonts w:ascii="Alef" w:hAnsi="Alef" w:cs="Alef" w:hint="cs"/>
          <w:sz w:val="24"/>
          <w:szCs w:val="24"/>
          <w:rtl/>
        </w:rPr>
        <w:t>) בשל השימוש המועט שנעשה בו, והאפשרויות לפטור הסדרים כאלה בפטורי סוג אחרים</w:t>
      </w:r>
      <w:r>
        <w:rPr>
          <w:rFonts w:ascii="Alef" w:hAnsi="Alef" w:cs="Alef" w:hint="cs"/>
          <w:sz w:val="24"/>
          <w:szCs w:val="24"/>
          <w:rtl/>
        </w:rPr>
        <w:t xml:space="preserve"> ובפרט בפטור הסוג למיזמים משותפים</w:t>
      </w:r>
      <w:r w:rsidR="00F24D25">
        <w:rPr>
          <w:rFonts w:ascii="Alef" w:hAnsi="Alef" w:cs="Alef" w:hint="cs"/>
          <w:sz w:val="24"/>
          <w:szCs w:val="24"/>
          <w:rtl/>
        </w:rPr>
        <w:t xml:space="preserve"> שכולל פטור להסכמים לביצוע מחקר ופיתוח</w:t>
      </w:r>
      <w:r w:rsidR="003508A1">
        <w:rPr>
          <w:rFonts w:ascii="Alef" w:hAnsi="Alef" w:cs="Alef" w:hint="cs"/>
          <w:sz w:val="24"/>
          <w:szCs w:val="24"/>
          <w:rtl/>
        </w:rPr>
        <w:t>.</w:t>
      </w:r>
    </w:p>
    <w:p w14:paraId="5AB09B41" w14:textId="3F200B23" w:rsidR="0031556C" w:rsidRDefault="004F09CA" w:rsidP="0051166F">
      <w:pPr>
        <w:jc w:val="both"/>
        <w:rPr>
          <w:rFonts w:ascii="Alef" w:hAnsi="Alef" w:cs="Alef"/>
          <w:sz w:val="24"/>
          <w:szCs w:val="24"/>
          <w:rtl/>
        </w:rPr>
      </w:pPr>
      <w:r>
        <w:rPr>
          <w:rFonts w:ascii="Alef" w:hAnsi="Alef" w:cs="Alef" w:hint="cs"/>
          <w:sz w:val="24"/>
          <w:szCs w:val="24"/>
          <w:rtl/>
        </w:rPr>
        <w:t>דוח זה נלווה לדוח הערכת רגולציה שפרסמה רשות התחרות ביום</w:t>
      </w:r>
      <w:r w:rsidR="00A3739E">
        <w:rPr>
          <w:rFonts w:ascii="Alef" w:hAnsi="Alef" w:cs="Alef" w:hint="cs"/>
          <w:sz w:val="24"/>
          <w:szCs w:val="24"/>
          <w:rtl/>
        </w:rPr>
        <w:t xml:space="preserve"> 5 במאי 2021</w:t>
      </w:r>
      <w:r w:rsidR="009515BB">
        <w:rPr>
          <w:rFonts w:ascii="Alef" w:hAnsi="Alef" w:cs="Alef" w:hint="cs"/>
          <w:sz w:val="24"/>
          <w:szCs w:val="24"/>
          <w:rtl/>
        </w:rPr>
        <w:t xml:space="preserve"> (להלן </w:t>
      </w:r>
      <w:r w:rsidR="009515BB" w:rsidRPr="009515BB">
        <w:rPr>
          <w:rFonts w:ascii="Alef" w:hAnsi="Alef" w:cs="Alef" w:hint="cs"/>
          <w:b/>
          <w:bCs/>
          <w:sz w:val="24"/>
          <w:szCs w:val="24"/>
          <w:rtl/>
        </w:rPr>
        <w:t>דוח פטורי הסוג</w:t>
      </w:r>
      <w:r w:rsidR="009515BB">
        <w:rPr>
          <w:rFonts w:ascii="Alef" w:hAnsi="Alef" w:cs="Alef" w:hint="cs"/>
          <w:sz w:val="24"/>
          <w:szCs w:val="24"/>
          <w:rtl/>
        </w:rPr>
        <w:t>)</w:t>
      </w:r>
      <w:r w:rsidR="00A3739E">
        <w:rPr>
          <w:rFonts w:ascii="Alef" w:hAnsi="Alef" w:cs="Alef" w:hint="cs"/>
          <w:sz w:val="24"/>
          <w:szCs w:val="24"/>
          <w:rtl/>
        </w:rPr>
        <w:t>, ביחס ל</w:t>
      </w:r>
      <w:r w:rsidR="00A3739E" w:rsidRPr="00A3739E">
        <w:rPr>
          <w:rFonts w:ascii="Alef" w:hAnsi="Alef" w:cs="Alef"/>
          <w:sz w:val="24"/>
          <w:szCs w:val="24"/>
          <w:rtl/>
        </w:rPr>
        <w:t>פטורי סוג</w:t>
      </w:r>
      <w:r w:rsidR="00496C7D">
        <w:rPr>
          <w:rFonts w:ascii="Alef" w:hAnsi="Alef" w:cs="Alef" w:hint="cs"/>
          <w:sz w:val="24"/>
          <w:szCs w:val="24"/>
          <w:rtl/>
        </w:rPr>
        <w:t xml:space="preserve"> </w:t>
      </w:r>
      <w:r w:rsidR="009515BB">
        <w:rPr>
          <w:rFonts w:ascii="Alef" w:hAnsi="Alef" w:cs="Alef" w:hint="cs"/>
          <w:sz w:val="24"/>
          <w:szCs w:val="24"/>
          <w:rtl/>
        </w:rPr>
        <w:t>שונים</w:t>
      </w:r>
      <w:r w:rsidR="0051166F">
        <w:rPr>
          <w:rFonts w:ascii="Alef" w:hAnsi="Alef" w:cs="Alef" w:hint="cs"/>
          <w:sz w:val="24"/>
          <w:szCs w:val="24"/>
          <w:rtl/>
        </w:rPr>
        <w:t xml:space="preserve"> נוספים</w:t>
      </w:r>
      <w:r w:rsidR="00A3739E">
        <w:rPr>
          <w:rFonts w:ascii="Alef" w:hAnsi="Alef" w:cs="Alef" w:hint="cs"/>
          <w:sz w:val="24"/>
          <w:szCs w:val="24"/>
          <w:rtl/>
        </w:rPr>
        <w:t>.</w:t>
      </w:r>
      <w:r w:rsidR="00A3739E">
        <w:rPr>
          <w:rStyle w:val="FootnoteReference"/>
          <w:rFonts w:ascii="Alef" w:hAnsi="Alef" w:cs="Alef"/>
          <w:sz w:val="24"/>
          <w:szCs w:val="24"/>
          <w:rtl/>
        </w:rPr>
        <w:footnoteReference w:id="1"/>
      </w:r>
      <w:r w:rsidR="00496C7D">
        <w:rPr>
          <w:rFonts w:ascii="Alef" w:hAnsi="Alef" w:cs="Alef" w:hint="cs"/>
          <w:sz w:val="24"/>
          <w:szCs w:val="24"/>
          <w:rtl/>
        </w:rPr>
        <w:t xml:space="preserve"> בדוח </w:t>
      </w:r>
      <w:r w:rsidR="009515BB">
        <w:rPr>
          <w:rFonts w:ascii="Alef" w:hAnsi="Alef" w:cs="Alef" w:hint="cs"/>
          <w:sz w:val="24"/>
          <w:szCs w:val="24"/>
          <w:rtl/>
        </w:rPr>
        <w:t xml:space="preserve">פטורי הסוג </w:t>
      </w:r>
      <w:r w:rsidR="00496C7D">
        <w:rPr>
          <w:rFonts w:ascii="Alef" w:hAnsi="Alef" w:cs="Alef" w:hint="cs"/>
          <w:sz w:val="24"/>
          <w:szCs w:val="24"/>
          <w:rtl/>
        </w:rPr>
        <w:t xml:space="preserve">מפורט הרקע לפטורי הסוג, הבעיה שדרשה את התקנת פטורי הסוג ומצדיקה את </w:t>
      </w:r>
      <w:r w:rsidR="00496C7D">
        <w:rPr>
          <w:rFonts w:ascii="Alef" w:hAnsi="Alef" w:cs="Alef" w:hint="cs"/>
          <w:sz w:val="24"/>
          <w:szCs w:val="24"/>
          <w:rtl/>
        </w:rPr>
        <w:lastRenderedPageBreak/>
        <w:t>המשך מערך פטורי הסוג, היתרונות ב</w:t>
      </w:r>
      <w:r w:rsidR="0031556C">
        <w:rPr>
          <w:rFonts w:ascii="Alef" w:hAnsi="Alef" w:cs="Alef" w:hint="cs"/>
          <w:sz w:val="24"/>
          <w:szCs w:val="24"/>
          <w:rtl/>
        </w:rPr>
        <w:t>מערך במונחי עלות ותועלת, השיח שנעשה מול בעלי עניין ועוד.</w:t>
      </w:r>
    </w:p>
    <w:p w14:paraId="042AABA2" w14:textId="5603B365" w:rsidR="0013061F" w:rsidRDefault="0031556C" w:rsidP="009515BB">
      <w:pPr>
        <w:jc w:val="both"/>
        <w:rPr>
          <w:rFonts w:ascii="Alef" w:hAnsi="Alef" w:cs="Alef"/>
          <w:sz w:val="24"/>
          <w:szCs w:val="24"/>
          <w:rtl/>
        </w:rPr>
      </w:pPr>
      <w:r>
        <w:rPr>
          <w:rFonts w:ascii="Alef" w:hAnsi="Alef" w:cs="Alef" w:hint="cs"/>
          <w:sz w:val="24"/>
          <w:szCs w:val="24"/>
          <w:rtl/>
        </w:rPr>
        <w:t xml:space="preserve">הניתוח שנעשה בדוח </w:t>
      </w:r>
      <w:r w:rsidR="009515BB">
        <w:rPr>
          <w:rFonts w:ascii="Alef" w:hAnsi="Alef" w:cs="Alef" w:hint="cs"/>
          <w:sz w:val="24"/>
          <w:szCs w:val="24"/>
          <w:rtl/>
        </w:rPr>
        <w:t>פטורי הסוג</w:t>
      </w:r>
      <w:r>
        <w:rPr>
          <w:rFonts w:ascii="Alef" w:hAnsi="Alef" w:cs="Alef" w:hint="cs"/>
          <w:sz w:val="24"/>
          <w:szCs w:val="24"/>
          <w:rtl/>
        </w:rPr>
        <w:t xml:space="preserve"> נכון בעיקרו גם ביחס ל</w:t>
      </w:r>
      <w:r w:rsidR="002B1C17">
        <w:rPr>
          <w:rFonts w:ascii="Alef" w:hAnsi="Alef" w:cs="Alef" w:hint="cs"/>
          <w:sz w:val="24"/>
          <w:szCs w:val="24"/>
          <w:rtl/>
        </w:rPr>
        <w:t>פטור הסוג</w:t>
      </w:r>
      <w:r w:rsidR="009515BB">
        <w:rPr>
          <w:rFonts w:ascii="Alef" w:hAnsi="Alef" w:cs="Alef" w:hint="cs"/>
          <w:sz w:val="24"/>
          <w:szCs w:val="24"/>
          <w:rtl/>
        </w:rPr>
        <w:t xml:space="preserve"> למיזמים משותפים</w:t>
      </w:r>
      <w:r>
        <w:rPr>
          <w:rFonts w:ascii="Alef" w:hAnsi="Alef" w:cs="Alef" w:hint="cs"/>
          <w:sz w:val="24"/>
          <w:szCs w:val="24"/>
          <w:rtl/>
        </w:rPr>
        <w:t xml:space="preserve"> </w:t>
      </w:r>
      <w:r w:rsidR="00850DC2">
        <w:rPr>
          <w:rFonts w:ascii="Alef" w:hAnsi="Alef" w:cs="Alef" w:hint="cs"/>
          <w:sz w:val="24"/>
          <w:szCs w:val="24"/>
          <w:rtl/>
        </w:rPr>
        <w:t>שתוקפו עתיד לפוג ביום 15.9.2021 ו</w:t>
      </w:r>
      <w:r>
        <w:rPr>
          <w:rFonts w:ascii="Alef" w:hAnsi="Alef" w:cs="Alef" w:hint="cs"/>
          <w:sz w:val="24"/>
          <w:szCs w:val="24"/>
          <w:rtl/>
        </w:rPr>
        <w:t xml:space="preserve">בו עוסק דוח זה, ועל כן נתייחס רק לנקודות שמייחדות את פטור הסוג </w:t>
      </w:r>
      <w:r w:rsidR="00ED4E5D">
        <w:rPr>
          <w:rFonts w:ascii="Alef" w:hAnsi="Alef" w:cs="Alef" w:hint="cs"/>
          <w:sz w:val="24"/>
          <w:szCs w:val="24"/>
          <w:rtl/>
        </w:rPr>
        <w:t>ו</w:t>
      </w:r>
      <w:r>
        <w:rPr>
          <w:rFonts w:ascii="Alef" w:hAnsi="Alef" w:cs="Alef" w:hint="cs"/>
          <w:sz w:val="24"/>
          <w:szCs w:val="24"/>
          <w:rtl/>
        </w:rPr>
        <w:t>להערות ציבור שנוגעות לפטור הסוג</w:t>
      </w:r>
      <w:r w:rsidR="00ED4E5D">
        <w:rPr>
          <w:rFonts w:ascii="Alef" w:hAnsi="Alef" w:cs="Alef" w:hint="cs"/>
          <w:sz w:val="24"/>
          <w:szCs w:val="24"/>
          <w:rtl/>
        </w:rPr>
        <w:t>.</w:t>
      </w:r>
      <w:r w:rsidR="0013061F">
        <w:rPr>
          <w:rFonts w:ascii="Alef" w:hAnsi="Alef" w:cs="Alef" w:hint="cs"/>
          <w:sz w:val="24"/>
          <w:szCs w:val="24"/>
          <w:rtl/>
        </w:rPr>
        <w:t xml:space="preserve"> יש לקרוא דוח זה, יחד עם הדוח מיום 5 במאי 2021 וכחלק בלתי נפרד ממנו.</w:t>
      </w:r>
    </w:p>
    <w:p w14:paraId="3BA5DA05" w14:textId="60F1C6E0" w:rsidR="00EB5588" w:rsidRPr="00BA63B1" w:rsidRDefault="009515BB" w:rsidP="001C0A99">
      <w:pPr>
        <w:jc w:val="both"/>
        <w:rPr>
          <w:rFonts w:ascii="Alef" w:hAnsi="Alef" w:cs="Alef"/>
          <w:sz w:val="24"/>
          <w:szCs w:val="24"/>
          <w:rtl/>
        </w:rPr>
      </w:pPr>
      <w:r>
        <w:rPr>
          <w:rFonts w:ascii="Alef" w:hAnsi="Alef" w:cs="Alef" w:hint="cs"/>
          <w:sz w:val="24"/>
          <w:szCs w:val="24"/>
          <w:rtl/>
        </w:rPr>
        <w:t>נציין כי</w:t>
      </w:r>
      <w:r w:rsidR="00486F42">
        <w:rPr>
          <w:rFonts w:ascii="Alef" w:hAnsi="Alef" w:cs="Alef" w:hint="cs"/>
          <w:sz w:val="24"/>
          <w:szCs w:val="24"/>
          <w:rtl/>
        </w:rPr>
        <w:t xml:space="preserve"> </w:t>
      </w:r>
      <w:r w:rsidR="00214578">
        <w:rPr>
          <w:rFonts w:ascii="Alef" w:hAnsi="Alef" w:cs="Alef" w:hint="cs"/>
          <w:sz w:val="24"/>
          <w:szCs w:val="24"/>
          <w:rtl/>
        </w:rPr>
        <w:t>בדומה</w:t>
      </w:r>
      <w:r w:rsidR="006360CC">
        <w:rPr>
          <w:rFonts w:ascii="Alef" w:hAnsi="Alef" w:cs="Alef" w:hint="cs"/>
          <w:sz w:val="24"/>
          <w:szCs w:val="24"/>
          <w:rtl/>
        </w:rPr>
        <w:t xml:space="preserve"> לפטורי סוג אחרים</w:t>
      </w:r>
      <w:r w:rsidR="00D74DC7">
        <w:rPr>
          <w:rFonts w:ascii="Alef" w:hAnsi="Alef" w:cs="Alef" w:hint="cs"/>
          <w:sz w:val="24"/>
          <w:szCs w:val="24"/>
          <w:rtl/>
        </w:rPr>
        <w:t>,</w:t>
      </w:r>
      <w:r w:rsidR="006360CC">
        <w:rPr>
          <w:rFonts w:ascii="Alef" w:hAnsi="Alef" w:cs="Alef" w:hint="cs"/>
          <w:sz w:val="24"/>
          <w:szCs w:val="24"/>
          <w:rtl/>
        </w:rPr>
        <w:t xml:space="preserve"> פטור הסוג </w:t>
      </w:r>
      <w:r w:rsidR="00D74DC7">
        <w:rPr>
          <w:rFonts w:ascii="Alef" w:hAnsi="Alef" w:cs="Alef" w:hint="cs"/>
          <w:sz w:val="24"/>
          <w:szCs w:val="24"/>
          <w:rtl/>
        </w:rPr>
        <w:t xml:space="preserve"> תוקן באופן</w:t>
      </w:r>
      <w:r w:rsidR="006360CC">
        <w:rPr>
          <w:rFonts w:ascii="Alef" w:hAnsi="Alef" w:cs="Alef" w:hint="cs"/>
          <w:sz w:val="24"/>
          <w:szCs w:val="24"/>
          <w:rtl/>
        </w:rPr>
        <w:t xml:space="preserve"> שמאפשר לצדדים להסדר לבחון בעצמם אם מתקיימים בהסדר </w:t>
      </w:r>
      <w:r w:rsidR="00D74DC7">
        <w:rPr>
          <w:rFonts w:ascii="Alef" w:hAnsi="Alef" w:cs="Alef" w:hint="cs"/>
          <w:sz w:val="24"/>
          <w:szCs w:val="24"/>
          <w:rtl/>
        </w:rPr>
        <w:t>ה</w:t>
      </w:r>
      <w:r w:rsidR="006360CC">
        <w:rPr>
          <w:rFonts w:ascii="Alef" w:hAnsi="Alef" w:cs="Alef" w:hint="cs"/>
          <w:sz w:val="24"/>
          <w:szCs w:val="24"/>
          <w:rtl/>
        </w:rPr>
        <w:t xml:space="preserve">תנאים </w:t>
      </w:r>
      <w:r w:rsidR="00D74DC7">
        <w:rPr>
          <w:rFonts w:ascii="Alef" w:hAnsi="Alef" w:cs="Alef" w:hint="cs"/>
          <w:sz w:val="24"/>
          <w:szCs w:val="24"/>
          <w:rtl/>
        </w:rPr>
        <w:t>ה</w:t>
      </w:r>
      <w:r w:rsidR="006360CC">
        <w:rPr>
          <w:rFonts w:ascii="Alef" w:hAnsi="Alef" w:cs="Alef" w:hint="cs"/>
          <w:sz w:val="24"/>
          <w:szCs w:val="24"/>
          <w:rtl/>
        </w:rPr>
        <w:t xml:space="preserve">מהותיים שפוטרים אותם מהחובה לקבל היתר מראש לעריכת ההסדר </w:t>
      </w:r>
      <w:r w:rsidR="006360CC">
        <w:rPr>
          <w:rFonts w:ascii="Alef" w:hAnsi="Alef" w:cs="Alef"/>
          <w:sz w:val="24"/>
          <w:szCs w:val="24"/>
          <w:rtl/>
        </w:rPr>
        <w:t>–</w:t>
      </w:r>
      <w:r w:rsidR="006360CC">
        <w:rPr>
          <w:rFonts w:ascii="Alef" w:hAnsi="Alef" w:cs="Alef" w:hint="cs"/>
          <w:sz w:val="24"/>
          <w:szCs w:val="24"/>
          <w:rtl/>
        </w:rPr>
        <w:t xml:space="preserve"> משטר הערכה עצמית (</w:t>
      </w:r>
      <w:r w:rsidR="002C1D0F">
        <w:rPr>
          <w:rFonts w:ascii="Alef" w:hAnsi="Alef" w:cs="Alef"/>
          <w:sz w:val="24"/>
          <w:szCs w:val="24"/>
        </w:rPr>
        <w:t>(</w:t>
      </w:r>
      <w:r w:rsidR="006360CC">
        <w:rPr>
          <w:rFonts w:ascii="Alef" w:hAnsi="Alef" w:cs="Alef"/>
          <w:sz w:val="24"/>
          <w:szCs w:val="24"/>
        </w:rPr>
        <w:t>Self-assessment</w:t>
      </w:r>
      <w:r w:rsidR="002C1D0F">
        <w:rPr>
          <w:rFonts w:ascii="Alef" w:hAnsi="Alef" w:cs="Alef" w:hint="cs"/>
          <w:sz w:val="24"/>
          <w:szCs w:val="24"/>
          <w:rtl/>
        </w:rPr>
        <w:t xml:space="preserve"> (להלן </w:t>
      </w:r>
      <w:r w:rsidR="002C1D0F" w:rsidRPr="002C1D0F">
        <w:rPr>
          <w:rFonts w:ascii="Alef" w:hAnsi="Alef" w:cs="Alef" w:hint="cs"/>
          <w:b/>
          <w:bCs/>
          <w:sz w:val="24"/>
          <w:szCs w:val="24"/>
          <w:rtl/>
        </w:rPr>
        <w:t>המבחנים המהותיים</w:t>
      </w:r>
      <w:r w:rsidR="002C1D0F">
        <w:rPr>
          <w:rFonts w:ascii="Alef" w:hAnsi="Alef" w:cs="Alef" w:hint="cs"/>
          <w:sz w:val="24"/>
          <w:szCs w:val="24"/>
          <w:rtl/>
        </w:rPr>
        <w:t>)</w:t>
      </w:r>
      <w:r w:rsidR="006360CC">
        <w:rPr>
          <w:rFonts w:ascii="Alef" w:hAnsi="Alef" w:cs="Alef" w:hint="cs"/>
          <w:sz w:val="24"/>
          <w:szCs w:val="24"/>
          <w:rtl/>
        </w:rPr>
        <w:t>.</w:t>
      </w:r>
      <w:r w:rsidR="00BD4E51">
        <w:rPr>
          <w:rStyle w:val="FootnoteReference"/>
          <w:rFonts w:ascii="Alef" w:hAnsi="Alef" w:cs="Alef"/>
          <w:sz w:val="24"/>
          <w:szCs w:val="24"/>
          <w:rtl/>
        </w:rPr>
        <w:footnoteReference w:id="2"/>
      </w:r>
      <w:r w:rsidR="00486F42">
        <w:rPr>
          <w:rFonts w:ascii="Alef" w:hAnsi="Alef" w:cs="Alef" w:hint="cs"/>
          <w:sz w:val="24"/>
          <w:szCs w:val="24"/>
          <w:rtl/>
        </w:rPr>
        <w:t xml:space="preserve"> </w:t>
      </w:r>
      <w:r w:rsidR="00486F42">
        <w:rPr>
          <w:rFonts w:ascii="Alef" w:hAnsi="Alef" w:cs="Alef" w:hint="cs"/>
          <w:sz w:val="24"/>
          <w:szCs w:val="24"/>
          <w:rtl/>
        </w:rPr>
        <w:lastRenderedPageBreak/>
        <w:t>המבחנים המהותיים</w:t>
      </w:r>
      <w:r w:rsidR="00D74DC7">
        <w:rPr>
          <w:rFonts w:ascii="Alef" w:hAnsi="Alef" w:cs="Alef" w:hint="cs"/>
          <w:sz w:val="24"/>
          <w:szCs w:val="24"/>
          <w:rtl/>
        </w:rPr>
        <w:t xml:space="preserve"> באו בנוסף</w:t>
      </w:r>
      <w:r w:rsidR="00486F42">
        <w:rPr>
          <w:rFonts w:ascii="Alef" w:hAnsi="Alef" w:cs="Alef" w:hint="cs"/>
          <w:sz w:val="24"/>
          <w:szCs w:val="24"/>
          <w:rtl/>
        </w:rPr>
        <w:t xml:space="preserve"> לכללים כמותיים-טכניים שפוטרים הסדרים שבהתאם לכללים אינם מעלים חשש ממשי לפגיעה משמעותית בתחרות.</w:t>
      </w:r>
      <w:r w:rsidR="006360CC">
        <w:rPr>
          <w:rFonts w:ascii="Alef" w:hAnsi="Alef" w:cs="Alef" w:hint="cs"/>
          <w:sz w:val="24"/>
          <w:szCs w:val="24"/>
          <w:rtl/>
        </w:rPr>
        <w:t xml:space="preserve"> </w:t>
      </w:r>
      <w:r w:rsidR="00307716">
        <w:rPr>
          <w:rFonts w:ascii="Alef" w:hAnsi="Alef" w:cs="Alef" w:hint="cs"/>
          <w:sz w:val="24"/>
          <w:szCs w:val="24"/>
          <w:rtl/>
        </w:rPr>
        <w:t xml:space="preserve"> </w:t>
      </w:r>
      <w:r w:rsidR="00EB5588" w:rsidRPr="00BA63B1">
        <w:rPr>
          <w:rFonts w:ascii="Alef" w:hAnsi="Alef" w:cs="Alef"/>
          <w:sz w:val="24"/>
          <w:szCs w:val="24"/>
          <w:rtl/>
        </w:rPr>
        <w:t xml:space="preserve"> </w:t>
      </w:r>
    </w:p>
    <w:p w14:paraId="508D1DF1" w14:textId="5B5B074E" w:rsidR="00EB5588" w:rsidRPr="00BA63B1" w:rsidRDefault="00EB5588" w:rsidP="00294BC2">
      <w:pPr>
        <w:jc w:val="both"/>
        <w:rPr>
          <w:rFonts w:ascii="Alef" w:hAnsi="Alef" w:cs="Alef"/>
          <w:sz w:val="24"/>
          <w:szCs w:val="24"/>
          <w:rtl/>
        </w:rPr>
      </w:pPr>
      <w:r w:rsidRPr="00BA63B1">
        <w:rPr>
          <w:rFonts w:ascii="Alef" w:hAnsi="Alef" w:cs="Alef"/>
          <w:sz w:val="24"/>
          <w:szCs w:val="24"/>
          <w:rtl/>
        </w:rPr>
        <w:t xml:space="preserve">הרחבת השימוש בהערכה עצמית הביאה למיקוד האיסור </w:t>
      </w:r>
      <w:r w:rsidR="00BD4E51">
        <w:rPr>
          <w:rFonts w:ascii="Alef" w:hAnsi="Alef" w:cs="Alef" w:hint="cs"/>
          <w:sz w:val="24"/>
          <w:szCs w:val="24"/>
          <w:rtl/>
        </w:rPr>
        <w:t>לערוך הסדר כובל ללא היתר מראש</w:t>
      </w:r>
      <w:r w:rsidRPr="00BA63B1">
        <w:rPr>
          <w:rFonts w:ascii="Alef" w:hAnsi="Alef" w:cs="Alef"/>
          <w:sz w:val="24"/>
          <w:szCs w:val="24"/>
          <w:rtl/>
        </w:rPr>
        <w:t xml:space="preserve"> בפרקטיקות ש</w:t>
      </w:r>
      <w:r w:rsidR="00294BC2">
        <w:rPr>
          <w:rFonts w:ascii="Alef" w:hAnsi="Alef" w:cs="Alef" w:hint="cs"/>
          <w:sz w:val="24"/>
          <w:szCs w:val="24"/>
          <w:rtl/>
        </w:rPr>
        <w:t xml:space="preserve">הסבירות שהן </w:t>
      </w:r>
      <w:r w:rsidRPr="00BA63B1">
        <w:rPr>
          <w:rFonts w:ascii="Alef" w:hAnsi="Alef" w:cs="Alef"/>
          <w:sz w:val="24"/>
          <w:szCs w:val="24"/>
          <w:rtl/>
        </w:rPr>
        <w:t>אכן מסכנות את התחרות</w:t>
      </w:r>
      <w:r w:rsidR="00294BC2">
        <w:rPr>
          <w:rFonts w:ascii="Alef" w:hAnsi="Alef" w:cs="Alef" w:hint="cs"/>
          <w:sz w:val="24"/>
          <w:szCs w:val="24"/>
          <w:rtl/>
        </w:rPr>
        <w:t xml:space="preserve"> גבוהה יותר</w:t>
      </w:r>
      <w:r w:rsidRPr="00BA63B1">
        <w:rPr>
          <w:rFonts w:ascii="Alef" w:hAnsi="Alef" w:cs="Alef"/>
          <w:sz w:val="24"/>
          <w:szCs w:val="24"/>
          <w:rtl/>
        </w:rPr>
        <w:t xml:space="preserve"> ובד בבד הביאה לצמצום החשיפה </w:t>
      </w:r>
      <w:r w:rsidR="00294BC2">
        <w:rPr>
          <w:rFonts w:ascii="Alef" w:hAnsi="Alef" w:cs="Alef" w:hint="cs"/>
          <w:sz w:val="24"/>
          <w:szCs w:val="24"/>
          <w:rtl/>
        </w:rPr>
        <w:t xml:space="preserve">לאכיפה </w:t>
      </w:r>
      <w:r w:rsidRPr="00BA63B1">
        <w:rPr>
          <w:rFonts w:ascii="Alef" w:hAnsi="Alef" w:cs="Alef"/>
          <w:sz w:val="24"/>
          <w:szCs w:val="24"/>
          <w:rtl/>
        </w:rPr>
        <w:t>פלילית, מנהלית ואזרחית מקום שזו אינה מתחייבת</w:t>
      </w:r>
      <w:r w:rsidR="00294BC2">
        <w:rPr>
          <w:rFonts w:ascii="Alef" w:hAnsi="Alef" w:cs="Alef" w:hint="cs"/>
          <w:sz w:val="24"/>
          <w:szCs w:val="24"/>
          <w:rtl/>
        </w:rPr>
        <w:t>,</w:t>
      </w:r>
      <w:r w:rsidRPr="00BA63B1">
        <w:rPr>
          <w:rFonts w:ascii="Alef" w:hAnsi="Alef" w:cs="Alef"/>
          <w:sz w:val="24"/>
          <w:szCs w:val="24"/>
          <w:rtl/>
        </w:rPr>
        <w:t xml:space="preserve"> לחיסכון במשאבים ו</w:t>
      </w:r>
      <w:r w:rsidR="00294BC2">
        <w:rPr>
          <w:rFonts w:ascii="Alef" w:hAnsi="Alef" w:cs="Alef" w:hint="cs"/>
          <w:sz w:val="24"/>
          <w:szCs w:val="24"/>
          <w:rtl/>
        </w:rPr>
        <w:t>ל</w:t>
      </w:r>
      <w:r w:rsidRPr="00BA63B1">
        <w:rPr>
          <w:rFonts w:ascii="Alef" w:hAnsi="Alef" w:cs="Alef"/>
          <w:sz w:val="24"/>
          <w:szCs w:val="24"/>
          <w:rtl/>
        </w:rPr>
        <w:t xml:space="preserve">הפחתת הנטל הביורוקרטי. </w:t>
      </w:r>
    </w:p>
    <w:p w14:paraId="50C2760D" w14:textId="294CE4C2" w:rsidR="00EB5588" w:rsidRPr="00BA63B1" w:rsidRDefault="00EB5588" w:rsidP="00C4663D">
      <w:pPr>
        <w:jc w:val="both"/>
        <w:rPr>
          <w:rFonts w:ascii="Alef" w:hAnsi="Alef" w:cs="Alef"/>
          <w:sz w:val="24"/>
          <w:szCs w:val="24"/>
          <w:rtl/>
        </w:rPr>
      </w:pPr>
      <w:r w:rsidRPr="00BA63B1">
        <w:rPr>
          <w:rFonts w:ascii="Alef" w:hAnsi="Alef" w:cs="Alef"/>
          <w:sz w:val="24"/>
          <w:szCs w:val="24"/>
          <w:rtl/>
        </w:rPr>
        <w:t xml:space="preserve">הרחבת השימוש בהערכה עצמית נעשתה כחלק ממהלך רחב שהובילה רשות התחרות של מיקוד האיסורים שבדין בפעולות עסקיות המקימות חשש לפגיעה משמעותית </w:t>
      </w:r>
      <w:r w:rsidRPr="00BA63B1">
        <w:rPr>
          <w:rFonts w:ascii="Alef" w:hAnsi="Alef" w:cs="Alef"/>
          <w:sz w:val="24"/>
          <w:szCs w:val="24"/>
          <w:rtl/>
        </w:rPr>
        <w:lastRenderedPageBreak/>
        <w:t>בתחרות, או שמטרתן הפחתת התחרות במשק, תוך הסרת נטל רגולטורי וביורוקרטי מיותר. שיאו של המהל</w:t>
      </w:r>
      <w:r w:rsidR="00746A72" w:rsidRPr="00BA63B1">
        <w:rPr>
          <w:rFonts w:ascii="Alef" w:hAnsi="Alef" w:cs="Alef"/>
          <w:sz w:val="24"/>
          <w:szCs w:val="24"/>
          <w:rtl/>
        </w:rPr>
        <w:t>ך בחקיקת</w:t>
      </w:r>
      <w:r w:rsidRPr="00BA63B1">
        <w:rPr>
          <w:rFonts w:ascii="Alef" w:hAnsi="Alef" w:cs="Alef"/>
          <w:sz w:val="24"/>
          <w:szCs w:val="24"/>
          <w:rtl/>
        </w:rPr>
        <w:t xml:space="preserve"> תיקון מס' 21</w:t>
      </w:r>
      <w:r w:rsidR="00C4663D">
        <w:rPr>
          <w:rFonts w:ascii="Alef" w:hAnsi="Alef" w:cs="Alef" w:hint="cs"/>
          <w:sz w:val="24"/>
          <w:szCs w:val="24"/>
          <w:rtl/>
        </w:rPr>
        <w:t xml:space="preserve"> </w:t>
      </w:r>
      <w:r w:rsidR="00C4663D" w:rsidRPr="00BA63B1">
        <w:rPr>
          <w:rFonts w:ascii="Alef" w:hAnsi="Alef" w:cs="Alef"/>
          <w:sz w:val="24"/>
          <w:szCs w:val="24"/>
          <w:rtl/>
        </w:rPr>
        <w:t>לחוק</w:t>
      </w:r>
      <w:r w:rsidR="00C4663D" w:rsidRPr="00BA63B1">
        <w:rPr>
          <w:rStyle w:val="FootnoteReference"/>
          <w:rFonts w:ascii="Alef" w:hAnsi="Alef" w:cs="Alef"/>
          <w:sz w:val="24"/>
          <w:szCs w:val="24"/>
          <w:rtl/>
        </w:rPr>
        <w:t xml:space="preserve"> </w:t>
      </w:r>
      <w:r w:rsidRPr="00BA63B1">
        <w:rPr>
          <w:rStyle w:val="FootnoteReference"/>
          <w:rFonts w:ascii="Alef" w:hAnsi="Alef" w:cs="Alef"/>
          <w:sz w:val="24"/>
          <w:szCs w:val="24"/>
          <w:rtl/>
        </w:rPr>
        <w:footnoteReference w:id="3"/>
      </w:r>
      <w:r w:rsidRPr="00BA63B1">
        <w:rPr>
          <w:rFonts w:ascii="Alef" w:hAnsi="Alef" w:cs="Alef"/>
          <w:sz w:val="24"/>
          <w:szCs w:val="24"/>
          <w:rtl/>
        </w:rPr>
        <w:t xml:space="preserve"> שלצד מיקוד האיסורים והקטנת הנטל הרגולטורי גם חיזק </w:t>
      </w:r>
      <w:r w:rsidR="00EA1366" w:rsidRPr="00BA63B1">
        <w:rPr>
          <w:rFonts w:ascii="Alef" w:hAnsi="Alef" w:cs="Alef"/>
          <w:sz w:val="24"/>
          <w:szCs w:val="24"/>
          <w:rtl/>
        </w:rPr>
        <w:t>משמעותית</w:t>
      </w:r>
      <w:r w:rsidRPr="00BA63B1">
        <w:rPr>
          <w:rFonts w:ascii="Alef" w:hAnsi="Alef" w:cs="Alef"/>
          <w:sz w:val="24"/>
          <w:szCs w:val="24"/>
          <w:rtl/>
        </w:rPr>
        <w:t xml:space="preserve"> את יכולת האכיפה</w:t>
      </w:r>
      <w:r w:rsidR="00D73A8C" w:rsidRPr="00BA63B1">
        <w:rPr>
          <w:rFonts w:ascii="Alef" w:hAnsi="Alef" w:cs="Alef"/>
          <w:sz w:val="24"/>
          <w:szCs w:val="24"/>
          <w:rtl/>
        </w:rPr>
        <w:t xml:space="preserve"> (כאמור בדבר</w:t>
      </w:r>
      <w:r w:rsidR="00C8258A" w:rsidRPr="00BA63B1">
        <w:rPr>
          <w:rFonts w:ascii="Alef" w:hAnsi="Alef" w:cs="Alef"/>
          <w:sz w:val="24"/>
          <w:szCs w:val="24"/>
          <w:rtl/>
        </w:rPr>
        <w:t>י</w:t>
      </w:r>
      <w:r w:rsidR="00D73A8C" w:rsidRPr="00BA63B1">
        <w:rPr>
          <w:rFonts w:ascii="Alef" w:hAnsi="Alef" w:cs="Alef"/>
          <w:sz w:val="24"/>
          <w:szCs w:val="24"/>
          <w:rtl/>
        </w:rPr>
        <w:t xml:space="preserve"> ההסבר להצעת החוק הממשלתית)</w:t>
      </w:r>
      <w:r w:rsidR="00C4663D">
        <w:rPr>
          <w:rFonts w:ascii="Alef" w:hAnsi="Alef" w:cs="Alef" w:hint="cs"/>
          <w:sz w:val="24"/>
          <w:szCs w:val="24"/>
          <w:rtl/>
        </w:rPr>
        <w:t>.</w:t>
      </w:r>
      <w:r w:rsidR="00D73A8C" w:rsidRPr="00BA63B1">
        <w:rPr>
          <w:rStyle w:val="FootnoteReference"/>
          <w:rFonts w:ascii="Alef" w:hAnsi="Alef" w:cs="Alef"/>
          <w:sz w:val="24"/>
          <w:szCs w:val="24"/>
          <w:rtl/>
        </w:rPr>
        <w:footnoteReference w:id="4"/>
      </w:r>
      <w:r w:rsidRPr="00BA63B1">
        <w:rPr>
          <w:rFonts w:ascii="Alef" w:hAnsi="Alef" w:cs="Alef"/>
          <w:sz w:val="24"/>
          <w:szCs w:val="24"/>
          <w:rtl/>
        </w:rPr>
        <w:t xml:space="preserve">  </w:t>
      </w:r>
    </w:p>
    <w:p w14:paraId="672AB730" w14:textId="6CF2DC83" w:rsidR="00F26CA2" w:rsidRPr="00BA63B1" w:rsidRDefault="00486F42" w:rsidP="00F24D25">
      <w:pPr>
        <w:jc w:val="both"/>
        <w:rPr>
          <w:rFonts w:ascii="Alef" w:hAnsi="Alef" w:cs="Alef"/>
          <w:sz w:val="24"/>
          <w:szCs w:val="24"/>
          <w:rtl/>
        </w:rPr>
      </w:pPr>
      <w:r>
        <w:rPr>
          <w:rFonts w:ascii="Alef" w:hAnsi="Alef" w:cs="Alef" w:hint="cs"/>
          <w:sz w:val="24"/>
          <w:szCs w:val="24"/>
          <w:rtl/>
        </w:rPr>
        <w:t xml:space="preserve">מובהר, כי </w:t>
      </w:r>
      <w:r w:rsidR="00F26CA2" w:rsidRPr="00BA63B1">
        <w:rPr>
          <w:rFonts w:ascii="Alef" w:hAnsi="Alef" w:cs="Alef"/>
          <w:sz w:val="24"/>
          <w:szCs w:val="24"/>
          <w:rtl/>
        </w:rPr>
        <w:t>חידוש פטור הסוג ה</w:t>
      </w:r>
      <w:r w:rsidR="009437CC" w:rsidRPr="00BA63B1">
        <w:rPr>
          <w:rFonts w:ascii="Alef" w:hAnsi="Alef" w:cs="Alef"/>
          <w:sz w:val="24"/>
          <w:szCs w:val="24"/>
          <w:rtl/>
        </w:rPr>
        <w:t>וא</w:t>
      </w:r>
      <w:r w:rsidR="00F26CA2" w:rsidRPr="00BA63B1">
        <w:rPr>
          <w:rFonts w:ascii="Alef" w:hAnsi="Alef" w:cs="Alef"/>
          <w:sz w:val="24"/>
          <w:szCs w:val="24"/>
          <w:rtl/>
        </w:rPr>
        <w:t xml:space="preserve"> צעד של הקלה רגולטורית מובהקת שלא דורש ניתוח</w:t>
      </w:r>
      <w:r w:rsidR="009437CC" w:rsidRPr="00BA63B1">
        <w:rPr>
          <w:rFonts w:ascii="Alef" w:hAnsi="Alef" w:cs="Alef"/>
          <w:sz w:val="24"/>
          <w:szCs w:val="24"/>
          <w:rtl/>
        </w:rPr>
        <w:t xml:space="preserve"> השפעת רגולציה</w:t>
      </w:r>
      <w:r w:rsidR="00F26CA2" w:rsidRPr="00BA63B1">
        <w:rPr>
          <w:rFonts w:ascii="Alef" w:hAnsi="Alef" w:cs="Alef"/>
          <w:sz w:val="24"/>
          <w:szCs w:val="24"/>
          <w:rtl/>
        </w:rPr>
        <w:t xml:space="preserve"> </w:t>
      </w:r>
      <w:r w:rsidR="009437CC" w:rsidRPr="00BA63B1">
        <w:rPr>
          <w:rFonts w:ascii="Alef" w:hAnsi="Alef" w:cs="Alef"/>
          <w:sz w:val="24"/>
          <w:szCs w:val="24"/>
          <w:rtl/>
        </w:rPr>
        <w:t>אלא</w:t>
      </w:r>
      <w:r w:rsidR="00F26CA2" w:rsidRPr="00BA63B1">
        <w:rPr>
          <w:rFonts w:ascii="Alef" w:hAnsi="Alef" w:cs="Alef"/>
          <w:sz w:val="24"/>
          <w:szCs w:val="24"/>
          <w:rtl/>
        </w:rPr>
        <w:t xml:space="preserve"> </w:t>
      </w:r>
      <w:r w:rsidR="009437CC" w:rsidRPr="00BA63B1">
        <w:rPr>
          <w:rFonts w:ascii="Alef" w:hAnsi="Alef" w:cs="Alef"/>
          <w:sz w:val="24"/>
          <w:szCs w:val="24"/>
          <w:rtl/>
        </w:rPr>
        <w:t>הנמקה</w:t>
      </w:r>
      <w:r w:rsidR="00F26CA2" w:rsidRPr="00BA63B1">
        <w:rPr>
          <w:rFonts w:ascii="Alef" w:hAnsi="Alef" w:cs="Alef"/>
          <w:sz w:val="24"/>
          <w:szCs w:val="24"/>
          <w:rtl/>
        </w:rPr>
        <w:t xml:space="preserve"> בלבד.</w:t>
      </w:r>
      <w:r w:rsidR="00F26CA2" w:rsidRPr="00BA63B1">
        <w:rPr>
          <w:rStyle w:val="FootnoteReference"/>
          <w:rFonts w:ascii="Alef" w:hAnsi="Alef" w:cs="Alef"/>
          <w:sz w:val="24"/>
          <w:szCs w:val="24"/>
          <w:rtl/>
        </w:rPr>
        <w:footnoteReference w:id="5"/>
      </w:r>
      <w:r w:rsidR="009437CC" w:rsidRPr="00BA63B1">
        <w:rPr>
          <w:rFonts w:ascii="Alef" w:hAnsi="Alef" w:cs="Alef"/>
          <w:sz w:val="24"/>
          <w:szCs w:val="24"/>
          <w:rtl/>
        </w:rPr>
        <w:t xml:space="preserve"> </w:t>
      </w:r>
      <w:r w:rsidR="00F24D25">
        <w:rPr>
          <w:rFonts w:ascii="Alef" w:hAnsi="Alef" w:cs="Alef" w:hint="cs"/>
          <w:sz w:val="24"/>
          <w:szCs w:val="24"/>
          <w:rtl/>
        </w:rPr>
        <w:t xml:space="preserve">נציין, כי פטור הסוג להסכמים לביצוע מחקר ופיתוח נכלל למעשה בפטור הסוג למיזמים משותפים </w:t>
      </w:r>
      <w:r w:rsidR="00F24D25">
        <w:rPr>
          <w:rFonts w:ascii="Alef" w:hAnsi="Alef" w:cs="Alef"/>
          <w:sz w:val="24"/>
          <w:szCs w:val="24"/>
          <w:rtl/>
        </w:rPr>
        <w:t>–</w:t>
      </w:r>
      <w:r w:rsidR="00F24D25">
        <w:rPr>
          <w:rFonts w:ascii="Alef" w:hAnsi="Alef" w:cs="Alef" w:hint="cs"/>
          <w:sz w:val="24"/>
          <w:szCs w:val="24"/>
          <w:rtl/>
        </w:rPr>
        <w:t xml:space="preserve"> ואי חידושו אינו משנה את הנטל בעניין הסכמים אלו. </w:t>
      </w:r>
    </w:p>
    <w:p w14:paraId="1990A193" w14:textId="702C325C" w:rsidR="00EB5588" w:rsidRPr="00BA63B1" w:rsidRDefault="00EB5588" w:rsidP="00FC4401">
      <w:pPr>
        <w:jc w:val="both"/>
        <w:rPr>
          <w:rFonts w:ascii="Alef" w:hAnsi="Alef" w:cs="Alef"/>
          <w:sz w:val="24"/>
          <w:szCs w:val="24"/>
          <w:rtl/>
        </w:rPr>
      </w:pPr>
      <w:r w:rsidRPr="00BA63B1">
        <w:rPr>
          <w:rFonts w:ascii="Alef" w:hAnsi="Alef" w:cs="Alef"/>
          <w:sz w:val="24"/>
          <w:szCs w:val="24"/>
          <w:rtl/>
        </w:rPr>
        <w:t xml:space="preserve">האיסור להיות צד להסדר כובל ללא היתר מראש נועד למנוע התנהגויות שעלולות לפגוע בתחרות החופשית. ואולם, </w:t>
      </w:r>
      <w:r w:rsidRPr="00BA63B1">
        <w:rPr>
          <w:rFonts w:ascii="Alef" w:hAnsi="Alef" w:cs="Alef"/>
          <w:sz w:val="24"/>
          <w:szCs w:val="24"/>
          <w:rtl/>
        </w:rPr>
        <w:lastRenderedPageBreak/>
        <w:t xml:space="preserve">תחולה רחבה מידי של האיסור תביא ליצירת נטל </w:t>
      </w:r>
      <w:r w:rsidR="00FC4401" w:rsidRPr="00BA63B1">
        <w:rPr>
          <w:rFonts w:ascii="Alef" w:hAnsi="Alef" w:cs="Alef"/>
          <w:sz w:val="24"/>
          <w:szCs w:val="24"/>
          <w:rtl/>
        </w:rPr>
        <w:t>רגולטורי</w:t>
      </w:r>
      <w:r w:rsidR="00F26CA2" w:rsidRPr="00BA63B1">
        <w:rPr>
          <w:rFonts w:ascii="Alef" w:hAnsi="Alef" w:cs="Alef"/>
          <w:sz w:val="24"/>
          <w:szCs w:val="24"/>
          <w:rtl/>
        </w:rPr>
        <w:t xml:space="preserve"> ובירוקרטי</w:t>
      </w:r>
      <w:r w:rsidR="00FC4401" w:rsidRPr="00BA63B1">
        <w:rPr>
          <w:rFonts w:ascii="Alef" w:hAnsi="Alef" w:cs="Alef"/>
          <w:sz w:val="24"/>
          <w:szCs w:val="24"/>
          <w:rtl/>
        </w:rPr>
        <w:t xml:space="preserve"> </w:t>
      </w:r>
      <w:r w:rsidRPr="00BA63B1">
        <w:rPr>
          <w:rFonts w:ascii="Alef" w:hAnsi="Alef" w:cs="Alef"/>
          <w:sz w:val="24"/>
          <w:szCs w:val="24"/>
          <w:rtl/>
        </w:rPr>
        <w:t xml:space="preserve">שיפגע גם בפעילות עסקית לגיטימית. </w:t>
      </w:r>
    </w:p>
    <w:p w14:paraId="5C93436A" w14:textId="751C0125" w:rsidR="00EB5588" w:rsidRPr="00BA63B1" w:rsidRDefault="00EB5588" w:rsidP="00955CA9">
      <w:pPr>
        <w:jc w:val="both"/>
        <w:rPr>
          <w:rFonts w:ascii="Alef" w:hAnsi="Alef" w:cs="Alef"/>
          <w:sz w:val="24"/>
          <w:szCs w:val="24"/>
          <w:rtl/>
        </w:rPr>
      </w:pPr>
      <w:r w:rsidRPr="00BA63B1">
        <w:rPr>
          <w:rFonts w:ascii="Alef" w:hAnsi="Alef" w:cs="Alef"/>
          <w:sz w:val="24"/>
          <w:szCs w:val="24"/>
          <w:rtl/>
        </w:rPr>
        <w:t xml:space="preserve">האתגר </w:t>
      </w:r>
      <w:r w:rsidR="00955CA9">
        <w:rPr>
          <w:rFonts w:ascii="Alef" w:hAnsi="Alef" w:cs="Alef" w:hint="cs"/>
          <w:sz w:val="24"/>
          <w:szCs w:val="24"/>
          <w:rtl/>
        </w:rPr>
        <w:t xml:space="preserve">של </w:t>
      </w:r>
      <w:r w:rsidRPr="00BA63B1">
        <w:rPr>
          <w:rFonts w:ascii="Alef" w:hAnsi="Alef" w:cs="Alef"/>
          <w:sz w:val="24"/>
          <w:szCs w:val="24"/>
          <w:rtl/>
        </w:rPr>
        <w:t xml:space="preserve">יצירת אסדרה שתאפשר עריכת עסקאות </w:t>
      </w:r>
      <w:r w:rsidR="00FC4401" w:rsidRPr="00BA63B1">
        <w:rPr>
          <w:rFonts w:ascii="Alef" w:hAnsi="Alef" w:cs="Alef"/>
          <w:sz w:val="24"/>
          <w:szCs w:val="24"/>
          <w:rtl/>
        </w:rPr>
        <w:t xml:space="preserve">לגיטימיות </w:t>
      </w:r>
      <w:r w:rsidRPr="00BA63B1">
        <w:rPr>
          <w:rFonts w:ascii="Alef" w:hAnsi="Alef" w:cs="Alef"/>
          <w:sz w:val="24"/>
          <w:szCs w:val="24"/>
          <w:rtl/>
        </w:rPr>
        <w:t xml:space="preserve">בהתערבות ממשלתית מינימאלית מחד </w:t>
      </w:r>
      <w:r w:rsidR="00FC4401" w:rsidRPr="00BA63B1">
        <w:rPr>
          <w:rFonts w:ascii="Alef" w:hAnsi="Alef" w:cs="Alef"/>
          <w:sz w:val="24"/>
          <w:szCs w:val="24"/>
          <w:rtl/>
        </w:rPr>
        <w:t>גיסא</w:t>
      </w:r>
      <w:r w:rsidR="00722670" w:rsidRPr="00BA63B1">
        <w:rPr>
          <w:rFonts w:ascii="Alef" w:hAnsi="Alef" w:cs="Alef"/>
          <w:sz w:val="24"/>
          <w:szCs w:val="24"/>
          <w:rtl/>
        </w:rPr>
        <w:t>,</w:t>
      </w:r>
      <w:r w:rsidR="00FC4401" w:rsidRPr="00BA63B1">
        <w:rPr>
          <w:rFonts w:ascii="Alef" w:hAnsi="Alef" w:cs="Alef"/>
          <w:sz w:val="24"/>
          <w:szCs w:val="24"/>
          <w:rtl/>
        </w:rPr>
        <w:t xml:space="preserve"> </w:t>
      </w:r>
      <w:r w:rsidRPr="00BA63B1">
        <w:rPr>
          <w:rFonts w:ascii="Alef" w:hAnsi="Alef" w:cs="Alef"/>
          <w:sz w:val="24"/>
          <w:szCs w:val="24"/>
          <w:rtl/>
        </w:rPr>
        <w:t xml:space="preserve">תוך עצירת עסקאות שתכליתן </w:t>
      </w:r>
      <w:r w:rsidR="00F26CA2" w:rsidRPr="00BA63B1">
        <w:rPr>
          <w:rFonts w:ascii="Alef" w:hAnsi="Alef" w:cs="Alef"/>
          <w:sz w:val="24"/>
          <w:szCs w:val="24"/>
          <w:rtl/>
        </w:rPr>
        <w:t xml:space="preserve">או תוצאתן </w:t>
      </w:r>
      <w:r w:rsidRPr="00BA63B1">
        <w:rPr>
          <w:rFonts w:ascii="Alef" w:hAnsi="Alef" w:cs="Alef"/>
          <w:sz w:val="24"/>
          <w:szCs w:val="24"/>
          <w:rtl/>
        </w:rPr>
        <w:t>היא פגיעה בתחרות מאידך</w:t>
      </w:r>
      <w:r w:rsidR="00FC4401" w:rsidRPr="00BA63B1">
        <w:rPr>
          <w:rFonts w:ascii="Alef" w:hAnsi="Alef" w:cs="Alef"/>
          <w:sz w:val="24"/>
          <w:szCs w:val="24"/>
          <w:rtl/>
        </w:rPr>
        <w:t xml:space="preserve"> גיסא</w:t>
      </w:r>
      <w:r w:rsidR="00955CA9">
        <w:rPr>
          <w:rFonts w:ascii="Alef" w:hAnsi="Alef" w:cs="Alef" w:hint="cs"/>
          <w:sz w:val="24"/>
          <w:szCs w:val="24"/>
          <w:rtl/>
        </w:rPr>
        <w:t>, מוצא את פתרונו בפטורי הסוג בכלל, ובפטור הסוג למיזמים משותפים בפרט</w:t>
      </w:r>
      <w:r w:rsidRPr="00BA63B1">
        <w:rPr>
          <w:rFonts w:ascii="Alef" w:hAnsi="Alef" w:cs="Alef"/>
          <w:sz w:val="24"/>
          <w:szCs w:val="24"/>
          <w:rtl/>
        </w:rPr>
        <w:t xml:space="preserve">. </w:t>
      </w:r>
    </w:p>
    <w:p w14:paraId="63D68E74" w14:textId="1E711623" w:rsidR="00BB6C2A" w:rsidRPr="00BA63B1" w:rsidRDefault="00C61811" w:rsidP="009F0CA5">
      <w:pPr>
        <w:pStyle w:val="Heading1"/>
        <w:rPr>
          <w:rFonts w:ascii="Alef" w:hAnsi="Alef" w:cs="Alef"/>
          <w:rtl/>
        </w:rPr>
      </w:pPr>
      <w:r w:rsidRPr="00BA63B1">
        <w:rPr>
          <w:rFonts w:ascii="Alef" w:hAnsi="Alef" w:cs="Alef"/>
          <w:b/>
          <w:bCs/>
          <w:color w:val="auto"/>
          <w:sz w:val="28"/>
          <w:szCs w:val="28"/>
          <w:rtl/>
        </w:rPr>
        <w:t xml:space="preserve">חידוש פטור הסוג </w:t>
      </w:r>
    </w:p>
    <w:p w14:paraId="5B1EE7D0" w14:textId="29423D12" w:rsidR="00EB5588" w:rsidRPr="00BA63B1" w:rsidRDefault="00EB5588" w:rsidP="00DE7976">
      <w:pPr>
        <w:jc w:val="both"/>
        <w:rPr>
          <w:rFonts w:ascii="Alef" w:hAnsi="Alef" w:cs="Alef"/>
          <w:sz w:val="24"/>
          <w:szCs w:val="24"/>
          <w:rtl/>
        </w:rPr>
      </w:pPr>
      <w:r w:rsidRPr="00BA63B1">
        <w:rPr>
          <w:rFonts w:ascii="Alef" w:hAnsi="Alef" w:cs="Alef"/>
          <w:sz w:val="24"/>
          <w:szCs w:val="24"/>
          <w:rtl/>
        </w:rPr>
        <w:t>ביטול פטור הסוג</w:t>
      </w:r>
      <w:r w:rsidR="00EE2A3A" w:rsidRPr="00BA63B1">
        <w:rPr>
          <w:rFonts w:ascii="Alef" w:hAnsi="Alef" w:cs="Alef"/>
          <w:sz w:val="24"/>
          <w:szCs w:val="24"/>
          <w:rtl/>
        </w:rPr>
        <w:t xml:space="preserve"> (אי חידוש</w:t>
      </w:r>
      <w:r w:rsidR="009F0CA5">
        <w:rPr>
          <w:rFonts w:ascii="Alef" w:hAnsi="Alef" w:cs="Alef" w:hint="cs"/>
          <w:sz w:val="24"/>
          <w:szCs w:val="24"/>
          <w:rtl/>
        </w:rPr>
        <w:t>ו</w:t>
      </w:r>
      <w:r w:rsidR="00EE2A3A" w:rsidRPr="00BA63B1">
        <w:rPr>
          <w:rFonts w:ascii="Alef" w:hAnsi="Alef" w:cs="Alef"/>
          <w:sz w:val="24"/>
          <w:szCs w:val="24"/>
          <w:rtl/>
        </w:rPr>
        <w:t>)</w:t>
      </w:r>
      <w:r w:rsidRPr="00BA63B1">
        <w:rPr>
          <w:rFonts w:ascii="Alef" w:hAnsi="Alef" w:cs="Alef"/>
          <w:sz w:val="24"/>
          <w:szCs w:val="24"/>
          <w:rtl/>
        </w:rPr>
        <w:t xml:space="preserve"> וחזרה לאסדרה של היתר מראש בלבד</w:t>
      </w:r>
      <w:r w:rsidR="00EE2A3A" w:rsidRPr="00BA63B1">
        <w:rPr>
          <w:rFonts w:ascii="Alef" w:hAnsi="Alef" w:cs="Alef"/>
          <w:sz w:val="24"/>
          <w:szCs w:val="24"/>
          <w:rtl/>
        </w:rPr>
        <w:t xml:space="preserve"> </w:t>
      </w:r>
      <w:r w:rsidRPr="00BA63B1">
        <w:rPr>
          <w:rFonts w:ascii="Alef" w:hAnsi="Alef" w:cs="Alef"/>
          <w:sz w:val="24"/>
          <w:szCs w:val="24"/>
          <w:rtl/>
        </w:rPr>
        <w:t>יביא</w:t>
      </w:r>
      <w:r w:rsidR="004C4035">
        <w:rPr>
          <w:rFonts w:ascii="Alef" w:hAnsi="Alef" w:cs="Alef" w:hint="cs"/>
          <w:sz w:val="24"/>
          <w:szCs w:val="24"/>
          <w:rtl/>
        </w:rPr>
        <w:t>ו</w:t>
      </w:r>
      <w:r w:rsidRPr="00BA63B1">
        <w:rPr>
          <w:rFonts w:ascii="Alef" w:hAnsi="Alef" w:cs="Alef"/>
          <w:sz w:val="24"/>
          <w:szCs w:val="24"/>
          <w:rtl/>
        </w:rPr>
        <w:t xml:space="preserve"> לתוצאות בלתי רצויות</w:t>
      </w:r>
      <w:r w:rsidR="00A0631A" w:rsidRPr="00BA63B1">
        <w:rPr>
          <w:rFonts w:ascii="Alef" w:hAnsi="Alef" w:cs="Alef"/>
          <w:sz w:val="24"/>
          <w:szCs w:val="24"/>
          <w:rtl/>
        </w:rPr>
        <w:t xml:space="preserve">, שעיקרן </w:t>
      </w:r>
      <w:r w:rsidR="00461D2E" w:rsidRPr="00BA63B1">
        <w:rPr>
          <w:rFonts w:ascii="Alef" w:hAnsi="Alef" w:cs="Alef"/>
          <w:sz w:val="24"/>
          <w:szCs w:val="24"/>
          <w:rtl/>
        </w:rPr>
        <w:t xml:space="preserve">הכבדה על </w:t>
      </w:r>
      <w:r w:rsidR="00721DD6" w:rsidRPr="00BA63B1">
        <w:rPr>
          <w:rFonts w:ascii="Alef" w:hAnsi="Alef" w:cs="Alef"/>
          <w:sz w:val="24"/>
          <w:szCs w:val="24"/>
          <w:rtl/>
        </w:rPr>
        <w:t xml:space="preserve">ביצוע </w:t>
      </w:r>
      <w:r w:rsidR="00461D2E" w:rsidRPr="00BA63B1">
        <w:rPr>
          <w:rFonts w:ascii="Alef" w:hAnsi="Alef" w:cs="Alef"/>
          <w:sz w:val="24"/>
          <w:szCs w:val="24"/>
          <w:rtl/>
        </w:rPr>
        <w:t>ע</w:t>
      </w:r>
      <w:r w:rsidR="00A0631A" w:rsidRPr="00BA63B1">
        <w:rPr>
          <w:rFonts w:ascii="Alef" w:hAnsi="Alef" w:cs="Alef"/>
          <w:sz w:val="24"/>
          <w:szCs w:val="24"/>
          <w:rtl/>
        </w:rPr>
        <w:t xml:space="preserve">סקאות </w:t>
      </w:r>
      <w:r w:rsidR="00721DD6" w:rsidRPr="00BA63B1">
        <w:rPr>
          <w:rFonts w:ascii="Alef" w:hAnsi="Alef" w:cs="Alef"/>
          <w:sz w:val="24"/>
          <w:szCs w:val="24"/>
          <w:rtl/>
        </w:rPr>
        <w:t>יעילות שאין בצידן פגיעה של ממש בתחרות</w:t>
      </w:r>
      <w:r w:rsidR="004C4035">
        <w:rPr>
          <w:rFonts w:ascii="Alef" w:hAnsi="Alef" w:cs="Alef" w:hint="cs"/>
          <w:sz w:val="24"/>
          <w:szCs w:val="24"/>
          <w:rtl/>
        </w:rPr>
        <w:t>,</w:t>
      </w:r>
      <w:r w:rsidR="00721DD6" w:rsidRPr="00BA63B1">
        <w:rPr>
          <w:rFonts w:ascii="Alef" w:hAnsi="Alef" w:cs="Alef"/>
          <w:sz w:val="24"/>
          <w:szCs w:val="24"/>
          <w:rtl/>
        </w:rPr>
        <w:t xml:space="preserve"> ואף מניעת</w:t>
      </w:r>
      <w:r w:rsidR="00955CA9">
        <w:rPr>
          <w:rFonts w:ascii="Alef" w:hAnsi="Alef" w:cs="Alef" w:hint="cs"/>
          <w:sz w:val="24"/>
          <w:szCs w:val="24"/>
          <w:rtl/>
        </w:rPr>
        <w:t xml:space="preserve"> עסקאות כאלה</w:t>
      </w:r>
      <w:r w:rsidRPr="00BA63B1">
        <w:rPr>
          <w:rFonts w:ascii="Alef" w:hAnsi="Alef" w:cs="Alef"/>
          <w:sz w:val="24"/>
          <w:szCs w:val="24"/>
          <w:rtl/>
        </w:rPr>
        <w:t>.</w:t>
      </w:r>
      <w:r w:rsidR="00955CA9">
        <w:rPr>
          <w:rFonts w:ascii="Alef" w:hAnsi="Alef" w:cs="Alef" w:hint="cs"/>
          <w:sz w:val="24"/>
          <w:szCs w:val="24"/>
          <w:rtl/>
        </w:rPr>
        <w:t xml:space="preserve"> </w:t>
      </w:r>
      <w:r w:rsidR="00EE2A3A" w:rsidRPr="00BA63B1">
        <w:rPr>
          <w:rFonts w:ascii="Alef" w:hAnsi="Alef" w:cs="Alef"/>
          <w:sz w:val="24"/>
          <w:szCs w:val="24"/>
          <w:rtl/>
        </w:rPr>
        <w:t xml:space="preserve">ללא פטור הסוג, </w:t>
      </w:r>
      <w:r w:rsidRPr="00BA63B1">
        <w:rPr>
          <w:rFonts w:ascii="Alef" w:hAnsi="Alef" w:cs="Alef"/>
          <w:sz w:val="24"/>
          <w:szCs w:val="24"/>
          <w:rtl/>
        </w:rPr>
        <w:t>מיזמים משותפים</w:t>
      </w:r>
      <w:r w:rsidR="009F0CA5">
        <w:rPr>
          <w:rFonts w:ascii="Alef" w:hAnsi="Alef" w:cs="Alef" w:hint="cs"/>
          <w:sz w:val="24"/>
          <w:szCs w:val="24"/>
          <w:rtl/>
        </w:rPr>
        <w:t xml:space="preserve"> רבים בתחומים שונים ייאסרו ללא שיקבלו </w:t>
      </w:r>
      <w:r w:rsidRPr="00BA63B1">
        <w:rPr>
          <w:rFonts w:ascii="Alef" w:hAnsi="Alef" w:cs="Alef"/>
          <w:sz w:val="24"/>
          <w:szCs w:val="24"/>
          <w:rtl/>
        </w:rPr>
        <w:t>היתר מראש.</w:t>
      </w:r>
      <w:r w:rsidR="00955CA9">
        <w:rPr>
          <w:rFonts w:ascii="Alef" w:hAnsi="Alef" w:cs="Alef" w:hint="cs"/>
          <w:sz w:val="24"/>
          <w:szCs w:val="24"/>
          <w:rtl/>
        </w:rPr>
        <w:t xml:space="preserve"> </w:t>
      </w:r>
      <w:r w:rsidRPr="00BA63B1">
        <w:rPr>
          <w:rFonts w:ascii="Alef" w:hAnsi="Alef" w:cs="Alef"/>
          <w:sz w:val="24"/>
          <w:szCs w:val="24"/>
          <w:rtl/>
        </w:rPr>
        <w:t xml:space="preserve">הדבר יביא להכבדה משמעותית על הצדדים ועל הרשות ולהתארכות ניכרת של משך הזמן לביצוע </w:t>
      </w:r>
      <w:r w:rsidR="009F0CA5">
        <w:rPr>
          <w:rFonts w:ascii="Alef" w:hAnsi="Alef" w:cs="Alef" w:hint="cs"/>
          <w:sz w:val="24"/>
          <w:szCs w:val="24"/>
          <w:rtl/>
        </w:rPr>
        <w:t xml:space="preserve">מיזמים משותפים </w:t>
      </w:r>
      <w:r w:rsidR="0063335A">
        <w:rPr>
          <w:rFonts w:ascii="Alef" w:hAnsi="Alef" w:cs="Alef" w:hint="cs"/>
          <w:sz w:val="24"/>
          <w:szCs w:val="24"/>
          <w:rtl/>
        </w:rPr>
        <w:t>בעלי תכלית עסקית לגיטימית ו</w:t>
      </w:r>
      <w:r w:rsidRPr="00BA63B1">
        <w:rPr>
          <w:rFonts w:ascii="Alef" w:hAnsi="Alef" w:cs="Alef"/>
          <w:sz w:val="24"/>
          <w:szCs w:val="24"/>
          <w:rtl/>
        </w:rPr>
        <w:t>ש</w:t>
      </w:r>
      <w:r w:rsidR="00A0631A" w:rsidRPr="00BA63B1">
        <w:rPr>
          <w:rFonts w:ascii="Alef" w:hAnsi="Alef" w:cs="Alef"/>
          <w:sz w:val="24"/>
          <w:szCs w:val="24"/>
          <w:rtl/>
        </w:rPr>
        <w:t>לא</w:t>
      </w:r>
      <w:r w:rsidRPr="00BA63B1">
        <w:rPr>
          <w:rFonts w:ascii="Alef" w:hAnsi="Alef" w:cs="Alef"/>
          <w:sz w:val="24"/>
          <w:szCs w:val="24"/>
          <w:rtl/>
        </w:rPr>
        <w:t xml:space="preserve"> </w:t>
      </w:r>
      <w:r w:rsidR="00A0631A" w:rsidRPr="00BA63B1">
        <w:rPr>
          <w:rFonts w:ascii="Alef" w:hAnsi="Alef" w:cs="Alef"/>
          <w:sz w:val="24"/>
          <w:szCs w:val="24"/>
          <w:rtl/>
        </w:rPr>
        <w:t>פוגעים</w:t>
      </w:r>
      <w:r w:rsidRPr="00BA63B1">
        <w:rPr>
          <w:rFonts w:ascii="Alef" w:hAnsi="Alef" w:cs="Alef"/>
          <w:sz w:val="24"/>
          <w:szCs w:val="24"/>
          <w:rtl/>
        </w:rPr>
        <w:t xml:space="preserve"> </w:t>
      </w:r>
      <w:r w:rsidR="0063335A">
        <w:rPr>
          <w:rFonts w:ascii="Alef" w:hAnsi="Alef" w:cs="Alef" w:hint="cs"/>
          <w:sz w:val="24"/>
          <w:szCs w:val="24"/>
          <w:rtl/>
        </w:rPr>
        <w:t xml:space="preserve">פגיעה של ממש </w:t>
      </w:r>
      <w:r w:rsidRPr="00BA63B1">
        <w:rPr>
          <w:rFonts w:ascii="Alef" w:hAnsi="Alef" w:cs="Alef"/>
          <w:sz w:val="24"/>
          <w:szCs w:val="24"/>
          <w:rtl/>
        </w:rPr>
        <w:t>בתחרות.</w:t>
      </w:r>
      <w:r w:rsidR="00A0631A" w:rsidRPr="00BA63B1">
        <w:rPr>
          <w:rFonts w:ascii="Alef" w:hAnsi="Alef" w:cs="Alef"/>
          <w:sz w:val="24"/>
          <w:szCs w:val="24"/>
          <w:rtl/>
        </w:rPr>
        <w:t xml:space="preserve"> </w:t>
      </w:r>
      <w:r w:rsidR="0096788F">
        <w:rPr>
          <w:rFonts w:ascii="Alef" w:hAnsi="Alef" w:cs="Alef" w:hint="cs"/>
          <w:sz w:val="24"/>
          <w:szCs w:val="24"/>
          <w:rtl/>
        </w:rPr>
        <w:t xml:space="preserve">במקרים לא מעטים, </w:t>
      </w:r>
      <w:r w:rsidR="00B83638" w:rsidRPr="00BA63B1">
        <w:rPr>
          <w:rFonts w:ascii="Alef" w:hAnsi="Alef" w:cs="Alef"/>
          <w:sz w:val="24"/>
          <w:szCs w:val="24"/>
          <w:rtl/>
        </w:rPr>
        <w:t xml:space="preserve">חיוב </w:t>
      </w:r>
      <w:r w:rsidRPr="00BA63B1">
        <w:rPr>
          <w:rFonts w:ascii="Alef" w:hAnsi="Alef" w:cs="Alef"/>
          <w:sz w:val="24"/>
          <w:szCs w:val="24"/>
          <w:rtl/>
        </w:rPr>
        <w:t xml:space="preserve">היתר פרטני </w:t>
      </w:r>
      <w:r w:rsidRPr="00BA63B1">
        <w:rPr>
          <w:rFonts w:ascii="Alef" w:hAnsi="Alef" w:cs="Alef"/>
          <w:sz w:val="24"/>
          <w:szCs w:val="24"/>
          <w:rtl/>
        </w:rPr>
        <w:lastRenderedPageBreak/>
        <w:t xml:space="preserve">מראש להסדרים </w:t>
      </w:r>
      <w:r w:rsidR="0063335A">
        <w:rPr>
          <w:rFonts w:ascii="Alef" w:hAnsi="Alef" w:cs="Alef" w:hint="cs"/>
          <w:sz w:val="24"/>
          <w:szCs w:val="24"/>
          <w:rtl/>
        </w:rPr>
        <w:t xml:space="preserve">שעומדים </w:t>
      </w:r>
      <w:r w:rsidR="00B7245D">
        <w:rPr>
          <w:rFonts w:ascii="Alef" w:hAnsi="Alef" w:cs="Alef" w:hint="cs"/>
          <w:sz w:val="24"/>
          <w:szCs w:val="24"/>
          <w:rtl/>
        </w:rPr>
        <w:t>במבחנים המהותיים</w:t>
      </w:r>
      <w:r w:rsidRPr="00BA63B1">
        <w:rPr>
          <w:rFonts w:ascii="Alef" w:hAnsi="Alef" w:cs="Alef"/>
          <w:sz w:val="24"/>
          <w:szCs w:val="24"/>
          <w:rtl/>
        </w:rPr>
        <w:t xml:space="preserve"> אינו משרת את תכלית החוק</w:t>
      </w:r>
      <w:r w:rsidR="00955CA9">
        <w:rPr>
          <w:rFonts w:ascii="Alef" w:hAnsi="Alef" w:cs="Alef" w:hint="cs"/>
          <w:sz w:val="24"/>
          <w:szCs w:val="24"/>
          <w:rtl/>
        </w:rPr>
        <w:t>, והוא אף עלול לפגוע בתחרות</w:t>
      </w:r>
      <w:r w:rsidR="004C4035">
        <w:rPr>
          <w:rFonts w:ascii="Alef" w:hAnsi="Alef" w:cs="Alef" w:hint="cs"/>
          <w:sz w:val="24"/>
          <w:szCs w:val="24"/>
          <w:rtl/>
        </w:rPr>
        <w:t xml:space="preserve"> שמיזמים כאלה מבקשים ליצור</w:t>
      </w:r>
      <w:r w:rsidRPr="00BA63B1">
        <w:rPr>
          <w:rFonts w:ascii="Alef" w:hAnsi="Alef" w:cs="Alef"/>
          <w:sz w:val="24"/>
          <w:szCs w:val="24"/>
          <w:rtl/>
        </w:rPr>
        <w:t xml:space="preserve">. </w:t>
      </w:r>
    </w:p>
    <w:p w14:paraId="7E857308" w14:textId="289B4597" w:rsidR="00774EFA" w:rsidRPr="00BA63B1" w:rsidRDefault="00EB5588" w:rsidP="007112AE">
      <w:pPr>
        <w:jc w:val="both"/>
        <w:rPr>
          <w:rFonts w:ascii="Alef" w:hAnsi="Alef" w:cs="Alef"/>
          <w:sz w:val="24"/>
          <w:szCs w:val="24"/>
          <w:rtl/>
        </w:rPr>
      </w:pPr>
      <w:r w:rsidRPr="00BA63B1">
        <w:rPr>
          <w:rFonts w:ascii="Alef" w:hAnsi="Alef" w:cs="Alef"/>
          <w:sz w:val="24"/>
          <w:szCs w:val="24"/>
          <w:rtl/>
        </w:rPr>
        <w:t>מלבד ההכבדה הכרוכה בקבלת היתרים מראש</w:t>
      </w:r>
      <w:r w:rsidR="00F12D53" w:rsidRPr="00BA63B1">
        <w:rPr>
          <w:rFonts w:ascii="Alef" w:hAnsi="Alef" w:cs="Alef"/>
          <w:sz w:val="24"/>
          <w:szCs w:val="24"/>
          <w:rtl/>
        </w:rPr>
        <w:t>,</w:t>
      </w:r>
      <w:r w:rsidRPr="00BA63B1">
        <w:rPr>
          <w:rFonts w:ascii="Alef" w:hAnsi="Alef" w:cs="Alef"/>
          <w:sz w:val="24"/>
          <w:szCs w:val="24"/>
          <w:rtl/>
        </w:rPr>
        <w:t xml:space="preserve"> ישנו חשש ממשי </w:t>
      </w:r>
      <w:r w:rsidR="00E364B8" w:rsidRPr="00BA63B1">
        <w:rPr>
          <w:rFonts w:ascii="Alef" w:hAnsi="Alef" w:cs="Alef"/>
          <w:sz w:val="24"/>
          <w:szCs w:val="24"/>
          <w:rtl/>
        </w:rPr>
        <w:t>כי לו יבוטל פטור הסוג, צדדים להסדרים רבים לא יפנו בבקשת אישור מראש, הגם שהיו זוכים לפטור פרטני לו הי</w:t>
      </w:r>
      <w:r w:rsidR="00AF0911" w:rsidRPr="00BA63B1">
        <w:rPr>
          <w:rFonts w:ascii="Alef" w:hAnsi="Alef" w:cs="Alef"/>
          <w:sz w:val="24"/>
          <w:szCs w:val="24"/>
          <w:rtl/>
        </w:rPr>
        <w:t>ו פונים</w:t>
      </w:r>
      <w:r w:rsidR="00E364B8" w:rsidRPr="00BA63B1">
        <w:rPr>
          <w:rFonts w:ascii="Alef" w:hAnsi="Alef" w:cs="Alef"/>
          <w:sz w:val="24"/>
          <w:szCs w:val="24"/>
          <w:rtl/>
        </w:rPr>
        <w:t>.</w:t>
      </w:r>
      <w:r w:rsidRPr="00BA63B1">
        <w:rPr>
          <w:rFonts w:ascii="Alef" w:hAnsi="Alef" w:cs="Alef"/>
          <w:sz w:val="24"/>
          <w:szCs w:val="24"/>
          <w:rtl/>
        </w:rPr>
        <w:t xml:space="preserve"> </w:t>
      </w:r>
      <w:r w:rsidR="00E364B8" w:rsidRPr="00BA63B1">
        <w:rPr>
          <w:rFonts w:ascii="Alef" w:hAnsi="Alef" w:cs="Alef"/>
          <w:sz w:val="24"/>
          <w:szCs w:val="24"/>
          <w:rtl/>
        </w:rPr>
        <w:t xml:space="preserve">קרי - </w:t>
      </w:r>
      <w:r w:rsidRPr="00BA63B1">
        <w:rPr>
          <w:rFonts w:ascii="Alef" w:hAnsi="Alef" w:cs="Alef"/>
          <w:sz w:val="24"/>
          <w:szCs w:val="24"/>
          <w:rtl/>
        </w:rPr>
        <w:t xml:space="preserve">עסקאות רבות שלא תגענה לקבלת היתר מראש יוכתמו באי חוקיות אף אם הן אינן פוגעות בתחרות.   </w:t>
      </w:r>
    </w:p>
    <w:p w14:paraId="1192226F" w14:textId="2B87AED0" w:rsidR="00EB5588" w:rsidRPr="00BA63B1" w:rsidRDefault="00774EFA" w:rsidP="00330202">
      <w:pPr>
        <w:jc w:val="both"/>
        <w:rPr>
          <w:rFonts w:ascii="Alef" w:hAnsi="Alef" w:cs="Alef"/>
          <w:sz w:val="24"/>
          <w:szCs w:val="24"/>
          <w:rtl/>
        </w:rPr>
      </w:pPr>
      <w:r w:rsidRPr="00BA63B1">
        <w:rPr>
          <w:rFonts w:ascii="Alef" w:hAnsi="Alef" w:cs="Alef"/>
          <w:sz w:val="24"/>
          <w:szCs w:val="24"/>
          <w:rtl/>
        </w:rPr>
        <w:t>זאת ועוד, בשונה ממתן פטור פרטני, הערכה עצמית של צדדים אם הם עומדים בתנאי פטור סוג היא מלאכה מתמשכת</w:t>
      </w:r>
      <w:r w:rsidR="002F20AA" w:rsidRPr="00BA63B1">
        <w:rPr>
          <w:rFonts w:ascii="Alef" w:hAnsi="Alef" w:cs="Alef"/>
          <w:sz w:val="24"/>
          <w:szCs w:val="24"/>
          <w:rtl/>
        </w:rPr>
        <w:t xml:space="preserve"> ודינמית</w:t>
      </w:r>
      <w:r w:rsidRPr="00BA63B1">
        <w:rPr>
          <w:rFonts w:ascii="Alef" w:hAnsi="Alef" w:cs="Alef"/>
          <w:sz w:val="24"/>
          <w:szCs w:val="24"/>
          <w:rtl/>
        </w:rPr>
        <w:t xml:space="preserve"> המוטלת על הצדדים</w:t>
      </w:r>
      <w:r w:rsidR="00260816" w:rsidRPr="00BA63B1">
        <w:rPr>
          <w:rFonts w:ascii="Alef" w:hAnsi="Alef" w:cs="Alef"/>
          <w:sz w:val="24"/>
          <w:szCs w:val="24"/>
          <w:rtl/>
        </w:rPr>
        <w:t>, ומתבצעת לפי לוחות הזמנים של הצדדים עצמם בהתאם להעדפותיהם</w:t>
      </w:r>
      <w:r w:rsidRPr="00BA63B1">
        <w:rPr>
          <w:rFonts w:ascii="Alef" w:hAnsi="Alef" w:cs="Alef"/>
          <w:sz w:val="24"/>
          <w:szCs w:val="24"/>
          <w:rtl/>
        </w:rPr>
        <w:t>.</w:t>
      </w:r>
      <w:r w:rsidR="00CA0BE6" w:rsidRPr="00BA63B1">
        <w:rPr>
          <w:rFonts w:ascii="Alef" w:hAnsi="Alef" w:cs="Alef"/>
          <w:sz w:val="24"/>
          <w:szCs w:val="24"/>
          <w:rtl/>
        </w:rPr>
        <w:t xml:space="preserve"> לצדדים </w:t>
      </w:r>
      <w:r w:rsidR="00A356B6" w:rsidRPr="00BA63B1">
        <w:rPr>
          <w:rFonts w:ascii="Alef" w:hAnsi="Alef" w:cs="Alef"/>
          <w:sz w:val="24"/>
          <w:szCs w:val="24"/>
          <w:rtl/>
        </w:rPr>
        <w:t>י</w:t>
      </w:r>
      <w:r w:rsidR="00CA0BE6" w:rsidRPr="00BA63B1">
        <w:rPr>
          <w:rFonts w:ascii="Alef" w:hAnsi="Alef" w:cs="Alef"/>
          <w:sz w:val="24"/>
          <w:szCs w:val="24"/>
          <w:rtl/>
        </w:rPr>
        <w:t>ש שליטה על מאפייני ההסדר ולעיתים בידם לשנותו</w:t>
      </w:r>
      <w:r w:rsidR="00A356B6" w:rsidRPr="00BA63B1">
        <w:rPr>
          <w:rFonts w:ascii="Alef" w:hAnsi="Alef" w:cs="Alef"/>
          <w:sz w:val="24"/>
          <w:szCs w:val="24"/>
          <w:rtl/>
        </w:rPr>
        <w:t xml:space="preserve"> בנקל</w:t>
      </w:r>
      <w:r w:rsidR="00CA0BE6" w:rsidRPr="00BA63B1">
        <w:rPr>
          <w:rFonts w:ascii="Alef" w:hAnsi="Alef" w:cs="Alef"/>
          <w:sz w:val="24"/>
          <w:szCs w:val="24"/>
          <w:rtl/>
        </w:rPr>
        <w:t>, כך שיתאים לדרישות החוק.</w:t>
      </w:r>
      <w:r w:rsidR="00EB5588" w:rsidRPr="00BA63B1">
        <w:rPr>
          <w:rFonts w:ascii="Alef" w:hAnsi="Alef" w:cs="Alef"/>
          <w:sz w:val="24"/>
          <w:szCs w:val="24"/>
          <w:rtl/>
        </w:rPr>
        <w:t xml:space="preserve"> </w:t>
      </w:r>
      <w:r w:rsidR="00330202" w:rsidRPr="00BA63B1">
        <w:rPr>
          <w:rFonts w:ascii="Alef" w:hAnsi="Alef" w:cs="Alef"/>
          <w:sz w:val="24"/>
          <w:szCs w:val="24"/>
          <w:rtl/>
        </w:rPr>
        <w:t>כמו כן, הם ערים בעצמם לשינויים שחלו בהסדר ויכולים לבחון אותו מפעם לפעם.</w:t>
      </w:r>
    </w:p>
    <w:p w14:paraId="3CAA5828" w14:textId="360029AA" w:rsidR="00EA59A3" w:rsidRDefault="00EB5588" w:rsidP="00B823BA">
      <w:pPr>
        <w:jc w:val="both"/>
        <w:rPr>
          <w:rFonts w:ascii="Alef" w:hAnsi="Alef" w:cs="Alef"/>
          <w:sz w:val="24"/>
          <w:szCs w:val="24"/>
          <w:rtl/>
        </w:rPr>
      </w:pPr>
      <w:r w:rsidRPr="00BA63B1">
        <w:rPr>
          <w:rFonts w:ascii="Alef" w:hAnsi="Alef" w:cs="Alef"/>
          <w:sz w:val="24"/>
          <w:szCs w:val="24"/>
          <w:rtl/>
        </w:rPr>
        <w:t>אל מול חסרונות חלופת ביטול פטור הסוג, המשך השימוש ב</w:t>
      </w:r>
      <w:r w:rsidR="007112AE">
        <w:rPr>
          <w:rFonts w:ascii="Alef" w:hAnsi="Alef" w:cs="Alef" w:hint="cs"/>
          <w:sz w:val="24"/>
          <w:szCs w:val="24"/>
          <w:rtl/>
        </w:rPr>
        <w:t>ו</w:t>
      </w:r>
      <w:r w:rsidRPr="00BA63B1">
        <w:rPr>
          <w:rFonts w:ascii="Alef" w:hAnsi="Alef" w:cs="Alef"/>
          <w:sz w:val="24"/>
          <w:szCs w:val="24"/>
          <w:rtl/>
        </w:rPr>
        <w:t xml:space="preserve"> </w:t>
      </w:r>
      <w:r w:rsidR="007112AE">
        <w:rPr>
          <w:rFonts w:ascii="Alef" w:hAnsi="Alef" w:cs="Alef" w:hint="cs"/>
          <w:sz w:val="24"/>
          <w:szCs w:val="24"/>
          <w:rtl/>
        </w:rPr>
        <w:t>י</w:t>
      </w:r>
      <w:r w:rsidRPr="00BA63B1">
        <w:rPr>
          <w:rFonts w:ascii="Alef" w:hAnsi="Alef" w:cs="Alef"/>
          <w:sz w:val="24"/>
          <w:szCs w:val="24"/>
          <w:rtl/>
        </w:rPr>
        <w:t xml:space="preserve">פחית עלויות למדינה ולציבור </w:t>
      </w:r>
      <w:r w:rsidR="00880657" w:rsidRPr="00BA63B1">
        <w:rPr>
          <w:rFonts w:ascii="Alef" w:hAnsi="Alef" w:cs="Alef"/>
          <w:sz w:val="24"/>
          <w:szCs w:val="24"/>
          <w:rtl/>
        </w:rPr>
        <w:t xml:space="preserve">וזאת </w:t>
      </w:r>
      <w:r w:rsidRPr="00BA63B1">
        <w:rPr>
          <w:rFonts w:ascii="Alef" w:hAnsi="Alef" w:cs="Alef"/>
          <w:sz w:val="24"/>
          <w:szCs w:val="24"/>
          <w:rtl/>
        </w:rPr>
        <w:t xml:space="preserve">מבלי לפגוע בערך </w:t>
      </w:r>
      <w:r w:rsidRPr="00BA63B1">
        <w:rPr>
          <w:rFonts w:ascii="Alef" w:hAnsi="Alef" w:cs="Alef"/>
          <w:sz w:val="24"/>
          <w:szCs w:val="24"/>
          <w:rtl/>
        </w:rPr>
        <w:lastRenderedPageBreak/>
        <w:t>המוגן של החוק – התחרות החופשית. על כן, פטור הסוג משמש כאמצעי היעיל ביותר לשמירה על הערך המוגן של תחרות חופשית תוך הסרת נטל רגולטורי וביורוקרטי עודף.</w:t>
      </w:r>
      <w:r w:rsidR="00DE7976" w:rsidRPr="00DE7976">
        <w:rPr>
          <w:rFonts w:ascii="Alef" w:hAnsi="Alef" w:cs="Alef" w:hint="cs"/>
          <w:sz w:val="24"/>
          <w:szCs w:val="24"/>
          <w:rtl/>
        </w:rPr>
        <w:t xml:space="preserve"> </w:t>
      </w:r>
      <w:r w:rsidR="00DE7976">
        <w:rPr>
          <w:rFonts w:ascii="Alef" w:hAnsi="Alef" w:cs="Alef" w:hint="cs"/>
          <w:sz w:val="24"/>
          <w:szCs w:val="24"/>
          <w:rtl/>
        </w:rPr>
        <w:t xml:space="preserve">נציין, כי נקבעו בפטור חריגים מסוימים והוא אינו פוטר כל מיזם משותף. לאחר בחינה יסודית של החריגים, נמצא שעל אף שהם עשויים לחייב גם הסדרים לגיטימיים בפטור פרטני </w:t>
      </w:r>
      <w:r w:rsidR="00DE7976">
        <w:rPr>
          <w:rFonts w:ascii="Alef" w:hAnsi="Alef" w:cs="Alef"/>
          <w:sz w:val="24"/>
          <w:szCs w:val="24"/>
          <w:rtl/>
        </w:rPr>
        <w:t>–</w:t>
      </w:r>
      <w:r w:rsidR="00DE7976">
        <w:rPr>
          <w:rFonts w:ascii="Alef" w:hAnsi="Alef" w:cs="Alef" w:hint="cs"/>
          <w:sz w:val="24"/>
          <w:szCs w:val="24"/>
          <w:rtl/>
        </w:rPr>
        <w:t xml:space="preserve"> נכון שלא לפטור אותם </w:t>
      </w:r>
      <w:r w:rsidR="003860D3">
        <w:rPr>
          <w:rFonts w:ascii="Alef" w:hAnsi="Alef" w:cs="Alef" w:hint="cs"/>
          <w:sz w:val="24"/>
          <w:szCs w:val="24"/>
          <w:rtl/>
        </w:rPr>
        <w:t xml:space="preserve">בפטור סוג </w:t>
      </w:r>
      <w:r w:rsidR="00DE7976">
        <w:rPr>
          <w:rFonts w:ascii="Alef" w:hAnsi="Alef" w:cs="Alef" w:hint="cs"/>
          <w:sz w:val="24"/>
          <w:szCs w:val="24"/>
          <w:rtl/>
        </w:rPr>
        <w:t>בשל הסתברות הפגיעה בתחרות</w:t>
      </w:r>
      <w:r w:rsidR="003860D3">
        <w:rPr>
          <w:rFonts w:ascii="Alef" w:hAnsi="Alef" w:cs="Alef" w:hint="cs"/>
          <w:sz w:val="24"/>
          <w:szCs w:val="24"/>
          <w:rtl/>
        </w:rPr>
        <w:t xml:space="preserve"> ועוצמת הפגיעה האפשרית</w:t>
      </w:r>
      <w:r w:rsidR="00DE7976">
        <w:rPr>
          <w:rFonts w:ascii="Alef" w:hAnsi="Alef" w:cs="Alef" w:hint="cs"/>
          <w:sz w:val="24"/>
          <w:szCs w:val="24"/>
          <w:rtl/>
        </w:rPr>
        <w:t xml:space="preserve"> של הסדרים מסוגים אלו. כלומר, בשל החשש המוגבר שאלו מעלים נכון להותיר הסדרים אלו במשטר של היתר מראש, ולא להעבירם למשטר הערכה עצמית. כך, תושג באופן המיטבי מטרת החוק של מניעת הסדרים שפוגעים פגיעה של ממש בתחרות.</w:t>
      </w:r>
    </w:p>
    <w:p w14:paraId="5DA10DA0" w14:textId="427F1E6D" w:rsidR="00EB5588" w:rsidRPr="00BA63B1" w:rsidRDefault="00EA59A3" w:rsidP="00067FF2">
      <w:pPr>
        <w:jc w:val="both"/>
        <w:rPr>
          <w:rFonts w:ascii="Alef" w:hAnsi="Alef" w:cs="Alef"/>
          <w:sz w:val="24"/>
          <w:szCs w:val="24"/>
          <w:rtl/>
        </w:rPr>
      </w:pPr>
      <w:r>
        <w:rPr>
          <w:rFonts w:ascii="Alef" w:hAnsi="Alef" w:cs="Alef" w:hint="cs"/>
          <w:sz w:val="24"/>
          <w:szCs w:val="24"/>
          <w:rtl/>
        </w:rPr>
        <w:t xml:space="preserve">באשר לפטור הסוג </w:t>
      </w:r>
      <w:r w:rsidR="004308DD">
        <w:rPr>
          <w:rFonts w:ascii="Alef" w:hAnsi="Alef" w:cs="Alef" w:hint="cs"/>
          <w:sz w:val="24"/>
          <w:szCs w:val="24"/>
          <w:rtl/>
        </w:rPr>
        <w:t>להסכמים לביצוע מחקר ופיתוח הוחלט שלא לחדשו. זאת, בשל שימוש מועט שנעשה בו ממילא, ובשל הרחבת פטורי הסוג האחרים</w:t>
      </w:r>
      <w:r w:rsidR="00DE7976">
        <w:rPr>
          <w:rFonts w:ascii="Alef" w:hAnsi="Alef" w:cs="Alef" w:hint="cs"/>
          <w:sz w:val="24"/>
          <w:szCs w:val="24"/>
          <w:rtl/>
        </w:rPr>
        <w:t xml:space="preserve"> והכללת הסכמים לביצוע מחקר ופיתוח בפטור הסוג למיזמים משותפים</w:t>
      </w:r>
      <w:r w:rsidR="004308DD">
        <w:rPr>
          <w:rFonts w:ascii="Alef" w:hAnsi="Alef" w:cs="Alef" w:hint="cs"/>
          <w:sz w:val="24"/>
          <w:szCs w:val="24"/>
          <w:rtl/>
        </w:rPr>
        <w:t xml:space="preserve"> באופן שנותן מענה מספק להסדרים שחסו בעבר תחת פטור הסוג להסכמים לביצוע מחקר ופיתוח.</w:t>
      </w:r>
    </w:p>
    <w:p w14:paraId="069490B7" w14:textId="77777777" w:rsidR="00EB5588" w:rsidRPr="00BA63B1" w:rsidRDefault="00EB5588" w:rsidP="00EB5588">
      <w:pPr>
        <w:jc w:val="both"/>
        <w:rPr>
          <w:rFonts w:ascii="Alef" w:hAnsi="Alef" w:cs="Alef"/>
          <w:sz w:val="24"/>
          <w:szCs w:val="24"/>
          <w:rtl/>
        </w:rPr>
      </w:pPr>
      <w:r w:rsidRPr="00BA63B1">
        <w:rPr>
          <w:rFonts w:ascii="Alef" w:hAnsi="Alef" w:cs="Alef"/>
          <w:b/>
          <w:bCs/>
          <w:sz w:val="24"/>
          <w:szCs w:val="24"/>
          <w:u w:val="single"/>
          <w:rtl/>
        </w:rPr>
        <w:lastRenderedPageBreak/>
        <w:t>שיח עם בעלי עניין</w:t>
      </w:r>
    </w:p>
    <w:p w14:paraId="230AC53E" w14:textId="200871BD" w:rsidR="00C554AD" w:rsidRPr="00BA63B1" w:rsidRDefault="007D1BE0" w:rsidP="007A6D7E">
      <w:pPr>
        <w:jc w:val="both"/>
        <w:rPr>
          <w:rFonts w:ascii="Alef" w:hAnsi="Alef" w:cs="Alef"/>
          <w:sz w:val="24"/>
          <w:szCs w:val="24"/>
        </w:rPr>
      </w:pPr>
      <w:r w:rsidRPr="00BA63B1">
        <w:rPr>
          <w:rFonts w:ascii="Alef" w:hAnsi="Alef" w:cs="Alef"/>
          <w:sz w:val="24"/>
          <w:szCs w:val="24"/>
          <w:rtl/>
        </w:rPr>
        <w:t xml:space="preserve">ביום 8.2.2021 פרסמה הרשות קול קורא לקבלת עמדות הציבור </w:t>
      </w:r>
      <w:r w:rsidR="007112AE">
        <w:rPr>
          <w:rFonts w:ascii="Alef" w:hAnsi="Alef" w:cs="Alef" w:hint="cs"/>
          <w:sz w:val="24"/>
          <w:szCs w:val="24"/>
          <w:rtl/>
        </w:rPr>
        <w:t>ביחס לפטור הסוג</w:t>
      </w:r>
      <w:r w:rsidRPr="00BA63B1">
        <w:rPr>
          <w:rFonts w:ascii="Alef" w:hAnsi="Alef" w:cs="Alef"/>
          <w:sz w:val="24"/>
          <w:szCs w:val="24"/>
          <w:rtl/>
        </w:rPr>
        <w:t>.</w:t>
      </w:r>
      <w:r w:rsidRPr="00BA63B1">
        <w:rPr>
          <w:rStyle w:val="FootnoteReference"/>
          <w:rFonts w:ascii="Alef" w:hAnsi="Alef" w:cs="Alef"/>
          <w:sz w:val="24"/>
          <w:szCs w:val="24"/>
          <w:rtl/>
        </w:rPr>
        <w:footnoteReference w:id="6"/>
      </w:r>
      <w:r w:rsidRPr="00BA63B1">
        <w:rPr>
          <w:rFonts w:ascii="Alef" w:hAnsi="Alef" w:cs="Alef"/>
          <w:sz w:val="24"/>
          <w:szCs w:val="24"/>
          <w:rtl/>
        </w:rPr>
        <w:t xml:space="preserve"> הציבור הרחב הוזמן להגיש עמדות בעניין חידוש</w:t>
      </w:r>
      <w:r w:rsidR="007A6D7E">
        <w:rPr>
          <w:rFonts w:ascii="Alef" w:hAnsi="Alef" w:cs="Alef" w:hint="cs"/>
          <w:sz w:val="24"/>
          <w:szCs w:val="24"/>
          <w:rtl/>
        </w:rPr>
        <w:t>ו</w:t>
      </w:r>
      <w:r w:rsidRPr="00BA63B1">
        <w:rPr>
          <w:rFonts w:ascii="Alef" w:hAnsi="Alef" w:cs="Alef"/>
          <w:sz w:val="24"/>
          <w:szCs w:val="24"/>
          <w:rtl/>
        </w:rPr>
        <w:t xml:space="preserve"> והצורך בעריכת תיקונים ב</w:t>
      </w:r>
      <w:r w:rsidR="007A6D7E">
        <w:rPr>
          <w:rFonts w:ascii="Alef" w:hAnsi="Alef" w:cs="Alef" w:hint="cs"/>
          <w:sz w:val="24"/>
          <w:szCs w:val="24"/>
          <w:rtl/>
        </w:rPr>
        <w:t>ו.</w:t>
      </w:r>
      <w:r w:rsidR="00C554AD" w:rsidRPr="00BA63B1">
        <w:rPr>
          <w:rFonts w:ascii="Alef" w:hAnsi="Alef" w:cs="Alef"/>
          <w:sz w:val="24"/>
          <w:szCs w:val="24"/>
          <w:rtl/>
        </w:rPr>
        <w:t xml:space="preserve"> </w:t>
      </w:r>
    </w:p>
    <w:p w14:paraId="4A2D3A16" w14:textId="569C57D9" w:rsidR="007D6EBF" w:rsidRPr="00BA63B1" w:rsidRDefault="003A6EEE" w:rsidP="00B823BA">
      <w:pPr>
        <w:jc w:val="both"/>
        <w:rPr>
          <w:rFonts w:ascii="Alef" w:hAnsi="Alef" w:cs="Alef"/>
          <w:sz w:val="24"/>
          <w:szCs w:val="24"/>
          <w:rtl/>
        </w:rPr>
      </w:pPr>
      <w:r w:rsidRPr="00BA63B1">
        <w:rPr>
          <w:rFonts w:ascii="Alef" w:hAnsi="Alef" w:cs="Alef"/>
          <w:sz w:val="24"/>
          <w:szCs w:val="24"/>
          <w:rtl/>
        </w:rPr>
        <w:t>מ</w:t>
      </w:r>
      <w:r w:rsidR="00A466CC" w:rsidRPr="00BA63B1">
        <w:rPr>
          <w:rFonts w:ascii="Alef" w:hAnsi="Alef" w:cs="Alef"/>
          <w:sz w:val="24"/>
          <w:szCs w:val="24"/>
          <w:rtl/>
        </w:rPr>
        <w:t xml:space="preserve">תגובות בעלי העניין עולה </w:t>
      </w:r>
      <w:r w:rsidRPr="00BA63B1">
        <w:rPr>
          <w:rFonts w:ascii="Alef" w:hAnsi="Alef" w:cs="Alef"/>
          <w:sz w:val="24"/>
          <w:szCs w:val="24"/>
          <w:rtl/>
        </w:rPr>
        <w:t>תמיכ</w:t>
      </w:r>
      <w:r w:rsidR="00B90933" w:rsidRPr="00BA63B1">
        <w:rPr>
          <w:rFonts w:ascii="Alef" w:hAnsi="Alef" w:cs="Alef"/>
          <w:sz w:val="24"/>
          <w:szCs w:val="24"/>
          <w:rtl/>
        </w:rPr>
        <w:t>ה</w:t>
      </w:r>
      <w:r w:rsidR="00A466CC" w:rsidRPr="00BA63B1">
        <w:rPr>
          <w:rFonts w:ascii="Alef" w:hAnsi="Alef" w:cs="Alef"/>
          <w:sz w:val="24"/>
          <w:szCs w:val="24"/>
          <w:rtl/>
        </w:rPr>
        <w:t xml:space="preserve"> </w:t>
      </w:r>
      <w:r w:rsidRPr="00BA63B1">
        <w:rPr>
          <w:rFonts w:ascii="Alef" w:hAnsi="Alef" w:cs="Alef"/>
          <w:sz w:val="24"/>
          <w:szCs w:val="24"/>
          <w:rtl/>
        </w:rPr>
        <w:t>במנגנון פטור הסוג</w:t>
      </w:r>
      <w:r w:rsidR="00B90933" w:rsidRPr="00BA63B1">
        <w:rPr>
          <w:rFonts w:ascii="Alef" w:hAnsi="Alef" w:cs="Alef"/>
          <w:sz w:val="24"/>
          <w:szCs w:val="24"/>
          <w:rtl/>
        </w:rPr>
        <w:t>,</w:t>
      </w:r>
      <w:r w:rsidR="00B823BA">
        <w:rPr>
          <w:rFonts w:ascii="Alef" w:hAnsi="Alef" w:cs="Alef"/>
          <w:sz w:val="24"/>
          <w:szCs w:val="24"/>
          <w:rtl/>
        </w:rPr>
        <w:t xml:space="preserve"> ובפרט במ</w:t>
      </w:r>
      <w:r w:rsidR="00B823BA">
        <w:rPr>
          <w:rFonts w:ascii="Alef" w:hAnsi="Alef" w:cs="Alef" w:hint="cs"/>
          <w:sz w:val="24"/>
          <w:szCs w:val="24"/>
          <w:rtl/>
        </w:rPr>
        <w:t>נגנון</w:t>
      </w:r>
      <w:r w:rsidRPr="00BA63B1">
        <w:rPr>
          <w:rFonts w:ascii="Alef" w:hAnsi="Alef" w:cs="Alef"/>
          <w:sz w:val="24"/>
          <w:szCs w:val="24"/>
          <w:rtl/>
        </w:rPr>
        <w:t xml:space="preserve"> ההערכה העצמית</w:t>
      </w:r>
      <w:r w:rsidR="00BA5ACD">
        <w:rPr>
          <w:rFonts w:ascii="Alef" w:hAnsi="Alef" w:cs="Alef" w:hint="cs"/>
          <w:sz w:val="24"/>
          <w:szCs w:val="24"/>
          <w:rtl/>
        </w:rPr>
        <w:t xml:space="preserve">, וצוין כי פטור הסוג </w:t>
      </w:r>
      <w:r w:rsidR="00B823BA">
        <w:rPr>
          <w:rFonts w:ascii="Alef" w:hAnsi="Alef" w:cs="Alef" w:hint="cs"/>
          <w:sz w:val="24"/>
          <w:szCs w:val="24"/>
          <w:rtl/>
        </w:rPr>
        <w:t xml:space="preserve">למיזמים משותפים </w:t>
      </w:r>
      <w:r w:rsidR="00BA5ACD">
        <w:rPr>
          <w:rFonts w:ascii="Alef" w:hAnsi="Alef" w:cs="Alef" w:hint="cs"/>
          <w:sz w:val="24"/>
          <w:szCs w:val="24"/>
          <w:rtl/>
        </w:rPr>
        <w:t>הוא אחד מפטורי הסוג שבו נעשה שימוש</w:t>
      </w:r>
      <w:r w:rsidR="00B823BA">
        <w:rPr>
          <w:rFonts w:ascii="Alef" w:hAnsi="Alef" w:cs="Alef" w:hint="cs"/>
          <w:sz w:val="24"/>
          <w:szCs w:val="24"/>
          <w:rtl/>
        </w:rPr>
        <w:t xml:space="preserve"> רב</w:t>
      </w:r>
      <w:r w:rsidR="00A466CC" w:rsidRPr="00BA63B1">
        <w:rPr>
          <w:rFonts w:ascii="Alef" w:hAnsi="Alef" w:cs="Alef"/>
          <w:sz w:val="24"/>
          <w:szCs w:val="24"/>
          <w:rtl/>
        </w:rPr>
        <w:t xml:space="preserve">. </w:t>
      </w:r>
    </w:p>
    <w:p w14:paraId="1379C98B" w14:textId="683336A2" w:rsidR="00BA5ACD" w:rsidRDefault="000845A6" w:rsidP="00DD26ED">
      <w:pPr>
        <w:jc w:val="both"/>
        <w:rPr>
          <w:rFonts w:ascii="Alef" w:hAnsi="Alef" w:cs="Alef"/>
          <w:sz w:val="24"/>
          <w:szCs w:val="24"/>
          <w:rtl/>
        </w:rPr>
      </w:pPr>
      <w:r w:rsidRPr="00BA63B1">
        <w:rPr>
          <w:rFonts w:ascii="Alef" w:hAnsi="Alef" w:cs="Alef"/>
          <w:sz w:val="24"/>
          <w:szCs w:val="24"/>
          <w:rtl/>
        </w:rPr>
        <w:t xml:space="preserve">הערת ציבור </w:t>
      </w:r>
      <w:r w:rsidR="007A6D7E">
        <w:rPr>
          <w:rFonts w:ascii="Alef" w:hAnsi="Alef" w:cs="Alef" w:hint="cs"/>
          <w:sz w:val="24"/>
          <w:szCs w:val="24"/>
          <w:rtl/>
        </w:rPr>
        <w:t>שחזרה על עצמה</w:t>
      </w:r>
      <w:r w:rsidRPr="00BA63B1">
        <w:rPr>
          <w:rFonts w:ascii="Alef" w:hAnsi="Alef" w:cs="Alef"/>
          <w:sz w:val="24"/>
          <w:szCs w:val="24"/>
          <w:rtl/>
        </w:rPr>
        <w:t xml:space="preserve"> היא כי נדרשים מסמכים נוספים שיבהירו את פרשנות פטורי הסוג, אלו יקלו על העוסקים בתחום להבין ביטויים </w:t>
      </w:r>
      <w:r w:rsidR="005A0F90" w:rsidRPr="00BA63B1">
        <w:rPr>
          <w:rFonts w:ascii="Alef" w:hAnsi="Alef" w:cs="Alef"/>
          <w:sz w:val="24"/>
          <w:szCs w:val="24"/>
          <w:rtl/>
        </w:rPr>
        <w:t>שניתן לפרש בכמה אופנים, ויצרו דין אחיד יותר שפחות נתון לפרשנות סובייקטיבית. נציין, כי יחד עם פטורי הסוג מתפרסמים דברי הסבר שעשויים לשמש כלי פרשני לפטור הסוג.</w:t>
      </w:r>
    </w:p>
    <w:p w14:paraId="62570C37" w14:textId="66850331" w:rsidR="00EF0ED6" w:rsidRDefault="00EF0ED6" w:rsidP="001258FE">
      <w:pPr>
        <w:jc w:val="both"/>
        <w:rPr>
          <w:rFonts w:ascii="Alef" w:hAnsi="Alef" w:cs="Alef"/>
          <w:sz w:val="24"/>
          <w:szCs w:val="24"/>
          <w:rtl/>
        </w:rPr>
      </w:pPr>
      <w:r>
        <w:rPr>
          <w:rFonts w:ascii="Alef" w:hAnsi="Alef" w:cs="Alef" w:hint="cs"/>
          <w:sz w:val="24"/>
          <w:szCs w:val="24"/>
          <w:rtl/>
        </w:rPr>
        <w:lastRenderedPageBreak/>
        <w:t xml:space="preserve">הערה </w:t>
      </w:r>
      <w:r w:rsidR="002B1C17">
        <w:rPr>
          <w:rFonts w:ascii="Alef" w:hAnsi="Alef" w:cs="Alef" w:hint="cs"/>
          <w:sz w:val="24"/>
          <w:szCs w:val="24"/>
          <w:rtl/>
        </w:rPr>
        <w:t xml:space="preserve">כללית היתה שהגדרת "מיזם משותף" צרה מידי וראוי שהפטור יחול על כל עסקה </w:t>
      </w:r>
      <w:r w:rsidR="002B1C17">
        <w:rPr>
          <w:rFonts w:ascii="Alef" w:hAnsi="Alef" w:cs="Alef"/>
          <w:sz w:val="24"/>
          <w:szCs w:val="24"/>
          <w:rtl/>
        </w:rPr>
        <w:t>–</w:t>
      </w:r>
      <w:r w:rsidR="002B1C17">
        <w:rPr>
          <w:rFonts w:ascii="Alef" w:hAnsi="Alef" w:cs="Alef" w:hint="cs"/>
          <w:sz w:val="24"/>
          <w:szCs w:val="24"/>
          <w:rtl/>
        </w:rPr>
        <w:t xml:space="preserve"> גם אם אינה הסכם לייצור טובין, שיווקם או רכישתם.</w:t>
      </w:r>
      <w:r w:rsidR="00B823BA">
        <w:rPr>
          <w:rFonts w:ascii="Alef" w:hAnsi="Alef" w:cs="Alef" w:hint="cs"/>
          <w:sz w:val="24"/>
          <w:szCs w:val="24"/>
          <w:rtl/>
        </w:rPr>
        <w:t xml:space="preserve"> </w:t>
      </w:r>
      <w:r w:rsidR="009F3468">
        <w:rPr>
          <w:rFonts w:ascii="Alef" w:hAnsi="Alef" w:cs="Alef" w:hint="cs"/>
          <w:sz w:val="24"/>
          <w:szCs w:val="24"/>
          <w:rtl/>
        </w:rPr>
        <w:t>בחינת ההערה העלתה שמדובר בהגדרה רחבה דיה, שנכללים בה המיזמים המשותפים שפטור הסוג נועד לפטור.</w:t>
      </w:r>
      <w:r w:rsidR="004F7376">
        <w:rPr>
          <w:rFonts w:ascii="Alef" w:hAnsi="Alef" w:cs="Alef" w:hint="cs"/>
          <w:sz w:val="24"/>
          <w:szCs w:val="24"/>
          <w:rtl/>
        </w:rPr>
        <w:t xml:space="preserve"> להגדרת מיזמים משותפים נוספו גם הסכמים לביצוע מחקר ופיתוח, כאמור. </w:t>
      </w:r>
      <w:r w:rsidR="009F3468">
        <w:rPr>
          <w:rFonts w:ascii="Alef" w:hAnsi="Alef" w:cs="Alef" w:hint="cs"/>
          <w:sz w:val="24"/>
          <w:szCs w:val="24"/>
          <w:rtl/>
        </w:rPr>
        <w:t xml:space="preserve"> </w:t>
      </w:r>
      <w:r w:rsidR="002B1C17">
        <w:rPr>
          <w:rFonts w:ascii="Alef" w:hAnsi="Alef" w:cs="Alef" w:hint="cs"/>
          <w:sz w:val="24"/>
          <w:szCs w:val="24"/>
          <w:rtl/>
        </w:rPr>
        <w:t xml:space="preserve">  </w:t>
      </w:r>
    </w:p>
    <w:p w14:paraId="3DD2CA05" w14:textId="7547E632" w:rsidR="000845A6" w:rsidRPr="00BA63B1" w:rsidRDefault="00BA5ACD" w:rsidP="002F6F40">
      <w:pPr>
        <w:jc w:val="both"/>
        <w:rPr>
          <w:rFonts w:ascii="Alef" w:hAnsi="Alef" w:cs="Alef"/>
          <w:sz w:val="24"/>
          <w:szCs w:val="24"/>
          <w:rtl/>
        </w:rPr>
      </w:pPr>
      <w:r>
        <w:rPr>
          <w:rFonts w:ascii="Alef" w:hAnsi="Alef" w:cs="Alef" w:hint="cs"/>
          <w:sz w:val="24"/>
          <w:szCs w:val="24"/>
          <w:rtl/>
        </w:rPr>
        <w:t xml:space="preserve">הערה נוספת נגעה להחרגות של תחולת סעיפים 2-3 לפטור הסוג על הסדרים שבהם מעורב בעל מונופולין בשוק שנוגע להסדר. </w:t>
      </w:r>
      <w:r w:rsidR="00381D58">
        <w:rPr>
          <w:rFonts w:ascii="Alef" w:hAnsi="Alef" w:cs="Alef" w:hint="cs"/>
          <w:sz w:val="24"/>
          <w:szCs w:val="24"/>
          <w:rtl/>
        </w:rPr>
        <w:t xml:space="preserve">על פי הטענה מדובר בהחרגה רחבה מידי שמכבידה שלא לצורך על צדדים שמבקשים לבחון את תחולת סעיפים אלו </w:t>
      </w:r>
      <w:r w:rsidR="00381D58">
        <w:rPr>
          <w:rFonts w:ascii="Alef" w:hAnsi="Alef" w:cs="Alef"/>
          <w:sz w:val="24"/>
          <w:szCs w:val="24"/>
          <w:rtl/>
        </w:rPr>
        <w:t>–</w:t>
      </w:r>
      <w:r w:rsidR="00381D58">
        <w:rPr>
          <w:rFonts w:ascii="Alef" w:hAnsi="Alef" w:cs="Alef" w:hint="cs"/>
          <w:sz w:val="24"/>
          <w:szCs w:val="24"/>
          <w:rtl/>
        </w:rPr>
        <w:t xml:space="preserve"> שנוחים לניתוח וחוסכים מבחן מהותי - על ההסדר שלהם.</w:t>
      </w:r>
      <w:r w:rsidR="00943117">
        <w:rPr>
          <w:rFonts w:ascii="Alef" w:hAnsi="Alef" w:cs="Alef" w:hint="cs"/>
          <w:sz w:val="24"/>
          <w:szCs w:val="24"/>
          <w:rtl/>
        </w:rPr>
        <w:t xml:space="preserve"> </w:t>
      </w:r>
      <w:r w:rsidR="002C1D0F">
        <w:rPr>
          <w:rFonts w:ascii="Alef" w:hAnsi="Alef" w:cs="Alef" w:hint="cs"/>
          <w:sz w:val="24"/>
          <w:szCs w:val="24"/>
          <w:rtl/>
        </w:rPr>
        <w:t>ואולם, נוכח החששות המוגברים שנובעים ממעורבות בעל מונופולין בהסדר, סברנו שנכון להותיר את ההחרגה על כנה, ממילא הסדרים שאינם פוגעים בתחרות</w:t>
      </w:r>
      <w:r w:rsidR="002F6F40">
        <w:rPr>
          <w:rFonts w:ascii="Alef" w:hAnsi="Alef" w:cs="Alef" w:hint="cs"/>
          <w:sz w:val="24"/>
          <w:szCs w:val="24"/>
          <w:rtl/>
        </w:rPr>
        <w:t xml:space="preserve"> יוכלו להיבחן בהערכה עצמית</w:t>
      </w:r>
      <w:r w:rsidR="002C1D0F">
        <w:rPr>
          <w:rFonts w:ascii="Alef" w:hAnsi="Alef" w:cs="Alef" w:hint="cs"/>
          <w:sz w:val="24"/>
          <w:szCs w:val="24"/>
          <w:rtl/>
        </w:rPr>
        <w:t xml:space="preserve"> באמצעות המבחנים המהותיים שנקבעו בסעיף 9א לפטור הסוג כאמור.</w:t>
      </w:r>
      <w:r w:rsidR="00B167F4">
        <w:rPr>
          <w:rFonts w:ascii="Alef" w:hAnsi="Alef" w:cs="Alef" w:hint="cs"/>
          <w:sz w:val="24"/>
          <w:szCs w:val="24"/>
          <w:rtl/>
        </w:rPr>
        <w:t xml:space="preserve"> </w:t>
      </w:r>
      <w:r w:rsidR="00603857" w:rsidRPr="00BA63B1">
        <w:rPr>
          <w:rFonts w:ascii="Alef" w:hAnsi="Alef" w:cs="Alef"/>
          <w:sz w:val="24"/>
          <w:szCs w:val="24"/>
          <w:rtl/>
        </w:rPr>
        <w:t xml:space="preserve"> </w:t>
      </w:r>
    </w:p>
    <w:p w14:paraId="6DDF7871" w14:textId="3F46E5FC" w:rsidR="00134BE0" w:rsidRDefault="002F6F40" w:rsidP="001971AB">
      <w:pPr>
        <w:jc w:val="both"/>
        <w:rPr>
          <w:rFonts w:ascii="Alef" w:hAnsi="Alef" w:cs="Alef"/>
          <w:sz w:val="24"/>
          <w:szCs w:val="24"/>
          <w:rtl/>
        </w:rPr>
      </w:pPr>
      <w:r>
        <w:rPr>
          <w:rFonts w:ascii="Alef" w:hAnsi="Alef" w:cs="Alef" w:hint="cs"/>
          <w:sz w:val="24"/>
          <w:szCs w:val="24"/>
          <w:rtl/>
        </w:rPr>
        <w:t>כמו כן, הוער כי הגדרת מתחרה רחבה מידי וכוללת לדוגמא גורמים שהתחרו בשלוש השנים שקדמו להסדר</w:t>
      </w:r>
      <w:r w:rsidR="00134BE0">
        <w:rPr>
          <w:rFonts w:ascii="Alef" w:hAnsi="Alef" w:cs="Alef" w:hint="cs"/>
          <w:sz w:val="24"/>
          <w:szCs w:val="24"/>
          <w:rtl/>
        </w:rPr>
        <w:t xml:space="preserve"> או גורמים </w:t>
      </w:r>
      <w:r w:rsidR="00134BE0">
        <w:rPr>
          <w:rFonts w:ascii="Alef" w:hAnsi="Alef" w:cs="Alef" w:hint="cs"/>
          <w:sz w:val="24"/>
          <w:szCs w:val="24"/>
          <w:rtl/>
        </w:rPr>
        <w:lastRenderedPageBreak/>
        <w:t>שמסוגלים לספק טובין תחליפיים (ולא רק גורמים שמייצרים טובין כאלה)</w:t>
      </w:r>
      <w:r>
        <w:rPr>
          <w:rFonts w:ascii="Alef" w:hAnsi="Alef" w:cs="Alef" w:hint="cs"/>
          <w:sz w:val="24"/>
          <w:szCs w:val="24"/>
          <w:rtl/>
        </w:rPr>
        <w:t xml:space="preserve">. גם </w:t>
      </w:r>
      <w:r w:rsidR="00134BE0">
        <w:rPr>
          <w:rFonts w:ascii="Alef" w:hAnsi="Alef" w:cs="Alef" w:hint="cs"/>
          <w:sz w:val="24"/>
          <w:szCs w:val="24"/>
          <w:rtl/>
        </w:rPr>
        <w:t xml:space="preserve">כאן, נוכח המורכבות של בחינה מדויקת של תחרות או </w:t>
      </w:r>
      <w:r>
        <w:rPr>
          <w:rFonts w:ascii="Alef" w:hAnsi="Alef" w:cs="Alef" w:hint="cs"/>
          <w:sz w:val="24"/>
          <w:szCs w:val="24"/>
          <w:rtl/>
        </w:rPr>
        <w:t xml:space="preserve">תחרות פוטנציאלית חשבנו שנכון להגדיר מתחרה באופן רחב, ואולם את </w:t>
      </w:r>
      <w:r w:rsidR="00134BE0">
        <w:rPr>
          <w:rFonts w:ascii="Alef" w:hAnsi="Alef" w:cs="Alef" w:hint="cs"/>
          <w:sz w:val="24"/>
          <w:szCs w:val="24"/>
          <w:rtl/>
        </w:rPr>
        <w:t>מאפייניו</w:t>
      </w:r>
      <w:r>
        <w:rPr>
          <w:rFonts w:ascii="Alef" w:hAnsi="Alef" w:cs="Alef" w:hint="cs"/>
          <w:sz w:val="24"/>
          <w:szCs w:val="24"/>
          <w:rtl/>
        </w:rPr>
        <w:t xml:space="preserve"> הספציפי</w:t>
      </w:r>
      <w:r w:rsidR="00134BE0">
        <w:rPr>
          <w:rFonts w:ascii="Alef" w:hAnsi="Alef" w:cs="Alef" w:hint="cs"/>
          <w:sz w:val="24"/>
          <w:szCs w:val="24"/>
          <w:rtl/>
        </w:rPr>
        <w:t>ים</w:t>
      </w:r>
      <w:r>
        <w:rPr>
          <w:rFonts w:ascii="Alef" w:hAnsi="Alef" w:cs="Alef" w:hint="cs"/>
          <w:sz w:val="24"/>
          <w:szCs w:val="24"/>
          <w:rtl/>
        </w:rPr>
        <w:t xml:space="preserve"> של המתחרה בהחלט ניתן </w:t>
      </w:r>
      <w:r w:rsidR="00134BE0">
        <w:rPr>
          <w:rFonts w:ascii="Alef" w:hAnsi="Alef" w:cs="Alef" w:hint="cs"/>
          <w:sz w:val="24"/>
          <w:szCs w:val="24"/>
          <w:rtl/>
        </w:rPr>
        <w:t xml:space="preserve">וראוי </w:t>
      </w:r>
      <w:r>
        <w:rPr>
          <w:rFonts w:ascii="Alef" w:hAnsi="Alef" w:cs="Alef" w:hint="cs"/>
          <w:sz w:val="24"/>
          <w:szCs w:val="24"/>
          <w:rtl/>
        </w:rPr>
        <w:t>לבחון בהערכה עצמית במבחנים המהותיים שבסעיף 9א.</w:t>
      </w:r>
      <w:r w:rsidR="00134BE0">
        <w:rPr>
          <w:rFonts w:ascii="Alef" w:hAnsi="Alef" w:cs="Alef" w:hint="cs"/>
          <w:sz w:val="24"/>
          <w:szCs w:val="24"/>
          <w:rtl/>
        </w:rPr>
        <w:t xml:space="preserve"> </w:t>
      </w:r>
      <w:r w:rsidR="00E635DF">
        <w:rPr>
          <w:rFonts w:ascii="Alef" w:hAnsi="Alef" w:cs="Alef" w:hint="cs"/>
          <w:sz w:val="24"/>
          <w:szCs w:val="24"/>
          <w:rtl/>
        </w:rPr>
        <w:t>האפשרות לבחון הסדרים בהערכה עצמית של המבחנים המהותיים נכונה יותר ומדויקת יותר מצמצום ההגדרות באופן שעשוי במקרים מסוימים לפטור עסקאות שאפשר שיפגעו בתחרות.</w:t>
      </w:r>
      <w:r w:rsidR="001971AB">
        <w:rPr>
          <w:rFonts w:ascii="Alef" w:hAnsi="Alef" w:cs="Alef" w:hint="cs"/>
          <w:sz w:val="24"/>
          <w:szCs w:val="24"/>
          <w:rtl/>
        </w:rPr>
        <w:t xml:space="preserve"> מאותן סיבות, גם ההערה לתקן את הגדרת מתחרה בכללי ההוראות וההגדרות הכלליות כך שתכלול רק מתחרה ש"סביר שיהיה מתחרה של ממש" לא נתקבלה. </w:t>
      </w:r>
    </w:p>
    <w:p w14:paraId="33646D58" w14:textId="7F5FD845" w:rsidR="009F3468" w:rsidRDefault="009F3468" w:rsidP="00090B63">
      <w:pPr>
        <w:jc w:val="both"/>
        <w:rPr>
          <w:rFonts w:ascii="Alef" w:hAnsi="Alef" w:cs="Alef"/>
          <w:sz w:val="24"/>
          <w:szCs w:val="24"/>
          <w:rtl/>
        </w:rPr>
      </w:pPr>
      <w:r>
        <w:rPr>
          <w:rFonts w:ascii="Alef" w:hAnsi="Alef" w:cs="Alef" w:hint="cs"/>
          <w:sz w:val="24"/>
          <w:szCs w:val="24"/>
          <w:rtl/>
        </w:rPr>
        <w:t xml:space="preserve">נטען גם שהחרגת הסדרים שנוגעים לשיווק </w:t>
      </w:r>
      <w:r w:rsidR="00092DC4">
        <w:rPr>
          <w:rFonts w:ascii="Alef" w:hAnsi="Alef" w:cs="Alef" w:hint="cs"/>
          <w:sz w:val="24"/>
          <w:szCs w:val="24"/>
          <w:rtl/>
        </w:rPr>
        <w:t xml:space="preserve">מוצר שבו הצדדים מתחרים </w:t>
      </w:r>
      <w:r>
        <w:rPr>
          <w:rFonts w:ascii="Alef" w:hAnsi="Alef" w:cs="Alef" w:hint="cs"/>
          <w:sz w:val="24"/>
          <w:szCs w:val="24"/>
          <w:rtl/>
        </w:rPr>
        <w:t>מתחולת הפטור</w:t>
      </w:r>
      <w:r w:rsidR="00092DC4">
        <w:rPr>
          <w:rFonts w:ascii="Alef" w:hAnsi="Alef" w:cs="Alef" w:hint="cs"/>
          <w:sz w:val="24"/>
          <w:szCs w:val="24"/>
          <w:rtl/>
        </w:rPr>
        <w:t xml:space="preserve"> רחבה מידי ומונעת הסדרים יעילים שאינם פוגעים בתחרות. ואולם, הסדרים </w:t>
      </w:r>
      <w:r w:rsidR="006F65A5">
        <w:rPr>
          <w:rFonts w:ascii="Alef" w:hAnsi="Alef" w:cs="Alef" w:hint="cs"/>
          <w:sz w:val="24"/>
          <w:szCs w:val="24"/>
          <w:rtl/>
        </w:rPr>
        <w:t xml:space="preserve">בין מתחרים </w:t>
      </w:r>
      <w:r w:rsidR="00092DC4">
        <w:rPr>
          <w:rFonts w:ascii="Alef" w:hAnsi="Alef" w:cs="Alef" w:hint="cs"/>
          <w:sz w:val="24"/>
          <w:szCs w:val="24"/>
          <w:rtl/>
        </w:rPr>
        <w:t>שנוגעים לשיווק</w:t>
      </w:r>
      <w:r w:rsidR="006F65A5">
        <w:rPr>
          <w:rFonts w:ascii="Alef" w:hAnsi="Alef" w:cs="Alef" w:hint="cs"/>
          <w:sz w:val="24"/>
          <w:szCs w:val="24"/>
          <w:rtl/>
        </w:rPr>
        <w:t xml:space="preserve"> מוצר שבו הם מתחרים</w:t>
      </w:r>
      <w:r w:rsidR="00092DC4">
        <w:rPr>
          <w:rFonts w:ascii="Alef" w:hAnsi="Alef" w:cs="Alef" w:hint="cs"/>
          <w:sz w:val="24"/>
          <w:szCs w:val="24"/>
          <w:rtl/>
        </w:rPr>
        <w:t xml:space="preserve"> הם הסדרים </w:t>
      </w:r>
      <w:r w:rsidR="00090B63">
        <w:rPr>
          <w:rFonts w:ascii="Alef" w:hAnsi="Alef" w:cs="Alef" w:hint="cs"/>
          <w:sz w:val="24"/>
          <w:szCs w:val="24"/>
          <w:rtl/>
        </w:rPr>
        <w:t xml:space="preserve">שמעלים </w:t>
      </w:r>
      <w:r w:rsidR="00092DC4">
        <w:rPr>
          <w:rFonts w:ascii="Alef" w:hAnsi="Alef" w:cs="Alef" w:hint="cs"/>
          <w:sz w:val="24"/>
          <w:szCs w:val="24"/>
          <w:rtl/>
        </w:rPr>
        <w:t xml:space="preserve">חשש מוגבר לפגיעה </w:t>
      </w:r>
      <w:r w:rsidR="00EA59A3">
        <w:rPr>
          <w:rFonts w:ascii="Alef" w:hAnsi="Alef" w:cs="Alef" w:hint="cs"/>
          <w:sz w:val="24"/>
          <w:szCs w:val="24"/>
          <w:rtl/>
        </w:rPr>
        <w:t xml:space="preserve">קשה </w:t>
      </w:r>
      <w:r w:rsidR="00092DC4">
        <w:rPr>
          <w:rFonts w:ascii="Alef" w:hAnsi="Alef" w:cs="Alef" w:hint="cs"/>
          <w:sz w:val="24"/>
          <w:szCs w:val="24"/>
          <w:rtl/>
        </w:rPr>
        <w:t>בתחרות</w:t>
      </w:r>
      <w:r w:rsidR="00EA59A3">
        <w:rPr>
          <w:rFonts w:ascii="Alef" w:hAnsi="Alef" w:cs="Alef" w:hint="cs"/>
          <w:sz w:val="24"/>
          <w:szCs w:val="24"/>
          <w:rtl/>
        </w:rPr>
        <w:t xml:space="preserve"> שהרשות סבורה שנכון שייבחנו באופן פרטני. </w:t>
      </w:r>
      <w:r w:rsidR="00092DC4">
        <w:rPr>
          <w:rFonts w:ascii="Alef" w:hAnsi="Alef" w:cs="Alef" w:hint="cs"/>
          <w:sz w:val="24"/>
          <w:szCs w:val="24"/>
          <w:rtl/>
        </w:rPr>
        <w:t xml:space="preserve"> </w:t>
      </w:r>
      <w:r>
        <w:rPr>
          <w:rFonts w:ascii="Alef" w:hAnsi="Alef" w:cs="Alef" w:hint="cs"/>
          <w:sz w:val="24"/>
          <w:szCs w:val="24"/>
          <w:rtl/>
        </w:rPr>
        <w:t xml:space="preserve"> </w:t>
      </w:r>
    </w:p>
    <w:p w14:paraId="2192E6BF" w14:textId="5FA482AC" w:rsidR="007A6D7E" w:rsidRDefault="00E635DF" w:rsidP="00B121C9">
      <w:pPr>
        <w:jc w:val="both"/>
        <w:rPr>
          <w:rFonts w:ascii="Alef" w:hAnsi="Alef" w:cs="Alef"/>
          <w:sz w:val="24"/>
          <w:szCs w:val="24"/>
          <w:rtl/>
        </w:rPr>
      </w:pPr>
      <w:r>
        <w:rPr>
          <w:rFonts w:ascii="Alef" w:hAnsi="Alef" w:cs="Alef" w:hint="cs"/>
          <w:sz w:val="24"/>
          <w:szCs w:val="24"/>
          <w:rtl/>
        </w:rPr>
        <w:lastRenderedPageBreak/>
        <w:t>מנגד, עלו הערות שביקשו לצמצם את תחולת פטור הסוג. בין השאר, עלתה הצעה לקבוע נתחי שוק מקסימליים לתחולת פטור הסוג</w:t>
      </w:r>
      <w:r w:rsidR="002F6F40">
        <w:rPr>
          <w:rFonts w:ascii="Alef" w:hAnsi="Alef" w:cs="Alef" w:hint="cs"/>
          <w:sz w:val="24"/>
          <w:szCs w:val="24"/>
          <w:rtl/>
        </w:rPr>
        <w:t xml:space="preserve"> </w:t>
      </w:r>
      <w:r>
        <w:rPr>
          <w:rFonts w:ascii="Alef" w:hAnsi="Alef" w:cs="Alef" w:hint="cs"/>
          <w:sz w:val="24"/>
          <w:szCs w:val="24"/>
          <w:rtl/>
        </w:rPr>
        <w:t xml:space="preserve">ולקבוע כי פטור הסוג לא יחול ביחס לבעלי מונופולין. </w:t>
      </w:r>
      <w:r w:rsidR="00B552EB">
        <w:rPr>
          <w:rFonts w:ascii="Alef" w:hAnsi="Alef" w:cs="Alef" w:hint="cs"/>
          <w:sz w:val="24"/>
          <w:szCs w:val="24"/>
          <w:rtl/>
        </w:rPr>
        <w:t xml:space="preserve">ואולם, מנגנון הערכה עצמית משקלל בתוכו את נתחי השוק של הצדדים להסדר, ובתוך כך את השאלה אם צד להסדר הוא בעל מונופולין, וממילא אם נתונים אלו יעלו חשש לפגיעה בתחרות </w:t>
      </w:r>
      <w:r w:rsidR="00B552EB">
        <w:rPr>
          <w:rFonts w:ascii="Alef" w:hAnsi="Alef" w:cs="Alef"/>
          <w:sz w:val="24"/>
          <w:szCs w:val="24"/>
          <w:rtl/>
        </w:rPr>
        <w:t>–</w:t>
      </w:r>
      <w:r w:rsidR="00B552EB">
        <w:rPr>
          <w:rFonts w:ascii="Alef" w:hAnsi="Alef" w:cs="Alef" w:hint="cs"/>
          <w:sz w:val="24"/>
          <w:szCs w:val="24"/>
          <w:rtl/>
        </w:rPr>
        <w:t xml:space="preserve"> הם לא יחסו תחת הפטור. </w:t>
      </w:r>
      <w:r w:rsidR="00B121C9">
        <w:rPr>
          <w:rFonts w:ascii="Alef" w:hAnsi="Alef" w:cs="Alef" w:hint="cs"/>
          <w:sz w:val="24"/>
          <w:szCs w:val="24"/>
          <w:rtl/>
        </w:rPr>
        <w:t>צמצום תחולת הפטור יוסיף נטל בירוקרטי על הסדרים שאינם פוגעים בתחרות באופן ברור, ויחייב צדדים להסדרים כאלה להגיש בקשות פטור ולהמתין לקבלת החלטה.</w:t>
      </w:r>
    </w:p>
    <w:p w14:paraId="4535DD3F" w14:textId="193D58E9" w:rsidR="00EA59A3" w:rsidRPr="002F6F40" w:rsidRDefault="00EA59A3" w:rsidP="00B121C9">
      <w:pPr>
        <w:jc w:val="both"/>
        <w:rPr>
          <w:rFonts w:ascii="Alef" w:hAnsi="Alef" w:cs="Alef"/>
          <w:sz w:val="24"/>
          <w:szCs w:val="24"/>
          <w:rtl/>
        </w:rPr>
      </w:pPr>
      <w:r>
        <w:rPr>
          <w:rFonts w:ascii="Alef" w:hAnsi="Alef" w:cs="Alef" w:hint="cs"/>
          <w:sz w:val="24"/>
          <w:szCs w:val="24"/>
          <w:rtl/>
        </w:rPr>
        <w:t>לאחר דיונים מעמיקים ובחינה יסודית של טענות בעלי עניין הרשות סבורה שיש להתיר את נוסח פטור הסוג על כנו.</w:t>
      </w:r>
    </w:p>
    <w:p w14:paraId="06E3ACB0" w14:textId="64440C25" w:rsidR="003F58D8" w:rsidRPr="00BA63B1" w:rsidRDefault="003F58D8" w:rsidP="007E1414">
      <w:pPr>
        <w:jc w:val="both"/>
        <w:rPr>
          <w:rFonts w:ascii="Alef" w:hAnsi="Alef" w:cs="Alef"/>
          <w:b/>
          <w:bCs/>
          <w:sz w:val="24"/>
          <w:szCs w:val="24"/>
          <w:rtl/>
        </w:rPr>
      </w:pPr>
      <w:r w:rsidRPr="00BA63B1">
        <w:rPr>
          <w:rFonts w:ascii="Alef" w:hAnsi="Alef" w:cs="Alef"/>
          <w:b/>
          <w:bCs/>
          <w:sz w:val="24"/>
          <w:szCs w:val="24"/>
          <w:rtl/>
        </w:rPr>
        <w:t>סיכום</w:t>
      </w:r>
    </w:p>
    <w:p w14:paraId="226D4007" w14:textId="364EF231" w:rsidR="00335081" w:rsidRPr="00BA63B1" w:rsidRDefault="008D718B" w:rsidP="008224D4">
      <w:pPr>
        <w:jc w:val="both"/>
        <w:rPr>
          <w:rFonts w:ascii="Alef" w:hAnsi="Alef" w:cs="Alef"/>
          <w:sz w:val="24"/>
          <w:szCs w:val="24"/>
          <w:rtl/>
        </w:rPr>
      </w:pPr>
      <w:r w:rsidRPr="00BA63B1">
        <w:rPr>
          <w:rFonts w:ascii="Alef" w:hAnsi="Alef" w:cs="Alef"/>
          <w:sz w:val="24"/>
          <w:szCs w:val="24"/>
          <w:rtl/>
        </w:rPr>
        <w:t xml:space="preserve">שוק דינמי שמתבצעות בו יותר ויותר עסקאות מחייב רגולציה מתאימה. הרגולציה נדרשת לאפשר ביצוע עסקאות באופן חופשי, מהיר ויעיל. </w:t>
      </w:r>
      <w:r w:rsidR="00335081" w:rsidRPr="00BA63B1">
        <w:rPr>
          <w:rFonts w:ascii="Alef" w:hAnsi="Alef" w:cs="Alef"/>
          <w:sz w:val="24"/>
          <w:szCs w:val="24"/>
          <w:rtl/>
        </w:rPr>
        <w:t>ואולם</w:t>
      </w:r>
      <w:r w:rsidRPr="00BA63B1">
        <w:rPr>
          <w:rFonts w:ascii="Alef" w:hAnsi="Alef" w:cs="Alef"/>
          <w:sz w:val="24"/>
          <w:szCs w:val="24"/>
          <w:rtl/>
        </w:rPr>
        <w:t xml:space="preserve">, </w:t>
      </w:r>
      <w:r w:rsidR="0071519D" w:rsidRPr="00BA63B1">
        <w:rPr>
          <w:rFonts w:ascii="Alef" w:hAnsi="Alef" w:cs="Alef"/>
          <w:sz w:val="24"/>
          <w:szCs w:val="24"/>
          <w:rtl/>
        </w:rPr>
        <w:t>קיימות</w:t>
      </w:r>
      <w:r w:rsidRPr="00BA63B1">
        <w:rPr>
          <w:rFonts w:ascii="Alef" w:hAnsi="Alef" w:cs="Alef"/>
          <w:sz w:val="24"/>
          <w:szCs w:val="24"/>
          <w:rtl/>
        </w:rPr>
        <w:t xml:space="preserve"> עסקאות ש</w:t>
      </w:r>
      <w:r w:rsidR="00090B63">
        <w:rPr>
          <w:rFonts w:ascii="Alef" w:hAnsi="Alef" w:cs="Alef" w:hint="cs"/>
          <w:sz w:val="24"/>
          <w:szCs w:val="24"/>
          <w:rtl/>
        </w:rPr>
        <w:t xml:space="preserve">עלולות </w:t>
      </w:r>
      <w:r w:rsidR="00090B63">
        <w:rPr>
          <w:rFonts w:ascii="Alef" w:hAnsi="Alef" w:cs="Alef" w:hint="cs"/>
          <w:sz w:val="24"/>
          <w:szCs w:val="24"/>
          <w:rtl/>
        </w:rPr>
        <w:lastRenderedPageBreak/>
        <w:t>לפגוע פגיעה משמעותית בתחרות או שתכליתן היא פגיעה כזו,</w:t>
      </w:r>
      <w:r w:rsidRPr="00BA63B1">
        <w:rPr>
          <w:rFonts w:ascii="Alef" w:hAnsi="Alef" w:cs="Alef"/>
          <w:sz w:val="24"/>
          <w:szCs w:val="24"/>
          <w:rtl/>
        </w:rPr>
        <w:t xml:space="preserve"> שאסור לאפשר.</w:t>
      </w:r>
    </w:p>
    <w:p w14:paraId="70842A3D" w14:textId="6FD5BD9A" w:rsidR="00F51FD3" w:rsidRPr="00BA63B1" w:rsidRDefault="00335081" w:rsidP="00EA59A3">
      <w:pPr>
        <w:jc w:val="both"/>
        <w:rPr>
          <w:rFonts w:ascii="Alef" w:hAnsi="Alef" w:cs="Alef"/>
          <w:sz w:val="24"/>
          <w:szCs w:val="24"/>
          <w:rtl/>
        </w:rPr>
      </w:pPr>
      <w:r w:rsidRPr="00BA63B1">
        <w:rPr>
          <w:rFonts w:ascii="Alef" w:hAnsi="Alef" w:cs="Alef"/>
          <w:sz w:val="24"/>
          <w:szCs w:val="24"/>
          <w:rtl/>
        </w:rPr>
        <w:t>פטור הסוג</w:t>
      </w:r>
      <w:r w:rsidR="00F51FD3" w:rsidRPr="00BA63B1">
        <w:rPr>
          <w:rFonts w:ascii="Alef" w:hAnsi="Alef" w:cs="Alef"/>
          <w:sz w:val="24"/>
          <w:szCs w:val="24"/>
          <w:rtl/>
        </w:rPr>
        <w:t xml:space="preserve"> – כלי שמשמש ב</w:t>
      </w:r>
      <w:r w:rsidR="00D05EFC" w:rsidRPr="00BA63B1">
        <w:rPr>
          <w:rFonts w:ascii="Alef" w:hAnsi="Alef" w:cs="Alef"/>
          <w:sz w:val="24"/>
          <w:szCs w:val="24"/>
          <w:rtl/>
        </w:rPr>
        <w:t>איחוד האירופי</w:t>
      </w:r>
      <w:r w:rsidRPr="00BA63B1">
        <w:rPr>
          <w:rFonts w:ascii="Alef" w:hAnsi="Alef" w:cs="Alef"/>
          <w:sz w:val="24"/>
          <w:szCs w:val="24"/>
          <w:rtl/>
        </w:rPr>
        <w:t>, יחד עם יתר כללי התחרות, נועדו לאפשר עסקאות מהסוג הראשון ולמנוע ע</w:t>
      </w:r>
      <w:r w:rsidR="00114077" w:rsidRPr="00BA63B1">
        <w:rPr>
          <w:rFonts w:ascii="Alef" w:hAnsi="Alef" w:cs="Alef"/>
          <w:sz w:val="24"/>
          <w:szCs w:val="24"/>
          <w:rtl/>
        </w:rPr>
        <w:t>סקאות מהסוג השני. בתווך, נמצאות עסקאות מעטות שמצריכות בירור פרטני מעמיק של רשות התחרות והנחיה פרטנית.</w:t>
      </w:r>
      <w:r w:rsidR="00F51FD3" w:rsidRPr="00BA63B1">
        <w:rPr>
          <w:rFonts w:ascii="Alef" w:hAnsi="Alef" w:cs="Alef"/>
          <w:sz w:val="24"/>
          <w:szCs w:val="24"/>
          <w:rtl/>
        </w:rPr>
        <w:t xml:space="preserve"> עסקאות אלו, נותרות מחוץ לתחולת פטור הסוג ומחייבות הגשת בקשות פרטניות שנבחנות ברשות התחרות.</w:t>
      </w:r>
    </w:p>
    <w:p w14:paraId="074E450F" w14:textId="77777777" w:rsidR="00F73794" w:rsidRPr="00BA63B1" w:rsidRDefault="00F51FD3" w:rsidP="00F51FD3">
      <w:pPr>
        <w:jc w:val="both"/>
        <w:rPr>
          <w:rFonts w:ascii="Alef" w:hAnsi="Alef" w:cs="Alef"/>
          <w:sz w:val="24"/>
          <w:szCs w:val="24"/>
          <w:rtl/>
        </w:rPr>
      </w:pPr>
      <w:r w:rsidRPr="00BA63B1">
        <w:rPr>
          <w:rFonts w:ascii="Alef" w:hAnsi="Alef" w:cs="Alef"/>
          <w:sz w:val="24"/>
          <w:szCs w:val="24"/>
          <w:rtl/>
        </w:rPr>
        <w:t>מדי תקופה, בוחנת הרשות את התאמת פטורי הסוג בשיתוף הציבור. הבחינה העלתה שפטורי הסוג משמשים את העוסקים בתחום</w:t>
      </w:r>
      <w:r w:rsidR="00F73794" w:rsidRPr="00BA63B1">
        <w:rPr>
          <w:rFonts w:ascii="Alef" w:hAnsi="Alef" w:cs="Alef"/>
          <w:sz w:val="24"/>
          <w:szCs w:val="24"/>
          <w:rtl/>
        </w:rPr>
        <w:t xml:space="preserve">, וכי המעבר ל"הערכה עצמית" מאפשר ביצוען של יותר עסקאות שאינן פוגעות בתחרות, ולחלק מעסקאות אלו אף תרומה ממשית לתחרות ולציבור. </w:t>
      </w:r>
    </w:p>
    <w:p w14:paraId="42FB3734" w14:textId="6917F30A" w:rsidR="00DA1310" w:rsidRPr="00BA63B1" w:rsidRDefault="00F73794" w:rsidP="007569F6">
      <w:pPr>
        <w:jc w:val="both"/>
        <w:rPr>
          <w:rFonts w:ascii="Alef" w:hAnsi="Alef" w:cs="Alef"/>
        </w:rPr>
      </w:pPr>
      <w:r w:rsidRPr="00BA63B1">
        <w:rPr>
          <w:rFonts w:ascii="Alef" w:hAnsi="Alef" w:cs="Alef"/>
          <w:sz w:val="24"/>
          <w:szCs w:val="24"/>
          <w:rtl/>
        </w:rPr>
        <w:t>מטבע</w:t>
      </w:r>
      <w:r w:rsidR="007F0B3A" w:rsidRPr="00BA63B1">
        <w:rPr>
          <w:rFonts w:ascii="Alef" w:hAnsi="Alef" w:cs="Alef"/>
          <w:sz w:val="24"/>
          <w:szCs w:val="24"/>
          <w:rtl/>
        </w:rPr>
        <w:t>ם</w:t>
      </w:r>
      <w:r w:rsidRPr="00BA63B1">
        <w:rPr>
          <w:rFonts w:ascii="Alef" w:hAnsi="Alef" w:cs="Alef"/>
          <w:sz w:val="24"/>
          <w:szCs w:val="24"/>
          <w:rtl/>
        </w:rPr>
        <w:t xml:space="preserve"> של כללים, עשויה להיות להם תחולת יתר או תחולת חסר</w:t>
      </w:r>
      <w:r w:rsidR="00D05EFC" w:rsidRPr="00BA63B1">
        <w:rPr>
          <w:rFonts w:ascii="Alef" w:hAnsi="Alef" w:cs="Alef"/>
          <w:sz w:val="24"/>
          <w:szCs w:val="24"/>
          <w:rtl/>
        </w:rPr>
        <w:t>,</w:t>
      </w:r>
      <w:r w:rsidRPr="00BA63B1">
        <w:rPr>
          <w:rFonts w:ascii="Alef" w:hAnsi="Alef" w:cs="Alef"/>
          <w:sz w:val="24"/>
          <w:szCs w:val="24"/>
          <w:rtl/>
        </w:rPr>
        <w:t xml:space="preserve"> וכמעט שלא ניתן ליצור כללים שמותאמים ב</w:t>
      </w:r>
      <w:r w:rsidR="007569F6">
        <w:rPr>
          <w:rFonts w:ascii="Alef" w:hAnsi="Alef" w:cs="Alef"/>
          <w:sz w:val="24"/>
          <w:szCs w:val="24"/>
          <w:rtl/>
        </w:rPr>
        <w:t>צורה מושלמת למטרתן</w:t>
      </w:r>
      <w:r w:rsidR="007569F6">
        <w:rPr>
          <w:rFonts w:ascii="Alef" w:hAnsi="Alef" w:cs="Alef" w:hint="cs"/>
          <w:sz w:val="24"/>
          <w:szCs w:val="24"/>
          <w:rtl/>
        </w:rPr>
        <w:t>.</w:t>
      </w:r>
      <w:r w:rsidRPr="00BA63B1">
        <w:rPr>
          <w:rFonts w:ascii="Alef" w:hAnsi="Alef" w:cs="Alef"/>
          <w:sz w:val="24"/>
          <w:szCs w:val="24"/>
          <w:rtl/>
        </w:rPr>
        <w:t xml:space="preserve"> על כן, על אף שכללים אלו נדונו בעבר ועל אף שמדובר בהפחתת רגולציה ברורה, הוראות פטורי </w:t>
      </w:r>
      <w:r w:rsidRPr="00BA63B1">
        <w:rPr>
          <w:rFonts w:ascii="Alef" w:hAnsi="Alef" w:cs="Alef"/>
          <w:sz w:val="24"/>
          <w:szCs w:val="24"/>
          <w:rtl/>
        </w:rPr>
        <w:lastRenderedPageBreak/>
        <w:t>הסוג נבחנו פעם נוספת.</w:t>
      </w:r>
      <w:r w:rsidR="00D05EFC" w:rsidRPr="00BA63B1">
        <w:rPr>
          <w:rFonts w:ascii="Alef" w:hAnsi="Alef" w:cs="Alef"/>
          <w:sz w:val="24"/>
          <w:szCs w:val="24"/>
          <w:rtl/>
        </w:rPr>
        <w:t xml:space="preserve"> </w:t>
      </w:r>
      <w:r w:rsidR="00360584" w:rsidRPr="00BA63B1">
        <w:rPr>
          <w:rFonts w:ascii="Alef" w:hAnsi="Alef" w:cs="Alef"/>
          <w:sz w:val="24"/>
          <w:szCs w:val="24"/>
          <w:rtl/>
        </w:rPr>
        <w:t xml:space="preserve">הבחינה העלתה כי הכללים שבפטורי הסוג מתאימים, </w:t>
      </w:r>
      <w:r w:rsidR="00D05EFC" w:rsidRPr="00BA63B1">
        <w:rPr>
          <w:rFonts w:ascii="Alef" w:hAnsi="Alef" w:cs="Alef"/>
          <w:sz w:val="24"/>
          <w:szCs w:val="24"/>
          <w:rtl/>
        </w:rPr>
        <w:t>במידה סבירה</w:t>
      </w:r>
      <w:r w:rsidR="00360584" w:rsidRPr="00BA63B1">
        <w:rPr>
          <w:rFonts w:ascii="Alef" w:hAnsi="Alef" w:cs="Alef"/>
          <w:sz w:val="24"/>
          <w:szCs w:val="24"/>
          <w:rtl/>
        </w:rPr>
        <w:t>, למטרתם ומשמ</w:t>
      </w:r>
      <w:r w:rsidR="00D05EFC" w:rsidRPr="00BA63B1">
        <w:rPr>
          <w:rFonts w:ascii="Alef" w:hAnsi="Alef" w:cs="Alef"/>
          <w:sz w:val="24"/>
          <w:szCs w:val="24"/>
          <w:rtl/>
        </w:rPr>
        <w:t>שים באופן מוצלח את הנדרשים להם, ונכון לחדשם.</w:t>
      </w:r>
      <w:r w:rsidRPr="00BA63B1">
        <w:rPr>
          <w:rFonts w:ascii="Alef" w:hAnsi="Alef" w:cs="Alef"/>
          <w:sz w:val="24"/>
          <w:szCs w:val="24"/>
          <w:rtl/>
        </w:rPr>
        <w:t xml:space="preserve"> </w:t>
      </w:r>
      <w:r w:rsidR="00114077" w:rsidRPr="00BA63B1">
        <w:rPr>
          <w:rFonts w:ascii="Alef" w:hAnsi="Alef" w:cs="Alef"/>
          <w:sz w:val="24"/>
          <w:szCs w:val="24"/>
          <w:rtl/>
        </w:rPr>
        <w:t xml:space="preserve"> </w:t>
      </w:r>
      <w:r w:rsidR="00335081" w:rsidRPr="00BA63B1">
        <w:rPr>
          <w:rFonts w:ascii="Alef" w:hAnsi="Alef" w:cs="Alef"/>
          <w:sz w:val="24"/>
          <w:szCs w:val="24"/>
          <w:rtl/>
        </w:rPr>
        <w:t xml:space="preserve"> </w:t>
      </w:r>
      <w:r w:rsidR="008D718B" w:rsidRPr="00BA63B1">
        <w:rPr>
          <w:rFonts w:ascii="Alef" w:hAnsi="Alef" w:cs="Alef"/>
          <w:sz w:val="24"/>
          <w:szCs w:val="24"/>
          <w:rtl/>
        </w:rPr>
        <w:t xml:space="preserve"> </w:t>
      </w:r>
    </w:p>
    <w:sectPr w:rsidR="00DA1310" w:rsidRPr="00BA63B1" w:rsidSect="00DA1310">
      <w:footerReference w:type="default" r:id="rId10"/>
      <w:pgSz w:w="11906" w:h="16838"/>
      <w:pgMar w:top="1440" w:right="1800" w:bottom="1440" w:left="1800" w:header="708" w:footer="708" w:gutter="0"/>
      <w:pgNumType w:start="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6EE13B" w14:textId="77777777" w:rsidR="00A73472" w:rsidRDefault="00A73472" w:rsidP="001A2B54">
      <w:pPr>
        <w:spacing w:after="0" w:line="240" w:lineRule="auto"/>
      </w:pPr>
      <w:r>
        <w:separator/>
      </w:r>
    </w:p>
  </w:endnote>
  <w:endnote w:type="continuationSeparator" w:id="0">
    <w:p w14:paraId="0C166653" w14:textId="77777777" w:rsidR="00A73472" w:rsidRDefault="00A73472" w:rsidP="001A2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altName w:val="Malgun Gothic Semilight"/>
    <w:panose1 w:val="020E0502060401010101"/>
    <w:charset w:val="00"/>
    <w:family w:val="swiss"/>
    <w:pitch w:val="variable"/>
    <w:sig w:usb0="00000803" w:usb1="00000000" w:usb2="00000000" w:usb3="00000000" w:csb0="0000002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lef">
    <w:panose1 w:val="00000500000000000000"/>
    <w:charset w:val="00"/>
    <w:family w:val="auto"/>
    <w:pitch w:val="variable"/>
    <w:sig w:usb0="00000807" w:usb1="40000000" w:usb2="00000000" w:usb3="00000000" w:csb0="000000B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David"/>
        <w:sz w:val="24"/>
        <w:szCs w:val="24"/>
        <w:rtl/>
      </w:rPr>
      <w:id w:val="164445418"/>
      <w:docPartObj>
        <w:docPartGallery w:val="Page Numbers (Bottom of Page)"/>
        <w:docPartUnique/>
      </w:docPartObj>
    </w:sdtPr>
    <w:sdtEndPr>
      <w:rPr>
        <w:cs/>
      </w:rPr>
    </w:sdtEndPr>
    <w:sdtContent>
      <w:p w14:paraId="159B9952" w14:textId="799DF248" w:rsidR="00956480" w:rsidRPr="00DA1310" w:rsidRDefault="00956480">
        <w:pPr>
          <w:pStyle w:val="Footer"/>
          <w:jc w:val="center"/>
          <w:rPr>
            <w:rFonts w:cs="David"/>
            <w:sz w:val="24"/>
            <w:szCs w:val="24"/>
            <w:rtl/>
            <w:cs/>
          </w:rPr>
        </w:pPr>
        <w:r w:rsidRPr="00DA1310">
          <w:rPr>
            <w:rFonts w:cs="David"/>
            <w:sz w:val="24"/>
            <w:szCs w:val="24"/>
          </w:rPr>
          <w:fldChar w:fldCharType="begin"/>
        </w:r>
        <w:r w:rsidRPr="00DA1310">
          <w:rPr>
            <w:rFonts w:cs="David"/>
            <w:sz w:val="24"/>
            <w:szCs w:val="24"/>
            <w:rtl/>
            <w:cs/>
          </w:rPr>
          <w:instrText>PAGE   \* MERGEFORMAT</w:instrText>
        </w:r>
        <w:r w:rsidRPr="00DA1310">
          <w:rPr>
            <w:rFonts w:cs="David"/>
            <w:sz w:val="24"/>
            <w:szCs w:val="24"/>
          </w:rPr>
          <w:fldChar w:fldCharType="separate"/>
        </w:r>
        <w:r w:rsidR="00D50ED2" w:rsidRPr="00D50ED2">
          <w:rPr>
            <w:rFonts w:cs="David"/>
            <w:noProof/>
            <w:sz w:val="24"/>
            <w:szCs w:val="24"/>
            <w:rtl/>
            <w:lang w:val="he-IL"/>
          </w:rPr>
          <w:t>5</w:t>
        </w:r>
        <w:r w:rsidRPr="00DA1310">
          <w:rPr>
            <w:rFonts w:cs="David"/>
            <w:sz w:val="24"/>
            <w:szCs w:val="24"/>
          </w:rPr>
          <w:fldChar w:fldCharType="end"/>
        </w:r>
      </w:p>
    </w:sdtContent>
  </w:sdt>
  <w:p w14:paraId="1639C31D" w14:textId="77777777" w:rsidR="00956480" w:rsidRDefault="009564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F64A13" w14:textId="77777777" w:rsidR="00A73472" w:rsidRDefault="00A73472" w:rsidP="001A2B54">
      <w:pPr>
        <w:spacing w:after="0" w:line="240" w:lineRule="auto"/>
      </w:pPr>
      <w:r>
        <w:separator/>
      </w:r>
    </w:p>
  </w:footnote>
  <w:footnote w:type="continuationSeparator" w:id="0">
    <w:p w14:paraId="64C7ED85" w14:textId="77777777" w:rsidR="00A73472" w:rsidRDefault="00A73472" w:rsidP="001A2B54">
      <w:pPr>
        <w:spacing w:after="0" w:line="240" w:lineRule="auto"/>
      </w:pPr>
      <w:r>
        <w:continuationSeparator/>
      </w:r>
    </w:p>
  </w:footnote>
  <w:footnote w:id="1">
    <w:p w14:paraId="0A6FCA82" w14:textId="0E17157C" w:rsidR="00496C7D" w:rsidRPr="00AD2817" w:rsidRDefault="00A3739E" w:rsidP="00850DC2">
      <w:pPr>
        <w:pStyle w:val="FootnoteText"/>
        <w:jc w:val="both"/>
        <w:rPr>
          <w:rFonts w:ascii="Alef" w:hAnsi="Alef" w:cs="Alef"/>
          <w:rtl/>
        </w:rPr>
      </w:pPr>
      <w:r w:rsidRPr="00AD2817">
        <w:rPr>
          <w:rStyle w:val="FootnoteReference"/>
          <w:rFonts w:ascii="Alef" w:hAnsi="Alef" w:cs="Alef"/>
        </w:rPr>
        <w:footnoteRef/>
      </w:r>
      <w:r w:rsidRPr="00AD2817">
        <w:rPr>
          <w:rFonts w:ascii="Alef" w:hAnsi="Alef" w:cs="Alef"/>
          <w:rtl/>
        </w:rPr>
        <w:t xml:space="preserve"> </w:t>
      </w:r>
      <w:r w:rsidR="00496C7D" w:rsidRPr="00AD2817">
        <w:rPr>
          <w:rFonts w:ascii="Alef" w:hAnsi="Alef" w:cs="Alef"/>
          <w:rtl/>
        </w:rPr>
        <w:t>הדוח עוסק בפטור הסוג להסדרים שאינם אופקיים, בפטור הסוג להסכמי רכישה בלעדית, בפטור הסוג להסכמי הפצה בלעדית, בפטור הסוג להסכמי זכיינות, בפטור הסוג להסכמים שפגיעתם בתחרות קלת ערך ו</w:t>
      </w:r>
      <w:r w:rsidR="0051166F">
        <w:rPr>
          <w:rFonts w:ascii="Alef" w:hAnsi="Alef" w:cs="Alef" w:hint="cs"/>
          <w:rtl/>
        </w:rPr>
        <w:t xml:space="preserve">בפטור הסוג </w:t>
      </w:r>
      <w:r w:rsidR="00496C7D" w:rsidRPr="00AD2817">
        <w:rPr>
          <w:rFonts w:ascii="Alef" w:hAnsi="Alef" w:cs="Alef"/>
          <w:rtl/>
        </w:rPr>
        <w:t>להסכמים בין חברות קשורות</w:t>
      </w:r>
      <w:r w:rsidR="00496C7D" w:rsidRPr="00AD2817">
        <w:rPr>
          <w:rFonts w:ascii="Alef" w:hAnsi="Alef" w:cs="Alef"/>
        </w:rPr>
        <w:t xml:space="preserve"> </w:t>
      </w:r>
    </w:p>
    <w:p w14:paraId="21A720DF" w14:textId="25E36283" w:rsidR="005D37D2" w:rsidRPr="00AD2817" w:rsidRDefault="00D50ED2" w:rsidP="005D37D2">
      <w:pPr>
        <w:pStyle w:val="FootnoteText"/>
        <w:jc w:val="both"/>
        <w:rPr>
          <w:rFonts w:ascii="Alef" w:hAnsi="Alef" w:cs="Alef"/>
          <w:rtl/>
        </w:rPr>
      </w:pPr>
      <w:hyperlink r:id="rId1" w:history="1">
        <w:r w:rsidR="005D37D2" w:rsidRPr="009407DD">
          <w:rPr>
            <w:rStyle w:val="Hyperlink"/>
            <w:rFonts w:ascii="Alef" w:hAnsi="Alef" w:cs="Alef"/>
          </w:rPr>
          <w:t>https://www.tazkirim.gov.il/s/moj-searchresults?search=%D7%A4%D7%98%D7%95%D7%A8%20%D7%A1%D7%95%D7%92</w:t>
        </w:r>
      </w:hyperlink>
      <w:r w:rsidR="005D37D2">
        <w:rPr>
          <w:rFonts w:ascii="Alef" w:hAnsi="Alef" w:cs="Alef" w:hint="cs"/>
          <w:rtl/>
        </w:rPr>
        <w:t>.</w:t>
      </w:r>
    </w:p>
  </w:footnote>
  <w:footnote w:id="2">
    <w:p w14:paraId="47A01293" w14:textId="585AC361" w:rsidR="00BD4E51" w:rsidRPr="00AD2817" w:rsidRDefault="00BD4E51" w:rsidP="00850DC2">
      <w:pPr>
        <w:pStyle w:val="FootnoteText"/>
        <w:jc w:val="both"/>
        <w:rPr>
          <w:rFonts w:ascii="Alef" w:hAnsi="Alef" w:cs="Alef"/>
          <w:rtl/>
        </w:rPr>
      </w:pPr>
      <w:r w:rsidRPr="00AD2817">
        <w:rPr>
          <w:rStyle w:val="FootnoteReference"/>
          <w:rFonts w:ascii="Alef" w:hAnsi="Alef" w:cs="Alef"/>
        </w:rPr>
        <w:footnoteRef/>
      </w:r>
      <w:r w:rsidRPr="00AD2817">
        <w:rPr>
          <w:rFonts w:ascii="Alef" w:hAnsi="Alef" w:cs="Alef"/>
          <w:rtl/>
        </w:rPr>
        <w:t xml:space="preserve"> סעיף 9א לפטור הסוג קובע כי: </w:t>
      </w:r>
      <w:r w:rsidR="00783A96" w:rsidRPr="00AD2817">
        <w:rPr>
          <w:rFonts w:ascii="Alef" w:hAnsi="Alef" w:cs="Alef"/>
          <w:rtl/>
        </w:rPr>
        <w:t>"</w:t>
      </w:r>
      <w:r w:rsidRPr="00AD2817">
        <w:rPr>
          <w:rFonts w:ascii="Alef" w:hAnsi="Alef" w:cs="Alef"/>
          <w:rtl/>
        </w:rPr>
        <w:t>מיזם משותף פטור מן החובה לקבל אישור של בית הדין להגבלים עסקיים, אם התקיימו לגביו התנאים שלהלן: (1)   עיקרו של ההסדר אינו בהפחתת התחרות או במניעתה ואין בהסדר כבילות שאינן נחוצות למימוש עיקרו; (2)   הכבילות שבהסדר אינן מגבילות את התחרות בחלק ניכר של שוק המושפע מן ההסדר, או שהן עלולות להגביל את התחרות בחלק ניכר של שוק כאמור, אך אין בהן כדי לפגוע פגיעה משמעותית בתחרות בשוק כאמור.</w:t>
      </w:r>
    </w:p>
    <w:p w14:paraId="1CEA4E2A" w14:textId="5CBA4D86" w:rsidR="00BD4E51" w:rsidRPr="00AD2817" w:rsidRDefault="00BD4E51" w:rsidP="00850DC2">
      <w:pPr>
        <w:pStyle w:val="FootnoteText"/>
        <w:jc w:val="both"/>
        <w:rPr>
          <w:rFonts w:ascii="Alef" w:hAnsi="Alef" w:cs="Alef"/>
          <w:rtl/>
        </w:rPr>
      </w:pPr>
      <w:r w:rsidRPr="00AD2817">
        <w:rPr>
          <w:rFonts w:ascii="Alef" w:hAnsi="Alef" w:cs="Alef"/>
          <w:rtl/>
        </w:rPr>
        <w:t xml:space="preserve">          (ב)  על אף האמור בסעיף קטן (א), פטור לפי סעיף זה לא יחול על מיזם משותף בין מתחרים אשר נוגע לשיווק טובין משוק מוצר שבו הם מתחרים, אלא אם כן הצדדים למיזם איחדו במסגרתו את כל פעילותם העסקית בייצור או בייבוא הטובין ומתקיימים במיזם המשותף שאר התנאים הקבועים בסעיף זה</w:t>
      </w:r>
      <w:r w:rsidR="00783A96" w:rsidRPr="00AD2817">
        <w:rPr>
          <w:rFonts w:ascii="Alef" w:hAnsi="Alef" w:cs="Alef"/>
          <w:rtl/>
        </w:rPr>
        <w:t>"</w:t>
      </w:r>
      <w:r w:rsidRPr="00AD2817">
        <w:rPr>
          <w:rFonts w:ascii="Alef" w:hAnsi="Alef" w:cs="Alef"/>
          <w:rtl/>
        </w:rPr>
        <w:t>.</w:t>
      </w:r>
    </w:p>
  </w:footnote>
  <w:footnote w:id="3">
    <w:p w14:paraId="7FF23740" w14:textId="6FE13C12" w:rsidR="00956480" w:rsidRPr="00AD2817" w:rsidRDefault="00956480" w:rsidP="00B16430">
      <w:pPr>
        <w:pStyle w:val="FootnoteText"/>
        <w:jc w:val="both"/>
        <w:rPr>
          <w:rFonts w:ascii="Alef" w:hAnsi="Alef" w:cs="Alef"/>
        </w:rPr>
      </w:pPr>
      <w:r w:rsidRPr="00AD2817">
        <w:rPr>
          <w:rStyle w:val="FootnoteReference"/>
          <w:rFonts w:ascii="Alef" w:hAnsi="Alef" w:cs="Alef"/>
        </w:rPr>
        <w:footnoteRef/>
      </w:r>
      <w:r w:rsidRPr="00AD2817">
        <w:rPr>
          <w:rFonts w:ascii="Alef" w:hAnsi="Alef" w:cs="Alef"/>
          <w:rtl/>
        </w:rPr>
        <w:t xml:space="preserve"> ס"ח תשע"ט מס' 2781 מיום 10.1.19 </w:t>
      </w:r>
      <w:hyperlink r:id="rId2" w:history="1">
        <w:r w:rsidRPr="00AD2817">
          <w:rPr>
            <w:rStyle w:val="Hyperlink"/>
            <w:rFonts w:ascii="Alef" w:hAnsi="Alef" w:cs="Alef"/>
          </w:rPr>
          <w:t>https://www.nevo.co.il/law_word/law14/law-2781.pdf</w:t>
        </w:r>
      </w:hyperlink>
      <w:r w:rsidR="00BA63B1" w:rsidRPr="00AD2817">
        <w:rPr>
          <w:rFonts w:ascii="Alef" w:hAnsi="Alef" w:cs="Alef"/>
          <w:rtl/>
        </w:rPr>
        <w:t>.</w:t>
      </w:r>
    </w:p>
  </w:footnote>
  <w:footnote w:id="4">
    <w:p w14:paraId="7E8EBCC4" w14:textId="6E9221DF" w:rsidR="00956480" w:rsidRPr="00AD2817" w:rsidRDefault="00956480" w:rsidP="008745B5">
      <w:pPr>
        <w:pStyle w:val="FootnoteText"/>
        <w:jc w:val="both"/>
        <w:rPr>
          <w:rFonts w:ascii="Alef" w:hAnsi="Alef" w:cs="Alef"/>
          <w:rtl/>
        </w:rPr>
      </w:pPr>
      <w:r w:rsidRPr="00AD2817">
        <w:rPr>
          <w:rStyle w:val="FootnoteReference"/>
          <w:rFonts w:ascii="Alef" w:hAnsi="Alef" w:cs="Alef"/>
        </w:rPr>
        <w:footnoteRef/>
      </w:r>
      <w:r w:rsidRPr="00AD2817">
        <w:rPr>
          <w:rFonts w:ascii="Alef" w:hAnsi="Alef" w:cs="Alef"/>
          <w:rtl/>
        </w:rPr>
        <w:t xml:space="preserve"> דברי ההסבר בהצעת החוק הממשלתית: </w:t>
      </w:r>
      <w:hyperlink r:id="rId3" w:history="1">
        <w:r w:rsidRPr="00AD2817">
          <w:rPr>
            <w:rStyle w:val="Hyperlink"/>
            <w:rFonts w:ascii="Alef" w:hAnsi="Alef" w:cs="Alef"/>
          </w:rPr>
          <w:t>https://www.nevo.co.il/Law_word/law15/memshala-1221.pdf</w:t>
        </w:r>
      </w:hyperlink>
      <w:r w:rsidRPr="00AD2817">
        <w:rPr>
          <w:rFonts w:ascii="Alef" w:hAnsi="Alef" w:cs="Alef"/>
          <w:rtl/>
        </w:rPr>
        <w:t xml:space="preserve">. </w:t>
      </w:r>
    </w:p>
  </w:footnote>
  <w:footnote w:id="5">
    <w:p w14:paraId="346C47C0" w14:textId="58CD7605" w:rsidR="00956480" w:rsidRPr="00AD2817" w:rsidRDefault="00956480">
      <w:pPr>
        <w:pStyle w:val="FootnoteText"/>
        <w:rPr>
          <w:rFonts w:ascii="Alef" w:hAnsi="Alef" w:cs="Alef"/>
        </w:rPr>
      </w:pPr>
      <w:r w:rsidRPr="00AD2817">
        <w:rPr>
          <w:rStyle w:val="FootnoteReference"/>
          <w:rFonts w:ascii="Alef" w:hAnsi="Alef" w:cs="Alef"/>
        </w:rPr>
        <w:footnoteRef/>
      </w:r>
      <w:r w:rsidRPr="00AD2817">
        <w:rPr>
          <w:rFonts w:ascii="Alef" w:hAnsi="Alef" w:cs="Alef"/>
          <w:rtl/>
        </w:rPr>
        <w:t xml:space="preserve"> משרד ראש המשלה, שינויים רגולטוריים המחויבים בהנמקה תמציתית, מיום 7.4.2021.</w:t>
      </w:r>
    </w:p>
  </w:footnote>
  <w:footnote w:id="6">
    <w:p w14:paraId="09241F91" w14:textId="7E42FDA5" w:rsidR="00956480" w:rsidRPr="00AD2817" w:rsidRDefault="00956480" w:rsidP="007D1BE0">
      <w:pPr>
        <w:pStyle w:val="FootnoteText"/>
        <w:rPr>
          <w:rFonts w:ascii="Alef" w:hAnsi="Alef" w:cs="Alef"/>
          <w:rtl/>
        </w:rPr>
      </w:pPr>
      <w:r w:rsidRPr="00AD2817">
        <w:rPr>
          <w:rStyle w:val="FootnoteReference"/>
          <w:rFonts w:ascii="Alef" w:hAnsi="Alef" w:cs="Alef"/>
        </w:rPr>
        <w:footnoteRef/>
      </w:r>
      <w:r w:rsidRPr="00AD2817">
        <w:rPr>
          <w:rFonts w:ascii="Alef" w:hAnsi="Alef" w:cs="Alef"/>
          <w:rtl/>
        </w:rPr>
        <w:t xml:space="preserve"> </w:t>
      </w:r>
      <w:hyperlink r:id="rId4" w:history="1">
        <w:r w:rsidRPr="00AD2817">
          <w:rPr>
            <w:rStyle w:val="Hyperlink"/>
            <w:rFonts w:ascii="Alef" w:hAnsi="Alef" w:cs="Alef"/>
          </w:rPr>
          <w:t>https://www.gov.il/he/departments/publications/Call_for_bids/jointventures2021</w:t>
        </w:r>
      </w:hyperlink>
      <w:r w:rsidRPr="00AD2817">
        <w:rPr>
          <w:rFonts w:ascii="Alef" w:hAnsi="Alef" w:cs="Alef"/>
          <w:rtl/>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750FA"/>
    <w:multiLevelType w:val="hybridMultilevel"/>
    <w:tmpl w:val="D75C7A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B514D2"/>
    <w:multiLevelType w:val="hybridMultilevel"/>
    <w:tmpl w:val="7FD2FB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A1CFD"/>
    <w:multiLevelType w:val="hybridMultilevel"/>
    <w:tmpl w:val="579A22D2"/>
    <w:lvl w:ilvl="0" w:tplc="4D7615C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CF31EE"/>
    <w:multiLevelType w:val="multilevel"/>
    <w:tmpl w:val="880466A4"/>
    <w:lvl w:ilvl="0">
      <w:start w:val="19"/>
      <w:numFmt w:val="decimal"/>
      <w:lvlText w:val="%1."/>
      <w:lvlJc w:val="left"/>
      <w:pPr>
        <w:ind w:left="435" w:hanging="435"/>
      </w:pPr>
      <w:rPr>
        <w:rFonts w:hint="default"/>
        <w:sz w:val="24"/>
      </w:rPr>
    </w:lvl>
    <w:lvl w:ilvl="1">
      <w:start w:val="1"/>
      <w:numFmt w:val="decimal"/>
      <w:lvlText w:val="%1.%2."/>
      <w:lvlJc w:val="left"/>
      <w:pPr>
        <w:ind w:left="435" w:hanging="435"/>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1080" w:hanging="108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4" w15:restartNumberingAfterBreak="0">
    <w:nsid w:val="1D5D31F7"/>
    <w:multiLevelType w:val="hybridMultilevel"/>
    <w:tmpl w:val="931E7CF2"/>
    <w:lvl w:ilvl="0" w:tplc="23AE44D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925E5A"/>
    <w:multiLevelType w:val="hybridMultilevel"/>
    <w:tmpl w:val="4E0EC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A80DFA"/>
    <w:multiLevelType w:val="multilevel"/>
    <w:tmpl w:val="DD6629D2"/>
    <w:lvl w:ilvl="0">
      <w:start w:val="19"/>
      <w:numFmt w:val="decimal"/>
      <w:lvlText w:val="%1."/>
      <w:lvlJc w:val="left"/>
      <w:pPr>
        <w:ind w:left="435" w:hanging="435"/>
      </w:pPr>
      <w:rPr>
        <w:rFonts w:hint="default"/>
        <w:sz w:val="24"/>
      </w:rPr>
    </w:lvl>
    <w:lvl w:ilvl="1">
      <w:start w:val="1"/>
      <w:numFmt w:val="decimal"/>
      <w:lvlText w:val="%1.%2."/>
      <w:lvlJc w:val="left"/>
      <w:pPr>
        <w:ind w:left="661" w:hanging="435"/>
      </w:pPr>
      <w:rPr>
        <w:rFonts w:hint="default"/>
        <w:sz w:val="24"/>
      </w:rPr>
    </w:lvl>
    <w:lvl w:ilvl="2">
      <w:start w:val="1"/>
      <w:numFmt w:val="decimal"/>
      <w:lvlText w:val="%1.%2.%3."/>
      <w:lvlJc w:val="left"/>
      <w:pPr>
        <w:ind w:left="1172" w:hanging="720"/>
      </w:pPr>
      <w:rPr>
        <w:rFonts w:hint="default"/>
        <w:sz w:val="24"/>
      </w:rPr>
    </w:lvl>
    <w:lvl w:ilvl="3">
      <w:start w:val="1"/>
      <w:numFmt w:val="decimal"/>
      <w:lvlText w:val="%1.%2.%3.%4."/>
      <w:lvlJc w:val="left"/>
      <w:pPr>
        <w:ind w:left="1398" w:hanging="720"/>
      </w:pPr>
      <w:rPr>
        <w:rFonts w:hint="default"/>
        <w:sz w:val="24"/>
      </w:rPr>
    </w:lvl>
    <w:lvl w:ilvl="4">
      <w:start w:val="1"/>
      <w:numFmt w:val="decimal"/>
      <w:lvlText w:val="%1.%2.%3.%4.%5."/>
      <w:lvlJc w:val="left"/>
      <w:pPr>
        <w:ind w:left="1984" w:hanging="1080"/>
      </w:pPr>
      <w:rPr>
        <w:rFonts w:hint="default"/>
        <w:sz w:val="24"/>
      </w:rPr>
    </w:lvl>
    <w:lvl w:ilvl="5">
      <w:start w:val="1"/>
      <w:numFmt w:val="decimal"/>
      <w:lvlText w:val="%1.%2.%3.%4.%5.%6."/>
      <w:lvlJc w:val="left"/>
      <w:pPr>
        <w:ind w:left="2210" w:hanging="1080"/>
      </w:pPr>
      <w:rPr>
        <w:rFonts w:hint="default"/>
        <w:sz w:val="24"/>
      </w:rPr>
    </w:lvl>
    <w:lvl w:ilvl="6">
      <w:start w:val="1"/>
      <w:numFmt w:val="decimal"/>
      <w:lvlText w:val="%1.%2.%3.%4.%5.%6.%7."/>
      <w:lvlJc w:val="left"/>
      <w:pPr>
        <w:ind w:left="2436" w:hanging="1080"/>
      </w:pPr>
      <w:rPr>
        <w:rFonts w:hint="default"/>
        <w:sz w:val="24"/>
      </w:rPr>
    </w:lvl>
    <w:lvl w:ilvl="7">
      <w:start w:val="1"/>
      <w:numFmt w:val="decimal"/>
      <w:lvlText w:val="%1.%2.%3.%4.%5.%6.%7.%8."/>
      <w:lvlJc w:val="left"/>
      <w:pPr>
        <w:ind w:left="3022" w:hanging="1440"/>
      </w:pPr>
      <w:rPr>
        <w:rFonts w:hint="default"/>
        <w:sz w:val="24"/>
      </w:rPr>
    </w:lvl>
    <w:lvl w:ilvl="8">
      <w:start w:val="1"/>
      <w:numFmt w:val="decimal"/>
      <w:lvlText w:val="%1.%2.%3.%4.%5.%6.%7.%8.%9."/>
      <w:lvlJc w:val="left"/>
      <w:pPr>
        <w:ind w:left="3248" w:hanging="1440"/>
      </w:pPr>
      <w:rPr>
        <w:rFonts w:hint="default"/>
        <w:sz w:val="24"/>
      </w:rPr>
    </w:lvl>
  </w:abstractNum>
  <w:abstractNum w:abstractNumId="7" w15:restartNumberingAfterBreak="0">
    <w:nsid w:val="28A7464D"/>
    <w:multiLevelType w:val="hybridMultilevel"/>
    <w:tmpl w:val="602E3D58"/>
    <w:lvl w:ilvl="0" w:tplc="D06A012C">
      <w:start w:val="1"/>
      <w:numFmt w:val="decimal"/>
      <w:lvlText w:val="(%1)"/>
      <w:lvlJc w:val="left"/>
      <w:pPr>
        <w:ind w:left="1211"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961FDD"/>
    <w:multiLevelType w:val="hybridMultilevel"/>
    <w:tmpl w:val="35CC404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460074"/>
    <w:multiLevelType w:val="hybridMultilevel"/>
    <w:tmpl w:val="3DF67DDE"/>
    <w:lvl w:ilvl="0" w:tplc="CAE0880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0" w15:restartNumberingAfterBreak="0">
    <w:nsid w:val="3059063F"/>
    <w:multiLevelType w:val="multilevel"/>
    <w:tmpl w:val="EB0E2796"/>
    <w:lvl w:ilvl="0">
      <w:start w:val="1"/>
      <w:numFmt w:val="decimal"/>
      <w:lvlText w:val="%1."/>
      <w:lvlJc w:val="left"/>
      <w:pPr>
        <w:ind w:left="720" w:hanging="360"/>
      </w:pPr>
      <w:rPr>
        <w:rFonts w:ascii="David" w:hAnsi="David" w:hint="default"/>
      </w:rPr>
    </w:lvl>
    <w:lvl w:ilvl="1">
      <w:start w:val="1"/>
      <w:numFmt w:val="decimal"/>
      <w:isLgl/>
      <w:lvlText w:val="%1.%2"/>
      <w:lvlJc w:val="left"/>
      <w:pPr>
        <w:ind w:left="735" w:hanging="375"/>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11" w15:restartNumberingAfterBreak="0">
    <w:nsid w:val="32AE789D"/>
    <w:multiLevelType w:val="multilevel"/>
    <w:tmpl w:val="7368E1FA"/>
    <w:lvl w:ilvl="0">
      <w:start w:val="1"/>
      <w:numFmt w:val="decimal"/>
      <w:pStyle w:val="1"/>
      <w:lvlText w:val="%1."/>
      <w:lvlJc w:val="center"/>
      <w:pPr>
        <w:tabs>
          <w:tab w:val="num" w:pos="34"/>
        </w:tabs>
        <w:ind w:left="34" w:hanging="601"/>
      </w:pPr>
      <w:rPr>
        <w:rFonts w:cs="Times New Roman" w:hint="default"/>
        <w:bCs w:val="0"/>
        <w:iCs w:val="0"/>
        <w:u w:val="none"/>
      </w:rPr>
    </w:lvl>
    <w:lvl w:ilvl="1">
      <w:start w:val="1"/>
      <w:numFmt w:val="hebrew1"/>
      <w:pStyle w:val="2"/>
      <w:lvlText w:val="%2."/>
      <w:lvlJc w:val="center"/>
      <w:pPr>
        <w:tabs>
          <w:tab w:val="num" w:pos="567"/>
        </w:tabs>
        <w:ind w:left="567" w:hanging="510"/>
      </w:pPr>
      <w:rPr>
        <w:rFonts w:cs="Times New Roman" w:hint="default"/>
        <w:szCs w:val="24"/>
        <w:u w:val="none"/>
      </w:rPr>
    </w:lvl>
    <w:lvl w:ilvl="2">
      <w:start w:val="1"/>
      <w:numFmt w:val="decimal"/>
      <w:pStyle w:val="3"/>
      <w:lvlText w:val="%3)"/>
      <w:lvlJc w:val="center"/>
      <w:pPr>
        <w:tabs>
          <w:tab w:val="num" w:pos="1134"/>
        </w:tabs>
        <w:ind w:left="1134" w:hanging="567"/>
      </w:pPr>
      <w:rPr>
        <w:rFonts w:cs="Times New Roman" w:hint="default"/>
        <w:u w:val="none"/>
      </w:rPr>
    </w:lvl>
    <w:lvl w:ilvl="3">
      <w:start w:val="1"/>
      <w:numFmt w:val="hebrew1"/>
      <w:lvlText w:val="(%4)"/>
      <w:lvlJc w:val="center"/>
      <w:pPr>
        <w:tabs>
          <w:tab w:val="num" w:pos="1984"/>
        </w:tabs>
        <w:ind w:left="1984" w:hanging="510"/>
      </w:pPr>
      <w:rPr>
        <w:rFonts w:cs="Times New Roman" w:hint="default"/>
        <w:szCs w:val="24"/>
        <w:u w:val="none"/>
      </w:rPr>
    </w:lvl>
    <w:lvl w:ilvl="4">
      <w:start w:val="1"/>
      <w:numFmt w:val="upperRoman"/>
      <w:lvlText w:val="%5"/>
      <w:lvlJc w:val="center"/>
      <w:pPr>
        <w:tabs>
          <w:tab w:val="num" w:pos="2551"/>
        </w:tabs>
        <w:ind w:left="2551" w:hanging="567"/>
      </w:pPr>
      <w:rPr>
        <w:rFonts w:cs="Times New Roman" w:hint="default"/>
        <w:u w:val="none"/>
      </w:rPr>
    </w:lvl>
    <w:lvl w:ilvl="5">
      <w:start w:val="1"/>
      <w:numFmt w:val="lowerRoman"/>
      <w:lvlText w:val="%6"/>
      <w:lvlJc w:val="center"/>
      <w:pPr>
        <w:tabs>
          <w:tab w:val="num" w:pos="3118"/>
        </w:tabs>
        <w:ind w:left="3118" w:hanging="567"/>
      </w:pPr>
      <w:rPr>
        <w:rFonts w:cs="Times New Roman" w:hint="default"/>
        <w:u w:val="none"/>
      </w:rPr>
    </w:lvl>
    <w:lvl w:ilvl="6">
      <w:start w:val="1"/>
      <w:numFmt w:val="bullet"/>
      <w:lvlText w:val=""/>
      <w:lvlJc w:val="left"/>
      <w:pPr>
        <w:tabs>
          <w:tab w:val="num" w:pos="3685"/>
        </w:tabs>
        <w:ind w:left="3685" w:hanging="567"/>
      </w:pPr>
      <w:rPr>
        <w:rFonts w:ascii="Symbol" w:hAnsi="Symbol" w:hint="default"/>
        <w:u w:val="none"/>
      </w:rPr>
    </w:lvl>
    <w:lvl w:ilvl="7">
      <w:start w:val="1"/>
      <w:numFmt w:val="lowerLetter"/>
      <w:lvlText w:val="(%8)"/>
      <w:lvlJc w:val="center"/>
      <w:pPr>
        <w:tabs>
          <w:tab w:val="num" w:pos="4252"/>
        </w:tabs>
        <w:ind w:left="4252" w:hanging="510"/>
      </w:pPr>
      <w:rPr>
        <w:rFonts w:cs="Times New Roman" w:hint="default"/>
        <w:u w:val="none"/>
      </w:rPr>
    </w:lvl>
    <w:lvl w:ilvl="8">
      <w:start w:val="1"/>
      <w:numFmt w:val="lowerRoman"/>
      <w:lvlText w:val="(%9)"/>
      <w:lvlJc w:val="center"/>
      <w:pPr>
        <w:tabs>
          <w:tab w:val="num" w:pos="4819"/>
        </w:tabs>
        <w:ind w:left="4819" w:hanging="510"/>
      </w:pPr>
      <w:rPr>
        <w:rFonts w:cs="Times New Roman" w:hint="default"/>
        <w:u w:val="none"/>
      </w:rPr>
    </w:lvl>
  </w:abstractNum>
  <w:abstractNum w:abstractNumId="12" w15:restartNumberingAfterBreak="0">
    <w:nsid w:val="359D774E"/>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EF38EB"/>
    <w:multiLevelType w:val="hybridMultilevel"/>
    <w:tmpl w:val="C3005D28"/>
    <w:lvl w:ilvl="0" w:tplc="73B8B36C">
      <w:start w:val="1"/>
      <w:numFmt w:val="bullet"/>
      <w:lvlText w:val=""/>
      <w:lvlJc w:val="left"/>
      <w:pPr>
        <w:ind w:left="720" w:hanging="360"/>
      </w:pPr>
      <w:rPr>
        <w:rFonts w:ascii="Symbol" w:eastAsiaTheme="minorHAnsi" w:hAnsi="Symbol"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437B4"/>
    <w:multiLevelType w:val="hybridMultilevel"/>
    <w:tmpl w:val="FA4A962A"/>
    <w:lvl w:ilvl="0" w:tplc="32B835F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63119"/>
    <w:multiLevelType w:val="hybridMultilevel"/>
    <w:tmpl w:val="561E24C4"/>
    <w:lvl w:ilvl="0" w:tplc="FDDA5B50">
      <w:start w:val="1"/>
      <w:numFmt w:val="decimal"/>
      <w:lvlText w:val="%1."/>
      <w:lvlJc w:val="left"/>
      <w:pPr>
        <w:ind w:left="360" w:hanging="360"/>
      </w:pPr>
      <w:rPr>
        <w:rFonts w:hint="default"/>
        <w:sz w:val="24"/>
      </w:rPr>
    </w:lvl>
    <w:lvl w:ilvl="1" w:tplc="53AA297C">
      <w:start w:val="1"/>
      <w:numFmt w:val="hebrew1"/>
      <w:lvlText w:val="(%2)"/>
      <w:lvlJc w:val="left"/>
      <w:pPr>
        <w:ind w:left="786" w:hanging="360"/>
      </w:pPr>
      <w:rPr>
        <w:rFonts w:ascii="Times New Roman" w:eastAsia="Times New Roman" w:hAnsi="Times New Roman" w:cs="David"/>
        <w:lang w:bidi="he-IL"/>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4A7EAC"/>
    <w:multiLevelType w:val="hybridMultilevel"/>
    <w:tmpl w:val="43F47BB0"/>
    <w:lvl w:ilvl="0" w:tplc="7FEE7510">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D8A1C3E"/>
    <w:multiLevelType w:val="hybridMultilevel"/>
    <w:tmpl w:val="5A0264E8"/>
    <w:lvl w:ilvl="0" w:tplc="358A808E">
      <w:start w:val="1"/>
      <w:numFmt w:val="hebrew1"/>
      <w:lvlText w:val="%1."/>
      <w:lvlJc w:val="left"/>
      <w:pPr>
        <w:ind w:left="644" w:hanging="360"/>
      </w:pPr>
      <w:rPr>
        <w:rFonts w:cs="David"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1AA5CC4"/>
    <w:multiLevelType w:val="hybridMultilevel"/>
    <w:tmpl w:val="4ECA0746"/>
    <w:lvl w:ilvl="0" w:tplc="C12C6B0E">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AF253F"/>
    <w:multiLevelType w:val="hybridMultilevel"/>
    <w:tmpl w:val="BA96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18256E"/>
    <w:multiLevelType w:val="hybridMultilevel"/>
    <w:tmpl w:val="7ED0629A"/>
    <w:lvl w:ilvl="0" w:tplc="402C5B52">
      <w:start w:val="1"/>
      <w:numFmt w:val="hebrew1"/>
      <w:lvlText w:val="%1."/>
      <w:lvlJc w:val="left"/>
      <w:pPr>
        <w:ind w:left="644" w:hanging="360"/>
      </w:pPr>
      <w:rPr>
        <w:rFonts w:hint="default"/>
        <w:lang w:val="en-US"/>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4D0171B5"/>
    <w:multiLevelType w:val="hybridMultilevel"/>
    <w:tmpl w:val="759A1A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0064EE"/>
    <w:multiLevelType w:val="hybridMultilevel"/>
    <w:tmpl w:val="7F50B7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F71B5C"/>
    <w:multiLevelType w:val="hybridMultilevel"/>
    <w:tmpl w:val="3CC6F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1F230F"/>
    <w:multiLevelType w:val="hybridMultilevel"/>
    <w:tmpl w:val="C3809876"/>
    <w:lvl w:ilvl="0" w:tplc="53AA297C">
      <w:start w:val="1"/>
      <w:numFmt w:val="hebrew1"/>
      <w:lvlText w:val="(%1)"/>
      <w:lvlJc w:val="left"/>
      <w:pPr>
        <w:ind w:left="972" w:hanging="405"/>
      </w:pPr>
      <w:rPr>
        <w:rFonts w:ascii="Times New Roman" w:eastAsia="Times New Roman" w:hAnsi="Times New Roman" w:cs="David"/>
        <w:lang w:bidi="he-IL"/>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5B2F5A9D"/>
    <w:multiLevelType w:val="hybridMultilevel"/>
    <w:tmpl w:val="15EA362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C642375"/>
    <w:multiLevelType w:val="hybridMultilevel"/>
    <w:tmpl w:val="8C2258CE"/>
    <w:lvl w:ilvl="0" w:tplc="80523A72">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F37F28"/>
    <w:multiLevelType w:val="hybridMultilevel"/>
    <w:tmpl w:val="10FE46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D835A3"/>
    <w:multiLevelType w:val="hybridMultilevel"/>
    <w:tmpl w:val="1F184B2E"/>
    <w:lvl w:ilvl="0" w:tplc="B2002148">
      <w:start w:val="31"/>
      <w:numFmt w:val="bullet"/>
      <w:lvlText w:val="-"/>
      <w:lvlJc w:val="left"/>
      <w:pPr>
        <w:ind w:left="720" w:hanging="360"/>
      </w:pPr>
      <w:rPr>
        <w:rFonts w:asciiTheme="minorHAnsi" w:eastAsiaTheme="minorHAnsi" w:hAnsiTheme="minorHAnsi" w:cs="David"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11"/>
  </w:num>
  <w:num w:numId="3">
    <w:abstractNumId w:val="12"/>
  </w:num>
  <w:num w:numId="4">
    <w:abstractNumId w:val="5"/>
  </w:num>
  <w:num w:numId="5">
    <w:abstractNumId w:val="21"/>
  </w:num>
  <w:num w:numId="6">
    <w:abstractNumId w:val="23"/>
  </w:num>
  <w:num w:numId="7">
    <w:abstractNumId w:val="22"/>
  </w:num>
  <w:num w:numId="8">
    <w:abstractNumId w:val="0"/>
  </w:num>
  <w:num w:numId="9">
    <w:abstractNumId w:val="18"/>
  </w:num>
  <w:num w:numId="10">
    <w:abstractNumId w:val="19"/>
  </w:num>
  <w:num w:numId="11">
    <w:abstractNumId w:val="26"/>
  </w:num>
  <w:num w:numId="12">
    <w:abstractNumId w:val="10"/>
  </w:num>
  <w:num w:numId="13">
    <w:abstractNumId w:val="11"/>
  </w:num>
  <w:num w:numId="14">
    <w:abstractNumId w:val="2"/>
  </w:num>
  <w:num w:numId="15">
    <w:abstractNumId w:val="4"/>
  </w:num>
  <w:num w:numId="16">
    <w:abstractNumId w:val="20"/>
  </w:num>
  <w:num w:numId="17">
    <w:abstractNumId w:val="24"/>
  </w:num>
  <w:num w:numId="18">
    <w:abstractNumId w:val="17"/>
  </w:num>
  <w:num w:numId="19">
    <w:abstractNumId w:val="3"/>
  </w:num>
  <w:num w:numId="20">
    <w:abstractNumId w:val="6"/>
  </w:num>
  <w:num w:numId="21">
    <w:abstractNumId w:val="25"/>
  </w:num>
  <w:num w:numId="22">
    <w:abstractNumId w:val="15"/>
  </w:num>
  <w:num w:numId="23">
    <w:abstractNumId w:val="9"/>
  </w:num>
  <w:num w:numId="24">
    <w:abstractNumId w:val="7"/>
  </w:num>
  <w:num w:numId="25">
    <w:abstractNumId w:val="27"/>
  </w:num>
  <w:num w:numId="26">
    <w:abstractNumId w:val="13"/>
  </w:num>
  <w:num w:numId="27">
    <w:abstractNumId w:val="8"/>
  </w:num>
  <w:num w:numId="28">
    <w:abstractNumId w:val="14"/>
  </w:num>
  <w:num w:numId="29">
    <w:abstractNumId w:val="16"/>
  </w:num>
  <w:num w:numId="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A57"/>
    <w:rsid w:val="0000180E"/>
    <w:rsid w:val="0000413F"/>
    <w:rsid w:val="000129C6"/>
    <w:rsid w:val="00014E64"/>
    <w:rsid w:val="00021C61"/>
    <w:rsid w:val="000223F8"/>
    <w:rsid w:val="00026985"/>
    <w:rsid w:val="000305C4"/>
    <w:rsid w:val="00043A48"/>
    <w:rsid w:val="000441F5"/>
    <w:rsid w:val="000467B1"/>
    <w:rsid w:val="00052B72"/>
    <w:rsid w:val="00056C8E"/>
    <w:rsid w:val="00065CE1"/>
    <w:rsid w:val="00067FF2"/>
    <w:rsid w:val="000709CA"/>
    <w:rsid w:val="00071B01"/>
    <w:rsid w:val="000732A5"/>
    <w:rsid w:val="0007587D"/>
    <w:rsid w:val="00082E6D"/>
    <w:rsid w:val="000845A6"/>
    <w:rsid w:val="00090B63"/>
    <w:rsid w:val="00091AA6"/>
    <w:rsid w:val="00092DC4"/>
    <w:rsid w:val="000937D8"/>
    <w:rsid w:val="000A3601"/>
    <w:rsid w:val="000B306E"/>
    <w:rsid w:val="000C6793"/>
    <w:rsid w:val="000D5CAB"/>
    <w:rsid w:val="000E270D"/>
    <w:rsid w:val="000E3DD3"/>
    <w:rsid w:val="000F437E"/>
    <w:rsid w:val="000F5C65"/>
    <w:rsid w:val="00107935"/>
    <w:rsid w:val="00114077"/>
    <w:rsid w:val="001142AB"/>
    <w:rsid w:val="001258FE"/>
    <w:rsid w:val="0013061F"/>
    <w:rsid w:val="0013063F"/>
    <w:rsid w:val="00132070"/>
    <w:rsid w:val="00134BE0"/>
    <w:rsid w:val="00137B4E"/>
    <w:rsid w:val="00142F23"/>
    <w:rsid w:val="00143A88"/>
    <w:rsid w:val="00150EDA"/>
    <w:rsid w:val="00154299"/>
    <w:rsid w:val="0016149B"/>
    <w:rsid w:val="00167190"/>
    <w:rsid w:val="00167748"/>
    <w:rsid w:val="00182CB4"/>
    <w:rsid w:val="0018651A"/>
    <w:rsid w:val="00190C23"/>
    <w:rsid w:val="001971AB"/>
    <w:rsid w:val="001A2B54"/>
    <w:rsid w:val="001B1C60"/>
    <w:rsid w:val="001C0A99"/>
    <w:rsid w:val="001C105B"/>
    <w:rsid w:val="001C2A21"/>
    <w:rsid w:val="001C6C97"/>
    <w:rsid w:val="001C6D24"/>
    <w:rsid w:val="001D74FE"/>
    <w:rsid w:val="001E46CF"/>
    <w:rsid w:val="001E5778"/>
    <w:rsid w:val="001E7160"/>
    <w:rsid w:val="001F4831"/>
    <w:rsid w:val="001F6B73"/>
    <w:rsid w:val="00204C75"/>
    <w:rsid w:val="00205561"/>
    <w:rsid w:val="002075CA"/>
    <w:rsid w:val="00213D04"/>
    <w:rsid w:val="00214578"/>
    <w:rsid w:val="00216872"/>
    <w:rsid w:val="00220C93"/>
    <w:rsid w:val="00221548"/>
    <w:rsid w:val="002219A9"/>
    <w:rsid w:val="00232123"/>
    <w:rsid w:val="0024504B"/>
    <w:rsid w:val="0024571C"/>
    <w:rsid w:val="0026022C"/>
    <w:rsid w:val="00260816"/>
    <w:rsid w:val="00270022"/>
    <w:rsid w:val="002766C7"/>
    <w:rsid w:val="0028076F"/>
    <w:rsid w:val="00280A06"/>
    <w:rsid w:val="00280D1C"/>
    <w:rsid w:val="00281706"/>
    <w:rsid w:val="00286E91"/>
    <w:rsid w:val="0029083E"/>
    <w:rsid w:val="00294BC2"/>
    <w:rsid w:val="002A5369"/>
    <w:rsid w:val="002B046F"/>
    <w:rsid w:val="002B11D0"/>
    <w:rsid w:val="002B1C17"/>
    <w:rsid w:val="002B4F03"/>
    <w:rsid w:val="002B4FE7"/>
    <w:rsid w:val="002B51C5"/>
    <w:rsid w:val="002B52C4"/>
    <w:rsid w:val="002C1A8F"/>
    <w:rsid w:val="002C1D0F"/>
    <w:rsid w:val="002C6671"/>
    <w:rsid w:val="002C6684"/>
    <w:rsid w:val="002D5208"/>
    <w:rsid w:val="002D675B"/>
    <w:rsid w:val="002F1F8F"/>
    <w:rsid w:val="002F20AA"/>
    <w:rsid w:val="002F2C0A"/>
    <w:rsid w:val="002F44B4"/>
    <w:rsid w:val="002F6F40"/>
    <w:rsid w:val="003006EB"/>
    <w:rsid w:val="00302569"/>
    <w:rsid w:val="00305530"/>
    <w:rsid w:val="00307716"/>
    <w:rsid w:val="00310ABA"/>
    <w:rsid w:val="00313429"/>
    <w:rsid w:val="0031556C"/>
    <w:rsid w:val="003301DC"/>
    <w:rsid w:val="00330202"/>
    <w:rsid w:val="00332197"/>
    <w:rsid w:val="00335081"/>
    <w:rsid w:val="003440AA"/>
    <w:rsid w:val="00346427"/>
    <w:rsid w:val="003504B5"/>
    <w:rsid w:val="003508A1"/>
    <w:rsid w:val="00360584"/>
    <w:rsid w:val="00372ABB"/>
    <w:rsid w:val="00373936"/>
    <w:rsid w:val="00381D58"/>
    <w:rsid w:val="003860D3"/>
    <w:rsid w:val="0038796C"/>
    <w:rsid w:val="0039368B"/>
    <w:rsid w:val="0039651B"/>
    <w:rsid w:val="003A218C"/>
    <w:rsid w:val="003A3A8F"/>
    <w:rsid w:val="003A6EEE"/>
    <w:rsid w:val="003B5968"/>
    <w:rsid w:val="003D596A"/>
    <w:rsid w:val="003E1775"/>
    <w:rsid w:val="003E1B21"/>
    <w:rsid w:val="003F3817"/>
    <w:rsid w:val="003F58D8"/>
    <w:rsid w:val="003F680A"/>
    <w:rsid w:val="00402524"/>
    <w:rsid w:val="00411866"/>
    <w:rsid w:val="00413EFB"/>
    <w:rsid w:val="00426664"/>
    <w:rsid w:val="004308DD"/>
    <w:rsid w:val="00433753"/>
    <w:rsid w:val="00445CB1"/>
    <w:rsid w:val="0045002A"/>
    <w:rsid w:val="004558B0"/>
    <w:rsid w:val="00455D51"/>
    <w:rsid w:val="00456976"/>
    <w:rsid w:val="00461D2E"/>
    <w:rsid w:val="0047055F"/>
    <w:rsid w:val="0047126A"/>
    <w:rsid w:val="00471B17"/>
    <w:rsid w:val="00486F42"/>
    <w:rsid w:val="004944A0"/>
    <w:rsid w:val="004947B8"/>
    <w:rsid w:val="00496C7D"/>
    <w:rsid w:val="004A4656"/>
    <w:rsid w:val="004B05B1"/>
    <w:rsid w:val="004B7F6D"/>
    <w:rsid w:val="004C4035"/>
    <w:rsid w:val="004C4C55"/>
    <w:rsid w:val="004D32ED"/>
    <w:rsid w:val="004D493D"/>
    <w:rsid w:val="004D5223"/>
    <w:rsid w:val="004E7107"/>
    <w:rsid w:val="004F09CA"/>
    <w:rsid w:val="004F4336"/>
    <w:rsid w:val="004F7376"/>
    <w:rsid w:val="00505206"/>
    <w:rsid w:val="00511502"/>
    <w:rsid w:val="0051166F"/>
    <w:rsid w:val="0051167E"/>
    <w:rsid w:val="00512982"/>
    <w:rsid w:val="00512DE0"/>
    <w:rsid w:val="00531212"/>
    <w:rsid w:val="005321B0"/>
    <w:rsid w:val="00532DBD"/>
    <w:rsid w:val="00542611"/>
    <w:rsid w:val="005612EA"/>
    <w:rsid w:val="0056628D"/>
    <w:rsid w:val="0056644B"/>
    <w:rsid w:val="005779B1"/>
    <w:rsid w:val="00581934"/>
    <w:rsid w:val="005847BD"/>
    <w:rsid w:val="00586554"/>
    <w:rsid w:val="005873E0"/>
    <w:rsid w:val="00591ED3"/>
    <w:rsid w:val="005A0F90"/>
    <w:rsid w:val="005A2565"/>
    <w:rsid w:val="005B4B0E"/>
    <w:rsid w:val="005B6B94"/>
    <w:rsid w:val="005C33B4"/>
    <w:rsid w:val="005C7081"/>
    <w:rsid w:val="005D02D2"/>
    <w:rsid w:val="005D37D2"/>
    <w:rsid w:val="005D3F69"/>
    <w:rsid w:val="005D4C40"/>
    <w:rsid w:val="005D66C5"/>
    <w:rsid w:val="005E137D"/>
    <w:rsid w:val="005E47FA"/>
    <w:rsid w:val="005F06F7"/>
    <w:rsid w:val="005F252E"/>
    <w:rsid w:val="005F48F8"/>
    <w:rsid w:val="005F64EF"/>
    <w:rsid w:val="005F6D45"/>
    <w:rsid w:val="00603857"/>
    <w:rsid w:val="006071EC"/>
    <w:rsid w:val="00611747"/>
    <w:rsid w:val="006202AF"/>
    <w:rsid w:val="00621DD3"/>
    <w:rsid w:val="00622471"/>
    <w:rsid w:val="0063139D"/>
    <w:rsid w:val="0063335A"/>
    <w:rsid w:val="006360CC"/>
    <w:rsid w:val="00636CFA"/>
    <w:rsid w:val="006439A8"/>
    <w:rsid w:val="006459FB"/>
    <w:rsid w:val="00647861"/>
    <w:rsid w:val="00647AE5"/>
    <w:rsid w:val="00654373"/>
    <w:rsid w:val="006570DA"/>
    <w:rsid w:val="006657E9"/>
    <w:rsid w:val="006836B8"/>
    <w:rsid w:val="006879B2"/>
    <w:rsid w:val="006910FC"/>
    <w:rsid w:val="00691AAD"/>
    <w:rsid w:val="00694F25"/>
    <w:rsid w:val="006A087C"/>
    <w:rsid w:val="006A3DD1"/>
    <w:rsid w:val="006A4700"/>
    <w:rsid w:val="006A7986"/>
    <w:rsid w:val="006B5729"/>
    <w:rsid w:val="006B69F4"/>
    <w:rsid w:val="006B720A"/>
    <w:rsid w:val="006C32D4"/>
    <w:rsid w:val="006D3814"/>
    <w:rsid w:val="006D786D"/>
    <w:rsid w:val="006E30B6"/>
    <w:rsid w:val="006F1CAD"/>
    <w:rsid w:val="006F65A5"/>
    <w:rsid w:val="007112AE"/>
    <w:rsid w:val="00712C46"/>
    <w:rsid w:val="00713530"/>
    <w:rsid w:val="0071519D"/>
    <w:rsid w:val="00721DD6"/>
    <w:rsid w:val="00722670"/>
    <w:rsid w:val="007252C0"/>
    <w:rsid w:val="0072677E"/>
    <w:rsid w:val="00731094"/>
    <w:rsid w:val="00731386"/>
    <w:rsid w:val="00732CD6"/>
    <w:rsid w:val="00743387"/>
    <w:rsid w:val="00746A72"/>
    <w:rsid w:val="007569F6"/>
    <w:rsid w:val="00764989"/>
    <w:rsid w:val="00765735"/>
    <w:rsid w:val="00765DF6"/>
    <w:rsid w:val="00771D80"/>
    <w:rsid w:val="007744CB"/>
    <w:rsid w:val="00774EFA"/>
    <w:rsid w:val="00783A96"/>
    <w:rsid w:val="00786C6B"/>
    <w:rsid w:val="007873F7"/>
    <w:rsid w:val="00791750"/>
    <w:rsid w:val="007927D5"/>
    <w:rsid w:val="007A4FCC"/>
    <w:rsid w:val="007A551F"/>
    <w:rsid w:val="007A6D7E"/>
    <w:rsid w:val="007A7CF6"/>
    <w:rsid w:val="007B4805"/>
    <w:rsid w:val="007B69E1"/>
    <w:rsid w:val="007C0570"/>
    <w:rsid w:val="007D1BE0"/>
    <w:rsid w:val="007D6EBF"/>
    <w:rsid w:val="007E1414"/>
    <w:rsid w:val="007E79C3"/>
    <w:rsid w:val="007F09FA"/>
    <w:rsid w:val="007F0B3A"/>
    <w:rsid w:val="007F660A"/>
    <w:rsid w:val="007F6BB4"/>
    <w:rsid w:val="008020D7"/>
    <w:rsid w:val="00802F2C"/>
    <w:rsid w:val="00803B4E"/>
    <w:rsid w:val="00810FC2"/>
    <w:rsid w:val="00813883"/>
    <w:rsid w:val="00814DA3"/>
    <w:rsid w:val="008178EA"/>
    <w:rsid w:val="008224D4"/>
    <w:rsid w:val="00831866"/>
    <w:rsid w:val="00831A64"/>
    <w:rsid w:val="00836BA9"/>
    <w:rsid w:val="00850DC2"/>
    <w:rsid w:val="00860989"/>
    <w:rsid w:val="00872F91"/>
    <w:rsid w:val="008745B5"/>
    <w:rsid w:val="00880657"/>
    <w:rsid w:val="00880941"/>
    <w:rsid w:val="00886ACD"/>
    <w:rsid w:val="008915B9"/>
    <w:rsid w:val="00893B61"/>
    <w:rsid w:val="00896341"/>
    <w:rsid w:val="008C0528"/>
    <w:rsid w:val="008C0E3C"/>
    <w:rsid w:val="008C5431"/>
    <w:rsid w:val="008C545F"/>
    <w:rsid w:val="008C5932"/>
    <w:rsid w:val="008D18BD"/>
    <w:rsid w:val="008D718B"/>
    <w:rsid w:val="008E1085"/>
    <w:rsid w:val="008E1482"/>
    <w:rsid w:val="008E7898"/>
    <w:rsid w:val="008F0A68"/>
    <w:rsid w:val="008F0E1E"/>
    <w:rsid w:val="008F166E"/>
    <w:rsid w:val="008F6773"/>
    <w:rsid w:val="00902859"/>
    <w:rsid w:val="00904D63"/>
    <w:rsid w:val="00907018"/>
    <w:rsid w:val="00910529"/>
    <w:rsid w:val="0091318C"/>
    <w:rsid w:val="00920428"/>
    <w:rsid w:val="00926521"/>
    <w:rsid w:val="00935E10"/>
    <w:rsid w:val="00940DDB"/>
    <w:rsid w:val="00943117"/>
    <w:rsid w:val="009437CC"/>
    <w:rsid w:val="00945FF4"/>
    <w:rsid w:val="009515BB"/>
    <w:rsid w:val="00955CA9"/>
    <w:rsid w:val="00956480"/>
    <w:rsid w:val="00963C7D"/>
    <w:rsid w:val="0096788F"/>
    <w:rsid w:val="00972B6E"/>
    <w:rsid w:val="00997AAC"/>
    <w:rsid w:val="009A2163"/>
    <w:rsid w:val="009A4444"/>
    <w:rsid w:val="009A4950"/>
    <w:rsid w:val="009D2B80"/>
    <w:rsid w:val="009F0CA5"/>
    <w:rsid w:val="009F3468"/>
    <w:rsid w:val="00A047EF"/>
    <w:rsid w:val="00A0631A"/>
    <w:rsid w:val="00A20298"/>
    <w:rsid w:val="00A306E0"/>
    <w:rsid w:val="00A31AE2"/>
    <w:rsid w:val="00A356B6"/>
    <w:rsid w:val="00A3739E"/>
    <w:rsid w:val="00A3771D"/>
    <w:rsid w:val="00A41C8A"/>
    <w:rsid w:val="00A466CC"/>
    <w:rsid w:val="00A533FA"/>
    <w:rsid w:val="00A54924"/>
    <w:rsid w:val="00A644A0"/>
    <w:rsid w:val="00A64B69"/>
    <w:rsid w:val="00A67566"/>
    <w:rsid w:val="00A70D93"/>
    <w:rsid w:val="00A73472"/>
    <w:rsid w:val="00A83BCD"/>
    <w:rsid w:val="00A86BF9"/>
    <w:rsid w:val="00A927A9"/>
    <w:rsid w:val="00A9531A"/>
    <w:rsid w:val="00AA0380"/>
    <w:rsid w:val="00AA1D91"/>
    <w:rsid w:val="00AA327E"/>
    <w:rsid w:val="00AB0FBD"/>
    <w:rsid w:val="00AC5AC9"/>
    <w:rsid w:val="00AD2817"/>
    <w:rsid w:val="00AD7865"/>
    <w:rsid w:val="00AD7FDF"/>
    <w:rsid w:val="00AE273F"/>
    <w:rsid w:val="00AF0911"/>
    <w:rsid w:val="00AF6BE5"/>
    <w:rsid w:val="00B02855"/>
    <w:rsid w:val="00B02882"/>
    <w:rsid w:val="00B121C9"/>
    <w:rsid w:val="00B152CE"/>
    <w:rsid w:val="00B16430"/>
    <w:rsid w:val="00B167F4"/>
    <w:rsid w:val="00B53B58"/>
    <w:rsid w:val="00B552EB"/>
    <w:rsid w:val="00B64B2E"/>
    <w:rsid w:val="00B675D2"/>
    <w:rsid w:val="00B675F7"/>
    <w:rsid w:val="00B676B4"/>
    <w:rsid w:val="00B7245D"/>
    <w:rsid w:val="00B823BA"/>
    <w:rsid w:val="00B83638"/>
    <w:rsid w:val="00B90933"/>
    <w:rsid w:val="00B96E31"/>
    <w:rsid w:val="00B97063"/>
    <w:rsid w:val="00BA0692"/>
    <w:rsid w:val="00BA1B2C"/>
    <w:rsid w:val="00BA3BF5"/>
    <w:rsid w:val="00BA5AA4"/>
    <w:rsid w:val="00BA5ACD"/>
    <w:rsid w:val="00BA63B1"/>
    <w:rsid w:val="00BB5BA1"/>
    <w:rsid w:val="00BB6C2A"/>
    <w:rsid w:val="00BC4B60"/>
    <w:rsid w:val="00BD4E51"/>
    <w:rsid w:val="00C048CA"/>
    <w:rsid w:val="00C05B42"/>
    <w:rsid w:val="00C070E4"/>
    <w:rsid w:val="00C170FF"/>
    <w:rsid w:val="00C22885"/>
    <w:rsid w:val="00C25C6C"/>
    <w:rsid w:val="00C2695E"/>
    <w:rsid w:val="00C26C1E"/>
    <w:rsid w:val="00C36D21"/>
    <w:rsid w:val="00C42767"/>
    <w:rsid w:val="00C44E13"/>
    <w:rsid w:val="00C4663D"/>
    <w:rsid w:val="00C52A14"/>
    <w:rsid w:val="00C53382"/>
    <w:rsid w:val="00C53733"/>
    <w:rsid w:val="00C554AD"/>
    <w:rsid w:val="00C569F5"/>
    <w:rsid w:val="00C61811"/>
    <w:rsid w:val="00C71109"/>
    <w:rsid w:val="00C71FDE"/>
    <w:rsid w:val="00C77733"/>
    <w:rsid w:val="00C8258A"/>
    <w:rsid w:val="00C855EC"/>
    <w:rsid w:val="00C93913"/>
    <w:rsid w:val="00CA0BE6"/>
    <w:rsid w:val="00CA3A12"/>
    <w:rsid w:val="00CA5E4B"/>
    <w:rsid w:val="00CA705C"/>
    <w:rsid w:val="00CB3562"/>
    <w:rsid w:val="00CB3D51"/>
    <w:rsid w:val="00CB761A"/>
    <w:rsid w:val="00CC1B39"/>
    <w:rsid w:val="00CD3A2B"/>
    <w:rsid w:val="00CD4A33"/>
    <w:rsid w:val="00CD7484"/>
    <w:rsid w:val="00CE4129"/>
    <w:rsid w:val="00CE4DDF"/>
    <w:rsid w:val="00CF3ED3"/>
    <w:rsid w:val="00D033F5"/>
    <w:rsid w:val="00D044C3"/>
    <w:rsid w:val="00D05EFC"/>
    <w:rsid w:val="00D50ED2"/>
    <w:rsid w:val="00D70A8D"/>
    <w:rsid w:val="00D723E4"/>
    <w:rsid w:val="00D73A8C"/>
    <w:rsid w:val="00D74DC7"/>
    <w:rsid w:val="00D80A15"/>
    <w:rsid w:val="00D84889"/>
    <w:rsid w:val="00D87EC6"/>
    <w:rsid w:val="00D923BF"/>
    <w:rsid w:val="00D92FD6"/>
    <w:rsid w:val="00D95F4B"/>
    <w:rsid w:val="00DA1310"/>
    <w:rsid w:val="00DA18C9"/>
    <w:rsid w:val="00DA2646"/>
    <w:rsid w:val="00DC142E"/>
    <w:rsid w:val="00DC24FB"/>
    <w:rsid w:val="00DC3BF7"/>
    <w:rsid w:val="00DC5476"/>
    <w:rsid w:val="00DC7856"/>
    <w:rsid w:val="00DD26ED"/>
    <w:rsid w:val="00DD44C5"/>
    <w:rsid w:val="00DE4862"/>
    <w:rsid w:val="00DE7976"/>
    <w:rsid w:val="00E0179D"/>
    <w:rsid w:val="00E0186D"/>
    <w:rsid w:val="00E11D43"/>
    <w:rsid w:val="00E21FF7"/>
    <w:rsid w:val="00E364B8"/>
    <w:rsid w:val="00E40011"/>
    <w:rsid w:val="00E4093F"/>
    <w:rsid w:val="00E4099A"/>
    <w:rsid w:val="00E409AF"/>
    <w:rsid w:val="00E416B5"/>
    <w:rsid w:val="00E43A5A"/>
    <w:rsid w:val="00E43DEC"/>
    <w:rsid w:val="00E50AD9"/>
    <w:rsid w:val="00E5611A"/>
    <w:rsid w:val="00E600B2"/>
    <w:rsid w:val="00E617FC"/>
    <w:rsid w:val="00E635DF"/>
    <w:rsid w:val="00E67AA6"/>
    <w:rsid w:val="00E71244"/>
    <w:rsid w:val="00E74130"/>
    <w:rsid w:val="00E752A2"/>
    <w:rsid w:val="00E7647E"/>
    <w:rsid w:val="00E771A5"/>
    <w:rsid w:val="00E91CB9"/>
    <w:rsid w:val="00EA1366"/>
    <w:rsid w:val="00EA41CD"/>
    <w:rsid w:val="00EA59A3"/>
    <w:rsid w:val="00EB2EE4"/>
    <w:rsid w:val="00EB4E98"/>
    <w:rsid w:val="00EB5588"/>
    <w:rsid w:val="00EC10ED"/>
    <w:rsid w:val="00EC6233"/>
    <w:rsid w:val="00ED1B55"/>
    <w:rsid w:val="00ED4E5D"/>
    <w:rsid w:val="00EE2A3A"/>
    <w:rsid w:val="00EE3257"/>
    <w:rsid w:val="00EE5B9F"/>
    <w:rsid w:val="00EF0B84"/>
    <w:rsid w:val="00EF0ED6"/>
    <w:rsid w:val="00EF67BB"/>
    <w:rsid w:val="00F03208"/>
    <w:rsid w:val="00F05D85"/>
    <w:rsid w:val="00F05F60"/>
    <w:rsid w:val="00F10DCD"/>
    <w:rsid w:val="00F12D53"/>
    <w:rsid w:val="00F15C2C"/>
    <w:rsid w:val="00F1690E"/>
    <w:rsid w:val="00F17523"/>
    <w:rsid w:val="00F23F91"/>
    <w:rsid w:val="00F24D25"/>
    <w:rsid w:val="00F269D6"/>
    <w:rsid w:val="00F26CA2"/>
    <w:rsid w:val="00F301EF"/>
    <w:rsid w:val="00F323CC"/>
    <w:rsid w:val="00F4458E"/>
    <w:rsid w:val="00F50D13"/>
    <w:rsid w:val="00F51FD3"/>
    <w:rsid w:val="00F520BB"/>
    <w:rsid w:val="00F52D73"/>
    <w:rsid w:val="00F53435"/>
    <w:rsid w:val="00F56BA6"/>
    <w:rsid w:val="00F57F9F"/>
    <w:rsid w:val="00F61E78"/>
    <w:rsid w:val="00F620B5"/>
    <w:rsid w:val="00F723DA"/>
    <w:rsid w:val="00F73794"/>
    <w:rsid w:val="00F85234"/>
    <w:rsid w:val="00F860B6"/>
    <w:rsid w:val="00FB40B9"/>
    <w:rsid w:val="00FC3458"/>
    <w:rsid w:val="00FC4401"/>
    <w:rsid w:val="00FC5454"/>
    <w:rsid w:val="00FC5E58"/>
    <w:rsid w:val="00FC610C"/>
    <w:rsid w:val="00FD575B"/>
    <w:rsid w:val="00FD7289"/>
    <w:rsid w:val="00FE3EFA"/>
    <w:rsid w:val="00FE6A57"/>
    <w:rsid w:val="00FF1C5A"/>
    <w:rsid w:val="00FF493D"/>
    <w:rsid w:val="00FF5E6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11631E2"/>
  <w15:docId w15:val="{4E712993-E070-4465-BEF3-DDF448729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23F8"/>
    <w:pPr>
      <w:bidi/>
    </w:pPr>
  </w:style>
  <w:style w:type="paragraph" w:styleId="Heading1">
    <w:name w:val="heading 1"/>
    <w:basedOn w:val="Normal"/>
    <w:next w:val="Normal"/>
    <w:link w:val="Heading1Char"/>
    <w:uiPriority w:val="9"/>
    <w:qFormat/>
    <w:rsid w:val="00F301E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B6C2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865"/>
    <w:pPr>
      <w:ind w:left="720"/>
      <w:contextualSpacing/>
    </w:pPr>
  </w:style>
  <w:style w:type="paragraph" w:customStyle="1" w:styleId="2">
    <w:name w:val="מיספור2"/>
    <w:basedOn w:val="Normal"/>
    <w:next w:val="Normal"/>
    <w:uiPriority w:val="99"/>
    <w:rsid w:val="00143A88"/>
    <w:pPr>
      <w:numPr>
        <w:ilvl w:val="1"/>
        <w:numId w:val="2"/>
      </w:numPr>
      <w:spacing w:before="120" w:after="60" w:line="360" w:lineRule="auto"/>
      <w:jc w:val="both"/>
    </w:pPr>
    <w:rPr>
      <w:rFonts w:ascii="Times New Roman" w:eastAsia="Times New Roman" w:hAnsi="Times New Roman" w:cs="David"/>
      <w:sz w:val="20"/>
      <w:szCs w:val="24"/>
      <w:lang w:eastAsia="he-IL"/>
    </w:rPr>
  </w:style>
  <w:style w:type="paragraph" w:customStyle="1" w:styleId="1">
    <w:name w:val="מספור1"/>
    <w:basedOn w:val="Normal"/>
    <w:next w:val="Normal"/>
    <w:uiPriority w:val="99"/>
    <w:rsid w:val="00143A88"/>
    <w:pPr>
      <w:numPr>
        <w:numId w:val="2"/>
      </w:numPr>
      <w:spacing w:before="120" w:after="60" w:line="360" w:lineRule="auto"/>
      <w:ind w:right="34"/>
      <w:jc w:val="both"/>
    </w:pPr>
    <w:rPr>
      <w:rFonts w:ascii="Times New Roman" w:eastAsia="Times New Roman" w:hAnsi="Times New Roman" w:cs="David"/>
      <w:color w:val="000000"/>
      <w:sz w:val="20"/>
      <w:szCs w:val="24"/>
    </w:rPr>
  </w:style>
  <w:style w:type="paragraph" w:customStyle="1" w:styleId="3">
    <w:name w:val="מספור3"/>
    <w:basedOn w:val="Normal"/>
    <w:next w:val="Normal"/>
    <w:uiPriority w:val="99"/>
    <w:rsid w:val="00143A88"/>
    <w:pPr>
      <w:numPr>
        <w:ilvl w:val="2"/>
        <w:numId w:val="2"/>
      </w:numPr>
      <w:spacing w:before="120" w:after="60" w:line="360" w:lineRule="auto"/>
      <w:jc w:val="both"/>
    </w:pPr>
    <w:rPr>
      <w:rFonts w:ascii="Times New Roman" w:eastAsia="Times New Roman" w:hAnsi="Times New Roman" w:cs="David"/>
      <w:sz w:val="20"/>
      <w:szCs w:val="24"/>
      <w:lang w:eastAsia="he-IL"/>
    </w:rPr>
  </w:style>
  <w:style w:type="character" w:styleId="FootnoteReference">
    <w:name w:val="footnote reference"/>
    <w:basedOn w:val="DefaultParagraphFont"/>
    <w:uiPriority w:val="99"/>
    <w:semiHidden/>
    <w:unhideWhenUsed/>
    <w:rsid w:val="001A2B54"/>
    <w:rPr>
      <w:vertAlign w:val="superscript"/>
    </w:rPr>
  </w:style>
  <w:style w:type="character" w:styleId="Hyperlink">
    <w:name w:val="Hyperlink"/>
    <w:basedOn w:val="DefaultParagraphFont"/>
    <w:uiPriority w:val="99"/>
    <w:unhideWhenUsed/>
    <w:rsid w:val="001A2B54"/>
    <w:rPr>
      <w:color w:val="0000FF" w:themeColor="hyperlink"/>
      <w:u w:val="single"/>
    </w:rPr>
  </w:style>
  <w:style w:type="paragraph" w:styleId="FootnoteText">
    <w:name w:val="footnote text"/>
    <w:basedOn w:val="Normal"/>
    <w:link w:val="FootnoteTextChar"/>
    <w:uiPriority w:val="99"/>
    <w:unhideWhenUsed/>
    <w:rsid w:val="001A2B54"/>
    <w:pPr>
      <w:spacing w:after="0" w:line="240" w:lineRule="auto"/>
    </w:pPr>
    <w:rPr>
      <w:sz w:val="20"/>
      <w:szCs w:val="20"/>
    </w:rPr>
  </w:style>
  <w:style w:type="character" w:customStyle="1" w:styleId="FootnoteTextChar">
    <w:name w:val="Footnote Text Char"/>
    <w:basedOn w:val="DefaultParagraphFont"/>
    <w:link w:val="FootnoteText"/>
    <w:uiPriority w:val="99"/>
    <w:rsid w:val="001A2B54"/>
    <w:rPr>
      <w:sz w:val="20"/>
      <w:szCs w:val="20"/>
    </w:rPr>
  </w:style>
  <w:style w:type="character" w:styleId="FollowedHyperlink">
    <w:name w:val="FollowedHyperlink"/>
    <w:basedOn w:val="DefaultParagraphFont"/>
    <w:uiPriority w:val="99"/>
    <w:semiHidden/>
    <w:unhideWhenUsed/>
    <w:rsid w:val="0013063F"/>
    <w:rPr>
      <w:color w:val="800080" w:themeColor="followedHyperlink"/>
      <w:u w:val="single"/>
    </w:rPr>
  </w:style>
  <w:style w:type="character" w:styleId="CommentReference">
    <w:name w:val="annotation reference"/>
    <w:basedOn w:val="DefaultParagraphFont"/>
    <w:uiPriority w:val="99"/>
    <w:semiHidden/>
    <w:unhideWhenUsed/>
    <w:rsid w:val="00026985"/>
    <w:rPr>
      <w:sz w:val="16"/>
      <w:szCs w:val="16"/>
    </w:rPr>
  </w:style>
  <w:style w:type="paragraph" w:styleId="CommentText">
    <w:name w:val="annotation text"/>
    <w:basedOn w:val="Normal"/>
    <w:link w:val="CommentTextChar"/>
    <w:uiPriority w:val="99"/>
    <w:semiHidden/>
    <w:unhideWhenUsed/>
    <w:rsid w:val="00026985"/>
    <w:pPr>
      <w:spacing w:line="240" w:lineRule="auto"/>
    </w:pPr>
    <w:rPr>
      <w:sz w:val="20"/>
      <w:szCs w:val="20"/>
    </w:rPr>
  </w:style>
  <w:style w:type="character" w:customStyle="1" w:styleId="CommentTextChar">
    <w:name w:val="Comment Text Char"/>
    <w:basedOn w:val="DefaultParagraphFont"/>
    <w:link w:val="CommentText"/>
    <w:uiPriority w:val="99"/>
    <w:semiHidden/>
    <w:rsid w:val="00026985"/>
    <w:rPr>
      <w:sz w:val="20"/>
      <w:szCs w:val="20"/>
    </w:rPr>
  </w:style>
  <w:style w:type="paragraph" w:styleId="CommentSubject">
    <w:name w:val="annotation subject"/>
    <w:basedOn w:val="CommentText"/>
    <w:next w:val="CommentText"/>
    <w:link w:val="CommentSubjectChar"/>
    <w:uiPriority w:val="99"/>
    <w:semiHidden/>
    <w:unhideWhenUsed/>
    <w:rsid w:val="00026985"/>
    <w:rPr>
      <w:b/>
      <w:bCs/>
    </w:rPr>
  </w:style>
  <w:style w:type="character" w:customStyle="1" w:styleId="CommentSubjectChar">
    <w:name w:val="Comment Subject Char"/>
    <w:basedOn w:val="CommentTextChar"/>
    <w:link w:val="CommentSubject"/>
    <w:uiPriority w:val="99"/>
    <w:semiHidden/>
    <w:rsid w:val="00026985"/>
    <w:rPr>
      <w:b/>
      <w:bCs/>
      <w:sz w:val="20"/>
      <w:szCs w:val="20"/>
    </w:rPr>
  </w:style>
  <w:style w:type="paragraph" w:styleId="BalloonText">
    <w:name w:val="Balloon Text"/>
    <w:basedOn w:val="Normal"/>
    <w:link w:val="BalloonTextChar"/>
    <w:uiPriority w:val="99"/>
    <w:semiHidden/>
    <w:unhideWhenUsed/>
    <w:rsid w:val="000269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6985"/>
    <w:rPr>
      <w:rFonts w:ascii="Tahoma" w:hAnsi="Tahoma" w:cs="Tahoma"/>
      <w:sz w:val="16"/>
      <w:szCs w:val="16"/>
    </w:rPr>
  </w:style>
  <w:style w:type="paragraph" w:styleId="NoSpacing">
    <w:name w:val="No Spacing"/>
    <w:link w:val="NoSpacingChar"/>
    <w:uiPriority w:val="1"/>
    <w:qFormat/>
    <w:rsid w:val="00026985"/>
    <w:pPr>
      <w:bidi/>
      <w:spacing w:after="0" w:line="240" w:lineRule="auto"/>
    </w:pPr>
    <w:rPr>
      <w:rFonts w:eastAsiaTheme="minorEastAsia"/>
    </w:rPr>
  </w:style>
  <w:style w:type="character" w:customStyle="1" w:styleId="NoSpacingChar">
    <w:name w:val="No Spacing Char"/>
    <w:basedOn w:val="DefaultParagraphFont"/>
    <w:link w:val="NoSpacing"/>
    <w:uiPriority w:val="1"/>
    <w:rsid w:val="00026985"/>
    <w:rPr>
      <w:rFonts w:eastAsiaTheme="minorEastAsia"/>
    </w:rPr>
  </w:style>
  <w:style w:type="paragraph" w:styleId="Revision">
    <w:name w:val="Revision"/>
    <w:hidden/>
    <w:uiPriority w:val="99"/>
    <w:semiHidden/>
    <w:rsid w:val="00A64B69"/>
    <w:pPr>
      <w:spacing w:after="0" w:line="240" w:lineRule="auto"/>
    </w:pPr>
  </w:style>
  <w:style w:type="paragraph" w:styleId="BodyText3">
    <w:name w:val="Body Text 3"/>
    <w:basedOn w:val="Normal"/>
    <w:link w:val="BodyText3Char"/>
    <w:uiPriority w:val="99"/>
    <w:semiHidden/>
    <w:unhideWhenUsed/>
    <w:rsid w:val="00A64B69"/>
    <w:pPr>
      <w:spacing w:after="120"/>
    </w:pPr>
    <w:rPr>
      <w:sz w:val="16"/>
      <w:szCs w:val="16"/>
    </w:rPr>
  </w:style>
  <w:style w:type="character" w:customStyle="1" w:styleId="BodyText3Char">
    <w:name w:val="Body Text 3 Char"/>
    <w:basedOn w:val="DefaultParagraphFont"/>
    <w:link w:val="BodyText3"/>
    <w:uiPriority w:val="99"/>
    <w:semiHidden/>
    <w:rsid w:val="00A64B69"/>
    <w:rPr>
      <w:sz w:val="16"/>
      <w:szCs w:val="16"/>
    </w:rPr>
  </w:style>
  <w:style w:type="paragraph" w:styleId="Header">
    <w:name w:val="header"/>
    <w:basedOn w:val="Normal"/>
    <w:link w:val="HeaderChar"/>
    <w:uiPriority w:val="99"/>
    <w:unhideWhenUsed/>
    <w:rsid w:val="00542611"/>
    <w:pPr>
      <w:tabs>
        <w:tab w:val="center" w:pos="4320"/>
        <w:tab w:val="right" w:pos="8640"/>
      </w:tabs>
      <w:spacing w:after="0" w:line="240" w:lineRule="auto"/>
    </w:pPr>
  </w:style>
  <w:style w:type="character" w:customStyle="1" w:styleId="HeaderChar">
    <w:name w:val="Header Char"/>
    <w:basedOn w:val="DefaultParagraphFont"/>
    <w:link w:val="Header"/>
    <w:uiPriority w:val="99"/>
    <w:rsid w:val="00542611"/>
  </w:style>
  <w:style w:type="paragraph" w:styleId="Footer">
    <w:name w:val="footer"/>
    <w:basedOn w:val="Normal"/>
    <w:link w:val="FooterChar"/>
    <w:uiPriority w:val="99"/>
    <w:unhideWhenUsed/>
    <w:rsid w:val="00542611"/>
    <w:pPr>
      <w:tabs>
        <w:tab w:val="center" w:pos="4320"/>
        <w:tab w:val="right" w:pos="8640"/>
      </w:tabs>
      <w:spacing w:after="0" w:line="240" w:lineRule="auto"/>
    </w:pPr>
  </w:style>
  <w:style w:type="character" w:customStyle="1" w:styleId="FooterChar">
    <w:name w:val="Footer Char"/>
    <w:basedOn w:val="DefaultParagraphFont"/>
    <w:link w:val="Footer"/>
    <w:uiPriority w:val="99"/>
    <w:rsid w:val="00542611"/>
  </w:style>
  <w:style w:type="paragraph" w:customStyle="1" w:styleId="Default">
    <w:name w:val="Default"/>
    <w:rsid w:val="001C6D24"/>
    <w:pPr>
      <w:autoSpaceDE w:val="0"/>
      <w:autoSpaceDN w:val="0"/>
      <w:adjustRightInd w:val="0"/>
      <w:spacing w:after="0" w:line="240" w:lineRule="auto"/>
    </w:pPr>
    <w:rPr>
      <w:rFonts w:ascii="Calibri" w:hAnsi="Calibri" w:cs="Calibri"/>
      <w:color w:val="000000"/>
      <w:sz w:val="24"/>
      <w:szCs w:val="24"/>
    </w:rPr>
  </w:style>
  <w:style w:type="character" w:customStyle="1" w:styleId="Heading1Char">
    <w:name w:val="Heading 1 Char"/>
    <w:basedOn w:val="DefaultParagraphFont"/>
    <w:link w:val="Heading1"/>
    <w:uiPriority w:val="9"/>
    <w:rsid w:val="00F301EF"/>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BB6C2A"/>
    <w:rPr>
      <w:rFonts w:asciiTheme="majorHAnsi" w:eastAsiaTheme="majorEastAsia" w:hAnsiTheme="majorHAnsi" w:cstheme="majorBidi"/>
      <w:color w:val="365F91" w:themeColor="accent1" w:themeShade="BF"/>
      <w:sz w:val="26"/>
      <w:szCs w:val="26"/>
    </w:rPr>
  </w:style>
  <w:style w:type="paragraph" w:customStyle="1" w:styleId="p00">
    <w:name w:val="p00"/>
    <w:basedOn w:val="Normal"/>
    <w:rsid w:val="00F57F9F"/>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ig-number">
    <w:name w:val="big-number"/>
    <w:basedOn w:val="DefaultParagraphFont"/>
    <w:rsid w:val="00F57F9F"/>
  </w:style>
  <w:style w:type="character" w:customStyle="1" w:styleId="null1">
    <w:name w:val="null1"/>
    <w:basedOn w:val="DefaultParagraphFont"/>
    <w:rsid w:val="00E409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075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3" Type="http://schemas.openxmlformats.org/officeDocument/2006/relationships/hyperlink" Target="https://www.nevo.co.il/Law_word/law15/memshala-1221.pdf" TargetMode="External"/><Relationship Id="rId2" Type="http://schemas.openxmlformats.org/officeDocument/2006/relationships/hyperlink" Target="https://www.nevo.co.il/law_word/law14/law-2781.pdf" TargetMode="External"/><Relationship Id="rId1" Type="http://schemas.openxmlformats.org/officeDocument/2006/relationships/hyperlink" Target="https://www.tazkirim.gov.il/s/moj-searchresults?search=%D7%A4%D7%98%D7%95%D7%A8%20%D7%A1%D7%95%D7%92" TargetMode="External"/><Relationship Id="rId4" Type="http://schemas.openxmlformats.org/officeDocument/2006/relationships/hyperlink" Target="https://www.gov.il/he/departments/publications/Call_for_bids/jointventures2021" TargetMode="Externa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2021-05-20T00:00:00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D158F74-1C81-43BE-B2AB-78FE97B7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1599</Words>
  <Characters>7997</Characters>
  <Application>Microsoft Office Word</Application>
  <DocSecurity>4</DocSecurity>
  <Lines>66</Lines>
  <Paragraphs>19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דוח הערכת השפעת רגולציה</vt:lpstr>
      <vt:lpstr>דוח הערכת השפעת רגולציה</vt:lpstr>
    </vt:vector>
  </TitlesOfParts>
  <Company/>
  <LinksUpToDate>false</LinksUpToDate>
  <CharactersWithSpaces>9577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דוח הערכת השפעת רגולציה</dc:title>
  <dc:subject>פטור סוג למיזמים משותפים והוראות והגדרות כלליות לפטורי הסוג</dc:subject>
  <dc:creator>עורכי הדו"ח: רשות ההגבלים העסקיים</dc:creator>
  <cp:keywords/>
  <dc:description/>
  <cp:lastModifiedBy>Melita Shafir</cp:lastModifiedBy>
  <cp:revision>2</cp:revision>
  <cp:lastPrinted>2018-03-15T09:27:00Z</cp:lastPrinted>
  <dcterms:created xsi:type="dcterms:W3CDTF">2021-05-20T10:01:00Z</dcterms:created>
  <dcterms:modified xsi:type="dcterms:W3CDTF">2021-05-20T10:01:00Z</dcterms:modified>
</cp:coreProperties>
</file>