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Alef" w:eastAsiaTheme="majorEastAsia" w:hAnsi="Alef" w:cs="Alef"/>
          <w:caps/>
          <w:rtl/>
        </w:rPr>
        <w:id w:val="131909489"/>
        <w:docPartObj>
          <w:docPartGallery w:val="Cover Pages"/>
          <w:docPartUnique/>
        </w:docPartObj>
      </w:sdtPr>
      <w:sdtEndPr>
        <w:rPr>
          <w:caps w:val="0"/>
          <w:sz w:val="72"/>
          <w:szCs w:val="72"/>
          <w:rtl w:val="0"/>
        </w:rPr>
      </w:sdtEndPr>
      <w:sdtContent>
        <w:tbl>
          <w:tblPr>
            <w:bidiVisual/>
            <w:tblW w:w="5203" w:type="pct"/>
            <w:jc w:val="center"/>
            <w:tblLook w:val="04A0" w:firstRow="1" w:lastRow="0" w:firstColumn="1" w:lastColumn="0" w:noHBand="0" w:noVBand="1"/>
          </w:tblPr>
          <w:tblGrid>
            <w:gridCol w:w="8643"/>
          </w:tblGrid>
          <w:tr w:rsidR="00EB5588" w:rsidRPr="00BA63B1" w14:paraId="79DDEEBE" w14:textId="77777777" w:rsidTr="006439A8">
            <w:trPr>
              <w:trHeight w:val="2904"/>
              <w:jc w:val="center"/>
            </w:trPr>
            <w:tc>
              <w:tcPr>
                <w:tcW w:w="5000" w:type="pct"/>
              </w:tcPr>
              <w:p w14:paraId="4C8DE02D" w14:textId="46E856CD" w:rsidR="00EB5588" w:rsidRPr="00BA63B1" w:rsidRDefault="00221548" w:rsidP="006439A8">
                <w:pPr>
                  <w:pStyle w:val="NoSpacing"/>
                  <w:jc w:val="center"/>
                  <w:rPr>
                    <w:rFonts w:ascii="Alef" w:eastAsiaTheme="majorEastAsia" w:hAnsi="Alef" w:cs="Alef"/>
                    <w:caps/>
                    <w:rtl/>
                    <w:cs/>
                  </w:rPr>
                </w:pPr>
                <w:r w:rsidRPr="00E71B20">
                  <w:rPr>
                    <w:rFonts w:asciiTheme="majorBidi" w:hAnsiTheme="majorBidi"/>
                    <w:b/>
                    <w:bCs/>
                    <w:noProof/>
                    <w:sz w:val="32"/>
                    <w:szCs w:val="32"/>
                  </w:rPr>
                  <w:drawing>
                    <wp:inline distT="0" distB="0" distL="0" distR="0" wp14:anchorId="5A56D1CF" wp14:editId="4FBBDC26">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9">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a:extLst/>
                            </pic:spPr>
                          </pic:pic>
                        </a:graphicData>
                      </a:graphic>
                    </wp:inline>
                  </w:drawing>
                </w:r>
              </w:p>
            </w:tc>
          </w:tr>
          <w:tr w:rsidR="00EB5588" w:rsidRPr="00BA63B1" w14:paraId="3A7FBC57" w14:textId="77777777" w:rsidTr="00221548">
            <w:trPr>
              <w:trHeight w:val="3998"/>
              <w:jc w:val="center"/>
            </w:trPr>
            <w:sdt>
              <w:sdtPr>
                <w:rPr>
                  <w:rFonts w:ascii="Alef" w:eastAsiaTheme="majorEastAsia" w:hAnsi="Alef" w:cs="Alef"/>
                  <w:sz w:val="80"/>
                  <w:szCs w:val="80"/>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521CEB67" w14:textId="1C69688F" w:rsidR="00EB5588" w:rsidRPr="00BA63B1" w:rsidRDefault="00F26CA2" w:rsidP="006439A8">
                    <w:pPr>
                      <w:pStyle w:val="NoSpacing"/>
                      <w:jc w:val="center"/>
                      <w:rPr>
                        <w:rFonts w:ascii="Alef" w:eastAsiaTheme="majorEastAsia" w:hAnsi="Alef" w:cs="Alef"/>
                        <w:sz w:val="80"/>
                        <w:szCs w:val="80"/>
                        <w:rtl/>
                        <w:cs/>
                      </w:rPr>
                    </w:pPr>
                    <w:r w:rsidRPr="00BA63B1">
                      <w:rPr>
                        <w:rFonts w:ascii="Alef" w:eastAsiaTheme="majorEastAsia" w:hAnsi="Alef" w:cs="Alef"/>
                        <w:sz w:val="80"/>
                        <w:szCs w:val="80"/>
                        <w:rtl/>
                      </w:rPr>
                      <w:t>דוח הערכת השפעת רגולציה</w:t>
                    </w:r>
                  </w:p>
                </w:tc>
              </w:sdtContent>
            </w:sdt>
          </w:tr>
          <w:tr w:rsidR="00EB5588" w:rsidRPr="00BA63B1" w14:paraId="483D3D64" w14:textId="77777777" w:rsidTr="006439A8">
            <w:trPr>
              <w:trHeight w:val="726"/>
              <w:jc w:val="center"/>
            </w:trPr>
            <w:sdt>
              <w:sdtPr>
                <w:rPr>
                  <w:rFonts w:ascii="Alef" w:eastAsiaTheme="minorHAnsi" w:hAnsi="Alef" w:cs="Alef"/>
                  <w:sz w:val="36"/>
                  <w:szCs w:val="36"/>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1691AFD" w14:textId="157C2225" w:rsidR="00EB5588" w:rsidRPr="00BA63B1" w:rsidRDefault="000223F8" w:rsidP="0029083E">
                    <w:pPr>
                      <w:pStyle w:val="NoSpacing"/>
                      <w:jc w:val="center"/>
                      <w:rPr>
                        <w:rFonts w:ascii="Alef" w:eastAsiaTheme="majorEastAsia" w:hAnsi="Alef" w:cs="Alef"/>
                        <w:sz w:val="44"/>
                        <w:szCs w:val="44"/>
                      </w:rPr>
                    </w:pPr>
                    <w:r w:rsidRPr="00BA63B1">
                      <w:rPr>
                        <w:rFonts w:ascii="Alef" w:eastAsiaTheme="minorHAnsi" w:hAnsi="Alef" w:cs="Alef"/>
                        <w:sz w:val="36"/>
                        <w:szCs w:val="36"/>
                        <w:rtl/>
                      </w:rPr>
                      <w:t>פטור</w:t>
                    </w:r>
                    <w:r w:rsidR="0029083E" w:rsidRPr="00BA63B1">
                      <w:rPr>
                        <w:rFonts w:ascii="Alef" w:eastAsiaTheme="minorHAnsi" w:hAnsi="Alef" w:cs="Alef"/>
                        <w:sz w:val="36"/>
                        <w:szCs w:val="36"/>
                        <w:rtl/>
                      </w:rPr>
                      <w:t>י</w:t>
                    </w:r>
                    <w:r w:rsidRPr="00BA63B1">
                      <w:rPr>
                        <w:rFonts w:ascii="Alef" w:eastAsiaTheme="minorHAnsi" w:hAnsi="Alef" w:cs="Alef"/>
                        <w:sz w:val="36"/>
                        <w:szCs w:val="36"/>
                        <w:rtl/>
                      </w:rPr>
                      <w:t xml:space="preserve"> </w:t>
                    </w:r>
                    <w:r w:rsidR="0029083E" w:rsidRPr="00BA63B1">
                      <w:rPr>
                        <w:rFonts w:ascii="Alef" w:eastAsiaTheme="minorHAnsi" w:hAnsi="Alef" w:cs="Alef"/>
                        <w:sz w:val="36"/>
                        <w:szCs w:val="36"/>
                        <w:rtl/>
                      </w:rPr>
                      <w:t>ה</w:t>
                    </w:r>
                    <w:r w:rsidRPr="00BA63B1">
                      <w:rPr>
                        <w:rFonts w:ascii="Alef" w:eastAsiaTheme="minorHAnsi" w:hAnsi="Alef" w:cs="Alef"/>
                        <w:sz w:val="36"/>
                        <w:szCs w:val="36"/>
                        <w:rtl/>
                      </w:rPr>
                      <w:t>סוג להסדרים שאינם אופקיים,</w:t>
                    </w:r>
                    <w:r w:rsidR="00360584" w:rsidRPr="00BA63B1">
                      <w:rPr>
                        <w:rFonts w:ascii="Alef" w:eastAsiaTheme="minorHAnsi" w:hAnsi="Alef" w:cs="Alef"/>
                        <w:sz w:val="36"/>
                        <w:szCs w:val="36"/>
                        <w:rtl/>
                      </w:rPr>
                      <w:t xml:space="preserve"> </w:t>
                    </w:r>
                    <w:r w:rsidRPr="00BA63B1">
                      <w:rPr>
                        <w:rFonts w:ascii="Alef" w:eastAsiaTheme="minorHAnsi" w:hAnsi="Alef" w:cs="Alef"/>
                        <w:sz w:val="36"/>
                        <w:szCs w:val="36"/>
                        <w:rtl/>
                      </w:rPr>
                      <w:t>להסכמי רכישה בלעדית, להסכמי הפצה בלעדית</w:t>
                    </w:r>
                    <w:r w:rsidR="00AE273F" w:rsidRPr="00BA63B1">
                      <w:rPr>
                        <w:rFonts w:ascii="Alef" w:eastAsiaTheme="minorHAnsi" w:hAnsi="Alef" w:cs="Alef"/>
                        <w:sz w:val="36"/>
                        <w:szCs w:val="36"/>
                        <w:rtl/>
                      </w:rPr>
                      <w:t xml:space="preserve">, </w:t>
                    </w:r>
                    <w:r w:rsidRPr="00BA63B1">
                      <w:rPr>
                        <w:rFonts w:ascii="Alef" w:eastAsiaTheme="minorHAnsi" w:hAnsi="Alef" w:cs="Alef"/>
                        <w:sz w:val="36"/>
                        <w:szCs w:val="36"/>
                        <w:rtl/>
                      </w:rPr>
                      <w:t>להסכמי זכיינות</w:t>
                    </w:r>
                    <w:r w:rsidR="00B675D2" w:rsidRPr="00BA63B1">
                      <w:rPr>
                        <w:rFonts w:ascii="Alef" w:eastAsiaTheme="minorHAnsi" w:hAnsi="Alef" w:cs="Alef"/>
                        <w:sz w:val="36"/>
                        <w:szCs w:val="36"/>
                        <w:rtl/>
                      </w:rPr>
                      <w:t xml:space="preserve">, </w:t>
                    </w:r>
                    <w:r w:rsidRPr="00BA63B1">
                      <w:rPr>
                        <w:rFonts w:ascii="Alef" w:eastAsiaTheme="minorHAnsi" w:hAnsi="Alef" w:cs="Alef"/>
                        <w:sz w:val="36"/>
                        <w:szCs w:val="36"/>
                        <w:rtl/>
                      </w:rPr>
                      <w:t>להסכמים שפגיעתם בתחרות קלת ערך</w:t>
                    </w:r>
                    <w:r w:rsidR="00B675D2" w:rsidRPr="00BA63B1">
                      <w:rPr>
                        <w:rFonts w:ascii="Alef" w:eastAsiaTheme="minorHAnsi" w:hAnsi="Alef" w:cs="Alef"/>
                        <w:sz w:val="36"/>
                        <w:szCs w:val="36"/>
                        <w:rtl/>
                      </w:rPr>
                      <w:t xml:space="preserve"> </w:t>
                    </w:r>
                    <w:r w:rsidR="0029083E" w:rsidRPr="00BA63B1">
                      <w:rPr>
                        <w:rFonts w:ascii="Alef" w:eastAsiaTheme="minorHAnsi" w:hAnsi="Alef" w:cs="Alef"/>
                        <w:sz w:val="36"/>
                        <w:szCs w:val="36"/>
                        <w:rtl/>
                      </w:rPr>
                      <w:t>ו</w:t>
                    </w:r>
                    <w:r w:rsidRPr="00BA63B1">
                      <w:rPr>
                        <w:rFonts w:ascii="Alef" w:eastAsiaTheme="minorHAnsi" w:hAnsi="Alef" w:cs="Alef"/>
                        <w:sz w:val="36"/>
                        <w:szCs w:val="36"/>
                        <w:rtl/>
                      </w:rPr>
                      <w:t>להסכמים בין חברות קשורות</w:t>
                    </w:r>
                  </w:p>
                </w:tc>
              </w:sdtContent>
            </w:sdt>
          </w:tr>
          <w:tr w:rsidR="00EB5588" w:rsidRPr="00BA63B1" w14:paraId="08E0B17A" w14:textId="77777777" w:rsidTr="006439A8">
            <w:trPr>
              <w:trHeight w:val="363"/>
              <w:jc w:val="center"/>
            </w:trPr>
            <w:sdt>
              <w:sdtPr>
                <w:rPr>
                  <w:rFonts w:ascii="Alef" w:hAnsi="Alef" w:cs="Alef"/>
                  <w:b/>
                  <w:bCs/>
                  <w:rtl/>
                </w:rPr>
                <w:alias w:val="תאריך"/>
                <w:id w:val="516659546"/>
                <w:dataBinding w:prefixMappings="xmlns:ns0='http://schemas.microsoft.com/office/2006/coverPageProps'" w:xpath="/ns0:CoverPageProperties[1]/ns0:PublishDate[1]" w:storeItemID="{55AF091B-3C7A-41E3-B477-F2FDAA23CFDA}"/>
                <w:date w:fullDate="2021-05-05T00:00:00Z">
                  <w:dateFormat w:val="dd/MM/yyyy"/>
                  <w:lid w:val="he-IL"/>
                  <w:storeMappedDataAs w:val="dateTime"/>
                  <w:calendar w:val="gregorian"/>
                </w:date>
              </w:sdtPr>
              <w:sdtEndPr/>
              <w:sdtContent>
                <w:tc>
                  <w:tcPr>
                    <w:tcW w:w="5000" w:type="pct"/>
                    <w:vAlign w:val="center"/>
                  </w:tcPr>
                  <w:p w14:paraId="70690B3A" w14:textId="5179BFCA" w:rsidR="00EB5588" w:rsidRPr="00BA63B1" w:rsidRDefault="009A71A3" w:rsidP="00F26CA2">
                    <w:pPr>
                      <w:pStyle w:val="NoSpacing"/>
                      <w:jc w:val="center"/>
                      <w:rPr>
                        <w:rFonts w:ascii="Alef" w:hAnsi="Alef" w:cs="Alef"/>
                        <w:b/>
                        <w:bCs/>
                        <w:rtl/>
                        <w:cs/>
                      </w:rPr>
                    </w:pPr>
                    <w:r w:rsidRPr="009A71A3">
                      <w:rPr>
                        <w:rFonts w:ascii="Alef" w:hAnsi="Alef" w:cs="Alef" w:hint="cs"/>
                        <w:b/>
                        <w:bCs/>
                        <w:rtl/>
                      </w:rPr>
                      <w:t>‏05/05/2021</w:t>
                    </w:r>
                  </w:p>
                </w:tc>
              </w:sdtContent>
            </w:sdt>
          </w:tr>
        </w:tbl>
        <w:p w14:paraId="2F053D1C" w14:textId="77777777" w:rsidR="00EB5588" w:rsidRPr="00BA63B1" w:rsidRDefault="00EB5588" w:rsidP="00EB5588">
          <w:pPr>
            <w:rPr>
              <w:rFonts w:ascii="Alef" w:hAnsi="Alef" w:cs="Alef"/>
              <w:b/>
              <w:bCs/>
              <w:rtl/>
            </w:rPr>
          </w:pPr>
        </w:p>
        <w:p w14:paraId="77061FF4" w14:textId="77777777" w:rsidR="00EB5588" w:rsidRPr="00BA63B1" w:rsidRDefault="00EB5588" w:rsidP="00EB5588">
          <w:pPr>
            <w:ind w:left="1440"/>
            <w:rPr>
              <w:rFonts w:ascii="Alef" w:hAnsi="Alef" w:cs="Alef"/>
              <w:b/>
              <w:bCs/>
              <w:sz w:val="28"/>
              <w:szCs w:val="28"/>
              <w:rtl/>
            </w:rPr>
          </w:pPr>
        </w:p>
        <w:p w14:paraId="4104CA1A" w14:textId="436743DC" w:rsidR="00EB5588" w:rsidRPr="00BA63B1" w:rsidRDefault="00EB5588" w:rsidP="003F3817">
          <w:pPr>
            <w:rPr>
              <w:rFonts w:ascii="Alef" w:hAnsi="Alef" w:cs="Alef"/>
              <w:b/>
              <w:bCs/>
              <w:sz w:val="28"/>
              <w:szCs w:val="28"/>
              <w:rtl/>
              <w:cs/>
            </w:rPr>
          </w:pPr>
          <w:r w:rsidRPr="00BA63B1">
            <w:rPr>
              <w:rFonts w:ascii="Alef" w:hAnsi="Alef" w:cs="Alef"/>
              <w:b/>
              <w:bCs/>
              <w:sz w:val="28"/>
              <w:szCs w:val="28"/>
              <w:u w:val="single"/>
              <w:rtl/>
            </w:rPr>
            <w:t>עור</w:t>
          </w:r>
          <w:r w:rsidR="003F3817" w:rsidRPr="00BA63B1">
            <w:rPr>
              <w:rFonts w:ascii="Alef" w:hAnsi="Alef" w:cs="Alef"/>
              <w:b/>
              <w:bCs/>
              <w:sz w:val="28"/>
              <w:szCs w:val="28"/>
              <w:u w:val="single"/>
              <w:rtl/>
            </w:rPr>
            <w:t>כי</w:t>
          </w:r>
          <w:r w:rsidRPr="00BA63B1">
            <w:rPr>
              <w:rFonts w:ascii="Alef" w:hAnsi="Alef" w:cs="Alef"/>
              <w:b/>
              <w:bCs/>
              <w:sz w:val="28"/>
              <w:szCs w:val="28"/>
              <w:u w:val="single"/>
              <w:rtl/>
            </w:rPr>
            <w:t xml:space="preserve"> הדו"ח</w:t>
          </w:r>
          <w:r w:rsidRPr="00BA63B1">
            <w:rPr>
              <w:rFonts w:ascii="Alef" w:hAnsi="Alef" w:cs="Alef"/>
              <w:b/>
              <w:bCs/>
              <w:sz w:val="28"/>
              <w:szCs w:val="28"/>
              <w:rtl/>
            </w:rPr>
            <w:t xml:space="preserve">: </w:t>
          </w:r>
          <w:r w:rsidR="003F3817" w:rsidRPr="00BA63B1">
            <w:rPr>
              <w:rFonts w:ascii="Alef" w:hAnsi="Alef" w:cs="Alef"/>
              <w:b/>
              <w:bCs/>
              <w:sz w:val="28"/>
              <w:szCs w:val="28"/>
              <w:rtl/>
            </w:rPr>
            <w:t xml:space="preserve">עוה"ד </w:t>
          </w:r>
          <w:r w:rsidRPr="00BA63B1">
            <w:rPr>
              <w:rFonts w:ascii="Alef" w:hAnsi="Alef" w:cs="Alef"/>
              <w:b/>
              <w:bCs/>
              <w:sz w:val="28"/>
              <w:szCs w:val="28"/>
              <w:rtl/>
            </w:rPr>
            <w:t xml:space="preserve">אור </w:t>
          </w:r>
          <w:proofErr w:type="spellStart"/>
          <w:r w:rsidRPr="00BA63B1">
            <w:rPr>
              <w:rFonts w:ascii="Alef" w:hAnsi="Alef" w:cs="Alef"/>
              <w:b/>
              <w:bCs/>
              <w:sz w:val="28"/>
              <w:szCs w:val="28"/>
              <w:rtl/>
            </w:rPr>
            <w:t>בלקין</w:t>
          </w:r>
          <w:proofErr w:type="spellEnd"/>
          <w:r w:rsidR="003F3817" w:rsidRPr="00BA63B1">
            <w:rPr>
              <w:rFonts w:ascii="Alef" w:hAnsi="Alef" w:cs="Alef"/>
              <w:b/>
              <w:bCs/>
              <w:sz w:val="28"/>
              <w:szCs w:val="28"/>
              <w:rtl/>
              <w:cs/>
            </w:rPr>
            <w:t xml:space="preserve"> ועמנואל </w:t>
          </w:r>
          <w:proofErr w:type="spellStart"/>
          <w:r w:rsidR="003F3817" w:rsidRPr="00BA63B1">
            <w:rPr>
              <w:rFonts w:ascii="Alef" w:hAnsi="Alef" w:cs="Alef"/>
              <w:b/>
              <w:bCs/>
              <w:sz w:val="28"/>
              <w:szCs w:val="28"/>
              <w:rtl/>
              <w:cs/>
            </w:rPr>
            <w:t>ברכפלד</w:t>
          </w:r>
          <w:proofErr w:type="spellEnd"/>
        </w:p>
        <w:p w14:paraId="6FCA2806" w14:textId="77777777" w:rsidR="00EB5588" w:rsidRPr="00BA63B1" w:rsidRDefault="00EB5588" w:rsidP="00EB5588">
          <w:pPr>
            <w:rPr>
              <w:rFonts w:ascii="Alef" w:hAnsi="Alef" w:cs="Alef"/>
              <w:rtl/>
              <w:cs/>
            </w:rPr>
          </w:pPr>
        </w:p>
        <w:p w14:paraId="396E738E" w14:textId="77777777" w:rsidR="00EB5588" w:rsidRPr="00BA63B1" w:rsidRDefault="00EB5588" w:rsidP="00EB5588">
          <w:pPr>
            <w:rPr>
              <w:rFonts w:ascii="Alef" w:hAnsi="Alef" w:cs="Alef"/>
              <w:rtl/>
              <w:cs/>
            </w:rPr>
          </w:pPr>
        </w:p>
        <w:p w14:paraId="5D53CE59" w14:textId="77777777" w:rsidR="00EB5588" w:rsidRPr="00BA63B1" w:rsidRDefault="00EB5588" w:rsidP="00EB5588">
          <w:pPr>
            <w:bidi w:val="0"/>
            <w:rPr>
              <w:rFonts w:ascii="Alef" w:eastAsiaTheme="majorEastAsia" w:hAnsi="Alef" w:cs="Alef"/>
              <w:sz w:val="72"/>
              <w:szCs w:val="72"/>
            </w:rPr>
          </w:pPr>
          <w:r w:rsidRPr="00BA63B1">
            <w:rPr>
              <w:rFonts w:ascii="Alef" w:eastAsiaTheme="majorEastAsia" w:hAnsi="Alef" w:cs="Alef"/>
              <w:sz w:val="72"/>
              <w:szCs w:val="72"/>
              <w:rtl/>
            </w:rPr>
            <w:br w:type="page"/>
          </w:r>
        </w:p>
      </w:sdtContent>
    </w:sdt>
    <w:p w14:paraId="73201C46" w14:textId="4B9AD2D9" w:rsidR="00EB5588" w:rsidRPr="00BA63B1" w:rsidRDefault="00EB5588" w:rsidP="00F301EF">
      <w:pPr>
        <w:pStyle w:val="Heading1"/>
        <w:rPr>
          <w:rFonts w:ascii="Alef" w:hAnsi="Alef" w:cs="Alef"/>
          <w:b/>
          <w:bCs/>
          <w:color w:val="auto"/>
          <w:sz w:val="28"/>
          <w:szCs w:val="28"/>
          <w:rtl/>
        </w:rPr>
      </w:pPr>
      <w:r w:rsidRPr="00BA63B1">
        <w:rPr>
          <w:rFonts w:ascii="Alef" w:hAnsi="Alef" w:cs="Alef"/>
          <w:b/>
          <w:bCs/>
          <w:color w:val="auto"/>
          <w:sz w:val="28"/>
          <w:szCs w:val="28"/>
          <w:rtl/>
        </w:rPr>
        <w:lastRenderedPageBreak/>
        <w:t>רקע – פטורי סוג</w:t>
      </w:r>
    </w:p>
    <w:p w14:paraId="31E99182"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חוק התחרות הכלכלית, התשמ"ח-1988 (להלן </w:t>
      </w:r>
      <w:r w:rsidRPr="00BA63B1">
        <w:rPr>
          <w:rFonts w:ascii="Alef" w:hAnsi="Alef" w:cs="Alef"/>
          <w:b/>
          <w:bCs/>
          <w:sz w:val="24"/>
          <w:szCs w:val="24"/>
          <w:rtl/>
        </w:rPr>
        <w:t>החוק</w:t>
      </w:r>
      <w:r w:rsidRPr="00BA63B1">
        <w:rPr>
          <w:rFonts w:ascii="Alef" w:hAnsi="Alef" w:cs="Alef"/>
          <w:sz w:val="24"/>
          <w:szCs w:val="24"/>
          <w:rtl/>
        </w:rPr>
        <w:t xml:space="preserve">) אוסר על עשיית הסדר כובל בלא אישור או היתר (להלן </w:t>
      </w:r>
      <w:r w:rsidRPr="00BA63B1">
        <w:rPr>
          <w:rFonts w:ascii="Alef" w:hAnsi="Alef" w:cs="Alef"/>
          <w:b/>
          <w:bCs/>
          <w:sz w:val="24"/>
          <w:szCs w:val="24"/>
          <w:rtl/>
        </w:rPr>
        <w:t>אישור</w:t>
      </w:r>
      <w:r w:rsidRPr="00BA63B1">
        <w:rPr>
          <w:rFonts w:ascii="Alef" w:hAnsi="Alef" w:cs="Alef"/>
          <w:sz w:val="24"/>
          <w:szCs w:val="24"/>
          <w:rtl/>
        </w:rPr>
        <w:t xml:space="preserve">) מבית הדין לתחרות או פטור מהממונה על התחרות (להלן </w:t>
      </w:r>
      <w:r w:rsidRPr="00BA63B1">
        <w:rPr>
          <w:rFonts w:ascii="Alef" w:hAnsi="Alef" w:cs="Alef"/>
          <w:b/>
          <w:bCs/>
          <w:sz w:val="24"/>
          <w:szCs w:val="24"/>
          <w:rtl/>
        </w:rPr>
        <w:t>הממונה</w:t>
      </w:r>
      <w:r w:rsidRPr="00BA63B1">
        <w:rPr>
          <w:rFonts w:ascii="Alef" w:hAnsi="Alef" w:cs="Alef"/>
          <w:sz w:val="24"/>
          <w:szCs w:val="24"/>
          <w:rtl/>
        </w:rPr>
        <w:t xml:space="preserve">). </w:t>
      </w:r>
    </w:p>
    <w:p w14:paraId="687FE73D" w14:textId="26CAD0D7" w:rsidR="00EB5588" w:rsidRPr="00BA63B1" w:rsidRDefault="00EB5588" w:rsidP="00EB5588">
      <w:pPr>
        <w:jc w:val="both"/>
        <w:rPr>
          <w:rFonts w:ascii="Alef" w:hAnsi="Alef" w:cs="Alef"/>
          <w:sz w:val="24"/>
          <w:szCs w:val="24"/>
          <w:rtl/>
        </w:rPr>
      </w:pPr>
      <w:r w:rsidRPr="00BA63B1">
        <w:rPr>
          <w:rFonts w:ascii="Alef" w:hAnsi="Alef" w:cs="Alef"/>
          <w:sz w:val="24"/>
          <w:szCs w:val="24"/>
          <w:rtl/>
        </w:rPr>
        <w:t>החוק מגדיר הסדר כובל בצורה רחבה, כהסדר בין בני אדם המנהלים עסקים שעלול לפגוע בתחרות</w:t>
      </w:r>
      <w:r w:rsidR="00F301EF" w:rsidRPr="00BA63B1">
        <w:rPr>
          <w:rFonts w:ascii="Alef" w:hAnsi="Alef" w:cs="Alef"/>
          <w:sz w:val="24"/>
          <w:szCs w:val="24"/>
          <w:rtl/>
        </w:rPr>
        <w:t xml:space="preserve"> (ס' 2(א) לחוק)</w:t>
      </w:r>
      <w:r w:rsidRPr="00BA63B1">
        <w:rPr>
          <w:rFonts w:ascii="Alef" w:hAnsi="Alef" w:cs="Alef"/>
          <w:sz w:val="24"/>
          <w:szCs w:val="24"/>
          <w:rtl/>
        </w:rPr>
        <w:t>. החוק מוסיף וקובע כי יראו כהסדרים כובלים הסדרים הכוללים כבילה הנוגעת למחיר, ריווח, חלוקת שוק או לכמות הנכסים או השירותים שיסופקו, איכותם או סוגם</w:t>
      </w:r>
      <w:r w:rsidR="00F301EF" w:rsidRPr="00BA63B1">
        <w:rPr>
          <w:rFonts w:ascii="Alef" w:hAnsi="Alef" w:cs="Alef"/>
          <w:sz w:val="24"/>
          <w:szCs w:val="24"/>
          <w:rtl/>
        </w:rPr>
        <w:t xml:space="preserve"> (ס' 2(ב) לחוק)</w:t>
      </w:r>
      <w:r w:rsidRPr="00BA63B1">
        <w:rPr>
          <w:rFonts w:ascii="Alef" w:hAnsi="Alef" w:cs="Alef"/>
          <w:sz w:val="24"/>
          <w:szCs w:val="24"/>
          <w:rtl/>
        </w:rPr>
        <w:t>.</w:t>
      </w:r>
    </w:p>
    <w:p w14:paraId="0DD70626" w14:textId="316EF80F" w:rsidR="00EB5588" w:rsidRPr="00BA63B1" w:rsidRDefault="00EB5588" w:rsidP="002B51C5">
      <w:pPr>
        <w:jc w:val="both"/>
        <w:rPr>
          <w:rFonts w:ascii="Alef" w:hAnsi="Alef" w:cs="Alef"/>
          <w:sz w:val="24"/>
          <w:szCs w:val="24"/>
          <w:rtl/>
        </w:rPr>
      </w:pPr>
      <w:r w:rsidRPr="00BA63B1">
        <w:rPr>
          <w:rFonts w:ascii="Alef" w:hAnsi="Alef" w:cs="Alef"/>
          <w:sz w:val="24"/>
          <w:szCs w:val="24"/>
          <w:rtl/>
        </w:rPr>
        <w:t xml:space="preserve">עת נחקק החוק בשנת 1988, מערך הפיקוח על הסדרים כובלים היה של רישוי מראש בלבד. בהתאם למערך פיקוח זה כל הסדר שנתפס בגדר ההגדרה הרחבה של הסדר כובל נדרש לקבל אישור מבית הדין לתחרות או פטור פרטני מהממונה. </w:t>
      </w:r>
    </w:p>
    <w:p w14:paraId="7021C3E3" w14:textId="77777777" w:rsidR="00F269D6" w:rsidRPr="00BA63B1" w:rsidRDefault="00EB5588" w:rsidP="00EB5588">
      <w:pPr>
        <w:jc w:val="both"/>
        <w:rPr>
          <w:rFonts w:ascii="Alef" w:hAnsi="Alef" w:cs="Alef"/>
          <w:sz w:val="24"/>
          <w:szCs w:val="24"/>
          <w:rtl/>
        </w:rPr>
      </w:pPr>
      <w:r w:rsidRPr="00BA63B1">
        <w:rPr>
          <w:rFonts w:ascii="Alef" w:hAnsi="Alef" w:cs="Alef"/>
          <w:sz w:val="24"/>
          <w:szCs w:val="24"/>
          <w:rtl/>
        </w:rPr>
        <w:lastRenderedPageBreak/>
        <w:t xml:space="preserve">בשנת 2000 מדינת ישראל הלכה כברת דרך ממערך פיקוח של רישוי מראש בלבד אל עבר אסדרה מסוג בחינה עצמית - באמצעות הוספת מנגנון פטורי הסוג לחוק – וזאת לצד אכיפה בדיעבד במידת הצורך. </w:t>
      </w:r>
    </w:p>
    <w:p w14:paraId="1D5BB471" w14:textId="795885B5" w:rsidR="00A20298" w:rsidRPr="00BA63B1" w:rsidRDefault="00EB5588" w:rsidP="00C36D21">
      <w:pPr>
        <w:jc w:val="both"/>
        <w:rPr>
          <w:rFonts w:ascii="Alef" w:hAnsi="Alef" w:cs="Alef"/>
          <w:sz w:val="24"/>
          <w:szCs w:val="24"/>
          <w:rtl/>
        </w:rPr>
      </w:pPr>
      <w:r w:rsidRPr="00BA63B1">
        <w:rPr>
          <w:rFonts w:ascii="Alef" w:hAnsi="Alef" w:cs="Alef"/>
          <w:sz w:val="24"/>
          <w:szCs w:val="24"/>
          <w:rtl/>
        </w:rPr>
        <w:t>פטורי סוג, כשמם כן הם, פוטרים את הצדדים להסדר מן הצורך בקבלת היתר מראש וזאת ביחס לסוגי הסכמי</w:t>
      </w:r>
      <w:r w:rsidR="002C1A8F" w:rsidRPr="00BA63B1">
        <w:rPr>
          <w:rFonts w:ascii="Alef" w:hAnsi="Alef" w:cs="Alef"/>
          <w:sz w:val="24"/>
          <w:szCs w:val="24"/>
          <w:rtl/>
        </w:rPr>
        <w:t>ם מסוימים</w:t>
      </w:r>
      <w:r w:rsidRPr="00BA63B1">
        <w:rPr>
          <w:rFonts w:ascii="Alef" w:hAnsi="Alef" w:cs="Alef"/>
          <w:sz w:val="24"/>
          <w:szCs w:val="24"/>
          <w:rtl/>
        </w:rPr>
        <w:t xml:space="preserve"> ובעמי</w:t>
      </w:r>
      <w:r w:rsidR="002C1A8F" w:rsidRPr="00BA63B1">
        <w:rPr>
          <w:rFonts w:ascii="Alef" w:hAnsi="Alef" w:cs="Alef"/>
          <w:sz w:val="24"/>
          <w:szCs w:val="24"/>
          <w:rtl/>
        </w:rPr>
        <w:t>דה בתנאים הקבועים בכל פטור סוג. הסדרים</w:t>
      </w:r>
      <w:r w:rsidR="001E46CF" w:rsidRPr="00BA63B1">
        <w:rPr>
          <w:rFonts w:ascii="Alef" w:hAnsi="Alef" w:cs="Alef"/>
          <w:sz w:val="24"/>
          <w:szCs w:val="24"/>
          <w:rtl/>
        </w:rPr>
        <w:t xml:space="preserve"> </w:t>
      </w:r>
      <w:r w:rsidR="00C36D21" w:rsidRPr="00BA63B1">
        <w:rPr>
          <w:rFonts w:ascii="Alef" w:hAnsi="Alef" w:cs="Alef"/>
          <w:sz w:val="24"/>
          <w:szCs w:val="24"/>
          <w:rtl/>
        </w:rPr>
        <w:t xml:space="preserve">מסוימים </w:t>
      </w:r>
      <w:r w:rsidR="001E46CF" w:rsidRPr="00BA63B1">
        <w:rPr>
          <w:rFonts w:ascii="Alef" w:hAnsi="Alef" w:cs="Alef"/>
          <w:sz w:val="24"/>
          <w:szCs w:val="24"/>
          <w:rtl/>
        </w:rPr>
        <w:t>אשר נלכדים תחת ההגדרה הרחבה של הסדר כובל אך</w:t>
      </w:r>
      <w:r w:rsidR="002C1A8F" w:rsidRPr="00BA63B1">
        <w:rPr>
          <w:rFonts w:ascii="Alef" w:hAnsi="Alef" w:cs="Alef"/>
          <w:sz w:val="24"/>
          <w:szCs w:val="24"/>
          <w:rtl/>
        </w:rPr>
        <w:t xml:space="preserve"> אינם פוגעים בתחרות פגיעה משמעותית, שעיקרם אינו בהפחתת התחרות ואין בהם כבילות שאינן נחוצות למימוש עיקרם</w:t>
      </w:r>
      <w:r w:rsidR="001E46CF" w:rsidRPr="00BA63B1">
        <w:rPr>
          <w:rFonts w:ascii="Alef" w:hAnsi="Alef" w:cs="Alef"/>
          <w:sz w:val="24"/>
          <w:szCs w:val="24"/>
          <w:rtl/>
        </w:rPr>
        <w:t xml:space="preserve"> יוכלו לחסות תחת פטור</w:t>
      </w:r>
      <w:r w:rsidR="00C36D21" w:rsidRPr="00BA63B1">
        <w:rPr>
          <w:rFonts w:ascii="Alef" w:hAnsi="Alef" w:cs="Alef"/>
          <w:sz w:val="24"/>
          <w:szCs w:val="24"/>
          <w:rtl/>
        </w:rPr>
        <w:t>י</w:t>
      </w:r>
      <w:r w:rsidR="001E46CF" w:rsidRPr="00BA63B1">
        <w:rPr>
          <w:rFonts w:ascii="Alef" w:hAnsi="Alef" w:cs="Alef"/>
          <w:sz w:val="24"/>
          <w:szCs w:val="24"/>
          <w:rtl/>
        </w:rPr>
        <w:t xml:space="preserve"> הסוג. באופן זה, שיתופי פעולה לגיטימי</w:t>
      </w:r>
      <w:r w:rsidR="00591ED3" w:rsidRPr="00BA63B1">
        <w:rPr>
          <w:rFonts w:ascii="Alef" w:hAnsi="Alef" w:cs="Alef"/>
          <w:sz w:val="24"/>
          <w:szCs w:val="24"/>
          <w:rtl/>
        </w:rPr>
        <w:t xml:space="preserve">ים ושכיחים יוכשרו ללא היתר מראש וזאת לטובת יצירת סביבה עסקית יעילה ודינמית. </w:t>
      </w:r>
    </w:p>
    <w:p w14:paraId="3666C000" w14:textId="05FEDC72" w:rsidR="00BA5AA4" w:rsidRPr="00BA63B1" w:rsidRDefault="00EB5588" w:rsidP="00EB5588">
      <w:pPr>
        <w:jc w:val="both"/>
        <w:rPr>
          <w:rFonts w:ascii="Alef" w:hAnsi="Alef" w:cs="Alef"/>
          <w:sz w:val="24"/>
          <w:szCs w:val="24"/>
          <w:rtl/>
        </w:rPr>
      </w:pPr>
      <w:r w:rsidRPr="00BA63B1">
        <w:rPr>
          <w:rFonts w:ascii="Alef" w:hAnsi="Alef" w:cs="Alef"/>
          <w:sz w:val="24"/>
          <w:szCs w:val="24"/>
          <w:rtl/>
        </w:rPr>
        <w:t xml:space="preserve">מקור ההשראה לשימוש בפטורי סוג הוא באירופה שם פטורי סוג מכונים </w:t>
      </w:r>
      <w:r w:rsidRPr="00BA63B1">
        <w:rPr>
          <w:rFonts w:ascii="Alef" w:hAnsi="Alef" w:cs="Alef"/>
          <w:sz w:val="24"/>
          <w:szCs w:val="24"/>
        </w:rPr>
        <w:t>Block Exemptions</w:t>
      </w:r>
      <w:r w:rsidRPr="00BA63B1">
        <w:rPr>
          <w:rFonts w:ascii="Alef" w:hAnsi="Alef" w:cs="Alef"/>
          <w:sz w:val="24"/>
          <w:szCs w:val="24"/>
          <w:rtl/>
        </w:rPr>
        <w:t xml:space="preserve">. </w:t>
      </w:r>
    </w:p>
    <w:p w14:paraId="0D13A45E" w14:textId="211B7BBD"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לצד האסדרה העצמית בדמות פטורי הסוג קיימת מערכת שמטרתה לפקח, לאתר ולאכוף הפרות של החוק.   </w:t>
      </w:r>
    </w:p>
    <w:p w14:paraId="45956557"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lastRenderedPageBreak/>
        <w:t>מנגנון פטורי הסוג עוגן בסעיף 15א לחוק כחלק מתיקון מס' 6 לחוק משנת 2000.</w:t>
      </w:r>
      <w:r w:rsidRPr="00BA63B1">
        <w:rPr>
          <w:rStyle w:val="FootnoteReference"/>
          <w:rFonts w:ascii="Alef" w:hAnsi="Alef" w:cs="Alef"/>
          <w:sz w:val="24"/>
          <w:szCs w:val="24"/>
          <w:rtl/>
        </w:rPr>
        <w:footnoteReference w:id="1"/>
      </w:r>
      <w:r w:rsidRPr="00BA63B1">
        <w:rPr>
          <w:rFonts w:ascii="Alef" w:hAnsi="Alef" w:cs="Alef"/>
          <w:sz w:val="24"/>
          <w:szCs w:val="24"/>
          <w:rtl/>
        </w:rPr>
        <w:t xml:space="preserve"> תכליתו של המנגנון, שהיה פרי יוזמת הרשות, הייתה התאמת מודל הפיקוח הקיים בחוק לצרכים המתהווים במשק דינמי עתיר עסקאות ויצירת פיקוח גמיש באמצעות הגדרת סוגי הסדרים שלא יצריכו היתר מראש. </w:t>
      </w:r>
    </w:p>
    <w:p w14:paraId="0F5DA77B"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יתרונות המהלך תוארו בדברי ההסבר להצעת החוק הממשלתית</w:t>
      </w:r>
      <w:r w:rsidRPr="00BA63B1">
        <w:rPr>
          <w:rStyle w:val="FootnoteReference"/>
          <w:rFonts w:ascii="Alef" w:hAnsi="Alef" w:cs="Alef"/>
          <w:sz w:val="24"/>
          <w:szCs w:val="24"/>
          <w:rtl/>
        </w:rPr>
        <w:footnoteReference w:id="2"/>
      </w:r>
      <w:r w:rsidRPr="00BA63B1">
        <w:rPr>
          <w:rFonts w:ascii="Alef" w:hAnsi="Alef" w:cs="Alef"/>
          <w:sz w:val="24"/>
          <w:szCs w:val="24"/>
          <w:rtl/>
        </w:rPr>
        <w:t xml:space="preserve"> - "באופן זה ימוזערו עלויות העסקה, יקוצרו פרקי הזמן לקבלת אישור רשות ההגבלים העסקיים והעיקר – תושג אכוונה נורמטיבית כללית וטובה יותר של ציבור מנהלי העסקים בדבר הדרך החוקית, בהיבט דיני התחרות, לביצוע סוגים קונקרטיים של עסקאות ששכיחותן גבוהה, כגון הסכמי בלעדיות שונים, מיזמים משותפים למחקר ופיתוח והסכמי הפצה." </w:t>
      </w:r>
    </w:p>
    <w:p w14:paraId="16EECA3D" w14:textId="37F6041A" w:rsidR="00EB5588" w:rsidRPr="00BA63B1" w:rsidRDefault="00EB5588" w:rsidP="00BA5AA4">
      <w:pPr>
        <w:jc w:val="both"/>
        <w:rPr>
          <w:rFonts w:ascii="Alef" w:hAnsi="Alef" w:cs="Alef"/>
          <w:sz w:val="24"/>
          <w:szCs w:val="24"/>
          <w:rtl/>
        </w:rPr>
      </w:pPr>
      <w:r w:rsidRPr="00BA63B1">
        <w:rPr>
          <w:rFonts w:ascii="Alef" w:hAnsi="Alef" w:cs="Alef"/>
          <w:sz w:val="24"/>
          <w:szCs w:val="24"/>
          <w:rtl/>
        </w:rPr>
        <w:t xml:space="preserve">סמוך לאחר הוספת פטורי הסוג, בית המשפט העליון בדנ"א </w:t>
      </w:r>
      <w:r w:rsidRPr="00BA63B1">
        <w:rPr>
          <w:rFonts w:ascii="Alef" w:hAnsi="Alef" w:cs="Alef"/>
          <w:b/>
          <w:bCs/>
          <w:sz w:val="24"/>
          <w:szCs w:val="24"/>
          <w:rtl/>
        </w:rPr>
        <w:t>טבעול (1993) בע"מ נ' שף-הים (1994) בע"מ</w:t>
      </w:r>
      <w:r w:rsidRPr="00BA63B1">
        <w:rPr>
          <w:rFonts w:ascii="Alef" w:hAnsi="Alef" w:cs="Alef"/>
          <w:sz w:val="24"/>
          <w:szCs w:val="24"/>
          <w:rtl/>
        </w:rPr>
        <w:t xml:space="preserve">, נו(1) 56 </w:t>
      </w:r>
      <w:r w:rsidRPr="00BA63B1">
        <w:rPr>
          <w:rFonts w:ascii="Alef" w:hAnsi="Alef" w:cs="Alef"/>
          <w:sz w:val="24"/>
          <w:szCs w:val="24"/>
          <w:rtl/>
        </w:rPr>
        <w:lastRenderedPageBreak/>
        <w:t xml:space="preserve">(2001) </w:t>
      </w:r>
      <w:r w:rsidR="00BA5AA4" w:rsidRPr="00BA63B1">
        <w:rPr>
          <w:rFonts w:ascii="Alef" w:hAnsi="Alef" w:cs="Alef"/>
          <w:sz w:val="24"/>
          <w:szCs w:val="24"/>
          <w:rtl/>
        </w:rPr>
        <w:t>ראה</w:t>
      </w:r>
      <w:r w:rsidRPr="00BA63B1">
        <w:rPr>
          <w:rFonts w:ascii="Alef" w:hAnsi="Alef" w:cs="Alef"/>
          <w:sz w:val="24"/>
          <w:szCs w:val="24"/>
          <w:rtl/>
        </w:rPr>
        <w:t xml:space="preserve"> בפטורי הסוג מכשיר רב-ערך לביצועו הראוי של החוק:</w:t>
      </w:r>
    </w:p>
    <w:p w14:paraId="61D1549C" w14:textId="77777777" w:rsidR="00EB5588" w:rsidRPr="00BA63B1" w:rsidRDefault="00EB5588" w:rsidP="00EB5588">
      <w:pPr>
        <w:ind w:left="651" w:right="709"/>
        <w:jc w:val="both"/>
        <w:rPr>
          <w:rFonts w:ascii="Alef" w:hAnsi="Alef" w:cs="Alef"/>
          <w:sz w:val="24"/>
          <w:szCs w:val="24"/>
          <w:rtl/>
        </w:rPr>
      </w:pPr>
      <w:r w:rsidRPr="00BA63B1">
        <w:rPr>
          <w:rFonts w:ascii="Alef" w:hAnsi="Alef" w:cs="Alef"/>
          <w:sz w:val="24"/>
          <w:szCs w:val="24"/>
          <w:rtl/>
        </w:rPr>
        <w:t>"הנה ניתן בידי הרשויות מכשיר רב-ערך לביצועו הראוי של החוק, ובעיקר – למניעת החלתו במקומות שלא יועד מעיקרו לחול עליהם. שרביט להקלת המעמסה ניתן בידי הרשויות המוסמכות, ונקווה כי תדענה לעשות שימוש בכוח זה הניתן להן בשום-שכל ובטוב-טעם. אכן, ביצוע ראוי של הוראת סעיף 15א יהא בו תשובה הולמת לביקורת שהוטחה בחוק בשל פרישתו הרחבה.... ואמנם, מאז שמענו טיעונים על</w:t>
      </w:r>
      <w:r w:rsidRPr="00BA63B1">
        <w:rPr>
          <w:rFonts w:ascii="Alef" w:hAnsi="Alef" w:cs="Alef"/>
          <w:sz w:val="24"/>
          <w:szCs w:val="24"/>
        </w:rPr>
        <w:t>-</w:t>
      </w:r>
      <w:r w:rsidRPr="00BA63B1">
        <w:rPr>
          <w:rFonts w:ascii="Alef" w:hAnsi="Alef" w:cs="Alef"/>
          <w:sz w:val="24"/>
          <w:szCs w:val="24"/>
          <w:rtl/>
        </w:rPr>
        <w:t>פה מפי באי</w:t>
      </w:r>
      <w:r w:rsidRPr="00BA63B1">
        <w:rPr>
          <w:rFonts w:ascii="Alef" w:hAnsi="Alef" w:cs="Alef"/>
          <w:sz w:val="24"/>
          <w:szCs w:val="24"/>
        </w:rPr>
        <w:t>-</w:t>
      </w:r>
      <w:r w:rsidRPr="00BA63B1">
        <w:rPr>
          <w:rFonts w:ascii="Alef" w:hAnsi="Alef" w:cs="Alef"/>
          <w:sz w:val="24"/>
          <w:szCs w:val="24"/>
          <w:rtl/>
        </w:rPr>
        <w:t>כוח בעלי</w:t>
      </w:r>
      <w:r w:rsidRPr="00BA63B1">
        <w:rPr>
          <w:rFonts w:ascii="Alef" w:hAnsi="Alef" w:cs="Alef"/>
          <w:sz w:val="24"/>
          <w:szCs w:val="24"/>
        </w:rPr>
        <w:t>-</w:t>
      </w:r>
      <w:r w:rsidRPr="00BA63B1">
        <w:rPr>
          <w:rFonts w:ascii="Alef" w:hAnsi="Alef" w:cs="Alef"/>
          <w:sz w:val="24"/>
          <w:szCs w:val="24"/>
          <w:rtl/>
        </w:rPr>
        <w:t>הדין, עשו הרשויות המוסמכות שימוש מושכל וראוי בסמכות שניתנה בידיהן בהוראת </w:t>
      </w:r>
      <w:hyperlink r:id="rId10" w:tgtFrame="blank" w:history="1">
        <w:r w:rsidRPr="00BA63B1">
          <w:rPr>
            <w:rFonts w:ascii="Alef" w:hAnsi="Alef" w:cs="Alef"/>
            <w:sz w:val="24"/>
            <w:szCs w:val="24"/>
            <w:rtl/>
          </w:rPr>
          <w:t>סעיף 15א</w:t>
        </w:r>
      </w:hyperlink>
      <w:r w:rsidRPr="00BA63B1">
        <w:rPr>
          <w:rFonts w:ascii="Alef" w:hAnsi="Alef" w:cs="Alef"/>
          <w:sz w:val="24"/>
          <w:szCs w:val="24"/>
        </w:rPr>
        <w:t> </w:t>
      </w:r>
      <w:r w:rsidRPr="00BA63B1">
        <w:rPr>
          <w:rFonts w:ascii="Alef" w:hAnsi="Alef" w:cs="Alef"/>
          <w:sz w:val="24"/>
          <w:szCs w:val="24"/>
          <w:rtl/>
        </w:rPr>
        <w:t xml:space="preserve">לחוק </w:t>
      </w:r>
      <w:proofErr w:type="spellStart"/>
      <w:r w:rsidRPr="00BA63B1">
        <w:rPr>
          <w:rFonts w:ascii="Alef" w:hAnsi="Alef" w:cs="Alef"/>
          <w:sz w:val="24"/>
          <w:szCs w:val="24"/>
          <w:rtl/>
        </w:rPr>
        <w:t>בקובען</w:t>
      </w:r>
      <w:proofErr w:type="spellEnd"/>
      <w:r w:rsidRPr="00BA63B1">
        <w:rPr>
          <w:rFonts w:ascii="Alef" w:hAnsi="Alef" w:cs="Alef"/>
          <w:sz w:val="24"/>
          <w:szCs w:val="24"/>
          <w:rtl/>
        </w:rPr>
        <w:t xml:space="preserve"> כללים מפורטים לפטורי סוג..." </w:t>
      </w:r>
    </w:p>
    <w:p w14:paraId="36A7C555" w14:textId="0B2C7E6C" w:rsidR="00EB5588" w:rsidRPr="00BA63B1" w:rsidRDefault="00EB5588" w:rsidP="00FB40B9">
      <w:pPr>
        <w:jc w:val="both"/>
        <w:rPr>
          <w:rFonts w:ascii="Alef" w:hAnsi="Alef" w:cs="Alef"/>
          <w:sz w:val="24"/>
          <w:szCs w:val="24"/>
          <w:rtl/>
        </w:rPr>
      </w:pPr>
      <w:r w:rsidRPr="00BA63B1">
        <w:rPr>
          <w:rFonts w:ascii="Alef" w:hAnsi="Alef" w:cs="Alef"/>
          <w:sz w:val="24"/>
          <w:szCs w:val="24"/>
          <w:rtl/>
        </w:rPr>
        <w:t xml:space="preserve">סעיף 15א לחוק הקנה לממונה סמכות לקבוע כי סוגים מסוימים של הסדרים כובלים מותרים ואינם חייבים בפניה </w:t>
      </w:r>
      <w:r w:rsidRPr="00BA63B1">
        <w:rPr>
          <w:rFonts w:ascii="Alef" w:hAnsi="Alef" w:cs="Alef"/>
          <w:sz w:val="24"/>
          <w:szCs w:val="24"/>
          <w:rtl/>
        </w:rPr>
        <w:lastRenderedPageBreak/>
        <w:t>פרטנית לקבלת פטור או אישור. זאת</w:t>
      </w:r>
      <w:r w:rsidR="00FB40B9" w:rsidRPr="00BA63B1">
        <w:rPr>
          <w:rFonts w:ascii="Alef" w:hAnsi="Alef" w:cs="Alef"/>
          <w:sz w:val="24"/>
          <w:szCs w:val="24"/>
          <w:rtl/>
        </w:rPr>
        <w:t>,</w:t>
      </w:r>
      <w:r w:rsidRPr="00BA63B1">
        <w:rPr>
          <w:rFonts w:ascii="Alef" w:hAnsi="Alef" w:cs="Alef"/>
          <w:sz w:val="24"/>
          <w:szCs w:val="24"/>
          <w:rtl/>
        </w:rPr>
        <w:t xml:space="preserve"> </w:t>
      </w:r>
      <w:r w:rsidR="00FB40B9" w:rsidRPr="00BA63B1">
        <w:rPr>
          <w:rFonts w:ascii="Alef" w:hAnsi="Alef" w:cs="Alef"/>
          <w:sz w:val="24"/>
          <w:szCs w:val="24"/>
          <w:rtl/>
        </w:rPr>
        <w:t>כש</w:t>
      </w:r>
      <w:r w:rsidRPr="00BA63B1">
        <w:rPr>
          <w:rFonts w:ascii="Alef" w:hAnsi="Alef" w:cs="Alef"/>
          <w:sz w:val="24"/>
          <w:szCs w:val="24"/>
          <w:rtl/>
        </w:rPr>
        <w:t xml:space="preserve">מדובר בהסדרים כובלים שאינם פוגעים בתחרות פגיעה משמעותית, שעיקרם אינו בהפחתת או מניעת התחרות, ואין בהם כבילות שאינן נחוצות למימוש עיקרם. </w:t>
      </w:r>
    </w:p>
    <w:p w14:paraId="5D4A0D7E"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התקנת כללי פטור סוג מותנית באישור הועדה לפטורים ומיזוגים ובחתימת שר הכלכלה, ותוקפם הוא עד 5 שנים. ניתן לחדש ולתקן את פטורי הסוג מעת לעת לתקופות נוספות שלא יעלו על חמש שנים בכל פעם. </w:t>
      </w:r>
    </w:p>
    <w:p w14:paraId="7CF47CC7" w14:textId="6497FAD2" w:rsidR="00EB5588" w:rsidRPr="00BA63B1" w:rsidRDefault="00EB5588" w:rsidP="005A2565">
      <w:pPr>
        <w:jc w:val="both"/>
        <w:rPr>
          <w:rFonts w:ascii="Alef" w:hAnsi="Alef" w:cs="Alef"/>
          <w:sz w:val="24"/>
          <w:szCs w:val="24"/>
          <w:rtl/>
        </w:rPr>
      </w:pPr>
      <w:r w:rsidRPr="00BA63B1">
        <w:rPr>
          <w:rFonts w:ascii="Alef" w:hAnsi="Alef" w:cs="Alef"/>
          <w:sz w:val="24"/>
          <w:szCs w:val="24"/>
          <w:rtl/>
        </w:rPr>
        <w:t>במרץ 2001 הותקנו לראשונה כללי ההגבלים העסקיים (הוראות והגדרות כלליות), התשס"א-2001 ולצדם שורת פטורי הסוג שלהלן:</w:t>
      </w:r>
    </w:p>
    <w:p w14:paraId="4A63CE9C" w14:textId="5E6774F2" w:rsidR="00EB5588" w:rsidRPr="00BA63B1" w:rsidRDefault="00EB5588" w:rsidP="005A2565">
      <w:pPr>
        <w:pStyle w:val="ListParagraph"/>
        <w:numPr>
          <w:ilvl w:val="0"/>
          <w:numId w:val="25"/>
        </w:numPr>
        <w:spacing w:after="160" w:line="259" w:lineRule="auto"/>
        <w:jc w:val="both"/>
        <w:rPr>
          <w:rFonts w:ascii="Alef" w:hAnsi="Alef" w:cs="Alef"/>
          <w:sz w:val="24"/>
          <w:szCs w:val="24"/>
        </w:rPr>
      </w:pPr>
      <w:r w:rsidRPr="00BA63B1">
        <w:rPr>
          <w:rFonts w:ascii="Alef" w:hAnsi="Alef" w:cs="Alef"/>
          <w:sz w:val="24"/>
          <w:szCs w:val="24"/>
          <w:rtl/>
        </w:rPr>
        <w:t xml:space="preserve">כללי ההגבלים העסקיים (פטור סוג להסכמים שפגיעתם בתחרות קלת ערך); </w:t>
      </w:r>
    </w:p>
    <w:p w14:paraId="71FA1B4C" w14:textId="77777777" w:rsidR="00EB5588" w:rsidRPr="00BA63B1" w:rsidRDefault="00EB5588" w:rsidP="00EB5588">
      <w:pPr>
        <w:pStyle w:val="ListParagraph"/>
        <w:numPr>
          <w:ilvl w:val="0"/>
          <w:numId w:val="25"/>
        </w:numPr>
        <w:spacing w:after="160" w:line="259" w:lineRule="auto"/>
        <w:jc w:val="both"/>
        <w:rPr>
          <w:rFonts w:ascii="Alef" w:hAnsi="Alef" w:cs="Alef"/>
          <w:sz w:val="24"/>
          <w:szCs w:val="24"/>
        </w:rPr>
      </w:pPr>
      <w:r w:rsidRPr="00BA63B1">
        <w:rPr>
          <w:rFonts w:ascii="Alef" w:hAnsi="Alef" w:cs="Alef"/>
          <w:sz w:val="24"/>
          <w:szCs w:val="24"/>
          <w:rtl/>
        </w:rPr>
        <w:t>כללי ההגבלים העסקיים (פטור סוג למיזמים משותפים);</w:t>
      </w:r>
    </w:p>
    <w:p w14:paraId="22F630A4" w14:textId="77777777" w:rsidR="00EB5588" w:rsidRPr="00BA63B1" w:rsidRDefault="00EB5588" w:rsidP="00EB5588">
      <w:pPr>
        <w:pStyle w:val="ListParagraph"/>
        <w:numPr>
          <w:ilvl w:val="0"/>
          <w:numId w:val="25"/>
        </w:numPr>
        <w:spacing w:after="160" w:line="259" w:lineRule="auto"/>
        <w:jc w:val="both"/>
        <w:rPr>
          <w:rFonts w:ascii="Alef" w:hAnsi="Alef" w:cs="Alef"/>
          <w:sz w:val="24"/>
          <w:szCs w:val="24"/>
        </w:rPr>
      </w:pPr>
      <w:r w:rsidRPr="00BA63B1">
        <w:rPr>
          <w:rFonts w:ascii="Alef" w:hAnsi="Alef" w:cs="Alef"/>
          <w:sz w:val="24"/>
          <w:szCs w:val="24"/>
          <w:rtl/>
        </w:rPr>
        <w:t>כללי ההגבלים העסקיים (פטור סוג להסכמים לביצוע מחקר ופיתוח);</w:t>
      </w:r>
    </w:p>
    <w:p w14:paraId="59B4CB22" w14:textId="77777777" w:rsidR="00EB5588" w:rsidRPr="00BA63B1" w:rsidRDefault="00EB5588" w:rsidP="00EB5588">
      <w:pPr>
        <w:pStyle w:val="ListParagraph"/>
        <w:numPr>
          <w:ilvl w:val="0"/>
          <w:numId w:val="25"/>
        </w:numPr>
        <w:spacing w:after="160" w:line="259" w:lineRule="auto"/>
        <w:jc w:val="both"/>
        <w:rPr>
          <w:rFonts w:ascii="Alef" w:hAnsi="Alef" w:cs="Alef"/>
          <w:sz w:val="24"/>
          <w:szCs w:val="24"/>
        </w:rPr>
      </w:pPr>
      <w:r w:rsidRPr="00BA63B1">
        <w:rPr>
          <w:rFonts w:ascii="Alef" w:hAnsi="Alef" w:cs="Alef"/>
          <w:sz w:val="24"/>
          <w:szCs w:val="24"/>
          <w:rtl/>
        </w:rPr>
        <w:lastRenderedPageBreak/>
        <w:t>כללי ההגבלים העסקיים (פטור סוג להסכמי רכישה בלעדית);</w:t>
      </w:r>
    </w:p>
    <w:p w14:paraId="07E1C31A" w14:textId="77777777" w:rsidR="00EB5588" w:rsidRPr="00BA63B1" w:rsidRDefault="00EB5588" w:rsidP="00EB5588">
      <w:pPr>
        <w:pStyle w:val="ListParagraph"/>
        <w:numPr>
          <w:ilvl w:val="0"/>
          <w:numId w:val="25"/>
        </w:numPr>
        <w:spacing w:after="160" w:line="259" w:lineRule="auto"/>
        <w:jc w:val="both"/>
        <w:rPr>
          <w:rFonts w:ascii="Alef" w:hAnsi="Alef" w:cs="Alef"/>
          <w:sz w:val="24"/>
          <w:szCs w:val="24"/>
        </w:rPr>
      </w:pPr>
      <w:r w:rsidRPr="00BA63B1">
        <w:rPr>
          <w:rFonts w:ascii="Alef" w:hAnsi="Alef" w:cs="Alef"/>
          <w:sz w:val="24"/>
          <w:szCs w:val="24"/>
          <w:rtl/>
        </w:rPr>
        <w:t xml:space="preserve">כללי ההגבלים העסקיים (פטור סוג להסכמי הפצה בלעדית); </w:t>
      </w:r>
    </w:p>
    <w:p w14:paraId="7B06778F" w14:textId="77777777" w:rsidR="00EB5588" w:rsidRPr="00BA63B1" w:rsidRDefault="00EB5588" w:rsidP="00EB5588">
      <w:pPr>
        <w:pStyle w:val="ListParagraph"/>
        <w:numPr>
          <w:ilvl w:val="0"/>
          <w:numId w:val="25"/>
        </w:numPr>
        <w:spacing w:after="160" w:line="259" w:lineRule="auto"/>
        <w:jc w:val="both"/>
        <w:rPr>
          <w:rFonts w:ascii="Alef" w:hAnsi="Alef" w:cs="Alef"/>
          <w:sz w:val="24"/>
          <w:szCs w:val="24"/>
        </w:rPr>
      </w:pPr>
      <w:r w:rsidRPr="00BA63B1">
        <w:rPr>
          <w:rFonts w:ascii="Alef" w:hAnsi="Alef" w:cs="Alef"/>
          <w:sz w:val="24"/>
          <w:szCs w:val="24"/>
          <w:rtl/>
        </w:rPr>
        <w:t xml:space="preserve">כללי ההגבלים העסקיים (פטור סוג להסכמי זכיינות). </w:t>
      </w:r>
    </w:p>
    <w:p w14:paraId="4225B537" w14:textId="1B8F3F2E" w:rsidR="00EB5588" w:rsidRPr="00BA63B1" w:rsidRDefault="00EB5588" w:rsidP="002B51C5">
      <w:pPr>
        <w:jc w:val="both"/>
        <w:rPr>
          <w:rFonts w:ascii="Alef" w:hAnsi="Alef" w:cs="Alef"/>
          <w:sz w:val="24"/>
          <w:szCs w:val="24"/>
          <w:rtl/>
        </w:rPr>
      </w:pPr>
      <w:r w:rsidRPr="00BA63B1">
        <w:rPr>
          <w:rFonts w:ascii="Alef" w:hAnsi="Alef" w:cs="Alef"/>
          <w:sz w:val="24"/>
          <w:szCs w:val="24"/>
          <w:rtl/>
        </w:rPr>
        <w:t>פטורי הסוג לעסקאות מסוגים אלו מלווים אותנו עד עצם היום הזה בשינויים מסוימים.</w:t>
      </w:r>
      <w:r w:rsidR="00DC3BF7" w:rsidRPr="00BA63B1">
        <w:rPr>
          <w:rStyle w:val="FootnoteReference"/>
          <w:rFonts w:ascii="Alef" w:hAnsi="Alef" w:cs="Alef"/>
          <w:sz w:val="24"/>
          <w:szCs w:val="24"/>
          <w:rtl/>
        </w:rPr>
        <w:footnoteReference w:id="3"/>
      </w:r>
    </w:p>
    <w:p w14:paraId="3BA5DA05" w14:textId="16EAB6F2" w:rsidR="00EB5588" w:rsidRPr="00BA63B1" w:rsidRDefault="00EB5588" w:rsidP="008F0E1E">
      <w:pPr>
        <w:jc w:val="both"/>
        <w:rPr>
          <w:rFonts w:ascii="Alef" w:hAnsi="Alef" w:cs="Alef"/>
          <w:sz w:val="24"/>
          <w:szCs w:val="24"/>
          <w:rtl/>
        </w:rPr>
      </w:pPr>
      <w:r w:rsidRPr="00BA63B1">
        <w:rPr>
          <w:rFonts w:ascii="Alef" w:hAnsi="Alef" w:cs="Alef"/>
          <w:sz w:val="24"/>
          <w:szCs w:val="24"/>
          <w:rtl/>
        </w:rPr>
        <w:t xml:space="preserve">בשנת 2011 הותקן פטור סוג נוסף רלוונטי לעניינו – </w:t>
      </w:r>
      <w:r w:rsidR="005A2565" w:rsidRPr="00BA63B1">
        <w:rPr>
          <w:rFonts w:ascii="Alef" w:hAnsi="Alef" w:cs="Alef"/>
          <w:sz w:val="24"/>
          <w:szCs w:val="24"/>
          <w:rtl/>
        </w:rPr>
        <w:t xml:space="preserve"> כללי ההגבלים העסקיים (פטור סוג להסכמים בין חברות קשורות) (הוראת שעה), תשע"א-2011</w:t>
      </w:r>
      <w:r w:rsidRPr="00BA63B1">
        <w:rPr>
          <w:rFonts w:ascii="Alef" w:hAnsi="Alef" w:cs="Alef"/>
          <w:sz w:val="24"/>
          <w:szCs w:val="24"/>
          <w:rtl/>
        </w:rPr>
        <w:t xml:space="preserve">. </w:t>
      </w:r>
    </w:p>
    <w:p w14:paraId="64A9BFE4" w14:textId="7BB2FA5D" w:rsidR="00EB5588" w:rsidRPr="00BA63B1" w:rsidRDefault="00EB5588" w:rsidP="005A2565">
      <w:pPr>
        <w:jc w:val="both"/>
        <w:rPr>
          <w:rFonts w:ascii="Alef" w:hAnsi="Alef" w:cs="Alef"/>
          <w:sz w:val="24"/>
          <w:szCs w:val="24"/>
          <w:rtl/>
        </w:rPr>
      </w:pPr>
      <w:r w:rsidRPr="00BA63B1">
        <w:rPr>
          <w:rFonts w:ascii="Alef" w:hAnsi="Alef" w:cs="Alef"/>
          <w:sz w:val="24"/>
          <w:szCs w:val="24"/>
          <w:rtl/>
        </w:rPr>
        <w:t xml:space="preserve">התפתחות מרכזית במנגנון פטורי הסוג ארעה בשנת 2013 עם התקנת כללי ההגבלים העסקיים (פטור סוג להסדרים שאינם </w:t>
      </w:r>
      <w:r w:rsidRPr="00BA63B1">
        <w:rPr>
          <w:rFonts w:ascii="Alef" w:hAnsi="Alef" w:cs="Alef"/>
          <w:sz w:val="24"/>
          <w:szCs w:val="24"/>
          <w:rtl/>
        </w:rPr>
        <w:lastRenderedPageBreak/>
        <w:t xml:space="preserve">אופקיים ואין בהם כבילות מחיר מסוימות) (להלן </w:t>
      </w:r>
      <w:r w:rsidRPr="00BA63B1">
        <w:rPr>
          <w:rFonts w:ascii="Alef" w:hAnsi="Alef" w:cs="Alef"/>
          <w:b/>
          <w:bCs/>
          <w:sz w:val="24"/>
          <w:szCs w:val="24"/>
          <w:rtl/>
        </w:rPr>
        <w:t>פטור הסוג האנכי</w:t>
      </w:r>
      <w:r w:rsidRPr="00BA63B1">
        <w:rPr>
          <w:rFonts w:ascii="Alef" w:hAnsi="Alef" w:cs="Alef"/>
          <w:sz w:val="24"/>
          <w:szCs w:val="24"/>
          <w:rtl/>
        </w:rPr>
        <w:t xml:space="preserve">). </w:t>
      </w:r>
    </w:p>
    <w:p w14:paraId="5F337201" w14:textId="684F10F7" w:rsidR="00EB5588" w:rsidRPr="00BA63B1" w:rsidRDefault="00EB5588" w:rsidP="00EB5588">
      <w:pPr>
        <w:jc w:val="both"/>
        <w:rPr>
          <w:rFonts w:ascii="Alef" w:hAnsi="Alef" w:cs="Alef"/>
          <w:sz w:val="24"/>
          <w:szCs w:val="24"/>
          <w:rtl/>
        </w:rPr>
      </w:pPr>
      <w:r w:rsidRPr="00BA63B1">
        <w:rPr>
          <w:rFonts w:ascii="Alef" w:hAnsi="Alef" w:cs="Alef"/>
          <w:sz w:val="24"/>
          <w:szCs w:val="24"/>
          <w:rtl/>
        </w:rPr>
        <w:t>במשטרי הפיקוח על הסדרים כובלים מקובל להבחין הבחנה יסודית בין הסדרים אופקיים שבין מתחרים לבין הסדרים אנכיים שאינם בין מתחרים אלא בין שתי חוליות שונות בשרשרת ייצור. הסדרים אופקיים הינם הסדרים אשר מעצם טיבם מעוררים חששות תחרותיים משמעותיים נוכח החשש לקיומם של הסדרים דמויי קרטל. זאת לעומת חלק גדול מההסדרים האנכיים, אשר הפגיעה</w:t>
      </w:r>
      <w:r w:rsidR="007873F7" w:rsidRPr="00BA63B1">
        <w:rPr>
          <w:rFonts w:ascii="Alef" w:hAnsi="Alef" w:cs="Alef"/>
          <w:sz w:val="24"/>
          <w:szCs w:val="24"/>
          <w:rtl/>
        </w:rPr>
        <w:t xml:space="preserve"> המסתברת</w:t>
      </w:r>
      <w:r w:rsidRPr="00BA63B1">
        <w:rPr>
          <w:rFonts w:ascii="Alef" w:hAnsi="Alef" w:cs="Alef"/>
          <w:sz w:val="24"/>
          <w:szCs w:val="24"/>
          <w:rtl/>
        </w:rPr>
        <w:t xml:space="preserve"> שלהם בתחרות היא תלוית נסיבות, ובמקרים רבים עשויות להיות להן הצדקות עסקיות לגיטימית בצד השפעה מועטה, אם בכלל, על התחרות. מקובל לומר כי הבדל זה בין סוגי ההסדרים מצדיק רמת פיקוח אחרת ביחס לכל אחד מהם כאשר על חלק גדול מההסדרים האנכיים יש להחיל משטר פיקוח מתון יותר. </w:t>
      </w:r>
    </w:p>
    <w:p w14:paraId="53A98AF2" w14:textId="1457AB9A" w:rsidR="00EB5588" w:rsidRPr="00BA63B1" w:rsidRDefault="00BA5AA4" w:rsidP="00BA5AA4">
      <w:pPr>
        <w:jc w:val="both"/>
        <w:rPr>
          <w:rFonts w:ascii="Alef" w:hAnsi="Alef" w:cs="Alef"/>
          <w:sz w:val="24"/>
          <w:szCs w:val="24"/>
          <w:rtl/>
        </w:rPr>
      </w:pPr>
      <w:r w:rsidRPr="00BA63B1">
        <w:rPr>
          <w:rFonts w:ascii="Alef" w:hAnsi="Alef" w:cs="Alef"/>
          <w:sz w:val="24"/>
          <w:szCs w:val="24"/>
          <w:rtl/>
        </w:rPr>
        <w:t>לשונו של סעיף 2 לחוק</w:t>
      </w:r>
      <w:r w:rsidR="00EB5588" w:rsidRPr="00BA63B1">
        <w:rPr>
          <w:rFonts w:ascii="Alef" w:hAnsi="Alef" w:cs="Alef"/>
          <w:sz w:val="24"/>
          <w:szCs w:val="24"/>
          <w:rtl/>
        </w:rPr>
        <w:t xml:space="preserve">, המגדיר הסדר כובל, אינה מבחינה בין הסדרים אופקיים לבין הסדרים אנכיים. כפועל יוצא מהיעדר אבחנה בין סוגי ההסדרים, החוק מחיל עליהם משטר </w:t>
      </w:r>
      <w:r w:rsidR="00EB5588" w:rsidRPr="00BA63B1">
        <w:rPr>
          <w:rFonts w:ascii="Alef" w:hAnsi="Alef" w:cs="Alef"/>
          <w:sz w:val="24"/>
          <w:szCs w:val="24"/>
          <w:rtl/>
        </w:rPr>
        <w:lastRenderedPageBreak/>
        <w:t>פיקוח זהה. התקנת פטור הסוג האנכי היוותה צעד ראשון לקראת התאמת הדין הישראלי החל על הסדרים כובלים אנכיים לעקרונות הנהוגים במשטרים זרים.</w:t>
      </w:r>
    </w:p>
    <w:p w14:paraId="2A44460C" w14:textId="5FA91EAA" w:rsidR="00EB5588" w:rsidRPr="00BA63B1" w:rsidRDefault="00EB5588" w:rsidP="007873F7">
      <w:pPr>
        <w:jc w:val="both"/>
        <w:rPr>
          <w:rFonts w:ascii="Alef" w:hAnsi="Alef" w:cs="Alef"/>
          <w:sz w:val="24"/>
          <w:szCs w:val="24"/>
          <w:rtl/>
        </w:rPr>
      </w:pPr>
      <w:r w:rsidRPr="00BA63B1">
        <w:rPr>
          <w:rFonts w:ascii="Alef" w:hAnsi="Alef" w:cs="Alef"/>
          <w:sz w:val="24"/>
          <w:szCs w:val="24"/>
          <w:rtl/>
        </w:rPr>
        <w:t xml:space="preserve">בשנת 2015, שנתיים בלבד לאחר התקנת פטור הסוג האנכי, עמד בית המשפט העליון בע"פ 5823/14 </w:t>
      </w:r>
      <w:r w:rsidRPr="00BA63B1">
        <w:rPr>
          <w:rFonts w:ascii="Alef" w:hAnsi="Alef" w:cs="Alef"/>
          <w:b/>
          <w:bCs/>
          <w:sz w:val="24"/>
          <w:szCs w:val="24"/>
          <w:rtl/>
        </w:rPr>
        <w:t xml:space="preserve">שופרסל בע"מ נ' מדינת ישראל </w:t>
      </w:r>
      <w:r w:rsidRPr="00BA63B1">
        <w:rPr>
          <w:rFonts w:ascii="Alef" w:hAnsi="Alef" w:cs="Alef"/>
          <w:sz w:val="24"/>
          <w:szCs w:val="24"/>
          <w:rtl/>
        </w:rPr>
        <w:t>(פורסם בנבו, 10.8.2015)</w:t>
      </w:r>
      <w:r w:rsidR="007D6EBF" w:rsidRPr="00BA63B1">
        <w:rPr>
          <w:rFonts w:ascii="Alef" w:hAnsi="Alef" w:cs="Alef"/>
          <w:sz w:val="24"/>
          <w:szCs w:val="24"/>
          <w:rtl/>
        </w:rPr>
        <w:t xml:space="preserve"> (להלן </w:t>
      </w:r>
      <w:r w:rsidR="007D6EBF" w:rsidRPr="00BA63B1">
        <w:rPr>
          <w:rFonts w:ascii="Alef" w:hAnsi="Alef" w:cs="Alef"/>
          <w:b/>
          <w:bCs/>
          <w:sz w:val="24"/>
          <w:szCs w:val="24"/>
          <w:rtl/>
        </w:rPr>
        <w:t>הלכת שופרסל</w:t>
      </w:r>
      <w:r w:rsidR="007D6EBF" w:rsidRPr="00BA63B1">
        <w:rPr>
          <w:rFonts w:ascii="Alef" w:hAnsi="Alef" w:cs="Alef"/>
          <w:sz w:val="24"/>
          <w:szCs w:val="24"/>
          <w:rtl/>
        </w:rPr>
        <w:t>)</w:t>
      </w:r>
      <w:r w:rsidRPr="00BA63B1">
        <w:rPr>
          <w:rFonts w:ascii="Alef" w:hAnsi="Alef" w:cs="Alef"/>
          <w:sz w:val="24"/>
          <w:szCs w:val="24"/>
          <w:rtl/>
        </w:rPr>
        <w:t xml:space="preserve"> על חשיבות האבחנה בין הסדרים אנכיים להסדרים אופקיים וקבע כי הסדרים אנכיים ככלל אינם נתפסים בחזקות החלוטות של סעיף 2(ב) לחוק. בית המשפט הבהיר באותה פרשה כי הכפפת הסדרים שאינם מקימים חשש משמעותי לפגיעה בתחרות לאישור רגולטורי מעוררת קושי (פס' פד' לפסק דינו של כב' המשנה לנשיאה דאז א' רובינשטיין): </w:t>
      </w:r>
    </w:p>
    <w:p w14:paraId="184015ED" w14:textId="77777777" w:rsidR="00EB5588" w:rsidRPr="00BA63B1" w:rsidRDefault="00EB5588" w:rsidP="00EB5588">
      <w:pPr>
        <w:ind w:left="651" w:right="709"/>
        <w:jc w:val="both"/>
        <w:rPr>
          <w:rFonts w:ascii="Alef" w:hAnsi="Alef" w:cs="Alef"/>
          <w:sz w:val="24"/>
          <w:szCs w:val="24"/>
          <w:rtl/>
        </w:rPr>
      </w:pPr>
      <w:r w:rsidRPr="00BA63B1">
        <w:rPr>
          <w:rFonts w:ascii="Alef" w:hAnsi="Alef" w:cs="Alef"/>
          <w:sz w:val="24"/>
          <w:szCs w:val="24"/>
          <w:rtl/>
        </w:rPr>
        <w:t xml:space="preserve">... אישור הסדר בבית הדין או הגשת בקשת פטור לממונה דורשים השקעה של זמן ומשאבים, ובחיי המסחר השוטפים יש קושי, ולעתים ספק אם צריך, להביא בפני מערך </w:t>
      </w:r>
      <w:r w:rsidRPr="00BA63B1">
        <w:rPr>
          <w:rFonts w:ascii="Alef" w:hAnsi="Alef" w:cs="Alef"/>
          <w:sz w:val="24"/>
          <w:szCs w:val="24"/>
          <w:rtl/>
        </w:rPr>
        <w:lastRenderedPageBreak/>
        <w:t>הפיקוח כל הסדר אנכי שאף אין כל טענה כי הוא פוגע בפועל בתחרות ...</w:t>
      </w:r>
      <w:r w:rsidRPr="00BA63B1">
        <w:rPr>
          <w:rFonts w:ascii="Alef" w:hAnsi="Alef" w:cs="Alef"/>
          <w:sz w:val="24"/>
          <w:szCs w:val="24"/>
        </w:rPr>
        <w:t>"</w:t>
      </w:r>
      <w:r w:rsidRPr="00BA63B1">
        <w:rPr>
          <w:rFonts w:ascii="Alef" w:hAnsi="Alef" w:cs="Alef"/>
          <w:sz w:val="24"/>
          <w:szCs w:val="24"/>
          <w:rtl/>
        </w:rPr>
        <w:t xml:space="preserve"> </w:t>
      </w:r>
    </w:p>
    <w:p w14:paraId="31363520" w14:textId="250ADB76" w:rsidR="001F4831" w:rsidRPr="00BA63B1" w:rsidRDefault="00EB5588" w:rsidP="00065CE1">
      <w:pPr>
        <w:jc w:val="both"/>
        <w:rPr>
          <w:rFonts w:ascii="Alef" w:hAnsi="Alef" w:cs="Alef"/>
          <w:sz w:val="24"/>
          <w:szCs w:val="24"/>
          <w:rtl/>
        </w:rPr>
      </w:pPr>
      <w:r w:rsidRPr="00BA63B1">
        <w:rPr>
          <w:rFonts w:ascii="Alef" w:hAnsi="Alef" w:cs="Alef"/>
          <w:sz w:val="24"/>
          <w:szCs w:val="24"/>
          <w:rtl/>
        </w:rPr>
        <w:t xml:space="preserve">רובם הגורף של פטורי הסוג שפורסמו עד התקנת פטור הסוג האנכי כללו קונקרטיזציה של הקריטריונים הקבועים בסעיף 15א(א) לחוק – </w:t>
      </w:r>
      <w:r w:rsidR="00065CE1" w:rsidRPr="00BA63B1">
        <w:rPr>
          <w:rFonts w:ascii="Alef" w:hAnsi="Alef" w:cs="Alef"/>
          <w:sz w:val="24"/>
          <w:szCs w:val="24"/>
          <w:rtl/>
        </w:rPr>
        <w:t>שעיקרם אינו בהפחתת או מניעת התחרות, אין בהם כבילות שאינן נחוצות למימוש עיקרם</w:t>
      </w:r>
      <w:r w:rsidRPr="00BA63B1">
        <w:rPr>
          <w:rFonts w:ascii="Alef" w:hAnsi="Alef" w:cs="Alef"/>
          <w:sz w:val="24"/>
          <w:szCs w:val="24"/>
          <w:rtl/>
        </w:rPr>
        <w:t xml:space="preserve"> והיעדר </w:t>
      </w:r>
      <w:r w:rsidR="00065CE1" w:rsidRPr="00BA63B1">
        <w:rPr>
          <w:rFonts w:ascii="Alef" w:hAnsi="Alef" w:cs="Alef"/>
          <w:sz w:val="24"/>
          <w:szCs w:val="24"/>
          <w:rtl/>
        </w:rPr>
        <w:t>עלילות ל</w:t>
      </w:r>
      <w:r w:rsidRPr="00BA63B1">
        <w:rPr>
          <w:rFonts w:ascii="Alef" w:hAnsi="Alef" w:cs="Alef"/>
          <w:sz w:val="24"/>
          <w:szCs w:val="24"/>
          <w:rtl/>
        </w:rPr>
        <w:t xml:space="preserve">פגיעה משמעותית בתחרות בשוק (להלן </w:t>
      </w:r>
      <w:r w:rsidRPr="00BA63B1">
        <w:rPr>
          <w:rFonts w:ascii="Alef" w:hAnsi="Alef" w:cs="Alef"/>
          <w:b/>
          <w:bCs/>
          <w:sz w:val="24"/>
          <w:szCs w:val="24"/>
          <w:rtl/>
        </w:rPr>
        <w:t>דרישות הדין המהותיות</w:t>
      </w:r>
      <w:r w:rsidRPr="00BA63B1">
        <w:rPr>
          <w:rFonts w:ascii="Alef" w:hAnsi="Alef" w:cs="Alef"/>
          <w:sz w:val="24"/>
          <w:szCs w:val="24"/>
          <w:rtl/>
        </w:rPr>
        <w:t>). קונקרטיזציה זו באה לידי ביטוי בעיקר בקביעת הוראות נמל מבטחים (</w:t>
      </w:r>
      <w:r w:rsidRPr="00BA63B1">
        <w:rPr>
          <w:rFonts w:ascii="Alef" w:hAnsi="Alef" w:cs="Alef"/>
          <w:sz w:val="24"/>
          <w:szCs w:val="24"/>
        </w:rPr>
        <w:t>Safe Harbor</w:t>
      </w:r>
      <w:r w:rsidRPr="00BA63B1">
        <w:rPr>
          <w:rFonts w:ascii="Alef" w:hAnsi="Alef" w:cs="Alef"/>
          <w:sz w:val="24"/>
          <w:szCs w:val="24"/>
          <w:rtl/>
        </w:rPr>
        <w:t xml:space="preserve">), לרבות באמצעות קביעת נתחי שוק מרביים שנועדו להבטיח </w:t>
      </w:r>
      <w:r w:rsidR="00065CE1" w:rsidRPr="00BA63B1">
        <w:rPr>
          <w:rFonts w:ascii="Alef" w:hAnsi="Alef" w:cs="Alef"/>
          <w:sz w:val="24"/>
          <w:szCs w:val="24"/>
          <w:rtl/>
        </w:rPr>
        <w:t>שההסדר אינו מקים פוטנציאל ל</w:t>
      </w:r>
      <w:r w:rsidRPr="00BA63B1">
        <w:rPr>
          <w:rFonts w:ascii="Alef" w:hAnsi="Alef" w:cs="Alef"/>
          <w:sz w:val="24"/>
          <w:szCs w:val="24"/>
          <w:rtl/>
        </w:rPr>
        <w:t>פגיעה משמעותית בשוק.</w:t>
      </w:r>
      <w:r w:rsidR="001F4831" w:rsidRPr="00BA63B1">
        <w:rPr>
          <w:rStyle w:val="FootnoteReference"/>
          <w:rFonts w:ascii="Alef" w:hAnsi="Alef" w:cs="Alef"/>
          <w:sz w:val="24"/>
          <w:szCs w:val="24"/>
          <w:rtl/>
        </w:rPr>
        <w:footnoteReference w:id="4"/>
      </w:r>
      <w:r w:rsidRPr="00BA63B1">
        <w:rPr>
          <w:rFonts w:ascii="Alef" w:hAnsi="Alef" w:cs="Alef"/>
          <w:sz w:val="24"/>
          <w:szCs w:val="24"/>
          <w:rtl/>
        </w:rPr>
        <w:t xml:space="preserve"> </w:t>
      </w:r>
    </w:p>
    <w:p w14:paraId="75DC2025" w14:textId="77777777" w:rsidR="00021C61" w:rsidRPr="00BA63B1" w:rsidRDefault="00EB5588" w:rsidP="00EB5588">
      <w:pPr>
        <w:jc w:val="both"/>
        <w:rPr>
          <w:rFonts w:ascii="Alef" w:hAnsi="Alef" w:cs="Alef"/>
          <w:sz w:val="24"/>
          <w:szCs w:val="24"/>
          <w:rtl/>
        </w:rPr>
      </w:pPr>
      <w:r w:rsidRPr="00BA63B1">
        <w:rPr>
          <w:rFonts w:ascii="Alef" w:hAnsi="Alef" w:cs="Alef"/>
          <w:sz w:val="24"/>
          <w:szCs w:val="24"/>
          <w:rtl/>
        </w:rPr>
        <w:lastRenderedPageBreak/>
        <w:t xml:space="preserve">בשונה מכך, פטור הסוג האנכי לא כלל קונקרטיזציה של הקריטריונים הקבועים בסעיף 15א(א) אלא הביא אותם בלשונם ואפשר לצדדים להסדר אנכי להוציא לפועל את ההסדר במידה שהוא עומד בדרישות המהותיות הקבועות בפטור הסוג. </w:t>
      </w:r>
    </w:p>
    <w:p w14:paraId="6D95D739" w14:textId="1AB6E782" w:rsidR="00EB5588" w:rsidRPr="00BA63B1" w:rsidRDefault="00EB5588" w:rsidP="00EB5588">
      <w:pPr>
        <w:jc w:val="both"/>
        <w:rPr>
          <w:rFonts w:ascii="Alef" w:hAnsi="Alef" w:cs="Alef"/>
          <w:sz w:val="24"/>
          <w:szCs w:val="24"/>
          <w:rtl/>
        </w:rPr>
      </w:pPr>
      <w:r w:rsidRPr="00BA63B1">
        <w:rPr>
          <w:rFonts w:ascii="Alef" w:hAnsi="Alef" w:cs="Alef"/>
          <w:sz w:val="24"/>
          <w:szCs w:val="24"/>
          <w:rtl/>
        </w:rPr>
        <w:t>הבחינה האם ההסדר עומד בדרישות הקבועות בדין יכולה להיערך על ידי הצדדים עצמם באמצעות הערכה עצמית (</w:t>
      </w:r>
      <w:r w:rsidRPr="00BA63B1">
        <w:rPr>
          <w:rFonts w:ascii="Alef" w:hAnsi="Alef" w:cs="Alef"/>
          <w:sz w:val="24"/>
          <w:szCs w:val="24"/>
        </w:rPr>
        <w:t>Self-Assessment</w:t>
      </w:r>
      <w:r w:rsidRPr="00BA63B1">
        <w:rPr>
          <w:rFonts w:ascii="Alef" w:hAnsi="Alef" w:cs="Alef"/>
          <w:sz w:val="24"/>
          <w:szCs w:val="24"/>
          <w:rtl/>
        </w:rPr>
        <w:t xml:space="preserve">) בדבר עמידתם בדרישות הדין. </w:t>
      </w:r>
    </w:p>
    <w:p w14:paraId="286E9367"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פטור הסוג האנכי חל במקביל לפטורי הסוג האנכיים הפרטניים (להסכמי הפצה בלעדית, להסכמי רכישה בלעדית ולהסכמי זכיינות) הכוללים הוראות נמל מבטחים. צדדים העומדים בתנאי הוראות נמל המבטחים בפטור סוג פרטני אינם נדרשים לבצע הערכה עצמית נפרדת באשר לעמידתם בדרישות הדין המהותיות. </w:t>
      </w:r>
    </w:p>
    <w:p w14:paraId="3519AD43" w14:textId="586EAF82" w:rsidR="00EB5588" w:rsidRPr="00BA63B1" w:rsidRDefault="00EB5588" w:rsidP="00B97063">
      <w:pPr>
        <w:jc w:val="both"/>
        <w:rPr>
          <w:rFonts w:ascii="Alef" w:hAnsi="Alef" w:cs="Alef"/>
          <w:sz w:val="24"/>
          <w:szCs w:val="24"/>
          <w:rtl/>
        </w:rPr>
      </w:pPr>
      <w:r w:rsidRPr="00BA63B1">
        <w:rPr>
          <w:rFonts w:ascii="Alef" w:hAnsi="Alef" w:cs="Alef"/>
          <w:sz w:val="24"/>
          <w:szCs w:val="24"/>
          <w:rtl/>
        </w:rPr>
        <w:t>התקנת פטור הסוג האנכי באה לאחר תיקון החוק שהקנה לממונה סמכות להטיל עיצומים כספיים על מפרים</w:t>
      </w:r>
      <w:r w:rsidR="00021C61" w:rsidRPr="00BA63B1">
        <w:rPr>
          <w:rFonts w:ascii="Alef" w:hAnsi="Alef" w:cs="Alef"/>
          <w:sz w:val="24"/>
          <w:szCs w:val="24"/>
          <w:rtl/>
        </w:rPr>
        <w:t xml:space="preserve"> (תיקון 13 </w:t>
      </w:r>
      <w:r w:rsidR="00021C61" w:rsidRPr="00BA63B1">
        <w:rPr>
          <w:rFonts w:ascii="Alef" w:hAnsi="Alef" w:cs="Alef"/>
          <w:sz w:val="24"/>
          <w:szCs w:val="24"/>
          <w:rtl/>
        </w:rPr>
        <w:lastRenderedPageBreak/>
        <w:t>לחוק)</w:t>
      </w:r>
      <w:r w:rsidR="00021C61" w:rsidRPr="00BA63B1">
        <w:rPr>
          <w:rStyle w:val="FootnoteReference"/>
          <w:rFonts w:ascii="Alef" w:hAnsi="Alef" w:cs="Alef"/>
          <w:sz w:val="24"/>
          <w:szCs w:val="24"/>
          <w:rtl/>
        </w:rPr>
        <w:footnoteReference w:id="5"/>
      </w:r>
      <w:r w:rsidRPr="00BA63B1">
        <w:rPr>
          <w:rFonts w:ascii="Alef" w:hAnsi="Alef" w:cs="Alef"/>
          <w:sz w:val="24"/>
          <w:szCs w:val="24"/>
          <w:rtl/>
        </w:rPr>
        <w:t xml:space="preserve">. שיפור יכולת האכיפה של הרשות בשל הוספת כלי העיצומים הכספיים, </w:t>
      </w:r>
      <w:r w:rsidR="00B97063" w:rsidRPr="00BA63B1">
        <w:rPr>
          <w:rFonts w:ascii="Alef" w:hAnsi="Alef" w:cs="Alef"/>
          <w:sz w:val="24"/>
          <w:szCs w:val="24"/>
          <w:rtl/>
        </w:rPr>
        <w:t>סייע בקידום</w:t>
      </w:r>
      <w:r w:rsidRPr="00BA63B1">
        <w:rPr>
          <w:rFonts w:ascii="Alef" w:hAnsi="Alef" w:cs="Alef"/>
          <w:sz w:val="24"/>
          <w:szCs w:val="24"/>
          <w:rtl/>
        </w:rPr>
        <w:t xml:space="preserve"> המעבר להערכה עצמית ביחס להסדרים אנכיים עם פיקוח בדיעבד בלבד. </w:t>
      </w:r>
    </w:p>
    <w:p w14:paraId="3518AAD3"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תגובות הציבור להתקנתו של פטור סוג רחב המבוסס על הערכה עצמית היו חיוביות.</w:t>
      </w:r>
      <w:r w:rsidRPr="00BA63B1">
        <w:rPr>
          <w:rStyle w:val="FootnoteReference"/>
          <w:rFonts w:ascii="Alef" w:hAnsi="Alef" w:cs="Alef"/>
          <w:sz w:val="24"/>
          <w:szCs w:val="24"/>
          <w:rtl/>
        </w:rPr>
        <w:footnoteReference w:id="6"/>
      </w:r>
    </w:p>
    <w:p w14:paraId="0E5E1F12"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התפתחות משמעותית נוספת שחלה ביחס למשטר פטורי הסוג הינה הרחבת התבססות פטורי הסוג על מנגנון הערכה עצמית. </w:t>
      </w:r>
    </w:p>
    <w:p w14:paraId="4BDAB4C7" w14:textId="459D4D13" w:rsidR="00EB5588" w:rsidRPr="00BA63B1" w:rsidRDefault="00EB5588" w:rsidP="00F26CA2">
      <w:pPr>
        <w:jc w:val="both"/>
        <w:rPr>
          <w:rFonts w:ascii="Alef" w:hAnsi="Alef" w:cs="Alef"/>
          <w:sz w:val="24"/>
          <w:szCs w:val="24"/>
          <w:rtl/>
        </w:rPr>
      </w:pPr>
      <w:r w:rsidRPr="00BA63B1">
        <w:rPr>
          <w:rFonts w:ascii="Alef" w:hAnsi="Alef" w:cs="Alef"/>
          <w:sz w:val="24"/>
          <w:szCs w:val="24"/>
          <w:rtl/>
        </w:rPr>
        <w:t xml:space="preserve">מלבד פטור הסוג האנכי, הוראות הערכה עצמית </w:t>
      </w:r>
      <w:r w:rsidR="00C8258A" w:rsidRPr="00BA63B1">
        <w:rPr>
          <w:rFonts w:ascii="Alef" w:hAnsi="Alef" w:cs="Alef"/>
          <w:sz w:val="24"/>
          <w:szCs w:val="24"/>
          <w:rtl/>
        </w:rPr>
        <w:t xml:space="preserve">לכך שהתקיימות דרישות הדין המהותי </w:t>
      </w:r>
      <w:r w:rsidRPr="00BA63B1">
        <w:rPr>
          <w:rFonts w:ascii="Alef" w:hAnsi="Alef" w:cs="Alef"/>
          <w:sz w:val="24"/>
          <w:szCs w:val="24"/>
          <w:rtl/>
        </w:rPr>
        <w:t xml:space="preserve">התווספו למספר פטורי סוג נוספים: </w:t>
      </w:r>
    </w:p>
    <w:p w14:paraId="20561BD3" w14:textId="77777777" w:rsidR="00EB5588" w:rsidRPr="00BA63B1" w:rsidRDefault="00EB5588" w:rsidP="00EB5588">
      <w:pPr>
        <w:pStyle w:val="ListParagraph"/>
        <w:numPr>
          <w:ilvl w:val="0"/>
          <w:numId w:val="26"/>
        </w:numPr>
        <w:spacing w:after="160" w:line="259" w:lineRule="auto"/>
        <w:jc w:val="both"/>
        <w:rPr>
          <w:rFonts w:ascii="Alef" w:hAnsi="Alef" w:cs="Alef"/>
          <w:sz w:val="24"/>
          <w:szCs w:val="24"/>
        </w:rPr>
      </w:pPr>
      <w:r w:rsidRPr="00BA63B1">
        <w:rPr>
          <w:rFonts w:ascii="Alef" w:hAnsi="Alef" w:cs="Alef"/>
          <w:sz w:val="24"/>
          <w:szCs w:val="24"/>
          <w:rtl/>
        </w:rPr>
        <w:t xml:space="preserve">כללי ההגבלים העסקיים (פטור סוג להסדרים בין מובילים באוויר שעניינם שיווק קיבולת טיסה ליעדים הכפופים להסכמי שמים פתוחים), תשע"ג-2012; </w:t>
      </w:r>
    </w:p>
    <w:p w14:paraId="227625DA" w14:textId="77777777" w:rsidR="00EB5588" w:rsidRPr="00BA63B1" w:rsidRDefault="00EB5588" w:rsidP="00EB5588">
      <w:pPr>
        <w:pStyle w:val="ListParagraph"/>
        <w:numPr>
          <w:ilvl w:val="0"/>
          <w:numId w:val="26"/>
        </w:numPr>
        <w:spacing w:after="160" w:line="259" w:lineRule="auto"/>
        <w:jc w:val="both"/>
        <w:rPr>
          <w:rFonts w:ascii="Alef" w:hAnsi="Alef" w:cs="Alef"/>
          <w:sz w:val="24"/>
          <w:szCs w:val="24"/>
        </w:rPr>
      </w:pPr>
      <w:r w:rsidRPr="00BA63B1">
        <w:rPr>
          <w:rFonts w:ascii="Alef" w:hAnsi="Alef" w:cs="Alef"/>
          <w:sz w:val="24"/>
          <w:szCs w:val="24"/>
          <w:rtl/>
        </w:rPr>
        <w:lastRenderedPageBreak/>
        <w:t xml:space="preserve">כללי ההגבלים העסקיים (פטור סוג להסדרים תפעוליים שעניינם תובלה בין-לאומית בים (הוראת שעה), תשע"ג-2012; </w:t>
      </w:r>
    </w:p>
    <w:p w14:paraId="2996D884" w14:textId="77777777" w:rsidR="00EB5588" w:rsidRPr="00BA63B1" w:rsidRDefault="00EB5588" w:rsidP="00EB5588">
      <w:pPr>
        <w:pStyle w:val="ListParagraph"/>
        <w:numPr>
          <w:ilvl w:val="0"/>
          <w:numId w:val="26"/>
        </w:numPr>
        <w:spacing w:after="160" w:line="259" w:lineRule="auto"/>
        <w:jc w:val="both"/>
        <w:rPr>
          <w:rFonts w:ascii="Alef" w:hAnsi="Alef" w:cs="Alef"/>
          <w:sz w:val="24"/>
          <w:szCs w:val="24"/>
        </w:rPr>
      </w:pPr>
      <w:r w:rsidRPr="00BA63B1">
        <w:rPr>
          <w:rFonts w:ascii="Alef" w:hAnsi="Alef" w:cs="Alef"/>
          <w:sz w:val="24"/>
          <w:szCs w:val="24"/>
          <w:rtl/>
        </w:rPr>
        <w:t>כללי ההגבלים העסקיים (פטור סוג להסדרים שעניינם ייצוא של ציוד ביטחוני מחוץ למדינת ישראל) (הוראת שעה), תשע"ז-2017;</w:t>
      </w:r>
    </w:p>
    <w:p w14:paraId="1AFCFBE6" w14:textId="77777777" w:rsidR="00EB5588" w:rsidRPr="00BA63B1" w:rsidRDefault="00EB5588" w:rsidP="00EB5588">
      <w:pPr>
        <w:pStyle w:val="ListParagraph"/>
        <w:numPr>
          <w:ilvl w:val="0"/>
          <w:numId w:val="26"/>
        </w:numPr>
        <w:spacing w:after="160" w:line="259" w:lineRule="auto"/>
        <w:jc w:val="both"/>
        <w:rPr>
          <w:rFonts w:ascii="Alef" w:hAnsi="Alef" w:cs="Alef"/>
          <w:sz w:val="24"/>
          <w:szCs w:val="24"/>
        </w:rPr>
      </w:pPr>
      <w:r w:rsidRPr="00BA63B1">
        <w:rPr>
          <w:rFonts w:ascii="Alef" w:hAnsi="Alef" w:cs="Alef"/>
          <w:sz w:val="24"/>
          <w:szCs w:val="24"/>
          <w:rtl/>
        </w:rPr>
        <w:t xml:space="preserve">כללי ההגבלים העסקיים (פטור סוג למיזמים משותפים) (הוראת שעה), תשס"ו-2006; </w:t>
      </w:r>
    </w:p>
    <w:p w14:paraId="76586604" w14:textId="77777777" w:rsidR="00EB5588" w:rsidRPr="00BA63B1" w:rsidRDefault="00EB5588" w:rsidP="00EB5588">
      <w:pPr>
        <w:pStyle w:val="ListParagraph"/>
        <w:numPr>
          <w:ilvl w:val="0"/>
          <w:numId w:val="26"/>
        </w:numPr>
        <w:spacing w:after="160" w:line="259" w:lineRule="auto"/>
        <w:jc w:val="both"/>
        <w:rPr>
          <w:rFonts w:ascii="Alef" w:hAnsi="Alef" w:cs="Alef"/>
          <w:sz w:val="24"/>
          <w:szCs w:val="24"/>
        </w:rPr>
      </w:pPr>
      <w:r w:rsidRPr="00BA63B1">
        <w:rPr>
          <w:rFonts w:ascii="Alef" w:hAnsi="Alef" w:cs="Alef"/>
          <w:sz w:val="24"/>
          <w:szCs w:val="24"/>
          <w:rtl/>
        </w:rPr>
        <w:t>כללי ההגבלים העסקיים (פטור סוג לכבילות נלוות למיזוגים), תשס"ט-2009;</w:t>
      </w:r>
    </w:p>
    <w:p w14:paraId="384EA1E3" w14:textId="77777777" w:rsidR="00EB5588" w:rsidRPr="00BA63B1" w:rsidRDefault="00EB5588" w:rsidP="00EB5588">
      <w:pPr>
        <w:pStyle w:val="ListParagraph"/>
        <w:numPr>
          <w:ilvl w:val="0"/>
          <w:numId w:val="26"/>
        </w:numPr>
        <w:spacing w:after="160" w:line="259" w:lineRule="auto"/>
        <w:jc w:val="both"/>
        <w:rPr>
          <w:rFonts w:ascii="Alef" w:hAnsi="Alef" w:cs="Alef"/>
          <w:sz w:val="24"/>
          <w:szCs w:val="24"/>
          <w:rtl/>
        </w:rPr>
      </w:pPr>
      <w:r w:rsidRPr="00BA63B1">
        <w:rPr>
          <w:rFonts w:ascii="Alef" w:hAnsi="Alef" w:cs="Alef"/>
          <w:sz w:val="24"/>
          <w:szCs w:val="24"/>
          <w:rtl/>
        </w:rPr>
        <w:t>כללי ההגבלים העסקיים (פטור סוג להסדרים בין מובילים באוויר) (מס' 2), תשע"ד-2013.</w:t>
      </w:r>
    </w:p>
    <w:p w14:paraId="142D5286" w14:textId="53E82D49" w:rsidR="00D044C3" w:rsidRPr="00BA63B1" w:rsidRDefault="00EB5588" w:rsidP="00F26CA2">
      <w:pPr>
        <w:jc w:val="both"/>
        <w:rPr>
          <w:rFonts w:ascii="Alef" w:hAnsi="Alef" w:cs="Alef"/>
          <w:sz w:val="24"/>
          <w:szCs w:val="24"/>
          <w:rtl/>
        </w:rPr>
      </w:pPr>
      <w:r w:rsidRPr="00BA63B1">
        <w:rPr>
          <w:rFonts w:ascii="Alef" w:hAnsi="Alef" w:cs="Alef"/>
          <w:sz w:val="24"/>
          <w:szCs w:val="24"/>
          <w:rtl/>
        </w:rPr>
        <w:t xml:space="preserve">פרסומם של פטורי סוג מבוססי הערכה עצמית הביא לכך שהוראות סעיף 15א(א) הלכו ותפסו מקום מרכזי בקבלת החלטה בנוגע לתחולת פטור הסוג. באשר להוראות סעיף 15א(א)(1), היו די פסקי דין והחלטות ממונה שיצקו תוכן לתנאי זה ואפשרו לנמעני החוק ליישם רכיב זה בהערכתם העצמית את ההסדר שביניהם. באשר להוראות המקבילות לסעיף 15א(א)(2) – "עיקרם של ההסדרים אינו בהפחתת </w:t>
      </w:r>
      <w:r w:rsidRPr="00BA63B1">
        <w:rPr>
          <w:rFonts w:ascii="Alef" w:hAnsi="Alef" w:cs="Alef"/>
          <w:sz w:val="24"/>
          <w:szCs w:val="24"/>
          <w:rtl/>
        </w:rPr>
        <w:lastRenderedPageBreak/>
        <w:t xml:space="preserve">התחרות או במניעתה והם אינם כוללים כבילות שאינן נחוצות למימוש עיקרם" – הייתה התייחסות מועטה יותר בפסיקה ובהחלטות הממונה. </w:t>
      </w:r>
    </w:p>
    <w:p w14:paraId="3BA553D0" w14:textId="6FF0552F" w:rsidR="00EB5588" w:rsidRPr="00BA63B1" w:rsidRDefault="00EB5588" w:rsidP="00EB5588">
      <w:pPr>
        <w:jc w:val="both"/>
        <w:rPr>
          <w:rFonts w:ascii="Alef" w:hAnsi="Alef" w:cs="Alef"/>
          <w:sz w:val="24"/>
          <w:szCs w:val="24"/>
          <w:rtl/>
        </w:rPr>
      </w:pPr>
      <w:r w:rsidRPr="00BA63B1">
        <w:rPr>
          <w:rFonts w:ascii="Alef" w:hAnsi="Alef" w:cs="Alef"/>
          <w:sz w:val="24"/>
          <w:szCs w:val="24"/>
          <w:rtl/>
        </w:rPr>
        <w:t>על כן, רשות התחרות פרסמה ביום 5.11.2018 את גילוי דעת 1/18 המבאר את פרשנות המונחים.</w:t>
      </w:r>
      <w:r w:rsidRPr="00BA63B1">
        <w:rPr>
          <w:rStyle w:val="FootnoteReference"/>
          <w:rFonts w:ascii="Alef" w:hAnsi="Alef" w:cs="Alef"/>
          <w:sz w:val="24"/>
          <w:szCs w:val="24"/>
          <w:rtl/>
        </w:rPr>
        <w:footnoteReference w:id="7"/>
      </w:r>
      <w:r w:rsidRPr="00BA63B1">
        <w:rPr>
          <w:rFonts w:ascii="Alef" w:hAnsi="Alef" w:cs="Alef"/>
          <w:sz w:val="24"/>
          <w:szCs w:val="24"/>
          <w:rtl/>
        </w:rPr>
        <w:t xml:space="preserve"> </w:t>
      </w:r>
    </w:p>
    <w:p w14:paraId="508D1DF1"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הרחבת השימוש בהערכה עצמית הביאה למיקוד האיסור החוקי </w:t>
      </w:r>
      <w:proofErr w:type="spellStart"/>
      <w:r w:rsidRPr="00BA63B1">
        <w:rPr>
          <w:rFonts w:ascii="Alef" w:hAnsi="Alef" w:cs="Alef"/>
          <w:sz w:val="24"/>
          <w:szCs w:val="24"/>
          <w:rtl/>
        </w:rPr>
        <w:t>בפרקטיקות</w:t>
      </w:r>
      <w:proofErr w:type="spellEnd"/>
      <w:r w:rsidRPr="00BA63B1">
        <w:rPr>
          <w:rFonts w:ascii="Alef" w:hAnsi="Alef" w:cs="Alef"/>
          <w:sz w:val="24"/>
          <w:szCs w:val="24"/>
          <w:rtl/>
        </w:rPr>
        <w:t xml:space="preserve"> שאכן מסכנות את התחרות ובד בבד הביאה לצמצום החשיפה הפלילית, המנהלית והאזרחית מקום שזו אינה מתחייבת וכן לחיסכון במשאבים והפחתת הנטל הביורוקרטי. </w:t>
      </w:r>
    </w:p>
    <w:p w14:paraId="50C2760D" w14:textId="5476183C" w:rsidR="00EB5588" w:rsidRPr="00BA63B1" w:rsidRDefault="00EB5588" w:rsidP="00D73A8C">
      <w:pPr>
        <w:jc w:val="both"/>
        <w:rPr>
          <w:rFonts w:ascii="Alef" w:hAnsi="Alef" w:cs="Alef"/>
          <w:sz w:val="24"/>
          <w:szCs w:val="24"/>
          <w:rtl/>
        </w:rPr>
      </w:pPr>
      <w:r w:rsidRPr="00BA63B1">
        <w:rPr>
          <w:rFonts w:ascii="Alef" w:hAnsi="Alef" w:cs="Alef"/>
          <w:sz w:val="24"/>
          <w:szCs w:val="24"/>
          <w:rtl/>
        </w:rPr>
        <w:t xml:space="preserve">הרחבת השימוש בהערכה עצמית נעשתה כחלק ממהלך רחב שהובילה רשות התחרות של מיקוד האיסורים שבדין בפעולות עסקיות המקימות חשש לפגיעה משמעותית בתחרות, או שמטרתן הפחתת התחרות במשק, תוך הסרת </w:t>
      </w:r>
      <w:r w:rsidRPr="00BA63B1">
        <w:rPr>
          <w:rFonts w:ascii="Alef" w:hAnsi="Alef" w:cs="Alef"/>
          <w:sz w:val="24"/>
          <w:szCs w:val="24"/>
          <w:rtl/>
        </w:rPr>
        <w:lastRenderedPageBreak/>
        <w:t>נטל רגולטורי וביורוקרטי מיותר. שיאו של המהל</w:t>
      </w:r>
      <w:r w:rsidR="00746A72" w:rsidRPr="00BA63B1">
        <w:rPr>
          <w:rFonts w:ascii="Alef" w:hAnsi="Alef" w:cs="Alef"/>
          <w:sz w:val="24"/>
          <w:szCs w:val="24"/>
          <w:rtl/>
        </w:rPr>
        <w:t>ך בחקיקת</w:t>
      </w:r>
      <w:r w:rsidRPr="00BA63B1">
        <w:rPr>
          <w:rFonts w:ascii="Alef" w:hAnsi="Alef" w:cs="Alef"/>
          <w:sz w:val="24"/>
          <w:szCs w:val="24"/>
          <w:rtl/>
        </w:rPr>
        <w:t xml:space="preserve"> תיקון מס' 21</w:t>
      </w:r>
      <w:r w:rsidRPr="00BA63B1">
        <w:rPr>
          <w:rStyle w:val="FootnoteReference"/>
          <w:rFonts w:ascii="Alef" w:hAnsi="Alef" w:cs="Alef"/>
          <w:sz w:val="24"/>
          <w:szCs w:val="24"/>
          <w:rtl/>
        </w:rPr>
        <w:footnoteReference w:id="8"/>
      </w:r>
      <w:r w:rsidRPr="00BA63B1">
        <w:rPr>
          <w:rFonts w:ascii="Alef" w:hAnsi="Alef" w:cs="Alef"/>
          <w:sz w:val="24"/>
          <w:szCs w:val="24"/>
          <w:rtl/>
        </w:rPr>
        <w:t xml:space="preserve"> לחוק (להלן </w:t>
      </w:r>
      <w:r w:rsidRPr="00BA63B1">
        <w:rPr>
          <w:rFonts w:ascii="Alef" w:hAnsi="Alef" w:cs="Alef"/>
          <w:b/>
          <w:bCs/>
          <w:sz w:val="24"/>
          <w:szCs w:val="24"/>
          <w:rtl/>
        </w:rPr>
        <w:t>הרפורמה</w:t>
      </w:r>
      <w:r w:rsidRPr="00BA63B1">
        <w:rPr>
          <w:rFonts w:ascii="Alef" w:hAnsi="Alef" w:cs="Alef"/>
          <w:sz w:val="24"/>
          <w:szCs w:val="24"/>
          <w:rtl/>
        </w:rPr>
        <w:t xml:space="preserve">) שלצד מיקוד האיסורים והקטנת הנטל הרגולטורי גם חיזק </w:t>
      </w:r>
      <w:r w:rsidR="00EA1366" w:rsidRPr="00BA63B1">
        <w:rPr>
          <w:rFonts w:ascii="Alef" w:hAnsi="Alef" w:cs="Alef"/>
          <w:sz w:val="24"/>
          <w:szCs w:val="24"/>
          <w:rtl/>
        </w:rPr>
        <w:t>משמעותית</w:t>
      </w:r>
      <w:r w:rsidRPr="00BA63B1">
        <w:rPr>
          <w:rFonts w:ascii="Alef" w:hAnsi="Alef" w:cs="Alef"/>
          <w:sz w:val="24"/>
          <w:szCs w:val="24"/>
          <w:rtl/>
        </w:rPr>
        <w:t xml:space="preserve"> את יכולת האכיפה</w:t>
      </w:r>
      <w:r w:rsidR="00D73A8C" w:rsidRPr="00BA63B1">
        <w:rPr>
          <w:rFonts w:ascii="Alef" w:hAnsi="Alef" w:cs="Alef"/>
          <w:sz w:val="24"/>
          <w:szCs w:val="24"/>
          <w:rtl/>
        </w:rPr>
        <w:t xml:space="preserve"> (כאמור בדבר</w:t>
      </w:r>
      <w:r w:rsidR="00C8258A" w:rsidRPr="00BA63B1">
        <w:rPr>
          <w:rFonts w:ascii="Alef" w:hAnsi="Alef" w:cs="Alef"/>
          <w:sz w:val="24"/>
          <w:szCs w:val="24"/>
          <w:rtl/>
        </w:rPr>
        <w:t>י</w:t>
      </w:r>
      <w:r w:rsidR="00D73A8C" w:rsidRPr="00BA63B1">
        <w:rPr>
          <w:rFonts w:ascii="Alef" w:hAnsi="Alef" w:cs="Alef"/>
          <w:sz w:val="24"/>
          <w:szCs w:val="24"/>
          <w:rtl/>
        </w:rPr>
        <w:t xml:space="preserve"> ההסבר להצעת החוק הממשלתית)</w:t>
      </w:r>
      <w:r w:rsidR="00D73A8C" w:rsidRPr="00BA63B1">
        <w:rPr>
          <w:rStyle w:val="FootnoteReference"/>
          <w:rFonts w:ascii="Alef" w:hAnsi="Alef" w:cs="Alef"/>
          <w:sz w:val="24"/>
          <w:szCs w:val="24"/>
          <w:rtl/>
        </w:rPr>
        <w:footnoteReference w:id="9"/>
      </w:r>
      <w:r w:rsidRPr="00BA63B1">
        <w:rPr>
          <w:rFonts w:ascii="Alef" w:hAnsi="Alef" w:cs="Alef"/>
          <w:sz w:val="24"/>
          <w:szCs w:val="24"/>
          <w:rtl/>
        </w:rPr>
        <w:t xml:space="preserve">.  </w:t>
      </w:r>
    </w:p>
    <w:p w14:paraId="4F379FD9" w14:textId="32607D05"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בחלוף השנים מאז </w:t>
      </w:r>
      <w:r w:rsidR="00F26CA2" w:rsidRPr="00BA63B1">
        <w:rPr>
          <w:rFonts w:ascii="Alef" w:hAnsi="Alef" w:cs="Alef"/>
          <w:sz w:val="24"/>
          <w:szCs w:val="24"/>
          <w:rtl/>
        </w:rPr>
        <w:t>ש</w:t>
      </w:r>
      <w:r w:rsidRPr="00BA63B1">
        <w:rPr>
          <w:rFonts w:ascii="Alef" w:hAnsi="Alef" w:cs="Alef"/>
          <w:sz w:val="24"/>
          <w:szCs w:val="24"/>
          <w:rtl/>
        </w:rPr>
        <w:t>מנגנון פטורי הסוג נוסף לחוק, מרכז הכובד של מערך הפיקוח ביחס להסדרים כובלים עבר משיטה של רישוי מראש לשיטה של אכיפה בדיעבד. בכך מדינת ישראל התקרבה לשיטה הנוהגת בארה"ב שם מאז ומתמיד שרר משטר של אכיפה בדיעבד בלבד ולשיטה באירופה שעברה למשטר של אכיפה בדיעבד, במקום רישוי מראש, בשנת 2003.</w:t>
      </w:r>
      <w:r w:rsidRPr="00BA63B1">
        <w:rPr>
          <w:rStyle w:val="FootnoteReference"/>
          <w:rFonts w:ascii="Alef" w:hAnsi="Alef" w:cs="Alef"/>
          <w:sz w:val="24"/>
          <w:szCs w:val="24"/>
          <w:rtl/>
        </w:rPr>
        <w:footnoteReference w:id="10"/>
      </w:r>
    </w:p>
    <w:p w14:paraId="672AB730" w14:textId="3499AD8F" w:rsidR="00F26CA2" w:rsidRPr="00BA63B1" w:rsidRDefault="00F26CA2" w:rsidP="005D02D2">
      <w:pPr>
        <w:jc w:val="both"/>
        <w:rPr>
          <w:rFonts w:ascii="Alef" w:hAnsi="Alef" w:cs="Alef"/>
          <w:sz w:val="24"/>
          <w:szCs w:val="24"/>
          <w:rtl/>
        </w:rPr>
      </w:pPr>
      <w:r w:rsidRPr="00BA63B1">
        <w:rPr>
          <w:rFonts w:ascii="Alef" w:hAnsi="Alef" w:cs="Alef"/>
          <w:sz w:val="24"/>
          <w:szCs w:val="24"/>
          <w:rtl/>
        </w:rPr>
        <w:lastRenderedPageBreak/>
        <w:t>חידוש פטורי הסוג ה</w:t>
      </w:r>
      <w:r w:rsidR="009437CC" w:rsidRPr="00BA63B1">
        <w:rPr>
          <w:rFonts w:ascii="Alef" w:hAnsi="Alef" w:cs="Alef"/>
          <w:sz w:val="24"/>
          <w:szCs w:val="24"/>
          <w:rtl/>
        </w:rPr>
        <w:t>וא</w:t>
      </w:r>
      <w:r w:rsidRPr="00BA63B1">
        <w:rPr>
          <w:rFonts w:ascii="Alef" w:hAnsi="Alef" w:cs="Alef"/>
          <w:sz w:val="24"/>
          <w:szCs w:val="24"/>
          <w:rtl/>
        </w:rPr>
        <w:t xml:space="preserve"> צעד של הקלה רגולטורית מובהקת שלא דורש ניתוח</w:t>
      </w:r>
      <w:r w:rsidR="009437CC" w:rsidRPr="00BA63B1">
        <w:rPr>
          <w:rFonts w:ascii="Alef" w:hAnsi="Alef" w:cs="Alef"/>
          <w:sz w:val="24"/>
          <w:szCs w:val="24"/>
          <w:rtl/>
        </w:rPr>
        <w:t xml:space="preserve"> השפעת רגולציה</w:t>
      </w:r>
      <w:r w:rsidRPr="00BA63B1">
        <w:rPr>
          <w:rFonts w:ascii="Alef" w:hAnsi="Alef" w:cs="Alef"/>
          <w:sz w:val="24"/>
          <w:szCs w:val="24"/>
          <w:rtl/>
        </w:rPr>
        <w:t xml:space="preserve"> </w:t>
      </w:r>
      <w:r w:rsidR="009437CC" w:rsidRPr="00BA63B1">
        <w:rPr>
          <w:rFonts w:ascii="Alef" w:hAnsi="Alef" w:cs="Alef"/>
          <w:sz w:val="24"/>
          <w:szCs w:val="24"/>
          <w:rtl/>
        </w:rPr>
        <w:t>אלא</w:t>
      </w:r>
      <w:r w:rsidRPr="00BA63B1">
        <w:rPr>
          <w:rFonts w:ascii="Alef" w:hAnsi="Alef" w:cs="Alef"/>
          <w:sz w:val="24"/>
          <w:szCs w:val="24"/>
          <w:rtl/>
        </w:rPr>
        <w:t xml:space="preserve"> </w:t>
      </w:r>
      <w:r w:rsidR="009437CC" w:rsidRPr="00BA63B1">
        <w:rPr>
          <w:rFonts w:ascii="Alef" w:hAnsi="Alef" w:cs="Alef"/>
          <w:sz w:val="24"/>
          <w:szCs w:val="24"/>
          <w:rtl/>
        </w:rPr>
        <w:t>הנמקה</w:t>
      </w:r>
      <w:r w:rsidRPr="00BA63B1">
        <w:rPr>
          <w:rFonts w:ascii="Alef" w:hAnsi="Alef" w:cs="Alef"/>
          <w:sz w:val="24"/>
          <w:szCs w:val="24"/>
          <w:rtl/>
        </w:rPr>
        <w:t xml:space="preserve"> בלבד.</w:t>
      </w:r>
      <w:r w:rsidRPr="00BA63B1">
        <w:rPr>
          <w:rStyle w:val="FootnoteReference"/>
          <w:rFonts w:ascii="Alef" w:hAnsi="Alef" w:cs="Alef"/>
          <w:sz w:val="24"/>
          <w:szCs w:val="24"/>
          <w:rtl/>
        </w:rPr>
        <w:footnoteReference w:id="11"/>
      </w:r>
      <w:r w:rsidR="009437CC" w:rsidRPr="00BA63B1">
        <w:rPr>
          <w:rFonts w:ascii="Alef" w:hAnsi="Alef" w:cs="Alef"/>
          <w:sz w:val="24"/>
          <w:szCs w:val="24"/>
          <w:rtl/>
        </w:rPr>
        <w:t xml:space="preserve"> על אף האמור, מפורט במסמך זה להלן ניתוח השפעת רגולציה שנערך לפטורי הסוג האנכיים</w:t>
      </w:r>
      <w:r w:rsidR="00154299" w:rsidRPr="00BA63B1">
        <w:rPr>
          <w:rFonts w:ascii="Alef" w:hAnsi="Alef" w:cs="Alef"/>
          <w:sz w:val="24"/>
          <w:szCs w:val="24"/>
          <w:rtl/>
        </w:rPr>
        <w:t>,</w:t>
      </w:r>
      <w:r w:rsidR="00154299" w:rsidRPr="00BA63B1">
        <w:rPr>
          <w:rStyle w:val="FootnoteReference"/>
          <w:rFonts w:ascii="Alef" w:hAnsi="Alef" w:cs="Alef"/>
          <w:sz w:val="24"/>
          <w:szCs w:val="24"/>
          <w:rtl/>
        </w:rPr>
        <w:footnoteReference w:id="12"/>
      </w:r>
      <w:r w:rsidR="00154299" w:rsidRPr="00BA63B1">
        <w:rPr>
          <w:rFonts w:ascii="Alef" w:hAnsi="Alef" w:cs="Alef"/>
          <w:sz w:val="24"/>
          <w:szCs w:val="24"/>
          <w:rtl/>
        </w:rPr>
        <w:t xml:space="preserve"> </w:t>
      </w:r>
      <w:r w:rsidR="0018651A" w:rsidRPr="00BA63B1">
        <w:rPr>
          <w:rFonts w:ascii="Alef" w:hAnsi="Alef" w:cs="Alef"/>
          <w:sz w:val="24"/>
          <w:szCs w:val="24"/>
          <w:rtl/>
        </w:rPr>
        <w:t>לפטורי הסוג ל</w:t>
      </w:r>
      <w:r w:rsidR="005D02D2" w:rsidRPr="00BA63B1">
        <w:rPr>
          <w:rFonts w:ascii="Alef" w:hAnsi="Alef" w:cs="Alef"/>
          <w:sz w:val="24"/>
          <w:szCs w:val="24"/>
          <w:rtl/>
        </w:rPr>
        <w:t>הסכמים בין חברות קשורות ולהסכמים שפגיעתם בתחרות קלת ערך</w:t>
      </w:r>
      <w:r w:rsidRPr="00BA63B1">
        <w:rPr>
          <w:rFonts w:ascii="Alef" w:hAnsi="Alef" w:cs="Alef"/>
          <w:sz w:val="24"/>
          <w:szCs w:val="24"/>
          <w:rtl/>
        </w:rPr>
        <w:t>.</w:t>
      </w:r>
    </w:p>
    <w:p w14:paraId="23FC1A7B" w14:textId="77777777" w:rsidR="00EB5588" w:rsidRPr="00BA63B1" w:rsidRDefault="00EB5588" w:rsidP="000441F5">
      <w:pPr>
        <w:pStyle w:val="Heading1"/>
        <w:rPr>
          <w:rFonts w:ascii="Alef" w:hAnsi="Alef" w:cs="Alef"/>
          <w:b/>
          <w:bCs/>
          <w:color w:val="auto"/>
          <w:sz w:val="28"/>
          <w:szCs w:val="28"/>
          <w:rtl/>
        </w:rPr>
      </w:pPr>
      <w:r w:rsidRPr="00BA63B1">
        <w:rPr>
          <w:rFonts w:ascii="Alef" w:hAnsi="Alef" w:cs="Alef"/>
          <w:b/>
          <w:bCs/>
          <w:color w:val="auto"/>
          <w:sz w:val="28"/>
          <w:szCs w:val="28"/>
          <w:rtl/>
        </w:rPr>
        <w:t>זיהוי הבעיה וסיבותיה והצורך בהתערבות</w:t>
      </w:r>
    </w:p>
    <w:p w14:paraId="1990A193" w14:textId="702C325C" w:rsidR="00EB5588" w:rsidRPr="00BA63B1" w:rsidRDefault="00EB5588" w:rsidP="00FC4401">
      <w:pPr>
        <w:jc w:val="both"/>
        <w:rPr>
          <w:rFonts w:ascii="Alef" w:hAnsi="Alef" w:cs="Alef"/>
          <w:sz w:val="24"/>
          <w:szCs w:val="24"/>
          <w:rtl/>
        </w:rPr>
      </w:pPr>
      <w:r w:rsidRPr="00BA63B1">
        <w:rPr>
          <w:rFonts w:ascii="Alef" w:hAnsi="Alef" w:cs="Alef"/>
          <w:sz w:val="24"/>
          <w:szCs w:val="24"/>
          <w:rtl/>
        </w:rPr>
        <w:t xml:space="preserve">האיסור להיות צד להסדר כובל ללא היתר מראש נועד למנוע התנהגויות שעלולות לפגוע בתחרות החופשית. ואולם, </w:t>
      </w:r>
      <w:r w:rsidRPr="00BA63B1">
        <w:rPr>
          <w:rFonts w:ascii="Alef" w:hAnsi="Alef" w:cs="Alef"/>
          <w:sz w:val="24"/>
          <w:szCs w:val="24"/>
          <w:rtl/>
        </w:rPr>
        <w:lastRenderedPageBreak/>
        <w:t xml:space="preserve">תחולה רחבה מידי של האיסור תביא ליצירת נטל </w:t>
      </w:r>
      <w:r w:rsidR="00FC4401" w:rsidRPr="00BA63B1">
        <w:rPr>
          <w:rFonts w:ascii="Alef" w:hAnsi="Alef" w:cs="Alef"/>
          <w:sz w:val="24"/>
          <w:szCs w:val="24"/>
          <w:rtl/>
        </w:rPr>
        <w:t>רגולטורי</w:t>
      </w:r>
      <w:r w:rsidR="00F26CA2" w:rsidRPr="00BA63B1">
        <w:rPr>
          <w:rFonts w:ascii="Alef" w:hAnsi="Alef" w:cs="Alef"/>
          <w:sz w:val="24"/>
          <w:szCs w:val="24"/>
          <w:rtl/>
        </w:rPr>
        <w:t xml:space="preserve"> ובירוקרטי</w:t>
      </w:r>
      <w:r w:rsidR="00FC4401" w:rsidRPr="00BA63B1">
        <w:rPr>
          <w:rFonts w:ascii="Alef" w:hAnsi="Alef" w:cs="Alef"/>
          <w:sz w:val="24"/>
          <w:szCs w:val="24"/>
          <w:rtl/>
        </w:rPr>
        <w:t xml:space="preserve"> </w:t>
      </w:r>
      <w:r w:rsidRPr="00BA63B1">
        <w:rPr>
          <w:rFonts w:ascii="Alef" w:hAnsi="Alef" w:cs="Alef"/>
          <w:sz w:val="24"/>
          <w:szCs w:val="24"/>
          <w:rtl/>
        </w:rPr>
        <w:t xml:space="preserve">שיפגע גם בפעילות עסקית לגיטימית. </w:t>
      </w:r>
    </w:p>
    <w:p w14:paraId="5C93436A" w14:textId="43DEBAFC" w:rsidR="00EB5588" w:rsidRPr="00BA63B1" w:rsidRDefault="00EB5588" w:rsidP="00E21FF7">
      <w:pPr>
        <w:jc w:val="both"/>
        <w:rPr>
          <w:rFonts w:ascii="Alef" w:hAnsi="Alef" w:cs="Alef"/>
          <w:sz w:val="24"/>
          <w:szCs w:val="24"/>
          <w:rtl/>
        </w:rPr>
      </w:pPr>
      <w:r w:rsidRPr="00BA63B1">
        <w:rPr>
          <w:rFonts w:ascii="Alef" w:hAnsi="Alef" w:cs="Alef"/>
          <w:sz w:val="24"/>
          <w:szCs w:val="24"/>
          <w:rtl/>
        </w:rPr>
        <w:t xml:space="preserve">האתגר אם כן הוא ביצירת אסדרה שתאפשר עריכת עסקאות </w:t>
      </w:r>
      <w:r w:rsidR="00FC4401" w:rsidRPr="00BA63B1">
        <w:rPr>
          <w:rFonts w:ascii="Alef" w:hAnsi="Alef" w:cs="Alef"/>
          <w:sz w:val="24"/>
          <w:szCs w:val="24"/>
          <w:rtl/>
        </w:rPr>
        <w:t xml:space="preserve">לגיטימיות </w:t>
      </w:r>
      <w:r w:rsidRPr="00BA63B1">
        <w:rPr>
          <w:rFonts w:ascii="Alef" w:hAnsi="Alef" w:cs="Alef"/>
          <w:sz w:val="24"/>
          <w:szCs w:val="24"/>
          <w:rtl/>
        </w:rPr>
        <w:t xml:space="preserve">בהתערבות ממשלתית מינימאלית מחד </w:t>
      </w:r>
      <w:r w:rsidR="00FC4401" w:rsidRPr="00BA63B1">
        <w:rPr>
          <w:rFonts w:ascii="Alef" w:hAnsi="Alef" w:cs="Alef"/>
          <w:sz w:val="24"/>
          <w:szCs w:val="24"/>
          <w:rtl/>
        </w:rPr>
        <w:t>גיסא</w:t>
      </w:r>
      <w:r w:rsidR="00722670" w:rsidRPr="00BA63B1">
        <w:rPr>
          <w:rFonts w:ascii="Alef" w:hAnsi="Alef" w:cs="Alef"/>
          <w:sz w:val="24"/>
          <w:szCs w:val="24"/>
          <w:rtl/>
        </w:rPr>
        <w:t>,</w:t>
      </w:r>
      <w:r w:rsidR="00FC4401" w:rsidRPr="00BA63B1">
        <w:rPr>
          <w:rFonts w:ascii="Alef" w:hAnsi="Alef" w:cs="Alef"/>
          <w:sz w:val="24"/>
          <w:szCs w:val="24"/>
          <w:rtl/>
        </w:rPr>
        <w:t xml:space="preserve"> </w:t>
      </w:r>
      <w:r w:rsidRPr="00BA63B1">
        <w:rPr>
          <w:rFonts w:ascii="Alef" w:hAnsi="Alef" w:cs="Alef"/>
          <w:sz w:val="24"/>
          <w:szCs w:val="24"/>
          <w:rtl/>
        </w:rPr>
        <w:t xml:space="preserve">תוך עצירת עסקאות שתכליתן </w:t>
      </w:r>
      <w:r w:rsidR="00F26CA2" w:rsidRPr="00BA63B1">
        <w:rPr>
          <w:rFonts w:ascii="Alef" w:hAnsi="Alef" w:cs="Alef"/>
          <w:sz w:val="24"/>
          <w:szCs w:val="24"/>
          <w:rtl/>
        </w:rPr>
        <w:t xml:space="preserve">או תוצאתן </w:t>
      </w:r>
      <w:r w:rsidRPr="00BA63B1">
        <w:rPr>
          <w:rFonts w:ascii="Alef" w:hAnsi="Alef" w:cs="Alef"/>
          <w:sz w:val="24"/>
          <w:szCs w:val="24"/>
          <w:rtl/>
        </w:rPr>
        <w:t>היא פגיעה בתחרות מאידך</w:t>
      </w:r>
      <w:r w:rsidR="00FC4401" w:rsidRPr="00BA63B1">
        <w:rPr>
          <w:rFonts w:ascii="Alef" w:hAnsi="Alef" w:cs="Alef"/>
          <w:sz w:val="24"/>
          <w:szCs w:val="24"/>
          <w:rtl/>
        </w:rPr>
        <w:t xml:space="preserve"> גיסא</w:t>
      </w:r>
      <w:r w:rsidRPr="00BA63B1">
        <w:rPr>
          <w:rFonts w:ascii="Alef" w:hAnsi="Alef" w:cs="Alef"/>
          <w:sz w:val="24"/>
          <w:szCs w:val="24"/>
          <w:rtl/>
        </w:rPr>
        <w:t xml:space="preserve">. </w:t>
      </w:r>
    </w:p>
    <w:p w14:paraId="188E307F" w14:textId="0C1B927B" w:rsidR="00EB5588" w:rsidRPr="00BA63B1" w:rsidRDefault="00EB5588" w:rsidP="00F26CA2">
      <w:pPr>
        <w:jc w:val="both"/>
        <w:rPr>
          <w:rFonts w:ascii="Alef" w:hAnsi="Alef" w:cs="Alef"/>
          <w:sz w:val="24"/>
          <w:szCs w:val="24"/>
          <w:rtl/>
        </w:rPr>
      </w:pPr>
      <w:r w:rsidRPr="00BA63B1">
        <w:rPr>
          <w:rFonts w:ascii="Alef" w:hAnsi="Alef" w:cs="Alef"/>
          <w:sz w:val="24"/>
          <w:szCs w:val="24"/>
          <w:rtl/>
        </w:rPr>
        <w:t>פטורי הסוג משמשים ל</w:t>
      </w:r>
      <w:r w:rsidR="00F26CA2" w:rsidRPr="00BA63B1">
        <w:rPr>
          <w:rFonts w:ascii="Alef" w:hAnsi="Alef" w:cs="Alef"/>
          <w:sz w:val="24"/>
          <w:szCs w:val="24"/>
          <w:rtl/>
        </w:rPr>
        <w:t xml:space="preserve">הסרת נטל רגולטורי ובירוקרטי עודף על </w:t>
      </w:r>
      <w:r w:rsidRPr="00BA63B1">
        <w:rPr>
          <w:rFonts w:ascii="Alef" w:hAnsi="Alef" w:cs="Alef"/>
          <w:sz w:val="24"/>
          <w:szCs w:val="24"/>
          <w:rtl/>
        </w:rPr>
        <w:t xml:space="preserve">הסדרים לגיטימיים </w:t>
      </w:r>
      <w:r w:rsidR="008020D7" w:rsidRPr="00BA63B1">
        <w:rPr>
          <w:rFonts w:ascii="Alef" w:hAnsi="Alef" w:cs="Alef"/>
          <w:sz w:val="24"/>
          <w:szCs w:val="24"/>
          <w:rtl/>
        </w:rPr>
        <w:t xml:space="preserve">תוך </w:t>
      </w:r>
      <w:r w:rsidRPr="00BA63B1">
        <w:rPr>
          <w:rFonts w:ascii="Alef" w:hAnsi="Alef" w:cs="Alef"/>
          <w:sz w:val="24"/>
          <w:szCs w:val="24"/>
          <w:rtl/>
        </w:rPr>
        <w:t xml:space="preserve">מניעת הסדרים פוגעניים.  </w:t>
      </w:r>
    </w:p>
    <w:p w14:paraId="7F55240A" w14:textId="331C4EB6" w:rsidR="00232123" w:rsidRPr="00BA63B1" w:rsidRDefault="00232123" w:rsidP="00232123">
      <w:pPr>
        <w:jc w:val="both"/>
        <w:rPr>
          <w:rFonts w:ascii="Alef" w:hAnsi="Alef" w:cs="Alef"/>
          <w:sz w:val="24"/>
          <w:szCs w:val="24"/>
          <w:rtl/>
        </w:rPr>
      </w:pPr>
      <w:r w:rsidRPr="00BA63B1">
        <w:rPr>
          <w:rFonts w:ascii="Alef" w:hAnsi="Alef" w:cs="Alef"/>
          <w:sz w:val="24"/>
          <w:szCs w:val="24"/>
          <w:rtl/>
        </w:rPr>
        <w:t>הגבלת תוקפם של פטורי הסוג לחמש שנים לצד הסמכות לתקנם מעת לעת ולחדשם נועדה לשם בחינה תקופתית בדבר נחיצותם ותפקודם של פטורי הסוג</w:t>
      </w:r>
      <w:r w:rsidR="00722670" w:rsidRPr="00BA63B1">
        <w:rPr>
          <w:rFonts w:ascii="Alef" w:hAnsi="Alef" w:cs="Alef"/>
          <w:sz w:val="24"/>
          <w:szCs w:val="24"/>
          <w:rtl/>
        </w:rPr>
        <w:t>, כמו גם בחינת התאמתם של הוראות הפטורים למציאות העסקית המשתנה</w:t>
      </w:r>
      <w:r w:rsidRPr="00BA63B1">
        <w:rPr>
          <w:rFonts w:ascii="Alef" w:hAnsi="Alef" w:cs="Alef"/>
          <w:sz w:val="24"/>
          <w:szCs w:val="24"/>
          <w:rtl/>
        </w:rPr>
        <w:t xml:space="preserve">. </w:t>
      </w:r>
    </w:p>
    <w:p w14:paraId="21E73CB3"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ביום 15.9.2021 תוקפם של פטורי הסוג שלהלן עתיד לפוג:</w:t>
      </w:r>
    </w:p>
    <w:p w14:paraId="3F105A39" w14:textId="77777777" w:rsidR="00EB5588" w:rsidRPr="00BA63B1" w:rsidRDefault="00EB5588" w:rsidP="00EB5588">
      <w:pPr>
        <w:pStyle w:val="ListParagraph"/>
        <w:numPr>
          <w:ilvl w:val="0"/>
          <w:numId w:val="27"/>
        </w:numPr>
        <w:jc w:val="both"/>
        <w:rPr>
          <w:rFonts w:ascii="Alef" w:hAnsi="Alef" w:cs="Alef"/>
          <w:sz w:val="24"/>
          <w:szCs w:val="24"/>
          <w:rtl/>
        </w:rPr>
      </w:pPr>
      <w:r w:rsidRPr="00BA63B1">
        <w:rPr>
          <w:rFonts w:ascii="Alef" w:hAnsi="Alef" w:cs="Alef"/>
          <w:sz w:val="24"/>
          <w:szCs w:val="24"/>
          <w:rtl/>
        </w:rPr>
        <w:t xml:space="preserve">כללי ההגבלים העסקיים (הוראות והגדרות כלליות) (הוראת שעה), תשס"ו-2006 (להלן </w:t>
      </w:r>
      <w:r w:rsidRPr="00BA63B1">
        <w:rPr>
          <w:rFonts w:ascii="Alef" w:hAnsi="Alef" w:cs="Alef"/>
          <w:b/>
          <w:bCs/>
          <w:sz w:val="24"/>
          <w:szCs w:val="24"/>
          <w:rtl/>
        </w:rPr>
        <w:t>כללי הוראות והגדרות</w:t>
      </w:r>
      <w:r w:rsidRPr="00BA63B1">
        <w:rPr>
          <w:rFonts w:ascii="Alef" w:hAnsi="Alef" w:cs="Alef"/>
          <w:sz w:val="24"/>
          <w:szCs w:val="24"/>
          <w:rtl/>
        </w:rPr>
        <w:t>);</w:t>
      </w:r>
    </w:p>
    <w:p w14:paraId="71620336"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lastRenderedPageBreak/>
        <w:t xml:space="preserve">כללי ההגבלים העסקיים (פטור סוג להסדרים שאינם אופקיים ואין בהם כבילות מחיר מסוימות) (הוראת שעה), תשע"ג-2013 (להלן </w:t>
      </w:r>
      <w:r w:rsidRPr="00BA63B1">
        <w:rPr>
          <w:rFonts w:ascii="Alef" w:hAnsi="Alef" w:cs="Alef"/>
          <w:b/>
          <w:bCs/>
          <w:sz w:val="24"/>
          <w:szCs w:val="24"/>
          <w:rtl/>
        </w:rPr>
        <w:t>פטור הסוג האנכי</w:t>
      </w:r>
      <w:r w:rsidRPr="00BA63B1">
        <w:rPr>
          <w:rFonts w:ascii="Alef" w:hAnsi="Alef" w:cs="Alef"/>
          <w:sz w:val="24"/>
          <w:szCs w:val="24"/>
          <w:rtl/>
        </w:rPr>
        <w:t xml:space="preserve">); </w:t>
      </w:r>
    </w:p>
    <w:p w14:paraId="58222BE5"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כללי ההגבלים העסקיים (פטור סוג להסכמי רכישה בלעדית) (הוראת שעה), תשס"א-2001;</w:t>
      </w:r>
    </w:p>
    <w:p w14:paraId="31FAE501"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 xml:space="preserve">כללי ההגבלים העסקיים (פטור סוג להסכמי הפצה בלעדית) (הוראת שעה), תשס"א-2001; </w:t>
      </w:r>
    </w:p>
    <w:p w14:paraId="01303806"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 xml:space="preserve">כללי ההגבלים העסקיים (פטור סוג להסכמי זכיינות) (הוראת שעה), </w:t>
      </w:r>
      <w:r w:rsidRPr="00BA63B1">
        <w:rPr>
          <w:rFonts w:ascii="Alef" w:hAnsi="Alef" w:cs="Alef"/>
          <w:sz w:val="24"/>
          <w:szCs w:val="24"/>
          <w:rtl/>
        </w:rPr>
        <w:br/>
        <w:t xml:space="preserve">תשס"א-2001; </w:t>
      </w:r>
    </w:p>
    <w:p w14:paraId="31E1FDCC"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 xml:space="preserve">כללי ההגבלים העסקיים (פטור סוג למיזמים משותפים) (הוראת שעה), </w:t>
      </w:r>
      <w:r w:rsidRPr="00BA63B1">
        <w:rPr>
          <w:rFonts w:ascii="Alef" w:hAnsi="Alef" w:cs="Alef"/>
          <w:sz w:val="24"/>
          <w:szCs w:val="24"/>
          <w:rtl/>
        </w:rPr>
        <w:br/>
        <w:t>תשס"ו-2006;</w:t>
      </w:r>
    </w:p>
    <w:p w14:paraId="45D236C1"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 xml:space="preserve">כללי ההגבלים העסקיים (פטור סוג להסכמים שפגיעתם בתחרות קלת ערך) (הוראת שעה), תשס"ו-2006; </w:t>
      </w:r>
    </w:p>
    <w:p w14:paraId="2C8B5F92" w14:textId="77777777"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כללי ההגבלים העסקיים (פטור סוג להסכמים בין חברות קשורות) (הוראת שעה), תשע"א-2011;</w:t>
      </w:r>
    </w:p>
    <w:p w14:paraId="79DE30EA" w14:textId="6A0528C1" w:rsidR="00EB5588" w:rsidRPr="00BA63B1" w:rsidRDefault="00EB5588" w:rsidP="00EB5588">
      <w:pPr>
        <w:pStyle w:val="ListParagraph"/>
        <w:numPr>
          <w:ilvl w:val="0"/>
          <w:numId w:val="27"/>
        </w:numPr>
        <w:jc w:val="both"/>
        <w:rPr>
          <w:rFonts w:ascii="Alef" w:hAnsi="Alef" w:cs="Alef"/>
          <w:sz w:val="24"/>
          <w:szCs w:val="24"/>
        </w:rPr>
      </w:pPr>
      <w:r w:rsidRPr="00BA63B1">
        <w:rPr>
          <w:rFonts w:ascii="Alef" w:hAnsi="Alef" w:cs="Alef"/>
          <w:sz w:val="24"/>
          <w:szCs w:val="24"/>
          <w:rtl/>
        </w:rPr>
        <w:t xml:space="preserve">כללי ההגבלים העסקיים (פטור סוג להסכמים לביצוע מחקר ופיתוח) (הוראת שעה), תשס"ו-2006. </w:t>
      </w:r>
    </w:p>
    <w:p w14:paraId="62F97151" w14:textId="734D65EA" w:rsidR="00722670" w:rsidRPr="00BA63B1" w:rsidRDefault="00722670" w:rsidP="00C53382">
      <w:pPr>
        <w:jc w:val="both"/>
        <w:rPr>
          <w:rFonts w:ascii="Alef" w:hAnsi="Alef" w:cs="Alef"/>
          <w:sz w:val="24"/>
          <w:szCs w:val="24"/>
          <w:rtl/>
        </w:rPr>
      </w:pPr>
      <w:r w:rsidRPr="00BA63B1">
        <w:rPr>
          <w:rFonts w:ascii="Alef" w:hAnsi="Alef" w:cs="Alef"/>
          <w:sz w:val="24"/>
          <w:szCs w:val="24"/>
          <w:rtl/>
        </w:rPr>
        <w:lastRenderedPageBreak/>
        <w:t xml:space="preserve">כאמור, מסמך זה עוסק בפטור הסוג האנכי, פטורי הסוג להסכמי רכישה והפצה בלעדית, פטור הסוג להסכמי זכיינות, פטור הסוג להסכמים שפגיעתם בתחרות קלת ערך ובפטור הסוג להסכמים בין חברות קשורות. בחינת חידוש יתר פטורי הסוג </w:t>
      </w:r>
      <w:r w:rsidR="00C53382" w:rsidRPr="00BA63B1">
        <w:rPr>
          <w:rFonts w:ascii="Alef" w:hAnsi="Alef" w:cs="Alef"/>
          <w:sz w:val="24"/>
          <w:szCs w:val="24"/>
          <w:rtl/>
        </w:rPr>
        <w:t>המפורטים לעיל ת</w:t>
      </w:r>
      <w:r w:rsidRPr="00BA63B1">
        <w:rPr>
          <w:rFonts w:ascii="Alef" w:hAnsi="Alef" w:cs="Alef"/>
          <w:sz w:val="24"/>
          <w:szCs w:val="24"/>
          <w:rtl/>
        </w:rPr>
        <w:t>תבצע ב</w:t>
      </w:r>
      <w:r w:rsidR="00C53382" w:rsidRPr="00BA63B1">
        <w:rPr>
          <w:rFonts w:ascii="Alef" w:hAnsi="Alef" w:cs="Alef"/>
          <w:sz w:val="24"/>
          <w:szCs w:val="24"/>
          <w:rtl/>
        </w:rPr>
        <w:t>מסמך נפרד</w:t>
      </w:r>
      <w:r w:rsidRPr="00BA63B1">
        <w:rPr>
          <w:rFonts w:ascii="Alef" w:hAnsi="Alef" w:cs="Alef"/>
          <w:sz w:val="24"/>
          <w:szCs w:val="24"/>
          <w:rtl/>
        </w:rPr>
        <w:t>.</w:t>
      </w:r>
    </w:p>
    <w:p w14:paraId="22928622" w14:textId="6D50A7F2" w:rsidR="00232123" w:rsidRPr="00BA63B1" w:rsidRDefault="00EB5588" w:rsidP="002C6671">
      <w:pPr>
        <w:jc w:val="both"/>
        <w:rPr>
          <w:rFonts w:ascii="Alef" w:hAnsi="Alef" w:cs="Alef"/>
          <w:sz w:val="24"/>
          <w:szCs w:val="24"/>
          <w:rtl/>
        </w:rPr>
      </w:pPr>
      <w:r w:rsidRPr="00BA63B1">
        <w:rPr>
          <w:rFonts w:ascii="Alef" w:hAnsi="Alef" w:cs="Alef"/>
          <w:sz w:val="24"/>
          <w:szCs w:val="24"/>
          <w:rtl/>
        </w:rPr>
        <w:t xml:space="preserve">פקיעת התוקף הצפויה מעוררת </w:t>
      </w:r>
      <w:r w:rsidR="00E21FF7" w:rsidRPr="00BA63B1">
        <w:rPr>
          <w:rFonts w:ascii="Alef" w:hAnsi="Alef" w:cs="Alef"/>
          <w:sz w:val="24"/>
          <w:szCs w:val="24"/>
          <w:rtl/>
        </w:rPr>
        <w:t xml:space="preserve">מחדש </w:t>
      </w:r>
      <w:r w:rsidRPr="00BA63B1">
        <w:rPr>
          <w:rFonts w:ascii="Alef" w:hAnsi="Alef" w:cs="Alef"/>
          <w:sz w:val="24"/>
          <w:szCs w:val="24"/>
          <w:rtl/>
        </w:rPr>
        <w:t xml:space="preserve">את השאלה האם </w:t>
      </w:r>
      <w:r w:rsidR="00232123" w:rsidRPr="00BA63B1">
        <w:rPr>
          <w:rFonts w:ascii="Alef" w:hAnsi="Alef" w:cs="Alef"/>
          <w:sz w:val="24"/>
          <w:szCs w:val="24"/>
          <w:rtl/>
        </w:rPr>
        <w:t>מנגנון</w:t>
      </w:r>
      <w:r w:rsidR="00E21FF7" w:rsidRPr="00BA63B1">
        <w:rPr>
          <w:rFonts w:ascii="Alef" w:hAnsi="Alef" w:cs="Alef"/>
          <w:sz w:val="24"/>
          <w:szCs w:val="24"/>
          <w:rtl/>
        </w:rPr>
        <w:t xml:space="preserve"> פטורי הסוג משמש כאסדרה המיטבית המאפשרת עריכת עסקאות בהתערבות ממשלתית מינימלית מחד תוך </w:t>
      </w:r>
      <w:r w:rsidR="002C6671" w:rsidRPr="00BA63B1">
        <w:rPr>
          <w:rFonts w:ascii="Alef" w:hAnsi="Alef" w:cs="Alef"/>
          <w:sz w:val="24"/>
          <w:szCs w:val="24"/>
          <w:rtl/>
        </w:rPr>
        <w:t>שמירה על התחרות ומניעת פגיעה בה ו</w:t>
      </w:r>
      <w:r w:rsidR="00E21FF7" w:rsidRPr="00BA63B1">
        <w:rPr>
          <w:rFonts w:ascii="Alef" w:hAnsi="Alef" w:cs="Alef"/>
          <w:sz w:val="24"/>
          <w:szCs w:val="24"/>
          <w:rtl/>
        </w:rPr>
        <w:t xml:space="preserve">עצירת עסקאות </w:t>
      </w:r>
      <w:r w:rsidR="008020D7" w:rsidRPr="00BA63B1">
        <w:rPr>
          <w:rFonts w:ascii="Alef" w:hAnsi="Alef" w:cs="Alef"/>
          <w:sz w:val="24"/>
          <w:szCs w:val="24"/>
          <w:rtl/>
        </w:rPr>
        <w:t>שיפגעו</w:t>
      </w:r>
      <w:r w:rsidR="00E21FF7" w:rsidRPr="00BA63B1">
        <w:rPr>
          <w:rFonts w:ascii="Alef" w:hAnsi="Alef" w:cs="Alef"/>
          <w:sz w:val="24"/>
          <w:szCs w:val="24"/>
          <w:rtl/>
        </w:rPr>
        <w:t xml:space="preserve"> בתחרות מאידך. שאלה </w:t>
      </w:r>
      <w:r w:rsidR="00C53382" w:rsidRPr="00BA63B1">
        <w:rPr>
          <w:rFonts w:ascii="Alef" w:hAnsi="Alef" w:cs="Alef"/>
          <w:sz w:val="24"/>
          <w:szCs w:val="24"/>
          <w:rtl/>
        </w:rPr>
        <w:t xml:space="preserve">נוספת שיש לשאול היא </w:t>
      </w:r>
      <w:r w:rsidR="00E21FF7" w:rsidRPr="00BA63B1">
        <w:rPr>
          <w:rFonts w:ascii="Alef" w:hAnsi="Alef" w:cs="Alef"/>
          <w:sz w:val="24"/>
          <w:szCs w:val="24"/>
          <w:rtl/>
        </w:rPr>
        <w:t>כיצד לחדש את פטורי הסוג</w:t>
      </w:r>
      <w:r w:rsidR="0024571C" w:rsidRPr="00BA63B1">
        <w:rPr>
          <w:rFonts w:ascii="Alef" w:hAnsi="Alef" w:cs="Alef"/>
          <w:sz w:val="24"/>
          <w:szCs w:val="24"/>
          <w:rtl/>
        </w:rPr>
        <w:t>,</w:t>
      </w:r>
      <w:r w:rsidR="00E21FF7" w:rsidRPr="00BA63B1">
        <w:rPr>
          <w:rFonts w:ascii="Alef" w:hAnsi="Alef" w:cs="Alef"/>
          <w:sz w:val="24"/>
          <w:szCs w:val="24"/>
          <w:rtl/>
        </w:rPr>
        <w:t xml:space="preserve"> והאם נדרשים תיקונים על מנת להביא לאופטימיזציה של האסדרה. </w:t>
      </w:r>
    </w:p>
    <w:p w14:paraId="41DF3972" w14:textId="0E80A8BB" w:rsidR="00EB5588" w:rsidRPr="00BA63B1" w:rsidRDefault="00EB5588" w:rsidP="00EB5588">
      <w:pPr>
        <w:jc w:val="both"/>
        <w:rPr>
          <w:rFonts w:ascii="Alef" w:hAnsi="Alef" w:cs="Alef"/>
          <w:sz w:val="24"/>
          <w:szCs w:val="24"/>
          <w:rtl/>
        </w:rPr>
      </w:pPr>
      <w:r w:rsidRPr="00BA63B1">
        <w:rPr>
          <w:rFonts w:ascii="Alef" w:hAnsi="Alef" w:cs="Alef"/>
          <w:sz w:val="24"/>
          <w:szCs w:val="24"/>
          <w:rtl/>
        </w:rPr>
        <w:t>בחלוף עשרים שנים מאז הוחל משטר פטורי הסוג בישראל דומה כי הטעמים שעמדו ביסוד הוספת פטורי הסוג רק התחזקו ו</w:t>
      </w:r>
      <w:r w:rsidR="00F26CA2" w:rsidRPr="00BA63B1">
        <w:rPr>
          <w:rFonts w:ascii="Alef" w:hAnsi="Alef" w:cs="Alef"/>
          <w:sz w:val="24"/>
          <w:szCs w:val="24"/>
          <w:rtl/>
        </w:rPr>
        <w:t xml:space="preserve">כי אלו </w:t>
      </w:r>
      <w:r w:rsidRPr="00BA63B1">
        <w:rPr>
          <w:rFonts w:ascii="Alef" w:hAnsi="Alef" w:cs="Alef"/>
          <w:sz w:val="24"/>
          <w:szCs w:val="24"/>
          <w:rtl/>
        </w:rPr>
        <w:t xml:space="preserve">תומכים בהמשך השימוש במנגנון פטורי הסוג המצמצם את הצורך ברישוי מראש של הסדרים כובלים. </w:t>
      </w:r>
    </w:p>
    <w:p w14:paraId="2BAB93B2" w14:textId="7FA49DB3" w:rsidR="00EB5588" w:rsidRPr="00BA63B1" w:rsidRDefault="00EB5588" w:rsidP="008E1482">
      <w:pPr>
        <w:jc w:val="both"/>
        <w:rPr>
          <w:rFonts w:ascii="Alef" w:hAnsi="Alef" w:cs="Alef"/>
          <w:sz w:val="24"/>
          <w:szCs w:val="24"/>
          <w:rtl/>
        </w:rPr>
      </w:pPr>
      <w:r w:rsidRPr="00BA63B1">
        <w:rPr>
          <w:rFonts w:ascii="Alef" w:hAnsi="Alef" w:cs="Alef"/>
          <w:sz w:val="24"/>
          <w:szCs w:val="24"/>
          <w:rtl/>
        </w:rPr>
        <w:lastRenderedPageBreak/>
        <w:t xml:space="preserve">מספר העסקאות במשק משוכלל ודינמי כמשק הישראלי </w:t>
      </w:r>
      <w:r w:rsidR="008F6773" w:rsidRPr="00BA63B1">
        <w:rPr>
          <w:rFonts w:ascii="Alef" w:hAnsi="Alef" w:cs="Alef"/>
          <w:sz w:val="24"/>
          <w:szCs w:val="24"/>
          <w:rtl/>
        </w:rPr>
        <w:t xml:space="preserve">בתחילת המילניום כבר </w:t>
      </w:r>
      <w:r w:rsidRPr="00BA63B1">
        <w:rPr>
          <w:rFonts w:ascii="Alef" w:hAnsi="Alef" w:cs="Alef"/>
          <w:sz w:val="24"/>
          <w:szCs w:val="24"/>
          <w:rtl/>
        </w:rPr>
        <w:t xml:space="preserve">לא הלם מנגנון של היתר מראש להסדרים כובלים. התפתחות המשק </w:t>
      </w:r>
      <w:r w:rsidR="008E1482" w:rsidRPr="00BA63B1">
        <w:rPr>
          <w:rFonts w:ascii="Alef" w:hAnsi="Alef" w:cs="Alef"/>
          <w:sz w:val="24"/>
          <w:szCs w:val="24"/>
          <w:rtl/>
        </w:rPr>
        <w:t>מ</w:t>
      </w:r>
      <w:r w:rsidR="008F6773" w:rsidRPr="00BA63B1">
        <w:rPr>
          <w:rFonts w:ascii="Alef" w:hAnsi="Alef" w:cs="Alef"/>
          <w:sz w:val="24"/>
          <w:szCs w:val="24"/>
          <w:rtl/>
        </w:rPr>
        <w:t>תחילת שנות ה-2000</w:t>
      </w:r>
      <w:r w:rsidRPr="00BA63B1">
        <w:rPr>
          <w:rFonts w:ascii="Alef" w:hAnsi="Alef" w:cs="Alef"/>
          <w:sz w:val="24"/>
          <w:szCs w:val="24"/>
          <w:rtl/>
        </w:rPr>
        <w:t xml:space="preserve"> עד היום </w:t>
      </w:r>
      <w:r w:rsidR="008F6773" w:rsidRPr="00BA63B1">
        <w:rPr>
          <w:rFonts w:ascii="Alef" w:hAnsi="Alef" w:cs="Alef"/>
          <w:sz w:val="24"/>
          <w:szCs w:val="24"/>
          <w:rtl/>
        </w:rPr>
        <w:t>מובילה למסקנה</w:t>
      </w:r>
      <w:r w:rsidRPr="00BA63B1">
        <w:rPr>
          <w:rFonts w:ascii="Alef" w:hAnsi="Alef" w:cs="Alef"/>
          <w:sz w:val="24"/>
          <w:szCs w:val="24"/>
          <w:rtl/>
        </w:rPr>
        <w:t xml:space="preserve"> שלא ניתן ולא ראוי לדרוש היתר מר</w:t>
      </w:r>
      <w:r w:rsidR="008F6773" w:rsidRPr="00BA63B1">
        <w:rPr>
          <w:rFonts w:ascii="Alef" w:hAnsi="Alef" w:cs="Alef"/>
          <w:sz w:val="24"/>
          <w:szCs w:val="24"/>
          <w:rtl/>
        </w:rPr>
        <w:t>אש ביחס לכל הסדר הנופל תחת ההגדרה הרחבה של המונח</w:t>
      </w:r>
      <w:r w:rsidRPr="00BA63B1">
        <w:rPr>
          <w:rFonts w:ascii="Alef" w:hAnsi="Alef" w:cs="Alef"/>
          <w:sz w:val="24"/>
          <w:szCs w:val="24"/>
          <w:rtl/>
        </w:rPr>
        <w:t xml:space="preserve"> הסדר כובל. </w:t>
      </w:r>
    </w:p>
    <w:p w14:paraId="704DDFDD" w14:textId="14630FCB" w:rsidR="00EB5588" w:rsidRPr="00BA63B1" w:rsidRDefault="00EB5588" w:rsidP="00E600B2">
      <w:pPr>
        <w:jc w:val="both"/>
        <w:rPr>
          <w:rFonts w:ascii="Alef" w:hAnsi="Alef" w:cs="Alef"/>
          <w:sz w:val="24"/>
          <w:szCs w:val="24"/>
          <w:rtl/>
        </w:rPr>
      </w:pPr>
      <w:r w:rsidRPr="00BA63B1">
        <w:rPr>
          <w:rFonts w:ascii="Alef" w:hAnsi="Alef" w:cs="Alef"/>
          <w:sz w:val="24"/>
          <w:szCs w:val="24"/>
          <w:rtl/>
        </w:rPr>
        <w:t>במשטר של רישוי מראש, כל הסדר כובל שלא אושר מראש מוכתם באי חוקיות</w:t>
      </w:r>
      <w:r w:rsidR="00E600B2" w:rsidRPr="00BA63B1">
        <w:rPr>
          <w:rFonts w:ascii="Alef" w:hAnsi="Alef" w:cs="Alef"/>
          <w:sz w:val="24"/>
          <w:szCs w:val="24"/>
          <w:rtl/>
        </w:rPr>
        <w:t xml:space="preserve"> גם אם פגיעתו המסתברת בתחרות מועטה ביותר ואף אם יש </w:t>
      </w:r>
      <w:r w:rsidR="008745B5" w:rsidRPr="00BA63B1">
        <w:rPr>
          <w:rFonts w:ascii="Alef" w:hAnsi="Alef" w:cs="Alef"/>
          <w:sz w:val="24"/>
          <w:szCs w:val="24"/>
          <w:rtl/>
        </w:rPr>
        <w:t xml:space="preserve">בו </w:t>
      </w:r>
      <w:r w:rsidR="00E600B2" w:rsidRPr="00BA63B1">
        <w:rPr>
          <w:rFonts w:ascii="Alef" w:hAnsi="Alef" w:cs="Alef"/>
          <w:sz w:val="24"/>
          <w:szCs w:val="24"/>
          <w:rtl/>
        </w:rPr>
        <w:t>תועלת</w:t>
      </w:r>
      <w:r w:rsidR="008745B5" w:rsidRPr="00BA63B1">
        <w:rPr>
          <w:rFonts w:ascii="Alef" w:hAnsi="Alef" w:cs="Alef"/>
          <w:sz w:val="24"/>
          <w:szCs w:val="24"/>
          <w:rtl/>
        </w:rPr>
        <w:t xml:space="preserve"> רבה</w:t>
      </w:r>
      <w:r w:rsidRPr="00BA63B1">
        <w:rPr>
          <w:rFonts w:ascii="Alef" w:hAnsi="Alef" w:cs="Alef"/>
          <w:sz w:val="24"/>
          <w:szCs w:val="24"/>
          <w:rtl/>
        </w:rPr>
        <w:t>. נוכח ההגדרה הרחבה להסדר כובל בחוק ונוכח ריבוי העסקאות במשק משמעות הדבר שהסדרים רבים עשויים להיות מוכתמים באי חוקיות</w:t>
      </w:r>
      <w:r w:rsidR="00C53382" w:rsidRPr="00BA63B1">
        <w:rPr>
          <w:rFonts w:ascii="Alef" w:hAnsi="Alef" w:cs="Alef"/>
          <w:sz w:val="24"/>
          <w:szCs w:val="24"/>
          <w:rtl/>
        </w:rPr>
        <w:t xml:space="preserve"> </w:t>
      </w:r>
      <w:r w:rsidRPr="00BA63B1">
        <w:rPr>
          <w:rFonts w:ascii="Alef" w:hAnsi="Alef" w:cs="Alef"/>
          <w:sz w:val="24"/>
          <w:szCs w:val="24"/>
          <w:rtl/>
        </w:rPr>
        <w:t>אך משום שלא קיבלו היתר מראש</w:t>
      </w:r>
      <w:r w:rsidR="0000413F" w:rsidRPr="00BA63B1">
        <w:rPr>
          <w:rFonts w:ascii="Alef" w:hAnsi="Alef" w:cs="Alef"/>
          <w:sz w:val="24"/>
          <w:szCs w:val="24"/>
          <w:rtl/>
        </w:rPr>
        <w:t xml:space="preserve"> אף אם אינם מסכנים את התחרות החופשית</w:t>
      </w:r>
      <w:r w:rsidRPr="00BA63B1">
        <w:rPr>
          <w:rFonts w:ascii="Alef" w:hAnsi="Alef" w:cs="Alef"/>
          <w:sz w:val="24"/>
          <w:szCs w:val="24"/>
          <w:rtl/>
        </w:rPr>
        <w:t xml:space="preserve">. </w:t>
      </w:r>
    </w:p>
    <w:p w14:paraId="07168263" w14:textId="10C2E5D5" w:rsidR="0000413F" w:rsidRPr="00BA63B1" w:rsidRDefault="00EB5588" w:rsidP="00802F2C">
      <w:pPr>
        <w:jc w:val="both"/>
        <w:rPr>
          <w:rFonts w:ascii="Alef" w:hAnsi="Alef" w:cs="Alef"/>
          <w:sz w:val="24"/>
          <w:szCs w:val="24"/>
          <w:rtl/>
        </w:rPr>
      </w:pPr>
      <w:r w:rsidRPr="00BA63B1">
        <w:rPr>
          <w:rFonts w:ascii="Alef" w:hAnsi="Alef" w:cs="Alef"/>
          <w:sz w:val="24"/>
          <w:szCs w:val="24"/>
          <w:rtl/>
        </w:rPr>
        <w:t>מספר הבקשות המועט לקבלת פטור פרטני</w:t>
      </w:r>
      <w:r w:rsidR="0000413F" w:rsidRPr="00BA63B1">
        <w:rPr>
          <w:rFonts w:ascii="Alef" w:hAnsi="Alef" w:cs="Alef"/>
          <w:sz w:val="24"/>
          <w:szCs w:val="24"/>
          <w:rtl/>
        </w:rPr>
        <w:t xml:space="preserve"> המתקבלות מדי שנה</w:t>
      </w:r>
      <w:r w:rsidRPr="00BA63B1">
        <w:rPr>
          <w:rFonts w:ascii="Alef" w:hAnsi="Alef" w:cs="Alef"/>
          <w:sz w:val="24"/>
          <w:szCs w:val="24"/>
          <w:rtl/>
        </w:rPr>
        <w:t xml:space="preserve"> מלמד כי עסקאות רבות מאד כלל אינן מגיעות לקבלת </w:t>
      </w:r>
      <w:r w:rsidRPr="00BA63B1">
        <w:rPr>
          <w:rFonts w:ascii="Alef" w:hAnsi="Alef" w:cs="Alef"/>
          <w:sz w:val="24"/>
          <w:szCs w:val="24"/>
          <w:rtl/>
        </w:rPr>
        <w:lastRenderedPageBreak/>
        <w:t xml:space="preserve">היתר מראש. </w:t>
      </w:r>
      <w:r w:rsidR="00802F2C" w:rsidRPr="00BA63B1">
        <w:rPr>
          <w:rFonts w:ascii="Alef" w:hAnsi="Alef" w:cs="Alef"/>
          <w:sz w:val="24"/>
          <w:szCs w:val="24"/>
          <w:rtl/>
        </w:rPr>
        <w:t>להלן מספר בקשות הפטור שהוגשו בשנים 2016- 2019:</w:t>
      </w:r>
      <w:r w:rsidR="00802F2C" w:rsidRPr="00BA63B1">
        <w:rPr>
          <w:rStyle w:val="FootnoteReference"/>
          <w:rFonts w:ascii="Alef" w:hAnsi="Alef" w:cs="Alef"/>
          <w:sz w:val="24"/>
          <w:szCs w:val="24"/>
          <w:rtl/>
        </w:rPr>
        <w:footnoteReference w:id="13"/>
      </w:r>
    </w:p>
    <w:p w14:paraId="394833D9" w14:textId="392439AF" w:rsidR="0000413F" w:rsidRPr="00BA63B1" w:rsidRDefault="0000413F" w:rsidP="00802F2C">
      <w:pPr>
        <w:ind w:left="1076"/>
        <w:jc w:val="both"/>
        <w:rPr>
          <w:rFonts w:ascii="Alef" w:hAnsi="Alef" w:cs="Alef"/>
          <w:sz w:val="24"/>
          <w:szCs w:val="24"/>
          <w:rtl/>
        </w:rPr>
      </w:pPr>
      <w:r w:rsidRPr="00BA63B1">
        <w:rPr>
          <w:rFonts w:ascii="Alef" w:hAnsi="Alef" w:cs="Alef"/>
          <w:noProof/>
        </w:rPr>
        <w:drawing>
          <wp:inline distT="0" distB="0" distL="0" distR="0" wp14:anchorId="3DC5B1B6" wp14:editId="5CC4F39B">
            <wp:extent cx="3386937" cy="1586675"/>
            <wp:effectExtent l="0" t="0" r="444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33826" cy="1608641"/>
                    </a:xfrm>
                    <a:prstGeom prst="rect">
                      <a:avLst/>
                    </a:prstGeom>
                  </pic:spPr>
                </pic:pic>
              </a:graphicData>
            </a:graphic>
          </wp:inline>
        </w:drawing>
      </w:r>
    </w:p>
    <w:p w14:paraId="76921712" w14:textId="28900F51" w:rsidR="00EB5588" w:rsidRPr="00BA63B1" w:rsidRDefault="00EB5588" w:rsidP="00712C46">
      <w:pPr>
        <w:jc w:val="both"/>
        <w:rPr>
          <w:rFonts w:ascii="Alef" w:hAnsi="Alef" w:cs="Alef"/>
          <w:sz w:val="24"/>
          <w:szCs w:val="24"/>
          <w:rtl/>
        </w:rPr>
      </w:pPr>
      <w:r w:rsidRPr="00BA63B1">
        <w:rPr>
          <w:rFonts w:ascii="Alef" w:hAnsi="Alef" w:cs="Alef"/>
          <w:sz w:val="24"/>
          <w:szCs w:val="24"/>
          <w:rtl/>
        </w:rPr>
        <w:t xml:space="preserve">יש להניח כי בגדר </w:t>
      </w:r>
      <w:r w:rsidR="00802F2C" w:rsidRPr="00BA63B1">
        <w:rPr>
          <w:rFonts w:ascii="Alef" w:hAnsi="Alef" w:cs="Alef"/>
          <w:sz w:val="24"/>
          <w:szCs w:val="24"/>
          <w:rtl/>
        </w:rPr>
        <w:t>ה</w:t>
      </w:r>
      <w:r w:rsidRPr="00BA63B1">
        <w:rPr>
          <w:rFonts w:ascii="Alef" w:hAnsi="Alef" w:cs="Alef"/>
          <w:sz w:val="24"/>
          <w:szCs w:val="24"/>
          <w:rtl/>
        </w:rPr>
        <w:t>עסקאות</w:t>
      </w:r>
      <w:r w:rsidR="00802F2C" w:rsidRPr="00BA63B1">
        <w:rPr>
          <w:rFonts w:ascii="Alef" w:hAnsi="Alef" w:cs="Alef"/>
          <w:sz w:val="24"/>
          <w:szCs w:val="24"/>
          <w:rtl/>
        </w:rPr>
        <w:t xml:space="preserve"> שאינן מגיעות לקבלת </w:t>
      </w:r>
      <w:r w:rsidR="00712C46" w:rsidRPr="00BA63B1">
        <w:rPr>
          <w:rFonts w:ascii="Alef" w:hAnsi="Alef" w:cs="Alef"/>
          <w:sz w:val="24"/>
          <w:szCs w:val="24"/>
          <w:rtl/>
        </w:rPr>
        <w:t>היתר</w:t>
      </w:r>
      <w:r w:rsidR="00802F2C" w:rsidRPr="00BA63B1">
        <w:rPr>
          <w:rFonts w:ascii="Alef" w:hAnsi="Alef" w:cs="Alef"/>
          <w:sz w:val="24"/>
          <w:szCs w:val="24"/>
          <w:rtl/>
        </w:rPr>
        <w:t xml:space="preserve"> מראש</w:t>
      </w:r>
      <w:r w:rsidRPr="00BA63B1">
        <w:rPr>
          <w:rFonts w:ascii="Alef" w:hAnsi="Alef" w:cs="Alef"/>
          <w:sz w:val="24"/>
          <w:szCs w:val="24"/>
          <w:rtl/>
        </w:rPr>
        <w:t xml:space="preserve"> ישנ</w:t>
      </w:r>
      <w:r w:rsidR="00712C46" w:rsidRPr="00BA63B1">
        <w:rPr>
          <w:rFonts w:ascii="Alef" w:hAnsi="Alef" w:cs="Alef"/>
          <w:sz w:val="24"/>
          <w:szCs w:val="24"/>
          <w:rtl/>
        </w:rPr>
        <w:t>ו</w:t>
      </w:r>
      <w:r w:rsidRPr="00BA63B1">
        <w:rPr>
          <w:rFonts w:ascii="Alef" w:hAnsi="Alef" w:cs="Alef"/>
          <w:sz w:val="24"/>
          <w:szCs w:val="24"/>
          <w:rtl/>
        </w:rPr>
        <w:t xml:space="preserve"> מספר לא מבוטל של הסדרים שעשויים להילכד תחת ההגדרה הרחבה של הסדר כובל. על פי דין, הסדרים אלו אינם חוקיים על כל המשתמע מכך</w:t>
      </w:r>
      <w:r w:rsidR="00DE4862" w:rsidRPr="00BA63B1">
        <w:rPr>
          <w:rFonts w:ascii="Alef" w:hAnsi="Alef" w:cs="Alef"/>
          <w:sz w:val="24"/>
          <w:szCs w:val="24"/>
          <w:rtl/>
        </w:rPr>
        <w:t>,</w:t>
      </w:r>
      <w:r w:rsidRPr="00BA63B1">
        <w:rPr>
          <w:rFonts w:ascii="Alef" w:hAnsi="Alef" w:cs="Alef"/>
          <w:sz w:val="24"/>
          <w:szCs w:val="24"/>
          <w:rtl/>
        </w:rPr>
        <w:t xml:space="preserve"> וזאת אך מהטעם שלא התקבל להם היתר מראש. </w:t>
      </w:r>
    </w:p>
    <w:p w14:paraId="1C3AAA67" w14:textId="07C72E86" w:rsidR="00F53435" w:rsidRPr="00BA63B1" w:rsidRDefault="00EB5588" w:rsidP="00EB2EE4">
      <w:pPr>
        <w:jc w:val="both"/>
        <w:rPr>
          <w:rFonts w:ascii="Alef" w:hAnsi="Alef" w:cs="Alef"/>
          <w:sz w:val="24"/>
          <w:szCs w:val="24"/>
          <w:rtl/>
        </w:rPr>
      </w:pPr>
      <w:r w:rsidRPr="00BA63B1">
        <w:rPr>
          <w:rFonts w:ascii="Alef" w:hAnsi="Alef" w:cs="Alef"/>
          <w:sz w:val="24"/>
          <w:szCs w:val="24"/>
          <w:rtl/>
        </w:rPr>
        <w:t>גוף הידע בדיני התחרות התפתח רבות</w:t>
      </w:r>
      <w:r w:rsidR="00EB2EE4" w:rsidRPr="00BA63B1">
        <w:rPr>
          <w:rFonts w:ascii="Alef" w:hAnsi="Alef" w:cs="Alef"/>
          <w:sz w:val="24"/>
          <w:szCs w:val="24"/>
          <w:rtl/>
        </w:rPr>
        <w:t>,</w:t>
      </w:r>
      <w:r w:rsidRPr="00BA63B1">
        <w:rPr>
          <w:rFonts w:ascii="Alef" w:hAnsi="Alef" w:cs="Alef"/>
          <w:sz w:val="24"/>
          <w:szCs w:val="24"/>
          <w:rtl/>
        </w:rPr>
        <w:t xml:space="preserve"> מה שמקל על מלאכת ההערכה העצמית. </w:t>
      </w:r>
      <w:r w:rsidR="00771D80" w:rsidRPr="00BA63B1">
        <w:rPr>
          <w:rFonts w:ascii="Alef" w:hAnsi="Alef" w:cs="Alef"/>
          <w:sz w:val="24"/>
          <w:szCs w:val="24"/>
          <w:rtl/>
        </w:rPr>
        <w:t>במהלך</w:t>
      </w:r>
      <w:r w:rsidR="00F53435" w:rsidRPr="00BA63B1">
        <w:rPr>
          <w:rFonts w:ascii="Alef" w:hAnsi="Alef" w:cs="Alef"/>
          <w:sz w:val="24"/>
          <w:szCs w:val="24"/>
          <w:rtl/>
        </w:rPr>
        <w:t xml:space="preserve"> השנים ניתנו החלטות רבות של </w:t>
      </w:r>
      <w:r w:rsidR="00F53435" w:rsidRPr="00BA63B1">
        <w:rPr>
          <w:rFonts w:ascii="Alef" w:hAnsi="Alef" w:cs="Alef"/>
          <w:sz w:val="24"/>
          <w:szCs w:val="24"/>
          <w:rtl/>
        </w:rPr>
        <w:lastRenderedPageBreak/>
        <w:t xml:space="preserve">הממונה באשר להסדרים כובלים (באתר הרשות, תחת החלטות הממונה ביחס להסדר כובל ישנן </w:t>
      </w:r>
      <w:r w:rsidR="00EB2EE4" w:rsidRPr="00BA63B1">
        <w:rPr>
          <w:rFonts w:ascii="Alef" w:hAnsi="Alef" w:cs="Alef"/>
          <w:sz w:val="24"/>
          <w:szCs w:val="24"/>
          <w:rtl/>
        </w:rPr>
        <w:t>מאות החלטות</w:t>
      </w:r>
      <w:r w:rsidR="00F53435" w:rsidRPr="00BA63B1">
        <w:rPr>
          <w:rFonts w:ascii="Alef" w:hAnsi="Alef" w:cs="Alef"/>
          <w:sz w:val="24"/>
          <w:szCs w:val="24"/>
          <w:rtl/>
        </w:rPr>
        <w:t>).</w:t>
      </w:r>
      <w:r w:rsidR="00F53435" w:rsidRPr="00BA63B1">
        <w:rPr>
          <w:rStyle w:val="FootnoteReference"/>
          <w:rFonts w:ascii="Alef" w:hAnsi="Alef" w:cs="Alef"/>
          <w:sz w:val="24"/>
          <w:szCs w:val="24"/>
          <w:rtl/>
        </w:rPr>
        <w:footnoteReference w:id="14"/>
      </w:r>
      <w:r w:rsidR="00771D80" w:rsidRPr="00BA63B1">
        <w:rPr>
          <w:rFonts w:ascii="Alef" w:hAnsi="Alef" w:cs="Alef"/>
          <w:sz w:val="24"/>
          <w:szCs w:val="24"/>
          <w:rtl/>
        </w:rPr>
        <w:t xml:space="preserve"> </w:t>
      </w:r>
    </w:p>
    <w:p w14:paraId="5E51A24A" w14:textId="4848C5E1" w:rsidR="00EB5588" w:rsidRPr="00BA63B1" w:rsidRDefault="00EB5588" w:rsidP="00F23F91">
      <w:pPr>
        <w:jc w:val="both"/>
        <w:rPr>
          <w:rFonts w:ascii="Alef" w:hAnsi="Alef" w:cs="Alef"/>
          <w:sz w:val="24"/>
          <w:szCs w:val="24"/>
          <w:rtl/>
        </w:rPr>
      </w:pPr>
      <w:r w:rsidRPr="00BA63B1">
        <w:rPr>
          <w:rFonts w:ascii="Alef" w:hAnsi="Alef" w:cs="Alef"/>
          <w:sz w:val="24"/>
          <w:szCs w:val="24"/>
          <w:rtl/>
        </w:rPr>
        <w:t>רשות התחרות מצידה פועלת להבהרת הדין מקום שהיא סבורה שהבהרה כזו נדרשת.</w:t>
      </w:r>
      <w:r w:rsidR="005C33B4" w:rsidRPr="00BA63B1">
        <w:rPr>
          <w:rFonts w:ascii="Alef" w:hAnsi="Alef" w:cs="Alef"/>
          <w:sz w:val="24"/>
          <w:szCs w:val="24"/>
          <w:rtl/>
        </w:rPr>
        <w:t xml:space="preserve"> </w:t>
      </w:r>
      <w:r w:rsidRPr="00BA63B1">
        <w:rPr>
          <w:rFonts w:ascii="Alef" w:hAnsi="Alef" w:cs="Alef"/>
          <w:sz w:val="24"/>
          <w:szCs w:val="24"/>
          <w:rtl/>
        </w:rPr>
        <w:t xml:space="preserve">כך למשל, מלבד גילוי דעת 1/18 </w:t>
      </w:r>
      <w:r w:rsidR="00EC10ED" w:rsidRPr="00BA63B1">
        <w:rPr>
          <w:rFonts w:ascii="Alef" w:hAnsi="Alef" w:cs="Alef"/>
          <w:sz w:val="24"/>
          <w:szCs w:val="24"/>
          <w:rtl/>
        </w:rPr>
        <w:t xml:space="preserve"> </w:t>
      </w:r>
      <w:r w:rsidRPr="00BA63B1">
        <w:rPr>
          <w:rFonts w:ascii="Alef" w:hAnsi="Alef" w:cs="Alef"/>
          <w:sz w:val="24"/>
          <w:szCs w:val="24"/>
          <w:rtl/>
        </w:rPr>
        <w:t>שנסקר לעיל, הרשות</w:t>
      </w:r>
      <w:r w:rsidR="00F23F91" w:rsidRPr="00BA63B1">
        <w:rPr>
          <w:rFonts w:ascii="Alef" w:hAnsi="Alef" w:cs="Alef"/>
          <w:sz w:val="24"/>
          <w:szCs w:val="24"/>
          <w:rtl/>
        </w:rPr>
        <w:t xml:space="preserve"> הוסיפה ופרסמה גילויי דעת נוספים</w:t>
      </w:r>
      <w:r w:rsidRPr="00BA63B1">
        <w:rPr>
          <w:rFonts w:ascii="Alef" w:hAnsi="Alef" w:cs="Alef"/>
          <w:sz w:val="24"/>
          <w:szCs w:val="24"/>
          <w:rtl/>
        </w:rPr>
        <w:t xml:space="preserve"> וב</w:t>
      </w:r>
      <w:r w:rsidR="00F23F91" w:rsidRPr="00BA63B1">
        <w:rPr>
          <w:rFonts w:ascii="Alef" w:hAnsi="Alef" w:cs="Alef"/>
          <w:sz w:val="24"/>
          <w:szCs w:val="24"/>
          <w:rtl/>
        </w:rPr>
        <w:t>הם</w:t>
      </w:r>
      <w:r w:rsidRPr="00BA63B1">
        <w:rPr>
          <w:rFonts w:ascii="Alef" w:hAnsi="Alef" w:cs="Alef"/>
          <w:sz w:val="24"/>
          <w:szCs w:val="24"/>
          <w:rtl/>
        </w:rPr>
        <w:t>:</w:t>
      </w:r>
    </w:p>
    <w:p w14:paraId="7CCBDEB9" w14:textId="77777777" w:rsidR="00EB5588" w:rsidRPr="00BA63B1" w:rsidRDefault="00EB5588" w:rsidP="00EB5588">
      <w:pPr>
        <w:pStyle w:val="ListParagraph"/>
        <w:numPr>
          <w:ilvl w:val="0"/>
          <w:numId w:val="26"/>
        </w:numPr>
        <w:jc w:val="both"/>
        <w:rPr>
          <w:rFonts w:ascii="Alef" w:hAnsi="Alef" w:cs="Alef"/>
          <w:sz w:val="24"/>
          <w:szCs w:val="24"/>
        </w:rPr>
      </w:pPr>
      <w:r w:rsidRPr="00BA63B1">
        <w:rPr>
          <w:rFonts w:ascii="Alef" w:hAnsi="Alef" w:cs="Alef"/>
          <w:b/>
          <w:bCs/>
          <w:sz w:val="24"/>
          <w:szCs w:val="24"/>
          <w:rtl/>
        </w:rPr>
        <w:t>גילוי דעת בעניין אופן בחינת כוח שוק משמעותי</w:t>
      </w:r>
      <w:r w:rsidRPr="00BA63B1">
        <w:rPr>
          <w:rFonts w:ascii="Alef" w:hAnsi="Alef" w:cs="Alef"/>
          <w:sz w:val="24"/>
          <w:szCs w:val="24"/>
          <w:rtl/>
        </w:rPr>
        <w:t>;</w:t>
      </w:r>
    </w:p>
    <w:p w14:paraId="342C6A5A" w14:textId="77777777" w:rsidR="00EB5588" w:rsidRPr="00BA63B1" w:rsidRDefault="00EB5588" w:rsidP="00EB5588">
      <w:pPr>
        <w:pStyle w:val="ListParagraph"/>
        <w:numPr>
          <w:ilvl w:val="0"/>
          <w:numId w:val="26"/>
        </w:numPr>
        <w:jc w:val="both"/>
        <w:rPr>
          <w:rFonts w:ascii="Alef" w:hAnsi="Alef" w:cs="Alef"/>
          <w:sz w:val="24"/>
          <w:szCs w:val="24"/>
        </w:rPr>
      </w:pPr>
      <w:r w:rsidRPr="00BA63B1">
        <w:rPr>
          <w:rFonts w:ascii="Alef" w:hAnsi="Alef" w:cs="Alef"/>
          <w:b/>
          <w:bCs/>
          <w:sz w:val="24"/>
          <w:szCs w:val="24"/>
          <w:rtl/>
        </w:rPr>
        <w:t>גילוי דעת בעניין שיתופי פעולה בין משקיעים מוסדיים שלא בתחום התחרות</w:t>
      </w:r>
      <w:r w:rsidRPr="00BA63B1">
        <w:rPr>
          <w:rFonts w:ascii="Alef" w:hAnsi="Alef" w:cs="Alef"/>
          <w:sz w:val="24"/>
          <w:szCs w:val="24"/>
          <w:rtl/>
        </w:rPr>
        <w:t>;</w:t>
      </w:r>
    </w:p>
    <w:p w14:paraId="26F8BE03" w14:textId="77777777" w:rsidR="00EB5588" w:rsidRPr="00BA63B1" w:rsidRDefault="00EB5588" w:rsidP="00EB5588">
      <w:pPr>
        <w:pStyle w:val="ListParagraph"/>
        <w:numPr>
          <w:ilvl w:val="0"/>
          <w:numId w:val="26"/>
        </w:numPr>
        <w:jc w:val="both"/>
        <w:rPr>
          <w:rFonts w:ascii="Alef" w:hAnsi="Alef" w:cs="Alef"/>
          <w:sz w:val="24"/>
          <w:szCs w:val="24"/>
        </w:rPr>
      </w:pPr>
      <w:r w:rsidRPr="00BA63B1">
        <w:rPr>
          <w:rFonts w:ascii="Alef" w:hAnsi="Alef" w:cs="Alef"/>
          <w:b/>
          <w:bCs/>
          <w:sz w:val="24"/>
          <w:szCs w:val="24"/>
          <w:rtl/>
        </w:rPr>
        <w:t>גילוי דעת בעניין שיתופי פעולה בין ספקי אשראי בהסדרי חוב;</w:t>
      </w:r>
    </w:p>
    <w:p w14:paraId="2F9E3F39" w14:textId="0E14EC71" w:rsidR="00EB5588" w:rsidRPr="00BA63B1" w:rsidRDefault="00EB5588" w:rsidP="00EB5588">
      <w:pPr>
        <w:pStyle w:val="ListParagraph"/>
        <w:numPr>
          <w:ilvl w:val="0"/>
          <w:numId w:val="26"/>
        </w:numPr>
        <w:jc w:val="both"/>
        <w:rPr>
          <w:rFonts w:ascii="Alef" w:hAnsi="Alef" w:cs="Alef"/>
          <w:sz w:val="24"/>
          <w:szCs w:val="24"/>
          <w:rtl/>
        </w:rPr>
      </w:pPr>
      <w:r w:rsidRPr="00BA63B1">
        <w:rPr>
          <w:rFonts w:ascii="Alef" w:hAnsi="Alef" w:cs="Alef"/>
          <w:b/>
          <w:bCs/>
          <w:sz w:val="24"/>
          <w:szCs w:val="24"/>
          <w:rtl/>
        </w:rPr>
        <w:t>גילוי דעת מתוקן בעניין איגודים עסקיים ופעילותם;</w:t>
      </w:r>
    </w:p>
    <w:p w14:paraId="53BF50F7" w14:textId="5238B221" w:rsidR="002766C7" w:rsidRPr="00BA63B1" w:rsidRDefault="002766C7" w:rsidP="002766C7">
      <w:pPr>
        <w:pStyle w:val="ListParagraph"/>
        <w:numPr>
          <w:ilvl w:val="0"/>
          <w:numId w:val="26"/>
        </w:numPr>
        <w:jc w:val="both"/>
        <w:rPr>
          <w:rFonts w:ascii="Alef" w:hAnsi="Alef" w:cs="Alef"/>
          <w:sz w:val="24"/>
          <w:szCs w:val="24"/>
        </w:rPr>
      </w:pPr>
      <w:r w:rsidRPr="00BA63B1">
        <w:rPr>
          <w:rFonts w:ascii="Alef" w:hAnsi="Alef" w:cs="Alef"/>
          <w:b/>
          <w:bCs/>
          <w:sz w:val="24"/>
          <w:szCs w:val="24"/>
          <w:rtl/>
        </w:rPr>
        <w:lastRenderedPageBreak/>
        <w:t>גילוי דעת בעניין הסדרי הכתבת מחיר אנכית (</w:t>
      </w:r>
      <w:r w:rsidRPr="00BA63B1">
        <w:rPr>
          <w:rFonts w:ascii="Alef" w:hAnsi="Alef" w:cs="Alef"/>
          <w:b/>
          <w:bCs/>
          <w:sz w:val="24"/>
          <w:szCs w:val="24"/>
        </w:rPr>
        <w:t>RPM</w:t>
      </w:r>
      <w:r w:rsidRPr="00BA63B1">
        <w:rPr>
          <w:rFonts w:ascii="Alef" w:hAnsi="Alef" w:cs="Alef"/>
          <w:sz w:val="24"/>
          <w:szCs w:val="24"/>
          <w:rtl/>
        </w:rPr>
        <w:t>);</w:t>
      </w:r>
    </w:p>
    <w:p w14:paraId="64EC4825" w14:textId="77777777" w:rsidR="00EB5588" w:rsidRPr="00BA63B1" w:rsidRDefault="00EB5588" w:rsidP="00EB5588">
      <w:pPr>
        <w:pStyle w:val="ListParagraph"/>
        <w:numPr>
          <w:ilvl w:val="0"/>
          <w:numId w:val="26"/>
        </w:numPr>
        <w:jc w:val="both"/>
        <w:rPr>
          <w:rFonts w:ascii="Alef" w:hAnsi="Alef" w:cs="Alef"/>
          <w:b/>
          <w:bCs/>
          <w:sz w:val="24"/>
          <w:szCs w:val="24"/>
          <w:rtl/>
        </w:rPr>
      </w:pPr>
      <w:r w:rsidRPr="00BA63B1">
        <w:rPr>
          <w:rFonts w:ascii="Alef" w:hAnsi="Alef" w:cs="Alef"/>
          <w:b/>
          <w:bCs/>
          <w:sz w:val="24"/>
          <w:szCs w:val="24"/>
          <w:rtl/>
        </w:rPr>
        <w:t xml:space="preserve">טיוטת גילוי דעת בעניין חבירה בין מתחרים לצורך הגשת הצעה משותפת במכרז. </w:t>
      </w:r>
    </w:p>
    <w:p w14:paraId="6E8E63E6" w14:textId="2F6F73F5" w:rsidR="00F23F91" w:rsidRPr="00BA63B1" w:rsidRDefault="00F23F91" w:rsidP="004D32ED">
      <w:pPr>
        <w:jc w:val="both"/>
        <w:rPr>
          <w:rFonts w:ascii="Alef" w:hAnsi="Alef" w:cs="Alef"/>
          <w:sz w:val="24"/>
          <w:szCs w:val="24"/>
          <w:rtl/>
        </w:rPr>
      </w:pPr>
      <w:r w:rsidRPr="00BA63B1">
        <w:rPr>
          <w:rFonts w:ascii="Alef" w:hAnsi="Alef" w:cs="Alef"/>
          <w:sz w:val="24"/>
          <w:szCs w:val="24"/>
          <w:rtl/>
        </w:rPr>
        <w:t>גילויי הדעת מסייעים לשוק הפרטי להתחקות אחר אופן הניתוח של הרשות ולעדכן במידת הצורך את מ</w:t>
      </w:r>
      <w:r w:rsidR="004D32ED" w:rsidRPr="00BA63B1">
        <w:rPr>
          <w:rFonts w:ascii="Alef" w:hAnsi="Alef" w:cs="Alef"/>
          <w:sz w:val="24"/>
          <w:szCs w:val="24"/>
          <w:rtl/>
        </w:rPr>
        <w:t xml:space="preserve">תודולוגיות ההערכה העצמית.  </w:t>
      </w:r>
      <w:r w:rsidRPr="00BA63B1">
        <w:rPr>
          <w:rFonts w:ascii="Alef" w:hAnsi="Alef" w:cs="Alef"/>
          <w:sz w:val="24"/>
          <w:szCs w:val="24"/>
          <w:rtl/>
        </w:rPr>
        <w:t xml:space="preserve"> </w:t>
      </w:r>
    </w:p>
    <w:p w14:paraId="5798967F" w14:textId="4A69B87E" w:rsidR="00EB5588" w:rsidRPr="00BA63B1" w:rsidRDefault="00EB5588" w:rsidP="00771D80">
      <w:pPr>
        <w:jc w:val="both"/>
        <w:rPr>
          <w:rFonts w:ascii="Alef" w:hAnsi="Alef" w:cs="Alef"/>
          <w:sz w:val="24"/>
          <w:szCs w:val="24"/>
          <w:rtl/>
        </w:rPr>
      </w:pPr>
      <w:r w:rsidRPr="00BA63B1">
        <w:rPr>
          <w:rFonts w:ascii="Alef" w:hAnsi="Alef" w:cs="Alef"/>
          <w:sz w:val="24"/>
          <w:szCs w:val="24"/>
          <w:rtl/>
        </w:rPr>
        <w:t>בחלוף ה</w:t>
      </w:r>
      <w:r w:rsidR="00771D80" w:rsidRPr="00BA63B1">
        <w:rPr>
          <w:rFonts w:ascii="Alef" w:hAnsi="Alef" w:cs="Alef"/>
          <w:sz w:val="24"/>
          <w:szCs w:val="24"/>
          <w:rtl/>
        </w:rPr>
        <w:t>זמן</w:t>
      </w:r>
      <w:r w:rsidRPr="00BA63B1">
        <w:rPr>
          <w:rFonts w:ascii="Alef" w:hAnsi="Alef" w:cs="Alef"/>
          <w:sz w:val="24"/>
          <w:szCs w:val="24"/>
          <w:rtl/>
        </w:rPr>
        <w:t xml:space="preserve"> חלו תמורות במודעות הציבור הרחב לדיני התחרות. אירועים כגון המחאה החברתית של שנת 2011 ותביעות באירופה וארה"ב כנגד ענקיות הטכנולוגיה הפכו את הציבור הרחב למיודע ורגיש יותר לחשיבות דיני התחרות. </w:t>
      </w:r>
      <w:r w:rsidR="004D32ED" w:rsidRPr="00BA63B1">
        <w:rPr>
          <w:rFonts w:ascii="Alef" w:hAnsi="Alef" w:cs="Alef"/>
          <w:sz w:val="24"/>
          <w:szCs w:val="24"/>
          <w:rtl/>
        </w:rPr>
        <w:t xml:space="preserve">הגברת המודעות לדיני התחרות תורמת למניעת היווצרות של הסדרים פוגעניים מלכתחילה. הגברת המודעות הציבורית לדיני התחרות מסייעת גם באיתור ואכיפה של הסדרים כובלים. </w:t>
      </w:r>
    </w:p>
    <w:p w14:paraId="13D264ED" w14:textId="6D5DD6D9" w:rsidR="00EB5588" w:rsidRPr="00BA63B1" w:rsidRDefault="00EB5588" w:rsidP="00052B72">
      <w:pPr>
        <w:jc w:val="both"/>
        <w:rPr>
          <w:rFonts w:ascii="Alef" w:hAnsi="Alef" w:cs="Alef"/>
          <w:sz w:val="24"/>
          <w:szCs w:val="24"/>
          <w:rtl/>
        </w:rPr>
      </w:pPr>
      <w:r w:rsidRPr="00BA63B1">
        <w:rPr>
          <w:rFonts w:ascii="Alef" w:hAnsi="Alef" w:cs="Alef"/>
          <w:sz w:val="24"/>
          <w:szCs w:val="24"/>
          <w:rtl/>
        </w:rPr>
        <w:t xml:space="preserve">לצד </w:t>
      </w:r>
      <w:r w:rsidR="0091318C" w:rsidRPr="00BA63B1">
        <w:rPr>
          <w:rFonts w:ascii="Alef" w:hAnsi="Alef" w:cs="Alef"/>
          <w:sz w:val="24"/>
          <w:szCs w:val="24"/>
          <w:rtl/>
        </w:rPr>
        <w:t>צמצום החובה לקבל</w:t>
      </w:r>
      <w:r w:rsidR="00EC10ED" w:rsidRPr="00BA63B1">
        <w:rPr>
          <w:rFonts w:ascii="Alef" w:hAnsi="Alef" w:cs="Alef"/>
          <w:sz w:val="24"/>
          <w:szCs w:val="24"/>
          <w:rtl/>
        </w:rPr>
        <w:t xml:space="preserve"> היתר מראש</w:t>
      </w:r>
      <w:r w:rsidRPr="00BA63B1">
        <w:rPr>
          <w:rFonts w:ascii="Alef" w:hAnsi="Alef" w:cs="Alef"/>
          <w:sz w:val="24"/>
          <w:szCs w:val="24"/>
          <w:rtl/>
        </w:rPr>
        <w:t>, רשות התחרות חיזקה את יכולותיה לאתר הפרות ולהביא את המפרים לדין.</w:t>
      </w:r>
      <w:r w:rsidR="00C855EC" w:rsidRPr="00BA63B1">
        <w:rPr>
          <w:rFonts w:ascii="Alef" w:hAnsi="Alef" w:cs="Alef"/>
          <w:sz w:val="24"/>
          <w:szCs w:val="24"/>
          <w:rtl/>
        </w:rPr>
        <w:t xml:space="preserve"> </w:t>
      </w:r>
      <w:r w:rsidRPr="00BA63B1">
        <w:rPr>
          <w:rFonts w:ascii="Alef" w:hAnsi="Alef" w:cs="Alef"/>
          <w:sz w:val="24"/>
          <w:szCs w:val="24"/>
          <w:rtl/>
        </w:rPr>
        <w:t xml:space="preserve">     </w:t>
      </w:r>
    </w:p>
    <w:p w14:paraId="097682F6" w14:textId="0A695B6A" w:rsidR="00EB5588" w:rsidRPr="00BA63B1" w:rsidRDefault="00EB5588" w:rsidP="0091318C">
      <w:pPr>
        <w:jc w:val="both"/>
        <w:rPr>
          <w:rFonts w:ascii="Alef" w:hAnsi="Alef" w:cs="Alef"/>
          <w:sz w:val="24"/>
          <w:szCs w:val="24"/>
          <w:rtl/>
        </w:rPr>
      </w:pPr>
      <w:r w:rsidRPr="00BA63B1">
        <w:rPr>
          <w:rFonts w:ascii="Alef" w:hAnsi="Alef" w:cs="Alef"/>
          <w:sz w:val="24"/>
          <w:szCs w:val="24"/>
          <w:rtl/>
        </w:rPr>
        <w:lastRenderedPageBreak/>
        <w:t>מחלקת חקירות ומודיעין  הוסיפה לשכלל יכולותיה ונחשבת כיום כמובילה עולמית בהפעלת שיטות פרו-אקטיביות לאיתור קרטלים</w:t>
      </w:r>
      <w:r w:rsidR="0091318C" w:rsidRPr="00BA63B1">
        <w:rPr>
          <w:rFonts w:ascii="Alef" w:hAnsi="Alef" w:cs="Alef"/>
          <w:sz w:val="24"/>
          <w:szCs w:val="24"/>
          <w:rtl/>
        </w:rPr>
        <w:t>.</w:t>
      </w:r>
      <w:r w:rsidRPr="00BA63B1">
        <w:rPr>
          <w:rStyle w:val="FootnoteReference"/>
          <w:rFonts w:ascii="Alef" w:hAnsi="Alef" w:cs="Alef"/>
          <w:sz w:val="24"/>
          <w:szCs w:val="24"/>
          <w:rtl/>
        </w:rPr>
        <w:footnoteReference w:id="15"/>
      </w:r>
      <w:r w:rsidRPr="00BA63B1">
        <w:rPr>
          <w:rFonts w:ascii="Alef" w:hAnsi="Alef" w:cs="Alef"/>
          <w:sz w:val="24"/>
          <w:szCs w:val="24"/>
          <w:rtl/>
        </w:rPr>
        <w:t xml:space="preserve"> מלבד שיטות פרו-אקטיביות, ישנו מנגנון לדיווח על חשד לעבירות על החוק</w:t>
      </w:r>
      <w:r w:rsidRPr="00BA63B1">
        <w:rPr>
          <w:rStyle w:val="FootnoteReference"/>
          <w:rFonts w:ascii="Alef" w:hAnsi="Alef" w:cs="Alef"/>
          <w:sz w:val="24"/>
          <w:szCs w:val="24"/>
          <w:rtl/>
        </w:rPr>
        <w:footnoteReference w:id="16"/>
      </w:r>
      <w:r w:rsidRPr="00BA63B1">
        <w:rPr>
          <w:rFonts w:ascii="Alef" w:hAnsi="Alef" w:cs="Alef"/>
          <w:sz w:val="24"/>
          <w:szCs w:val="24"/>
          <w:rtl/>
        </w:rPr>
        <w:t xml:space="preserve"> וכן מופעלת תכנית החסינות מהעמדה לדין בעבירות קרטל.</w:t>
      </w:r>
      <w:r w:rsidRPr="00BA63B1">
        <w:rPr>
          <w:rStyle w:val="FootnoteReference"/>
          <w:rFonts w:ascii="Alef" w:hAnsi="Alef" w:cs="Alef"/>
          <w:sz w:val="24"/>
          <w:szCs w:val="24"/>
          <w:rtl/>
        </w:rPr>
        <w:footnoteReference w:id="17"/>
      </w:r>
    </w:p>
    <w:p w14:paraId="228AC6F3" w14:textId="3318A154" w:rsidR="00EB5588" w:rsidRPr="00BA63B1" w:rsidRDefault="00EB5588" w:rsidP="00052B72">
      <w:pPr>
        <w:jc w:val="both"/>
        <w:rPr>
          <w:rFonts w:ascii="Alef" w:hAnsi="Alef" w:cs="Alef"/>
          <w:sz w:val="24"/>
          <w:szCs w:val="24"/>
          <w:rtl/>
        </w:rPr>
      </w:pPr>
      <w:r w:rsidRPr="00BA63B1">
        <w:rPr>
          <w:rFonts w:ascii="Alef" w:hAnsi="Alef" w:cs="Alef"/>
          <w:sz w:val="24"/>
          <w:szCs w:val="24"/>
          <w:rtl/>
        </w:rPr>
        <w:t xml:space="preserve">ההיכרות העמוקה של הרשות עם השוק הפרטי תורמת </w:t>
      </w:r>
      <w:r w:rsidR="00CA3A12" w:rsidRPr="00BA63B1">
        <w:rPr>
          <w:rFonts w:ascii="Alef" w:hAnsi="Alef" w:cs="Alef"/>
          <w:sz w:val="24"/>
          <w:szCs w:val="24"/>
          <w:rtl/>
        </w:rPr>
        <w:t xml:space="preserve">אף היא </w:t>
      </w:r>
      <w:r w:rsidRPr="00BA63B1">
        <w:rPr>
          <w:rFonts w:ascii="Alef" w:hAnsi="Alef" w:cs="Alef"/>
          <w:sz w:val="24"/>
          <w:szCs w:val="24"/>
          <w:rtl/>
        </w:rPr>
        <w:t xml:space="preserve">לאיתור כשלים והפרות של החוק. בשנת 2018 עברה הרשות שינוי מבני פנימי שנועד לחזק את התמקצעות הרשות במתרחש בשווקים השונים. במסגרת השינוי המבני הוקמה מחלקת שווקים האמונה על אישור עסקאות, ייעוץ תחרותי למשרדי ממשלה ולוועדות הכנסת וקידום התחרות בענפי המשק השונים. במחלקת שווקים פועלים </w:t>
      </w:r>
      <w:r w:rsidR="006A4700" w:rsidRPr="00BA63B1">
        <w:rPr>
          <w:rFonts w:ascii="Alef" w:hAnsi="Alef" w:cs="Alef"/>
          <w:sz w:val="24"/>
          <w:szCs w:val="24"/>
          <w:rtl/>
        </w:rPr>
        <w:t xml:space="preserve">שישה </w:t>
      </w:r>
      <w:r w:rsidRPr="00BA63B1">
        <w:rPr>
          <w:rFonts w:ascii="Alef" w:hAnsi="Alef" w:cs="Alef"/>
          <w:sz w:val="24"/>
          <w:szCs w:val="24"/>
          <w:rtl/>
        </w:rPr>
        <w:lastRenderedPageBreak/>
        <w:t>צוותים – מזון, תקשורת, תחבורה, אנרגיה</w:t>
      </w:r>
      <w:r w:rsidR="006A4700" w:rsidRPr="00BA63B1">
        <w:rPr>
          <w:rFonts w:ascii="Alef" w:hAnsi="Alef" w:cs="Alef"/>
          <w:sz w:val="24"/>
          <w:szCs w:val="24"/>
          <w:rtl/>
        </w:rPr>
        <w:t>, תשומות בניה</w:t>
      </w:r>
      <w:r w:rsidR="00531212" w:rsidRPr="00BA63B1">
        <w:rPr>
          <w:rFonts w:ascii="Alef" w:hAnsi="Alef" w:cs="Alef"/>
          <w:sz w:val="24"/>
          <w:szCs w:val="24"/>
          <w:rtl/>
        </w:rPr>
        <w:t>,</w:t>
      </w:r>
      <w:r w:rsidR="006A4700" w:rsidRPr="00BA63B1">
        <w:rPr>
          <w:rFonts w:ascii="Alef" w:hAnsi="Alef" w:cs="Alef"/>
          <w:sz w:val="24"/>
          <w:szCs w:val="24"/>
          <w:rtl/>
        </w:rPr>
        <w:t xml:space="preserve"> בריאות וקמעונאות</w:t>
      </w:r>
      <w:r w:rsidRPr="00BA63B1">
        <w:rPr>
          <w:rFonts w:ascii="Alef" w:hAnsi="Alef" w:cs="Alef"/>
          <w:sz w:val="24"/>
          <w:szCs w:val="24"/>
          <w:rtl/>
        </w:rPr>
        <w:t xml:space="preserve"> ופיננסים. כל צוות מתמחה בענף </w:t>
      </w:r>
      <w:r w:rsidR="006A4700" w:rsidRPr="00BA63B1">
        <w:rPr>
          <w:rFonts w:ascii="Alef" w:hAnsi="Alef" w:cs="Alef"/>
          <w:sz w:val="24"/>
          <w:szCs w:val="24"/>
          <w:rtl/>
        </w:rPr>
        <w:t xml:space="preserve">או מספר ענפים </w:t>
      </w:r>
      <w:r w:rsidRPr="00BA63B1">
        <w:rPr>
          <w:rFonts w:ascii="Alef" w:hAnsi="Alef" w:cs="Alef"/>
          <w:sz w:val="24"/>
          <w:szCs w:val="24"/>
          <w:rtl/>
        </w:rPr>
        <w:t>נפרד</w:t>
      </w:r>
      <w:r w:rsidR="006A4700" w:rsidRPr="00BA63B1">
        <w:rPr>
          <w:rFonts w:ascii="Alef" w:hAnsi="Alef" w:cs="Alef"/>
          <w:sz w:val="24"/>
          <w:szCs w:val="24"/>
          <w:rtl/>
        </w:rPr>
        <w:t>ים</w:t>
      </w:r>
      <w:r w:rsidRPr="00BA63B1">
        <w:rPr>
          <w:rFonts w:ascii="Alef" w:hAnsi="Alef" w:cs="Alef"/>
          <w:sz w:val="24"/>
          <w:szCs w:val="24"/>
          <w:rtl/>
        </w:rPr>
        <w:t xml:space="preserve"> ובעל היכרות </w:t>
      </w:r>
      <w:r w:rsidR="00E771A5" w:rsidRPr="00BA63B1">
        <w:rPr>
          <w:rFonts w:ascii="Alef" w:hAnsi="Alef" w:cs="Alef"/>
          <w:sz w:val="24"/>
          <w:szCs w:val="24"/>
          <w:rtl/>
        </w:rPr>
        <w:t>נרחבת</w:t>
      </w:r>
      <w:r w:rsidRPr="00BA63B1">
        <w:rPr>
          <w:rFonts w:ascii="Alef" w:hAnsi="Alef" w:cs="Alef"/>
          <w:sz w:val="24"/>
          <w:szCs w:val="24"/>
          <w:rtl/>
        </w:rPr>
        <w:t xml:space="preserve"> עם </w:t>
      </w:r>
      <w:r w:rsidR="00531212" w:rsidRPr="00BA63B1">
        <w:rPr>
          <w:rFonts w:ascii="Alef" w:hAnsi="Alef" w:cs="Alef"/>
          <w:sz w:val="24"/>
          <w:szCs w:val="24"/>
          <w:rtl/>
        </w:rPr>
        <w:t xml:space="preserve">הענפים </w:t>
      </w:r>
      <w:r w:rsidRPr="00BA63B1">
        <w:rPr>
          <w:rFonts w:ascii="Alef" w:hAnsi="Alef" w:cs="Alef"/>
          <w:sz w:val="24"/>
          <w:szCs w:val="24"/>
          <w:rtl/>
        </w:rPr>
        <w:t>על שלל שחקני</w:t>
      </w:r>
      <w:r w:rsidR="00531212" w:rsidRPr="00BA63B1">
        <w:rPr>
          <w:rFonts w:ascii="Alef" w:hAnsi="Alef" w:cs="Alef"/>
          <w:sz w:val="24"/>
          <w:szCs w:val="24"/>
          <w:rtl/>
        </w:rPr>
        <w:t>הם</w:t>
      </w:r>
      <w:r w:rsidRPr="00BA63B1">
        <w:rPr>
          <w:rFonts w:ascii="Alef" w:hAnsi="Alef" w:cs="Alef"/>
          <w:sz w:val="24"/>
          <w:szCs w:val="24"/>
          <w:rtl/>
        </w:rPr>
        <w:t>. המומחיות הענפית</w:t>
      </w:r>
      <w:r w:rsidR="00531212" w:rsidRPr="00BA63B1">
        <w:rPr>
          <w:rFonts w:ascii="Alef" w:hAnsi="Alef" w:cs="Alef"/>
          <w:sz w:val="24"/>
          <w:szCs w:val="24"/>
          <w:rtl/>
        </w:rPr>
        <w:t>,</w:t>
      </w:r>
      <w:r w:rsidRPr="00BA63B1">
        <w:rPr>
          <w:rFonts w:ascii="Alef" w:hAnsi="Alef" w:cs="Alef"/>
          <w:sz w:val="24"/>
          <w:szCs w:val="24"/>
          <w:rtl/>
        </w:rPr>
        <w:t xml:space="preserve"> הנרכשת בין היתר בזכות אינטראקציות יומיומיות עם השחקנים בענף במגוון פעילויות המחלקה</w:t>
      </w:r>
      <w:r w:rsidR="00531212" w:rsidRPr="00BA63B1">
        <w:rPr>
          <w:rFonts w:ascii="Alef" w:hAnsi="Alef" w:cs="Alef"/>
          <w:sz w:val="24"/>
          <w:szCs w:val="24"/>
          <w:rtl/>
        </w:rPr>
        <w:t>,</w:t>
      </w:r>
      <w:r w:rsidRPr="00BA63B1">
        <w:rPr>
          <w:rFonts w:ascii="Alef" w:hAnsi="Alef" w:cs="Alef"/>
          <w:sz w:val="24"/>
          <w:szCs w:val="24"/>
          <w:rtl/>
        </w:rPr>
        <w:t xml:space="preserve"> תורמת לשיפור יכולת הפיקוח.</w:t>
      </w:r>
      <w:r w:rsidR="00C2695E" w:rsidRPr="00BA63B1">
        <w:rPr>
          <w:rFonts w:ascii="Alef" w:hAnsi="Alef" w:cs="Alef"/>
          <w:sz w:val="24"/>
          <w:szCs w:val="24"/>
          <w:rtl/>
        </w:rPr>
        <w:t xml:space="preserve"> נציין, כי במחלקה יש גורם שמופקד על מתן מענה לשאלות הנוגעות להסדרים כובלים ולפטורי הסוג, שנותן מענה לספקות שעולים מבעלי עניין ביחס אליהם.</w:t>
      </w:r>
      <w:r w:rsidR="00B167F4">
        <w:rPr>
          <w:rStyle w:val="FootnoteReference"/>
          <w:rFonts w:ascii="Alef" w:hAnsi="Alef" w:cs="Alef"/>
          <w:sz w:val="24"/>
          <w:szCs w:val="24"/>
          <w:rtl/>
        </w:rPr>
        <w:footnoteReference w:id="18"/>
      </w:r>
      <w:r w:rsidRPr="00BA63B1">
        <w:rPr>
          <w:rFonts w:ascii="Alef" w:hAnsi="Alef" w:cs="Alef"/>
          <w:sz w:val="24"/>
          <w:szCs w:val="24"/>
          <w:rtl/>
        </w:rPr>
        <w:t xml:space="preserve"> </w:t>
      </w:r>
    </w:p>
    <w:p w14:paraId="40FF18DE" w14:textId="450EB426" w:rsidR="00EB5588" w:rsidRPr="00BA63B1" w:rsidRDefault="00EB5588" w:rsidP="00EB5588">
      <w:pPr>
        <w:jc w:val="both"/>
        <w:rPr>
          <w:rFonts w:ascii="Alef" w:hAnsi="Alef" w:cs="Alef"/>
          <w:sz w:val="24"/>
          <w:szCs w:val="24"/>
          <w:rtl/>
        </w:rPr>
      </w:pPr>
      <w:r w:rsidRPr="00BA63B1">
        <w:rPr>
          <w:rFonts w:ascii="Alef" w:hAnsi="Alef" w:cs="Alef"/>
          <w:sz w:val="24"/>
          <w:szCs w:val="24"/>
          <w:rtl/>
        </w:rPr>
        <w:t>יכולות האכיפה בדיעבד שודרגו משמעותית עם העלאת רף העיצומים הכספיים לעיצום מקסימאלי של 100,000,000 ₪</w:t>
      </w:r>
      <w:r w:rsidR="00AB0FBD" w:rsidRPr="00BA63B1">
        <w:rPr>
          <w:rFonts w:ascii="Alef" w:hAnsi="Alef" w:cs="Alef"/>
          <w:sz w:val="24"/>
          <w:szCs w:val="24"/>
          <w:rtl/>
        </w:rPr>
        <w:t xml:space="preserve"> לתאגיד ו-1,000,000 ₪ ליחיד</w:t>
      </w:r>
      <w:r w:rsidRPr="00BA63B1">
        <w:rPr>
          <w:rFonts w:ascii="Alef" w:hAnsi="Alef" w:cs="Alef"/>
          <w:sz w:val="24"/>
          <w:szCs w:val="24"/>
          <w:rtl/>
        </w:rPr>
        <w:t xml:space="preserve"> והפיכת עבירת ההסדר כובל, גם בלא נסיבות מחמירות, לעבירת פשע. הלכת בית המשפט העליון בפרשת קרטל הגיזום</w:t>
      </w:r>
      <w:r w:rsidR="00E771A5" w:rsidRPr="00BA63B1">
        <w:rPr>
          <w:rStyle w:val="FootnoteReference"/>
          <w:rFonts w:ascii="Alef" w:hAnsi="Alef" w:cs="Alef"/>
          <w:sz w:val="24"/>
          <w:szCs w:val="24"/>
          <w:rtl/>
        </w:rPr>
        <w:footnoteReference w:id="19"/>
      </w:r>
      <w:r w:rsidRPr="00BA63B1">
        <w:rPr>
          <w:rFonts w:ascii="Alef" w:hAnsi="Alef" w:cs="Alef"/>
          <w:sz w:val="24"/>
          <w:szCs w:val="24"/>
          <w:rtl/>
        </w:rPr>
        <w:t xml:space="preserve"> תרמה אף היא </w:t>
      </w:r>
      <w:r w:rsidRPr="00BA63B1">
        <w:rPr>
          <w:rFonts w:ascii="Alef" w:hAnsi="Alef" w:cs="Alef"/>
          <w:sz w:val="24"/>
          <w:szCs w:val="24"/>
          <w:rtl/>
        </w:rPr>
        <w:lastRenderedPageBreak/>
        <w:t>להגברת ההרתעה. בהתאם להלכת קרטל הגיזום ניתן לחלט מעבריינים שתיאמו מכרזים ויצרו מראית עין של תחרות את מלוא כספי המכרז שהתקבלו בלא התחשבות בטענות בדבר 'לגיטימיות' העבודה שבוצעה.</w:t>
      </w:r>
      <w:r w:rsidRPr="00BA63B1">
        <w:rPr>
          <w:rStyle w:val="FootnoteReference"/>
          <w:rFonts w:ascii="Alef" w:hAnsi="Alef" w:cs="Alef"/>
          <w:sz w:val="24"/>
          <w:szCs w:val="24"/>
          <w:rtl/>
        </w:rPr>
        <w:footnoteReference w:id="20"/>
      </w:r>
      <w:r w:rsidRPr="00BA63B1">
        <w:rPr>
          <w:rFonts w:ascii="Alef" w:hAnsi="Alef" w:cs="Alef"/>
          <w:sz w:val="24"/>
          <w:szCs w:val="24"/>
          <w:rtl/>
        </w:rPr>
        <w:t xml:space="preserve">  </w:t>
      </w:r>
    </w:p>
    <w:p w14:paraId="7F9268A7" w14:textId="09886BB7" w:rsidR="00C855EC" w:rsidRPr="00BA63B1" w:rsidRDefault="00C855EC" w:rsidP="00505206">
      <w:pPr>
        <w:jc w:val="both"/>
        <w:rPr>
          <w:rFonts w:ascii="Alef" w:hAnsi="Alef" w:cs="Alef"/>
          <w:sz w:val="24"/>
          <w:szCs w:val="24"/>
          <w:rtl/>
        </w:rPr>
      </w:pPr>
      <w:r w:rsidRPr="00BA63B1">
        <w:rPr>
          <w:rFonts w:ascii="Alef" w:hAnsi="Alef" w:cs="Alef"/>
          <w:sz w:val="24"/>
          <w:szCs w:val="24"/>
          <w:rtl/>
        </w:rPr>
        <w:t>זאת ועוד, סעיף 15א(ז) לחוק מאפשר לממונה לקבוע כי פטור המוענק בכללי פטור הסוג לא יחול על הסדר כובל מסוים. סמכות זו משמשת ככלי נוסף להפגת חשש מפני הסדרים פוגעניים שאיננה כרוכה בהעלאת הנטל הרגולטורי על הציבור הרחב. אכן, בנובמבר 2019 השתמשה הממונה בסמכות זו והודיעה למספר תאגידים במשק שעליהם להביא הסכמים שלהם לבחינה פרטנית של רשות התחרות.</w:t>
      </w:r>
      <w:r w:rsidRPr="00BA63B1">
        <w:rPr>
          <w:rStyle w:val="FootnoteReference"/>
          <w:rFonts w:ascii="Alef" w:hAnsi="Alef" w:cs="Alef"/>
          <w:sz w:val="24"/>
          <w:szCs w:val="24"/>
          <w:rtl/>
        </w:rPr>
        <w:footnoteReference w:id="21"/>
      </w:r>
    </w:p>
    <w:p w14:paraId="4B53C82C" w14:textId="4D861BE5" w:rsidR="009A2163" w:rsidRPr="00BA63B1" w:rsidRDefault="009A2163" w:rsidP="00B676B4">
      <w:pPr>
        <w:jc w:val="both"/>
        <w:rPr>
          <w:rFonts w:ascii="Alef" w:hAnsi="Alef" w:cs="Alef"/>
          <w:sz w:val="24"/>
          <w:szCs w:val="24"/>
          <w:rtl/>
        </w:rPr>
      </w:pPr>
      <w:r w:rsidRPr="00BA63B1">
        <w:rPr>
          <w:rFonts w:ascii="Alef" w:hAnsi="Alef" w:cs="Alef"/>
          <w:sz w:val="24"/>
          <w:szCs w:val="24"/>
          <w:rtl/>
        </w:rPr>
        <w:t xml:space="preserve">הסטת המבט לעבר אירופה מלמדת כי </w:t>
      </w:r>
      <w:r w:rsidR="00B676B4" w:rsidRPr="00BA63B1">
        <w:rPr>
          <w:rFonts w:ascii="Alef" w:hAnsi="Alef" w:cs="Alef"/>
          <w:sz w:val="24"/>
          <w:szCs w:val="24"/>
          <w:rtl/>
        </w:rPr>
        <w:t>גם שם משטר</w:t>
      </w:r>
      <w:r w:rsidRPr="00BA63B1">
        <w:rPr>
          <w:rFonts w:ascii="Alef" w:hAnsi="Alef" w:cs="Alef"/>
          <w:sz w:val="24"/>
          <w:szCs w:val="24"/>
          <w:rtl/>
        </w:rPr>
        <w:t xml:space="preserve"> פטורי הסוג</w:t>
      </w:r>
      <w:r w:rsidR="00B676B4" w:rsidRPr="00BA63B1">
        <w:rPr>
          <w:rFonts w:ascii="Alef" w:hAnsi="Alef" w:cs="Alef"/>
          <w:sz w:val="24"/>
          <w:szCs w:val="24"/>
          <w:rtl/>
        </w:rPr>
        <w:t xml:space="preserve"> ממשיך</w:t>
      </w:r>
      <w:r w:rsidRPr="00BA63B1">
        <w:rPr>
          <w:rFonts w:ascii="Alef" w:hAnsi="Alef" w:cs="Alef"/>
          <w:sz w:val="24"/>
          <w:szCs w:val="24"/>
          <w:rtl/>
        </w:rPr>
        <w:t xml:space="preserve">. </w:t>
      </w:r>
    </w:p>
    <w:p w14:paraId="599511DA" w14:textId="3A8EED91" w:rsidR="00EB5588" w:rsidRPr="00BA63B1" w:rsidRDefault="00EB5588" w:rsidP="00C05B42">
      <w:pPr>
        <w:jc w:val="both"/>
        <w:rPr>
          <w:rFonts w:ascii="Alef" w:hAnsi="Alef" w:cs="Alef"/>
          <w:sz w:val="24"/>
          <w:szCs w:val="24"/>
          <w:rtl/>
        </w:rPr>
      </w:pPr>
      <w:r w:rsidRPr="00BA63B1">
        <w:rPr>
          <w:rFonts w:ascii="Alef" w:hAnsi="Alef" w:cs="Alef"/>
          <w:sz w:val="24"/>
          <w:szCs w:val="24"/>
          <w:rtl/>
        </w:rPr>
        <w:lastRenderedPageBreak/>
        <w:t xml:space="preserve">פטורי הסוג האירופאים </w:t>
      </w:r>
      <w:r w:rsidR="007A551F" w:rsidRPr="00BA63B1">
        <w:rPr>
          <w:rStyle w:val="FootnoteReference"/>
          <w:rFonts w:ascii="Alef" w:hAnsi="Alef" w:cs="Alef"/>
          <w:sz w:val="24"/>
          <w:szCs w:val="24"/>
        </w:rPr>
        <w:footnoteReference w:id="22"/>
      </w:r>
      <w:r w:rsidRPr="00BA63B1">
        <w:rPr>
          <w:rFonts w:ascii="Alef" w:hAnsi="Alef" w:cs="Alef"/>
          <w:sz w:val="24"/>
          <w:szCs w:val="24"/>
        </w:rPr>
        <w:t>VBER</w:t>
      </w:r>
      <w:r w:rsidR="007A551F" w:rsidRPr="00BA63B1">
        <w:rPr>
          <w:rFonts w:ascii="Alef" w:hAnsi="Alef" w:cs="Alef"/>
          <w:sz w:val="24"/>
          <w:szCs w:val="24"/>
          <w:rtl/>
        </w:rPr>
        <w:t xml:space="preserve"> (פטור הסוג להסדרים אנכיים)</w:t>
      </w:r>
      <w:r w:rsidRPr="00BA63B1">
        <w:rPr>
          <w:rFonts w:ascii="Alef" w:hAnsi="Alef" w:cs="Alef"/>
          <w:sz w:val="24"/>
          <w:szCs w:val="24"/>
          <w:rtl/>
        </w:rPr>
        <w:t xml:space="preserve"> ו-</w:t>
      </w:r>
      <w:r w:rsidRPr="00BA63B1">
        <w:rPr>
          <w:rFonts w:ascii="Alef" w:hAnsi="Alef" w:cs="Alef"/>
          <w:sz w:val="24"/>
          <w:szCs w:val="24"/>
        </w:rPr>
        <w:t>HBERs</w:t>
      </w:r>
      <w:r w:rsidR="00910529" w:rsidRPr="00BA63B1">
        <w:rPr>
          <w:rStyle w:val="FootnoteReference"/>
          <w:rFonts w:ascii="Alef" w:hAnsi="Alef" w:cs="Alef"/>
          <w:sz w:val="24"/>
          <w:szCs w:val="24"/>
          <w:rtl/>
        </w:rPr>
        <w:footnoteReference w:id="23"/>
      </w:r>
      <w:r w:rsidRPr="00BA63B1">
        <w:rPr>
          <w:rFonts w:ascii="Alef" w:hAnsi="Alef" w:cs="Alef"/>
          <w:sz w:val="24"/>
          <w:szCs w:val="24"/>
          <w:rtl/>
        </w:rPr>
        <w:t xml:space="preserve"> </w:t>
      </w:r>
      <w:r w:rsidR="00910529" w:rsidRPr="00BA63B1">
        <w:rPr>
          <w:rFonts w:ascii="Alef" w:hAnsi="Alef" w:cs="Alef"/>
          <w:sz w:val="24"/>
          <w:szCs w:val="24"/>
          <w:rtl/>
        </w:rPr>
        <w:t>(</w:t>
      </w:r>
      <w:r w:rsidR="00FD7289" w:rsidRPr="00BA63B1">
        <w:rPr>
          <w:rFonts w:ascii="Alef" w:hAnsi="Alef" w:cs="Alef"/>
          <w:sz w:val="24"/>
          <w:szCs w:val="24"/>
          <w:rtl/>
        </w:rPr>
        <w:t xml:space="preserve">המורכבים משני פטורי סוג </w:t>
      </w:r>
      <w:r w:rsidR="00FD7289" w:rsidRPr="00BA63B1">
        <w:rPr>
          <w:rFonts w:ascii="Alef" w:hAnsi="Alef" w:cs="Alef"/>
          <w:color w:val="000000"/>
          <w:sz w:val="19"/>
          <w:szCs w:val="19"/>
          <w:shd w:val="clear" w:color="auto" w:fill="FFFFFF"/>
        </w:rPr>
        <w:t xml:space="preserve"> </w:t>
      </w:r>
      <w:r w:rsidR="00FD7289" w:rsidRPr="00BA63B1">
        <w:rPr>
          <w:rStyle w:val="FootnoteReference"/>
          <w:rFonts w:ascii="Alef" w:hAnsi="Alef" w:cs="Alef"/>
          <w:color w:val="000000"/>
          <w:sz w:val="19"/>
          <w:szCs w:val="19"/>
          <w:shd w:val="clear" w:color="auto" w:fill="FFFFFF"/>
        </w:rPr>
        <w:footnoteReference w:id="24"/>
      </w:r>
      <w:r w:rsidR="00910529" w:rsidRPr="00BA63B1">
        <w:rPr>
          <w:rFonts w:ascii="Alef" w:hAnsi="Alef" w:cs="Alef"/>
          <w:color w:val="000000"/>
          <w:sz w:val="19"/>
          <w:szCs w:val="19"/>
          <w:shd w:val="clear" w:color="auto" w:fill="FFFFFF"/>
        </w:rPr>
        <w:t xml:space="preserve">Research &amp; Development </w:t>
      </w:r>
      <w:r w:rsidR="00910529" w:rsidRPr="00BA63B1">
        <w:rPr>
          <w:rFonts w:ascii="Alef" w:hAnsi="Alef" w:cs="Alef"/>
          <w:sz w:val="24"/>
          <w:szCs w:val="24"/>
          <w:rtl/>
        </w:rPr>
        <w:t xml:space="preserve">וכן </w:t>
      </w:r>
      <w:proofErr w:type="spellStart"/>
      <w:r w:rsidR="007B69E1" w:rsidRPr="00BA63B1">
        <w:rPr>
          <w:rFonts w:ascii="Alef" w:hAnsi="Alef" w:cs="Alef"/>
          <w:color w:val="000000"/>
          <w:sz w:val="19"/>
          <w:szCs w:val="19"/>
          <w:shd w:val="clear" w:color="auto" w:fill="FFFFFF"/>
        </w:rPr>
        <w:t>Specialisation</w:t>
      </w:r>
      <w:proofErr w:type="spellEnd"/>
      <w:r w:rsidR="00FD7289" w:rsidRPr="00BA63B1">
        <w:rPr>
          <w:rStyle w:val="FootnoteReference"/>
          <w:rFonts w:ascii="Alef" w:hAnsi="Alef" w:cs="Alef"/>
          <w:sz w:val="24"/>
          <w:szCs w:val="24"/>
          <w:rtl/>
        </w:rPr>
        <w:footnoteReference w:id="25"/>
      </w:r>
      <w:r w:rsidR="00910529" w:rsidRPr="00BA63B1">
        <w:rPr>
          <w:rFonts w:ascii="Alef" w:hAnsi="Alef" w:cs="Alef"/>
          <w:sz w:val="24"/>
          <w:szCs w:val="24"/>
          <w:rtl/>
        </w:rPr>
        <w:t xml:space="preserve">) </w:t>
      </w:r>
      <w:r w:rsidRPr="00BA63B1">
        <w:rPr>
          <w:rFonts w:ascii="Alef" w:hAnsi="Alef" w:cs="Alef"/>
          <w:sz w:val="24"/>
          <w:szCs w:val="24"/>
          <w:rtl/>
        </w:rPr>
        <w:t>עתידים לפקוע בשנת 2022</w:t>
      </w:r>
      <w:r w:rsidR="00872F91" w:rsidRPr="00BA63B1">
        <w:rPr>
          <w:rFonts w:ascii="Alef" w:hAnsi="Alef" w:cs="Alef"/>
          <w:sz w:val="24"/>
          <w:szCs w:val="24"/>
          <w:rtl/>
        </w:rPr>
        <w:t>.</w:t>
      </w:r>
      <w:r w:rsidR="00C77733" w:rsidRPr="00BA63B1">
        <w:rPr>
          <w:rFonts w:ascii="Alef" w:hAnsi="Alef" w:cs="Alef"/>
          <w:sz w:val="24"/>
          <w:szCs w:val="24"/>
          <w:rtl/>
        </w:rPr>
        <w:t xml:space="preserve"> </w:t>
      </w:r>
      <w:r w:rsidRPr="00BA63B1">
        <w:rPr>
          <w:rFonts w:ascii="Alef" w:hAnsi="Alef" w:cs="Alef"/>
          <w:sz w:val="24"/>
          <w:szCs w:val="24"/>
          <w:rtl/>
        </w:rPr>
        <w:t xml:space="preserve">נציבות התחרות האירופית </w:t>
      </w:r>
      <w:r w:rsidR="009A2163" w:rsidRPr="00BA63B1">
        <w:rPr>
          <w:rFonts w:ascii="Alef" w:hAnsi="Alef" w:cs="Alef"/>
          <w:sz w:val="24"/>
          <w:szCs w:val="24"/>
          <w:rtl/>
        </w:rPr>
        <w:t xml:space="preserve">מצויה בעיצומו של </w:t>
      </w:r>
      <w:r w:rsidRPr="00BA63B1">
        <w:rPr>
          <w:rFonts w:ascii="Alef" w:hAnsi="Alef" w:cs="Alef"/>
          <w:sz w:val="24"/>
          <w:szCs w:val="24"/>
          <w:rtl/>
        </w:rPr>
        <w:t>ה</w:t>
      </w:r>
      <w:r w:rsidR="00872F91" w:rsidRPr="00BA63B1">
        <w:rPr>
          <w:rFonts w:ascii="Alef" w:hAnsi="Alef" w:cs="Alef"/>
          <w:sz w:val="24"/>
          <w:szCs w:val="24"/>
          <w:rtl/>
        </w:rPr>
        <w:t>ליך היוועצות ציבורי לצורך בחינת פטורי הסוג האירופאים</w:t>
      </w:r>
      <w:r w:rsidRPr="00BA63B1">
        <w:rPr>
          <w:rFonts w:ascii="Alef" w:hAnsi="Alef" w:cs="Alef"/>
          <w:sz w:val="24"/>
          <w:szCs w:val="24"/>
          <w:rtl/>
        </w:rPr>
        <w:t xml:space="preserve"> </w:t>
      </w:r>
      <w:r w:rsidRPr="00BA63B1">
        <w:rPr>
          <w:rFonts w:ascii="Alef" w:hAnsi="Alef" w:cs="Alef"/>
          <w:sz w:val="24"/>
          <w:szCs w:val="24"/>
          <w:rtl/>
        </w:rPr>
        <w:lastRenderedPageBreak/>
        <w:t>וההנחיות הנלוות להן</w:t>
      </w:r>
      <w:r w:rsidR="00872F91" w:rsidRPr="00BA63B1">
        <w:rPr>
          <w:rFonts w:ascii="Alef" w:hAnsi="Alef" w:cs="Alef"/>
          <w:sz w:val="24"/>
          <w:szCs w:val="24"/>
          <w:rtl/>
        </w:rPr>
        <w:t xml:space="preserve"> וזאת לקראתם פקיעתם הצפויה</w:t>
      </w:r>
      <w:r w:rsidRPr="00BA63B1">
        <w:rPr>
          <w:rFonts w:ascii="Alef" w:hAnsi="Alef" w:cs="Alef"/>
          <w:sz w:val="24"/>
          <w:szCs w:val="24"/>
          <w:rtl/>
        </w:rPr>
        <w:t>. ממצאי ההליך הציבורי עולה כי גם באירופה הציבור רואה בפטורי הסוג וההנחיות כ</w:t>
      </w:r>
      <w:r w:rsidR="009A4444" w:rsidRPr="00BA63B1">
        <w:rPr>
          <w:rFonts w:ascii="Alef" w:hAnsi="Alef" w:cs="Alef"/>
          <w:sz w:val="24"/>
          <w:szCs w:val="24"/>
          <w:rtl/>
        </w:rPr>
        <w:t>כ</w:t>
      </w:r>
      <w:r w:rsidRPr="00BA63B1">
        <w:rPr>
          <w:rFonts w:ascii="Alef" w:hAnsi="Alef" w:cs="Alef"/>
          <w:sz w:val="24"/>
          <w:szCs w:val="24"/>
          <w:rtl/>
        </w:rPr>
        <w:t>לי אפקטיבי.</w:t>
      </w:r>
      <w:r w:rsidRPr="00BA63B1">
        <w:rPr>
          <w:rStyle w:val="FootnoteReference"/>
          <w:rFonts w:ascii="Alef" w:hAnsi="Alef" w:cs="Alef"/>
          <w:sz w:val="24"/>
          <w:szCs w:val="24"/>
          <w:rtl/>
        </w:rPr>
        <w:footnoteReference w:id="26"/>
      </w:r>
      <w:r w:rsidRPr="00BA63B1">
        <w:rPr>
          <w:rFonts w:ascii="Alef" w:hAnsi="Alef" w:cs="Alef"/>
          <w:sz w:val="24"/>
          <w:szCs w:val="24"/>
          <w:rtl/>
        </w:rPr>
        <w:t xml:space="preserve"> </w:t>
      </w:r>
    </w:p>
    <w:p w14:paraId="5E297655" w14:textId="77777777" w:rsidR="00C77733" w:rsidRPr="00BA63B1" w:rsidRDefault="00EB5588" w:rsidP="00EB5588">
      <w:pPr>
        <w:jc w:val="both"/>
        <w:rPr>
          <w:rFonts w:ascii="Alef" w:hAnsi="Alef" w:cs="Alef"/>
          <w:sz w:val="24"/>
          <w:szCs w:val="24"/>
          <w:rtl/>
        </w:rPr>
      </w:pPr>
      <w:r w:rsidRPr="00BA63B1">
        <w:rPr>
          <w:rFonts w:ascii="Alef" w:hAnsi="Alef" w:cs="Alef"/>
          <w:sz w:val="24"/>
          <w:szCs w:val="24"/>
          <w:rtl/>
        </w:rPr>
        <w:lastRenderedPageBreak/>
        <w:t xml:space="preserve">כמובהר לעיל, הרחבת השימוש בהערכה עצמית נעשתה כחלק מהרפורמה שתכליתה מיקוד האיסורים שבדין בפעולות עסקיות המקימות חשש לפגיעה משמעותית בתחרות תוך הסרת נטל רגולטורי מיותר. </w:t>
      </w:r>
    </w:p>
    <w:p w14:paraId="7E581869" w14:textId="65B94194" w:rsidR="00935E10" w:rsidRPr="00BA63B1" w:rsidRDefault="00EB5588" w:rsidP="00F61E78">
      <w:pPr>
        <w:jc w:val="both"/>
        <w:rPr>
          <w:rFonts w:ascii="Alef" w:hAnsi="Alef" w:cs="Alef"/>
          <w:sz w:val="24"/>
          <w:szCs w:val="24"/>
          <w:rtl/>
        </w:rPr>
      </w:pPr>
      <w:r w:rsidRPr="00BA63B1">
        <w:rPr>
          <w:rFonts w:ascii="Alef" w:hAnsi="Alef" w:cs="Alef"/>
          <w:sz w:val="24"/>
          <w:szCs w:val="24"/>
          <w:rtl/>
        </w:rPr>
        <w:t>הערות הציבור שהתקבלו ביחס ל</w:t>
      </w:r>
      <w:r w:rsidR="00F61E78" w:rsidRPr="00BA63B1">
        <w:rPr>
          <w:rFonts w:ascii="Alef" w:hAnsi="Alef" w:cs="Alef"/>
          <w:sz w:val="24"/>
          <w:szCs w:val="24"/>
          <w:rtl/>
        </w:rPr>
        <w:t>רפורמה</w:t>
      </w:r>
      <w:r w:rsidRPr="00BA63B1">
        <w:rPr>
          <w:rFonts w:ascii="Alef" w:hAnsi="Alef" w:cs="Alef"/>
          <w:sz w:val="24"/>
          <w:szCs w:val="24"/>
          <w:rtl/>
        </w:rPr>
        <w:t xml:space="preserve"> לימדו ככלל על תמיכה ורוח גב</w:t>
      </w:r>
      <w:r w:rsidR="00F61E78" w:rsidRPr="00BA63B1">
        <w:rPr>
          <w:rFonts w:ascii="Alef" w:hAnsi="Alef" w:cs="Alef"/>
          <w:sz w:val="24"/>
          <w:szCs w:val="24"/>
          <w:rtl/>
        </w:rPr>
        <w:t>ית למהלך הרחבת השימוש במנגנון ההערכה העצמית</w:t>
      </w:r>
      <w:r w:rsidR="00935E10" w:rsidRPr="00BA63B1">
        <w:rPr>
          <w:rFonts w:ascii="Alef" w:hAnsi="Alef" w:cs="Alef"/>
          <w:sz w:val="24"/>
          <w:szCs w:val="24"/>
          <w:rtl/>
        </w:rPr>
        <w:t xml:space="preserve"> ויש שאף הציעו להרחיבו.</w:t>
      </w:r>
      <w:r w:rsidR="00935E10" w:rsidRPr="00BA63B1">
        <w:rPr>
          <w:rStyle w:val="FootnoteReference"/>
          <w:rFonts w:ascii="Alef" w:hAnsi="Alef" w:cs="Alef"/>
          <w:sz w:val="24"/>
          <w:szCs w:val="24"/>
          <w:rtl/>
        </w:rPr>
        <w:footnoteReference w:id="27"/>
      </w:r>
    </w:p>
    <w:p w14:paraId="11155664" w14:textId="569FDC8A" w:rsidR="00F61E78" w:rsidRPr="00BA63B1" w:rsidRDefault="00F61E78" w:rsidP="00D95F4B">
      <w:pPr>
        <w:jc w:val="both"/>
        <w:rPr>
          <w:rFonts w:ascii="Alef" w:hAnsi="Alef" w:cs="Alef"/>
          <w:sz w:val="24"/>
          <w:szCs w:val="24"/>
          <w:rtl/>
        </w:rPr>
      </w:pPr>
      <w:r w:rsidRPr="00BA63B1">
        <w:rPr>
          <w:rFonts w:ascii="Alef" w:hAnsi="Alef" w:cs="Alef"/>
          <w:sz w:val="24"/>
          <w:szCs w:val="24"/>
          <w:rtl/>
        </w:rPr>
        <w:lastRenderedPageBreak/>
        <w:t>השיח המתמשך והרציף בין השוק הפרטי לבין הרשות בא לידי ביטוי גם בנכונות הרשות להביא להקלה, היכן שניתן, של הנטל הרגולטורי והביורוקרטי. הרשות התקינה פטורי סוג נוספים וזאת מתוך דיאלוג וקשב לצורכי השוק הפרטי. כך למשל, פטור סוג למיזמים משותפים לשם שיווק ואספקה בחוץ לארץ של ציוד ביטחוני</w:t>
      </w:r>
      <w:r w:rsidRPr="00BA63B1">
        <w:rPr>
          <w:rStyle w:val="FootnoteReference"/>
          <w:rFonts w:ascii="Alef" w:hAnsi="Alef" w:cs="Alef"/>
          <w:sz w:val="24"/>
          <w:szCs w:val="24"/>
          <w:rtl/>
        </w:rPr>
        <w:footnoteReference w:id="28"/>
      </w:r>
      <w:r w:rsidRPr="00BA63B1">
        <w:rPr>
          <w:rFonts w:ascii="Alef" w:hAnsi="Alef" w:cs="Alef"/>
          <w:sz w:val="24"/>
          <w:szCs w:val="24"/>
          <w:rtl/>
        </w:rPr>
        <w:t xml:space="preserve"> בא על רקע עבודה משותפת עם משרד הביטחון וצרכיו הייחודיים.</w:t>
      </w:r>
      <w:r w:rsidRPr="00BA63B1">
        <w:rPr>
          <w:rStyle w:val="FootnoteReference"/>
          <w:rFonts w:ascii="Alef" w:hAnsi="Alef" w:cs="Alef"/>
          <w:sz w:val="24"/>
          <w:szCs w:val="24"/>
          <w:rtl/>
        </w:rPr>
        <w:footnoteReference w:id="29"/>
      </w:r>
      <w:r w:rsidR="00D95F4B" w:rsidRPr="00BA63B1">
        <w:rPr>
          <w:rFonts w:ascii="Alef" w:hAnsi="Alef" w:cs="Alef"/>
          <w:sz w:val="24"/>
          <w:szCs w:val="24"/>
          <w:rtl/>
        </w:rPr>
        <w:t xml:space="preserve"> דוגמאות נוספות להסדרים שנובעים מקשר עם בעלי העניין הם פטור הסוג </w:t>
      </w:r>
      <w:r w:rsidR="00D95F4B" w:rsidRPr="00BA63B1">
        <w:rPr>
          <w:rFonts w:ascii="Alef" w:hAnsi="Alef" w:cs="Alef"/>
          <w:sz w:val="24"/>
          <w:szCs w:val="24"/>
          <w:rtl/>
        </w:rPr>
        <w:lastRenderedPageBreak/>
        <w:t>להסדרי הלוואות משותפות</w:t>
      </w:r>
      <w:r w:rsidR="00461D2E" w:rsidRPr="00BA63B1">
        <w:rPr>
          <w:rStyle w:val="FootnoteReference"/>
          <w:rFonts w:ascii="Alef" w:hAnsi="Alef" w:cs="Alef"/>
          <w:sz w:val="24"/>
          <w:szCs w:val="24"/>
          <w:rtl/>
        </w:rPr>
        <w:footnoteReference w:id="30"/>
      </w:r>
      <w:r w:rsidR="00D95F4B" w:rsidRPr="00BA63B1">
        <w:rPr>
          <w:rFonts w:ascii="Alef" w:hAnsi="Alef" w:cs="Alef"/>
          <w:sz w:val="24"/>
          <w:szCs w:val="24"/>
          <w:rtl/>
        </w:rPr>
        <w:t xml:space="preserve"> וגילוי הדעת בנוגע לשיתופי מידע במטרה להתמודד עם איומי סייבר.</w:t>
      </w:r>
      <w:r w:rsidR="00D95F4B" w:rsidRPr="00BA63B1">
        <w:rPr>
          <w:rStyle w:val="FootnoteReference"/>
          <w:rFonts w:ascii="Alef" w:hAnsi="Alef" w:cs="Alef"/>
          <w:sz w:val="24"/>
          <w:szCs w:val="24"/>
          <w:rtl/>
        </w:rPr>
        <w:footnoteReference w:id="31"/>
      </w:r>
      <w:r w:rsidRPr="00BA63B1">
        <w:rPr>
          <w:rFonts w:ascii="Alef" w:hAnsi="Alef" w:cs="Alef"/>
          <w:sz w:val="24"/>
          <w:szCs w:val="24"/>
          <w:rtl/>
        </w:rPr>
        <w:t xml:space="preserve"> </w:t>
      </w:r>
    </w:p>
    <w:p w14:paraId="52314F4F"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מן האמור לעיל עולה כי ישנם טעמים חזקים התומכים בהמשך החלת מנגנון פטורי הסוג. </w:t>
      </w:r>
    </w:p>
    <w:p w14:paraId="63D68E74" w14:textId="2CE8EF3E" w:rsidR="00BB6C2A" w:rsidRPr="00BA63B1" w:rsidRDefault="00C61811" w:rsidP="00813883">
      <w:pPr>
        <w:pStyle w:val="Heading1"/>
        <w:rPr>
          <w:rFonts w:ascii="Alef" w:hAnsi="Alef" w:cs="Alef"/>
          <w:rtl/>
        </w:rPr>
      </w:pPr>
      <w:r w:rsidRPr="00BA63B1">
        <w:rPr>
          <w:rFonts w:ascii="Alef" w:hAnsi="Alef" w:cs="Alef"/>
          <w:b/>
          <w:bCs/>
          <w:color w:val="auto"/>
          <w:sz w:val="28"/>
          <w:szCs w:val="28"/>
          <w:rtl/>
        </w:rPr>
        <w:t>היתרון בחידוש פטורי הסוג ביחס לאי חידושם</w:t>
      </w:r>
    </w:p>
    <w:p w14:paraId="7CB3E8C7" w14:textId="53E8FE58" w:rsidR="00EB5588" w:rsidRPr="00BA63B1" w:rsidRDefault="00EB5588" w:rsidP="00461D2E">
      <w:pPr>
        <w:jc w:val="both"/>
        <w:rPr>
          <w:rFonts w:ascii="Alef" w:hAnsi="Alef" w:cs="Alef"/>
          <w:sz w:val="24"/>
          <w:szCs w:val="24"/>
          <w:rtl/>
        </w:rPr>
      </w:pPr>
      <w:r w:rsidRPr="00BA63B1">
        <w:rPr>
          <w:rFonts w:ascii="Alef" w:hAnsi="Alef" w:cs="Alef"/>
          <w:sz w:val="24"/>
          <w:szCs w:val="24"/>
          <w:rtl/>
        </w:rPr>
        <w:t>ביטול פטורי הסוג</w:t>
      </w:r>
      <w:r w:rsidR="00EE2A3A" w:rsidRPr="00BA63B1">
        <w:rPr>
          <w:rFonts w:ascii="Alef" w:hAnsi="Alef" w:cs="Alef"/>
          <w:sz w:val="24"/>
          <w:szCs w:val="24"/>
          <w:rtl/>
        </w:rPr>
        <w:t xml:space="preserve"> (אי חידוש</w:t>
      </w:r>
      <w:r w:rsidR="00814DA3" w:rsidRPr="00BA63B1">
        <w:rPr>
          <w:rFonts w:ascii="Alef" w:hAnsi="Alef" w:cs="Alef"/>
          <w:sz w:val="24"/>
          <w:szCs w:val="24"/>
          <w:rtl/>
        </w:rPr>
        <w:t>ם</w:t>
      </w:r>
      <w:r w:rsidR="00EE2A3A" w:rsidRPr="00BA63B1">
        <w:rPr>
          <w:rFonts w:ascii="Alef" w:hAnsi="Alef" w:cs="Alef"/>
          <w:sz w:val="24"/>
          <w:szCs w:val="24"/>
          <w:rtl/>
        </w:rPr>
        <w:t>)</w:t>
      </w:r>
      <w:r w:rsidRPr="00BA63B1">
        <w:rPr>
          <w:rFonts w:ascii="Alef" w:hAnsi="Alef" w:cs="Alef"/>
          <w:sz w:val="24"/>
          <w:szCs w:val="24"/>
          <w:rtl/>
        </w:rPr>
        <w:t xml:space="preserve"> וחזרה לאסדרה של היתר מראש בלבד</w:t>
      </w:r>
      <w:r w:rsidR="00EE2A3A" w:rsidRPr="00BA63B1">
        <w:rPr>
          <w:rFonts w:ascii="Alef" w:hAnsi="Alef" w:cs="Alef"/>
          <w:sz w:val="24"/>
          <w:szCs w:val="24"/>
          <w:rtl/>
        </w:rPr>
        <w:t xml:space="preserve"> </w:t>
      </w:r>
      <w:r w:rsidRPr="00BA63B1">
        <w:rPr>
          <w:rFonts w:ascii="Alef" w:hAnsi="Alef" w:cs="Alef"/>
          <w:sz w:val="24"/>
          <w:szCs w:val="24"/>
          <w:rtl/>
        </w:rPr>
        <w:t>יביא</w:t>
      </w:r>
      <w:r w:rsidR="002766C7" w:rsidRPr="00BA63B1">
        <w:rPr>
          <w:rFonts w:ascii="Alef" w:hAnsi="Alef" w:cs="Alef"/>
          <w:sz w:val="24"/>
          <w:szCs w:val="24"/>
          <w:rtl/>
        </w:rPr>
        <w:t>ו</w:t>
      </w:r>
      <w:r w:rsidRPr="00BA63B1">
        <w:rPr>
          <w:rFonts w:ascii="Alef" w:hAnsi="Alef" w:cs="Alef"/>
          <w:sz w:val="24"/>
          <w:szCs w:val="24"/>
          <w:rtl/>
        </w:rPr>
        <w:t xml:space="preserve"> לתוצאות בלתי רצויות</w:t>
      </w:r>
      <w:r w:rsidR="00A0631A" w:rsidRPr="00BA63B1">
        <w:rPr>
          <w:rFonts w:ascii="Alef" w:hAnsi="Alef" w:cs="Alef"/>
          <w:sz w:val="24"/>
          <w:szCs w:val="24"/>
          <w:rtl/>
        </w:rPr>
        <w:t xml:space="preserve">, שעיקרן </w:t>
      </w:r>
      <w:r w:rsidR="00461D2E" w:rsidRPr="00BA63B1">
        <w:rPr>
          <w:rFonts w:ascii="Alef" w:hAnsi="Alef" w:cs="Alef"/>
          <w:sz w:val="24"/>
          <w:szCs w:val="24"/>
          <w:rtl/>
        </w:rPr>
        <w:t xml:space="preserve">הכבדה על </w:t>
      </w:r>
      <w:r w:rsidR="00721DD6" w:rsidRPr="00BA63B1">
        <w:rPr>
          <w:rFonts w:ascii="Alef" w:hAnsi="Alef" w:cs="Alef"/>
          <w:sz w:val="24"/>
          <w:szCs w:val="24"/>
          <w:rtl/>
        </w:rPr>
        <w:t xml:space="preserve">ביצוע </w:t>
      </w:r>
      <w:r w:rsidR="00461D2E" w:rsidRPr="00BA63B1">
        <w:rPr>
          <w:rFonts w:ascii="Alef" w:hAnsi="Alef" w:cs="Alef"/>
          <w:sz w:val="24"/>
          <w:szCs w:val="24"/>
          <w:rtl/>
        </w:rPr>
        <w:t>ע</w:t>
      </w:r>
      <w:r w:rsidR="00A0631A" w:rsidRPr="00BA63B1">
        <w:rPr>
          <w:rFonts w:ascii="Alef" w:hAnsi="Alef" w:cs="Alef"/>
          <w:sz w:val="24"/>
          <w:szCs w:val="24"/>
          <w:rtl/>
        </w:rPr>
        <w:t xml:space="preserve">סקאות </w:t>
      </w:r>
      <w:r w:rsidR="00721DD6" w:rsidRPr="00BA63B1">
        <w:rPr>
          <w:rFonts w:ascii="Alef" w:hAnsi="Alef" w:cs="Alef"/>
          <w:sz w:val="24"/>
          <w:szCs w:val="24"/>
          <w:rtl/>
        </w:rPr>
        <w:t xml:space="preserve">יעילות שאין </w:t>
      </w:r>
      <w:proofErr w:type="spellStart"/>
      <w:r w:rsidR="00721DD6" w:rsidRPr="00BA63B1">
        <w:rPr>
          <w:rFonts w:ascii="Alef" w:hAnsi="Alef" w:cs="Alef"/>
          <w:sz w:val="24"/>
          <w:szCs w:val="24"/>
          <w:rtl/>
        </w:rPr>
        <w:t>בצידן</w:t>
      </w:r>
      <w:proofErr w:type="spellEnd"/>
      <w:r w:rsidR="00721DD6" w:rsidRPr="00BA63B1">
        <w:rPr>
          <w:rFonts w:ascii="Alef" w:hAnsi="Alef" w:cs="Alef"/>
          <w:sz w:val="24"/>
          <w:szCs w:val="24"/>
          <w:rtl/>
        </w:rPr>
        <w:t xml:space="preserve"> פגיעה של ממש בתחרות ויתכן שאף מניעתן</w:t>
      </w:r>
      <w:r w:rsidRPr="00BA63B1">
        <w:rPr>
          <w:rFonts w:ascii="Alef" w:hAnsi="Alef" w:cs="Alef"/>
          <w:sz w:val="24"/>
          <w:szCs w:val="24"/>
          <w:rtl/>
        </w:rPr>
        <w:t xml:space="preserve">.  </w:t>
      </w:r>
    </w:p>
    <w:p w14:paraId="7A4FED79" w14:textId="3C1F9A45" w:rsidR="00BB6C2A" w:rsidRPr="00BA63B1" w:rsidRDefault="00EE2A3A" w:rsidP="00AE0B2B">
      <w:pPr>
        <w:jc w:val="both"/>
        <w:rPr>
          <w:rFonts w:ascii="Alef" w:hAnsi="Alef" w:cs="Alef"/>
          <w:sz w:val="24"/>
          <w:szCs w:val="24"/>
          <w:rtl/>
        </w:rPr>
      </w:pPr>
      <w:r w:rsidRPr="00BA63B1">
        <w:rPr>
          <w:rFonts w:ascii="Alef" w:hAnsi="Alef" w:cs="Alef"/>
          <w:sz w:val="24"/>
          <w:szCs w:val="24"/>
          <w:rtl/>
        </w:rPr>
        <w:t xml:space="preserve">ללא פטורי הסוג, </w:t>
      </w:r>
      <w:r w:rsidR="00EB5588" w:rsidRPr="00BA63B1">
        <w:rPr>
          <w:rFonts w:ascii="Alef" w:hAnsi="Alef" w:cs="Alef"/>
          <w:sz w:val="24"/>
          <w:szCs w:val="24"/>
          <w:rtl/>
        </w:rPr>
        <w:t>עסקאות רבות מן הסוגים המנויים בפטורי הסוג</w:t>
      </w:r>
      <w:r w:rsidR="00E91CB9" w:rsidRPr="00BA63B1">
        <w:rPr>
          <w:rFonts w:ascii="Alef" w:hAnsi="Alef" w:cs="Alef"/>
          <w:sz w:val="24"/>
          <w:szCs w:val="24"/>
          <w:rtl/>
        </w:rPr>
        <w:t xml:space="preserve"> ובתנאיהם:</w:t>
      </w:r>
      <w:r w:rsidR="00EB5588" w:rsidRPr="00BA63B1">
        <w:rPr>
          <w:rFonts w:ascii="Alef" w:hAnsi="Alef" w:cs="Alef"/>
          <w:sz w:val="24"/>
          <w:szCs w:val="24"/>
          <w:rtl/>
        </w:rPr>
        <w:t xml:space="preserve"> הסדרי בלעדיות, הסדרי זכיינות, הסדרים בין חברות קשורות</w:t>
      </w:r>
      <w:r w:rsidR="00BB6C2A" w:rsidRPr="00BA63B1">
        <w:rPr>
          <w:rFonts w:ascii="Alef" w:hAnsi="Alef" w:cs="Alef"/>
          <w:sz w:val="24"/>
          <w:szCs w:val="24"/>
          <w:rtl/>
        </w:rPr>
        <w:t>,</w:t>
      </w:r>
      <w:r w:rsidR="00AE0B2B">
        <w:rPr>
          <w:rFonts w:ascii="Alef" w:hAnsi="Alef" w:cs="Alef" w:hint="cs"/>
          <w:sz w:val="24"/>
          <w:szCs w:val="24"/>
          <w:rtl/>
        </w:rPr>
        <w:t xml:space="preserve"> מיזמים משותפים,</w:t>
      </w:r>
      <w:r w:rsidR="00BB6C2A" w:rsidRPr="00BA63B1">
        <w:rPr>
          <w:rFonts w:ascii="Alef" w:hAnsi="Alef" w:cs="Alef"/>
          <w:sz w:val="24"/>
          <w:szCs w:val="24"/>
          <w:rtl/>
        </w:rPr>
        <w:t xml:space="preserve"> הסכמים שפגיעתם בתחרות קלת ערך</w:t>
      </w:r>
      <w:r w:rsidR="00EB5588" w:rsidRPr="00BA63B1">
        <w:rPr>
          <w:rFonts w:ascii="Alef" w:hAnsi="Alef" w:cs="Alef"/>
          <w:sz w:val="24"/>
          <w:szCs w:val="24"/>
          <w:rtl/>
        </w:rPr>
        <w:t xml:space="preserve"> ועוד יידרשו להגיע לקבלת היתר מראש. </w:t>
      </w:r>
    </w:p>
    <w:p w14:paraId="1CF6176D" w14:textId="4C1EE647" w:rsidR="00EB5588" w:rsidRPr="00BA63B1" w:rsidRDefault="00EB5588" w:rsidP="00A0631A">
      <w:pPr>
        <w:jc w:val="both"/>
        <w:rPr>
          <w:rFonts w:ascii="Alef" w:hAnsi="Alef" w:cs="Alef"/>
          <w:sz w:val="24"/>
          <w:szCs w:val="24"/>
          <w:rtl/>
        </w:rPr>
      </w:pPr>
      <w:r w:rsidRPr="00BA63B1">
        <w:rPr>
          <w:rFonts w:ascii="Alef" w:hAnsi="Alef" w:cs="Alef"/>
          <w:sz w:val="24"/>
          <w:szCs w:val="24"/>
          <w:rtl/>
        </w:rPr>
        <w:lastRenderedPageBreak/>
        <w:t>הדבר יביא להכבדה משמעותית על הצדדים ועל הרשות ולהתארכות ניכרת של משך הזמן לביצוע עסקאות מסוגים ובתנאים ש</w:t>
      </w:r>
      <w:r w:rsidR="00A0631A" w:rsidRPr="00BA63B1">
        <w:rPr>
          <w:rFonts w:ascii="Alef" w:hAnsi="Alef" w:cs="Alef"/>
          <w:sz w:val="24"/>
          <w:szCs w:val="24"/>
          <w:rtl/>
        </w:rPr>
        <w:t>לא</w:t>
      </w:r>
      <w:r w:rsidRPr="00BA63B1">
        <w:rPr>
          <w:rFonts w:ascii="Alef" w:hAnsi="Alef" w:cs="Alef"/>
          <w:sz w:val="24"/>
          <w:szCs w:val="24"/>
          <w:rtl/>
        </w:rPr>
        <w:t xml:space="preserve"> </w:t>
      </w:r>
      <w:r w:rsidR="00A0631A" w:rsidRPr="00BA63B1">
        <w:rPr>
          <w:rFonts w:ascii="Alef" w:hAnsi="Alef" w:cs="Alef"/>
          <w:sz w:val="24"/>
          <w:szCs w:val="24"/>
          <w:rtl/>
        </w:rPr>
        <w:t>פוגעים</w:t>
      </w:r>
      <w:r w:rsidRPr="00BA63B1">
        <w:rPr>
          <w:rFonts w:ascii="Alef" w:hAnsi="Alef" w:cs="Alef"/>
          <w:sz w:val="24"/>
          <w:szCs w:val="24"/>
          <w:rtl/>
        </w:rPr>
        <w:t xml:space="preserve"> בתחרות.</w:t>
      </w:r>
      <w:r w:rsidR="00A0631A" w:rsidRPr="00BA63B1">
        <w:rPr>
          <w:rFonts w:ascii="Alef" w:hAnsi="Alef" w:cs="Alef"/>
          <w:sz w:val="24"/>
          <w:szCs w:val="24"/>
          <w:rtl/>
        </w:rPr>
        <w:t xml:space="preserve"> </w:t>
      </w:r>
      <w:r w:rsidRPr="00BA63B1">
        <w:rPr>
          <w:rFonts w:ascii="Alef" w:hAnsi="Alef" w:cs="Alef"/>
          <w:sz w:val="24"/>
          <w:szCs w:val="24"/>
          <w:rtl/>
        </w:rPr>
        <w:t xml:space="preserve"> </w:t>
      </w:r>
    </w:p>
    <w:p w14:paraId="643353EE" w14:textId="6F93C6A0" w:rsidR="00220C93" w:rsidRPr="00BA63B1" w:rsidRDefault="00EB5588" w:rsidP="00813883">
      <w:pPr>
        <w:jc w:val="both"/>
        <w:rPr>
          <w:rFonts w:ascii="Alef" w:hAnsi="Alef" w:cs="Alef"/>
          <w:sz w:val="24"/>
          <w:szCs w:val="24"/>
          <w:rtl/>
        </w:rPr>
      </w:pPr>
      <w:r w:rsidRPr="00BA63B1">
        <w:rPr>
          <w:rFonts w:ascii="Alef" w:hAnsi="Alef" w:cs="Alef"/>
          <w:sz w:val="24"/>
          <w:szCs w:val="24"/>
          <w:rtl/>
        </w:rPr>
        <w:t>בדו"ח הפחתת הנטל הרגולטורי לשנת 2017</w:t>
      </w:r>
      <w:r w:rsidR="001C6C97" w:rsidRPr="00BA63B1">
        <w:rPr>
          <w:rStyle w:val="FootnoteReference"/>
          <w:rFonts w:ascii="Alef" w:hAnsi="Alef" w:cs="Alef"/>
          <w:sz w:val="24"/>
          <w:szCs w:val="24"/>
          <w:rtl/>
        </w:rPr>
        <w:footnoteReference w:id="32"/>
      </w:r>
      <w:r w:rsidRPr="00BA63B1">
        <w:rPr>
          <w:rFonts w:ascii="Alef" w:hAnsi="Alef" w:cs="Alef"/>
          <w:sz w:val="24"/>
          <w:szCs w:val="24"/>
          <w:rtl/>
        </w:rPr>
        <w:t xml:space="preserve"> בחנה הרשות, בין היתר, את החיסכון בזמן שייווצר כתוצאה מהרחבת שלושה פטורי סוג (מיזמים משותפים, הסכמי מו"פ וכבילות נלוות למיזוגים) בדרך של הוספת הוראת הערכה עצמית. הרשות העריכה כי מהלך הרחבת שלושת פטורי הסוג יוביל לחיסכון של </w:t>
      </w:r>
      <w:r w:rsidR="008915B9" w:rsidRPr="00BA63B1">
        <w:rPr>
          <w:rFonts w:ascii="Alef" w:hAnsi="Alef" w:cs="Alef"/>
          <w:sz w:val="24"/>
          <w:szCs w:val="24"/>
          <w:rtl/>
        </w:rPr>
        <w:t>אלפי</w:t>
      </w:r>
      <w:r w:rsidRPr="00BA63B1">
        <w:rPr>
          <w:rFonts w:ascii="Alef" w:hAnsi="Alef" w:cs="Alef"/>
          <w:sz w:val="24"/>
          <w:szCs w:val="24"/>
          <w:rtl/>
        </w:rPr>
        <w:t xml:space="preserve"> ימי המתנה בשנה</w:t>
      </w:r>
      <w:r w:rsidR="004B05B1" w:rsidRPr="00BA63B1">
        <w:rPr>
          <w:rFonts w:ascii="Alef" w:hAnsi="Alef" w:cs="Alef"/>
          <w:sz w:val="24"/>
          <w:szCs w:val="24"/>
          <w:rtl/>
        </w:rPr>
        <w:t xml:space="preserve"> (עמ' 24 לדו"ח)</w:t>
      </w:r>
      <w:r w:rsidRPr="00BA63B1">
        <w:rPr>
          <w:rFonts w:ascii="Alef" w:hAnsi="Alef" w:cs="Alef"/>
          <w:sz w:val="24"/>
          <w:szCs w:val="24"/>
          <w:rtl/>
        </w:rPr>
        <w:t>. בהינתן ביטול של שלושת פטורי הסוג הללו בלבד, עלויות עיכוב העסקאות צפויות להאמיר ואף לסכן עסקאות רגישות זמן.</w:t>
      </w:r>
      <w:r w:rsidR="00940DDB" w:rsidRPr="00BA63B1">
        <w:rPr>
          <w:rFonts w:ascii="Alef" w:hAnsi="Alef" w:cs="Alef"/>
          <w:sz w:val="24"/>
          <w:szCs w:val="24"/>
          <w:rtl/>
        </w:rPr>
        <w:t xml:space="preserve"> </w:t>
      </w:r>
      <w:r w:rsidR="00C25C6C" w:rsidRPr="00BA63B1">
        <w:rPr>
          <w:rFonts w:ascii="Alef" w:hAnsi="Alef" w:cs="Alef"/>
          <w:sz w:val="24"/>
          <w:szCs w:val="24"/>
          <w:rtl/>
        </w:rPr>
        <w:t xml:space="preserve">כמו כן, </w:t>
      </w:r>
      <w:r w:rsidR="00940DDB" w:rsidRPr="00BA63B1">
        <w:rPr>
          <w:rFonts w:ascii="Alef" w:hAnsi="Alef" w:cs="Alef"/>
          <w:sz w:val="24"/>
          <w:szCs w:val="24"/>
          <w:rtl/>
        </w:rPr>
        <w:t>ל</w:t>
      </w:r>
      <w:r w:rsidR="00813883" w:rsidRPr="00BA63B1">
        <w:rPr>
          <w:rFonts w:ascii="Alef" w:hAnsi="Alef" w:cs="Alef"/>
          <w:sz w:val="24"/>
          <w:szCs w:val="24"/>
          <w:rtl/>
        </w:rPr>
        <w:t>חלק מה</w:t>
      </w:r>
      <w:r w:rsidR="00940DDB" w:rsidRPr="00BA63B1">
        <w:rPr>
          <w:rFonts w:ascii="Alef" w:hAnsi="Alef" w:cs="Alef"/>
          <w:sz w:val="24"/>
          <w:szCs w:val="24"/>
          <w:rtl/>
        </w:rPr>
        <w:t xml:space="preserve">עסקאות </w:t>
      </w:r>
      <w:r w:rsidR="00C25C6C" w:rsidRPr="00BA63B1">
        <w:rPr>
          <w:rFonts w:ascii="Alef" w:hAnsi="Alef" w:cs="Alef"/>
          <w:sz w:val="24"/>
          <w:szCs w:val="24"/>
          <w:rtl/>
        </w:rPr>
        <w:t>שידרשו אישור מראש</w:t>
      </w:r>
      <w:r w:rsidR="00940DDB" w:rsidRPr="00BA63B1">
        <w:rPr>
          <w:rFonts w:ascii="Alef" w:hAnsi="Alef" w:cs="Alef"/>
          <w:sz w:val="24"/>
          <w:szCs w:val="24"/>
          <w:rtl/>
        </w:rPr>
        <w:t xml:space="preserve"> יתווסף </w:t>
      </w:r>
      <w:proofErr w:type="spellStart"/>
      <w:r w:rsidR="00940DDB" w:rsidRPr="00BA63B1">
        <w:rPr>
          <w:rFonts w:ascii="Alef" w:hAnsi="Alef" w:cs="Alef"/>
          <w:sz w:val="24"/>
          <w:szCs w:val="24"/>
          <w:rtl/>
        </w:rPr>
        <w:t>מימד</w:t>
      </w:r>
      <w:proofErr w:type="spellEnd"/>
      <w:r w:rsidR="00940DDB" w:rsidRPr="00BA63B1">
        <w:rPr>
          <w:rFonts w:ascii="Alef" w:hAnsi="Alef" w:cs="Alef"/>
          <w:sz w:val="24"/>
          <w:szCs w:val="24"/>
          <w:rtl/>
        </w:rPr>
        <w:t xml:space="preserve"> של חוסר וודאות </w:t>
      </w:r>
      <w:r w:rsidR="008915B9" w:rsidRPr="00BA63B1">
        <w:rPr>
          <w:rFonts w:ascii="Alef" w:hAnsi="Alef" w:cs="Alef"/>
          <w:sz w:val="24"/>
          <w:szCs w:val="24"/>
          <w:rtl/>
        </w:rPr>
        <w:t>ב</w:t>
      </w:r>
      <w:r w:rsidR="00813883" w:rsidRPr="00BA63B1">
        <w:rPr>
          <w:rFonts w:ascii="Alef" w:hAnsi="Alef" w:cs="Alef"/>
          <w:sz w:val="24"/>
          <w:szCs w:val="24"/>
          <w:rtl/>
        </w:rPr>
        <w:t>יחס</w:t>
      </w:r>
      <w:r w:rsidR="00C25C6C" w:rsidRPr="00BA63B1">
        <w:rPr>
          <w:rFonts w:ascii="Alef" w:hAnsi="Alef" w:cs="Alef"/>
          <w:sz w:val="24"/>
          <w:szCs w:val="24"/>
          <w:rtl/>
        </w:rPr>
        <w:t xml:space="preserve"> להחלט</w:t>
      </w:r>
      <w:r w:rsidR="00813883" w:rsidRPr="00BA63B1">
        <w:rPr>
          <w:rFonts w:ascii="Alef" w:hAnsi="Alef" w:cs="Alef"/>
          <w:sz w:val="24"/>
          <w:szCs w:val="24"/>
          <w:rtl/>
        </w:rPr>
        <w:t>ה שתתקבל</w:t>
      </w:r>
      <w:r w:rsidR="00C25C6C" w:rsidRPr="00BA63B1">
        <w:rPr>
          <w:rFonts w:ascii="Alef" w:hAnsi="Alef" w:cs="Alef"/>
          <w:sz w:val="24"/>
          <w:szCs w:val="24"/>
          <w:rtl/>
        </w:rPr>
        <w:t xml:space="preserve"> </w:t>
      </w:r>
      <w:r w:rsidR="00813883" w:rsidRPr="00BA63B1">
        <w:rPr>
          <w:rFonts w:ascii="Alef" w:hAnsi="Alef" w:cs="Alef"/>
          <w:sz w:val="24"/>
          <w:szCs w:val="24"/>
          <w:rtl/>
        </w:rPr>
        <w:t>ב</w:t>
      </w:r>
      <w:r w:rsidR="00C25C6C" w:rsidRPr="00BA63B1">
        <w:rPr>
          <w:rFonts w:ascii="Alef" w:hAnsi="Alef" w:cs="Alef"/>
          <w:sz w:val="24"/>
          <w:szCs w:val="24"/>
          <w:rtl/>
        </w:rPr>
        <w:t>רשות התחרות</w:t>
      </w:r>
      <w:r w:rsidR="00940DDB" w:rsidRPr="00BA63B1">
        <w:rPr>
          <w:rFonts w:ascii="Alef" w:hAnsi="Alef" w:cs="Alef"/>
          <w:sz w:val="24"/>
          <w:szCs w:val="24"/>
          <w:rtl/>
        </w:rPr>
        <w:t>.</w:t>
      </w:r>
      <w:r w:rsidR="000F5C65" w:rsidRPr="00BA63B1">
        <w:rPr>
          <w:rFonts w:ascii="Alef" w:hAnsi="Alef" w:cs="Alef"/>
          <w:sz w:val="24"/>
          <w:szCs w:val="24"/>
          <w:rtl/>
        </w:rPr>
        <w:t xml:space="preserve"> חשוב לציין, כי פגיעה בפעילות העסקית, שלא </w:t>
      </w:r>
      <w:r w:rsidR="000F5C65" w:rsidRPr="00BA63B1">
        <w:rPr>
          <w:rFonts w:ascii="Alef" w:hAnsi="Alef" w:cs="Alef"/>
          <w:sz w:val="24"/>
          <w:szCs w:val="24"/>
          <w:rtl/>
        </w:rPr>
        <w:lastRenderedPageBreak/>
        <w:t>לצורך, עלולה בעצמה לעכב ולמנוע התפתחות של עסקים ותחרות</w:t>
      </w:r>
      <w:r w:rsidR="00332197" w:rsidRPr="00BA63B1">
        <w:rPr>
          <w:rFonts w:ascii="Alef" w:hAnsi="Alef" w:cs="Alef"/>
          <w:sz w:val="24"/>
          <w:szCs w:val="24"/>
          <w:rtl/>
        </w:rPr>
        <w:t>, דבר שהוא ההפך מתכלית החוק</w:t>
      </w:r>
      <w:r w:rsidR="000F5C65" w:rsidRPr="00BA63B1">
        <w:rPr>
          <w:rFonts w:ascii="Alef" w:hAnsi="Alef" w:cs="Alef"/>
          <w:sz w:val="24"/>
          <w:szCs w:val="24"/>
          <w:rtl/>
        </w:rPr>
        <w:t>.</w:t>
      </w:r>
      <w:r w:rsidRPr="00BA63B1">
        <w:rPr>
          <w:rFonts w:ascii="Alef" w:hAnsi="Alef" w:cs="Alef"/>
          <w:sz w:val="24"/>
          <w:szCs w:val="24"/>
          <w:rtl/>
        </w:rPr>
        <w:t xml:space="preserve"> </w:t>
      </w:r>
    </w:p>
    <w:p w14:paraId="27ED7143" w14:textId="2A9CA5D0" w:rsidR="00EB5588" w:rsidRPr="00BA63B1" w:rsidRDefault="00C25C6C" w:rsidP="00332197">
      <w:pPr>
        <w:jc w:val="both"/>
        <w:rPr>
          <w:rFonts w:ascii="Alef" w:hAnsi="Alef" w:cs="Alef"/>
          <w:sz w:val="24"/>
          <w:szCs w:val="24"/>
          <w:rtl/>
        </w:rPr>
      </w:pPr>
      <w:r w:rsidRPr="00BA63B1">
        <w:rPr>
          <w:rFonts w:ascii="Alef" w:hAnsi="Alef" w:cs="Alef"/>
          <w:sz w:val="24"/>
          <w:szCs w:val="24"/>
          <w:rtl/>
        </w:rPr>
        <w:t>הפגיעה תהא קשה פי כמה אם יב</w:t>
      </w:r>
      <w:r w:rsidR="0018651A" w:rsidRPr="00BA63B1">
        <w:rPr>
          <w:rFonts w:ascii="Alef" w:hAnsi="Alef" w:cs="Alef"/>
          <w:sz w:val="24"/>
          <w:szCs w:val="24"/>
          <w:rtl/>
        </w:rPr>
        <w:t>ו</w:t>
      </w:r>
      <w:r w:rsidRPr="00BA63B1">
        <w:rPr>
          <w:rFonts w:ascii="Alef" w:hAnsi="Alef" w:cs="Alef"/>
          <w:sz w:val="24"/>
          <w:szCs w:val="24"/>
          <w:rtl/>
        </w:rPr>
        <w:t>טלו</w:t>
      </w:r>
      <w:r w:rsidR="00E91CB9" w:rsidRPr="00BA63B1">
        <w:rPr>
          <w:rFonts w:ascii="Alef" w:hAnsi="Alef" w:cs="Alef"/>
          <w:sz w:val="24"/>
          <w:szCs w:val="24"/>
          <w:rtl/>
        </w:rPr>
        <w:t xml:space="preserve"> </w:t>
      </w:r>
      <w:r w:rsidRPr="00BA63B1">
        <w:rPr>
          <w:rFonts w:ascii="Alef" w:hAnsi="Alef" w:cs="Alef"/>
          <w:sz w:val="24"/>
          <w:szCs w:val="24"/>
          <w:rtl/>
        </w:rPr>
        <w:t>כל פטורי הסוג</w:t>
      </w:r>
      <w:r w:rsidR="00220C93" w:rsidRPr="00BA63B1">
        <w:rPr>
          <w:rFonts w:ascii="Alef" w:hAnsi="Alef" w:cs="Alef"/>
          <w:sz w:val="24"/>
          <w:szCs w:val="24"/>
          <w:rtl/>
        </w:rPr>
        <w:t xml:space="preserve"> </w:t>
      </w:r>
      <w:r w:rsidR="00E91CB9" w:rsidRPr="00BA63B1">
        <w:rPr>
          <w:rFonts w:ascii="Alef" w:hAnsi="Alef" w:cs="Alef"/>
          <w:sz w:val="24"/>
          <w:szCs w:val="24"/>
          <w:rtl/>
        </w:rPr>
        <w:t>ש</w:t>
      </w:r>
      <w:r w:rsidR="00220C93" w:rsidRPr="00BA63B1">
        <w:rPr>
          <w:rFonts w:ascii="Alef" w:hAnsi="Alef" w:cs="Alef"/>
          <w:sz w:val="24"/>
          <w:szCs w:val="24"/>
          <w:rtl/>
        </w:rPr>
        <w:t>עתידים לפקוע בספטמבר 2021</w:t>
      </w:r>
      <w:r w:rsidRPr="00BA63B1">
        <w:rPr>
          <w:rFonts w:ascii="Alef" w:hAnsi="Alef" w:cs="Alef"/>
          <w:sz w:val="24"/>
          <w:szCs w:val="24"/>
          <w:rtl/>
        </w:rPr>
        <w:t>. אי חידושם</w:t>
      </w:r>
      <w:r w:rsidR="00EB5588" w:rsidRPr="00BA63B1">
        <w:rPr>
          <w:rFonts w:ascii="Alef" w:hAnsi="Alef" w:cs="Alef"/>
          <w:sz w:val="24"/>
          <w:szCs w:val="24"/>
          <w:rtl/>
        </w:rPr>
        <w:t xml:space="preserve"> יביא למספר גבוה בהרבה של ימי המתנה בשנה ולעיכובים מכבידים שיביאו לסיכול עסקאות רגישות זמן.</w:t>
      </w:r>
      <w:r w:rsidR="008915B9" w:rsidRPr="00BA63B1">
        <w:rPr>
          <w:rFonts w:ascii="Alef" w:hAnsi="Alef" w:cs="Alef"/>
          <w:sz w:val="24"/>
          <w:szCs w:val="24"/>
          <w:rtl/>
        </w:rPr>
        <w:t xml:space="preserve"> יודגש</w:t>
      </w:r>
      <w:r w:rsidR="000F5C65" w:rsidRPr="00BA63B1">
        <w:rPr>
          <w:rFonts w:ascii="Alef" w:hAnsi="Alef" w:cs="Alef"/>
          <w:sz w:val="24"/>
          <w:szCs w:val="24"/>
          <w:rtl/>
        </w:rPr>
        <w:t xml:space="preserve"> </w:t>
      </w:r>
      <w:r w:rsidR="008915B9" w:rsidRPr="00BA63B1">
        <w:rPr>
          <w:rFonts w:ascii="Alef" w:hAnsi="Alef" w:cs="Alef"/>
          <w:sz w:val="24"/>
          <w:szCs w:val="24"/>
          <w:rtl/>
        </w:rPr>
        <w:t>כי מסמך זה מתמקד בהסדרים אנכיים</w:t>
      </w:r>
      <w:r w:rsidR="00332197" w:rsidRPr="00BA63B1">
        <w:rPr>
          <w:rFonts w:ascii="Alef" w:hAnsi="Alef" w:cs="Alef"/>
          <w:sz w:val="24"/>
          <w:szCs w:val="24"/>
          <w:rtl/>
        </w:rPr>
        <w:t>, הסדרים שפגיעתם בתחרות קלת ערך והסדרים בין חברות קשורות</w:t>
      </w:r>
      <w:r w:rsidR="008915B9" w:rsidRPr="00BA63B1">
        <w:rPr>
          <w:rFonts w:ascii="Alef" w:hAnsi="Alef" w:cs="Alef"/>
          <w:sz w:val="24"/>
          <w:szCs w:val="24"/>
          <w:rtl/>
        </w:rPr>
        <w:t xml:space="preserve"> שנחשבים </w:t>
      </w:r>
      <w:r w:rsidR="000F5C65" w:rsidRPr="00BA63B1">
        <w:rPr>
          <w:rFonts w:ascii="Alef" w:hAnsi="Alef" w:cs="Alef"/>
          <w:sz w:val="24"/>
          <w:szCs w:val="24"/>
          <w:rtl/>
        </w:rPr>
        <w:t>לפחות פוגעניים.</w:t>
      </w:r>
      <w:r w:rsidR="00EB5588" w:rsidRPr="00BA63B1">
        <w:rPr>
          <w:rFonts w:ascii="Alef" w:hAnsi="Alef" w:cs="Alef"/>
          <w:sz w:val="24"/>
          <w:szCs w:val="24"/>
          <w:rtl/>
        </w:rPr>
        <w:t xml:space="preserve">  </w:t>
      </w:r>
    </w:p>
    <w:p w14:paraId="5B1EE7D0" w14:textId="05C202BF" w:rsidR="00EB5588" w:rsidRPr="00BA63B1" w:rsidRDefault="00B83638" w:rsidP="003E1B21">
      <w:pPr>
        <w:jc w:val="both"/>
        <w:rPr>
          <w:rFonts w:ascii="Alef" w:hAnsi="Alef" w:cs="Alef"/>
          <w:sz w:val="24"/>
          <w:szCs w:val="24"/>
          <w:rtl/>
        </w:rPr>
      </w:pPr>
      <w:r w:rsidRPr="00BA63B1">
        <w:rPr>
          <w:rFonts w:ascii="Alef" w:hAnsi="Alef" w:cs="Alef"/>
          <w:sz w:val="24"/>
          <w:szCs w:val="24"/>
          <w:rtl/>
        </w:rPr>
        <w:t xml:space="preserve">חיוב </w:t>
      </w:r>
      <w:r w:rsidR="00EB5588" w:rsidRPr="00BA63B1">
        <w:rPr>
          <w:rFonts w:ascii="Alef" w:hAnsi="Alef" w:cs="Alef"/>
          <w:sz w:val="24"/>
          <w:szCs w:val="24"/>
          <w:rtl/>
        </w:rPr>
        <w:t xml:space="preserve">היתר פרטני מראש להסדרים שאינם פוגעים בתחרות אינו משרת את תכלית החוק. </w:t>
      </w:r>
    </w:p>
    <w:p w14:paraId="4BAFF38C" w14:textId="6CBE65D1" w:rsidR="00EB5588" w:rsidRPr="00BA63B1" w:rsidRDefault="00EB5588" w:rsidP="00F860B6">
      <w:pPr>
        <w:jc w:val="both"/>
        <w:rPr>
          <w:rFonts w:ascii="Alef" w:hAnsi="Alef" w:cs="Alef"/>
          <w:sz w:val="24"/>
          <w:szCs w:val="24"/>
          <w:rtl/>
        </w:rPr>
      </w:pPr>
      <w:r w:rsidRPr="00BA63B1">
        <w:rPr>
          <w:rFonts w:ascii="Alef" w:hAnsi="Alef" w:cs="Alef"/>
          <w:sz w:val="24"/>
          <w:szCs w:val="24"/>
          <w:rtl/>
        </w:rPr>
        <w:t xml:space="preserve">גם כיום, כאשר לרשות הצדדים </w:t>
      </w:r>
      <w:r w:rsidR="004B05B1" w:rsidRPr="00BA63B1">
        <w:rPr>
          <w:rFonts w:ascii="Alef" w:hAnsi="Alef" w:cs="Alef"/>
          <w:sz w:val="24"/>
          <w:szCs w:val="24"/>
          <w:rtl/>
        </w:rPr>
        <w:t xml:space="preserve">עומד </w:t>
      </w:r>
      <w:r w:rsidRPr="00BA63B1">
        <w:rPr>
          <w:rFonts w:ascii="Alef" w:hAnsi="Alef" w:cs="Alef"/>
          <w:sz w:val="24"/>
          <w:szCs w:val="24"/>
          <w:rtl/>
        </w:rPr>
        <w:t>מגוון פטורי סוג המייתר את הצורך בפניות פרטניות</w:t>
      </w:r>
      <w:r w:rsidR="004B05B1" w:rsidRPr="00BA63B1">
        <w:rPr>
          <w:rFonts w:ascii="Alef" w:hAnsi="Alef" w:cs="Alef"/>
          <w:sz w:val="24"/>
          <w:szCs w:val="24"/>
          <w:rtl/>
        </w:rPr>
        <w:t xml:space="preserve"> רבות</w:t>
      </w:r>
      <w:r w:rsidRPr="00BA63B1">
        <w:rPr>
          <w:rFonts w:ascii="Alef" w:hAnsi="Alef" w:cs="Alef"/>
          <w:sz w:val="24"/>
          <w:szCs w:val="24"/>
          <w:rtl/>
        </w:rPr>
        <w:t>, רוב הבקשות לקבלת פטור פרטני נענות בחיוב (59% כמבואר באיור</w:t>
      </w:r>
      <w:r w:rsidR="00F860B6" w:rsidRPr="00BA63B1">
        <w:rPr>
          <w:rFonts w:ascii="Alef" w:hAnsi="Alef" w:cs="Alef"/>
          <w:sz w:val="24"/>
          <w:szCs w:val="24"/>
          <w:rtl/>
        </w:rPr>
        <w:t xml:space="preserve"> </w:t>
      </w:r>
      <w:r w:rsidR="00F860B6" w:rsidRPr="00BA63B1">
        <w:rPr>
          <w:rFonts w:ascii="Alef" w:hAnsi="Alef" w:cs="Alef"/>
          <w:sz w:val="24"/>
          <w:szCs w:val="24"/>
          <w:rtl/>
        </w:rPr>
        <w:lastRenderedPageBreak/>
        <w:t>שלהלן</w:t>
      </w:r>
      <w:r w:rsidR="00F860B6" w:rsidRPr="00BA63B1">
        <w:rPr>
          <w:rStyle w:val="FootnoteReference"/>
          <w:rFonts w:ascii="Alef" w:hAnsi="Alef" w:cs="Alef"/>
          <w:sz w:val="24"/>
          <w:szCs w:val="24"/>
          <w:rtl/>
        </w:rPr>
        <w:footnoteReference w:id="33"/>
      </w:r>
      <w:r w:rsidRPr="00BA63B1">
        <w:rPr>
          <w:rFonts w:ascii="Alef" w:hAnsi="Alef" w:cs="Alef"/>
          <w:sz w:val="24"/>
          <w:szCs w:val="24"/>
          <w:rtl/>
        </w:rPr>
        <w:t xml:space="preserve">). בשים לב לכך שהמבחן המהותי לאישור פטור סוג ולמתן פטור פרטני הוא זהה, סביר כי ביטול פטורי הסוג יוביל לעלייה ניכרת באחוז הבקשות לקבלת פטור פרטני שאינן פוגעות בתחרות ולהכבדה מיותרת של הנטל הרגולטורי והביורוקרטי.    </w:t>
      </w:r>
    </w:p>
    <w:p w14:paraId="3D2E27E5" w14:textId="69A2B659" w:rsidR="00F860B6" w:rsidRPr="00BA63B1" w:rsidRDefault="00F860B6" w:rsidP="004B05B1">
      <w:pPr>
        <w:jc w:val="both"/>
        <w:rPr>
          <w:rFonts w:ascii="Alef" w:hAnsi="Alef" w:cs="Alef"/>
          <w:sz w:val="24"/>
          <w:szCs w:val="24"/>
          <w:rtl/>
        </w:rPr>
      </w:pPr>
      <w:r w:rsidRPr="00BA63B1">
        <w:rPr>
          <w:rFonts w:ascii="Alef" w:hAnsi="Alef" w:cs="Alef"/>
          <w:noProof/>
        </w:rPr>
        <w:drawing>
          <wp:inline distT="0" distB="0" distL="0" distR="0" wp14:anchorId="223A65DA" wp14:editId="59BB8BE2">
            <wp:extent cx="3475847" cy="1740184"/>
            <wp:effectExtent l="0" t="0" r="0" b="0"/>
            <wp:docPr id="2" name="תמונה 2" descr="C:\Users\nofarh\Desktop\גרפים לדוח שנתי 2019\דוח שנתי 12018 מעודכן-0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farh\Desktop\גרפים לדוח שנתי 2019\דוח שנתי 12018 מעודכן-01-0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0220" cy="1742373"/>
                    </a:xfrm>
                    <a:prstGeom prst="rect">
                      <a:avLst/>
                    </a:prstGeom>
                    <a:noFill/>
                    <a:ln>
                      <a:noFill/>
                    </a:ln>
                  </pic:spPr>
                </pic:pic>
              </a:graphicData>
            </a:graphic>
          </wp:inline>
        </w:drawing>
      </w:r>
    </w:p>
    <w:p w14:paraId="1EDAB828" w14:textId="5D388ABD" w:rsidR="00EB5588" w:rsidRPr="00BA63B1" w:rsidRDefault="00EB5588" w:rsidP="00E364B8">
      <w:pPr>
        <w:jc w:val="both"/>
        <w:rPr>
          <w:rFonts w:ascii="Alef" w:hAnsi="Alef" w:cs="Alef"/>
          <w:sz w:val="24"/>
          <w:szCs w:val="24"/>
          <w:rtl/>
        </w:rPr>
      </w:pPr>
      <w:r w:rsidRPr="00BA63B1">
        <w:rPr>
          <w:rFonts w:ascii="Alef" w:hAnsi="Alef" w:cs="Alef"/>
          <w:sz w:val="24"/>
          <w:szCs w:val="24"/>
          <w:rtl/>
        </w:rPr>
        <w:t>מלבד ההכבדה הכרוכה בביטול פטורי הסוג וחיוב בקבלת היתרים מראש</w:t>
      </w:r>
      <w:r w:rsidR="00F12D53" w:rsidRPr="00BA63B1">
        <w:rPr>
          <w:rFonts w:ascii="Alef" w:hAnsi="Alef" w:cs="Alef"/>
          <w:sz w:val="24"/>
          <w:szCs w:val="24"/>
          <w:rtl/>
        </w:rPr>
        <w:t>,</w:t>
      </w:r>
      <w:r w:rsidRPr="00BA63B1">
        <w:rPr>
          <w:rFonts w:ascii="Alef" w:hAnsi="Alef" w:cs="Alef"/>
          <w:sz w:val="24"/>
          <w:szCs w:val="24"/>
          <w:rtl/>
        </w:rPr>
        <w:t xml:space="preserve"> ישנו חשש ממשי </w:t>
      </w:r>
      <w:r w:rsidR="00E364B8" w:rsidRPr="00BA63B1">
        <w:rPr>
          <w:rFonts w:ascii="Alef" w:hAnsi="Alef" w:cs="Alef"/>
          <w:sz w:val="24"/>
          <w:szCs w:val="24"/>
          <w:rtl/>
        </w:rPr>
        <w:t xml:space="preserve">כי לו יבוטלו פטורי הסוג, צדדים להסדרים רבים לא יפנו בבקשת אישור מראש, הגם </w:t>
      </w:r>
      <w:r w:rsidR="00E364B8" w:rsidRPr="00BA63B1">
        <w:rPr>
          <w:rFonts w:ascii="Alef" w:hAnsi="Alef" w:cs="Alef"/>
          <w:sz w:val="24"/>
          <w:szCs w:val="24"/>
          <w:rtl/>
        </w:rPr>
        <w:lastRenderedPageBreak/>
        <w:t>שהיו זוכים לפטור פרטני לו הי</w:t>
      </w:r>
      <w:r w:rsidR="00AF0911" w:rsidRPr="00BA63B1">
        <w:rPr>
          <w:rFonts w:ascii="Alef" w:hAnsi="Alef" w:cs="Alef"/>
          <w:sz w:val="24"/>
          <w:szCs w:val="24"/>
          <w:rtl/>
        </w:rPr>
        <w:t>ו פונים</w:t>
      </w:r>
      <w:r w:rsidR="00E364B8" w:rsidRPr="00BA63B1">
        <w:rPr>
          <w:rFonts w:ascii="Alef" w:hAnsi="Alef" w:cs="Alef"/>
          <w:sz w:val="24"/>
          <w:szCs w:val="24"/>
          <w:rtl/>
        </w:rPr>
        <w:t>.</w:t>
      </w:r>
      <w:r w:rsidRPr="00BA63B1">
        <w:rPr>
          <w:rFonts w:ascii="Alef" w:hAnsi="Alef" w:cs="Alef"/>
          <w:sz w:val="24"/>
          <w:szCs w:val="24"/>
          <w:rtl/>
        </w:rPr>
        <w:t xml:space="preserve"> </w:t>
      </w:r>
      <w:r w:rsidR="00E364B8" w:rsidRPr="00BA63B1">
        <w:rPr>
          <w:rFonts w:ascii="Alef" w:hAnsi="Alef" w:cs="Alef"/>
          <w:sz w:val="24"/>
          <w:szCs w:val="24"/>
          <w:rtl/>
        </w:rPr>
        <w:t xml:space="preserve">קרי - </w:t>
      </w:r>
      <w:r w:rsidRPr="00BA63B1">
        <w:rPr>
          <w:rFonts w:ascii="Alef" w:hAnsi="Alef" w:cs="Alef"/>
          <w:sz w:val="24"/>
          <w:szCs w:val="24"/>
          <w:rtl/>
        </w:rPr>
        <w:t xml:space="preserve">עסקאות רבות שלא תגענה לקבלת היתר מראש יוכתמו באי חוקיות אף אם הן אינן פוגעות בתחרות.   </w:t>
      </w:r>
    </w:p>
    <w:p w14:paraId="7E857308" w14:textId="67012D94" w:rsidR="00774EFA" w:rsidRPr="00BA63B1" w:rsidRDefault="00B83638" w:rsidP="00EB5588">
      <w:pPr>
        <w:jc w:val="both"/>
        <w:rPr>
          <w:rFonts w:ascii="Alef" w:hAnsi="Alef" w:cs="Alef"/>
          <w:sz w:val="24"/>
          <w:szCs w:val="24"/>
          <w:rtl/>
        </w:rPr>
      </w:pPr>
      <w:r w:rsidRPr="00BA63B1">
        <w:rPr>
          <w:rFonts w:ascii="Alef" w:hAnsi="Alef" w:cs="Alef"/>
          <w:sz w:val="24"/>
          <w:szCs w:val="24"/>
          <w:rtl/>
        </w:rPr>
        <w:t xml:space="preserve">יתר על כן, </w:t>
      </w:r>
      <w:r w:rsidR="00EB5588" w:rsidRPr="00BA63B1">
        <w:rPr>
          <w:rFonts w:ascii="Alef" w:hAnsi="Alef" w:cs="Alef"/>
          <w:sz w:val="24"/>
          <w:szCs w:val="24"/>
          <w:rtl/>
        </w:rPr>
        <w:t>פטורי הסוג משמשים להדרכת והכוונת התנהגות הציבור</w:t>
      </w:r>
      <w:r w:rsidR="005E137D" w:rsidRPr="00BA63B1">
        <w:rPr>
          <w:rFonts w:ascii="Alef" w:hAnsi="Alef" w:cs="Alef"/>
          <w:sz w:val="24"/>
          <w:szCs w:val="24"/>
          <w:rtl/>
        </w:rPr>
        <w:t>, והסדרים רבים ארוכי טווח פועלים ומוסדרים מכוחם</w:t>
      </w:r>
      <w:r w:rsidR="00EB5588" w:rsidRPr="00BA63B1">
        <w:rPr>
          <w:rFonts w:ascii="Alef" w:hAnsi="Alef" w:cs="Alef"/>
          <w:sz w:val="24"/>
          <w:szCs w:val="24"/>
          <w:rtl/>
        </w:rPr>
        <w:t>. ביטול פטורי הסוג יביא לפגיעה בוודאות העסקית ובאינטרס ההסתמכות.</w:t>
      </w:r>
      <w:r w:rsidR="00880657" w:rsidRPr="00BA63B1">
        <w:rPr>
          <w:rFonts w:ascii="Alef" w:hAnsi="Alef" w:cs="Alef"/>
          <w:sz w:val="24"/>
          <w:szCs w:val="24"/>
          <w:rtl/>
        </w:rPr>
        <w:t xml:space="preserve"> </w:t>
      </w:r>
    </w:p>
    <w:p w14:paraId="1192226F" w14:textId="2B87AED0" w:rsidR="00EB5588" w:rsidRPr="00BA63B1" w:rsidRDefault="00774EFA" w:rsidP="00330202">
      <w:pPr>
        <w:jc w:val="both"/>
        <w:rPr>
          <w:rFonts w:ascii="Alef" w:hAnsi="Alef" w:cs="Alef"/>
          <w:sz w:val="24"/>
          <w:szCs w:val="24"/>
          <w:rtl/>
        </w:rPr>
      </w:pPr>
      <w:r w:rsidRPr="00BA63B1">
        <w:rPr>
          <w:rFonts w:ascii="Alef" w:hAnsi="Alef" w:cs="Alef"/>
          <w:sz w:val="24"/>
          <w:szCs w:val="24"/>
          <w:rtl/>
        </w:rPr>
        <w:t>זאת ועוד, בשונה ממתן פטור פרטני, הערכה עצמית של צדדים אם הם עומדים בתנאי פטור סוג היא מלאכה מתמשכת</w:t>
      </w:r>
      <w:r w:rsidR="002F20AA" w:rsidRPr="00BA63B1">
        <w:rPr>
          <w:rFonts w:ascii="Alef" w:hAnsi="Alef" w:cs="Alef"/>
          <w:sz w:val="24"/>
          <w:szCs w:val="24"/>
          <w:rtl/>
        </w:rPr>
        <w:t xml:space="preserve"> ודינמית</w:t>
      </w:r>
      <w:r w:rsidRPr="00BA63B1">
        <w:rPr>
          <w:rFonts w:ascii="Alef" w:hAnsi="Alef" w:cs="Alef"/>
          <w:sz w:val="24"/>
          <w:szCs w:val="24"/>
          <w:rtl/>
        </w:rPr>
        <w:t xml:space="preserve"> המוטלת על הצדדים</w:t>
      </w:r>
      <w:r w:rsidR="00260816" w:rsidRPr="00BA63B1">
        <w:rPr>
          <w:rFonts w:ascii="Alef" w:hAnsi="Alef" w:cs="Alef"/>
          <w:sz w:val="24"/>
          <w:szCs w:val="24"/>
          <w:rtl/>
        </w:rPr>
        <w:t>, ומתבצעת לפי לוחות הזמנים של הצדדים עצמם בהתאם להעדפותיהם</w:t>
      </w:r>
      <w:r w:rsidRPr="00BA63B1">
        <w:rPr>
          <w:rFonts w:ascii="Alef" w:hAnsi="Alef" w:cs="Alef"/>
          <w:sz w:val="24"/>
          <w:szCs w:val="24"/>
          <w:rtl/>
        </w:rPr>
        <w:t>.</w:t>
      </w:r>
      <w:r w:rsidR="00CA0BE6" w:rsidRPr="00BA63B1">
        <w:rPr>
          <w:rFonts w:ascii="Alef" w:hAnsi="Alef" w:cs="Alef"/>
          <w:sz w:val="24"/>
          <w:szCs w:val="24"/>
          <w:rtl/>
        </w:rPr>
        <w:t xml:space="preserve"> לצדדים </w:t>
      </w:r>
      <w:r w:rsidR="00A356B6" w:rsidRPr="00BA63B1">
        <w:rPr>
          <w:rFonts w:ascii="Alef" w:hAnsi="Alef" w:cs="Alef"/>
          <w:sz w:val="24"/>
          <w:szCs w:val="24"/>
          <w:rtl/>
        </w:rPr>
        <w:t>י</w:t>
      </w:r>
      <w:r w:rsidR="00CA0BE6" w:rsidRPr="00BA63B1">
        <w:rPr>
          <w:rFonts w:ascii="Alef" w:hAnsi="Alef" w:cs="Alef"/>
          <w:sz w:val="24"/>
          <w:szCs w:val="24"/>
          <w:rtl/>
        </w:rPr>
        <w:t>ש שליטה על מאפייני ההסדר ולעיתים בידם לשנותו</w:t>
      </w:r>
      <w:r w:rsidR="00A356B6" w:rsidRPr="00BA63B1">
        <w:rPr>
          <w:rFonts w:ascii="Alef" w:hAnsi="Alef" w:cs="Alef"/>
          <w:sz w:val="24"/>
          <w:szCs w:val="24"/>
          <w:rtl/>
        </w:rPr>
        <w:t xml:space="preserve"> בנקל</w:t>
      </w:r>
      <w:r w:rsidR="00CA0BE6" w:rsidRPr="00BA63B1">
        <w:rPr>
          <w:rFonts w:ascii="Alef" w:hAnsi="Alef" w:cs="Alef"/>
          <w:sz w:val="24"/>
          <w:szCs w:val="24"/>
          <w:rtl/>
        </w:rPr>
        <w:t>, כך שיתאים לדרישות החוק.</w:t>
      </w:r>
      <w:r w:rsidR="00EB5588" w:rsidRPr="00BA63B1">
        <w:rPr>
          <w:rFonts w:ascii="Alef" w:hAnsi="Alef" w:cs="Alef"/>
          <w:sz w:val="24"/>
          <w:szCs w:val="24"/>
          <w:rtl/>
        </w:rPr>
        <w:t xml:space="preserve"> </w:t>
      </w:r>
      <w:r w:rsidR="00330202" w:rsidRPr="00BA63B1">
        <w:rPr>
          <w:rFonts w:ascii="Alef" w:hAnsi="Alef" w:cs="Alef"/>
          <w:sz w:val="24"/>
          <w:szCs w:val="24"/>
          <w:rtl/>
        </w:rPr>
        <w:t>כמו כן, הם ערים בעצמם לשינויים שחלו בהסדר ויכולים לבחון אותו מפעם לפעם.</w:t>
      </w:r>
    </w:p>
    <w:p w14:paraId="2E3FB8CB" w14:textId="7621B9F0"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אל מול חסרונות חלופת ביטול מנגנון פטורי הסוג, המשך השימוש במנגנון מפחית עלויות למדינה ולציבור </w:t>
      </w:r>
      <w:r w:rsidR="00880657" w:rsidRPr="00BA63B1">
        <w:rPr>
          <w:rFonts w:ascii="Alef" w:hAnsi="Alef" w:cs="Alef"/>
          <w:sz w:val="24"/>
          <w:szCs w:val="24"/>
          <w:rtl/>
        </w:rPr>
        <w:t xml:space="preserve">וזאת </w:t>
      </w:r>
      <w:r w:rsidRPr="00BA63B1">
        <w:rPr>
          <w:rFonts w:ascii="Alef" w:hAnsi="Alef" w:cs="Alef"/>
          <w:sz w:val="24"/>
          <w:szCs w:val="24"/>
          <w:rtl/>
        </w:rPr>
        <w:t xml:space="preserve">מבלי לפגוע בערך המוגן של החוק – התחרות החופשית. </w:t>
      </w:r>
    </w:p>
    <w:p w14:paraId="5DA10DA0" w14:textId="28BD4D39" w:rsidR="00EB5588" w:rsidRPr="00BA63B1" w:rsidRDefault="00EB5588" w:rsidP="00880657">
      <w:pPr>
        <w:jc w:val="both"/>
        <w:rPr>
          <w:rFonts w:ascii="Alef" w:hAnsi="Alef" w:cs="Alef"/>
          <w:sz w:val="24"/>
          <w:szCs w:val="24"/>
          <w:rtl/>
        </w:rPr>
      </w:pPr>
      <w:r w:rsidRPr="00BA63B1">
        <w:rPr>
          <w:rFonts w:ascii="Alef" w:hAnsi="Alef" w:cs="Alef"/>
          <w:sz w:val="24"/>
          <w:szCs w:val="24"/>
          <w:rtl/>
        </w:rPr>
        <w:lastRenderedPageBreak/>
        <w:t xml:space="preserve">על כן, מנגנון פטורי הסוג משמש כאמצעי היעיל ביותר לשמירה על הערך המוגן של תחרות חופשית תוך הסרת נטל רגולטורי וביורוקרטי עודף. </w:t>
      </w:r>
    </w:p>
    <w:p w14:paraId="069490B7" w14:textId="77777777" w:rsidR="00EB5588" w:rsidRPr="00BA63B1" w:rsidRDefault="00EB5588" w:rsidP="00EB5588">
      <w:pPr>
        <w:jc w:val="both"/>
        <w:rPr>
          <w:rFonts w:ascii="Alef" w:hAnsi="Alef" w:cs="Alef"/>
          <w:sz w:val="24"/>
          <w:szCs w:val="24"/>
          <w:rtl/>
        </w:rPr>
      </w:pPr>
      <w:r w:rsidRPr="00BA63B1">
        <w:rPr>
          <w:rFonts w:ascii="Alef" w:hAnsi="Alef" w:cs="Alef"/>
          <w:b/>
          <w:bCs/>
          <w:sz w:val="24"/>
          <w:szCs w:val="24"/>
          <w:u w:val="single"/>
          <w:rtl/>
        </w:rPr>
        <w:t>שיח עם בעלי עניין</w:t>
      </w:r>
    </w:p>
    <w:p w14:paraId="0C806AF1"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ביום 16.11.2020 פרסמה הרשות קול קורא לקבלת עמדות הציבור לעניין: פטור הסוג האנכי, פטור הסוג להסכמי רכישה בלעדית, פטור הסוג להסכמי הפצה בלעדית ופטור הסוג לזכיינות (להלן: </w:t>
      </w:r>
      <w:r w:rsidRPr="00BA63B1">
        <w:rPr>
          <w:rFonts w:ascii="Alef" w:hAnsi="Alef" w:cs="Alef"/>
          <w:b/>
          <w:bCs/>
          <w:sz w:val="24"/>
          <w:szCs w:val="24"/>
          <w:rtl/>
        </w:rPr>
        <w:t>פטורי הסוג הפרטיקולריים</w:t>
      </w:r>
      <w:r w:rsidRPr="00BA63B1">
        <w:rPr>
          <w:rFonts w:ascii="Alef" w:hAnsi="Alef" w:cs="Alef"/>
          <w:sz w:val="24"/>
          <w:szCs w:val="24"/>
          <w:rtl/>
        </w:rPr>
        <w:t>).</w:t>
      </w:r>
      <w:r w:rsidRPr="00BA63B1">
        <w:rPr>
          <w:rStyle w:val="FootnoteReference"/>
          <w:rFonts w:ascii="Alef" w:hAnsi="Alef" w:cs="Alef"/>
          <w:sz w:val="24"/>
          <w:szCs w:val="24"/>
          <w:rtl/>
        </w:rPr>
        <w:footnoteReference w:id="34"/>
      </w:r>
      <w:r w:rsidRPr="00BA63B1">
        <w:rPr>
          <w:rFonts w:ascii="Alef" w:hAnsi="Alef" w:cs="Alef"/>
          <w:sz w:val="24"/>
          <w:szCs w:val="24"/>
          <w:rtl/>
        </w:rPr>
        <w:t xml:space="preserve"> הציבור הוזמן להגיש עמדות בנושא באופן כללי ובאופן ספציפי נתבקשה התייחסות הציבור לאלו: </w:t>
      </w:r>
    </w:p>
    <w:p w14:paraId="35934457" w14:textId="77777777" w:rsidR="00EB5588" w:rsidRPr="00BA63B1" w:rsidRDefault="00EB5588" w:rsidP="00EB5588">
      <w:pPr>
        <w:pStyle w:val="ListParagraph"/>
        <w:numPr>
          <w:ilvl w:val="0"/>
          <w:numId w:val="28"/>
        </w:numPr>
        <w:jc w:val="both"/>
        <w:rPr>
          <w:rFonts w:ascii="Alef" w:hAnsi="Alef" w:cs="Alef"/>
          <w:sz w:val="24"/>
          <w:szCs w:val="24"/>
        </w:rPr>
      </w:pPr>
      <w:r w:rsidRPr="00BA63B1">
        <w:rPr>
          <w:rFonts w:ascii="Alef" w:hAnsi="Alef" w:cs="Alef"/>
          <w:sz w:val="24"/>
          <w:szCs w:val="24"/>
          <w:rtl/>
        </w:rPr>
        <w:t xml:space="preserve">כיצד משמש פטור הסוג האנכי הכללי את הקהילה העסקית, בשים לב לשינויים שהוכנסו בו במהלך שנת 2018? האם השינויים בפטור הסוג מסייעים ביישום של פטור הסוג האנכי? </w:t>
      </w:r>
    </w:p>
    <w:p w14:paraId="6DB19E8F" w14:textId="77777777" w:rsidR="00EB5588" w:rsidRPr="00BA63B1" w:rsidRDefault="00EB5588" w:rsidP="00EB5588">
      <w:pPr>
        <w:pStyle w:val="ListParagraph"/>
        <w:numPr>
          <w:ilvl w:val="0"/>
          <w:numId w:val="28"/>
        </w:numPr>
        <w:jc w:val="both"/>
        <w:rPr>
          <w:rFonts w:ascii="Alef" w:hAnsi="Alef" w:cs="Alef"/>
          <w:sz w:val="24"/>
          <w:szCs w:val="24"/>
        </w:rPr>
      </w:pPr>
      <w:r w:rsidRPr="00BA63B1">
        <w:rPr>
          <w:rFonts w:ascii="Alef" w:hAnsi="Alef" w:cs="Alef"/>
          <w:sz w:val="24"/>
          <w:szCs w:val="24"/>
          <w:rtl/>
        </w:rPr>
        <w:lastRenderedPageBreak/>
        <w:t>האם השינויים בדיני התחרות בשנים האחרונות, ובפרט תיקון מס' 21 לחוק ותיקון פטורי הסוג השונים משנת 2018, הביאו לשינויים בשימוש בפטורי הסוג הפרטיקולריים או לצורך בעדכון או שינוי שלהם?</w:t>
      </w:r>
    </w:p>
    <w:p w14:paraId="521CD5CD" w14:textId="77777777" w:rsidR="00EB5588" w:rsidRPr="00BA63B1" w:rsidRDefault="00EB5588" w:rsidP="00EB5588">
      <w:pPr>
        <w:pStyle w:val="ListParagraph"/>
        <w:numPr>
          <w:ilvl w:val="0"/>
          <w:numId w:val="28"/>
        </w:numPr>
        <w:jc w:val="both"/>
        <w:rPr>
          <w:rFonts w:ascii="Alef" w:hAnsi="Alef" w:cs="Alef"/>
          <w:sz w:val="24"/>
          <w:szCs w:val="24"/>
        </w:rPr>
      </w:pPr>
      <w:r w:rsidRPr="00BA63B1">
        <w:rPr>
          <w:rFonts w:ascii="Alef" w:hAnsi="Alef" w:cs="Alef"/>
          <w:sz w:val="24"/>
          <w:szCs w:val="24"/>
          <w:rtl/>
        </w:rPr>
        <w:t xml:space="preserve">האם יש מקום לשנות או לעדכן את נמלי המבטחים שבפטורי הסוג הפרטיקולריים? </w:t>
      </w:r>
    </w:p>
    <w:p w14:paraId="1C236CE5" w14:textId="39E59C1B" w:rsidR="007D1BE0" w:rsidRPr="00BA63B1" w:rsidRDefault="007D1BE0" w:rsidP="00C554AD">
      <w:pPr>
        <w:jc w:val="both"/>
        <w:rPr>
          <w:rFonts w:ascii="Alef" w:hAnsi="Alef" w:cs="Alef"/>
          <w:sz w:val="24"/>
          <w:szCs w:val="24"/>
          <w:rtl/>
        </w:rPr>
      </w:pPr>
      <w:r w:rsidRPr="00BA63B1">
        <w:rPr>
          <w:rFonts w:ascii="Alef" w:hAnsi="Alef" w:cs="Alef"/>
          <w:sz w:val="24"/>
          <w:szCs w:val="24"/>
          <w:rtl/>
        </w:rPr>
        <w:t>ביום 8.2.2021 פרסמה הרשות קול קורא לקבלת עמדות הציבור לעניין: כללי הוראות והגדרות כלליות, פטור הסוג למיזמים משותפים, פטור הסוג להסכמים לביצוע מחקר ופיתוח, פטור הסוג להסכמים שפגיעתם בתחרות קלת ערך ופטור הסוג להסכמים בין חברות קשורות</w:t>
      </w:r>
      <w:r w:rsidR="004558B0" w:rsidRPr="00BA63B1">
        <w:rPr>
          <w:rFonts w:ascii="Alef" w:hAnsi="Alef" w:cs="Alef"/>
          <w:sz w:val="24"/>
          <w:szCs w:val="24"/>
          <w:rtl/>
        </w:rPr>
        <w:t xml:space="preserve"> – מתוכם נתייחס להערות שנתקבלו ביחס לשני פטורי הסוג האחרונים (</w:t>
      </w:r>
      <w:r w:rsidR="00B90933" w:rsidRPr="00BA63B1">
        <w:rPr>
          <w:rFonts w:ascii="Alef" w:hAnsi="Alef" w:cs="Alef"/>
          <w:sz w:val="24"/>
          <w:szCs w:val="24"/>
          <w:rtl/>
        </w:rPr>
        <w:t>פטורי הסוג להסכמים שפגיעתם בתחרות קלת ערך ולהסכמים בין חברות קשורות) שבהם עוסק מסמך זה</w:t>
      </w:r>
      <w:r w:rsidRPr="00BA63B1">
        <w:rPr>
          <w:rFonts w:ascii="Alef" w:hAnsi="Alef" w:cs="Alef"/>
          <w:sz w:val="24"/>
          <w:szCs w:val="24"/>
          <w:rtl/>
        </w:rPr>
        <w:t>.</w:t>
      </w:r>
      <w:r w:rsidRPr="00BA63B1">
        <w:rPr>
          <w:rStyle w:val="FootnoteReference"/>
          <w:rFonts w:ascii="Alef" w:hAnsi="Alef" w:cs="Alef"/>
          <w:sz w:val="24"/>
          <w:szCs w:val="24"/>
          <w:rtl/>
        </w:rPr>
        <w:footnoteReference w:id="35"/>
      </w:r>
      <w:r w:rsidRPr="00BA63B1">
        <w:rPr>
          <w:rFonts w:ascii="Alef" w:hAnsi="Alef" w:cs="Alef"/>
          <w:sz w:val="24"/>
          <w:szCs w:val="24"/>
          <w:rtl/>
        </w:rPr>
        <w:t xml:space="preserve"> הציבור הרחב </w:t>
      </w:r>
      <w:r w:rsidRPr="00BA63B1">
        <w:rPr>
          <w:rFonts w:ascii="Alef" w:hAnsi="Alef" w:cs="Alef"/>
          <w:sz w:val="24"/>
          <w:szCs w:val="24"/>
          <w:rtl/>
        </w:rPr>
        <w:lastRenderedPageBreak/>
        <w:t>הוזמן להגיש עמדות בעניין חידוש פטורי הסוג והצורך בעריכת תיקונים בה, לרבות ביחס לסוגיות הבאות:</w:t>
      </w:r>
    </w:p>
    <w:p w14:paraId="32071243" w14:textId="3C8A7CB7" w:rsidR="007D1BE0" w:rsidRPr="00BA63B1" w:rsidRDefault="007D1BE0" w:rsidP="007D1BE0">
      <w:pPr>
        <w:pStyle w:val="ListParagraph"/>
        <w:numPr>
          <w:ilvl w:val="0"/>
          <w:numId w:val="29"/>
        </w:numPr>
        <w:jc w:val="both"/>
        <w:rPr>
          <w:rFonts w:ascii="Alef" w:hAnsi="Alef" w:cs="Alef"/>
          <w:sz w:val="24"/>
          <w:szCs w:val="24"/>
        </w:rPr>
      </w:pPr>
      <w:r w:rsidRPr="00BA63B1">
        <w:rPr>
          <w:rFonts w:ascii="Alef" w:hAnsi="Alef" w:cs="Alef"/>
          <w:sz w:val="24"/>
          <w:szCs w:val="24"/>
          <w:rtl/>
        </w:rPr>
        <w:t>באילו מתוך כללי פטורי הסוג שנמנו לעיל נעשה על ידי הק</w:t>
      </w:r>
      <w:r w:rsidR="00C554AD" w:rsidRPr="00BA63B1">
        <w:rPr>
          <w:rFonts w:ascii="Alef" w:hAnsi="Alef" w:cs="Alef"/>
          <w:sz w:val="24"/>
          <w:szCs w:val="24"/>
          <w:rtl/>
        </w:rPr>
        <w:t>הילה העסקית עיקר השימוש, בשים לב לתיקונים שנעשו בחלק מפטורי הסוג במהלך שנת 2018? האם קיימים כללי פטורי סוג שכלל לא נעשה בהם שימוש?</w:t>
      </w:r>
    </w:p>
    <w:p w14:paraId="27DF5385" w14:textId="3FBF851D" w:rsidR="00C554AD" w:rsidRPr="00BA63B1" w:rsidRDefault="00C554AD" w:rsidP="007D1BE0">
      <w:pPr>
        <w:pStyle w:val="ListParagraph"/>
        <w:numPr>
          <w:ilvl w:val="0"/>
          <w:numId w:val="29"/>
        </w:numPr>
        <w:jc w:val="both"/>
        <w:rPr>
          <w:rFonts w:ascii="Alef" w:hAnsi="Alef" w:cs="Alef"/>
          <w:sz w:val="24"/>
          <w:szCs w:val="24"/>
        </w:rPr>
      </w:pPr>
      <w:r w:rsidRPr="00BA63B1">
        <w:rPr>
          <w:rFonts w:ascii="Alef" w:hAnsi="Alef" w:cs="Alef"/>
          <w:sz w:val="24"/>
          <w:szCs w:val="24"/>
          <w:rtl/>
        </w:rPr>
        <w:t>האם השינויים בדיני התחרות בשנים האחרונות, ובפרט תיקון מס' 21 לחוק התחרות הכלכלית, התשמ"ח-1988 ותיקון פטורי הסוג השונים משנת 2018, הביאו לשינויים בשימוש בפטורי הסוג השונים או לצורך בעדכון או שינוי שלהם?</w:t>
      </w:r>
    </w:p>
    <w:p w14:paraId="230AC53E" w14:textId="0D3E5F24" w:rsidR="00C554AD" w:rsidRPr="00BA63B1" w:rsidRDefault="00C554AD" w:rsidP="00C554AD">
      <w:pPr>
        <w:pStyle w:val="ListParagraph"/>
        <w:numPr>
          <w:ilvl w:val="0"/>
          <w:numId w:val="29"/>
        </w:numPr>
        <w:jc w:val="both"/>
        <w:rPr>
          <w:rFonts w:ascii="Alef" w:hAnsi="Alef" w:cs="Alef"/>
          <w:sz w:val="24"/>
          <w:szCs w:val="24"/>
        </w:rPr>
      </w:pPr>
      <w:r w:rsidRPr="00BA63B1">
        <w:rPr>
          <w:rFonts w:ascii="Alef" w:hAnsi="Alef" w:cs="Alef"/>
          <w:sz w:val="24"/>
          <w:szCs w:val="24"/>
          <w:rtl/>
        </w:rPr>
        <w:t xml:space="preserve">האם התמורות שחלו בתחום הכלכלה הדיגיטלית בשנים האחרונות דורשות עריכת שינויים או עדכונים בכללי פטורי הסוג השונים או בהוראות והגדרות הכלליות? </w:t>
      </w:r>
    </w:p>
    <w:p w14:paraId="7D20D0D6" w14:textId="1C4A36C1" w:rsidR="00A466CC" w:rsidRPr="00BA63B1" w:rsidRDefault="00C554AD" w:rsidP="006C32D4">
      <w:pPr>
        <w:jc w:val="both"/>
        <w:rPr>
          <w:rFonts w:ascii="Alef" w:hAnsi="Alef" w:cs="Alef"/>
          <w:sz w:val="24"/>
          <w:szCs w:val="24"/>
          <w:rtl/>
        </w:rPr>
      </w:pPr>
      <w:r w:rsidRPr="00BA63B1">
        <w:rPr>
          <w:rFonts w:ascii="Alef" w:hAnsi="Alef" w:cs="Alef"/>
          <w:sz w:val="24"/>
          <w:szCs w:val="24"/>
          <w:rtl/>
        </w:rPr>
        <w:t>בנוסף הציבור הוזמן להביע עמדתו ביחס לתיקון ספציפי בפטור הסוג למיזמים משותפים</w:t>
      </w:r>
      <w:r w:rsidR="00A86BF9" w:rsidRPr="00BA63B1">
        <w:rPr>
          <w:rFonts w:ascii="Alef" w:hAnsi="Alef" w:cs="Alef"/>
          <w:sz w:val="24"/>
          <w:szCs w:val="24"/>
          <w:rtl/>
        </w:rPr>
        <w:t xml:space="preserve">. </w:t>
      </w:r>
    </w:p>
    <w:p w14:paraId="7F8C8097" w14:textId="660D1788" w:rsidR="00D70A8D" w:rsidRPr="00BA63B1" w:rsidRDefault="003A6EEE" w:rsidP="006C32D4">
      <w:pPr>
        <w:jc w:val="both"/>
        <w:rPr>
          <w:rFonts w:ascii="Alef" w:hAnsi="Alef" w:cs="Alef"/>
          <w:sz w:val="24"/>
          <w:szCs w:val="24"/>
          <w:rtl/>
        </w:rPr>
      </w:pPr>
      <w:r w:rsidRPr="00BA63B1">
        <w:rPr>
          <w:rFonts w:ascii="Alef" w:hAnsi="Alef" w:cs="Alef"/>
          <w:sz w:val="24"/>
          <w:szCs w:val="24"/>
          <w:rtl/>
        </w:rPr>
        <w:lastRenderedPageBreak/>
        <w:t>מ</w:t>
      </w:r>
      <w:r w:rsidR="00A466CC" w:rsidRPr="00BA63B1">
        <w:rPr>
          <w:rFonts w:ascii="Alef" w:hAnsi="Alef" w:cs="Alef"/>
          <w:sz w:val="24"/>
          <w:szCs w:val="24"/>
          <w:rtl/>
        </w:rPr>
        <w:t xml:space="preserve">תגובות בעלי העניין עולה </w:t>
      </w:r>
      <w:r w:rsidRPr="00BA63B1">
        <w:rPr>
          <w:rFonts w:ascii="Alef" w:hAnsi="Alef" w:cs="Alef"/>
          <w:sz w:val="24"/>
          <w:szCs w:val="24"/>
          <w:rtl/>
        </w:rPr>
        <w:t>תמיכ</w:t>
      </w:r>
      <w:r w:rsidR="00B90933" w:rsidRPr="00BA63B1">
        <w:rPr>
          <w:rFonts w:ascii="Alef" w:hAnsi="Alef" w:cs="Alef"/>
          <w:sz w:val="24"/>
          <w:szCs w:val="24"/>
          <w:rtl/>
        </w:rPr>
        <w:t>ה</w:t>
      </w:r>
      <w:r w:rsidR="00A466CC" w:rsidRPr="00BA63B1">
        <w:rPr>
          <w:rFonts w:ascii="Alef" w:hAnsi="Alef" w:cs="Alef"/>
          <w:sz w:val="24"/>
          <w:szCs w:val="24"/>
          <w:rtl/>
        </w:rPr>
        <w:t xml:space="preserve"> </w:t>
      </w:r>
      <w:r w:rsidRPr="00BA63B1">
        <w:rPr>
          <w:rFonts w:ascii="Alef" w:hAnsi="Alef" w:cs="Alef"/>
          <w:sz w:val="24"/>
          <w:szCs w:val="24"/>
          <w:rtl/>
        </w:rPr>
        <w:t>במנגנון פטורי הסוג</w:t>
      </w:r>
      <w:r w:rsidR="00B90933" w:rsidRPr="00BA63B1">
        <w:rPr>
          <w:rFonts w:ascii="Alef" w:hAnsi="Alef" w:cs="Alef"/>
          <w:sz w:val="24"/>
          <w:szCs w:val="24"/>
          <w:rtl/>
        </w:rPr>
        <w:t>,</w:t>
      </w:r>
      <w:r w:rsidRPr="00BA63B1">
        <w:rPr>
          <w:rFonts w:ascii="Alef" w:hAnsi="Alef" w:cs="Alef"/>
          <w:sz w:val="24"/>
          <w:szCs w:val="24"/>
          <w:rtl/>
        </w:rPr>
        <w:t xml:space="preserve"> ובפרט במגמת ההערכה העצמית</w:t>
      </w:r>
      <w:r w:rsidR="00A466CC" w:rsidRPr="00BA63B1">
        <w:rPr>
          <w:rFonts w:ascii="Alef" w:hAnsi="Alef" w:cs="Alef"/>
          <w:sz w:val="24"/>
          <w:szCs w:val="24"/>
          <w:rtl/>
        </w:rPr>
        <w:t xml:space="preserve">. </w:t>
      </w:r>
      <w:r w:rsidR="006071EC" w:rsidRPr="00BA63B1">
        <w:rPr>
          <w:rFonts w:ascii="Alef" w:hAnsi="Alef" w:cs="Alef"/>
          <w:sz w:val="24"/>
          <w:szCs w:val="24"/>
          <w:rtl/>
        </w:rPr>
        <w:t xml:space="preserve">כך למשל, אחד </w:t>
      </w:r>
      <w:r w:rsidR="0000180E" w:rsidRPr="00BA63B1">
        <w:rPr>
          <w:rFonts w:ascii="Alef" w:hAnsi="Alef" w:cs="Alef"/>
          <w:sz w:val="24"/>
          <w:szCs w:val="24"/>
          <w:rtl/>
        </w:rPr>
        <w:t>המגיבים</w:t>
      </w:r>
      <w:r w:rsidR="006071EC" w:rsidRPr="00BA63B1">
        <w:rPr>
          <w:rFonts w:ascii="Alef" w:hAnsi="Alef" w:cs="Alef"/>
          <w:sz w:val="24"/>
          <w:szCs w:val="24"/>
          <w:rtl/>
        </w:rPr>
        <w:t xml:space="preserve"> </w:t>
      </w:r>
      <w:r w:rsidR="00AA1D91" w:rsidRPr="00BA63B1">
        <w:rPr>
          <w:rFonts w:ascii="Alef" w:hAnsi="Alef" w:cs="Alef"/>
          <w:sz w:val="24"/>
          <w:szCs w:val="24"/>
          <w:rtl/>
        </w:rPr>
        <w:t>הדגיש את תועלות מגמת ההערכה העצמית ואת חיוניותה בתקופת משבר הקורונה</w:t>
      </w:r>
      <w:r w:rsidR="006071EC" w:rsidRPr="00BA63B1">
        <w:rPr>
          <w:rFonts w:ascii="Alef" w:hAnsi="Alef" w:cs="Alef"/>
          <w:sz w:val="24"/>
          <w:szCs w:val="24"/>
          <w:rtl/>
        </w:rPr>
        <w:t>:</w:t>
      </w:r>
    </w:p>
    <w:p w14:paraId="394F6221" w14:textId="406C694B" w:rsidR="006071EC" w:rsidRPr="00BA63B1" w:rsidRDefault="006071EC" w:rsidP="00DA2646">
      <w:pPr>
        <w:ind w:left="720" w:right="567"/>
        <w:jc w:val="both"/>
        <w:rPr>
          <w:rFonts w:ascii="Alef" w:hAnsi="Alef" w:cs="Alef"/>
          <w:sz w:val="24"/>
          <w:szCs w:val="24"/>
          <w:rtl/>
        </w:rPr>
      </w:pPr>
      <w:r w:rsidRPr="00BA63B1">
        <w:rPr>
          <w:rFonts w:ascii="Alef" w:hAnsi="Alef" w:cs="Alef"/>
          <w:sz w:val="24"/>
          <w:szCs w:val="24"/>
          <w:rtl/>
        </w:rPr>
        <w:t xml:space="preserve">"בפתח הדברים נציין כי מגמתה של הרשות לאפשר הערכה עצמית של הסדרים כובלים, שהורחבה והועצמה לפני כשנתיים, היא מגמה מבורכת. </w:t>
      </w:r>
      <w:r w:rsidR="00DA2646" w:rsidRPr="00BA63B1">
        <w:rPr>
          <w:rFonts w:ascii="Alef" w:hAnsi="Alef" w:cs="Alef"/>
          <w:sz w:val="24"/>
          <w:szCs w:val="24"/>
          <w:rtl/>
        </w:rPr>
        <w:t xml:space="preserve">... ניסיוננו מהפעלת פטורי הסוג מלמד, שהגמישות הקיימת במנגנון ההערכה העצמית אפשרה בשנים האחרונות הסדרים לגיטימיים, יעילים ולעיתים פרו-תחרותיים, שהשפעתם המבורכת נשללה בעבר מהמשק בשל הצורך בהליך רישוי פרטני ומיותר שאורך זמן וכרוך בעלויות לצדדים ולמדינה. תועלת זו הפכה קריטית ומוחשית במיוחד בזמן משבר הקורונה בשנת 2020. לא נפריז אם נקבע שאלמלא מנגנון ההערכה העצמית (והשינויים החשובים שהכניסה בו הממונה) היו עסקים </w:t>
      </w:r>
      <w:r w:rsidR="00DA2646" w:rsidRPr="00BA63B1">
        <w:rPr>
          <w:rFonts w:ascii="Alef" w:hAnsi="Alef" w:cs="Alef"/>
          <w:sz w:val="24"/>
          <w:szCs w:val="24"/>
          <w:rtl/>
        </w:rPr>
        <w:lastRenderedPageBreak/>
        <w:t xml:space="preserve">רבים מתקשים לממש פתרונות תפעוליים ולוגיסטיים שאפשרו להם להתמודד עם השיבוש החריף שגרמה המגפה לעסקיהם". </w:t>
      </w:r>
    </w:p>
    <w:p w14:paraId="799C5956" w14:textId="6C53ACF1" w:rsidR="00B64B2E" w:rsidRPr="00BA63B1" w:rsidRDefault="002F20AA" w:rsidP="006C32D4">
      <w:pPr>
        <w:jc w:val="both"/>
        <w:rPr>
          <w:rFonts w:ascii="Alef" w:hAnsi="Alef" w:cs="Alef"/>
          <w:color w:val="FF0000"/>
          <w:sz w:val="24"/>
          <w:szCs w:val="24"/>
          <w:rtl/>
        </w:rPr>
      </w:pPr>
      <w:r w:rsidRPr="00BA63B1">
        <w:rPr>
          <w:rFonts w:ascii="Alef" w:hAnsi="Alef" w:cs="Alef"/>
          <w:sz w:val="24"/>
          <w:szCs w:val="24"/>
          <w:rtl/>
        </w:rPr>
        <w:t xml:space="preserve">ביחס לפטורי הסוג האנכיים, </w:t>
      </w:r>
      <w:r w:rsidR="00D70A8D" w:rsidRPr="00BA63B1">
        <w:rPr>
          <w:rFonts w:ascii="Alef" w:hAnsi="Alef" w:cs="Alef"/>
          <w:sz w:val="24"/>
          <w:szCs w:val="24"/>
          <w:rtl/>
        </w:rPr>
        <w:t xml:space="preserve">מן התגובות </w:t>
      </w:r>
      <w:r w:rsidR="00886ACD" w:rsidRPr="00BA63B1">
        <w:rPr>
          <w:rFonts w:ascii="Alef" w:hAnsi="Alef" w:cs="Alef"/>
          <w:sz w:val="24"/>
          <w:szCs w:val="24"/>
          <w:rtl/>
        </w:rPr>
        <w:t>עולה כי ישנו</w:t>
      </w:r>
      <w:r w:rsidR="00D70A8D" w:rsidRPr="00BA63B1">
        <w:rPr>
          <w:rFonts w:ascii="Alef" w:hAnsi="Alef" w:cs="Alef"/>
          <w:sz w:val="24"/>
          <w:szCs w:val="24"/>
          <w:rtl/>
        </w:rPr>
        <w:t xml:space="preserve"> שימוש בפטורי הסוג הפרטיקולריים</w:t>
      </w:r>
      <w:r w:rsidR="00AA1D91" w:rsidRPr="00BA63B1">
        <w:rPr>
          <w:rFonts w:ascii="Alef" w:hAnsi="Alef" w:cs="Alef"/>
          <w:sz w:val="24"/>
          <w:szCs w:val="24"/>
          <w:rtl/>
        </w:rPr>
        <w:t xml:space="preserve"> האנכיים</w:t>
      </w:r>
      <w:r w:rsidR="00D70A8D" w:rsidRPr="00BA63B1">
        <w:rPr>
          <w:rFonts w:ascii="Alef" w:hAnsi="Alef" w:cs="Alef"/>
          <w:sz w:val="24"/>
          <w:szCs w:val="24"/>
          <w:rtl/>
        </w:rPr>
        <w:t xml:space="preserve"> ו</w:t>
      </w:r>
      <w:r w:rsidR="00886ACD" w:rsidRPr="00BA63B1">
        <w:rPr>
          <w:rFonts w:ascii="Alef" w:hAnsi="Alef" w:cs="Alef"/>
          <w:sz w:val="24"/>
          <w:szCs w:val="24"/>
          <w:rtl/>
        </w:rPr>
        <w:t>זאת מעבר ל</w:t>
      </w:r>
      <w:r w:rsidR="00D70A8D" w:rsidRPr="00BA63B1">
        <w:rPr>
          <w:rFonts w:ascii="Alef" w:hAnsi="Alef" w:cs="Alef"/>
          <w:sz w:val="24"/>
          <w:szCs w:val="24"/>
          <w:rtl/>
        </w:rPr>
        <w:t>פטור הסוג האנכי.</w:t>
      </w:r>
      <w:r w:rsidR="00E43DEC" w:rsidRPr="00BA63B1">
        <w:rPr>
          <w:rFonts w:ascii="Alef" w:hAnsi="Alef" w:cs="Alef"/>
          <w:sz w:val="24"/>
          <w:szCs w:val="24"/>
          <w:rtl/>
        </w:rPr>
        <w:t xml:space="preserve"> זאת, היות שלעיתים ניתן לבחון עמידה בתנאי פטורי הסוג הפרטיקולריים בקלות יחסית – בעוד שבחינת עמידה בפטור הסוג האנכי מחייבת בדיקות  כלכליות מהותיות שעשויות להיות מורכבות יותר.</w:t>
      </w:r>
      <w:r w:rsidR="00C22885" w:rsidRPr="00BA63B1">
        <w:rPr>
          <w:rFonts w:ascii="Alef" w:hAnsi="Alef" w:cs="Alef"/>
          <w:strike/>
          <w:sz w:val="24"/>
          <w:szCs w:val="24"/>
          <w:rtl/>
        </w:rPr>
        <w:t xml:space="preserve"> </w:t>
      </w:r>
    </w:p>
    <w:p w14:paraId="224C7581" w14:textId="77777777" w:rsidR="006C32D4" w:rsidRPr="00BA63B1" w:rsidRDefault="00FF1C5A" w:rsidP="006C32D4">
      <w:pPr>
        <w:jc w:val="both"/>
        <w:rPr>
          <w:rFonts w:ascii="Alef" w:hAnsi="Alef" w:cs="Alef"/>
          <w:sz w:val="24"/>
          <w:szCs w:val="24"/>
          <w:rtl/>
        </w:rPr>
      </w:pPr>
      <w:r w:rsidRPr="00BA63B1">
        <w:rPr>
          <w:rFonts w:ascii="Alef" w:hAnsi="Alef" w:cs="Alef"/>
          <w:sz w:val="24"/>
          <w:szCs w:val="24"/>
          <w:rtl/>
        </w:rPr>
        <w:t>ביחס לפטורי הסוג האנ</w:t>
      </w:r>
      <w:r w:rsidR="008C545F" w:rsidRPr="00BA63B1">
        <w:rPr>
          <w:rFonts w:ascii="Alef" w:hAnsi="Alef" w:cs="Alef"/>
          <w:sz w:val="24"/>
          <w:szCs w:val="24"/>
          <w:rtl/>
        </w:rPr>
        <w:t>כיים הפרטיקולריים, נטען על ידי מגיבים כי ניתן להבהיר כי פטורי הסוג חלים</w:t>
      </w:r>
      <w:r w:rsidR="00F05F60" w:rsidRPr="00BA63B1">
        <w:rPr>
          <w:rFonts w:ascii="Alef" w:hAnsi="Alef" w:cs="Alef"/>
          <w:sz w:val="24"/>
          <w:szCs w:val="24"/>
          <w:rtl/>
        </w:rPr>
        <w:t xml:space="preserve"> גם</w:t>
      </w:r>
      <w:r w:rsidR="008C545F" w:rsidRPr="00BA63B1">
        <w:rPr>
          <w:rFonts w:ascii="Alef" w:hAnsi="Alef" w:cs="Alef"/>
          <w:sz w:val="24"/>
          <w:szCs w:val="24"/>
          <w:rtl/>
        </w:rPr>
        <w:t xml:space="preserve"> ביחס למצבים פוגעניים פחות תחרותית</w:t>
      </w:r>
      <w:r w:rsidR="00D87EC6" w:rsidRPr="00BA63B1">
        <w:rPr>
          <w:rFonts w:ascii="Alef" w:hAnsi="Alef" w:cs="Alef"/>
          <w:sz w:val="24"/>
          <w:szCs w:val="24"/>
          <w:rtl/>
        </w:rPr>
        <w:t xml:space="preserve"> מאלו בפטור הסוג</w:t>
      </w:r>
      <w:r w:rsidR="005F06F7" w:rsidRPr="00BA63B1">
        <w:rPr>
          <w:rFonts w:ascii="Alef" w:hAnsi="Alef" w:cs="Alef"/>
          <w:sz w:val="24"/>
          <w:szCs w:val="24"/>
          <w:rtl/>
        </w:rPr>
        <w:t>, או שמתקי</w:t>
      </w:r>
      <w:r w:rsidR="00D87EC6" w:rsidRPr="00BA63B1">
        <w:rPr>
          <w:rFonts w:ascii="Alef" w:hAnsi="Alef" w:cs="Alef"/>
          <w:sz w:val="24"/>
          <w:szCs w:val="24"/>
          <w:rtl/>
        </w:rPr>
        <w:t xml:space="preserve">ים לגביהם </w:t>
      </w:r>
      <w:proofErr w:type="spellStart"/>
      <w:r w:rsidR="00D87EC6" w:rsidRPr="00BA63B1">
        <w:rPr>
          <w:rFonts w:ascii="Alef" w:hAnsi="Alef" w:cs="Alef"/>
          <w:sz w:val="24"/>
          <w:szCs w:val="24"/>
          <w:rtl/>
        </w:rPr>
        <w:t>הרציונאל</w:t>
      </w:r>
      <w:proofErr w:type="spellEnd"/>
      <w:r w:rsidR="00D87EC6" w:rsidRPr="00BA63B1">
        <w:rPr>
          <w:rFonts w:ascii="Alef" w:hAnsi="Alef" w:cs="Alef"/>
          <w:sz w:val="24"/>
          <w:szCs w:val="24"/>
          <w:rtl/>
        </w:rPr>
        <w:t xml:space="preserve"> של פטור הסוג </w:t>
      </w:r>
      <w:r w:rsidR="00F05F60" w:rsidRPr="00BA63B1">
        <w:rPr>
          <w:rFonts w:ascii="Alef" w:hAnsi="Alef" w:cs="Alef"/>
          <w:sz w:val="24"/>
          <w:szCs w:val="24"/>
          <w:rtl/>
        </w:rPr>
        <w:t xml:space="preserve">– למשל גם ביחס להפצה או רכישה ללא בלעדיות מלאה. </w:t>
      </w:r>
    </w:p>
    <w:p w14:paraId="0F579171" w14:textId="7794CB69" w:rsidR="00765735" w:rsidRPr="00BA63B1" w:rsidRDefault="00A306E0" w:rsidP="006C32D4">
      <w:pPr>
        <w:jc w:val="both"/>
        <w:rPr>
          <w:rFonts w:ascii="Alef" w:hAnsi="Alef" w:cs="Alef"/>
          <w:sz w:val="24"/>
          <w:szCs w:val="24"/>
          <w:rtl/>
        </w:rPr>
      </w:pPr>
      <w:r w:rsidRPr="00BA63B1">
        <w:rPr>
          <w:rFonts w:ascii="Alef" w:hAnsi="Alef" w:cs="Alef"/>
          <w:sz w:val="24"/>
          <w:szCs w:val="24"/>
          <w:rtl/>
        </w:rPr>
        <w:t xml:space="preserve">לשיטת הרשות, תיקון פטורי הסוג הפרטיקולריים והרחבת כללי האצבע שבהם אינה </w:t>
      </w:r>
      <w:r w:rsidR="00FE3EFA" w:rsidRPr="00BA63B1">
        <w:rPr>
          <w:rFonts w:ascii="Alef" w:hAnsi="Alef" w:cs="Alef"/>
          <w:sz w:val="24"/>
          <w:szCs w:val="24"/>
          <w:rtl/>
        </w:rPr>
        <w:t xml:space="preserve">רצויה עיונית וגם אינה נדרשת מבחינה מעשית. </w:t>
      </w:r>
      <w:r w:rsidRPr="00BA63B1">
        <w:rPr>
          <w:rFonts w:ascii="Alef" w:hAnsi="Alef" w:cs="Alef"/>
          <w:sz w:val="24"/>
          <w:szCs w:val="24"/>
          <w:rtl/>
        </w:rPr>
        <w:t xml:space="preserve"> </w:t>
      </w:r>
    </w:p>
    <w:p w14:paraId="18C99330" w14:textId="0326E370" w:rsidR="007744CB" w:rsidRPr="00BA63B1" w:rsidRDefault="00E11D43" w:rsidP="00313429">
      <w:pPr>
        <w:jc w:val="both"/>
        <w:rPr>
          <w:rFonts w:ascii="Alef" w:hAnsi="Alef" w:cs="Alef"/>
          <w:sz w:val="24"/>
          <w:szCs w:val="24"/>
          <w:rtl/>
        </w:rPr>
      </w:pPr>
      <w:r w:rsidRPr="00BA63B1">
        <w:rPr>
          <w:rFonts w:ascii="Alef" w:hAnsi="Alef" w:cs="Alef"/>
          <w:sz w:val="24"/>
          <w:szCs w:val="24"/>
          <w:rtl/>
        </w:rPr>
        <w:lastRenderedPageBreak/>
        <w:t xml:space="preserve">מגמת הרשות היא </w:t>
      </w:r>
      <w:r w:rsidR="007744CB" w:rsidRPr="00BA63B1">
        <w:rPr>
          <w:rFonts w:ascii="Alef" w:hAnsi="Alef" w:cs="Alef"/>
          <w:sz w:val="24"/>
          <w:szCs w:val="24"/>
          <w:rtl/>
        </w:rPr>
        <w:t>להתקין</w:t>
      </w:r>
      <w:r w:rsidRPr="00BA63B1">
        <w:rPr>
          <w:rFonts w:ascii="Alef" w:hAnsi="Alef" w:cs="Alef"/>
          <w:sz w:val="24"/>
          <w:szCs w:val="24"/>
          <w:rtl/>
        </w:rPr>
        <w:t xml:space="preserve"> פטורי סוג </w:t>
      </w:r>
      <w:r w:rsidR="002D5208" w:rsidRPr="00BA63B1">
        <w:rPr>
          <w:rFonts w:ascii="Alef" w:hAnsi="Alef" w:cs="Alef"/>
          <w:sz w:val="24"/>
          <w:szCs w:val="24"/>
          <w:rtl/>
        </w:rPr>
        <w:t>מבוססי</w:t>
      </w:r>
      <w:r w:rsidR="007744CB" w:rsidRPr="00BA63B1">
        <w:rPr>
          <w:rFonts w:ascii="Alef" w:hAnsi="Alef" w:cs="Alef"/>
          <w:sz w:val="24"/>
          <w:szCs w:val="24"/>
          <w:rtl/>
        </w:rPr>
        <w:t xml:space="preserve"> </w:t>
      </w:r>
      <w:r w:rsidRPr="00BA63B1">
        <w:rPr>
          <w:rFonts w:ascii="Alef" w:hAnsi="Alef" w:cs="Alef"/>
          <w:sz w:val="24"/>
          <w:szCs w:val="24"/>
          <w:rtl/>
        </w:rPr>
        <w:t xml:space="preserve">הערכה עצמית </w:t>
      </w:r>
      <w:r w:rsidR="007744CB" w:rsidRPr="00BA63B1">
        <w:rPr>
          <w:rFonts w:ascii="Alef" w:hAnsi="Alef" w:cs="Alef"/>
          <w:sz w:val="24"/>
          <w:szCs w:val="24"/>
          <w:rtl/>
        </w:rPr>
        <w:t xml:space="preserve">וזאת להבדיל מפטורי סוג הכוללים נמל מבטחים </w:t>
      </w:r>
      <w:r w:rsidR="00691AAD" w:rsidRPr="00BA63B1">
        <w:rPr>
          <w:rFonts w:ascii="Alef" w:hAnsi="Alef" w:cs="Alef"/>
          <w:sz w:val="24"/>
          <w:szCs w:val="24"/>
          <w:rtl/>
        </w:rPr>
        <w:t>המשמש</w:t>
      </w:r>
      <w:r w:rsidR="007744CB" w:rsidRPr="00BA63B1">
        <w:rPr>
          <w:rFonts w:ascii="Alef" w:hAnsi="Alef" w:cs="Alef"/>
          <w:sz w:val="24"/>
          <w:szCs w:val="24"/>
          <w:rtl/>
        </w:rPr>
        <w:t xml:space="preserve"> </w:t>
      </w:r>
      <w:r w:rsidR="00691AAD" w:rsidRPr="00BA63B1">
        <w:rPr>
          <w:rFonts w:ascii="Alef" w:hAnsi="Alef" w:cs="Alef"/>
          <w:sz w:val="24"/>
          <w:szCs w:val="24"/>
          <w:rtl/>
        </w:rPr>
        <w:t>כ</w:t>
      </w:r>
      <w:r w:rsidR="007744CB" w:rsidRPr="00BA63B1">
        <w:rPr>
          <w:rFonts w:ascii="Alef" w:hAnsi="Alef" w:cs="Alef"/>
          <w:sz w:val="24"/>
          <w:szCs w:val="24"/>
          <w:rtl/>
        </w:rPr>
        <w:t xml:space="preserve">קונקרטיזציה של דרישות הדין המהותיות שבסעיף 15א(א). </w:t>
      </w:r>
      <w:r w:rsidR="00E617FC" w:rsidRPr="00BA63B1">
        <w:rPr>
          <w:rFonts w:ascii="Alef" w:hAnsi="Alef" w:cs="Alef"/>
          <w:sz w:val="24"/>
          <w:szCs w:val="24"/>
          <w:rtl/>
        </w:rPr>
        <w:t>מגמה זו מאפשרת לצדדים שעומדים בדרישות הדין המהותיות ליהנות מפטור סוג וזאת אף אם אינם נכנסים</w:t>
      </w:r>
      <w:r w:rsidR="002D5208" w:rsidRPr="00BA63B1">
        <w:rPr>
          <w:rFonts w:ascii="Alef" w:hAnsi="Alef" w:cs="Alef"/>
          <w:sz w:val="24"/>
          <w:szCs w:val="24"/>
          <w:rtl/>
        </w:rPr>
        <w:t xml:space="preserve"> לאחד מכללי האצבע, קרי להוראות </w:t>
      </w:r>
      <w:r w:rsidR="00E617FC" w:rsidRPr="00BA63B1">
        <w:rPr>
          <w:rFonts w:ascii="Alef" w:hAnsi="Alef" w:cs="Alef"/>
          <w:sz w:val="24"/>
          <w:szCs w:val="24"/>
          <w:rtl/>
        </w:rPr>
        <w:t xml:space="preserve">נמל המבטחים. </w:t>
      </w:r>
      <w:r w:rsidR="00765735" w:rsidRPr="00BA63B1">
        <w:rPr>
          <w:rFonts w:ascii="Alef" w:hAnsi="Alef" w:cs="Alef"/>
          <w:sz w:val="24"/>
          <w:szCs w:val="24"/>
          <w:rtl/>
        </w:rPr>
        <w:t xml:space="preserve">הניסיון לייצר כללי אצבע בדמות הוראות נמל מבטחים סובל מטיבו מהכללת חסר או יתר אל מול המבחן המהותי בנסיבות הקונקרטיות. </w:t>
      </w:r>
      <w:r w:rsidR="0038796C" w:rsidRPr="00BA63B1">
        <w:rPr>
          <w:rFonts w:ascii="Alef" w:hAnsi="Alef" w:cs="Alef"/>
          <w:sz w:val="24"/>
          <w:szCs w:val="24"/>
          <w:rtl/>
        </w:rPr>
        <w:t xml:space="preserve">מטעם זה הרשות אינה סבורה כי נכון להוסיף הוראות נמל מבטחים לפטור הסוג האנכי. </w:t>
      </w:r>
      <w:r w:rsidR="00765735" w:rsidRPr="00BA63B1">
        <w:rPr>
          <w:rFonts w:ascii="Alef" w:hAnsi="Alef" w:cs="Alef"/>
          <w:sz w:val="24"/>
          <w:szCs w:val="24"/>
          <w:rtl/>
        </w:rPr>
        <w:t xml:space="preserve">על כן, הרשות מעודדת את הצדדים להתחקות אחר המהות ולהחיל על ההסדר את דרישות הדין המהותיות במסגרת הערכה עצמית. </w:t>
      </w:r>
      <w:r w:rsidR="007744CB" w:rsidRPr="00BA63B1">
        <w:rPr>
          <w:rFonts w:ascii="Alef" w:hAnsi="Alef" w:cs="Alef"/>
          <w:sz w:val="24"/>
          <w:szCs w:val="24"/>
          <w:rtl/>
        </w:rPr>
        <w:t>בשים לב לכך שנערך שימוש ב</w:t>
      </w:r>
      <w:r w:rsidR="0056628D" w:rsidRPr="00BA63B1">
        <w:rPr>
          <w:rFonts w:ascii="Alef" w:hAnsi="Alef" w:cs="Alef"/>
          <w:sz w:val="24"/>
          <w:szCs w:val="24"/>
          <w:rtl/>
        </w:rPr>
        <w:t>פועל בפטורי הסוג האנכיים הפרטיקולריים</w:t>
      </w:r>
      <w:r w:rsidR="006C32D4" w:rsidRPr="00BA63B1">
        <w:rPr>
          <w:rFonts w:ascii="Alef" w:hAnsi="Alef" w:cs="Alef"/>
          <w:sz w:val="24"/>
          <w:szCs w:val="24"/>
          <w:rtl/>
        </w:rPr>
        <w:t>,</w:t>
      </w:r>
      <w:r w:rsidR="007744CB" w:rsidRPr="00BA63B1">
        <w:rPr>
          <w:rFonts w:ascii="Alef" w:hAnsi="Alef" w:cs="Alef"/>
          <w:sz w:val="24"/>
          <w:szCs w:val="24"/>
          <w:rtl/>
        </w:rPr>
        <w:t xml:space="preserve"> הרשות </w:t>
      </w:r>
      <w:r w:rsidR="0056628D" w:rsidRPr="00BA63B1">
        <w:rPr>
          <w:rFonts w:ascii="Alef" w:hAnsi="Alef" w:cs="Alef"/>
          <w:sz w:val="24"/>
          <w:szCs w:val="24"/>
          <w:rtl/>
        </w:rPr>
        <w:t>רא</w:t>
      </w:r>
      <w:r w:rsidR="00E617FC" w:rsidRPr="00BA63B1">
        <w:rPr>
          <w:rFonts w:ascii="Alef" w:hAnsi="Alef" w:cs="Alef"/>
          <w:sz w:val="24"/>
          <w:szCs w:val="24"/>
          <w:rtl/>
        </w:rPr>
        <w:t>ת</w:t>
      </w:r>
      <w:r w:rsidR="0056628D" w:rsidRPr="00BA63B1">
        <w:rPr>
          <w:rFonts w:ascii="Alef" w:hAnsi="Alef" w:cs="Alef"/>
          <w:sz w:val="24"/>
          <w:szCs w:val="24"/>
          <w:rtl/>
        </w:rPr>
        <w:t>ה</w:t>
      </w:r>
      <w:r w:rsidR="007744CB" w:rsidRPr="00BA63B1">
        <w:rPr>
          <w:rFonts w:ascii="Alef" w:hAnsi="Alef" w:cs="Alef"/>
          <w:sz w:val="24"/>
          <w:szCs w:val="24"/>
          <w:rtl/>
        </w:rPr>
        <w:t xml:space="preserve"> לנכון להותיר</w:t>
      </w:r>
      <w:r w:rsidR="00313429" w:rsidRPr="00BA63B1">
        <w:rPr>
          <w:rFonts w:ascii="Alef" w:hAnsi="Alef" w:cs="Alef"/>
          <w:sz w:val="24"/>
          <w:szCs w:val="24"/>
          <w:rtl/>
        </w:rPr>
        <w:t>ם</w:t>
      </w:r>
      <w:r w:rsidR="007744CB" w:rsidRPr="00BA63B1">
        <w:rPr>
          <w:rFonts w:ascii="Alef" w:hAnsi="Alef" w:cs="Alef"/>
          <w:sz w:val="24"/>
          <w:szCs w:val="24"/>
          <w:rtl/>
        </w:rPr>
        <w:t xml:space="preserve"> על כנ</w:t>
      </w:r>
      <w:r w:rsidR="00313429" w:rsidRPr="00BA63B1">
        <w:rPr>
          <w:rFonts w:ascii="Alef" w:hAnsi="Alef" w:cs="Alef"/>
          <w:sz w:val="24"/>
          <w:szCs w:val="24"/>
          <w:rtl/>
        </w:rPr>
        <w:t>ם</w:t>
      </w:r>
      <w:r w:rsidR="00E617FC" w:rsidRPr="00BA63B1">
        <w:rPr>
          <w:rFonts w:ascii="Alef" w:hAnsi="Alef" w:cs="Alef"/>
          <w:sz w:val="24"/>
          <w:szCs w:val="24"/>
          <w:rtl/>
        </w:rPr>
        <w:t xml:space="preserve"> ולא לבטל</w:t>
      </w:r>
      <w:r w:rsidR="00313429" w:rsidRPr="00BA63B1">
        <w:rPr>
          <w:rFonts w:ascii="Alef" w:hAnsi="Alef" w:cs="Alef"/>
          <w:sz w:val="24"/>
          <w:szCs w:val="24"/>
          <w:rtl/>
        </w:rPr>
        <w:t>ם</w:t>
      </w:r>
      <w:r w:rsidR="007744CB" w:rsidRPr="00BA63B1">
        <w:rPr>
          <w:rFonts w:ascii="Alef" w:hAnsi="Alef" w:cs="Alef"/>
          <w:sz w:val="24"/>
          <w:szCs w:val="24"/>
          <w:rtl/>
        </w:rPr>
        <w:t xml:space="preserve">. </w:t>
      </w:r>
      <w:r w:rsidR="0056628D" w:rsidRPr="00BA63B1">
        <w:rPr>
          <w:rFonts w:ascii="Alef" w:hAnsi="Alef" w:cs="Alef"/>
          <w:sz w:val="24"/>
          <w:szCs w:val="24"/>
          <w:rtl/>
        </w:rPr>
        <w:t xml:space="preserve">יחד עם זאת, </w:t>
      </w:r>
      <w:r w:rsidR="00765735" w:rsidRPr="00BA63B1">
        <w:rPr>
          <w:rFonts w:ascii="Alef" w:hAnsi="Alef" w:cs="Alef"/>
          <w:sz w:val="24"/>
          <w:szCs w:val="24"/>
          <w:rtl/>
        </w:rPr>
        <w:t xml:space="preserve">הרשות סבורה כי הידרשות לפטור הסוג האנכי </w:t>
      </w:r>
      <w:r w:rsidR="00810FC2" w:rsidRPr="00BA63B1">
        <w:rPr>
          <w:rFonts w:ascii="Alef" w:hAnsi="Alef" w:cs="Alef"/>
          <w:sz w:val="24"/>
          <w:szCs w:val="24"/>
          <w:rtl/>
        </w:rPr>
        <w:t>עדיפה על פני השקעת משאבים ב</w:t>
      </w:r>
      <w:r w:rsidR="002B4FE7" w:rsidRPr="00BA63B1">
        <w:rPr>
          <w:rFonts w:ascii="Alef" w:hAnsi="Alef" w:cs="Alef"/>
          <w:sz w:val="24"/>
          <w:szCs w:val="24"/>
          <w:rtl/>
        </w:rPr>
        <w:t xml:space="preserve">ניסיונות לשכלל ולדייק </w:t>
      </w:r>
      <w:r w:rsidR="00810FC2" w:rsidRPr="00BA63B1">
        <w:rPr>
          <w:rFonts w:ascii="Alef" w:hAnsi="Alef" w:cs="Alef"/>
          <w:sz w:val="24"/>
          <w:szCs w:val="24"/>
          <w:rtl/>
        </w:rPr>
        <w:t>את כלל</w:t>
      </w:r>
      <w:r w:rsidR="002B4FE7" w:rsidRPr="00BA63B1">
        <w:rPr>
          <w:rFonts w:ascii="Alef" w:hAnsi="Alef" w:cs="Alef"/>
          <w:sz w:val="24"/>
          <w:szCs w:val="24"/>
          <w:rtl/>
        </w:rPr>
        <w:t>י</w:t>
      </w:r>
      <w:r w:rsidR="00810FC2" w:rsidRPr="00BA63B1">
        <w:rPr>
          <w:rFonts w:ascii="Alef" w:hAnsi="Alef" w:cs="Alef"/>
          <w:sz w:val="24"/>
          <w:szCs w:val="24"/>
          <w:rtl/>
        </w:rPr>
        <w:t xml:space="preserve"> האצבע המדויק</w:t>
      </w:r>
      <w:r w:rsidR="002B4FE7" w:rsidRPr="00BA63B1">
        <w:rPr>
          <w:rFonts w:ascii="Alef" w:hAnsi="Alef" w:cs="Alef"/>
          <w:sz w:val="24"/>
          <w:szCs w:val="24"/>
          <w:rtl/>
        </w:rPr>
        <w:t>ים</w:t>
      </w:r>
      <w:r w:rsidR="00810FC2" w:rsidRPr="00BA63B1">
        <w:rPr>
          <w:rFonts w:ascii="Alef" w:hAnsi="Alef" w:cs="Alef"/>
          <w:sz w:val="24"/>
          <w:szCs w:val="24"/>
          <w:rtl/>
        </w:rPr>
        <w:t xml:space="preserve"> בפטור</w:t>
      </w:r>
      <w:r w:rsidR="002B4FE7" w:rsidRPr="00BA63B1">
        <w:rPr>
          <w:rFonts w:ascii="Alef" w:hAnsi="Alef" w:cs="Alef"/>
          <w:sz w:val="24"/>
          <w:szCs w:val="24"/>
          <w:rtl/>
        </w:rPr>
        <w:t xml:space="preserve">ים </w:t>
      </w:r>
      <w:r w:rsidR="00810FC2" w:rsidRPr="00BA63B1">
        <w:rPr>
          <w:rFonts w:ascii="Alef" w:hAnsi="Alef" w:cs="Alef"/>
          <w:sz w:val="24"/>
          <w:szCs w:val="24"/>
          <w:rtl/>
        </w:rPr>
        <w:t>פרטיקולרי</w:t>
      </w:r>
      <w:r w:rsidR="002B4FE7" w:rsidRPr="00BA63B1">
        <w:rPr>
          <w:rFonts w:ascii="Alef" w:hAnsi="Alef" w:cs="Alef"/>
          <w:sz w:val="24"/>
          <w:szCs w:val="24"/>
          <w:rtl/>
        </w:rPr>
        <w:t>ים</w:t>
      </w:r>
      <w:r w:rsidR="00810FC2" w:rsidRPr="00BA63B1">
        <w:rPr>
          <w:rFonts w:ascii="Alef" w:hAnsi="Alef" w:cs="Alef"/>
          <w:sz w:val="24"/>
          <w:szCs w:val="24"/>
          <w:rtl/>
        </w:rPr>
        <w:t xml:space="preserve"> </w:t>
      </w:r>
      <w:r w:rsidR="002B4FE7" w:rsidRPr="00BA63B1">
        <w:rPr>
          <w:rFonts w:ascii="Alef" w:hAnsi="Alef" w:cs="Alef"/>
          <w:sz w:val="24"/>
          <w:szCs w:val="24"/>
          <w:rtl/>
        </w:rPr>
        <w:t xml:space="preserve">כך שיספקו מענה </w:t>
      </w:r>
      <w:r w:rsidR="00810FC2" w:rsidRPr="00BA63B1">
        <w:rPr>
          <w:rFonts w:ascii="Alef" w:hAnsi="Alef" w:cs="Alef"/>
          <w:sz w:val="24"/>
          <w:szCs w:val="24"/>
          <w:rtl/>
        </w:rPr>
        <w:t xml:space="preserve">ביחס לכל הערה והערה שעשויה לעלות. </w:t>
      </w:r>
      <w:r w:rsidR="00647AE5" w:rsidRPr="00BA63B1">
        <w:rPr>
          <w:rFonts w:ascii="Alef" w:hAnsi="Alef" w:cs="Alef"/>
          <w:sz w:val="24"/>
          <w:szCs w:val="24"/>
          <w:rtl/>
        </w:rPr>
        <w:t xml:space="preserve">תיקון </w:t>
      </w:r>
      <w:r w:rsidR="00FE3EFA" w:rsidRPr="00BA63B1">
        <w:rPr>
          <w:rFonts w:ascii="Alef" w:hAnsi="Alef" w:cs="Alef"/>
          <w:sz w:val="24"/>
          <w:szCs w:val="24"/>
          <w:rtl/>
        </w:rPr>
        <w:t xml:space="preserve">פטורי הסוג הפרטיקולריים </w:t>
      </w:r>
      <w:r w:rsidR="00647AE5" w:rsidRPr="00BA63B1">
        <w:rPr>
          <w:rFonts w:ascii="Alef" w:hAnsi="Alef" w:cs="Alef"/>
          <w:sz w:val="24"/>
          <w:szCs w:val="24"/>
          <w:rtl/>
        </w:rPr>
        <w:t xml:space="preserve">כאמור </w:t>
      </w:r>
      <w:r w:rsidR="00FE3EFA" w:rsidRPr="00BA63B1">
        <w:rPr>
          <w:rFonts w:ascii="Alef" w:hAnsi="Alef" w:cs="Alef"/>
          <w:sz w:val="24"/>
          <w:szCs w:val="24"/>
          <w:rtl/>
        </w:rPr>
        <w:lastRenderedPageBreak/>
        <w:t>אינו נדרש במישור המעשי שכן לרשות הצדדים עומד פטור הסוג האנכי. הדעת נותנת כי הסדר פוגעני פחות מזה העומד</w:t>
      </w:r>
      <w:r w:rsidR="00E0179D" w:rsidRPr="00BA63B1">
        <w:rPr>
          <w:rFonts w:ascii="Alef" w:hAnsi="Alef" w:cs="Alef"/>
          <w:sz w:val="24"/>
          <w:szCs w:val="24"/>
          <w:rtl/>
        </w:rPr>
        <w:t xml:space="preserve"> בכללי נמל המבטחים הקיימים בפטורי הסוג הפרטיקולריים ניתן להכשרה באמצעות הערכה עצמית על פי פטור הסוג האנכי. </w:t>
      </w:r>
      <w:r w:rsidR="00FE3EFA" w:rsidRPr="00BA63B1">
        <w:rPr>
          <w:rFonts w:ascii="Alef" w:hAnsi="Alef" w:cs="Alef"/>
          <w:sz w:val="24"/>
          <w:szCs w:val="24"/>
          <w:rtl/>
        </w:rPr>
        <w:t xml:space="preserve"> </w:t>
      </w:r>
    </w:p>
    <w:p w14:paraId="6CF5072F" w14:textId="77777777" w:rsidR="00BA1B2C" w:rsidRPr="00BA63B1" w:rsidRDefault="005F6D45" w:rsidP="002B046F">
      <w:pPr>
        <w:jc w:val="both"/>
        <w:rPr>
          <w:rFonts w:ascii="Alef" w:hAnsi="Alef" w:cs="Alef"/>
          <w:sz w:val="24"/>
          <w:szCs w:val="24"/>
          <w:rtl/>
        </w:rPr>
      </w:pPr>
      <w:r w:rsidRPr="00BA63B1">
        <w:rPr>
          <w:rFonts w:ascii="Alef" w:hAnsi="Alef" w:cs="Alef"/>
          <w:sz w:val="24"/>
          <w:szCs w:val="24"/>
          <w:rtl/>
        </w:rPr>
        <w:t xml:space="preserve">הערת </w:t>
      </w:r>
      <w:r w:rsidR="003F680A" w:rsidRPr="00BA63B1">
        <w:rPr>
          <w:rFonts w:ascii="Alef" w:hAnsi="Alef" w:cs="Alef"/>
          <w:sz w:val="24"/>
          <w:szCs w:val="24"/>
          <w:rtl/>
        </w:rPr>
        <w:t xml:space="preserve">ציבור נוספת שהתקבלה גרסה כי פטור הסוג האנכי פוטר יבואנים בלעדיים שנתח השוק שלהם בשווקים הרלוונטיים הוא מעל 30% והדבר בהכרח מוביל לפגיעה משמעותית בתחרות. </w:t>
      </w:r>
    </w:p>
    <w:p w14:paraId="3E0058FC" w14:textId="44B0B3DE" w:rsidR="0026022C" w:rsidRPr="00BA63B1" w:rsidRDefault="003F680A" w:rsidP="005B6B94">
      <w:pPr>
        <w:jc w:val="both"/>
        <w:rPr>
          <w:rFonts w:ascii="Alef" w:hAnsi="Alef" w:cs="Alef"/>
          <w:sz w:val="24"/>
          <w:szCs w:val="24"/>
          <w:rtl/>
        </w:rPr>
      </w:pPr>
      <w:r w:rsidRPr="00BA63B1">
        <w:rPr>
          <w:rFonts w:ascii="Alef" w:hAnsi="Alef" w:cs="Alef"/>
          <w:sz w:val="24"/>
          <w:szCs w:val="24"/>
          <w:rtl/>
        </w:rPr>
        <w:t>לשיטת הרשות אין מקום ל</w:t>
      </w:r>
      <w:r w:rsidR="005F252E" w:rsidRPr="00BA63B1">
        <w:rPr>
          <w:rFonts w:ascii="Alef" w:hAnsi="Alef" w:cs="Alef"/>
          <w:sz w:val="24"/>
          <w:szCs w:val="24"/>
          <w:rtl/>
        </w:rPr>
        <w:t xml:space="preserve">הוסיף </w:t>
      </w:r>
      <w:r w:rsidR="006B5729" w:rsidRPr="00BA63B1">
        <w:rPr>
          <w:rFonts w:ascii="Alef" w:hAnsi="Alef" w:cs="Alef"/>
          <w:sz w:val="24"/>
          <w:szCs w:val="24"/>
          <w:rtl/>
        </w:rPr>
        <w:t>מגבלת</w:t>
      </w:r>
      <w:r w:rsidRPr="00BA63B1">
        <w:rPr>
          <w:rFonts w:ascii="Alef" w:hAnsi="Alef" w:cs="Alef"/>
          <w:sz w:val="24"/>
          <w:szCs w:val="24"/>
          <w:rtl/>
        </w:rPr>
        <w:t xml:space="preserve"> נ</w:t>
      </w:r>
      <w:r w:rsidR="005F252E" w:rsidRPr="00BA63B1">
        <w:rPr>
          <w:rFonts w:ascii="Alef" w:hAnsi="Alef" w:cs="Alef"/>
          <w:sz w:val="24"/>
          <w:szCs w:val="24"/>
          <w:rtl/>
        </w:rPr>
        <w:t>תח שוק במסגרת פטור הסוג האנכי. ככל</w:t>
      </w:r>
      <w:r w:rsidR="00F85234" w:rsidRPr="00BA63B1">
        <w:rPr>
          <w:rFonts w:ascii="Alef" w:hAnsi="Alef" w:cs="Alef"/>
          <w:sz w:val="24"/>
          <w:szCs w:val="24"/>
          <w:rtl/>
        </w:rPr>
        <w:t>ל</w:t>
      </w:r>
      <w:r w:rsidR="005F252E" w:rsidRPr="00BA63B1">
        <w:rPr>
          <w:rFonts w:ascii="Alef" w:hAnsi="Alef" w:cs="Alef"/>
          <w:sz w:val="24"/>
          <w:szCs w:val="24"/>
          <w:rtl/>
        </w:rPr>
        <w:t xml:space="preserve"> </w:t>
      </w:r>
      <w:r w:rsidR="008D18BD" w:rsidRPr="00BA63B1">
        <w:rPr>
          <w:rFonts w:ascii="Alef" w:hAnsi="Alef" w:cs="Alef"/>
          <w:sz w:val="24"/>
          <w:szCs w:val="24"/>
          <w:rtl/>
        </w:rPr>
        <w:t xml:space="preserve">מקום בו </w:t>
      </w:r>
      <w:r w:rsidR="005F252E" w:rsidRPr="00BA63B1">
        <w:rPr>
          <w:rFonts w:ascii="Alef" w:hAnsi="Alef" w:cs="Alef"/>
          <w:sz w:val="24"/>
          <w:szCs w:val="24"/>
          <w:rtl/>
        </w:rPr>
        <w:t>פטורי הסוג הפרטיקולריים</w:t>
      </w:r>
      <w:r w:rsidR="002C6684" w:rsidRPr="00BA63B1">
        <w:rPr>
          <w:rFonts w:ascii="Alef" w:hAnsi="Alef" w:cs="Alef"/>
          <w:sz w:val="24"/>
          <w:szCs w:val="24"/>
          <w:rtl/>
        </w:rPr>
        <w:t xml:space="preserve"> אינם חלים על ההסדר</w:t>
      </w:r>
      <w:r w:rsidR="005F252E" w:rsidRPr="00BA63B1">
        <w:rPr>
          <w:rFonts w:ascii="Alef" w:hAnsi="Alef" w:cs="Alef"/>
          <w:sz w:val="24"/>
          <w:szCs w:val="24"/>
          <w:rtl/>
        </w:rPr>
        <w:t xml:space="preserve">, </w:t>
      </w:r>
      <w:r w:rsidR="002C6684" w:rsidRPr="00BA63B1">
        <w:rPr>
          <w:rFonts w:ascii="Alef" w:hAnsi="Alef" w:cs="Alef"/>
          <w:sz w:val="24"/>
          <w:szCs w:val="24"/>
          <w:rtl/>
        </w:rPr>
        <w:t>ההסדר יוכל ליהנות מפטור הסוג האנכי אך ורק אם מתקיימות דרישות הדין המהותיות</w:t>
      </w:r>
      <w:r w:rsidR="00FC5E58" w:rsidRPr="00BA63B1">
        <w:rPr>
          <w:rFonts w:ascii="Alef" w:hAnsi="Alef" w:cs="Alef"/>
          <w:sz w:val="24"/>
          <w:szCs w:val="24"/>
          <w:rtl/>
        </w:rPr>
        <w:t xml:space="preserve"> הקבועות בס' 15א(א) לחוק</w:t>
      </w:r>
      <w:r w:rsidR="002C6684" w:rsidRPr="00BA63B1">
        <w:rPr>
          <w:rFonts w:ascii="Alef" w:hAnsi="Alef" w:cs="Alef"/>
          <w:sz w:val="24"/>
          <w:szCs w:val="24"/>
          <w:rtl/>
        </w:rPr>
        <w:t xml:space="preserve">. </w:t>
      </w:r>
      <w:r w:rsidR="005B6B94" w:rsidRPr="00BA63B1">
        <w:rPr>
          <w:rFonts w:ascii="Alef" w:hAnsi="Alef" w:cs="Alef"/>
          <w:sz w:val="24"/>
          <w:szCs w:val="24"/>
          <w:rtl/>
        </w:rPr>
        <w:t xml:space="preserve">קרי – ככל שהסדר כובל אכן ממלא את תנאי פטור הסוג האנכי, הוא ממילא הסדר העומד בתנאי הדין המהותיים ולכן  אינו הסדר המוביל לפגיעה משמעותית בתחרות. כך, החשש שעלה מהערת הציבור האמורה נפתר ממילא בתנאי פטור הסוג האנכי כפי שהם </w:t>
      </w:r>
      <w:r w:rsidR="005B6B94" w:rsidRPr="00BA63B1">
        <w:rPr>
          <w:rFonts w:ascii="Alef" w:hAnsi="Alef" w:cs="Alef"/>
          <w:sz w:val="24"/>
          <w:szCs w:val="24"/>
          <w:rtl/>
        </w:rPr>
        <w:lastRenderedPageBreak/>
        <w:t xml:space="preserve">כיום. אכן, </w:t>
      </w:r>
      <w:r w:rsidR="005F252E" w:rsidRPr="00BA63B1">
        <w:rPr>
          <w:rFonts w:ascii="Alef" w:hAnsi="Alef" w:cs="Alef"/>
          <w:sz w:val="24"/>
          <w:szCs w:val="24"/>
          <w:rtl/>
        </w:rPr>
        <w:t xml:space="preserve">ככל </w:t>
      </w:r>
      <w:r w:rsidR="002C6684" w:rsidRPr="00BA63B1">
        <w:rPr>
          <w:rFonts w:ascii="Alef" w:hAnsi="Alef" w:cs="Alef"/>
          <w:sz w:val="24"/>
          <w:szCs w:val="24"/>
          <w:rtl/>
        </w:rPr>
        <w:t>שכוח השוק של היבואן הבלעדי משמעותי י</w:t>
      </w:r>
      <w:r w:rsidR="00FC5E58" w:rsidRPr="00BA63B1">
        <w:rPr>
          <w:rFonts w:ascii="Alef" w:hAnsi="Alef" w:cs="Alef"/>
          <w:sz w:val="24"/>
          <w:szCs w:val="24"/>
          <w:rtl/>
        </w:rPr>
        <w:t>ותר כך גובר החשש התחרותי וכך קטן הסיכוי לעמידה בדרישות הדין המהותיות. בהיעדר עמידה בדרישו</w:t>
      </w:r>
      <w:r w:rsidR="002B046F" w:rsidRPr="00BA63B1">
        <w:rPr>
          <w:rFonts w:ascii="Alef" w:hAnsi="Alef" w:cs="Alef"/>
          <w:sz w:val="24"/>
          <w:szCs w:val="24"/>
          <w:rtl/>
        </w:rPr>
        <w:t xml:space="preserve">ת הדין המהותיות עסקינן בצדדים להסדר כובל </w:t>
      </w:r>
      <w:r w:rsidR="008D18BD" w:rsidRPr="00BA63B1">
        <w:rPr>
          <w:rFonts w:ascii="Alef" w:hAnsi="Alef" w:cs="Alef"/>
          <w:sz w:val="24"/>
          <w:szCs w:val="24"/>
          <w:rtl/>
        </w:rPr>
        <w:t xml:space="preserve">אסור, </w:t>
      </w:r>
      <w:r w:rsidR="002B046F" w:rsidRPr="00BA63B1">
        <w:rPr>
          <w:rFonts w:ascii="Alef" w:hAnsi="Alef" w:cs="Alef"/>
          <w:sz w:val="24"/>
          <w:szCs w:val="24"/>
          <w:rtl/>
        </w:rPr>
        <w:t xml:space="preserve">שלא קיבל אישור, היתר זמני, פטור פרטני או </w:t>
      </w:r>
      <w:proofErr w:type="spellStart"/>
      <w:r w:rsidR="002B046F" w:rsidRPr="00BA63B1">
        <w:rPr>
          <w:rFonts w:ascii="Alef" w:hAnsi="Alef" w:cs="Alef"/>
          <w:sz w:val="24"/>
          <w:szCs w:val="24"/>
          <w:rtl/>
        </w:rPr>
        <w:t>שכבילותיו</w:t>
      </w:r>
      <w:proofErr w:type="spellEnd"/>
      <w:r w:rsidR="002B046F" w:rsidRPr="00BA63B1">
        <w:rPr>
          <w:rFonts w:ascii="Alef" w:hAnsi="Alef" w:cs="Alef"/>
          <w:sz w:val="24"/>
          <w:szCs w:val="24"/>
          <w:rtl/>
        </w:rPr>
        <w:t xml:space="preserve"> פטורות בהתאם לפטור סוג. צדדים </w:t>
      </w:r>
      <w:r w:rsidR="006B5729" w:rsidRPr="00BA63B1">
        <w:rPr>
          <w:rFonts w:ascii="Alef" w:hAnsi="Alef" w:cs="Alef"/>
          <w:sz w:val="24"/>
          <w:szCs w:val="24"/>
          <w:rtl/>
        </w:rPr>
        <w:t>להסדר שלא עומד בדרישות הדין המהותיות</w:t>
      </w:r>
      <w:r w:rsidR="002B046F" w:rsidRPr="00BA63B1">
        <w:rPr>
          <w:rFonts w:ascii="Alef" w:hAnsi="Alef" w:cs="Alef"/>
          <w:sz w:val="24"/>
          <w:szCs w:val="24"/>
          <w:rtl/>
        </w:rPr>
        <w:t xml:space="preserve"> חשופים לפעולת אכיפה מצד רשות התחרות. </w:t>
      </w:r>
    </w:p>
    <w:p w14:paraId="49F11FCB" w14:textId="48D5564F" w:rsidR="00082E6D" w:rsidRPr="00BA63B1" w:rsidRDefault="00082E6D" w:rsidP="00791750">
      <w:pPr>
        <w:jc w:val="both"/>
        <w:rPr>
          <w:rFonts w:ascii="Alef" w:hAnsi="Alef" w:cs="Alef"/>
          <w:sz w:val="24"/>
          <w:szCs w:val="24"/>
          <w:rtl/>
        </w:rPr>
      </w:pPr>
      <w:r w:rsidRPr="00BA63B1">
        <w:rPr>
          <w:rFonts w:ascii="Alef" w:hAnsi="Alef" w:cs="Alef"/>
          <w:sz w:val="24"/>
          <w:szCs w:val="24"/>
          <w:rtl/>
        </w:rPr>
        <w:t xml:space="preserve">מעבר לכך, מובהר כי רשות התחרות משקיעה משאבים ובוחנת בקפידה כל תלונה שמגיעה אליה. לצד זאת, הרשות נוקטת גם באכיפה יזומה – באמצעות מחלקת מודיעין שתוגברה בשנים האחרונות, ובמקביל – נערכות בדיקות שווקים גם במחלקת מחקר ובמחלקת בשווקים, וכאשר עולה חשש להפרות חוק – הרשות </w:t>
      </w:r>
      <w:r w:rsidR="00FF493D" w:rsidRPr="00BA63B1">
        <w:rPr>
          <w:rFonts w:ascii="Alef" w:hAnsi="Alef" w:cs="Alef"/>
          <w:sz w:val="24"/>
          <w:szCs w:val="24"/>
          <w:rtl/>
        </w:rPr>
        <w:t xml:space="preserve">בוחנת ואוכפת הפרות של החוק. </w:t>
      </w:r>
      <w:r w:rsidR="00791750" w:rsidRPr="00BA63B1">
        <w:rPr>
          <w:rFonts w:ascii="Alef" w:hAnsi="Alef" w:cs="Alef"/>
          <w:sz w:val="24"/>
          <w:szCs w:val="24"/>
          <w:rtl/>
        </w:rPr>
        <w:t>נציין,</w:t>
      </w:r>
      <w:r w:rsidRPr="00BA63B1">
        <w:rPr>
          <w:rFonts w:ascii="Alef" w:hAnsi="Alef" w:cs="Alef"/>
          <w:sz w:val="24"/>
          <w:szCs w:val="24"/>
          <w:rtl/>
        </w:rPr>
        <w:t xml:space="preserve"> </w:t>
      </w:r>
      <w:r w:rsidR="00791750" w:rsidRPr="00BA63B1">
        <w:rPr>
          <w:rFonts w:ascii="Alef" w:hAnsi="Alef" w:cs="Alef"/>
          <w:sz w:val="24"/>
          <w:szCs w:val="24"/>
          <w:rtl/>
        </w:rPr>
        <w:t>כי רשות התחרות לא התרשמה כי</w:t>
      </w:r>
      <w:r w:rsidRPr="00BA63B1">
        <w:rPr>
          <w:rFonts w:ascii="Alef" w:hAnsi="Alef" w:cs="Alef"/>
          <w:sz w:val="24"/>
          <w:szCs w:val="24"/>
          <w:rtl/>
        </w:rPr>
        <w:t xml:space="preserve"> פטור</w:t>
      </w:r>
      <w:r w:rsidR="00791750" w:rsidRPr="00BA63B1">
        <w:rPr>
          <w:rFonts w:ascii="Alef" w:hAnsi="Alef" w:cs="Alef"/>
          <w:sz w:val="24"/>
          <w:szCs w:val="24"/>
          <w:rtl/>
        </w:rPr>
        <w:t>י</w:t>
      </w:r>
      <w:r w:rsidRPr="00BA63B1">
        <w:rPr>
          <w:rFonts w:ascii="Alef" w:hAnsi="Alef" w:cs="Alef"/>
          <w:sz w:val="24"/>
          <w:szCs w:val="24"/>
          <w:rtl/>
        </w:rPr>
        <w:t xml:space="preserve"> הסוג או </w:t>
      </w:r>
      <w:r w:rsidR="00791750" w:rsidRPr="00BA63B1">
        <w:rPr>
          <w:rFonts w:ascii="Alef" w:hAnsi="Alef" w:cs="Alef"/>
          <w:sz w:val="24"/>
          <w:szCs w:val="24"/>
          <w:rtl/>
        </w:rPr>
        <w:t xml:space="preserve">ניתוחים שנעשו </w:t>
      </w:r>
      <w:r w:rsidRPr="00BA63B1">
        <w:rPr>
          <w:rFonts w:ascii="Alef" w:hAnsi="Alef" w:cs="Alef"/>
          <w:sz w:val="24"/>
          <w:szCs w:val="24"/>
          <w:rtl/>
        </w:rPr>
        <w:t xml:space="preserve">בעקבותיהם </w:t>
      </w:r>
      <w:r w:rsidR="00791750" w:rsidRPr="00BA63B1">
        <w:rPr>
          <w:rFonts w:ascii="Alef" w:hAnsi="Alef" w:cs="Alef"/>
          <w:sz w:val="24"/>
          <w:szCs w:val="24"/>
          <w:rtl/>
        </w:rPr>
        <w:t>הרבו</w:t>
      </w:r>
      <w:r w:rsidRPr="00BA63B1">
        <w:rPr>
          <w:rFonts w:ascii="Alef" w:hAnsi="Alef" w:cs="Alef"/>
          <w:sz w:val="24"/>
          <w:szCs w:val="24"/>
          <w:rtl/>
        </w:rPr>
        <w:t xml:space="preserve"> הפרות החוק. </w:t>
      </w:r>
      <w:r w:rsidR="00791750" w:rsidRPr="00BA63B1">
        <w:rPr>
          <w:rFonts w:ascii="Alef" w:hAnsi="Alef" w:cs="Alef"/>
          <w:sz w:val="24"/>
          <w:szCs w:val="24"/>
          <w:rtl/>
        </w:rPr>
        <w:t xml:space="preserve">עוד נציין כי </w:t>
      </w:r>
      <w:r w:rsidRPr="00BA63B1">
        <w:rPr>
          <w:rFonts w:ascii="Alef" w:hAnsi="Alef" w:cs="Alef"/>
          <w:sz w:val="24"/>
          <w:szCs w:val="24"/>
          <w:rtl/>
        </w:rPr>
        <w:t xml:space="preserve">חוות דעת </w:t>
      </w:r>
      <w:r w:rsidR="00791750" w:rsidRPr="00BA63B1">
        <w:rPr>
          <w:rFonts w:ascii="Alef" w:hAnsi="Alef" w:cs="Alef"/>
          <w:sz w:val="24"/>
          <w:szCs w:val="24"/>
          <w:rtl/>
        </w:rPr>
        <w:t>שגויות</w:t>
      </w:r>
      <w:r w:rsidRPr="00BA63B1">
        <w:rPr>
          <w:rFonts w:ascii="Alef" w:hAnsi="Alef" w:cs="Alef"/>
          <w:sz w:val="24"/>
          <w:szCs w:val="24"/>
          <w:rtl/>
        </w:rPr>
        <w:t xml:space="preserve"> אינן מקנות הגנה מפני</w:t>
      </w:r>
      <w:r w:rsidR="00791750" w:rsidRPr="00BA63B1">
        <w:rPr>
          <w:rFonts w:ascii="Alef" w:hAnsi="Alef" w:cs="Alef"/>
          <w:sz w:val="24"/>
          <w:szCs w:val="24"/>
          <w:rtl/>
        </w:rPr>
        <w:t xml:space="preserve"> אכיפה </w:t>
      </w:r>
      <w:proofErr w:type="spellStart"/>
      <w:r w:rsidR="00791750" w:rsidRPr="00BA63B1">
        <w:rPr>
          <w:rFonts w:ascii="Alef" w:hAnsi="Alef" w:cs="Alef"/>
          <w:sz w:val="24"/>
          <w:szCs w:val="24"/>
          <w:rtl/>
        </w:rPr>
        <w:t>מינהלית</w:t>
      </w:r>
      <w:proofErr w:type="spellEnd"/>
      <w:r w:rsidR="00791750" w:rsidRPr="00BA63B1">
        <w:rPr>
          <w:rFonts w:ascii="Alef" w:hAnsi="Alef" w:cs="Alef"/>
          <w:sz w:val="24"/>
          <w:szCs w:val="24"/>
          <w:rtl/>
        </w:rPr>
        <w:t xml:space="preserve"> והטלת עיצום כספי</w:t>
      </w:r>
      <w:r w:rsidRPr="00BA63B1">
        <w:rPr>
          <w:rFonts w:ascii="Alef" w:hAnsi="Alef" w:cs="Alef"/>
          <w:sz w:val="24"/>
          <w:szCs w:val="24"/>
          <w:rtl/>
        </w:rPr>
        <w:t>.</w:t>
      </w:r>
    </w:p>
    <w:p w14:paraId="5BD023FC" w14:textId="231479AE" w:rsidR="00C71FDE" w:rsidRPr="00BA63B1" w:rsidRDefault="00F85234" w:rsidP="00F15C2C">
      <w:pPr>
        <w:jc w:val="both"/>
        <w:rPr>
          <w:rFonts w:ascii="Alef" w:hAnsi="Alef" w:cs="Alef"/>
          <w:sz w:val="24"/>
          <w:szCs w:val="24"/>
          <w:rtl/>
        </w:rPr>
      </w:pPr>
      <w:r w:rsidRPr="00BA63B1">
        <w:rPr>
          <w:rFonts w:ascii="Alef" w:hAnsi="Alef" w:cs="Alef"/>
          <w:sz w:val="24"/>
          <w:szCs w:val="24"/>
          <w:rtl/>
        </w:rPr>
        <w:lastRenderedPageBreak/>
        <w:t xml:space="preserve">כמו כן, </w:t>
      </w:r>
      <w:r w:rsidR="00F57F9F" w:rsidRPr="00BA63B1">
        <w:rPr>
          <w:rFonts w:ascii="Alef" w:hAnsi="Alef" w:cs="Alef"/>
          <w:sz w:val="24"/>
          <w:szCs w:val="24"/>
          <w:rtl/>
        </w:rPr>
        <w:t>הועלו הצעות להצרת הגדרת המונח "מתחרים" בפטור הסוג האנכי</w:t>
      </w:r>
      <w:r w:rsidRPr="00BA63B1">
        <w:rPr>
          <w:rFonts w:ascii="Alef" w:hAnsi="Alef" w:cs="Alef"/>
          <w:sz w:val="24"/>
          <w:szCs w:val="24"/>
          <w:rtl/>
        </w:rPr>
        <w:t xml:space="preserve"> כך שיותר הסדרים יוכלו לחסות בפטור</w:t>
      </w:r>
      <w:r w:rsidR="00F57F9F" w:rsidRPr="00BA63B1">
        <w:rPr>
          <w:rFonts w:ascii="Alef" w:hAnsi="Alef" w:cs="Alef"/>
          <w:sz w:val="24"/>
          <w:szCs w:val="24"/>
          <w:rtl/>
        </w:rPr>
        <w:t xml:space="preserve">, למשל על ידי קיצור </w:t>
      </w:r>
      <w:r w:rsidR="00F15C2C" w:rsidRPr="00BA63B1">
        <w:rPr>
          <w:rFonts w:ascii="Alef" w:hAnsi="Alef" w:cs="Alef"/>
          <w:sz w:val="24"/>
          <w:szCs w:val="24"/>
          <w:rtl/>
        </w:rPr>
        <w:t xml:space="preserve">התקופה הנקובה של </w:t>
      </w:r>
      <w:r w:rsidR="0016149B" w:rsidRPr="00BA63B1">
        <w:rPr>
          <w:rFonts w:ascii="Alef" w:hAnsi="Alef" w:cs="Alef"/>
          <w:sz w:val="24"/>
          <w:szCs w:val="24"/>
          <w:rtl/>
        </w:rPr>
        <w:t>שלוש השנים שקדמו לתקופת ההסדר</w:t>
      </w:r>
      <w:r w:rsidR="00F57F9F" w:rsidRPr="00BA63B1">
        <w:rPr>
          <w:rFonts w:ascii="Alef" w:hAnsi="Alef" w:cs="Alef"/>
          <w:sz w:val="24"/>
          <w:szCs w:val="24"/>
          <w:rtl/>
        </w:rPr>
        <w:t xml:space="preserve"> או באמצעות </w:t>
      </w:r>
      <w:r w:rsidR="00F15C2C" w:rsidRPr="00BA63B1">
        <w:rPr>
          <w:rFonts w:ascii="Alef" w:hAnsi="Alef" w:cs="Alef"/>
          <w:sz w:val="24"/>
          <w:szCs w:val="24"/>
          <w:rtl/>
        </w:rPr>
        <w:t>דבקות ב</w:t>
      </w:r>
      <w:r w:rsidR="00F57F9F" w:rsidRPr="00BA63B1">
        <w:rPr>
          <w:rFonts w:ascii="Alef" w:hAnsi="Alef" w:cs="Alef"/>
          <w:sz w:val="24"/>
          <w:szCs w:val="24"/>
          <w:rtl/>
        </w:rPr>
        <w:t xml:space="preserve">הגדרת "מתחרה" הקבועה בכללי הוראות והגדרות. </w:t>
      </w:r>
    </w:p>
    <w:p w14:paraId="7AB85765" w14:textId="5F4430AE" w:rsidR="007D6EBF" w:rsidRPr="00BA63B1" w:rsidRDefault="001E7160" w:rsidP="004E7107">
      <w:pPr>
        <w:jc w:val="both"/>
        <w:rPr>
          <w:rFonts w:ascii="Alef" w:hAnsi="Alef" w:cs="Alef"/>
          <w:sz w:val="24"/>
          <w:szCs w:val="24"/>
          <w:rtl/>
        </w:rPr>
      </w:pPr>
      <w:r w:rsidRPr="00BA63B1">
        <w:rPr>
          <w:rFonts w:ascii="Alef" w:hAnsi="Alef" w:cs="Alef"/>
          <w:sz w:val="24"/>
          <w:szCs w:val="24"/>
          <w:rtl/>
        </w:rPr>
        <w:t>ואולם, לאחר שקילת העניין הוחלט שאין</w:t>
      </w:r>
      <w:r w:rsidR="00896341" w:rsidRPr="00BA63B1">
        <w:rPr>
          <w:rFonts w:ascii="Alef" w:hAnsi="Alef" w:cs="Alef"/>
          <w:sz w:val="24"/>
          <w:szCs w:val="24"/>
          <w:rtl/>
        </w:rPr>
        <w:t xml:space="preserve"> מקום לשנות את הגדרת המונח "מתחרים". הגדרת המונח </w:t>
      </w:r>
      <w:r w:rsidR="00BA1B2C" w:rsidRPr="00BA63B1">
        <w:rPr>
          <w:rFonts w:ascii="Alef" w:hAnsi="Alef" w:cs="Alef"/>
          <w:sz w:val="24"/>
          <w:szCs w:val="24"/>
          <w:rtl/>
        </w:rPr>
        <w:t>עודכנה</w:t>
      </w:r>
      <w:r w:rsidR="00896341" w:rsidRPr="00BA63B1">
        <w:rPr>
          <w:rFonts w:ascii="Alef" w:hAnsi="Alef" w:cs="Alef"/>
          <w:sz w:val="24"/>
          <w:szCs w:val="24"/>
          <w:rtl/>
        </w:rPr>
        <w:t xml:space="preserve"> עם תיקון פטור הסוג האנכי בשנת 2018 </w:t>
      </w:r>
      <w:r w:rsidR="00BA1B2C" w:rsidRPr="00BA63B1">
        <w:rPr>
          <w:rFonts w:ascii="Alef" w:hAnsi="Alef" w:cs="Alef"/>
          <w:sz w:val="24"/>
          <w:szCs w:val="24"/>
          <w:rtl/>
        </w:rPr>
        <w:t>וזאת לאחר עריכת</w:t>
      </w:r>
      <w:r w:rsidR="00896341" w:rsidRPr="00BA63B1">
        <w:rPr>
          <w:rFonts w:ascii="Alef" w:hAnsi="Alef" w:cs="Alef"/>
          <w:sz w:val="24"/>
          <w:szCs w:val="24"/>
          <w:rtl/>
        </w:rPr>
        <w:t xml:space="preserve"> דיון ציבורי מקיף.</w:t>
      </w:r>
      <w:r w:rsidR="00694F25" w:rsidRPr="00BA63B1">
        <w:rPr>
          <w:rStyle w:val="FootnoteReference"/>
          <w:rFonts w:ascii="Alef" w:hAnsi="Alef" w:cs="Alef"/>
          <w:sz w:val="24"/>
          <w:szCs w:val="24"/>
          <w:rtl/>
        </w:rPr>
        <w:footnoteReference w:id="36"/>
      </w:r>
      <w:r w:rsidR="00C71FDE" w:rsidRPr="00BA63B1">
        <w:rPr>
          <w:rFonts w:ascii="Alef" w:hAnsi="Alef" w:cs="Alef"/>
          <w:sz w:val="24"/>
          <w:szCs w:val="24"/>
          <w:rtl/>
        </w:rPr>
        <w:t xml:space="preserve"> </w:t>
      </w:r>
      <w:r w:rsidR="00F4458E" w:rsidRPr="00BA63B1">
        <w:rPr>
          <w:rFonts w:ascii="Alef" w:hAnsi="Alef" w:cs="Alef"/>
          <w:sz w:val="24"/>
          <w:szCs w:val="24"/>
          <w:rtl/>
        </w:rPr>
        <w:t>בדברי ההסבר ביחס לתיקון פטור הסוג האנכי בשנת 2018 הוסבר כי ההגדרה הישנה כללה מונחים עמומים כגון "חפיפה" או "דמיון"</w:t>
      </w:r>
      <w:r w:rsidR="005D3F69" w:rsidRPr="00BA63B1">
        <w:rPr>
          <w:rFonts w:ascii="Alef" w:hAnsi="Alef" w:cs="Alef"/>
          <w:sz w:val="24"/>
          <w:szCs w:val="24"/>
          <w:rtl/>
        </w:rPr>
        <w:t xml:space="preserve"> שה</w:t>
      </w:r>
      <w:r w:rsidR="00F85234" w:rsidRPr="00BA63B1">
        <w:rPr>
          <w:rFonts w:ascii="Alef" w:hAnsi="Alef" w:cs="Alef"/>
          <w:sz w:val="24"/>
          <w:szCs w:val="24"/>
          <w:rtl/>
        </w:rPr>
        <w:t xml:space="preserve">קשו על </w:t>
      </w:r>
      <w:proofErr w:type="spellStart"/>
      <w:r w:rsidR="00F85234" w:rsidRPr="00BA63B1">
        <w:rPr>
          <w:rFonts w:ascii="Alef" w:hAnsi="Alef" w:cs="Alef"/>
          <w:sz w:val="24"/>
          <w:szCs w:val="24"/>
          <w:rtl/>
        </w:rPr>
        <w:t>ישום</w:t>
      </w:r>
      <w:proofErr w:type="spellEnd"/>
      <w:r w:rsidR="00F85234" w:rsidRPr="00BA63B1">
        <w:rPr>
          <w:rFonts w:ascii="Alef" w:hAnsi="Alef" w:cs="Alef"/>
          <w:sz w:val="24"/>
          <w:szCs w:val="24"/>
          <w:rtl/>
        </w:rPr>
        <w:t xml:space="preserve"> הפטור</w:t>
      </w:r>
      <w:r w:rsidR="005D3F69" w:rsidRPr="00BA63B1">
        <w:rPr>
          <w:rFonts w:ascii="Alef" w:hAnsi="Alef" w:cs="Alef"/>
          <w:sz w:val="24"/>
          <w:szCs w:val="24"/>
          <w:rtl/>
        </w:rPr>
        <w:t>.</w:t>
      </w:r>
      <w:r w:rsidR="005D3F69" w:rsidRPr="00BA63B1">
        <w:rPr>
          <w:rStyle w:val="FootnoteReference"/>
          <w:rFonts w:ascii="Alef" w:hAnsi="Alef" w:cs="Alef"/>
          <w:sz w:val="24"/>
          <w:szCs w:val="24"/>
          <w:rtl/>
        </w:rPr>
        <w:footnoteReference w:id="37"/>
      </w:r>
      <w:r w:rsidR="00731094" w:rsidRPr="00BA63B1">
        <w:rPr>
          <w:rFonts w:ascii="Alef" w:hAnsi="Alef" w:cs="Alef"/>
          <w:sz w:val="24"/>
          <w:szCs w:val="24"/>
          <w:rtl/>
        </w:rPr>
        <w:t xml:space="preserve"> במסגרת </w:t>
      </w:r>
      <w:r w:rsidR="00731094" w:rsidRPr="00BA63B1">
        <w:rPr>
          <w:rFonts w:ascii="Alef" w:hAnsi="Alef" w:cs="Alef"/>
          <w:sz w:val="24"/>
          <w:szCs w:val="24"/>
          <w:rtl/>
        </w:rPr>
        <w:lastRenderedPageBreak/>
        <w:t>התגובות לקול הקורא</w:t>
      </w:r>
      <w:r w:rsidR="002F2C0A" w:rsidRPr="00BA63B1">
        <w:rPr>
          <w:rFonts w:ascii="Alef" w:hAnsi="Alef" w:cs="Alef"/>
          <w:sz w:val="24"/>
          <w:szCs w:val="24"/>
          <w:rtl/>
        </w:rPr>
        <w:t xml:space="preserve"> </w:t>
      </w:r>
      <w:r w:rsidR="00D033F5" w:rsidRPr="00BA63B1">
        <w:rPr>
          <w:rFonts w:ascii="Alef" w:hAnsi="Alef" w:cs="Alef"/>
          <w:sz w:val="24"/>
          <w:szCs w:val="24"/>
          <w:rtl/>
        </w:rPr>
        <w:t xml:space="preserve">מיום 16.11.20 </w:t>
      </w:r>
      <w:r w:rsidR="00731094" w:rsidRPr="00BA63B1">
        <w:rPr>
          <w:rFonts w:ascii="Alef" w:hAnsi="Alef" w:cs="Alef"/>
          <w:sz w:val="24"/>
          <w:szCs w:val="24"/>
          <w:rtl/>
        </w:rPr>
        <w:t xml:space="preserve">צוין כי שינוי הגדרת המונח ב-2018 תרמה לבהירות המונח. </w:t>
      </w:r>
      <w:r w:rsidR="005F64EF" w:rsidRPr="00BA63B1">
        <w:rPr>
          <w:rFonts w:ascii="Alef" w:hAnsi="Alef" w:cs="Alef"/>
          <w:sz w:val="24"/>
          <w:szCs w:val="24"/>
          <w:rtl/>
        </w:rPr>
        <w:t xml:space="preserve">בדברי </w:t>
      </w:r>
      <w:r w:rsidR="00731094" w:rsidRPr="00BA63B1">
        <w:rPr>
          <w:rFonts w:ascii="Alef" w:hAnsi="Alef" w:cs="Alef"/>
          <w:sz w:val="24"/>
          <w:szCs w:val="24"/>
          <w:rtl/>
        </w:rPr>
        <w:t>ההסבר</w:t>
      </w:r>
      <w:r w:rsidR="002F2C0A" w:rsidRPr="00BA63B1">
        <w:rPr>
          <w:rFonts w:ascii="Alef" w:hAnsi="Alef" w:cs="Alef"/>
          <w:sz w:val="24"/>
          <w:szCs w:val="24"/>
          <w:rtl/>
        </w:rPr>
        <w:t xml:space="preserve"> </w:t>
      </w:r>
      <w:r w:rsidR="00886ACD" w:rsidRPr="00BA63B1">
        <w:rPr>
          <w:rFonts w:ascii="Alef" w:hAnsi="Alef" w:cs="Alef"/>
          <w:sz w:val="24"/>
          <w:szCs w:val="24"/>
          <w:rtl/>
        </w:rPr>
        <w:t>ל</w:t>
      </w:r>
      <w:r w:rsidR="002F2C0A" w:rsidRPr="00BA63B1">
        <w:rPr>
          <w:rFonts w:ascii="Alef" w:hAnsi="Alef" w:cs="Alef"/>
          <w:sz w:val="24"/>
          <w:szCs w:val="24"/>
          <w:rtl/>
        </w:rPr>
        <w:t>תיקון פטור הסוג בשנת 2018</w:t>
      </w:r>
      <w:r w:rsidR="00731094" w:rsidRPr="00BA63B1">
        <w:rPr>
          <w:rFonts w:ascii="Alef" w:hAnsi="Alef" w:cs="Alef"/>
          <w:sz w:val="24"/>
          <w:szCs w:val="24"/>
          <w:rtl/>
        </w:rPr>
        <w:t xml:space="preserve"> </w:t>
      </w:r>
      <w:r w:rsidR="00F85234" w:rsidRPr="00BA63B1">
        <w:rPr>
          <w:rFonts w:ascii="Alef" w:hAnsi="Alef" w:cs="Alef"/>
          <w:sz w:val="24"/>
          <w:szCs w:val="24"/>
          <w:rtl/>
        </w:rPr>
        <w:t>הו</w:t>
      </w:r>
      <w:r w:rsidR="00731094" w:rsidRPr="00BA63B1">
        <w:rPr>
          <w:rFonts w:ascii="Alef" w:hAnsi="Alef" w:cs="Alef"/>
          <w:sz w:val="24"/>
          <w:szCs w:val="24"/>
          <w:rtl/>
        </w:rPr>
        <w:t>ב</w:t>
      </w:r>
      <w:r w:rsidR="005C7081" w:rsidRPr="00BA63B1">
        <w:rPr>
          <w:rFonts w:ascii="Alef" w:hAnsi="Alef" w:cs="Alef"/>
          <w:sz w:val="24"/>
          <w:szCs w:val="24"/>
          <w:rtl/>
        </w:rPr>
        <w:t>ה</w:t>
      </w:r>
      <w:r w:rsidR="00731094" w:rsidRPr="00BA63B1">
        <w:rPr>
          <w:rFonts w:ascii="Alef" w:hAnsi="Alef" w:cs="Alef"/>
          <w:sz w:val="24"/>
          <w:szCs w:val="24"/>
          <w:rtl/>
        </w:rPr>
        <w:t xml:space="preserve">ר </w:t>
      </w:r>
      <w:r w:rsidR="002F2C0A" w:rsidRPr="00BA63B1">
        <w:rPr>
          <w:rFonts w:ascii="Alef" w:hAnsi="Alef" w:cs="Alef"/>
          <w:sz w:val="24"/>
          <w:szCs w:val="24"/>
          <w:rtl/>
        </w:rPr>
        <w:t>הצורך באימוץ הגדרת מתחרים רחבה מ</w:t>
      </w:r>
      <w:r w:rsidR="00886ACD" w:rsidRPr="00BA63B1">
        <w:rPr>
          <w:rFonts w:ascii="Alef" w:hAnsi="Alef" w:cs="Alef"/>
          <w:sz w:val="24"/>
          <w:szCs w:val="24"/>
          <w:rtl/>
        </w:rPr>
        <w:t>זו הקבועה בכללי הוראות והגדרות</w:t>
      </w:r>
      <w:r w:rsidR="005F64EF" w:rsidRPr="00BA63B1">
        <w:rPr>
          <w:rFonts w:ascii="Alef" w:hAnsi="Alef" w:cs="Alef"/>
          <w:sz w:val="24"/>
          <w:szCs w:val="24"/>
          <w:rtl/>
        </w:rPr>
        <w:t>.</w:t>
      </w:r>
      <w:r w:rsidR="0016149B" w:rsidRPr="00BA63B1">
        <w:rPr>
          <w:rFonts w:ascii="Alef" w:hAnsi="Alef" w:cs="Alef"/>
          <w:sz w:val="24"/>
          <w:szCs w:val="24"/>
          <w:rtl/>
        </w:rPr>
        <w:t xml:space="preserve"> </w:t>
      </w:r>
      <w:r w:rsidR="000E3DD3" w:rsidRPr="00BA63B1">
        <w:rPr>
          <w:rFonts w:ascii="Alef" w:hAnsi="Alef" w:cs="Alef"/>
          <w:sz w:val="24"/>
          <w:szCs w:val="24"/>
          <w:rtl/>
        </w:rPr>
        <w:t xml:space="preserve">מטרת </w:t>
      </w:r>
      <w:r w:rsidR="003D596A" w:rsidRPr="00BA63B1">
        <w:rPr>
          <w:rFonts w:ascii="Alef" w:hAnsi="Alef" w:cs="Alef"/>
          <w:sz w:val="24"/>
          <w:szCs w:val="24"/>
          <w:rtl/>
        </w:rPr>
        <w:t xml:space="preserve">שולי הביטחון בדמות תחרות בתקופה של שלוש השנים שקדמו להסדר </w:t>
      </w:r>
      <w:r w:rsidR="000E3DD3" w:rsidRPr="00BA63B1">
        <w:rPr>
          <w:rFonts w:ascii="Alef" w:hAnsi="Alef" w:cs="Alef"/>
          <w:sz w:val="24"/>
          <w:szCs w:val="24"/>
          <w:rtl/>
        </w:rPr>
        <w:t>היא לוודא שתיערך בחינה גם של חששות אופקיים</w:t>
      </w:r>
      <w:r w:rsidR="005C7081" w:rsidRPr="00BA63B1">
        <w:rPr>
          <w:rFonts w:ascii="Alef" w:hAnsi="Alef" w:cs="Alef"/>
          <w:sz w:val="24"/>
          <w:szCs w:val="24"/>
          <w:rtl/>
        </w:rPr>
        <w:t xml:space="preserve"> – גם אם לא מתקיימת תחרות בפועל אלא רק פוטנציאל לתחרות שנובעת מפעילות שביצע צד בעבר.</w:t>
      </w:r>
      <w:r w:rsidRPr="00BA63B1">
        <w:rPr>
          <w:rFonts w:ascii="Alef" w:hAnsi="Alef" w:cs="Alef"/>
          <w:sz w:val="24"/>
          <w:szCs w:val="24"/>
          <w:rtl/>
        </w:rPr>
        <w:t xml:space="preserve"> כמובן, ש</w:t>
      </w:r>
      <w:r w:rsidR="001142AB" w:rsidRPr="00BA63B1">
        <w:rPr>
          <w:rFonts w:ascii="Alef" w:hAnsi="Alef" w:cs="Alef"/>
          <w:sz w:val="24"/>
          <w:szCs w:val="24"/>
          <w:rtl/>
        </w:rPr>
        <w:t>אופי המתחרים שביניהם מבוצע ההסדר</w:t>
      </w:r>
      <w:r w:rsidRPr="00BA63B1">
        <w:rPr>
          <w:rFonts w:ascii="Alef" w:hAnsi="Alef" w:cs="Alef"/>
          <w:sz w:val="24"/>
          <w:szCs w:val="24"/>
          <w:rtl/>
        </w:rPr>
        <w:t xml:space="preserve"> </w:t>
      </w:r>
      <w:r w:rsidR="001142AB" w:rsidRPr="00BA63B1">
        <w:rPr>
          <w:rFonts w:ascii="Alef" w:hAnsi="Alef" w:cs="Alef"/>
          <w:sz w:val="24"/>
          <w:szCs w:val="24"/>
          <w:rtl/>
        </w:rPr>
        <w:t xml:space="preserve">עשוי להשפיע </w:t>
      </w:r>
      <w:r w:rsidRPr="00BA63B1">
        <w:rPr>
          <w:rFonts w:ascii="Alef" w:hAnsi="Alef" w:cs="Alef"/>
          <w:sz w:val="24"/>
          <w:szCs w:val="24"/>
          <w:rtl/>
        </w:rPr>
        <w:t xml:space="preserve">בבחינה </w:t>
      </w:r>
      <w:r w:rsidR="001142AB" w:rsidRPr="00BA63B1">
        <w:rPr>
          <w:rFonts w:ascii="Alef" w:hAnsi="Alef" w:cs="Alef"/>
          <w:sz w:val="24"/>
          <w:szCs w:val="24"/>
          <w:rtl/>
        </w:rPr>
        <w:t>המהותית של עמידת הצדדים בתנאי הפטור האנכי, ובהחלט ניתן להתחשב בכך</w:t>
      </w:r>
      <w:r w:rsidR="004E7107" w:rsidRPr="00BA63B1">
        <w:rPr>
          <w:rFonts w:ascii="Alef" w:hAnsi="Alef" w:cs="Alef"/>
          <w:sz w:val="24"/>
          <w:szCs w:val="24"/>
          <w:rtl/>
        </w:rPr>
        <w:t xml:space="preserve"> שצד להסדר לא מתחרה בשוק בפועל</w:t>
      </w:r>
      <w:r w:rsidR="001142AB" w:rsidRPr="00BA63B1">
        <w:rPr>
          <w:rFonts w:ascii="Alef" w:hAnsi="Alef" w:cs="Alef"/>
          <w:sz w:val="24"/>
          <w:szCs w:val="24"/>
          <w:rtl/>
        </w:rPr>
        <w:t>.</w:t>
      </w:r>
      <w:r w:rsidR="000E3DD3" w:rsidRPr="00BA63B1">
        <w:rPr>
          <w:rFonts w:ascii="Alef" w:hAnsi="Alef" w:cs="Alef"/>
          <w:color w:val="FF0000"/>
          <w:sz w:val="24"/>
          <w:szCs w:val="24"/>
          <w:rtl/>
        </w:rPr>
        <w:t xml:space="preserve">  </w:t>
      </w:r>
    </w:p>
    <w:p w14:paraId="4A2D3A16" w14:textId="31176A32" w:rsidR="007D6EBF" w:rsidRPr="00BA63B1" w:rsidRDefault="007D6EBF" w:rsidP="00BC4B60">
      <w:pPr>
        <w:jc w:val="both"/>
        <w:rPr>
          <w:rFonts w:ascii="Alef" w:hAnsi="Alef" w:cs="Alef"/>
          <w:sz w:val="24"/>
          <w:szCs w:val="24"/>
          <w:rtl/>
        </w:rPr>
      </w:pPr>
      <w:r w:rsidRPr="00BA63B1">
        <w:rPr>
          <w:rFonts w:ascii="Alef" w:hAnsi="Alef" w:cs="Alef"/>
          <w:sz w:val="24"/>
          <w:szCs w:val="24"/>
          <w:rtl/>
        </w:rPr>
        <w:t xml:space="preserve">הערות נוספות התייחסו לצורך בהחרגת "כבילת מחיר" מתחולת פטור הסוג האנכי. </w:t>
      </w:r>
      <w:r w:rsidR="00305530" w:rsidRPr="00BA63B1">
        <w:rPr>
          <w:rFonts w:ascii="Alef" w:hAnsi="Alef" w:cs="Alef"/>
          <w:sz w:val="24"/>
          <w:szCs w:val="24"/>
          <w:rtl/>
        </w:rPr>
        <w:t>הניתוח המקיף שנעשה לצורך גילוי הדעת 2/17 בעניין הסדרי הכתבת מחיר אנכית (</w:t>
      </w:r>
      <w:r w:rsidR="00305530" w:rsidRPr="00BA63B1">
        <w:rPr>
          <w:rFonts w:ascii="Alef" w:hAnsi="Alef" w:cs="Alef"/>
          <w:sz w:val="24"/>
          <w:szCs w:val="24"/>
        </w:rPr>
        <w:t>RPM</w:t>
      </w:r>
      <w:r w:rsidR="00305530" w:rsidRPr="00BA63B1">
        <w:rPr>
          <w:rFonts w:ascii="Alef" w:hAnsi="Alef" w:cs="Alef"/>
          <w:sz w:val="24"/>
          <w:szCs w:val="24"/>
          <w:rtl/>
        </w:rPr>
        <w:t xml:space="preserve">) שמלמד על הבחינה המורכבת שעשויה להידרש מחד גיסא </w:t>
      </w:r>
      <w:r w:rsidR="00305530" w:rsidRPr="00BA63B1">
        <w:rPr>
          <w:rFonts w:ascii="Alef" w:hAnsi="Alef" w:cs="Alef"/>
          <w:sz w:val="24"/>
          <w:szCs w:val="24"/>
          <w:rtl/>
        </w:rPr>
        <w:lastRenderedPageBreak/>
        <w:t>ועל התועלות שעשויות לצמוח מהסדר כזה מאידך גיסא</w:t>
      </w:r>
      <w:r w:rsidR="00426664" w:rsidRPr="00BA63B1">
        <w:rPr>
          <w:rFonts w:ascii="Alef" w:hAnsi="Alef" w:cs="Alef"/>
          <w:sz w:val="24"/>
          <w:szCs w:val="24"/>
          <w:rtl/>
        </w:rPr>
        <w:t xml:space="preserve">, כמו גם </w:t>
      </w:r>
      <w:r w:rsidR="006A7986" w:rsidRPr="00BA63B1">
        <w:rPr>
          <w:rFonts w:ascii="Alef" w:hAnsi="Alef" w:cs="Alef"/>
          <w:sz w:val="24"/>
          <w:szCs w:val="24"/>
          <w:rtl/>
        </w:rPr>
        <w:t>קיומם של</w:t>
      </w:r>
      <w:r w:rsidR="00426664" w:rsidRPr="00BA63B1">
        <w:rPr>
          <w:rFonts w:ascii="Alef" w:hAnsi="Alef" w:cs="Alef"/>
          <w:sz w:val="24"/>
          <w:szCs w:val="24"/>
          <w:rtl/>
        </w:rPr>
        <w:t xml:space="preserve"> הסדרים</w:t>
      </w:r>
      <w:r w:rsidR="00902859" w:rsidRPr="00BA63B1">
        <w:rPr>
          <w:rFonts w:ascii="Alef" w:hAnsi="Alef" w:cs="Alef"/>
          <w:sz w:val="24"/>
          <w:szCs w:val="24"/>
          <w:rtl/>
        </w:rPr>
        <w:t xml:space="preserve"> כאמור אשר בתנאי שוק מסוי</w:t>
      </w:r>
      <w:r w:rsidR="00713530" w:rsidRPr="00BA63B1">
        <w:rPr>
          <w:rFonts w:ascii="Alef" w:hAnsi="Alef" w:cs="Alef"/>
          <w:sz w:val="24"/>
          <w:szCs w:val="24"/>
          <w:rtl/>
        </w:rPr>
        <w:t>מים</w:t>
      </w:r>
      <w:r w:rsidR="00426664" w:rsidRPr="00BA63B1">
        <w:rPr>
          <w:rFonts w:ascii="Alef" w:hAnsi="Alef" w:cs="Alef"/>
          <w:sz w:val="24"/>
          <w:szCs w:val="24"/>
          <w:rtl/>
        </w:rPr>
        <w:t xml:space="preserve"> לא </w:t>
      </w:r>
      <w:r w:rsidR="006A7986" w:rsidRPr="00BA63B1">
        <w:rPr>
          <w:rFonts w:ascii="Alef" w:hAnsi="Alef" w:cs="Alef"/>
          <w:sz w:val="24"/>
          <w:szCs w:val="24"/>
          <w:rtl/>
        </w:rPr>
        <w:t>מקימים פוטנציאל לפגיעה של ממש</w:t>
      </w:r>
      <w:r w:rsidR="00426664" w:rsidRPr="00BA63B1">
        <w:rPr>
          <w:rFonts w:ascii="Alef" w:hAnsi="Alef" w:cs="Alef"/>
          <w:sz w:val="24"/>
          <w:szCs w:val="24"/>
          <w:rtl/>
        </w:rPr>
        <w:t xml:space="preserve"> בתחרות</w:t>
      </w:r>
      <w:r w:rsidR="00305530" w:rsidRPr="00BA63B1">
        <w:rPr>
          <w:rFonts w:ascii="Alef" w:hAnsi="Alef" w:cs="Alef"/>
          <w:sz w:val="24"/>
          <w:szCs w:val="24"/>
          <w:rtl/>
        </w:rPr>
        <w:t xml:space="preserve">, מביא למסקנה שנכון לתקן את פטור הסוג, כך שגם הסדרים אנכיים שמופיעה בהם כבילת מחיר אנכית ייבחנו </w:t>
      </w:r>
      <w:r w:rsidR="002D675B" w:rsidRPr="00BA63B1">
        <w:rPr>
          <w:rFonts w:ascii="Alef" w:hAnsi="Alef" w:cs="Alef"/>
          <w:sz w:val="24"/>
          <w:szCs w:val="24"/>
          <w:rtl/>
        </w:rPr>
        <w:t xml:space="preserve">בהערכה עצמית, כמו הסדרים </w:t>
      </w:r>
      <w:r w:rsidR="00713530" w:rsidRPr="00BA63B1">
        <w:rPr>
          <w:rFonts w:ascii="Alef" w:hAnsi="Alef" w:cs="Alef"/>
          <w:sz w:val="24"/>
          <w:szCs w:val="24"/>
          <w:rtl/>
        </w:rPr>
        <w:t xml:space="preserve">אנכיים </w:t>
      </w:r>
      <w:r w:rsidR="002D675B" w:rsidRPr="00BA63B1">
        <w:rPr>
          <w:rFonts w:ascii="Alef" w:hAnsi="Alef" w:cs="Alef"/>
          <w:sz w:val="24"/>
          <w:szCs w:val="24"/>
          <w:rtl/>
        </w:rPr>
        <w:t>אחרים</w:t>
      </w:r>
      <w:r w:rsidR="00471B17" w:rsidRPr="00BA63B1">
        <w:rPr>
          <w:rFonts w:ascii="Alef" w:hAnsi="Alef" w:cs="Alef"/>
          <w:sz w:val="24"/>
          <w:szCs w:val="24"/>
          <w:rtl/>
        </w:rPr>
        <w:t xml:space="preserve"> ועל פי אותן אמות מידה – דרישות הדין המהותיות</w:t>
      </w:r>
      <w:r w:rsidR="005B4B0E" w:rsidRPr="00BA63B1">
        <w:rPr>
          <w:rFonts w:ascii="Alef" w:hAnsi="Alef" w:cs="Alef"/>
          <w:sz w:val="24"/>
          <w:szCs w:val="24"/>
          <w:rtl/>
        </w:rPr>
        <w:t>.</w:t>
      </w:r>
      <w:r w:rsidR="00305530" w:rsidRPr="00BA63B1">
        <w:rPr>
          <w:rFonts w:ascii="Alef" w:hAnsi="Alef" w:cs="Alef"/>
          <w:sz w:val="24"/>
          <w:szCs w:val="24"/>
          <w:rtl/>
        </w:rPr>
        <w:t xml:space="preserve"> </w:t>
      </w:r>
    </w:p>
    <w:p w14:paraId="2FA74DDB" w14:textId="62CDFA7A" w:rsidR="00F620B5" w:rsidRPr="00BA63B1" w:rsidRDefault="00EB5588" w:rsidP="00EB5588">
      <w:pPr>
        <w:jc w:val="both"/>
        <w:rPr>
          <w:rFonts w:ascii="Alef" w:hAnsi="Alef" w:cs="Alef"/>
          <w:sz w:val="24"/>
          <w:szCs w:val="24"/>
          <w:rtl/>
        </w:rPr>
      </w:pPr>
      <w:r w:rsidRPr="00BA63B1">
        <w:rPr>
          <w:rFonts w:ascii="Alef" w:hAnsi="Alef" w:cs="Alef"/>
          <w:sz w:val="24"/>
          <w:szCs w:val="24"/>
          <w:rtl/>
        </w:rPr>
        <w:t>ביום 8.2.2021 פרסמה הרשות קול קורא לקבלת עמדות הציבור לעניין: כללי הוראות והגדרות כלליות, פטור הסוג למיזמים משותפים, פטור הסוג להסכמים לביצוע מחקר ופיתוח, פטור הסוג להסכמים שפגיעתם בתחרות קלת ערך ופטור הסוג להסכמים בין חברות קשורות.</w:t>
      </w:r>
      <w:r w:rsidR="00F620B5" w:rsidRPr="00BA63B1">
        <w:rPr>
          <w:rFonts w:ascii="Alef" w:hAnsi="Alef" w:cs="Alef"/>
          <w:sz w:val="24"/>
          <w:szCs w:val="24"/>
          <w:rtl/>
        </w:rPr>
        <w:t xml:space="preserve"> </w:t>
      </w:r>
    </w:p>
    <w:p w14:paraId="3DD2CA05" w14:textId="0D94E980" w:rsidR="000845A6" w:rsidRPr="00BA63B1" w:rsidRDefault="000845A6" w:rsidP="00EB5588">
      <w:pPr>
        <w:jc w:val="both"/>
        <w:rPr>
          <w:rFonts w:ascii="Alef" w:hAnsi="Alef" w:cs="Alef"/>
          <w:sz w:val="24"/>
          <w:szCs w:val="24"/>
          <w:rtl/>
        </w:rPr>
      </w:pPr>
      <w:r w:rsidRPr="00BA63B1">
        <w:rPr>
          <w:rFonts w:ascii="Alef" w:hAnsi="Alef" w:cs="Alef"/>
          <w:sz w:val="24"/>
          <w:szCs w:val="24"/>
          <w:rtl/>
        </w:rPr>
        <w:t xml:space="preserve">הערת ציבור חוזרת היא כי נדרשים מסמכים נוספים שיבהירו את פרשנות פטורי הסוג, אלו יקלו על העוסקים בתחום להבין ביטויים </w:t>
      </w:r>
      <w:r w:rsidR="005A0F90" w:rsidRPr="00BA63B1">
        <w:rPr>
          <w:rFonts w:ascii="Alef" w:hAnsi="Alef" w:cs="Alef"/>
          <w:sz w:val="24"/>
          <w:szCs w:val="24"/>
          <w:rtl/>
        </w:rPr>
        <w:t xml:space="preserve">שניתן לפרש בכמה אופנים, ויצרו דין אחיד יותר שפחות נתון לפרשנות סובייקטיבית. נציין, כי לראשונה, יחד עם פטורי הסוג מתפרסמים דברי הסבר שעשויים לשמש </w:t>
      </w:r>
      <w:r w:rsidR="005A0F90" w:rsidRPr="00BA63B1">
        <w:rPr>
          <w:rFonts w:ascii="Alef" w:hAnsi="Alef" w:cs="Alef"/>
          <w:sz w:val="24"/>
          <w:szCs w:val="24"/>
          <w:rtl/>
        </w:rPr>
        <w:lastRenderedPageBreak/>
        <w:t>כלי פרשני לפטורי הסוג</w:t>
      </w:r>
      <w:r w:rsidR="00B167F4">
        <w:rPr>
          <w:rFonts w:ascii="Alef" w:hAnsi="Alef" w:cs="Alef" w:hint="cs"/>
          <w:sz w:val="24"/>
          <w:szCs w:val="24"/>
          <w:rtl/>
        </w:rPr>
        <w:t>, מעבר לדברי ההסבר שפורסמו בעבר ביחס לפטור הסוג האנכי</w:t>
      </w:r>
      <w:r w:rsidR="005A0F90" w:rsidRPr="00BA63B1">
        <w:rPr>
          <w:rFonts w:ascii="Alef" w:hAnsi="Alef" w:cs="Alef"/>
          <w:sz w:val="24"/>
          <w:szCs w:val="24"/>
          <w:rtl/>
        </w:rPr>
        <w:t>.</w:t>
      </w:r>
      <w:r w:rsidR="00B167F4">
        <w:rPr>
          <w:rFonts w:ascii="Alef" w:hAnsi="Alef" w:cs="Alef" w:hint="cs"/>
          <w:sz w:val="24"/>
          <w:szCs w:val="24"/>
          <w:rtl/>
        </w:rPr>
        <w:t xml:space="preserve"> </w:t>
      </w:r>
      <w:r w:rsidR="00603857" w:rsidRPr="00BA63B1">
        <w:rPr>
          <w:rFonts w:ascii="Alef" w:hAnsi="Alef" w:cs="Alef"/>
          <w:sz w:val="24"/>
          <w:szCs w:val="24"/>
          <w:rtl/>
        </w:rPr>
        <w:t xml:space="preserve"> </w:t>
      </w:r>
    </w:p>
    <w:p w14:paraId="25F6E63E" w14:textId="77777777" w:rsidR="00DC7856" w:rsidRPr="00BA63B1" w:rsidRDefault="0028076F" w:rsidP="0028076F">
      <w:pPr>
        <w:jc w:val="both"/>
        <w:rPr>
          <w:rFonts w:ascii="Alef" w:hAnsi="Alef" w:cs="Alef"/>
          <w:sz w:val="24"/>
          <w:szCs w:val="24"/>
          <w:rtl/>
        </w:rPr>
      </w:pPr>
      <w:r w:rsidRPr="00BA63B1">
        <w:rPr>
          <w:rFonts w:ascii="Alef" w:hAnsi="Alef" w:cs="Alef"/>
          <w:sz w:val="24"/>
          <w:szCs w:val="24"/>
          <w:rtl/>
        </w:rPr>
        <w:t>מההערות עלה</w:t>
      </w:r>
      <w:r w:rsidR="00F620B5" w:rsidRPr="00BA63B1">
        <w:rPr>
          <w:rFonts w:ascii="Alef" w:hAnsi="Alef" w:cs="Alef"/>
          <w:sz w:val="24"/>
          <w:szCs w:val="24"/>
          <w:rtl/>
        </w:rPr>
        <w:t xml:space="preserve"> </w:t>
      </w:r>
      <w:r w:rsidRPr="00BA63B1">
        <w:rPr>
          <w:rFonts w:ascii="Alef" w:hAnsi="Alef" w:cs="Alef"/>
          <w:sz w:val="24"/>
          <w:szCs w:val="24"/>
          <w:rtl/>
        </w:rPr>
        <w:t xml:space="preserve">כי </w:t>
      </w:r>
      <w:r w:rsidR="00F620B5" w:rsidRPr="00BA63B1">
        <w:rPr>
          <w:rFonts w:ascii="Alef" w:hAnsi="Alef" w:cs="Alef"/>
          <w:sz w:val="24"/>
          <w:szCs w:val="24"/>
          <w:rtl/>
        </w:rPr>
        <w:t>פטור הסוג להסכמים שפגיעתם בתחרות קלת ערך משמש במקרים שבהם הגדרת השוק ונתחי השוק ברורים באופן מובהק. במקרים אלו</w:t>
      </w:r>
      <w:r w:rsidR="000845A6" w:rsidRPr="00BA63B1">
        <w:rPr>
          <w:rFonts w:ascii="Alef" w:hAnsi="Alef" w:cs="Alef"/>
          <w:sz w:val="24"/>
          <w:szCs w:val="24"/>
          <w:rtl/>
        </w:rPr>
        <w:t xml:space="preserve">, </w:t>
      </w:r>
      <w:r w:rsidR="00F620B5" w:rsidRPr="00BA63B1">
        <w:rPr>
          <w:rFonts w:ascii="Alef" w:hAnsi="Alef" w:cs="Alef"/>
          <w:sz w:val="24"/>
          <w:szCs w:val="24"/>
          <w:rtl/>
        </w:rPr>
        <w:t>עמיד</w:t>
      </w:r>
      <w:r w:rsidR="000845A6" w:rsidRPr="00BA63B1">
        <w:rPr>
          <w:rFonts w:ascii="Alef" w:hAnsi="Alef" w:cs="Alef"/>
          <w:sz w:val="24"/>
          <w:szCs w:val="24"/>
          <w:rtl/>
        </w:rPr>
        <w:t>ה בנתחי השוק שבפטור הסוג נוחים ופשוטים יותר מבחינה מהותית של ההסדר לפי פטורים אחרים.</w:t>
      </w:r>
    </w:p>
    <w:p w14:paraId="197A54DF" w14:textId="68709035" w:rsidR="00A67566" w:rsidRPr="00BA63B1" w:rsidRDefault="00DC7856" w:rsidP="00A927A9">
      <w:pPr>
        <w:jc w:val="both"/>
        <w:rPr>
          <w:rFonts w:ascii="Alef" w:hAnsi="Alef" w:cs="Alef"/>
          <w:sz w:val="24"/>
          <w:szCs w:val="24"/>
          <w:rtl/>
        </w:rPr>
      </w:pPr>
      <w:r w:rsidRPr="00BA63B1">
        <w:rPr>
          <w:rFonts w:ascii="Alef" w:hAnsi="Alef" w:cs="Alef"/>
          <w:sz w:val="24"/>
          <w:szCs w:val="24"/>
          <w:rtl/>
        </w:rPr>
        <w:t xml:space="preserve">בעניין פטור הסוג להסכמים שפגיעתם בתחרות קלת ערך </w:t>
      </w:r>
      <w:r w:rsidR="008C0528" w:rsidRPr="00BA63B1">
        <w:rPr>
          <w:rFonts w:ascii="Alef" w:hAnsi="Alef" w:cs="Alef"/>
          <w:sz w:val="24"/>
          <w:szCs w:val="24"/>
          <w:rtl/>
        </w:rPr>
        <w:t xml:space="preserve">עלו טענות כי הרף שנקבע לנתח השוק נמוך מידי ואף </w:t>
      </w:r>
      <w:r w:rsidRPr="00BA63B1">
        <w:rPr>
          <w:rFonts w:ascii="Alef" w:hAnsi="Alef" w:cs="Alef"/>
          <w:sz w:val="24"/>
          <w:szCs w:val="24"/>
          <w:rtl/>
        </w:rPr>
        <w:t>עלתה טענה כי יש להסיר את החריג שפטור הסוג לא יחול על הסכמים שבעל מונופולין בשוק מוצר משיק הוא צד לו, שכן מדובר בחריג רחב מידי שממילא נבחן בסעיף המהותי.</w:t>
      </w:r>
      <w:r w:rsidR="008C0528" w:rsidRPr="00BA63B1">
        <w:rPr>
          <w:rFonts w:ascii="Alef" w:hAnsi="Alef" w:cs="Alef"/>
          <w:sz w:val="24"/>
          <w:szCs w:val="24"/>
          <w:rtl/>
        </w:rPr>
        <w:t xml:space="preserve"> ואולם, פטור סוג זה נועד לפטור</w:t>
      </w:r>
      <w:r w:rsidR="00E5611A" w:rsidRPr="00BA63B1">
        <w:rPr>
          <w:rFonts w:ascii="Alef" w:hAnsi="Alef" w:cs="Alef"/>
          <w:sz w:val="24"/>
          <w:szCs w:val="24"/>
          <w:rtl/>
        </w:rPr>
        <w:t xml:space="preserve"> הסדרים </w:t>
      </w:r>
      <w:r w:rsidR="00A927A9" w:rsidRPr="00BA63B1">
        <w:rPr>
          <w:rFonts w:ascii="Alef" w:hAnsi="Alef" w:cs="Alef"/>
          <w:sz w:val="24"/>
          <w:szCs w:val="24"/>
          <w:rtl/>
        </w:rPr>
        <w:t>שבנקודת המוצא עלולים לכל היותר להעלות</w:t>
      </w:r>
      <w:r w:rsidR="00E5611A" w:rsidRPr="00BA63B1">
        <w:rPr>
          <w:rFonts w:ascii="Alef" w:hAnsi="Alef" w:cs="Alef"/>
          <w:sz w:val="24"/>
          <w:szCs w:val="24"/>
          <w:rtl/>
        </w:rPr>
        <w:t xml:space="preserve"> חששות לפגיעה קלה בלבד בתחרות, בין אם בשל נתח השוק המצרפי של הצדדים בשווקים בהם נערך ההסדר, </w:t>
      </w:r>
      <w:r w:rsidR="00204C75" w:rsidRPr="00BA63B1">
        <w:rPr>
          <w:rFonts w:ascii="Alef" w:hAnsi="Alef" w:cs="Alef"/>
          <w:sz w:val="24"/>
          <w:szCs w:val="24"/>
          <w:rtl/>
        </w:rPr>
        <w:t>ו</w:t>
      </w:r>
      <w:r w:rsidR="00E5611A" w:rsidRPr="00BA63B1">
        <w:rPr>
          <w:rFonts w:ascii="Alef" w:hAnsi="Alef" w:cs="Alef"/>
          <w:sz w:val="24"/>
          <w:szCs w:val="24"/>
          <w:rtl/>
        </w:rPr>
        <w:t xml:space="preserve">בין אם בשל נתח שוק מצרפי נמוך בשווקים אחרים שבהם הצדדים מתחרים. </w:t>
      </w:r>
      <w:r w:rsidR="00204C75" w:rsidRPr="00BA63B1">
        <w:rPr>
          <w:rFonts w:ascii="Alef" w:hAnsi="Alef" w:cs="Alef"/>
          <w:sz w:val="24"/>
          <w:szCs w:val="24"/>
          <w:rtl/>
        </w:rPr>
        <w:t xml:space="preserve">עובדת </w:t>
      </w:r>
      <w:r w:rsidR="00E5611A" w:rsidRPr="00BA63B1">
        <w:rPr>
          <w:rFonts w:ascii="Alef" w:hAnsi="Alef" w:cs="Alef"/>
          <w:sz w:val="24"/>
          <w:szCs w:val="24"/>
          <w:rtl/>
        </w:rPr>
        <w:t xml:space="preserve">היותו של צד להסדר מונופולין בשוק מוצר משיק עשויה להעלות </w:t>
      </w:r>
      <w:r w:rsidR="00E5611A" w:rsidRPr="00BA63B1">
        <w:rPr>
          <w:rFonts w:ascii="Alef" w:hAnsi="Alef" w:cs="Alef"/>
          <w:sz w:val="24"/>
          <w:szCs w:val="24"/>
          <w:rtl/>
        </w:rPr>
        <w:lastRenderedPageBreak/>
        <w:t>שאלות מורכבות יותר שאינן מתאימות לפטור זה</w:t>
      </w:r>
      <w:r w:rsidR="00603857" w:rsidRPr="00BA63B1">
        <w:rPr>
          <w:rFonts w:ascii="Alef" w:hAnsi="Alef" w:cs="Alef"/>
          <w:sz w:val="24"/>
          <w:szCs w:val="24"/>
          <w:rtl/>
        </w:rPr>
        <w:t>, שכאמור נועד למקרים פשוטים וברורים שלא דורשים בחינה מהותית</w:t>
      </w:r>
      <w:r w:rsidR="00E5611A" w:rsidRPr="00BA63B1">
        <w:rPr>
          <w:rFonts w:ascii="Alef" w:hAnsi="Alef" w:cs="Alef"/>
          <w:sz w:val="24"/>
          <w:szCs w:val="24"/>
          <w:rtl/>
        </w:rPr>
        <w:t>.</w:t>
      </w:r>
    </w:p>
    <w:p w14:paraId="4B69FCEE" w14:textId="4512D85B" w:rsidR="00E0186D" w:rsidRPr="00BA63B1" w:rsidRDefault="00A67566" w:rsidP="00DC5476">
      <w:pPr>
        <w:jc w:val="both"/>
        <w:rPr>
          <w:rFonts w:ascii="Alef" w:hAnsi="Alef" w:cs="Alef"/>
          <w:sz w:val="24"/>
          <w:szCs w:val="24"/>
          <w:rtl/>
        </w:rPr>
      </w:pPr>
      <w:r w:rsidRPr="00BA63B1">
        <w:rPr>
          <w:rFonts w:ascii="Alef" w:hAnsi="Alef" w:cs="Alef"/>
          <w:sz w:val="24"/>
          <w:szCs w:val="24"/>
          <w:rtl/>
        </w:rPr>
        <w:t>באשר לפטור הסוג להס</w:t>
      </w:r>
      <w:r w:rsidR="00F05D85" w:rsidRPr="00BA63B1">
        <w:rPr>
          <w:rFonts w:ascii="Alef" w:hAnsi="Alef" w:cs="Alef"/>
          <w:sz w:val="24"/>
          <w:szCs w:val="24"/>
          <w:rtl/>
        </w:rPr>
        <w:t>כמ</w:t>
      </w:r>
      <w:r w:rsidRPr="00BA63B1">
        <w:rPr>
          <w:rFonts w:ascii="Alef" w:hAnsi="Alef" w:cs="Alef"/>
          <w:sz w:val="24"/>
          <w:szCs w:val="24"/>
          <w:rtl/>
        </w:rPr>
        <w:t xml:space="preserve">ים בין חברות קשורות הוער כי הגדרת שליטה </w:t>
      </w:r>
      <w:r w:rsidR="00F05D85" w:rsidRPr="00BA63B1">
        <w:rPr>
          <w:rFonts w:ascii="Alef" w:hAnsi="Alef" w:cs="Alef"/>
          <w:sz w:val="24"/>
          <w:szCs w:val="24"/>
          <w:rtl/>
        </w:rPr>
        <w:t>שמפנה להגדרה שבחוק (למעלה ממחצית מהזכויות)</w:t>
      </w:r>
      <w:r w:rsidRPr="00BA63B1">
        <w:rPr>
          <w:rFonts w:ascii="Alef" w:hAnsi="Alef" w:cs="Alef"/>
          <w:sz w:val="24"/>
          <w:szCs w:val="24"/>
          <w:rtl/>
        </w:rPr>
        <w:t xml:space="preserve"> צרה</w:t>
      </w:r>
      <w:r w:rsidR="00204C75" w:rsidRPr="00BA63B1">
        <w:rPr>
          <w:rFonts w:ascii="Alef" w:hAnsi="Alef" w:cs="Alef"/>
          <w:sz w:val="24"/>
          <w:szCs w:val="24"/>
          <w:rtl/>
        </w:rPr>
        <w:t xml:space="preserve"> וטכנית</w:t>
      </w:r>
      <w:r w:rsidRPr="00BA63B1">
        <w:rPr>
          <w:rFonts w:ascii="Alef" w:hAnsi="Alef" w:cs="Alef"/>
          <w:sz w:val="24"/>
          <w:szCs w:val="24"/>
          <w:rtl/>
        </w:rPr>
        <w:t xml:space="preserve"> ואינה </w:t>
      </w:r>
      <w:r w:rsidR="00F05D85" w:rsidRPr="00BA63B1">
        <w:rPr>
          <w:rFonts w:ascii="Alef" w:hAnsi="Alef" w:cs="Alef"/>
          <w:sz w:val="24"/>
          <w:szCs w:val="24"/>
          <w:rtl/>
        </w:rPr>
        <w:t>מתאימה לתפיסה המהותית שבחוק. כמו כן, ההגדרה אינה פוטרת הסדרים רבים שבהם חברה "שולטת" יחד עם חברה אחרת כשכל צד מחזיק מחצית מהזכויות – כשלא סביר שחברה תתחרה בפעילות של חברה שהיא מחזיקה בה מחצית מהזכויות.</w:t>
      </w:r>
      <w:r w:rsidR="007E1414" w:rsidRPr="00BA63B1">
        <w:rPr>
          <w:rFonts w:ascii="Alef" w:hAnsi="Alef" w:cs="Alef"/>
          <w:sz w:val="24"/>
          <w:szCs w:val="24"/>
          <w:rtl/>
        </w:rPr>
        <w:t xml:space="preserve"> ואולם, פטור הסוג להסכמים בין חברות קשורות אינו דורש כל בחינה מהותית</w:t>
      </w:r>
      <w:r w:rsidR="00DC5476" w:rsidRPr="00BA63B1">
        <w:rPr>
          <w:rFonts w:ascii="Alef" w:hAnsi="Alef" w:cs="Alef"/>
          <w:sz w:val="24"/>
          <w:szCs w:val="24"/>
          <w:rtl/>
        </w:rPr>
        <w:t>.</w:t>
      </w:r>
      <w:r w:rsidR="00A3771D" w:rsidRPr="00BA63B1">
        <w:rPr>
          <w:rStyle w:val="FootnoteReference"/>
          <w:rFonts w:ascii="Alef" w:hAnsi="Alef" w:cs="Alef"/>
          <w:sz w:val="24"/>
          <w:szCs w:val="24"/>
          <w:rtl/>
        </w:rPr>
        <w:footnoteReference w:id="38"/>
      </w:r>
      <w:r w:rsidR="00DC5476" w:rsidRPr="00BA63B1">
        <w:rPr>
          <w:rFonts w:ascii="Alef" w:hAnsi="Alef" w:cs="Alef"/>
          <w:sz w:val="24"/>
          <w:szCs w:val="24"/>
          <w:rtl/>
        </w:rPr>
        <w:t xml:space="preserve"> הפטור</w:t>
      </w:r>
      <w:r w:rsidR="007E1414" w:rsidRPr="00BA63B1">
        <w:rPr>
          <w:rFonts w:ascii="Alef" w:hAnsi="Alef" w:cs="Alef"/>
          <w:sz w:val="24"/>
          <w:szCs w:val="24"/>
          <w:rtl/>
        </w:rPr>
        <w:t xml:space="preserve"> פוטר באופן מוחלט – הסכמים בין "חברות קשורות" </w:t>
      </w:r>
      <w:r w:rsidR="00621DD3" w:rsidRPr="00BA63B1">
        <w:rPr>
          <w:rFonts w:ascii="Alef" w:hAnsi="Alef" w:cs="Alef"/>
          <w:sz w:val="24"/>
          <w:szCs w:val="24"/>
          <w:rtl/>
        </w:rPr>
        <w:t xml:space="preserve">באופן שמחיל גם ביחס לחברות </w:t>
      </w:r>
      <w:r w:rsidR="00DC5476" w:rsidRPr="00BA63B1">
        <w:rPr>
          <w:rFonts w:ascii="Alef" w:hAnsi="Alef" w:cs="Alef"/>
          <w:sz w:val="24"/>
          <w:szCs w:val="24"/>
          <w:rtl/>
        </w:rPr>
        <w:t>אלה</w:t>
      </w:r>
      <w:r w:rsidR="00621DD3" w:rsidRPr="00BA63B1">
        <w:rPr>
          <w:rFonts w:ascii="Alef" w:hAnsi="Alef" w:cs="Alef"/>
          <w:sz w:val="24"/>
          <w:szCs w:val="24"/>
          <w:rtl/>
        </w:rPr>
        <w:t xml:space="preserve"> את הרציונל העומד מאח</w:t>
      </w:r>
      <w:r w:rsidR="00F50D13" w:rsidRPr="00BA63B1">
        <w:rPr>
          <w:rFonts w:ascii="Alef" w:hAnsi="Alef" w:cs="Alef"/>
          <w:sz w:val="24"/>
          <w:szCs w:val="24"/>
          <w:rtl/>
        </w:rPr>
        <w:t>ו</w:t>
      </w:r>
      <w:r w:rsidR="00621DD3" w:rsidRPr="00BA63B1">
        <w:rPr>
          <w:rFonts w:ascii="Alef" w:hAnsi="Alef" w:cs="Alef"/>
          <w:sz w:val="24"/>
          <w:szCs w:val="24"/>
          <w:rtl/>
        </w:rPr>
        <w:t>רי הפטור הסטטוטורי הקבוע בסעיף 3(5)</w:t>
      </w:r>
      <w:r w:rsidR="00DC5476" w:rsidRPr="00BA63B1">
        <w:rPr>
          <w:rFonts w:ascii="Alef" w:hAnsi="Alef" w:cs="Alef"/>
          <w:sz w:val="24"/>
          <w:szCs w:val="24"/>
          <w:rtl/>
        </w:rPr>
        <w:t xml:space="preserve"> לחוק ביחס</w:t>
      </w:r>
      <w:r w:rsidR="00621DD3" w:rsidRPr="00BA63B1">
        <w:rPr>
          <w:rFonts w:ascii="Alef" w:hAnsi="Alef" w:cs="Alef"/>
          <w:sz w:val="24"/>
          <w:szCs w:val="24"/>
          <w:rtl/>
        </w:rPr>
        <w:t xml:space="preserve"> </w:t>
      </w:r>
      <w:r w:rsidR="00DC5476" w:rsidRPr="00BA63B1">
        <w:rPr>
          <w:rFonts w:ascii="Alef" w:hAnsi="Alef" w:cs="Alef"/>
          <w:sz w:val="24"/>
          <w:szCs w:val="24"/>
          <w:rtl/>
        </w:rPr>
        <w:t>ל</w:t>
      </w:r>
      <w:r w:rsidR="00621DD3" w:rsidRPr="00BA63B1">
        <w:rPr>
          <w:rFonts w:ascii="Alef" w:hAnsi="Alef" w:cs="Alef"/>
          <w:sz w:val="24"/>
          <w:szCs w:val="24"/>
          <w:rtl/>
        </w:rPr>
        <w:t>הסדר</w:t>
      </w:r>
      <w:r w:rsidR="00DC5476" w:rsidRPr="00BA63B1">
        <w:rPr>
          <w:rFonts w:ascii="Alef" w:hAnsi="Alef" w:cs="Alef"/>
          <w:sz w:val="24"/>
          <w:szCs w:val="24"/>
          <w:rtl/>
        </w:rPr>
        <w:t>ים</w:t>
      </w:r>
      <w:r w:rsidR="00621DD3" w:rsidRPr="00BA63B1">
        <w:rPr>
          <w:rFonts w:ascii="Alef" w:hAnsi="Alef" w:cs="Alef"/>
          <w:sz w:val="24"/>
          <w:szCs w:val="24"/>
          <w:rtl/>
        </w:rPr>
        <w:t xml:space="preserve"> בין חברה וחברות שהיא שולטות בהן</w:t>
      </w:r>
      <w:r w:rsidR="00DC5476" w:rsidRPr="00BA63B1">
        <w:rPr>
          <w:rFonts w:ascii="Alef" w:hAnsi="Alef" w:cs="Alef"/>
          <w:sz w:val="24"/>
          <w:szCs w:val="24"/>
          <w:rtl/>
        </w:rPr>
        <w:t xml:space="preserve">, </w:t>
      </w:r>
      <w:r w:rsidR="007E1414" w:rsidRPr="00BA63B1">
        <w:rPr>
          <w:rFonts w:ascii="Alef" w:hAnsi="Alef" w:cs="Alef"/>
          <w:sz w:val="24"/>
          <w:szCs w:val="24"/>
          <w:rtl/>
        </w:rPr>
        <w:t xml:space="preserve">בהתאם </w:t>
      </w:r>
      <w:r w:rsidR="007E1414" w:rsidRPr="00BA63B1">
        <w:rPr>
          <w:rFonts w:ascii="Alef" w:hAnsi="Alef" w:cs="Alef"/>
          <w:sz w:val="24"/>
          <w:szCs w:val="24"/>
          <w:rtl/>
        </w:rPr>
        <w:lastRenderedPageBreak/>
        <w:t>להגדרה שבחוק</w:t>
      </w:r>
      <w:r w:rsidR="00DC5476" w:rsidRPr="00BA63B1">
        <w:rPr>
          <w:rFonts w:ascii="Alef" w:hAnsi="Alef" w:cs="Alef"/>
          <w:sz w:val="24"/>
          <w:szCs w:val="24"/>
          <w:rtl/>
        </w:rPr>
        <w:t>.</w:t>
      </w:r>
      <w:r w:rsidR="007E1414" w:rsidRPr="00BA63B1">
        <w:rPr>
          <w:rFonts w:ascii="Alef" w:hAnsi="Alef" w:cs="Alef"/>
          <w:sz w:val="24"/>
          <w:szCs w:val="24"/>
          <w:rtl/>
        </w:rPr>
        <w:t xml:space="preserve"> על כן, הרחבת הפטור גם לחברות ששולטות באופן מהותי או יחד עם שולטים נוספים בהחלט עלולה לכלול </w:t>
      </w:r>
      <w:r w:rsidR="00E0186D" w:rsidRPr="00BA63B1">
        <w:rPr>
          <w:rFonts w:ascii="Alef" w:hAnsi="Alef" w:cs="Alef"/>
          <w:sz w:val="24"/>
          <w:szCs w:val="24"/>
          <w:rtl/>
        </w:rPr>
        <w:t>הסדרים שמעלים חששות תחרותיים</w:t>
      </w:r>
      <w:r w:rsidR="00603857" w:rsidRPr="00BA63B1">
        <w:rPr>
          <w:rFonts w:ascii="Alef" w:hAnsi="Alef" w:cs="Alef"/>
          <w:sz w:val="24"/>
          <w:szCs w:val="24"/>
          <w:rtl/>
        </w:rPr>
        <w:t>,</w:t>
      </w:r>
      <w:r w:rsidR="00E0186D" w:rsidRPr="00BA63B1">
        <w:rPr>
          <w:rFonts w:ascii="Alef" w:hAnsi="Alef" w:cs="Alef"/>
          <w:sz w:val="24"/>
          <w:szCs w:val="24"/>
          <w:rtl/>
        </w:rPr>
        <w:t xml:space="preserve"> שנכון שייבחנו באופן מהותי. נכון יותר שהסדרים כאלה ייבחנו ביחס לפטורי סוג אחרים, ובבחינה </w:t>
      </w:r>
      <w:r w:rsidR="0071519D" w:rsidRPr="00BA63B1">
        <w:rPr>
          <w:rFonts w:ascii="Alef" w:hAnsi="Alef" w:cs="Alef"/>
          <w:sz w:val="24"/>
          <w:szCs w:val="24"/>
          <w:rtl/>
        </w:rPr>
        <w:t xml:space="preserve">זו </w:t>
      </w:r>
      <w:r w:rsidR="00E0186D" w:rsidRPr="00BA63B1">
        <w:rPr>
          <w:rFonts w:ascii="Alef" w:hAnsi="Alef" w:cs="Alef"/>
          <w:sz w:val="24"/>
          <w:szCs w:val="24"/>
          <w:rtl/>
        </w:rPr>
        <w:t xml:space="preserve">ניתן לקחת בחשבון את היחסים המיוחדים בין החברות שמתקשרות בהסכם. </w:t>
      </w:r>
    </w:p>
    <w:p w14:paraId="06E3ACB0" w14:textId="796769D7" w:rsidR="003F58D8" w:rsidRPr="00BA63B1" w:rsidRDefault="003F58D8" w:rsidP="007E1414">
      <w:pPr>
        <w:jc w:val="both"/>
        <w:rPr>
          <w:rFonts w:ascii="Alef" w:hAnsi="Alef" w:cs="Alef"/>
          <w:b/>
          <w:bCs/>
          <w:sz w:val="24"/>
          <w:szCs w:val="24"/>
          <w:rtl/>
        </w:rPr>
      </w:pPr>
      <w:r w:rsidRPr="00BA63B1">
        <w:rPr>
          <w:rFonts w:ascii="Alef" w:hAnsi="Alef" w:cs="Alef"/>
          <w:b/>
          <w:bCs/>
          <w:sz w:val="24"/>
          <w:szCs w:val="24"/>
          <w:rtl/>
        </w:rPr>
        <w:t>סיכום</w:t>
      </w:r>
    </w:p>
    <w:p w14:paraId="226D4007" w14:textId="35ACBDDC" w:rsidR="00335081" w:rsidRPr="00BA63B1" w:rsidRDefault="008D718B" w:rsidP="0071519D">
      <w:pPr>
        <w:jc w:val="both"/>
        <w:rPr>
          <w:rFonts w:ascii="Alef" w:hAnsi="Alef" w:cs="Alef"/>
          <w:sz w:val="24"/>
          <w:szCs w:val="24"/>
          <w:rtl/>
        </w:rPr>
      </w:pPr>
      <w:r w:rsidRPr="00BA63B1">
        <w:rPr>
          <w:rFonts w:ascii="Alef" w:hAnsi="Alef" w:cs="Alef"/>
          <w:sz w:val="24"/>
          <w:szCs w:val="24"/>
          <w:rtl/>
        </w:rPr>
        <w:t xml:space="preserve">שוק דינמי שמתבצעות בו יותר ויותר עסקאות מחייב רגולציה מתאימה. הרגולציה נדרשת לאפשר ביצוע עסקאות באופן חופשי, מהיר ויעיל. </w:t>
      </w:r>
      <w:r w:rsidR="00335081" w:rsidRPr="00BA63B1">
        <w:rPr>
          <w:rFonts w:ascii="Alef" w:hAnsi="Alef" w:cs="Alef"/>
          <w:sz w:val="24"/>
          <w:szCs w:val="24"/>
          <w:rtl/>
        </w:rPr>
        <w:t>ואולם</w:t>
      </w:r>
      <w:r w:rsidRPr="00BA63B1">
        <w:rPr>
          <w:rFonts w:ascii="Alef" w:hAnsi="Alef" w:cs="Alef"/>
          <w:sz w:val="24"/>
          <w:szCs w:val="24"/>
          <w:rtl/>
        </w:rPr>
        <w:t xml:space="preserve">, </w:t>
      </w:r>
      <w:r w:rsidR="0071519D" w:rsidRPr="00BA63B1">
        <w:rPr>
          <w:rFonts w:ascii="Alef" w:hAnsi="Alef" w:cs="Alef"/>
          <w:sz w:val="24"/>
          <w:szCs w:val="24"/>
          <w:rtl/>
        </w:rPr>
        <w:t>קיימות</w:t>
      </w:r>
      <w:r w:rsidRPr="00BA63B1">
        <w:rPr>
          <w:rFonts w:ascii="Alef" w:hAnsi="Alef" w:cs="Alef"/>
          <w:sz w:val="24"/>
          <w:szCs w:val="24"/>
          <w:rtl/>
        </w:rPr>
        <w:t xml:space="preserve"> עסקאות שפוגעות בתחרות שאסור לאפשר.</w:t>
      </w:r>
    </w:p>
    <w:p w14:paraId="70842A3D" w14:textId="1D06490E" w:rsidR="00F51FD3" w:rsidRPr="00BA63B1" w:rsidRDefault="00335081" w:rsidP="00D05EFC">
      <w:pPr>
        <w:jc w:val="both"/>
        <w:rPr>
          <w:rFonts w:ascii="Alef" w:hAnsi="Alef" w:cs="Alef"/>
          <w:sz w:val="24"/>
          <w:szCs w:val="24"/>
          <w:rtl/>
        </w:rPr>
      </w:pPr>
      <w:r w:rsidRPr="00BA63B1">
        <w:rPr>
          <w:rFonts w:ascii="Alef" w:hAnsi="Alef" w:cs="Alef"/>
          <w:sz w:val="24"/>
          <w:szCs w:val="24"/>
          <w:rtl/>
        </w:rPr>
        <w:t>פטורי הסוג</w:t>
      </w:r>
      <w:r w:rsidR="00F51FD3" w:rsidRPr="00BA63B1">
        <w:rPr>
          <w:rFonts w:ascii="Alef" w:hAnsi="Alef" w:cs="Alef"/>
          <w:sz w:val="24"/>
          <w:szCs w:val="24"/>
          <w:rtl/>
        </w:rPr>
        <w:t xml:space="preserve"> – כלי שמשמש ב</w:t>
      </w:r>
      <w:r w:rsidR="00D05EFC" w:rsidRPr="00BA63B1">
        <w:rPr>
          <w:rFonts w:ascii="Alef" w:hAnsi="Alef" w:cs="Alef"/>
          <w:sz w:val="24"/>
          <w:szCs w:val="24"/>
          <w:rtl/>
        </w:rPr>
        <w:t>איחוד האירופי</w:t>
      </w:r>
      <w:r w:rsidRPr="00BA63B1">
        <w:rPr>
          <w:rFonts w:ascii="Alef" w:hAnsi="Alef" w:cs="Alef"/>
          <w:sz w:val="24"/>
          <w:szCs w:val="24"/>
          <w:rtl/>
        </w:rPr>
        <w:t>, יחד עם יתר כללי התחרות, נועדו לאפשר עסקאות מהסוג הראשון ולמנוע ע</w:t>
      </w:r>
      <w:r w:rsidR="00114077" w:rsidRPr="00BA63B1">
        <w:rPr>
          <w:rFonts w:ascii="Alef" w:hAnsi="Alef" w:cs="Alef"/>
          <w:sz w:val="24"/>
          <w:szCs w:val="24"/>
          <w:rtl/>
        </w:rPr>
        <w:t>סקאות מהסוג השני. בתווך, נמצאות עסקאות מעטות שמצריכות בירור פרטני מעמיק של רשות התחרות והנחיה פרטנית.</w:t>
      </w:r>
      <w:r w:rsidR="00F51FD3" w:rsidRPr="00BA63B1">
        <w:rPr>
          <w:rFonts w:ascii="Alef" w:hAnsi="Alef" w:cs="Alef"/>
          <w:sz w:val="24"/>
          <w:szCs w:val="24"/>
          <w:rtl/>
        </w:rPr>
        <w:t xml:space="preserve"> עסקאות אלו, נותרות מחוץ לתחולת פטורי הסוג ומחייבות הגשת בקשות פרטניות שנבחנות ברשות התחרות.</w:t>
      </w:r>
    </w:p>
    <w:p w14:paraId="074E450F" w14:textId="77777777" w:rsidR="00F73794" w:rsidRPr="00BA63B1" w:rsidRDefault="00F51FD3" w:rsidP="00F51FD3">
      <w:pPr>
        <w:jc w:val="both"/>
        <w:rPr>
          <w:rFonts w:ascii="Alef" w:hAnsi="Alef" w:cs="Alef"/>
          <w:sz w:val="24"/>
          <w:szCs w:val="24"/>
          <w:rtl/>
        </w:rPr>
      </w:pPr>
      <w:r w:rsidRPr="00BA63B1">
        <w:rPr>
          <w:rFonts w:ascii="Alef" w:hAnsi="Alef" w:cs="Alef"/>
          <w:sz w:val="24"/>
          <w:szCs w:val="24"/>
          <w:rtl/>
        </w:rPr>
        <w:lastRenderedPageBreak/>
        <w:t>מדי תקופה, בוחנת הרשות את התאמת פטורי הסוג בשיתוף הציבור. הבחינה העלתה שפטורי הסוג משמשים את העוסקים בתחום</w:t>
      </w:r>
      <w:r w:rsidR="00F73794" w:rsidRPr="00BA63B1">
        <w:rPr>
          <w:rFonts w:ascii="Alef" w:hAnsi="Alef" w:cs="Alef"/>
          <w:sz w:val="24"/>
          <w:szCs w:val="24"/>
          <w:rtl/>
        </w:rPr>
        <w:t xml:space="preserve">, וכי המעבר ל"הערכה עצמית" מאפשר ביצוען של יותר עסקאות שאינן פוגעות בתחרות, ולחלק מעסקאות אלו אף תרומה ממשית לתחרות ולציבור. </w:t>
      </w:r>
    </w:p>
    <w:p w14:paraId="42FB3734" w14:textId="473D39E8" w:rsidR="00DA1310" w:rsidRPr="00BA63B1" w:rsidRDefault="00F73794" w:rsidP="007F0B3A">
      <w:pPr>
        <w:jc w:val="both"/>
        <w:rPr>
          <w:rFonts w:ascii="Alef" w:hAnsi="Alef" w:cs="Alef"/>
        </w:rPr>
      </w:pPr>
      <w:r w:rsidRPr="00BA63B1">
        <w:rPr>
          <w:rFonts w:ascii="Alef" w:hAnsi="Alef" w:cs="Alef"/>
          <w:sz w:val="24"/>
          <w:szCs w:val="24"/>
          <w:rtl/>
        </w:rPr>
        <w:t>מטבע</w:t>
      </w:r>
      <w:r w:rsidR="007F0B3A" w:rsidRPr="00BA63B1">
        <w:rPr>
          <w:rFonts w:ascii="Alef" w:hAnsi="Alef" w:cs="Alef"/>
          <w:sz w:val="24"/>
          <w:szCs w:val="24"/>
          <w:rtl/>
        </w:rPr>
        <w:t>ם</w:t>
      </w:r>
      <w:r w:rsidRPr="00BA63B1">
        <w:rPr>
          <w:rFonts w:ascii="Alef" w:hAnsi="Alef" w:cs="Alef"/>
          <w:sz w:val="24"/>
          <w:szCs w:val="24"/>
          <w:rtl/>
        </w:rPr>
        <w:t xml:space="preserve"> של כללים, עשויה להיות להם תחולת יתר או תחולת חסר</w:t>
      </w:r>
      <w:r w:rsidR="00D05EFC" w:rsidRPr="00BA63B1">
        <w:rPr>
          <w:rFonts w:ascii="Alef" w:hAnsi="Alef" w:cs="Alef"/>
          <w:sz w:val="24"/>
          <w:szCs w:val="24"/>
          <w:rtl/>
        </w:rPr>
        <w:t>,</w:t>
      </w:r>
      <w:r w:rsidRPr="00BA63B1">
        <w:rPr>
          <w:rFonts w:ascii="Alef" w:hAnsi="Alef" w:cs="Alef"/>
          <w:sz w:val="24"/>
          <w:szCs w:val="24"/>
          <w:rtl/>
        </w:rPr>
        <w:t xml:space="preserve"> וכמעט שלא ניתן ליצור כללים שמותאמים בצורה מושלמת למטרתן, ועל כן, על אף שכללים אלו נדונו בעבר ועל אף שמדובר בהפחתת רגולציה ברורה, הוראות פטורי הסוג נבחנו פעם נוספת.</w:t>
      </w:r>
      <w:r w:rsidR="00D05EFC" w:rsidRPr="00BA63B1">
        <w:rPr>
          <w:rFonts w:ascii="Alef" w:hAnsi="Alef" w:cs="Alef"/>
          <w:sz w:val="24"/>
          <w:szCs w:val="24"/>
          <w:rtl/>
        </w:rPr>
        <w:t xml:space="preserve"> </w:t>
      </w:r>
      <w:r w:rsidR="00360584" w:rsidRPr="00BA63B1">
        <w:rPr>
          <w:rFonts w:ascii="Alef" w:hAnsi="Alef" w:cs="Alef"/>
          <w:sz w:val="24"/>
          <w:szCs w:val="24"/>
          <w:rtl/>
        </w:rPr>
        <w:t xml:space="preserve">הבחינה העלתה כי הכללים שבפטורי הסוג מתאימים, </w:t>
      </w:r>
      <w:r w:rsidR="00D05EFC" w:rsidRPr="00BA63B1">
        <w:rPr>
          <w:rFonts w:ascii="Alef" w:hAnsi="Alef" w:cs="Alef"/>
          <w:sz w:val="24"/>
          <w:szCs w:val="24"/>
          <w:rtl/>
        </w:rPr>
        <w:t>במידה סבירה</w:t>
      </w:r>
      <w:r w:rsidR="00360584" w:rsidRPr="00BA63B1">
        <w:rPr>
          <w:rFonts w:ascii="Alef" w:hAnsi="Alef" w:cs="Alef"/>
          <w:sz w:val="24"/>
          <w:szCs w:val="24"/>
          <w:rtl/>
        </w:rPr>
        <w:t>, למטרתם ומשמ</w:t>
      </w:r>
      <w:r w:rsidR="00D05EFC" w:rsidRPr="00BA63B1">
        <w:rPr>
          <w:rFonts w:ascii="Alef" w:hAnsi="Alef" w:cs="Alef"/>
          <w:sz w:val="24"/>
          <w:szCs w:val="24"/>
          <w:rtl/>
        </w:rPr>
        <w:t>שים באופן מוצלח את הנדרשים להם, ונכון לחדשם.</w:t>
      </w:r>
      <w:r w:rsidRPr="00BA63B1">
        <w:rPr>
          <w:rFonts w:ascii="Alef" w:hAnsi="Alef" w:cs="Alef"/>
          <w:sz w:val="24"/>
          <w:szCs w:val="24"/>
          <w:rtl/>
        </w:rPr>
        <w:t xml:space="preserve"> </w:t>
      </w:r>
      <w:r w:rsidR="00114077" w:rsidRPr="00BA63B1">
        <w:rPr>
          <w:rFonts w:ascii="Alef" w:hAnsi="Alef" w:cs="Alef"/>
          <w:sz w:val="24"/>
          <w:szCs w:val="24"/>
          <w:rtl/>
        </w:rPr>
        <w:t xml:space="preserve"> </w:t>
      </w:r>
      <w:r w:rsidR="00335081" w:rsidRPr="00BA63B1">
        <w:rPr>
          <w:rFonts w:ascii="Alef" w:hAnsi="Alef" w:cs="Alef"/>
          <w:sz w:val="24"/>
          <w:szCs w:val="24"/>
          <w:rtl/>
        </w:rPr>
        <w:t xml:space="preserve"> </w:t>
      </w:r>
      <w:r w:rsidR="008D718B" w:rsidRPr="00BA63B1">
        <w:rPr>
          <w:rFonts w:ascii="Alef" w:hAnsi="Alef" w:cs="Alef"/>
          <w:sz w:val="24"/>
          <w:szCs w:val="24"/>
          <w:rtl/>
        </w:rPr>
        <w:t xml:space="preserve"> </w:t>
      </w:r>
    </w:p>
    <w:sectPr w:rsidR="00DA1310" w:rsidRPr="00BA63B1" w:rsidSect="00DA1310">
      <w:footerReference w:type="default" r:id="rId13"/>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E027B" w14:textId="77777777" w:rsidR="00D744D6" w:rsidRDefault="00D744D6" w:rsidP="001A2B54">
      <w:pPr>
        <w:spacing w:after="0" w:line="240" w:lineRule="auto"/>
      </w:pPr>
      <w:r>
        <w:separator/>
      </w:r>
    </w:p>
  </w:endnote>
  <w:endnote w:type="continuationSeparator" w:id="0">
    <w:p w14:paraId="44608AAE" w14:textId="77777777" w:rsidR="00D744D6" w:rsidRDefault="00D744D6" w:rsidP="001A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David"/>
        <w:sz w:val="24"/>
        <w:szCs w:val="24"/>
        <w:rtl/>
      </w:rPr>
      <w:id w:val="164445418"/>
      <w:docPartObj>
        <w:docPartGallery w:val="Page Numbers (Bottom of Page)"/>
        <w:docPartUnique/>
      </w:docPartObj>
    </w:sdtPr>
    <w:sdtEndPr>
      <w:rPr>
        <w:cs/>
      </w:rPr>
    </w:sdtEndPr>
    <w:sdtContent>
      <w:p w14:paraId="159B9952" w14:textId="2D6EE5A2" w:rsidR="00956480" w:rsidRPr="00DA1310" w:rsidRDefault="00956480">
        <w:pPr>
          <w:pStyle w:val="Footer"/>
          <w:jc w:val="center"/>
          <w:rPr>
            <w:rFonts w:cs="David"/>
            <w:sz w:val="24"/>
            <w:szCs w:val="24"/>
            <w:rtl/>
            <w:cs/>
          </w:rPr>
        </w:pPr>
        <w:r w:rsidRPr="00DA1310">
          <w:rPr>
            <w:rFonts w:cs="David"/>
            <w:sz w:val="24"/>
            <w:szCs w:val="24"/>
          </w:rPr>
          <w:fldChar w:fldCharType="begin"/>
        </w:r>
        <w:r w:rsidRPr="00DA1310">
          <w:rPr>
            <w:rFonts w:cs="David"/>
            <w:sz w:val="24"/>
            <w:szCs w:val="24"/>
            <w:rtl/>
            <w:cs/>
          </w:rPr>
          <w:instrText>PAGE   \* MERGEFORMAT</w:instrText>
        </w:r>
        <w:r w:rsidRPr="00DA1310">
          <w:rPr>
            <w:rFonts w:cs="David"/>
            <w:sz w:val="24"/>
            <w:szCs w:val="24"/>
          </w:rPr>
          <w:fldChar w:fldCharType="separate"/>
        </w:r>
        <w:r w:rsidR="008724C0" w:rsidRPr="008724C0">
          <w:rPr>
            <w:rFonts w:cs="David"/>
            <w:noProof/>
            <w:sz w:val="24"/>
            <w:szCs w:val="24"/>
            <w:rtl/>
            <w:lang w:val="he-IL"/>
          </w:rPr>
          <w:t>18</w:t>
        </w:r>
        <w:r w:rsidRPr="00DA1310">
          <w:rPr>
            <w:rFonts w:cs="David"/>
            <w:sz w:val="24"/>
            <w:szCs w:val="24"/>
          </w:rPr>
          <w:fldChar w:fldCharType="end"/>
        </w:r>
      </w:p>
    </w:sdtContent>
  </w:sdt>
  <w:p w14:paraId="1639C31D" w14:textId="77777777" w:rsidR="00956480" w:rsidRDefault="009564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5946E" w14:textId="77777777" w:rsidR="00D744D6" w:rsidRDefault="00D744D6" w:rsidP="001A2B54">
      <w:pPr>
        <w:spacing w:after="0" w:line="240" w:lineRule="auto"/>
      </w:pPr>
      <w:r>
        <w:separator/>
      </w:r>
    </w:p>
  </w:footnote>
  <w:footnote w:type="continuationSeparator" w:id="0">
    <w:p w14:paraId="720A7385" w14:textId="77777777" w:rsidR="00D744D6" w:rsidRDefault="00D744D6" w:rsidP="001A2B54">
      <w:pPr>
        <w:spacing w:after="0" w:line="240" w:lineRule="auto"/>
      </w:pPr>
      <w:r>
        <w:continuationSeparator/>
      </w:r>
    </w:p>
  </w:footnote>
  <w:footnote w:id="1">
    <w:p w14:paraId="6B6D7D03" w14:textId="77777777"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ס"ח תש"ס מס' 1728, מיום 20.2.200 עמ' 113. </w:t>
      </w:r>
    </w:p>
  </w:footnote>
  <w:footnote w:id="2">
    <w:p w14:paraId="6261C8F5" w14:textId="77777777"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proofErr w:type="spellStart"/>
      <w:r w:rsidRPr="00182CB4">
        <w:rPr>
          <w:rFonts w:ascii="Alef" w:hAnsi="Alef" w:cs="Alef"/>
          <w:rtl/>
        </w:rPr>
        <w:t>ה"ח</w:t>
      </w:r>
      <w:proofErr w:type="spellEnd"/>
      <w:r w:rsidRPr="00182CB4">
        <w:rPr>
          <w:rFonts w:ascii="Alef" w:hAnsi="Alef" w:cs="Alef"/>
          <w:rtl/>
        </w:rPr>
        <w:t xml:space="preserve"> תשנ"ט מס' 2805, עמ' 386. </w:t>
      </w:r>
    </w:p>
  </w:footnote>
  <w:footnote w:id="3">
    <w:p w14:paraId="0BBB09FA" w14:textId="30E65F49"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נוסח פטורי הסוג ברבות השנים מצוי הן בקובץ התקנות והן באתר הרשות</w:t>
      </w:r>
      <w:r>
        <w:rPr>
          <w:rFonts w:ascii="Alef" w:hAnsi="Alef" w:cs="Alef" w:hint="cs"/>
          <w:rtl/>
        </w:rPr>
        <w:t>:</w:t>
      </w:r>
      <w:r w:rsidRPr="00182CB4">
        <w:rPr>
          <w:rFonts w:ascii="Alef" w:hAnsi="Alef" w:cs="Alef"/>
          <w:rtl/>
        </w:rPr>
        <w:t xml:space="preserve"> </w:t>
      </w:r>
      <w:hyperlink r:id="rId1" w:history="1">
        <w:r w:rsidRPr="001150DD">
          <w:rPr>
            <w:rStyle w:val="Hyperlink"/>
            <w:rFonts w:ascii="Alef" w:hAnsi="Alef" w:cs="Alef"/>
          </w:rPr>
          <w:t>https://www.gov.il/he/departments/topics/subjectexemptions</w:t>
        </w:r>
      </w:hyperlink>
      <w:r>
        <w:rPr>
          <w:rFonts w:ascii="Alef" w:hAnsi="Alef" w:cs="Alef"/>
        </w:rPr>
        <w:t xml:space="preserve"> </w:t>
      </w:r>
      <w:r w:rsidR="00BA63B1">
        <w:rPr>
          <w:rFonts w:ascii="Alef" w:hAnsi="Alef" w:cs="Alef" w:hint="cs"/>
          <w:rtl/>
        </w:rPr>
        <w:t>.</w:t>
      </w:r>
    </w:p>
  </w:footnote>
  <w:footnote w:id="4">
    <w:p w14:paraId="203EB3D0" w14:textId="77777777" w:rsidR="00956480" w:rsidRDefault="00956480" w:rsidP="00F26CA2">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tl/>
        </w:rPr>
        <w:t xml:space="preserve"> כך למשל ס' 3(1) כללי ההגבלים העסקיים (פטור סוג להסכמי רכישה בלעדית) (הוראת שעה), תשס"א-2001 קובע כי "פטור הסוג שבכללים אלה לא יחול על הסכם לרכישה בלעדית ש</w:t>
      </w:r>
      <w:r>
        <w:rPr>
          <w:rFonts w:ascii="Alef" w:hAnsi="Alef" w:cs="Alef"/>
          <w:rtl/>
        </w:rPr>
        <w:t>לגביו מתקיימים אחד או יותר מאלה</w:t>
      </w:r>
      <w:r>
        <w:rPr>
          <w:rFonts w:ascii="Alef" w:hAnsi="Alef" w:cs="Alef" w:hint="cs"/>
          <w:rtl/>
        </w:rPr>
        <w:t>:</w:t>
      </w:r>
    </w:p>
    <w:p w14:paraId="5A73C16E" w14:textId="03B70B72" w:rsidR="00956480" w:rsidRPr="00182CB4" w:rsidRDefault="00956480" w:rsidP="00F26CA2">
      <w:pPr>
        <w:pStyle w:val="FootnoteText"/>
        <w:jc w:val="both"/>
        <w:rPr>
          <w:rFonts w:ascii="Alef" w:hAnsi="Alef" w:cs="Alef"/>
          <w:rtl/>
        </w:rPr>
      </w:pPr>
      <w:r>
        <w:rPr>
          <w:rFonts w:ascii="Alef" w:hAnsi="Alef" w:cs="Alef" w:hint="cs"/>
          <w:rtl/>
        </w:rPr>
        <w:t>...</w:t>
      </w:r>
      <w:r w:rsidRPr="00182CB4">
        <w:rPr>
          <w:rFonts w:ascii="Alef" w:hAnsi="Alef" w:cs="Alef"/>
          <w:rtl/>
        </w:rPr>
        <w:t xml:space="preserve"> </w:t>
      </w:r>
    </w:p>
    <w:p w14:paraId="6B1B489C" w14:textId="44D8AA88" w:rsidR="00956480" w:rsidRPr="00182CB4" w:rsidRDefault="00956480" w:rsidP="00F26CA2">
      <w:pPr>
        <w:pStyle w:val="FootnoteText"/>
        <w:jc w:val="both"/>
        <w:rPr>
          <w:rFonts w:ascii="Alef" w:hAnsi="Alef" w:cs="Alef"/>
          <w:rtl/>
        </w:rPr>
      </w:pPr>
      <w:r w:rsidRPr="00182CB4">
        <w:rPr>
          <w:rFonts w:ascii="Alef" w:hAnsi="Alef" w:cs="Alef"/>
          <w:rtl/>
        </w:rPr>
        <w:t>(2) חלקו של צד להסכם לרכישה בלעדית בשוק המוצר הוא 30% או יותר מייצור המוצר או מאספקתו;</w:t>
      </w:r>
      <w:r>
        <w:rPr>
          <w:rFonts w:ascii="Alef" w:hAnsi="Alef" w:cs="Alef" w:hint="cs"/>
          <w:rtl/>
        </w:rPr>
        <w:t>...</w:t>
      </w:r>
      <w:r w:rsidRPr="00182CB4">
        <w:rPr>
          <w:rFonts w:ascii="Alef" w:hAnsi="Alef" w:cs="Alef"/>
          <w:rtl/>
        </w:rPr>
        <w:t>"</w:t>
      </w:r>
    </w:p>
  </w:footnote>
  <w:footnote w:id="5">
    <w:p w14:paraId="1FF01DB8" w14:textId="6AC19D5B" w:rsidR="00956480" w:rsidRPr="00182CB4" w:rsidRDefault="00956480" w:rsidP="00F26CA2">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2" w:history="1">
        <w:r w:rsidRPr="00182CB4">
          <w:rPr>
            <w:rFonts w:ascii="Alef" w:hAnsi="Alef" w:cs="Alef"/>
            <w:rtl/>
          </w:rPr>
          <w:t>ס"ח תשע"ב מס' 2356</w:t>
        </w:r>
      </w:hyperlink>
      <w:r w:rsidRPr="00182CB4">
        <w:rPr>
          <w:rFonts w:ascii="Alef" w:hAnsi="Alef" w:cs="Alef"/>
        </w:rPr>
        <w:t> </w:t>
      </w:r>
      <w:r w:rsidRPr="00182CB4">
        <w:rPr>
          <w:rFonts w:ascii="Alef" w:hAnsi="Alef" w:cs="Alef"/>
          <w:rtl/>
        </w:rPr>
        <w:t xml:space="preserve">מיום 14.5.2012 עמ' 382 </w:t>
      </w:r>
      <w:hyperlink r:id="rId3" w:history="1">
        <w:r w:rsidRPr="00182CB4">
          <w:rPr>
            <w:rStyle w:val="Hyperlink"/>
            <w:rFonts w:ascii="Alef" w:hAnsi="Alef" w:cs="Alef"/>
          </w:rPr>
          <w:t>https://www.nevo.co.il/Law_word/law14/law-2356.pdf</w:t>
        </w:r>
      </w:hyperlink>
      <w:r>
        <w:rPr>
          <w:rFonts w:ascii="Alef" w:hAnsi="Alef" w:cs="Alef" w:hint="cs"/>
          <w:rtl/>
        </w:rPr>
        <w:t>.</w:t>
      </w:r>
      <w:r w:rsidRPr="00182CB4">
        <w:rPr>
          <w:rFonts w:ascii="Alef" w:hAnsi="Alef" w:cs="Alef"/>
          <w:rtl/>
        </w:rPr>
        <w:t xml:space="preserve"> </w:t>
      </w:r>
    </w:p>
  </w:footnote>
  <w:footnote w:id="6">
    <w:p w14:paraId="5DEE97EE" w14:textId="057ECBF9" w:rsidR="00956480" w:rsidRPr="00182CB4" w:rsidRDefault="00956480" w:rsidP="00FD575B">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ראו לדוג' </w:t>
      </w:r>
      <w:hyperlink r:id="rId4" w:history="1">
        <w:r w:rsidRPr="001150DD">
          <w:rPr>
            <w:rStyle w:val="Hyperlink"/>
            <w:rFonts w:ascii="Alef" w:hAnsi="Alef" w:cs="Alef"/>
          </w:rPr>
          <w:t>http://themarker.com/law/1.2091647</w:t>
        </w:r>
      </w:hyperlink>
      <w:r>
        <w:rPr>
          <w:rFonts w:ascii="Alef" w:hAnsi="Alef" w:cs="Alef" w:hint="cs"/>
          <w:rtl/>
        </w:rPr>
        <w:t>.</w:t>
      </w:r>
    </w:p>
  </w:footnote>
  <w:footnote w:id="7">
    <w:p w14:paraId="33C2F22F" w14:textId="00A28CC3" w:rsidR="00956480" w:rsidRPr="00182CB4" w:rsidRDefault="00956480" w:rsidP="008745B5">
      <w:pPr>
        <w:pStyle w:val="FootnoteText"/>
        <w:jc w:val="both"/>
        <w:rPr>
          <w:rFonts w:ascii="Alef" w:hAnsi="Alef" w:cs="Alef"/>
        </w:rPr>
      </w:pPr>
      <w:r w:rsidRPr="00182CB4">
        <w:rPr>
          <w:rStyle w:val="FootnoteReference"/>
          <w:rFonts w:ascii="Alef" w:hAnsi="Alef" w:cs="Alef"/>
        </w:rPr>
        <w:footnoteRef/>
      </w:r>
      <w:r w:rsidRPr="00182CB4">
        <w:rPr>
          <w:rFonts w:ascii="Alef" w:hAnsi="Alef" w:cs="Alef"/>
          <w:rtl/>
        </w:rPr>
        <w:t xml:space="preserve"> גילוי דעת 1/18 בעניין פרשנות סעיף 14(א)(2) וסעיף 15א(א)(2) לחוק ההגבלים העסקיים, תשמ"ח-1988 וסעיפים מקבילים בכללי פטור סוג</w:t>
      </w:r>
      <w:r>
        <w:rPr>
          <w:rFonts w:ascii="Alef" w:hAnsi="Alef" w:cs="Alef" w:hint="cs"/>
          <w:rtl/>
        </w:rPr>
        <w:t xml:space="preserve">: </w:t>
      </w:r>
      <w:hyperlink r:id="rId5" w:history="1">
        <w:r w:rsidRPr="00182CB4">
          <w:rPr>
            <w:rStyle w:val="Hyperlink"/>
            <w:rFonts w:ascii="Alef" w:hAnsi="Alef" w:cs="Alef"/>
          </w:rPr>
          <w:t>https://www.gov.il/he/departments/legalInfo/opinion118</w:t>
        </w:r>
      </w:hyperlink>
      <w:r w:rsidR="00BA63B1">
        <w:rPr>
          <w:rFonts w:ascii="Alef" w:hAnsi="Alef" w:cs="Alef" w:hint="cs"/>
          <w:rtl/>
        </w:rPr>
        <w:t>.</w:t>
      </w:r>
      <w:r w:rsidRPr="00182CB4">
        <w:rPr>
          <w:rFonts w:ascii="Alef" w:hAnsi="Alef" w:cs="Alef"/>
          <w:rtl/>
        </w:rPr>
        <w:t xml:space="preserve"> </w:t>
      </w:r>
    </w:p>
  </w:footnote>
  <w:footnote w:id="8">
    <w:p w14:paraId="7FF23740" w14:textId="6FE13C12" w:rsidR="00956480" w:rsidRPr="00BA63B1" w:rsidRDefault="00956480" w:rsidP="00B16430">
      <w:pPr>
        <w:pStyle w:val="FootnoteText"/>
        <w:jc w:val="both"/>
        <w:rPr>
          <w:rFonts w:ascii="Alef" w:hAnsi="Alef" w:cs="Alef"/>
        </w:rPr>
      </w:pPr>
      <w:r w:rsidRPr="00182CB4">
        <w:rPr>
          <w:rStyle w:val="FootnoteReference"/>
          <w:rFonts w:ascii="Alef" w:hAnsi="Alef" w:cs="Alef"/>
        </w:rPr>
        <w:footnoteRef/>
      </w:r>
      <w:r w:rsidRPr="00182CB4">
        <w:rPr>
          <w:rFonts w:ascii="Alef" w:hAnsi="Alef" w:cs="Alef"/>
          <w:rtl/>
        </w:rPr>
        <w:t xml:space="preserve"> ס"ח תשע"ט מס' 2781 מיום 10.1.19</w:t>
      </w:r>
      <w:r>
        <w:rPr>
          <w:rFonts w:ascii="Alef" w:hAnsi="Alef" w:cs="Alef" w:hint="cs"/>
          <w:rtl/>
        </w:rPr>
        <w:t xml:space="preserve"> </w:t>
      </w:r>
      <w:hyperlink r:id="rId6" w:history="1">
        <w:r w:rsidRPr="00182CB4">
          <w:rPr>
            <w:rStyle w:val="Hyperlink"/>
            <w:rFonts w:ascii="Alef" w:hAnsi="Alef" w:cs="Alef"/>
          </w:rPr>
          <w:t>https://www.nevo.co.il/law_word/law14/law-2781.pdf</w:t>
        </w:r>
      </w:hyperlink>
      <w:r w:rsidR="00BA63B1">
        <w:rPr>
          <w:rFonts w:ascii="Alef" w:hAnsi="Alef" w:cs="Alef" w:hint="cs"/>
          <w:rtl/>
        </w:rPr>
        <w:t>.</w:t>
      </w:r>
    </w:p>
  </w:footnote>
  <w:footnote w:id="9">
    <w:p w14:paraId="7E8EBCC4" w14:textId="6E9221DF" w:rsidR="00956480" w:rsidRPr="00182CB4" w:rsidRDefault="00956480" w:rsidP="008745B5">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tl/>
        </w:rPr>
        <w:t xml:space="preserve"> </w:t>
      </w:r>
      <w:r>
        <w:rPr>
          <w:rFonts w:ascii="Alef" w:hAnsi="Alef" w:cs="Alef" w:hint="cs"/>
          <w:rtl/>
        </w:rPr>
        <w:t xml:space="preserve">דברי ההסבר בהצעת החוק הממשלתית: </w:t>
      </w:r>
      <w:hyperlink r:id="rId7" w:history="1">
        <w:r w:rsidRPr="00182CB4">
          <w:rPr>
            <w:rStyle w:val="Hyperlink"/>
            <w:rFonts w:ascii="Alef" w:hAnsi="Alef" w:cs="Alef"/>
          </w:rPr>
          <w:t>https://www.nevo.co.il/Law_word/law15/memshala-1221.pdf</w:t>
        </w:r>
      </w:hyperlink>
      <w:r>
        <w:rPr>
          <w:rFonts w:ascii="Alef" w:hAnsi="Alef" w:cs="Alef" w:hint="cs"/>
          <w:rtl/>
        </w:rPr>
        <w:t>.</w:t>
      </w:r>
      <w:r w:rsidRPr="00182CB4">
        <w:rPr>
          <w:rFonts w:ascii="Alef" w:hAnsi="Alef" w:cs="Alef"/>
          <w:rtl/>
        </w:rPr>
        <w:t xml:space="preserve"> </w:t>
      </w:r>
    </w:p>
  </w:footnote>
  <w:footnote w:id="10">
    <w:p w14:paraId="0BAE5F93" w14:textId="2D5AE36B" w:rsidR="00956480" w:rsidRPr="00182CB4" w:rsidRDefault="00956480" w:rsidP="00956480">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rPr>
        <w:t xml:space="preserve">COUNCIL REGULATION (EC) No 1/2003 </w:t>
      </w:r>
      <w:r w:rsidRPr="00182CB4">
        <w:rPr>
          <w:rFonts w:ascii="Alef" w:hAnsi="Alef" w:cs="Alef"/>
          <w:rtl/>
        </w:rPr>
        <w:t xml:space="preserve"> </w:t>
      </w:r>
      <w:hyperlink r:id="rId8" w:history="1">
        <w:r w:rsidRPr="00182CB4">
          <w:rPr>
            <w:rStyle w:val="Hyperlink"/>
            <w:rFonts w:ascii="Alef" w:hAnsi="Alef" w:cs="Alef"/>
          </w:rPr>
          <w:t>https://eur-lex.europa.eu/legal-content/EN/TXT/PDF/?uri=CELEX:32003R0001&amp;from=en</w:t>
        </w:r>
      </w:hyperlink>
      <w:r w:rsidRPr="00182CB4">
        <w:rPr>
          <w:rFonts w:ascii="Alef" w:hAnsi="Alef" w:cs="Alef"/>
          <w:rtl/>
        </w:rPr>
        <w:t xml:space="preserve"> </w:t>
      </w:r>
    </w:p>
    <w:p w14:paraId="1CBADE8E" w14:textId="5769C02A" w:rsidR="00956480" w:rsidRPr="00182CB4" w:rsidRDefault="00956480" w:rsidP="00BA63B1">
      <w:pPr>
        <w:pStyle w:val="FootnoteText"/>
        <w:bidi w:val="0"/>
        <w:jc w:val="both"/>
        <w:rPr>
          <w:rFonts w:ascii="Alef" w:hAnsi="Alef" w:cs="Alef"/>
        </w:rPr>
      </w:pPr>
      <w:r w:rsidRPr="00182CB4">
        <w:rPr>
          <w:rFonts w:ascii="Alef" w:hAnsi="Alef" w:cs="Alef"/>
        </w:rPr>
        <w:t xml:space="preserve">"The </w:t>
      </w:r>
      <w:proofErr w:type="spellStart"/>
      <w:r w:rsidRPr="00182CB4">
        <w:rPr>
          <w:rFonts w:ascii="Alef" w:hAnsi="Alef" w:cs="Alef"/>
        </w:rPr>
        <w:t>centralised</w:t>
      </w:r>
      <w:proofErr w:type="spellEnd"/>
      <w:r w:rsidRPr="00182CB4">
        <w:rPr>
          <w:rFonts w:ascii="Alef" w:hAnsi="Alef" w:cs="Alef"/>
        </w:rPr>
        <w:t xml:space="preserve"> scheme set up by Regulation No 17 no longer secures a balance between those two objectives. It hampers application of the Community competition rules by the courts and competition authorities of the Member States, and </w:t>
      </w:r>
      <w:r w:rsidRPr="00182CB4">
        <w:rPr>
          <w:rFonts w:ascii="Alef" w:hAnsi="Alef" w:cs="Alef"/>
          <w:b/>
          <w:bCs/>
        </w:rPr>
        <w:t xml:space="preserve">the system of notification it involves prevents the Commission from concentrating its resources on curbing the most serious infringements. It also imposes considerable costs on </w:t>
      </w:r>
      <w:proofErr w:type="gramStart"/>
      <w:r w:rsidRPr="00182CB4">
        <w:rPr>
          <w:rFonts w:ascii="Alef" w:hAnsi="Alef" w:cs="Alef"/>
          <w:b/>
          <w:bCs/>
        </w:rPr>
        <w:t>undertakings</w:t>
      </w:r>
      <w:r w:rsidRPr="00182CB4">
        <w:rPr>
          <w:rFonts w:ascii="Alef" w:hAnsi="Alef" w:cs="Alef"/>
          <w:rtl/>
        </w:rPr>
        <w:t xml:space="preserve"> </w:t>
      </w:r>
      <w:r w:rsidR="00BA63B1">
        <w:rPr>
          <w:rFonts w:ascii="Alef" w:hAnsi="Alef" w:cs="Alef" w:hint="cs"/>
          <w:rtl/>
        </w:rPr>
        <w:t>.</w:t>
      </w:r>
      <w:r w:rsidRPr="00182CB4">
        <w:rPr>
          <w:rFonts w:ascii="Alef" w:hAnsi="Alef" w:cs="Alef"/>
          <w:rtl/>
        </w:rPr>
        <w:t>"</w:t>
      </w:r>
      <w:proofErr w:type="gramEnd"/>
    </w:p>
  </w:footnote>
  <w:footnote w:id="11">
    <w:p w14:paraId="346C47C0" w14:textId="58CD7605" w:rsidR="00956480" w:rsidRPr="00182CB4" w:rsidRDefault="00956480">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hint="eastAsia"/>
          <w:rtl/>
        </w:rPr>
        <w:t>משרד</w:t>
      </w:r>
      <w:r w:rsidRPr="00182CB4">
        <w:rPr>
          <w:rFonts w:ascii="Alef" w:hAnsi="Alef" w:cs="Alef"/>
          <w:rtl/>
        </w:rPr>
        <w:t xml:space="preserve"> ראש המשלה, שינויים רגולטוריים המחויבים בהנמקה תמציתית, </w:t>
      </w:r>
      <w:r w:rsidRPr="00182CB4">
        <w:rPr>
          <w:rFonts w:ascii="Alef" w:hAnsi="Alef" w:cs="Alef" w:hint="eastAsia"/>
          <w:rtl/>
        </w:rPr>
        <w:t>מיום</w:t>
      </w:r>
      <w:r w:rsidRPr="00182CB4">
        <w:rPr>
          <w:rFonts w:ascii="Alef" w:hAnsi="Alef" w:cs="Alef"/>
          <w:rtl/>
        </w:rPr>
        <w:t xml:space="preserve"> 7.4.2021.</w:t>
      </w:r>
    </w:p>
  </w:footnote>
  <w:footnote w:id="12">
    <w:p w14:paraId="06A418DA" w14:textId="6A11C634" w:rsidR="00154299" w:rsidRDefault="00154299" w:rsidP="00154299">
      <w:pPr>
        <w:pStyle w:val="FootnoteText"/>
        <w:jc w:val="both"/>
      </w:pPr>
      <w:r>
        <w:rPr>
          <w:rStyle w:val="FootnoteReference"/>
        </w:rPr>
        <w:footnoteRef/>
      </w:r>
      <w:r>
        <w:rPr>
          <w:rtl/>
        </w:rPr>
        <w:t xml:space="preserve"> </w:t>
      </w:r>
      <w:r w:rsidRPr="00154299">
        <w:rPr>
          <w:rFonts w:ascii="Alef" w:hAnsi="Alef" w:cs="Alef" w:hint="eastAsia"/>
          <w:rtl/>
        </w:rPr>
        <w:t>פטור</w:t>
      </w:r>
      <w:r w:rsidRPr="00154299">
        <w:rPr>
          <w:rFonts w:ascii="Alef" w:hAnsi="Alef" w:cs="Alef" w:hint="cs"/>
          <w:rtl/>
        </w:rPr>
        <w:t>י</w:t>
      </w:r>
      <w:r w:rsidRPr="00154299">
        <w:rPr>
          <w:rFonts w:ascii="Alef" w:hAnsi="Alef" w:cs="Alef"/>
          <w:rtl/>
        </w:rPr>
        <w:t xml:space="preserve"> </w:t>
      </w:r>
      <w:r w:rsidRPr="00154299">
        <w:rPr>
          <w:rFonts w:ascii="Alef" w:hAnsi="Alef" w:cs="Alef" w:hint="cs"/>
          <w:rtl/>
        </w:rPr>
        <w:t>ה</w:t>
      </w:r>
      <w:r w:rsidRPr="00154299">
        <w:rPr>
          <w:rFonts w:ascii="Alef" w:hAnsi="Alef" w:cs="Alef" w:hint="eastAsia"/>
          <w:rtl/>
        </w:rPr>
        <w:t>סוג</w:t>
      </w:r>
      <w:r w:rsidRPr="00154299">
        <w:rPr>
          <w:rFonts w:ascii="Alef" w:hAnsi="Alef" w:cs="Alef"/>
          <w:rtl/>
        </w:rPr>
        <w:t xml:space="preserve"> </w:t>
      </w:r>
      <w:r w:rsidRPr="00154299">
        <w:rPr>
          <w:rFonts w:ascii="Alef" w:hAnsi="Alef" w:cs="Alef" w:hint="cs"/>
          <w:rtl/>
        </w:rPr>
        <w:t>האנכי</w:t>
      </w:r>
      <w:r w:rsidRPr="00154299">
        <w:rPr>
          <w:rFonts w:ascii="Alef" w:hAnsi="Alef" w:cs="Alef"/>
          <w:rtl/>
        </w:rPr>
        <w:t>,</w:t>
      </w:r>
      <w:r w:rsidRPr="00154299">
        <w:rPr>
          <w:rFonts w:ascii="Alef" w:hAnsi="Alef" w:cs="Alef" w:hint="cs"/>
          <w:rtl/>
        </w:rPr>
        <w:t xml:space="preserve"> </w:t>
      </w:r>
      <w:r>
        <w:rPr>
          <w:rFonts w:ascii="Alef" w:hAnsi="Alef" w:cs="Alef" w:hint="cs"/>
          <w:rtl/>
        </w:rPr>
        <w:t xml:space="preserve">פטור הסוג </w:t>
      </w:r>
      <w:r w:rsidRPr="00154299">
        <w:rPr>
          <w:rFonts w:ascii="Alef" w:hAnsi="Alef" w:cs="Alef"/>
          <w:rtl/>
        </w:rPr>
        <w:t xml:space="preserve">להסכמי רכישה בלעדית, </w:t>
      </w:r>
      <w:r>
        <w:rPr>
          <w:rFonts w:ascii="Alef" w:hAnsi="Alef" w:cs="Alef" w:hint="cs"/>
          <w:rtl/>
        </w:rPr>
        <w:t xml:space="preserve">פטור הסוג </w:t>
      </w:r>
      <w:r w:rsidRPr="00154299">
        <w:rPr>
          <w:rFonts w:ascii="Alef" w:hAnsi="Alef" w:cs="Alef"/>
          <w:rtl/>
        </w:rPr>
        <w:t>להסכמי הפצה בלעדית</w:t>
      </w:r>
      <w:r>
        <w:rPr>
          <w:rFonts w:ascii="Alef" w:hAnsi="Alef" w:cs="Alef" w:hint="cs"/>
          <w:rtl/>
        </w:rPr>
        <w:t xml:space="preserve"> ופטור הסוג</w:t>
      </w:r>
      <w:r w:rsidRPr="00154299">
        <w:rPr>
          <w:rFonts w:ascii="Alef" w:hAnsi="Alef" w:cs="Alef"/>
          <w:rtl/>
        </w:rPr>
        <w:t xml:space="preserve"> להסכמי זכיינות</w:t>
      </w:r>
      <w:r>
        <w:rPr>
          <w:rFonts w:hint="cs"/>
          <w:rtl/>
        </w:rPr>
        <w:t>.</w:t>
      </w:r>
    </w:p>
  </w:footnote>
  <w:footnote w:id="13">
    <w:p w14:paraId="1FF7D95F" w14:textId="2C8023B0" w:rsidR="00956480" w:rsidRPr="00182CB4" w:rsidRDefault="00956480" w:rsidP="00712C46">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ר' דו</w:t>
      </w:r>
      <w:r w:rsidR="00712C46">
        <w:rPr>
          <w:rFonts w:ascii="Alef" w:hAnsi="Alef" w:cs="Alef"/>
          <w:rtl/>
        </w:rPr>
        <w:t>ח רשות התחרות לשנת 2019, עמ' 19</w:t>
      </w:r>
      <w:r w:rsidR="00712C46">
        <w:rPr>
          <w:rFonts w:ascii="Alef" w:hAnsi="Alef" w:cs="Alef" w:hint="cs"/>
          <w:rtl/>
        </w:rPr>
        <w:t xml:space="preserve">: </w:t>
      </w:r>
      <w:hyperlink r:id="rId9" w:history="1">
        <w:r w:rsidRPr="00182CB4">
          <w:rPr>
            <w:rStyle w:val="Hyperlink"/>
            <w:rFonts w:ascii="Alef" w:hAnsi="Alef" w:cs="Alef"/>
          </w:rPr>
          <w:t>https://www.gov.il/BlobFolder/reports/annualreport2019/he/publications_rashut%20hatacharut_2019_nagish-.pdf</w:t>
        </w:r>
      </w:hyperlink>
      <w:r w:rsidRPr="00182CB4">
        <w:rPr>
          <w:rFonts w:ascii="Alef" w:hAnsi="Alef" w:cs="Alef"/>
          <w:rtl/>
        </w:rPr>
        <w:t xml:space="preserve"> </w:t>
      </w:r>
    </w:p>
  </w:footnote>
  <w:footnote w:id="14">
    <w:p w14:paraId="01C2851C" w14:textId="21408274" w:rsidR="00956480" w:rsidRPr="00182CB4" w:rsidRDefault="00956480" w:rsidP="00BA63B1">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10" w:history="1">
        <w:r w:rsidRPr="00182CB4">
          <w:rPr>
            <w:rStyle w:val="Hyperlink"/>
            <w:rFonts w:ascii="Alef" w:hAnsi="Alef" w:cs="Alef"/>
          </w:rPr>
          <w:t>https://www.gov.il/he/departments/legalInfo/?OfficeId=51752c15-473a-4c15-959f-e719cb113529&amp;topic=d0083710-3b21-4009-ab08-d4e058273da4&amp;subTopic=fef80720-4d24-4a03-b69a-778ba19c724d&amp;skip=0&amp;limit=10</w:t>
        </w:r>
      </w:hyperlink>
      <w:r w:rsidRPr="00182CB4">
        <w:rPr>
          <w:rFonts w:ascii="Alef" w:hAnsi="Alef" w:cs="Alef"/>
          <w:rtl/>
        </w:rPr>
        <w:t xml:space="preserve"> </w:t>
      </w:r>
    </w:p>
  </w:footnote>
  <w:footnote w:id="15">
    <w:p w14:paraId="47F8ACAD" w14:textId="5E826722" w:rsidR="00956480" w:rsidRPr="00182CB4" w:rsidRDefault="00956480" w:rsidP="00EB5588">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w:t>
      </w:r>
      <w:hyperlink r:id="rId11" w:history="1">
        <w:r w:rsidRPr="00182CB4">
          <w:rPr>
            <w:rStyle w:val="Hyperlink"/>
            <w:rFonts w:ascii="Alef" w:hAnsi="Alef" w:cs="Alef"/>
          </w:rPr>
          <w:t>https://www.themarker.com/allnews/.premium-1.6566605</w:t>
        </w:r>
      </w:hyperlink>
      <w:r w:rsidR="00C05B42">
        <w:rPr>
          <w:rFonts w:ascii="Alef" w:hAnsi="Alef" w:cs="Alef" w:hint="cs"/>
          <w:rtl/>
        </w:rPr>
        <w:t>.</w:t>
      </w:r>
      <w:r w:rsidRPr="00182CB4">
        <w:rPr>
          <w:rFonts w:ascii="Alef" w:hAnsi="Alef" w:cs="Alef"/>
          <w:rtl/>
        </w:rPr>
        <w:t xml:space="preserve"> </w:t>
      </w:r>
    </w:p>
  </w:footnote>
  <w:footnote w:id="16">
    <w:p w14:paraId="2A054071" w14:textId="29A6B138" w:rsidR="00956480" w:rsidRPr="00182CB4" w:rsidRDefault="00956480" w:rsidP="00EB5588">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w:t>
      </w:r>
      <w:hyperlink r:id="rId12" w:history="1">
        <w:r w:rsidRPr="00182CB4">
          <w:rPr>
            <w:rStyle w:val="Hyperlink"/>
            <w:rFonts w:ascii="Alef" w:hAnsi="Alef" w:cs="Alef"/>
          </w:rPr>
          <w:t>https://www.gov.il/he/Departments/General/contactus-public</w:t>
        </w:r>
      </w:hyperlink>
      <w:r w:rsidRPr="00182CB4">
        <w:rPr>
          <w:rFonts w:ascii="Alef" w:hAnsi="Alef" w:cs="Alef"/>
          <w:rtl/>
        </w:rPr>
        <w:t xml:space="preserve"> </w:t>
      </w:r>
    </w:p>
  </w:footnote>
  <w:footnote w:id="17">
    <w:p w14:paraId="2685EF7E" w14:textId="6ED099D9"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13" w:history="1">
        <w:r w:rsidRPr="00182CB4">
          <w:rPr>
            <w:rStyle w:val="Hyperlink"/>
            <w:rFonts w:ascii="Alef" w:hAnsi="Alef" w:cs="Alef"/>
          </w:rPr>
          <w:t>https://www.gov.il/he/departments/general/immunityplan</w:t>
        </w:r>
      </w:hyperlink>
      <w:r w:rsidRPr="00182CB4">
        <w:rPr>
          <w:rFonts w:ascii="Alef" w:hAnsi="Alef" w:cs="Alef"/>
          <w:rtl/>
        </w:rPr>
        <w:t xml:space="preserve"> </w:t>
      </w:r>
    </w:p>
  </w:footnote>
  <w:footnote w:id="18">
    <w:p w14:paraId="52F1F17A" w14:textId="4BC77C45" w:rsidR="00B167F4" w:rsidRPr="00B167F4" w:rsidRDefault="00B167F4">
      <w:pPr>
        <w:pStyle w:val="FootnoteText"/>
        <w:rPr>
          <w:rtl/>
        </w:rPr>
      </w:pPr>
      <w:r>
        <w:rPr>
          <w:rStyle w:val="FootnoteReference"/>
        </w:rPr>
        <w:footnoteRef/>
      </w:r>
      <w:r>
        <w:rPr>
          <w:rtl/>
        </w:rPr>
        <w:t xml:space="preserve"> </w:t>
      </w:r>
      <w:hyperlink r:id="rId14" w:history="1">
        <w:r w:rsidRPr="001150DD">
          <w:rPr>
            <w:rStyle w:val="Hyperlink"/>
          </w:rPr>
          <w:t>https://www.gov.il/he/departments/news/inquiriesexemptionstype</w:t>
        </w:r>
      </w:hyperlink>
      <w:r>
        <w:rPr>
          <w:rFonts w:hint="cs"/>
          <w:rtl/>
        </w:rPr>
        <w:t xml:space="preserve"> .</w:t>
      </w:r>
    </w:p>
  </w:footnote>
  <w:footnote w:id="19">
    <w:p w14:paraId="0A3CD5D6" w14:textId="0D88CADD" w:rsidR="00956480" w:rsidRPr="00182CB4" w:rsidRDefault="00956480" w:rsidP="00E771A5">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color w:val="000000"/>
          <w:rtl/>
        </w:rPr>
        <w:t>ע"פ 6339/18 </w:t>
      </w:r>
      <w:r w:rsidRPr="00182CB4">
        <w:rPr>
          <w:rFonts w:ascii="Alef" w:hAnsi="Alef" w:cs="Alef"/>
          <w:b/>
          <w:bCs/>
          <w:color w:val="000000"/>
          <w:rtl/>
        </w:rPr>
        <w:t xml:space="preserve">ירון </w:t>
      </w:r>
      <w:proofErr w:type="spellStart"/>
      <w:r w:rsidRPr="00182CB4">
        <w:rPr>
          <w:rFonts w:ascii="Alef" w:hAnsi="Alef" w:cs="Alef"/>
          <w:b/>
          <w:bCs/>
          <w:color w:val="000000"/>
          <w:rtl/>
        </w:rPr>
        <w:t>בלווא</w:t>
      </w:r>
      <w:proofErr w:type="spellEnd"/>
      <w:r w:rsidRPr="00182CB4">
        <w:rPr>
          <w:rFonts w:ascii="Alef" w:hAnsi="Alef" w:cs="Alef"/>
          <w:b/>
          <w:bCs/>
          <w:color w:val="000000"/>
          <w:rtl/>
        </w:rPr>
        <w:t xml:space="preserve"> נ' מדינת ישראל</w:t>
      </w:r>
      <w:r w:rsidRPr="00182CB4">
        <w:rPr>
          <w:rFonts w:ascii="Alef" w:hAnsi="Alef" w:cs="Alef"/>
          <w:color w:val="000000"/>
          <w:rtl/>
        </w:rPr>
        <w:t> (פורסם בנבו, 15.01.2020</w:t>
      </w:r>
      <w:r w:rsidRPr="00182CB4">
        <w:rPr>
          <w:rFonts w:ascii="Alef" w:hAnsi="Alef" w:cs="Alef"/>
          <w:rtl/>
        </w:rPr>
        <w:t>)</w:t>
      </w:r>
    </w:p>
  </w:footnote>
  <w:footnote w:id="20">
    <w:p w14:paraId="7B417057" w14:textId="56049434" w:rsidR="00956480" w:rsidRPr="00182CB4" w:rsidRDefault="00956480" w:rsidP="00EB5588">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w:t>
      </w:r>
      <w:hyperlink r:id="rId15" w:history="1">
        <w:r w:rsidRPr="00182CB4">
          <w:rPr>
            <w:rStyle w:val="Hyperlink"/>
            <w:rFonts w:ascii="Alef" w:hAnsi="Alef" w:cs="Alef"/>
          </w:rPr>
          <w:t>https://www.gov.il/he/Departments/news/pruningcartel</w:t>
        </w:r>
      </w:hyperlink>
      <w:r w:rsidRPr="00182CB4">
        <w:rPr>
          <w:rFonts w:ascii="Alef" w:hAnsi="Alef" w:cs="Alef"/>
          <w:rtl/>
        </w:rPr>
        <w:t xml:space="preserve"> </w:t>
      </w:r>
    </w:p>
  </w:footnote>
  <w:footnote w:id="21">
    <w:p w14:paraId="5198EE52" w14:textId="77777777" w:rsidR="00956480" w:rsidRPr="00182CB4" w:rsidRDefault="00956480" w:rsidP="00C855EC">
      <w:pPr>
        <w:spacing w:after="0"/>
        <w:jc w:val="both"/>
        <w:rPr>
          <w:rFonts w:ascii="Alef" w:hAnsi="Alef" w:cs="Alef"/>
          <w:sz w:val="20"/>
          <w:szCs w:val="20"/>
        </w:rPr>
      </w:pPr>
      <w:r w:rsidRPr="00182CB4">
        <w:rPr>
          <w:rStyle w:val="FootnoteReference"/>
          <w:rFonts w:ascii="Alef" w:hAnsi="Alef" w:cs="Alef"/>
          <w:sz w:val="20"/>
          <w:szCs w:val="20"/>
        </w:rPr>
        <w:footnoteRef/>
      </w:r>
      <w:r w:rsidRPr="00182CB4">
        <w:rPr>
          <w:rFonts w:ascii="Alef" w:hAnsi="Alef" w:cs="Alef"/>
          <w:sz w:val="20"/>
          <w:szCs w:val="20"/>
          <w:rtl/>
        </w:rPr>
        <w:t xml:space="preserve"> </w:t>
      </w:r>
      <w:hyperlink r:id="rId16" w:history="1">
        <w:r w:rsidRPr="00182CB4">
          <w:rPr>
            <w:rStyle w:val="Hyperlink"/>
            <w:rFonts w:ascii="Alef" w:hAnsi="Alef" w:cs="Alef"/>
            <w:sz w:val="20"/>
            <w:szCs w:val="20"/>
          </w:rPr>
          <w:t>https://www.gov.il/he/Departments/news/arrangementscheck</w:t>
        </w:r>
      </w:hyperlink>
    </w:p>
  </w:footnote>
  <w:footnote w:id="22">
    <w:p w14:paraId="2A8D2A52" w14:textId="22376FB9" w:rsidR="00956480" w:rsidRPr="00182CB4" w:rsidRDefault="00956480" w:rsidP="00310ABA">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w:t>
      </w:r>
      <w:hyperlink r:id="rId17" w:history="1">
        <w:r w:rsidRPr="00182CB4">
          <w:rPr>
            <w:rStyle w:val="Hyperlink"/>
            <w:rFonts w:ascii="Alef" w:hAnsi="Alef" w:cs="Alef"/>
          </w:rPr>
          <w:t>https://eur-lex.europa.eu/legal-content/EN/TXT/PDF/?uri=CELEX:32010R0330&amp;from=EN</w:t>
        </w:r>
      </w:hyperlink>
      <w:r w:rsidRPr="00182CB4">
        <w:rPr>
          <w:rFonts w:ascii="Alef" w:hAnsi="Alef" w:cs="Alef"/>
        </w:rPr>
        <w:t xml:space="preserve"> </w:t>
      </w:r>
    </w:p>
  </w:footnote>
  <w:footnote w:id="23">
    <w:p w14:paraId="6C2AE6BB" w14:textId="50696F08" w:rsidR="00956480" w:rsidRPr="00182CB4" w:rsidRDefault="00956480" w:rsidP="00FD7289">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Pr>
        <w:t xml:space="preserve"> </w:t>
      </w:r>
      <w:r w:rsidRPr="00182CB4">
        <w:rPr>
          <w:rFonts w:ascii="Alef" w:hAnsi="Alef" w:cs="Alef"/>
          <w:color w:val="000000"/>
          <w:shd w:val="clear" w:color="auto" w:fill="FFFFFF"/>
        </w:rPr>
        <w:t>"Commission Regulations (EU) No 1217/2010 (Research &amp; Development Block Exemption Regulation - 'R&amp;D BER') and 1218/2010 (</w:t>
      </w:r>
      <w:proofErr w:type="spellStart"/>
      <w:r w:rsidRPr="00182CB4">
        <w:rPr>
          <w:rFonts w:ascii="Alef" w:hAnsi="Alef" w:cs="Alef"/>
          <w:color w:val="000000"/>
          <w:shd w:val="clear" w:color="auto" w:fill="FFFFFF"/>
        </w:rPr>
        <w:t>Specialisation</w:t>
      </w:r>
      <w:proofErr w:type="spellEnd"/>
      <w:r w:rsidRPr="00182CB4">
        <w:rPr>
          <w:rFonts w:ascii="Alef" w:hAnsi="Alef" w:cs="Alef"/>
          <w:color w:val="000000"/>
          <w:shd w:val="clear" w:color="auto" w:fill="FFFFFF"/>
        </w:rPr>
        <w:t xml:space="preserve"> Block Exemption Regulation - '</w:t>
      </w:r>
      <w:proofErr w:type="spellStart"/>
      <w:r w:rsidRPr="00182CB4">
        <w:rPr>
          <w:rFonts w:ascii="Alef" w:hAnsi="Alef" w:cs="Alef"/>
          <w:color w:val="000000"/>
          <w:shd w:val="clear" w:color="auto" w:fill="FFFFFF"/>
        </w:rPr>
        <w:t>Specialisation</w:t>
      </w:r>
      <w:proofErr w:type="spellEnd"/>
      <w:r w:rsidRPr="00182CB4">
        <w:rPr>
          <w:rFonts w:ascii="Alef" w:hAnsi="Alef" w:cs="Alef"/>
          <w:color w:val="000000"/>
          <w:shd w:val="clear" w:color="auto" w:fill="FFFFFF"/>
        </w:rPr>
        <w:t xml:space="preserve"> BER'), together referred to as the 'Horizontal block exemption regulations' (or 'HBERs'), exempt from the prohibition contained in Article 101(1) of the Treaty those R&amp;D and </w:t>
      </w:r>
      <w:proofErr w:type="spellStart"/>
      <w:r w:rsidRPr="00182CB4">
        <w:rPr>
          <w:rFonts w:ascii="Alef" w:hAnsi="Alef" w:cs="Alef"/>
          <w:color w:val="000000"/>
          <w:shd w:val="clear" w:color="auto" w:fill="FFFFFF"/>
        </w:rPr>
        <w:t>specialisation</w:t>
      </w:r>
      <w:proofErr w:type="spellEnd"/>
      <w:r w:rsidRPr="00182CB4">
        <w:rPr>
          <w:rFonts w:ascii="Alef" w:hAnsi="Alef" w:cs="Alef"/>
          <w:color w:val="000000"/>
          <w:shd w:val="clear" w:color="auto" w:fill="FFFFFF"/>
        </w:rPr>
        <w:t xml:space="preserve"> agreements for which it can be assumed with sufficient certainty that they satisfy the conditions of Article 101(3) of the Treaty." - </w:t>
      </w:r>
      <w:hyperlink r:id="rId18" w:history="1">
        <w:r w:rsidRPr="00182CB4">
          <w:rPr>
            <w:rStyle w:val="Hyperlink"/>
            <w:rFonts w:ascii="Alef" w:hAnsi="Alef" w:cs="Alef"/>
            <w:shd w:val="clear" w:color="auto" w:fill="FFFFFF"/>
          </w:rPr>
          <w:t>https://ec.europa.eu/competition/consultations/2019_hbers/index_en.html</w:t>
        </w:r>
      </w:hyperlink>
      <w:r w:rsidRPr="00182CB4">
        <w:rPr>
          <w:rFonts w:ascii="Alef" w:hAnsi="Alef" w:cs="Alef"/>
          <w:color w:val="000000"/>
          <w:shd w:val="clear" w:color="auto" w:fill="FFFFFF"/>
        </w:rPr>
        <w:t xml:space="preserve">  </w:t>
      </w:r>
    </w:p>
  </w:footnote>
  <w:footnote w:id="24">
    <w:p w14:paraId="13175920" w14:textId="5E5FF3E6"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19" w:history="1">
        <w:r w:rsidRPr="00182CB4">
          <w:rPr>
            <w:rStyle w:val="Hyperlink"/>
            <w:rFonts w:ascii="Alef" w:hAnsi="Alef" w:cs="Alef"/>
          </w:rPr>
          <w:t>https://eur-lex.europa.eu/legal-content/EN/TXT/PDF/?uri=CELEX:32010R1217&amp;from=en</w:t>
        </w:r>
      </w:hyperlink>
    </w:p>
  </w:footnote>
  <w:footnote w:id="25">
    <w:p w14:paraId="2EA0F60F" w14:textId="3EE77B1F"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20" w:history="1">
        <w:r w:rsidRPr="00182CB4">
          <w:rPr>
            <w:rStyle w:val="Hyperlink"/>
            <w:rFonts w:ascii="Alef" w:hAnsi="Alef" w:cs="Alef"/>
          </w:rPr>
          <w:t>https://eur-lex.europa.eu/legal-content/EN/TXT/PDF/?uri=CELEX:32010R1218&amp;from=EN</w:t>
        </w:r>
      </w:hyperlink>
    </w:p>
  </w:footnote>
  <w:footnote w:id="26">
    <w:p w14:paraId="5EFB1B60" w14:textId="64A86F3E" w:rsidR="00956480" w:rsidRPr="00182CB4" w:rsidRDefault="00956480" w:rsidP="00C05B42">
      <w:pPr>
        <w:pStyle w:val="FootnoteText"/>
        <w:rPr>
          <w:rFonts w:ascii="Alef" w:hAnsi="Alef" w:cs="Alef"/>
          <w:rtl/>
        </w:rPr>
      </w:pPr>
      <w:r w:rsidRPr="00182CB4">
        <w:rPr>
          <w:rStyle w:val="FootnoteReference"/>
          <w:rFonts w:ascii="Alef" w:hAnsi="Alef" w:cs="Alef"/>
        </w:rPr>
        <w:footnoteRef/>
      </w:r>
      <w:hyperlink r:id="rId21" w:history="1">
        <w:r w:rsidR="002F1F8F" w:rsidRPr="001150DD">
          <w:rPr>
            <w:rStyle w:val="Hyperlink"/>
            <w:rFonts w:ascii="Alef" w:hAnsi="Alef" w:cs="Alef"/>
          </w:rPr>
          <w:t>https://ec.europa.eu/competition/consultations/2018_vber/staff_working_document.pdf</w:t>
        </w:r>
      </w:hyperlink>
      <w:r w:rsidRPr="00182CB4">
        <w:rPr>
          <w:rFonts w:ascii="Alef" w:hAnsi="Alef" w:cs="Alef"/>
          <w:rtl/>
        </w:rPr>
        <w:t xml:space="preserve"> - בעמ' 52 מצוין: </w:t>
      </w:r>
    </w:p>
    <w:p w14:paraId="34CF20A8" w14:textId="2713A562" w:rsidR="00956480" w:rsidRPr="00182CB4" w:rsidRDefault="00C05B42" w:rsidP="00C048CA">
      <w:pPr>
        <w:pStyle w:val="FootnoteText"/>
        <w:bidi w:val="0"/>
        <w:jc w:val="both"/>
        <w:rPr>
          <w:rFonts w:ascii="Alef" w:hAnsi="Alef" w:cs="Alef"/>
        </w:rPr>
      </w:pPr>
      <w:r>
        <w:rPr>
          <w:rFonts w:ascii="Alef" w:hAnsi="Alef" w:cs="Alef"/>
        </w:rPr>
        <w:t>"</w:t>
      </w:r>
      <w:r w:rsidR="00956480" w:rsidRPr="00182CB4">
        <w:rPr>
          <w:rFonts w:ascii="Alef" w:hAnsi="Alef" w:cs="Alef"/>
        </w:rPr>
        <w:t>The evidence gathered in the evaluation suggests that the VBER, together with the Vertical Guidelines, is overall a useful instrument that increases legal certainty as compared to a situation without the VBER and the Vertical Guidelines…</w:t>
      </w:r>
      <w:r>
        <w:rPr>
          <w:rFonts w:ascii="Alef" w:hAnsi="Alef" w:cs="Alef"/>
        </w:rPr>
        <w:t>"</w:t>
      </w:r>
      <w:r w:rsidR="00956480" w:rsidRPr="00182CB4">
        <w:rPr>
          <w:rFonts w:ascii="Alef" w:hAnsi="Alef" w:cs="Alef"/>
        </w:rPr>
        <w:t xml:space="preserve"> </w:t>
      </w:r>
    </w:p>
    <w:p w14:paraId="4F4371C7" w14:textId="01C8FE5E" w:rsidR="00956480" w:rsidRPr="00182CB4" w:rsidRDefault="00956480" w:rsidP="00BA63B1">
      <w:pPr>
        <w:pStyle w:val="FootnoteText"/>
        <w:jc w:val="both"/>
        <w:rPr>
          <w:rFonts w:ascii="Alef" w:hAnsi="Alef" w:cs="Alef"/>
          <w:rtl/>
        </w:rPr>
      </w:pPr>
      <w:r w:rsidRPr="00182CB4">
        <w:rPr>
          <w:rFonts w:ascii="Alef" w:hAnsi="Alef" w:cs="Alef" w:hint="eastAsia"/>
          <w:rtl/>
        </w:rPr>
        <w:t>לגבי</w:t>
      </w:r>
      <w:r w:rsidR="006657E9">
        <w:rPr>
          <w:rFonts w:ascii="Alef" w:hAnsi="Alef" w:cs="Alef" w:hint="cs"/>
          <w:rtl/>
        </w:rPr>
        <w:t xml:space="preserve"> </w:t>
      </w:r>
      <w:r w:rsidR="006657E9">
        <w:rPr>
          <w:rFonts w:ascii="Alef" w:hAnsi="Alef" w:cs="Alef" w:hint="cs"/>
        </w:rPr>
        <w:t>HBER</w:t>
      </w:r>
      <w:r w:rsidR="006657E9">
        <w:rPr>
          <w:rFonts w:ascii="Alef" w:hAnsi="Alef" w:cs="Alef"/>
        </w:rPr>
        <w:t xml:space="preserve">s </w:t>
      </w:r>
      <w:r w:rsidRPr="00182CB4">
        <w:rPr>
          <w:rFonts w:ascii="Alef" w:hAnsi="Alef" w:cs="Alef"/>
          <w:rtl/>
        </w:rPr>
        <w:t xml:space="preserve"> </w:t>
      </w:r>
      <w:r w:rsidR="006657E9">
        <w:rPr>
          <w:rFonts w:ascii="Alef" w:hAnsi="Alef" w:cs="Alef" w:hint="cs"/>
          <w:rtl/>
        </w:rPr>
        <w:t xml:space="preserve">במסמך </w:t>
      </w:r>
      <w:r w:rsidR="006657E9" w:rsidRPr="00182CB4">
        <w:rPr>
          <w:rFonts w:ascii="Alef" w:hAnsi="Alef" w:cs="Alef"/>
        </w:rPr>
        <w:t>Factual summary of the contributions received during the public consultation on the evaluation of the two block exemption regulations and the guidelines on horizontal cooperation</w:t>
      </w:r>
      <w:r w:rsidR="006657E9">
        <w:rPr>
          <w:rFonts w:ascii="Alef" w:hAnsi="Alef" w:cs="Alef"/>
        </w:rPr>
        <w:t xml:space="preserve"> </w:t>
      </w:r>
      <w:r w:rsidR="006657E9" w:rsidRPr="00182CB4">
        <w:rPr>
          <w:rFonts w:ascii="Alef" w:hAnsi="Alef" w:cs="Alef"/>
        </w:rPr>
        <w:t>agreements</w:t>
      </w:r>
      <w:r w:rsidR="006657E9">
        <w:rPr>
          <w:rFonts w:ascii="Alef" w:hAnsi="Alef" w:cs="Alef" w:hint="cs"/>
          <w:rtl/>
        </w:rPr>
        <w:t xml:space="preserve"> הזמין בקישור</w:t>
      </w:r>
      <w:r w:rsidR="00445CB1">
        <w:rPr>
          <w:rFonts w:ascii="Alef" w:hAnsi="Alef" w:cs="Alef" w:hint="cs"/>
          <w:rtl/>
        </w:rPr>
        <w:t xml:space="preserve"> - </w:t>
      </w:r>
      <w:hyperlink r:id="rId22" w:history="1">
        <w:r w:rsidRPr="00182CB4">
          <w:rPr>
            <w:rStyle w:val="Hyperlink"/>
            <w:rFonts w:ascii="Alef" w:hAnsi="Alef" w:cs="Alef"/>
          </w:rPr>
          <w:t>https://ec.europa.eu/info/law/better-regulation/have-your-say/initiatives/11886-EU-competition-rules-on-horizontal-agreements-between-companies-evaluation</w:t>
        </w:r>
      </w:hyperlink>
      <w:r w:rsidRPr="00182CB4">
        <w:rPr>
          <w:rFonts w:ascii="Alef" w:hAnsi="Alef" w:cs="Alef"/>
          <w:rtl/>
        </w:rPr>
        <w:t xml:space="preserve"> </w:t>
      </w:r>
    </w:p>
    <w:p w14:paraId="28DDDA7E" w14:textId="6E1A357F" w:rsidR="00956480" w:rsidRPr="00182CB4" w:rsidRDefault="00445CB1" w:rsidP="00ED1B55">
      <w:pPr>
        <w:pStyle w:val="FootnoteText"/>
        <w:jc w:val="both"/>
        <w:rPr>
          <w:rFonts w:ascii="Alef" w:hAnsi="Alef" w:cs="Alef"/>
          <w:rtl/>
        </w:rPr>
      </w:pPr>
      <w:r>
        <w:rPr>
          <w:rFonts w:ascii="Alef" w:hAnsi="Alef" w:cs="Alef" w:hint="cs"/>
          <w:rtl/>
        </w:rPr>
        <w:t>נכתב</w:t>
      </w:r>
      <w:r w:rsidR="006657E9">
        <w:rPr>
          <w:rFonts w:ascii="Alef" w:hAnsi="Alef" w:cs="Alef" w:hint="cs"/>
          <w:rtl/>
        </w:rPr>
        <w:t xml:space="preserve"> בעמ' 5- 6 כי 35% מהמשיבים סברו כי הכללים תרמו לקידום התחרות באיחוד, 43% סברו כי הכללים תרמו לקידום התחרות באיחוד במידה מסוימת או ביחס לסקטורים מסוימים, 4% סברו כי הכללים ניטראליים לקידום התחרות ב</w:t>
      </w:r>
      <w:r w:rsidR="00ED1B55">
        <w:rPr>
          <w:rFonts w:ascii="Alef" w:hAnsi="Alef" w:cs="Alef" w:hint="cs"/>
          <w:rtl/>
        </w:rPr>
        <w:t xml:space="preserve">איחוד ו-18% השיבו שאינם יודעים. מובהר, כי לכללים </w:t>
      </w:r>
      <w:r w:rsidR="00611747">
        <w:rPr>
          <w:rFonts w:ascii="Alef" w:hAnsi="Alef" w:cs="Alef" w:hint="cs"/>
          <w:rtl/>
        </w:rPr>
        <w:t xml:space="preserve">תרומה לעסקים שהיא מעבר לתרומה התחרותית במדינות האיחוד </w:t>
      </w:r>
      <w:r w:rsidR="00611747">
        <w:rPr>
          <w:rFonts w:ascii="Alef" w:hAnsi="Alef" w:cs="Alef"/>
          <w:rtl/>
        </w:rPr>
        <w:t>–</w:t>
      </w:r>
      <w:r w:rsidR="00611747">
        <w:rPr>
          <w:rFonts w:ascii="Alef" w:hAnsi="Alef" w:cs="Alef" w:hint="cs"/>
          <w:rtl/>
        </w:rPr>
        <w:t xml:space="preserve"> ולכן אם ביחס לשאלה אם יש תועלת בכללים </w:t>
      </w:r>
      <w:r w:rsidR="00611747">
        <w:rPr>
          <w:rFonts w:ascii="Alef" w:hAnsi="Alef" w:cs="Alef"/>
          <w:rtl/>
        </w:rPr>
        <w:t>–</w:t>
      </w:r>
      <w:r w:rsidR="00611747">
        <w:rPr>
          <w:rFonts w:ascii="Alef" w:hAnsi="Alef" w:cs="Alef" w:hint="cs"/>
          <w:rtl/>
        </w:rPr>
        <w:t xml:space="preserve"> כנראה שהתשובות החיוביות היו מעבר ל</w:t>
      </w:r>
      <w:r w:rsidR="00B167F4">
        <w:rPr>
          <w:rFonts w:ascii="Alef" w:hAnsi="Alef" w:cs="Alef" w:hint="cs"/>
          <w:rtl/>
        </w:rPr>
        <w:t>77%.</w:t>
      </w:r>
    </w:p>
  </w:footnote>
  <w:footnote w:id="27">
    <w:p w14:paraId="2D0E3B03" w14:textId="6ADD3F41"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23" w:history="1">
        <w:r w:rsidRPr="00182CB4">
          <w:rPr>
            <w:rStyle w:val="Hyperlink"/>
            <w:rFonts w:ascii="Alef" w:hAnsi="Alef" w:cs="Alef"/>
          </w:rPr>
          <w:t>https://www.gornitzky.co.il/wp-content/uploads/2018/05/avner_f_-_gornitzky.pdf</w:t>
        </w:r>
      </w:hyperlink>
      <w:r w:rsidRPr="00182CB4">
        <w:rPr>
          <w:rFonts w:ascii="Alef" w:hAnsi="Alef" w:cs="Alef"/>
          <w:rtl/>
        </w:rPr>
        <w:t xml:space="preserve"> </w:t>
      </w:r>
    </w:p>
    <w:p w14:paraId="323F25FE" w14:textId="5C03DDBF" w:rsidR="00956480" w:rsidRPr="00182CB4" w:rsidRDefault="00956480" w:rsidP="007E79C3">
      <w:pPr>
        <w:pStyle w:val="FootnoteText"/>
        <w:jc w:val="both"/>
        <w:rPr>
          <w:rFonts w:ascii="Alef" w:hAnsi="Alef" w:cs="Alef"/>
          <w:rtl/>
        </w:rPr>
      </w:pPr>
      <w:r w:rsidRPr="00182CB4">
        <w:rPr>
          <w:rFonts w:ascii="Alef" w:hAnsi="Alef" w:cs="Alef" w:hint="eastAsia"/>
          <w:rtl/>
        </w:rPr>
        <w:t>ר</w:t>
      </w:r>
      <w:r w:rsidRPr="00182CB4">
        <w:rPr>
          <w:rFonts w:ascii="Alef" w:hAnsi="Alef" w:cs="Alef"/>
          <w:rtl/>
        </w:rPr>
        <w:t xml:space="preserve">' </w:t>
      </w:r>
      <w:r w:rsidRPr="00182CB4">
        <w:rPr>
          <w:rFonts w:ascii="Alef" w:hAnsi="Alef" w:cs="Alef" w:hint="eastAsia"/>
          <w:rtl/>
        </w:rPr>
        <w:t>למשל</w:t>
      </w:r>
      <w:r w:rsidRPr="00182CB4">
        <w:rPr>
          <w:rFonts w:ascii="Alef" w:hAnsi="Alef" w:cs="Alef"/>
          <w:rtl/>
        </w:rPr>
        <w:t xml:space="preserve"> </w:t>
      </w:r>
      <w:r w:rsidRPr="00182CB4">
        <w:rPr>
          <w:rFonts w:ascii="Alef" w:hAnsi="Alef" w:cs="Alef" w:hint="eastAsia"/>
          <w:rtl/>
        </w:rPr>
        <w:t>דברי</w:t>
      </w:r>
      <w:r w:rsidRPr="00182CB4">
        <w:rPr>
          <w:rFonts w:ascii="Alef" w:hAnsi="Alef" w:cs="Alef"/>
          <w:rtl/>
        </w:rPr>
        <w:t xml:space="preserve"> </w:t>
      </w:r>
      <w:r w:rsidRPr="00182CB4">
        <w:rPr>
          <w:rFonts w:ascii="Alef" w:hAnsi="Alef" w:cs="Alef" w:hint="eastAsia"/>
          <w:rtl/>
        </w:rPr>
        <w:t>עורכי</w:t>
      </w:r>
      <w:r w:rsidRPr="00182CB4">
        <w:rPr>
          <w:rFonts w:ascii="Alef" w:hAnsi="Alef" w:cs="Alef"/>
          <w:rtl/>
        </w:rPr>
        <w:t xml:space="preserve"> </w:t>
      </w:r>
      <w:r w:rsidRPr="00182CB4">
        <w:rPr>
          <w:rFonts w:ascii="Alef" w:hAnsi="Alef" w:cs="Alef" w:hint="eastAsia"/>
          <w:rtl/>
        </w:rPr>
        <w:t>הדין</w:t>
      </w:r>
      <w:r w:rsidRPr="00182CB4">
        <w:rPr>
          <w:rFonts w:ascii="Alef" w:hAnsi="Alef" w:cs="Alef"/>
          <w:rtl/>
        </w:rPr>
        <w:t xml:space="preserve"> </w:t>
      </w:r>
      <w:r w:rsidRPr="00182CB4">
        <w:rPr>
          <w:rFonts w:ascii="Alef" w:hAnsi="Alef" w:cs="Alef" w:hint="eastAsia"/>
          <w:rtl/>
        </w:rPr>
        <w:t>גל</w:t>
      </w:r>
      <w:r w:rsidRPr="00182CB4">
        <w:rPr>
          <w:rFonts w:ascii="Alef" w:hAnsi="Alef" w:cs="Alef"/>
          <w:rtl/>
        </w:rPr>
        <w:t xml:space="preserve"> </w:t>
      </w:r>
      <w:proofErr w:type="spellStart"/>
      <w:r w:rsidRPr="00182CB4">
        <w:rPr>
          <w:rFonts w:ascii="Alef" w:hAnsi="Alef" w:cs="Alef" w:hint="eastAsia"/>
          <w:rtl/>
        </w:rPr>
        <w:t>רוזנט</w:t>
      </w:r>
      <w:proofErr w:type="spellEnd"/>
      <w:r w:rsidRPr="00182CB4">
        <w:rPr>
          <w:rFonts w:ascii="Alef" w:hAnsi="Alef" w:cs="Alef"/>
          <w:rtl/>
        </w:rPr>
        <w:t xml:space="preserve"> </w:t>
      </w:r>
      <w:r w:rsidRPr="00182CB4">
        <w:rPr>
          <w:rFonts w:ascii="Alef" w:hAnsi="Alef" w:cs="Alef" w:hint="eastAsia"/>
          <w:rtl/>
        </w:rPr>
        <w:t>וטליה</w:t>
      </w:r>
      <w:r w:rsidRPr="00182CB4">
        <w:rPr>
          <w:rFonts w:ascii="Alef" w:hAnsi="Alef" w:cs="Alef"/>
          <w:rtl/>
        </w:rPr>
        <w:t xml:space="preserve"> </w:t>
      </w:r>
      <w:r w:rsidRPr="00182CB4">
        <w:rPr>
          <w:rFonts w:ascii="Alef" w:hAnsi="Alef" w:cs="Alef" w:hint="eastAsia"/>
          <w:rtl/>
        </w:rPr>
        <w:t>סולומון</w:t>
      </w:r>
      <w:r w:rsidRPr="00182CB4">
        <w:rPr>
          <w:rFonts w:ascii="Alef" w:hAnsi="Alef" w:cs="Alef"/>
          <w:rtl/>
        </w:rPr>
        <w:t xml:space="preserve"> </w:t>
      </w:r>
      <w:r w:rsidRPr="00182CB4">
        <w:rPr>
          <w:rFonts w:ascii="Alef" w:hAnsi="Alef" w:cs="Alef" w:hint="eastAsia"/>
          <w:rtl/>
        </w:rPr>
        <w:t>ברב</w:t>
      </w:r>
      <w:r w:rsidRPr="00182CB4">
        <w:rPr>
          <w:rFonts w:ascii="Alef" w:hAnsi="Alef" w:cs="Alef"/>
          <w:rtl/>
        </w:rPr>
        <w:t xml:space="preserve"> </w:t>
      </w:r>
      <w:r w:rsidRPr="00182CB4">
        <w:rPr>
          <w:rFonts w:ascii="Alef" w:hAnsi="Alef" w:cs="Alef" w:hint="eastAsia"/>
          <w:rtl/>
        </w:rPr>
        <w:t>שיח</w:t>
      </w:r>
      <w:r w:rsidRPr="00182CB4">
        <w:rPr>
          <w:rFonts w:ascii="Alef" w:hAnsi="Alef" w:cs="Alef"/>
          <w:rtl/>
        </w:rPr>
        <w:t xml:space="preserve"> </w:t>
      </w:r>
      <w:r w:rsidRPr="00182CB4">
        <w:rPr>
          <w:rFonts w:ascii="Alef" w:hAnsi="Alef" w:cs="Alef" w:hint="eastAsia"/>
          <w:rtl/>
        </w:rPr>
        <w:t>שערך</w:t>
      </w:r>
      <w:r w:rsidRPr="00182CB4">
        <w:rPr>
          <w:rFonts w:ascii="Alef" w:hAnsi="Alef" w:cs="Alef"/>
          <w:rtl/>
        </w:rPr>
        <w:t xml:space="preserve"> </w:t>
      </w:r>
      <w:r w:rsidRPr="00182CB4">
        <w:rPr>
          <w:rFonts w:ascii="Alef" w:hAnsi="Alef" w:cs="Alef" w:hint="eastAsia"/>
          <w:rtl/>
        </w:rPr>
        <w:t>איגוד</w:t>
      </w:r>
      <w:r w:rsidRPr="00182CB4">
        <w:rPr>
          <w:rFonts w:ascii="Alef" w:hAnsi="Alef" w:cs="Alef"/>
          <w:rtl/>
        </w:rPr>
        <w:t xml:space="preserve"> </w:t>
      </w:r>
      <w:r w:rsidRPr="00182CB4">
        <w:rPr>
          <w:rFonts w:ascii="Alef" w:hAnsi="Alef" w:cs="Alef" w:hint="eastAsia"/>
          <w:rtl/>
        </w:rPr>
        <w:t>החברות</w:t>
      </w:r>
      <w:r w:rsidRPr="00182CB4">
        <w:rPr>
          <w:rFonts w:ascii="Alef" w:hAnsi="Alef" w:cs="Alef"/>
          <w:rtl/>
        </w:rPr>
        <w:t xml:space="preserve"> </w:t>
      </w:r>
      <w:r w:rsidRPr="00182CB4">
        <w:rPr>
          <w:rFonts w:ascii="Alef" w:hAnsi="Alef" w:cs="Alef" w:hint="eastAsia"/>
          <w:rtl/>
        </w:rPr>
        <w:t>הציבוריות</w:t>
      </w:r>
      <w:r w:rsidRPr="00182CB4">
        <w:rPr>
          <w:rFonts w:ascii="Alef" w:hAnsi="Alef" w:cs="Alef"/>
          <w:rtl/>
        </w:rPr>
        <w:t xml:space="preserve"> בעניין תזכיר הצעת החוק מיום 30.10.17 תזכיר תיקון חוק ההגבלים העסקיים בנושא חיזוק האכיפה והפחתת הנטל הרגולטורי.  </w:t>
      </w:r>
    </w:p>
    <w:p w14:paraId="44D0967A" w14:textId="69537665" w:rsidR="00956480" w:rsidRPr="00182CB4" w:rsidRDefault="00956480" w:rsidP="007E79C3">
      <w:pPr>
        <w:pStyle w:val="FootnoteText"/>
        <w:jc w:val="both"/>
        <w:rPr>
          <w:rFonts w:ascii="Alef" w:hAnsi="Alef" w:cs="Alef"/>
          <w:rtl/>
        </w:rPr>
      </w:pPr>
      <w:r w:rsidRPr="00182CB4">
        <w:rPr>
          <w:rFonts w:ascii="Alef" w:hAnsi="Alef" w:cs="Alef"/>
          <w:rtl/>
        </w:rPr>
        <w:t xml:space="preserve">"עו"ד </w:t>
      </w:r>
      <w:r w:rsidRPr="00182CB4">
        <w:rPr>
          <w:rFonts w:ascii="Alef" w:hAnsi="Alef" w:cs="Alef" w:hint="eastAsia"/>
          <w:rtl/>
        </w:rPr>
        <w:t>גל</w:t>
      </w:r>
      <w:r w:rsidRPr="00182CB4">
        <w:rPr>
          <w:rFonts w:ascii="Alef" w:hAnsi="Alef" w:cs="Alef"/>
          <w:rtl/>
        </w:rPr>
        <w:t xml:space="preserve"> </w:t>
      </w:r>
      <w:proofErr w:type="spellStart"/>
      <w:r w:rsidRPr="00182CB4">
        <w:rPr>
          <w:rFonts w:ascii="Alef" w:hAnsi="Alef" w:cs="Alef" w:hint="eastAsia"/>
          <w:rtl/>
        </w:rPr>
        <w:t>רוזנט</w:t>
      </w:r>
      <w:proofErr w:type="spellEnd"/>
      <w:r w:rsidRPr="00182CB4">
        <w:rPr>
          <w:rFonts w:ascii="Alef" w:hAnsi="Alef" w:cs="Alef"/>
          <w:rtl/>
        </w:rPr>
        <w:t xml:space="preserve">: </w:t>
      </w:r>
      <w:r w:rsidRPr="00182CB4">
        <w:rPr>
          <w:rFonts w:ascii="Alef" w:hAnsi="Alef" w:cs="Alef" w:hint="eastAsia"/>
          <w:rtl/>
        </w:rPr>
        <w:t>בעיני</w:t>
      </w:r>
      <w:r w:rsidRPr="00182CB4">
        <w:rPr>
          <w:rFonts w:ascii="Alef" w:hAnsi="Alef" w:cs="Alef"/>
          <w:rtl/>
        </w:rPr>
        <w:t xml:space="preserve"> </w:t>
      </w:r>
      <w:r w:rsidRPr="00182CB4">
        <w:rPr>
          <w:rFonts w:ascii="Alef" w:hAnsi="Alef" w:cs="Alef" w:hint="eastAsia"/>
          <w:rtl/>
        </w:rPr>
        <w:t>השינוי</w:t>
      </w:r>
      <w:r w:rsidRPr="00182CB4">
        <w:rPr>
          <w:rFonts w:ascii="Alef" w:hAnsi="Alef" w:cs="Alef"/>
          <w:rtl/>
        </w:rPr>
        <w:t xml:space="preserve"> </w:t>
      </w:r>
      <w:r w:rsidRPr="00182CB4">
        <w:rPr>
          <w:rFonts w:ascii="Alef" w:hAnsi="Alef" w:cs="Alef" w:hint="eastAsia"/>
          <w:rtl/>
        </w:rPr>
        <w:t>המבורך</w:t>
      </w:r>
      <w:r w:rsidRPr="00182CB4">
        <w:rPr>
          <w:rFonts w:ascii="Alef" w:hAnsi="Alef" w:cs="Alef"/>
          <w:rtl/>
        </w:rPr>
        <w:t xml:space="preserve"> </w:t>
      </w:r>
      <w:r w:rsidRPr="00182CB4">
        <w:rPr>
          <w:rFonts w:ascii="Alef" w:hAnsi="Alef" w:cs="Alef" w:hint="eastAsia"/>
          <w:rtl/>
        </w:rPr>
        <w:t>ביותר</w:t>
      </w:r>
      <w:r w:rsidRPr="00182CB4">
        <w:rPr>
          <w:rFonts w:ascii="Alef" w:hAnsi="Alef" w:cs="Alef"/>
          <w:rtl/>
        </w:rPr>
        <w:t xml:space="preserve">, </w:t>
      </w:r>
      <w:r w:rsidRPr="00182CB4">
        <w:rPr>
          <w:rFonts w:ascii="Alef" w:hAnsi="Alef" w:cs="Alef" w:hint="eastAsia"/>
          <w:rtl/>
        </w:rPr>
        <w:t>ולדעתי</w:t>
      </w:r>
      <w:r w:rsidRPr="00182CB4">
        <w:rPr>
          <w:rFonts w:ascii="Alef" w:hAnsi="Alef" w:cs="Alef"/>
          <w:rtl/>
        </w:rPr>
        <w:t xml:space="preserve"> </w:t>
      </w:r>
      <w:r w:rsidRPr="00182CB4">
        <w:rPr>
          <w:rFonts w:ascii="Alef" w:hAnsi="Alef" w:cs="Alef" w:hint="eastAsia"/>
          <w:rtl/>
        </w:rPr>
        <w:t>זה</w:t>
      </w:r>
      <w:r w:rsidRPr="00182CB4">
        <w:rPr>
          <w:rFonts w:ascii="Alef" w:hAnsi="Alef" w:cs="Alef"/>
          <w:rtl/>
        </w:rPr>
        <w:t xml:space="preserve"> </w:t>
      </w:r>
      <w:r w:rsidRPr="00182CB4">
        <w:rPr>
          <w:rFonts w:ascii="Alef" w:hAnsi="Alef" w:cs="Alef" w:hint="eastAsia"/>
          <w:rtl/>
        </w:rPr>
        <w:t>גם</w:t>
      </w:r>
      <w:r w:rsidRPr="00182CB4">
        <w:rPr>
          <w:rFonts w:ascii="Alef" w:hAnsi="Alef" w:cs="Alef"/>
          <w:rtl/>
        </w:rPr>
        <w:t xml:space="preserve"> </w:t>
      </w:r>
      <w:r w:rsidRPr="00182CB4">
        <w:rPr>
          <w:rFonts w:ascii="Alef" w:hAnsi="Alef" w:cs="Alef" w:hint="eastAsia"/>
          <w:rtl/>
        </w:rPr>
        <w:t>היה</w:t>
      </w:r>
      <w:r w:rsidRPr="00182CB4">
        <w:rPr>
          <w:rFonts w:ascii="Alef" w:hAnsi="Alef" w:cs="Alef"/>
          <w:rtl/>
        </w:rPr>
        <w:t xml:space="preserve"> </w:t>
      </w:r>
      <w:r w:rsidRPr="00182CB4">
        <w:rPr>
          <w:rFonts w:ascii="Alef" w:hAnsi="Alef" w:cs="Alef" w:hint="eastAsia"/>
          <w:rtl/>
        </w:rPr>
        <w:t>אמור</w:t>
      </w:r>
      <w:r w:rsidRPr="00182CB4">
        <w:rPr>
          <w:rFonts w:ascii="Alef" w:hAnsi="Alef" w:cs="Alef"/>
          <w:rtl/>
        </w:rPr>
        <w:t xml:space="preserve"> </w:t>
      </w:r>
      <w:r w:rsidRPr="00182CB4">
        <w:rPr>
          <w:rFonts w:ascii="Alef" w:hAnsi="Alef" w:cs="Alef" w:hint="eastAsia"/>
          <w:rtl/>
        </w:rPr>
        <w:t>להיות</w:t>
      </w:r>
      <w:r w:rsidRPr="00182CB4">
        <w:rPr>
          <w:rFonts w:ascii="Alef" w:hAnsi="Alef" w:cs="Alef"/>
          <w:rtl/>
        </w:rPr>
        <w:t xml:space="preserve"> </w:t>
      </w:r>
      <w:r w:rsidRPr="00182CB4">
        <w:rPr>
          <w:rFonts w:ascii="Alef" w:hAnsi="Alef" w:cs="Alef" w:hint="eastAsia"/>
          <w:rtl/>
        </w:rPr>
        <w:t>המוטו</w:t>
      </w:r>
      <w:r w:rsidRPr="00182CB4">
        <w:rPr>
          <w:rFonts w:ascii="Alef" w:hAnsi="Alef" w:cs="Alef"/>
          <w:rtl/>
        </w:rPr>
        <w:t xml:space="preserve"> </w:t>
      </w:r>
      <w:r w:rsidRPr="00182CB4">
        <w:rPr>
          <w:rFonts w:ascii="Alef" w:hAnsi="Alef" w:cs="Alef" w:hint="eastAsia"/>
          <w:rtl/>
        </w:rPr>
        <w:t>של</w:t>
      </w:r>
      <w:r w:rsidRPr="00182CB4">
        <w:rPr>
          <w:rFonts w:ascii="Alef" w:hAnsi="Alef" w:cs="Alef"/>
          <w:rtl/>
        </w:rPr>
        <w:t xml:space="preserve"> </w:t>
      </w:r>
      <w:r w:rsidRPr="00182CB4">
        <w:rPr>
          <w:rFonts w:ascii="Alef" w:hAnsi="Alef" w:cs="Alef" w:hint="eastAsia"/>
          <w:rtl/>
        </w:rPr>
        <w:t>כל</w:t>
      </w:r>
      <w:r w:rsidRPr="00182CB4">
        <w:rPr>
          <w:rFonts w:ascii="Alef" w:hAnsi="Alef" w:cs="Alef"/>
          <w:rtl/>
        </w:rPr>
        <w:t xml:space="preserve"> </w:t>
      </w:r>
      <w:r w:rsidRPr="00182CB4">
        <w:rPr>
          <w:rFonts w:ascii="Alef" w:hAnsi="Alef" w:cs="Alef" w:hint="eastAsia"/>
          <w:rtl/>
        </w:rPr>
        <w:t>התזכיר</w:t>
      </w:r>
      <w:r w:rsidRPr="00182CB4">
        <w:rPr>
          <w:rFonts w:ascii="Alef" w:hAnsi="Alef" w:cs="Alef"/>
          <w:rtl/>
        </w:rPr>
        <w:t xml:space="preserve"> </w:t>
      </w:r>
      <w:r w:rsidRPr="00182CB4">
        <w:rPr>
          <w:rFonts w:ascii="Alef" w:hAnsi="Alef" w:cs="Alef" w:hint="eastAsia"/>
          <w:rtl/>
        </w:rPr>
        <w:t>הזה</w:t>
      </w:r>
      <w:r w:rsidRPr="00182CB4">
        <w:rPr>
          <w:rFonts w:ascii="Alef" w:hAnsi="Alef" w:cs="Alef"/>
          <w:rtl/>
        </w:rPr>
        <w:t xml:space="preserve">, </w:t>
      </w:r>
      <w:r w:rsidRPr="00182CB4">
        <w:rPr>
          <w:rFonts w:ascii="Alef" w:hAnsi="Alef" w:cs="Alef" w:hint="eastAsia"/>
          <w:rtl/>
        </w:rPr>
        <w:t>זה</w:t>
      </w:r>
      <w:r w:rsidRPr="00182CB4">
        <w:rPr>
          <w:rFonts w:ascii="Alef" w:hAnsi="Alef" w:cs="Alef"/>
          <w:rtl/>
        </w:rPr>
        <w:t xml:space="preserve"> </w:t>
      </w:r>
      <w:r w:rsidRPr="00182CB4">
        <w:rPr>
          <w:rFonts w:ascii="Alef" w:hAnsi="Alef" w:cs="Alef" w:hint="eastAsia"/>
          <w:rtl/>
        </w:rPr>
        <w:t>המעבר</w:t>
      </w:r>
      <w:r w:rsidRPr="00182CB4">
        <w:rPr>
          <w:rFonts w:ascii="Alef" w:hAnsi="Alef" w:cs="Alef"/>
          <w:rtl/>
        </w:rPr>
        <w:t xml:space="preserve"> </w:t>
      </w:r>
      <w:r w:rsidRPr="00182CB4">
        <w:rPr>
          <w:rFonts w:ascii="Alef" w:hAnsi="Alef" w:cs="Alef" w:hint="eastAsia"/>
          <w:rtl/>
        </w:rPr>
        <w:t>ל</w:t>
      </w:r>
      <w:r w:rsidRPr="00182CB4">
        <w:rPr>
          <w:rFonts w:ascii="Alef" w:hAnsi="Alef" w:cs="Alef"/>
          <w:rtl/>
        </w:rPr>
        <w:t>-</w:t>
      </w:r>
      <w:r w:rsidRPr="00182CB4">
        <w:rPr>
          <w:rFonts w:ascii="Alef" w:hAnsi="Alef" w:cs="Alef"/>
        </w:rPr>
        <w:t>self-assessment</w:t>
      </w:r>
      <w:r w:rsidRPr="00182CB4">
        <w:rPr>
          <w:rFonts w:ascii="Alef" w:hAnsi="Alef" w:cs="Alef"/>
          <w:rtl/>
        </w:rPr>
        <w:t xml:space="preserve"> גם של הסדרים אופקיים. בכך מוסר נטל מאוד משמעותי מצדדים לעסקאות, למיזמים משותפים ולהסכמים אחרים, שלא פוגעים בתחרות באופן משמעותי. נטל כזה מוסר גם מהרשות במקביל...."</w:t>
      </w:r>
      <w:r w:rsidR="002F1F8F">
        <w:rPr>
          <w:rFonts w:ascii="Alef" w:hAnsi="Alef" w:cs="Alef" w:hint="cs"/>
          <w:rtl/>
        </w:rPr>
        <w:t>.</w:t>
      </w:r>
    </w:p>
    <w:p w14:paraId="5C4725EF" w14:textId="643688D6" w:rsidR="00956480" w:rsidRPr="00182CB4" w:rsidRDefault="00956480" w:rsidP="007E79C3">
      <w:pPr>
        <w:pStyle w:val="FootnoteText"/>
        <w:jc w:val="both"/>
        <w:rPr>
          <w:rFonts w:ascii="Alef" w:hAnsi="Alef" w:cs="Alef"/>
          <w:rtl/>
        </w:rPr>
      </w:pPr>
      <w:r w:rsidRPr="00182CB4">
        <w:rPr>
          <w:rFonts w:ascii="Alef" w:hAnsi="Alef" w:cs="Alef"/>
          <w:rtl/>
        </w:rPr>
        <w:t xml:space="preserve">"עו"ד </w:t>
      </w:r>
      <w:r w:rsidRPr="00182CB4">
        <w:rPr>
          <w:rFonts w:ascii="Alef" w:hAnsi="Alef" w:cs="Alef" w:hint="eastAsia"/>
          <w:rtl/>
        </w:rPr>
        <w:t>טליה</w:t>
      </w:r>
      <w:r w:rsidRPr="00182CB4">
        <w:rPr>
          <w:rFonts w:ascii="Alef" w:hAnsi="Alef" w:cs="Alef"/>
          <w:rtl/>
        </w:rPr>
        <w:t xml:space="preserve"> </w:t>
      </w:r>
      <w:r w:rsidRPr="00182CB4">
        <w:rPr>
          <w:rFonts w:ascii="Alef" w:hAnsi="Alef" w:cs="Alef" w:hint="eastAsia"/>
          <w:rtl/>
        </w:rPr>
        <w:t>סלומון</w:t>
      </w:r>
      <w:r w:rsidRPr="00182CB4">
        <w:rPr>
          <w:rFonts w:ascii="Alef" w:hAnsi="Alef" w:cs="Alef"/>
          <w:rtl/>
        </w:rPr>
        <w:t xml:space="preserve">: </w:t>
      </w:r>
      <w:r w:rsidRPr="00182CB4">
        <w:rPr>
          <w:rFonts w:ascii="Alef" w:hAnsi="Alef" w:cs="Alef" w:hint="eastAsia"/>
          <w:rtl/>
        </w:rPr>
        <w:t>אני</w:t>
      </w:r>
      <w:r w:rsidRPr="00182CB4">
        <w:rPr>
          <w:rFonts w:ascii="Alef" w:hAnsi="Alef" w:cs="Alef"/>
          <w:rtl/>
        </w:rPr>
        <w:t xml:space="preserve"> </w:t>
      </w:r>
      <w:r w:rsidRPr="00182CB4">
        <w:rPr>
          <w:rFonts w:ascii="Alef" w:hAnsi="Alef" w:cs="Alef" w:hint="eastAsia"/>
          <w:rtl/>
        </w:rPr>
        <w:t>מצטרפת</w:t>
      </w:r>
      <w:r w:rsidRPr="00182CB4">
        <w:rPr>
          <w:rFonts w:ascii="Alef" w:hAnsi="Alef" w:cs="Alef"/>
          <w:rtl/>
        </w:rPr>
        <w:t xml:space="preserve"> </w:t>
      </w:r>
      <w:r w:rsidRPr="00182CB4">
        <w:rPr>
          <w:rFonts w:ascii="Alef" w:hAnsi="Alef" w:cs="Alef" w:hint="eastAsia"/>
          <w:rtl/>
        </w:rPr>
        <w:t>לגל</w:t>
      </w:r>
      <w:r w:rsidRPr="00182CB4">
        <w:rPr>
          <w:rFonts w:ascii="Alef" w:hAnsi="Alef" w:cs="Alef"/>
          <w:rtl/>
        </w:rPr>
        <w:t xml:space="preserve"> </w:t>
      </w:r>
      <w:proofErr w:type="spellStart"/>
      <w:r w:rsidRPr="00182CB4">
        <w:rPr>
          <w:rFonts w:ascii="Alef" w:hAnsi="Alef" w:cs="Alef" w:hint="eastAsia"/>
          <w:rtl/>
        </w:rPr>
        <w:t>רוזנט</w:t>
      </w:r>
      <w:proofErr w:type="spellEnd"/>
      <w:r w:rsidRPr="00182CB4">
        <w:rPr>
          <w:rFonts w:ascii="Alef" w:hAnsi="Alef" w:cs="Alef"/>
          <w:rtl/>
        </w:rPr>
        <w:t xml:space="preserve">. </w:t>
      </w:r>
      <w:r w:rsidRPr="00182CB4">
        <w:rPr>
          <w:rFonts w:ascii="Alef" w:hAnsi="Alef" w:cs="Alef" w:hint="eastAsia"/>
          <w:rtl/>
        </w:rPr>
        <w:t>בעיני</w:t>
      </w:r>
      <w:r w:rsidRPr="00182CB4">
        <w:rPr>
          <w:rFonts w:ascii="Alef" w:hAnsi="Alef" w:cs="Alef"/>
          <w:rtl/>
        </w:rPr>
        <w:t xml:space="preserve"> </w:t>
      </w:r>
      <w:r w:rsidRPr="00182CB4">
        <w:rPr>
          <w:rFonts w:ascii="Alef" w:hAnsi="Alef" w:cs="Alef" w:hint="eastAsia"/>
          <w:rtl/>
        </w:rPr>
        <w:t>המעבר</w:t>
      </w:r>
      <w:r w:rsidRPr="00182CB4">
        <w:rPr>
          <w:rFonts w:ascii="Alef" w:hAnsi="Alef" w:cs="Alef"/>
          <w:rtl/>
        </w:rPr>
        <w:t xml:space="preserve"> </w:t>
      </w:r>
      <w:r w:rsidRPr="00182CB4">
        <w:rPr>
          <w:rFonts w:ascii="Alef" w:hAnsi="Alef" w:cs="Alef" w:hint="eastAsia"/>
          <w:rtl/>
        </w:rPr>
        <w:t>מ</w:t>
      </w:r>
      <w:r w:rsidRPr="00182CB4">
        <w:rPr>
          <w:rFonts w:ascii="Alef" w:hAnsi="Alef" w:cs="Alef"/>
          <w:rtl/>
        </w:rPr>
        <w:t>-</w:t>
      </w:r>
      <w:r w:rsidRPr="00182CB4">
        <w:rPr>
          <w:rFonts w:ascii="Alef" w:hAnsi="Alef" w:cs="Alef"/>
        </w:rPr>
        <w:t>self-assessment</w:t>
      </w:r>
      <w:r w:rsidRPr="00182CB4">
        <w:rPr>
          <w:rFonts w:ascii="Alef" w:hAnsi="Alef" w:cs="Alef"/>
          <w:rtl/>
        </w:rPr>
        <w:t xml:space="preserve"> להסדרים כובלים הוא שינוי מבורך. זה באמת יאפשר לשוק להתנהל בצורה יותר יעילה ולא לרוץ לממונה בכל פעם שלא עומדים באיזה שהוא תנאי בפטור סוג כזה או אחר. אני חושבת שמה שקרה בהסדרים אנכיים הוא טוב – פטור הסוג האנכי, שכבר יישם את המשטר של </w:t>
      </w:r>
      <w:r w:rsidRPr="00182CB4">
        <w:rPr>
          <w:rFonts w:ascii="Alef" w:hAnsi="Alef" w:cs="Alef"/>
        </w:rPr>
        <w:t>self-assessment</w:t>
      </w:r>
      <w:r w:rsidRPr="00182CB4">
        <w:rPr>
          <w:rFonts w:ascii="Alef" w:hAnsi="Alef" w:cs="Alef"/>
          <w:rtl/>
        </w:rPr>
        <w:t xml:space="preserve"> בהסדרים אנכיים. עכשיו אנחנו נהיה גם במשטר של </w:t>
      </w:r>
      <w:r w:rsidRPr="00182CB4">
        <w:rPr>
          <w:rFonts w:ascii="Alef" w:hAnsi="Alef" w:cs="Alef"/>
        </w:rPr>
        <w:t>self-assessment</w:t>
      </w:r>
      <w:r w:rsidRPr="00182CB4">
        <w:rPr>
          <w:rFonts w:ascii="Alef" w:hAnsi="Alef" w:cs="Alef"/>
          <w:rtl/>
        </w:rPr>
        <w:t xml:space="preserve"> בהסדרים אופקיים וכך צריך וכך ראוי שיהיה...</w:t>
      </w:r>
      <w:r w:rsidR="002F1F8F">
        <w:rPr>
          <w:rFonts w:ascii="Alef" w:hAnsi="Alef" w:cs="Alef" w:hint="cs"/>
          <w:rtl/>
        </w:rPr>
        <w:t>".</w:t>
      </w:r>
      <w:r w:rsidRPr="00182CB4">
        <w:rPr>
          <w:rFonts w:ascii="Alef" w:hAnsi="Alef" w:cs="Alef"/>
          <w:rtl/>
        </w:rPr>
        <w:t xml:space="preserve">  </w:t>
      </w:r>
    </w:p>
  </w:footnote>
  <w:footnote w:id="28">
    <w:p w14:paraId="7AA003AE" w14:textId="522C987D" w:rsidR="00956480" w:rsidRPr="00182CB4" w:rsidRDefault="00956480" w:rsidP="00F61E78">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w:t>
      </w:r>
      <w:hyperlink r:id="rId24" w:history="1">
        <w:proofErr w:type="spellStart"/>
        <w:r w:rsidRPr="00182CB4">
          <w:rPr>
            <w:rStyle w:val="Hyperlink"/>
            <w:rFonts w:ascii="Alef" w:hAnsi="Alef" w:cs="Alef"/>
            <w:rtl/>
          </w:rPr>
          <w:t>ק"ת</w:t>
        </w:r>
        <w:proofErr w:type="spellEnd"/>
        <w:r w:rsidRPr="00182CB4">
          <w:rPr>
            <w:rStyle w:val="Hyperlink"/>
            <w:rFonts w:ascii="Alef" w:hAnsi="Alef" w:cs="Alef"/>
            <w:rtl/>
          </w:rPr>
          <w:t xml:space="preserve"> תשע"ה מס' 7513</w:t>
        </w:r>
      </w:hyperlink>
      <w:r w:rsidR="002F1F8F">
        <w:rPr>
          <w:rFonts w:ascii="Alef" w:hAnsi="Alef" w:cs="Alef" w:hint="cs"/>
          <w:rtl/>
        </w:rPr>
        <w:t>.</w:t>
      </w:r>
      <w:r w:rsidRPr="00182CB4">
        <w:rPr>
          <w:rFonts w:ascii="Alef" w:hAnsi="Alef" w:cs="Alef"/>
          <w:rtl/>
        </w:rPr>
        <w:t xml:space="preserve"> </w:t>
      </w:r>
    </w:p>
  </w:footnote>
  <w:footnote w:id="29">
    <w:p w14:paraId="67BA23BE" w14:textId="5018DF53" w:rsidR="00956480" w:rsidRPr="00182CB4" w:rsidRDefault="00956480" w:rsidP="00F61E78">
      <w:pPr>
        <w:pStyle w:val="FootnoteText"/>
        <w:rPr>
          <w:rFonts w:ascii="Alef" w:hAnsi="Alef" w:cs="Alef"/>
        </w:rPr>
      </w:pPr>
      <w:r w:rsidRPr="00182CB4">
        <w:rPr>
          <w:rStyle w:val="FootnoteReference"/>
          <w:rFonts w:ascii="Alef" w:hAnsi="Alef" w:cs="Alef"/>
        </w:rPr>
        <w:footnoteRef/>
      </w:r>
      <w:r w:rsidRPr="00182CB4">
        <w:rPr>
          <w:rFonts w:ascii="Alef" w:hAnsi="Alef" w:cs="Alef"/>
          <w:rtl/>
        </w:rPr>
        <w:t xml:space="preserve"> ר' פרוטוקול הועדה לפטורים ולמיזוגים</w:t>
      </w:r>
      <w:r w:rsidR="002F1F8F">
        <w:rPr>
          <w:rFonts w:ascii="Alef" w:hAnsi="Alef" w:cs="Alef" w:hint="cs"/>
          <w:rtl/>
        </w:rPr>
        <w:t>:</w:t>
      </w:r>
      <w:r w:rsidRPr="00182CB4">
        <w:rPr>
          <w:rFonts w:ascii="Alef" w:hAnsi="Alef" w:cs="Alef"/>
          <w:rtl/>
        </w:rPr>
        <w:t xml:space="preserve"> </w:t>
      </w:r>
      <w:hyperlink r:id="rId25" w:history="1">
        <w:r w:rsidRPr="00182CB4">
          <w:rPr>
            <w:rStyle w:val="Hyperlink"/>
            <w:rFonts w:ascii="Alef" w:hAnsi="Alef" w:cs="Alef"/>
          </w:rPr>
          <w:t>https://www.gov.il/BlobFolder/legalinfo/marketingsuppliesabroad/he/legalinformation_protocols_%D7%A4%D7%A8%D7%95%D7%98%D7%95%D7%A7%D7%95%D7%9C%20%D7%A4%D7%98%D7%95%D7%A8%20%D7%A1%D7%95%D7%92%2024-2-2015.pdf</w:t>
        </w:r>
      </w:hyperlink>
      <w:r w:rsidRPr="00182CB4">
        <w:rPr>
          <w:rFonts w:ascii="Alef" w:hAnsi="Alef" w:cs="Alef"/>
          <w:rtl/>
        </w:rPr>
        <w:t xml:space="preserve"> </w:t>
      </w:r>
    </w:p>
  </w:footnote>
  <w:footnote w:id="30">
    <w:p w14:paraId="4DDC6E20" w14:textId="17C7AC4F" w:rsidR="00461D2E" w:rsidRDefault="00461D2E">
      <w:pPr>
        <w:pStyle w:val="FootnoteText"/>
      </w:pPr>
      <w:r>
        <w:rPr>
          <w:rStyle w:val="FootnoteReference"/>
        </w:rPr>
        <w:footnoteRef/>
      </w:r>
      <w:r>
        <w:rPr>
          <w:rtl/>
        </w:rPr>
        <w:t xml:space="preserve"> </w:t>
      </w:r>
      <w:hyperlink r:id="rId26" w:history="1">
        <w:r w:rsidRPr="001150DD">
          <w:rPr>
            <w:rStyle w:val="Hyperlink"/>
          </w:rPr>
          <w:t>https://www.gov.il/he/departments/legalInfo/draftjointloans</w:t>
        </w:r>
      </w:hyperlink>
      <w:r>
        <w:rPr>
          <w:rFonts w:hint="cs"/>
          <w:rtl/>
        </w:rPr>
        <w:t xml:space="preserve"> .</w:t>
      </w:r>
    </w:p>
  </w:footnote>
  <w:footnote w:id="31">
    <w:p w14:paraId="75E05FE7" w14:textId="6DC9EE24" w:rsidR="00D95F4B" w:rsidRDefault="00D95F4B">
      <w:pPr>
        <w:pStyle w:val="FootnoteText"/>
      </w:pPr>
      <w:r>
        <w:rPr>
          <w:rStyle w:val="FootnoteReference"/>
        </w:rPr>
        <w:footnoteRef/>
      </w:r>
      <w:r>
        <w:rPr>
          <w:rtl/>
        </w:rPr>
        <w:t xml:space="preserve"> </w:t>
      </w:r>
      <w:hyperlink r:id="rId27" w:history="1">
        <w:r w:rsidR="00461D2E" w:rsidRPr="001150DD">
          <w:rPr>
            <w:rStyle w:val="Hyperlink"/>
          </w:rPr>
          <w:t>https://www.gov.il/he/departments/legalInfo/opinion317</w:t>
        </w:r>
      </w:hyperlink>
      <w:r w:rsidR="00461D2E">
        <w:rPr>
          <w:rFonts w:hint="cs"/>
          <w:rtl/>
        </w:rPr>
        <w:t xml:space="preserve"> .</w:t>
      </w:r>
    </w:p>
  </w:footnote>
  <w:footnote w:id="32">
    <w:p w14:paraId="445D002E" w14:textId="3C7140F6"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hint="eastAsia"/>
          <w:rtl/>
        </w:rPr>
        <w:t>דו</w:t>
      </w:r>
      <w:r w:rsidRPr="00182CB4">
        <w:rPr>
          <w:rFonts w:ascii="Alef" w:hAnsi="Alef" w:cs="Alef"/>
          <w:rtl/>
        </w:rPr>
        <w:t xml:space="preserve">"ח </w:t>
      </w:r>
      <w:r w:rsidRPr="00182CB4">
        <w:rPr>
          <w:rFonts w:ascii="Alef" w:hAnsi="Alef" w:cs="Alef" w:hint="eastAsia"/>
          <w:rtl/>
        </w:rPr>
        <w:t>הפחתת</w:t>
      </w:r>
      <w:r w:rsidRPr="00182CB4">
        <w:rPr>
          <w:rFonts w:ascii="Alef" w:hAnsi="Alef" w:cs="Alef"/>
          <w:rtl/>
        </w:rPr>
        <w:t xml:space="preserve"> </w:t>
      </w:r>
      <w:r w:rsidRPr="00182CB4">
        <w:rPr>
          <w:rFonts w:ascii="Alef" w:hAnsi="Alef" w:cs="Alef" w:hint="eastAsia"/>
          <w:rtl/>
        </w:rPr>
        <w:t>הנטל</w:t>
      </w:r>
      <w:r w:rsidRPr="00182CB4">
        <w:rPr>
          <w:rFonts w:ascii="Alef" w:hAnsi="Alef" w:cs="Alef"/>
          <w:rtl/>
        </w:rPr>
        <w:t xml:space="preserve"> </w:t>
      </w:r>
      <w:r w:rsidRPr="00182CB4">
        <w:rPr>
          <w:rFonts w:ascii="Alef" w:hAnsi="Alef" w:cs="Alef" w:hint="eastAsia"/>
          <w:rtl/>
        </w:rPr>
        <w:t>של</w:t>
      </w:r>
      <w:r w:rsidRPr="00182CB4">
        <w:rPr>
          <w:rFonts w:ascii="Alef" w:hAnsi="Alef" w:cs="Alef"/>
          <w:rtl/>
        </w:rPr>
        <w:t xml:space="preserve"> </w:t>
      </w:r>
      <w:r w:rsidRPr="00182CB4">
        <w:rPr>
          <w:rFonts w:ascii="Alef" w:hAnsi="Alef" w:cs="Alef" w:hint="eastAsia"/>
          <w:rtl/>
        </w:rPr>
        <w:t>רשות</w:t>
      </w:r>
      <w:r w:rsidRPr="00182CB4">
        <w:rPr>
          <w:rFonts w:ascii="Alef" w:hAnsi="Alef" w:cs="Alef"/>
          <w:rtl/>
        </w:rPr>
        <w:t xml:space="preserve"> </w:t>
      </w:r>
      <w:r w:rsidRPr="00182CB4">
        <w:rPr>
          <w:rFonts w:ascii="Alef" w:hAnsi="Alef" w:cs="Alef" w:hint="eastAsia"/>
          <w:rtl/>
        </w:rPr>
        <w:t>התחרות</w:t>
      </w:r>
      <w:r w:rsidRPr="00182CB4">
        <w:rPr>
          <w:rFonts w:ascii="Alef" w:hAnsi="Alef" w:cs="Alef"/>
          <w:rtl/>
        </w:rPr>
        <w:t xml:space="preserve"> </w:t>
      </w:r>
      <w:r w:rsidRPr="00182CB4">
        <w:rPr>
          <w:rFonts w:ascii="Alef" w:hAnsi="Alef" w:cs="Alef" w:hint="eastAsia"/>
          <w:rtl/>
        </w:rPr>
        <w:t>לשנת</w:t>
      </w:r>
      <w:r w:rsidRPr="00182CB4">
        <w:rPr>
          <w:rFonts w:ascii="Alef" w:hAnsi="Alef" w:cs="Alef"/>
          <w:rtl/>
        </w:rPr>
        <w:t xml:space="preserve"> 2017: </w:t>
      </w:r>
      <w:hyperlink r:id="rId28" w:history="1">
        <w:r w:rsidRPr="00182CB4">
          <w:rPr>
            <w:rStyle w:val="Hyperlink"/>
            <w:rFonts w:ascii="Alef" w:hAnsi="Alef" w:cs="Alef"/>
          </w:rPr>
          <w:t>https://www.regulation.gov.il/uploads/reports/7/Antitrust.pdf</w:t>
        </w:r>
      </w:hyperlink>
      <w:r>
        <w:rPr>
          <w:rFonts w:ascii="Alef" w:hAnsi="Alef" w:cs="Alef" w:hint="cs"/>
          <w:rtl/>
        </w:rPr>
        <w:t>.</w:t>
      </w:r>
      <w:r w:rsidRPr="00182CB4">
        <w:rPr>
          <w:rFonts w:ascii="Alef" w:hAnsi="Alef" w:cs="Alef"/>
          <w:rtl/>
        </w:rPr>
        <w:t xml:space="preserve"> </w:t>
      </w:r>
    </w:p>
  </w:footnote>
  <w:footnote w:id="33">
    <w:p w14:paraId="04835471" w14:textId="34DC7EB1"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hint="eastAsia"/>
          <w:rtl/>
        </w:rPr>
        <w:t>מתוך</w:t>
      </w:r>
      <w:r w:rsidRPr="00182CB4">
        <w:rPr>
          <w:rFonts w:ascii="Alef" w:hAnsi="Alef" w:cs="Alef"/>
          <w:rtl/>
        </w:rPr>
        <w:t xml:space="preserve"> דוח רשות התחרות לשנת 2019, עמ' 19</w:t>
      </w:r>
      <w:r>
        <w:rPr>
          <w:rFonts w:ascii="Alef" w:hAnsi="Alef" w:cs="Alef" w:hint="cs"/>
          <w:rtl/>
        </w:rPr>
        <w:t>:</w:t>
      </w:r>
      <w:r w:rsidRPr="00182CB4">
        <w:rPr>
          <w:rFonts w:ascii="Alef" w:hAnsi="Alef" w:cs="Alef"/>
          <w:rtl/>
        </w:rPr>
        <w:t xml:space="preserve"> </w:t>
      </w:r>
      <w:hyperlink r:id="rId29" w:history="1">
        <w:r w:rsidRPr="00182CB4">
          <w:rPr>
            <w:rStyle w:val="Hyperlink"/>
            <w:rFonts w:ascii="Alef" w:hAnsi="Alef" w:cs="Alef"/>
          </w:rPr>
          <w:t>https://www.gov.il/BlobFolder/reports/annualreport2019/he/publications_rashut%20hatacharut_2019_nagish-.pdf</w:t>
        </w:r>
      </w:hyperlink>
      <w:r w:rsidRPr="00182CB4">
        <w:rPr>
          <w:rFonts w:ascii="Alef" w:hAnsi="Alef" w:cs="Alef"/>
          <w:rtl/>
        </w:rPr>
        <w:t xml:space="preserve"> </w:t>
      </w:r>
    </w:p>
  </w:footnote>
  <w:footnote w:id="34">
    <w:p w14:paraId="6213DABB" w14:textId="04AB9863" w:rsidR="00956480" w:rsidRPr="00182CB4" w:rsidRDefault="00956480" w:rsidP="00ED1B55">
      <w:pPr>
        <w:pStyle w:val="FootnoteText"/>
        <w:jc w:val="both"/>
        <w:rPr>
          <w:rFonts w:ascii="Alef" w:hAnsi="Alef" w:cs="Alef"/>
        </w:rPr>
      </w:pPr>
      <w:r w:rsidRPr="00182CB4">
        <w:rPr>
          <w:rStyle w:val="FootnoteReference"/>
          <w:rFonts w:ascii="Alef" w:hAnsi="Alef" w:cs="Alef"/>
        </w:rPr>
        <w:footnoteRef/>
      </w:r>
      <w:r w:rsidRPr="00182CB4">
        <w:rPr>
          <w:rFonts w:ascii="Alef" w:hAnsi="Alef" w:cs="Alef"/>
          <w:rtl/>
        </w:rPr>
        <w:t xml:space="preserve"> </w:t>
      </w:r>
      <w:hyperlink r:id="rId30" w:history="1">
        <w:r w:rsidRPr="00182CB4">
          <w:rPr>
            <w:rStyle w:val="Hyperlink"/>
            <w:rFonts w:ascii="Alef" w:hAnsi="Alef" w:cs="Alef"/>
          </w:rPr>
          <w:t>https://www.gov.il/he/departments/publications/Call_for_bids/joinloansrenew</w:t>
        </w:r>
      </w:hyperlink>
      <w:r>
        <w:rPr>
          <w:rFonts w:ascii="Alef" w:hAnsi="Alef" w:cs="Alef" w:hint="cs"/>
          <w:rtl/>
        </w:rPr>
        <w:t>.</w:t>
      </w:r>
      <w:r w:rsidRPr="00182CB4">
        <w:rPr>
          <w:rFonts w:ascii="Alef" w:hAnsi="Alef" w:cs="Alef"/>
          <w:rtl/>
        </w:rPr>
        <w:t xml:space="preserve"> </w:t>
      </w:r>
    </w:p>
  </w:footnote>
  <w:footnote w:id="35">
    <w:p w14:paraId="09241F91" w14:textId="7E42FDA5" w:rsidR="00956480" w:rsidRPr="00182CB4" w:rsidRDefault="00956480" w:rsidP="007D1BE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hyperlink r:id="rId31" w:history="1">
        <w:r w:rsidRPr="00182CB4">
          <w:rPr>
            <w:rStyle w:val="Hyperlink"/>
            <w:rFonts w:ascii="Alef" w:hAnsi="Alef" w:cs="Alef"/>
          </w:rPr>
          <w:t>https://www.gov.il/he/departments/publications/Call_for_bids/jointventures2021</w:t>
        </w:r>
      </w:hyperlink>
      <w:r>
        <w:rPr>
          <w:rFonts w:ascii="Alef" w:hAnsi="Alef" w:cs="Alef" w:hint="cs"/>
          <w:rtl/>
        </w:rPr>
        <w:t>.</w:t>
      </w:r>
      <w:r w:rsidRPr="00182CB4">
        <w:rPr>
          <w:rFonts w:ascii="Alef" w:hAnsi="Alef" w:cs="Alef"/>
          <w:rtl/>
        </w:rPr>
        <w:t xml:space="preserve"> </w:t>
      </w:r>
    </w:p>
  </w:footnote>
  <w:footnote w:id="36">
    <w:p w14:paraId="10313A25" w14:textId="2A38D5CC" w:rsidR="00956480" w:rsidRPr="00182CB4" w:rsidRDefault="00956480">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hint="eastAsia"/>
          <w:rtl/>
        </w:rPr>
        <w:t>ר</w:t>
      </w:r>
      <w:r w:rsidRPr="00182CB4">
        <w:rPr>
          <w:rFonts w:ascii="Alef" w:hAnsi="Alef" w:cs="Alef"/>
          <w:rtl/>
        </w:rPr>
        <w:t xml:space="preserve">' עמ' 20- 21 לדוח מסכם – הפחתת הנטל הרגולטורי לשנת 2018. </w:t>
      </w:r>
    </w:p>
    <w:p w14:paraId="616EB412" w14:textId="7A0FABDF" w:rsidR="00956480" w:rsidRPr="00182CB4" w:rsidRDefault="008724C0">
      <w:pPr>
        <w:pStyle w:val="FootnoteText"/>
        <w:rPr>
          <w:rFonts w:ascii="Alef" w:hAnsi="Alef" w:cs="Alef"/>
          <w:rtl/>
        </w:rPr>
      </w:pPr>
      <w:hyperlink r:id="rId32" w:history="1">
        <w:r w:rsidR="00956480" w:rsidRPr="00182CB4">
          <w:rPr>
            <w:rStyle w:val="Hyperlink"/>
            <w:rFonts w:ascii="Alef" w:hAnsi="Alef" w:cs="Alef"/>
          </w:rPr>
          <w:t>https://regulation.gov.il/uploads/reports/7/Antitrust_Mergers_Restrictive_Arrangements_and_Electricity.pdf</w:t>
        </w:r>
      </w:hyperlink>
      <w:r w:rsidR="00956480" w:rsidRPr="00182CB4">
        <w:rPr>
          <w:rFonts w:ascii="Alef" w:hAnsi="Alef" w:cs="Alef"/>
          <w:rtl/>
        </w:rPr>
        <w:t xml:space="preserve"> </w:t>
      </w:r>
    </w:p>
  </w:footnote>
  <w:footnote w:id="37">
    <w:p w14:paraId="0162D2B9" w14:textId="77777777" w:rsidR="00956480" w:rsidRDefault="00956480" w:rsidP="00182CB4">
      <w:pPr>
        <w:pStyle w:val="FootnoteText"/>
        <w:jc w:val="both"/>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hint="eastAsia"/>
          <w:rtl/>
        </w:rPr>
        <w:t>דברי</w:t>
      </w:r>
      <w:r w:rsidRPr="00182CB4">
        <w:rPr>
          <w:rFonts w:ascii="Alef" w:hAnsi="Alef" w:cs="Alef"/>
          <w:rtl/>
        </w:rPr>
        <w:t xml:space="preserve"> הסבר לכללי ההגבלים העסקיים (פטור סוג להסדרים שאינם אופקיים ואין בהם כבילות מחיר מסוימות) (תיקון), התשע"ח-2018</w:t>
      </w:r>
      <w:r>
        <w:rPr>
          <w:rFonts w:ascii="Alef" w:hAnsi="Alef" w:cs="Alef" w:hint="cs"/>
          <w:rtl/>
        </w:rPr>
        <w:t>:</w:t>
      </w:r>
    </w:p>
    <w:p w14:paraId="32AD8160" w14:textId="1AD80755" w:rsidR="00956480" w:rsidRPr="00182CB4" w:rsidRDefault="008724C0" w:rsidP="00182CB4">
      <w:pPr>
        <w:pStyle w:val="FootnoteText"/>
        <w:jc w:val="both"/>
        <w:rPr>
          <w:rFonts w:ascii="Alef" w:hAnsi="Alef" w:cs="Alef"/>
        </w:rPr>
      </w:pPr>
      <w:hyperlink r:id="rId33" w:history="1">
        <w:r w:rsidR="00956480" w:rsidRPr="00182CB4">
          <w:rPr>
            <w:rStyle w:val="Hyperlink"/>
            <w:rFonts w:ascii="Alef" w:hAnsi="Alef" w:cs="Alef"/>
          </w:rPr>
          <w:t>https://www.gov.il/BlobFolder/legalinfo/dvreyhesberexempt0718/he/legalinformation_%D7%AA%D7%99%D7%A7%D7%95%D7%9F%20%D7%A4%D7%98%D7%95%D7%A8%20%D7%90%D7%A0%D7%9B%D7%99%20%D7%93%D7%91%D7%A8%D7%99%20%D7%94%D7%A1%D7%91%D7%A8.pdf</w:t>
        </w:r>
      </w:hyperlink>
      <w:r w:rsidR="00956480" w:rsidRPr="00182CB4">
        <w:rPr>
          <w:rFonts w:ascii="Alef" w:hAnsi="Alef" w:cs="Alef"/>
          <w:rtl/>
        </w:rPr>
        <w:t xml:space="preserve"> </w:t>
      </w:r>
    </w:p>
  </w:footnote>
  <w:footnote w:id="38">
    <w:p w14:paraId="6771F3E1" w14:textId="6DAA9509" w:rsidR="00A3771D" w:rsidRDefault="00A3771D" w:rsidP="00A3771D">
      <w:pPr>
        <w:pStyle w:val="FootnoteText"/>
        <w:jc w:val="both"/>
      </w:pPr>
      <w:r>
        <w:rPr>
          <w:rStyle w:val="FootnoteReference"/>
        </w:rPr>
        <w:footnoteRef/>
      </w:r>
      <w:r>
        <w:rPr>
          <w:rtl/>
        </w:rPr>
        <w:t xml:space="preserve"> </w:t>
      </w:r>
      <w:r w:rsidRPr="00F50D13">
        <w:rPr>
          <w:rFonts w:ascii="Alef" w:hAnsi="Alef" w:cs="Alef" w:hint="cs"/>
          <w:rtl/>
        </w:rPr>
        <w:t>פטור הסוג השלים את הפטור הסטטוטורי הקבוע בסעיף 3(5) לחוק העוסק בהסדר שהצדדים לו הם חברה וחברת בת שלה. פטור הסוג נועד לטפל בהסדרים פנים-</w:t>
      </w:r>
      <w:proofErr w:type="spellStart"/>
      <w:r w:rsidRPr="00F50D13">
        <w:rPr>
          <w:rFonts w:ascii="Alef" w:hAnsi="Alef" w:cs="Alef" w:hint="cs"/>
          <w:rtl/>
        </w:rPr>
        <w:t>קונצרניים</w:t>
      </w:r>
      <w:proofErr w:type="spellEnd"/>
      <w:r w:rsidRPr="00F50D13">
        <w:rPr>
          <w:rFonts w:ascii="Alef" w:hAnsi="Alef" w:cs="Alef" w:hint="cs"/>
          <w:rtl/>
        </w:rPr>
        <w:t xml:space="preserve"> בתוך אשכול חברות ומשקף את ההבנה כי פעילות החברות בקונצרן שלו בעל שליטה מוכתבת על ידי בעל השליטה כך שמהותית מדובר ביחידה כלכלית אחת.</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50FA"/>
    <w:multiLevelType w:val="hybridMultilevel"/>
    <w:tmpl w:val="D75C7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14D2"/>
    <w:multiLevelType w:val="hybridMultilevel"/>
    <w:tmpl w:val="7FD2F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A1CFD"/>
    <w:multiLevelType w:val="hybridMultilevel"/>
    <w:tmpl w:val="579A22D2"/>
    <w:lvl w:ilvl="0" w:tplc="4D761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1D5D31F7"/>
    <w:multiLevelType w:val="hybridMultilevel"/>
    <w:tmpl w:val="931E7CF2"/>
    <w:lvl w:ilvl="0" w:tplc="23AE44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25E5A"/>
    <w:multiLevelType w:val="hybridMultilevel"/>
    <w:tmpl w:val="4E0EC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7" w15:restartNumberingAfterBreak="0">
    <w:nsid w:val="28A7464D"/>
    <w:multiLevelType w:val="hybridMultilevel"/>
    <w:tmpl w:val="602E3D58"/>
    <w:lvl w:ilvl="0" w:tplc="D06A012C">
      <w:start w:val="1"/>
      <w:numFmt w:val="decimal"/>
      <w:lvlText w:val="(%1)"/>
      <w:lvlJc w:val="left"/>
      <w:pPr>
        <w:ind w:left="121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61FDD"/>
    <w:multiLevelType w:val="hybridMultilevel"/>
    <w:tmpl w:val="35CC40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460074"/>
    <w:multiLevelType w:val="hybridMultilevel"/>
    <w:tmpl w:val="3DF67DDE"/>
    <w:lvl w:ilvl="0" w:tplc="CAE0880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1"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2" w15:restartNumberingAfterBreak="0">
    <w:nsid w:val="359D774E"/>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F38EB"/>
    <w:multiLevelType w:val="hybridMultilevel"/>
    <w:tmpl w:val="C3005D28"/>
    <w:lvl w:ilvl="0" w:tplc="73B8B36C">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37B4"/>
    <w:multiLevelType w:val="hybridMultilevel"/>
    <w:tmpl w:val="FA4A962A"/>
    <w:lvl w:ilvl="0" w:tplc="32B835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63119"/>
    <w:multiLevelType w:val="hybridMultilevel"/>
    <w:tmpl w:val="561E24C4"/>
    <w:lvl w:ilvl="0" w:tplc="FDDA5B50">
      <w:start w:val="1"/>
      <w:numFmt w:val="decimal"/>
      <w:lvlText w:val="%1."/>
      <w:lvlJc w:val="left"/>
      <w:pPr>
        <w:ind w:left="360" w:hanging="360"/>
      </w:pPr>
      <w:rPr>
        <w:rFonts w:hint="default"/>
        <w:sz w:val="24"/>
      </w:rPr>
    </w:lvl>
    <w:lvl w:ilvl="1" w:tplc="53AA297C">
      <w:start w:val="1"/>
      <w:numFmt w:val="hebrew1"/>
      <w:lvlText w:val="(%2)"/>
      <w:lvlJc w:val="left"/>
      <w:pPr>
        <w:ind w:left="786" w:hanging="360"/>
      </w:pPr>
      <w:rPr>
        <w:rFonts w:ascii="Times New Roman" w:eastAsia="Times New Roman" w:hAnsi="Times New Roman" w:cs="David"/>
        <w:lang w:bidi="he-I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A7EAC"/>
    <w:multiLevelType w:val="hybridMultilevel"/>
    <w:tmpl w:val="43F47BB0"/>
    <w:lvl w:ilvl="0" w:tplc="7FEE75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A1C3E"/>
    <w:multiLevelType w:val="hybridMultilevel"/>
    <w:tmpl w:val="5A0264E8"/>
    <w:lvl w:ilvl="0" w:tplc="358A808E">
      <w:start w:val="1"/>
      <w:numFmt w:val="hebrew1"/>
      <w:lvlText w:val="%1."/>
      <w:lvlJc w:val="left"/>
      <w:pPr>
        <w:ind w:left="644" w:hanging="360"/>
      </w:pPr>
      <w:rPr>
        <w:rFonts w:cs="David"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AA5CC4"/>
    <w:multiLevelType w:val="hybridMultilevel"/>
    <w:tmpl w:val="4ECA0746"/>
    <w:lvl w:ilvl="0" w:tplc="C12C6B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F253F"/>
    <w:multiLevelType w:val="hybridMultilevel"/>
    <w:tmpl w:val="BA96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18256E"/>
    <w:multiLevelType w:val="hybridMultilevel"/>
    <w:tmpl w:val="7ED0629A"/>
    <w:lvl w:ilvl="0" w:tplc="402C5B52">
      <w:start w:val="1"/>
      <w:numFmt w:val="hebrew1"/>
      <w:lvlText w:val="%1."/>
      <w:lvlJc w:val="left"/>
      <w:pPr>
        <w:ind w:left="644" w:hanging="360"/>
      </w:pPr>
      <w:rPr>
        <w:rFonts w:hint="default"/>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0171B5"/>
    <w:multiLevelType w:val="hybridMultilevel"/>
    <w:tmpl w:val="759A1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064EE"/>
    <w:multiLevelType w:val="hybridMultilevel"/>
    <w:tmpl w:val="7F50B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71B5C"/>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F230F"/>
    <w:multiLevelType w:val="hybridMultilevel"/>
    <w:tmpl w:val="C3809876"/>
    <w:lvl w:ilvl="0" w:tplc="53AA297C">
      <w:start w:val="1"/>
      <w:numFmt w:val="hebrew1"/>
      <w:lvlText w:val="(%1)"/>
      <w:lvlJc w:val="left"/>
      <w:pPr>
        <w:ind w:left="972" w:hanging="405"/>
      </w:pPr>
      <w:rPr>
        <w:rFonts w:ascii="Times New Roman" w:eastAsia="Times New Roman" w:hAnsi="Times New Roman" w:cs="David"/>
        <w:lang w:bidi="he-I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B2F5A9D"/>
    <w:multiLevelType w:val="hybridMultilevel"/>
    <w:tmpl w:val="15EA362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642375"/>
    <w:multiLevelType w:val="hybridMultilevel"/>
    <w:tmpl w:val="8C2258CE"/>
    <w:lvl w:ilvl="0" w:tplc="80523A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37F28"/>
    <w:multiLevelType w:val="hybridMultilevel"/>
    <w:tmpl w:val="10FE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835A3"/>
    <w:multiLevelType w:val="hybridMultilevel"/>
    <w:tmpl w:val="1F184B2E"/>
    <w:lvl w:ilvl="0" w:tplc="B2002148">
      <w:start w:val="31"/>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12"/>
  </w:num>
  <w:num w:numId="4">
    <w:abstractNumId w:val="5"/>
  </w:num>
  <w:num w:numId="5">
    <w:abstractNumId w:val="21"/>
  </w:num>
  <w:num w:numId="6">
    <w:abstractNumId w:val="23"/>
  </w:num>
  <w:num w:numId="7">
    <w:abstractNumId w:val="22"/>
  </w:num>
  <w:num w:numId="8">
    <w:abstractNumId w:val="0"/>
  </w:num>
  <w:num w:numId="9">
    <w:abstractNumId w:val="18"/>
  </w:num>
  <w:num w:numId="10">
    <w:abstractNumId w:val="19"/>
  </w:num>
  <w:num w:numId="11">
    <w:abstractNumId w:val="26"/>
  </w:num>
  <w:num w:numId="12">
    <w:abstractNumId w:val="10"/>
  </w:num>
  <w:num w:numId="13">
    <w:abstractNumId w:val="11"/>
  </w:num>
  <w:num w:numId="14">
    <w:abstractNumId w:val="2"/>
  </w:num>
  <w:num w:numId="15">
    <w:abstractNumId w:val="4"/>
  </w:num>
  <w:num w:numId="16">
    <w:abstractNumId w:val="20"/>
  </w:num>
  <w:num w:numId="17">
    <w:abstractNumId w:val="24"/>
  </w:num>
  <w:num w:numId="18">
    <w:abstractNumId w:val="17"/>
  </w:num>
  <w:num w:numId="19">
    <w:abstractNumId w:val="3"/>
  </w:num>
  <w:num w:numId="20">
    <w:abstractNumId w:val="6"/>
  </w:num>
  <w:num w:numId="21">
    <w:abstractNumId w:val="25"/>
  </w:num>
  <w:num w:numId="22">
    <w:abstractNumId w:val="15"/>
  </w:num>
  <w:num w:numId="23">
    <w:abstractNumId w:val="9"/>
  </w:num>
  <w:num w:numId="24">
    <w:abstractNumId w:val="7"/>
  </w:num>
  <w:num w:numId="25">
    <w:abstractNumId w:val="27"/>
  </w:num>
  <w:num w:numId="26">
    <w:abstractNumId w:val="13"/>
  </w:num>
  <w:num w:numId="27">
    <w:abstractNumId w:val="8"/>
  </w:num>
  <w:num w:numId="28">
    <w:abstractNumId w:val="14"/>
  </w:num>
  <w:num w:numId="29">
    <w:abstractNumId w:val="16"/>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A57"/>
    <w:rsid w:val="0000180E"/>
    <w:rsid w:val="0000413F"/>
    <w:rsid w:val="000129C6"/>
    <w:rsid w:val="00014E64"/>
    <w:rsid w:val="00021C61"/>
    <w:rsid w:val="000223F8"/>
    <w:rsid w:val="00026985"/>
    <w:rsid w:val="000305C4"/>
    <w:rsid w:val="00043A48"/>
    <w:rsid w:val="000441F5"/>
    <w:rsid w:val="000467B1"/>
    <w:rsid w:val="00052B72"/>
    <w:rsid w:val="00056C8E"/>
    <w:rsid w:val="00065CE1"/>
    <w:rsid w:val="000709CA"/>
    <w:rsid w:val="00071B01"/>
    <w:rsid w:val="000732A5"/>
    <w:rsid w:val="0007587D"/>
    <w:rsid w:val="00082E6D"/>
    <w:rsid w:val="000845A6"/>
    <w:rsid w:val="00091AA6"/>
    <w:rsid w:val="000937D8"/>
    <w:rsid w:val="000A3601"/>
    <w:rsid w:val="000B306E"/>
    <w:rsid w:val="000C6793"/>
    <w:rsid w:val="000D5CAB"/>
    <w:rsid w:val="000E270D"/>
    <w:rsid w:val="000E3DD3"/>
    <w:rsid w:val="000F437E"/>
    <w:rsid w:val="000F5C65"/>
    <w:rsid w:val="00107935"/>
    <w:rsid w:val="00114077"/>
    <w:rsid w:val="001142AB"/>
    <w:rsid w:val="0013063F"/>
    <w:rsid w:val="00132070"/>
    <w:rsid w:val="00137B4E"/>
    <w:rsid w:val="00142F23"/>
    <w:rsid w:val="00143A88"/>
    <w:rsid w:val="00150EDA"/>
    <w:rsid w:val="00154299"/>
    <w:rsid w:val="0016149B"/>
    <w:rsid w:val="00167190"/>
    <w:rsid w:val="00167748"/>
    <w:rsid w:val="00182CB4"/>
    <w:rsid w:val="0018651A"/>
    <w:rsid w:val="00190C23"/>
    <w:rsid w:val="001A2B54"/>
    <w:rsid w:val="001B1C60"/>
    <w:rsid w:val="001C105B"/>
    <w:rsid w:val="001C2A21"/>
    <w:rsid w:val="001C6C97"/>
    <w:rsid w:val="001C6D24"/>
    <w:rsid w:val="001D74FE"/>
    <w:rsid w:val="001E46CF"/>
    <w:rsid w:val="001E7160"/>
    <w:rsid w:val="001F4831"/>
    <w:rsid w:val="001F6B73"/>
    <w:rsid w:val="00204C75"/>
    <w:rsid w:val="00205561"/>
    <w:rsid w:val="002075CA"/>
    <w:rsid w:val="00213D04"/>
    <w:rsid w:val="00216872"/>
    <w:rsid w:val="00220C93"/>
    <w:rsid w:val="00221548"/>
    <w:rsid w:val="002219A9"/>
    <w:rsid w:val="00232123"/>
    <w:rsid w:val="0024504B"/>
    <w:rsid w:val="0024571C"/>
    <w:rsid w:val="0026022C"/>
    <w:rsid w:val="00260816"/>
    <w:rsid w:val="00270022"/>
    <w:rsid w:val="002766C7"/>
    <w:rsid w:val="0028076F"/>
    <w:rsid w:val="00280A06"/>
    <w:rsid w:val="00286E91"/>
    <w:rsid w:val="0029083E"/>
    <w:rsid w:val="002A5369"/>
    <w:rsid w:val="002B046F"/>
    <w:rsid w:val="002B11D0"/>
    <w:rsid w:val="002B4F03"/>
    <w:rsid w:val="002B4FE7"/>
    <w:rsid w:val="002B51C5"/>
    <w:rsid w:val="002B52C4"/>
    <w:rsid w:val="002C1A8F"/>
    <w:rsid w:val="002C6671"/>
    <w:rsid w:val="002C6684"/>
    <w:rsid w:val="002D5208"/>
    <w:rsid w:val="002D675B"/>
    <w:rsid w:val="002F1F8F"/>
    <w:rsid w:val="002F20AA"/>
    <w:rsid w:val="002F2C0A"/>
    <w:rsid w:val="002F44B4"/>
    <w:rsid w:val="003006EB"/>
    <w:rsid w:val="00302569"/>
    <w:rsid w:val="00305530"/>
    <w:rsid w:val="00310ABA"/>
    <w:rsid w:val="00313429"/>
    <w:rsid w:val="003301DC"/>
    <w:rsid w:val="00330202"/>
    <w:rsid w:val="00332197"/>
    <w:rsid w:val="00335081"/>
    <w:rsid w:val="00346427"/>
    <w:rsid w:val="00360584"/>
    <w:rsid w:val="00372ABB"/>
    <w:rsid w:val="00373936"/>
    <w:rsid w:val="0038796C"/>
    <w:rsid w:val="0039368B"/>
    <w:rsid w:val="0039651B"/>
    <w:rsid w:val="003A218C"/>
    <w:rsid w:val="003A3A8F"/>
    <w:rsid w:val="003A6EEE"/>
    <w:rsid w:val="003B5968"/>
    <w:rsid w:val="003D596A"/>
    <w:rsid w:val="003E1775"/>
    <w:rsid w:val="003E1B21"/>
    <w:rsid w:val="003F3817"/>
    <w:rsid w:val="003F58D8"/>
    <w:rsid w:val="003F680A"/>
    <w:rsid w:val="00402524"/>
    <w:rsid w:val="00426664"/>
    <w:rsid w:val="00433753"/>
    <w:rsid w:val="00445CB1"/>
    <w:rsid w:val="0045002A"/>
    <w:rsid w:val="004558B0"/>
    <w:rsid w:val="00455D51"/>
    <w:rsid w:val="00456976"/>
    <w:rsid w:val="00461D2E"/>
    <w:rsid w:val="0047055F"/>
    <w:rsid w:val="0047126A"/>
    <w:rsid w:val="00471B17"/>
    <w:rsid w:val="004944A0"/>
    <w:rsid w:val="004947B8"/>
    <w:rsid w:val="004B05B1"/>
    <w:rsid w:val="004B7F6D"/>
    <w:rsid w:val="004C4C55"/>
    <w:rsid w:val="004D32ED"/>
    <w:rsid w:val="004D493D"/>
    <w:rsid w:val="004D5223"/>
    <w:rsid w:val="004E7107"/>
    <w:rsid w:val="004F4336"/>
    <w:rsid w:val="00505206"/>
    <w:rsid w:val="00511502"/>
    <w:rsid w:val="0051167E"/>
    <w:rsid w:val="00512982"/>
    <w:rsid w:val="00512DE0"/>
    <w:rsid w:val="00531212"/>
    <w:rsid w:val="005321B0"/>
    <w:rsid w:val="00532DBD"/>
    <w:rsid w:val="00542611"/>
    <w:rsid w:val="0056628D"/>
    <w:rsid w:val="005779B1"/>
    <w:rsid w:val="00581934"/>
    <w:rsid w:val="00586554"/>
    <w:rsid w:val="005873E0"/>
    <w:rsid w:val="00591ED3"/>
    <w:rsid w:val="005A0F90"/>
    <w:rsid w:val="005A2565"/>
    <w:rsid w:val="005B4B0E"/>
    <w:rsid w:val="005B6B94"/>
    <w:rsid w:val="005C33B4"/>
    <w:rsid w:val="005C7081"/>
    <w:rsid w:val="005D02D2"/>
    <w:rsid w:val="005D3F69"/>
    <w:rsid w:val="005D4C40"/>
    <w:rsid w:val="005D66C5"/>
    <w:rsid w:val="005E137D"/>
    <w:rsid w:val="005E47FA"/>
    <w:rsid w:val="005F06F7"/>
    <w:rsid w:val="005F252E"/>
    <w:rsid w:val="005F48F8"/>
    <w:rsid w:val="005F64EF"/>
    <w:rsid w:val="005F6D45"/>
    <w:rsid w:val="00603857"/>
    <w:rsid w:val="006071EC"/>
    <w:rsid w:val="00611747"/>
    <w:rsid w:val="006202AF"/>
    <w:rsid w:val="00621DD3"/>
    <w:rsid w:val="00622471"/>
    <w:rsid w:val="0063139D"/>
    <w:rsid w:val="00636CFA"/>
    <w:rsid w:val="006439A8"/>
    <w:rsid w:val="006459FB"/>
    <w:rsid w:val="00647861"/>
    <w:rsid w:val="00647AE5"/>
    <w:rsid w:val="00654373"/>
    <w:rsid w:val="006570DA"/>
    <w:rsid w:val="006657E9"/>
    <w:rsid w:val="006836B8"/>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712C46"/>
    <w:rsid w:val="00713530"/>
    <w:rsid w:val="0071519D"/>
    <w:rsid w:val="00721DD6"/>
    <w:rsid w:val="00722670"/>
    <w:rsid w:val="007252C0"/>
    <w:rsid w:val="0072677E"/>
    <w:rsid w:val="00731094"/>
    <w:rsid w:val="00731386"/>
    <w:rsid w:val="00732CD6"/>
    <w:rsid w:val="00743387"/>
    <w:rsid w:val="00746A72"/>
    <w:rsid w:val="00764989"/>
    <w:rsid w:val="00765735"/>
    <w:rsid w:val="00771D80"/>
    <w:rsid w:val="007744CB"/>
    <w:rsid w:val="00774EFA"/>
    <w:rsid w:val="00786C6B"/>
    <w:rsid w:val="007873F7"/>
    <w:rsid w:val="00791750"/>
    <w:rsid w:val="007927D5"/>
    <w:rsid w:val="007A4FCC"/>
    <w:rsid w:val="007A551F"/>
    <w:rsid w:val="007A7CF6"/>
    <w:rsid w:val="007B4805"/>
    <w:rsid w:val="007B69E1"/>
    <w:rsid w:val="007C0570"/>
    <w:rsid w:val="007D1BE0"/>
    <w:rsid w:val="007D6EBF"/>
    <w:rsid w:val="007E1414"/>
    <w:rsid w:val="007E79C3"/>
    <w:rsid w:val="007F09FA"/>
    <w:rsid w:val="007F0B3A"/>
    <w:rsid w:val="007F660A"/>
    <w:rsid w:val="007F6BB4"/>
    <w:rsid w:val="008020D7"/>
    <w:rsid w:val="00802F2C"/>
    <w:rsid w:val="00803B4E"/>
    <w:rsid w:val="00810FC2"/>
    <w:rsid w:val="00813883"/>
    <w:rsid w:val="00814DA3"/>
    <w:rsid w:val="008178EA"/>
    <w:rsid w:val="00831866"/>
    <w:rsid w:val="00831A64"/>
    <w:rsid w:val="00836BA9"/>
    <w:rsid w:val="00860989"/>
    <w:rsid w:val="008724C0"/>
    <w:rsid w:val="00872F91"/>
    <w:rsid w:val="008745B5"/>
    <w:rsid w:val="00880657"/>
    <w:rsid w:val="00880941"/>
    <w:rsid w:val="00886ACD"/>
    <w:rsid w:val="008915B9"/>
    <w:rsid w:val="00893B61"/>
    <w:rsid w:val="00896341"/>
    <w:rsid w:val="008C0528"/>
    <w:rsid w:val="008C0E3C"/>
    <w:rsid w:val="008C5431"/>
    <w:rsid w:val="008C545F"/>
    <w:rsid w:val="008C5932"/>
    <w:rsid w:val="008D18BD"/>
    <w:rsid w:val="008D718B"/>
    <w:rsid w:val="008E1085"/>
    <w:rsid w:val="008E1482"/>
    <w:rsid w:val="008E7898"/>
    <w:rsid w:val="008F0A68"/>
    <w:rsid w:val="008F0E1E"/>
    <w:rsid w:val="008F6773"/>
    <w:rsid w:val="00902859"/>
    <w:rsid w:val="00904D63"/>
    <w:rsid w:val="00907018"/>
    <w:rsid w:val="00910529"/>
    <w:rsid w:val="0091318C"/>
    <w:rsid w:val="00920428"/>
    <w:rsid w:val="00926521"/>
    <w:rsid w:val="00935E10"/>
    <w:rsid w:val="00940DDB"/>
    <w:rsid w:val="009437CC"/>
    <w:rsid w:val="00945FF4"/>
    <w:rsid w:val="00956480"/>
    <w:rsid w:val="00963C7D"/>
    <w:rsid w:val="00972B6E"/>
    <w:rsid w:val="00997AAC"/>
    <w:rsid w:val="009A2163"/>
    <w:rsid w:val="009A4444"/>
    <w:rsid w:val="009A4950"/>
    <w:rsid w:val="009A71A3"/>
    <w:rsid w:val="009D2B80"/>
    <w:rsid w:val="00A047EF"/>
    <w:rsid w:val="00A0631A"/>
    <w:rsid w:val="00A20298"/>
    <w:rsid w:val="00A306E0"/>
    <w:rsid w:val="00A31AE2"/>
    <w:rsid w:val="00A356B6"/>
    <w:rsid w:val="00A3771D"/>
    <w:rsid w:val="00A41C8A"/>
    <w:rsid w:val="00A466CC"/>
    <w:rsid w:val="00A533FA"/>
    <w:rsid w:val="00A54924"/>
    <w:rsid w:val="00A644A0"/>
    <w:rsid w:val="00A64B69"/>
    <w:rsid w:val="00A67566"/>
    <w:rsid w:val="00A83BCD"/>
    <w:rsid w:val="00A86BF9"/>
    <w:rsid w:val="00A927A9"/>
    <w:rsid w:val="00A9531A"/>
    <w:rsid w:val="00AA0380"/>
    <w:rsid w:val="00AA1D91"/>
    <w:rsid w:val="00AA327E"/>
    <w:rsid w:val="00AB0FBD"/>
    <w:rsid w:val="00AC5AC9"/>
    <w:rsid w:val="00AD7865"/>
    <w:rsid w:val="00AD7FDF"/>
    <w:rsid w:val="00AE0B2B"/>
    <w:rsid w:val="00AE273F"/>
    <w:rsid w:val="00AF0911"/>
    <w:rsid w:val="00AF6BE5"/>
    <w:rsid w:val="00B02855"/>
    <w:rsid w:val="00B02882"/>
    <w:rsid w:val="00B152CE"/>
    <w:rsid w:val="00B16430"/>
    <w:rsid w:val="00B167F4"/>
    <w:rsid w:val="00B53B58"/>
    <w:rsid w:val="00B64B2E"/>
    <w:rsid w:val="00B675D2"/>
    <w:rsid w:val="00B675F7"/>
    <w:rsid w:val="00B676B4"/>
    <w:rsid w:val="00B83638"/>
    <w:rsid w:val="00B90933"/>
    <w:rsid w:val="00B96E31"/>
    <w:rsid w:val="00B97063"/>
    <w:rsid w:val="00BA0692"/>
    <w:rsid w:val="00BA1B2C"/>
    <w:rsid w:val="00BA3BF5"/>
    <w:rsid w:val="00BA5AA4"/>
    <w:rsid w:val="00BA63B1"/>
    <w:rsid w:val="00BB5BA1"/>
    <w:rsid w:val="00BB6C2A"/>
    <w:rsid w:val="00BC4B60"/>
    <w:rsid w:val="00C048CA"/>
    <w:rsid w:val="00C05B42"/>
    <w:rsid w:val="00C070E4"/>
    <w:rsid w:val="00C170FF"/>
    <w:rsid w:val="00C22885"/>
    <w:rsid w:val="00C25C6C"/>
    <w:rsid w:val="00C2695E"/>
    <w:rsid w:val="00C26C1E"/>
    <w:rsid w:val="00C36D21"/>
    <w:rsid w:val="00C52A14"/>
    <w:rsid w:val="00C53382"/>
    <w:rsid w:val="00C53733"/>
    <w:rsid w:val="00C554AD"/>
    <w:rsid w:val="00C569F5"/>
    <w:rsid w:val="00C61811"/>
    <w:rsid w:val="00C71109"/>
    <w:rsid w:val="00C71FDE"/>
    <w:rsid w:val="00C77733"/>
    <w:rsid w:val="00C8258A"/>
    <w:rsid w:val="00C855EC"/>
    <w:rsid w:val="00C93913"/>
    <w:rsid w:val="00CA0BE6"/>
    <w:rsid w:val="00CA3A12"/>
    <w:rsid w:val="00CA5E4B"/>
    <w:rsid w:val="00CA705C"/>
    <w:rsid w:val="00CB3562"/>
    <w:rsid w:val="00CB3D51"/>
    <w:rsid w:val="00CB761A"/>
    <w:rsid w:val="00CD3A2B"/>
    <w:rsid w:val="00CD4A33"/>
    <w:rsid w:val="00CD7484"/>
    <w:rsid w:val="00CE4129"/>
    <w:rsid w:val="00CE4DDF"/>
    <w:rsid w:val="00CF3ED3"/>
    <w:rsid w:val="00D033F5"/>
    <w:rsid w:val="00D044C3"/>
    <w:rsid w:val="00D05EFC"/>
    <w:rsid w:val="00D70A8D"/>
    <w:rsid w:val="00D723E4"/>
    <w:rsid w:val="00D73A8C"/>
    <w:rsid w:val="00D744D6"/>
    <w:rsid w:val="00D84889"/>
    <w:rsid w:val="00D87EC6"/>
    <w:rsid w:val="00D923BF"/>
    <w:rsid w:val="00D95F4B"/>
    <w:rsid w:val="00DA1310"/>
    <w:rsid w:val="00DA18C9"/>
    <w:rsid w:val="00DA2646"/>
    <w:rsid w:val="00DC142E"/>
    <w:rsid w:val="00DC3BF7"/>
    <w:rsid w:val="00DC5476"/>
    <w:rsid w:val="00DC7856"/>
    <w:rsid w:val="00DD44C5"/>
    <w:rsid w:val="00DE4862"/>
    <w:rsid w:val="00E0179D"/>
    <w:rsid w:val="00E0186D"/>
    <w:rsid w:val="00E11D43"/>
    <w:rsid w:val="00E21FF7"/>
    <w:rsid w:val="00E364B8"/>
    <w:rsid w:val="00E4093F"/>
    <w:rsid w:val="00E4099A"/>
    <w:rsid w:val="00E409AF"/>
    <w:rsid w:val="00E416B5"/>
    <w:rsid w:val="00E43A5A"/>
    <w:rsid w:val="00E43DEC"/>
    <w:rsid w:val="00E50AD9"/>
    <w:rsid w:val="00E5611A"/>
    <w:rsid w:val="00E600B2"/>
    <w:rsid w:val="00E617FC"/>
    <w:rsid w:val="00E7647E"/>
    <w:rsid w:val="00E771A5"/>
    <w:rsid w:val="00E91CB9"/>
    <w:rsid w:val="00EA1366"/>
    <w:rsid w:val="00EA41CD"/>
    <w:rsid w:val="00EB2EE4"/>
    <w:rsid w:val="00EB4E98"/>
    <w:rsid w:val="00EB5588"/>
    <w:rsid w:val="00EC10ED"/>
    <w:rsid w:val="00EC6233"/>
    <w:rsid w:val="00ED1B55"/>
    <w:rsid w:val="00EE2A3A"/>
    <w:rsid w:val="00EE3257"/>
    <w:rsid w:val="00EE5B9F"/>
    <w:rsid w:val="00EF67BB"/>
    <w:rsid w:val="00F03208"/>
    <w:rsid w:val="00F05D85"/>
    <w:rsid w:val="00F05F60"/>
    <w:rsid w:val="00F10DCD"/>
    <w:rsid w:val="00F12D53"/>
    <w:rsid w:val="00F15C2C"/>
    <w:rsid w:val="00F1690E"/>
    <w:rsid w:val="00F17523"/>
    <w:rsid w:val="00F23F91"/>
    <w:rsid w:val="00F269D6"/>
    <w:rsid w:val="00F26CA2"/>
    <w:rsid w:val="00F301EF"/>
    <w:rsid w:val="00F323CC"/>
    <w:rsid w:val="00F4458E"/>
    <w:rsid w:val="00F50D13"/>
    <w:rsid w:val="00F51FD3"/>
    <w:rsid w:val="00F520BB"/>
    <w:rsid w:val="00F52D73"/>
    <w:rsid w:val="00F53435"/>
    <w:rsid w:val="00F56BA6"/>
    <w:rsid w:val="00F57F9F"/>
    <w:rsid w:val="00F61E78"/>
    <w:rsid w:val="00F620B5"/>
    <w:rsid w:val="00F723DA"/>
    <w:rsid w:val="00F73794"/>
    <w:rsid w:val="00F85234"/>
    <w:rsid w:val="00F860B6"/>
    <w:rsid w:val="00FB40B9"/>
    <w:rsid w:val="00FC3458"/>
    <w:rsid w:val="00FC4401"/>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1631E2"/>
  <w15:docId w15:val="{4E712993-E070-4465-BEF3-DDF448729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3F8"/>
    <w:pPr>
      <w:bidi/>
    </w:p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uiPriority w:val="99"/>
    <w:semiHidden/>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iPriority w:val="99"/>
    <w:unhideWhenUsed/>
    <w:rsid w:val="001A2B54"/>
    <w:pPr>
      <w:spacing w:after="0" w:line="240" w:lineRule="auto"/>
    </w:pPr>
    <w:rPr>
      <w:sz w:val="20"/>
      <w:szCs w:val="20"/>
    </w:rPr>
  </w:style>
  <w:style w:type="character" w:customStyle="1" w:styleId="FootnoteTextChar">
    <w:name w:val="Footnote Text Char"/>
    <w:basedOn w:val="DefaultParagraphFont"/>
    <w:link w:val="FootnoteText"/>
    <w:uiPriority w:val="99"/>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7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nevo.co.il/law/71600/15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EN/TXT/PDF/?uri=CELEX:32003R0001&amp;from=en" TargetMode="External"/><Relationship Id="rId13" Type="http://schemas.openxmlformats.org/officeDocument/2006/relationships/hyperlink" Target="https://www.gov.il/he/departments/general/immunityplan" TargetMode="External"/><Relationship Id="rId18" Type="http://schemas.openxmlformats.org/officeDocument/2006/relationships/hyperlink" Target="https://ec.europa.eu/competition/consultations/2019_hbers/index_en.html" TargetMode="External"/><Relationship Id="rId26" Type="http://schemas.openxmlformats.org/officeDocument/2006/relationships/hyperlink" Target="https://www.gov.il/he/departments/legalInfo/draftjointloans" TargetMode="External"/><Relationship Id="rId3" Type="http://schemas.openxmlformats.org/officeDocument/2006/relationships/hyperlink" Target="https://www.nevo.co.il/Law_word/law14/law-2356.pdf" TargetMode="External"/><Relationship Id="rId21" Type="http://schemas.openxmlformats.org/officeDocument/2006/relationships/hyperlink" Target="https://ec.europa.eu/competition/consultations/2018_vber/staff_working_document.pdf" TargetMode="External"/><Relationship Id="rId7" Type="http://schemas.openxmlformats.org/officeDocument/2006/relationships/hyperlink" Target="https://www.nevo.co.il/Law_word/law15/memshala-1221.pdf" TargetMode="External"/><Relationship Id="rId12" Type="http://schemas.openxmlformats.org/officeDocument/2006/relationships/hyperlink" Target="https://www.gov.il/he/Departments/General/contactus-public" TargetMode="External"/><Relationship Id="rId17" Type="http://schemas.openxmlformats.org/officeDocument/2006/relationships/hyperlink" Target="https://eur-lex.europa.eu/legal-content/EN/TXT/PDF/?uri=CELEX:32010R0330&amp;from=EN" TargetMode="External"/><Relationship Id="rId25" Type="http://schemas.openxmlformats.org/officeDocument/2006/relationships/hyperlink" Target="https://www.gov.il/BlobFolder/legalinfo/marketingsuppliesabroad/he/legalinformation_protocols_%D7%A4%D7%A8%D7%95%D7%98%D7%95%D7%A7%D7%95%D7%9C%20%D7%A4%D7%98%D7%95%D7%A8%20%D7%A1%D7%95%D7%92%2024-2-2015.pdf" TargetMode="External"/><Relationship Id="rId33" Type="http://schemas.openxmlformats.org/officeDocument/2006/relationships/hyperlink" Target="https://www.gov.il/BlobFolder/legalinfo/dvreyhesberexempt0718/he/legalinformation_%D7%AA%D7%99%D7%A7%D7%95%D7%9F%20%D7%A4%D7%98%D7%95%D7%A8%20%D7%90%D7%A0%D7%9B%D7%99%20%D7%93%D7%91%D7%A8%D7%99%20%D7%94%D7%A1%D7%91%D7%A8.pdf" TargetMode="External"/><Relationship Id="rId2" Type="http://schemas.openxmlformats.org/officeDocument/2006/relationships/hyperlink" Target="http://www.nevo.co.il/Law_word/law14/law-2356.pdf" TargetMode="External"/><Relationship Id="rId16" Type="http://schemas.openxmlformats.org/officeDocument/2006/relationships/hyperlink" Target="https://www.gov.il/he/Departments/news/arrangementscheck" TargetMode="External"/><Relationship Id="rId20" Type="http://schemas.openxmlformats.org/officeDocument/2006/relationships/hyperlink" Target="https://eur-lex.europa.eu/legal-content/EN/TXT/PDF/?uri=CELEX:32010R1218&amp;from=EN" TargetMode="External"/><Relationship Id="rId29" Type="http://schemas.openxmlformats.org/officeDocument/2006/relationships/hyperlink" Target="https://www.gov.il/BlobFolder/reports/annualreport2019/he/publications_rashut%20hatacharut_2019_nagish-.pdf" TargetMode="External"/><Relationship Id="rId1" Type="http://schemas.openxmlformats.org/officeDocument/2006/relationships/hyperlink" Target="https://www.gov.il/he/departments/topics/subjectexemptions" TargetMode="External"/><Relationship Id="rId6" Type="http://schemas.openxmlformats.org/officeDocument/2006/relationships/hyperlink" Target="https://www.nevo.co.il/law_word/law14/law-2781.pdf" TargetMode="External"/><Relationship Id="rId11" Type="http://schemas.openxmlformats.org/officeDocument/2006/relationships/hyperlink" Target="https://www.themarker.com/allnews/.premium-1.6566605" TargetMode="External"/><Relationship Id="rId24" Type="http://schemas.openxmlformats.org/officeDocument/2006/relationships/hyperlink" Target="https://www.nevo.co.il/law_word/law06/tak-7513.pdf" TargetMode="External"/><Relationship Id="rId32" Type="http://schemas.openxmlformats.org/officeDocument/2006/relationships/hyperlink" Target="https://regulation.gov.il/uploads/reports/7/Antitrust_Mergers_Restrictive_Arrangements_and_Electricity.pdf" TargetMode="External"/><Relationship Id="rId5" Type="http://schemas.openxmlformats.org/officeDocument/2006/relationships/hyperlink" Target="https://www.gov.il/he/departments/legalInfo/opinion118" TargetMode="External"/><Relationship Id="rId15" Type="http://schemas.openxmlformats.org/officeDocument/2006/relationships/hyperlink" Target="https://www.gov.il/he/Departments/news/pruningcartel" TargetMode="External"/><Relationship Id="rId23" Type="http://schemas.openxmlformats.org/officeDocument/2006/relationships/hyperlink" Target="https://www.gornitzky.co.il/wp-content/uploads/2018/05/avner_f_-_gornitzky.pdf" TargetMode="External"/><Relationship Id="rId28" Type="http://schemas.openxmlformats.org/officeDocument/2006/relationships/hyperlink" Target="https://www.regulation.gov.il/uploads/reports/7/Antitrust.pdf" TargetMode="External"/><Relationship Id="rId10" Type="http://schemas.openxmlformats.org/officeDocument/2006/relationships/hyperlink" Target="https://www.gov.il/he/departments/legalInfo/?OfficeId=51752c15-473a-4c15-959f-e719cb113529&amp;topic=d0083710-3b21-4009-ab08-d4e058273da4&amp;subTopic=fef80720-4d24-4a03-b69a-778ba19c724d&amp;skip=0&amp;limit=10" TargetMode="External"/><Relationship Id="rId19" Type="http://schemas.openxmlformats.org/officeDocument/2006/relationships/hyperlink" Target="https://eur-lex.europa.eu/legal-content/EN/TXT/PDF/?uri=CELEX:32010R1217&amp;from=en" TargetMode="External"/><Relationship Id="rId31" Type="http://schemas.openxmlformats.org/officeDocument/2006/relationships/hyperlink" Target="https://www.gov.il/he/departments/publications/Call_for_bids/jointventures2021" TargetMode="External"/><Relationship Id="rId4" Type="http://schemas.openxmlformats.org/officeDocument/2006/relationships/hyperlink" Target="http://themarker.com/law/1.2091647" TargetMode="External"/><Relationship Id="rId9" Type="http://schemas.openxmlformats.org/officeDocument/2006/relationships/hyperlink" Target="https://www.gov.il/BlobFolder/reports/annualreport2019/he/publications_rashut%20hatacharut_2019_nagish-.pdf" TargetMode="External"/><Relationship Id="rId14" Type="http://schemas.openxmlformats.org/officeDocument/2006/relationships/hyperlink" Target="https://www.gov.il/he/departments/news/inquiriesexemptionstype" TargetMode="External"/><Relationship Id="rId22" Type="http://schemas.openxmlformats.org/officeDocument/2006/relationships/hyperlink" Target="https://ec.europa.eu/info/law/better-regulation/have-your-say/initiatives/11886-EU-competition-rules-on-horizontal-agreements-between-companies-evaluation" TargetMode="External"/><Relationship Id="rId27" Type="http://schemas.openxmlformats.org/officeDocument/2006/relationships/hyperlink" Target="https://www.gov.il/he/departments/legalInfo/opinion317" TargetMode="External"/><Relationship Id="rId30" Type="http://schemas.openxmlformats.org/officeDocument/2006/relationships/hyperlink" Target="https://www.gov.il/he/departments/publications/Call_for_bids/joinloansrenew"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2021-05-05T00:00:00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D4D9F0-83AE-48CE-A230-26184B1C3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5146</Words>
  <Characters>25732</Characters>
  <Application>Microsoft Office Word</Application>
  <DocSecurity>4</DocSecurity>
  <Lines>214</Lines>
  <Paragraphs>61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פטורי הסוג להסדרים שאינם אופקיים, להסכמי רכישה בלעדית, להסכמי הפצה בלעדית, להסכמי זכיינות, להסכמים שפגיעתם בתחרות קלת ערך ולהסכמים בין חברות קשורות</dc:subject>
  <dc:creator>עורכי הדו"ח: רשות ההגבלים העסקיים</dc:creator>
  <cp:keywords/>
  <dc:description/>
  <cp:lastModifiedBy>Melita Shafir</cp:lastModifiedBy>
  <cp:revision>2</cp:revision>
  <cp:lastPrinted>2018-03-15T09:27:00Z</cp:lastPrinted>
  <dcterms:created xsi:type="dcterms:W3CDTF">2021-05-05T12:44:00Z</dcterms:created>
  <dcterms:modified xsi:type="dcterms:W3CDTF">2021-05-05T12:44:00Z</dcterms:modified>
</cp:coreProperties>
</file>