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ED5BEA">
      <w:pPr>
        <w:pStyle w:val="Header"/>
        <w:jc w:val="right"/>
        <w:divId w:val="2081906856"/>
      </w:pPr>
      <w:bookmarkStart w:id="0" w:name="_GoBack"/>
      <w:bookmarkEnd w:id="0"/>
    </w:p>
    <w:p w:rsidR="00000000" w:rsidRDefault="00ED5BEA">
      <w:pPr>
        <w:bidi/>
        <w:spacing w:before="120"/>
        <w:jc w:val="center"/>
        <w:rPr>
          <w:rStyle w:val="Strong"/>
          <w:rFonts w:cs="David" w:hint="cs"/>
          <w:sz w:val="28"/>
          <w:szCs w:val="28"/>
          <w:rtl/>
        </w:rPr>
      </w:pPr>
      <w:r>
        <w:rPr>
          <w:rStyle w:val="Strong"/>
          <w:rFonts w:cs="David" w:hint="cs"/>
          <w:sz w:val="28"/>
          <w:szCs w:val="28"/>
          <w:rtl/>
        </w:rPr>
        <w:t>החלטה לפי סעיף 14 לחוק ההגבלים העסקיים, התשמ"ח-1988</w:t>
      </w:r>
    </w:p>
    <w:p w:rsidR="00000000" w:rsidRDefault="00ED5BEA">
      <w:pPr>
        <w:bidi/>
        <w:spacing w:before="120"/>
        <w:jc w:val="center"/>
        <w:rPr>
          <w:rStyle w:val="Strong"/>
          <w:rFonts w:cs="David" w:hint="cs"/>
          <w:sz w:val="28"/>
          <w:szCs w:val="28"/>
          <w:rtl/>
        </w:rPr>
      </w:pPr>
      <w:r>
        <w:rPr>
          <w:rStyle w:val="Strong"/>
          <w:rFonts w:cs="David" w:hint="cs"/>
          <w:sz w:val="28"/>
          <w:szCs w:val="28"/>
          <w:rtl/>
        </w:rPr>
        <w:t>בדבר מתן פטור מאישור הסדר כובל</w:t>
      </w:r>
    </w:p>
    <w:p w:rsidR="00000000" w:rsidRDefault="00ED5BEA">
      <w:pPr>
        <w:bidi/>
        <w:spacing w:before="120" w:after="120"/>
        <w:jc w:val="center"/>
        <w:rPr>
          <w:rStyle w:val="Strong"/>
          <w:rFonts w:cs="David" w:hint="cs"/>
          <w:sz w:val="28"/>
          <w:szCs w:val="28"/>
          <w:u w:val="single"/>
          <w:rtl/>
        </w:rPr>
      </w:pPr>
      <w:r>
        <w:rPr>
          <w:rStyle w:val="Strong"/>
          <w:rFonts w:cs="David" w:hint="cs"/>
          <w:sz w:val="28"/>
          <w:szCs w:val="28"/>
          <w:u w:val="single"/>
          <w:rtl/>
        </w:rPr>
        <w:t>להסדר בין ת.מ.י.ר. – תאגיד מחזור יצרנים בישראל (חברה לתועלת הציבור), תנובה תעשיות מזון בע"</w:t>
      </w:r>
      <w:r>
        <w:rPr>
          <w:rStyle w:val="Strong"/>
          <w:rFonts w:cs="David" w:hint="cs"/>
          <w:sz w:val="28"/>
          <w:szCs w:val="28"/>
          <w:u w:val="single"/>
          <w:rtl/>
        </w:rPr>
        <w:t>מ, החברה המרכזית לייצור משקאות קלים בע"מ, שטראוס גרופ בע"מ, יוניליוור ישראל בע"מ, שופרסל בע"מ, חוגלה-קימברלי בע"מ, גן שמואל מזון בע"מ והתאחדות התעשיינים בישראל</w:t>
      </w:r>
    </w:p>
    <w:p w:rsidR="00000000" w:rsidRDefault="00ED5BEA">
      <w:pPr>
        <w:bidi/>
        <w:spacing w:before="120"/>
        <w:jc w:val="center"/>
        <w:rPr>
          <w:rFonts w:hint="cs"/>
          <w:sz w:val="22"/>
          <w:rtl/>
        </w:rPr>
      </w:pPr>
    </w:p>
    <w:p w:rsidR="00000000" w:rsidRDefault="00ED5BEA">
      <w:pPr>
        <w:bidi/>
        <w:spacing w:before="120" w:after="120"/>
        <w:rPr>
          <w:rStyle w:val="Strong"/>
          <w:rFonts w:hint="cs"/>
          <w:sz w:val="28"/>
          <w:szCs w:val="28"/>
          <w:rtl/>
        </w:rPr>
      </w:pPr>
      <w:r>
        <w:rPr>
          <w:rStyle w:val="Strong"/>
          <w:rFonts w:cs="David" w:hint="cs"/>
          <w:sz w:val="28"/>
          <w:szCs w:val="28"/>
          <w:rtl/>
        </w:rPr>
        <w:t>א. פתח דבר</w:t>
      </w:r>
    </w:p>
    <w:p w:rsidR="00000000" w:rsidRDefault="00ED5BEA">
      <w:pPr>
        <w:bidi/>
        <w:spacing w:before="120" w:after="120"/>
        <w:rPr>
          <w:rFonts w:hint="cs"/>
          <w:sz w:val="22"/>
          <w:rtl/>
        </w:rPr>
      </w:pPr>
      <w:r>
        <w:rPr>
          <w:rFonts w:cs="David" w:hint="cs"/>
          <w:sz w:val="22"/>
          <w:rtl/>
        </w:rPr>
        <w:t>בפני בקשה למתן פטור לפי סעיף 14 לחוק ההגבלים העסקיים, התשמ"ח-1988 (להלן: "</w:t>
      </w:r>
      <w:r>
        <w:rPr>
          <w:rStyle w:val="Strong"/>
          <w:rFonts w:hint="cs"/>
          <w:sz w:val="22"/>
          <w:rtl/>
        </w:rPr>
        <w:t>החוק</w:t>
      </w:r>
      <w:r>
        <w:rPr>
          <w:rFonts w:cs="David" w:hint="cs"/>
          <w:sz w:val="22"/>
          <w:rtl/>
        </w:rPr>
        <w:t>") להס</w:t>
      </w:r>
      <w:r>
        <w:rPr>
          <w:rFonts w:cs="David" w:hint="cs"/>
          <w:sz w:val="22"/>
          <w:rtl/>
        </w:rPr>
        <w:t>דר כובל שהצדדים לו הם ת.מ.י.ר. – תאגיד מחזור יצרנים בישראל (חברה לתועלת הציבור) (להלן: "</w:t>
      </w:r>
      <w:r>
        <w:rPr>
          <w:rStyle w:val="Strong"/>
          <w:rFonts w:cs="David" w:hint="cs"/>
          <w:sz w:val="22"/>
          <w:rtl/>
        </w:rPr>
        <w:t>תמיר</w:t>
      </w:r>
      <w:r>
        <w:rPr>
          <w:rFonts w:cs="David" w:hint="cs"/>
          <w:sz w:val="22"/>
          <w:rtl/>
        </w:rPr>
        <w:t>") ומייסדותיה, עליהן נמנות התאחדות התעשיינים בישראל (להלן: "</w:t>
      </w:r>
      <w:r>
        <w:rPr>
          <w:rStyle w:val="Strong"/>
          <w:rFonts w:cs="David" w:hint="cs"/>
          <w:sz w:val="22"/>
          <w:rtl/>
        </w:rPr>
        <w:t>התאחדות התעשיינים</w:t>
      </w:r>
      <w:r>
        <w:rPr>
          <w:rFonts w:cs="David" w:hint="cs"/>
          <w:sz w:val="22"/>
          <w:rtl/>
        </w:rPr>
        <w:t>"), תנובה תעשיות מזון בע"מ (להלן: "</w:t>
      </w:r>
      <w:r>
        <w:rPr>
          <w:rStyle w:val="Strong"/>
          <w:rFonts w:cs="David" w:hint="cs"/>
          <w:sz w:val="22"/>
          <w:rtl/>
        </w:rPr>
        <w:t>תנובה</w:t>
      </w:r>
      <w:r>
        <w:rPr>
          <w:rFonts w:cs="David" w:hint="cs"/>
          <w:sz w:val="22"/>
          <w:rtl/>
        </w:rPr>
        <w:t>"), החברה המרכזית לייצור משקאות קלים בע"מ (להלן</w:t>
      </w:r>
      <w:r>
        <w:rPr>
          <w:rFonts w:cs="David" w:hint="cs"/>
          <w:sz w:val="22"/>
          <w:rtl/>
        </w:rPr>
        <w:t>: "</w:t>
      </w:r>
      <w:r>
        <w:rPr>
          <w:rStyle w:val="Strong"/>
          <w:rFonts w:cs="David" w:hint="cs"/>
          <w:sz w:val="22"/>
          <w:rtl/>
        </w:rPr>
        <w:t>החברה המרכזית</w:t>
      </w:r>
      <w:r>
        <w:rPr>
          <w:rFonts w:cs="David" w:hint="cs"/>
          <w:sz w:val="22"/>
          <w:rtl/>
        </w:rPr>
        <w:t>"),</w:t>
      </w:r>
      <w:r>
        <w:rPr>
          <w:rStyle w:val="Strong"/>
          <w:rFonts w:cs="David" w:hint="cs"/>
          <w:sz w:val="22"/>
          <w:rtl/>
        </w:rPr>
        <w:t xml:space="preserve"> </w:t>
      </w:r>
      <w:r>
        <w:rPr>
          <w:rFonts w:cs="David" w:hint="cs"/>
          <w:sz w:val="22"/>
          <w:rtl/>
        </w:rPr>
        <w:t>שטראוס גרופ בע"מ (להלן: "</w:t>
      </w:r>
      <w:r>
        <w:rPr>
          <w:rStyle w:val="Strong"/>
          <w:rFonts w:cs="David" w:hint="cs"/>
          <w:sz w:val="22"/>
          <w:rtl/>
        </w:rPr>
        <w:t>שטראוס</w:t>
      </w:r>
      <w:r>
        <w:rPr>
          <w:rFonts w:cs="David" w:hint="cs"/>
          <w:sz w:val="22"/>
          <w:rtl/>
        </w:rPr>
        <w:t>"), יוניליוור ישראל בע"מ (להלן: "</w:t>
      </w:r>
      <w:r>
        <w:rPr>
          <w:rStyle w:val="Strong"/>
          <w:rFonts w:cs="David" w:hint="cs"/>
          <w:sz w:val="22"/>
          <w:rtl/>
        </w:rPr>
        <w:t>יוניליוור</w:t>
      </w:r>
      <w:r>
        <w:rPr>
          <w:rFonts w:cs="David" w:hint="cs"/>
          <w:sz w:val="22"/>
          <w:rtl/>
        </w:rPr>
        <w:t xml:space="preserve">"), שופרסל בע"מ, חוגלה-קימברלי בע"מ, וגן שמואל מזון בע"מ. </w:t>
      </w:r>
    </w:p>
    <w:p w:rsidR="00000000" w:rsidRDefault="00ED5BEA">
      <w:pPr>
        <w:bidi/>
        <w:spacing w:before="120" w:after="120"/>
        <w:rPr>
          <w:rFonts w:cs="David" w:hint="cs"/>
          <w:sz w:val="22"/>
          <w:rtl/>
        </w:rPr>
      </w:pPr>
      <w:r>
        <w:rPr>
          <w:rFonts w:cs="David" w:hint="cs"/>
          <w:sz w:val="22"/>
          <w:rtl/>
        </w:rPr>
        <w:t>עניינו של ההסדר בהקמתה של תמיר, שהיא חברה לתועלת הציבור אשר מטרתה לקיים חובות יצרנים ויבואנים לפי החוק ל</w:t>
      </w:r>
      <w:r>
        <w:rPr>
          <w:rFonts w:cs="David" w:hint="cs"/>
          <w:sz w:val="22"/>
          <w:rtl/>
        </w:rPr>
        <w:t>הסדרת הטיפול באריזות, התשע"א-2011 (להלן: "</w:t>
      </w:r>
      <w:r>
        <w:rPr>
          <w:rStyle w:val="Strong"/>
          <w:rFonts w:cs="David" w:hint="cs"/>
          <w:sz w:val="22"/>
          <w:rtl/>
        </w:rPr>
        <w:t>חוק האריזות</w:t>
      </w:r>
      <w:r>
        <w:rPr>
          <w:rFonts w:cs="David" w:hint="cs"/>
          <w:sz w:val="22"/>
          <w:rtl/>
        </w:rPr>
        <w:t xml:space="preserve">").  </w:t>
      </w:r>
    </w:p>
    <w:p w:rsidR="00000000" w:rsidRDefault="00ED5BEA">
      <w:pPr>
        <w:bidi/>
        <w:spacing w:before="120" w:after="120"/>
        <w:rPr>
          <w:rFonts w:cs="David" w:hint="cs"/>
          <w:sz w:val="22"/>
          <w:rtl/>
        </w:rPr>
      </w:pPr>
      <w:r>
        <w:rPr>
          <w:rFonts w:cs="David" w:hint="cs"/>
          <w:sz w:val="22"/>
          <w:rtl/>
        </w:rPr>
        <w:t>לאחר שבחנתי את ההסדר ואת הכבילות המצויות בו, כמו גם את השפעתם האפשרית על התחרות בשווקים הרלוונטיים, ולאחר שנועצתי בועדה לפטורים ולמיזוגים, הגעתי למסקנה כי – בכפוף לתנאים הקבועים בסיפא להחלטה זו – ה</w:t>
      </w:r>
      <w:r>
        <w:rPr>
          <w:rFonts w:cs="David" w:hint="cs"/>
          <w:sz w:val="22"/>
          <w:rtl/>
        </w:rPr>
        <w:t>כבילות שבהסדר אינן פוגעות פגיעה של ממש בתחרות בשווקים כאמור, כי עיקרו של ההסדר אינו בהפחתת התחרות או במניעתה, וכי אין בהסדר כבילות שאינן נחוצות למימוש עיקרו. מטעמים אלה ומהנימוקים שיפורטו להלן, מצאתי כי ההסדר ראוי לפטור לפי סעיף 14 לחוק ההגבלים העסקיים, בכ</w:t>
      </w:r>
      <w:r>
        <w:rPr>
          <w:rFonts w:cs="David" w:hint="cs"/>
          <w:sz w:val="22"/>
          <w:rtl/>
        </w:rPr>
        <w:t>פוף לתנאים המפורטים בסוף החלטה זו.</w:t>
      </w:r>
    </w:p>
    <w:p w:rsidR="00000000" w:rsidRDefault="00ED5BEA">
      <w:pPr>
        <w:bidi/>
        <w:spacing w:before="120" w:after="120"/>
        <w:rPr>
          <w:rFonts w:cs="David" w:hint="cs"/>
          <w:sz w:val="28"/>
          <w:szCs w:val="28"/>
          <w:rtl/>
        </w:rPr>
      </w:pPr>
      <w:r>
        <w:rPr>
          <w:rStyle w:val="Strong"/>
          <w:rFonts w:cs="David" w:hint="cs"/>
          <w:sz w:val="28"/>
          <w:szCs w:val="28"/>
          <w:rtl/>
        </w:rPr>
        <w:t>ב. רקע – חוק האריזות</w:t>
      </w:r>
    </w:p>
    <w:p w:rsidR="00000000" w:rsidRDefault="00ED5BEA">
      <w:pPr>
        <w:bidi/>
        <w:spacing w:before="120"/>
        <w:rPr>
          <w:rFonts w:cs="David" w:hint="cs"/>
          <w:sz w:val="22"/>
          <w:rtl/>
        </w:rPr>
      </w:pPr>
      <w:r>
        <w:rPr>
          <w:rFonts w:cs="David" w:hint="cs"/>
          <w:sz w:val="22"/>
          <w:rtl/>
        </w:rPr>
        <w:t>הקמת תמיר באה על רקע חקיקת חוק האריזות. תכליתו של חוק האריזות היא להקטין את ההשפעה הסביבתית השלילית של אריזות ופסולת אריזות. בחוק נקבעו הסדרים שמטרתם לצמצם את פסולת האריזות, למנוע את הטמנתה ולעודד שימ</w:t>
      </w:r>
      <w:r>
        <w:rPr>
          <w:rFonts w:cs="David" w:hint="cs"/>
          <w:sz w:val="22"/>
          <w:rtl/>
        </w:rPr>
        <w:t xml:space="preserve">וש חוזר באריזות (מונחים אלה ואחרים מוגדרים בסעיף 1 לחוק האריזות), ובכלל אלו נקבעו גם יעדי מיחזור או השבה לאנרגיה של פסולת אריזות – יעד ספציפי לכל סוג חומר (פלסטיק, זכוכית, נייר, עץ או מתכת) כמו גם יעד מצרפי לכלל פסולת האריזות.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חוק האריזות מטיל על יצרנים</w:t>
      </w:r>
      <w:r>
        <w:rPr>
          <w:rFonts w:cs="David" w:hint="cs"/>
          <w:sz w:val="22"/>
          <w:rtl/>
        </w:rPr>
        <w:t xml:space="preserve"> ויבואנים של מוצרים ארוזים ושל אריזות שירות חובות שונות, וזאת לשם הגשמת מטרות החוק. בין החובות שהוטלו על יצרנים ויבואנים מצויות החובה למחזר שיעור מסוים מתוך פסולת האריזות של המוצרים הארוזים או של אריזות השירות שייצרו או שייבאו באותה שנה (בהתאם לסוג החומר ב</w:t>
      </w:r>
      <w:r>
        <w:rPr>
          <w:rFonts w:cs="David" w:hint="cs"/>
          <w:sz w:val="22"/>
          <w:rtl/>
        </w:rPr>
        <w:t>ו נעשה שימוש), וכן חובות רישום ודיווח למנהל האריזות במשרד להגנת הסביבה, הנוגעות, בין היתר, למספר המוצרים הארוזים או אריזות השירות ומשקל האריזות, והיקף מיחזורן. בנוסף, הוטלה על היצרנים והיבואנים החובה להתקשר עם חברה שהוכרה על-ידי מנהל האריזות במשרד להגנת הס</w:t>
      </w:r>
      <w:r>
        <w:rPr>
          <w:rFonts w:cs="David" w:hint="cs"/>
          <w:sz w:val="22"/>
          <w:rtl/>
        </w:rPr>
        <w:t xml:space="preserve">ביבה (להלן: "גוף מוכר") לשם קיום חובותיהם הנ"ל, כאשר במקביל הוטלה חובה על הגוף המוכר להתקשר עם יצרנים ויבואנים שביקשו להתקשר עמו.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על-פי חוק האריזות, משהתקשר יצרן או יבואן עם גוף מוכר, הופך האחרון אחראי לקיום חובות היצרן או היבואן כל עוד ההתקשרות עומדת בתוקפה, וזאת בסייגים הקבועים בחוק האריזות. בהתאם, נדרש הגוף המוכר לדווח למשרד להגנת הסביבה על היקף פסולת האריזות אשר מקבלי השירותים ממ</w:t>
      </w:r>
      <w:r>
        <w:rPr>
          <w:rFonts w:cs="David" w:hint="cs"/>
          <w:sz w:val="22"/>
          <w:rtl/>
        </w:rPr>
        <w:t xml:space="preserve">נו אחראים לטיפול בה ועל היקף פסולת האריזות אשר מוחזרה או הושבה לאנרגיה. הגוף המוכר אחראי גם להתקשר עם גורמים האחראים לפינוי פסולת, דוגמת רשויות מקומיות, וזאת על-מנת להסדיר את איסוף הפסולת מתחומיהם לשם המשך הטיפול בה.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התמריץ העיקרי להבטחת קיום החובות הקבו</w:t>
      </w:r>
      <w:r>
        <w:rPr>
          <w:rFonts w:cs="David" w:hint="cs"/>
          <w:sz w:val="22"/>
          <w:rtl/>
        </w:rPr>
        <w:t>עות בחוק האריזות, מצוי בחשיפת יצרנים, יבואנים וגופים מוכרים לאפשרות שמא יועמדו לדין או שמא יוטל עליהם עיצום כספי בגין הפרה של חובה הקבועה בחוק האמור. נציין בפרט, כי יצרן או יבואן אשר לא התקשר עם גוף מוכר ולא קיבל פטור מהתקשרות כאמור מאת מנהל האריזות חשוף ל</w:t>
      </w:r>
      <w:r>
        <w:rPr>
          <w:rFonts w:cs="David" w:hint="cs"/>
          <w:sz w:val="22"/>
          <w:rtl/>
        </w:rPr>
        <w:t>עיצום כספי או לקנס , וכי אי עמידה ביעדי מיחזור עלולה אף היא להוביל להטלת עיצום כספי על גופים מוכרים, יצרנים או יבואנים. נציין עוד כי החוק מאפשר להטיל כפל קנס או עיצום כספי על יצרנים ויבואנים (בחלקים יחסיים, לפי משקל חומר האריזות המיוצר או המיובא) מקום בו ג</w:t>
      </w:r>
      <w:r>
        <w:rPr>
          <w:rFonts w:cs="David" w:hint="cs"/>
          <w:sz w:val="22"/>
          <w:rtl/>
        </w:rPr>
        <w:t xml:space="preserve">וף מוכר עמו התקשרו לא שילם קנס או עיצום כספי שהוטל עליו.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הנה כי כן, ההסדרים שנקבעו בחוק האריזות, ובפרט החובות שהוטלו על יצרנים ויבואנים והסנקציות על הפרת החובות האמורות, יוצרים תלות של ממש בין היצרנים והיבואנים לגופים המוכרים עמם יתקשרו, עד כדי כך שבעבור</w:t>
      </w:r>
      <w:r>
        <w:rPr>
          <w:rFonts w:cs="David" w:hint="cs"/>
          <w:sz w:val="22"/>
          <w:rtl/>
        </w:rPr>
        <w:t xml:space="preserve"> חלק ניכר מהיצרנים והיבואנים, שירותי הטיפול בפסולת אריזות המוענקים על-ידי גוף מוכר עשויים להיחשב כתשומה חיונית בייצור או ביבוא של מוצרים ארוזים או של אריזות.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בקשת תמיר להיות לגוף מוכר על-פי חוק האריזות מצויה בימים אלה בפני מנהל האריזות במשרד להגנת הסביבה</w:t>
      </w:r>
      <w:r>
        <w:rPr>
          <w:rFonts w:cs="David" w:hint="cs"/>
          <w:sz w:val="22"/>
          <w:rtl/>
        </w:rPr>
        <w:t xml:space="preserve">. להכרעתי נתונה השאלה האם ההסדר ראוי לפטור מהצורך באישור בית הדין להגבלים עסקיים. </w:t>
      </w:r>
    </w:p>
    <w:p w:rsidR="00000000" w:rsidRDefault="00ED5BEA">
      <w:pPr>
        <w:tabs>
          <w:tab w:val="left" w:pos="3611"/>
        </w:tabs>
        <w:bidi/>
        <w:spacing w:before="120"/>
        <w:rPr>
          <w:rStyle w:val="Strong"/>
          <w:rFonts w:hint="cs"/>
          <w:rtl/>
        </w:rPr>
      </w:pPr>
    </w:p>
    <w:p w:rsidR="00000000" w:rsidRDefault="00ED5BEA">
      <w:pPr>
        <w:tabs>
          <w:tab w:val="left" w:pos="3611"/>
        </w:tabs>
        <w:bidi/>
        <w:spacing w:before="120"/>
        <w:rPr>
          <w:rStyle w:val="Strong"/>
          <w:rFonts w:cs="David" w:hint="cs"/>
          <w:sz w:val="28"/>
          <w:szCs w:val="28"/>
          <w:rtl/>
        </w:rPr>
      </w:pPr>
      <w:r>
        <w:rPr>
          <w:rStyle w:val="Strong"/>
          <w:rFonts w:cs="David" w:hint="cs"/>
          <w:sz w:val="28"/>
          <w:szCs w:val="28"/>
          <w:rtl/>
        </w:rPr>
        <w:t>ג. הצדדים להסדר</w:t>
      </w:r>
    </w:p>
    <w:p w:rsidR="00000000" w:rsidRDefault="00ED5BEA">
      <w:pPr>
        <w:bidi/>
        <w:spacing w:before="120"/>
        <w:rPr>
          <w:rFonts w:hint="cs"/>
          <w:sz w:val="22"/>
          <w:rtl/>
        </w:rPr>
      </w:pPr>
      <w:r>
        <w:rPr>
          <w:rFonts w:cs="David" w:hint="cs"/>
          <w:sz w:val="22"/>
          <w:rtl/>
        </w:rPr>
        <w:t>כאמור לעיל, תמיר הינה חברה לתועלת הציבור, אשר מטרתה לפעול לקיום חובות יצרנים ויבואנים על-פי חוק האריזות. בפרט תפעל תמיר לאיסוף ומיחזור של פסולת אריזות ולקיו</w:t>
      </w:r>
      <w:r>
        <w:rPr>
          <w:rFonts w:cs="David" w:hint="cs"/>
          <w:sz w:val="22"/>
          <w:rtl/>
        </w:rPr>
        <w:t>ם חובות הדיווח על כמויות פסולת האריזות הנוצרת והממוחזרת על-ידי היצרנים והיבואנים הקשורים עמה, בין כבעלי מניות בה ובין כמי שמקבלים ממנה שירותים בלבד. על-פי מצגיה מבקשת תמיר לפעול כגוף מטה, דהיינו כגוף המרכז את פעילויות האיסוף והמיחזור, אולם נמנע מלעסוק בפעי</w:t>
      </w:r>
      <w:r>
        <w:rPr>
          <w:rFonts w:cs="David" w:hint="cs"/>
          <w:sz w:val="22"/>
          <w:rtl/>
        </w:rPr>
        <w:t xml:space="preserve">לויות אלו בעצמו או להחזיק בתשתיות הדרושות לשם כך. בהתאם, צפויה תמיר להתקשר עם רשויות מקומיות ועם קבלנים אשר יבצעו בעבורה את הפעילויות הנ"ל.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תמיר הוקמה ביוזמת התאחדות התעשיינים, אשר הינה גוף המייצג שורה ארוכה של תעשיינים ישראליים – קטנים כגדולים. ליוזמת ה</w:t>
      </w:r>
      <w:r>
        <w:rPr>
          <w:rFonts w:cs="David" w:hint="cs"/>
          <w:sz w:val="22"/>
          <w:rtl/>
        </w:rPr>
        <w:t>תאחדות התעשיינים הצטרפו החברות המייסדות, שהן כאמור תנובה, החברה המרכזית, שטראוס, יוניליוור, שופרסל, חוגלה קימברלי וגן שמואל מזון. כל אחת מהנ"ל מהווה, בעצמה או באמצעות חברות קשורות, שחקנית גדולה ובעלת מעמד בייצור או בשיווק של מוצרים ארוזים או אריזות אשר לגב</w:t>
      </w:r>
      <w:r>
        <w:rPr>
          <w:rFonts w:cs="David" w:hint="cs"/>
          <w:sz w:val="22"/>
          <w:rtl/>
        </w:rPr>
        <w:t>יהן יחולו חובות מכוח חוק האריזות, לפחות בחלק מהתחומים בהם היא עוסקת. בין החברות הנ"ל מצויות חברות עליהן הכריז הממונה על הגבלים עסקיים כבעלות מונופולין על-פי סעיף 26 לחוק. לנוכח היקפי הפעילות הגדולים של החברות המייסדות, ניתן להעריך כי הנ"ל מייצגות גם חלק ני</w:t>
      </w:r>
      <w:r>
        <w:rPr>
          <w:rFonts w:cs="David" w:hint="cs"/>
          <w:sz w:val="22"/>
          <w:rtl/>
        </w:rPr>
        <w:t xml:space="preserve">כר מסך פסולת האריזות אותה יש למחזר או להשיב לאנרגיה על-פי חוק האריזות, וזאת לאור המתאם הקיים בין היקף המכירות של מוצרים ארוזים ואריזות לבין פסולת האריזות אשר לגביה חלות החובות על-פי חוק האריזות.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בחינת רשימת המייסדות מעלה עוד כי בין החברות המצויות בה נמנו</w:t>
      </w:r>
      <w:r>
        <w:rPr>
          <w:rFonts w:cs="David" w:hint="cs"/>
          <w:sz w:val="22"/>
          <w:rtl/>
        </w:rPr>
        <w:t xml:space="preserve">ת חברות המתחרות זו בזו במגוון תחומי פעילות ושווקים, כאשר בחלק מהמקרים חלקן המצרפי של החברות המייסדות בשוק מסוים הינו גדול במיוחד, עד כדי היעדר כל תחרות מצדם של שחקנים אחרים זולתן.  כך למשל, ומבלי למצות, תנובה (שהוכרזה כבעלת מונופולין בענף חלב שתייה ומוצרי </w:t>
      </w:r>
      <w:r>
        <w:rPr>
          <w:rFonts w:cs="David" w:hint="cs"/>
          <w:sz w:val="22"/>
          <w:rtl/>
        </w:rPr>
        <w:t xml:space="preserve">חלב) שטראוס (אשר הינה חברת בת של חברת שטראוס אחזקות בע"מ, אשר הוכרזה כבעלת מונופולין באספקתם של מעדני חלב בישראל), והחברה המרכזית (המוכרזת כבעלת מונופולין בענף משקאות </w:t>
      </w:r>
      <w:r>
        <w:rPr>
          <w:rFonts w:cs="David" w:hint="cs"/>
          <w:rtl/>
        </w:rPr>
        <w:t xml:space="preserve">הקולה) </w:t>
      </w:r>
      <w:r>
        <w:rPr>
          <w:rFonts w:cs="David" w:hint="cs"/>
          <w:sz w:val="22"/>
          <w:rtl/>
        </w:rPr>
        <w:t>- באמצעות טרה, מתחרות זו בזו בתחום הייצור והשיווק של חלב ומוצרי חלב כאשר התחרות מצ</w:t>
      </w:r>
      <w:r>
        <w:rPr>
          <w:rFonts w:cs="David" w:hint="cs"/>
          <w:sz w:val="22"/>
          <w:rtl/>
        </w:rPr>
        <w:t>דם של שחקנים אחרים בחלק מתחומים אלה מוגבלת, ואילו גן שמואל מזון מתחרה בחברה המרכזית בתחום המיצים.</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lastRenderedPageBreak/>
        <w:t>נציין עוד, כי לחלק מהחברות המייסדות קשרים עם חברות העוסקות בטיפול בפסולת ובמיחזור: החברה המרכזית לדוגמה היא בעלת מניות בתאגיד איסוף מכלי משקה בע"מ ואילו חוגל</w:t>
      </w:r>
      <w:r>
        <w:rPr>
          <w:rFonts w:cs="David" w:hint="cs"/>
          <w:sz w:val="22"/>
          <w:rtl/>
        </w:rPr>
        <w:t>ה-קימברלי קשורה לאמניר תעשיות מיחזור בע"מ.</w:t>
      </w:r>
    </w:p>
    <w:p w:rsidR="00000000" w:rsidRDefault="00ED5BEA">
      <w:pPr>
        <w:bidi/>
        <w:spacing w:before="120"/>
        <w:rPr>
          <w:rFonts w:cs="David" w:hint="cs"/>
          <w:sz w:val="22"/>
          <w:rtl/>
        </w:rPr>
      </w:pPr>
    </w:p>
    <w:p w:rsidR="00000000" w:rsidRDefault="00ED5BEA">
      <w:pPr>
        <w:bidi/>
        <w:spacing w:before="120"/>
        <w:rPr>
          <w:rStyle w:val="Strong"/>
          <w:rFonts w:hint="cs"/>
          <w:sz w:val="28"/>
          <w:szCs w:val="28"/>
          <w:rtl/>
        </w:rPr>
      </w:pPr>
      <w:r>
        <w:rPr>
          <w:rStyle w:val="Strong"/>
          <w:rFonts w:cs="David" w:hint="cs"/>
          <w:sz w:val="28"/>
          <w:szCs w:val="28"/>
          <w:rtl/>
        </w:rPr>
        <w:t>ד. השפעת ההסדר על התחרות</w:t>
      </w:r>
    </w:p>
    <w:p w:rsidR="00000000" w:rsidRDefault="00ED5BEA">
      <w:pPr>
        <w:bidi/>
        <w:spacing w:before="120"/>
        <w:rPr>
          <w:rFonts w:hint="cs"/>
          <w:sz w:val="22"/>
          <w:rtl/>
        </w:rPr>
      </w:pPr>
      <w:r>
        <w:rPr>
          <w:rFonts w:cs="David" w:hint="cs"/>
          <w:sz w:val="22"/>
          <w:rtl/>
        </w:rPr>
        <w:t xml:space="preserve">לא פעם עמדו בית הדין להגבלים עסקיים והממונה על כך שמיזם משותף בין מתחרים יכול להוות הסדר כובל, אף אם אין בהסדרי המיזם המשותף הגבלות מפורשות על התחרות. זאת, מאחר שלחבירה בין חברות המתחרות </w:t>
      </w:r>
      <w:r>
        <w:rPr>
          <w:rFonts w:cs="David" w:hint="cs"/>
          <w:sz w:val="22"/>
          <w:rtl/>
        </w:rPr>
        <w:t xml:space="preserve">זו בזו ולשותפות בקידום ענייניהם באמצעות המיזם המשותף, עלולות להיות השפעות שליליות על התחרות ביניהן, או בינן לבין מתחרות אחרות שאינן חלק משיתוף הפעולה. חששות מעין אלה מתגברים שעה שלמיזם המשותף חוברים מתחרים המחזיקים יחדיו בחלק ניכר מנתח הפעילות בשוק מסוים.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כאמור לעיל, להקמתה של תמיר חוברות חברות המתחרות זו בזו בתחומים ובשווקים שונים. ישיבת החברות המייסדות סביב אותו "שולחן משותף" מעלה חשש שמא יחרגו החברות המייסדות מגבולותיו המותרים של שיתוף הפעולה ביניהן וינצלו את תמיר כמסד להתאמת התנהגותן בשווקים בהם הן מת</w:t>
      </w:r>
      <w:r>
        <w:rPr>
          <w:rFonts w:cs="David" w:hint="cs"/>
          <w:sz w:val="22"/>
          <w:rtl/>
        </w:rPr>
        <w:t xml:space="preserve">חרות ואף לתיאום מפורש ביניהן, וכן כאמצעי להדרת מתחרים נוספים מן השוק. חששות אלו מתגברים לנוכח העובדה כי על-מנת שתוכל תמיר לעמוד בחובות המוטלות עליה, ובפרט בחובות הדיווח, צפוי להתרכז בה מידע רב על אודות החברות המייסדות ועל אודות החברות שיקבלו ממנה שירותים, </w:t>
      </w:r>
      <w:r>
        <w:rPr>
          <w:rFonts w:cs="David" w:hint="cs"/>
          <w:sz w:val="22"/>
          <w:rtl/>
        </w:rPr>
        <w:t>ובכלל זה מידע על כמות המוצרים הנמכרים על-ידי כל אחת מהנ"ל.</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יחד עם זאת, החששות האמורים מוקהים לנוכח הסדרים שונים שנקבעו בחוק האריזות, בתקנון תמיר ובהסכם המייסדים. כך לדוגמה, החשש מניצול התלות של יצרנים ויבואנים בתמיר לשם פגיעה בהם או הדרתם משוק מסוים מוקהה</w:t>
      </w:r>
      <w:r>
        <w:rPr>
          <w:rFonts w:cs="David" w:hint="cs"/>
          <w:sz w:val="22"/>
          <w:rtl/>
        </w:rPr>
        <w:t xml:space="preserve"> לנוכח החובה המוטלת על גוף מוכר להתקשר בתנאים שיוויוניים עם כל יצרן ויבואן שפונה אליו. בהקשר זה אציין כי על-פי המידע שהביאו המבקשים בפניי, בכוונת תמיר לגבות ממקבלי השירותים תשלום הנגזר ממשקל האריזות המיוחס לכל יצרן או יבואן ומסוג החומר ממנו הן מיוצרות, וזא</w:t>
      </w:r>
      <w:r>
        <w:rPr>
          <w:rFonts w:cs="David" w:hint="cs"/>
          <w:sz w:val="22"/>
          <w:rtl/>
        </w:rPr>
        <w:t>ת מבלי לגבות רכיב של תשלום קבוע בגין השירותים שהיא מספקת. אלמלא כן, עלול היה להתעורר החשש שמא גבייתו של תשלום קבוע, בנוסף על התשלום האמור לעיל, תפגע בנגישות של יצרנים ויבואנים (בעיקר קטנים) לשירותים הניתנים על-ידי תמיר, ובדרך זו להביא להדרתם משווקים שונים.</w:t>
      </w:r>
      <w:r>
        <w:rPr>
          <w:rFonts w:cs="David" w:hint="cs"/>
          <w:sz w:val="22"/>
          <w:rtl/>
        </w:rPr>
        <w:t xml:space="preserve">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גם החשש של העברת מידע בין מתחרים מוקהה לנוכח ההוראות הקבועות בחוק האריזות, ובפרט אלו האוסרות על גוף מוכר או מי מטעמו לגלות או לעשות שימוש במידע רגיש שמגיע אליו. יחד עם זאת, על-מנת למזער את החשש מזליגת מידע ומתיאום אסור, החלטתי להתנות פטור זה בתנאים המגב</w:t>
      </w:r>
      <w:r>
        <w:rPr>
          <w:rFonts w:cs="David" w:hint="cs"/>
          <w:sz w:val="22"/>
          <w:rtl/>
        </w:rPr>
        <w:t>ילים את מינוים של מי שהם נושאי משרה בבעלי המניות בתמיר או בחברות המקבלות שירותים מתמיר, כנושאי משרה בתמיר, ובתנאים משלימים נוספים המכוונים להתמודד עם החששות הנ"ל.</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 xml:space="preserve">בדיקת רשות ההגבלים העסקיים התייחסה לחששות נוספים, הנוגעים לתחומי הפעילות של תמיר עצמה ולתחומים המשיקים להם. בפרט עלה החשש שמא הקמתה של תמיר ופעילותה יחסמו כינונה של תחרות בעתיד. במסגרת זו נבחן החשש שמא בתקנון תמיר או בהסכם המייסדים, אשר צורפו לבקשת הפטור, </w:t>
      </w:r>
      <w:r>
        <w:rPr>
          <w:rFonts w:cs="David" w:hint="cs"/>
          <w:sz w:val="22"/>
          <w:rtl/>
        </w:rPr>
        <w:t>נקבעו הוראות אשר יהיה בהן כדי למנוע מהמייסדים לעזוב את תמיר לטובת הקמת גוף מוכר אחר או לטובת קבלת שירותים ממנו. לאחר שעיינו בתקנון, נוכחנו כי זה אינו מכיל חסמים בלתי צליחים בפני עזיבת הגוף המוכר על-ידי מי מבעלות המניות בו. בין היתר העלתה בדיקתנו כי גובה הל</w:t>
      </w:r>
      <w:r>
        <w:rPr>
          <w:rFonts w:cs="David" w:hint="cs"/>
          <w:sz w:val="22"/>
          <w:rtl/>
        </w:rPr>
        <w:t>וואת הבעלים עליה הוסכם בין המייסדות, וההסדרים הנוגעים להשבתה למייסדת המבקשת לוותר על חברותה בתמיר, אינם יוצרים חסם כאמור. איום אמין של עזיבת תמיר המושמע והממומש על-ידי אחת או כמה מהחברות המייסדות (אשר כזכור הינן מהחברות המובילות בתחומי פעילותן) לטובת גוף מ</w:t>
      </w:r>
      <w:r>
        <w:rPr>
          <w:rFonts w:cs="David" w:hint="cs"/>
          <w:sz w:val="22"/>
          <w:rtl/>
        </w:rPr>
        <w:t xml:space="preserve">וכר אחר, יכול להוות רסן על תמיר עצמה, אשר הינה החברה היחידה אשר הניחה בקשת הכרה בפני המשרד להגנת הסביבה.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חשש נוסף להתפתחותה של תחרות עלול לקום באם תורחב פעילותה של תמיר אל עבר פעילות איסוף, מיון ומיחזור פסולת, חלף התקשרות עם קבלנים שיבצעו בעבורה את הפעיל</w:t>
      </w:r>
      <w:r>
        <w:rPr>
          <w:rFonts w:cs="David" w:hint="cs"/>
          <w:sz w:val="22"/>
          <w:rtl/>
        </w:rPr>
        <w:t xml:space="preserve">ויות הנ"ל. באם תתרחב פעילות תמיר כאמור, עלולים להיווצר חסמים תמירים בפני חברות אשר יבקשו לפעול כגוף מוכר. זאת, משום שאם יותר לתמיר להיות בעלים של מפעלי מיחזור, מתקני מיון, מכלי אצירה ותשתיות מיחזור אחרות, עלולה תמיר לחסום את דרכם של מתחרים אשר יבקשו לעשות </w:t>
      </w:r>
      <w:r>
        <w:rPr>
          <w:rFonts w:cs="David" w:hint="cs"/>
          <w:sz w:val="22"/>
          <w:rtl/>
        </w:rPr>
        <w:t>שימוש בתשתיות אלה כתשומה במתן השירותים הניתנים על-ידי גוף מוכר. במצב זה עלול מתחרה חדש להידרש להקים תשתיות אלה בעצמו, פעולה אשר עלולה להיות כרוכה בעלויות ניכרות ולפגוע בכדאיות הקמתו של גוף מוכר מתחרה. כך, לשם המחשה, באם יותר לתמיר להיות בעליהם של מכלי אציר</w:t>
      </w:r>
      <w:r>
        <w:rPr>
          <w:rFonts w:cs="David" w:hint="cs"/>
          <w:sz w:val="22"/>
          <w:rtl/>
        </w:rPr>
        <w:t xml:space="preserve">ה הפרושים ברשויות המקומיות, ספק אם יתאפשר למתחרים לעשות שימוש במכלים אלה, והם יידרשו להציב מכלים חדשים בעצמם ולשאת בעלויות הכרוכות בכך. אציין, כי בנסיבות מסוימות, גם קיומן של תניות בלעדיות בהסכמים בין תמיר לבין קבלני המשנה שלה עלולים לעורר חששות כאמור.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יחד עם האמור, אין בחששות אלה כדי למנוע מתן פטור מותנה לתמיר, וזאת לנוכח מצגיה, לפיהם בכוונתה לפעול אך כגוף מטה המרכז את ההתקשרות עם גורמים שונים העוסקים בטיפול בפסולת אריזות בעבורה ובעבור היצרנים והיבואנים שהתקשרו עמה, ולא לפעול בטיפול בפסולת אריזות בעצמה,</w:t>
      </w:r>
      <w:r>
        <w:rPr>
          <w:rFonts w:cs="David" w:hint="cs"/>
          <w:sz w:val="22"/>
          <w:rtl/>
        </w:rPr>
        <w:t xml:space="preserve"> וכן לאור הוראות התנאים שלהלן.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ראוי להתייחס גם לחששות הנובעים מהקשרים הקיימים בין בעלי מניות בתמיר לבין חברות העוסקות בטיפול בפסולת. בהקשר זה אציין כי על עסקאות מסוימות של תמיר, שהינה כזכור חברה לתועלת הציבור, עם בעל עניין בה, חלות הוראות סעיף 345יב לחוק</w:t>
      </w:r>
      <w:r>
        <w:rPr>
          <w:rFonts w:cs="David" w:hint="cs"/>
          <w:sz w:val="22"/>
          <w:rtl/>
        </w:rPr>
        <w:t xml:space="preserve"> החברות, התשנ"ט-1999, המחייבות הליכי אישור מיוחדים. בין היתר, תידרש תמיר לדווח על עסקאות מסוימות לרשם ההקדשות, ובחלק מהמקרים אף לקבל את אישור בית המשפט להן. מצאתי לנכון להתנות את מתן הפטור לתמיר בהעברת העתק הדיווח על עסקאות כאמור גם לממונה. אני סבור כי יש </w:t>
      </w:r>
      <w:r>
        <w:rPr>
          <w:rFonts w:cs="David" w:hint="cs"/>
          <w:sz w:val="22"/>
          <w:rtl/>
        </w:rPr>
        <w:t xml:space="preserve">באמצעים אלה כדי להקהות את החשש שמא ינצלו בעלי המניות בתמיר את מעמדם בה על-מנת להיטיב עם תאגידים שבשליטתם. </w:t>
      </w:r>
    </w:p>
    <w:p w:rsidR="00000000" w:rsidRDefault="00ED5BEA">
      <w:pPr>
        <w:bidi/>
        <w:spacing w:before="120"/>
        <w:rPr>
          <w:rFonts w:cs="David" w:hint="cs"/>
          <w:sz w:val="22"/>
          <w:rtl/>
        </w:rPr>
      </w:pPr>
    </w:p>
    <w:p w:rsidR="00000000" w:rsidRDefault="00ED5BEA">
      <w:pPr>
        <w:bidi/>
        <w:spacing w:before="120"/>
        <w:rPr>
          <w:rFonts w:cs="David" w:hint="cs"/>
          <w:sz w:val="22"/>
          <w:rtl/>
        </w:rPr>
      </w:pPr>
      <w:r>
        <w:rPr>
          <w:rFonts w:cs="David" w:hint="cs"/>
          <w:sz w:val="22"/>
          <w:rtl/>
        </w:rPr>
        <w:t xml:space="preserve"> בנסיבות אלה סבור אני כי אין מניעה ממתן פטור כמבוקש בכפוף לתנאים שלהלן. </w:t>
      </w:r>
    </w:p>
    <w:p w:rsidR="00000000" w:rsidRDefault="00ED5BEA">
      <w:pPr>
        <w:bidi/>
        <w:spacing w:before="120"/>
        <w:rPr>
          <w:rFonts w:cs="David" w:hint="cs"/>
          <w:sz w:val="22"/>
          <w:rtl/>
        </w:rPr>
      </w:pPr>
    </w:p>
    <w:p w:rsidR="00000000" w:rsidRDefault="00ED5BEA">
      <w:pPr>
        <w:pStyle w:val="Header"/>
        <w:bidi/>
        <w:spacing w:before="120" w:beforeAutospacing="0" w:after="120" w:afterAutospacing="0"/>
        <w:jc w:val="both"/>
        <w:rPr>
          <w:rStyle w:val="Strong"/>
          <w:rFonts w:hint="cs"/>
          <w:sz w:val="28"/>
          <w:szCs w:val="28"/>
          <w:rtl/>
        </w:rPr>
      </w:pPr>
      <w:r>
        <w:rPr>
          <w:rStyle w:val="Strong"/>
          <w:rFonts w:cs="David" w:hint="cs"/>
          <w:sz w:val="28"/>
          <w:szCs w:val="28"/>
          <w:rtl/>
        </w:rPr>
        <w:t>ה. סוף דבר</w:t>
      </w:r>
    </w:p>
    <w:p w:rsidR="00000000" w:rsidRDefault="00ED5BEA">
      <w:pPr>
        <w:pStyle w:val="Header"/>
        <w:bidi/>
        <w:spacing w:before="120" w:beforeAutospacing="0" w:after="120" w:afterAutospacing="0"/>
        <w:jc w:val="both"/>
        <w:rPr>
          <w:rFonts w:hint="cs"/>
          <w:sz w:val="22"/>
          <w:rtl/>
        </w:rPr>
      </w:pPr>
      <w:r>
        <w:rPr>
          <w:rFonts w:cs="David" w:hint="cs"/>
          <w:sz w:val="22"/>
          <w:rtl/>
        </w:rPr>
        <w:t>לאחר שנועצתי בועדה לפטורים ומיזוגים ראיתי לנכון להשתמש בסמכות ה</w:t>
      </w:r>
      <w:r>
        <w:rPr>
          <w:rFonts w:cs="David" w:hint="cs"/>
          <w:sz w:val="22"/>
          <w:rtl/>
        </w:rPr>
        <w:t>נתונה לי בסעיף 14 לחוק ההגבלים העסקיים ולהעניק, בכפוף לתנאים שיפורטו להלן, את הפטור המבוקש.</w:t>
      </w:r>
    </w:p>
    <w:p w:rsidR="00000000" w:rsidRDefault="00ED5BEA">
      <w:pPr>
        <w:pStyle w:val="Header"/>
        <w:bidi/>
        <w:spacing w:before="120" w:beforeAutospacing="0" w:after="120" w:afterAutospacing="0"/>
        <w:jc w:val="both"/>
        <w:rPr>
          <w:rFonts w:cs="David" w:hint="cs"/>
          <w:sz w:val="22"/>
          <w:rtl/>
        </w:rPr>
      </w:pPr>
      <w:r>
        <w:rPr>
          <w:rFonts w:cs="David" w:hint="cs"/>
          <w:sz w:val="22"/>
          <w:rtl/>
        </w:rPr>
        <w:t>תוקפו של פטור זה הינו למשך שלוש שנים מהיום.</w:t>
      </w:r>
    </w:p>
    <w:p w:rsidR="00000000" w:rsidRDefault="00ED5BEA">
      <w:pPr>
        <w:pStyle w:val="Header"/>
        <w:bidi/>
        <w:spacing w:before="120" w:beforeAutospacing="0" w:after="120" w:afterAutospacing="0"/>
        <w:jc w:val="both"/>
        <w:rPr>
          <w:rFonts w:hint="cs"/>
          <w:rtl/>
        </w:rPr>
      </w:pPr>
      <w:r>
        <w:rPr>
          <w:rFonts w:cs="David" w:hint="cs"/>
          <w:sz w:val="22"/>
          <w:rtl/>
        </w:rPr>
        <w:t>בהתאם לסעיף 15(א) לחוק ההגבלים העסקיים נתונה החלטתי זו לערר בתוך 45 יום בפני אב בית הדין להגבלים עסקיים על ידי איגוד עסק</w:t>
      </w:r>
      <w:r>
        <w:rPr>
          <w:rFonts w:cs="David" w:hint="cs"/>
          <w:sz w:val="22"/>
          <w:rtl/>
        </w:rPr>
        <w:t>י, ארגון צרכנים או כל אדם העלול להיפגע מההסדר הכובל עליו ניתן הפטור.</w:t>
      </w:r>
    </w:p>
    <w:p w:rsidR="00000000" w:rsidRDefault="00ED5BEA">
      <w:pPr>
        <w:bidi/>
        <w:ind w:left="5040"/>
        <w:rPr>
          <w:rFonts w:cs="David" w:hint="cs"/>
          <w:sz w:val="22"/>
        </w:rPr>
      </w:pPr>
      <w:r>
        <w:rPr>
          <w:rFonts w:cs="David" w:hint="cs"/>
          <w:sz w:val="22"/>
          <w:rtl/>
        </w:rPr>
        <w:t>פרופ' דיויד גילה</w:t>
      </w:r>
    </w:p>
    <w:p w:rsidR="00000000" w:rsidRDefault="00ED5BEA">
      <w:pPr>
        <w:bidi/>
        <w:ind w:left="4320"/>
        <w:rPr>
          <w:rFonts w:cs="David" w:hint="cs"/>
          <w:sz w:val="22"/>
          <w:rtl/>
        </w:rPr>
      </w:pPr>
      <w:r>
        <w:rPr>
          <w:rFonts w:cs="David" w:hint="cs"/>
          <w:sz w:val="22"/>
          <w:rtl/>
        </w:rPr>
        <w:t xml:space="preserve">      הממונה על הגבלים עסקיים </w:t>
      </w:r>
    </w:p>
    <w:p w:rsidR="00000000" w:rsidRDefault="00ED5BEA">
      <w:pPr>
        <w:bidi/>
        <w:rPr>
          <w:rFonts w:cs="David" w:hint="cs"/>
          <w:sz w:val="22"/>
          <w:rtl/>
        </w:rPr>
      </w:pPr>
      <w:r>
        <w:rPr>
          <w:rFonts w:cs="David" w:hint="cs"/>
          <w:sz w:val="22"/>
          <w:rtl/>
        </w:rPr>
        <w:t>ירושלים, ‏כ"ח סיון תשע"א</w:t>
      </w:r>
    </w:p>
    <w:p w:rsidR="00000000" w:rsidRDefault="00ED5BEA">
      <w:pPr>
        <w:bidi/>
        <w:rPr>
          <w:rFonts w:cs="David" w:hint="cs"/>
          <w:sz w:val="22"/>
          <w:rtl/>
        </w:rPr>
      </w:pPr>
      <w:r>
        <w:rPr>
          <w:rFonts w:cs="David" w:hint="cs"/>
          <w:sz w:val="22"/>
          <w:rtl/>
        </w:rPr>
        <w:t>30 ביוני, 2011</w:t>
      </w:r>
    </w:p>
    <w:p w:rsidR="00000000" w:rsidRDefault="00ED5BEA">
      <w:pPr>
        <w:bidi/>
        <w:spacing w:before="120"/>
        <w:rPr>
          <w:rFonts w:cs="David" w:hint="cs"/>
          <w:sz w:val="22"/>
          <w:rtl/>
        </w:rPr>
      </w:pPr>
    </w:p>
    <w:p w:rsidR="00000000" w:rsidRDefault="00ED5BEA">
      <w:pPr>
        <w:bidi/>
        <w:spacing w:before="120" w:after="120"/>
        <w:rPr>
          <w:rStyle w:val="Strong"/>
          <w:rFonts w:hint="cs"/>
          <w:sz w:val="28"/>
          <w:szCs w:val="28"/>
          <w:rtl/>
        </w:rPr>
      </w:pPr>
      <w:r>
        <w:rPr>
          <w:rStyle w:val="Strong"/>
          <w:rFonts w:hint="cs"/>
          <w:sz w:val="28"/>
          <w:szCs w:val="28"/>
          <w:rtl/>
        </w:rPr>
        <w:t>תנאים למתן הפטור</w:t>
      </w:r>
    </w:p>
    <w:p w:rsidR="00000000" w:rsidRDefault="00ED5BEA">
      <w:pPr>
        <w:numPr>
          <w:ilvl w:val="0"/>
          <w:numId w:val="1"/>
        </w:numPr>
        <w:bidi/>
        <w:rPr>
          <w:rFonts w:eastAsia="Times New Roman" w:hint="cs"/>
        </w:rPr>
      </w:pPr>
      <w:r>
        <w:rPr>
          <w:rFonts w:eastAsia="Times New Roman" w:cs="David" w:hint="cs"/>
          <w:sz w:val="22"/>
          <w:rtl/>
        </w:rPr>
        <w:t xml:space="preserve">הגדרות: </w:t>
      </w:r>
    </w:p>
    <w:p w:rsidR="00000000" w:rsidRDefault="00ED5BEA">
      <w:pPr>
        <w:bidi/>
        <w:spacing w:before="120"/>
        <w:ind w:left="720"/>
        <w:rPr>
          <w:rFonts w:cs="David" w:hint="cs"/>
          <w:sz w:val="22"/>
        </w:rPr>
      </w:pPr>
      <w:r>
        <w:rPr>
          <w:rFonts w:cs="David" w:hint="cs"/>
          <w:sz w:val="22"/>
          <w:rtl/>
        </w:rPr>
        <w:t xml:space="preserve">"אדם קשור" – </w:t>
      </w:r>
      <w:r>
        <w:rPr>
          <w:rFonts w:cs="David" w:hint="cs"/>
          <w:sz w:val="22"/>
          <w:rtl/>
        </w:rPr>
        <w:t>אדם השולט בתמיר, תאגיד הנשלט על-ידיה וכל תאגיד הנשלט בידי מי מהם;</w:t>
      </w:r>
    </w:p>
    <w:p w:rsidR="00000000" w:rsidRDefault="00ED5BEA">
      <w:pPr>
        <w:bidi/>
        <w:spacing w:before="120"/>
        <w:ind w:left="720"/>
        <w:rPr>
          <w:rFonts w:cs="David" w:hint="cs"/>
          <w:sz w:val="22"/>
          <w:rtl/>
        </w:rPr>
      </w:pPr>
      <w:r>
        <w:rPr>
          <w:rFonts w:cs="David" w:hint="cs"/>
          <w:sz w:val="22"/>
          <w:rtl/>
        </w:rPr>
        <w:t>"בעלי מניות" – בעלי מניות בתמיר;</w:t>
      </w:r>
    </w:p>
    <w:p w:rsidR="00000000" w:rsidRDefault="00ED5BEA">
      <w:pPr>
        <w:bidi/>
        <w:ind w:left="720"/>
        <w:rPr>
          <w:rFonts w:cs="David" w:hint="cs"/>
          <w:sz w:val="22"/>
          <w:rtl/>
        </w:rPr>
      </w:pPr>
      <w:r>
        <w:rPr>
          <w:rFonts w:cs="David" w:hint="cs"/>
          <w:sz w:val="22"/>
          <w:rtl/>
        </w:rPr>
        <w:t>"זיקה" – כל אחד מאלה: קיום יחסי עבודה או מתן שירות באופן אחר, קיום קשרים עסקיים, החזקה בזכות בתאגיד או כהונה כנושא משרה;</w:t>
      </w:r>
    </w:p>
    <w:p w:rsidR="00000000" w:rsidRDefault="00ED5BEA">
      <w:pPr>
        <w:bidi/>
        <w:ind w:firstLine="720"/>
        <w:rPr>
          <w:rFonts w:cs="David" w:hint="cs"/>
          <w:rtl/>
        </w:rPr>
      </w:pPr>
      <w:r>
        <w:rPr>
          <w:rFonts w:cs="David" w:hint="cs"/>
          <w:sz w:val="22"/>
          <w:rtl/>
        </w:rPr>
        <w:t>"זכות בתאגיד" - כ</w:t>
      </w:r>
      <w:r>
        <w:rPr>
          <w:rFonts w:cs="David" w:hint="cs"/>
          <w:rtl/>
        </w:rPr>
        <w:t xml:space="preserve">ל אחת מאלה: </w:t>
      </w:r>
    </w:p>
    <w:p w:rsidR="00000000" w:rsidRDefault="00ED5BEA">
      <w:pPr>
        <w:tabs>
          <w:tab w:val="num" w:pos="1440"/>
        </w:tabs>
        <w:overflowPunct w:val="0"/>
        <w:bidi/>
        <w:adjustRightInd w:val="0"/>
        <w:ind w:left="1440" w:hanging="360"/>
        <w:textAlignment w:val="baseline"/>
        <w:rPr>
          <w:rFonts w:cs="David" w:hint="cs"/>
          <w:rtl/>
        </w:rPr>
      </w:pPr>
      <w:r>
        <w:rPr>
          <w:rFonts w:hint="cs"/>
          <w:rtl/>
        </w:rPr>
        <w:t>(1)</w:t>
      </w:r>
      <w:r>
        <w:rPr>
          <w:sz w:val="14"/>
          <w:szCs w:val="14"/>
          <w:rtl/>
        </w:rPr>
        <w:t xml:space="preserve">   </w:t>
      </w:r>
      <w:r>
        <w:rPr>
          <w:rFonts w:cs="David" w:hint="cs"/>
          <w:rtl/>
        </w:rPr>
        <w:t xml:space="preserve">בעלות במניה, החזקה בה או זכות להורות על מכירתה; </w:t>
      </w:r>
    </w:p>
    <w:p w:rsidR="00000000" w:rsidRDefault="00ED5BEA">
      <w:pPr>
        <w:tabs>
          <w:tab w:val="num" w:pos="1440"/>
        </w:tabs>
        <w:overflowPunct w:val="0"/>
        <w:bidi/>
        <w:adjustRightInd w:val="0"/>
        <w:ind w:left="1440" w:hanging="360"/>
        <w:textAlignment w:val="baseline"/>
        <w:rPr>
          <w:rFonts w:cs="David" w:hint="cs"/>
          <w:rtl/>
        </w:rPr>
      </w:pPr>
      <w:r>
        <w:rPr>
          <w:rFonts w:hint="cs"/>
          <w:rtl/>
        </w:rPr>
        <w:t>(2)</w:t>
      </w:r>
      <w:r>
        <w:rPr>
          <w:sz w:val="14"/>
          <w:szCs w:val="14"/>
          <w:rtl/>
        </w:rPr>
        <w:t xml:space="preserve">   </w:t>
      </w:r>
      <w:r>
        <w:rPr>
          <w:rFonts w:cs="David" w:hint="cs"/>
          <w:rtl/>
        </w:rPr>
        <w:t xml:space="preserve">זכות להצביע מכוח מניה באסיפה כללית של חברה או בגוף מקביל לאסיפה כללית של תאגיד אחר, או זכות להורות כיצד להצביע מכוח המניה; </w:t>
      </w:r>
    </w:p>
    <w:p w:rsidR="00000000" w:rsidRDefault="00ED5BEA">
      <w:pPr>
        <w:tabs>
          <w:tab w:val="num" w:pos="1440"/>
        </w:tabs>
        <w:overflowPunct w:val="0"/>
        <w:bidi/>
        <w:adjustRightInd w:val="0"/>
        <w:ind w:left="1440" w:hanging="360"/>
        <w:textAlignment w:val="baseline"/>
        <w:rPr>
          <w:rFonts w:cs="David" w:hint="cs"/>
          <w:rtl/>
        </w:rPr>
      </w:pPr>
      <w:r>
        <w:rPr>
          <w:rFonts w:hint="cs"/>
          <w:rtl/>
        </w:rPr>
        <w:t>(3)</w:t>
      </w:r>
      <w:r>
        <w:rPr>
          <w:sz w:val="14"/>
          <w:szCs w:val="14"/>
          <w:rtl/>
        </w:rPr>
        <w:t xml:space="preserve">   </w:t>
      </w:r>
      <w:r>
        <w:rPr>
          <w:rFonts w:cs="David" w:hint="cs"/>
          <w:rtl/>
        </w:rPr>
        <w:t xml:space="preserve">זכות למנות דירקטור או מנהל כללי, ובתאגיד שאינו חברה – </w:t>
      </w:r>
      <w:r>
        <w:rPr>
          <w:rFonts w:cs="David" w:hint="cs"/>
          <w:rtl/>
        </w:rPr>
        <w:t xml:space="preserve">בעלי תפקידים דומים; לעניין זה יראו את מי שמינה דירקטור או מנהל כללי בתאגיד כבעל הזכות למנותו; </w:t>
      </w:r>
    </w:p>
    <w:p w:rsidR="00000000" w:rsidRDefault="00ED5BEA">
      <w:pPr>
        <w:tabs>
          <w:tab w:val="num" w:pos="1440"/>
        </w:tabs>
        <w:overflowPunct w:val="0"/>
        <w:bidi/>
        <w:adjustRightInd w:val="0"/>
        <w:ind w:left="1440" w:hanging="360"/>
        <w:textAlignment w:val="baseline"/>
        <w:rPr>
          <w:rFonts w:cs="David" w:hint="cs"/>
          <w:rtl/>
        </w:rPr>
      </w:pPr>
      <w:r>
        <w:rPr>
          <w:rFonts w:hint="cs"/>
          <w:rtl/>
        </w:rPr>
        <w:t>(4)</w:t>
      </w:r>
      <w:r>
        <w:rPr>
          <w:sz w:val="14"/>
          <w:szCs w:val="14"/>
          <w:rtl/>
        </w:rPr>
        <w:t xml:space="preserve">   </w:t>
      </w:r>
      <w:r>
        <w:rPr>
          <w:rFonts w:cs="David" w:hint="cs"/>
          <w:rtl/>
        </w:rPr>
        <w:t xml:space="preserve">זכות להשתתף ברווחי התאגיד; </w:t>
      </w:r>
    </w:p>
    <w:p w:rsidR="00000000" w:rsidRDefault="00ED5BEA">
      <w:pPr>
        <w:tabs>
          <w:tab w:val="num" w:pos="1440"/>
        </w:tabs>
        <w:overflowPunct w:val="0"/>
        <w:bidi/>
        <w:adjustRightInd w:val="0"/>
        <w:ind w:left="1440" w:hanging="360"/>
        <w:textAlignment w:val="baseline"/>
        <w:rPr>
          <w:rFonts w:cs="David" w:hint="cs"/>
          <w:rtl/>
        </w:rPr>
      </w:pPr>
      <w:r>
        <w:rPr>
          <w:rFonts w:hint="cs"/>
          <w:rtl/>
        </w:rPr>
        <w:t>(5)</w:t>
      </w:r>
      <w:r>
        <w:rPr>
          <w:sz w:val="14"/>
          <w:szCs w:val="14"/>
          <w:rtl/>
        </w:rPr>
        <w:t xml:space="preserve">   </w:t>
      </w:r>
      <w:r>
        <w:rPr>
          <w:rFonts w:cs="David" w:hint="cs"/>
          <w:rtl/>
        </w:rPr>
        <w:t xml:space="preserve">זכות לחלוק ביתרת נכסי התאגיד לאחר סילוק חובותיו בעת פירוקו; </w:t>
      </w:r>
    </w:p>
    <w:p w:rsidR="00000000" w:rsidRDefault="00ED5BEA">
      <w:pPr>
        <w:tabs>
          <w:tab w:val="num" w:pos="1440"/>
        </w:tabs>
        <w:overflowPunct w:val="0"/>
        <w:bidi/>
        <w:adjustRightInd w:val="0"/>
        <w:ind w:left="1440" w:hanging="360"/>
        <w:textAlignment w:val="baseline"/>
        <w:rPr>
          <w:rFonts w:cs="David" w:hint="cs"/>
          <w:rtl/>
        </w:rPr>
      </w:pPr>
      <w:r>
        <w:rPr>
          <w:rFonts w:hint="cs"/>
          <w:rtl/>
        </w:rPr>
        <w:t>(6)</w:t>
      </w:r>
      <w:r>
        <w:rPr>
          <w:sz w:val="14"/>
          <w:szCs w:val="14"/>
          <w:rtl/>
        </w:rPr>
        <w:t xml:space="preserve">   </w:t>
      </w:r>
      <w:r>
        <w:rPr>
          <w:rFonts w:cs="David" w:hint="cs"/>
          <w:rtl/>
        </w:rPr>
        <w:t>כל זכות שתוכנה כתוכן זכות כאמור בפסקאות (1) עד (5), אף</w:t>
      </w:r>
      <w:r>
        <w:rPr>
          <w:rFonts w:cs="David" w:hint="cs"/>
          <w:rtl/>
        </w:rPr>
        <w:t xml:space="preserve"> אם תוארה שונה.</w:t>
      </w:r>
    </w:p>
    <w:p w:rsidR="00000000" w:rsidRDefault="00ED5BEA">
      <w:pPr>
        <w:bidi/>
        <w:spacing w:before="120"/>
        <w:ind w:left="720"/>
        <w:rPr>
          <w:rFonts w:cs="David" w:hint="cs"/>
          <w:sz w:val="22"/>
          <w:rtl/>
        </w:rPr>
      </w:pPr>
      <w:r>
        <w:rPr>
          <w:rFonts w:cs="David" w:hint="cs"/>
          <w:sz w:val="22"/>
          <w:rtl/>
        </w:rPr>
        <w:t>"חוק האריזות" – חוק להסדרת הטיפול באריזות, התשע"א-2011;</w:t>
      </w:r>
    </w:p>
    <w:p w:rsidR="00000000" w:rsidRDefault="00ED5BEA">
      <w:pPr>
        <w:bidi/>
        <w:spacing w:before="120"/>
        <w:ind w:left="720"/>
        <w:rPr>
          <w:rFonts w:cs="David" w:hint="cs"/>
          <w:sz w:val="22"/>
          <w:rtl/>
        </w:rPr>
      </w:pPr>
      <w:r>
        <w:rPr>
          <w:rFonts w:cs="David" w:hint="cs"/>
          <w:sz w:val="22"/>
          <w:rtl/>
        </w:rPr>
        <w:t xml:space="preserve">"חוק החברות" – חוק החברות, התשנ"ט-1999; </w:t>
      </w:r>
    </w:p>
    <w:p w:rsidR="00000000" w:rsidRDefault="00ED5BEA">
      <w:pPr>
        <w:bidi/>
        <w:spacing w:before="120"/>
        <w:ind w:left="720"/>
        <w:rPr>
          <w:rFonts w:hint="cs"/>
          <w:rtl/>
        </w:rPr>
      </w:pPr>
      <w:r>
        <w:rPr>
          <w:rFonts w:cs="David" w:hint="cs"/>
          <w:sz w:val="22"/>
          <w:rtl/>
        </w:rPr>
        <w:t xml:space="preserve">"מידע מפולח" – מידע על אודות כמות, משקל, נפח או מספר האריזות שיוצרו, יובאו, שווקו או נמכרו על-ידי מקבל שירותים מסוים בתקופה נתונה, או על אודות </w:t>
      </w:r>
      <w:r>
        <w:rPr>
          <w:rFonts w:cs="David" w:hint="cs"/>
          <w:sz w:val="22"/>
          <w:rtl/>
        </w:rPr>
        <w:t>כמות, משקל, נפח או מספר האריזות של יצרן או יבואן בהן טיפלו תמיר או מי מטעמה, לרבות מידע ממנו ניתן ליצור מידע מפולח.</w:t>
      </w:r>
    </w:p>
    <w:p w:rsidR="00000000" w:rsidRDefault="00ED5BEA">
      <w:pPr>
        <w:bidi/>
        <w:spacing w:before="120"/>
        <w:ind w:left="720"/>
        <w:rPr>
          <w:rFonts w:cs="David" w:hint="cs"/>
          <w:sz w:val="22"/>
        </w:rPr>
      </w:pPr>
      <w:r>
        <w:rPr>
          <w:rFonts w:cs="David" w:hint="cs"/>
          <w:sz w:val="22"/>
          <w:rtl/>
        </w:rPr>
        <w:t xml:space="preserve">"מידע מצרפי" –מידע שאינו מידע מפולח, לרבות מידע על סך הכמות, המשקל, הנפח או מספר האריזות אשר לגביהם חל חוק האריזות או אשר בהן טיפלו תמיר או </w:t>
      </w:r>
      <w:r>
        <w:rPr>
          <w:rFonts w:cs="David" w:hint="cs"/>
          <w:sz w:val="22"/>
          <w:rtl/>
        </w:rPr>
        <w:t>מי מטעמה ולרבות מידע כאמור ביחס לסוג אריזות מסוים או חומר מסוים.</w:t>
      </w:r>
    </w:p>
    <w:p w:rsidR="00000000" w:rsidRDefault="00ED5BEA">
      <w:pPr>
        <w:tabs>
          <w:tab w:val="left" w:pos="6311"/>
        </w:tabs>
        <w:bidi/>
        <w:spacing w:before="120"/>
        <w:ind w:left="720"/>
        <w:rPr>
          <w:rFonts w:cs="David" w:hint="cs"/>
          <w:sz w:val="22"/>
          <w:rtl/>
        </w:rPr>
      </w:pPr>
      <w:r>
        <w:rPr>
          <w:rFonts w:cs="David" w:hint="cs"/>
          <w:sz w:val="22"/>
          <w:rtl/>
        </w:rPr>
        <w:t xml:space="preserve">"מכל אצירה" – כלי קיבול לאצירת פסולת, בין למיחזור ובין שלא למיחזור.   </w:t>
      </w:r>
    </w:p>
    <w:p w:rsidR="00000000" w:rsidRDefault="00ED5BEA">
      <w:pPr>
        <w:bidi/>
        <w:spacing w:before="120"/>
        <w:ind w:left="720"/>
        <w:rPr>
          <w:rFonts w:cs="David" w:hint="cs"/>
          <w:sz w:val="22"/>
          <w:rtl/>
        </w:rPr>
      </w:pPr>
      <w:r>
        <w:rPr>
          <w:rFonts w:cs="David" w:hint="cs"/>
          <w:sz w:val="22"/>
          <w:rtl/>
        </w:rPr>
        <w:t>"מקבל שירותים" – אדם שהתקשר עם תמיר לפי סעיף 9 לחוק האריזות, לרבות בעלי מניות בתמיר;</w:t>
      </w:r>
    </w:p>
    <w:p w:rsidR="00000000" w:rsidRDefault="00ED5BEA">
      <w:pPr>
        <w:bidi/>
        <w:spacing w:before="120"/>
        <w:ind w:left="720"/>
        <w:rPr>
          <w:rFonts w:cs="David" w:hint="cs"/>
          <w:sz w:val="22"/>
          <w:rtl/>
        </w:rPr>
      </w:pPr>
      <w:r>
        <w:rPr>
          <w:rFonts w:cs="David" w:hint="cs"/>
          <w:sz w:val="22"/>
          <w:rtl/>
        </w:rPr>
        <w:t>"תמיר" – ת.מ.י.ר. – תאגיד מחזור יצר</w:t>
      </w:r>
      <w:r>
        <w:rPr>
          <w:rFonts w:cs="David" w:hint="cs"/>
          <w:sz w:val="22"/>
          <w:rtl/>
        </w:rPr>
        <w:t>נים בישראל (חברה לתועלת הציבור) וכל אדם קשור לה.</w:t>
      </w:r>
    </w:p>
    <w:p w:rsidR="00000000" w:rsidRDefault="00ED5BEA">
      <w:pPr>
        <w:numPr>
          <w:ilvl w:val="0"/>
          <w:numId w:val="2"/>
        </w:numPr>
        <w:bidi/>
        <w:rPr>
          <w:rFonts w:eastAsia="Times New Roman" w:hint="cs"/>
          <w:rtl/>
        </w:rPr>
      </w:pPr>
      <w:r>
        <w:rPr>
          <w:rFonts w:eastAsia="Times New Roman" w:cs="David" w:hint="cs"/>
          <w:sz w:val="22"/>
          <w:rtl/>
        </w:rPr>
        <w:t xml:space="preserve">אדם שהוא נושא משרה או עובד מנהלי בכיר במי ממקבלי השירותים, או אדם קשור להם, לא יהיה נושא משרה, עובד או יועץ בתמיר, והכל בין במישרין ובין בעקיפין. </w:t>
      </w:r>
    </w:p>
    <w:p w:rsidR="00000000" w:rsidRDefault="00ED5BEA">
      <w:pPr>
        <w:numPr>
          <w:ilvl w:val="0"/>
          <w:numId w:val="2"/>
        </w:numPr>
        <w:bidi/>
        <w:rPr>
          <w:rFonts w:eastAsia="Times New Roman" w:hint="cs"/>
        </w:rPr>
      </w:pPr>
      <w:r>
        <w:rPr>
          <w:rFonts w:eastAsia="Times New Roman" w:cs="David" w:hint="cs"/>
          <w:sz w:val="22"/>
          <w:rtl/>
        </w:rPr>
        <w:t>על אף האמור בסעיף 2 לעיל, מינויו של עובד מנהלי בכיר במי מבעלי המניות בתמיר כנושא משרה, עובד או יועץ בתמיר יותר אם אושר על-ידי הממונה, מראש ובכתב, ובכפוף לתנאים שנקבעו לכך על-ידי הממונה;</w:t>
      </w:r>
    </w:p>
    <w:p w:rsidR="00000000" w:rsidRDefault="00ED5BEA">
      <w:pPr>
        <w:numPr>
          <w:ilvl w:val="0"/>
          <w:numId w:val="2"/>
        </w:numPr>
        <w:bidi/>
        <w:rPr>
          <w:rFonts w:eastAsia="Times New Roman" w:hint="cs"/>
        </w:rPr>
      </w:pPr>
      <w:r>
        <w:rPr>
          <w:rFonts w:eastAsia="Times New Roman" w:cs="David" w:hint="cs"/>
          <w:sz w:val="22"/>
          <w:rtl/>
        </w:rPr>
        <w:t>כל אדם המשמש כנושא משרה, כעובד מנהלי בכיר או כאחראי מטעם תמיר על הדיוו</w:t>
      </w:r>
      <w:r>
        <w:rPr>
          <w:rFonts w:eastAsia="Times New Roman" w:cs="David" w:hint="cs"/>
          <w:sz w:val="22"/>
          <w:rtl/>
        </w:rPr>
        <w:t xml:space="preserve">חים לפי סעיף 7 לחוק האריזות, יחתום טרם תחילת ביצוע תפקידו על כתב התחייבות בנוסח המצורף לתנאים אלה כנספח א', ויעבירו לממונה. </w:t>
      </w:r>
    </w:p>
    <w:p w:rsidR="00000000" w:rsidRDefault="00ED5BEA">
      <w:pPr>
        <w:numPr>
          <w:ilvl w:val="0"/>
          <w:numId w:val="2"/>
        </w:numPr>
        <w:bidi/>
        <w:rPr>
          <w:rFonts w:eastAsia="Times New Roman" w:cs="David" w:hint="cs"/>
          <w:sz w:val="22"/>
        </w:rPr>
      </w:pPr>
      <w:r>
        <w:rPr>
          <w:rFonts w:eastAsia="Times New Roman" w:cs="David" w:hint="cs"/>
          <w:sz w:val="22"/>
          <w:rtl/>
        </w:rPr>
        <w:t>בפעילותה של תמיר, יתבצעו המגעים בין מקבלי השירותים ובעלי המניות באופן המצמצם כל חשש להפחתת התחרות ביניהם - כולם או מקצתם, או בינם ל</w:t>
      </w:r>
      <w:r>
        <w:rPr>
          <w:rFonts w:eastAsia="Times New Roman" w:cs="David" w:hint="cs"/>
          <w:sz w:val="22"/>
          <w:rtl/>
        </w:rPr>
        <w:t xml:space="preserve">בין אחרים; בכלל זה - </w:t>
      </w:r>
    </w:p>
    <w:p w:rsidR="00000000" w:rsidRDefault="00ED5BEA">
      <w:pPr>
        <w:tabs>
          <w:tab w:val="num" w:pos="1440"/>
        </w:tabs>
        <w:bidi/>
        <w:ind w:left="1440" w:hanging="360"/>
        <w:rPr>
          <w:rFonts w:cs="David" w:hint="cs"/>
          <w:sz w:val="22"/>
          <w:rtl/>
        </w:rPr>
      </w:pPr>
      <w:r>
        <w:rPr>
          <w:rFonts w:eastAsia="David"/>
          <w:sz w:val="14"/>
          <w:szCs w:val="14"/>
          <w:rtl/>
        </w:rPr>
        <w:t xml:space="preserve">                                 </w:t>
      </w:r>
      <w:r>
        <w:rPr>
          <w:rFonts w:eastAsia="David" w:cs="David" w:hint="cs"/>
          <w:sz w:val="22"/>
          <w:rtl/>
        </w:rPr>
        <w:t>א.</w:t>
      </w:r>
      <w:r>
        <w:rPr>
          <w:rFonts w:eastAsia="David"/>
          <w:sz w:val="14"/>
          <w:szCs w:val="14"/>
          <w:rtl/>
        </w:rPr>
        <w:t xml:space="preserve">         </w:t>
      </w:r>
      <w:r>
        <w:rPr>
          <w:rFonts w:cs="David" w:hint="cs"/>
          <w:sz w:val="22"/>
          <w:rtl/>
        </w:rPr>
        <w:t>מקבלי השירותים לא יעבירו לתמיר ותמיר לא תקבל ממקבלי השירותים כל מידע שעניינו עלויות, רווחיות או תמחור הנוגעים לפעילות מי מהם או למתחרה של מי מהם;</w:t>
      </w:r>
    </w:p>
    <w:p w:rsidR="00000000" w:rsidRDefault="00ED5BEA">
      <w:pPr>
        <w:tabs>
          <w:tab w:val="num" w:pos="1440"/>
        </w:tabs>
        <w:bidi/>
        <w:ind w:left="1440" w:hanging="360"/>
        <w:rPr>
          <w:rFonts w:cs="David" w:hint="cs"/>
          <w:sz w:val="22"/>
          <w:rtl/>
        </w:rPr>
      </w:pPr>
      <w:r>
        <w:rPr>
          <w:rFonts w:eastAsia="David"/>
          <w:sz w:val="14"/>
          <w:szCs w:val="14"/>
          <w:rtl/>
        </w:rPr>
        <w:t xml:space="preserve">                                 </w:t>
      </w:r>
      <w:r>
        <w:rPr>
          <w:rFonts w:eastAsia="David" w:cs="David" w:hint="cs"/>
          <w:sz w:val="22"/>
          <w:rtl/>
        </w:rPr>
        <w:t>ב.</w:t>
      </w:r>
      <w:r>
        <w:rPr>
          <w:rFonts w:eastAsia="David"/>
          <w:sz w:val="14"/>
          <w:szCs w:val="14"/>
          <w:rtl/>
        </w:rPr>
        <w:t xml:space="preserve">         </w:t>
      </w:r>
      <w:r>
        <w:rPr>
          <w:rFonts w:cs="David" w:hint="cs"/>
          <w:sz w:val="22"/>
          <w:rtl/>
        </w:rPr>
        <w:t>מידע שהועבר לתמיר הנוגע לענייניו של מקבל שירותים לא יועבר למקבל שירותים אחר;</w:t>
      </w:r>
    </w:p>
    <w:p w:rsidR="00000000" w:rsidRDefault="00ED5BEA">
      <w:pPr>
        <w:tabs>
          <w:tab w:val="num" w:pos="1440"/>
        </w:tabs>
        <w:bidi/>
        <w:ind w:left="1440" w:hanging="360"/>
        <w:rPr>
          <w:rFonts w:cs="David" w:hint="cs"/>
          <w:sz w:val="22"/>
          <w:rtl/>
        </w:rPr>
      </w:pPr>
      <w:r>
        <w:rPr>
          <w:rFonts w:eastAsia="David"/>
          <w:sz w:val="14"/>
          <w:szCs w:val="14"/>
          <w:rtl/>
        </w:rPr>
        <w:t xml:space="preserve">                                  </w:t>
      </w:r>
      <w:r>
        <w:rPr>
          <w:rFonts w:eastAsia="David" w:cs="David" w:hint="cs"/>
          <w:sz w:val="22"/>
          <w:rtl/>
        </w:rPr>
        <w:t>ג.</w:t>
      </w:r>
      <w:r>
        <w:rPr>
          <w:rFonts w:eastAsia="David"/>
          <w:sz w:val="14"/>
          <w:szCs w:val="14"/>
          <w:rtl/>
        </w:rPr>
        <w:t xml:space="preserve">          </w:t>
      </w:r>
      <w:r>
        <w:rPr>
          <w:rFonts w:cs="David" w:hint="cs"/>
          <w:sz w:val="22"/>
          <w:rtl/>
        </w:rPr>
        <w:t>מגעים בין מקבלי השירותים ייערכו בין בעלי התפקידים ההכרחיים לשם תפעולה השוטף של תמיר בלבד ולשם כך בלבד;</w:t>
      </w:r>
    </w:p>
    <w:p w:rsidR="00000000" w:rsidRDefault="00ED5BEA">
      <w:pPr>
        <w:tabs>
          <w:tab w:val="num" w:pos="1440"/>
        </w:tabs>
        <w:bidi/>
        <w:ind w:left="1440" w:hanging="360"/>
        <w:rPr>
          <w:rFonts w:cs="David" w:hint="cs"/>
          <w:sz w:val="22"/>
          <w:rtl/>
        </w:rPr>
      </w:pPr>
      <w:r>
        <w:rPr>
          <w:rFonts w:eastAsia="David"/>
          <w:sz w:val="14"/>
          <w:szCs w:val="14"/>
          <w:rtl/>
        </w:rPr>
        <w:t>                              </w:t>
      </w:r>
      <w:r>
        <w:rPr>
          <w:rFonts w:eastAsia="David"/>
          <w:sz w:val="14"/>
          <w:szCs w:val="14"/>
          <w:rtl/>
        </w:rPr>
        <w:t xml:space="preserve">   </w:t>
      </w:r>
      <w:r>
        <w:rPr>
          <w:rFonts w:eastAsia="David" w:cs="David" w:hint="cs"/>
          <w:sz w:val="22"/>
          <w:rtl/>
        </w:rPr>
        <w:t>ד.</w:t>
      </w:r>
      <w:r>
        <w:rPr>
          <w:rFonts w:eastAsia="David"/>
          <w:sz w:val="14"/>
          <w:szCs w:val="14"/>
          <w:rtl/>
        </w:rPr>
        <w:t xml:space="preserve">         </w:t>
      </w:r>
      <w:r>
        <w:rPr>
          <w:rFonts w:cs="David" w:hint="cs"/>
          <w:sz w:val="22"/>
          <w:rtl/>
        </w:rPr>
        <w:t>מנהל תמיר, מנהל התפעול, מנהל הכספים והאדם האחראי מטעם תמיר על הדיווחים לפי סעיף 7 לחוק האריזות לא יהיו בעלי זיקה כלשהי למי ממקבלי השירותים.</w:t>
      </w:r>
    </w:p>
    <w:p w:rsidR="00000000" w:rsidRDefault="00ED5BEA">
      <w:pPr>
        <w:tabs>
          <w:tab w:val="num" w:pos="1440"/>
        </w:tabs>
        <w:bidi/>
        <w:ind w:left="1440" w:hanging="360"/>
        <w:rPr>
          <w:rFonts w:hint="cs"/>
          <w:rtl/>
        </w:rPr>
      </w:pPr>
      <w:r>
        <w:rPr>
          <w:rFonts w:eastAsia="David"/>
          <w:sz w:val="14"/>
          <w:szCs w:val="14"/>
          <w:rtl/>
        </w:rPr>
        <w:t xml:space="preserve">                                 </w:t>
      </w:r>
      <w:r>
        <w:rPr>
          <w:rFonts w:eastAsia="David" w:cs="David" w:hint="cs"/>
          <w:sz w:val="22"/>
          <w:rtl/>
        </w:rPr>
        <w:t>ה.</w:t>
      </w:r>
      <w:r>
        <w:rPr>
          <w:rFonts w:eastAsia="David"/>
          <w:sz w:val="14"/>
          <w:szCs w:val="14"/>
          <w:rtl/>
        </w:rPr>
        <w:t xml:space="preserve">         </w:t>
      </w:r>
      <w:r>
        <w:rPr>
          <w:rFonts w:cs="David" w:hint="cs"/>
          <w:sz w:val="22"/>
          <w:rtl/>
        </w:rPr>
        <w:t>תמיר תקבע נהלים כתובים להבטחת קיום האמור בפסקאות משנה א' –</w:t>
      </w:r>
      <w:r>
        <w:rPr>
          <w:rFonts w:cs="David" w:hint="cs"/>
          <w:sz w:val="22"/>
          <w:rtl/>
        </w:rPr>
        <w:t xml:space="preserve"> ד' לעיל בתוך שלושה חודשים מיום מתן הפטור, ותעביר עותק מהם לידי הממונה. </w:t>
      </w:r>
    </w:p>
    <w:p w:rsidR="00000000" w:rsidRDefault="00ED5BEA">
      <w:pPr>
        <w:tabs>
          <w:tab w:val="num" w:pos="1440"/>
        </w:tabs>
        <w:bidi/>
        <w:ind w:left="1440" w:hanging="360"/>
        <w:rPr>
          <w:rFonts w:cs="David" w:hint="cs"/>
          <w:sz w:val="22"/>
        </w:rPr>
      </w:pPr>
      <w:r>
        <w:rPr>
          <w:rFonts w:eastAsia="David"/>
          <w:sz w:val="14"/>
          <w:szCs w:val="14"/>
          <w:rtl/>
        </w:rPr>
        <w:t xml:space="preserve">                                  </w:t>
      </w:r>
      <w:r>
        <w:rPr>
          <w:rFonts w:eastAsia="David" w:cs="David" w:hint="cs"/>
          <w:sz w:val="22"/>
          <w:rtl/>
        </w:rPr>
        <w:t>ו.</w:t>
      </w:r>
      <w:r>
        <w:rPr>
          <w:rFonts w:eastAsia="David"/>
          <w:sz w:val="14"/>
          <w:szCs w:val="14"/>
          <w:rtl/>
        </w:rPr>
        <w:t xml:space="preserve">          </w:t>
      </w:r>
      <w:r>
        <w:rPr>
          <w:rFonts w:cs="David" w:hint="cs"/>
          <w:sz w:val="22"/>
          <w:rtl/>
        </w:rPr>
        <w:t>מבלי לגרוע מכלליות האמור לעיל, תמיר לא תעביר למקבלי השירותים ממנה מידע מפולח. אין באמור לעיל כדי למנוע מתמיר להעביר למקבל שירותים מידע מצ</w:t>
      </w:r>
      <w:r>
        <w:rPr>
          <w:rFonts w:cs="David" w:hint="cs"/>
          <w:sz w:val="22"/>
          <w:rtl/>
        </w:rPr>
        <w:t>רפי או כדי למנוע מתמיר להעביר למקבל שירותים ממנה מידע הנוגע כולו למקבל המידע ולו בלבד, או כדי למנוע מתמיר להעביר דיווחים כאמור בסעיף 7 לחוק האריזות.</w:t>
      </w:r>
    </w:p>
    <w:p w:rsidR="00000000" w:rsidRDefault="00ED5BEA">
      <w:pPr>
        <w:tabs>
          <w:tab w:val="num" w:pos="1440"/>
        </w:tabs>
        <w:bidi/>
        <w:ind w:left="1440" w:hanging="360"/>
        <w:rPr>
          <w:rFonts w:cs="David" w:hint="cs"/>
          <w:sz w:val="22"/>
          <w:rtl/>
        </w:rPr>
      </w:pPr>
      <w:r>
        <w:rPr>
          <w:rFonts w:eastAsia="David"/>
          <w:sz w:val="14"/>
          <w:szCs w:val="14"/>
          <w:rtl/>
        </w:rPr>
        <w:t xml:space="preserve">                                  </w:t>
      </w:r>
      <w:r>
        <w:rPr>
          <w:rFonts w:eastAsia="David" w:cs="David" w:hint="cs"/>
          <w:sz w:val="22"/>
          <w:rtl/>
        </w:rPr>
        <w:t>ז.</w:t>
      </w:r>
      <w:r>
        <w:rPr>
          <w:rFonts w:eastAsia="David"/>
          <w:sz w:val="14"/>
          <w:szCs w:val="14"/>
          <w:rtl/>
        </w:rPr>
        <w:t xml:space="preserve">          </w:t>
      </w:r>
      <w:r>
        <w:rPr>
          <w:rFonts w:cs="David" w:hint="cs"/>
          <w:sz w:val="22"/>
          <w:rtl/>
        </w:rPr>
        <w:t xml:space="preserve">כל החלטות תמיר ופעולותיה של זו יתועדו בכתב טרם או בעת עשייתן </w:t>
      </w:r>
      <w:r>
        <w:rPr>
          <w:rFonts w:cs="David" w:hint="cs"/>
          <w:sz w:val="22"/>
          <w:rtl/>
        </w:rPr>
        <w:t xml:space="preserve">כך שכל כתב כאמור יישמר במשרדי תמיר ויומצא לממונה מיד בסמוך לדרישה מטעמו בעניין זה; מבלי לגרוע מכלליות האמור, יתועדו כל  אלה – </w:t>
      </w:r>
    </w:p>
    <w:p w:rsidR="00000000" w:rsidRDefault="00ED5BEA">
      <w:pPr>
        <w:tabs>
          <w:tab w:val="num" w:pos="2340"/>
        </w:tabs>
        <w:bidi/>
        <w:ind w:left="2340" w:hanging="360"/>
        <w:rPr>
          <w:rFonts w:cs="David" w:hint="cs"/>
          <w:sz w:val="22"/>
          <w:rtl/>
        </w:rPr>
      </w:pPr>
      <w:r>
        <w:rPr>
          <w:rFonts w:hint="cs"/>
          <w:rtl/>
        </w:rPr>
        <w:t>(א)</w:t>
      </w:r>
      <w:r>
        <w:rPr>
          <w:sz w:val="14"/>
          <w:szCs w:val="14"/>
          <w:rtl/>
        </w:rPr>
        <w:t xml:space="preserve">    </w:t>
      </w:r>
      <w:r>
        <w:rPr>
          <w:rFonts w:cs="David" w:hint="cs"/>
          <w:sz w:val="22"/>
          <w:rtl/>
        </w:rPr>
        <w:t>פרוטוקול מלא מכל ישיבות הנהלת תמיר, כולה או מקצתה;</w:t>
      </w:r>
    </w:p>
    <w:p w:rsidR="00000000" w:rsidRDefault="00ED5BEA">
      <w:pPr>
        <w:tabs>
          <w:tab w:val="num" w:pos="2340"/>
        </w:tabs>
        <w:bidi/>
        <w:ind w:left="2340" w:hanging="360"/>
        <w:rPr>
          <w:rFonts w:cs="David" w:hint="cs"/>
          <w:sz w:val="22"/>
          <w:rtl/>
        </w:rPr>
      </w:pPr>
      <w:r>
        <w:rPr>
          <w:rFonts w:hint="cs"/>
          <w:rtl/>
        </w:rPr>
        <w:t>(ב)</w:t>
      </w:r>
      <w:r>
        <w:rPr>
          <w:sz w:val="14"/>
          <w:szCs w:val="14"/>
          <w:rtl/>
        </w:rPr>
        <w:t xml:space="preserve">    </w:t>
      </w:r>
      <w:r>
        <w:rPr>
          <w:rFonts w:cs="David" w:hint="cs"/>
          <w:sz w:val="22"/>
          <w:rtl/>
        </w:rPr>
        <w:t>נוסח מלא של כל החלטות הנהלת תמיר;</w:t>
      </w:r>
    </w:p>
    <w:p w:rsidR="00000000" w:rsidRDefault="00ED5BEA">
      <w:pPr>
        <w:tabs>
          <w:tab w:val="num" w:pos="2340"/>
        </w:tabs>
        <w:bidi/>
        <w:ind w:left="2340" w:hanging="360"/>
        <w:rPr>
          <w:rFonts w:cs="David" w:hint="cs"/>
          <w:sz w:val="22"/>
          <w:rtl/>
        </w:rPr>
      </w:pPr>
      <w:r>
        <w:rPr>
          <w:rFonts w:hint="cs"/>
          <w:rtl/>
        </w:rPr>
        <w:t>(ג)</w:t>
      </w:r>
      <w:r>
        <w:rPr>
          <w:sz w:val="14"/>
          <w:szCs w:val="14"/>
          <w:rtl/>
        </w:rPr>
        <w:t xml:space="preserve">      </w:t>
      </w:r>
      <w:r>
        <w:rPr>
          <w:rFonts w:cs="David" w:hint="cs"/>
          <w:sz w:val="22"/>
          <w:rtl/>
        </w:rPr>
        <w:t>כל תכתובת בין תמיר למ</w:t>
      </w:r>
      <w:r>
        <w:rPr>
          <w:rFonts w:cs="David" w:hint="cs"/>
          <w:sz w:val="22"/>
          <w:rtl/>
        </w:rPr>
        <w:t>י ממקבלי השירותים, שעניינה, במישרין או בעקיפין, העברת כספים או העברת מידע;</w:t>
      </w:r>
    </w:p>
    <w:p w:rsidR="00000000" w:rsidRDefault="00ED5BEA">
      <w:pPr>
        <w:tabs>
          <w:tab w:val="num" w:pos="2340"/>
        </w:tabs>
        <w:bidi/>
        <w:ind w:left="2340" w:hanging="360"/>
        <w:rPr>
          <w:rFonts w:cs="David" w:hint="cs"/>
          <w:sz w:val="22"/>
          <w:rtl/>
        </w:rPr>
      </w:pPr>
      <w:r>
        <w:rPr>
          <w:rFonts w:hint="cs"/>
          <w:rtl/>
        </w:rPr>
        <w:t>(ד)</w:t>
      </w:r>
      <w:r>
        <w:rPr>
          <w:sz w:val="14"/>
          <w:szCs w:val="14"/>
          <w:rtl/>
        </w:rPr>
        <w:t xml:space="preserve">    </w:t>
      </w:r>
      <w:r>
        <w:rPr>
          <w:rFonts w:cs="David" w:hint="cs"/>
          <w:sz w:val="22"/>
          <w:rtl/>
        </w:rPr>
        <w:t>כל העברת כספים מבעל מניות לתמיר או התחייבות לערוב לתמיר זה.</w:t>
      </w:r>
    </w:p>
    <w:p w:rsidR="00000000" w:rsidRDefault="00ED5BEA">
      <w:pPr>
        <w:tabs>
          <w:tab w:val="num" w:pos="1440"/>
        </w:tabs>
        <w:bidi/>
        <w:ind w:left="1440" w:hanging="360"/>
        <w:rPr>
          <w:rFonts w:hint="cs"/>
          <w:rtl/>
        </w:rPr>
      </w:pPr>
      <w:r>
        <w:rPr>
          <w:rFonts w:eastAsia="David"/>
          <w:sz w:val="14"/>
          <w:szCs w:val="14"/>
          <w:rtl/>
        </w:rPr>
        <w:t xml:space="preserve">                                 </w:t>
      </w:r>
      <w:r>
        <w:rPr>
          <w:rFonts w:eastAsia="David" w:cs="David" w:hint="cs"/>
          <w:sz w:val="22"/>
          <w:rtl/>
        </w:rPr>
        <w:t>ח.</w:t>
      </w:r>
      <w:r>
        <w:rPr>
          <w:rFonts w:eastAsia="David"/>
          <w:sz w:val="14"/>
          <w:szCs w:val="14"/>
          <w:rtl/>
        </w:rPr>
        <w:t xml:space="preserve">         </w:t>
      </w:r>
      <w:r>
        <w:rPr>
          <w:rFonts w:cs="David" w:hint="cs"/>
          <w:sz w:val="22"/>
          <w:rtl/>
        </w:rPr>
        <w:t>אחת לשנה, בראשית השנה, תדווח תמיר לממונה על האמצעים אשר ננקטו על ידה ב</w:t>
      </w:r>
      <w:r>
        <w:rPr>
          <w:rFonts w:cs="David" w:hint="cs"/>
          <w:sz w:val="22"/>
          <w:rtl/>
        </w:rPr>
        <w:t xml:space="preserve">שנה שחלפה על מנת להבטיח אי העברת מידע כאמור לעיל; תמיר תעביר אל הממונה אישור חתום בידי כל חברי הדירקטוריון ובעלי המניות יעבירו אל הממונה אישור חתום בידי מנהלם הכללי בדבר נקיטת אמצעים כאמור. </w:t>
      </w:r>
    </w:p>
    <w:p w:rsidR="00000000" w:rsidRDefault="00ED5BEA">
      <w:pPr>
        <w:tabs>
          <w:tab w:val="num" w:pos="1440"/>
        </w:tabs>
        <w:bidi/>
        <w:ind w:left="1440" w:hanging="360"/>
        <w:rPr>
          <w:rFonts w:hint="cs"/>
        </w:rPr>
      </w:pPr>
      <w:r>
        <w:rPr>
          <w:rFonts w:eastAsia="David"/>
          <w:sz w:val="14"/>
          <w:szCs w:val="14"/>
          <w:rtl/>
        </w:rPr>
        <w:t xml:space="preserve">                                 </w:t>
      </w:r>
      <w:r>
        <w:rPr>
          <w:rFonts w:eastAsia="David" w:cs="David" w:hint="cs"/>
          <w:sz w:val="22"/>
          <w:rtl/>
        </w:rPr>
        <w:t>ט.</w:t>
      </w:r>
      <w:r>
        <w:rPr>
          <w:rFonts w:eastAsia="David"/>
          <w:sz w:val="14"/>
          <w:szCs w:val="14"/>
          <w:rtl/>
        </w:rPr>
        <w:t xml:space="preserve">         </w:t>
      </w:r>
      <w:r>
        <w:rPr>
          <w:rFonts w:cs="David" w:hint="cs"/>
          <w:sz w:val="22"/>
          <w:rtl/>
        </w:rPr>
        <w:t xml:space="preserve">אין באמור בתנאים אלה </w:t>
      </w:r>
      <w:r>
        <w:rPr>
          <w:rFonts w:cs="David" w:hint="cs"/>
          <w:sz w:val="22"/>
          <w:rtl/>
        </w:rPr>
        <w:t xml:space="preserve">כדי לגרוע מהוראות ס' 52 לחוק האריזות, או מהסדרים הנוגעים לסודיות מידע, אשר יקבעו על-ידי מנהל האריזות. </w:t>
      </w:r>
    </w:p>
    <w:p w:rsidR="00000000" w:rsidRDefault="00ED5BEA">
      <w:pPr>
        <w:numPr>
          <w:ilvl w:val="0"/>
          <w:numId w:val="3"/>
        </w:numPr>
        <w:bidi/>
        <w:rPr>
          <w:rFonts w:eastAsia="Times New Roman" w:hint="cs"/>
        </w:rPr>
      </w:pPr>
      <w:r>
        <w:rPr>
          <w:rFonts w:eastAsia="Times New Roman" w:cs="David" w:hint="cs"/>
          <w:sz w:val="22"/>
          <w:rtl/>
        </w:rPr>
        <w:t>תמיר תעביר לממונה העתק של כל בקשה לבית משפט וכל הודעה לרשם ההקדשות בהתאם להוראות ס' 345יב לחוק החברות בתוך שלושה ימים מיום הגשתן.</w:t>
      </w:r>
    </w:p>
    <w:p w:rsidR="00000000" w:rsidRDefault="00ED5BEA">
      <w:pPr>
        <w:numPr>
          <w:ilvl w:val="0"/>
          <w:numId w:val="3"/>
        </w:numPr>
        <w:bidi/>
        <w:rPr>
          <w:rFonts w:eastAsia="Times New Roman" w:hint="cs"/>
        </w:rPr>
      </w:pPr>
      <w:r>
        <w:rPr>
          <w:rFonts w:eastAsia="Times New Roman" w:cs="David" w:hint="cs"/>
          <w:sz w:val="22"/>
          <w:rtl/>
        </w:rPr>
        <w:t>תמיר תודיע לממונה על הח</w:t>
      </w:r>
      <w:r>
        <w:rPr>
          <w:rFonts w:eastAsia="Times New Roman" w:cs="David" w:hint="cs"/>
          <w:sz w:val="22"/>
          <w:rtl/>
        </w:rPr>
        <w:t xml:space="preserve">לטת דירקטוריון תמיר לאשר הצטרפות של בעל מניות חדש לחברה ועל הודעה של בעל מניות לוותר על בעלותו במניות תמיר בתוך שלושה ימים מיום ההחלטה או ההודעה, לפי העניין. </w:t>
      </w:r>
    </w:p>
    <w:p w:rsidR="00000000" w:rsidRDefault="00ED5BEA">
      <w:pPr>
        <w:numPr>
          <w:ilvl w:val="0"/>
          <w:numId w:val="3"/>
        </w:numPr>
        <w:bidi/>
        <w:rPr>
          <w:rFonts w:eastAsia="Times New Roman" w:cs="David" w:hint="cs"/>
          <w:sz w:val="22"/>
        </w:rPr>
      </w:pPr>
      <w:r>
        <w:rPr>
          <w:rFonts w:eastAsia="Times New Roman" w:cs="David" w:hint="cs"/>
          <w:sz w:val="22"/>
          <w:rtl/>
        </w:rPr>
        <w:t xml:space="preserve">תמיר לא תהיה בעלים של מכלי אצירה, אלא אם ניתן לכך אישור הממונה בכתב מראש. </w:t>
      </w:r>
    </w:p>
    <w:p w:rsidR="00000000" w:rsidRDefault="00ED5BEA">
      <w:pPr>
        <w:numPr>
          <w:ilvl w:val="0"/>
          <w:numId w:val="3"/>
        </w:numPr>
        <w:bidi/>
        <w:rPr>
          <w:rFonts w:eastAsia="Times New Roman" w:hint="cs"/>
          <w:rtl/>
        </w:rPr>
      </w:pPr>
      <w:r>
        <w:rPr>
          <w:rFonts w:eastAsia="Times New Roman" w:cs="David" w:hint="cs"/>
          <w:sz w:val="22"/>
          <w:rtl/>
        </w:rPr>
        <w:t>כל ספק בדבר פרשנותם או</w:t>
      </w:r>
      <w:r>
        <w:rPr>
          <w:rFonts w:eastAsia="Times New Roman" w:cs="David" w:hint="cs"/>
          <w:sz w:val="22"/>
          <w:rtl/>
        </w:rPr>
        <w:t xml:space="preserve"> תחולתם של תנאים אלה יובא להכרעת הממונה.</w:t>
      </w:r>
    </w:p>
    <w:p w:rsidR="00000000" w:rsidRDefault="00ED5BEA">
      <w:pPr>
        <w:numPr>
          <w:ilvl w:val="0"/>
          <w:numId w:val="3"/>
        </w:numPr>
        <w:bidi/>
        <w:rPr>
          <w:rFonts w:eastAsia="Times New Roman" w:cs="David" w:hint="cs"/>
          <w:sz w:val="22"/>
        </w:rPr>
      </w:pPr>
      <w:r>
        <w:rPr>
          <w:rFonts w:eastAsia="Times New Roman" w:cs="David" w:hint="cs"/>
          <w:sz w:val="22"/>
          <w:rtl/>
        </w:rPr>
        <w:t>אין בתנאים אלה כדי לגרוע מהוראות חוק ההגבלים העסקיים, התשמ"ח-1988.</w:t>
      </w:r>
    </w:p>
    <w:p w:rsidR="00000000" w:rsidRDefault="00ED5BEA">
      <w:pPr>
        <w:bidi/>
        <w:spacing w:before="120"/>
        <w:rPr>
          <w:rStyle w:val="Strong"/>
          <w:rFonts w:hint="cs"/>
          <w:sz w:val="28"/>
          <w:szCs w:val="28"/>
          <w:u w:val="single"/>
          <w:rtl/>
        </w:rPr>
      </w:pPr>
    </w:p>
    <w:p w:rsidR="00000000" w:rsidRDefault="00ED5BEA">
      <w:pPr>
        <w:bidi/>
        <w:spacing w:before="120"/>
        <w:jc w:val="center"/>
        <w:rPr>
          <w:rStyle w:val="Strong"/>
          <w:rFonts w:cs="David" w:hint="cs"/>
          <w:sz w:val="28"/>
          <w:szCs w:val="28"/>
          <w:u w:val="single"/>
          <w:rtl/>
        </w:rPr>
      </w:pPr>
      <w:r>
        <w:rPr>
          <w:rStyle w:val="Strong"/>
          <w:rFonts w:cs="David" w:hint="cs"/>
          <w:sz w:val="28"/>
          <w:szCs w:val="28"/>
          <w:u w:val="single"/>
          <w:rtl/>
        </w:rPr>
        <w:t>נספח א'</w:t>
      </w:r>
    </w:p>
    <w:p w:rsidR="00000000" w:rsidRDefault="00ED5BEA">
      <w:pPr>
        <w:bidi/>
        <w:spacing w:before="120"/>
        <w:rPr>
          <w:rFonts w:hint="cs"/>
          <w:sz w:val="22"/>
          <w:rtl/>
        </w:rPr>
      </w:pPr>
    </w:p>
    <w:p w:rsidR="00000000" w:rsidRDefault="00ED5BEA">
      <w:pPr>
        <w:bidi/>
        <w:spacing w:before="120"/>
        <w:rPr>
          <w:rFonts w:cs="David" w:hint="cs"/>
          <w:sz w:val="22"/>
          <w:rtl/>
        </w:rPr>
      </w:pPr>
      <w:r>
        <w:rPr>
          <w:rFonts w:cs="David" w:hint="cs"/>
          <w:sz w:val="22"/>
          <w:rtl/>
        </w:rPr>
        <w:t xml:space="preserve">אני החתום/ה מטה, ......................., נושא/ת ת.ז. שמספרה ....................., המתמנה לשמש כ- .................. בת.מ.י.ר – </w:t>
      </w:r>
      <w:r>
        <w:rPr>
          <w:rFonts w:cs="David" w:hint="cs"/>
          <w:sz w:val="22"/>
          <w:rtl/>
        </w:rPr>
        <w:t>תאגיד מחזור יצרנים בישראל (חברה לתועלת הציבור) (להלן: "</w:t>
      </w:r>
      <w:r>
        <w:rPr>
          <w:rStyle w:val="Strong"/>
          <w:rFonts w:cs="David" w:hint="cs"/>
          <w:sz w:val="22"/>
          <w:rtl/>
        </w:rPr>
        <w:t>תמיר</w:t>
      </w:r>
      <w:r>
        <w:rPr>
          <w:rFonts w:cs="David" w:hint="cs"/>
          <w:sz w:val="22"/>
          <w:rtl/>
        </w:rPr>
        <w:t>"), מצהיר/ה בזה ומתחייב/ת כדלקמן:</w:t>
      </w:r>
    </w:p>
    <w:p w:rsidR="00000000" w:rsidRDefault="00ED5BEA">
      <w:pPr>
        <w:bidi/>
        <w:spacing w:before="120"/>
        <w:rPr>
          <w:rFonts w:cs="David" w:hint="cs"/>
          <w:sz w:val="22"/>
          <w:rtl/>
        </w:rPr>
      </w:pPr>
    </w:p>
    <w:p w:rsidR="00000000" w:rsidRDefault="00ED5BEA">
      <w:pPr>
        <w:bidi/>
        <w:spacing w:before="120"/>
        <w:rPr>
          <w:rFonts w:cs="David" w:hint="cs"/>
          <w:sz w:val="22"/>
          <w:rtl/>
        </w:rPr>
      </w:pPr>
    </w:p>
    <w:p w:rsidR="00000000" w:rsidRDefault="00ED5BEA">
      <w:pPr>
        <w:numPr>
          <w:ilvl w:val="0"/>
          <w:numId w:val="4"/>
        </w:numPr>
        <w:overflowPunct w:val="0"/>
        <w:bidi/>
        <w:adjustRightInd w:val="0"/>
        <w:textAlignment w:val="baseline"/>
        <w:rPr>
          <w:rFonts w:eastAsia="Times New Roman" w:cs="David" w:hint="cs"/>
          <w:sz w:val="22"/>
          <w:rtl/>
        </w:rPr>
      </w:pPr>
      <w:r>
        <w:rPr>
          <w:rFonts w:eastAsia="Times New Roman" w:cs="David" w:hint="cs"/>
          <w:sz w:val="22"/>
          <w:rtl/>
        </w:rPr>
        <w:t xml:space="preserve">קראתי במלואם את תנאי הממונה על הגבלים עסקיים למתן פטור לתמיר. </w:t>
      </w:r>
    </w:p>
    <w:p w:rsidR="00000000" w:rsidRDefault="00ED5BEA">
      <w:pPr>
        <w:numPr>
          <w:ilvl w:val="0"/>
          <w:numId w:val="4"/>
        </w:numPr>
        <w:overflowPunct w:val="0"/>
        <w:bidi/>
        <w:adjustRightInd w:val="0"/>
        <w:textAlignment w:val="baseline"/>
        <w:rPr>
          <w:rFonts w:eastAsia="Times New Roman" w:hint="cs"/>
          <w:rtl/>
        </w:rPr>
      </w:pPr>
      <w:r>
        <w:rPr>
          <w:rFonts w:eastAsia="Times New Roman" w:cs="David" w:hint="cs"/>
          <w:sz w:val="22"/>
          <w:rtl/>
        </w:rPr>
        <w:t>אני מודע/ת לכך כי קיום דווקני של כל התנאים הללו הוא הבסיס למתן הפטור על-ידי הממונה על הגבלים עסקיי</w:t>
      </w:r>
      <w:r>
        <w:rPr>
          <w:rFonts w:eastAsia="Times New Roman" w:cs="David" w:hint="cs"/>
          <w:sz w:val="22"/>
          <w:rtl/>
        </w:rPr>
        <w:t>ם.</w:t>
      </w:r>
    </w:p>
    <w:p w:rsidR="00000000" w:rsidRDefault="00ED5BEA">
      <w:pPr>
        <w:numPr>
          <w:ilvl w:val="0"/>
          <w:numId w:val="4"/>
        </w:numPr>
        <w:overflowPunct w:val="0"/>
        <w:bidi/>
        <w:adjustRightInd w:val="0"/>
        <w:textAlignment w:val="baseline"/>
        <w:rPr>
          <w:rFonts w:eastAsia="Times New Roman" w:hint="cs"/>
        </w:rPr>
      </w:pPr>
      <w:r>
        <w:rPr>
          <w:rFonts w:eastAsia="Times New Roman" w:cs="David" w:hint="cs"/>
          <w:sz w:val="22"/>
          <w:rtl/>
        </w:rPr>
        <w:t xml:space="preserve">ידוע לי כי הפרת התנאים הנזכרים מהווה עבירה פלילית על פי חוק ההגבלים העסקיים, התשמ"ח–1988, שעונשה עד שלוש שנות מאסר. </w:t>
      </w:r>
    </w:p>
    <w:p w:rsidR="00000000" w:rsidRDefault="00ED5BEA">
      <w:pPr>
        <w:numPr>
          <w:ilvl w:val="0"/>
          <w:numId w:val="4"/>
        </w:numPr>
        <w:overflowPunct w:val="0"/>
        <w:bidi/>
        <w:adjustRightInd w:val="0"/>
        <w:textAlignment w:val="baseline"/>
        <w:rPr>
          <w:rFonts w:eastAsia="Times New Roman" w:hint="cs"/>
        </w:rPr>
      </w:pPr>
      <w:r>
        <w:rPr>
          <w:rFonts w:eastAsia="Times New Roman" w:cs="David" w:hint="cs"/>
          <w:sz w:val="22"/>
          <w:rtl/>
        </w:rPr>
        <w:t xml:space="preserve">כן ידוע לי כי סיוע להפרת תנאי הפטור הנזכרים מהווה עבירה פלילית.  </w:t>
      </w:r>
    </w:p>
    <w:p w:rsidR="00000000" w:rsidRDefault="00ED5BEA">
      <w:pPr>
        <w:numPr>
          <w:ilvl w:val="0"/>
          <w:numId w:val="4"/>
        </w:numPr>
        <w:overflowPunct w:val="0"/>
        <w:bidi/>
        <w:adjustRightInd w:val="0"/>
        <w:textAlignment w:val="baseline"/>
        <w:rPr>
          <w:rFonts w:eastAsia="Times New Roman" w:cs="David" w:hint="cs"/>
          <w:sz w:val="22"/>
        </w:rPr>
      </w:pPr>
      <w:r>
        <w:rPr>
          <w:rFonts w:eastAsia="Times New Roman" w:cs="David" w:hint="cs"/>
          <w:sz w:val="22"/>
          <w:rtl/>
        </w:rPr>
        <w:t xml:space="preserve">אני מתחייב/ת כי במסגרת תפקידי בתמיר לא אתן ידי, במעשה או במחדל, להפרת </w:t>
      </w:r>
      <w:r>
        <w:rPr>
          <w:rFonts w:eastAsia="Times New Roman" w:cs="David" w:hint="cs"/>
          <w:sz w:val="22"/>
          <w:rtl/>
        </w:rPr>
        <w:t>תנאי מתנאים אלה.</w:t>
      </w:r>
    </w:p>
    <w:p w:rsidR="00000000" w:rsidRDefault="00ED5BEA">
      <w:pPr>
        <w:bidi/>
        <w:spacing w:before="120"/>
        <w:rPr>
          <w:rFonts w:cs="David" w:hint="cs"/>
          <w:sz w:val="22"/>
          <w:rtl/>
        </w:rPr>
      </w:pPr>
    </w:p>
    <w:p w:rsidR="00000000" w:rsidRDefault="00ED5BEA">
      <w:pPr>
        <w:bidi/>
        <w:spacing w:before="120"/>
        <w:rPr>
          <w:rFonts w:cs="David" w:hint="cs"/>
          <w:sz w:val="22"/>
          <w:rtl/>
        </w:rPr>
      </w:pPr>
    </w:p>
    <w:p w:rsidR="00000000" w:rsidRDefault="00ED5BEA">
      <w:pPr>
        <w:bidi/>
        <w:spacing w:before="120"/>
        <w:rPr>
          <w:rFonts w:cs="David" w:hint="cs"/>
          <w:sz w:val="22"/>
          <w:rtl/>
        </w:rPr>
      </w:pPr>
    </w:p>
    <w:tbl>
      <w:tblPr>
        <w:bidiVisual/>
        <w:tblW w:w="0" w:type="auto"/>
        <w:tblLook w:val="04A0" w:firstRow="1" w:lastRow="0" w:firstColumn="1" w:lastColumn="0" w:noHBand="0" w:noVBand="1"/>
      </w:tblPr>
      <w:tblGrid>
        <w:gridCol w:w="1670"/>
        <w:gridCol w:w="1649"/>
        <w:gridCol w:w="1664"/>
        <w:gridCol w:w="1650"/>
        <w:gridCol w:w="1673"/>
      </w:tblGrid>
      <w:tr w:rsidR="00000000">
        <w:tc>
          <w:tcPr>
            <w:tcW w:w="1705" w:type="dxa"/>
            <w:tcBorders>
              <w:top w:val="nil"/>
              <w:left w:val="nil"/>
              <w:bottom w:val="single" w:sz="4" w:space="0" w:color="auto"/>
              <w:right w:val="nil"/>
            </w:tcBorders>
            <w:shd w:val="clear" w:color="auto" w:fill="auto"/>
          </w:tcPr>
          <w:p w:rsidR="00000000" w:rsidRDefault="00ED5BEA">
            <w:pPr>
              <w:bidi/>
              <w:spacing w:before="120"/>
              <w:rPr>
                <w:rFonts w:hint="cs"/>
                <w:rtl/>
              </w:rPr>
            </w:pPr>
          </w:p>
        </w:tc>
        <w:tc>
          <w:tcPr>
            <w:tcW w:w="1705" w:type="dxa"/>
            <w:tcBorders>
              <w:top w:val="nil"/>
              <w:left w:val="nil"/>
              <w:bottom w:val="nil"/>
              <w:right w:val="nil"/>
            </w:tcBorders>
            <w:shd w:val="clear" w:color="auto" w:fill="auto"/>
          </w:tcPr>
          <w:p w:rsidR="00000000" w:rsidRDefault="00ED5BEA">
            <w:pPr>
              <w:bidi/>
              <w:spacing w:before="120"/>
            </w:pPr>
          </w:p>
        </w:tc>
        <w:tc>
          <w:tcPr>
            <w:tcW w:w="1706" w:type="dxa"/>
            <w:tcBorders>
              <w:top w:val="nil"/>
              <w:left w:val="nil"/>
              <w:bottom w:val="single" w:sz="4" w:space="0" w:color="auto"/>
              <w:right w:val="nil"/>
            </w:tcBorders>
            <w:shd w:val="clear" w:color="auto" w:fill="auto"/>
          </w:tcPr>
          <w:p w:rsidR="00000000" w:rsidRDefault="00ED5BEA">
            <w:pPr>
              <w:bidi/>
              <w:spacing w:before="120"/>
            </w:pPr>
          </w:p>
        </w:tc>
        <w:tc>
          <w:tcPr>
            <w:tcW w:w="1706" w:type="dxa"/>
            <w:tcBorders>
              <w:top w:val="nil"/>
              <w:left w:val="nil"/>
              <w:bottom w:val="nil"/>
              <w:right w:val="nil"/>
            </w:tcBorders>
            <w:shd w:val="clear" w:color="auto" w:fill="auto"/>
          </w:tcPr>
          <w:p w:rsidR="00000000" w:rsidRDefault="00ED5BEA">
            <w:pPr>
              <w:bidi/>
              <w:spacing w:before="120"/>
            </w:pPr>
          </w:p>
        </w:tc>
        <w:tc>
          <w:tcPr>
            <w:tcW w:w="1706" w:type="dxa"/>
            <w:tcBorders>
              <w:top w:val="nil"/>
              <w:left w:val="nil"/>
              <w:bottom w:val="single" w:sz="4" w:space="0" w:color="auto"/>
              <w:right w:val="nil"/>
            </w:tcBorders>
            <w:shd w:val="clear" w:color="auto" w:fill="auto"/>
          </w:tcPr>
          <w:p w:rsidR="00000000" w:rsidRDefault="00ED5BEA">
            <w:pPr>
              <w:bidi/>
              <w:spacing w:before="120"/>
            </w:pPr>
          </w:p>
        </w:tc>
      </w:tr>
      <w:tr w:rsidR="00000000">
        <w:tc>
          <w:tcPr>
            <w:tcW w:w="1705" w:type="dxa"/>
            <w:tcBorders>
              <w:top w:val="single" w:sz="4" w:space="0" w:color="auto"/>
              <w:left w:val="nil"/>
              <w:bottom w:val="nil"/>
              <w:right w:val="nil"/>
            </w:tcBorders>
            <w:shd w:val="clear" w:color="auto" w:fill="auto"/>
            <w:hideMark/>
          </w:tcPr>
          <w:p w:rsidR="00000000" w:rsidRDefault="00ED5BEA">
            <w:pPr>
              <w:bidi/>
              <w:spacing w:before="120"/>
              <w:jc w:val="center"/>
            </w:pPr>
            <w:r>
              <w:rPr>
                <w:rFonts w:cs="David" w:hint="cs"/>
                <w:sz w:val="22"/>
                <w:rtl/>
              </w:rPr>
              <w:t>תאריך</w:t>
            </w:r>
          </w:p>
        </w:tc>
        <w:tc>
          <w:tcPr>
            <w:tcW w:w="1705" w:type="dxa"/>
            <w:tcBorders>
              <w:top w:val="nil"/>
              <w:left w:val="nil"/>
              <w:bottom w:val="nil"/>
              <w:right w:val="nil"/>
            </w:tcBorders>
            <w:shd w:val="clear" w:color="auto" w:fill="auto"/>
          </w:tcPr>
          <w:p w:rsidR="00000000" w:rsidRDefault="00ED5BEA">
            <w:pPr>
              <w:bidi/>
              <w:spacing w:before="120"/>
              <w:jc w:val="center"/>
            </w:pPr>
          </w:p>
        </w:tc>
        <w:tc>
          <w:tcPr>
            <w:tcW w:w="1706" w:type="dxa"/>
            <w:tcBorders>
              <w:top w:val="single" w:sz="4" w:space="0" w:color="auto"/>
              <w:left w:val="nil"/>
              <w:bottom w:val="nil"/>
              <w:right w:val="nil"/>
            </w:tcBorders>
            <w:shd w:val="clear" w:color="auto" w:fill="auto"/>
            <w:hideMark/>
          </w:tcPr>
          <w:p w:rsidR="00000000" w:rsidRDefault="00ED5BEA">
            <w:pPr>
              <w:bidi/>
              <w:spacing w:before="120"/>
              <w:jc w:val="center"/>
            </w:pPr>
            <w:r>
              <w:rPr>
                <w:rFonts w:cs="David" w:hint="cs"/>
                <w:sz w:val="22"/>
                <w:rtl/>
              </w:rPr>
              <w:t>שם מלא</w:t>
            </w:r>
          </w:p>
        </w:tc>
        <w:tc>
          <w:tcPr>
            <w:tcW w:w="1706" w:type="dxa"/>
            <w:tcBorders>
              <w:top w:val="nil"/>
              <w:left w:val="nil"/>
              <w:bottom w:val="nil"/>
              <w:right w:val="nil"/>
            </w:tcBorders>
            <w:shd w:val="clear" w:color="auto" w:fill="auto"/>
          </w:tcPr>
          <w:p w:rsidR="00000000" w:rsidRDefault="00ED5BEA">
            <w:pPr>
              <w:bidi/>
              <w:spacing w:before="120"/>
              <w:jc w:val="center"/>
            </w:pPr>
          </w:p>
        </w:tc>
        <w:tc>
          <w:tcPr>
            <w:tcW w:w="1706" w:type="dxa"/>
            <w:tcBorders>
              <w:top w:val="single" w:sz="4" w:space="0" w:color="auto"/>
              <w:left w:val="nil"/>
              <w:bottom w:val="nil"/>
              <w:right w:val="nil"/>
            </w:tcBorders>
            <w:shd w:val="clear" w:color="auto" w:fill="auto"/>
            <w:hideMark/>
          </w:tcPr>
          <w:p w:rsidR="00000000" w:rsidRDefault="00ED5BEA">
            <w:pPr>
              <w:bidi/>
              <w:spacing w:before="120"/>
              <w:jc w:val="center"/>
            </w:pPr>
            <w:r>
              <w:rPr>
                <w:rFonts w:cs="David" w:hint="cs"/>
                <w:sz w:val="22"/>
                <w:rtl/>
              </w:rPr>
              <w:t>חתימה</w:t>
            </w:r>
          </w:p>
        </w:tc>
      </w:tr>
    </w:tbl>
    <w:p w:rsidR="00000000" w:rsidRDefault="00ED5BEA">
      <w:pPr>
        <w:bidi/>
        <w:spacing w:before="120"/>
        <w:rPr>
          <w:rFonts w:cs="David"/>
          <w:sz w:val="22"/>
        </w:rPr>
      </w:pPr>
    </w:p>
    <w:p w:rsidR="00000000" w:rsidRDefault="00ED5BEA">
      <w:pPr>
        <w:bidi/>
        <w:spacing w:before="120"/>
        <w:jc w:val="center"/>
        <w:rPr>
          <w:rStyle w:val="Strong"/>
          <w:rFonts w:hint="cs"/>
          <w:u w:val="single"/>
          <w:rtl/>
        </w:rPr>
      </w:pPr>
      <w:r>
        <w:rPr>
          <w:rStyle w:val="Strong"/>
          <w:rFonts w:cs="David" w:hint="cs"/>
          <w:sz w:val="22"/>
          <w:u w:val="single"/>
          <w:rtl/>
        </w:rPr>
        <w:t>אישור</w:t>
      </w:r>
    </w:p>
    <w:p w:rsidR="00000000" w:rsidRDefault="00ED5BEA">
      <w:pPr>
        <w:bidi/>
        <w:spacing w:before="120"/>
        <w:rPr>
          <w:rFonts w:cs="David" w:hint="cs"/>
          <w:sz w:val="22"/>
        </w:rPr>
      </w:pPr>
    </w:p>
    <w:p w:rsidR="00000000" w:rsidRDefault="00ED5BEA">
      <w:pPr>
        <w:bidi/>
        <w:spacing w:before="120"/>
        <w:rPr>
          <w:rFonts w:cs="David" w:hint="cs"/>
          <w:sz w:val="22"/>
          <w:rtl/>
        </w:rPr>
      </w:pPr>
      <w:r>
        <w:rPr>
          <w:rFonts w:cs="David" w:hint="cs"/>
          <w:sz w:val="22"/>
          <w:rtl/>
        </w:rPr>
        <w:t xml:space="preserve">הנני מאשר/ת בזה כי ביום ............ הופיע/ה בפני מר/גב' ......................., בעל/ת ת.ז. ................, ואחרי שהזהרתיו/ה כי עליו/ה להצהיר את האמת וכי יהיה/תהיה צפוי/ה לעונשים הקבועים בחוק אם לא יעשה/תעשה כן, אישר/ה את נכונות ההצהרה הנ"ל וחתם/ה עליה </w:t>
      </w:r>
      <w:r>
        <w:rPr>
          <w:rFonts w:cs="David" w:hint="cs"/>
          <w:sz w:val="22"/>
          <w:rtl/>
        </w:rPr>
        <w:t>בפני.</w:t>
      </w:r>
    </w:p>
    <w:p w:rsidR="00000000" w:rsidRDefault="00ED5BEA">
      <w:pPr>
        <w:bidi/>
        <w:spacing w:before="120"/>
        <w:rPr>
          <w:rFonts w:cs="David" w:hint="cs"/>
          <w:sz w:val="22"/>
          <w:rtl/>
        </w:rPr>
      </w:pPr>
    </w:p>
    <w:tbl>
      <w:tblPr>
        <w:bidiVisual/>
        <w:tblW w:w="0" w:type="auto"/>
        <w:tblLook w:val="04A0" w:firstRow="1" w:lastRow="0" w:firstColumn="1" w:lastColumn="0" w:noHBand="0" w:noVBand="1"/>
      </w:tblPr>
      <w:tblGrid>
        <w:gridCol w:w="2750"/>
        <w:gridCol w:w="2752"/>
        <w:gridCol w:w="2804"/>
      </w:tblGrid>
      <w:tr w:rsidR="00000000">
        <w:tc>
          <w:tcPr>
            <w:tcW w:w="2842" w:type="dxa"/>
            <w:tcBorders>
              <w:top w:val="nil"/>
              <w:left w:val="nil"/>
              <w:bottom w:val="nil"/>
              <w:right w:val="nil"/>
            </w:tcBorders>
            <w:shd w:val="clear" w:color="auto" w:fill="auto"/>
          </w:tcPr>
          <w:p w:rsidR="00000000" w:rsidRDefault="00ED5BEA">
            <w:pPr>
              <w:bidi/>
              <w:spacing w:before="120"/>
              <w:rPr>
                <w:rFonts w:hint="cs"/>
                <w:rtl/>
              </w:rPr>
            </w:pPr>
          </w:p>
        </w:tc>
        <w:tc>
          <w:tcPr>
            <w:tcW w:w="2843" w:type="dxa"/>
            <w:tcBorders>
              <w:top w:val="nil"/>
              <w:left w:val="nil"/>
              <w:bottom w:val="nil"/>
              <w:right w:val="nil"/>
            </w:tcBorders>
            <w:shd w:val="clear" w:color="auto" w:fill="auto"/>
          </w:tcPr>
          <w:p w:rsidR="00000000" w:rsidRDefault="00ED5BEA">
            <w:pPr>
              <w:bidi/>
              <w:spacing w:before="120"/>
            </w:pPr>
          </w:p>
        </w:tc>
        <w:tc>
          <w:tcPr>
            <w:tcW w:w="2843" w:type="dxa"/>
            <w:tcBorders>
              <w:top w:val="nil"/>
              <w:left w:val="nil"/>
              <w:bottom w:val="single" w:sz="4" w:space="0" w:color="auto"/>
              <w:right w:val="nil"/>
            </w:tcBorders>
            <w:shd w:val="clear" w:color="auto" w:fill="auto"/>
          </w:tcPr>
          <w:p w:rsidR="00000000" w:rsidRDefault="00ED5BEA">
            <w:pPr>
              <w:bidi/>
              <w:spacing w:before="120"/>
            </w:pPr>
          </w:p>
        </w:tc>
      </w:tr>
      <w:tr w:rsidR="00000000">
        <w:tc>
          <w:tcPr>
            <w:tcW w:w="2842" w:type="dxa"/>
            <w:tcBorders>
              <w:top w:val="nil"/>
              <w:left w:val="nil"/>
              <w:bottom w:val="nil"/>
              <w:right w:val="nil"/>
            </w:tcBorders>
            <w:shd w:val="clear" w:color="auto" w:fill="auto"/>
          </w:tcPr>
          <w:p w:rsidR="00000000" w:rsidRDefault="00ED5BEA">
            <w:pPr>
              <w:bidi/>
              <w:spacing w:before="120"/>
            </w:pPr>
          </w:p>
        </w:tc>
        <w:tc>
          <w:tcPr>
            <w:tcW w:w="2843" w:type="dxa"/>
            <w:tcBorders>
              <w:top w:val="nil"/>
              <w:left w:val="nil"/>
              <w:bottom w:val="nil"/>
              <w:right w:val="nil"/>
            </w:tcBorders>
            <w:shd w:val="clear" w:color="auto" w:fill="auto"/>
          </w:tcPr>
          <w:p w:rsidR="00000000" w:rsidRDefault="00ED5BEA">
            <w:pPr>
              <w:bidi/>
              <w:spacing w:before="120"/>
            </w:pPr>
          </w:p>
        </w:tc>
        <w:tc>
          <w:tcPr>
            <w:tcW w:w="2843" w:type="dxa"/>
            <w:tcBorders>
              <w:top w:val="single" w:sz="4" w:space="0" w:color="auto"/>
              <w:left w:val="nil"/>
              <w:bottom w:val="nil"/>
              <w:right w:val="nil"/>
            </w:tcBorders>
            <w:shd w:val="clear" w:color="auto" w:fill="auto"/>
            <w:hideMark/>
          </w:tcPr>
          <w:p w:rsidR="00000000" w:rsidRDefault="00ED5BEA">
            <w:pPr>
              <w:bidi/>
              <w:spacing w:before="120"/>
              <w:jc w:val="center"/>
            </w:pPr>
            <w:r>
              <w:rPr>
                <w:rFonts w:cs="David" w:hint="cs"/>
                <w:sz w:val="22"/>
                <w:rtl/>
              </w:rPr>
              <w:t>........................, עו"ד</w:t>
            </w:r>
          </w:p>
        </w:tc>
      </w:tr>
    </w:tbl>
    <w:p w:rsidR="00000000" w:rsidRDefault="00ED5BEA">
      <w:pPr>
        <w:bidi/>
        <w:rPr>
          <w:rFonts w:cs="David"/>
          <w:sz w:val="22"/>
        </w:rPr>
      </w:pPr>
    </w:p>
    <w:p w:rsidR="00000000" w:rsidRDefault="00ED5BEA">
      <w:pPr>
        <w:pStyle w:val="Footer"/>
        <w:divId w:val="823814285"/>
        <w:rPr>
          <w:rFonts w:hint="cs"/>
          <w:szCs w:val="14"/>
          <w:rtl/>
        </w:rPr>
      </w:pPr>
    </w:p>
    <w:p w:rsidR="00000000" w:rsidRDefault="00ED5BEA">
      <w:pPr>
        <w:divId w:val="823814285"/>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D5BEA">
      <w:r>
        <w:separator/>
      </w:r>
    </w:p>
  </w:endnote>
  <w:endnote w:type="continuationSeparator" w:id="0">
    <w:p w:rsidR="00000000" w:rsidRDefault="00ED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D5BEA">
      <w:r>
        <w:separator/>
      </w:r>
    </w:p>
  </w:footnote>
  <w:footnote w:type="continuationSeparator" w:id="0">
    <w:p w:rsidR="00000000" w:rsidRDefault="00ED5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324BC"/>
    <w:multiLevelType w:val="multilevel"/>
    <w:tmpl w:val="F2B24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C45440"/>
    <w:multiLevelType w:val="multilevel"/>
    <w:tmpl w:val="B4409E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F80A7C"/>
    <w:multiLevelType w:val="multilevel"/>
    <w:tmpl w:val="BD785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801013"/>
    <w:multiLevelType w:val="multilevel"/>
    <w:tmpl w:val="B498C6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ED5BEA"/>
    <w:rsid w:val="00ED5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77583EA-C9E6-481B-BEE1-F6C804AF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814285">
      <w:marLeft w:val="0"/>
      <w:marRight w:val="0"/>
      <w:marTop w:val="0"/>
      <w:marBottom w:val="0"/>
      <w:divBdr>
        <w:top w:val="none" w:sz="0" w:space="0" w:color="auto"/>
        <w:left w:val="none" w:sz="0" w:space="0" w:color="auto"/>
        <w:bottom w:val="none" w:sz="0" w:space="0" w:color="auto"/>
        <w:right w:val="none" w:sz="0" w:space="0" w:color="auto"/>
      </w:divBdr>
    </w:div>
    <w:div w:id="2081906856">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2975</Words>
  <Characters>14863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2019-08-11T10:37:00Z</dcterms:created>
  <dcterms:modified xsi:type="dcterms:W3CDTF">2019-08-11T10:37:00Z</dcterms:modified>
</cp:coreProperties>
</file>