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0C5475">
      <w:pPr>
        <w:pStyle w:val="Header"/>
        <w:jc w:val="right"/>
        <w:divId w:val="1696467898"/>
      </w:pPr>
      <w:bookmarkStart w:id="0" w:name="_GoBack"/>
      <w:bookmarkEnd w:id="0"/>
    </w:p>
    <w:p w:rsidR="00000000" w:rsidRDefault="000C5475">
      <w:pPr>
        <w:bidi/>
        <w:spacing w:before="120" w:after="120"/>
        <w:jc w:val="center"/>
        <w:rPr>
          <w:rStyle w:val="Strong"/>
          <w:rFonts w:cs="David" w:hint="cs"/>
          <w:sz w:val="20"/>
          <w:szCs w:val="32"/>
          <w:rtl/>
        </w:rPr>
      </w:pPr>
      <w:bookmarkStart w:id="1" w:name="to_string"/>
    </w:p>
    <w:p w:rsidR="00000000" w:rsidRDefault="000C5475">
      <w:pPr>
        <w:bidi/>
        <w:spacing w:before="120" w:after="120"/>
        <w:jc w:val="center"/>
        <w:rPr>
          <w:rStyle w:val="Strong"/>
          <w:rFonts w:cs="David" w:hint="cs"/>
          <w:sz w:val="20"/>
          <w:szCs w:val="32"/>
          <w:rtl/>
        </w:rPr>
      </w:pPr>
      <w:r>
        <w:rPr>
          <w:rStyle w:val="Strong"/>
          <w:rFonts w:cs="David" w:hint="cs"/>
          <w:sz w:val="20"/>
          <w:szCs w:val="32"/>
          <w:rtl/>
        </w:rPr>
        <w:t xml:space="preserve">החלטה לפי סעיף 14 לחוק ההגבלים העסקיים, התשמ"ח - 1988 </w:t>
      </w:r>
    </w:p>
    <w:p w:rsidR="00000000" w:rsidRDefault="000C5475">
      <w:pPr>
        <w:bidi/>
        <w:spacing w:before="120" w:after="360"/>
        <w:jc w:val="center"/>
        <w:rPr>
          <w:rStyle w:val="Strong"/>
          <w:rFonts w:cs="David" w:hint="cs"/>
          <w:sz w:val="20"/>
          <w:szCs w:val="32"/>
          <w:rtl/>
        </w:rPr>
      </w:pPr>
      <w:r>
        <w:rPr>
          <w:rStyle w:val="Strong"/>
          <w:rFonts w:cs="David" w:hint="cs"/>
          <w:sz w:val="20"/>
          <w:szCs w:val="32"/>
          <w:rtl/>
        </w:rPr>
        <w:t>בדבר מתן פטור מאישור בית הדין להסדר כובל</w:t>
      </w:r>
    </w:p>
    <w:p w:rsidR="00000000" w:rsidRDefault="000C5475">
      <w:pPr>
        <w:bidi/>
        <w:jc w:val="center"/>
        <w:rPr>
          <w:rStyle w:val="Strong"/>
          <w:rFonts w:cs="David" w:hint="cs"/>
          <w:sz w:val="20"/>
          <w:szCs w:val="32"/>
          <w:u w:val="single"/>
          <w:rtl/>
        </w:rPr>
      </w:pPr>
      <w:r>
        <w:rPr>
          <w:rStyle w:val="Strong"/>
          <w:rFonts w:cs="David" w:hint="cs"/>
          <w:sz w:val="20"/>
          <w:szCs w:val="32"/>
          <w:u w:val="single"/>
          <w:rtl/>
        </w:rPr>
        <w:t>הסדר שצדדים לו ארגון התעופה הבינלאומי (</w:t>
      </w:r>
      <w:r>
        <w:rPr>
          <w:rStyle w:val="Strong"/>
          <w:rFonts w:hint="cs"/>
          <w:sz w:val="28"/>
          <w:szCs w:val="40"/>
          <w:u w:val="single"/>
        </w:rPr>
        <w:t>International Air Transport Association</w:t>
      </w:r>
      <w:r>
        <w:rPr>
          <w:rStyle w:val="Strong"/>
          <w:rFonts w:cs="David" w:hint="cs"/>
          <w:sz w:val="20"/>
          <w:szCs w:val="32"/>
          <w:u w:val="single"/>
          <w:rtl/>
        </w:rPr>
        <w:t xml:space="preserve">) וחברות תעופה </w:t>
      </w:r>
    </w:p>
    <w:p w:rsidR="00000000" w:rsidRDefault="000C5475">
      <w:pPr>
        <w:bidi/>
        <w:jc w:val="center"/>
        <w:rPr>
          <w:rStyle w:val="Strong"/>
          <w:rFonts w:cs="David" w:hint="cs"/>
          <w:sz w:val="28"/>
          <w:szCs w:val="28"/>
          <w:u w:val="single"/>
          <w:rtl/>
        </w:rPr>
      </w:pPr>
      <w:r>
        <w:rPr>
          <w:rStyle w:val="Strong"/>
          <w:rFonts w:cs="David" w:hint="cs"/>
          <w:sz w:val="20"/>
          <w:szCs w:val="32"/>
          <w:u w:val="single"/>
          <w:rtl/>
        </w:rPr>
        <w:t>בעניין תכנית ה-</w:t>
      </w:r>
      <w:r>
        <w:rPr>
          <w:rStyle w:val="Strong"/>
          <w:rFonts w:hint="cs"/>
          <w:sz w:val="28"/>
          <w:szCs w:val="28"/>
          <w:u w:val="single"/>
        </w:rPr>
        <w:t>CASS</w:t>
      </w:r>
      <w:r>
        <w:rPr>
          <w:rStyle w:val="Strong"/>
          <w:rFonts w:cs="David" w:hint="cs"/>
          <w:sz w:val="28"/>
          <w:szCs w:val="28"/>
          <w:u w:val="single"/>
          <w:rtl/>
        </w:rPr>
        <w:t xml:space="preserve"> (</w:t>
      </w:r>
      <w:r>
        <w:rPr>
          <w:rStyle w:val="Strong"/>
          <w:rFonts w:hint="cs"/>
          <w:sz w:val="28"/>
          <w:szCs w:val="28"/>
          <w:u w:val="single"/>
        </w:rPr>
        <w:t>Cargo Accounts Settlement System</w:t>
      </w:r>
      <w:r>
        <w:rPr>
          <w:rStyle w:val="Strong"/>
          <w:rFonts w:cs="David" w:hint="cs"/>
          <w:sz w:val="28"/>
          <w:szCs w:val="28"/>
          <w:u w:val="single"/>
          <w:rtl/>
        </w:rPr>
        <w:t>)</w:t>
      </w:r>
    </w:p>
    <w:p w:rsidR="00000000" w:rsidRDefault="000C5475">
      <w:pPr>
        <w:bidi/>
        <w:jc w:val="center"/>
        <w:rPr>
          <w:rStyle w:val="Strong"/>
          <w:rFonts w:cs="David" w:hint="cs"/>
          <w:sz w:val="4"/>
          <w:szCs w:val="16"/>
          <w:highlight w:val="yellow"/>
          <w:u w:val="single"/>
          <w:rtl/>
        </w:rPr>
      </w:pPr>
    </w:p>
    <w:p w:rsidR="00000000" w:rsidRDefault="000C5475">
      <w:pPr>
        <w:pStyle w:val="Heading1"/>
        <w:bidi/>
        <w:spacing w:before="280" w:beforeAutospacing="0" w:after="120" w:afterAutospacing="0"/>
        <w:rPr>
          <w:rFonts w:eastAsia="Times New Roman" w:hint="cs"/>
          <w:sz w:val="36"/>
          <w:szCs w:val="36"/>
          <w:rtl/>
        </w:rPr>
      </w:pPr>
      <w:r>
        <w:rPr>
          <w:rFonts w:eastAsia="Times New Roman" w:cs="David" w:hint="cs"/>
          <w:sz w:val="36"/>
          <w:szCs w:val="36"/>
          <w:rtl/>
        </w:rPr>
        <w:t>1. פתח דבר</w:t>
      </w:r>
    </w:p>
    <w:p w:rsidR="00000000" w:rsidRDefault="000C5475">
      <w:pPr>
        <w:bidi/>
        <w:spacing w:before="120" w:after="120"/>
        <w:rPr>
          <w:rFonts w:cs="David" w:hint="cs"/>
          <w:sz w:val="20"/>
          <w:rtl/>
        </w:rPr>
      </w:pPr>
      <w:r>
        <w:rPr>
          <w:rFonts w:cs="David" w:hint="cs"/>
          <w:sz w:val="20"/>
          <w:rtl/>
        </w:rPr>
        <w:t>לפני בקשה למתן פטור לפי סעיף 14 לחוק ההגבלים העסקיים, התשמ"ח-1988 (להלן: "</w:t>
      </w:r>
      <w:r>
        <w:rPr>
          <w:rStyle w:val="Strong"/>
          <w:rFonts w:cs="David" w:hint="cs"/>
          <w:sz w:val="20"/>
          <w:rtl/>
        </w:rPr>
        <w:t>חוק ההגבלים העסקיים</w:t>
      </w:r>
      <w:r>
        <w:rPr>
          <w:rFonts w:cs="David" w:hint="cs"/>
          <w:sz w:val="20"/>
          <w:rtl/>
        </w:rPr>
        <w:t>") להסדר שצדדים לו הם ארגון התעופה הבינלאומי (</w:t>
      </w:r>
      <w:r>
        <w:rPr>
          <w:rFonts w:hint="cs"/>
          <w:sz w:val="20"/>
          <w:szCs w:val="20"/>
        </w:rPr>
        <w:t>International Air Transport Associ</w:t>
      </w:r>
      <w:r>
        <w:rPr>
          <w:rFonts w:hint="cs"/>
          <w:sz w:val="20"/>
          <w:szCs w:val="20"/>
        </w:rPr>
        <w:t>ation</w:t>
      </w:r>
      <w:r>
        <w:rPr>
          <w:rFonts w:cs="David" w:hint="cs"/>
          <w:sz w:val="20"/>
          <w:rtl/>
        </w:rPr>
        <w:t>, להלן: "</w:t>
      </w:r>
      <w:r>
        <w:rPr>
          <w:rStyle w:val="Strong"/>
          <w:rFonts w:cs="David" w:hint="cs"/>
          <w:sz w:val="20"/>
          <w:rtl/>
        </w:rPr>
        <w:t>יאט"א</w:t>
      </w:r>
      <w:r>
        <w:rPr>
          <w:rFonts w:cs="David" w:hint="cs"/>
          <w:sz w:val="20"/>
          <w:rtl/>
        </w:rPr>
        <w:t>")</w:t>
      </w:r>
      <w:r>
        <w:rPr>
          <w:rStyle w:val="FootnoteReference"/>
          <w:rFonts w:cs="David"/>
          <w:sz w:val="20"/>
          <w:rtl/>
        </w:rPr>
        <w:footnoteReference w:id="1"/>
      </w:r>
      <w:r>
        <w:rPr>
          <w:rStyle w:val="FootnoteReference"/>
          <w:rFonts w:eastAsia="Times New Roman" w:cs="David"/>
          <w:noProof/>
          <w:sz w:val="20"/>
          <w:lang w:eastAsia="he-IL"/>
        </w:rPr>
        <w:t>[1]</w:t>
      </w:r>
      <w:r>
        <w:rPr>
          <w:rFonts w:cs="David" w:hint="cs"/>
          <w:sz w:val="20"/>
          <w:rtl/>
        </w:rPr>
        <w:t xml:space="preserve"> וחברות תעופה. עניינו של ההסדר בהתקנה ושימוש במערכת סליקה מרכזית ממוחשבת, המסדירה את הליכי הדיווח, ההתחשבנות והתשלום בין סוכני מטען המוכרים שירותיהם לציבור ומשתמשים בשירותי תובלה באויר, ובין חברות התעופה שהצטרפו להסדר, באמצעות תכני</w:t>
      </w:r>
      <w:r>
        <w:rPr>
          <w:rFonts w:cs="David" w:hint="cs"/>
          <w:sz w:val="20"/>
          <w:rtl/>
        </w:rPr>
        <w:t>ת הידועה בשם "תכנית ה-</w:t>
      </w:r>
      <w:r>
        <w:rPr>
          <w:rFonts w:hint="cs"/>
          <w:sz w:val="20"/>
          <w:szCs w:val="20"/>
        </w:rPr>
        <w:t>CASS</w:t>
      </w:r>
      <w:r>
        <w:rPr>
          <w:rFonts w:cs="David" w:hint="cs"/>
          <w:sz w:val="20"/>
          <w:rtl/>
        </w:rPr>
        <w:t>" (להלן: "</w:t>
      </w:r>
      <w:r>
        <w:rPr>
          <w:rStyle w:val="Strong"/>
          <w:rFonts w:cs="David" w:hint="cs"/>
          <w:sz w:val="20"/>
          <w:rtl/>
        </w:rPr>
        <w:t>תכנית ה-</w:t>
      </w:r>
      <w:r>
        <w:rPr>
          <w:rStyle w:val="Strong"/>
          <w:rFonts w:hint="cs"/>
          <w:sz w:val="20"/>
          <w:szCs w:val="20"/>
        </w:rPr>
        <w:t>CASS</w:t>
      </w:r>
      <w:r>
        <w:rPr>
          <w:rFonts w:cs="David" w:hint="cs"/>
          <w:sz w:val="20"/>
          <w:rtl/>
        </w:rPr>
        <w:t>", "</w:t>
      </w:r>
      <w:r>
        <w:rPr>
          <w:rStyle w:val="Strong"/>
          <w:rFonts w:cs="David" w:hint="cs"/>
          <w:sz w:val="20"/>
          <w:rtl/>
        </w:rPr>
        <w:t>התכנית</w:t>
      </w:r>
      <w:r>
        <w:rPr>
          <w:rFonts w:cs="David" w:hint="cs"/>
          <w:sz w:val="20"/>
          <w:rtl/>
        </w:rPr>
        <w:t>" או "</w:t>
      </w:r>
      <w:r>
        <w:rPr>
          <w:rStyle w:val="Strong"/>
          <w:rFonts w:cs="David" w:hint="cs"/>
          <w:sz w:val="20"/>
          <w:rtl/>
        </w:rPr>
        <w:t>המערכת</w:t>
      </w:r>
      <w:r>
        <w:rPr>
          <w:rFonts w:cs="David" w:hint="cs"/>
          <w:sz w:val="20"/>
          <w:rtl/>
        </w:rPr>
        <w:t xml:space="preserve">"). </w:t>
      </w:r>
    </w:p>
    <w:p w:rsidR="00000000" w:rsidRDefault="000C5475">
      <w:pPr>
        <w:widowControl w:val="0"/>
        <w:bidi/>
        <w:spacing w:before="120" w:after="120"/>
        <w:rPr>
          <w:rFonts w:cs="David" w:hint="cs"/>
          <w:sz w:val="20"/>
          <w:rtl/>
        </w:rPr>
      </w:pPr>
      <w:r>
        <w:rPr>
          <w:rFonts w:cs="David" w:hint="cs"/>
          <w:sz w:val="20"/>
          <w:rtl/>
        </w:rPr>
        <w:t>לאחר שבחנתי את ההסדר המוצע ואת הכבילות המצויות בו, כמו גם את השפעתן האפשרית על התחרות בשוק הרלוונטי, ולאחר שנועצתי בועדה לפטורים ולמיזוגים, שוכנעתי כי אף שההסדר עלול להגביל את התחרו</w:t>
      </w:r>
      <w:r>
        <w:rPr>
          <w:rFonts w:cs="David" w:hint="cs"/>
          <w:sz w:val="20"/>
          <w:rtl/>
        </w:rPr>
        <w:t xml:space="preserve">ת בחלק ניכר של השוק המושפע ממנו, הרי שבכפוף לתנאים המנויים בסיפא להחלטתי, אין בו כדי לפגוע פגיעה של ממש בתחרות בשוק כאמור, עיקרו של ההסדר אינו בהפחתת התחרות או במניעתה, ואין בו כבילות שאינן נחוצות למימוש עיקרו. מטעמים אלה ראוי ההסדר לפטור לפי סעיף 14 לחוק </w:t>
      </w:r>
      <w:r>
        <w:rPr>
          <w:rFonts w:cs="David" w:hint="cs"/>
          <w:sz w:val="20"/>
          <w:rtl/>
        </w:rPr>
        <w:t xml:space="preserve">ההגבלים העסקיים, בכפוף לתנאים המנויים בסיפא להחלטתי, בשל הנימוקים שיפורטו להלן. </w:t>
      </w:r>
    </w:p>
    <w:p w:rsidR="00000000" w:rsidRDefault="000C5475">
      <w:pPr>
        <w:pStyle w:val="Heading1"/>
        <w:bidi/>
        <w:spacing w:before="240" w:beforeAutospacing="0" w:after="120" w:afterAutospacing="0"/>
        <w:rPr>
          <w:rFonts w:eastAsia="Times New Roman" w:cs="David" w:hint="cs"/>
          <w:sz w:val="36"/>
          <w:szCs w:val="36"/>
          <w:rtl/>
        </w:rPr>
      </w:pPr>
      <w:r>
        <w:rPr>
          <w:rFonts w:eastAsia="Times New Roman" w:cs="David" w:hint="cs"/>
          <w:sz w:val="36"/>
          <w:szCs w:val="36"/>
          <w:rtl/>
        </w:rPr>
        <w:t>2. תכנית ה-</w:t>
      </w:r>
      <w:r>
        <w:rPr>
          <w:rFonts w:eastAsia="Times New Roman" w:hint="cs"/>
          <w:sz w:val="36"/>
          <w:szCs w:val="36"/>
        </w:rPr>
        <w:t>CASS</w:t>
      </w:r>
      <w:r>
        <w:rPr>
          <w:rFonts w:eastAsia="Times New Roman" w:cs="David" w:hint="cs"/>
          <w:sz w:val="36"/>
          <w:szCs w:val="36"/>
          <w:rtl/>
        </w:rPr>
        <w:t xml:space="preserve"> </w:t>
      </w:r>
    </w:p>
    <w:p w:rsidR="00000000" w:rsidRDefault="000C5475">
      <w:pPr>
        <w:pStyle w:val="Heading1"/>
        <w:bidi/>
        <w:spacing w:before="240" w:beforeAutospacing="0" w:after="120" w:afterAutospacing="0"/>
        <w:ind w:firstLine="360"/>
        <w:rPr>
          <w:rFonts w:eastAsia="Times New Roman" w:cs="David" w:hint="cs"/>
          <w:sz w:val="36"/>
          <w:szCs w:val="36"/>
          <w:u w:val="single"/>
          <w:rtl/>
        </w:rPr>
      </w:pPr>
      <w:r>
        <w:rPr>
          <w:rFonts w:eastAsia="Times New Roman" w:cs="David" w:hint="cs"/>
          <w:sz w:val="36"/>
          <w:szCs w:val="36"/>
          <w:rtl/>
        </w:rPr>
        <w:t xml:space="preserve">א. </w:t>
      </w:r>
      <w:r>
        <w:rPr>
          <w:rFonts w:eastAsia="Times New Roman" w:cs="David" w:hint="cs"/>
          <w:sz w:val="36"/>
          <w:szCs w:val="36"/>
          <w:u w:val="single"/>
          <w:rtl/>
        </w:rPr>
        <w:t>כללי</w:t>
      </w:r>
    </w:p>
    <w:p w:rsidR="00000000" w:rsidRDefault="000C5475">
      <w:pPr>
        <w:bidi/>
        <w:spacing w:before="120" w:after="120"/>
        <w:rPr>
          <w:rFonts w:cs="David" w:hint="cs"/>
          <w:sz w:val="20"/>
          <w:rtl/>
        </w:rPr>
      </w:pPr>
      <w:r>
        <w:rPr>
          <w:rFonts w:cs="David" w:hint="cs"/>
          <w:sz w:val="20"/>
          <w:rtl/>
        </w:rPr>
        <w:t>על פי הסדרים המקובלי</w:t>
      </w:r>
      <w:r>
        <w:rPr>
          <w:rFonts w:cs="David" w:hint="cs"/>
          <w:sz w:val="20"/>
          <w:rtl/>
        </w:rPr>
        <w:t xml:space="preserve">ם כיום, ההתחשבנות בין חברות התעופה לבין סוכני המטען מתבצעת עבור כל חברת תעופה וכל סוכן מטען בנפרד, כך שכל אחת מחברות התעופה מתחשבנת בנפרד עם כל אחד מסוכני המטען הפועלים בישראל. על פי הנוהג המקובל בענף המטען, גביית התשלומים מסוכני המטען על ידי חברות התעופה </w:t>
      </w:r>
      <w:r>
        <w:rPr>
          <w:rFonts w:cs="David" w:hint="cs"/>
          <w:sz w:val="20"/>
          <w:rtl/>
        </w:rPr>
        <w:t xml:space="preserve">נערכת ב-15 וב-30 לכל חודש, בגין שטרי המטען המחוייבים על ידי חברת התעופה באותו חודש. </w:t>
      </w:r>
    </w:p>
    <w:p w:rsidR="00000000" w:rsidRDefault="000C5475">
      <w:pPr>
        <w:pStyle w:val="Heading1"/>
        <w:bidi/>
        <w:spacing w:before="240" w:beforeAutospacing="0" w:after="120" w:afterAutospacing="0"/>
        <w:ind w:firstLine="360"/>
        <w:rPr>
          <w:rFonts w:eastAsia="Times New Roman" w:cs="David" w:hint="cs"/>
          <w:sz w:val="36"/>
          <w:szCs w:val="36"/>
          <w:u w:val="single"/>
          <w:rtl/>
        </w:rPr>
      </w:pPr>
      <w:r>
        <w:rPr>
          <w:rFonts w:eastAsia="Times New Roman" w:cs="David" w:hint="cs"/>
          <w:sz w:val="36"/>
          <w:szCs w:val="36"/>
          <w:rtl/>
        </w:rPr>
        <w:t xml:space="preserve">ב. </w:t>
      </w:r>
      <w:r>
        <w:rPr>
          <w:rFonts w:eastAsia="Times New Roman" w:cs="David" w:hint="cs"/>
          <w:sz w:val="36"/>
          <w:szCs w:val="36"/>
          <w:u w:val="single"/>
          <w:rtl/>
        </w:rPr>
        <w:t>ההסדר</w:t>
      </w:r>
    </w:p>
    <w:p w:rsidR="00000000" w:rsidRDefault="000C5475">
      <w:pPr>
        <w:bidi/>
        <w:spacing w:before="120" w:after="120"/>
        <w:rPr>
          <w:rFonts w:cs="David" w:hint="cs"/>
          <w:sz w:val="20"/>
          <w:rtl/>
        </w:rPr>
      </w:pPr>
      <w:r>
        <w:rPr>
          <w:rFonts w:cs="David" w:hint="cs"/>
          <w:sz w:val="20"/>
          <w:rtl/>
        </w:rPr>
        <w:t>תכנית ה-</w:t>
      </w:r>
      <w:r>
        <w:rPr>
          <w:rFonts w:hint="cs"/>
          <w:sz w:val="20"/>
          <w:szCs w:val="20"/>
        </w:rPr>
        <w:t>CASS</w:t>
      </w:r>
      <w:r>
        <w:rPr>
          <w:rFonts w:cs="David" w:hint="cs"/>
          <w:sz w:val="20"/>
          <w:rtl/>
        </w:rPr>
        <w:t xml:space="preserve"> נועדה לייעל את סדרי הדיווח וההתחשבנות הנוהגים כיום ולשפרם. עיקרו של ההסדר הקמת מערך המאפשר דיווח, התחשבנות, סליקה ותשלום ממוחשבים, של חיובים הנובעים </w:t>
      </w:r>
      <w:r>
        <w:rPr>
          <w:rFonts w:cs="David" w:hint="cs"/>
          <w:sz w:val="20"/>
          <w:rtl/>
        </w:rPr>
        <w:t>מעסקות שבוצעו בין סוכני מטען מורשי יאט"א ועמיתים</w:t>
      </w:r>
      <w:r>
        <w:rPr>
          <w:rStyle w:val="FootnoteReference"/>
          <w:rFonts w:cs="David"/>
          <w:sz w:val="20"/>
          <w:rtl/>
        </w:rPr>
        <w:footnoteReference w:id="2"/>
      </w:r>
      <w:r>
        <w:rPr>
          <w:rStyle w:val="FootnoteReference"/>
          <w:rFonts w:eastAsia="Times New Roman" w:cs="David"/>
          <w:noProof/>
          <w:sz w:val="20"/>
          <w:lang w:eastAsia="he-IL"/>
        </w:rPr>
        <w:t>[2]</w:t>
      </w:r>
      <w:r>
        <w:rPr>
          <w:rFonts w:cs="David" w:hint="cs"/>
          <w:sz w:val="20"/>
          <w:rtl/>
        </w:rPr>
        <w:t xml:space="preserve"> לבין חברות התעופה החברות בתכנית בישראל. תכנית ה-</w:t>
      </w:r>
      <w:r>
        <w:rPr>
          <w:rFonts w:hint="cs"/>
          <w:sz w:val="20"/>
          <w:szCs w:val="20"/>
        </w:rPr>
        <w:t>CASS</w:t>
      </w:r>
      <w:r>
        <w:rPr>
          <w:rFonts w:cs="David" w:hint="cs"/>
          <w:sz w:val="20"/>
          <w:rtl/>
        </w:rPr>
        <w:t xml:space="preserve"> נועדה לייעל את סדרי הדיווח וההתחשבנות בין סוכני המטען מורשי היאט"א והעמיתים המשתמשים בתכנית, ובין כל אחת מחברות התעופה החברות בתכנית. כך, חלף התחשבנות</w:t>
      </w:r>
      <w:r>
        <w:rPr>
          <w:rFonts w:cs="David" w:hint="cs"/>
          <w:sz w:val="20"/>
          <w:rtl/>
        </w:rPr>
        <w:t xml:space="preserve"> ודיווח פרטניים של כל סוכן מטען מורשה יאט"א או עמית מול כל אחת מחברות התעופה שמולן ביצע עסקות רכישה – במסגרת התכנית מדוּוחות פעולות הסוכנים והעמיתים לתכנית. התכנית סוכמת את חיוביו של כל סוכן או עמית לכל חברת תעופה עבור כל </w:t>
      </w:r>
      <w:r>
        <w:rPr>
          <w:rFonts w:cs="David" w:hint="cs"/>
          <w:sz w:val="20"/>
          <w:rtl/>
        </w:rPr>
        <w:lastRenderedPageBreak/>
        <w:t xml:space="preserve">תקופת דיווח (בניכוי עמלות המגיעות </w:t>
      </w:r>
      <w:r>
        <w:rPr>
          <w:rFonts w:cs="David" w:hint="cs"/>
          <w:sz w:val="20"/>
          <w:rtl/>
        </w:rPr>
        <w:t>לסוכן או לעמית מאת חברת התעופה), מחייבת את הסוכן או העמית, מחשבת את חלוקת הסכום המגיע מכלל הסוכנים והעמיתים לכל אחת מחברות התעופה החברות בתכנית, מפיקה לכל משתתף בתכנית את חיוביו או זיכוייו הרלוונטיים לתקופת הדיווח, מעבירה אותם לידיעתו ומטפלת בסליקה באמצעות</w:t>
      </w:r>
      <w:r>
        <w:rPr>
          <w:rFonts w:cs="David" w:hint="cs"/>
          <w:sz w:val="20"/>
          <w:rtl/>
        </w:rPr>
        <w:t xml:space="preserve"> בנק סולק: כל סוכן או עמית מעביר את הסכום המגיע ממנו לבנק סולק מוגדר מראש, וזה מעביר את התשלומים, במרוכז, לכל אחת מחברות התעופה. </w:t>
      </w:r>
    </w:p>
    <w:p w:rsidR="00000000" w:rsidRDefault="000C5475">
      <w:pPr>
        <w:bidi/>
        <w:spacing w:before="120" w:after="120"/>
        <w:rPr>
          <w:rFonts w:cs="David" w:hint="cs"/>
          <w:sz w:val="20"/>
          <w:rtl/>
        </w:rPr>
      </w:pPr>
      <w:r>
        <w:rPr>
          <w:rFonts w:cs="David" w:hint="cs"/>
          <w:sz w:val="20"/>
          <w:rtl/>
        </w:rPr>
        <w:t>תכנית ה-</w:t>
      </w:r>
      <w:r>
        <w:rPr>
          <w:rFonts w:hint="cs"/>
          <w:sz w:val="20"/>
          <w:szCs w:val="20"/>
        </w:rPr>
        <w:t>CASS</w:t>
      </w:r>
      <w:r>
        <w:rPr>
          <w:rFonts w:cs="David" w:hint="cs"/>
          <w:sz w:val="20"/>
          <w:rtl/>
        </w:rPr>
        <w:t xml:space="preserve"> דומה במהותה לתכנית ה-</w:t>
      </w:r>
      <w:r>
        <w:rPr>
          <w:rFonts w:hint="cs"/>
          <w:sz w:val="20"/>
          <w:szCs w:val="20"/>
        </w:rPr>
        <w:t>BSP</w:t>
      </w:r>
      <w:r>
        <w:rPr>
          <w:rStyle w:val="FootnoteReference"/>
          <w:rFonts w:cs="David"/>
          <w:sz w:val="20"/>
          <w:rtl/>
        </w:rPr>
        <w:footnoteReference w:id="3"/>
      </w:r>
      <w:r>
        <w:rPr>
          <w:rStyle w:val="FootnoteReference"/>
          <w:rFonts w:eastAsia="Times New Roman" w:cs="David"/>
          <w:noProof/>
          <w:sz w:val="20"/>
          <w:lang w:eastAsia="he-IL"/>
        </w:rPr>
        <w:t>[3]</w:t>
      </w:r>
      <w:r>
        <w:rPr>
          <w:rFonts w:cs="David" w:hint="cs"/>
          <w:sz w:val="20"/>
          <w:rtl/>
        </w:rPr>
        <w:t xml:space="preserve"> אשר פטור בעניינה חודש על-ידי רשות ההגבלים העסקיים (להלן: "</w:t>
      </w:r>
      <w:r>
        <w:rPr>
          <w:rStyle w:val="Strong"/>
          <w:rFonts w:cs="David" w:hint="cs"/>
          <w:sz w:val="20"/>
          <w:rtl/>
        </w:rPr>
        <w:t>הרשות</w:t>
      </w:r>
      <w:r>
        <w:rPr>
          <w:rFonts w:cs="David" w:hint="cs"/>
          <w:sz w:val="20"/>
          <w:rtl/>
        </w:rPr>
        <w:t>") בנובמבר 2010</w:t>
      </w:r>
      <w:r>
        <w:rPr>
          <w:rStyle w:val="FootnoteReference"/>
          <w:rFonts w:cs="David"/>
          <w:sz w:val="20"/>
          <w:rtl/>
        </w:rPr>
        <w:footnoteReference w:id="4"/>
      </w:r>
      <w:r>
        <w:rPr>
          <w:rStyle w:val="FootnoteReference"/>
          <w:rFonts w:eastAsia="Times New Roman" w:cs="David"/>
          <w:noProof/>
          <w:sz w:val="20"/>
          <w:lang w:eastAsia="he-IL"/>
        </w:rPr>
        <w:t>[4]</w:t>
      </w:r>
      <w:r>
        <w:rPr>
          <w:rFonts w:cs="David" w:hint="cs"/>
          <w:sz w:val="20"/>
          <w:rtl/>
        </w:rPr>
        <w:t xml:space="preserve">. </w:t>
      </w:r>
      <w:r>
        <w:rPr>
          <w:rFonts w:cs="David" w:hint="cs"/>
          <w:sz w:val="20"/>
          <w:rtl/>
        </w:rPr>
        <w:t>יוער, כי בשונה מתכנית ה-</w:t>
      </w:r>
      <w:r>
        <w:rPr>
          <w:rFonts w:hint="cs"/>
          <w:sz w:val="20"/>
          <w:szCs w:val="20"/>
        </w:rPr>
        <w:t>BSP</w:t>
      </w:r>
      <w:r>
        <w:rPr>
          <w:rFonts w:cs="David" w:hint="cs"/>
          <w:sz w:val="20"/>
          <w:rtl/>
        </w:rPr>
        <w:t>, תכנית ה-</w:t>
      </w:r>
      <w:r>
        <w:rPr>
          <w:rFonts w:hint="cs"/>
          <w:sz w:val="20"/>
          <w:szCs w:val="20"/>
        </w:rPr>
        <w:t>CASS</w:t>
      </w:r>
      <w:r>
        <w:rPr>
          <w:rFonts w:cs="David" w:hint="cs"/>
          <w:sz w:val="20"/>
          <w:rtl/>
        </w:rPr>
        <w:t xml:space="preserve"> פתוחה להצטרפותם של כלל ציבור סוכני המטען, בין אם הם מורשי יאט"א ובין אם לאו. </w:t>
      </w:r>
    </w:p>
    <w:p w:rsidR="00000000" w:rsidRDefault="000C5475">
      <w:pPr>
        <w:bidi/>
        <w:spacing w:before="120" w:after="120"/>
        <w:rPr>
          <w:rFonts w:cs="David" w:hint="cs"/>
          <w:sz w:val="20"/>
          <w:rtl/>
        </w:rPr>
      </w:pPr>
      <w:r>
        <w:rPr>
          <w:rFonts w:cs="David" w:hint="cs"/>
          <w:sz w:val="20"/>
          <w:rtl/>
        </w:rPr>
        <w:t>תכנית ה-</w:t>
      </w:r>
      <w:r>
        <w:rPr>
          <w:rFonts w:hint="cs"/>
          <w:sz w:val="20"/>
          <w:szCs w:val="20"/>
        </w:rPr>
        <w:t>CASS</w:t>
      </w:r>
      <w:r>
        <w:rPr>
          <w:rFonts w:cs="David" w:hint="cs"/>
          <w:sz w:val="20"/>
          <w:rtl/>
        </w:rPr>
        <w:t xml:space="preserve"> אינה ייחודית לישראל. מאז שנת 1979 מיושמת תכנית ה-</w:t>
      </w:r>
      <w:r>
        <w:rPr>
          <w:rFonts w:hint="cs"/>
          <w:sz w:val="20"/>
          <w:szCs w:val="20"/>
        </w:rPr>
        <w:t>CASS</w:t>
      </w:r>
      <w:r>
        <w:rPr>
          <w:rFonts w:cs="David" w:hint="cs"/>
          <w:sz w:val="20"/>
          <w:rtl/>
        </w:rPr>
        <w:t xml:space="preserve"> במקומות שונים בעולם, ולפי המידע שנמסר לי מיאט"א, היא מופעלת על פי תקנ</w:t>
      </w:r>
      <w:r>
        <w:rPr>
          <w:rFonts w:cs="David" w:hint="cs"/>
          <w:sz w:val="20"/>
          <w:rtl/>
        </w:rPr>
        <w:t xml:space="preserve">ות יאט"א בכ-80 מדינות, לרבות מדינות מערב אירופה, אוסטרליה וקנדה. </w:t>
      </w:r>
    </w:p>
    <w:p w:rsidR="00000000" w:rsidRDefault="000C5475">
      <w:pPr>
        <w:bidi/>
        <w:spacing w:before="120" w:after="120"/>
        <w:rPr>
          <w:rFonts w:cs="David" w:hint="cs"/>
          <w:sz w:val="20"/>
          <w:rtl/>
        </w:rPr>
      </w:pPr>
      <w:r>
        <w:rPr>
          <w:rFonts w:cs="David" w:hint="cs"/>
          <w:sz w:val="20"/>
          <w:rtl/>
        </w:rPr>
        <w:t>לא למותר לציין, בהקשר זה, כי ההסדר עשוי לגעת בסוכני מטען ישראלים רבים, וכן בחברות תעופה רבות המספקות שירותי תובלת מטען באויר לישראל וממנה (כמו גם למספר חברות תעופה זרות שאינן טסות לישראל וממ</w:t>
      </w:r>
      <w:r>
        <w:rPr>
          <w:rFonts w:cs="David" w:hint="cs"/>
          <w:sz w:val="20"/>
          <w:rtl/>
        </w:rPr>
        <w:t xml:space="preserve">נה), ולפיכך, בסופו של יום, לעסקות רבות המבוצעות בישראל שסוכני מטען ועמיתים ישראליים צדדים להן בקשר עם מכירת שירותי תובלת מטען באויר. </w:t>
      </w:r>
    </w:p>
    <w:p w:rsidR="00000000" w:rsidRDefault="000C5475">
      <w:pPr>
        <w:bidi/>
        <w:spacing w:before="120" w:after="120"/>
        <w:rPr>
          <w:rFonts w:cs="David" w:hint="cs"/>
          <w:sz w:val="20"/>
          <w:rtl/>
        </w:rPr>
      </w:pPr>
      <w:r>
        <w:rPr>
          <w:rFonts w:cs="David" w:hint="cs"/>
          <w:sz w:val="20"/>
          <w:rtl/>
        </w:rPr>
        <w:t>התכנית תביא לפישוט הליכי הדיווח והתשלום, תיצור סדרי עבודה אחידים ותאפשר בקרה טובה על שירותי התובלה באויר. יתרונה העיקרי של</w:t>
      </w:r>
      <w:r>
        <w:rPr>
          <w:rFonts w:cs="David" w:hint="cs"/>
          <w:sz w:val="20"/>
          <w:rtl/>
        </w:rPr>
        <w:t xml:space="preserve"> התכנית בחסכון בעלויות הגבייה: תחת עשרות או מאות העברות כספים בין סוכני המטען והעמיתים לחברות התעופה, המתבצעות כיום בשני מועדי תשלום מדי חודש בחודשו, לאחר יישום התכנית יעביר כל סוכן מטען או עמית תשלום אחד בכל מועד תשלום לבנק הסולק, וכל חברת תעופה תקבל באות</w:t>
      </w:r>
      <w:r>
        <w:rPr>
          <w:rFonts w:cs="David" w:hint="cs"/>
          <w:sz w:val="20"/>
          <w:rtl/>
        </w:rPr>
        <w:t xml:space="preserve">ו מועד תשלום מהבנק הסולק תשלום יחיד. בנוסף יביא הדבר למחשוב ולאוטומציה של הליכי הדיווח וההתחשבנות שבין סוכני המטען והעמיתים לחברות התעופה. </w:t>
      </w:r>
    </w:p>
    <w:p w:rsidR="00000000" w:rsidRDefault="000C5475">
      <w:pPr>
        <w:bidi/>
        <w:spacing w:before="120" w:after="120"/>
        <w:rPr>
          <w:rFonts w:cs="David" w:hint="cs"/>
          <w:sz w:val="20"/>
          <w:rtl/>
        </w:rPr>
      </w:pPr>
      <w:r>
        <w:rPr>
          <w:rFonts w:cs="David" w:hint="cs"/>
          <w:sz w:val="20"/>
          <w:rtl/>
        </w:rPr>
        <w:t>פישוט הליכי ההתחשבנות והסליקה במקרה דנן, יתרונו גם בכך שהוא מקל על ההתקשרות של סוכני מטען ועמיתים ישראלים עם חברות ת</w:t>
      </w:r>
      <w:r>
        <w:rPr>
          <w:rFonts w:cs="David" w:hint="cs"/>
          <w:sz w:val="20"/>
          <w:rtl/>
        </w:rPr>
        <w:t>עופה זרות. הקלת ההתקשרות האמורה יש בה להגדיל את מערך שיתופי הפעולה בין סוכני מטען מורשי יאט"א ועמיתים ישראלים ובין חברות תעופה זרות ולפיכך להגדיל למעשה את היצע שירותי התובלה באויר. בסוף הדברים, הפעלת המערכת משמעה ייעול שעשוי להביא להוזלת עלויות שילוח המטען</w:t>
      </w:r>
      <w:r>
        <w:rPr>
          <w:rFonts w:cs="David" w:hint="cs"/>
          <w:sz w:val="20"/>
          <w:rtl/>
        </w:rPr>
        <w:t xml:space="preserve"> עבור הלקוח. </w:t>
      </w:r>
    </w:p>
    <w:p w:rsidR="00000000" w:rsidRDefault="000C5475">
      <w:pPr>
        <w:bidi/>
        <w:spacing w:before="120" w:after="120"/>
        <w:rPr>
          <w:rFonts w:cs="David" w:hint="cs"/>
          <w:sz w:val="20"/>
          <w:rtl/>
        </w:rPr>
      </w:pPr>
      <w:r>
        <w:rPr>
          <w:rFonts w:cs="David" w:hint="cs"/>
          <w:sz w:val="20"/>
          <w:rtl/>
        </w:rPr>
        <w:t>ההסדר מהווה הסדר כובל בהתאם לסעיף 2 לחוק. ההסדר אינו עוסק בתובלה בינלאומית, אלא בהסדרת היבטים של התקשרותן של חברות התעופה עם שוק סוכני המטען, עניין שאינו בעל נגיעה ממשית וישירה לתובלה הבינלאומית ואין לו זיקה קרובה ואינטימית לתובלה בינלאומית כ</w:t>
      </w:r>
      <w:r>
        <w:rPr>
          <w:rFonts w:cs="David" w:hint="cs"/>
          <w:sz w:val="20"/>
          <w:rtl/>
        </w:rPr>
        <w:t>נדרש לשם כניסה לגדרו של סעיף 3(7) לחוק ההגבלים העסקיים, הקובע כי הסדרים מסויימים בתחום התובלה הבינלאומית לא ייחשבו כהסדרים כובלים</w:t>
      </w:r>
      <w:r>
        <w:rPr>
          <w:rStyle w:val="FootnoteReference"/>
          <w:rFonts w:cs="David"/>
          <w:sz w:val="20"/>
          <w:rtl/>
        </w:rPr>
        <w:footnoteReference w:id="5"/>
      </w:r>
      <w:r>
        <w:rPr>
          <w:rStyle w:val="FootnoteReference"/>
          <w:rFonts w:eastAsia="Times New Roman" w:cs="David"/>
          <w:noProof/>
          <w:sz w:val="20"/>
          <w:lang w:eastAsia="he-IL"/>
        </w:rPr>
        <w:t>[5]</w:t>
      </w:r>
      <w:r>
        <w:rPr>
          <w:rFonts w:cs="David" w:hint="cs"/>
          <w:sz w:val="20"/>
          <w:rtl/>
        </w:rPr>
        <w:t xml:space="preserve">. לאור אי-כניסתו של ההסדר לגדרו של סע' 3(7), ממילא אין צורך לדון בסעיף 3א לחוק, המצמצם את תחולתו האפקטיבית של סעיף 3(7). </w:t>
      </w:r>
    </w:p>
    <w:p w:rsidR="00000000" w:rsidRDefault="000C5475">
      <w:pPr>
        <w:pStyle w:val="Heading1"/>
        <w:bidi/>
        <w:spacing w:before="280" w:beforeAutospacing="0" w:after="120" w:afterAutospacing="0"/>
        <w:rPr>
          <w:rFonts w:eastAsia="Times New Roman" w:cs="David" w:hint="cs"/>
          <w:sz w:val="36"/>
          <w:szCs w:val="36"/>
          <w:rtl/>
        </w:rPr>
      </w:pPr>
      <w:r>
        <w:rPr>
          <w:rFonts w:eastAsia="Times New Roman" w:cs="David" w:hint="cs"/>
          <w:sz w:val="36"/>
          <w:szCs w:val="36"/>
          <w:rtl/>
        </w:rPr>
        <w:t>3</w:t>
      </w:r>
      <w:r>
        <w:rPr>
          <w:rFonts w:eastAsia="Times New Roman" w:cs="David" w:hint="cs"/>
          <w:sz w:val="36"/>
          <w:szCs w:val="36"/>
          <w:rtl/>
        </w:rPr>
        <w:t xml:space="preserve">. החששות העולים מן ההסדר </w:t>
      </w:r>
    </w:p>
    <w:p w:rsidR="00000000" w:rsidRDefault="000C5475">
      <w:pPr>
        <w:bidi/>
        <w:spacing w:before="120" w:after="120"/>
        <w:rPr>
          <w:rFonts w:cs="David" w:hint="cs"/>
          <w:sz w:val="20"/>
          <w:rtl/>
        </w:rPr>
      </w:pPr>
      <w:r>
        <w:rPr>
          <w:rFonts w:cs="David" w:hint="cs"/>
          <w:sz w:val="20"/>
          <w:rtl/>
        </w:rPr>
        <w:t>על אף היתרונות הגלומים בה, אימוץ תכנית ה-</w:t>
      </w:r>
      <w:r>
        <w:rPr>
          <w:rFonts w:hint="cs"/>
          <w:sz w:val="20"/>
          <w:szCs w:val="20"/>
        </w:rPr>
        <w:t>CASS</w:t>
      </w:r>
      <w:r>
        <w:rPr>
          <w:rFonts w:cs="David" w:hint="cs"/>
          <w:sz w:val="20"/>
          <w:rtl/>
        </w:rPr>
        <w:t xml:space="preserve"> אינו חף מקשיים. ישיבתם בצוותא של גורמים עסקיים המתחרים זה בזה כרוכה ברגיל בחששות לא מבוטלים: שיתוף פעולה בין גורמים מתחרים יוצר, מטבע הדברים, תנאים נוחים להידברות ולהעברת מידע עסקי</w:t>
      </w:r>
      <w:r>
        <w:rPr>
          <w:rStyle w:val="FootnoteReference"/>
          <w:rFonts w:cs="David"/>
          <w:sz w:val="20"/>
          <w:rtl/>
        </w:rPr>
        <w:footnoteReference w:id="6"/>
      </w:r>
      <w:r>
        <w:rPr>
          <w:rStyle w:val="FootnoteReference"/>
          <w:rFonts w:eastAsia="Times New Roman" w:cs="David"/>
          <w:noProof/>
          <w:sz w:val="20"/>
          <w:lang w:eastAsia="he-IL"/>
        </w:rPr>
        <w:t>[6]</w:t>
      </w:r>
      <w:r>
        <w:rPr>
          <w:rFonts w:cs="David" w:hint="cs"/>
          <w:sz w:val="20"/>
          <w:rtl/>
        </w:rPr>
        <w:t xml:space="preserve">. </w:t>
      </w:r>
    </w:p>
    <w:p w:rsidR="00000000" w:rsidRDefault="000C5475">
      <w:pPr>
        <w:bidi/>
        <w:spacing w:before="120" w:after="120"/>
        <w:rPr>
          <w:rFonts w:cs="David" w:hint="cs"/>
          <w:sz w:val="20"/>
          <w:rtl/>
        </w:rPr>
      </w:pPr>
      <w:r>
        <w:rPr>
          <w:rFonts w:cs="David" w:hint="cs"/>
          <w:sz w:val="20"/>
          <w:rtl/>
        </w:rPr>
        <w:lastRenderedPageBreak/>
        <w:t>מעבר לאלה, ניסיון העבר בעניין ה-</w:t>
      </w:r>
      <w:r>
        <w:rPr>
          <w:rFonts w:hint="cs"/>
          <w:sz w:val="20"/>
          <w:szCs w:val="20"/>
        </w:rPr>
        <w:t>BSP</w:t>
      </w:r>
      <w:r>
        <w:rPr>
          <w:rFonts w:cs="David" w:hint="cs"/>
          <w:sz w:val="20"/>
          <w:rtl/>
        </w:rPr>
        <w:t xml:space="preserve"> מלמד, כי התכנית עשויה להפוך ברבות הימים פלטפורמה עיקרית אם לא יחידה, לביצוע הליכי התחשבנות, סליקה ותשלום מול חברות התעופה החברות בתכנית. מכאן, שבקשר עם תכנית ה-</w:t>
      </w:r>
      <w:r>
        <w:rPr>
          <w:rFonts w:hint="cs"/>
          <w:sz w:val="20"/>
          <w:szCs w:val="20"/>
        </w:rPr>
        <w:t>CASS</w:t>
      </w:r>
      <w:r>
        <w:rPr>
          <w:rFonts w:cs="David" w:hint="cs"/>
          <w:sz w:val="20"/>
          <w:rtl/>
        </w:rPr>
        <w:t xml:space="preserve"> קיים חשש נוסף, לפיו תשתמשנה חברות התעופה בתכנית ה-</w:t>
      </w:r>
      <w:r>
        <w:rPr>
          <w:rFonts w:hint="cs"/>
          <w:sz w:val="20"/>
          <w:szCs w:val="20"/>
        </w:rPr>
        <w:t xml:space="preserve"> C</w:t>
      </w:r>
      <w:r>
        <w:rPr>
          <w:rFonts w:hint="cs"/>
          <w:sz w:val="20"/>
          <w:szCs w:val="20"/>
        </w:rPr>
        <w:t>ASS</w:t>
      </w:r>
      <w:r>
        <w:rPr>
          <w:rFonts w:cs="David" w:hint="cs"/>
          <w:sz w:val="20"/>
          <w:rtl/>
        </w:rPr>
        <w:t xml:space="preserve"> כמנוף להפעלת כוח משותף כלפי סוכני המטען או העמיתים, למשל במקרים של סכסוך פרטני בין חברת תעופה פלונית לבין סוכן מטען או עמית אלמוני. ההסדר, כפי שהובא בפניי, מביא בהכרח למצב בו פיגור או חוסר בתשלום של סוכן מטען נזקף לחובתו, על ידי מערכת ה-</w:t>
      </w:r>
      <w:r>
        <w:rPr>
          <w:rFonts w:hint="cs"/>
          <w:sz w:val="20"/>
          <w:szCs w:val="20"/>
        </w:rPr>
        <w:t>CASS</w:t>
      </w:r>
      <w:r>
        <w:rPr>
          <w:rFonts w:cs="David" w:hint="cs"/>
          <w:sz w:val="20"/>
          <w:rtl/>
        </w:rPr>
        <w:t xml:space="preserve">, כלפי כלל </w:t>
      </w:r>
      <w:r>
        <w:rPr>
          <w:rFonts w:cs="David" w:hint="cs"/>
          <w:sz w:val="20"/>
          <w:rtl/>
        </w:rPr>
        <w:t>חברות התעופה להן נדרש הסוכן לשלם באותו חודש. המשמעות של חוסר או פיגור בתשלום עלולה להיות הפסקת פעילותו של הסוכן או העמית בתכנית ה-</w:t>
      </w:r>
      <w:r>
        <w:rPr>
          <w:rFonts w:hint="cs"/>
          <w:sz w:val="20"/>
          <w:szCs w:val="20"/>
        </w:rPr>
        <w:t>CASS</w:t>
      </w:r>
      <w:r>
        <w:rPr>
          <w:rFonts w:cs="David" w:hint="cs"/>
          <w:sz w:val="20"/>
          <w:rtl/>
        </w:rPr>
        <w:t>, התלייתה או השעייתה. כך, אפילו לא שילם הסוכן או העמית סכומים שנדרש לשלמם אך לדעתו אין לחברת התעופה זכות לקבלם ואין לו חוב</w:t>
      </w:r>
      <w:r>
        <w:rPr>
          <w:rFonts w:cs="David" w:hint="cs"/>
          <w:sz w:val="20"/>
          <w:rtl/>
        </w:rPr>
        <w:t>ה משפטית לשלמם. תוצאה זו איננה מוצדקת, בין היתר, מאחר ואיום הניתוק מעבודה מול כל חברות התעופה עשוי לא להשאיר אפשרות של ממש לבחינה עניינית של טענות הסוכן או העמית לגופן. יתירה מזו, משמעות קיומו של מנגנון זה עשויה להיות לחץ על הסוכן או העמית שלא להסתכסך עם ש</w:t>
      </w:r>
      <w:r>
        <w:rPr>
          <w:rFonts w:cs="David" w:hint="cs"/>
          <w:sz w:val="20"/>
          <w:rtl/>
        </w:rPr>
        <w:t xml:space="preserve">ום חברת תעופה ולשלם לה ככל טענותיה, גם במקרים בהם הדין עמו. תוצאה כזו אינה רצויה או סבירה, והיא גם אינה עולה בקנה אחד עם הוראות הדין, האוסר על חברות תעופה להפעיל במשותף כוח כלפי סוכן או עמית, בעצמן או באמצעות האיגוד העסקי שלהן, או לקבוע במשותף את התנהלותן </w:t>
      </w:r>
      <w:r>
        <w:rPr>
          <w:rFonts w:cs="David" w:hint="cs"/>
          <w:sz w:val="20"/>
          <w:rtl/>
        </w:rPr>
        <w:t xml:space="preserve">המסחרית בקשר עימו. </w:t>
      </w:r>
    </w:p>
    <w:p w:rsidR="00000000" w:rsidRDefault="000C5475">
      <w:pPr>
        <w:pStyle w:val="Heading1"/>
        <w:bidi/>
        <w:spacing w:before="280" w:beforeAutospacing="0" w:after="120" w:afterAutospacing="0"/>
        <w:rPr>
          <w:rFonts w:eastAsia="Times New Roman" w:cs="David" w:hint="cs"/>
          <w:sz w:val="36"/>
          <w:szCs w:val="36"/>
          <w:rtl/>
        </w:rPr>
      </w:pPr>
      <w:r>
        <w:rPr>
          <w:rFonts w:eastAsia="Times New Roman" w:cs="David" w:hint="cs"/>
          <w:sz w:val="36"/>
          <w:szCs w:val="36"/>
          <w:rtl/>
        </w:rPr>
        <w:t xml:space="preserve">4. התנאים למתן הפטור </w:t>
      </w:r>
    </w:p>
    <w:p w:rsidR="00000000" w:rsidRDefault="000C5475">
      <w:pPr>
        <w:bidi/>
        <w:spacing w:before="120" w:after="120"/>
        <w:rPr>
          <w:rFonts w:cs="David" w:hint="cs"/>
          <w:sz w:val="20"/>
          <w:rtl/>
        </w:rPr>
      </w:pPr>
      <w:r>
        <w:rPr>
          <w:rFonts w:cs="David" w:hint="cs"/>
          <w:sz w:val="20"/>
          <w:rtl/>
        </w:rPr>
        <w:t xml:space="preserve">יחודה של התכנית </w:t>
      </w:r>
      <w:r>
        <w:rPr>
          <w:rFonts w:cs="David" w:hint="cs"/>
          <w:sz w:val="22"/>
          <w:rtl/>
        </w:rPr>
        <w:t xml:space="preserve">ואופיה העלו את החשש מפני ניצול כוחן המצרפי של חברות התעופה לגריפת רווחים בקשר עם השימוש בתכנית. </w:t>
      </w:r>
      <w:r>
        <w:rPr>
          <w:rFonts w:cs="David" w:hint="cs"/>
          <w:sz w:val="20"/>
          <w:rtl/>
        </w:rPr>
        <w:t>חשש זה מופג, נוכח העובדה שלא ייגבו דמי חיבור כלשהם מסוכני מטען מורשי יאט"א בגין השימוש בתכנית. יאט"א ה</w:t>
      </w:r>
      <w:r>
        <w:rPr>
          <w:rFonts w:cs="David" w:hint="cs"/>
          <w:sz w:val="20"/>
          <w:rtl/>
        </w:rPr>
        <w:t>צהירה בפני, כי לא תגבה דמי חיבור, כהגדרתם בתנאים להלן, מסוכן מטען מורשה יאט"א, למעט דמי חבר שנתיים</w:t>
      </w:r>
      <w:r>
        <w:rPr>
          <w:rStyle w:val="FootnoteReference"/>
          <w:rFonts w:cs="David"/>
          <w:sz w:val="20"/>
          <w:rtl/>
        </w:rPr>
        <w:footnoteReference w:id="7"/>
      </w:r>
      <w:r>
        <w:rPr>
          <w:rStyle w:val="FootnoteReference"/>
          <w:rFonts w:eastAsia="Times New Roman" w:cs="David"/>
          <w:noProof/>
          <w:sz w:val="20"/>
          <w:lang w:eastAsia="he-IL"/>
        </w:rPr>
        <w:t>[7]</w:t>
      </w:r>
      <w:r>
        <w:rPr>
          <w:rFonts w:cs="David" w:hint="cs"/>
          <w:sz w:val="20"/>
          <w:rtl/>
        </w:rPr>
        <w:t>. יאט"א הוסיפה והצהירה בפני, כי דמי החיבור שייגבו על ידה מעמיתים לא יעלו על סך דמי החבר השנתיים הנגבים על ידה מסוכן מטען מורשה יאט"א, וכי במשך תקופתו של פ</w:t>
      </w:r>
      <w:r>
        <w:rPr>
          <w:rFonts w:cs="David" w:hint="cs"/>
          <w:sz w:val="20"/>
          <w:rtl/>
        </w:rPr>
        <w:t>טור זה היא לא תעלה את המחיר הנגבה על ידה כיום כדמי חבר שנתיים לסוכני מטען מורשי יאט"א</w:t>
      </w:r>
      <w:r>
        <w:rPr>
          <w:rStyle w:val="FootnoteReference"/>
          <w:rFonts w:cs="David"/>
          <w:sz w:val="20"/>
          <w:rtl/>
        </w:rPr>
        <w:footnoteReference w:id="8"/>
      </w:r>
      <w:r>
        <w:rPr>
          <w:rStyle w:val="FootnoteReference"/>
          <w:rFonts w:eastAsia="Times New Roman" w:cs="David"/>
          <w:noProof/>
          <w:sz w:val="20"/>
          <w:lang w:eastAsia="he-IL"/>
        </w:rPr>
        <w:t>[8]</w:t>
      </w:r>
      <w:r>
        <w:rPr>
          <w:rFonts w:cs="David" w:hint="cs"/>
          <w:sz w:val="20"/>
          <w:rtl/>
        </w:rPr>
        <w:t xml:space="preserve">. </w:t>
      </w:r>
    </w:p>
    <w:p w:rsidR="00000000" w:rsidRDefault="000C5475">
      <w:pPr>
        <w:bidi/>
        <w:spacing w:before="120" w:after="120"/>
        <w:rPr>
          <w:rFonts w:cs="David" w:hint="cs"/>
          <w:sz w:val="20"/>
          <w:rtl/>
        </w:rPr>
      </w:pPr>
      <w:r>
        <w:rPr>
          <w:rFonts w:cs="David" w:hint="cs"/>
          <w:sz w:val="20"/>
          <w:rtl/>
        </w:rPr>
        <w:t>החשש מפני עשיית שימוש בכוח המצרפי של חברות התעופה כנגד סוכני מטען או עמיתים בקשר עם השעיה של פעילותם, התלייתה או ניתוקם, מופג במספר תנאים, המאפשרים לכל סוכן או עמית</w:t>
      </w:r>
      <w:r>
        <w:rPr>
          <w:rFonts w:cs="David" w:hint="cs"/>
          <w:sz w:val="20"/>
          <w:rtl/>
        </w:rPr>
        <w:t xml:space="preserve"> להודיע כי הוא חולק על חיוב מסויים שחויב בו, כך שאותו חיוב השנוי במחלוקת יוּצא ממערכת ה-</w:t>
      </w:r>
      <w:r>
        <w:rPr>
          <w:rFonts w:hint="cs"/>
          <w:sz w:val="20"/>
          <w:szCs w:val="20"/>
        </w:rPr>
        <w:t>CASS</w:t>
      </w:r>
      <w:r>
        <w:rPr>
          <w:rFonts w:cs="David" w:hint="cs"/>
          <w:sz w:val="20"/>
          <w:rtl/>
        </w:rPr>
        <w:t xml:space="preserve"> ויטופל באופן ישיר בין הסוכן או העמית לבין חברת התעופה בלבד; המגבילים את יכולתה של יאט"</w:t>
      </w:r>
      <w:r>
        <w:rPr>
          <w:rFonts w:cs="David" w:hint="cs"/>
          <w:sz w:val="20"/>
          <w:rtl/>
        </w:rPr>
        <w:t xml:space="preserve">א לנתק סוכן או עמית מהמערכת במצבים של טעות שאינה תלויה בסוכן או בעמית; המחייבים מתן הודעה לסוכן או לעמית על אי-ביצועו של תשלום או ביצוע תשלום בחסר ומתן הזדמנות למלא את החסר; והמחייבים את יאט"א בתיעוד ובדיווח מיידי לממונה בקשר עם השעיות, התליות וניתוקים של </w:t>
      </w:r>
      <w:r>
        <w:rPr>
          <w:rFonts w:cs="David" w:hint="cs"/>
          <w:sz w:val="20"/>
          <w:rtl/>
        </w:rPr>
        <w:t xml:space="preserve">סוכני מטען מורשי יאט"א ועמיתים, לצרכי בקרה. </w:t>
      </w:r>
    </w:p>
    <w:p w:rsidR="00000000" w:rsidRDefault="000C5475">
      <w:pPr>
        <w:bidi/>
        <w:spacing w:before="120" w:after="120"/>
        <w:rPr>
          <w:rFonts w:cs="David" w:hint="cs"/>
          <w:sz w:val="20"/>
          <w:rtl/>
        </w:rPr>
      </w:pPr>
      <w:r>
        <w:rPr>
          <w:rFonts w:cs="David" w:hint="cs"/>
          <w:sz w:val="20"/>
          <w:rtl/>
        </w:rPr>
        <w:t>חשש אחר, מפני דחיקת חברות תעופה מתחרות שאינן חברות בתכנית ה-</w:t>
      </w:r>
      <w:r>
        <w:rPr>
          <w:rFonts w:hint="cs"/>
          <w:sz w:val="20"/>
          <w:szCs w:val="20"/>
        </w:rPr>
        <w:t>CASS</w:t>
      </w:r>
      <w:r>
        <w:rPr>
          <w:rFonts w:cs="David" w:hint="cs"/>
          <w:sz w:val="20"/>
          <w:rtl/>
        </w:rPr>
        <w:t xml:space="preserve"> וחסימתן בפני סוכני מטען המשתמשים בתכנית, מופג אף הוא, בפתיחת המערכת באופן שיוויוני לכל חברת תעופה המבקשת זאת. </w:t>
      </w:r>
    </w:p>
    <w:p w:rsidR="00000000" w:rsidRDefault="000C5475">
      <w:pPr>
        <w:bidi/>
        <w:spacing w:before="120" w:after="120"/>
        <w:rPr>
          <w:rFonts w:cs="David" w:hint="cs"/>
          <w:sz w:val="20"/>
          <w:rtl/>
        </w:rPr>
      </w:pPr>
      <w:r>
        <w:rPr>
          <w:rFonts w:cs="David" w:hint="cs"/>
          <w:sz w:val="20"/>
          <w:rtl/>
        </w:rPr>
        <w:t>החשש לעשיית שימוש במערכת ככלי להידב</w:t>
      </w:r>
      <w:r>
        <w:rPr>
          <w:rFonts w:cs="David" w:hint="cs"/>
          <w:sz w:val="20"/>
          <w:rtl/>
        </w:rPr>
        <w:t xml:space="preserve">רות ולהעברת מידע עסקי בין חברות התעופה, בינן לבין עצמן במישרין, באמצעות המערכת או על-ידי יאט"א, מופג באמצעות תנאים האוסרים על העברת מידע שעלול למנוע את התחרות או להפחיתה, ככל שהעברת המידע אינה נדרשת לצורך תפעולה השוטף של המערכת ותפקודה. </w:t>
      </w:r>
    </w:p>
    <w:p w:rsidR="00000000" w:rsidRDefault="000C5475">
      <w:pPr>
        <w:bidi/>
        <w:spacing w:before="120" w:after="120"/>
        <w:rPr>
          <w:rFonts w:cs="David" w:hint="cs"/>
          <w:sz w:val="20"/>
          <w:rtl/>
        </w:rPr>
      </w:pPr>
      <w:r>
        <w:rPr>
          <w:rFonts w:cs="David" w:hint="cs"/>
          <w:sz w:val="20"/>
          <w:rtl/>
        </w:rPr>
        <w:t>מובן מאליו, כי מער</w:t>
      </w:r>
      <w:r>
        <w:rPr>
          <w:rFonts w:cs="David" w:hint="cs"/>
          <w:sz w:val="20"/>
          <w:rtl/>
        </w:rPr>
        <w:t>כת ה-</w:t>
      </w:r>
      <w:r>
        <w:rPr>
          <w:rFonts w:hint="cs"/>
          <w:sz w:val="20"/>
          <w:szCs w:val="20"/>
        </w:rPr>
        <w:t>CASS</w:t>
      </w:r>
      <w:r>
        <w:rPr>
          <w:rFonts w:cs="David" w:hint="cs"/>
          <w:sz w:val="20"/>
          <w:rtl/>
        </w:rPr>
        <w:t xml:space="preserve"> עצמה אינה רשאית לשנות את תנאי האשראי, את עצם יכולתו של סוכן לעבוד מולה או לקבוע תנאים ביחס לעבודה עם סוכני המטען. כך למשל, יאט"א לא תביע את עמדתה ביחס לשיעורי העמלה ולא תקבע האם תוקם סוכנות מטען במקום כזה או אחר, כשם שלא תתנגד להקמתה של סוכנות ול</w:t>
      </w:r>
      <w:r>
        <w:rPr>
          <w:rFonts w:cs="David" w:hint="cs"/>
          <w:sz w:val="20"/>
          <w:rtl/>
        </w:rPr>
        <w:t xml:space="preserve">א תסרב לפעול עם סוכן מטען או עמית. יצויין, כי שינוי בתקנות יאט"א, עשוי להחשב שינוי מהותי בתנאי ההסדר שהוצג לי. </w:t>
      </w:r>
      <w:bookmarkEnd w:id="1"/>
    </w:p>
    <w:p w:rsidR="00000000" w:rsidRDefault="000C5475">
      <w:pPr>
        <w:bidi/>
        <w:spacing w:before="120" w:after="120"/>
        <w:rPr>
          <w:rFonts w:cs="David" w:hint="cs"/>
          <w:sz w:val="20"/>
          <w:rtl/>
        </w:rPr>
      </w:pPr>
      <w:r>
        <w:rPr>
          <w:rFonts w:cs="David" w:hint="cs"/>
          <w:sz w:val="20"/>
          <w:rtl/>
        </w:rPr>
        <w:t>יאט"</w:t>
      </w:r>
      <w:r>
        <w:rPr>
          <w:rFonts w:cs="David" w:hint="cs"/>
          <w:sz w:val="20"/>
          <w:rtl/>
        </w:rPr>
        <w:t xml:space="preserve">א הצהירה בפני כי התכנית אינה צפויה לאפשר ביצוע תשלומים בשקלים בתקופת הפטור, ולפיכך התנאים אינם כוללים התייחסות לעניין זה. העמדת אפשרות בפני משתמשים ישראליים לבצע תשלום ביותר ממטבע אחד, תחייב פניה לרשות שתוצאתה עשויה להיות העמדתם של תנאים נוספים. </w:t>
      </w:r>
    </w:p>
    <w:p w:rsidR="00000000" w:rsidRDefault="000C5475">
      <w:pPr>
        <w:pStyle w:val="Heading1"/>
        <w:bidi/>
        <w:spacing w:before="280" w:beforeAutospacing="0" w:after="120" w:afterAutospacing="0"/>
        <w:rPr>
          <w:rFonts w:eastAsia="Times New Roman" w:cs="David" w:hint="cs"/>
          <w:sz w:val="36"/>
          <w:szCs w:val="36"/>
          <w:rtl/>
        </w:rPr>
      </w:pPr>
      <w:r>
        <w:rPr>
          <w:rFonts w:eastAsia="Times New Roman" w:cs="David" w:hint="cs"/>
          <w:sz w:val="36"/>
          <w:szCs w:val="36"/>
          <w:rtl/>
        </w:rPr>
        <w:t>5. סוף דב</w:t>
      </w:r>
      <w:r>
        <w:rPr>
          <w:rFonts w:eastAsia="Times New Roman" w:cs="David" w:hint="cs"/>
          <w:sz w:val="36"/>
          <w:szCs w:val="36"/>
          <w:rtl/>
        </w:rPr>
        <w:t xml:space="preserve">ר </w:t>
      </w:r>
    </w:p>
    <w:p w:rsidR="00000000" w:rsidRDefault="000C5475">
      <w:pPr>
        <w:bidi/>
        <w:spacing w:before="120" w:after="120"/>
        <w:rPr>
          <w:rFonts w:cs="David" w:hint="cs"/>
          <w:sz w:val="20"/>
          <w:rtl/>
        </w:rPr>
      </w:pPr>
      <w:r>
        <w:rPr>
          <w:rFonts w:cs="David" w:hint="cs"/>
          <w:sz w:val="20"/>
          <w:rtl/>
        </w:rPr>
        <w:t xml:space="preserve">לאחר שנועצתי בועדה לפטורים ומיזוגים, ראיתי לנכון להשתמש בסמכות הנתונה לי בסעיף 14 לחוק ההגבלים העסקיים ולהעניק את הפטור המבוקש, בכפוף לתנאים המפורטים להלן: </w:t>
      </w:r>
    </w:p>
    <w:p w:rsidR="00000000" w:rsidRDefault="000C5475">
      <w:pPr>
        <w:bidi/>
        <w:jc w:val="center"/>
        <w:rPr>
          <w:rStyle w:val="Strong"/>
          <w:rFonts w:cs="Narkisim" w:hint="cs"/>
          <w:sz w:val="10"/>
          <w:szCs w:val="10"/>
          <w:u w:val="single"/>
          <w:rtl/>
        </w:rPr>
      </w:pPr>
    </w:p>
    <w:p w:rsidR="00000000" w:rsidRDefault="000C5475">
      <w:pPr>
        <w:pStyle w:val="Heading1"/>
        <w:bidi/>
        <w:spacing w:before="240" w:beforeAutospacing="0" w:after="120" w:afterAutospacing="0"/>
        <w:ind w:firstLine="360"/>
        <w:rPr>
          <w:rFonts w:eastAsia="Times New Roman" w:cs="David" w:hint="cs"/>
          <w:sz w:val="36"/>
          <w:szCs w:val="36"/>
          <w:rtl/>
        </w:rPr>
      </w:pPr>
      <w:r>
        <w:rPr>
          <w:rFonts w:eastAsia="Times New Roman" w:cs="David" w:hint="cs"/>
          <w:sz w:val="36"/>
          <w:szCs w:val="36"/>
          <w:rtl/>
        </w:rPr>
        <w:t xml:space="preserve">א. </w:t>
      </w:r>
      <w:r>
        <w:rPr>
          <w:rFonts w:eastAsia="Times New Roman" w:cs="David" w:hint="cs"/>
          <w:sz w:val="36"/>
          <w:szCs w:val="36"/>
          <w:u w:val="single"/>
          <w:rtl/>
        </w:rPr>
        <w:t>הגדרות</w:t>
      </w:r>
      <w:r>
        <w:rPr>
          <w:rFonts w:eastAsia="Times New Roman" w:cs="David" w:hint="cs"/>
          <w:sz w:val="36"/>
          <w:szCs w:val="36"/>
          <w:rtl/>
        </w:rPr>
        <w:t xml:space="preserve"> </w:t>
      </w:r>
    </w:p>
    <w:p w:rsidR="00000000" w:rsidRDefault="000C5475">
      <w:pPr>
        <w:tabs>
          <w:tab w:val="num" w:pos="360"/>
        </w:tabs>
        <w:bidi/>
        <w:spacing w:before="120" w:after="120"/>
        <w:ind w:left="360" w:hanging="360"/>
        <w:rPr>
          <w:rFonts w:hint="cs"/>
          <w:rtl/>
        </w:rPr>
      </w:pPr>
      <w:r>
        <w:rPr>
          <w:rFonts w:hint="cs"/>
          <w:rtl/>
        </w:rPr>
        <w:t>1.</w:t>
      </w:r>
      <w:r>
        <w:rPr>
          <w:sz w:val="14"/>
          <w:szCs w:val="14"/>
          <w:rtl/>
        </w:rPr>
        <w:t xml:space="preserve">       </w:t>
      </w:r>
      <w:r>
        <w:rPr>
          <w:rFonts w:cs="David" w:hint="cs"/>
          <w:sz w:val="20"/>
          <w:rtl/>
        </w:rPr>
        <w:t>למונחים בהחלטה זו תינתן הפרשנות הקבועה להם בחוק ההגבלים העסקיים,</w:t>
      </w:r>
      <w:r>
        <w:rPr>
          <w:rFonts w:cs="David" w:hint="cs"/>
          <w:sz w:val="10"/>
          <w:szCs w:val="14"/>
          <w:rtl/>
        </w:rPr>
        <w:t xml:space="preserve"> </w:t>
      </w:r>
      <w:r>
        <w:rPr>
          <w:rFonts w:cs="David" w:hint="cs"/>
          <w:sz w:val="20"/>
          <w:rtl/>
        </w:rPr>
        <w:t>תשמ"ח-1988</w:t>
      </w:r>
      <w:r>
        <w:rPr>
          <w:rFonts w:cs="David" w:hint="cs"/>
          <w:sz w:val="20"/>
          <w:rtl/>
        </w:rPr>
        <w:t xml:space="preserve"> ובכללי ההגבלים העסקיים (הוראות והגדרות כלליות), תשס"ו-2006, למעט אם ניתנה להם בהחלטה זו הגדרה אחרת במפורש. </w:t>
      </w:r>
    </w:p>
    <w:p w:rsidR="00000000" w:rsidRDefault="000C5475">
      <w:pPr>
        <w:tabs>
          <w:tab w:val="num" w:pos="360"/>
        </w:tabs>
        <w:bidi/>
        <w:spacing w:before="120" w:after="120"/>
        <w:ind w:left="360" w:hanging="360"/>
        <w:rPr>
          <w:rFonts w:cs="David" w:hint="cs"/>
          <w:sz w:val="20"/>
          <w:rtl/>
        </w:rPr>
      </w:pPr>
      <w:r>
        <w:rPr>
          <w:rFonts w:hint="cs"/>
          <w:rtl/>
        </w:rPr>
        <w:t>2.</w:t>
      </w:r>
      <w:r>
        <w:rPr>
          <w:sz w:val="14"/>
          <w:szCs w:val="14"/>
          <w:rtl/>
        </w:rPr>
        <w:t xml:space="preserve">       </w:t>
      </w:r>
      <w:r>
        <w:rPr>
          <w:rFonts w:cs="David" w:hint="cs"/>
          <w:sz w:val="20"/>
          <w:rtl/>
        </w:rPr>
        <w:t xml:space="preserve">בתנאים אלה: </w:t>
      </w:r>
    </w:p>
    <w:tbl>
      <w:tblPr>
        <w:bidiVisual/>
        <w:tblW w:w="0" w:type="auto"/>
        <w:tblLook w:val="01E0" w:firstRow="1" w:lastRow="1" w:firstColumn="1" w:lastColumn="1" w:noHBand="0" w:noVBand="0"/>
      </w:tblPr>
      <w:tblGrid>
        <w:gridCol w:w="2146"/>
        <w:gridCol w:w="6160"/>
      </w:tblGrid>
      <w:tr w:rsidR="00000000">
        <w:tc>
          <w:tcPr>
            <w:tcW w:w="2183" w:type="dxa"/>
            <w:tcBorders>
              <w:top w:val="nil"/>
              <w:left w:val="nil"/>
              <w:bottom w:val="nil"/>
              <w:right w:val="nil"/>
            </w:tcBorders>
            <w:shd w:val="clear" w:color="auto" w:fill="auto"/>
            <w:hideMark/>
          </w:tcPr>
          <w:p w:rsidR="00000000" w:rsidRDefault="000C5475">
            <w:pPr>
              <w:bidi/>
              <w:spacing w:before="120" w:after="120"/>
              <w:rPr>
                <w:rFonts w:hint="cs"/>
                <w:rtl/>
              </w:rPr>
            </w:pPr>
            <w:r>
              <w:rPr>
                <w:rFonts w:cs="David" w:hint="cs"/>
                <w:sz w:val="20"/>
                <w:rtl/>
              </w:rPr>
              <w:t>"</w:t>
            </w:r>
            <w:r>
              <w:rPr>
                <w:rStyle w:val="Strong"/>
                <w:rFonts w:hint="cs"/>
                <w:sz w:val="20"/>
                <w:rtl/>
              </w:rPr>
              <w:t>הממונה</w:t>
            </w:r>
            <w:r>
              <w:rPr>
                <w:rFonts w:cs="David" w:hint="cs"/>
                <w:sz w:val="20"/>
                <w:rtl/>
              </w:rPr>
              <w:t xml:space="preserve">": </w:t>
            </w:r>
          </w:p>
        </w:tc>
        <w:tc>
          <w:tcPr>
            <w:tcW w:w="6345" w:type="dxa"/>
            <w:tcBorders>
              <w:top w:val="nil"/>
              <w:left w:val="nil"/>
              <w:bottom w:val="nil"/>
              <w:right w:val="nil"/>
            </w:tcBorders>
            <w:shd w:val="clear" w:color="auto" w:fill="auto"/>
            <w:hideMark/>
          </w:tcPr>
          <w:p w:rsidR="00000000" w:rsidRDefault="000C5475">
            <w:pPr>
              <w:bidi/>
              <w:spacing w:before="120" w:after="120"/>
              <w:rPr>
                <w:rFonts w:cs="David"/>
              </w:rPr>
            </w:pPr>
            <w:r>
              <w:rPr>
                <w:rFonts w:cs="David" w:hint="cs"/>
                <w:sz w:val="20"/>
                <w:rtl/>
              </w:rPr>
              <w:t>הממונה על הגבלים עסקיים;</w:t>
            </w:r>
            <w:r>
              <w:rPr>
                <w:rFonts w:cs="David" w:hint="cs"/>
                <w:rtl/>
              </w:rPr>
              <w:t xml:space="preserve"> </w:t>
            </w:r>
          </w:p>
        </w:tc>
      </w:tr>
      <w:tr w:rsidR="00000000">
        <w:tc>
          <w:tcPr>
            <w:tcW w:w="2183" w:type="dxa"/>
            <w:tcBorders>
              <w:top w:val="nil"/>
              <w:left w:val="nil"/>
              <w:bottom w:val="nil"/>
              <w:right w:val="nil"/>
            </w:tcBorders>
            <w:shd w:val="clear" w:color="auto" w:fill="auto"/>
            <w:hideMark/>
          </w:tcPr>
          <w:p w:rsidR="00000000" w:rsidRDefault="000C5475">
            <w:pPr>
              <w:bidi/>
              <w:spacing w:before="120" w:after="120"/>
              <w:rPr>
                <w:rFonts w:hint="cs"/>
                <w:sz w:val="22"/>
                <w:rtl/>
              </w:rPr>
            </w:pPr>
            <w:r>
              <w:rPr>
                <w:rFonts w:cs="David" w:hint="cs"/>
                <w:sz w:val="22"/>
                <w:rtl/>
              </w:rPr>
              <w:t>"</w:t>
            </w:r>
            <w:r>
              <w:rPr>
                <w:rStyle w:val="Strong"/>
                <w:rFonts w:hint="cs"/>
                <w:sz w:val="22"/>
                <w:rtl/>
              </w:rPr>
              <w:t>יאט"א</w:t>
            </w:r>
            <w:r>
              <w:rPr>
                <w:rFonts w:cs="David" w:hint="cs"/>
                <w:sz w:val="22"/>
                <w:rtl/>
              </w:rPr>
              <w:t>":</w:t>
            </w:r>
          </w:p>
        </w:tc>
        <w:tc>
          <w:tcPr>
            <w:tcW w:w="6345" w:type="dxa"/>
            <w:tcBorders>
              <w:top w:val="nil"/>
              <w:left w:val="nil"/>
              <w:bottom w:val="nil"/>
              <w:right w:val="nil"/>
            </w:tcBorders>
            <w:shd w:val="clear" w:color="auto" w:fill="auto"/>
            <w:hideMark/>
          </w:tcPr>
          <w:p w:rsidR="00000000" w:rsidRDefault="000C5475">
            <w:pPr>
              <w:bidi/>
              <w:spacing w:before="120" w:after="120"/>
              <w:rPr>
                <w:sz w:val="22"/>
              </w:rPr>
            </w:pPr>
            <w:r>
              <w:rPr>
                <w:sz w:val="20"/>
                <w:szCs w:val="20"/>
              </w:rPr>
              <w:t>International Air Transport Association</w:t>
            </w:r>
            <w:r>
              <w:rPr>
                <w:rFonts w:cs="David" w:hint="cs"/>
                <w:sz w:val="20"/>
                <w:rtl/>
              </w:rPr>
              <w:t xml:space="preserve">, </w:t>
            </w:r>
            <w:r>
              <w:rPr>
                <w:rFonts w:cs="David" w:hint="cs"/>
                <w:sz w:val="22"/>
                <w:rtl/>
              </w:rPr>
              <w:t xml:space="preserve">וכל אדם קשור בה; </w:t>
            </w:r>
          </w:p>
        </w:tc>
      </w:tr>
      <w:tr w:rsidR="00000000">
        <w:tc>
          <w:tcPr>
            <w:tcW w:w="2183" w:type="dxa"/>
            <w:tcBorders>
              <w:top w:val="nil"/>
              <w:left w:val="nil"/>
              <w:bottom w:val="nil"/>
              <w:right w:val="nil"/>
            </w:tcBorders>
            <w:shd w:val="clear" w:color="auto" w:fill="auto"/>
            <w:hideMark/>
          </w:tcPr>
          <w:p w:rsidR="00000000" w:rsidRDefault="000C5475">
            <w:pPr>
              <w:bidi/>
              <w:spacing w:before="120" w:after="120"/>
              <w:rPr>
                <w:rFonts w:cs="David"/>
                <w:sz w:val="20"/>
              </w:rPr>
            </w:pPr>
            <w:r>
              <w:rPr>
                <w:rFonts w:cs="David" w:hint="cs"/>
                <w:sz w:val="20"/>
                <w:rtl/>
              </w:rPr>
              <w:t>"</w:t>
            </w:r>
            <w:r>
              <w:rPr>
                <w:rStyle w:val="Strong"/>
                <w:rFonts w:cs="David" w:hint="cs"/>
                <w:sz w:val="20"/>
                <w:rtl/>
              </w:rPr>
              <w:t>תקנות יאט"א</w:t>
            </w:r>
            <w:r>
              <w:rPr>
                <w:rFonts w:cs="David" w:hint="cs"/>
                <w:sz w:val="20"/>
                <w:rtl/>
              </w:rPr>
              <w:t>":</w:t>
            </w:r>
          </w:p>
        </w:tc>
        <w:tc>
          <w:tcPr>
            <w:tcW w:w="6345" w:type="dxa"/>
            <w:tcBorders>
              <w:top w:val="nil"/>
              <w:left w:val="nil"/>
              <w:bottom w:val="nil"/>
              <w:right w:val="nil"/>
            </w:tcBorders>
            <w:shd w:val="clear" w:color="auto" w:fill="auto"/>
          </w:tcPr>
          <w:p w:rsidR="00000000" w:rsidRDefault="000C5475">
            <w:pPr>
              <w:bidi/>
              <w:spacing w:before="120" w:after="120"/>
              <w:rPr>
                <w:rFonts w:cs="David" w:hint="cs"/>
                <w:sz w:val="20"/>
                <w:rtl/>
              </w:rPr>
            </w:pPr>
            <w:r>
              <w:rPr>
                <w:sz w:val="20"/>
                <w:szCs w:val="20"/>
              </w:rPr>
              <w:t>IATA Resolutions</w:t>
            </w:r>
            <w:r>
              <w:rPr>
                <w:rFonts w:cs="David" w:hint="cs"/>
                <w:sz w:val="20"/>
                <w:rtl/>
              </w:rPr>
              <w:t xml:space="preserve"> המתפרסמות על ידי יאט"א מעת לעת; </w:t>
            </w:r>
          </w:p>
          <w:p w:rsidR="00000000" w:rsidRDefault="000C5475">
            <w:pPr>
              <w:bidi/>
              <w:spacing w:before="120" w:after="120"/>
              <w:rPr>
                <w:rFonts w:cs="David" w:hint="cs"/>
                <w:sz w:val="20"/>
                <w:rtl/>
              </w:rPr>
            </w:pPr>
          </w:p>
        </w:tc>
      </w:tr>
      <w:tr w:rsidR="00000000">
        <w:tc>
          <w:tcPr>
            <w:tcW w:w="2183" w:type="dxa"/>
            <w:tcBorders>
              <w:top w:val="nil"/>
              <w:left w:val="nil"/>
              <w:bottom w:val="nil"/>
              <w:right w:val="nil"/>
            </w:tcBorders>
            <w:shd w:val="clear" w:color="auto" w:fill="auto"/>
            <w:hideMark/>
          </w:tcPr>
          <w:p w:rsidR="00000000" w:rsidRDefault="000C5475">
            <w:pPr>
              <w:bidi/>
              <w:spacing w:before="120" w:after="120"/>
              <w:rPr>
                <w:rFonts w:cs="David" w:hint="cs"/>
                <w:sz w:val="22"/>
                <w:rtl/>
              </w:rPr>
            </w:pPr>
            <w:r>
              <w:rPr>
                <w:rFonts w:cs="David" w:hint="cs"/>
                <w:sz w:val="22"/>
                <w:rtl/>
              </w:rPr>
              <w:t>"</w:t>
            </w:r>
            <w:r>
              <w:rPr>
                <w:rStyle w:val="Strong"/>
                <w:rFonts w:cs="David" w:hint="cs"/>
                <w:sz w:val="22"/>
                <w:rtl/>
              </w:rPr>
              <w:t>חברת תעופה</w:t>
            </w:r>
            <w:r>
              <w:rPr>
                <w:rFonts w:cs="David" w:hint="cs"/>
                <w:sz w:val="22"/>
                <w:rtl/>
              </w:rPr>
              <w:t>":</w:t>
            </w:r>
          </w:p>
        </w:tc>
        <w:tc>
          <w:tcPr>
            <w:tcW w:w="6345" w:type="dxa"/>
            <w:tcBorders>
              <w:top w:val="nil"/>
              <w:left w:val="nil"/>
              <w:bottom w:val="nil"/>
              <w:right w:val="nil"/>
            </w:tcBorders>
            <w:shd w:val="clear" w:color="auto" w:fill="auto"/>
            <w:hideMark/>
          </w:tcPr>
          <w:p w:rsidR="00000000" w:rsidRDefault="000C5475">
            <w:pPr>
              <w:bidi/>
              <w:spacing w:before="120" w:after="120"/>
              <w:rPr>
                <w:rFonts w:cs="David" w:hint="cs"/>
                <w:sz w:val="22"/>
                <w:rtl/>
              </w:rPr>
            </w:pPr>
            <w:r>
              <w:rPr>
                <w:rFonts w:cs="David" w:hint="cs"/>
                <w:sz w:val="22"/>
                <w:rtl/>
              </w:rPr>
              <w:t xml:space="preserve">לרבות </w:t>
            </w:r>
            <w:r>
              <w:rPr>
                <w:sz w:val="22"/>
              </w:rPr>
              <w:t>Cargo General Sales and Service Agent</w:t>
            </w:r>
            <w:r>
              <w:rPr>
                <w:rFonts w:cs="David" w:hint="cs"/>
                <w:sz w:val="22"/>
                <w:rtl/>
              </w:rPr>
              <w:t xml:space="preserve"> כהגדרתו בתקנה 823 לתקנות יאט"א; </w:t>
            </w:r>
          </w:p>
        </w:tc>
      </w:tr>
      <w:tr w:rsidR="00000000">
        <w:tc>
          <w:tcPr>
            <w:tcW w:w="2183" w:type="dxa"/>
            <w:tcBorders>
              <w:top w:val="nil"/>
              <w:left w:val="nil"/>
              <w:bottom w:val="nil"/>
              <w:right w:val="nil"/>
            </w:tcBorders>
            <w:shd w:val="clear" w:color="auto" w:fill="auto"/>
            <w:hideMark/>
          </w:tcPr>
          <w:p w:rsidR="00000000" w:rsidRDefault="000C5475">
            <w:pPr>
              <w:bidi/>
              <w:spacing w:before="120" w:after="120"/>
              <w:rPr>
                <w:rFonts w:cs="David" w:hint="cs"/>
                <w:sz w:val="22"/>
                <w:rtl/>
              </w:rPr>
            </w:pPr>
            <w:r>
              <w:rPr>
                <w:rFonts w:cs="David" w:hint="cs"/>
                <w:sz w:val="22"/>
                <w:rtl/>
              </w:rPr>
              <w:t>"</w:t>
            </w:r>
            <w:r>
              <w:rPr>
                <w:rStyle w:val="Strong"/>
                <w:rFonts w:cs="David" w:hint="cs"/>
                <w:sz w:val="22"/>
                <w:rtl/>
              </w:rPr>
              <w:t>סוכן מטען מורשה יאט"א</w:t>
            </w:r>
            <w:r>
              <w:rPr>
                <w:rFonts w:cs="David" w:hint="cs"/>
                <w:sz w:val="22"/>
                <w:rtl/>
              </w:rPr>
              <w:t xml:space="preserve">": </w:t>
            </w:r>
          </w:p>
        </w:tc>
        <w:tc>
          <w:tcPr>
            <w:tcW w:w="6345" w:type="dxa"/>
            <w:tcBorders>
              <w:top w:val="nil"/>
              <w:left w:val="nil"/>
              <w:bottom w:val="nil"/>
              <w:right w:val="nil"/>
            </w:tcBorders>
            <w:shd w:val="clear" w:color="auto" w:fill="auto"/>
            <w:hideMark/>
          </w:tcPr>
          <w:p w:rsidR="00000000" w:rsidRDefault="000C5475">
            <w:pPr>
              <w:bidi/>
              <w:spacing w:before="120" w:after="120"/>
              <w:rPr>
                <w:rFonts w:cs="David" w:hint="cs"/>
                <w:sz w:val="22"/>
                <w:rtl/>
              </w:rPr>
            </w:pPr>
            <w:r>
              <w:rPr>
                <w:rFonts w:cs="David" w:hint="cs"/>
                <w:sz w:val="22"/>
                <w:rtl/>
              </w:rPr>
              <w:t xml:space="preserve">סוכן מטען שעמד בהליך הבדיקה והאישור של יאט"א, על פי הקריטריונים הקבועים על ידה; </w:t>
            </w:r>
          </w:p>
        </w:tc>
      </w:tr>
      <w:tr w:rsidR="00000000">
        <w:tc>
          <w:tcPr>
            <w:tcW w:w="2183" w:type="dxa"/>
            <w:tcBorders>
              <w:top w:val="nil"/>
              <w:left w:val="nil"/>
              <w:bottom w:val="nil"/>
              <w:right w:val="nil"/>
            </w:tcBorders>
            <w:shd w:val="clear" w:color="auto" w:fill="auto"/>
            <w:hideMark/>
          </w:tcPr>
          <w:p w:rsidR="00000000" w:rsidRDefault="000C5475">
            <w:pPr>
              <w:spacing w:before="120" w:after="120"/>
              <w:jc w:val="right"/>
              <w:rPr>
                <w:rFonts w:hint="cs"/>
                <w:sz w:val="22"/>
                <w:rtl/>
              </w:rPr>
            </w:pPr>
            <w:r>
              <w:rPr>
                <w:rFonts w:cs="David" w:hint="cs"/>
                <w:sz w:val="22"/>
                <w:rtl/>
              </w:rPr>
              <w:t>"</w:t>
            </w:r>
            <w:r>
              <w:rPr>
                <w:rStyle w:val="Strong"/>
                <w:rFonts w:cs="David" w:hint="cs"/>
                <w:sz w:val="22"/>
                <w:rtl/>
              </w:rPr>
              <w:t>עמית</w:t>
            </w:r>
            <w:r>
              <w:rPr>
                <w:rFonts w:cs="David" w:hint="cs"/>
                <w:sz w:val="22"/>
                <w:rtl/>
              </w:rPr>
              <w:t>":</w:t>
            </w:r>
          </w:p>
        </w:tc>
        <w:tc>
          <w:tcPr>
            <w:tcW w:w="6345" w:type="dxa"/>
            <w:tcBorders>
              <w:top w:val="nil"/>
              <w:left w:val="nil"/>
              <w:bottom w:val="nil"/>
              <w:right w:val="nil"/>
            </w:tcBorders>
            <w:shd w:val="clear" w:color="auto" w:fill="auto"/>
            <w:hideMark/>
          </w:tcPr>
          <w:p w:rsidR="00000000" w:rsidRDefault="000C5475">
            <w:pPr>
              <w:bidi/>
              <w:spacing w:before="120" w:after="120"/>
              <w:rPr>
                <w:rFonts w:cs="David"/>
                <w:sz w:val="22"/>
              </w:rPr>
            </w:pPr>
            <w:r>
              <w:rPr>
                <w:sz w:val="22"/>
              </w:rPr>
              <w:t>CASS Associate</w:t>
            </w:r>
            <w:r>
              <w:rPr>
                <w:rFonts w:cs="David" w:hint="cs"/>
                <w:sz w:val="22"/>
                <w:rtl/>
              </w:rPr>
              <w:t xml:space="preserve">, סוכן מטען, או כל משתמש אחר בתכנית כהגדרתה להלן, שאינו סוכן מטען מורשה יאט"א; </w:t>
            </w:r>
          </w:p>
        </w:tc>
      </w:tr>
      <w:tr w:rsidR="00000000">
        <w:tc>
          <w:tcPr>
            <w:tcW w:w="2183" w:type="dxa"/>
            <w:tcBorders>
              <w:top w:val="nil"/>
              <w:left w:val="nil"/>
              <w:bottom w:val="nil"/>
              <w:right w:val="nil"/>
            </w:tcBorders>
            <w:shd w:val="clear" w:color="auto" w:fill="auto"/>
            <w:hideMark/>
          </w:tcPr>
          <w:p w:rsidR="00000000" w:rsidRDefault="000C5475">
            <w:pPr>
              <w:bidi/>
              <w:spacing w:before="120" w:after="120"/>
              <w:rPr>
                <w:rFonts w:hint="cs"/>
                <w:sz w:val="22"/>
                <w:rtl/>
              </w:rPr>
            </w:pPr>
            <w:r>
              <w:rPr>
                <w:rFonts w:cs="David" w:hint="cs"/>
                <w:sz w:val="22"/>
                <w:rtl/>
              </w:rPr>
              <w:t>"</w:t>
            </w:r>
            <w:r>
              <w:rPr>
                <w:rStyle w:val="Strong"/>
                <w:rFonts w:cs="David" w:hint="cs"/>
                <w:sz w:val="22"/>
                <w:rtl/>
              </w:rPr>
              <w:t>ה</w:t>
            </w:r>
            <w:r>
              <w:rPr>
                <w:rStyle w:val="Strong"/>
                <w:rFonts w:hint="cs"/>
                <w:sz w:val="22"/>
                <w:rtl/>
              </w:rPr>
              <w:t>תכנית</w:t>
            </w:r>
            <w:r>
              <w:rPr>
                <w:rFonts w:cs="David" w:hint="cs"/>
                <w:sz w:val="22"/>
                <w:rtl/>
              </w:rPr>
              <w:t xml:space="preserve">": </w:t>
            </w:r>
          </w:p>
        </w:tc>
        <w:tc>
          <w:tcPr>
            <w:tcW w:w="6345" w:type="dxa"/>
            <w:tcBorders>
              <w:top w:val="nil"/>
              <w:left w:val="nil"/>
              <w:bottom w:val="nil"/>
              <w:right w:val="nil"/>
            </w:tcBorders>
            <w:shd w:val="clear" w:color="auto" w:fill="auto"/>
            <w:hideMark/>
          </w:tcPr>
          <w:p w:rsidR="00000000" w:rsidRDefault="000C5475">
            <w:pPr>
              <w:bidi/>
              <w:spacing w:before="120" w:after="120"/>
              <w:rPr>
                <w:rFonts w:cs="David"/>
                <w:sz w:val="22"/>
              </w:rPr>
            </w:pPr>
            <w:r>
              <w:rPr>
                <w:rFonts w:cs="David" w:hint="cs"/>
                <w:sz w:val="22"/>
                <w:rtl/>
              </w:rPr>
              <w:t>תכנית המנוהלת ע"י יאט"א, ומאפשרת את ביצועם של הליכי דיווח, התחשבנות, סליקה או תשלום, לרבות שטר מטען נייטרלי, בין סוכן מטען או עמית לבין חברת תע</w:t>
            </w:r>
            <w:r>
              <w:rPr>
                <w:rFonts w:cs="David" w:hint="cs"/>
                <w:sz w:val="22"/>
                <w:rtl/>
              </w:rPr>
              <w:t xml:space="preserve">ופה; </w:t>
            </w:r>
          </w:p>
        </w:tc>
      </w:tr>
      <w:tr w:rsidR="00000000">
        <w:tc>
          <w:tcPr>
            <w:tcW w:w="2183" w:type="dxa"/>
            <w:tcBorders>
              <w:top w:val="nil"/>
              <w:left w:val="nil"/>
              <w:bottom w:val="nil"/>
              <w:right w:val="nil"/>
            </w:tcBorders>
            <w:shd w:val="clear" w:color="auto" w:fill="auto"/>
            <w:hideMark/>
          </w:tcPr>
          <w:p w:rsidR="00000000" w:rsidRDefault="000C5475">
            <w:pPr>
              <w:bidi/>
              <w:spacing w:before="120" w:after="120"/>
              <w:rPr>
                <w:rFonts w:cs="David" w:hint="cs"/>
                <w:sz w:val="22"/>
                <w:rtl/>
              </w:rPr>
            </w:pPr>
            <w:r>
              <w:rPr>
                <w:rFonts w:cs="David" w:hint="cs"/>
                <w:sz w:val="22"/>
                <w:rtl/>
              </w:rPr>
              <w:t>"</w:t>
            </w:r>
            <w:r>
              <w:rPr>
                <w:rStyle w:val="Strong"/>
                <w:rFonts w:cs="David" w:hint="cs"/>
                <w:sz w:val="22"/>
                <w:rtl/>
              </w:rPr>
              <w:t>דמי חיבור</w:t>
            </w:r>
            <w:r>
              <w:rPr>
                <w:rFonts w:cs="David" w:hint="cs"/>
                <w:sz w:val="22"/>
                <w:rtl/>
              </w:rPr>
              <w:t xml:space="preserve">": </w:t>
            </w:r>
          </w:p>
        </w:tc>
        <w:tc>
          <w:tcPr>
            <w:tcW w:w="6345" w:type="dxa"/>
            <w:tcBorders>
              <w:top w:val="nil"/>
              <w:left w:val="nil"/>
              <w:bottom w:val="nil"/>
              <w:right w:val="nil"/>
            </w:tcBorders>
            <w:shd w:val="clear" w:color="auto" w:fill="auto"/>
            <w:hideMark/>
          </w:tcPr>
          <w:p w:rsidR="00000000" w:rsidRDefault="000C5475">
            <w:pPr>
              <w:bidi/>
              <w:spacing w:before="120" w:after="120"/>
              <w:rPr>
                <w:rFonts w:cs="David" w:hint="cs"/>
                <w:sz w:val="22"/>
                <w:rtl/>
              </w:rPr>
            </w:pPr>
            <w:r>
              <w:rPr>
                <w:rFonts w:cs="David" w:hint="cs"/>
                <w:sz w:val="22"/>
                <w:rtl/>
              </w:rPr>
              <w:t xml:space="preserve">כל תשלום, לרבות הוצאה, דמי הרשמה, דמי קבלה, דמי טיפול, דמי מנוי, דמי שימוש, וכל כיוצא בזה, לרבות תשלום עיתי מכל סוג שהוא, בכסף או בשווה כסף; </w:t>
            </w:r>
          </w:p>
        </w:tc>
      </w:tr>
      <w:tr w:rsidR="00000000">
        <w:tc>
          <w:tcPr>
            <w:tcW w:w="2183" w:type="dxa"/>
            <w:tcBorders>
              <w:top w:val="nil"/>
              <w:left w:val="nil"/>
              <w:bottom w:val="nil"/>
              <w:right w:val="nil"/>
            </w:tcBorders>
            <w:shd w:val="clear" w:color="auto" w:fill="auto"/>
            <w:hideMark/>
          </w:tcPr>
          <w:p w:rsidR="00000000" w:rsidRDefault="000C5475">
            <w:pPr>
              <w:bidi/>
              <w:spacing w:before="120" w:after="120"/>
              <w:rPr>
                <w:rFonts w:hint="cs"/>
                <w:sz w:val="22"/>
                <w:rtl/>
              </w:rPr>
            </w:pPr>
            <w:r>
              <w:rPr>
                <w:rFonts w:cs="David" w:hint="cs"/>
                <w:sz w:val="22"/>
                <w:rtl/>
              </w:rPr>
              <w:t>"</w:t>
            </w:r>
            <w:r>
              <w:rPr>
                <w:rStyle w:val="Strong"/>
                <w:rFonts w:hint="cs"/>
                <w:sz w:val="22"/>
                <w:rtl/>
              </w:rPr>
              <w:t>שימוש</w:t>
            </w:r>
            <w:r>
              <w:rPr>
                <w:rFonts w:cs="David" w:hint="cs"/>
                <w:sz w:val="22"/>
                <w:rtl/>
              </w:rPr>
              <w:t xml:space="preserve">": </w:t>
            </w:r>
          </w:p>
        </w:tc>
        <w:tc>
          <w:tcPr>
            <w:tcW w:w="6345" w:type="dxa"/>
            <w:tcBorders>
              <w:top w:val="nil"/>
              <w:left w:val="nil"/>
              <w:bottom w:val="nil"/>
              <w:right w:val="nil"/>
            </w:tcBorders>
            <w:shd w:val="clear" w:color="auto" w:fill="auto"/>
            <w:hideMark/>
          </w:tcPr>
          <w:p w:rsidR="00000000" w:rsidRDefault="000C5475">
            <w:pPr>
              <w:bidi/>
              <w:spacing w:before="120" w:after="120"/>
              <w:rPr>
                <w:rFonts w:cs="David"/>
                <w:sz w:val="22"/>
              </w:rPr>
            </w:pPr>
            <w:r>
              <w:rPr>
                <w:rFonts w:cs="David" w:hint="cs"/>
                <w:sz w:val="22"/>
                <w:rtl/>
              </w:rPr>
              <w:t>ביצוע פעולות באמצעות התכנית, ובכללן דיווח, התחשבנות, סליקה או תשלום, שטר מטען נייט</w:t>
            </w:r>
            <w:r>
              <w:rPr>
                <w:rFonts w:cs="David" w:hint="cs"/>
                <w:sz w:val="22"/>
                <w:rtl/>
              </w:rPr>
              <w:t xml:space="preserve">רלי, ריכוז חיובים וזיכויים והעברת הפירוט בדבר חיובים וזיכויים לגורם שבחובה או בזכות; </w:t>
            </w:r>
          </w:p>
        </w:tc>
      </w:tr>
      <w:tr w:rsidR="00000000">
        <w:tc>
          <w:tcPr>
            <w:tcW w:w="2183" w:type="dxa"/>
            <w:tcBorders>
              <w:top w:val="nil"/>
              <w:left w:val="nil"/>
              <w:bottom w:val="nil"/>
              <w:right w:val="nil"/>
            </w:tcBorders>
            <w:shd w:val="clear" w:color="auto" w:fill="auto"/>
            <w:hideMark/>
          </w:tcPr>
          <w:p w:rsidR="00000000" w:rsidRDefault="000C5475">
            <w:pPr>
              <w:bidi/>
              <w:spacing w:before="120" w:after="120"/>
              <w:rPr>
                <w:rFonts w:cs="David" w:hint="cs"/>
                <w:sz w:val="22"/>
                <w:rtl/>
              </w:rPr>
            </w:pPr>
            <w:r>
              <w:rPr>
                <w:rFonts w:cs="David" w:hint="cs"/>
                <w:sz w:val="22"/>
                <w:rtl/>
              </w:rPr>
              <w:t>"</w:t>
            </w:r>
            <w:r>
              <w:rPr>
                <w:rStyle w:val="Strong"/>
                <w:rFonts w:cs="David" w:hint="cs"/>
                <w:sz w:val="22"/>
                <w:rtl/>
              </w:rPr>
              <w:t>חיבור</w:t>
            </w:r>
            <w:r>
              <w:rPr>
                <w:rFonts w:cs="David" w:hint="cs"/>
                <w:sz w:val="22"/>
                <w:rtl/>
              </w:rPr>
              <w:t>":</w:t>
            </w:r>
          </w:p>
        </w:tc>
        <w:tc>
          <w:tcPr>
            <w:tcW w:w="6345" w:type="dxa"/>
            <w:tcBorders>
              <w:top w:val="nil"/>
              <w:left w:val="nil"/>
              <w:bottom w:val="nil"/>
              <w:right w:val="nil"/>
            </w:tcBorders>
            <w:shd w:val="clear" w:color="auto" w:fill="auto"/>
            <w:hideMark/>
          </w:tcPr>
          <w:p w:rsidR="00000000" w:rsidRDefault="000C5475">
            <w:pPr>
              <w:bidi/>
              <w:spacing w:before="120" w:after="120"/>
              <w:rPr>
                <w:rFonts w:cs="David" w:hint="cs"/>
                <w:sz w:val="22"/>
                <w:rtl/>
              </w:rPr>
            </w:pPr>
            <w:r>
              <w:rPr>
                <w:rFonts w:cs="David" w:hint="cs"/>
                <w:sz w:val="22"/>
                <w:rtl/>
              </w:rPr>
              <w:t xml:space="preserve">צירוף לתכנית, בין היתר על ידי מתן גישה לתכנית, לרבות שימוש בתכנית לאחר צירוף כאמור; </w:t>
            </w:r>
          </w:p>
        </w:tc>
      </w:tr>
      <w:tr w:rsidR="00000000">
        <w:tc>
          <w:tcPr>
            <w:tcW w:w="2183" w:type="dxa"/>
            <w:tcBorders>
              <w:top w:val="nil"/>
              <w:left w:val="nil"/>
              <w:bottom w:val="nil"/>
              <w:right w:val="nil"/>
            </w:tcBorders>
            <w:shd w:val="clear" w:color="auto" w:fill="auto"/>
            <w:hideMark/>
          </w:tcPr>
          <w:p w:rsidR="00000000" w:rsidRDefault="000C5475">
            <w:pPr>
              <w:bidi/>
              <w:spacing w:before="120" w:after="120"/>
              <w:rPr>
                <w:rFonts w:hint="cs"/>
                <w:sz w:val="22"/>
                <w:rtl/>
              </w:rPr>
            </w:pPr>
            <w:r>
              <w:rPr>
                <w:rFonts w:cs="David" w:hint="cs"/>
                <w:sz w:val="22"/>
                <w:rtl/>
              </w:rPr>
              <w:t>"</w:t>
            </w:r>
            <w:r>
              <w:rPr>
                <w:rStyle w:val="Strong"/>
                <w:rFonts w:cs="David" w:hint="cs"/>
                <w:sz w:val="22"/>
                <w:rtl/>
              </w:rPr>
              <w:t>ניתוק</w:t>
            </w:r>
            <w:r>
              <w:rPr>
                <w:rFonts w:cs="David" w:hint="cs"/>
                <w:sz w:val="22"/>
                <w:rtl/>
              </w:rPr>
              <w:t>":</w:t>
            </w:r>
          </w:p>
        </w:tc>
        <w:tc>
          <w:tcPr>
            <w:tcW w:w="6345" w:type="dxa"/>
            <w:tcBorders>
              <w:top w:val="nil"/>
              <w:left w:val="nil"/>
              <w:bottom w:val="nil"/>
              <w:right w:val="nil"/>
            </w:tcBorders>
            <w:shd w:val="clear" w:color="auto" w:fill="auto"/>
            <w:hideMark/>
          </w:tcPr>
          <w:p w:rsidR="00000000" w:rsidRDefault="000C5475">
            <w:pPr>
              <w:bidi/>
              <w:spacing w:before="120" w:after="120"/>
              <w:rPr>
                <w:rStyle w:val="Strong"/>
                <w:rFonts w:cs="David"/>
              </w:rPr>
            </w:pPr>
            <w:r>
              <w:rPr>
                <w:rFonts w:cs="David" w:hint="cs"/>
                <w:sz w:val="22"/>
                <w:rtl/>
              </w:rPr>
              <w:t xml:space="preserve">שלילת השימוש בתכנית, לרבות </w:t>
            </w:r>
            <w:r>
              <w:rPr>
                <w:rFonts w:cs="David" w:hint="cs"/>
                <w:sz w:val="20"/>
                <w:rtl/>
              </w:rPr>
              <w:t xml:space="preserve">מניעה בדרך כלשהי של השימוש בתכנית, התליה, עיכוב, השהיה, חסימה, צמצום, פגיעה, הגבלה או התנאת השימוש בתנאי שתוצאתו דומה לאלו, אי כיבוד שטרי מטען, </w:t>
            </w:r>
            <w:r>
              <w:rPr>
                <w:rFonts w:cs="David" w:hint="cs"/>
                <w:sz w:val="22"/>
                <w:rtl/>
              </w:rPr>
              <w:t>שלילת הגישה לתוכנת המחשב שבאמצעותה פועלת התכנית, חסימה טכנולוגית, מכנית או אחרת של השימוש, ובכלל זה חסימה חלקית,</w:t>
            </w:r>
            <w:r>
              <w:rPr>
                <w:rFonts w:cs="David" w:hint="cs"/>
                <w:sz w:val="22"/>
                <w:rtl/>
              </w:rPr>
              <w:t xml:space="preserve"> זמנית או קבועה של היכולת לעשות שימוש בתכנית, </w:t>
            </w:r>
            <w:r>
              <w:rPr>
                <w:rFonts w:cs="David" w:hint="cs"/>
                <w:sz w:val="20"/>
                <w:rtl/>
              </w:rPr>
              <w:t xml:space="preserve">הגבלת היכולת להפיק שטרי מטען לחברת תעופה, לרבות באמצעי מכני או אלקטרוני, </w:t>
            </w:r>
            <w:r>
              <w:rPr>
                <w:rFonts w:cs="David" w:hint="cs"/>
                <w:sz w:val="22"/>
                <w:rtl/>
              </w:rPr>
              <w:t xml:space="preserve">וכל דרך אחרת שתוצאתה צמצום יכולת העבודה השוטפת עם התכנית; </w:t>
            </w:r>
          </w:p>
        </w:tc>
      </w:tr>
      <w:tr w:rsidR="00000000">
        <w:tc>
          <w:tcPr>
            <w:tcW w:w="2183" w:type="dxa"/>
            <w:tcBorders>
              <w:top w:val="nil"/>
              <w:left w:val="nil"/>
              <w:bottom w:val="nil"/>
              <w:right w:val="nil"/>
            </w:tcBorders>
            <w:shd w:val="clear" w:color="auto" w:fill="auto"/>
            <w:hideMark/>
          </w:tcPr>
          <w:p w:rsidR="00000000" w:rsidRDefault="000C5475">
            <w:pPr>
              <w:bidi/>
              <w:spacing w:before="120" w:after="120"/>
              <w:rPr>
                <w:rFonts w:hint="cs"/>
                <w:sz w:val="20"/>
                <w:rtl/>
              </w:rPr>
            </w:pPr>
            <w:r>
              <w:rPr>
                <w:rFonts w:cs="David" w:hint="cs"/>
                <w:sz w:val="20"/>
                <w:rtl/>
              </w:rPr>
              <w:t>"</w:t>
            </w:r>
            <w:r>
              <w:rPr>
                <w:rStyle w:val="Strong"/>
                <w:rFonts w:cs="David" w:hint="cs"/>
                <w:sz w:val="20"/>
                <w:rtl/>
              </w:rPr>
              <w:t>חריגה</w:t>
            </w:r>
            <w:r>
              <w:rPr>
                <w:rFonts w:cs="David" w:hint="cs"/>
                <w:sz w:val="20"/>
                <w:rtl/>
              </w:rPr>
              <w:t>":</w:t>
            </w:r>
          </w:p>
        </w:tc>
        <w:tc>
          <w:tcPr>
            <w:tcW w:w="6345" w:type="dxa"/>
            <w:tcBorders>
              <w:top w:val="nil"/>
              <w:left w:val="nil"/>
              <w:bottom w:val="nil"/>
              <w:right w:val="nil"/>
            </w:tcBorders>
            <w:shd w:val="clear" w:color="auto" w:fill="auto"/>
            <w:hideMark/>
          </w:tcPr>
          <w:p w:rsidR="00000000" w:rsidRDefault="000C5475">
            <w:pPr>
              <w:bidi/>
              <w:spacing w:before="120" w:after="120"/>
              <w:rPr>
                <w:rFonts w:cs="David" w:hint="cs"/>
                <w:sz w:val="4"/>
                <w:szCs w:val="8"/>
                <w:rtl/>
              </w:rPr>
            </w:pPr>
            <w:r>
              <w:rPr>
                <w:sz w:val="22"/>
              </w:rPr>
              <w:t>Irregularity, Penalty Point</w:t>
            </w:r>
            <w:r>
              <w:rPr>
                <w:rFonts w:cs="David" w:hint="cs"/>
                <w:sz w:val="22"/>
                <w:rtl/>
              </w:rPr>
              <w:t xml:space="preserve"> או </w:t>
            </w:r>
            <w:r>
              <w:rPr>
                <w:sz w:val="22"/>
              </w:rPr>
              <w:t>Default</w:t>
            </w:r>
            <w:r>
              <w:rPr>
                <w:rFonts w:cs="David" w:hint="cs"/>
                <w:sz w:val="22"/>
                <w:rtl/>
              </w:rPr>
              <w:t xml:space="preserve"> כהגדרתם בתקנה </w:t>
            </w:r>
            <w:r>
              <w:rPr>
                <w:sz w:val="22"/>
              </w:rPr>
              <w:t>801r</w:t>
            </w:r>
            <w:r>
              <w:rPr>
                <w:rFonts w:cs="David" w:hint="cs"/>
                <w:sz w:val="22"/>
                <w:rtl/>
              </w:rPr>
              <w:t xml:space="preserve"> לתקנות יאט</w:t>
            </w:r>
            <w:r>
              <w:rPr>
                <w:rFonts w:cs="David" w:hint="cs"/>
                <w:sz w:val="22"/>
                <w:rtl/>
              </w:rPr>
              <w:t xml:space="preserve">"א, או תקנה 851, לפי העניין, או כל תקנה דומה או שתבוא במקומן; </w:t>
            </w:r>
          </w:p>
        </w:tc>
      </w:tr>
    </w:tbl>
    <w:p w:rsidR="00000000" w:rsidRDefault="000C5475">
      <w:pPr>
        <w:pStyle w:val="Heading1"/>
        <w:bidi/>
        <w:spacing w:before="360" w:beforeAutospacing="0" w:after="120" w:afterAutospacing="0"/>
        <w:ind w:firstLine="357"/>
        <w:rPr>
          <w:rFonts w:eastAsia="Times New Roman" w:cs="David" w:hint="cs"/>
          <w:sz w:val="36"/>
          <w:szCs w:val="36"/>
          <w:rtl/>
        </w:rPr>
      </w:pPr>
      <w:r>
        <w:rPr>
          <w:rFonts w:eastAsia="Times New Roman" w:cs="David" w:hint="cs"/>
          <w:sz w:val="36"/>
          <w:szCs w:val="36"/>
          <w:rtl/>
        </w:rPr>
        <w:t xml:space="preserve">ב. </w:t>
      </w:r>
      <w:r>
        <w:rPr>
          <w:rFonts w:eastAsia="Times New Roman" w:cs="David" w:hint="cs"/>
          <w:sz w:val="36"/>
          <w:szCs w:val="36"/>
          <w:u w:val="single"/>
          <w:rtl/>
        </w:rPr>
        <w:t xml:space="preserve">חובה לאפשר חיבור לתכנית </w:t>
      </w:r>
    </w:p>
    <w:p w:rsidR="00000000" w:rsidRDefault="000C5475">
      <w:pPr>
        <w:tabs>
          <w:tab w:val="num" w:pos="360"/>
        </w:tabs>
        <w:bidi/>
        <w:spacing w:before="120" w:after="120"/>
        <w:ind w:left="360" w:hanging="360"/>
        <w:rPr>
          <w:rFonts w:cs="David" w:hint="cs"/>
          <w:sz w:val="20"/>
          <w:rtl/>
        </w:rPr>
      </w:pPr>
      <w:r>
        <w:rPr>
          <w:rFonts w:hint="cs"/>
          <w:rtl/>
        </w:rPr>
        <w:t>3.</w:t>
      </w:r>
      <w:r>
        <w:rPr>
          <w:sz w:val="14"/>
          <w:szCs w:val="14"/>
          <w:rtl/>
        </w:rPr>
        <w:t xml:space="preserve">       </w:t>
      </w:r>
      <w:r>
        <w:rPr>
          <w:rFonts w:cs="David" w:hint="cs"/>
          <w:sz w:val="20"/>
          <w:rtl/>
        </w:rPr>
        <w:t>יאט"א תאפשר לכל סוכן מטען מורשה יאט"א בישראל, לכל עמית</w:t>
      </w:r>
      <w:r>
        <w:rPr>
          <w:rStyle w:val="Strong"/>
          <w:rFonts w:cs="David" w:hint="cs"/>
          <w:sz w:val="22"/>
          <w:rtl/>
        </w:rPr>
        <w:t xml:space="preserve"> </w:t>
      </w:r>
      <w:r>
        <w:rPr>
          <w:rFonts w:cs="David" w:hint="cs"/>
          <w:sz w:val="20"/>
          <w:rtl/>
        </w:rPr>
        <w:t>ולכל חברת תעופה המבקשים זאת, להתחבר לתכנית. יאט"א לא תפלה בין סוכני מטען, לא תפלה בין עמיתים ולא תפל</w:t>
      </w:r>
      <w:r>
        <w:rPr>
          <w:rFonts w:cs="David" w:hint="cs"/>
          <w:sz w:val="20"/>
          <w:rtl/>
        </w:rPr>
        <w:t xml:space="preserve">ה בין חברות תעופה בחיבורם לתכנית. </w:t>
      </w:r>
    </w:p>
    <w:p w:rsidR="00000000" w:rsidRDefault="000C5475">
      <w:pPr>
        <w:tabs>
          <w:tab w:val="num" w:pos="360"/>
        </w:tabs>
        <w:bidi/>
        <w:spacing w:before="120" w:after="120"/>
        <w:ind w:left="360" w:hanging="360"/>
        <w:rPr>
          <w:rFonts w:hint="cs"/>
          <w:rtl/>
        </w:rPr>
      </w:pPr>
      <w:r>
        <w:rPr>
          <w:rFonts w:hint="cs"/>
          <w:rtl/>
        </w:rPr>
        <w:t>4.</w:t>
      </w:r>
      <w:r>
        <w:rPr>
          <w:sz w:val="14"/>
          <w:szCs w:val="14"/>
          <w:rtl/>
        </w:rPr>
        <w:t xml:space="preserve">       </w:t>
      </w:r>
      <w:r>
        <w:rPr>
          <w:rFonts w:cs="David" w:hint="cs"/>
          <w:sz w:val="20"/>
          <w:rtl/>
        </w:rPr>
        <w:t xml:space="preserve">א. יאט"א לא תגבה דמי חיבור כלשהם מסוכן מטען מורשה יאט"א עבור החיבור לתכנית. </w:t>
      </w:r>
    </w:p>
    <w:p w:rsidR="00000000" w:rsidRDefault="000C5475">
      <w:pPr>
        <w:bidi/>
        <w:spacing w:before="120" w:after="120"/>
        <w:ind w:left="360"/>
        <w:rPr>
          <w:rFonts w:cs="David" w:hint="cs"/>
          <w:sz w:val="20"/>
          <w:highlight w:val="yellow"/>
          <w:rtl/>
        </w:rPr>
      </w:pPr>
      <w:r>
        <w:rPr>
          <w:rFonts w:cs="David" w:hint="cs"/>
          <w:sz w:val="20"/>
          <w:rtl/>
        </w:rPr>
        <w:t xml:space="preserve">ב. על אף האמור בס"ק א. לעיל, יאט"א רשאית לגבות דמי חיבור מעמית או מחברת תעופה, ובלבד שלא תפלה בין עמיתים או בין חברות תעופה. </w:t>
      </w:r>
    </w:p>
    <w:p w:rsidR="00000000" w:rsidRDefault="000C5475">
      <w:pPr>
        <w:pStyle w:val="Heading1"/>
        <w:bidi/>
        <w:spacing w:before="240" w:beforeAutospacing="0" w:after="120" w:afterAutospacing="0"/>
        <w:ind w:firstLine="360"/>
        <w:rPr>
          <w:rFonts w:eastAsia="Times New Roman" w:cs="David" w:hint="cs"/>
          <w:sz w:val="36"/>
          <w:szCs w:val="36"/>
          <w:u w:val="single"/>
          <w:rtl/>
        </w:rPr>
      </w:pPr>
      <w:r>
        <w:rPr>
          <w:rFonts w:eastAsia="Times New Roman" w:cs="David" w:hint="cs"/>
          <w:sz w:val="36"/>
          <w:szCs w:val="36"/>
          <w:rtl/>
        </w:rPr>
        <w:t xml:space="preserve">ג. </w:t>
      </w:r>
      <w:r>
        <w:rPr>
          <w:rFonts w:eastAsia="Times New Roman" w:cs="David" w:hint="cs"/>
          <w:sz w:val="36"/>
          <w:szCs w:val="36"/>
          <w:u w:val="single"/>
          <w:rtl/>
        </w:rPr>
        <w:t xml:space="preserve">איסור על שיתוף או העברה של מידע </w:t>
      </w:r>
    </w:p>
    <w:p w:rsidR="00000000" w:rsidRDefault="000C5475">
      <w:pPr>
        <w:tabs>
          <w:tab w:val="num" w:pos="360"/>
        </w:tabs>
        <w:bidi/>
        <w:spacing w:before="120" w:after="120"/>
        <w:ind w:left="360" w:hanging="360"/>
        <w:rPr>
          <w:rFonts w:hint="cs"/>
          <w:rtl/>
        </w:rPr>
      </w:pPr>
      <w:r>
        <w:rPr>
          <w:rFonts w:hint="cs"/>
          <w:rtl/>
        </w:rPr>
        <w:t>5.</w:t>
      </w:r>
      <w:r>
        <w:rPr>
          <w:sz w:val="14"/>
          <w:szCs w:val="14"/>
          <w:rtl/>
        </w:rPr>
        <w:t xml:space="preserve">       </w:t>
      </w:r>
      <w:r>
        <w:rPr>
          <w:rFonts w:cs="David" w:hint="cs"/>
          <w:sz w:val="20"/>
          <w:rtl/>
        </w:rPr>
        <w:t>א. יאט"א לא תעביר לסוכן מטען מורשה יאט"א, לעמית או לחברת תעופה, או לכל אדם הקשור למי מהם, במישרין או בעקיפין, מידע שהועבר בתכנית, לרבות הודעה בדבר אי ביצועו של תשלום או תשלום שבוצע בחסר. אין באמור בס"ק זה לאסור העב</w:t>
      </w:r>
      <w:r>
        <w:rPr>
          <w:rFonts w:cs="David" w:hint="cs"/>
          <w:sz w:val="20"/>
          <w:rtl/>
        </w:rPr>
        <w:t xml:space="preserve">רה של מידע כאמור לחברת תעופה, לסוכן מטען מורשה יאט"א או לעמית בנוגע לעסקה שהם צד לה או לפעילותם הם. אין בתנאי זה כדי לאסור העברת מידע הנושא אופי סטטיסטי-כללי ואיננו מתייחס לסוכן מטען מורשה יאט"א, לעמית או לחברת תעופה ספציפיים. </w:t>
      </w:r>
    </w:p>
    <w:p w:rsidR="00000000" w:rsidRDefault="000C5475">
      <w:pPr>
        <w:bidi/>
        <w:spacing w:before="120" w:after="120"/>
        <w:ind w:left="360"/>
        <w:rPr>
          <w:rFonts w:cs="David" w:hint="cs"/>
          <w:sz w:val="20"/>
          <w:rtl/>
        </w:rPr>
      </w:pPr>
      <w:r>
        <w:rPr>
          <w:rFonts w:cs="David" w:hint="cs"/>
          <w:sz w:val="20"/>
          <w:rtl/>
        </w:rPr>
        <w:t xml:space="preserve">ב. יאט"א, חברת תעופה שחוברה </w:t>
      </w:r>
      <w:r>
        <w:rPr>
          <w:rFonts w:cs="David" w:hint="cs"/>
          <w:sz w:val="20"/>
          <w:rtl/>
        </w:rPr>
        <w:t xml:space="preserve">לתכנית וכל אדם קשור למי מהן, לא יעבירו לחברת תעופה הנחיה או המלצה בנוגע להתקשרות עם סוכן מטען מורשה יאט"א, או עם עמית, או תנאיה. אין באמור בס"ק זה לאסור העברת מידע על ידי יאט"א בנוגע להליך הבדיקה והאישור של סוכן מטען מורשה יאט"א או עמית. </w:t>
      </w:r>
    </w:p>
    <w:p w:rsidR="00000000" w:rsidRDefault="000C5475">
      <w:pPr>
        <w:pStyle w:val="Heading1"/>
        <w:bidi/>
        <w:spacing w:before="240" w:beforeAutospacing="0" w:after="120" w:afterAutospacing="0"/>
        <w:ind w:firstLine="360"/>
        <w:rPr>
          <w:rFonts w:eastAsia="Times New Roman" w:cs="David" w:hint="cs"/>
          <w:sz w:val="36"/>
          <w:szCs w:val="36"/>
          <w:u w:val="single"/>
          <w:rtl/>
        </w:rPr>
      </w:pPr>
      <w:r>
        <w:rPr>
          <w:rFonts w:eastAsia="Times New Roman" w:cs="David" w:hint="cs"/>
          <w:sz w:val="36"/>
          <w:szCs w:val="36"/>
          <w:rtl/>
        </w:rPr>
        <w:t xml:space="preserve">ד. </w:t>
      </w:r>
      <w:r>
        <w:rPr>
          <w:rFonts w:eastAsia="Times New Roman" w:cs="David" w:hint="cs"/>
          <w:sz w:val="36"/>
          <w:szCs w:val="36"/>
          <w:u w:val="single"/>
          <w:rtl/>
        </w:rPr>
        <w:t xml:space="preserve">הגבלת ניתוק מהתכנית </w:t>
      </w:r>
    </w:p>
    <w:p w:rsidR="00000000" w:rsidRDefault="000C5475">
      <w:pPr>
        <w:tabs>
          <w:tab w:val="num" w:pos="360"/>
        </w:tabs>
        <w:bidi/>
        <w:spacing w:before="120" w:after="120"/>
        <w:ind w:left="360" w:hanging="360"/>
        <w:rPr>
          <w:rFonts w:cs="David" w:hint="cs"/>
          <w:sz w:val="20"/>
          <w:rtl/>
        </w:rPr>
      </w:pPr>
      <w:r>
        <w:rPr>
          <w:rFonts w:hint="cs"/>
          <w:rtl/>
        </w:rPr>
        <w:t>6.</w:t>
      </w:r>
      <w:r>
        <w:rPr>
          <w:sz w:val="14"/>
          <w:szCs w:val="14"/>
          <w:rtl/>
        </w:rPr>
        <w:t xml:space="preserve">       </w:t>
      </w:r>
      <w:r>
        <w:rPr>
          <w:rFonts w:cs="David" w:hint="cs"/>
          <w:sz w:val="20"/>
          <w:rtl/>
        </w:rPr>
        <w:t>א. יאט"א לא תנתק סוכן מטען מורשה יאט"א או עמית מהתכנית, אם במועד התשלום בידי סוכן המטען מורשה היאט"א או העמית הכספים לפירעון מלא של התשלום בחשבון הבנק ממנו הוא יבוצע, וסוכן המטען מורשה היאט"א או העמית עשה את הפעולות הנדרשות על</w:t>
      </w:r>
      <w:r>
        <w:rPr>
          <w:rFonts w:cs="David" w:hint="cs"/>
          <w:sz w:val="20"/>
          <w:rtl/>
        </w:rPr>
        <w:t xml:space="preserve"> מנת לשלם את החוב במלואו ובמועדו, אולם כתוצאה מנסיבות חיצוניות, שאינן בשליטתו, לרבות טעות בהקלדת נתונים, טעות או תקלה טכנית במערכות הבנק או שביתה בבנק (להלן – "</w:t>
      </w:r>
      <w:r>
        <w:rPr>
          <w:rStyle w:val="Strong"/>
          <w:rFonts w:cs="David" w:hint="cs"/>
          <w:sz w:val="20"/>
          <w:rtl/>
        </w:rPr>
        <w:t>טעות</w:t>
      </w:r>
      <w:r>
        <w:rPr>
          <w:rFonts w:cs="David" w:hint="cs"/>
          <w:sz w:val="20"/>
          <w:rtl/>
        </w:rPr>
        <w:t xml:space="preserve"> </w:t>
      </w:r>
      <w:r>
        <w:rPr>
          <w:rStyle w:val="Strong"/>
          <w:rFonts w:cs="David" w:hint="cs"/>
          <w:sz w:val="20"/>
          <w:rtl/>
        </w:rPr>
        <w:t>טכנית</w:t>
      </w:r>
      <w:r>
        <w:rPr>
          <w:rFonts w:cs="David" w:hint="cs"/>
          <w:sz w:val="20"/>
          <w:rtl/>
        </w:rPr>
        <w:t>"), לא בוצע התשלום במלואו ובמועדו, ובלבד שסוכן המטען מורשה היאט"א או העמית המציא ליאט"</w:t>
      </w:r>
      <w:r>
        <w:rPr>
          <w:rFonts w:cs="David" w:hint="cs"/>
          <w:sz w:val="20"/>
          <w:rtl/>
        </w:rPr>
        <w:t xml:space="preserve">א אסמכתות המעידות על התקיימותם של כל אלה. </w:t>
      </w:r>
    </w:p>
    <w:p w:rsidR="00000000" w:rsidRDefault="000C5475">
      <w:pPr>
        <w:bidi/>
        <w:spacing w:before="120" w:after="120"/>
        <w:ind w:left="360"/>
        <w:rPr>
          <w:rFonts w:cs="David" w:hint="cs"/>
          <w:sz w:val="20"/>
          <w:rtl/>
        </w:rPr>
      </w:pPr>
      <w:r>
        <w:rPr>
          <w:rFonts w:cs="David" w:hint="cs"/>
          <w:sz w:val="20"/>
          <w:rtl/>
        </w:rPr>
        <w:t xml:space="preserve">ב. בנסיבות שתוארו בס"ק א. לעיל, לא ירשם האיחור בתשלום לחובת סוכן המטען מורשה היאט"א או העמית כחריגה (ואם נרשם, יימחק הרישום ללא כל דיחוי) ויאט"א לא תנקוט כל צעד אחר נגד הסוכן או נגד העמית, לפי העניין, ובלבד ששילם </w:t>
      </w:r>
      <w:r>
        <w:rPr>
          <w:rFonts w:cs="David" w:hint="cs"/>
          <w:sz w:val="20"/>
          <w:rtl/>
        </w:rPr>
        <w:t xml:space="preserve">את יתרת התשלום מיד לאחר שהתגלתה הטעות הטכנית. </w:t>
      </w:r>
    </w:p>
    <w:p w:rsidR="00000000" w:rsidRDefault="000C5475">
      <w:pPr>
        <w:pStyle w:val="Heading1"/>
        <w:bidi/>
        <w:spacing w:before="240" w:beforeAutospacing="0" w:after="120" w:afterAutospacing="0"/>
        <w:ind w:firstLine="360"/>
        <w:rPr>
          <w:rFonts w:eastAsia="Times New Roman" w:cs="David" w:hint="cs"/>
          <w:sz w:val="36"/>
          <w:szCs w:val="36"/>
          <w:u w:val="single"/>
          <w:rtl/>
        </w:rPr>
      </w:pPr>
      <w:r>
        <w:rPr>
          <w:rFonts w:eastAsia="Times New Roman" w:cs="David" w:hint="cs"/>
          <w:sz w:val="36"/>
          <w:szCs w:val="36"/>
          <w:rtl/>
        </w:rPr>
        <w:t xml:space="preserve">ה. </w:t>
      </w:r>
      <w:r>
        <w:rPr>
          <w:rFonts w:eastAsia="Times New Roman" w:cs="David" w:hint="cs"/>
          <w:sz w:val="36"/>
          <w:szCs w:val="36"/>
          <w:u w:val="single"/>
          <w:rtl/>
        </w:rPr>
        <w:t xml:space="preserve">הודעה בדבר סכום השנוי במחלוקת </w:t>
      </w:r>
    </w:p>
    <w:p w:rsidR="00000000" w:rsidRDefault="000C5475">
      <w:pPr>
        <w:tabs>
          <w:tab w:val="num" w:pos="360"/>
        </w:tabs>
        <w:bidi/>
        <w:spacing w:before="120" w:after="120"/>
        <w:ind w:left="360" w:hanging="360"/>
        <w:rPr>
          <w:rFonts w:hint="cs"/>
          <w:rtl/>
        </w:rPr>
      </w:pPr>
      <w:r>
        <w:rPr>
          <w:rFonts w:hint="cs"/>
          <w:rtl/>
        </w:rPr>
        <w:t>7.</w:t>
      </w:r>
      <w:r>
        <w:rPr>
          <w:sz w:val="14"/>
          <w:szCs w:val="14"/>
          <w:rtl/>
        </w:rPr>
        <w:t xml:space="preserve">       </w:t>
      </w:r>
      <w:r>
        <w:rPr>
          <w:rFonts w:cs="David" w:hint="cs"/>
          <w:sz w:val="20"/>
          <w:rtl/>
        </w:rPr>
        <w:t>היה ולפי רישומיה של יאט"א לא בוצע תשלום על ידי סוכן מטען מורשה יאט"א או עמית באותו מועד שנקבע לתשלום, או שתשלום כאמור בוצע בחסר, תודיע יאט"א לאותו סוכן או עמית על אי-</w:t>
      </w:r>
      <w:r>
        <w:rPr>
          <w:rFonts w:cs="David" w:hint="cs"/>
          <w:sz w:val="20"/>
          <w:rtl/>
        </w:rPr>
        <w:t xml:space="preserve">ביצועו של תשלום או ביצוע תשלום בחסר כאמור. </w:t>
      </w:r>
    </w:p>
    <w:p w:rsidR="00000000" w:rsidRDefault="000C5475">
      <w:pPr>
        <w:tabs>
          <w:tab w:val="num" w:pos="360"/>
        </w:tabs>
        <w:bidi/>
        <w:spacing w:before="120" w:after="120"/>
        <w:ind w:left="360" w:hanging="360"/>
        <w:rPr>
          <w:rFonts w:hint="cs"/>
          <w:rtl/>
        </w:rPr>
      </w:pPr>
      <w:r>
        <w:rPr>
          <w:rFonts w:hint="cs"/>
          <w:rtl/>
        </w:rPr>
        <w:t>8.</w:t>
      </w:r>
      <w:r>
        <w:rPr>
          <w:sz w:val="14"/>
          <w:szCs w:val="14"/>
          <w:rtl/>
        </w:rPr>
        <w:t xml:space="preserve">       </w:t>
      </w:r>
      <w:r>
        <w:rPr>
          <w:rFonts w:cs="David" w:hint="cs"/>
          <w:sz w:val="20"/>
          <w:rtl/>
        </w:rPr>
        <w:t>א. הודיע סוכן מטען מורשה יאט"א, או עמית, ליאט"א כי הוא חולק על חיוב שחוייב בו במסגרת התכנית, בצירוף העתק מהודעה על-כך שהעביר לחברת התעופה (אלא אם החיוב שניתנת בגינו הודעה אינו מתייחס לחברת תעופה ספציפית,</w:t>
      </w:r>
      <w:r>
        <w:rPr>
          <w:rFonts w:cs="David" w:hint="cs"/>
          <w:sz w:val="20"/>
          <w:rtl/>
        </w:rPr>
        <w:t xml:space="preserve"> מחלוקת על הפרשים הנובעים מאיחור בהעברת התשלום, מחלוקת על חיוב שהעבירה יאט"א עבור עצמה וכדו'), וזאת עד למועד שנקבע בס"ק ד להלן, תקיים יאט"א את כל אלה: </w:t>
      </w:r>
    </w:p>
    <w:p w:rsidR="00000000" w:rsidRDefault="000C5475">
      <w:pPr>
        <w:bidi/>
        <w:spacing w:before="120" w:after="120"/>
        <w:ind w:left="360"/>
        <w:rPr>
          <w:rFonts w:cs="David" w:hint="cs"/>
          <w:sz w:val="20"/>
          <w:rtl/>
        </w:rPr>
      </w:pPr>
      <w:r>
        <w:rPr>
          <w:rFonts w:cs="David" w:hint="cs"/>
          <w:sz w:val="20"/>
          <w:rtl/>
        </w:rPr>
        <w:t xml:space="preserve">(1) תתקן את החיוב לצורך התכנית בהתאם להודעתו של הסוכן או העמית, והסכום השנוי במחלוקת לא יחשב חוב במסגרת </w:t>
      </w:r>
      <w:r>
        <w:rPr>
          <w:rFonts w:cs="David" w:hint="cs"/>
          <w:sz w:val="20"/>
          <w:rtl/>
        </w:rPr>
        <w:t xml:space="preserve">התכנית; </w:t>
      </w:r>
    </w:p>
    <w:p w:rsidR="00000000" w:rsidRDefault="000C5475">
      <w:pPr>
        <w:bidi/>
        <w:spacing w:before="120" w:after="120"/>
        <w:ind w:left="360"/>
        <w:rPr>
          <w:rFonts w:cs="David" w:hint="cs"/>
          <w:sz w:val="20"/>
          <w:rtl/>
        </w:rPr>
      </w:pPr>
      <w:r>
        <w:rPr>
          <w:rFonts w:cs="David" w:hint="cs"/>
          <w:sz w:val="20"/>
          <w:rtl/>
        </w:rPr>
        <w:t>(2) לא תפעל בדרך כלשהי, לבד מן האמור בס"ק (1) לעיל, בקשר עם הסכום השנוי במחלוקת; אין בס"ק זה לאסור על העברת הודעה לחברת תעופה על כך שסוכן נסיעות מורשה יאט"א או עמית חלק על חיובה. אולם, אם חלק הסוכן או העמית על חיוב שאינו מתייחס לחברת תעופה ספציפית</w:t>
      </w:r>
      <w:r>
        <w:rPr>
          <w:rFonts w:cs="David" w:hint="cs"/>
          <w:sz w:val="20"/>
          <w:rtl/>
        </w:rPr>
        <w:t xml:space="preserve"> כאמור לעיל, תהיה יאט"א רשאית לפעול למימוש החיוב בדרך של משא ומתן מול הסוכן העמית, או התדיינות בפני בורר או ערכאה משפטית מוסמכת. </w:t>
      </w:r>
    </w:p>
    <w:p w:rsidR="00000000" w:rsidRDefault="000C5475">
      <w:pPr>
        <w:bidi/>
        <w:spacing w:before="120" w:after="120"/>
        <w:ind w:left="360"/>
        <w:rPr>
          <w:rFonts w:hint="cs"/>
          <w:rtl/>
        </w:rPr>
      </w:pPr>
      <w:r>
        <w:rPr>
          <w:rFonts w:cs="David" w:hint="cs"/>
          <w:sz w:val="20"/>
          <w:rtl/>
        </w:rPr>
        <w:t>ב. הודעה כאמור בס"ק א. לעיל הניתנת עד למועד הנקוב בס"ק ד.(1), תוכל להינתן גם ביחס לחיוב שחייבה חברת תעופה שהמועד לתשלומו היה ב</w:t>
      </w:r>
      <w:r>
        <w:rPr>
          <w:rFonts w:cs="David" w:hint="cs"/>
          <w:sz w:val="20"/>
          <w:rtl/>
        </w:rPr>
        <w:t xml:space="preserve">חודש הקודם. </w:t>
      </w:r>
    </w:p>
    <w:p w:rsidR="00000000" w:rsidRDefault="000C5475">
      <w:pPr>
        <w:bidi/>
        <w:spacing w:before="120" w:after="120"/>
        <w:ind w:left="360"/>
        <w:rPr>
          <w:rFonts w:cs="David" w:hint="cs"/>
          <w:sz w:val="20"/>
          <w:rtl/>
        </w:rPr>
      </w:pPr>
      <w:r>
        <w:rPr>
          <w:rFonts w:cs="David" w:hint="cs"/>
          <w:sz w:val="20"/>
          <w:rtl/>
        </w:rPr>
        <w:t xml:space="preserve">ג. אין באמור בס"ק א. כדי לשנות מן החובות והזכויות שבין חברת התעופה לסוכן המטען מורשה היאט"א או העמית, וחברת התעופה תהיה רשאית לפעול מול סוכן המטען מורשה היאט"א או העמית למימוש זכויותיה על פי דין. </w:t>
      </w:r>
    </w:p>
    <w:p w:rsidR="00000000" w:rsidRDefault="000C5475">
      <w:pPr>
        <w:bidi/>
        <w:spacing w:before="120" w:after="120"/>
        <w:ind w:left="360"/>
        <w:rPr>
          <w:rFonts w:cs="David" w:hint="cs"/>
          <w:sz w:val="20"/>
          <w:rtl/>
        </w:rPr>
      </w:pPr>
      <w:r>
        <w:rPr>
          <w:rFonts w:cs="David" w:hint="cs"/>
          <w:sz w:val="20"/>
          <w:rtl/>
        </w:rPr>
        <w:t xml:space="preserve">ד. </w:t>
      </w:r>
      <w:r>
        <w:rPr>
          <w:rFonts w:cs="David" w:hint="cs"/>
          <w:sz w:val="20"/>
          <w:rtl/>
        </w:rPr>
        <w:tab/>
        <w:t>(1) הודעה כאמור בס"ק א. תנתן עד 3 ימים קוד</w:t>
      </w:r>
      <w:r>
        <w:rPr>
          <w:rFonts w:cs="David" w:hint="cs"/>
          <w:sz w:val="20"/>
          <w:rtl/>
        </w:rPr>
        <w:t xml:space="preserve">ם לכל מועד שנקבע לתשלום. </w:t>
      </w:r>
    </w:p>
    <w:p w:rsidR="00000000" w:rsidRDefault="000C5475">
      <w:pPr>
        <w:bidi/>
        <w:spacing w:before="120" w:after="120"/>
        <w:ind w:left="720"/>
        <w:rPr>
          <w:rFonts w:cs="David" w:hint="cs"/>
          <w:sz w:val="20"/>
          <w:rtl/>
        </w:rPr>
      </w:pPr>
      <w:r>
        <w:rPr>
          <w:rFonts w:cs="David" w:hint="cs"/>
          <w:sz w:val="20"/>
          <w:rtl/>
        </w:rPr>
        <w:t>(2) אם סכום החיוב שעליו חולק סוכן מטען מורשה יאט"א או עמית אינו מתייחס לחברת תעופה ספציפית כאמור לעיל, והסוכן או העמית לא יכול היה לדעת על היותו של הסכום שנוי במחלוקת עד למועד הקבוע בס"ק 8.ד.(1) לעיל, הודעה כאמור בס"ק א. תנתן עד ת</w:t>
      </w:r>
      <w:r>
        <w:rPr>
          <w:rFonts w:cs="David" w:hint="cs"/>
          <w:sz w:val="20"/>
          <w:rtl/>
        </w:rPr>
        <w:t xml:space="preserve">ום יום העסקים שלמחרת המועד שנתקבלה בו הודעה מיאט"א כאמור בסעיף 7 לעיל. </w:t>
      </w:r>
    </w:p>
    <w:p w:rsidR="00000000" w:rsidRDefault="000C5475">
      <w:pPr>
        <w:pStyle w:val="Heading1"/>
        <w:bidi/>
        <w:spacing w:before="240" w:beforeAutospacing="0" w:after="120" w:afterAutospacing="0"/>
        <w:ind w:firstLine="360"/>
        <w:rPr>
          <w:rFonts w:eastAsia="Times New Roman" w:cs="David" w:hint="cs"/>
          <w:sz w:val="36"/>
          <w:szCs w:val="36"/>
          <w:u w:val="single"/>
          <w:rtl/>
        </w:rPr>
      </w:pPr>
      <w:r>
        <w:rPr>
          <w:rFonts w:eastAsia="Times New Roman" w:cs="David" w:hint="cs"/>
          <w:sz w:val="36"/>
          <w:szCs w:val="36"/>
          <w:rtl/>
        </w:rPr>
        <w:t xml:space="preserve">ו. </w:t>
      </w:r>
      <w:r>
        <w:rPr>
          <w:rFonts w:eastAsia="Times New Roman" w:cs="David" w:hint="cs"/>
          <w:sz w:val="36"/>
          <w:szCs w:val="36"/>
          <w:u w:val="single"/>
          <w:rtl/>
        </w:rPr>
        <w:t xml:space="preserve">הוראות כלליות </w:t>
      </w:r>
    </w:p>
    <w:p w:rsidR="00000000" w:rsidRDefault="000C5475">
      <w:pPr>
        <w:tabs>
          <w:tab w:val="num" w:pos="360"/>
        </w:tabs>
        <w:bidi/>
        <w:spacing w:before="120" w:after="120"/>
        <w:ind w:left="360" w:hanging="360"/>
        <w:rPr>
          <w:rFonts w:hint="cs"/>
          <w:rtl/>
        </w:rPr>
      </w:pPr>
      <w:r>
        <w:rPr>
          <w:rFonts w:hint="cs"/>
          <w:rtl/>
        </w:rPr>
        <w:t>9.</w:t>
      </w:r>
      <w:r>
        <w:rPr>
          <w:sz w:val="14"/>
          <w:szCs w:val="14"/>
          <w:rtl/>
        </w:rPr>
        <w:t xml:space="preserve">       </w:t>
      </w:r>
      <w:r>
        <w:rPr>
          <w:rFonts w:cs="David" w:hint="cs"/>
          <w:sz w:val="20"/>
          <w:rtl/>
        </w:rPr>
        <w:t>יאט"א לא תגביל, במישרין או בעקיפין, ולא תתנה בתנאי, התקשרות בין סוכן מטען מורשה יאט"א או עמית לבין חברת תעופה בקשר עם סכום תשלום, או בקשר עם עמלה הניתנת לסוכ</w:t>
      </w:r>
      <w:r>
        <w:rPr>
          <w:rFonts w:cs="David" w:hint="cs"/>
          <w:sz w:val="20"/>
          <w:rtl/>
        </w:rPr>
        <w:t xml:space="preserve">ן או לעמית. </w:t>
      </w:r>
    </w:p>
    <w:p w:rsidR="00000000" w:rsidRDefault="000C5475">
      <w:pPr>
        <w:tabs>
          <w:tab w:val="num" w:pos="360"/>
        </w:tabs>
        <w:bidi/>
        <w:spacing w:before="120" w:after="120"/>
        <w:ind w:left="360" w:hanging="360"/>
        <w:rPr>
          <w:rFonts w:hint="cs"/>
          <w:rtl/>
        </w:rPr>
      </w:pPr>
      <w:r>
        <w:rPr>
          <w:rFonts w:hint="cs"/>
          <w:rtl/>
        </w:rPr>
        <w:t>10.</w:t>
      </w:r>
      <w:r>
        <w:rPr>
          <w:sz w:val="14"/>
          <w:szCs w:val="14"/>
          <w:rtl/>
        </w:rPr>
        <w:t xml:space="preserve">   </w:t>
      </w:r>
      <w:r>
        <w:rPr>
          <w:rFonts w:cs="David" w:hint="cs"/>
          <w:sz w:val="20"/>
          <w:rtl/>
        </w:rPr>
        <w:t xml:space="preserve">יאט"א לא תגביל בדרך כלשהי, במישרין או בעקיפין, התקשרות בין סוכן מטען מורשה יאט"א או עמית לבין חברת תעופה שלא במסגרת השימוש בתכנית. </w:t>
      </w:r>
    </w:p>
    <w:p w:rsidR="00000000" w:rsidRDefault="000C5475">
      <w:pPr>
        <w:tabs>
          <w:tab w:val="num" w:pos="360"/>
        </w:tabs>
        <w:bidi/>
        <w:spacing w:before="120" w:after="120"/>
        <w:ind w:left="360" w:hanging="360"/>
        <w:rPr>
          <w:rFonts w:hint="cs"/>
          <w:rtl/>
        </w:rPr>
      </w:pPr>
      <w:r>
        <w:rPr>
          <w:rFonts w:hint="cs"/>
          <w:rtl/>
        </w:rPr>
        <w:t>11.</w:t>
      </w:r>
      <w:r>
        <w:rPr>
          <w:sz w:val="14"/>
          <w:szCs w:val="14"/>
          <w:rtl/>
        </w:rPr>
        <w:t xml:space="preserve">   </w:t>
      </w:r>
      <w:r>
        <w:rPr>
          <w:rFonts w:cs="David" w:hint="cs"/>
          <w:sz w:val="20"/>
          <w:rtl/>
        </w:rPr>
        <w:t>א. יאט"א תקיים תיעוד בכתב של כל חריגה, של כל ניתוק ושל כל חיבור, שנעשו בקשר עם סוכן מטען מורשה יאט"</w:t>
      </w:r>
      <w:r>
        <w:rPr>
          <w:rFonts w:cs="David" w:hint="cs"/>
          <w:sz w:val="20"/>
          <w:rtl/>
        </w:rPr>
        <w:t>א או עמית. תיעוד זה יכלול בין היתר את פרטיו של כל סוכן מטען מורשה יאט"א או עמית, לפי העניין, לרבות שמו, כינויו המסחרי, כתובתו, טלפון ופרטי התקשרות נוספים עימו, וכן את תאריך הרישום, ותיאור של השתלשלות האירועים שקדמו לחריגה או לניתוק, לפי העניין, וגרמו לה; ת</w:t>
      </w:r>
      <w:r>
        <w:rPr>
          <w:rFonts w:cs="David" w:hint="cs"/>
          <w:sz w:val="20"/>
          <w:rtl/>
        </w:rPr>
        <w:t xml:space="preserve">יעוד זה ישמר במשרדה הרשמי של יאט"א בישראל ויועמד לעיונה של הממונה תוך 7 ימים מיום שיאט"א תתבקש על ידי הממונה לעשות כן. </w:t>
      </w:r>
    </w:p>
    <w:p w:rsidR="00000000" w:rsidRDefault="000C5475">
      <w:pPr>
        <w:bidi/>
        <w:spacing w:before="120" w:after="120"/>
        <w:ind w:left="360"/>
        <w:rPr>
          <w:rFonts w:hint="cs"/>
          <w:rtl/>
        </w:rPr>
      </w:pPr>
      <w:r>
        <w:rPr>
          <w:rFonts w:cs="David" w:hint="cs"/>
          <w:sz w:val="20"/>
          <w:rtl/>
        </w:rPr>
        <w:t>ב. בוצע ניתוק של סוכן מטען מורשה יאט"א או עמית שלא מיוזמתו של הסוכן או העמית, לפי העניין, נוסף על האמור בסעיף א. לעיל, יועבר לממונה התיע</w:t>
      </w:r>
      <w:r>
        <w:rPr>
          <w:rFonts w:cs="David" w:hint="cs"/>
          <w:sz w:val="20"/>
          <w:rtl/>
        </w:rPr>
        <w:t xml:space="preserve">וד בקשר עם אותו ניתוק עם ביצועו, ולא יאוחר מ-3 ימי עסקים לאחר שבוצע. </w:t>
      </w:r>
    </w:p>
    <w:p w:rsidR="00000000" w:rsidRDefault="000C5475">
      <w:pPr>
        <w:tabs>
          <w:tab w:val="num" w:pos="360"/>
        </w:tabs>
        <w:bidi/>
        <w:spacing w:before="120" w:after="120"/>
        <w:ind w:left="360" w:hanging="360"/>
        <w:rPr>
          <w:rFonts w:hint="cs"/>
          <w:rtl/>
        </w:rPr>
      </w:pPr>
      <w:r>
        <w:rPr>
          <w:rFonts w:hint="cs"/>
          <w:rtl/>
        </w:rPr>
        <w:t>12.</w:t>
      </w:r>
      <w:r>
        <w:rPr>
          <w:sz w:val="14"/>
          <w:szCs w:val="14"/>
          <w:rtl/>
        </w:rPr>
        <w:t xml:space="preserve">   </w:t>
      </w:r>
      <w:r>
        <w:rPr>
          <w:rFonts w:cs="David" w:hint="cs"/>
          <w:sz w:val="20"/>
          <w:rtl/>
        </w:rPr>
        <w:t>יאט"א תקיים תיעוד בכתב של כל הפניות, התלונות והבקשות, שהתקבלו אצלה בנוגע לתכנית או לתנאים אלו. תיעוד זה יכלול בין היתר את פרטיו של כל פונה, מתלונן או מבקש, לרבות שמו, כינויו המסחרי</w:t>
      </w:r>
      <w:r>
        <w:rPr>
          <w:rFonts w:cs="David" w:hint="cs"/>
          <w:sz w:val="20"/>
          <w:rtl/>
        </w:rPr>
        <w:t>, כתובתו, טלפון ופרטי התקשרות נוספים עימו, תאריך קבלת הפניה, התלונה או הבקשה, וכן את העתקה, את תאריך מתן תשובתה של יאט"א והעתקה; אם נתקבלה הפניה, התלונה או הבקשה - או ניתנה תשובתה של יאט"א - בעל פה, גם תמצית של תוכנה; תיעוד זה ישמר במשרדה של יאט"א בישראל ו</w:t>
      </w:r>
      <w:r>
        <w:rPr>
          <w:rFonts w:cs="David" w:hint="cs"/>
          <w:sz w:val="20"/>
          <w:rtl/>
        </w:rPr>
        <w:t xml:space="preserve">יועמד לעיונה של הממונה תוך 7 ימים מיום שתתבקש על ידי הממונה לעשות כן. </w:t>
      </w:r>
    </w:p>
    <w:p w:rsidR="00000000" w:rsidRDefault="000C5475">
      <w:pPr>
        <w:tabs>
          <w:tab w:val="num" w:pos="360"/>
        </w:tabs>
        <w:bidi/>
        <w:spacing w:before="120" w:after="120"/>
        <w:ind w:left="360" w:hanging="360"/>
        <w:rPr>
          <w:rFonts w:hint="cs"/>
          <w:rtl/>
        </w:rPr>
      </w:pPr>
      <w:r>
        <w:rPr>
          <w:rFonts w:hint="cs"/>
          <w:rtl/>
        </w:rPr>
        <w:t>13.</w:t>
      </w:r>
      <w:r>
        <w:rPr>
          <w:sz w:val="14"/>
          <w:szCs w:val="14"/>
          <w:rtl/>
        </w:rPr>
        <w:t xml:space="preserve">   </w:t>
      </w:r>
      <w:r>
        <w:rPr>
          <w:rFonts w:cs="David" w:hint="cs"/>
          <w:sz w:val="20"/>
          <w:rtl/>
        </w:rPr>
        <w:t xml:space="preserve">יאט"א תעביר לכל אחד מן המתחברים לתכנית עותק מהחלטה זו, בסמוך לאחר מועד תחילת חיבורו. </w:t>
      </w:r>
    </w:p>
    <w:p w:rsidR="00000000" w:rsidRDefault="000C5475">
      <w:pPr>
        <w:tabs>
          <w:tab w:val="num" w:pos="360"/>
        </w:tabs>
        <w:bidi/>
        <w:spacing w:before="120" w:after="120"/>
        <w:ind w:left="360" w:hanging="360"/>
        <w:rPr>
          <w:rFonts w:hint="cs"/>
          <w:rtl/>
        </w:rPr>
      </w:pPr>
      <w:r>
        <w:rPr>
          <w:rFonts w:hint="cs"/>
          <w:rtl/>
        </w:rPr>
        <w:t>14.</w:t>
      </w:r>
      <w:r>
        <w:rPr>
          <w:sz w:val="14"/>
          <w:szCs w:val="14"/>
          <w:rtl/>
        </w:rPr>
        <w:t xml:space="preserve">   </w:t>
      </w:r>
      <w:r>
        <w:rPr>
          <w:rFonts w:cs="David" w:hint="cs"/>
          <w:sz w:val="20"/>
          <w:rtl/>
        </w:rPr>
        <w:t>לא יערכו כל שינוי או תוספת טכנולוגיים או יישומיים משמעותיים בתכנית, אשר יהיה בהם כדי לפ</w:t>
      </w:r>
      <w:r>
        <w:rPr>
          <w:rFonts w:cs="David" w:hint="cs"/>
          <w:sz w:val="20"/>
          <w:rtl/>
        </w:rPr>
        <w:t xml:space="preserve">גוע בתנאים המפורטים בהחלטה זו, זולת אם ניתן לכך אישור של הממונה מראש ובכתב. יאט"א לא תגבה תשלום בגין הספקתה של תכנית הכוללת שיפורים כלשהם, זולת אם ניתן לכך אישור של הממונה מראש ובכתב. </w:t>
      </w:r>
    </w:p>
    <w:p w:rsidR="00000000" w:rsidRDefault="000C5475">
      <w:pPr>
        <w:tabs>
          <w:tab w:val="num" w:pos="360"/>
        </w:tabs>
        <w:bidi/>
        <w:spacing w:before="120" w:after="120"/>
        <w:ind w:left="360" w:hanging="360"/>
        <w:rPr>
          <w:rFonts w:cs="David" w:hint="cs"/>
          <w:sz w:val="20"/>
          <w:rtl/>
        </w:rPr>
      </w:pPr>
      <w:r>
        <w:rPr>
          <w:rFonts w:hint="cs"/>
          <w:rtl/>
        </w:rPr>
        <w:t>15.</w:t>
      </w:r>
      <w:r>
        <w:rPr>
          <w:sz w:val="14"/>
          <w:szCs w:val="14"/>
          <w:rtl/>
        </w:rPr>
        <w:t xml:space="preserve">   </w:t>
      </w:r>
      <w:r>
        <w:rPr>
          <w:rFonts w:cs="David" w:hint="cs"/>
          <w:rtl/>
        </w:rPr>
        <w:t>חברת תעופה המבקשת לעשות שימוש בתכנית, תעביר לממונה לפני חיבורה לת</w:t>
      </w:r>
      <w:r>
        <w:rPr>
          <w:rFonts w:cs="David" w:hint="cs"/>
          <w:rtl/>
        </w:rPr>
        <w:t>כנית אישור בכתב על-כך שבעשייתה שימוש בתכנית נהיית חברת התעופה צד להסדר נשוא פטור זה, שהתנאים לפטור זה חלים עליה, שהתנאים הם בני ביצוע מבחינתה, ושתקיים את התנאים בקשר עם הפעלתה של התכנית בישראל</w:t>
      </w:r>
      <w:r>
        <w:rPr>
          <w:rFonts w:cs="David" w:hint="cs"/>
          <w:sz w:val="20"/>
          <w:rtl/>
        </w:rPr>
        <w:t xml:space="preserve">, </w:t>
      </w:r>
      <w:r>
        <w:rPr>
          <w:rFonts w:cs="David" w:hint="cs"/>
          <w:rtl/>
        </w:rPr>
        <w:t>בהתאם לטופס המצ"ב כנספח א' לפטור זה.</w:t>
      </w:r>
      <w:r>
        <w:rPr>
          <w:rFonts w:cs="David" w:hint="cs"/>
          <w:sz w:val="20"/>
          <w:rtl/>
        </w:rPr>
        <w:t xml:space="preserve"> </w:t>
      </w:r>
    </w:p>
    <w:p w:rsidR="00000000" w:rsidRDefault="000C5475">
      <w:pPr>
        <w:tabs>
          <w:tab w:val="num" w:pos="360"/>
        </w:tabs>
        <w:bidi/>
        <w:spacing w:before="120" w:after="120"/>
        <w:ind w:left="360" w:hanging="360"/>
        <w:rPr>
          <w:rFonts w:hint="cs"/>
          <w:rtl/>
        </w:rPr>
      </w:pPr>
      <w:r>
        <w:rPr>
          <w:rFonts w:hint="cs"/>
          <w:rtl/>
        </w:rPr>
        <w:t>16.</w:t>
      </w:r>
      <w:r>
        <w:rPr>
          <w:sz w:val="14"/>
          <w:szCs w:val="14"/>
          <w:rtl/>
        </w:rPr>
        <w:t xml:space="preserve">   </w:t>
      </w:r>
      <w:r>
        <w:rPr>
          <w:rFonts w:cs="David" w:hint="cs"/>
          <w:sz w:val="20"/>
          <w:rtl/>
        </w:rPr>
        <w:t>התעורר ספק בדבר תחולת תנאים אלה, פרשנותם או דרך יישומם, יובא הדבר</w:t>
      </w:r>
      <w:r>
        <w:rPr>
          <w:rFonts w:cs="David" w:hint="cs"/>
          <w:sz w:val="10"/>
          <w:szCs w:val="14"/>
          <w:rtl/>
        </w:rPr>
        <w:t xml:space="preserve"> </w:t>
      </w:r>
      <w:r>
        <w:rPr>
          <w:rFonts w:cs="David" w:hint="cs"/>
          <w:sz w:val="20"/>
          <w:rtl/>
        </w:rPr>
        <w:t xml:space="preserve">להכרעת הממונה. </w:t>
      </w:r>
    </w:p>
    <w:p w:rsidR="00000000" w:rsidRDefault="000C5475">
      <w:pPr>
        <w:tabs>
          <w:tab w:val="num" w:pos="360"/>
        </w:tabs>
        <w:bidi/>
        <w:spacing w:before="120" w:after="120"/>
        <w:ind w:left="360" w:hanging="360"/>
        <w:rPr>
          <w:rFonts w:hint="cs"/>
          <w:rtl/>
        </w:rPr>
      </w:pPr>
      <w:r>
        <w:rPr>
          <w:rFonts w:hint="cs"/>
          <w:rtl/>
        </w:rPr>
        <w:t>17.</w:t>
      </w:r>
      <w:r>
        <w:rPr>
          <w:sz w:val="14"/>
          <w:szCs w:val="14"/>
          <w:rtl/>
        </w:rPr>
        <w:t xml:space="preserve">   </w:t>
      </w:r>
      <w:r>
        <w:rPr>
          <w:rFonts w:cs="David" w:hint="cs"/>
          <w:sz w:val="20"/>
          <w:rtl/>
        </w:rPr>
        <w:t xml:space="preserve">תוקפו של פטור זה עד ליום 15.6.14. </w:t>
      </w:r>
    </w:p>
    <w:p w:rsidR="00000000" w:rsidRDefault="000C5475">
      <w:pPr>
        <w:bidi/>
        <w:spacing w:before="120" w:after="120"/>
        <w:rPr>
          <w:rFonts w:cs="David" w:hint="cs"/>
          <w:sz w:val="20"/>
          <w:rtl/>
        </w:rPr>
      </w:pPr>
      <w:r>
        <w:rPr>
          <w:rFonts w:cs="David" w:hint="cs"/>
          <w:sz w:val="20"/>
          <w:rtl/>
        </w:rPr>
        <w:t xml:space="preserve">בהתאם לסעיף 15(א) לחוק ההגבלים העסקיים נתונה החלטתי זו לערר בפני אב בית הדין להגבלים עסקיים על ידי איגוד עסקי, ארגון צרכנים או כל אדם העלול להיפגע מההסדר הכובל עליו ניתן הפטור. </w:t>
      </w:r>
    </w:p>
    <w:p w:rsidR="00000000" w:rsidRDefault="000C5475">
      <w:pPr>
        <w:pStyle w:val="Header"/>
        <w:tabs>
          <w:tab w:val="left" w:pos="720"/>
          <w:tab w:val="center" w:pos="4153"/>
          <w:tab w:val="right" w:pos="8306"/>
        </w:tabs>
        <w:bidi/>
        <w:spacing w:before="0" w:beforeAutospacing="0" w:after="120" w:afterAutospacing="0"/>
        <w:rPr>
          <w:rFonts w:cs="David" w:hint="cs"/>
          <w:sz w:val="20"/>
          <w:szCs w:val="28"/>
          <w:rtl/>
        </w:rPr>
      </w:pPr>
    </w:p>
    <w:p w:rsidR="00000000" w:rsidRDefault="000C5475">
      <w:pPr>
        <w:bidi/>
        <w:spacing w:before="120" w:after="120"/>
        <w:ind w:left="5040"/>
        <w:jc w:val="center"/>
        <w:rPr>
          <w:rFonts w:cs="David" w:hint="cs"/>
          <w:sz w:val="20"/>
          <w:rtl/>
        </w:rPr>
      </w:pPr>
      <w:r>
        <w:rPr>
          <w:rFonts w:cs="David" w:hint="cs"/>
          <w:sz w:val="20"/>
          <w:rtl/>
        </w:rPr>
        <w:t>פרופ' דיויד גילה</w:t>
      </w:r>
    </w:p>
    <w:p w:rsidR="00000000" w:rsidRDefault="000C5475">
      <w:pPr>
        <w:bidi/>
        <w:spacing w:before="120" w:after="120"/>
        <w:ind w:left="5040"/>
        <w:jc w:val="center"/>
        <w:rPr>
          <w:rFonts w:cs="David" w:hint="cs"/>
          <w:sz w:val="20"/>
          <w:rtl/>
        </w:rPr>
      </w:pPr>
      <w:r>
        <w:rPr>
          <w:rFonts w:cs="David" w:hint="cs"/>
          <w:sz w:val="20"/>
          <w:rtl/>
        </w:rPr>
        <w:t xml:space="preserve">הממונה על הגבלים עסקיים </w:t>
      </w:r>
    </w:p>
    <w:p w:rsidR="00000000" w:rsidRDefault="000C5475">
      <w:pPr>
        <w:bidi/>
        <w:spacing w:before="120" w:after="120"/>
        <w:rPr>
          <w:rFonts w:cs="David" w:hint="cs"/>
          <w:sz w:val="20"/>
          <w:rtl/>
        </w:rPr>
      </w:pPr>
    </w:p>
    <w:p w:rsidR="00000000" w:rsidRDefault="000C5475">
      <w:pPr>
        <w:bidi/>
        <w:spacing w:before="120" w:after="120"/>
        <w:rPr>
          <w:rFonts w:cs="David" w:hint="cs"/>
          <w:sz w:val="20"/>
          <w:rtl/>
        </w:rPr>
      </w:pPr>
      <w:r>
        <w:rPr>
          <w:rFonts w:cs="David" w:hint="cs"/>
          <w:sz w:val="20"/>
          <w:rtl/>
        </w:rPr>
        <w:t>ירושלים, י"ג סיון, תשע"א</w:t>
      </w:r>
    </w:p>
    <w:p w:rsidR="00000000" w:rsidRDefault="000C5475">
      <w:pPr>
        <w:bidi/>
        <w:spacing w:before="120" w:after="120"/>
        <w:ind w:firstLine="720"/>
        <w:rPr>
          <w:rFonts w:cs="David" w:hint="cs"/>
          <w:rtl/>
        </w:rPr>
      </w:pPr>
      <w:r>
        <w:rPr>
          <w:rFonts w:cs="David" w:hint="cs"/>
          <w:sz w:val="20"/>
          <w:rtl/>
        </w:rPr>
        <w:t xml:space="preserve">  15 יוני</w:t>
      </w:r>
      <w:r>
        <w:rPr>
          <w:rFonts w:cs="David" w:hint="cs"/>
          <w:sz w:val="20"/>
          <w:rtl/>
        </w:rPr>
        <w:t>, 2011</w:t>
      </w:r>
    </w:p>
    <w:p w:rsidR="00000000" w:rsidRDefault="000C5475">
      <w:pPr>
        <w:bidi/>
        <w:spacing w:before="120" w:after="120"/>
        <w:rPr>
          <w:rStyle w:val="Strong"/>
          <w:rFonts w:hint="cs"/>
          <w:sz w:val="28"/>
          <w:szCs w:val="28"/>
          <w:u w:val="single"/>
          <w:rtl/>
        </w:rPr>
      </w:pPr>
      <w:r>
        <w:rPr>
          <w:rFonts w:eastAsia="Times New Roman" w:cs="David" w:hint="cs"/>
          <w:b/>
          <w:bCs/>
          <w:noProof/>
          <w:sz w:val="28"/>
          <w:szCs w:val="28"/>
          <w:u w:val="single"/>
          <w:rtl/>
        </w:rPr>
        <w:br w:type="page"/>
      </w:r>
      <w:r>
        <w:rPr>
          <w:rStyle w:val="Strong"/>
          <w:rFonts w:cs="David" w:hint="cs"/>
          <w:sz w:val="28"/>
          <w:szCs w:val="28"/>
          <w:u w:val="single"/>
          <w:rtl/>
        </w:rPr>
        <w:t xml:space="preserve">נספח א </w:t>
      </w:r>
    </w:p>
    <w:p w:rsidR="00000000" w:rsidRDefault="000C5475">
      <w:pPr>
        <w:bidi/>
        <w:spacing w:before="120" w:after="120"/>
        <w:rPr>
          <w:rFonts w:hint="cs"/>
          <w:rtl/>
        </w:rPr>
      </w:pPr>
      <w:r>
        <w:rPr>
          <w:rFonts w:cs="David" w:hint="cs"/>
          <w:rtl/>
        </w:rPr>
        <w:tab/>
      </w:r>
      <w:r>
        <w:rPr>
          <w:rFonts w:cs="David" w:hint="cs"/>
          <w:rtl/>
        </w:rPr>
        <w:tab/>
      </w:r>
      <w:r>
        <w:rPr>
          <w:rFonts w:cs="David" w:hint="cs"/>
          <w:rtl/>
        </w:rPr>
        <w:tab/>
      </w:r>
      <w:r>
        <w:rPr>
          <w:rFonts w:cs="David" w:hint="cs"/>
          <w:rtl/>
        </w:rPr>
        <w:tab/>
      </w:r>
      <w:r>
        <w:rPr>
          <w:rFonts w:cs="David" w:hint="cs"/>
          <w:rtl/>
        </w:rPr>
        <w:tab/>
      </w:r>
      <w:r>
        <w:rPr>
          <w:rFonts w:cs="David" w:hint="cs"/>
          <w:rtl/>
        </w:rPr>
        <w:tab/>
      </w:r>
      <w:r>
        <w:rPr>
          <w:rFonts w:cs="David" w:hint="cs"/>
          <w:rtl/>
        </w:rPr>
        <w:tab/>
      </w:r>
      <w:r>
        <w:rPr>
          <w:rFonts w:cs="David" w:hint="cs"/>
          <w:rtl/>
        </w:rPr>
        <w:tab/>
      </w:r>
      <w:r>
        <w:rPr>
          <w:rFonts w:cs="David" w:hint="cs"/>
          <w:rtl/>
        </w:rPr>
        <w:tab/>
        <w:t>תאריך: _________</w:t>
      </w:r>
    </w:p>
    <w:p w:rsidR="00000000" w:rsidRDefault="000C5475">
      <w:pPr>
        <w:bidi/>
        <w:spacing w:before="120" w:after="120"/>
        <w:rPr>
          <w:rFonts w:cs="David" w:hint="cs"/>
          <w:rtl/>
        </w:rPr>
      </w:pPr>
    </w:p>
    <w:p w:rsidR="00000000" w:rsidRDefault="000C5475">
      <w:pPr>
        <w:bidi/>
        <w:spacing w:before="120" w:after="120"/>
        <w:rPr>
          <w:rFonts w:cs="David" w:hint="cs"/>
          <w:rtl/>
        </w:rPr>
      </w:pPr>
      <w:r>
        <w:rPr>
          <w:rFonts w:cs="David" w:hint="cs"/>
          <w:rtl/>
        </w:rPr>
        <w:t>לכבוד</w:t>
      </w:r>
    </w:p>
    <w:p w:rsidR="00000000" w:rsidRDefault="000C5475">
      <w:pPr>
        <w:bidi/>
        <w:spacing w:before="120" w:after="120"/>
        <w:rPr>
          <w:rFonts w:cs="David" w:hint="cs"/>
          <w:rtl/>
        </w:rPr>
      </w:pPr>
      <w:r>
        <w:rPr>
          <w:rFonts w:cs="David" w:hint="cs"/>
          <w:rtl/>
        </w:rPr>
        <w:t>הממונה על הגבלים עסקיים</w:t>
      </w:r>
    </w:p>
    <w:p w:rsidR="00000000" w:rsidRDefault="000C5475">
      <w:pPr>
        <w:bidi/>
        <w:spacing w:before="120" w:after="120"/>
        <w:rPr>
          <w:rFonts w:cs="David" w:hint="cs"/>
          <w:rtl/>
        </w:rPr>
      </w:pPr>
      <w:r>
        <w:rPr>
          <w:rFonts w:cs="David" w:hint="cs"/>
          <w:rtl/>
        </w:rPr>
        <w:t>רח' כנפי נשרים 22</w:t>
      </w:r>
    </w:p>
    <w:p w:rsidR="00000000" w:rsidRDefault="000C5475">
      <w:pPr>
        <w:bidi/>
        <w:spacing w:before="120" w:after="120"/>
        <w:rPr>
          <w:rFonts w:cs="David" w:hint="cs"/>
          <w:u w:val="single"/>
          <w:rtl/>
        </w:rPr>
      </w:pPr>
      <w:r>
        <w:rPr>
          <w:rFonts w:cs="David" w:hint="cs"/>
          <w:u w:val="single"/>
          <w:rtl/>
        </w:rPr>
        <w:t>ירושלים 91341</w:t>
      </w:r>
    </w:p>
    <w:p w:rsidR="00000000" w:rsidRDefault="000C5475">
      <w:pPr>
        <w:bidi/>
        <w:spacing w:before="120" w:after="120"/>
        <w:rPr>
          <w:rFonts w:cs="David" w:hint="cs"/>
          <w:rtl/>
        </w:rPr>
      </w:pPr>
    </w:p>
    <w:p w:rsidR="00000000" w:rsidRDefault="000C5475">
      <w:pPr>
        <w:bidi/>
        <w:spacing w:before="120" w:after="120"/>
        <w:jc w:val="center"/>
        <w:rPr>
          <w:rStyle w:val="Strong"/>
          <w:rFonts w:hint="cs"/>
          <w:u w:val="single"/>
          <w:rtl/>
        </w:rPr>
      </w:pPr>
      <w:r>
        <w:rPr>
          <w:rFonts w:cs="David" w:hint="cs"/>
          <w:rtl/>
        </w:rPr>
        <w:t xml:space="preserve">הנדון: </w:t>
      </w:r>
      <w:r>
        <w:rPr>
          <w:rStyle w:val="Strong"/>
          <w:rFonts w:cs="David" w:hint="cs"/>
          <w:u w:val="single"/>
          <w:rtl/>
        </w:rPr>
        <w:t xml:space="preserve">אישור והודעה על הצטרפות – </w:t>
      </w:r>
      <w:r>
        <w:rPr>
          <w:rStyle w:val="Strong"/>
          <w:rFonts w:hint="cs"/>
          <w:u w:val="single"/>
        </w:rPr>
        <w:t>CASS</w:t>
      </w:r>
      <w:r>
        <w:rPr>
          <w:rStyle w:val="Strong"/>
          <w:rFonts w:cs="David" w:hint="cs"/>
          <w:u w:val="single"/>
          <w:rtl/>
        </w:rPr>
        <w:t xml:space="preserve"> ("</w:t>
      </w:r>
      <w:r>
        <w:rPr>
          <w:rStyle w:val="Strong"/>
          <w:rFonts w:hint="cs"/>
          <w:u w:val="single"/>
        </w:rPr>
        <w:t>Cargo Account Settlement System</w:t>
      </w:r>
      <w:r>
        <w:rPr>
          <w:rStyle w:val="Strong"/>
          <w:rFonts w:cs="David" w:hint="cs"/>
          <w:u w:val="single"/>
          <w:rtl/>
        </w:rPr>
        <w:t xml:space="preserve"> ")</w:t>
      </w:r>
    </w:p>
    <w:p w:rsidR="00000000" w:rsidRDefault="000C5475">
      <w:pPr>
        <w:bidi/>
        <w:spacing w:before="120" w:after="120"/>
        <w:rPr>
          <w:rFonts w:hint="cs"/>
          <w:rtl/>
        </w:rPr>
      </w:pPr>
      <w:r>
        <w:rPr>
          <w:rFonts w:cs="David" w:hint="cs"/>
          <w:rtl/>
        </w:rPr>
        <w:t>הרינו לאשר בזאת, כי חברתנו נמנית על חברות התעופה העומדות להצטרף לתכנית ה-</w:t>
      </w:r>
      <w:r>
        <w:rPr>
          <w:rFonts w:hint="cs"/>
        </w:rPr>
        <w:t>CASS</w:t>
      </w:r>
      <w:r>
        <w:rPr>
          <w:rFonts w:cs="David" w:hint="cs"/>
          <w:rtl/>
        </w:rPr>
        <w:t xml:space="preserve"> בישראל. </w:t>
      </w:r>
    </w:p>
    <w:p w:rsidR="00000000" w:rsidRDefault="000C5475">
      <w:pPr>
        <w:bidi/>
        <w:spacing w:before="120" w:after="120"/>
        <w:rPr>
          <w:rFonts w:cs="David" w:hint="cs"/>
          <w:rtl/>
        </w:rPr>
      </w:pPr>
    </w:p>
    <w:p w:rsidR="00000000" w:rsidRDefault="000C5475">
      <w:pPr>
        <w:bidi/>
        <w:spacing w:before="120" w:after="120"/>
        <w:rPr>
          <w:rFonts w:cs="David" w:hint="cs"/>
          <w:rtl/>
        </w:rPr>
      </w:pPr>
      <w:r>
        <w:rPr>
          <w:rFonts w:cs="David" w:hint="cs"/>
          <w:rtl/>
        </w:rPr>
        <w:t xml:space="preserve">משכך אנו מאשרים בזאת כדלקמן: </w:t>
      </w:r>
    </w:p>
    <w:p w:rsidR="00000000" w:rsidRDefault="000C5475">
      <w:pPr>
        <w:tabs>
          <w:tab w:val="num" w:pos="360"/>
        </w:tabs>
        <w:bidi/>
        <w:spacing w:before="120" w:after="120"/>
        <w:ind w:left="360" w:hanging="360"/>
        <w:rPr>
          <w:rFonts w:cs="David" w:hint="cs"/>
          <w:rtl/>
        </w:rPr>
      </w:pPr>
      <w:r>
        <w:rPr>
          <w:rFonts w:hint="cs"/>
          <w:rtl/>
        </w:rPr>
        <w:t>1.</w:t>
      </w:r>
      <w:r>
        <w:rPr>
          <w:sz w:val="14"/>
          <w:szCs w:val="14"/>
          <w:rtl/>
        </w:rPr>
        <w:t xml:space="preserve">       </w:t>
      </w:r>
      <w:r>
        <w:rPr>
          <w:rFonts w:cs="David" w:hint="cs"/>
          <w:rtl/>
        </w:rPr>
        <w:t>בעשייתה שימוש בתכנית נהיית חברתנו צד להסדר בעניין ה-</w:t>
      </w:r>
      <w:r>
        <w:rPr>
          <w:rFonts w:hint="cs"/>
        </w:rPr>
        <w:t>CASS</w:t>
      </w:r>
      <w:r>
        <w:rPr>
          <w:rFonts w:cs="David" w:hint="cs"/>
          <w:rtl/>
        </w:rPr>
        <w:t xml:space="preserve">. </w:t>
      </w:r>
    </w:p>
    <w:p w:rsidR="00000000" w:rsidRDefault="000C5475">
      <w:pPr>
        <w:tabs>
          <w:tab w:val="num" w:pos="360"/>
        </w:tabs>
        <w:bidi/>
        <w:spacing w:before="120" w:after="120"/>
        <w:ind w:left="360" w:hanging="360"/>
        <w:rPr>
          <w:rFonts w:hint="cs"/>
          <w:rtl/>
        </w:rPr>
      </w:pPr>
      <w:r>
        <w:rPr>
          <w:rFonts w:hint="cs"/>
          <w:sz w:val="20"/>
          <w:szCs w:val="20"/>
          <w:rtl/>
        </w:rPr>
        <w:t>2.</w:t>
      </w:r>
      <w:r>
        <w:rPr>
          <w:sz w:val="14"/>
          <w:szCs w:val="14"/>
          <w:rtl/>
        </w:rPr>
        <w:t xml:space="preserve">       </w:t>
      </w:r>
      <w:r>
        <w:rPr>
          <w:rFonts w:cs="David" w:hint="cs"/>
          <w:rtl/>
        </w:rPr>
        <w:t xml:space="preserve">חברתנו מבהירה, שבהתאם לכך התנאים לפטור האמור חלים עליה. </w:t>
      </w:r>
    </w:p>
    <w:p w:rsidR="00000000" w:rsidRDefault="000C5475">
      <w:pPr>
        <w:tabs>
          <w:tab w:val="num" w:pos="360"/>
        </w:tabs>
        <w:bidi/>
        <w:spacing w:before="120" w:after="120"/>
        <w:ind w:left="360" w:hanging="360"/>
        <w:rPr>
          <w:rFonts w:hint="cs"/>
          <w:rtl/>
        </w:rPr>
      </w:pPr>
      <w:r>
        <w:rPr>
          <w:rFonts w:hint="cs"/>
          <w:sz w:val="20"/>
          <w:szCs w:val="20"/>
          <w:rtl/>
        </w:rPr>
        <w:t>3.</w:t>
      </w:r>
      <w:r>
        <w:rPr>
          <w:sz w:val="14"/>
          <w:szCs w:val="14"/>
          <w:rtl/>
        </w:rPr>
        <w:t xml:space="preserve">       </w:t>
      </w:r>
      <w:r>
        <w:rPr>
          <w:rFonts w:cs="David" w:hint="cs"/>
          <w:rtl/>
        </w:rPr>
        <w:t>התנאים הם בני ביצוע מבחינת חברתנו.</w:t>
      </w:r>
      <w:r>
        <w:rPr>
          <w:rFonts w:cs="David" w:hint="cs"/>
          <w:sz w:val="20"/>
          <w:rtl/>
        </w:rPr>
        <w:t xml:space="preserve"> </w:t>
      </w:r>
    </w:p>
    <w:p w:rsidR="00000000" w:rsidRDefault="000C5475">
      <w:pPr>
        <w:tabs>
          <w:tab w:val="num" w:pos="360"/>
        </w:tabs>
        <w:bidi/>
        <w:spacing w:before="120" w:after="120"/>
        <w:ind w:left="360" w:hanging="360"/>
        <w:rPr>
          <w:rFonts w:hint="cs"/>
          <w:rtl/>
        </w:rPr>
      </w:pPr>
      <w:r>
        <w:rPr>
          <w:rFonts w:hint="cs"/>
          <w:sz w:val="20"/>
          <w:szCs w:val="20"/>
          <w:rtl/>
        </w:rPr>
        <w:t>4.</w:t>
      </w:r>
      <w:r>
        <w:rPr>
          <w:sz w:val="14"/>
          <w:szCs w:val="14"/>
          <w:rtl/>
        </w:rPr>
        <w:t xml:space="preserve">       </w:t>
      </w:r>
      <w:r>
        <w:rPr>
          <w:rFonts w:cs="David" w:hint="cs"/>
          <w:rtl/>
        </w:rPr>
        <w:t xml:space="preserve">חברתנו תקיים את התנאים </w:t>
      </w:r>
      <w:r>
        <w:rPr>
          <w:rFonts w:cs="David" w:hint="cs"/>
          <w:rtl/>
        </w:rPr>
        <w:t>בקשר עם הפעלתה של התכנית בישראל.</w:t>
      </w:r>
      <w:r>
        <w:rPr>
          <w:rFonts w:cs="David" w:hint="cs"/>
          <w:sz w:val="20"/>
          <w:rtl/>
        </w:rPr>
        <w:t xml:space="preserve"> </w:t>
      </w:r>
    </w:p>
    <w:p w:rsidR="00000000" w:rsidRDefault="000C5475">
      <w:pPr>
        <w:bidi/>
        <w:spacing w:before="120" w:after="120"/>
        <w:rPr>
          <w:rFonts w:cs="David" w:hint="cs"/>
          <w:sz w:val="20"/>
          <w:rtl/>
        </w:rPr>
      </w:pPr>
    </w:p>
    <w:p w:rsidR="00000000" w:rsidRDefault="000C5475">
      <w:pPr>
        <w:bidi/>
        <w:spacing w:before="120" w:after="120"/>
        <w:rPr>
          <w:rFonts w:cs="David" w:hint="cs"/>
          <w:sz w:val="20"/>
          <w:rtl/>
        </w:rPr>
      </w:pPr>
      <w:r>
        <w:rPr>
          <w:rFonts w:cs="David" w:hint="cs"/>
          <w:sz w:val="20"/>
          <w:rtl/>
        </w:rPr>
        <w:t xml:space="preserve">בכבוד רב, </w:t>
      </w:r>
    </w:p>
    <w:p w:rsidR="00000000" w:rsidRDefault="000C5475">
      <w:pPr>
        <w:bidi/>
        <w:spacing w:before="120" w:after="120"/>
        <w:rPr>
          <w:rFonts w:cs="David" w:hint="cs"/>
          <w:rtl/>
        </w:rPr>
      </w:pPr>
    </w:p>
    <w:p w:rsidR="00000000" w:rsidRDefault="000C5475">
      <w:pPr>
        <w:pStyle w:val="Heading1"/>
        <w:bidi/>
        <w:spacing w:before="280" w:beforeAutospacing="0" w:after="120" w:afterAutospacing="0"/>
        <w:rPr>
          <w:rFonts w:eastAsia="Times New Roman" w:cs="David" w:hint="cs"/>
          <w:rtl/>
        </w:rPr>
      </w:pPr>
    </w:p>
    <w:p w:rsidR="00000000" w:rsidRDefault="000C5475">
      <w:pPr>
        <w:bidi/>
        <w:spacing w:before="120" w:after="120"/>
        <w:rPr>
          <w:rFonts w:cs="David" w:hint="cs"/>
          <w:sz w:val="20"/>
          <w:rtl/>
        </w:rPr>
      </w:pPr>
    </w:p>
    <w:p w:rsidR="00000000" w:rsidRDefault="000C5475">
      <w:pPr>
        <w:bidi/>
        <w:divId w:val="1023820281"/>
        <w:rPr>
          <w:rFonts w:eastAsia="Times New Roman" w:hint="cs"/>
          <w:rtl/>
        </w:rPr>
      </w:pPr>
      <w:r>
        <w:rPr>
          <w:rFonts w:eastAsia="Times New Roman" w:hint="cs"/>
          <w:rtl/>
        </w:rPr>
        <w:br w:type="textWrapping" w:clear="all"/>
      </w:r>
    </w:p>
    <w:p w:rsidR="00000000" w:rsidRDefault="000C5475">
      <w:pPr>
        <w:bidi/>
        <w:divId w:val="1023820281"/>
        <w:rPr>
          <w:rFonts w:eastAsia="Times New Roman" w:hint="cs"/>
          <w:rtl/>
        </w:rPr>
      </w:pPr>
      <w:r>
        <w:rPr>
          <w:rFonts w:eastAsia="Times New Roman" w:hint="cs"/>
        </w:rPr>
        <w:pict>
          <v:rect id="_x0000_i1025" style="width:105.75pt;height:.6pt" o:hrpct="330" o:hralign="right" o:hrstd="t" o:hr="t" fillcolor="#a0a0a0" stroked="f"/>
        </w:pict>
      </w:r>
    </w:p>
    <w:p w:rsidR="00000000" w:rsidRDefault="000C5475">
      <w:pPr>
        <w:pStyle w:val="Footer"/>
        <w:divId w:val="2043479035"/>
        <w:rPr>
          <w:rFonts w:hint="cs"/>
          <w:szCs w:val="14"/>
          <w:rtl/>
        </w:rPr>
      </w:pPr>
    </w:p>
    <w:p w:rsidR="00000000" w:rsidRDefault="000C5475">
      <w:pPr>
        <w:divId w:val="2043479035"/>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0C5475">
      <w:r>
        <w:separator/>
      </w:r>
    </w:p>
  </w:endnote>
  <w:endnote w:type="continuationSeparator" w:id="0">
    <w:p w:rsidR="00000000" w:rsidRDefault="000C5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avid">
    <w:panose1 w:val="020E0502060401010101"/>
    <w:charset w:val="B1"/>
    <w:family w:val="swiss"/>
    <w:pitch w:val="variable"/>
    <w:sig w:usb0="00000801" w:usb1="00000000" w:usb2="00000000" w:usb3="00000000" w:csb0="00000020" w:csb1="00000000"/>
  </w:font>
  <w:font w:name="Narkisim">
    <w:panose1 w:val="020E05020501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0C5475">
      <w:r>
        <w:separator/>
      </w:r>
    </w:p>
  </w:footnote>
  <w:footnote w:type="continuationSeparator" w:id="0">
    <w:p w:rsidR="00000000" w:rsidRDefault="000C5475">
      <w:r>
        <w:continuationSeparator/>
      </w:r>
    </w:p>
  </w:footnote>
  <w:footnote w:id="1">
    <w:p w:rsidR="00000000" w:rsidRDefault="000C5475">
      <w:pPr>
        <w:pStyle w:val="FootnoteText"/>
        <w:bidi/>
        <w:spacing w:before="0" w:beforeAutospacing="0" w:after="0" w:afterAutospacing="0"/>
        <w:rPr>
          <w:rFonts w:cs="David" w:hint="cs"/>
          <w:sz w:val="22"/>
          <w:szCs w:val="20"/>
          <w:rtl/>
        </w:rPr>
      </w:pPr>
      <w:r>
        <w:rPr>
          <w:rStyle w:val="FootnoteReference"/>
          <w:rFonts w:cs="David"/>
          <w:sz w:val="22"/>
          <w:szCs w:val="20"/>
          <w:rtl/>
        </w:rPr>
        <w:footnoteRef/>
      </w:r>
      <w:r>
        <w:rPr>
          <w:rStyle w:val="FootnoteReference"/>
          <w:rFonts w:eastAsia="Times New Roman" w:cs="David"/>
          <w:sz w:val="22"/>
          <w:szCs w:val="20"/>
          <w:lang w:eastAsia="he-IL"/>
        </w:rPr>
        <w:t>[1]</w:t>
      </w:r>
      <w:r>
        <w:rPr>
          <w:rFonts w:hint="cs"/>
        </w:rPr>
        <w:t xml:space="preserve"> </w:t>
      </w:r>
      <w:r>
        <w:rPr>
          <w:rFonts w:cs="David" w:hint="cs"/>
          <w:sz w:val="22"/>
          <w:szCs w:val="20"/>
          <w:rtl/>
        </w:rPr>
        <w:t xml:space="preserve">על פי נתונים שנמסרו מיאט"א, הארגון, אשר נוסד ב-1945, מאגד למעלה מ-250 חברות תעופה סדירות בינלאומיות ברחבי העולם. </w:t>
      </w:r>
    </w:p>
  </w:footnote>
  <w:footnote w:id="2">
    <w:p w:rsidR="00000000" w:rsidRDefault="000C5475">
      <w:pPr>
        <w:pStyle w:val="FootnoteText"/>
        <w:bidi/>
        <w:spacing w:before="0" w:beforeAutospacing="0" w:after="0" w:afterAutospacing="0"/>
        <w:rPr>
          <w:rFonts w:cs="David" w:hint="cs"/>
          <w:sz w:val="22"/>
          <w:szCs w:val="20"/>
          <w:rtl/>
        </w:rPr>
      </w:pPr>
      <w:r>
        <w:rPr>
          <w:rStyle w:val="FootnoteReference"/>
          <w:rFonts w:cs="David"/>
          <w:sz w:val="22"/>
          <w:szCs w:val="20"/>
          <w:rtl/>
        </w:rPr>
        <w:footnoteRef/>
      </w:r>
      <w:r>
        <w:rPr>
          <w:rStyle w:val="FootnoteReference"/>
          <w:rFonts w:eastAsia="Times New Roman" w:cs="David"/>
          <w:sz w:val="22"/>
          <w:szCs w:val="20"/>
          <w:lang w:eastAsia="he-IL"/>
        </w:rPr>
        <w:t>[2]</w:t>
      </w:r>
      <w:r>
        <w:rPr>
          <w:rFonts w:hint="cs"/>
        </w:rPr>
        <w:t xml:space="preserve"> </w:t>
      </w:r>
      <w:r>
        <w:rPr>
          <w:rFonts w:cs="David" w:hint="cs"/>
          <w:sz w:val="22"/>
          <w:szCs w:val="20"/>
          <w:rtl/>
        </w:rPr>
        <w:t xml:space="preserve"> כהגדרתם בתנאים להלן. </w:t>
      </w:r>
    </w:p>
  </w:footnote>
  <w:footnote w:id="3">
    <w:p w:rsidR="00000000" w:rsidRDefault="000C5475">
      <w:pPr>
        <w:pStyle w:val="FootnoteText"/>
        <w:bidi/>
        <w:spacing w:before="0" w:beforeAutospacing="0" w:after="0" w:afterAutospacing="0"/>
        <w:rPr>
          <w:rFonts w:cs="David" w:hint="cs"/>
          <w:sz w:val="22"/>
          <w:szCs w:val="20"/>
          <w:rtl/>
        </w:rPr>
      </w:pPr>
      <w:r>
        <w:rPr>
          <w:rStyle w:val="FootnoteReference"/>
        </w:rPr>
        <w:footnoteRef/>
      </w:r>
      <w:r>
        <w:rPr>
          <w:rStyle w:val="FootnoteReference"/>
          <w:rFonts w:eastAsia="Times New Roman" w:cs="David"/>
          <w:sz w:val="22"/>
          <w:szCs w:val="20"/>
          <w:lang w:eastAsia="he-IL"/>
        </w:rPr>
        <w:t>[3]</w:t>
      </w:r>
      <w:r>
        <w:rPr>
          <w:rFonts w:cs="David" w:hint="cs"/>
          <w:sz w:val="22"/>
          <w:szCs w:val="20"/>
          <w:rtl/>
        </w:rPr>
        <w:t xml:space="preserve"> תכנית ה-</w:t>
      </w:r>
      <w:r>
        <w:rPr>
          <w:rFonts w:hint="cs"/>
        </w:rPr>
        <w:t>BSP</w:t>
      </w:r>
      <w:r>
        <w:rPr>
          <w:rFonts w:cs="David" w:hint="cs"/>
          <w:sz w:val="22"/>
          <w:szCs w:val="20"/>
          <w:rtl/>
        </w:rPr>
        <w:t xml:space="preserve"> (</w:t>
      </w:r>
      <w:r>
        <w:rPr>
          <w:rFonts w:hint="cs"/>
        </w:rPr>
        <w:t>Billing and Settlement Plan</w:t>
      </w:r>
      <w:r>
        <w:rPr>
          <w:rFonts w:cs="David" w:hint="cs"/>
          <w:sz w:val="22"/>
          <w:szCs w:val="20"/>
          <w:rtl/>
        </w:rPr>
        <w:t>) היא תכנית להסדרת הליכי התשלום,</w:t>
      </w:r>
      <w:r>
        <w:rPr>
          <w:rFonts w:cs="David" w:hint="cs"/>
          <w:sz w:val="22"/>
          <w:szCs w:val="20"/>
          <w:rtl/>
        </w:rPr>
        <w:t xml:space="preserve"> הדיווח וההתחשבנות בין חברות התעופה החברות ביאט"א לבין סוכני הנסיעות מורשי יאט"א.</w:t>
      </w:r>
    </w:p>
  </w:footnote>
  <w:footnote w:id="4">
    <w:p w:rsidR="00000000" w:rsidRDefault="000C5475">
      <w:pPr>
        <w:pStyle w:val="FootnoteText"/>
        <w:bidi/>
        <w:spacing w:before="0" w:beforeAutospacing="0" w:after="0" w:afterAutospacing="0"/>
        <w:rPr>
          <w:rFonts w:cs="David" w:hint="cs"/>
          <w:sz w:val="22"/>
          <w:szCs w:val="20"/>
          <w:rtl/>
        </w:rPr>
      </w:pPr>
      <w:r>
        <w:rPr>
          <w:rStyle w:val="FootnoteReference"/>
        </w:rPr>
        <w:footnoteRef/>
      </w:r>
      <w:r>
        <w:rPr>
          <w:rStyle w:val="FootnoteReference"/>
          <w:rFonts w:eastAsia="Times New Roman" w:cs="David"/>
          <w:sz w:val="22"/>
          <w:szCs w:val="20"/>
          <w:lang w:eastAsia="he-IL"/>
        </w:rPr>
        <w:t>[4]</w:t>
      </w:r>
      <w:r>
        <w:rPr>
          <w:rFonts w:cs="David" w:hint="cs"/>
          <w:sz w:val="22"/>
          <w:szCs w:val="20"/>
          <w:rtl/>
        </w:rPr>
        <w:t xml:space="preserve"> החלטת פטור 5001686.</w:t>
      </w:r>
    </w:p>
  </w:footnote>
  <w:footnote w:id="5">
    <w:p w:rsidR="00000000" w:rsidRDefault="000C5475">
      <w:pPr>
        <w:pStyle w:val="FootnoteText"/>
        <w:bidi/>
        <w:spacing w:before="0" w:beforeAutospacing="0" w:after="0" w:afterAutospacing="0"/>
        <w:rPr>
          <w:rFonts w:hint="cs"/>
          <w:rtl/>
        </w:rPr>
      </w:pPr>
      <w:r>
        <w:rPr>
          <w:rStyle w:val="FootnoteReference"/>
        </w:rPr>
        <w:footnoteRef/>
      </w:r>
      <w:r>
        <w:rPr>
          <w:rStyle w:val="FootnoteReference"/>
          <w:rFonts w:eastAsia="Times New Roman" w:cs="David"/>
          <w:sz w:val="22"/>
          <w:szCs w:val="20"/>
          <w:lang w:eastAsia="he-IL"/>
        </w:rPr>
        <w:t>[5]</w:t>
      </w:r>
      <w:r>
        <w:rPr>
          <w:rFonts w:cs="David" w:hint="cs"/>
          <w:sz w:val="22"/>
          <w:szCs w:val="20"/>
          <w:rtl/>
        </w:rPr>
        <w:t xml:space="preserve"> ראה בג"צ 47/83 </w:t>
      </w:r>
      <w:r>
        <w:rPr>
          <w:rStyle w:val="Strong"/>
          <w:rFonts w:cs="David" w:hint="cs"/>
          <w:sz w:val="22"/>
          <w:szCs w:val="20"/>
          <w:rtl/>
        </w:rPr>
        <w:t>תור אויר (ישראל) בע"מ נ' יו"ר המועצה לפיקוח על הגבלים עסקיים</w:t>
      </w:r>
      <w:r>
        <w:rPr>
          <w:rFonts w:cs="David" w:hint="cs"/>
          <w:sz w:val="22"/>
          <w:szCs w:val="20"/>
          <w:rtl/>
        </w:rPr>
        <w:t xml:space="preserve">, פ"ד לט(1) 169, פסקות 11, 16 (1985). </w:t>
      </w:r>
    </w:p>
  </w:footnote>
  <w:footnote w:id="6">
    <w:p w:rsidR="00000000" w:rsidRDefault="000C5475">
      <w:pPr>
        <w:pStyle w:val="FootnoteText"/>
        <w:bidi/>
        <w:spacing w:before="0" w:beforeAutospacing="0" w:after="0" w:afterAutospacing="0"/>
        <w:rPr>
          <w:rStyle w:val="Strong"/>
          <w:rFonts w:cs="David" w:hint="cs"/>
          <w:sz w:val="22"/>
          <w:szCs w:val="20"/>
          <w:rtl/>
        </w:rPr>
      </w:pPr>
      <w:r>
        <w:rPr>
          <w:rStyle w:val="FootnoteReference"/>
        </w:rPr>
        <w:footnoteRef/>
      </w:r>
      <w:r>
        <w:rPr>
          <w:rStyle w:val="FootnoteReference"/>
          <w:rFonts w:eastAsia="Times New Roman" w:cs="David"/>
          <w:sz w:val="22"/>
          <w:szCs w:val="20"/>
          <w:lang w:eastAsia="he-IL"/>
        </w:rPr>
        <w:t>[6]</w:t>
      </w:r>
      <w:r>
        <w:rPr>
          <w:rFonts w:cs="David" w:hint="cs"/>
          <w:sz w:val="22"/>
          <w:szCs w:val="20"/>
          <w:rtl/>
        </w:rPr>
        <w:t xml:space="preserve"> </w:t>
      </w:r>
      <w:r>
        <w:rPr>
          <w:rFonts w:cs="David" w:hint="cs"/>
          <w:sz w:val="22"/>
          <w:szCs w:val="20"/>
          <w:rtl/>
        </w:rPr>
        <w:t>החשש הוא כי שיתוף הפעולה הלגיטימי שבין המתחרים יחלחל (</w:t>
      </w:r>
      <w:r>
        <w:rPr>
          <w:rFonts w:hint="cs"/>
          <w:sz w:val="18"/>
          <w:szCs w:val="16"/>
        </w:rPr>
        <w:t>spillover</w:t>
      </w:r>
      <w:r>
        <w:rPr>
          <w:rFonts w:cs="David" w:hint="cs"/>
          <w:sz w:val="22"/>
          <w:szCs w:val="20"/>
          <w:rtl/>
        </w:rPr>
        <w:t xml:space="preserve">) לתחומים ששיתוף הפעולה בהם הוא בלתי לגיטימי ופוגעני ביחס לתחרות. חששות אלה קיימים כל אימת שמתחרים משתפים פעולה ביניהם. </w:t>
      </w:r>
      <w:r>
        <w:rPr>
          <w:rFonts w:cs="David" w:hint="cs"/>
          <w:sz w:val="20"/>
          <w:szCs w:val="20"/>
          <w:rtl/>
        </w:rPr>
        <w:t>ראו לעניין זה החלטה בעניין</w:t>
      </w:r>
      <w:r>
        <w:rPr>
          <w:rStyle w:val="Strong"/>
          <w:rFonts w:cs="David" w:hint="cs"/>
          <w:sz w:val="20"/>
          <w:szCs w:val="20"/>
          <w:rtl/>
        </w:rPr>
        <w:t xml:space="preserve"> הסדר שצדדים לו ארגון התעופה הבינלאומי (</w:t>
      </w:r>
      <w:r>
        <w:rPr>
          <w:rStyle w:val="Strong"/>
          <w:rFonts w:hint="cs"/>
          <w:sz w:val="20"/>
          <w:szCs w:val="20"/>
        </w:rPr>
        <w:t>International Air Transport Association</w:t>
      </w:r>
      <w:r>
        <w:rPr>
          <w:rStyle w:val="Strong"/>
          <w:rFonts w:cs="David" w:hint="cs"/>
          <w:sz w:val="20"/>
          <w:szCs w:val="20"/>
          <w:rtl/>
        </w:rPr>
        <w:t>) וחברות תעופה בעניין תכנית ה-</w:t>
      </w:r>
      <w:r>
        <w:rPr>
          <w:rStyle w:val="Strong"/>
          <w:rFonts w:hint="cs"/>
          <w:sz w:val="20"/>
          <w:szCs w:val="20"/>
        </w:rPr>
        <w:t>BSP</w:t>
      </w:r>
      <w:r>
        <w:rPr>
          <w:rStyle w:val="Strong"/>
          <w:rFonts w:cs="David" w:hint="cs"/>
          <w:sz w:val="20"/>
          <w:szCs w:val="20"/>
          <w:rtl/>
        </w:rPr>
        <w:t xml:space="preserve"> (</w:t>
      </w:r>
      <w:r>
        <w:rPr>
          <w:rStyle w:val="Strong"/>
          <w:rFonts w:hint="cs"/>
          <w:sz w:val="20"/>
          <w:szCs w:val="20"/>
        </w:rPr>
        <w:t>Billing and Settlement Plan</w:t>
      </w:r>
      <w:r>
        <w:rPr>
          <w:rStyle w:val="Strong"/>
          <w:rFonts w:cs="David" w:hint="cs"/>
          <w:sz w:val="20"/>
          <w:szCs w:val="20"/>
          <w:rtl/>
        </w:rPr>
        <w:t>)</w:t>
      </w:r>
      <w:r>
        <w:rPr>
          <w:rFonts w:cs="David" w:hint="cs"/>
          <w:sz w:val="20"/>
          <w:szCs w:val="20"/>
          <w:rtl/>
        </w:rPr>
        <w:t>;</w:t>
      </w:r>
      <w:r>
        <w:rPr>
          <w:rStyle w:val="Strong"/>
          <w:rFonts w:cs="David" w:hint="cs"/>
          <w:sz w:val="20"/>
          <w:szCs w:val="20"/>
          <w:rtl/>
        </w:rPr>
        <w:t xml:space="preserve"> </w:t>
      </w:r>
      <w:r>
        <w:rPr>
          <w:rFonts w:cs="David" w:hint="cs"/>
          <w:sz w:val="20"/>
          <w:szCs w:val="20"/>
          <w:rtl/>
        </w:rPr>
        <w:t>2010</w:t>
      </w:r>
      <w:r>
        <w:rPr>
          <w:rStyle w:val="Strong"/>
          <w:rFonts w:cs="David" w:hint="cs"/>
          <w:sz w:val="20"/>
          <w:szCs w:val="20"/>
          <w:rtl/>
        </w:rPr>
        <w:t xml:space="preserve"> הגבלים עסקיים </w:t>
      </w:r>
      <w:r>
        <w:rPr>
          <w:rFonts w:cs="David" w:hint="cs"/>
          <w:sz w:val="22"/>
          <w:szCs w:val="20"/>
          <w:rtl/>
        </w:rPr>
        <w:t xml:space="preserve">5001686; </w:t>
      </w:r>
      <w:r>
        <w:rPr>
          <w:rStyle w:val="Strong"/>
          <w:rFonts w:cs="David" w:hint="cs"/>
          <w:sz w:val="20"/>
          <w:szCs w:val="20"/>
          <w:rtl/>
        </w:rPr>
        <w:t>קביעה לפי סעיף 43 – הסדר כובל בין חברות ההסעה ביעדים תיור בע"מ</w:t>
      </w:r>
      <w:r>
        <w:rPr>
          <w:rFonts w:cs="David" w:hint="cs"/>
          <w:sz w:val="20"/>
          <w:szCs w:val="20"/>
          <w:rtl/>
        </w:rPr>
        <w:t xml:space="preserve">; 2001 </w:t>
      </w:r>
      <w:r>
        <w:rPr>
          <w:rStyle w:val="Strong"/>
          <w:rFonts w:cs="David" w:hint="cs"/>
          <w:sz w:val="22"/>
          <w:szCs w:val="20"/>
          <w:rtl/>
        </w:rPr>
        <w:t>הגבלים עסקיים</w:t>
      </w:r>
      <w:r>
        <w:rPr>
          <w:rFonts w:cs="David" w:hint="cs"/>
          <w:sz w:val="20"/>
          <w:szCs w:val="20"/>
          <w:rtl/>
        </w:rPr>
        <w:t xml:space="preserve"> 301298</w:t>
      </w:r>
      <w:r>
        <w:rPr>
          <w:rFonts w:cs="David" w:hint="cs"/>
          <w:sz w:val="22"/>
          <w:szCs w:val="20"/>
          <w:rtl/>
        </w:rPr>
        <w:t>; החלטה בעניין</w:t>
      </w:r>
      <w:r>
        <w:rPr>
          <w:rStyle w:val="Strong"/>
          <w:rFonts w:cs="David" w:hint="cs"/>
          <w:sz w:val="22"/>
          <w:szCs w:val="20"/>
          <w:rtl/>
        </w:rPr>
        <w:t xml:space="preserve"> הסכם בין אלביט מערכו</w:t>
      </w:r>
      <w:r>
        <w:rPr>
          <w:rStyle w:val="Strong"/>
          <w:rFonts w:cs="David" w:hint="cs"/>
          <w:sz w:val="22"/>
          <w:szCs w:val="20"/>
          <w:rtl/>
        </w:rPr>
        <w:t>ת בע"מ לבין התעשיה האווירית לישראל בע"מ</w:t>
      </w:r>
      <w:r>
        <w:rPr>
          <w:rFonts w:cs="David" w:hint="cs"/>
          <w:sz w:val="22"/>
          <w:szCs w:val="20"/>
          <w:rtl/>
        </w:rPr>
        <w:t xml:space="preserve">; 2007 </w:t>
      </w:r>
      <w:r>
        <w:rPr>
          <w:rStyle w:val="Strong"/>
          <w:rFonts w:cs="David" w:hint="cs"/>
          <w:sz w:val="22"/>
          <w:szCs w:val="20"/>
          <w:rtl/>
        </w:rPr>
        <w:t>הגבלים עסקיים</w:t>
      </w:r>
      <w:r>
        <w:rPr>
          <w:rFonts w:cs="David" w:hint="cs"/>
          <w:sz w:val="22"/>
          <w:szCs w:val="20"/>
          <w:rtl/>
        </w:rPr>
        <w:t xml:space="preserve"> 5000616. החלטה בעניין </w:t>
      </w:r>
      <w:r>
        <w:rPr>
          <w:rStyle w:val="Strong"/>
          <w:rFonts w:cs="David" w:hint="cs"/>
          <w:sz w:val="22"/>
          <w:szCs w:val="20"/>
          <w:rtl/>
        </w:rPr>
        <w:t>הסכם בין התעשייה האווירית בע"מ לבין רפא"ל בע"מ</w:t>
      </w:r>
      <w:r>
        <w:rPr>
          <w:rFonts w:cs="David" w:hint="cs"/>
          <w:sz w:val="22"/>
          <w:szCs w:val="20"/>
          <w:rtl/>
        </w:rPr>
        <w:t xml:space="preserve">; 2009 </w:t>
      </w:r>
      <w:r>
        <w:rPr>
          <w:rStyle w:val="Strong"/>
          <w:rFonts w:cs="David" w:hint="cs"/>
          <w:sz w:val="22"/>
          <w:szCs w:val="20"/>
          <w:rtl/>
        </w:rPr>
        <w:t>הגבלים עסקיים</w:t>
      </w:r>
      <w:r>
        <w:rPr>
          <w:rFonts w:cs="David" w:hint="cs"/>
          <w:sz w:val="22"/>
          <w:szCs w:val="20"/>
          <w:rtl/>
        </w:rPr>
        <w:t xml:space="preserve"> 5001519. החלטה בעניין </w:t>
      </w:r>
      <w:r>
        <w:rPr>
          <w:rStyle w:val="Strong"/>
          <w:rFonts w:cs="David" w:hint="cs"/>
          <w:sz w:val="22"/>
          <w:szCs w:val="20"/>
          <w:rtl/>
        </w:rPr>
        <w:t>הסדר כובל בין שישה קואופרטיבים להובלה יבשתית בעניין פעילות "תחבורה"</w:t>
      </w:r>
      <w:r>
        <w:rPr>
          <w:rFonts w:cs="David" w:hint="cs"/>
          <w:sz w:val="22"/>
          <w:szCs w:val="20"/>
          <w:rtl/>
        </w:rPr>
        <w:t xml:space="preserve">; 2010 </w:t>
      </w:r>
      <w:r>
        <w:rPr>
          <w:rStyle w:val="Strong"/>
          <w:rFonts w:cs="David" w:hint="cs"/>
          <w:sz w:val="22"/>
          <w:szCs w:val="20"/>
          <w:rtl/>
        </w:rPr>
        <w:t>הגבלים עסקי</w:t>
      </w:r>
      <w:r>
        <w:rPr>
          <w:rStyle w:val="Strong"/>
          <w:rFonts w:cs="David" w:hint="cs"/>
          <w:sz w:val="22"/>
          <w:szCs w:val="20"/>
          <w:rtl/>
        </w:rPr>
        <w:t>ים</w:t>
      </w:r>
      <w:r>
        <w:rPr>
          <w:rFonts w:cs="David" w:hint="cs"/>
          <w:sz w:val="22"/>
          <w:szCs w:val="20"/>
          <w:rtl/>
        </w:rPr>
        <w:t xml:space="preserve"> 5001678.</w:t>
      </w:r>
      <w:r>
        <w:rPr>
          <w:rStyle w:val="Strong"/>
          <w:rFonts w:cs="David" w:hint="cs"/>
          <w:sz w:val="22"/>
          <w:szCs w:val="20"/>
          <w:rtl/>
        </w:rPr>
        <w:t xml:space="preserve"> </w:t>
      </w:r>
      <w:r>
        <w:rPr>
          <w:rFonts w:cs="David" w:hint="cs"/>
          <w:sz w:val="22"/>
          <w:szCs w:val="20"/>
          <w:rtl/>
        </w:rPr>
        <w:t>מרים מזרח</w:t>
      </w:r>
      <w:r>
        <w:rPr>
          <w:rFonts w:cs="David" w:hint="cs"/>
          <w:sz w:val="22"/>
          <w:szCs w:val="20"/>
          <w:rtl/>
        </w:rPr>
        <w:t>י</w:t>
      </w:r>
      <w:r>
        <w:rPr>
          <w:rFonts w:cs="David" w:hint="cs"/>
          <w:sz w:val="22"/>
          <w:szCs w:val="20"/>
          <w:rtl/>
        </w:rPr>
        <w:t xml:space="preserve"> "מיזם משותף כהסדר כובל"</w:t>
      </w:r>
      <w:r>
        <w:rPr>
          <w:rStyle w:val="Strong"/>
          <w:rFonts w:cs="David" w:hint="cs"/>
          <w:sz w:val="22"/>
          <w:szCs w:val="20"/>
          <w:rtl/>
        </w:rPr>
        <w:t xml:space="preserve"> משפטים </w:t>
      </w:r>
      <w:r>
        <w:rPr>
          <w:rFonts w:cs="David" w:hint="cs"/>
          <w:sz w:val="22"/>
          <w:szCs w:val="20"/>
          <w:rtl/>
        </w:rPr>
        <w:t>כג 213, 235</w:t>
      </w:r>
      <w:r>
        <w:rPr>
          <w:rFonts w:cs="David" w:hint="cs"/>
          <w:sz w:val="20"/>
          <w:szCs w:val="20"/>
          <w:rtl/>
        </w:rPr>
        <w:t xml:space="preserve"> </w:t>
      </w:r>
      <w:r>
        <w:rPr>
          <w:rFonts w:cs="David" w:hint="cs"/>
          <w:sz w:val="22"/>
          <w:szCs w:val="20"/>
          <w:rtl/>
        </w:rPr>
        <w:t>(תשנ"ד)</w:t>
      </w:r>
      <w:r>
        <w:rPr>
          <w:rFonts w:cs="David" w:hint="cs"/>
          <w:sz w:val="20"/>
          <w:szCs w:val="20"/>
          <w:rtl/>
        </w:rPr>
        <w:t xml:space="preserve">. </w:t>
      </w:r>
    </w:p>
  </w:footnote>
  <w:footnote w:id="7">
    <w:p w:rsidR="00000000" w:rsidRDefault="000C5475">
      <w:pPr>
        <w:pStyle w:val="FootnoteText"/>
        <w:bidi/>
        <w:spacing w:before="0" w:beforeAutospacing="0" w:after="0" w:afterAutospacing="0"/>
        <w:rPr>
          <w:rFonts w:hint="cs"/>
          <w:rtl/>
        </w:rPr>
      </w:pPr>
      <w:r>
        <w:rPr>
          <w:rStyle w:val="FootnoteReference"/>
        </w:rPr>
        <w:footnoteRef/>
      </w:r>
      <w:r>
        <w:rPr>
          <w:rStyle w:val="FootnoteReference"/>
          <w:rFonts w:eastAsia="Times New Roman" w:cs="David"/>
          <w:sz w:val="22"/>
          <w:szCs w:val="20"/>
          <w:lang w:eastAsia="he-IL"/>
        </w:rPr>
        <w:t>[7]</w:t>
      </w:r>
      <w:r>
        <w:rPr>
          <w:rFonts w:cs="David" w:hint="cs"/>
          <w:sz w:val="22"/>
          <w:szCs w:val="20"/>
          <w:rtl/>
        </w:rPr>
        <w:t xml:space="preserve"> כיום יאט"א גובה דמי חבר מסוכן מטען מורשה יאט"א בסך 465 פרנק שוויצרי לשנה. </w:t>
      </w:r>
    </w:p>
  </w:footnote>
  <w:footnote w:id="8">
    <w:p w:rsidR="00000000" w:rsidRDefault="000C5475">
      <w:pPr>
        <w:pStyle w:val="FootnoteText"/>
        <w:bidi/>
        <w:spacing w:before="0" w:beforeAutospacing="0" w:after="0" w:afterAutospacing="0"/>
        <w:rPr>
          <w:rFonts w:cs="David" w:hint="cs"/>
          <w:sz w:val="22"/>
          <w:szCs w:val="20"/>
          <w:rtl/>
        </w:rPr>
      </w:pPr>
      <w:r>
        <w:rPr>
          <w:rStyle w:val="FootnoteReference"/>
        </w:rPr>
        <w:footnoteRef/>
      </w:r>
      <w:r>
        <w:rPr>
          <w:rStyle w:val="FootnoteReference"/>
          <w:rFonts w:eastAsia="Times New Roman" w:cs="David"/>
          <w:sz w:val="22"/>
          <w:szCs w:val="20"/>
          <w:lang w:eastAsia="he-IL"/>
        </w:rPr>
        <w:t>[8]</w:t>
      </w:r>
      <w:r>
        <w:rPr>
          <w:rFonts w:cs="David" w:hint="cs"/>
          <w:sz w:val="22"/>
          <w:szCs w:val="20"/>
          <w:rtl/>
        </w:rPr>
        <w:t xml:space="preserve"> למעט הפרשי הצמדה כמקובל.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0C5475"/>
    <w:rsid w:val="000C5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730B0CE-ACCC-433D-BEFC-6665106BF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styleId="FootnoteReference">
    <w:name w:val="footnote reference"/>
    <w:basedOn w:val="DefaultParagraphFont"/>
    <w:uiPriority w:val="99"/>
    <w:semiHidden/>
    <w:unhideWhenUsed/>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820281">
      <w:marLeft w:val="0"/>
      <w:marRight w:val="0"/>
      <w:marTop w:val="0"/>
      <w:marBottom w:val="0"/>
      <w:divBdr>
        <w:top w:val="none" w:sz="0" w:space="0" w:color="auto"/>
        <w:left w:val="none" w:sz="0" w:space="0" w:color="auto"/>
        <w:bottom w:val="none" w:sz="0" w:space="0" w:color="auto"/>
        <w:right w:val="none" w:sz="0" w:space="0" w:color="auto"/>
      </w:divBdr>
    </w:div>
    <w:div w:id="1696467898">
      <w:marLeft w:val="0"/>
      <w:marRight w:val="0"/>
      <w:marTop w:val="0"/>
      <w:marBottom w:val="0"/>
      <w:divBdr>
        <w:top w:val="none" w:sz="0" w:space="0" w:color="auto"/>
        <w:left w:val="none" w:sz="0" w:space="0" w:color="auto"/>
        <w:bottom w:val="none" w:sz="0" w:space="0" w:color="auto"/>
        <w:right w:val="none" w:sz="0" w:space="0" w:color="auto"/>
      </w:divBdr>
    </w:div>
    <w:div w:id="2043479035">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3097</Words>
  <Characters>14747</Characters>
  <Application>Microsoft Office Word</Application>
  <DocSecurity>0</DocSecurity>
  <Lines>122</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2019-08-11T12:52:00Z</dcterms:created>
  <dcterms:modified xsi:type="dcterms:W3CDTF">2019-08-11T12:52:00Z</dcterms:modified>
</cp:coreProperties>
</file>