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E174C" w14:textId="36051745" w:rsidR="00F8073C" w:rsidRDefault="00F8073C" w:rsidP="00B9303C">
      <w:pPr>
        <w:pStyle w:val="Title"/>
        <w:bidi/>
        <w:spacing w:before="120" w:after="120" w:line="360" w:lineRule="auto"/>
        <w:jc w:val="center"/>
        <w:rPr>
          <w:b/>
          <w:bCs/>
          <w:sz w:val="32"/>
          <w:szCs w:val="32"/>
        </w:rPr>
      </w:pPr>
      <w:bookmarkStart w:id="0" w:name="_GoBack"/>
      <w:bookmarkEnd w:id="0"/>
      <w:r>
        <w:rPr>
          <w:rFonts w:cs="David" w:hint="cs"/>
          <w:b/>
          <w:bCs/>
          <w:sz w:val="32"/>
          <w:szCs w:val="32"/>
          <w:rtl/>
        </w:rPr>
        <w:t>החלטה לפי סעיף 14 לחוק התחרות</w:t>
      </w:r>
      <w:r w:rsidR="00AD60B3">
        <w:rPr>
          <w:rFonts w:cs="David" w:hint="cs"/>
          <w:b/>
          <w:bCs/>
          <w:sz w:val="32"/>
          <w:szCs w:val="32"/>
          <w:rtl/>
        </w:rPr>
        <w:t xml:space="preserve"> הכלכלית</w:t>
      </w:r>
      <w:r>
        <w:rPr>
          <w:rFonts w:cs="David" w:hint="cs"/>
          <w:b/>
          <w:bCs/>
          <w:sz w:val="32"/>
          <w:szCs w:val="32"/>
          <w:rtl/>
        </w:rPr>
        <w:t>, התשמ"ח-1988</w:t>
      </w:r>
    </w:p>
    <w:p w14:paraId="483086B1" w14:textId="4ECC93F7" w:rsidR="00F8073C" w:rsidRDefault="00F8073C" w:rsidP="00B9303C">
      <w:pPr>
        <w:pStyle w:val="Title"/>
        <w:bidi/>
        <w:spacing w:before="120" w:after="120" w:line="360" w:lineRule="auto"/>
        <w:jc w:val="center"/>
        <w:rPr>
          <w:rFonts w:cs="David"/>
          <w:b/>
          <w:bCs/>
          <w:sz w:val="32"/>
          <w:szCs w:val="32"/>
        </w:rPr>
      </w:pPr>
      <w:r>
        <w:rPr>
          <w:rFonts w:cs="David" w:hint="cs"/>
          <w:b/>
          <w:bCs/>
          <w:sz w:val="32"/>
          <w:szCs w:val="32"/>
          <w:rtl/>
        </w:rPr>
        <w:t xml:space="preserve">בדבר מתן פטור </w:t>
      </w:r>
      <w:r w:rsidR="00FC5F17">
        <w:rPr>
          <w:rFonts w:cs="David" w:hint="cs"/>
          <w:b/>
          <w:bCs/>
          <w:sz w:val="32"/>
          <w:szCs w:val="32"/>
          <w:rtl/>
        </w:rPr>
        <w:t xml:space="preserve">בתנאים </w:t>
      </w:r>
      <w:r>
        <w:rPr>
          <w:rFonts w:cs="David" w:hint="cs"/>
          <w:b/>
          <w:bCs/>
          <w:sz w:val="32"/>
          <w:szCs w:val="32"/>
          <w:rtl/>
        </w:rPr>
        <w:t>מאישור הסדר כובל להסכם בין</w:t>
      </w:r>
    </w:p>
    <w:p w14:paraId="08AC041A" w14:textId="77777777" w:rsidR="00F8073C" w:rsidRDefault="00F8073C" w:rsidP="00B9303C">
      <w:pPr>
        <w:pStyle w:val="Title"/>
        <w:bidi/>
        <w:spacing w:before="120" w:after="120" w:line="360" w:lineRule="auto"/>
        <w:jc w:val="center"/>
        <w:rPr>
          <w:b/>
          <w:bCs/>
          <w:sz w:val="32"/>
          <w:szCs w:val="32"/>
        </w:rPr>
      </w:pPr>
      <w:r>
        <w:rPr>
          <w:rFonts w:cs="David" w:hint="cs"/>
          <w:b/>
          <w:bCs/>
          <w:sz w:val="32"/>
          <w:szCs w:val="32"/>
          <w:rtl/>
        </w:rPr>
        <w:t xml:space="preserve">השותפים במאגר הגז 'תמר' ובין דליה אנרגיות </w:t>
      </w:r>
      <w:proofErr w:type="spellStart"/>
      <w:r>
        <w:rPr>
          <w:rFonts w:cs="David" w:hint="cs"/>
          <w:b/>
          <w:bCs/>
          <w:sz w:val="32"/>
          <w:szCs w:val="32"/>
          <w:rtl/>
        </w:rPr>
        <w:t>כח</w:t>
      </w:r>
      <w:proofErr w:type="spellEnd"/>
      <w:r>
        <w:rPr>
          <w:rFonts w:cs="David" w:hint="cs"/>
          <w:b/>
          <w:bCs/>
          <w:sz w:val="32"/>
          <w:szCs w:val="32"/>
          <w:rtl/>
        </w:rPr>
        <w:t xml:space="preserve"> בע"מ</w:t>
      </w:r>
    </w:p>
    <w:p w14:paraId="335CCDCB" w14:textId="77777777" w:rsidR="00F8073C" w:rsidRDefault="00F8073C" w:rsidP="00F8073C">
      <w:pPr>
        <w:bidi/>
        <w:spacing w:before="120" w:after="120"/>
        <w:ind w:left="6480"/>
        <w:jc w:val="left"/>
        <w:rPr>
          <w:sz w:val="24"/>
          <w:rtl/>
        </w:rPr>
      </w:pPr>
    </w:p>
    <w:p w14:paraId="2CCB9AA5" w14:textId="77777777" w:rsidR="00F8073C" w:rsidRPr="00177B42" w:rsidRDefault="00F8073C" w:rsidP="00F8073C">
      <w:pPr>
        <w:pStyle w:val="ListParagraph"/>
        <w:numPr>
          <w:ilvl w:val="0"/>
          <w:numId w:val="7"/>
        </w:numPr>
        <w:spacing w:before="120" w:after="120" w:line="360" w:lineRule="auto"/>
        <w:rPr>
          <w:rFonts w:ascii="David" w:hAnsi="David" w:cs="David"/>
          <w:b/>
          <w:bCs/>
          <w:sz w:val="28"/>
          <w:szCs w:val="28"/>
        </w:rPr>
      </w:pPr>
      <w:r w:rsidRPr="00177B42">
        <w:rPr>
          <w:rFonts w:ascii="David" w:hAnsi="David" w:cs="David"/>
          <w:b/>
          <w:bCs/>
          <w:sz w:val="28"/>
          <w:szCs w:val="28"/>
          <w:rtl/>
        </w:rPr>
        <w:t>פתח דבר</w:t>
      </w:r>
    </w:p>
    <w:p w14:paraId="19F876DF" w14:textId="2546146A" w:rsidR="00F8073C" w:rsidRDefault="00F8073C" w:rsidP="00CB3FB9">
      <w:pPr>
        <w:bidi/>
        <w:spacing w:before="120" w:after="120"/>
        <w:rPr>
          <w:rFonts w:eastAsia="Times New Roman"/>
          <w:color w:val="000000"/>
          <w:rtl/>
          <w:lang w:eastAsia="he-IL"/>
        </w:rPr>
      </w:pPr>
      <w:r>
        <w:rPr>
          <w:rFonts w:hint="cs"/>
          <w:rtl/>
        </w:rPr>
        <w:t xml:space="preserve">לפני בקשה למתן פטור לפי סעיף 14 לחוק התחרות הכלכלית, תשמ"ח-1988 (להלן </w:t>
      </w:r>
      <w:r w:rsidRPr="008C2EB3">
        <w:rPr>
          <w:rFonts w:hint="cs"/>
          <w:b/>
          <w:bCs/>
          <w:rtl/>
        </w:rPr>
        <w:t>חוק התחרות</w:t>
      </w:r>
      <w:r>
        <w:rPr>
          <w:rFonts w:hint="cs"/>
          <w:rtl/>
        </w:rPr>
        <w:t xml:space="preserve">) להסדר כובל </w:t>
      </w:r>
      <w:r w:rsidR="004104E6">
        <w:rPr>
          <w:rFonts w:ascii="David" w:hAnsi="David"/>
          <w:color w:val="000000"/>
          <w:sz w:val="20"/>
          <w:rtl/>
        </w:rPr>
        <w:t xml:space="preserve">לאספקת גז טבעי ממאגר הגז </w:t>
      </w:r>
      <w:r w:rsidR="004104E6">
        <w:rPr>
          <w:rFonts w:ascii="David" w:hAnsi="David" w:hint="cs"/>
          <w:color w:val="000000"/>
          <w:sz w:val="20"/>
          <w:rtl/>
        </w:rPr>
        <w:t>"</w:t>
      </w:r>
      <w:r w:rsidR="004104E6">
        <w:rPr>
          <w:rFonts w:ascii="David" w:hAnsi="David"/>
          <w:color w:val="000000"/>
          <w:sz w:val="20"/>
          <w:rtl/>
        </w:rPr>
        <w:t>תמר</w:t>
      </w:r>
      <w:r w:rsidR="004104E6">
        <w:rPr>
          <w:rFonts w:ascii="David" w:hAnsi="David" w:hint="cs"/>
          <w:color w:val="000000"/>
          <w:sz w:val="20"/>
          <w:rtl/>
        </w:rPr>
        <w:t>"</w:t>
      </w:r>
      <w:r w:rsidR="00CB3FB9">
        <w:rPr>
          <w:rFonts w:ascii="David" w:hAnsi="David" w:hint="cs"/>
          <w:color w:val="000000"/>
          <w:sz w:val="20"/>
          <w:rtl/>
        </w:rPr>
        <w:t xml:space="preserve"> </w:t>
      </w:r>
      <w:r>
        <w:rPr>
          <w:rFonts w:hint="cs"/>
          <w:color w:val="000000"/>
          <w:sz w:val="20"/>
          <w:rtl/>
        </w:rPr>
        <w:t xml:space="preserve">בין </w:t>
      </w:r>
      <w:r w:rsidR="00CB3FB9">
        <w:rPr>
          <w:rFonts w:hint="cs"/>
          <w:color w:val="000000"/>
          <w:sz w:val="20"/>
          <w:rtl/>
        </w:rPr>
        <w:t>השותפות בחזקת תמר: חברת דלק</w:t>
      </w:r>
      <w:r w:rsidR="00DA36A9">
        <w:rPr>
          <w:rFonts w:hint="cs"/>
          <w:color w:val="000000"/>
          <w:sz w:val="20"/>
          <w:rtl/>
        </w:rPr>
        <w:t xml:space="preserve"> קידוחים - שותפות מוגבלת (להלן </w:t>
      </w:r>
      <w:r w:rsidR="00CB3FB9">
        <w:rPr>
          <w:rStyle w:val="Strong"/>
          <w:rFonts w:hint="cs"/>
          <w:color w:val="000000"/>
          <w:rtl/>
        </w:rPr>
        <w:t>דלק קידוחים</w:t>
      </w:r>
      <w:r w:rsidR="00CB3FB9">
        <w:rPr>
          <w:rFonts w:hint="cs"/>
          <w:color w:val="000000"/>
          <w:sz w:val="20"/>
          <w:rtl/>
        </w:rPr>
        <w:t xml:space="preserve">), חברת </w:t>
      </w:r>
      <w:r w:rsidR="00CB3FB9">
        <w:rPr>
          <w:rFonts w:hint="cs"/>
          <w:color w:val="000000"/>
        </w:rPr>
        <w:t>Noble Energy Mediterranean LTD.</w:t>
      </w:r>
      <w:r w:rsidR="00DA36A9">
        <w:rPr>
          <w:rFonts w:hint="cs"/>
          <w:color w:val="000000"/>
          <w:sz w:val="20"/>
          <w:rtl/>
        </w:rPr>
        <w:t xml:space="preserve"> (להלן </w:t>
      </w:r>
      <w:r w:rsidR="00CB3FB9">
        <w:rPr>
          <w:rStyle w:val="Strong"/>
          <w:rFonts w:hint="cs"/>
          <w:color w:val="000000"/>
          <w:rtl/>
        </w:rPr>
        <w:t>נובל</w:t>
      </w:r>
      <w:r w:rsidR="00CB3FB9">
        <w:rPr>
          <w:rFonts w:hint="cs"/>
          <w:color w:val="000000"/>
          <w:sz w:val="20"/>
          <w:rtl/>
        </w:rPr>
        <w:t xml:space="preserve">), חברת </w:t>
      </w:r>
      <w:proofErr w:type="spellStart"/>
      <w:r w:rsidR="00CB3FB9">
        <w:rPr>
          <w:rFonts w:hint="cs"/>
          <w:color w:val="000000"/>
          <w:sz w:val="20"/>
          <w:rtl/>
        </w:rPr>
        <w:t>ישראמקו</w:t>
      </w:r>
      <w:proofErr w:type="spellEnd"/>
      <w:r w:rsidR="00CB3FB9">
        <w:rPr>
          <w:rFonts w:hint="cs"/>
          <w:color w:val="000000"/>
          <w:sz w:val="20"/>
          <w:rtl/>
        </w:rPr>
        <w:t xml:space="preserve"> נגב 2 – שותפות מוגבלת (להלן </w:t>
      </w:r>
      <w:proofErr w:type="spellStart"/>
      <w:r w:rsidR="00CB3FB9">
        <w:rPr>
          <w:rStyle w:val="Strong"/>
          <w:rFonts w:hint="cs"/>
          <w:color w:val="000000"/>
          <w:rtl/>
        </w:rPr>
        <w:t>ישראמקו</w:t>
      </w:r>
      <w:proofErr w:type="spellEnd"/>
      <w:r w:rsidR="00CB3FB9">
        <w:rPr>
          <w:rFonts w:hint="cs"/>
          <w:color w:val="000000"/>
          <w:sz w:val="20"/>
          <w:rtl/>
        </w:rPr>
        <w:t>), חברת דור ח</w:t>
      </w:r>
      <w:r w:rsidR="00DA36A9">
        <w:rPr>
          <w:rFonts w:hint="cs"/>
          <w:color w:val="000000"/>
          <w:sz w:val="20"/>
          <w:rtl/>
        </w:rPr>
        <w:t xml:space="preserve">יפושי גז – שותפות מוגבלת (להלן </w:t>
      </w:r>
      <w:r w:rsidR="00CB3FB9">
        <w:rPr>
          <w:rStyle w:val="Strong"/>
          <w:rFonts w:hint="cs"/>
          <w:color w:val="000000"/>
          <w:rtl/>
        </w:rPr>
        <w:t>דור</w:t>
      </w:r>
      <w:r w:rsidR="00CB3FB9">
        <w:rPr>
          <w:rFonts w:hint="cs"/>
          <w:color w:val="000000"/>
          <w:sz w:val="20"/>
          <w:rtl/>
        </w:rPr>
        <w:t xml:space="preserve">), </w:t>
      </w:r>
      <w:r w:rsidR="00CB3FB9">
        <w:rPr>
          <w:rFonts w:ascii="David" w:eastAsia="Times New Roman" w:hAnsi="David" w:hint="cs"/>
          <w:sz w:val="24"/>
          <w:rtl/>
          <w:lang w:eastAsia="he-IL"/>
        </w:rPr>
        <w:t xml:space="preserve">חברת תמר </w:t>
      </w:r>
      <w:proofErr w:type="spellStart"/>
      <w:r w:rsidR="00CB3FB9">
        <w:rPr>
          <w:rFonts w:ascii="David" w:eastAsia="Times New Roman" w:hAnsi="David" w:hint="cs"/>
          <w:sz w:val="24"/>
          <w:rtl/>
          <w:lang w:eastAsia="he-IL"/>
        </w:rPr>
        <w:t>פטרוליום</w:t>
      </w:r>
      <w:proofErr w:type="spellEnd"/>
      <w:r w:rsidR="00CB3FB9">
        <w:rPr>
          <w:rFonts w:ascii="David" w:eastAsia="Times New Roman" w:hAnsi="David" w:hint="cs"/>
          <w:sz w:val="24"/>
          <w:rtl/>
          <w:lang w:eastAsia="he-IL"/>
        </w:rPr>
        <w:t xml:space="preserve"> בע"מ</w:t>
      </w:r>
      <w:r w:rsidR="00CB3FB9">
        <w:rPr>
          <w:rFonts w:ascii="David" w:eastAsia="Times New Roman" w:hAnsi="David" w:hint="cs"/>
          <w:b/>
          <w:bCs/>
          <w:sz w:val="24"/>
          <w:rtl/>
          <w:lang w:eastAsia="he-IL"/>
        </w:rPr>
        <w:t xml:space="preserve"> (</w:t>
      </w:r>
      <w:r w:rsidR="00CB3FB9" w:rsidRPr="00825190">
        <w:rPr>
          <w:rFonts w:ascii="David" w:eastAsia="Times New Roman" w:hAnsi="David" w:hint="cs"/>
          <w:sz w:val="24"/>
          <w:rtl/>
          <w:lang w:eastAsia="he-IL"/>
        </w:rPr>
        <w:t xml:space="preserve">להלן </w:t>
      </w:r>
      <w:r w:rsidR="00CB3FB9">
        <w:rPr>
          <w:rFonts w:ascii="David" w:eastAsia="Times New Roman" w:hAnsi="David" w:hint="cs"/>
          <w:b/>
          <w:bCs/>
          <w:sz w:val="24"/>
          <w:rtl/>
          <w:lang w:eastAsia="he-IL"/>
        </w:rPr>
        <w:t xml:space="preserve">תמר </w:t>
      </w:r>
      <w:proofErr w:type="spellStart"/>
      <w:r w:rsidR="00CB3FB9">
        <w:rPr>
          <w:rFonts w:ascii="David" w:eastAsia="Times New Roman" w:hAnsi="David" w:hint="cs"/>
          <w:b/>
          <w:bCs/>
          <w:sz w:val="24"/>
          <w:rtl/>
          <w:lang w:eastAsia="he-IL"/>
        </w:rPr>
        <w:t>פטרוליום</w:t>
      </w:r>
      <w:proofErr w:type="spellEnd"/>
      <w:r w:rsidR="00CB3FB9" w:rsidRPr="00923C30">
        <w:rPr>
          <w:rFonts w:ascii="David" w:eastAsia="Times New Roman" w:hAnsi="David" w:hint="cs"/>
          <w:sz w:val="24"/>
          <w:rtl/>
          <w:lang w:eastAsia="he-IL"/>
        </w:rPr>
        <w:t>)</w:t>
      </w:r>
      <w:r w:rsidR="00CB3FB9">
        <w:rPr>
          <w:rFonts w:ascii="David" w:eastAsia="Times New Roman" w:hAnsi="David" w:hint="cs"/>
          <w:b/>
          <w:bCs/>
          <w:sz w:val="24"/>
          <w:rtl/>
          <w:lang w:eastAsia="he-IL"/>
        </w:rPr>
        <w:t xml:space="preserve"> </w:t>
      </w:r>
      <w:r w:rsidR="00CB3FB9">
        <w:rPr>
          <w:rFonts w:ascii="David" w:eastAsia="Times New Roman" w:hAnsi="David" w:hint="cs"/>
          <w:sz w:val="24"/>
          <w:rtl/>
          <w:lang w:eastAsia="he-IL"/>
        </w:rPr>
        <w:t xml:space="preserve">וחברת אוורסט תשתיות שותפות מוגבלת </w:t>
      </w:r>
      <w:r w:rsidR="00CB3FB9">
        <w:rPr>
          <w:rFonts w:ascii="David" w:eastAsia="Times New Roman" w:hAnsi="David" w:hint="cs"/>
          <w:b/>
          <w:bCs/>
          <w:sz w:val="24"/>
          <w:rtl/>
          <w:lang w:eastAsia="he-IL"/>
        </w:rPr>
        <w:t>(</w:t>
      </w:r>
      <w:r w:rsidR="00CB3FB9" w:rsidRPr="00825190">
        <w:rPr>
          <w:rFonts w:ascii="David" w:eastAsia="Times New Roman" w:hAnsi="David" w:hint="cs"/>
          <w:sz w:val="24"/>
          <w:rtl/>
          <w:lang w:eastAsia="he-IL"/>
        </w:rPr>
        <w:t xml:space="preserve">להלן </w:t>
      </w:r>
      <w:r w:rsidR="00CB3FB9">
        <w:rPr>
          <w:rFonts w:ascii="David" w:eastAsia="Times New Roman" w:hAnsi="David" w:hint="cs"/>
          <w:b/>
          <w:bCs/>
          <w:sz w:val="24"/>
          <w:rtl/>
          <w:lang w:eastAsia="he-IL"/>
        </w:rPr>
        <w:t>אוורסט)</w:t>
      </w:r>
      <w:r w:rsidR="00CB3FB9">
        <w:rPr>
          <w:rFonts w:ascii="David" w:eastAsia="Times New Roman" w:hAnsi="David" w:hint="cs"/>
          <w:sz w:val="24"/>
          <w:rtl/>
          <w:lang w:eastAsia="he-IL"/>
        </w:rPr>
        <w:t>,</w:t>
      </w:r>
      <w:r w:rsidR="00CB3FB9">
        <w:rPr>
          <w:rFonts w:hint="cs"/>
          <w:color w:val="000000"/>
          <w:sz w:val="20"/>
          <w:rtl/>
        </w:rPr>
        <w:t xml:space="preserve"> אשר ייקראו כולן יחדיו "</w:t>
      </w:r>
      <w:r w:rsidR="00CB3FB9">
        <w:rPr>
          <w:rStyle w:val="Strong"/>
          <w:rFonts w:hint="cs"/>
          <w:color w:val="000000"/>
          <w:rtl/>
        </w:rPr>
        <w:t>שותפות תמר</w:t>
      </w:r>
      <w:r w:rsidR="00CB3FB9">
        <w:rPr>
          <w:rFonts w:hint="cs"/>
          <w:color w:val="000000"/>
          <w:sz w:val="20"/>
          <w:rtl/>
        </w:rPr>
        <w:t>"</w:t>
      </w:r>
      <w:r w:rsidR="00DA36A9">
        <w:rPr>
          <w:rFonts w:hint="cs"/>
          <w:color w:val="000000"/>
          <w:sz w:val="20"/>
          <w:rtl/>
        </w:rPr>
        <w:t xml:space="preserve"> </w:t>
      </w:r>
      <w:r>
        <w:rPr>
          <w:rFonts w:hint="cs"/>
          <w:color w:val="000000"/>
          <w:sz w:val="20"/>
          <w:rtl/>
        </w:rPr>
        <w:t xml:space="preserve">מצד אחד, ובין </w:t>
      </w:r>
      <w:r w:rsidR="00CB3FB9">
        <w:rPr>
          <w:rFonts w:hint="cs"/>
          <w:color w:val="000000"/>
          <w:sz w:val="20"/>
          <w:rtl/>
        </w:rPr>
        <w:t>ח</w:t>
      </w:r>
      <w:r w:rsidR="00DA36A9">
        <w:rPr>
          <w:rFonts w:hint="cs"/>
          <w:color w:val="000000"/>
          <w:sz w:val="20"/>
          <w:rtl/>
        </w:rPr>
        <w:t xml:space="preserve">ברת דליה אנרגיות </w:t>
      </w:r>
      <w:proofErr w:type="spellStart"/>
      <w:r w:rsidR="00DA36A9">
        <w:rPr>
          <w:rFonts w:hint="cs"/>
          <w:color w:val="000000"/>
          <w:sz w:val="20"/>
          <w:rtl/>
        </w:rPr>
        <w:t>כח</w:t>
      </w:r>
      <w:proofErr w:type="spellEnd"/>
      <w:r w:rsidR="00DA36A9">
        <w:rPr>
          <w:rFonts w:hint="cs"/>
          <w:color w:val="000000"/>
          <w:sz w:val="20"/>
          <w:rtl/>
        </w:rPr>
        <w:t xml:space="preserve"> בע"מ (להלן </w:t>
      </w:r>
      <w:r w:rsidR="00CB3FB9">
        <w:rPr>
          <w:rStyle w:val="Strong"/>
          <w:rFonts w:hint="cs"/>
          <w:color w:val="000000"/>
          <w:rtl/>
        </w:rPr>
        <w:t>דליה</w:t>
      </w:r>
      <w:r w:rsidR="00CB3FB9">
        <w:rPr>
          <w:rFonts w:hint="cs"/>
          <w:color w:val="000000"/>
          <w:sz w:val="20"/>
          <w:rtl/>
        </w:rPr>
        <w:t xml:space="preserve">) </w:t>
      </w:r>
      <w:r>
        <w:rPr>
          <w:rFonts w:hint="cs"/>
          <w:color w:val="000000"/>
          <w:sz w:val="20"/>
          <w:rtl/>
        </w:rPr>
        <w:t>מצד שני</w:t>
      </w:r>
      <w:r w:rsidR="004104E6">
        <w:rPr>
          <w:rFonts w:hint="cs"/>
          <w:color w:val="000000"/>
          <w:sz w:val="20"/>
          <w:rtl/>
        </w:rPr>
        <w:t>.</w:t>
      </w:r>
      <w:r>
        <w:rPr>
          <w:rFonts w:eastAsia="Times New Roman" w:hint="cs"/>
          <w:color w:val="000000"/>
          <w:rtl/>
          <w:lang w:eastAsia="he-IL"/>
        </w:rPr>
        <w:t xml:space="preserve"> </w:t>
      </w:r>
    </w:p>
    <w:p w14:paraId="6BF51510" w14:textId="27764CA8" w:rsidR="002B7B70" w:rsidRDefault="002B7B70" w:rsidP="00B35517">
      <w:pPr>
        <w:bidi/>
        <w:spacing w:before="120" w:after="120"/>
        <w:rPr>
          <w:rFonts w:eastAsia="Times New Roman"/>
          <w:color w:val="000000"/>
          <w:rtl/>
          <w:lang w:eastAsia="he-IL"/>
        </w:rPr>
      </w:pPr>
      <w:r>
        <w:rPr>
          <w:rFonts w:eastAsia="Times New Roman" w:hint="cs"/>
          <w:color w:val="000000"/>
          <w:rtl/>
          <w:lang w:eastAsia="he-IL"/>
        </w:rPr>
        <w:t>ביום 14 ביוני 2012 הוענק פטור מאישור בית הדין להסדר כובל בין שותפות תמר דאז לבין דליה, לגבי אספקת גז טבעי ממאגר "תמר"</w:t>
      </w:r>
      <w:r w:rsidR="00ED1393">
        <w:rPr>
          <w:rFonts w:eastAsia="Times New Roman" w:hint="cs"/>
          <w:color w:val="000000"/>
          <w:rtl/>
          <w:lang w:eastAsia="he-IL"/>
        </w:rPr>
        <w:t xml:space="preserve"> לדליה</w:t>
      </w:r>
      <w:r>
        <w:rPr>
          <w:rFonts w:eastAsia="Times New Roman" w:hint="cs"/>
          <w:color w:val="000000"/>
          <w:rtl/>
          <w:lang w:eastAsia="he-IL"/>
        </w:rPr>
        <w:t xml:space="preserve"> </w:t>
      </w:r>
      <w:r w:rsidR="00672E32">
        <w:rPr>
          <w:rFonts w:eastAsia="Times New Roman" w:hint="cs"/>
          <w:color w:val="000000"/>
          <w:rtl/>
          <w:lang w:eastAsia="he-IL"/>
        </w:rPr>
        <w:t xml:space="preserve">וזאת בכפוף </w:t>
      </w:r>
      <w:r w:rsidR="00DB7029">
        <w:rPr>
          <w:rFonts w:eastAsia="Times New Roman" w:hint="cs"/>
          <w:color w:val="000000"/>
          <w:rtl/>
          <w:lang w:eastAsia="he-IL"/>
        </w:rPr>
        <w:t xml:space="preserve">לשורה של תנאים </w:t>
      </w:r>
      <w:r>
        <w:rPr>
          <w:rFonts w:eastAsia="Times New Roman" w:hint="cs"/>
          <w:color w:val="000000"/>
          <w:rtl/>
          <w:lang w:eastAsia="he-IL"/>
        </w:rPr>
        <w:t xml:space="preserve">(להלן </w:t>
      </w:r>
      <w:r>
        <w:rPr>
          <w:rFonts w:eastAsia="Times New Roman" w:hint="cs"/>
          <w:b/>
          <w:bCs/>
          <w:color w:val="000000"/>
          <w:rtl/>
          <w:lang w:eastAsia="he-IL"/>
        </w:rPr>
        <w:t>הפטור</w:t>
      </w:r>
      <w:r w:rsidR="00DA36A9">
        <w:rPr>
          <w:rFonts w:eastAsia="Times New Roman" w:hint="cs"/>
          <w:b/>
          <w:bCs/>
          <w:color w:val="000000"/>
          <w:rtl/>
          <w:lang w:eastAsia="he-IL"/>
        </w:rPr>
        <w:t xml:space="preserve"> המקורי</w:t>
      </w:r>
      <w:r>
        <w:rPr>
          <w:rFonts w:eastAsia="Times New Roman" w:hint="cs"/>
          <w:color w:val="000000"/>
          <w:rtl/>
          <w:lang w:eastAsia="he-IL"/>
        </w:rPr>
        <w:t>).</w:t>
      </w:r>
      <w:r>
        <w:rPr>
          <w:rStyle w:val="FootnoteReference"/>
          <w:rFonts w:eastAsia="Times New Roman"/>
          <w:color w:val="000000"/>
          <w:rtl/>
          <w:lang w:eastAsia="he-IL"/>
        </w:rPr>
        <w:footnoteReference w:id="1"/>
      </w:r>
      <w:r w:rsidR="00DB7029">
        <w:rPr>
          <w:rFonts w:eastAsia="Times New Roman" w:hint="cs"/>
          <w:color w:val="000000"/>
          <w:rtl/>
          <w:lang w:eastAsia="he-IL"/>
        </w:rPr>
        <w:t xml:space="preserve"> אחד התנאים אשר נקבעו במסגרת הפטור המקורי </w:t>
      </w:r>
      <w:r w:rsidR="00356275">
        <w:rPr>
          <w:rFonts w:eastAsia="Times New Roman" w:hint="cs"/>
          <w:color w:val="000000"/>
          <w:rtl/>
          <w:lang w:eastAsia="he-IL"/>
        </w:rPr>
        <w:t xml:space="preserve">היה מתן </w:t>
      </w:r>
      <w:r w:rsidR="00DB7029">
        <w:rPr>
          <w:rFonts w:eastAsia="Times New Roman" w:hint="cs"/>
          <w:color w:val="000000"/>
          <w:rtl/>
          <w:lang w:eastAsia="he-IL"/>
        </w:rPr>
        <w:t xml:space="preserve">אופציה אשר </w:t>
      </w:r>
      <w:r w:rsidR="00356275">
        <w:rPr>
          <w:rFonts w:eastAsia="Times New Roman" w:hint="cs"/>
          <w:color w:val="000000"/>
          <w:rtl/>
          <w:lang w:eastAsia="he-IL"/>
        </w:rPr>
        <w:t xml:space="preserve">אפשרה לדליה, במסגרת חלון הזמן שפורט בפטור, להפחית את כמות הגז המינימאלית עליה יחויב לשלם צרכן הגז ( </w:t>
      </w:r>
      <w:r w:rsidR="00356275">
        <w:rPr>
          <w:rFonts w:eastAsia="Times New Roman"/>
          <w:lang w:eastAsia="he-IL"/>
        </w:rPr>
        <w:t>Take or Pay</w:t>
      </w:r>
      <w:r w:rsidR="00356275">
        <w:rPr>
          <w:rFonts w:eastAsia="Times New Roman" w:hint="cs"/>
          <w:color w:val="000000"/>
          <w:rtl/>
          <w:lang w:eastAsia="he-IL"/>
        </w:rPr>
        <w:t xml:space="preserve"> ) </w:t>
      </w:r>
      <w:r w:rsidR="002A4AA8">
        <w:rPr>
          <w:rFonts w:eastAsia="Times New Roman" w:hint="cs"/>
          <w:color w:val="000000"/>
          <w:rtl/>
          <w:lang w:eastAsia="he-IL"/>
        </w:rPr>
        <w:t>כך שלא תעלה על 50% מכמות הצריכה בפועל הממוצעת של דליה בשלוש שנים שקדמו למועד הודעתו</w:t>
      </w:r>
      <w:r w:rsidR="00DB7029">
        <w:rPr>
          <w:rFonts w:eastAsia="Times New Roman" w:hint="cs"/>
          <w:color w:val="000000"/>
          <w:rtl/>
          <w:lang w:eastAsia="he-IL"/>
        </w:rPr>
        <w:t xml:space="preserve"> </w:t>
      </w:r>
      <w:r w:rsidR="001D0208">
        <w:rPr>
          <w:rFonts w:eastAsia="Times New Roman" w:hint="cs"/>
          <w:color w:val="000000"/>
          <w:rtl/>
          <w:lang w:eastAsia="he-IL"/>
        </w:rPr>
        <w:t xml:space="preserve">על </w:t>
      </w:r>
      <w:r w:rsidR="00B35517">
        <w:rPr>
          <w:rFonts w:eastAsia="Times New Roman" w:hint="cs"/>
          <w:color w:val="000000"/>
          <w:rtl/>
          <w:lang w:eastAsia="he-IL"/>
        </w:rPr>
        <w:t xml:space="preserve">רצונה להפחית את הכמות </w:t>
      </w:r>
      <w:r w:rsidR="00DB7029">
        <w:rPr>
          <w:rFonts w:eastAsia="Times New Roman" w:hint="cs"/>
          <w:color w:val="000000"/>
          <w:rtl/>
          <w:lang w:eastAsia="he-IL"/>
        </w:rPr>
        <w:t xml:space="preserve">(להלן </w:t>
      </w:r>
      <w:r w:rsidR="00DB7029">
        <w:rPr>
          <w:rFonts w:eastAsia="Times New Roman" w:hint="cs"/>
          <w:b/>
          <w:bCs/>
          <w:color w:val="000000"/>
          <w:rtl/>
          <w:lang w:eastAsia="he-IL"/>
        </w:rPr>
        <w:t>אופציית ההפחתה)</w:t>
      </w:r>
      <w:r w:rsidR="00DB7029">
        <w:rPr>
          <w:rFonts w:eastAsia="Times New Roman" w:hint="cs"/>
          <w:color w:val="000000"/>
          <w:rtl/>
          <w:lang w:eastAsia="he-IL"/>
        </w:rPr>
        <w:t>.</w:t>
      </w:r>
    </w:p>
    <w:p w14:paraId="3435EEAA" w14:textId="795E2D5F" w:rsidR="00F8073C" w:rsidRPr="00EF723D" w:rsidRDefault="00F8073C" w:rsidP="00ED1393">
      <w:pPr>
        <w:bidi/>
        <w:spacing w:before="120" w:after="120"/>
        <w:rPr>
          <w:rFonts w:eastAsia="Times New Roman"/>
          <w:color w:val="000000"/>
          <w:rtl/>
          <w:lang w:eastAsia="he-IL"/>
        </w:rPr>
      </w:pPr>
      <w:r w:rsidRPr="00A92FFB">
        <w:rPr>
          <w:rFonts w:eastAsia="Times New Roman" w:hint="cs"/>
          <w:color w:val="000000"/>
          <w:rtl/>
          <w:lang w:eastAsia="he-IL"/>
        </w:rPr>
        <w:lastRenderedPageBreak/>
        <w:t xml:space="preserve">בקשת הפטור </w:t>
      </w:r>
      <w:r>
        <w:rPr>
          <w:rFonts w:eastAsia="Times New Roman" w:hint="cs"/>
          <w:color w:val="000000"/>
          <w:rtl/>
          <w:lang w:eastAsia="he-IL"/>
        </w:rPr>
        <w:t>שלהלן</w:t>
      </w:r>
      <w:r w:rsidRPr="00A92FFB">
        <w:rPr>
          <w:rFonts w:eastAsia="Times New Roman" w:hint="cs"/>
          <w:color w:val="000000"/>
          <w:rtl/>
          <w:lang w:eastAsia="he-IL"/>
        </w:rPr>
        <w:t xml:space="preserve"> הוגשה בעקבות תיקון להסכם</w:t>
      </w:r>
      <w:r>
        <w:rPr>
          <w:rFonts w:eastAsia="Times New Roman" w:hint="cs"/>
          <w:color w:val="000000"/>
          <w:rtl/>
          <w:lang w:eastAsia="he-IL"/>
        </w:rPr>
        <w:t xml:space="preserve">, אשר </w:t>
      </w:r>
      <w:r w:rsidRPr="00A92FFB">
        <w:rPr>
          <w:rFonts w:eastAsia="Times New Roman" w:hint="cs"/>
          <w:color w:val="000000"/>
          <w:rtl/>
          <w:lang w:eastAsia="he-IL"/>
        </w:rPr>
        <w:t>נחתם ביום 5 בפברואר 2019</w:t>
      </w:r>
      <w:r>
        <w:rPr>
          <w:rFonts w:eastAsia="Times New Roman" w:hint="cs"/>
          <w:color w:val="000000"/>
          <w:rtl/>
          <w:lang w:eastAsia="he-IL"/>
        </w:rPr>
        <w:t xml:space="preserve">, אשר </w:t>
      </w:r>
      <w:r w:rsidR="00ED1393">
        <w:rPr>
          <w:rFonts w:eastAsia="Times New Roman" w:hint="cs"/>
          <w:color w:val="000000"/>
          <w:rtl/>
          <w:lang w:eastAsia="he-IL"/>
        </w:rPr>
        <w:t xml:space="preserve">מבקש </w:t>
      </w:r>
      <w:r>
        <w:rPr>
          <w:rFonts w:eastAsia="Times New Roman" w:hint="cs"/>
          <w:color w:val="000000"/>
          <w:rtl/>
          <w:lang w:eastAsia="he-IL"/>
        </w:rPr>
        <w:t xml:space="preserve">לעדכן </w:t>
      </w:r>
      <w:r w:rsidR="00ED1393">
        <w:rPr>
          <w:rFonts w:eastAsia="Times New Roman" w:hint="cs"/>
          <w:color w:val="000000"/>
          <w:rtl/>
          <w:lang w:eastAsia="he-IL"/>
        </w:rPr>
        <w:t xml:space="preserve">את </w:t>
      </w:r>
      <w:r w:rsidRPr="00A92FFB">
        <w:rPr>
          <w:rFonts w:eastAsia="Times New Roman" w:hint="cs"/>
          <w:color w:val="000000"/>
          <w:rtl/>
          <w:lang w:eastAsia="he-IL"/>
        </w:rPr>
        <w:t>מנגנון חישוב הכמויות באופציית ההפחתה</w:t>
      </w:r>
      <w:r>
        <w:rPr>
          <w:rFonts w:eastAsia="Times New Roman" w:hint="cs"/>
          <w:color w:val="000000"/>
          <w:rtl/>
          <w:lang w:eastAsia="he-IL"/>
        </w:rPr>
        <w:t>, כפי שיפורט בהמשך</w:t>
      </w:r>
      <w:r w:rsidR="00B35517">
        <w:rPr>
          <w:rFonts w:eastAsia="Times New Roman" w:hint="cs"/>
          <w:color w:val="000000"/>
          <w:rtl/>
          <w:lang w:eastAsia="he-IL"/>
        </w:rPr>
        <w:t xml:space="preserve"> (להלן </w:t>
      </w:r>
      <w:r w:rsidR="00B35517">
        <w:rPr>
          <w:rFonts w:eastAsia="Times New Roman" w:hint="cs"/>
          <w:b/>
          <w:bCs/>
          <w:color w:val="000000"/>
          <w:rtl/>
          <w:lang w:eastAsia="he-IL"/>
        </w:rPr>
        <w:t>התיקון להסכם</w:t>
      </w:r>
      <w:r w:rsidR="00B35517">
        <w:rPr>
          <w:rFonts w:eastAsia="Times New Roman" w:hint="cs"/>
          <w:color w:val="000000"/>
          <w:rtl/>
          <w:lang w:eastAsia="he-IL"/>
        </w:rPr>
        <w:t>)</w:t>
      </w:r>
      <w:r>
        <w:rPr>
          <w:rFonts w:eastAsia="Times New Roman" w:hint="cs"/>
          <w:color w:val="000000"/>
          <w:rtl/>
          <w:lang w:eastAsia="he-IL"/>
        </w:rPr>
        <w:t>.</w:t>
      </w:r>
    </w:p>
    <w:p w14:paraId="1411C04F" w14:textId="7A146183" w:rsidR="00F8073C" w:rsidRDefault="00F8073C" w:rsidP="00F8073C">
      <w:pPr>
        <w:bidi/>
        <w:spacing w:before="120" w:after="120"/>
        <w:rPr>
          <w:rFonts w:ascii="David" w:eastAsia="Times New Roman" w:hAnsi="David"/>
          <w:b/>
          <w:bCs/>
          <w:sz w:val="24"/>
          <w:rtl/>
          <w:lang w:eastAsia="he-IL"/>
        </w:rPr>
      </w:pPr>
      <w:r>
        <w:rPr>
          <w:rFonts w:hint="cs"/>
          <w:rtl/>
        </w:rPr>
        <w:t xml:space="preserve">לאחר שבחנתי את התיקון להסכם בין הצדדים ואת השפעתו על התחרות בשווקים הרלוונטיים, ולאחר שנועצתי עם הוועדה לפטורים ולמיזוגים, שוכנעתי כי </w:t>
      </w:r>
      <w:r w:rsidR="00FC5F17">
        <w:rPr>
          <w:rFonts w:hint="cs"/>
          <w:rtl/>
        </w:rPr>
        <w:t xml:space="preserve">בכפוף לתנאי הפטור המקורי </w:t>
      </w:r>
      <w:r>
        <w:rPr>
          <w:rFonts w:hint="cs"/>
          <w:rtl/>
        </w:rPr>
        <w:t xml:space="preserve">שיתוף הפעולה בין הצדדים אינו מגביל את התחרות בחלק ניכר של שוק המושפע ממנו, וכי עיקרו של שיתוף הפעולה אינו בהפחתת התחרות או במניעתה וכי אין בהסדר כבילות שאינן נחוצות למימוש עיקרו. לאור האמור, מצאתי כי ההסדר ראוי לפטור </w:t>
      </w:r>
      <w:r w:rsidR="00FC5F17">
        <w:rPr>
          <w:rFonts w:hint="cs"/>
          <w:rtl/>
        </w:rPr>
        <w:t xml:space="preserve">בתנאים </w:t>
      </w:r>
      <w:r>
        <w:rPr>
          <w:rFonts w:hint="cs"/>
          <w:rtl/>
        </w:rPr>
        <w:t>לפי סעיף 14 לחוק התחרות, בהתאם לנימוקים שיפורטו להלן.</w:t>
      </w:r>
    </w:p>
    <w:p w14:paraId="080B544B" w14:textId="77777777" w:rsidR="00F8073C" w:rsidRPr="00177B42" w:rsidRDefault="00F8073C" w:rsidP="00F8073C">
      <w:pPr>
        <w:pStyle w:val="ListParagraph"/>
        <w:numPr>
          <w:ilvl w:val="0"/>
          <w:numId w:val="7"/>
        </w:numPr>
        <w:spacing w:before="120" w:after="120" w:line="360" w:lineRule="auto"/>
        <w:rPr>
          <w:rFonts w:ascii="David" w:eastAsia="Times New Roman" w:hAnsi="David" w:cs="David"/>
          <w:b/>
          <w:bCs/>
          <w:sz w:val="28"/>
          <w:szCs w:val="28"/>
          <w:lang w:eastAsia="he-IL"/>
        </w:rPr>
      </w:pPr>
      <w:r w:rsidRPr="00177B42">
        <w:rPr>
          <w:rFonts w:ascii="David" w:eastAsia="Times New Roman" w:hAnsi="David" w:cs="David"/>
          <w:b/>
          <w:bCs/>
          <w:sz w:val="28"/>
          <w:szCs w:val="28"/>
          <w:rtl/>
          <w:lang w:eastAsia="he-IL"/>
        </w:rPr>
        <w:t>רקע</w:t>
      </w:r>
    </w:p>
    <w:p w14:paraId="35AD8090" w14:textId="7A5A0858" w:rsidR="00F8073C" w:rsidRDefault="00F8073C" w:rsidP="00B95773">
      <w:pPr>
        <w:bidi/>
        <w:spacing w:before="120" w:after="120"/>
        <w:rPr>
          <w:rtl/>
        </w:rPr>
      </w:pPr>
      <w:r w:rsidRPr="007E6FC4">
        <w:rPr>
          <w:rFonts w:eastAsia="Times New Roman" w:hint="cs"/>
          <w:color w:val="000000"/>
          <w:sz w:val="20"/>
          <w:rtl/>
          <w:lang w:eastAsia="he-IL"/>
        </w:rPr>
        <w:t xml:space="preserve">מצבורי הגז הטבעי אשר התגלו בשנים האחרונות בשטחי המים הכלכליים של </w:t>
      </w:r>
      <w:r w:rsidR="00ED1393">
        <w:rPr>
          <w:rFonts w:eastAsia="Times New Roman" w:hint="cs"/>
          <w:color w:val="000000"/>
          <w:sz w:val="20"/>
          <w:rtl/>
          <w:lang w:eastAsia="he-IL"/>
        </w:rPr>
        <w:t xml:space="preserve">מדינת </w:t>
      </w:r>
      <w:r w:rsidRPr="007E6FC4">
        <w:rPr>
          <w:rFonts w:eastAsia="Times New Roman" w:hint="cs"/>
          <w:color w:val="000000"/>
          <w:sz w:val="20"/>
          <w:rtl/>
          <w:lang w:eastAsia="he-IL"/>
        </w:rPr>
        <w:t>ישראל חוללו שינוי במשק האנרגיה הישראלי, אשר התבסס</w:t>
      </w:r>
      <w:r>
        <w:rPr>
          <w:rFonts w:eastAsia="Times New Roman" w:hint="cs"/>
          <w:color w:val="000000"/>
          <w:sz w:val="20"/>
          <w:rtl/>
          <w:lang w:eastAsia="he-IL"/>
        </w:rPr>
        <w:t xml:space="preserve"> </w:t>
      </w:r>
      <w:r w:rsidR="00B95773">
        <w:rPr>
          <w:rFonts w:eastAsia="Times New Roman" w:hint="cs"/>
          <w:color w:val="000000"/>
          <w:sz w:val="20"/>
          <w:rtl/>
          <w:lang w:eastAsia="he-IL"/>
        </w:rPr>
        <w:t>לפני גילוי מצבורי הגז</w:t>
      </w:r>
      <w:r w:rsidRPr="007E6FC4">
        <w:rPr>
          <w:rFonts w:eastAsia="Times New Roman" w:hint="cs"/>
          <w:color w:val="000000"/>
          <w:sz w:val="20"/>
          <w:rtl/>
          <w:lang w:eastAsia="he-IL"/>
        </w:rPr>
        <w:t xml:space="preserve"> בעיקר על שימוש במוצרי נפט ופחם לייצור אנרגיה. </w:t>
      </w:r>
      <w:r>
        <w:rPr>
          <w:rtl/>
        </w:rPr>
        <w:t>השימוש בגז טבעי בתהליך הפקת חשמל תפס תאוצה בשנים האחרונות, בין היתר, לאור מהלכי הממשלה לצמצום השימוש בפחם ובמקורות אנרגיה מזהמים אחרים</w:t>
      </w:r>
      <w:r>
        <w:rPr>
          <w:rFonts w:hint="cs"/>
          <w:rtl/>
        </w:rPr>
        <w:t xml:space="preserve">. </w:t>
      </w:r>
      <w:r w:rsidRPr="007E6FC4">
        <w:rPr>
          <w:rFonts w:eastAsia="Times New Roman" w:hint="cs"/>
          <w:color w:val="000000"/>
          <w:sz w:val="20"/>
          <w:rtl/>
          <w:lang w:eastAsia="he-IL"/>
        </w:rPr>
        <w:t>כיום, הגז הטבעי משמש כמקור אנרגיה מרכזי בשל יתרונותיו, המתבטאים בניצולת גבוהה של אנרגיה וזיהום אוויר נמוך יחסית למקורות אנרגיה אחרים. בהתאם לנתונים שבפני, הביקוש לגז טבעי הלך וגבר בעשור האחרון</w:t>
      </w:r>
      <w:r>
        <w:rPr>
          <w:rFonts w:eastAsia="Times New Roman" w:hint="cs"/>
          <w:color w:val="000000"/>
          <w:sz w:val="20"/>
          <w:rtl/>
          <w:lang w:eastAsia="he-IL"/>
        </w:rPr>
        <w:t xml:space="preserve">, </w:t>
      </w:r>
      <w:r w:rsidR="0063577D">
        <w:rPr>
          <w:rFonts w:eastAsia="Times New Roman" w:hint="cs"/>
          <w:color w:val="000000"/>
          <w:sz w:val="20"/>
          <w:rtl/>
          <w:lang w:eastAsia="he-IL"/>
        </w:rPr>
        <w:t>ו</w:t>
      </w:r>
      <w:r>
        <w:rPr>
          <w:rFonts w:eastAsia="Times New Roman" w:hint="cs"/>
          <w:color w:val="000000"/>
          <w:sz w:val="20"/>
          <w:rtl/>
          <w:lang w:eastAsia="he-IL"/>
        </w:rPr>
        <w:t>על פי תחזיות שונות</w:t>
      </w:r>
      <w:r w:rsidR="00EC0903">
        <w:rPr>
          <w:rStyle w:val="FootnoteReference"/>
          <w:rFonts w:eastAsia="Times New Roman"/>
          <w:color w:val="000000"/>
          <w:sz w:val="20"/>
          <w:rtl/>
          <w:lang w:eastAsia="he-IL"/>
        </w:rPr>
        <w:footnoteReference w:id="2"/>
      </w:r>
      <w:r w:rsidRPr="007E6FC4">
        <w:rPr>
          <w:rFonts w:eastAsia="Times New Roman" w:hint="cs"/>
          <w:color w:val="000000"/>
          <w:sz w:val="20"/>
          <w:rtl/>
          <w:lang w:eastAsia="he-IL"/>
        </w:rPr>
        <w:t xml:space="preserve"> </w:t>
      </w:r>
      <w:r>
        <w:rPr>
          <w:rFonts w:hint="cs"/>
          <w:rtl/>
        </w:rPr>
        <w:t>הוא צפוי אף לגדול בעתיד</w:t>
      </w:r>
      <w:r w:rsidRPr="007E6FC4">
        <w:rPr>
          <w:rFonts w:eastAsia="Times New Roman" w:hint="cs"/>
          <w:color w:val="000000"/>
          <w:sz w:val="20"/>
          <w:rtl/>
          <w:lang w:eastAsia="he-IL"/>
        </w:rPr>
        <w:t>.</w:t>
      </w:r>
    </w:p>
    <w:p w14:paraId="5C29DA72" w14:textId="4049A18B" w:rsidR="002B2B0E" w:rsidRDefault="00F8073C" w:rsidP="00AE2401">
      <w:pPr>
        <w:bidi/>
        <w:spacing w:before="120"/>
        <w:rPr>
          <w:rFonts w:eastAsia="Times New Roman"/>
          <w:color w:val="000000"/>
          <w:sz w:val="20"/>
          <w:rtl/>
          <w:lang w:eastAsia="he-IL"/>
        </w:rPr>
      </w:pPr>
      <w:r>
        <w:rPr>
          <w:rFonts w:eastAsia="Times New Roman" w:hint="cs"/>
          <w:color w:val="000000"/>
          <w:sz w:val="20"/>
          <w:rtl/>
          <w:lang w:eastAsia="he-IL"/>
        </w:rPr>
        <w:t>בעת מתן הפטור המקורי, מאגר הגז "</w:t>
      </w:r>
      <w:r>
        <w:rPr>
          <w:rFonts w:eastAsia="Times New Roman"/>
          <w:color w:val="000000"/>
          <w:sz w:val="20"/>
          <w:rtl/>
          <w:lang w:eastAsia="he-IL"/>
        </w:rPr>
        <w:t>תמר</w:t>
      </w:r>
      <w:r>
        <w:rPr>
          <w:rFonts w:eastAsia="Times New Roman" w:hint="cs"/>
          <w:color w:val="000000"/>
          <w:sz w:val="20"/>
          <w:rtl/>
          <w:lang w:eastAsia="he-IL"/>
        </w:rPr>
        <w:t>"</w:t>
      </w:r>
      <w:r>
        <w:rPr>
          <w:rFonts w:eastAsia="Times New Roman"/>
          <w:color w:val="000000"/>
          <w:sz w:val="20"/>
          <w:rtl/>
          <w:lang w:eastAsia="he-IL"/>
        </w:rPr>
        <w:t xml:space="preserve"> </w:t>
      </w:r>
      <w:r>
        <w:rPr>
          <w:rFonts w:eastAsia="Times New Roman" w:hint="cs"/>
          <w:color w:val="000000"/>
          <w:sz w:val="20"/>
          <w:rtl/>
          <w:lang w:eastAsia="he-IL"/>
        </w:rPr>
        <w:t>היה</w:t>
      </w:r>
      <w:r>
        <w:rPr>
          <w:rFonts w:eastAsia="Times New Roman"/>
          <w:color w:val="000000"/>
          <w:sz w:val="20"/>
          <w:rtl/>
          <w:lang w:eastAsia="he-IL"/>
        </w:rPr>
        <w:t xml:space="preserve"> מאגר הגז הטבעי היחיד בשטחי המים הכלכליים של</w:t>
      </w:r>
      <w:r w:rsidR="0063577D">
        <w:rPr>
          <w:rFonts w:eastAsia="Times New Roman" w:hint="cs"/>
          <w:color w:val="000000"/>
          <w:sz w:val="20"/>
          <w:rtl/>
          <w:lang w:eastAsia="he-IL"/>
        </w:rPr>
        <w:t xml:space="preserve"> מדינת</w:t>
      </w:r>
      <w:r>
        <w:rPr>
          <w:rFonts w:eastAsia="Times New Roman"/>
          <w:color w:val="000000"/>
          <w:sz w:val="20"/>
          <w:rtl/>
          <w:lang w:eastAsia="he-IL"/>
        </w:rPr>
        <w:t xml:space="preserve"> ישראל, </w:t>
      </w:r>
      <w:r>
        <w:rPr>
          <w:rFonts w:eastAsia="Times New Roman" w:hint="cs"/>
          <w:color w:val="000000"/>
          <w:sz w:val="20"/>
          <w:rtl/>
          <w:lang w:eastAsia="he-IL"/>
        </w:rPr>
        <w:t>אשר צפוי היה</w:t>
      </w:r>
      <w:r>
        <w:rPr>
          <w:rFonts w:eastAsia="Times New Roman"/>
          <w:color w:val="000000"/>
          <w:sz w:val="20"/>
          <w:rtl/>
          <w:lang w:eastAsia="he-IL"/>
        </w:rPr>
        <w:t xml:space="preserve"> לספק גז טבעי למשק הישראלי בשנים </w:t>
      </w:r>
      <w:r>
        <w:rPr>
          <w:rFonts w:eastAsia="Times New Roman" w:hint="cs"/>
          <w:color w:val="000000"/>
          <w:sz w:val="20"/>
          <w:rtl/>
          <w:lang w:eastAsia="he-IL"/>
        </w:rPr>
        <w:t>הבאות</w:t>
      </w:r>
      <w:r>
        <w:rPr>
          <w:rFonts w:eastAsia="Times New Roman"/>
          <w:color w:val="000000"/>
          <w:sz w:val="20"/>
          <w:rtl/>
          <w:lang w:eastAsia="he-IL"/>
        </w:rPr>
        <w:t>, וזאת לאור התרוקנותו של מאגר</w:t>
      </w:r>
      <w:r>
        <w:rPr>
          <w:rFonts w:eastAsia="Times New Roman" w:hint="cs"/>
          <w:color w:val="000000"/>
          <w:sz w:val="20"/>
          <w:rtl/>
          <w:lang w:eastAsia="he-IL"/>
        </w:rPr>
        <w:t xml:space="preserve"> הגז "</w:t>
      </w:r>
      <w:r>
        <w:rPr>
          <w:rFonts w:eastAsia="Times New Roman"/>
          <w:color w:val="000000"/>
          <w:sz w:val="20"/>
          <w:rtl/>
          <w:lang w:eastAsia="he-IL"/>
        </w:rPr>
        <w:t>ים-תטיס</w:t>
      </w:r>
      <w:r>
        <w:rPr>
          <w:rFonts w:eastAsia="Times New Roman" w:hint="cs"/>
          <w:color w:val="000000"/>
          <w:sz w:val="20"/>
          <w:rtl/>
          <w:lang w:eastAsia="he-IL"/>
        </w:rPr>
        <w:t>"</w:t>
      </w:r>
      <w:r>
        <w:rPr>
          <w:rFonts w:eastAsia="Times New Roman"/>
          <w:color w:val="000000"/>
          <w:sz w:val="20"/>
          <w:rtl/>
          <w:lang w:eastAsia="he-IL"/>
        </w:rPr>
        <w:t>.</w:t>
      </w:r>
      <w:r>
        <w:rPr>
          <w:rFonts w:eastAsia="Times New Roman" w:hint="cs"/>
          <w:color w:val="000000"/>
          <w:sz w:val="20"/>
          <w:rtl/>
          <w:lang w:eastAsia="he-IL"/>
        </w:rPr>
        <w:t xml:space="preserve"> </w:t>
      </w:r>
    </w:p>
    <w:p w14:paraId="4F558B40" w14:textId="5B2431C2" w:rsidR="00F8073C" w:rsidRDefault="00F8073C" w:rsidP="006E527A">
      <w:pPr>
        <w:bidi/>
        <w:spacing w:before="120"/>
        <w:rPr>
          <w:sz w:val="24"/>
          <w:rtl/>
        </w:rPr>
      </w:pPr>
      <w:r>
        <w:rPr>
          <w:rFonts w:hint="cs"/>
          <w:sz w:val="24"/>
          <w:rtl/>
        </w:rPr>
        <w:t xml:space="preserve">שוק הגז טבעי עבר שינוי משמעותי בהשוואה </w:t>
      </w:r>
      <w:r w:rsidR="006E527A">
        <w:rPr>
          <w:rFonts w:hint="cs"/>
          <w:sz w:val="24"/>
          <w:rtl/>
        </w:rPr>
        <w:t xml:space="preserve">למועד </w:t>
      </w:r>
      <w:r>
        <w:rPr>
          <w:rFonts w:hint="cs"/>
          <w:sz w:val="24"/>
          <w:rtl/>
        </w:rPr>
        <w:t xml:space="preserve">מתן הפטור המקורי, עם גילויים ופיתוחם של מאגרי גז טבעיים נוספים בשטחי המים הכלכליים של </w:t>
      </w:r>
      <w:r w:rsidR="00A14EE8">
        <w:rPr>
          <w:rFonts w:hint="cs"/>
          <w:sz w:val="24"/>
          <w:rtl/>
        </w:rPr>
        <w:t xml:space="preserve">מדינת </w:t>
      </w:r>
      <w:r>
        <w:rPr>
          <w:rFonts w:hint="cs"/>
          <w:sz w:val="24"/>
          <w:rtl/>
        </w:rPr>
        <w:t xml:space="preserve">ישראל. נכון להיום, מאגר הגז "תמר" עודנו מהווה מקור עיקרי להספקת גז טבעי בישראל. עם זאת, מאגר הגז "לוויתן" צפוי להתחיל לספק גז טבעי לצרכנים לקראת סוף שנת 2019, ומאגרי הגז "כריש" ו"תנין" צפויים </w:t>
      </w:r>
      <w:r w:rsidR="00A14EE8">
        <w:rPr>
          <w:rFonts w:hint="cs"/>
          <w:sz w:val="24"/>
          <w:rtl/>
        </w:rPr>
        <w:t xml:space="preserve">גם הם לספק גז </w:t>
      </w:r>
      <w:r w:rsidR="00A14EE8">
        <w:rPr>
          <w:rFonts w:hint="cs"/>
          <w:sz w:val="24"/>
          <w:rtl/>
        </w:rPr>
        <w:lastRenderedPageBreak/>
        <w:t>טבעי</w:t>
      </w:r>
      <w:r>
        <w:rPr>
          <w:rFonts w:hint="cs"/>
          <w:sz w:val="24"/>
          <w:rtl/>
        </w:rPr>
        <w:t xml:space="preserve"> לקראת תחילת שנת 2021</w:t>
      </w:r>
      <w:r w:rsidR="00A14EE8">
        <w:rPr>
          <w:rFonts w:hint="cs"/>
          <w:sz w:val="24"/>
          <w:rtl/>
        </w:rPr>
        <w:t>.</w:t>
      </w:r>
      <w:r>
        <w:rPr>
          <w:rFonts w:hint="cs"/>
          <w:sz w:val="24"/>
          <w:rtl/>
        </w:rPr>
        <w:t xml:space="preserve"> מאגרים אלו חתמו על חוזי אספקת גז עתידיים עם לקוחות שונים, באופן אשר הבטיח זה מכבר את מימון פיתוחם.</w:t>
      </w:r>
    </w:p>
    <w:p w14:paraId="1695BF8A" w14:textId="77777777" w:rsidR="005252A1" w:rsidRDefault="005252A1" w:rsidP="005252A1">
      <w:pPr>
        <w:bidi/>
        <w:spacing w:before="120"/>
        <w:rPr>
          <w:sz w:val="24"/>
          <w:rtl/>
        </w:rPr>
      </w:pPr>
    </w:p>
    <w:p w14:paraId="1FCBF509" w14:textId="77777777" w:rsidR="00F8073C" w:rsidRPr="00177B42" w:rsidRDefault="00F8073C" w:rsidP="00F8073C">
      <w:pPr>
        <w:pStyle w:val="ListParagraph"/>
        <w:numPr>
          <w:ilvl w:val="0"/>
          <w:numId w:val="7"/>
        </w:numPr>
        <w:spacing w:before="120" w:after="120" w:line="360" w:lineRule="auto"/>
        <w:rPr>
          <w:rFonts w:ascii="David" w:hAnsi="David" w:cs="David"/>
          <w:b/>
          <w:bCs/>
          <w:sz w:val="28"/>
          <w:szCs w:val="28"/>
        </w:rPr>
      </w:pPr>
      <w:r w:rsidRPr="00177B42">
        <w:rPr>
          <w:rFonts w:ascii="David" w:hAnsi="David" w:cs="David" w:hint="cs"/>
          <w:b/>
          <w:bCs/>
          <w:sz w:val="28"/>
          <w:szCs w:val="28"/>
          <w:rtl/>
        </w:rPr>
        <w:t>הצדדים להסדר</w:t>
      </w:r>
    </w:p>
    <w:p w14:paraId="6E842B7D" w14:textId="3495E546" w:rsidR="00F8073C" w:rsidRDefault="00F8073C" w:rsidP="00885148">
      <w:pPr>
        <w:bidi/>
        <w:spacing w:before="120" w:after="120"/>
        <w:rPr>
          <w:rFonts w:ascii="David" w:hAnsi="David"/>
          <w:b/>
          <w:bCs/>
          <w:sz w:val="24"/>
          <w:rtl/>
        </w:rPr>
      </w:pPr>
      <w:r>
        <w:rPr>
          <w:rStyle w:val="Strong"/>
          <w:rFonts w:eastAsia="Times New Roman" w:hint="cs"/>
          <w:rtl/>
          <w:lang w:eastAsia="he-IL"/>
        </w:rPr>
        <w:t>דליה</w:t>
      </w:r>
      <w:r>
        <w:rPr>
          <w:rFonts w:eastAsia="Times New Roman" w:hint="cs"/>
          <w:rtl/>
          <w:lang w:eastAsia="he-IL"/>
        </w:rPr>
        <w:t xml:space="preserve"> </w:t>
      </w:r>
      <w:r>
        <w:rPr>
          <w:rFonts w:eastAsia="Times New Roman"/>
          <w:rtl/>
          <w:lang w:eastAsia="he-IL"/>
        </w:rPr>
        <w:t>–</w:t>
      </w:r>
      <w:r>
        <w:rPr>
          <w:rFonts w:eastAsia="Times New Roman" w:hint="cs"/>
          <w:rtl/>
          <w:lang w:eastAsia="he-IL"/>
        </w:rPr>
        <w:t xml:space="preserve"> חברה פרטית המפעילה תחנת כוח המונעת בגז טבעי באזור צפית, בהספק מקסימלי של כ-900 מגה-ואט. דליה הינה חברה בבעלות משותפת של חירם אפסילון בע"מ (25.66%)</w:t>
      </w:r>
      <w:r>
        <w:rPr>
          <w:rFonts w:eastAsia="Times New Roman"/>
          <w:lang w:eastAsia="he-IL"/>
        </w:rPr>
        <w:t>;</w:t>
      </w:r>
      <w:r>
        <w:rPr>
          <w:rFonts w:eastAsia="Times New Roman" w:hint="cs"/>
          <w:rtl/>
          <w:lang w:eastAsia="he-IL"/>
        </w:rPr>
        <w:t xml:space="preserve"> משק אנרגיה בע"מ (20.42%)</w:t>
      </w:r>
      <w:r>
        <w:rPr>
          <w:rFonts w:eastAsia="Times New Roman"/>
          <w:lang w:eastAsia="he-IL"/>
        </w:rPr>
        <w:t>;</w:t>
      </w:r>
      <w:r>
        <w:rPr>
          <w:rFonts w:eastAsia="Times New Roman" w:hint="cs"/>
          <w:rtl/>
          <w:lang w:eastAsia="he-IL"/>
        </w:rPr>
        <w:t xml:space="preserve"> אחזקות דליה בע"מ 12 (20.25%), דניאל קיסריה </w:t>
      </w:r>
      <w:r>
        <w:rPr>
          <w:rFonts w:eastAsia="Times New Roman"/>
          <w:rtl/>
          <w:lang w:eastAsia="he-IL"/>
        </w:rPr>
        <w:t>–</w:t>
      </w:r>
      <w:r>
        <w:rPr>
          <w:rFonts w:eastAsia="Times New Roman" w:hint="cs"/>
          <w:rtl/>
          <w:lang w:eastAsia="he-IL"/>
        </w:rPr>
        <w:t xml:space="preserve"> שותפות מוגבלת (20%)</w:t>
      </w:r>
      <w:r>
        <w:rPr>
          <w:rFonts w:eastAsia="Times New Roman"/>
          <w:lang w:eastAsia="he-IL"/>
        </w:rPr>
        <w:t>;</w:t>
      </w:r>
      <w:r>
        <w:rPr>
          <w:rFonts w:eastAsia="Times New Roman" w:hint="cs"/>
          <w:rtl/>
          <w:lang w:eastAsia="he-IL"/>
        </w:rPr>
        <w:t xml:space="preserve"> </w:t>
      </w:r>
      <w:proofErr w:type="spellStart"/>
      <w:r w:rsidRPr="00D56F9A">
        <w:rPr>
          <w:rFonts w:eastAsia="Times New Roman"/>
          <w:rtl/>
          <w:lang w:eastAsia="he-IL"/>
        </w:rPr>
        <w:t>אס.אי</w:t>
      </w:r>
      <w:proofErr w:type="spellEnd"/>
      <w:r w:rsidRPr="00D56F9A">
        <w:rPr>
          <w:rFonts w:eastAsia="Times New Roman"/>
          <w:rtl/>
          <w:lang w:eastAsia="he-IL"/>
        </w:rPr>
        <w:t xml:space="preserve">. </w:t>
      </w:r>
      <w:proofErr w:type="spellStart"/>
      <w:r w:rsidRPr="00D56F9A">
        <w:rPr>
          <w:rFonts w:eastAsia="Times New Roman"/>
          <w:rtl/>
          <w:lang w:eastAsia="he-IL"/>
        </w:rPr>
        <w:t>אינט-אנרג</w:t>
      </w:r>
      <w:proofErr w:type="spellEnd"/>
      <w:r w:rsidRPr="00D56F9A">
        <w:rPr>
          <w:rFonts w:eastAsia="Times New Roman"/>
          <w:rtl/>
          <w:lang w:eastAsia="he-IL"/>
        </w:rPr>
        <w:t xml:space="preserve">' </w:t>
      </w:r>
      <w:proofErr w:type="spellStart"/>
      <w:r w:rsidRPr="00D56F9A">
        <w:rPr>
          <w:rFonts w:eastAsia="Times New Roman"/>
          <w:rtl/>
          <w:lang w:eastAsia="he-IL"/>
        </w:rPr>
        <w:t>גרופ</w:t>
      </w:r>
      <w:proofErr w:type="spellEnd"/>
      <w:r w:rsidRPr="00D56F9A">
        <w:rPr>
          <w:rFonts w:eastAsia="Times New Roman"/>
          <w:rtl/>
          <w:lang w:eastAsia="he-IL"/>
        </w:rPr>
        <w:t xml:space="preserve"> בע"מ</w:t>
      </w:r>
      <w:r>
        <w:rPr>
          <w:rFonts w:eastAsia="Times New Roman" w:hint="cs"/>
          <w:rtl/>
          <w:lang w:eastAsia="he-IL"/>
        </w:rPr>
        <w:t xml:space="preserve"> (8.67%)</w:t>
      </w:r>
      <w:r>
        <w:rPr>
          <w:rFonts w:eastAsia="Times New Roman"/>
          <w:lang w:eastAsia="he-IL"/>
        </w:rPr>
        <w:t>;</w:t>
      </w:r>
      <w:r>
        <w:rPr>
          <w:rFonts w:eastAsia="Times New Roman" w:hint="cs"/>
          <w:rtl/>
          <w:lang w:eastAsia="he-IL"/>
        </w:rPr>
        <w:t xml:space="preserve"> ואורות אנרגיה החזקות </w:t>
      </w:r>
      <w:r>
        <w:rPr>
          <w:rFonts w:eastAsia="Times New Roman"/>
          <w:rtl/>
          <w:lang w:eastAsia="he-IL"/>
        </w:rPr>
        <w:t>–</w:t>
      </w:r>
      <w:r>
        <w:rPr>
          <w:rFonts w:eastAsia="Times New Roman" w:hint="cs"/>
          <w:rtl/>
          <w:lang w:eastAsia="he-IL"/>
        </w:rPr>
        <w:t xml:space="preserve"> שותפות מוגבלת (5%). בנוסף, החברה </w:t>
      </w:r>
      <w:r w:rsidR="00885148">
        <w:rPr>
          <w:rFonts w:eastAsia="Times New Roman" w:hint="cs"/>
          <w:rtl/>
          <w:lang w:eastAsia="he-IL"/>
        </w:rPr>
        <w:t>פועלת</w:t>
      </w:r>
      <w:r>
        <w:rPr>
          <w:rFonts w:eastAsia="Times New Roman" w:hint="cs"/>
          <w:rtl/>
          <w:lang w:eastAsia="he-IL"/>
        </w:rPr>
        <w:t xml:space="preserve"> להקמת תחנת כוח נוספת. </w:t>
      </w:r>
    </w:p>
    <w:p w14:paraId="5F8556B7" w14:textId="77777777" w:rsidR="00F8073C" w:rsidRDefault="00F8073C" w:rsidP="00F8073C">
      <w:pPr>
        <w:bidi/>
        <w:spacing w:before="120" w:after="120"/>
        <w:jc w:val="left"/>
        <w:rPr>
          <w:rFonts w:ascii="David" w:hAnsi="David"/>
          <w:b/>
          <w:bCs/>
          <w:sz w:val="24"/>
          <w:rtl/>
        </w:rPr>
      </w:pPr>
      <w:r>
        <w:rPr>
          <w:rFonts w:ascii="David" w:eastAsia="Times New Roman" w:hAnsi="David" w:hint="cs"/>
          <w:b/>
          <w:bCs/>
          <w:sz w:val="24"/>
          <w:rtl/>
          <w:lang w:eastAsia="he-IL"/>
        </w:rPr>
        <w:t>ה</w:t>
      </w:r>
      <w:r w:rsidRPr="00451EF1">
        <w:rPr>
          <w:rFonts w:ascii="David" w:eastAsia="Times New Roman" w:hAnsi="David" w:hint="cs"/>
          <w:b/>
          <w:bCs/>
          <w:sz w:val="24"/>
          <w:rtl/>
          <w:lang w:eastAsia="he-IL"/>
        </w:rPr>
        <w:t>שותפ</w:t>
      </w:r>
      <w:r>
        <w:rPr>
          <w:rFonts w:ascii="David" w:eastAsia="Times New Roman" w:hAnsi="David" w:hint="cs"/>
          <w:b/>
          <w:bCs/>
          <w:sz w:val="24"/>
          <w:rtl/>
          <w:lang w:eastAsia="he-IL"/>
        </w:rPr>
        <w:t>ות בחזקת</w:t>
      </w:r>
      <w:r w:rsidRPr="00451EF1">
        <w:rPr>
          <w:rFonts w:ascii="David" w:eastAsia="Times New Roman" w:hAnsi="David" w:hint="cs"/>
          <w:b/>
          <w:bCs/>
          <w:sz w:val="24"/>
          <w:rtl/>
          <w:lang w:eastAsia="he-IL"/>
        </w:rPr>
        <w:t xml:space="preserve"> תמר</w:t>
      </w:r>
      <w:r>
        <w:rPr>
          <w:rFonts w:ascii="David" w:hAnsi="David" w:hint="cs"/>
          <w:b/>
          <w:bCs/>
          <w:sz w:val="24"/>
          <w:rtl/>
        </w:rPr>
        <w:t>:</w:t>
      </w:r>
    </w:p>
    <w:p w14:paraId="195C9182" w14:textId="3940451A" w:rsidR="00F8073C" w:rsidRDefault="00F8073C" w:rsidP="00F8073C">
      <w:pPr>
        <w:bidi/>
        <w:spacing w:before="120" w:after="120"/>
        <w:rPr>
          <w:rtl/>
        </w:rPr>
      </w:pPr>
      <w:r w:rsidRPr="00774F55">
        <w:rPr>
          <w:rFonts w:eastAsia="David" w:hint="cs"/>
          <w:rtl/>
          <w:lang w:eastAsia="he-IL"/>
        </w:rPr>
        <w:t>א</w:t>
      </w:r>
      <w:r>
        <w:rPr>
          <w:rFonts w:eastAsia="David" w:hint="cs"/>
          <w:rtl/>
          <w:lang w:eastAsia="he-IL"/>
        </w:rPr>
        <w:t xml:space="preserve">. </w:t>
      </w:r>
      <w:r>
        <w:rPr>
          <w:rStyle w:val="Strong"/>
          <w:rFonts w:eastAsia="Times New Roman" w:hint="cs"/>
          <w:rtl/>
          <w:lang w:eastAsia="he-IL"/>
        </w:rPr>
        <w:t>דלק קידוחים</w:t>
      </w:r>
      <w:r>
        <w:rPr>
          <w:rFonts w:eastAsia="Times New Roman" w:hint="cs"/>
          <w:rtl/>
          <w:lang w:eastAsia="he-IL"/>
        </w:rPr>
        <w:t xml:space="preserve"> </w:t>
      </w:r>
      <w:r>
        <w:rPr>
          <w:rFonts w:eastAsia="Times New Roman"/>
          <w:rtl/>
          <w:lang w:eastAsia="he-IL"/>
        </w:rPr>
        <w:t>–</w:t>
      </w:r>
      <w:r>
        <w:rPr>
          <w:rFonts w:eastAsia="Times New Roman" w:hint="cs"/>
          <w:rtl/>
          <w:lang w:eastAsia="he-IL"/>
        </w:rPr>
        <w:t xml:space="preserve"> חברה הפועלת בתחום חיפושי גז טבעי ונפט ונשלטת על ידי קבוצת דלק בע"מ (להלן </w:t>
      </w:r>
      <w:r>
        <w:rPr>
          <w:rStyle w:val="Strong"/>
          <w:rFonts w:eastAsia="Times New Roman" w:hint="cs"/>
          <w:rtl/>
          <w:lang w:eastAsia="he-IL"/>
        </w:rPr>
        <w:t>קבוצת דלק</w:t>
      </w:r>
      <w:r>
        <w:rPr>
          <w:rFonts w:eastAsia="Times New Roman" w:hint="cs"/>
          <w:rtl/>
          <w:lang w:eastAsia="he-IL"/>
        </w:rPr>
        <w:t>). קבוצת דלק היא חברה ציבורית הנסחרת בבורסה לניירות ערך בתל אביב ובבעלותה זכויות נוספות בחזקות וברישיונות הכוללים, בין היתר, את מאגר הגז "לוויתן". כמו כן, לקבוצת דלק זכויות בפרויקט "בלוק 12", הכולל את מאגר הגז "אפרודיטה", הממוקם בשטח המים הכלכליים של קפריסין</w:t>
      </w:r>
      <w:r>
        <w:rPr>
          <w:rFonts w:hint="cs"/>
          <w:rtl/>
        </w:rPr>
        <w:t>.</w:t>
      </w:r>
    </w:p>
    <w:p w14:paraId="0F46F8B4" w14:textId="77777777" w:rsidR="00F8073C" w:rsidRDefault="00F8073C" w:rsidP="00F8073C">
      <w:pPr>
        <w:bidi/>
        <w:spacing w:before="120" w:after="120"/>
        <w:rPr>
          <w:rtl/>
        </w:rPr>
      </w:pPr>
      <w:r w:rsidRPr="00774F55">
        <w:rPr>
          <w:rStyle w:val="Strong"/>
          <w:rFonts w:eastAsia="Times New Roman" w:hint="cs"/>
          <w:b w:val="0"/>
          <w:bCs w:val="0"/>
          <w:rtl/>
          <w:lang w:eastAsia="he-IL"/>
        </w:rPr>
        <w:t>ב.</w:t>
      </w:r>
      <w:r>
        <w:rPr>
          <w:rStyle w:val="Strong"/>
          <w:rFonts w:eastAsia="Times New Roman" w:hint="cs"/>
          <w:rtl/>
          <w:lang w:eastAsia="he-IL"/>
        </w:rPr>
        <w:t xml:space="preserve"> נובל</w:t>
      </w:r>
      <w:r>
        <w:rPr>
          <w:rFonts w:eastAsia="Times New Roman" w:hint="cs"/>
          <w:rtl/>
          <w:lang w:eastAsia="he-IL"/>
        </w:rPr>
        <w:t xml:space="preserve"> </w:t>
      </w:r>
      <w:r>
        <w:rPr>
          <w:rFonts w:eastAsia="Times New Roman"/>
          <w:rtl/>
          <w:lang w:eastAsia="he-IL"/>
        </w:rPr>
        <w:t>–</w:t>
      </w:r>
      <w:r>
        <w:rPr>
          <w:rFonts w:eastAsia="Times New Roman" w:hint="cs"/>
          <w:rtl/>
          <w:lang w:eastAsia="he-IL"/>
        </w:rPr>
        <w:t xml:space="preserve"> חברה הרשומה באיי קיימן ושייכת לקבוצת </w:t>
      </w:r>
      <w:r>
        <w:rPr>
          <w:rFonts w:eastAsia="Times New Roman"/>
          <w:lang w:eastAsia="he-IL"/>
        </w:rPr>
        <w:t>.Noble Energy Inc.</w:t>
      </w:r>
      <w:r>
        <w:rPr>
          <w:rFonts w:eastAsia="Times New Roman" w:hint="cs"/>
          <w:rtl/>
          <w:lang w:eastAsia="he-IL"/>
        </w:rPr>
        <w:t xml:space="preserve"> החברה עוסקת בחיפוש, הפקה ושיווק של נפט גולמי וגז טבעי ברחבי העולם. נובל היא המפעילה בפרויקט פיתוח מאגר הגז "תמר" והיא בעלת זכויות גם ברישיון הגז "לוויתן". </w:t>
      </w:r>
    </w:p>
    <w:p w14:paraId="30BFC804" w14:textId="77777777" w:rsidR="00F8073C" w:rsidRDefault="00F8073C" w:rsidP="00F8073C">
      <w:pPr>
        <w:bidi/>
        <w:spacing w:before="120" w:after="120"/>
        <w:rPr>
          <w:rtl/>
        </w:rPr>
      </w:pPr>
      <w:r w:rsidRPr="00774F55">
        <w:rPr>
          <w:rFonts w:eastAsia="David" w:hint="cs"/>
          <w:rtl/>
          <w:lang w:eastAsia="he-IL"/>
        </w:rPr>
        <w:t>ג.</w:t>
      </w:r>
      <w:r>
        <w:rPr>
          <w:rFonts w:eastAsia="David" w:hint="cs"/>
          <w:rtl/>
          <w:lang w:eastAsia="he-IL"/>
        </w:rPr>
        <w:t xml:space="preserve"> </w:t>
      </w:r>
      <w:proofErr w:type="spellStart"/>
      <w:r>
        <w:rPr>
          <w:rStyle w:val="Strong"/>
          <w:rFonts w:eastAsia="Times New Roman" w:hint="cs"/>
          <w:rtl/>
          <w:lang w:eastAsia="he-IL"/>
        </w:rPr>
        <w:t>ישראמקו</w:t>
      </w:r>
      <w:proofErr w:type="spellEnd"/>
      <w:r>
        <w:rPr>
          <w:rFonts w:eastAsia="Times New Roman" w:hint="cs"/>
          <w:rtl/>
          <w:lang w:eastAsia="he-IL"/>
        </w:rPr>
        <w:t xml:space="preserve"> </w:t>
      </w:r>
      <w:r>
        <w:rPr>
          <w:rFonts w:eastAsia="Times New Roman"/>
          <w:rtl/>
          <w:lang w:eastAsia="he-IL"/>
        </w:rPr>
        <w:t>–</w:t>
      </w:r>
      <w:r>
        <w:rPr>
          <w:rFonts w:eastAsia="Times New Roman" w:hint="cs"/>
          <w:rtl/>
          <w:lang w:eastAsia="he-IL"/>
        </w:rPr>
        <w:t xml:space="preserve"> חברה העוסקת בחיפושי נפט וגז בישראל, והיא בעלת זכויות בחזקות וברישיונות "תמר", "דלית", "שמשון" ו"דניאל".</w:t>
      </w:r>
      <w:r>
        <w:rPr>
          <w:rStyle w:val="FootnoteReference"/>
          <w:rFonts w:eastAsia="Times New Roman" w:hint="cs"/>
          <w:rtl/>
          <w:lang w:eastAsia="he-IL"/>
        </w:rPr>
        <w:t xml:space="preserve"> </w:t>
      </w:r>
    </w:p>
    <w:p w14:paraId="486904E3" w14:textId="4A05FF32" w:rsidR="00F8073C" w:rsidRDefault="00F8073C" w:rsidP="00885148">
      <w:pPr>
        <w:bidi/>
        <w:spacing w:before="120" w:after="120"/>
        <w:rPr>
          <w:rFonts w:eastAsia="David"/>
          <w:b/>
          <w:bCs/>
          <w:rtl/>
          <w:lang w:eastAsia="he-IL"/>
        </w:rPr>
      </w:pPr>
      <w:r w:rsidRPr="00774F55">
        <w:rPr>
          <w:rStyle w:val="Strong"/>
          <w:rFonts w:eastAsia="Times New Roman" w:hint="cs"/>
          <w:b w:val="0"/>
          <w:bCs w:val="0"/>
          <w:rtl/>
          <w:lang w:eastAsia="he-IL"/>
        </w:rPr>
        <w:t>ד.</w:t>
      </w:r>
      <w:r>
        <w:rPr>
          <w:rStyle w:val="Strong"/>
          <w:rFonts w:eastAsia="Times New Roman" w:hint="cs"/>
          <w:rtl/>
          <w:lang w:eastAsia="he-IL"/>
        </w:rPr>
        <w:t xml:space="preserve"> דור</w:t>
      </w:r>
      <w:r>
        <w:rPr>
          <w:rFonts w:eastAsia="Times New Roman" w:hint="cs"/>
          <w:rtl/>
          <w:lang w:eastAsia="he-IL"/>
        </w:rPr>
        <w:t xml:space="preserve"> </w:t>
      </w:r>
      <w:r>
        <w:rPr>
          <w:rFonts w:eastAsia="Times New Roman"/>
          <w:rtl/>
          <w:lang w:eastAsia="he-IL"/>
        </w:rPr>
        <w:t>–</w:t>
      </w:r>
      <w:r>
        <w:rPr>
          <w:rFonts w:eastAsia="Times New Roman" w:hint="cs"/>
          <w:rtl/>
          <w:lang w:eastAsia="he-IL"/>
        </w:rPr>
        <w:t xml:space="preserve"> חברה הנשלטת על ידי חברת דור אלון בע"מ (להלן </w:t>
      </w:r>
      <w:r w:rsidRPr="00177B42">
        <w:rPr>
          <w:rFonts w:eastAsia="Times New Roman" w:hint="cs"/>
          <w:b/>
          <w:bCs/>
          <w:rtl/>
          <w:lang w:eastAsia="he-IL"/>
        </w:rPr>
        <w:t>דור אלון</w:t>
      </w:r>
      <w:r>
        <w:rPr>
          <w:rFonts w:eastAsia="Times New Roman" w:hint="cs"/>
          <w:rtl/>
          <w:lang w:eastAsia="he-IL"/>
        </w:rPr>
        <w:t xml:space="preserve">). לחברה זכויות ברישיונות מאגרי הגז "תמר" ו"דלית". </w:t>
      </w:r>
    </w:p>
    <w:p w14:paraId="7FED6495" w14:textId="77777777" w:rsidR="00F8073C" w:rsidRPr="00774F55" w:rsidRDefault="00F8073C" w:rsidP="00F8073C">
      <w:pPr>
        <w:bidi/>
        <w:spacing w:before="120" w:after="120"/>
        <w:rPr>
          <w:rFonts w:eastAsia="Times New Roman"/>
          <w:b/>
          <w:bCs/>
          <w:rtl/>
          <w:lang w:eastAsia="he-IL"/>
        </w:rPr>
      </w:pPr>
      <w:r w:rsidRPr="00177B42">
        <w:rPr>
          <w:rFonts w:eastAsia="David" w:hint="cs"/>
          <w:rtl/>
          <w:lang w:eastAsia="he-IL"/>
        </w:rPr>
        <w:t>ה</w:t>
      </w:r>
      <w:r>
        <w:rPr>
          <w:rFonts w:eastAsia="David" w:hint="cs"/>
          <w:b/>
          <w:bCs/>
          <w:rtl/>
          <w:lang w:eastAsia="he-IL"/>
        </w:rPr>
        <w:t xml:space="preserve">. </w:t>
      </w:r>
      <w:r w:rsidRPr="00774F55">
        <w:rPr>
          <w:rFonts w:eastAsia="David" w:hint="cs"/>
          <w:b/>
          <w:bCs/>
          <w:rtl/>
          <w:lang w:eastAsia="he-IL"/>
        </w:rPr>
        <w:t xml:space="preserve">תמר </w:t>
      </w:r>
      <w:proofErr w:type="spellStart"/>
      <w:r w:rsidRPr="00774F55">
        <w:rPr>
          <w:rFonts w:eastAsia="David" w:hint="cs"/>
          <w:b/>
          <w:bCs/>
          <w:rtl/>
          <w:lang w:eastAsia="he-IL"/>
        </w:rPr>
        <w:t>פטרוליום</w:t>
      </w:r>
      <w:proofErr w:type="spellEnd"/>
      <w:r w:rsidRPr="00774F55">
        <w:rPr>
          <w:rFonts w:eastAsia="David" w:hint="cs"/>
          <w:b/>
          <w:bCs/>
          <w:rtl/>
          <w:lang w:eastAsia="he-IL"/>
        </w:rPr>
        <w:t xml:space="preserve"> </w:t>
      </w:r>
      <w:r w:rsidRPr="00774F55">
        <w:rPr>
          <w:rFonts w:eastAsia="David"/>
          <w:b/>
          <w:bCs/>
          <w:rtl/>
          <w:lang w:eastAsia="he-IL"/>
        </w:rPr>
        <w:t>–</w:t>
      </w:r>
      <w:r>
        <w:rPr>
          <w:rFonts w:eastAsia="Times New Roman" w:hint="cs"/>
          <w:rtl/>
          <w:lang w:eastAsia="he-IL"/>
        </w:rPr>
        <w:t xml:space="preserve"> </w:t>
      </w:r>
      <w:r w:rsidRPr="00177B42">
        <w:rPr>
          <w:rFonts w:eastAsia="Times New Roman" w:hint="cs"/>
          <w:rtl/>
          <w:lang w:eastAsia="he-IL"/>
        </w:rPr>
        <w:t>חברת תשואה המחזי</w:t>
      </w:r>
      <w:r>
        <w:rPr>
          <w:rFonts w:eastAsia="Times New Roman" w:hint="cs"/>
          <w:rtl/>
          <w:lang w:eastAsia="he-IL"/>
        </w:rPr>
        <w:t>ק</w:t>
      </w:r>
      <w:r w:rsidRPr="00177B42">
        <w:rPr>
          <w:rFonts w:eastAsia="Times New Roman" w:hint="cs"/>
          <w:rtl/>
          <w:lang w:eastAsia="he-IL"/>
        </w:rPr>
        <w:t>ה</w:t>
      </w:r>
      <w:r>
        <w:rPr>
          <w:rFonts w:eastAsia="Times New Roman" w:hint="cs"/>
          <w:rtl/>
          <w:lang w:eastAsia="he-IL"/>
        </w:rPr>
        <w:t xml:space="preserve"> בזכויות</w:t>
      </w:r>
      <w:r w:rsidRPr="00177B42">
        <w:rPr>
          <w:rFonts w:eastAsia="Times New Roman" w:hint="cs"/>
          <w:rtl/>
          <w:lang w:eastAsia="he-IL"/>
        </w:rPr>
        <w:t xml:space="preserve"> ברישיונות </w:t>
      </w:r>
      <w:r>
        <w:rPr>
          <w:rFonts w:eastAsia="Times New Roman" w:hint="cs"/>
          <w:rtl/>
          <w:lang w:eastAsia="he-IL"/>
        </w:rPr>
        <w:t>"</w:t>
      </w:r>
      <w:r w:rsidRPr="00177B42">
        <w:rPr>
          <w:rFonts w:eastAsia="Times New Roman" w:hint="cs"/>
          <w:rtl/>
          <w:lang w:eastAsia="he-IL"/>
        </w:rPr>
        <w:t>תמר</w:t>
      </w:r>
      <w:r>
        <w:rPr>
          <w:rFonts w:eastAsia="Times New Roman" w:hint="cs"/>
          <w:rtl/>
          <w:lang w:eastAsia="he-IL"/>
        </w:rPr>
        <w:t>" ו"</w:t>
      </w:r>
      <w:r w:rsidRPr="00177B42">
        <w:rPr>
          <w:rFonts w:eastAsia="Times New Roman" w:hint="cs"/>
          <w:rtl/>
          <w:lang w:eastAsia="he-IL"/>
        </w:rPr>
        <w:t>דלית</w:t>
      </w:r>
      <w:r>
        <w:rPr>
          <w:rFonts w:eastAsia="Times New Roman" w:hint="cs"/>
          <w:rtl/>
          <w:lang w:eastAsia="he-IL"/>
        </w:rPr>
        <w:t>"</w:t>
      </w:r>
      <w:r w:rsidRPr="00177B42">
        <w:rPr>
          <w:rFonts w:eastAsia="Times New Roman" w:hint="cs"/>
          <w:rtl/>
          <w:lang w:eastAsia="he-IL"/>
        </w:rPr>
        <w:t>.</w:t>
      </w:r>
    </w:p>
    <w:p w14:paraId="5138AC74" w14:textId="09E1BF5E" w:rsidR="00F8073C" w:rsidRDefault="00F8073C" w:rsidP="00F8073C">
      <w:pPr>
        <w:bidi/>
        <w:spacing w:before="120" w:after="120"/>
        <w:rPr>
          <w:rtl/>
        </w:rPr>
      </w:pPr>
      <w:r w:rsidRPr="00177B42">
        <w:rPr>
          <w:rFonts w:eastAsia="David" w:hint="cs"/>
          <w:rtl/>
          <w:lang w:eastAsia="he-IL"/>
        </w:rPr>
        <w:t xml:space="preserve">ו. </w:t>
      </w:r>
      <w:r w:rsidRPr="00177B42">
        <w:rPr>
          <w:rFonts w:hint="cs"/>
          <w:b/>
          <w:bCs/>
          <w:rtl/>
        </w:rPr>
        <w:t>אוורסט</w:t>
      </w:r>
      <w:r w:rsidRPr="00177B42">
        <w:rPr>
          <w:rFonts w:hint="cs"/>
          <w:rtl/>
        </w:rPr>
        <w:t xml:space="preserve"> </w:t>
      </w:r>
      <w:r w:rsidRPr="00177B42">
        <w:rPr>
          <w:rtl/>
        </w:rPr>
        <w:t>–</w:t>
      </w:r>
      <w:r w:rsidRPr="00177B42">
        <w:rPr>
          <w:rFonts w:hint="cs"/>
          <w:rtl/>
        </w:rPr>
        <w:t xml:space="preserve"> חברת אחזקות</w:t>
      </w:r>
      <w:r w:rsidR="00944AE6">
        <w:rPr>
          <w:rFonts w:hint="cs"/>
          <w:rtl/>
        </w:rPr>
        <w:t xml:space="preserve"> ב</w:t>
      </w:r>
      <w:r w:rsidR="00B6302F">
        <w:rPr>
          <w:rFonts w:hint="cs"/>
          <w:rtl/>
        </w:rPr>
        <w:t>ש</w:t>
      </w:r>
      <w:r w:rsidR="00944AE6">
        <w:rPr>
          <w:rFonts w:hint="cs"/>
          <w:rtl/>
        </w:rPr>
        <w:t>ליטת קבוצת הראל,</w:t>
      </w:r>
      <w:r w:rsidRPr="00177B42">
        <w:rPr>
          <w:rFonts w:hint="cs"/>
          <w:rtl/>
        </w:rPr>
        <w:t xml:space="preserve"> המחזיקה</w:t>
      </w:r>
      <w:r>
        <w:rPr>
          <w:rFonts w:hint="cs"/>
          <w:rtl/>
        </w:rPr>
        <w:t xml:space="preserve"> בזכויות</w:t>
      </w:r>
      <w:r w:rsidRPr="00177B42">
        <w:rPr>
          <w:rFonts w:hint="cs"/>
          <w:rtl/>
        </w:rPr>
        <w:t xml:space="preserve"> ברישיון "תמר". </w:t>
      </w:r>
    </w:p>
    <w:p w14:paraId="34772F66" w14:textId="77777777" w:rsidR="005252A1" w:rsidRPr="00177B42" w:rsidRDefault="005252A1" w:rsidP="005252A1">
      <w:pPr>
        <w:bidi/>
        <w:spacing w:before="120" w:after="120"/>
        <w:rPr>
          <w:rtl/>
        </w:rPr>
      </w:pPr>
    </w:p>
    <w:p w14:paraId="063CAF97" w14:textId="77777777" w:rsidR="00F8073C" w:rsidRPr="00F8073C" w:rsidRDefault="00F8073C" w:rsidP="00F8073C">
      <w:pPr>
        <w:pStyle w:val="ListParagraph"/>
        <w:numPr>
          <w:ilvl w:val="0"/>
          <w:numId w:val="7"/>
        </w:numPr>
        <w:spacing w:before="120" w:after="120" w:line="360" w:lineRule="auto"/>
        <w:rPr>
          <w:rFonts w:ascii="David" w:hAnsi="David" w:cs="David"/>
          <w:b/>
          <w:bCs/>
          <w:sz w:val="28"/>
          <w:szCs w:val="28"/>
        </w:rPr>
      </w:pPr>
      <w:r w:rsidRPr="00F8073C">
        <w:rPr>
          <w:rFonts w:ascii="David" w:hAnsi="David" w:cs="David" w:hint="cs"/>
          <w:b/>
          <w:bCs/>
          <w:sz w:val="28"/>
          <w:szCs w:val="28"/>
          <w:rtl/>
        </w:rPr>
        <w:t>ההסדר והשפעתו</w:t>
      </w:r>
      <w:r w:rsidRPr="00F8073C">
        <w:rPr>
          <w:rFonts w:ascii="David" w:hAnsi="David" w:cs="David"/>
          <w:b/>
          <w:bCs/>
          <w:sz w:val="28"/>
          <w:szCs w:val="28"/>
          <w:rtl/>
        </w:rPr>
        <w:t xml:space="preserve"> על התחרות</w:t>
      </w:r>
    </w:p>
    <w:p w14:paraId="7BCBFC31" w14:textId="52F83EF7" w:rsidR="00F8073C" w:rsidRDefault="00F8073C" w:rsidP="00B95336">
      <w:pPr>
        <w:tabs>
          <w:tab w:val="left" w:pos="232"/>
          <w:tab w:val="left" w:pos="515"/>
        </w:tabs>
        <w:bidi/>
        <w:spacing w:before="120" w:after="120"/>
        <w:rPr>
          <w:rFonts w:eastAsia="Times New Roman"/>
          <w:color w:val="000000"/>
          <w:rtl/>
          <w:lang w:eastAsia="he-IL"/>
        </w:rPr>
      </w:pPr>
      <w:r>
        <w:rPr>
          <w:rFonts w:eastAsia="Times New Roman" w:hint="cs"/>
          <w:color w:val="000000"/>
          <w:rtl/>
          <w:lang w:eastAsia="he-IL"/>
        </w:rPr>
        <w:t xml:space="preserve">על פי ההסכם המקורי, שותפות תמר תספקנה לדליה כמות גז טבעי שנתית הנאמדת בכ-1.23 </w:t>
      </w:r>
      <w:r>
        <w:rPr>
          <w:rFonts w:eastAsia="Times New Roman"/>
          <w:color w:val="000000"/>
          <w:lang w:eastAsia="he-IL"/>
        </w:rPr>
        <w:t>BCM</w:t>
      </w:r>
      <w:r w:rsidR="007840BA">
        <w:rPr>
          <w:rFonts w:eastAsia="Times New Roman" w:hint="cs"/>
          <w:color w:val="000000"/>
          <w:rtl/>
          <w:lang w:eastAsia="he-IL"/>
        </w:rPr>
        <w:t>,</w:t>
      </w:r>
      <w:r>
        <w:rPr>
          <w:rStyle w:val="FootnoteReference"/>
          <w:rFonts w:eastAsia="Times New Roman"/>
          <w:color w:val="000000"/>
          <w:rtl/>
          <w:lang w:eastAsia="he-IL"/>
        </w:rPr>
        <w:footnoteReference w:id="3"/>
      </w:r>
      <w:r>
        <w:rPr>
          <w:rFonts w:eastAsia="Times New Roman" w:hint="cs"/>
          <w:color w:val="000000"/>
          <w:rtl/>
          <w:lang w:eastAsia="he-IL"/>
        </w:rPr>
        <w:t xml:space="preserve"> למשך 17 שנים או עד למיצוי הכמות החוזית הכוללת בהסכם, </w:t>
      </w:r>
      <w:r>
        <w:rPr>
          <w:rFonts w:eastAsia="Times New Roman"/>
          <w:color w:val="000000"/>
          <w:rtl/>
          <w:lang w:eastAsia="he-IL"/>
        </w:rPr>
        <w:t xml:space="preserve">הנאמדת בכ-21 </w:t>
      </w:r>
      <w:r>
        <w:rPr>
          <w:rFonts w:eastAsia="Times New Roman"/>
          <w:color w:val="000000"/>
          <w:lang w:eastAsia="he-IL"/>
        </w:rPr>
        <w:t>BCM</w:t>
      </w:r>
      <w:r>
        <w:rPr>
          <w:rFonts w:eastAsia="Times New Roman"/>
          <w:color w:val="000000"/>
          <w:rtl/>
          <w:lang w:eastAsia="he-IL"/>
        </w:rPr>
        <w:t>.</w:t>
      </w:r>
      <w:r>
        <w:rPr>
          <w:rFonts w:eastAsia="Times New Roman" w:hint="cs"/>
          <w:color w:val="000000"/>
          <w:rtl/>
          <w:lang w:eastAsia="he-IL"/>
        </w:rPr>
        <w:t xml:space="preserve"> ההסכם כלל התחייבות מצד דליה לשלם עבור כמות גז מינימלית אף בהיעדר צריכה בפועל, בדמות התניית </w:t>
      </w:r>
      <w:r>
        <w:rPr>
          <w:rFonts w:eastAsia="Times New Roman"/>
          <w:color w:val="000000"/>
          <w:lang w:eastAsia="he-IL"/>
        </w:rPr>
        <w:t>Take or Pay</w:t>
      </w:r>
      <w:r>
        <w:rPr>
          <w:rFonts w:eastAsia="Times New Roman" w:hint="cs"/>
          <w:color w:val="000000"/>
          <w:rtl/>
          <w:lang w:eastAsia="he-IL"/>
        </w:rPr>
        <w:t xml:space="preserve"> בשיעור של 65% מכמות מתואמת שנתית הקבועה בהסכם, החלה עד לסוף שנת 2015 (כ-0.74 </w:t>
      </w:r>
      <w:r>
        <w:rPr>
          <w:rFonts w:eastAsia="Times New Roman"/>
          <w:color w:val="000000"/>
          <w:lang w:eastAsia="he-IL"/>
        </w:rPr>
        <w:t>BCM</w:t>
      </w:r>
      <w:r>
        <w:rPr>
          <w:rFonts w:eastAsia="Times New Roman" w:hint="cs"/>
          <w:color w:val="000000"/>
          <w:rtl/>
          <w:lang w:eastAsia="he-IL"/>
        </w:rPr>
        <w:t xml:space="preserve"> בשנה) ואשר השתנתה ל-60% החל מתחילת שנת 2016 ועד לתום תקופת ההסכם (כ-0.73 </w:t>
      </w:r>
      <w:r>
        <w:rPr>
          <w:rFonts w:eastAsia="Times New Roman"/>
          <w:color w:val="000000"/>
          <w:lang w:eastAsia="he-IL"/>
        </w:rPr>
        <w:t>BCM</w:t>
      </w:r>
      <w:r>
        <w:rPr>
          <w:rFonts w:eastAsia="Times New Roman" w:hint="cs"/>
          <w:color w:val="000000"/>
          <w:rtl/>
          <w:lang w:eastAsia="he-IL"/>
        </w:rPr>
        <w:t xml:space="preserve"> בשנה). </w:t>
      </w:r>
    </w:p>
    <w:p w14:paraId="2D294964" w14:textId="33009014" w:rsidR="000F3976" w:rsidRDefault="00A82661" w:rsidP="002870AB">
      <w:pPr>
        <w:tabs>
          <w:tab w:val="left" w:pos="232"/>
          <w:tab w:val="left" w:pos="515"/>
        </w:tabs>
        <w:bidi/>
        <w:spacing w:before="120" w:after="120"/>
        <w:rPr>
          <w:rFonts w:eastAsia="Times New Roman"/>
          <w:color w:val="000000"/>
          <w:rtl/>
          <w:lang w:eastAsia="he-IL"/>
        </w:rPr>
      </w:pPr>
      <w:r>
        <w:rPr>
          <w:rFonts w:eastAsia="Times New Roman" w:hint="cs"/>
          <w:color w:val="000000"/>
          <w:rtl/>
          <w:lang w:eastAsia="he-IL"/>
        </w:rPr>
        <w:t xml:space="preserve">הסכם זה יחד עם תנאי השוק ששררו באותו הזמן העלו כמה חששות תחרותיים ובעיקרם החשש </w:t>
      </w:r>
      <w:r w:rsidR="0014607B">
        <w:rPr>
          <w:rFonts w:eastAsia="Times New Roman"/>
          <w:color w:val="000000"/>
          <w:rtl/>
          <w:lang w:eastAsia="he-IL"/>
        </w:rPr>
        <w:t>ש</w:t>
      </w:r>
      <w:r w:rsidRPr="00691C1A">
        <w:rPr>
          <w:rFonts w:eastAsia="Times New Roman"/>
          <w:color w:val="000000"/>
          <w:rtl/>
          <w:lang w:eastAsia="he-IL"/>
        </w:rPr>
        <w:t>ביקוש משמעותי לגז טבעי במשק יחסם לשנים רבות, באופן שעלול לפגוע בתמריץ לכניסתו של ספק גז טבעי נוסף בעתיד</w:t>
      </w:r>
      <w:r>
        <w:rPr>
          <w:rFonts w:eastAsia="Times New Roman" w:hint="cs"/>
          <w:color w:val="000000"/>
          <w:rtl/>
          <w:lang w:eastAsia="he-IL"/>
        </w:rPr>
        <w:t xml:space="preserve">. על מנת </w:t>
      </w:r>
      <w:r w:rsidR="00261300">
        <w:rPr>
          <w:rFonts w:eastAsia="Times New Roman" w:hint="cs"/>
          <w:color w:val="000000"/>
          <w:rtl/>
          <w:lang w:eastAsia="he-IL"/>
        </w:rPr>
        <w:t xml:space="preserve">להפיג את החששות התחרותיים נקבע כי יש להעניק את הפטור </w:t>
      </w:r>
      <w:r w:rsidR="002870AB">
        <w:rPr>
          <w:rFonts w:eastAsia="Times New Roman" w:hint="cs"/>
          <w:color w:val="000000"/>
          <w:rtl/>
          <w:lang w:eastAsia="he-IL"/>
        </w:rPr>
        <w:t>המקורי</w:t>
      </w:r>
      <w:r w:rsidR="00261300">
        <w:rPr>
          <w:rFonts w:eastAsia="Times New Roman" w:hint="cs"/>
          <w:color w:val="000000"/>
          <w:rtl/>
          <w:lang w:eastAsia="he-IL"/>
        </w:rPr>
        <w:t xml:space="preserve"> בכפוף לשורה של תנאים</w:t>
      </w:r>
      <w:r w:rsidR="000F3976">
        <w:rPr>
          <w:rFonts w:eastAsia="Times New Roman" w:hint="cs"/>
          <w:color w:val="000000"/>
          <w:rtl/>
          <w:lang w:eastAsia="he-IL"/>
        </w:rPr>
        <w:t xml:space="preserve">, כשאחד מהם </w:t>
      </w:r>
      <w:r w:rsidR="00261300">
        <w:rPr>
          <w:rFonts w:eastAsia="Times New Roman" w:hint="cs"/>
          <w:color w:val="000000"/>
          <w:rtl/>
          <w:lang w:eastAsia="he-IL"/>
        </w:rPr>
        <w:t>התייחס</w:t>
      </w:r>
      <w:r w:rsidR="00F8073C">
        <w:rPr>
          <w:rFonts w:eastAsia="Times New Roman" w:hint="cs"/>
          <w:color w:val="000000"/>
          <w:rtl/>
          <w:lang w:eastAsia="he-IL"/>
        </w:rPr>
        <w:t xml:space="preserve"> לאופציה אשר הוענקה לדליה להפחית את כמויות הגז </w:t>
      </w:r>
      <w:r w:rsidR="00F8073C">
        <w:rPr>
          <w:rFonts w:eastAsia="Times New Roman"/>
          <w:rtl/>
          <w:lang w:eastAsia="he-IL"/>
        </w:rPr>
        <w:t>ב</w:t>
      </w:r>
      <w:r w:rsidR="00F8073C">
        <w:rPr>
          <w:rFonts w:eastAsia="Times New Roman" w:hint="cs"/>
          <w:rtl/>
          <w:lang w:eastAsia="he-IL"/>
        </w:rPr>
        <w:t>ה</w:t>
      </w:r>
      <w:r w:rsidR="00F8073C">
        <w:rPr>
          <w:rFonts w:eastAsia="Times New Roman"/>
          <w:rtl/>
          <w:lang w:eastAsia="he-IL"/>
        </w:rPr>
        <w:t>תנ</w:t>
      </w:r>
      <w:r w:rsidR="00F8073C">
        <w:rPr>
          <w:rFonts w:eastAsia="Times New Roman" w:hint="cs"/>
          <w:rtl/>
          <w:lang w:eastAsia="he-IL"/>
        </w:rPr>
        <w:t>יי</w:t>
      </w:r>
      <w:r w:rsidR="00F8073C">
        <w:rPr>
          <w:rFonts w:eastAsia="Times New Roman"/>
          <w:rtl/>
          <w:lang w:eastAsia="he-IL"/>
        </w:rPr>
        <w:t>ת ה-</w:t>
      </w:r>
      <w:r w:rsidR="000F3976">
        <w:rPr>
          <w:rFonts w:eastAsia="Times New Roman"/>
          <w:lang w:eastAsia="he-IL"/>
        </w:rPr>
        <w:t xml:space="preserve">Take or Pay  </w:t>
      </w:r>
      <w:r w:rsidR="000F3976" w:rsidDel="000F3976">
        <w:rPr>
          <w:rFonts w:eastAsia="Times New Roman" w:hint="cs"/>
          <w:color w:val="000000"/>
          <w:rtl/>
          <w:lang w:eastAsia="he-IL"/>
        </w:rPr>
        <w:t xml:space="preserve"> </w:t>
      </w:r>
      <w:r w:rsidR="000F3976">
        <w:rPr>
          <w:rFonts w:eastAsia="Times New Roman" w:hint="cs"/>
          <w:color w:val="000000"/>
          <w:rtl/>
          <w:lang w:eastAsia="he-IL"/>
        </w:rPr>
        <w:t xml:space="preserve">(להלן </w:t>
      </w:r>
      <w:r w:rsidR="000F3976" w:rsidRPr="00F35218">
        <w:rPr>
          <w:rFonts w:eastAsia="Times New Roman" w:hint="eastAsia"/>
          <w:b/>
          <w:bCs/>
          <w:color w:val="000000"/>
          <w:rtl/>
          <w:lang w:eastAsia="he-IL"/>
        </w:rPr>
        <w:t>מנגנון</w:t>
      </w:r>
      <w:r w:rsidR="000F3976" w:rsidRPr="00F35218">
        <w:rPr>
          <w:rFonts w:eastAsia="Times New Roman"/>
          <w:b/>
          <w:bCs/>
          <w:color w:val="000000"/>
          <w:rtl/>
          <w:lang w:eastAsia="he-IL"/>
        </w:rPr>
        <w:t xml:space="preserve"> </w:t>
      </w:r>
      <w:r w:rsidR="000F3976" w:rsidRPr="00F35218">
        <w:rPr>
          <w:rFonts w:eastAsia="Times New Roman" w:hint="eastAsia"/>
          <w:b/>
          <w:bCs/>
          <w:color w:val="000000"/>
          <w:rtl/>
          <w:lang w:eastAsia="he-IL"/>
        </w:rPr>
        <w:t>חישוב</w:t>
      </w:r>
      <w:r w:rsidR="000F3976" w:rsidRPr="00F35218">
        <w:rPr>
          <w:rFonts w:eastAsia="Times New Roman"/>
          <w:b/>
          <w:bCs/>
          <w:color w:val="000000"/>
          <w:rtl/>
          <w:lang w:eastAsia="he-IL"/>
        </w:rPr>
        <w:t xml:space="preserve"> </w:t>
      </w:r>
      <w:r w:rsidR="000F3976" w:rsidRPr="00F35218">
        <w:rPr>
          <w:rFonts w:eastAsia="Times New Roman" w:hint="eastAsia"/>
          <w:b/>
          <w:bCs/>
          <w:color w:val="000000"/>
          <w:rtl/>
          <w:lang w:eastAsia="he-IL"/>
        </w:rPr>
        <w:t>הכמויות</w:t>
      </w:r>
      <w:r w:rsidR="000F3976" w:rsidRPr="00F35218">
        <w:rPr>
          <w:rFonts w:eastAsia="Times New Roman"/>
          <w:b/>
          <w:bCs/>
          <w:color w:val="000000"/>
          <w:rtl/>
          <w:lang w:eastAsia="he-IL"/>
        </w:rPr>
        <w:t xml:space="preserve"> </w:t>
      </w:r>
      <w:r w:rsidR="000F3976" w:rsidRPr="00F35218">
        <w:rPr>
          <w:rFonts w:eastAsia="Times New Roman" w:hint="eastAsia"/>
          <w:b/>
          <w:bCs/>
          <w:color w:val="000000"/>
          <w:rtl/>
          <w:lang w:eastAsia="he-IL"/>
        </w:rPr>
        <w:t>באופציית</w:t>
      </w:r>
      <w:r w:rsidR="000F3976" w:rsidRPr="00F35218">
        <w:rPr>
          <w:rFonts w:eastAsia="Times New Roman"/>
          <w:b/>
          <w:bCs/>
          <w:color w:val="000000"/>
          <w:rtl/>
          <w:lang w:eastAsia="he-IL"/>
        </w:rPr>
        <w:t xml:space="preserve"> </w:t>
      </w:r>
      <w:r w:rsidR="000F3976" w:rsidRPr="00F35218">
        <w:rPr>
          <w:rFonts w:eastAsia="Times New Roman" w:hint="eastAsia"/>
          <w:b/>
          <w:bCs/>
          <w:color w:val="000000"/>
          <w:rtl/>
          <w:lang w:eastAsia="he-IL"/>
        </w:rPr>
        <w:t>ההפחתה</w:t>
      </w:r>
      <w:r w:rsidR="000F3976">
        <w:rPr>
          <w:rFonts w:eastAsia="Times New Roman" w:hint="cs"/>
          <w:color w:val="000000"/>
          <w:rtl/>
          <w:lang w:eastAsia="he-IL"/>
        </w:rPr>
        <w:t>)</w:t>
      </w:r>
      <w:r w:rsidR="000F3976" w:rsidRPr="00B759F8">
        <w:rPr>
          <w:rFonts w:eastAsia="Times New Roman"/>
          <w:color w:val="000000"/>
          <w:rtl/>
          <w:lang w:eastAsia="he-IL"/>
        </w:rPr>
        <w:t>.</w:t>
      </w:r>
    </w:p>
    <w:p w14:paraId="62E871DC" w14:textId="77777777" w:rsidR="000F3976" w:rsidRDefault="000F3976" w:rsidP="000F3976">
      <w:pPr>
        <w:numPr>
          <w:ilvl w:val="0"/>
          <w:numId w:val="8"/>
        </w:numPr>
        <w:bidi/>
        <w:spacing w:before="120"/>
        <w:ind w:left="1440"/>
        <w:rPr>
          <w:rFonts w:eastAsia="Times New Roman"/>
        </w:rPr>
      </w:pPr>
      <w:r>
        <w:rPr>
          <w:rFonts w:eastAsia="Times New Roman" w:hint="cs"/>
          <w:rtl/>
          <w:lang w:eastAsia="he-IL"/>
        </w:rPr>
        <w:t>לדליה תועמד האפשרות לבחור באחת משתי האפשרויות הבאות כדלקמן:</w:t>
      </w:r>
    </w:p>
    <w:p w14:paraId="0A64FCF6" w14:textId="77777777" w:rsidR="000F3976" w:rsidRDefault="000F3976" w:rsidP="000F3976">
      <w:pPr>
        <w:bidi/>
        <w:spacing w:before="120"/>
        <w:ind w:left="1502" w:hanging="709"/>
        <w:rPr>
          <w:rFonts w:eastAsiaTheme="minorEastAsia"/>
          <w:rtl/>
        </w:rPr>
      </w:pPr>
      <w:r>
        <w:rPr>
          <w:rFonts w:eastAsia="Times New Roman" w:hint="cs"/>
          <w:rtl/>
          <w:lang w:eastAsia="he-IL"/>
        </w:rPr>
        <w:t>(א)</w:t>
      </w:r>
      <w:r>
        <w:rPr>
          <w:rFonts w:eastAsia="Times New Roman" w:hint="cs"/>
          <w:sz w:val="14"/>
          <w:szCs w:val="14"/>
          <w:rtl/>
          <w:lang w:eastAsia="he-IL"/>
        </w:rPr>
        <w:t xml:space="preserve">               </w:t>
      </w:r>
      <w:r>
        <w:rPr>
          <w:rFonts w:eastAsia="Times New Roman" w:hint="cs"/>
          <w:rtl/>
          <w:lang w:eastAsia="he-IL"/>
        </w:rPr>
        <w:t xml:space="preserve">קיצור תקופת ההסכם והעמדתה על 7 שנים, החל ממועד אספקת הגז הטבעי; </w:t>
      </w:r>
    </w:p>
    <w:p w14:paraId="5F491C64" w14:textId="77777777" w:rsidR="000F3976" w:rsidRDefault="000F3976" w:rsidP="000F3976">
      <w:pPr>
        <w:bidi/>
        <w:spacing w:before="120"/>
        <w:ind w:firstLine="720"/>
        <w:rPr>
          <w:rtl/>
        </w:rPr>
      </w:pPr>
      <w:r>
        <w:rPr>
          <w:rFonts w:eastAsia="Times New Roman" w:hint="cs"/>
          <w:rtl/>
          <w:lang w:eastAsia="he-IL"/>
        </w:rPr>
        <w:t xml:space="preserve">או לחלופין - </w:t>
      </w:r>
    </w:p>
    <w:p w14:paraId="12D31CEB" w14:textId="77777777" w:rsidR="000F3976" w:rsidRDefault="000F3976" w:rsidP="000F3976">
      <w:pPr>
        <w:bidi/>
        <w:spacing w:before="120"/>
        <w:ind w:left="1502" w:hanging="709"/>
        <w:rPr>
          <w:rtl/>
        </w:rPr>
      </w:pPr>
      <w:r>
        <w:rPr>
          <w:rFonts w:eastAsia="Times New Roman" w:hint="cs"/>
          <w:rtl/>
          <w:lang w:eastAsia="he-IL"/>
        </w:rPr>
        <w:t>(ב)</w:t>
      </w:r>
      <w:r>
        <w:rPr>
          <w:rFonts w:eastAsia="Times New Roman" w:hint="cs"/>
          <w:sz w:val="14"/>
          <w:szCs w:val="14"/>
          <w:rtl/>
          <w:lang w:eastAsia="he-IL"/>
        </w:rPr>
        <w:t xml:space="preserve">                </w:t>
      </w:r>
      <w:r>
        <w:rPr>
          <w:rFonts w:eastAsia="Times New Roman" w:hint="cs"/>
          <w:rtl/>
          <w:lang w:eastAsia="he-IL"/>
        </w:rPr>
        <w:t xml:space="preserve"> הפחתת כמות הגז הנקובה </w:t>
      </w:r>
      <w:proofErr w:type="spellStart"/>
      <w:r>
        <w:rPr>
          <w:rFonts w:eastAsia="Times New Roman" w:hint="cs"/>
          <w:rtl/>
          <w:lang w:eastAsia="he-IL"/>
        </w:rPr>
        <w:t>בתניית</w:t>
      </w:r>
      <w:proofErr w:type="spellEnd"/>
      <w:r>
        <w:rPr>
          <w:rFonts w:eastAsia="Times New Roman" w:hint="cs"/>
          <w:rtl/>
          <w:lang w:eastAsia="he-IL"/>
        </w:rPr>
        <w:t xml:space="preserve"> ה-</w:t>
      </w:r>
      <w:r>
        <w:rPr>
          <w:rFonts w:eastAsia="Times New Roman"/>
          <w:lang w:eastAsia="he-IL"/>
        </w:rPr>
        <w:t>Take or Pay</w:t>
      </w:r>
      <w:r>
        <w:rPr>
          <w:rFonts w:eastAsia="Times New Roman" w:hint="cs"/>
          <w:rtl/>
          <w:lang w:eastAsia="he-IL"/>
        </w:rPr>
        <w:t xml:space="preserve"> לכמות השווה למחצית מכמות הצריכה השנתית הממוצעת של דליה בפועל בשלוש השנים שקדמו למועד ההודעה ("</w:t>
      </w:r>
      <w:r>
        <w:rPr>
          <w:rStyle w:val="Strong"/>
          <w:rFonts w:eastAsia="Times New Roman" w:hint="cs"/>
          <w:rtl/>
          <w:lang w:eastAsia="he-IL"/>
        </w:rPr>
        <w:t>הכמות האפקטיבית</w:t>
      </w:r>
      <w:r>
        <w:rPr>
          <w:rFonts w:eastAsia="Times New Roman" w:hint="cs"/>
          <w:rtl/>
          <w:lang w:eastAsia="he-IL"/>
        </w:rPr>
        <w:t>"). הפחתת כמות הרכישה תיכנס לתוקף לאחר שנה ממועד מתן הודעה כאמור, ועד לסוף תקופת ההסכם (להלן: "</w:t>
      </w:r>
      <w:r>
        <w:rPr>
          <w:rStyle w:val="Strong"/>
          <w:rFonts w:eastAsia="Times New Roman" w:hint="cs"/>
          <w:rtl/>
          <w:lang w:eastAsia="he-IL"/>
        </w:rPr>
        <w:t>הפחתת כמות הרכישה</w:t>
      </w:r>
      <w:r>
        <w:rPr>
          <w:rFonts w:eastAsia="Times New Roman" w:hint="cs"/>
          <w:rtl/>
          <w:lang w:eastAsia="he-IL"/>
        </w:rPr>
        <w:t xml:space="preserve">"). הודעה על הפחתת כמות הרכישה תתאפשר בכל עת במהלך התקופה שסיומה המאוחרת יותר מבין שתי התקופות שלהלן: </w:t>
      </w:r>
    </w:p>
    <w:p w14:paraId="48092F20" w14:textId="77777777" w:rsidR="000F3976" w:rsidRDefault="000F3976" w:rsidP="000F3976">
      <w:pPr>
        <w:bidi/>
        <w:spacing w:before="120"/>
        <w:ind w:left="2514" w:hanging="856"/>
        <w:rPr>
          <w:rtl/>
        </w:rPr>
      </w:pPr>
      <w:r>
        <w:rPr>
          <w:rFonts w:eastAsia="Times New Roman" w:hint="cs"/>
          <w:rtl/>
          <w:lang w:eastAsia="he-IL"/>
        </w:rPr>
        <w:lastRenderedPageBreak/>
        <w:t>(1)</w:t>
      </w:r>
      <w:r>
        <w:rPr>
          <w:rFonts w:eastAsia="Times New Roman" w:hint="cs"/>
          <w:sz w:val="14"/>
          <w:szCs w:val="14"/>
          <w:rtl/>
          <w:lang w:eastAsia="he-IL"/>
        </w:rPr>
        <w:t xml:space="preserve">                     </w:t>
      </w:r>
      <w:r>
        <w:rPr>
          <w:rFonts w:eastAsia="Times New Roman" w:hint="cs"/>
          <w:rtl/>
          <w:lang w:eastAsia="he-IL"/>
        </w:rPr>
        <w:t>התקופה שמיום 1/1/2018 ועד ליום 31/12/2020</w:t>
      </w:r>
      <w:r>
        <w:rPr>
          <w:rFonts w:eastAsia="Times New Roman"/>
          <w:lang w:eastAsia="he-IL"/>
        </w:rPr>
        <w:t>;</w:t>
      </w:r>
    </w:p>
    <w:p w14:paraId="2361AA9B" w14:textId="77777777" w:rsidR="000F3976" w:rsidRDefault="000F3976" w:rsidP="000F3976">
      <w:pPr>
        <w:bidi/>
        <w:spacing w:before="120"/>
        <w:ind w:left="1944" w:hanging="286"/>
        <w:rPr>
          <w:rtl/>
        </w:rPr>
      </w:pPr>
      <w:r>
        <w:rPr>
          <w:rFonts w:eastAsia="Times New Roman" w:hint="cs"/>
          <w:rtl/>
          <w:lang w:eastAsia="he-IL"/>
        </w:rPr>
        <w:t xml:space="preserve">או </w:t>
      </w:r>
    </w:p>
    <w:p w14:paraId="74DAB6D3" w14:textId="77777777" w:rsidR="000F3976" w:rsidRDefault="000F3976" w:rsidP="000F3976">
      <w:pPr>
        <w:bidi/>
        <w:spacing w:before="120"/>
        <w:ind w:left="2210" w:hanging="552"/>
        <w:rPr>
          <w:rtl/>
        </w:rPr>
      </w:pPr>
      <w:r>
        <w:rPr>
          <w:rFonts w:eastAsia="Times New Roman" w:hint="cs"/>
          <w:rtl/>
          <w:lang w:eastAsia="he-IL"/>
        </w:rPr>
        <w:t>(2)</w:t>
      </w:r>
      <w:r>
        <w:rPr>
          <w:rFonts w:eastAsia="Times New Roman" w:hint="cs"/>
          <w:sz w:val="14"/>
          <w:szCs w:val="14"/>
          <w:rtl/>
          <w:lang w:eastAsia="he-IL"/>
        </w:rPr>
        <w:t xml:space="preserve">           </w:t>
      </w:r>
      <w:r>
        <w:rPr>
          <w:rFonts w:eastAsia="Times New Roman" w:hint="cs"/>
          <w:rtl/>
          <w:lang w:eastAsia="he-IL"/>
        </w:rPr>
        <w:t>התקופה שראשיתה בתחילת השנה החמישית ממועד אספקת הגז הטבעי וסיומה בתום השנה השביעית כאמור.</w:t>
      </w:r>
    </w:p>
    <w:p w14:paraId="05A4B78A" w14:textId="77777777" w:rsidR="000F3976" w:rsidRDefault="000F3976" w:rsidP="000F3976">
      <w:pPr>
        <w:bidi/>
        <w:spacing w:before="120"/>
        <w:ind w:left="1658"/>
        <w:rPr>
          <w:rtl/>
        </w:rPr>
      </w:pPr>
      <w:r>
        <w:rPr>
          <w:rFonts w:eastAsia="Times New Roman" w:hint="cs"/>
          <w:rtl/>
          <w:lang w:eastAsia="he-IL"/>
        </w:rPr>
        <w:t>עם קביעת הכמות המינימלית עליה תחויב דליה לשלם בהתאם לכמות האפקטיבית כאמור, תעודכנה כמות הגז השנתית וכמות הגז הכוללת בהסכם בהתאם.</w:t>
      </w:r>
    </w:p>
    <w:p w14:paraId="1B21D86A" w14:textId="77C671BF" w:rsidR="000F3976" w:rsidRDefault="000F3976" w:rsidP="000F3976">
      <w:pPr>
        <w:bidi/>
        <w:spacing w:before="120"/>
        <w:ind w:left="1502" w:hanging="709"/>
        <w:rPr>
          <w:rtl/>
        </w:rPr>
      </w:pPr>
      <w:r>
        <w:rPr>
          <w:rFonts w:eastAsia="Times New Roman" w:hint="cs"/>
          <w:rtl/>
          <w:lang w:eastAsia="he-IL"/>
        </w:rPr>
        <w:t>(ג)</w:t>
      </w:r>
      <w:r>
        <w:rPr>
          <w:rFonts w:eastAsia="Times New Roman" w:hint="cs"/>
          <w:sz w:val="14"/>
          <w:szCs w:val="14"/>
          <w:rtl/>
          <w:lang w:eastAsia="he-IL"/>
        </w:rPr>
        <w:t xml:space="preserve">                 </w:t>
      </w:r>
      <w:r>
        <w:rPr>
          <w:rFonts w:eastAsia="Times New Roman" w:hint="cs"/>
          <w:rtl/>
          <w:lang w:eastAsia="he-IL"/>
        </w:rPr>
        <w:t xml:space="preserve"> הודעה על בחירתה של דליה תימסר לשותפות תמר עד ליום </w:t>
      </w:r>
      <w:r w:rsidR="00BD279D">
        <w:rPr>
          <w:rStyle w:val="FootnoteReference"/>
          <w:rFonts w:eastAsia="Times New Roman"/>
          <w:rtl/>
          <w:lang w:eastAsia="he-IL"/>
        </w:rPr>
        <w:footnoteReference w:id="4"/>
      </w:r>
      <w:r>
        <w:rPr>
          <w:rFonts w:eastAsia="Times New Roman" w:hint="cs"/>
          <w:rtl/>
          <w:lang w:eastAsia="he-IL"/>
        </w:rPr>
        <w:t xml:space="preserve">1.10.2012. למען הסר ספק יובהר, כי בחישוב כמות הצריכה השנתית הממוצעת של דליה בשלוש השנים שקדמו למתן ההודעה, לא יכללו כמויות שאותן רכשה דליה משותפות תמר אך מכרה אותן הלאה לצרכני חלוקה. </w:t>
      </w:r>
    </w:p>
    <w:p w14:paraId="5D8FDE75" w14:textId="5B622303" w:rsidR="00F8073C" w:rsidRDefault="00B76007" w:rsidP="00CB3FB9">
      <w:pPr>
        <w:tabs>
          <w:tab w:val="left" w:pos="232"/>
          <w:tab w:val="left" w:pos="515"/>
        </w:tabs>
        <w:bidi/>
        <w:spacing w:before="120" w:after="120"/>
        <w:rPr>
          <w:rStyle w:val="Heading1Char"/>
          <w:b w:val="0"/>
          <w:bCs w:val="0"/>
          <w:sz w:val="24"/>
          <w:szCs w:val="24"/>
          <w:rtl/>
        </w:rPr>
      </w:pPr>
      <w:r>
        <w:rPr>
          <w:rFonts w:eastAsia="Times New Roman" w:hint="cs"/>
          <w:color w:val="000000"/>
          <w:rtl/>
          <w:lang w:eastAsia="he-IL"/>
        </w:rPr>
        <w:t xml:space="preserve">כאמור, </w:t>
      </w:r>
      <w:r w:rsidRPr="00A92FFB">
        <w:rPr>
          <w:rFonts w:eastAsia="Times New Roman" w:hint="cs"/>
          <w:color w:val="000000"/>
          <w:rtl/>
          <w:lang w:eastAsia="he-IL"/>
        </w:rPr>
        <w:t>בקשת הפטור הנוכחית הוגשה בעקבות התיקון להסכם</w:t>
      </w:r>
      <w:r>
        <w:rPr>
          <w:rFonts w:eastAsia="Times New Roman" w:hint="cs"/>
          <w:color w:val="000000"/>
          <w:rtl/>
          <w:lang w:eastAsia="he-IL"/>
        </w:rPr>
        <w:t>, שנחתם ביום 5 בפברואר 2019 ואשר מתייחס לשינוי מנגנון חישוב הכמויות באופציית ההפחתה.</w:t>
      </w:r>
      <w:r w:rsidR="0014607B">
        <w:rPr>
          <w:rFonts w:eastAsia="Times New Roman" w:hint="cs"/>
          <w:color w:val="000000"/>
          <w:rtl/>
          <w:lang w:eastAsia="he-IL"/>
        </w:rPr>
        <w:t xml:space="preserve"> </w:t>
      </w:r>
      <w:r w:rsidR="00F8073C">
        <w:rPr>
          <w:rStyle w:val="Heading1Char"/>
          <w:rFonts w:hint="cs"/>
          <w:b w:val="0"/>
          <w:bCs w:val="0"/>
          <w:sz w:val="24"/>
          <w:szCs w:val="24"/>
          <w:rtl/>
        </w:rPr>
        <w:t>על פי התיקון להסכם, אופציית ההפחתה תישמר, אך ייערך שינוי בנוסחת הכמויות המופחתות. בהתאם לנוסחה המתוקנת, חישוב הכמות הי</w:t>
      </w:r>
      <w:r>
        <w:rPr>
          <w:rStyle w:val="Heading1Char"/>
          <w:rFonts w:hint="cs"/>
          <w:b w:val="0"/>
          <w:bCs w:val="0"/>
          <w:sz w:val="24"/>
          <w:szCs w:val="24"/>
          <w:rtl/>
        </w:rPr>
        <w:t>ו</w:t>
      </w:r>
      <w:r w:rsidR="00F8073C">
        <w:rPr>
          <w:rStyle w:val="Heading1Char"/>
          <w:rFonts w:hint="cs"/>
          <w:b w:val="0"/>
          <w:bCs w:val="0"/>
          <w:sz w:val="24"/>
          <w:szCs w:val="24"/>
          <w:rtl/>
        </w:rPr>
        <w:t>מית המופחתת לא ייעשה על בסיס הצריכה של דליה בפועל בלבד</w:t>
      </w:r>
      <w:r w:rsidR="00691C1A">
        <w:rPr>
          <w:rStyle w:val="Heading1Char"/>
          <w:rFonts w:hint="cs"/>
          <w:b w:val="0"/>
          <w:bCs w:val="0"/>
          <w:sz w:val="24"/>
          <w:szCs w:val="24"/>
          <w:rtl/>
        </w:rPr>
        <w:t xml:space="preserve"> </w:t>
      </w:r>
      <w:r w:rsidR="00F8073C">
        <w:rPr>
          <w:rStyle w:val="Heading1Char"/>
          <w:rFonts w:hint="cs"/>
          <w:b w:val="0"/>
          <w:bCs w:val="0"/>
          <w:sz w:val="24"/>
          <w:szCs w:val="24"/>
          <w:rtl/>
        </w:rPr>
        <w:t>אל</w:t>
      </w:r>
      <w:r w:rsidR="00500C29">
        <w:rPr>
          <w:rStyle w:val="Heading1Char"/>
          <w:rFonts w:hint="cs"/>
          <w:b w:val="0"/>
          <w:bCs w:val="0"/>
          <w:sz w:val="24"/>
          <w:szCs w:val="24"/>
          <w:rtl/>
        </w:rPr>
        <w:t>א</w:t>
      </w:r>
      <w:r w:rsidR="00F8073C">
        <w:rPr>
          <w:rStyle w:val="Heading1Char"/>
          <w:rFonts w:hint="cs"/>
          <w:b w:val="0"/>
          <w:bCs w:val="0"/>
          <w:sz w:val="24"/>
          <w:szCs w:val="24"/>
          <w:rtl/>
        </w:rPr>
        <w:t xml:space="preserve"> רק על הכמות המינימלית שדליה אנרגיות הייתה מחויבת ברכישתה. לפיכך, הנוסחה המתוקנת תביא לכך כי בהינתן כניסת הודעת ההפחתה לתוקף, ההפחתה בכמויות החוזיות בהסכם תהיה גדולה יותר, והתחייבות ה-</w:t>
      </w:r>
      <w:r w:rsidR="00F8073C" w:rsidRPr="00C86D2B">
        <w:rPr>
          <w:rFonts w:eastAsia="Times New Roman"/>
          <w:color w:val="000000"/>
          <w:lang w:eastAsia="he-IL"/>
        </w:rPr>
        <w:t xml:space="preserve"> </w:t>
      </w:r>
      <w:r w:rsidR="00F8073C">
        <w:rPr>
          <w:rFonts w:eastAsia="Times New Roman"/>
          <w:color w:val="000000"/>
          <w:lang w:eastAsia="he-IL"/>
        </w:rPr>
        <w:t>Take or Pay</w:t>
      </w:r>
      <w:r w:rsidR="00F8073C">
        <w:rPr>
          <w:rStyle w:val="Heading1Char"/>
          <w:rFonts w:hint="cs"/>
          <w:b w:val="0"/>
          <w:bCs w:val="0"/>
          <w:sz w:val="24"/>
          <w:szCs w:val="24"/>
          <w:rtl/>
        </w:rPr>
        <w:t xml:space="preserve"> העתידית של דליה תהיה בהיקף קטן יותר, </w:t>
      </w:r>
      <w:r w:rsidR="00500C29">
        <w:rPr>
          <w:rStyle w:val="Heading1Char"/>
          <w:rFonts w:hint="cs"/>
          <w:b w:val="0"/>
          <w:bCs w:val="0"/>
          <w:sz w:val="24"/>
          <w:szCs w:val="24"/>
          <w:rtl/>
        </w:rPr>
        <w:t xml:space="preserve">וזאת </w:t>
      </w:r>
      <w:r w:rsidR="00F8073C">
        <w:rPr>
          <w:rStyle w:val="Heading1Char"/>
          <w:rFonts w:hint="cs"/>
          <w:b w:val="0"/>
          <w:bCs w:val="0"/>
          <w:sz w:val="24"/>
          <w:szCs w:val="24"/>
          <w:rtl/>
        </w:rPr>
        <w:t>לעומת מצב הדברים לפני התיקון. כפועל יוצא מכך, התיקון עשוי להביא אף לצמצום התחייבותן של שותפות תמר</w:t>
      </w:r>
      <w:r w:rsidR="00F8073C" w:rsidRPr="002D4C5F">
        <w:rPr>
          <w:rStyle w:val="Heading1Char"/>
          <w:rFonts w:hint="cs"/>
          <w:b w:val="0"/>
          <w:bCs w:val="0"/>
          <w:sz w:val="24"/>
          <w:szCs w:val="24"/>
          <w:rtl/>
        </w:rPr>
        <w:t xml:space="preserve"> </w:t>
      </w:r>
      <w:r w:rsidR="00F8073C">
        <w:rPr>
          <w:rStyle w:val="Heading1Char"/>
          <w:rFonts w:hint="cs"/>
          <w:b w:val="0"/>
          <w:bCs w:val="0"/>
          <w:sz w:val="24"/>
          <w:szCs w:val="24"/>
          <w:rtl/>
        </w:rPr>
        <w:t xml:space="preserve">כלפי דליה לאספקת גז טבעי ממאגר "תמר". צמצום אפשרי בהתחייבותה של דליה כלפי שותפות תמר, צפוי לשחרר ביקושים מצידה, כך שתוכל להתקשר עם מאגרי גז אחרים, ולרכוש </w:t>
      </w:r>
      <w:r w:rsidR="00CB3FB9">
        <w:rPr>
          <w:rStyle w:val="Heading1Char"/>
          <w:rFonts w:hint="cs"/>
          <w:b w:val="0"/>
          <w:bCs w:val="0"/>
          <w:sz w:val="24"/>
          <w:szCs w:val="24"/>
          <w:rtl/>
        </w:rPr>
        <w:t xml:space="preserve">מאלו </w:t>
      </w:r>
      <w:r w:rsidR="00F8073C">
        <w:rPr>
          <w:rStyle w:val="Heading1Char"/>
          <w:rFonts w:hint="cs"/>
          <w:b w:val="0"/>
          <w:bCs w:val="0"/>
          <w:sz w:val="24"/>
          <w:szCs w:val="24"/>
          <w:rtl/>
        </w:rPr>
        <w:t>גז טבעי בהיקפים גדולים יותר. באופן דומה, התיקון להסכם עשוי להוביל להגדלת כמות הגז הטבעי הפוטנציאלי שיסופק ממאגר הגז "תמר" לצרכנים אחרים</w:t>
      </w:r>
      <w:r w:rsidR="00CA3E18">
        <w:rPr>
          <w:rStyle w:val="Heading1Char"/>
          <w:rFonts w:hint="cs"/>
          <w:b w:val="0"/>
          <w:bCs w:val="0"/>
          <w:sz w:val="24"/>
          <w:szCs w:val="24"/>
          <w:rtl/>
        </w:rPr>
        <w:t>.</w:t>
      </w:r>
      <w:r w:rsidR="00F8073C">
        <w:rPr>
          <w:rStyle w:val="Heading1Char"/>
          <w:rFonts w:hint="cs"/>
          <w:b w:val="0"/>
          <w:bCs w:val="0"/>
          <w:sz w:val="24"/>
          <w:szCs w:val="24"/>
          <w:rtl/>
        </w:rPr>
        <w:t xml:space="preserve"> </w:t>
      </w:r>
    </w:p>
    <w:p w14:paraId="5EE60474" w14:textId="77777777" w:rsidR="005252A1" w:rsidRDefault="005252A1" w:rsidP="005252A1">
      <w:pPr>
        <w:tabs>
          <w:tab w:val="left" w:pos="232"/>
          <w:tab w:val="left" w:pos="515"/>
        </w:tabs>
        <w:bidi/>
        <w:spacing w:before="120" w:after="120"/>
        <w:rPr>
          <w:rStyle w:val="Heading1Char"/>
          <w:b w:val="0"/>
          <w:bCs w:val="0"/>
          <w:sz w:val="24"/>
          <w:szCs w:val="24"/>
        </w:rPr>
      </w:pPr>
    </w:p>
    <w:p w14:paraId="4814B7EC" w14:textId="77777777" w:rsidR="00F8073C" w:rsidRPr="00944AE6" w:rsidRDefault="00F8073C" w:rsidP="00F8073C">
      <w:pPr>
        <w:pStyle w:val="ListParagraph"/>
        <w:numPr>
          <w:ilvl w:val="0"/>
          <w:numId w:val="7"/>
        </w:numPr>
        <w:tabs>
          <w:tab w:val="left" w:pos="232"/>
          <w:tab w:val="left" w:pos="515"/>
        </w:tabs>
        <w:spacing w:before="120" w:after="120" w:line="360" w:lineRule="auto"/>
        <w:rPr>
          <w:rFonts w:ascii="David" w:hAnsi="David" w:cs="David"/>
          <w:b/>
          <w:bCs/>
          <w:sz w:val="28"/>
          <w:szCs w:val="28"/>
        </w:rPr>
      </w:pPr>
      <w:r w:rsidRPr="00944AE6">
        <w:rPr>
          <w:rFonts w:ascii="David" w:hAnsi="David" w:cs="David"/>
          <w:b/>
          <w:bCs/>
          <w:sz w:val="28"/>
          <w:szCs w:val="28"/>
          <w:rtl/>
        </w:rPr>
        <w:t>סוף דבר</w:t>
      </w:r>
    </w:p>
    <w:p w14:paraId="5DE0BD10" w14:textId="394608DC" w:rsidR="00F8073C" w:rsidRPr="001C643F" w:rsidRDefault="001C643F" w:rsidP="001C643F">
      <w:pPr>
        <w:bidi/>
        <w:rPr>
          <w:rStyle w:val="Heading1Char"/>
          <w:b w:val="0"/>
          <w:bCs w:val="0"/>
          <w:sz w:val="24"/>
          <w:szCs w:val="24"/>
          <w:rtl/>
        </w:rPr>
      </w:pPr>
      <w:r w:rsidRPr="001C643F">
        <w:rPr>
          <w:rStyle w:val="Heading1Char"/>
          <w:rFonts w:hint="cs"/>
          <w:b w:val="0"/>
          <w:bCs w:val="0"/>
          <w:sz w:val="24"/>
          <w:szCs w:val="24"/>
          <w:rtl/>
        </w:rPr>
        <w:t>לאחר שנועצתי עם הוועדה לפטורים ולמיזוגים, ראיתי לנכון להשתמש בסמכות הנתונה לי בסעיף 14 לחוק התחרות ולהעניק את הפטור המבוקש בתנאים המפורטים בפטור המקורי.</w:t>
      </w:r>
      <w:r>
        <w:rPr>
          <w:rStyle w:val="Heading1Char"/>
          <w:rFonts w:hint="cs"/>
          <w:b w:val="0"/>
          <w:bCs w:val="0"/>
          <w:sz w:val="24"/>
          <w:szCs w:val="24"/>
          <w:rtl/>
        </w:rPr>
        <w:t xml:space="preserve"> </w:t>
      </w:r>
      <w:r w:rsidR="00F8073C" w:rsidRPr="001C643F">
        <w:rPr>
          <w:rStyle w:val="Heading1Char"/>
          <w:rFonts w:hint="cs"/>
          <w:b w:val="0"/>
          <w:bCs w:val="0"/>
          <w:sz w:val="24"/>
          <w:szCs w:val="24"/>
          <w:rtl/>
        </w:rPr>
        <w:t xml:space="preserve">החלטתי זו נתונה לערר בפני אב בית הדין לתחרות על ידי איגוד עסקי, ארגון צרכנים או כל אדם העלול להיפגע מההסדר הכובל עליו ניתן הפטור, בהתאם לסעיף 15(א) לחוק התחרות. </w:t>
      </w:r>
    </w:p>
    <w:p w14:paraId="11C1F0F9" w14:textId="3C164EC8" w:rsidR="00F8073C" w:rsidRDefault="00F8073C" w:rsidP="00F8073C">
      <w:pPr>
        <w:shd w:val="clear" w:color="auto" w:fill="FFFFFF"/>
        <w:bidi/>
        <w:spacing w:before="120" w:after="120"/>
        <w:rPr>
          <w:rFonts w:eastAsiaTheme="minorEastAsia"/>
          <w:rtl/>
        </w:rPr>
      </w:pPr>
      <w:r w:rsidRPr="00674F61">
        <w:rPr>
          <w:rFonts w:hint="cs"/>
          <w:b/>
          <w:bCs/>
          <w:sz w:val="28"/>
          <w:szCs w:val="28"/>
          <w:rtl/>
        </w:rPr>
        <w:tab/>
      </w:r>
    </w:p>
    <w:p w14:paraId="584631FC" w14:textId="3ED92E57" w:rsidR="00F8073C" w:rsidRDefault="005252A1" w:rsidP="00F35218">
      <w:pPr>
        <w:shd w:val="clear" w:color="auto" w:fill="FFFFFF"/>
        <w:bidi/>
        <w:spacing w:before="120" w:after="120"/>
        <w:jc w:val="left"/>
        <w:rPr>
          <w:rFonts w:eastAsiaTheme="minorEastAsia"/>
          <w:rtl/>
        </w:rPr>
      </w:pPr>
      <w:r>
        <w:rPr>
          <w:noProof/>
        </w:rPr>
        <w:drawing>
          <wp:anchor distT="0" distB="0" distL="114300" distR="114300" simplePos="0" relativeHeight="251658240" behindDoc="0" locked="0" layoutInCell="1" allowOverlap="1" wp14:anchorId="56F5A115" wp14:editId="533CB623">
            <wp:simplePos x="0" y="0"/>
            <wp:positionH relativeFrom="column">
              <wp:posOffset>297815</wp:posOffset>
            </wp:positionH>
            <wp:positionV relativeFrom="paragraph">
              <wp:posOffset>293065</wp:posOffset>
            </wp:positionV>
            <wp:extent cx="1002030" cy="692785"/>
            <wp:effectExtent l="0" t="0" r="7620" b="0"/>
            <wp:wrapNone/>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002030" cy="692785"/>
                    </a:xfrm>
                    <a:prstGeom prst="rect">
                      <a:avLst/>
                    </a:prstGeom>
                  </pic:spPr>
                </pic:pic>
              </a:graphicData>
            </a:graphic>
            <wp14:sizeRelH relativeFrom="margin">
              <wp14:pctWidth>0</wp14:pctWidth>
            </wp14:sizeRelH>
            <wp14:sizeRelV relativeFrom="margin">
              <wp14:pctHeight>0</wp14:pctHeight>
            </wp14:sizeRelV>
          </wp:anchor>
        </w:drawing>
      </w:r>
    </w:p>
    <w:p w14:paraId="24D31081" w14:textId="16E64123" w:rsidR="00E470C5" w:rsidRDefault="00E470C5" w:rsidP="00E470C5">
      <w:pPr>
        <w:shd w:val="clear" w:color="auto" w:fill="FFFFFF"/>
        <w:bidi/>
        <w:spacing w:before="120" w:after="120"/>
        <w:ind w:left="5760"/>
        <w:jc w:val="center"/>
        <w:rPr>
          <w:rFonts w:eastAsiaTheme="minorEastAsia"/>
          <w:rtl/>
        </w:rPr>
      </w:pPr>
      <w:r>
        <w:rPr>
          <w:rFonts w:eastAsiaTheme="minorEastAsia" w:hint="cs"/>
          <w:rtl/>
        </w:rPr>
        <w:t>יאיר אילת</w:t>
      </w:r>
      <w:r w:rsidR="005252A1">
        <w:rPr>
          <w:rFonts w:eastAsiaTheme="minorEastAsia" w:hint="cs"/>
          <w:rtl/>
        </w:rPr>
        <w:t xml:space="preserve"> </w:t>
      </w:r>
    </w:p>
    <w:p w14:paraId="0A4BC895" w14:textId="4CD7EC97" w:rsidR="005252A1" w:rsidRDefault="005252A1" w:rsidP="005252A1">
      <w:pPr>
        <w:shd w:val="clear" w:color="auto" w:fill="FFFFFF"/>
        <w:bidi/>
        <w:spacing w:before="120" w:after="120"/>
        <w:ind w:left="5760"/>
        <w:jc w:val="center"/>
        <w:rPr>
          <w:rFonts w:eastAsiaTheme="minorEastAsia"/>
          <w:rtl/>
        </w:rPr>
      </w:pPr>
    </w:p>
    <w:p w14:paraId="2691BF15" w14:textId="2C5EB778" w:rsidR="00E470C5" w:rsidRDefault="00E470C5" w:rsidP="00E470C5">
      <w:pPr>
        <w:shd w:val="clear" w:color="auto" w:fill="FFFFFF"/>
        <w:bidi/>
        <w:spacing w:before="120" w:after="120"/>
        <w:ind w:left="5760"/>
        <w:jc w:val="center"/>
        <w:rPr>
          <w:rFonts w:eastAsiaTheme="minorEastAsia"/>
          <w:rtl/>
        </w:rPr>
      </w:pPr>
      <w:r>
        <w:rPr>
          <w:rFonts w:eastAsiaTheme="minorEastAsia" w:hint="cs"/>
          <w:rtl/>
        </w:rPr>
        <w:t>מ.מ. הממונה על התחרות</w:t>
      </w:r>
    </w:p>
    <w:p w14:paraId="41D33DFA" w14:textId="77777777" w:rsidR="005252A1" w:rsidRDefault="005252A1" w:rsidP="00E470C5">
      <w:pPr>
        <w:shd w:val="clear" w:color="auto" w:fill="FFFFFF"/>
        <w:bidi/>
        <w:spacing w:before="120" w:after="120"/>
        <w:jc w:val="left"/>
        <w:rPr>
          <w:rFonts w:eastAsiaTheme="minorEastAsia"/>
          <w:rtl/>
        </w:rPr>
      </w:pPr>
    </w:p>
    <w:p w14:paraId="18D82997" w14:textId="77777777" w:rsidR="005252A1" w:rsidRDefault="005252A1" w:rsidP="005252A1">
      <w:pPr>
        <w:shd w:val="clear" w:color="auto" w:fill="FFFFFF"/>
        <w:bidi/>
        <w:spacing w:before="120" w:after="120"/>
        <w:jc w:val="left"/>
        <w:rPr>
          <w:rFonts w:eastAsiaTheme="minorEastAsia"/>
          <w:rtl/>
        </w:rPr>
      </w:pPr>
    </w:p>
    <w:p w14:paraId="63B20B91" w14:textId="77777777" w:rsidR="005252A1" w:rsidRDefault="005252A1" w:rsidP="005252A1">
      <w:pPr>
        <w:shd w:val="clear" w:color="auto" w:fill="FFFFFF"/>
        <w:bidi/>
        <w:spacing w:before="120" w:after="120"/>
        <w:jc w:val="left"/>
        <w:rPr>
          <w:rFonts w:eastAsiaTheme="minorEastAsia"/>
          <w:rtl/>
        </w:rPr>
      </w:pPr>
    </w:p>
    <w:p w14:paraId="5BA1FCEA" w14:textId="37C034B0" w:rsidR="00BC1C1E" w:rsidRDefault="00C066FE" w:rsidP="005252A1">
      <w:pPr>
        <w:shd w:val="clear" w:color="auto" w:fill="FFFFFF"/>
        <w:bidi/>
        <w:spacing w:before="120" w:after="120"/>
        <w:jc w:val="left"/>
        <w:rPr>
          <w:rFonts w:eastAsiaTheme="minorEastAsia"/>
          <w:rtl/>
        </w:rPr>
      </w:pPr>
      <w:r>
        <w:rPr>
          <w:rFonts w:eastAsiaTheme="minorEastAsia" w:hint="cs"/>
          <w:rtl/>
        </w:rPr>
        <w:t>ירושלים, י' באייר תשע"ט</w:t>
      </w:r>
    </w:p>
    <w:p w14:paraId="61B600F4" w14:textId="4E081BFA" w:rsidR="00C066FE" w:rsidRDefault="00E955C2" w:rsidP="00C066FE">
      <w:pPr>
        <w:shd w:val="clear" w:color="auto" w:fill="FFFFFF"/>
        <w:bidi/>
        <w:spacing w:before="120" w:after="120"/>
        <w:jc w:val="left"/>
        <w:rPr>
          <w:rFonts w:eastAsiaTheme="minorEastAsia"/>
          <w:rtl/>
        </w:rPr>
      </w:pPr>
      <w:r>
        <w:rPr>
          <w:rFonts w:eastAsiaTheme="minorEastAsia" w:hint="cs"/>
          <w:rtl/>
        </w:rPr>
        <w:t>15 במאי 2019</w:t>
      </w:r>
    </w:p>
    <w:p w14:paraId="0DC6692F" w14:textId="77777777" w:rsidR="00C066FE" w:rsidRPr="00674F61" w:rsidRDefault="00C066FE" w:rsidP="00C066FE">
      <w:pPr>
        <w:shd w:val="clear" w:color="auto" w:fill="FFFFFF"/>
        <w:bidi/>
        <w:spacing w:before="120" w:after="120"/>
        <w:jc w:val="left"/>
        <w:rPr>
          <w:rFonts w:eastAsiaTheme="minorEastAsia"/>
          <w:rtl/>
        </w:rPr>
      </w:pPr>
    </w:p>
    <w:sectPr w:rsidR="00C066FE" w:rsidRPr="00674F61">
      <w:headerReference w:type="default"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B807A" w14:textId="77777777" w:rsidR="00505819" w:rsidRDefault="00505819" w:rsidP="00C518FD">
      <w:pPr>
        <w:spacing w:line="240" w:lineRule="auto"/>
      </w:pPr>
      <w:r>
        <w:separator/>
      </w:r>
    </w:p>
  </w:endnote>
  <w:endnote w:type="continuationSeparator" w:id="0">
    <w:p w14:paraId="7D4B0DC6" w14:textId="77777777" w:rsidR="00505819" w:rsidRDefault="00505819" w:rsidP="00C518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91D7C" w14:textId="77777777" w:rsidR="00B7015A" w:rsidRDefault="00B7015A" w:rsidP="00B7015A">
    <w:pPr>
      <w:pStyle w:val="Footer"/>
      <w:rPr>
        <w:rtl/>
      </w:rPr>
    </w:pPr>
    <w:r>
      <w:rPr>
        <w:noProof/>
        <w:rtl/>
      </w:rPr>
      <w:drawing>
        <wp:anchor distT="0" distB="0" distL="114300" distR="114300" simplePos="0" relativeHeight="251661312" behindDoc="1" locked="0" layoutInCell="1" allowOverlap="1" wp14:anchorId="67DD2A4F" wp14:editId="1DA3D22D">
          <wp:simplePos x="0" y="0"/>
          <wp:positionH relativeFrom="page">
            <wp:posOffset>-47767</wp:posOffset>
          </wp:positionH>
          <wp:positionV relativeFrom="paragraph">
            <wp:posOffset>-284110</wp:posOffset>
          </wp:positionV>
          <wp:extent cx="7560860" cy="878840"/>
          <wp:effectExtent l="0" t="0" r="0" b="0"/>
          <wp:wrapNone/>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מעודכן.png"/>
                  <pic:cNvPicPr/>
                </pic:nvPicPr>
                <pic:blipFill>
                  <a:blip r:embed="rId1">
                    <a:extLst>
                      <a:ext uri="{28A0092B-C50C-407E-A947-70E740481C1C}">
                        <a14:useLocalDpi xmlns:a14="http://schemas.microsoft.com/office/drawing/2010/main" val="0"/>
                      </a:ext>
                    </a:extLst>
                  </a:blip>
                  <a:stretch>
                    <a:fillRect/>
                  </a:stretch>
                </pic:blipFill>
                <pic:spPr>
                  <a:xfrm>
                    <a:off x="0" y="0"/>
                    <a:ext cx="7796885" cy="906274"/>
                  </a:xfrm>
                  <a:prstGeom prst="rect">
                    <a:avLst/>
                  </a:prstGeom>
                </pic:spPr>
              </pic:pic>
            </a:graphicData>
          </a:graphic>
          <wp14:sizeRelH relativeFrom="page">
            <wp14:pctWidth>0</wp14:pctWidth>
          </wp14:sizeRelH>
          <wp14:sizeRelV relativeFrom="page">
            <wp14:pctHeight>0</wp14:pctHeight>
          </wp14:sizeRelV>
        </wp:anchor>
      </w:drawing>
    </w:r>
  </w:p>
  <w:p w14:paraId="5E5A5689" w14:textId="77777777" w:rsidR="00B7015A" w:rsidRPr="00B7015A" w:rsidRDefault="00B7015A" w:rsidP="00B701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BE36C" w14:textId="77777777" w:rsidR="00505819" w:rsidRDefault="00505819" w:rsidP="00C518FD">
      <w:pPr>
        <w:spacing w:line="240" w:lineRule="auto"/>
      </w:pPr>
      <w:r>
        <w:separator/>
      </w:r>
    </w:p>
  </w:footnote>
  <w:footnote w:type="continuationSeparator" w:id="0">
    <w:p w14:paraId="0361679F" w14:textId="77777777" w:rsidR="00505819" w:rsidRDefault="00505819" w:rsidP="00C518FD">
      <w:pPr>
        <w:spacing w:line="240" w:lineRule="auto"/>
      </w:pPr>
      <w:r>
        <w:continuationSeparator/>
      </w:r>
    </w:p>
  </w:footnote>
  <w:footnote w:id="1">
    <w:p w14:paraId="435D60DF" w14:textId="77777777" w:rsidR="002B7B70" w:rsidRDefault="002B7B70" w:rsidP="002B7B70">
      <w:pPr>
        <w:pStyle w:val="FootnoteText"/>
        <w:rPr>
          <w:rtl/>
        </w:rPr>
      </w:pPr>
      <w:r>
        <w:rPr>
          <w:rStyle w:val="FootnoteReference"/>
        </w:rPr>
        <w:footnoteRef/>
      </w:r>
      <w:r>
        <w:rPr>
          <w:rtl/>
        </w:rPr>
        <w:t xml:space="preserve"> </w:t>
      </w:r>
      <w:r w:rsidRPr="00CE2FB0">
        <w:rPr>
          <w:rFonts w:cs="David" w:hint="cs"/>
          <w:rtl/>
        </w:rPr>
        <w:t xml:space="preserve">החלטה בדבר מתן פטור בתנאים מאישור הסדר כובל בין: השותפות במאגר הגז 'תמר' ודליה אנרגיות כוח בע"מ (14.06.2012) </w:t>
      </w:r>
      <w:r w:rsidRPr="00F35218">
        <w:rPr>
          <w:rFonts w:cs="David" w:hint="eastAsia"/>
          <w:b/>
          <w:bCs/>
          <w:rtl/>
        </w:rPr>
        <w:t>רשות</w:t>
      </w:r>
      <w:r w:rsidRPr="00F35218">
        <w:rPr>
          <w:rFonts w:cs="David"/>
          <w:b/>
          <w:bCs/>
          <w:rtl/>
        </w:rPr>
        <w:t xml:space="preserve"> </w:t>
      </w:r>
      <w:r w:rsidRPr="00F35218">
        <w:rPr>
          <w:rFonts w:cs="David" w:hint="eastAsia"/>
          <w:b/>
          <w:bCs/>
          <w:rtl/>
        </w:rPr>
        <w:t>התחרות</w:t>
      </w:r>
      <w:r w:rsidRPr="00CE2FB0">
        <w:rPr>
          <w:rFonts w:cs="David" w:hint="cs"/>
          <w:rtl/>
        </w:rPr>
        <w:t xml:space="preserve"> 5001976.</w:t>
      </w:r>
    </w:p>
    <w:p w14:paraId="705A2BBE" w14:textId="77777777" w:rsidR="002B7B70" w:rsidRDefault="00376896" w:rsidP="002B7B70">
      <w:pPr>
        <w:bidi/>
        <w:rPr>
          <w:szCs w:val="22"/>
        </w:rPr>
      </w:pPr>
      <w:hyperlink r:id="rId1" w:history="1">
        <w:r w:rsidR="002B7B70">
          <w:rPr>
            <w:rStyle w:val="Hyperlink"/>
            <w:rFonts w:hint="cs"/>
          </w:rPr>
          <w:t>http://www.competition.gov.il/subject/117/item/25759.aspx</w:t>
        </w:r>
      </w:hyperlink>
    </w:p>
    <w:p w14:paraId="4E4D04F8" w14:textId="77777777" w:rsidR="002B7B70" w:rsidRPr="007903F1" w:rsidRDefault="002B7B70" w:rsidP="002B7B70">
      <w:pPr>
        <w:pStyle w:val="FootnoteText"/>
        <w:rPr>
          <w:rtl/>
        </w:rPr>
      </w:pPr>
    </w:p>
  </w:footnote>
  <w:footnote w:id="2">
    <w:p w14:paraId="6AFF2402" w14:textId="5CAF7327" w:rsidR="00EC0903" w:rsidRDefault="00EC0903" w:rsidP="00FF58D9">
      <w:pPr>
        <w:pStyle w:val="FootnoteText"/>
        <w:rPr>
          <w:rtl/>
        </w:rPr>
      </w:pPr>
      <w:r>
        <w:rPr>
          <w:rStyle w:val="FootnoteReference"/>
        </w:rPr>
        <w:footnoteRef/>
      </w:r>
      <w:r>
        <w:rPr>
          <w:rtl/>
        </w:rPr>
        <w:t xml:space="preserve"> </w:t>
      </w:r>
      <w:r w:rsidR="00FF58D9">
        <w:rPr>
          <w:rFonts w:hint="cs"/>
          <w:rtl/>
        </w:rPr>
        <w:t>דוח של המלצות וועדת צמח - 19 יוני 2018</w:t>
      </w:r>
    </w:p>
    <w:p w14:paraId="19FA23C7" w14:textId="6CD70201" w:rsidR="00FF58D9" w:rsidRDefault="00376896">
      <w:pPr>
        <w:pStyle w:val="FootnoteText"/>
      </w:pPr>
      <w:hyperlink r:id="rId2" w:history="1">
        <w:r w:rsidR="00FF58D9">
          <w:rPr>
            <w:rStyle w:val="Hyperlink"/>
          </w:rPr>
          <w:t>https://www.gov.il/BlobFolder/rfp/ng_160718/he/Presentation19_6_18.pdf</w:t>
        </w:r>
      </w:hyperlink>
    </w:p>
  </w:footnote>
  <w:footnote w:id="3">
    <w:p w14:paraId="056A965E" w14:textId="77777777" w:rsidR="00F8073C" w:rsidRDefault="00F8073C" w:rsidP="00F8073C">
      <w:pPr>
        <w:pStyle w:val="FootnoteText"/>
        <w:rPr>
          <w:rtl/>
        </w:rPr>
      </w:pPr>
      <w:r>
        <w:rPr>
          <w:rStyle w:val="FootnoteReference"/>
        </w:rPr>
        <w:footnoteRef/>
      </w:r>
      <w:r>
        <w:rPr>
          <w:rtl/>
        </w:rPr>
        <w:t xml:space="preserve"> </w:t>
      </w:r>
      <w:r>
        <w:rPr>
          <w:rFonts w:cs="David" w:hint="cs"/>
          <w:rtl/>
        </w:rPr>
        <w:t xml:space="preserve">המונח </w:t>
      </w:r>
      <w:r>
        <w:rPr>
          <w:rFonts w:hint="cs"/>
        </w:rPr>
        <w:t>BCM</w:t>
      </w:r>
      <w:r>
        <w:rPr>
          <w:rFonts w:cs="David" w:hint="cs"/>
          <w:rtl/>
        </w:rPr>
        <w:t xml:space="preserve"> מבטא יחידת מידה של גז טבעי– </w:t>
      </w:r>
      <w:r>
        <w:rPr>
          <w:rFonts w:hint="cs"/>
        </w:rPr>
        <w:t>Billion Cubic Meters</w:t>
      </w:r>
      <w:r>
        <w:rPr>
          <w:rFonts w:cs="David" w:hint="cs"/>
          <w:rtl/>
        </w:rPr>
        <w:t xml:space="preserve"> (מיליארד מטר מעוקב).</w:t>
      </w:r>
    </w:p>
    <w:p w14:paraId="65175243" w14:textId="77777777" w:rsidR="00F8073C" w:rsidRDefault="00F8073C" w:rsidP="00F8073C">
      <w:pPr>
        <w:pStyle w:val="FootnoteText"/>
        <w:rPr>
          <w:rtl/>
        </w:rPr>
      </w:pPr>
    </w:p>
  </w:footnote>
  <w:footnote w:id="4">
    <w:p w14:paraId="1306AB51" w14:textId="1C8AED9B" w:rsidR="00BD279D" w:rsidRDefault="00BD279D">
      <w:pPr>
        <w:pStyle w:val="FootnoteText"/>
        <w:rPr>
          <w:rtl/>
        </w:rPr>
      </w:pPr>
      <w:r>
        <w:rPr>
          <w:rStyle w:val="FootnoteReference"/>
        </w:rPr>
        <w:footnoteRef/>
      </w:r>
      <w:r>
        <w:rPr>
          <w:rtl/>
        </w:rPr>
        <w:t xml:space="preserve"> </w:t>
      </w:r>
      <w:r>
        <w:rPr>
          <w:rFonts w:hint="cs"/>
          <w:rtl/>
        </w:rPr>
        <w:t>המועד עבר ודליה בחרו באופציית ההפחתה.</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0A826" w14:textId="77777777" w:rsidR="00B7015A" w:rsidRDefault="00B7015A" w:rsidP="00B7015A">
    <w:pPr>
      <w:pStyle w:val="Header"/>
      <w:rPr>
        <w:rtl/>
      </w:rPr>
    </w:pPr>
    <w:r>
      <w:rPr>
        <w:noProof/>
        <w:rtl/>
      </w:rPr>
      <w:drawing>
        <wp:anchor distT="0" distB="0" distL="114300" distR="114300" simplePos="0" relativeHeight="251659264" behindDoc="1" locked="0" layoutInCell="1" allowOverlap="1" wp14:anchorId="2CAFA029" wp14:editId="3B3BE65B">
          <wp:simplePos x="0" y="0"/>
          <wp:positionH relativeFrom="page">
            <wp:posOffset>2094931</wp:posOffset>
          </wp:positionH>
          <wp:positionV relativeFrom="paragraph">
            <wp:posOffset>-450376</wp:posOffset>
          </wp:positionV>
          <wp:extent cx="5670645" cy="1104900"/>
          <wp:effectExtent l="0" t="0" r="6350" b="0"/>
          <wp:wrapNone/>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מעודכן_1.png"/>
                  <pic:cNvPicPr/>
                </pic:nvPicPr>
                <pic:blipFill>
                  <a:blip r:embed="rId1">
                    <a:extLst>
                      <a:ext uri="{28A0092B-C50C-407E-A947-70E740481C1C}">
                        <a14:useLocalDpi xmlns:a14="http://schemas.microsoft.com/office/drawing/2010/main" val="0"/>
                      </a:ext>
                    </a:extLst>
                  </a:blip>
                  <a:stretch>
                    <a:fillRect/>
                  </a:stretch>
                </pic:blipFill>
                <pic:spPr>
                  <a:xfrm>
                    <a:off x="0" y="0"/>
                    <a:ext cx="5832438" cy="1136425"/>
                  </a:xfrm>
                  <a:prstGeom prst="rect">
                    <a:avLst/>
                  </a:prstGeom>
                </pic:spPr>
              </pic:pic>
            </a:graphicData>
          </a:graphic>
          <wp14:sizeRelH relativeFrom="page">
            <wp14:pctWidth>0</wp14:pctWidth>
          </wp14:sizeRelH>
          <wp14:sizeRelV relativeFrom="page">
            <wp14:pctHeight>0</wp14:pctHeight>
          </wp14:sizeRelV>
        </wp:anchor>
      </w:drawing>
    </w:r>
  </w:p>
  <w:p w14:paraId="709346B6" w14:textId="77777777" w:rsidR="0042185C" w:rsidRPr="00AD54C1" w:rsidRDefault="0042185C" w:rsidP="00487C5D">
    <w:pPr>
      <w:pStyle w:val="Header"/>
      <w:jc w:val="center"/>
    </w:pPr>
  </w:p>
  <w:p w14:paraId="5D0CB1D8" w14:textId="77777777" w:rsidR="0042185C" w:rsidRDefault="0042185C" w:rsidP="00487C5D">
    <w:pPr>
      <w:pStyle w:val="Header"/>
    </w:pPr>
  </w:p>
  <w:p w14:paraId="4B0FA3E1" w14:textId="77777777" w:rsidR="0042185C" w:rsidRDefault="00421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55D98"/>
    <w:multiLevelType w:val="multilevel"/>
    <w:tmpl w:val="D9947D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77F71BD"/>
    <w:multiLevelType w:val="hybridMultilevel"/>
    <w:tmpl w:val="48C6646E"/>
    <w:lvl w:ilvl="0" w:tplc="B23E83BE">
      <w:start w:val="1"/>
      <w:numFmt w:val="decimal"/>
      <w:lvlText w:val="%1."/>
      <w:lvlJc w:val="left"/>
      <w:pPr>
        <w:ind w:left="360" w:hanging="360"/>
      </w:pPr>
      <w:rPr>
        <w:rFonts w:cs="David"/>
        <w:b/>
        <w:bCs/>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80136FF"/>
    <w:multiLevelType w:val="hybridMultilevel"/>
    <w:tmpl w:val="2BC23726"/>
    <w:lvl w:ilvl="0" w:tplc="F636185E">
      <w:start w:val="1"/>
      <w:numFmt w:val="decimal"/>
      <w:lvlText w:val="%1."/>
      <w:lvlJc w:val="left"/>
      <w:pPr>
        <w:ind w:left="720" w:hanging="360"/>
      </w:pPr>
      <w:rPr>
        <w:rFonts w:cs="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615C61"/>
    <w:multiLevelType w:val="hybridMultilevel"/>
    <w:tmpl w:val="2B360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F7C3077"/>
    <w:multiLevelType w:val="hybridMultilevel"/>
    <w:tmpl w:val="F0AEFCAE"/>
    <w:lvl w:ilvl="0" w:tplc="2780CB6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957716"/>
    <w:multiLevelType w:val="hybridMultilevel"/>
    <w:tmpl w:val="D5B07680"/>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DC4967"/>
    <w:multiLevelType w:val="hybridMultilevel"/>
    <w:tmpl w:val="BFC8E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296D56"/>
    <w:multiLevelType w:val="hybridMultilevel"/>
    <w:tmpl w:val="DB12F4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2"/>
  </w:num>
  <w:num w:numId="4">
    <w:abstractNumId w:val="4"/>
  </w:num>
  <w:num w:numId="5">
    <w:abstractNumId w:val="3"/>
  </w:num>
  <w:num w:numId="6">
    <w:abstractNumId w:val="5"/>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8FD"/>
    <w:rsid w:val="00015855"/>
    <w:rsid w:val="00015A84"/>
    <w:rsid w:val="0002162C"/>
    <w:rsid w:val="00021C5F"/>
    <w:rsid w:val="000237FF"/>
    <w:rsid w:val="00035B4E"/>
    <w:rsid w:val="00036C78"/>
    <w:rsid w:val="00037946"/>
    <w:rsid w:val="000458C9"/>
    <w:rsid w:val="000506A2"/>
    <w:rsid w:val="00061A3C"/>
    <w:rsid w:val="00087E2A"/>
    <w:rsid w:val="00092F72"/>
    <w:rsid w:val="000A303F"/>
    <w:rsid w:val="000B1043"/>
    <w:rsid w:val="000B4F18"/>
    <w:rsid w:val="000B68D1"/>
    <w:rsid w:val="000D3375"/>
    <w:rsid w:val="000E2621"/>
    <w:rsid w:val="000E3AD3"/>
    <w:rsid w:val="000F2D2F"/>
    <w:rsid w:val="000F2E9E"/>
    <w:rsid w:val="000F352B"/>
    <w:rsid w:val="000F36A1"/>
    <w:rsid w:val="000F3976"/>
    <w:rsid w:val="001234FE"/>
    <w:rsid w:val="00133F4B"/>
    <w:rsid w:val="00134443"/>
    <w:rsid w:val="0014051A"/>
    <w:rsid w:val="001437E6"/>
    <w:rsid w:val="0014607B"/>
    <w:rsid w:val="001507AA"/>
    <w:rsid w:val="001552BA"/>
    <w:rsid w:val="00160BB1"/>
    <w:rsid w:val="00166117"/>
    <w:rsid w:val="0017161F"/>
    <w:rsid w:val="001731B4"/>
    <w:rsid w:val="00187EA7"/>
    <w:rsid w:val="001917A1"/>
    <w:rsid w:val="00195AD4"/>
    <w:rsid w:val="00196A4F"/>
    <w:rsid w:val="001A2513"/>
    <w:rsid w:val="001A376F"/>
    <w:rsid w:val="001A65A5"/>
    <w:rsid w:val="001B1030"/>
    <w:rsid w:val="001B3176"/>
    <w:rsid w:val="001B6CEA"/>
    <w:rsid w:val="001C417D"/>
    <w:rsid w:val="001C643F"/>
    <w:rsid w:val="001D0208"/>
    <w:rsid w:val="001D3AEF"/>
    <w:rsid w:val="001E18A1"/>
    <w:rsid w:val="001E7364"/>
    <w:rsid w:val="001F5CAA"/>
    <w:rsid w:val="001F5F47"/>
    <w:rsid w:val="00205842"/>
    <w:rsid w:val="002167EF"/>
    <w:rsid w:val="002353DD"/>
    <w:rsid w:val="00237CDF"/>
    <w:rsid w:val="002453D9"/>
    <w:rsid w:val="002510FE"/>
    <w:rsid w:val="00253CF9"/>
    <w:rsid w:val="002574E0"/>
    <w:rsid w:val="00261300"/>
    <w:rsid w:val="00262DA4"/>
    <w:rsid w:val="0027446F"/>
    <w:rsid w:val="00276915"/>
    <w:rsid w:val="002771D4"/>
    <w:rsid w:val="002870AB"/>
    <w:rsid w:val="002931A2"/>
    <w:rsid w:val="002A09F4"/>
    <w:rsid w:val="002A4361"/>
    <w:rsid w:val="002A47FD"/>
    <w:rsid w:val="002A4AA8"/>
    <w:rsid w:val="002B2B0E"/>
    <w:rsid w:val="002B7B70"/>
    <w:rsid w:val="002C3013"/>
    <w:rsid w:val="002C487B"/>
    <w:rsid w:val="002D1435"/>
    <w:rsid w:val="002E3989"/>
    <w:rsid w:val="002F45FA"/>
    <w:rsid w:val="0030474B"/>
    <w:rsid w:val="00310165"/>
    <w:rsid w:val="00315135"/>
    <w:rsid w:val="00320072"/>
    <w:rsid w:val="003266DC"/>
    <w:rsid w:val="00330162"/>
    <w:rsid w:val="00331069"/>
    <w:rsid w:val="00341693"/>
    <w:rsid w:val="00353C77"/>
    <w:rsid w:val="00356275"/>
    <w:rsid w:val="00362186"/>
    <w:rsid w:val="00374E65"/>
    <w:rsid w:val="00376896"/>
    <w:rsid w:val="00380EE7"/>
    <w:rsid w:val="00381BD5"/>
    <w:rsid w:val="003862EE"/>
    <w:rsid w:val="0039079E"/>
    <w:rsid w:val="00390D5C"/>
    <w:rsid w:val="003925E1"/>
    <w:rsid w:val="00392E29"/>
    <w:rsid w:val="00395F2D"/>
    <w:rsid w:val="003A414F"/>
    <w:rsid w:val="003B202F"/>
    <w:rsid w:val="003B386D"/>
    <w:rsid w:val="003B39EC"/>
    <w:rsid w:val="003B49D6"/>
    <w:rsid w:val="003D1FB2"/>
    <w:rsid w:val="003D605D"/>
    <w:rsid w:val="003D65BB"/>
    <w:rsid w:val="003E04F8"/>
    <w:rsid w:val="003E5329"/>
    <w:rsid w:val="003F1FAF"/>
    <w:rsid w:val="004007B7"/>
    <w:rsid w:val="00401AFF"/>
    <w:rsid w:val="0040676F"/>
    <w:rsid w:val="004104E6"/>
    <w:rsid w:val="0042185C"/>
    <w:rsid w:val="00425699"/>
    <w:rsid w:val="00432C40"/>
    <w:rsid w:val="004517D1"/>
    <w:rsid w:val="00451EF1"/>
    <w:rsid w:val="004549A1"/>
    <w:rsid w:val="0046104A"/>
    <w:rsid w:val="004652E5"/>
    <w:rsid w:val="0047263D"/>
    <w:rsid w:val="00474AB5"/>
    <w:rsid w:val="00481389"/>
    <w:rsid w:val="00481588"/>
    <w:rsid w:val="00487C5D"/>
    <w:rsid w:val="004A2189"/>
    <w:rsid w:val="004A61B0"/>
    <w:rsid w:val="004A7A4D"/>
    <w:rsid w:val="004B3DE9"/>
    <w:rsid w:val="004C7E75"/>
    <w:rsid w:val="004D6E86"/>
    <w:rsid w:val="004E7EA2"/>
    <w:rsid w:val="00500C29"/>
    <w:rsid w:val="00505819"/>
    <w:rsid w:val="00511327"/>
    <w:rsid w:val="005252A1"/>
    <w:rsid w:val="00551E21"/>
    <w:rsid w:val="00554A0D"/>
    <w:rsid w:val="00555CB6"/>
    <w:rsid w:val="00563213"/>
    <w:rsid w:val="005758FA"/>
    <w:rsid w:val="005A28AB"/>
    <w:rsid w:val="005A2D4A"/>
    <w:rsid w:val="005B789C"/>
    <w:rsid w:val="005D229E"/>
    <w:rsid w:val="005D4248"/>
    <w:rsid w:val="005E1AC6"/>
    <w:rsid w:val="005E5BFB"/>
    <w:rsid w:val="005F116C"/>
    <w:rsid w:val="005F22F1"/>
    <w:rsid w:val="005F4EB7"/>
    <w:rsid w:val="006014B6"/>
    <w:rsid w:val="00607093"/>
    <w:rsid w:val="006163F6"/>
    <w:rsid w:val="0062108E"/>
    <w:rsid w:val="00622DFD"/>
    <w:rsid w:val="00627962"/>
    <w:rsid w:val="00630197"/>
    <w:rsid w:val="00633A68"/>
    <w:rsid w:val="0063577D"/>
    <w:rsid w:val="00637F11"/>
    <w:rsid w:val="00640FE4"/>
    <w:rsid w:val="00644798"/>
    <w:rsid w:val="00657996"/>
    <w:rsid w:val="0066268E"/>
    <w:rsid w:val="006645E3"/>
    <w:rsid w:val="00664E00"/>
    <w:rsid w:val="00672E32"/>
    <w:rsid w:val="00674F61"/>
    <w:rsid w:val="00691C1A"/>
    <w:rsid w:val="00691E81"/>
    <w:rsid w:val="006A4D4B"/>
    <w:rsid w:val="006A796F"/>
    <w:rsid w:val="006B022C"/>
    <w:rsid w:val="006C058C"/>
    <w:rsid w:val="006D0652"/>
    <w:rsid w:val="006E527A"/>
    <w:rsid w:val="006E776E"/>
    <w:rsid w:val="0070173C"/>
    <w:rsid w:val="00704FEF"/>
    <w:rsid w:val="00706803"/>
    <w:rsid w:val="00707525"/>
    <w:rsid w:val="00740B47"/>
    <w:rsid w:val="00740C9C"/>
    <w:rsid w:val="00744DE7"/>
    <w:rsid w:val="0078000B"/>
    <w:rsid w:val="00783FD9"/>
    <w:rsid w:val="007840BA"/>
    <w:rsid w:val="007849EC"/>
    <w:rsid w:val="007862CF"/>
    <w:rsid w:val="007903F1"/>
    <w:rsid w:val="007B5A49"/>
    <w:rsid w:val="007C133A"/>
    <w:rsid w:val="007C6D16"/>
    <w:rsid w:val="007D2F5F"/>
    <w:rsid w:val="007E1862"/>
    <w:rsid w:val="007E4432"/>
    <w:rsid w:val="007E6FC4"/>
    <w:rsid w:val="00801A67"/>
    <w:rsid w:val="008120E8"/>
    <w:rsid w:val="00820D1B"/>
    <w:rsid w:val="00825082"/>
    <w:rsid w:val="00825190"/>
    <w:rsid w:val="0084199B"/>
    <w:rsid w:val="008469D0"/>
    <w:rsid w:val="00850BF3"/>
    <w:rsid w:val="00853CF3"/>
    <w:rsid w:val="00853F1E"/>
    <w:rsid w:val="00855315"/>
    <w:rsid w:val="00861FF5"/>
    <w:rsid w:val="00885148"/>
    <w:rsid w:val="00886EB6"/>
    <w:rsid w:val="008964AE"/>
    <w:rsid w:val="008A4AAF"/>
    <w:rsid w:val="008A7E1D"/>
    <w:rsid w:val="008B0A23"/>
    <w:rsid w:val="008B15DB"/>
    <w:rsid w:val="008B297A"/>
    <w:rsid w:val="008B4CD6"/>
    <w:rsid w:val="008B5CAA"/>
    <w:rsid w:val="008C28C8"/>
    <w:rsid w:val="008C2EB3"/>
    <w:rsid w:val="008C3569"/>
    <w:rsid w:val="008D0194"/>
    <w:rsid w:val="008D02EE"/>
    <w:rsid w:val="008D2A29"/>
    <w:rsid w:val="008D443A"/>
    <w:rsid w:val="008F3E33"/>
    <w:rsid w:val="00905761"/>
    <w:rsid w:val="00914646"/>
    <w:rsid w:val="009175CE"/>
    <w:rsid w:val="00924179"/>
    <w:rsid w:val="00943550"/>
    <w:rsid w:val="00943ACC"/>
    <w:rsid w:val="00944AE6"/>
    <w:rsid w:val="0094703A"/>
    <w:rsid w:val="0095119A"/>
    <w:rsid w:val="00954788"/>
    <w:rsid w:val="009547B7"/>
    <w:rsid w:val="0095734E"/>
    <w:rsid w:val="00962A16"/>
    <w:rsid w:val="009669D2"/>
    <w:rsid w:val="00972C29"/>
    <w:rsid w:val="00973209"/>
    <w:rsid w:val="00974EB2"/>
    <w:rsid w:val="00977E68"/>
    <w:rsid w:val="00986426"/>
    <w:rsid w:val="009973F3"/>
    <w:rsid w:val="009A63FB"/>
    <w:rsid w:val="009B2516"/>
    <w:rsid w:val="009C1463"/>
    <w:rsid w:val="009D0076"/>
    <w:rsid w:val="009D2405"/>
    <w:rsid w:val="009D3FD5"/>
    <w:rsid w:val="009D624A"/>
    <w:rsid w:val="009D7356"/>
    <w:rsid w:val="009E2C3A"/>
    <w:rsid w:val="009F238D"/>
    <w:rsid w:val="009F3A92"/>
    <w:rsid w:val="009F6801"/>
    <w:rsid w:val="009F6A9B"/>
    <w:rsid w:val="009F6B4D"/>
    <w:rsid w:val="00A12AC3"/>
    <w:rsid w:val="00A14130"/>
    <w:rsid w:val="00A14EE8"/>
    <w:rsid w:val="00A222A6"/>
    <w:rsid w:val="00A34D2D"/>
    <w:rsid w:val="00A438F0"/>
    <w:rsid w:val="00A56BF3"/>
    <w:rsid w:val="00A76A5B"/>
    <w:rsid w:val="00A774EC"/>
    <w:rsid w:val="00A808E2"/>
    <w:rsid w:val="00A82661"/>
    <w:rsid w:val="00A92FFB"/>
    <w:rsid w:val="00A93104"/>
    <w:rsid w:val="00AA0E17"/>
    <w:rsid w:val="00AA1CA6"/>
    <w:rsid w:val="00AB6103"/>
    <w:rsid w:val="00AC5092"/>
    <w:rsid w:val="00AC5722"/>
    <w:rsid w:val="00AD1D57"/>
    <w:rsid w:val="00AD60B3"/>
    <w:rsid w:val="00AE1F9F"/>
    <w:rsid w:val="00AE2401"/>
    <w:rsid w:val="00AE30F4"/>
    <w:rsid w:val="00AF5F30"/>
    <w:rsid w:val="00B25E3D"/>
    <w:rsid w:val="00B35517"/>
    <w:rsid w:val="00B47F85"/>
    <w:rsid w:val="00B523DF"/>
    <w:rsid w:val="00B57AEC"/>
    <w:rsid w:val="00B60B2D"/>
    <w:rsid w:val="00B6302F"/>
    <w:rsid w:val="00B64BC6"/>
    <w:rsid w:val="00B7015A"/>
    <w:rsid w:val="00B76007"/>
    <w:rsid w:val="00B76F5A"/>
    <w:rsid w:val="00B76FD0"/>
    <w:rsid w:val="00B77207"/>
    <w:rsid w:val="00B81D9E"/>
    <w:rsid w:val="00B9303C"/>
    <w:rsid w:val="00B95336"/>
    <w:rsid w:val="00B95773"/>
    <w:rsid w:val="00B97F39"/>
    <w:rsid w:val="00BB3391"/>
    <w:rsid w:val="00BC1C1E"/>
    <w:rsid w:val="00BD0C8A"/>
    <w:rsid w:val="00BD279D"/>
    <w:rsid w:val="00BD3B22"/>
    <w:rsid w:val="00BE067F"/>
    <w:rsid w:val="00BE1EEC"/>
    <w:rsid w:val="00C03DBC"/>
    <w:rsid w:val="00C066FE"/>
    <w:rsid w:val="00C232BE"/>
    <w:rsid w:val="00C34E04"/>
    <w:rsid w:val="00C50196"/>
    <w:rsid w:val="00C518D2"/>
    <w:rsid w:val="00C518FD"/>
    <w:rsid w:val="00C669ED"/>
    <w:rsid w:val="00C74D1F"/>
    <w:rsid w:val="00C819EC"/>
    <w:rsid w:val="00C8246C"/>
    <w:rsid w:val="00C84ED6"/>
    <w:rsid w:val="00C86D2B"/>
    <w:rsid w:val="00C934AE"/>
    <w:rsid w:val="00CA1FDA"/>
    <w:rsid w:val="00CA3943"/>
    <w:rsid w:val="00CA3E18"/>
    <w:rsid w:val="00CA7BB9"/>
    <w:rsid w:val="00CB3FB9"/>
    <w:rsid w:val="00CC0361"/>
    <w:rsid w:val="00CC63DC"/>
    <w:rsid w:val="00CC7C66"/>
    <w:rsid w:val="00CD0104"/>
    <w:rsid w:val="00CD2D81"/>
    <w:rsid w:val="00CD419D"/>
    <w:rsid w:val="00CD7430"/>
    <w:rsid w:val="00CD755A"/>
    <w:rsid w:val="00CE2FB0"/>
    <w:rsid w:val="00CE6DC7"/>
    <w:rsid w:val="00CF3C0C"/>
    <w:rsid w:val="00CF73CD"/>
    <w:rsid w:val="00D0129B"/>
    <w:rsid w:val="00D13290"/>
    <w:rsid w:val="00D13B3C"/>
    <w:rsid w:val="00D25945"/>
    <w:rsid w:val="00D27149"/>
    <w:rsid w:val="00D30AD2"/>
    <w:rsid w:val="00D311A4"/>
    <w:rsid w:val="00D411FF"/>
    <w:rsid w:val="00D42872"/>
    <w:rsid w:val="00D5197D"/>
    <w:rsid w:val="00D56F9A"/>
    <w:rsid w:val="00D60354"/>
    <w:rsid w:val="00D65F2F"/>
    <w:rsid w:val="00D67996"/>
    <w:rsid w:val="00D71CF9"/>
    <w:rsid w:val="00D926F4"/>
    <w:rsid w:val="00DA1B03"/>
    <w:rsid w:val="00DA2437"/>
    <w:rsid w:val="00DA36A9"/>
    <w:rsid w:val="00DA3F7B"/>
    <w:rsid w:val="00DB7029"/>
    <w:rsid w:val="00DC2421"/>
    <w:rsid w:val="00DD7196"/>
    <w:rsid w:val="00DE719D"/>
    <w:rsid w:val="00DF6764"/>
    <w:rsid w:val="00E027F5"/>
    <w:rsid w:val="00E06A0B"/>
    <w:rsid w:val="00E17B0C"/>
    <w:rsid w:val="00E22025"/>
    <w:rsid w:val="00E3274E"/>
    <w:rsid w:val="00E3300C"/>
    <w:rsid w:val="00E34070"/>
    <w:rsid w:val="00E45B0C"/>
    <w:rsid w:val="00E46837"/>
    <w:rsid w:val="00E470C5"/>
    <w:rsid w:val="00E62046"/>
    <w:rsid w:val="00E77F7F"/>
    <w:rsid w:val="00E80322"/>
    <w:rsid w:val="00E809E0"/>
    <w:rsid w:val="00E858AB"/>
    <w:rsid w:val="00E955C2"/>
    <w:rsid w:val="00EA0565"/>
    <w:rsid w:val="00EB7539"/>
    <w:rsid w:val="00EB7AFC"/>
    <w:rsid w:val="00EC0903"/>
    <w:rsid w:val="00EC33FA"/>
    <w:rsid w:val="00EC4554"/>
    <w:rsid w:val="00EC7717"/>
    <w:rsid w:val="00EC78B2"/>
    <w:rsid w:val="00ED1393"/>
    <w:rsid w:val="00ED1A24"/>
    <w:rsid w:val="00ED610E"/>
    <w:rsid w:val="00EF2AF7"/>
    <w:rsid w:val="00EF36F5"/>
    <w:rsid w:val="00EF4C7A"/>
    <w:rsid w:val="00EF723D"/>
    <w:rsid w:val="00F01508"/>
    <w:rsid w:val="00F04AF4"/>
    <w:rsid w:val="00F10747"/>
    <w:rsid w:val="00F112E6"/>
    <w:rsid w:val="00F11A8B"/>
    <w:rsid w:val="00F12BEE"/>
    <w:rsid w:val="00F134A3"/>
    <w:rsid w:val="00F256A1"/>
    <w:rsid w:val="00F35218"/>
    <w:rsid w:val="00F439B4"/>
    <w:rsid w:val="00F45F55"/>
    <w:rsid w:val="00F5621C"/>
    <w:rsid w:val="00F624C6"/>
    <w:rsid w:val="00F66AFF"/>
    <w:rsid w:val="00F70DD8"/>
    <w:rsid w:val="00F8073C"/>
    <w:rsid w:val="00F8554A"/>
    <w:rsid w:val="00F93174"/>
    <w:rsid w:val="00F96657"/>
    <w:rsid w:val="00FA5D5A"/>
    <w:rsid w:val="00FB14F9"/>
    <w:rsid w:val="00FB2222"/>
    <w:rsid w:val="00FC1AF2"/>
    <w:rsid w:val="00FC5F17"/>
    <w:rsid w:val="00FD23EF"/>
    <w:rsid w:val="00FD64B8"/>
    <w:rsid w:val="00FE6769"/>
    <w:rsid w:val="00FF58D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5D6448"/>
  <w15:docId w15:val="{67236010-D039-475D-A4F2-62401A10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David"/>
        <w:sz w:val="22"/>
        <w:szCs w:val="22"/>
        <w:lang w:val="en-US" w:eastAsia="en-US" w:bidi="he-IL"/>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3AEF"/>
    <w:rPr>
      <w:szCs w:val="24"/>
    </w:rPr>
  </w:style>
  <w:style w:type="paragraph" w:styleId="Heading1">
    <w:name w:val="heading 1"/>
    <w:basedOn w:val="Normal"/>
    <w:next w:val="Normal"/>
    <w:link w:val="Heading1Char"/>
    <w:uiPriority w:val="9"/>
    <w:qFormat/>
    <w:rsid w:val="00C518FD"/>
    <w:pPr>
      <w:keepNext/>
      <w:keepLines/>
      <w:bidi/>
      <w:spacing w:before="480" w:after="240"/>
      <w:outlineLvl w:val="0"/>
    </w:pPr>
    <w:rPr>
      <w:rFonts w:eastAsiaTheme="majorEastAsia"/>
      <w:b/>
      <w:bCs/>
      <w:sz w:val="28"/>
      <w:szCs w:val="28"/>
    </w:rPr>
  </w:style>
  <w:style w:type="paragraph" w:styleId="Heading2">
    <w:name w:val="heading 2"/>
    <w:basedOn w:val="Normal"/>
    <w:next w:val="Normal"/>
    <w:link w:val="Heading2Char"/>
    <w:uiPriority w:val="9"/>
    <w:unhideWhenUsed/>
    <w:qFormat/>
    <w:rsid w:val="00C518FD"/>
    <w:pPr>
      <w:keepNext/>
      <w:keepLines/>
      <w:bidi/>
      <w:spacing w:before="200" w:line="276" w:lineRule="auto"/>
      <w:jc w:val="left"/>
      <w:outlineLvl w:val="1"/>
    </w:pPr>
    <w:rPr>
      <w:rFonts w:asciiTheme="majorHAnsi" w:eastAsiaTheme="majorEastAsia" w:hAnsiTheme="majorHAnsi"/>
      <w:b/>
      <w:bCs/>
      <w:color w:val="000000" w:themeColor="text1"/>
      <w:sz w:val="26"/>
      <w:szCs w:val="26"/>
    </w:rPr>
  </w:style>
  <w:style w:type="paragraph" w:styleId="Heading3">
    <w:name w:val="heading 3"/>
    <w:basedOn w:val="Normal"/>
    <w:next w:val="Normal"/>
    <w:link w:val="Heading3Char"/>
    <w:uiPriority w:val="9"/>
    <w:unhideWhenUsed/>
    <w:qFormat/>
    <w:rsid w:val="00C518FD"/>
    <w:pPr>
      <w:keepNext/>
      <w:keepLines/>
      <w:bidi/>
      <w:spacing w:before="200" w:line="276" w:lineRule="auto"/>
      <w:jc w:val="left"/>
      <w:outlineLvl w:val="2"/>
    </w:pPr>
    <w:rPr>
      <w:rFonts w:asciiTheme="majorHAnsi" w:eastAsiaTheme="majorEastAsia" w:hAnsiTheme="majorHAnsi" w:cstheme="majorBidi"/>
      <w:b/>
      <w:bCs/>
      <w:color w:val="4F81BD" w:themeColor="accent1"/>
    </w:rPr>
  </w:style>
  <w:style w:type="paragraph" w:styleId="Heading9">
    <w:name w:val="heading 9"/>
    <w:basedOn w:val="Normal"/>
    <w:next w:val="Normal"/>
    <w:link w:val="Heading9Char"/>
    <w:uiPriority w:val="9"/>
    <w:semiHidden/>
    <w:unhideWhenUsed/>
    <w:qFormat/>
    <w:rsid w:val="00C518FD"/>
    <w:pPr>
      <w:keepNext/>
      <w:keepLines/>
      <w:bidi/>
      <w:spacing w:before="200" w:line="276" w:lineRule="auto"/>
      <w:jc w:val="left"/>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8FD"/>
    <w:rPr>
      <w:rFonts w:eastAsiaTheme="majorEastAsia"/>
      <w:b/>
      <w:bCs/>
      <w:sz w:val="28"/>
      <w:szCs w:val="28"/>
    </w:rPr>
  </w:style>
  <w:style w:type="character" w:customStyle="1" w:styleId="Heading2Char">
    <w:name w:val="Heading 2 Char"/>
    <w:basedOn w:val="DefaultParagraphFont"/>
    <w:link w:val="Heading2"/>
    <w:uiPriority w:val="9"/>
    <w:rsid w:val="00C518FD"/>
    <w:rPr>
      <w:rFonts w:asciiTheme="majorHAnsi" w:eastAsiaTheme="majorEastAsia" w:hAnsiTheme="majorHAnsi"/>
      <w:b/>
      <w:bCs/>
      <w:color w:val="000000" w:themeColor="text1"/>
      <w:sz w:val="26"/>
      <w:szCs w:val="26"/>
    </w:rPr>
  </w:style>
  <w:style w:type="character" w:customStyle="1" w:styleId="Heading3Char">
    <w:name w:val="Heading 3 Char"/>
    <w:basedOn w:val="DefaultParagraphFont"/>
    <w:link w:val="Heading3"/>
    <w:uiPriority w:val="9"/>
    <w:rsid w:val="00C518FD"/>
    <w:rPr>
      <w:rFonts w:asciiTheme="majorHAnsi" w:eastAsiaTheme="majorEastAsia" w:hAnsiTheme="majorHAnsi" w:cstheme="majorBidi"/>
      <w:b/>
      <w:bCs/>
      <w:color w:val="4F81BD" w:themeColor="accent1"/>
    </w:rPr>
  </w:style>
  <w:style w:type="character" w:customStyle="1" w:styleId="Heading9Char">
    <w:name w:val="Heading 9 Char"/>
    <w:basedOn w:val="DefaultParagraphFont"/>
    <w:link w:val="Heading9"/>
    <w:uiPriority w:val="9"/>
    <w:semiHidden/>
    <w:rsid w:val="00C518FD"/>
    <w:rPr>
      <w:rFonts w:asciiTheme="majorHAnsi" w:eastAsiaTheme="majorEastAsia" w:hAnsiTheme="majorHAnsi" w:cstheme="majorBidi"/>
      <w:i/>
      <w:iCs/>
      <w:color w:val="404040" w:themeColor="text1" w:themeTint="BF"/>
      <w:sz w:val="20"/>
      <w:szCs w:val="20"/>
    </w:rPr>
  </w:style>
  <w:style w:type="paragraph" w:styleId="FootnoteText">
    <w:name w:val="footnote text"/>
    <w:basedOn w:val="Normal"/>
    <w:link w:val="FootnoteTextChar"/>
    <w:unhideWhenUsed/>
    <w:rsid w:val="00C518FD"/>
    <w:pPr>
      <w:bidi/>
      <w:spacing w:line="240" w:lineRule="auto"/>
      <w:jc w:val="left"/>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rsid w:val="00C518FD"/>
    <w:rPr>
      <w:rFonts w:asciiTheme="minorHAnsi" w:eastAsiaTheme="minorEastAsia" w:hAnsiTheme="minorHAnsi" w:cstheme="minorBidi"/>
      <w:sz w:val="20"/>
      <w:szCs w:val="20"/>
    </w:rPr>
  </w:style>
  <w:style w:type="character" w:styleId="FootnoteReference">
    <w:name w:val="footnote reference"/>
    <w:aliases w:val="header 3"/>
    <w:basedOn w:val="DefaultParagraphFont"/>
    <w:unhideWhenUsed/>
    <w:rsid w:val="00C518FD"/>
    <w:rPr>
      <w:vertAlign w:val="superscript"/>
    </w:rPr>
  </w:style>
  <w:style w:type="character" w:styleId="Hyperlink">
    <w:name w:val="Hyperlink"/>
    <w:basedOn w:val="DefaultParagraphFont"/>
    <w:uiPriority w:val="99"/>
    <w:unhideWhenUsed/>
    <w:rsid w:val="00C518FD"/>
    <w:rPr>
      <w:color w:val="0000FF" w:themeColor="hyperlink"/>
      <w:u w:val="single"/>
    </w:rPr>
  </w:style>
  <w:style w:type="paragraph" w:styleId="ListParagraph">
    <w:name w:val="List Paragraph"/>
    <w:basedOn w:val="Normal"/>
    <w:uiPriority w:val="34"/>
    <w:qFormat/>
    <w:rsid w:val="00C518FD"/>
    <w:pPr>
      <w:bidi/>
      <w:spacing w:after="200" w:line="276" w:lineRule="auto"/>
      <w:ind w:left="720"/>
      <w:contextualSpacing/>
      <w:jc w:val="left"/>
    </w:pPr>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C518FD"/>
    <w:pPr>
      <w:bidi/>
      <w:spacing w:line="240" w:lineRule="auto"/>
      <w:jc w:val="left"/>
    </w:pPr>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rsid w:val="00C518FD"/>
    <w:rPr>
      <w:rFonts w:ascii="Tahoma" w:eastAsiaTheme="minorEastAsia" w:hAnsi="Tahoma" w:cs="Tahoma"/>
      <w:sz w:val="16"/>
      <w:szCs w:val="16"/>
    </w:rPr>
  </w:style>
  <w:style w:type="paragraph" w:styleId="Caption">
    <w:name w:val="caption"/>
    <w:basedOn w:val="Normal"/>
    <w:next w:val="Normal"/>
    <w:uiPriority w:val="35"/>
    <w:unhideWhenUsed/>
    <w:qFormat/>
    <w:rsid w:val="00C518FD"/>
    <w:pPr>
      <w:bidi/>
      <w:spacing w:after="200" w:line="240" w:lineRule="auto"/>
      <w:jc w:val="left"/>
    </w:pPr>
    <w:rPr>
      <w:rFonts w:asciiTheme="minorHAnsi" w:eastAsiaTheme="minorEastAsia" w:hAnsiTheme="minorHAnsi" w:cstheme="minorBidi"/>
      <w:b/>
      <w:bCs/>
      <w:color w:val="4F81BD" w:themeColor="accent1"/>
      <w:sz w:val="18"/>
      <w:szCs w:val="18"/>
    </w:rPr>
  </w:style>
  <w:style w:type="paragraph" w:styleId="NoSpacing">
    <w:name w:val="No Spacing"/>
    <w:uiPriority w:val="1"/>
    <w:qFormat/>
    <w:rsid w:val="001D3AEF"/>
    <w:pPr>
      <w:bidi/>
      <w:spacing w:line="240" w:lineRule="auto"/>
      <w:jc w:val="left"/>
    </w:pPr>
    <w:rPr>
      <w:rFonts w:asciiTheme="minorHAnsi" w:eastAsiaTheme="minorEastAsia" w:hAnsiTheme="minorHAnsi"/>
      <w:szCs w:val="24"/>
      <w:u w:val="single"/>
    </w:rPr>
  </w:style>
  <w:style w:type="character" w:styleId="CommentReference">
    <w:name w:val="annotation reference"/>
    <w:basedOn w:val="DefaultParagraphFont"/>
    <w:uiPriority w:val="99"/>
    <w:semiHidden/>
    <w:unhideWhenUsed/>
    <w:rsid w:val="00C518FD"/>
    <w:rPr>
      <w:sz w:val="16"/>
      <w:szCs w:val="16"/>
    </w:rPr>
  </w:style>
  <w:style w:type="paragraph" w:styleId="CommentText">
    <w:name w:val="annotation text"/>
    <w:basedOn w:val="Normal"/>
    <w:link w:val="CommentTextChar"/>
    <w:uiPriority w:val="99"/>
    <w:semiHidden/>
    <w:unhideWhenUsed/>
    <w:rsid w:val="00C518FD"/>
    <w:pPr>
      <w:bidi/>
      <w:spacing w:after="200" w:line="240" w:lineRule="auto"/>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C518FD"/>
    <w:rPr>
      <w:rFonts w:asciiTheme="minorHAnsi" w:eastAsiaTheme="minorEastAsia" w:hAnsiTheme="minorHAnsi" w:cstheme="minorBidi"/>
      <w:sz w:val="20"/>
      <w:szCs w:val="20"/>
    </w:rPr>
  </w:style>
  <w:style w:type="paragraph" w:styleId="CommentSubject">
    <w:name w:val="annotation subject"/>
    <w:basedOn w:val="CommentText"/>
    <w:next w:val="CommentText"/>
    <w:link w:val="CommentSubjectChar"/>
    <w:uiPriority w:val="99"/>
    <w:semiHidden/>
    <w:unhideWhenUsed/>
    <w:rsid w:val="00C518FD"/>
    <w:rPr>
      <w:b/>
      <w:bCs/>
    </w:rPr>
  </w:style>
  <w:style w:type="character" w:customStyle="1" w:styleId="CommentSubjectChar">
    <w:name w:val="Comment Subject Char"/>
    <w:basedOn w:val="CommentTextChar"/>
    <w:link w:val="CommentSubject"/>
    <w:uiPriority w:val="99"/>
    <w:semiHidden/>
    <w:rsid w:val="00C518FD"/>
    <w:rPr>
      <w:rFonts w:asciiTheme="minorHAnsi" w:eastAsiaTheme="minorEastAsia" w:hAnsiTheme="minorHAnsi" w:cstheme="minorBidi"/>
      <w:b/>
      <w:bCs/>
      <w:sz w:val="20"/>
      <w:szCs w:val="20"/>
    </w:rPr>
  </w:style>
  <w:style w:type="character" w:styleId="FollowedHyperlink">
    <w:name w:val="FollowedHyperlink"/>
    <w:basedOn w:val="DefaultParagraphFont"/>
    <w:uiPriority w:val="99"/>
    <w:semiHidden/>
    <w:unhideWhenUsed/>
    <w:rsid w:val="00C518FD"/>
    <w:rPr>
      <w:color w:val="800080" w:themeColor="followedHyperlink"/>
      <w:u w:val="single"/>
    </w:rPr>
  </w:style>
  <w:style w:type="table" w:styleId="TableGrid">
    <w:name w:val="Table Grid"/>
    <w:basedOn w:val="TableNormal"/>
    <w:uiPriority w:val="59"/>
    <w:rsid w:val="00C518FD"/>
    <w:pPr>
      <w:spacing w:line="240" w:lineRule="auto"/>
      <w:jc w:val="left"/>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רשימה בהירה - הדגשה 11"/>
    <w:basedOn w:val="TableNormal"/>
    <w:next w:val="LightList-Accent1"/>
    <w:uiPriority w:val="61"/>
    <w:rsid w:val="00C518FD"/>
    <w:pPr>
      <w:spacing w:line="240" w:lineRule="auto"/>
      <w:jc w:val="left"/>
    </w:pPr>
    <w:rPr>
      <w:rFonts w:asciiTheme="minorHAnsi" w:hAnsiTheme="minorHAnsi" w:cstheme="minorBid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1">
    <w:name w:val="Light List Accent 1"/>
    <w:basedOn w:val="TableNormal"/>
    <w:uiPriority w:val="61"/>
    <w:rsid w:val="00C518FD"/>
    <w:pPr>
      <w:spacing w:line="240" w:lineRule="auto"/>
      <w:jc w:val="left"/>
    </w:pPr>
    <w:rPr>
      <w:rFonts w:asciiTheme="minorHAnsi" w:hAnsiTheme="minorHAnsi" w:cstheme="minorBid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pple-converted-space">
    <w:name w:val="apple-converted-space"/>
    <w:basedOn w:val="DefaultParagraphFont"/>
    <w:rsid w:val="00C518FD"/>
  </w:style>
  <w:style w:type="character" w:styleId="Emphasis">
    <w:name w:val="Emphasis"/>
    <w:basedOn w:val="DefaultParagraphFont"/>
    <w:uiPriority w:val="20"/>
    <w:qFormat/>
    <w:rsid w:val="00C518FD"/>
    <w:rPr>
      <w:i/>
      <w:iCs/>
    </w:rPr>
  </w:style>
  <w:style w:type="numbering" w:customStyle="1" w:styleId="1">
    <w:name w:val="ללא רשימה1"/>
    <w:next w:val="NoList"/>
    <w:uiPriority w:val="99"/>
    <w:semiHidden/>
    <w:unhideWhenUsed/>
    <w:rsid w:val="00C518FD"/>
  </w:style>
  <w:style w:type="paragraph" w:styleId="Header">
    <w:name w:val="header"/>
    <w:basedOn w:val="Normal"/>
    <w:link w:val="HeaderChar"/>
    <w:uiPriority w:val="99"/>
    <w:unhideWhenUsed/>
    <w:rsid w:val="00487C5D"/>
    <w:pPr>
      <w:tabs>
        <w:tab w:val="center" w:pos="4320"/>
        <w:tab w:val="right" w:pos="8640"/>
      </w:tabs>
      <w:spacing w:line="240" w:lineRule="auto"/>
    </w:pPr>
  </w:style>
  <w:style w:type="character" w:customStyle="1" w:styleId="HeaderChar">
    <w:name w:val="Header Char"/>
    <w:basedOn w:val="DefaultParagraphFont"/>
    <w:link w:val="Header"/>
    <w:uiPriority w:val="99"/>
    <w:rsid w:val="00487C5D"/>
  </w:style>
  <w:style w:type="paragraph" w:styleId="Footer">
    <w:name w:val="footer"/>
    <w:basedOn w:val="Normal"/>
    <w:link w:val="FooterChar"/>
    <w:uiPriority w:val="99"/>
    <w:unhideWhenUsed/>
    <w:rsid w:val="00487C5D"/>
    <w:pPr>
      <w:tabs>
        <w:tab w:val="center" w:pos="4320"/>
        <w:tab w:val="right" w:pos="8640"/>
      </w:tabs>
      <w:spacing w:line="240" w:lineRule="auto"/>
    </w:pPr>
  </w:style>
  <w:style w:type="character" w:customStyle="1" w:styleId="FooterChar">
    <w:name w:val="Footer Char"/>
    <w:basedOn w:val="DefaultParagraphFont"/>
    <w:link w:val="Footer"/>
    <w:uiPriority w:val="99"/>
    <w:rsid w:val="00487C5D"/>
  </w:style>
  <w:style w:type="table" w:styleId="LightShading-Accent1">
    <w:name w:val="Light Shading Accent 1"/>
    <w:basedOn w:val="TableNormal"/>
    <w:uiPriority w:val="60"/>
    <w:rsid w:val="00331069"/>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Strong">
    <w:name w:val="Strong"/>
    <w:basedOn w:val="DefaultParagraphFont"/>
    <w:uiPriority w:val="22"/>
    <w:qFormat/>
    <w:rsid w:val="00F10747"/>
    <w:rPr>
      <w:b/>
      <w:bCs/>
    </w:rPr>
  </w:style>
  <w:style w:type="paragraph" w:styleId="Title">
    <w:name w:val="Title"/>
    <w:basedOn w:val="Normal"/>
    <w:link w:val="TitleChar"/>
    <w:uiPriority w:val="10"/>
    <w:qFormat/>
    <w:rsid w:val="00622DFD"/>
    <w:pPr>
      <w:spacing w:line="240" w:lineRule="auto"/>
      <w:jc w:val="left"/>
    </w:pPr>
    <w:rPr>
      <w:rFonts w:ascii="Times New Roman" w:eastAsiaTheme="minorEastAsia" w:hAnsi="Times New Roman" w:cs="Times New Roman"/>
      <w:sz w:val="24"/>
    </w:rPr>
  </w:style>
  <w:style w:type="character" w:customStyle="1" w:styleId="TitleChar">
    <w:name w:val="Title Char"/>
    <w:basedOn w:val="DefaultParagraphFont"/>
    <w:link w:val="Title"/>
    <w:uiPriority w:val="10"/>
    <w:rsid w:val="00622DFD"/>
    <w:rPr>
      <w:rFonts w:ascii="Times New Roman" w:eastAsiaTheme="minorEastAsia" w:hAnsi="Times New Roman" w:cs="Times New Roman"/>
      <w:sz w:val="24"/>
      <w:szCs w:val="24"/>
    </w:rPr>
  </w:style>
  <w:style w:type="paragraph" w:styleId="Revision">
    <w:name w:val="Revision"/>
    <w:hidden/>
    <w:uiPriority w:val="99"/>
    <w:semiHidden/>
    <w:rsid w:val="00DA36A9"/>
    <w:pPr>
      <w:spacing w:line="240" w:lineRule="auto"/>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5650">
      <w:bodyDiv w:val="1"/>
      <w:marLeft w:val="0"/>
      <w:marRight w:val="0"/>
      <w:marTop w:val="0"/>
      <w:marBottom w:val="0"/>
      <w:divBdr>
        <w:top w:val="none" w:sz="0" w:space="0" w:color="auto"/>
        <w:left w:val="none" w:sz="0" w:space="0" w:color="auto"/>
        <w:bottom w:val="none" w:sz="0" w:space="0" w:color="auto"/>
        <w:right w:val="none" w:sz="0" w:space="0" w:color="auto"/>
      </w:divBdr>
    </w:div>
    <w:div w:id="514274168">
      <w:bodyDiv w:val="1"/>
      <w:marLeft w:val="0"/>
      <w:marRight w:val="0"/>
      <w:marTop w:val="0"/>
      <w:marBottom w:val="0"/>
      <w:divBdr>
        <w:top w:val="none" w:sz="0" w:space="0" w:color="auto"/>
        <w:left w:val="none" w:sz="0" w:space="0" w:color="auto"/>
        <w:bottom w:val="none" w:sz="0" w:space="0" w:color="auto"/>
        <w:right w:val="none" w:sz="0" w:space="0" w:color="auto"/>
      </w:divBdr>
    </w:div>
    <w:div w:id="644161384">
      <w:bodyDiv w:val="1"/>
      <w:marLeft w:val="0"/>
      <w:marRight w:val="0"/>
      <w:marTop w:val="0"/>
      <w:marBottom w:val="0"/>
      <w:divBdr>
        <w:top w:val="none" w:sz="0" w:space="0" w:color="auto"/>
        <w:left w:val="none" w:sz="0" w:space="0" w:color="auto"/>
        <w:bottom w:val="none" w:sz="0" w:space="0" w:color="auto"/>
        <w:right w:val="none" w:sz="0" w:space="0" w:color="auto"/>
      </w:divBdr>
    </w:div>
    <w:div w:id="924874075">
      <w:bodyDiv w:val="1"/>
      <w:marLeft w:val="0"/>
      <w:marRight w:val="0"/>
      <w:marTop w:val="0"/>
      <w:marBottom w:val="0"/>
      <w:divBdr>
        <w:top w:val="none" w:sz="0" w:space="0" w:color="auto"/>
        <w:left w:val="none" w:sz="0" w:space="0" w:color="auto"/>
        <w:bottom w:val="none" w:sz="0" w:space="0" w:color="auto"/>
        <w:right w:val="none" w:sz="0" w:space="0" w:color="auto"/>
      </w:divBdr>
    </w:div>
    <w:div w:id="1120343058">
      <w:bodyDiv w:val="1"/>
      <w:marLeft w:val="0"/>
      <w:marRight w:val="0"/>
      <w:marTop w:val="0"/>
      <w:marBottom w:val="0"/>
      <w:divBdr>
        <w:top w:val="none" w:sz="0" w:space="0" w:color="auto"/>
        <w:left w:val="none" w:sz="0" w:space="0" w:color="auto"/>
        <w:bottom w:val="none" w:sz="0" w:space="0" w:color="auto"/>
        <w:right w:val="none" w:sz="0" w:space="0" w:color="auto"/>
      </w:divBdr>
    </w:div>
    <w:div w:id="1338464896">
      <w:bodyDiv w:val="1"/>
      <w:marLeft w:val="0"/>
      <w:marRight w:val="0"/>
      <w:marTop w:val="0"/>
      <w:marBottom w:val="0"/>
      <w:divBdr>
        <w:top w:val="none" w:sz="0" w:space="0" w:color="auto"/>
        <w:left w:val="none" w:sz="0" w:space="0" w:color="auto"/>
        <w:bottom w:val="none" w:sz="0" w:space="0" w:color="auto"/>
        <w:right w:val="none" w:sz="0" w:space="0" w:color="auto"/>
      </w:divBdr>
    </w:div>
    <w:div w:id="1483161702">
      <w:bodyDiv w:val="1"/>
      <w:marLeft w:val="0"/>
      <w:marRight w:val="0"/>
      <w:marTop w:val="0"/>
      <w:marBottom w:val="0"/>
      <w:divBdr>
        <w:top w:val="none" w:sz="0" w:space="0" w:color="auto"/>
        <w:left w:val="none" w:sz="0" w:space="0" w:color="auto"/>
        <w:bottom w:val="none" w:sz="0" w:space="0" w:color="auto"/>
        <w:right w:val="none" w:sz="0" w:space="0" w:color="auto"/>
      </w:divBdr>
    </w:div>
    <w:div w:id="1522547239">
      <w:bodyDiv w:val="1"/>
      <w:marLeft w:val="0"/>
      <w:marRight w:val="0"/>
      <w:marTop w:val="0"/>
      <w:marBottom w:val="0"/>
      <w:divBdr>
        <w:top w:val="none" w:sz="0" w:space="0" w:color="auto"/>
        <w:left w:val="none" w:sz="0" w:space="0" w:color="auto"/>
        <w:bottom w:val="none" w:sz="0" w:space="0" w:color="auto"/>
        <w:right w:val="none" w:sz="0" w:space="0" w:color="auto"/>
      </w:divBdr>
    </w:div>
    <w:div w:id="1549143087">
      <w:bodyDiv w:val="1"/>
      <w:marLeft w:val="0"/>
      <w:marRight w:val="0"/>
      <w:marTop w:val="0"/>
      <w:marBottom w:val="0"/>
      <w:divBdr>
        <w:top w:val="none" w:sz="0" w:space="0" w:color="auto"/>
        <w:left w:val="none" w:sz="0" w:space="0" w:color="auto"/>
        <w:bottom w:val="none" w:sz="0" w:space="0" w:color="auto"/>
        <w:right w:val="none" w:sz="0" w:space="0" w:color="auto"/>
      </w:divBdr>
    </w:div>
    <w:div w:id="1664234349">
      <w:bodyDiv w:val="1"/>
      <w:marLeft w:val="0"/>
      <w:marRight w:val="0"/>
      <w:marTop w:val="0"/>
      <w:marBottom w:val="0"/>
      <w:divBdr>
        <w:top w:val="none" w:sz="0" w:space="0" w:color="auto"/>
        <w:left w:val="none" w:sz="0" w:space="0" w:color="auto"/>
        <w:bottom w:val="none" w:sz="0" w:space="0" w:color="auto"/>
        <w:right w:val="none" w:sz="0" w:space="0" w:color="auto"/>
      </w:divBdr>
    </w:div>
    <w:div w:id="1703283740">
      <w:bodyDiv w:val="1"/>
      <w:marLeft w:val="0"/>
      <w:marRight w:val="0"/>
      <w:marTop w:val="0"/>
      <w:marBottom w:val="0"/>
      <w:divBdr>
        <w:top w:val="none" w:sz="0" w:space="0" w:color="auto"/>
        <w:left w:val="none" w:sz="0" w:space="0" w:color="auto"/>
        <w:bottom w:val="none" w:sz="0" w:space="0" w:color="auto"/>
        <w:right w:val="none" w:sz="0" w:space="0" w:color="auto"/>
      </w:divBdr>
    </w:div>
    <w:div w:id="1930697778">
      <w:bodyDiv w:val="1"/>
      <w:marLeft w:val="0"/>
      <w:marRight w:val="0"/>
      <w:marTop w:val="0"/>
      <w:marBottom w:val="0"/>
      <w:divBdr>
        <w:top w:val="none" w:sz="0" w:space="0" w:color="auto"/>
        <w:left w:val="none" w:sz="0" w:space="0" w:color="auto"/>
        <w:bottom w:val="none" w:sz="0" w:space="0" w:color="auto"/>
        <w:right w:val="none" w:sz="0" w:space="0" w:color="auto"/>
      </w:divBdr>
    </w:div>
    <w:div w:id="2019427943">
      <w:bodyDiv w:val="1"/>
      <w:marLeft w:val="0"/>
      <w:marRight w:val="0"/>
      <w:marTop w:val="0"/>
      <w:marBottom w:val="0"/>
      <w:divBdr>
        <w:top w:val="none" w:sz="0" w:space="0" w:color="auto"/>
        <w:left w:val="none" w:sz="0" w:space="0" w:color="auto"/>
        <w:bottom w:val="none" w:sz="0" w:space="0" w:color="auto"/>
        <w:right w:val="none" w:sz="0" w:space="0" w:color="auto"/>
      </w:divBdr>
    </w:div>
    <w:div w:id="214410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2" Type="http://schemas.openxmlformats.org/officeDocument/2006/relationships/hyperlink" Target="https://www.gov.il/BlobFolder/rfp/ng_160718/he/Presentation19_6_18.pdf" TargetMode="External"/><Relationship Id="rId1" Type="http://schemas.openxmlformats.org/officeDocument/2006/relationships/hyperlink" Target="http://www.competition.gov.il/subject/117/item/25759.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7793F-CC24-4FCD-901E-911CB0C7D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1279</Words>
  <Characters>6397</Characters>
  <Application>Microsoft Office Word</Application>
  <DocSecurity>4</DocSecurity>
  <Lines>53</Lines>
  <Paragraphs>15</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Rashut_doamin</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Vered Guy</dc:creator>
  <cp:lastModifiedBy>Melita Shafir</cp:lastModifiedBy>
  <cp:revision>2</cp:revision>
  <cp:lastPrinted>2017-06-21T05:54:00Z</cp:lastPrinted>
  <dcterms:created xsi:type="dcterms:W3CDTF">2019-05-16T11:10:00Z</dcterms:created>
  <dcterms:modified xsi:type="dcterms:W3CDTF">2019-05-16T11:10:00Z</dcterms:modified>
</cp:coreProperties>
</file>