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784F2D">
      <w:pPr>
        <w:pStyle w:val="Header"/>
        <w:jc w:val="right"/>
        <w:divId w:val="219555755"/>
      </w:pPr>
      <w:bookmarkStart w:id="0" w:name="_GoBack"/>
      <w:bookmarkEnd w:id="0"/>
    </w:p>
    <w:p w:rsidR="00000000" w:rsidRDefault="00784F2D">
      <w:pPr>
        <w:pStyle w:val="BodyText2"/>
        <w:bidi/>
        <w:jc w:val="center"/>
        <w:divId w:val="1576166890"/>
        <w:rPr>
          <w:rFonts w:cs="David" w:hint="cs"/>
          <w:sz w:val="30"/>
          <w:szCs w:val="30"/>
          <w:rtl/>
        </w:rPr>
      </w:pPr>
      <w:r>
        <w:rPr>
          <w:rFonts w:cs="David" w:hint="cs"/>
          <w:sz w:val="30"/>
          <w:szCs w:val="30"/>
          <w:rtl/>
        </w:rPr>
        <w:t xml:space="preserve">החלטה לפי סעיף 14 לחוק ההגבלים העסקיים, התשמ"ח-1988 </w:t>
      </w:r>
    </w:p>
    <w:p w:rsidR="00000000" w:rsidRDefault="00784F2D">
      <w:pPr>
        <w:pStyle w:val="BodyText2"/>
        <w:bidi/>
        <w:jc w:val="center"/>
        <w:divId w:val="1576166890"/>
        <w:rPr>
          <w:rFonts w:cs="David" w:hint="cs"/>
          <w:sz w:val="30"/>
          <w:szCs w:val="30"/>
          <w:rtl/>
        </w:rPr>
      </w:pPr>
      <w:r>
        <w:rPr>
          <w:rFonts w:cs="David" w:hint="cs"/>
          <w:sz w:val="30"/>
          <w:szCs w:val="30"/>
          <w:rtl/>
        </w:rPr>
        <w:t xml:space="preserve">בדבר מתן פטור בתנאים מאישור בית הדין להסדר כובל </w:t>
      </w:r>
    </w:p>
    <w:p w:rsidR="00000000" w:rsidRDefault="00784F2D">
      <w:pPr>
        <w:bidi/>
        <w:spacing w:before="100" w:beforeAutospacing="1" w:after="100" w:afterAutospacing="1"/>
        <w:jc w:val="center"/>
        <w:divId w:val="1576166890"/>
        <w:rPr>
          <w:rFonts w:cs="David" w:hint="cs"/>
          <w:b/>
          <w:bCs/>
          <w:sz w:val="30"/>
          <w:szCs w:val="30"/>
          <w:u w:val="single"/>
          <w:rtl/>
        </w:rPr>
      </w:pPr>
      <w:r>
        <w:rPr>
          <w:rFonts w:cs="David" w:hint="cs"/>
          <w:b/>
          <w:bCs/>
          <w:sz w:val="30"/>
          <w:szCs w:val="30"/>
          <w:u w:val="single"/>
          <w:rtl/>
        </w:rPr>
        <w:t>להסכם בין המכולת בשכונה בע"מ לבין קמעונאי מזון ומוצרי צריכה קטנים</w:t>
      </w:r>
    </w:p>
    <w:p w:rsidR="00000000" w:rsidRDefault="00784F2D">
      <w:pPr>
        <w:pStyle w:val="Heading1"/>
        <w:numPr>
          <w:ilvl w:val="0"/>
          <w:numId w:val="2"/>
        </w:numPr>
        <w:bidi/>
        <w:ind w:right="720"/>
        <w:divId w:val="1576166890"/>
        <w:rPr>
          <w:rFonts w:eastAsia="Times New Roman" w:cs="David" w:hint="cs"/>
          <w:sz w:val="28"/>
          <w:szCs w:val="28"/>
          <w:rtl/>
        </w:rPr>
      </w:pPr>
      <w:r>
        <w:rPr>
          <w:rFonts w:eastAsia="Times New Roman" w:cs="David" w:hint="cs"/>
          <w:sz w:val="28"/>
          <w:szCs w:val="28"/>
          <w:rtl/>
        </w:rPr>
        <w:t>פתח דבר</w:t>
      </w:r>
    </w:p>
    <w:p w:rsidR="00000000" w:rsidRDefault="00784F2D">
      <w:pPr>
        <w:overflowPunct w:val="0"/>
        <w:autoSpaceDE w:val="0"/>
        <w:autoSpaceDN w:val="0"/>
        <w:bidi/>
        <w:spacing w:before="100" w:beforeAutospacing="1" w:after="100" w:afterAutospacing="1"/>
        <w:divId w:val="1576166890"/>
        <w:rPr>
          <w:rFonts w:cs="David" w:hint="cs"/>
          <w:sz w:val="22"/>
          <w:rtl/>
        </w:rPr>
      </w:pPr>
      <w:r>
        <w:rPr>
          <w:rFonts w:cs="David" w:hint="cs"/>
          <w:sz w:val="22"/>
          <w:rtl/>
        </w:rPr>
        <w:t>לפני בקשה למתן פטור מן החובה לקבל אישור מאת בית הדין להגבלים עסקיים לפי סעיף 14 לחוק ההגבלים העסקיים, התשמ"ח-1988 (להלן: "</w:t>
      </w:r>
      <w:r>
        <w:rPr>
          <w:rStyle w:val="Strong"/>
          <w:rFonts w:cs="David" w:hint="cs"/>
          <w:sz w:val="22"/>
          <w:rtl/>
        </w:rPr>
        <w:t>החוק</w:t>
      </w:r>
      <w:r>
        <w:rPr>
          <w:rFonts w:cs="David" w:hint="cs"/>
          <w:sz w:val="22"/>
          <w:rtl/>
        </w:rPr>
        <w:t>"), ביחס להסדר בין המכולת בשכונה בע"מ (להלן: "</w:t>
      </w:r>
      <w:r>
        <w:rPr>
          <w:rFonts w:cs="David" w:hint="cs"/>
          <w:b/>
          <w:bCs/>
          <w:sz w:val="22"/>
          <w:rtl/>
        </w:rPr>
        <w:t>המכולת בשכונה</w:t>
      </w:r>
      <w:r>
        <w:rPr>
          <w:rFonts w:cs="David" w:hint="cs"/>
          <w:sz w:val="22"/>
          <w:rtl/>
        </w:rPr>
        <w:t>") לבין קמעונאים קטנים בתחום המזון ומוצרי הצריכה, אשר על מאפייניהם נעמו</w:t>
      </w:r>
      <w:r>
        <w:rPr>
          <w:rFonts w:cs="David" w:hint="cs"/>
          <w:sz w:val="22"/>
          <w:rtl/>
        </w:rPr>
        <w:t>ד בהמשך (להלן: "</w:t>
      </w:r>
      <w:r>
        <w:rPr>
          <w:rFonts w:cs="David" w:hint="cs"/>
          <w:b/>
          <w:bCs/>
          <w:sz w:val="22"/>
          <w:rtl/>
        </w:rPr>
        <w:t>הקמעונאים הקטנים</w:t>
      </w:r>
      <w:r>
        <w:rPr>
          <w:rFonts w:cs="David" w:hint="cs"/>
          <w:sz w:val="22"/>
          <w:rtl/>
        </w:rPr>
        <w:t xml:space="preserve">"), במסגרתו </w:t>
      </w:r>
      <w:r>
        <w:rPr>
          <w:rFonts w:cs="David" w:hint="cs"/>
          <w:rtl/>
        </w:rPr>
        <w:t>תנהל המכולת בשכונה משא ומתן ביחס לתנאים מסחריים המוענקים לקמעונאים הקטנים על ידי ספקים ונותני שירותים שונים (להלן: "</w:t>
      </w:r>
      <w:r>
        <w:rPr>
          <w:rFonts w:cs="David" w:hint="cs"/>
          <w:b/>
          <w:bCs/>
          <w:rtl/>
        </w:rPr>
        <w:t>ההסדר</w:t>
      </w:r>
      <w:r>
        <w:rPr>
          <w:rFonts w:cs="David" w:hint="cs"/>
          <w:rtl/>
        </w:rPr>
        <w:t>" או "</w:t>
      </w:r>
      <w:r>
        <w:rPr>
          <w:rFonts w:cs="David" w:hint="cs"/>
          <w:b/>
          <w:bCs/>
          <w:rtl/>
        </w:rPr>
        <w:t>המיזם</w:t>
      </w:r>
      <w:r>
        <w:rPr>
          <w:rFonts w:cs="David" w:hint="cs"/>
          <w:rtl/>
        </w:rPr>
        <w:t xml:space="preserve">"). </w:t>
      </w:r>
    </w:p>
    <w:p w:rsidR="00000000" w:rsidRDefault="00784F2D">
      <w:pPr>
        <w:widowControl w:val="0"/>
        <w:overflowPunct w:val="0"/>
        <w:bidi/>
        <w:adjustRightInd w:val="0"/>
        <w:spacing w:before="100" w:beforeAutospacing="1" w:after="120"/>
        <w:divId w:val="1576166890"/>
        <w:rPr>
          <w:rFonts w:cs="David" w:hint="cs"/>
          <w:sz w:val="22"/>
          <w:rtl/>
        </w:rPr>
      </w:pPr>
      <w:r>
        <w:rPr>
          <w:rFonts w:cs="David" w:hint="cs"/>
          <w:sz w:val="22"/>
          <w:rtl/>
        </w:rPr>
        <w:t>לאחר שבחנתי את ההסדר והכבילות המצויות בו ואת השפעתן האפשרית על התחרות בשווק</w:t>
      </w:r>
      <w:r>
        <w:rPr>
          <w:rFonts w:cs="David" w:hint="cs"/>
          <w:sz w:val="22"/>
          <w:rtl/>
        </w:rPr>
        <w:t>ים הרלוונטיים, ולאחר שנועצתי בוועדה לפטורים ולמיזוגים, הגעתי למסקנה, כי בכפוף לקיום התנאים שבסיפא להחלטתי, אין הכבילות שבהסדר פוגעות פגיעה של ממש בתחרות בשווקים הרלוונטיים, כי עיקרו של ההסדר אינו בהפחתת התחרות או במניעתה, וכי אין בו כבילות שאינן נחוצות למי</w:t>
      </w:r>
      <w:r>
        <w:rPr>
          <w:rFonts w:cs="David" w:hint="cs"/>
          <w:sz w:val="22"/>
          <w:rtl/>
        </w:rPr>
        <w:t>מוש עיקרו. מטעמים אלו, כפי שיפורטו להלן, מצאתי כי יש להעניק לצדדים פטור לפי סעיף 14 לחוק, בכפוף לתנאים.</w:t>
      </w:r>
    </w:p>
    <w:p w:rsidR="00000000" w:rsidRDefault="00784F2D">
      <w:pPr>
        <w:pStyle w:val="Heading1"/>
        <w:numPr>
          <w:ilvl w:val="0"/>
          <w:numId w:val="2"/>
        </w:numPr>
        <w:bidi/>
        <w:ind w:right="720"/>
        <w:divId w:val="1576166890"/>
        <w:rPr>
          <w:rFonts w:eastAsia="Times New Roman" w:cs="David" w:hint="cs"/>
          <w:sz w:val="28"/>
          <w:szCs w:val="28"/>
          <w:rtl/>
        </w:rPr>
      </w:pPr>
      <w:r>
        <w:rPr>
          <w:rFonts w:eastAsia="Times New Roman" w:cs="David" w:hint="cs"/>
          <w:sz w:val="28"/>
          <w:szCs w:val="28"/>
          <w:rtl/>
        </w:rPr>
        <w:t xml:space="preserve">ההסדר והכבילות </w:t>
      </w:r>
    </w:p>
    <w:p w:rsidR="00000000" w:rsidRDefault="00784F2D">
      <w:pPr>
        <w:bidi/>
        <w:spacing w:before="100" w:beforeAutospacing="1" w:after="100" w:afterAutospacing="1"/>
        <w:ind w:left="432"/>
        <w:divId w:val="1576166890"/>
        <w:rPr>
          <w:rFonts w:cs="David" w:hint="cs"/>
          <w:b/>
          <w:bCs/>
          <w:sz w:val="22"/>
          <w:rtl/>
        </w:rPr>
      </w:pPr>
      <w:r>
        <w:rPr>
          <w:rFonts w:cs="David" w:hint="cs"/>
          <w:b/>
          <w:bCs/>
          <w:sz w:val="22"/>
          <w:rtl/>
        </w:rPr>
        <w:t>2.1 הצדדים וההסדר</w:t>
      </w:r>
    </w:p>
    <w:p w:rsidR="00000000" w:rsidRDefault="00784F2D">
      <w:pPr>
        <w:bidi/>
        <w:spacing w:before="100" w:beforeAutospacing="1" w:after="100" w:afterAutospacing="1"/>
        <w:divId w:val="1576166890"/>
        <w:rPr>
          <w:rFonts w:cs="David" w:hint="cs"/>
          <w:rtl/>
        </w:rPr>
      </w:pPr>
      <w:r>
        <w:rPr>
          <w:rFonts w:cs="David" w:hint="cs"/>
          <w:b/>
          <w:bCs/>
          <w:rtl/>
        </w:rPr>
        <w:t>המכולת בשכונה</w:t>
      </w:r>
      <w:r>
        <w:rPr>
          <w:rFonts w:cs="David" w:hint="cs"/>
          <w:rtl/>
        </w:rPr>
        <w:t xml:space="preserve"> היא חברה פרטית בבעלותם ובניהולם של ה"ה טל אנגלנדר ומשה מקסימוב</w:t>
      </w:r>
      <w:r>
        <w:rPr>
          <w:rStyle w:val="FootnoteReference"/>
          <w:rFonts w:cs="David"/>
          <w:rtl/>
        </w:rPr>
        <w:footnoteReference w:id="1"/>
      </w:r>
      <w:r>
        <w:rPr>
          <w:rFonts w:cs="David" w:hint="cs"/>
          <w:rtl/>
        </w:rPr>
        <w:t>, אשר הוקמה במטרה לאגד קמעונאים קטנים מתחום המזון ומוצרי הצריכה</w:t>
      </w:r>
      <w:r>
        <w:rPr>
          <w:rFonts w:cs="David" w:hint="cs"/>
          <w:sz w:val="22"/>
          <w:rtl/>
        </w:rPr>
        <w:t xml:space="preserve"> </w:t>
      </w:r>
      <w:r>
        <w:rPr>
          <w:rFonts w:cs="David" w:hint="cs"/>
          <w:rtl/>
        </w:rPr>
        <w:t xml:space="preserve">לצורך ניהול משא ומתן משותף מול ספקי מוצרי מזון ומול נותני שירותים נוספים לבעלי המכולות. </w:t>
      </w:r>
    </w:p>
    <w:p w:rsidR="00000000" w:rsidRDefault="00784F2D">
      <w:pPr>
        <w:bidi/>
        <w:spacing w:before="100" w:beforeAutospacing="1" w:after="100" w:afterAutospacing="1"/>
        <w:divId w:val="1576166890"/>
        <w:rPr>
          <w:rFonts w:cs="David" w:hint="cs"/>
          <w:sz w:val="22"/>
          <w:rtl/>
        </w:rPr>
      </w:pPr>
      <w:r>
        <w:rPr>
          <w:rFonts w:cs="David" w:hint="cs"/>
          <w:rtl/>
        </w:rPr>
        <w:t>קמעונאי קטן לצורך החלטה זו הוא מי שעונה על אחד התנאים שלהלן: (1) מי שברשותו "חנות"</w:t>
      </w:r>
      <w:r>
        <w:rPr>
          <w:rStyle w:val="FootnoteReference"/>
          <w:rFonts w:cs="David"/>
          <w:rtl/>
        </w:rPr>
        <w:footnoteReference w:id="2"/>
      </w:r>
      <w:r>
        <w:rPr>
          <w:rFonts w:cs="David" w:hint="cs"/>
          <w:rtl/>
        </w:rPr>
        <w:t xml:space="preserve"> אחת ששטחה אינו עולה</w:t>
      </w:r>
      <w:r>
        <w:rPr>
          <w:rFonts w:cs="David" w:hint="cs"/>
          <w:rtl/>
        </w:rPr>
        <w:t xml:space="preserve"> על 250 מ"ר או שמחזור המכירות שלה </w:t>
      </w:r>
      <w:r>
        <w:rPr>
          <w:rFonts w:cs="David" w:hint="cs"/>
          <w:sz w:val="22"/>
          <w:rtl/>
        </w:rPr>
        <w:t xml:space="preserve">אינו עולה על 12 מיליון ש"ח; (2) מי שברשותו שתי חנויות ומעלה, שמתקיים בכל אחת מהן האמור </w:t>
      </w:r>
      <w:r>
        <w:rPr>
          <w:rFonts w:cs="David" w:hint="cs"/>
          <w:rtl/>
        </w:rPr>
        <w:t xml:space="preserve">בסעיף (1) לעיל, </w:t>
      </w:r>
      <w:r>
        <w:rPr>
          <w:rFonts w:cs="David" w:hint="cs"/>
          <w:sz w:val="22"/>
          <w:rtl/>
        </w:rPr>
        <w:t>ומחזור המכירות המצרפי של כלל החנויות בהן הוא מחזיק, בשנת הכספים הקודמת להצטרפותו למיזם המכולת בשכונה, אינו עולה על 40 מ</w:t>
      </w:r>
      <w:r>
        <w:rPr>
          <w:rFonts w:cs="David" w:hint="cs"/>
          <w:sz w:val="22"/>
          <w:rtl/>
        </w:rPr>
        <w:t>יליון ₪</w:t>
      </w:r>
      <w:r>
        <w:rPr>
          <w:rFonts w:cs="David" w:hint="cs"/>
          <w:rtl/>
        </w:rPr>
        <w:t>.</w:t>
      </w:r>
      <w:r>
        <w:rPr>
          <w:rFonts w:cs="David" w:hint="cs"/>
          <w:sz w:val="22"/>
          <w:rtl/>
        </w:rPr>
        <w:t xml:space="preserve"> במסגרת ההסדר מושא הבקשה שבפניי תתקשר המכולת בשכונה עם קמעונאים קטנים, לצורך ניהול משא ומתן משותף אל מול ספקים שונים ביחס לתנאים המסחריים שיוענקו על ידם לקמעונאים הקטנים החברים במיזם המכולת בשכונה. כמו כן, המכולת בשכונה תספק למצטרפים למיזם שיחפצו ב</w:t>
      </w:r>
      <w:r>
        <w:rPr>
          <w:rFonts w:cs="David" w:hint="cs"/>
          <w:sz w:val="22"/>
          <w:rtl/>
        </w:rPr>
        <w:t>כך אביזרי מיתוג שונים תחת השם "המכולת בשכונה" ותייעץ לבעלי המכולות בנוגע לעיצוב ונראות המדפים. בנוסף, המכולת בשכונה תשא ותתן עם ספקים המעניקים שירותים משלימים, הנובעים במישרין מן הצורך בהפעלת חנויות מכולת, לקמעונאים הקטנים. כך למשל תתקשר המכולת בשכונה עם ח</w:t>
      </w:r>
      <w:r>
        <w:rPr>
          <w:rFonts w:cs="David" w:hint="cs"/>
          <w:sz w:val="22"/>
          <w:rtl/>
        </w:rPr>
        <w:t xml:space="preserve">ברות אשראי וחברות ביטוח על מנת להשיג תנאי אשראי וביטוח מיטיבים לחברי המיזם. </w:t>
      </w:r>
    </w:p>
    <w:p w:rsidR="00000000" w:rsidRDefault="00784F2D">
      <w:pPr>
        <w:bidi/>
        <w:spacing w:before="100" w:beforeAutospacing="1" w:after="100" w:afterAutospacing="1"/>
        <w:divId w:val="1576166890"/>
        <w:rPr>
          <w:rFonts w:cs="David" w:hint="cs"/>
          <w:b/>
          <w:bCs/>
          <w:sz w:val="22"/>
          <w:rtl/>
        </w:rPr>
      </w:pPr>
      <w:r>
        <w:rPr>
          <w:rFonts w:cs="David" w:hint="cs"/>
          <w:b/>
          <w:bCs/>
          <w:sz w:val="22"/>
          <w:rtl/>
        </w:rPr>
        <w:t>2.2 הכבילות שבהסדר</w:t>
      </w:r>
    </w:p>
    <w:p w:rsidR="00000000" w:rsidRDefault="00784F2D">
      <w:pPr>
        <w:bidi/>
        <w:spacing w:before="100" w:beforeAutospacing="1" w:after="100" w:afterAutospacing="1"/>
        <w:divId w:val="1576166890"/>
        <w:rPr>
          <w:rFonts w:cs="David" w:hint="cs"/>
          <w:sz w:val="22"/>
          <w:rtl/>
        </w:rPr>
      </w:pPr>
      <w:r>
        <w:rPr>
          <w:rFonts w:cs="David" w:hint="cs"/>
          <w:sz w:val="22"/>
          <w:rtl/>
        </w:rPr>
        <w:lastRenderedPageBreak/>
        <w:t xml:space="preserve">מדובר בשיתוף פעולה בין מתחרים למטרת ניהול משא ומתן משותף לרכישת תשומות ושירותים. כאמור, התשומות והשירותים לגביהם מתבקש שיתוף הפעולה הם רכישת מזון ומוצרי צריכה, </w:t>
      </w:r>
      <w:r>
        <w:rPr>
          <w:rFonts w:cs="David" w:hint="cs"/>
          <w:sz w:val="22"/>
          <w:rtl/>
        </w:rPr>
        <w:t xml:space="preserve">שילוט ומיתוג משותף, סידור ונראות המדפים וכן שירותים נוספים הקשורים בפעילות הקמעונאים הקטנים, בהם אשראי וביטוח. </w:t>
      </w:r>
    </w:p>
    <w:p w:rsidR="00000000" w:rsidRDefault="00784F2D">
      <w:pPr>
        <w:bidi/>
        <w:spacing w:before="100" w:beforeAutospacing="1" w:after="100" w:afterAutospacing="1"/>
        <w:divId w:val="1576166890"/>
        <w:rPr>
          <w:rFonts w:cs="David" w:hint="cs"/>
          <w:sz w:val="22"/>
          <w:rtl/>
        </w:rPr>
      </w:pPr>
      <w:r>
        <w:rPr>
          <w:rFonts w:cs="David" w:hint="cs"/>
          <w:sz w:val="22"/>
          <w:rtl/>
        </w:rPr>
        <w:t xml:space="preserve">שיתוף פעולה מסוג זה, מעצם טיבו, כרוך בתיאום התנאים המסחריים והמחיר שיוצעו על ידי הצדדים בגין רכישת התשומות והשירותים, ועל כן הוא עולה לכדי הסדר </w:t>
      </w:r>
      <w:r>
        <w:rPr>
          <w:rFonts w:cs="David" w:hint="cs"/>
          <w:sz w:val="22"/>
          <w:rtl/>
        </w:rPr>
        <w:t>כובל הן לפי סעיף 2(א) לחוק והן לפי סעיפיו הקטנים של 2(ב) לחוק.</w:t>
      </w:r>
    </w:p>
    <w:p w:rsidR="00000000" w:rsidRDefault="00784F2D">
      <w:pPr>
        <w:pStyle w:val="Header"/>
        <w:tabs>
          <w:tab w:val="left" w:pos="720"/>
          <w:tab w:val="center" w:pos="4153"/>
          <w:tab w:val="right" w:pos="8306"/>
        </w:tabs>
        <w:bidi/>
        <w:divId w:val="1576166890"/>
        <w:rPr>
          <w:rFonts w:cs="David" w:hint="cs"/>
          <w:sz w:val="22"/>
          <w:rtl/>
        </w:rPr>
      </w:pPr>
      <w:r>
        <w:rPr>
          <w:rFonts w:cs="David" w:hint="cs"/>
          <w:sz w:val="22"/>
          <w:rtl/>
        </w:rPr>
        <w:t>יתרה מכך, במסגרת שיתוף הפעולה נושא ההסדר, הקמעונאים הקטנים מתחייבים להעביר למכולת בשכונה מידע בנוגע לתנאי הסחר להם הם זוכים מאת ספקים שונים. מידע זה הינו בעל ערך תחרותי והחלפתו בין מתחרים עלולה</w:t>
      </w:r>
      <w:r>
        <w:rPr>
          <w:rFonts w:cs="David" w:hint="cs"/>
          <w:sz w:val="22"/>
          <w:rtl/>
        </w:rPr>
        <w:t xml:space="preserve"> להקים חשש לפגיעה בתחרות. </w:t>
      </w:r>
    </w:p>
    <w:p w:rsidR="00000000" w:rsidRDefault="00784F2D">
      <w:pPr>
        <w:pStyle w:val="Header"/>
        <w:tabs>
          <w:tab w:val="left" w:pos="720"/>
          <w:tab w:val="center" w:pos="4153"/>
          <w:tab w:val="right" w:pos="8306"/>
        </w:tabs>
        <w:bidi/>
        <w:divId w:val="1576166890"/>
        <w:rPr>
          <w:rFonts w:cs="David" w:hint="cs"/>
          <w:sz w:val="22"/>
          <w:rtl/>
        </w:rPr>
      </w:pPr>
      <w:r>
        <w:rPr>
          <w:rFonts w:cs="David" w:hint="cs"/>
          <w:sz w:val="22"/>
          <w:rtl/>
        </w:rPr>
        <w:t>יחד עם זאת, כפי שיוסבר מיד, בנסיבות העניין שוכנעתי כי עיקרו של ההסדר אינו פגיעה בתחרות והכבילות בהסדר נחוצות לצורך מימושו, וכי בכפוף לתנאים המפורטים בסיפא להחלטתי זו אין בהן כדי לפגוע פגיעה של ממש בתחרות בשוק.</w:t>
      </w:r>
    </w:p>
    <w:p w:rsidR="00000000" w:rsidRDefault="00784F2D">
      <w:pPr>
        <w:pStyle w:val="Heading1"/>
        <w:numPr>
          <w:ilvl w:val="0"/>
          <w:numId w:val="2"/>
        </w:numPr>
        <w:bidi/>
        <w:ind w:right="720"/>
        <w:divId w:val="1576166890"/>
        <w:rPr>
          <w:rFonts w:eastAsia="Times New Roman" w:cs="David" w:hint="cs"/>
          <w:sz w:val="22"/>
          <w:szCs w:val="24"/>
          <w:rtl/>
        </w:rPr>
      </w:pPr>
      <w:r>
        <w:rPr>
          <w:rFonts w:eastAsia="Times New Roman" w:cs="David" w:hint="cs"/>
          <w:sz w:val="28"/>
          <w:szCs w:val="28"/>
          <w:rtl/>
        </w:rPr>
        <w:t>השפעת ההסדר על התחר</w:t>
      </w:r>
      <w:r>
        <w:rPr>
          <w:rFonts w:eastAsia="Times New Roman" w:cs="David" w:hint="cs"/>
          <w:sz w:val="28"/>
          <w:szCs w:val="28"/>
          <w:rtl/>
        </w:rPr>
        <w:t xml:space="preserve">ות </w:t>
      </w:r>
    </w:p>
    <w:p w:rsidR="00000000" w:rsidRDefault="00784F2D">
      <w:pPr>
        <w:bidi/>
        <w:spacing w:before="100" w:beforeAutospacing="1" w:after="100" w:afterAutospacing="1"/>
        <w:ind w:left="432"/>
        <w:divId w:val="1576166890"/>
        <w:rPr>
          <w:rFonts w:cs="David" w:hint="cs"/>
          <w:sz w:val="22"/>
          <w:rtl/>
        </w:rPr>
      </w:pPr>
      <w:r>
        <w:rPr>
          <w:rFonts w:cs="David" w:hint="cs"/>
          <w:b/>
          <w:bCs/>
          <w:sz w:val="22"/>
          <w:rtl/>
        </w:rPr>
        <w:t xml:space="preserve">3.1 ענף קמעונאות המזון </w:t>
      </w:r>
    </w:p>
    <w:p w:rsidR="00000000" w:rsidRDefault="00784F2D">
      <w:pPr>
        <w:bidi/>
        <w:spacing w:before="100" w:beforeAutospacing="1" w:after="100" w:afterAutospacing="1"/>
        <w:divId w:val="1576166890"/>
        <w:rPr>
          <w:rFonts w:cs="David" w:hint="cs"/>
          <w:sz w:val="22"/>
          <w:rtl/>
        </w:rPr>
      </w:pPr>
      <w:r>
        <w:rPr>
          <w:rFonts w:cs="David" w:hint="cs"/>
          <w:sz w:val="22"/>
          <w:rtl/>
        </w:rPr>
        <w:t>ניתן לחלק את תחום קמעונאות המזון בישראל לשני מקטעים עיקריים: קמעונאים גדולים ובינוניים בעלי פריסה ארצית מלאה או חלקית; וקמעונאים קטנים המחזיקים בנקודות מכירה קטנות דוגמת מכולות, מינימרקטים וכדומה.</w:t>
      </w:r>
    </w:p>
    <w:p w:rsidR="00000000" w:rsidRDefault="00784F2D">
      <w:pPr>
        <w:bidi/>
        <w:spacing w:before="100" w:beforeAutospacing="1" w:after="100" w:afterAutospacing="1"/>
        <w:divId w:val="1576166890"/>
        <w:rPr>
          <w:rFonts w:cs="David" w:hint="cs"/>
          <w:sz w:val="22"/>
          <w:rtl/>
        </w:rPr>
      </w:pPr>
      <w:r>
        <w:rPr>
          <w:rFonts w:cs="David" w:hint="cs"/>
          <w:sz w:val="22"/>
          <w:rtl/>
        </w:rPr>
        <w:t xml:space="preserve">מקטע הקמעונאים הגדולים כולל את </w:t>
      </w:r>
      <w:r>
        <w:rPr>
          <w:rFonts w:cs="David" w:hint="cs"/>
          <w:sz w:val="22"/>
          <w:rtl/>
        </w:rPr>
        <w:t xml:space="preserve">שתי רשתות השיווק הגדולות למזון – </w:t>
      </w:r>
      <w:r>
        <w:rPr>
          <w:rFonts w:cs="David" w:hint="cs"/>
          <w:rtl/>
        </w:rPr>
        <w:t>שופרסל בע"מ והריבוע כחול ישראל בע"מ –</w:t>
      </w:r>
      <w:r>
        <w:rPr>
          <w:rFonts w:cs="David" w:hint="cs"/>
          <w:sz w:val="22"/>
          <w:rtl/>
        </w:rPr>
        <w:t xml:space="preserve"> המפעילות חנויות בפורמטים שונים בפריסה ארצית, ביניהן חנויות בגודל בינוני היושבות במרכזי הערים; חנויות גדולות היושבות לרוב מחוץ למרכזי הערים; וכן חנויות מקוונות לרכישת מוצרים באינטרנט. </w:t>
      </w:r>
      <w:r>
        <w:rPr>
          <w:rFonts w:cs="David" w:hint="cs"/>
          <w:rtl/>
        </w:rPr>
        <w:t>לצ</w:t>
      </w:r>
      <w:r>
        <w:rPr>
          <w:rFonts w:cs="David" w:hint="cs"/>
          <w:rtl/>
        </w:rPr>
        <w:t xml:space="preserve">ד שתי רשתות השיווק הגדולות, פועלות רשתות שיווק בעלות פריסה ארצית </w:t>
      </w:r>
      <w:bookmarkStart w:id="1" w:name="_ftnref6"/>
      <w:r>
        <w:rPr>
          <w:rFonts w:cs="David" w:hint="cs"/>
          <w:rtl/>
        </w:rPr>
        <w:t>חלקית.</w:t>
      </w:r>
      <w:r>
        <w:rPr>
          <w:rStyle w:val="FootnoteReference"/>
        </w:rPr>
        <w:footnoteReference w:id="3"/>
      </w:r>
      <w:bookmarkEnd w:id="1"/>
    </w:p>
    <w:p w:rsidR="00000000" w:rsidRDefault="00784F2D">
      <w:pPr>
        <w:bidi/>
        <w:spacing w:before="100" w:beforeAutospacing="1" w:after="100" w:afterAutospacing="1"/>
        <w:divId w:val="1576166890"/>
        <w:rPr>
          <w:rFonts w:cs="David" w:hint="cs"/>
          <w:sz w:val="22"/>
          <w:rtl/>
        </w:rPr>
      </w:pPr>
      <w:r>
        <w:rPr>
          <w:rFonts w:cs="David" w:hint="cs"/>
          <w:sz w:val="22"/>
          <w:rtl/>
        </w:rPr>
        <w:t>ככלל, הקמעונאים הגדולים והבינוניים מפעילים נקודות מכירה גדולות באופן יחסי הנבדלות מהותית מנקודות מכירה קטנות, בכך שהן מציעות לצרכנים את האפשרות לרכוש מגוון רחב של מוצרים בתנאים נוחים,</w:t>
      </w:r>
      <w:r>
        <w:rPr>
          <w:rFonts w:cs="David" w:hint="cs"/>
          <w:sz w:val="22"/>
          <w:rtl/>
        </w:rPr>
        <w:t xml:space="preserve"> תחת קורת גג אחת (</w:t>
      </w:r>
      <w:r>
        <w:rPr>
          <w:rFonts w:hint="cs"/>
        </w:rPr>
        <w:t>One stop shop</w:t>
      </w:r>
      <w:r>
        <w:rPr>
          <w:rFonts w:cs="David" w:hint="cs"/>
          <w:sz w:val="22"/>
          <w:rtl/>
        </w:rPr>
        <w:t>). נקודות מכירה קטנות אינן מסוגלות להציע שירות זה ולכן ישמשו לרוב לקניות השלמה ולא כמקום הקניות העיקרי של הלקוחות. בנוסף, נוכח כוח המיקוח הנמוך באופן יחסי של הקמעונאים הקטנים מול ספקי המזון, הם מתקשים לזכות בתנאי הסחר להן זוכ</w:t>
      </w:r>
      <w:r>
        <w:rPr>
          <w:rFonts w:cs="David" w:hint="cs"/>
          <w:sz w:val="22"/>
          <w:rtl/>
        </w:rPr>
        <w:t>ות רשתות השיווק הגדולות.</w:t>
      </w:r>
      <w:r>
        <w:rPr>
          <w:rStyle w:val="FootnoteReference"/>
          <w:rFonts w:cs="David"/>
          <w:sz w:val="22"/>
          <w:rtl/>
        </w:rPr>
        <w:footnoteReference w:id="4"/>
      </w:r>
      <w:r>
        <w:rPr>
          <w:rFonts w:cs="David" w:hint="cs"/>
          <w:sz w:val="22"/>
          <w:rtl/>
        </w:rPr>
        <w:t xml:space="preserve"> </w:t>
      </w:r>
    </w:p>
    <w:p w:rsidR="00000000" w:rsidRDefault="00784F2D">
      <w:pPr>
        <w:bidi/>
        <w:spacing w:before="100" w:beforeAutospacing="1" w:after="100" w:afterAutospacing="1"/>
        <w:divId w:val="1576166890"/>
        <w:rPr>
          <w:rFonts w:cs="David" w:hint="cs"/>
          <w:sz w:val="22"/>
          <w:rtl/>
        </w:rPr>
      </w:pPr>
      <w:r>
        <w:rPr>
          <w:rFonts w:cs="David" w:hint="cs"/>
          <w:sz w:val="22"/>
          <w:rtl/>
        </w:rPr>
        <w:t xml:space="preserve">ענף המזון בישראל נשלט ברובו על ידי קמעונאים גדולים ובינוניים. בעשורים האחרונים, נתח המכירות של קמעונאים אלו גדל על חשבון חלקם היחסי של נקודות מכירה קטנות. סקר הוצאות </w:t>
      </w:r>
      <w:r>
        <w:rPr>
          <w:rFonts w:cs="David" w:hint="cs"/>
          <w:sz w:val="22"/>
          <w:rtl/>
        </w:rPr>
        <w:lastRenderedPageBreak/>
        <w:t>משקי בית של הלמ"</w:t>
      </w:r>
      <w:r>
        <w:rPr>
          <w:rFonts w:cs="David" w:hint="cs"/>
          <w:sz w:val="22"/>
          <w:rtl/>
        </w:rPr>
        <w:t>ס לשנת 2012 מלמד כי חלקן של נקודות המכירה הקטנות מסך ההוצאה על מוצרי מזון וצריכה של משקי בית נמוך מ-20%.</w:t>
      </w:r>
      <w:r>
        <w:rPr>
          <w:rStyle w:val="FootnoteReference"/>
          <w:rFonts w:cs="David"/>
          <w:sz w:val="22"/>
          <w:rtl/>
        </w:rPr>
        <w:footnoteReference w:id="5"/>
      </w:r>
      <w:r>
        <w:rPr>
          <w:rFonts w:cs="David" w:hint="cs"/>
          <w:sz w:val="22"/>
          <w:rtl/>
        </w:rPr>
        <w:t xml:space="preserve"> </w:t>
      </w:r>
    </w:p>
    <w:p w:rsidR="00000000" w:rsidRDefault="00784F2D">
      <w:pPr>
        <w:bidi/>
        <w:spacing w:before="100" w:beforeAutospacing="1" w:after="100" w:afterAutospacing="1"/>
        <w:divId w:val="1576166890"/>
        <w:rPr>
          <w:rFonts w:cs="David" w:hint="cs"/>
          <w:sz w:val="22"/>
          <w:rtl/>
        </w:rPr>
      </w:pPr>
      <w:r>
        <w:rPr>
          <w:rFonts w:cs="David" w:hint="cs"/>
          <w:sz w:val="22"/>
          <w:rtl/>
        </w:rPr>
        <w:t>ראוי להזכיר בהקשר זה כי לאחרונה נחקק בישראל החוק לקידום התחרות בענף המזון, התשס"ד-2014 (להלן: "</w:t>
      </w:r>
      <w:r>
        <w:rPr>
          <w:rFonts w:cs="David" w:hint="cs"/>
          <w:b/>
          <w:bCs/>
          <w:sz w:val="22"/>
          <w:rtl/>
        </w:rPr>
        <w:t>חוק המזון</w:t>
      </w:r>
      <w:r>
        <w:rPr>
          <w:rFonts w:cs="David" w:hint="cs"/>
          <w:sz w:val="22"/>
          <w:rtl/>
        </w:rPr>
        <w:t>"). חוק המזון מחיל על "קמעונאי גדול" – המוגדר</w:t>
      </w:r>
      <w:r>
        <w:rPr>
          <w:rFonts w:cs="David" w:hint="cs"/>
          <w:sz w:val="22"/>
          <w:rtl/>
        </w:rPr>
        <w:t xml:space="preserve"> בחוק, בין היתר, כמי שמחזור מכירותיו עולה על 250 מיליון ש"ח – הוראות מיוחדות, בפרט לעניין יחסיו עם ספקי מזון. ביום 27.7.2014 פרסמתי את רשימת הקמעונאים הגדולים, בהתאם להוראות חוק זה, הכוללת תשעה עשר קמעונאים גדולים. פטור זה אינו חל על קמעונאים אלו אלא על קמ</w:t>
      </w:r>
      <w:r>
        <w:rPr>
          <w:rFonts w:cs="David" w:hint="cs"/>
          <w:sz w:val="22"/>
          <w:rtl/>
        </w:rPr>
        <w:t xml:space="preserve">עונאים בעלי היקפי פעילות קטנים הרבה יותר. </w:t>
      </w:r>
    </w:p>
    <w:p w:rsidR="00000000" w:rsidRDefault="00784F2D">
      <w:pPr>
        <w:bidi/>
        <w:spacing w:before="100" w:beforeAutospacing="1" w:after="100" w:afterAutospacing="1"/>
        <w:ind w:left="432"/>
        <w:divId w:val="1576166890"/>
        <w:rPr>
          <w:rFonts w:cs="David" w:hint="cs"/>
          <w:b/>
          <w:bCs/>
          <w:sz w:val="22"/>
          <w:rtl/>
        </w:rPr>
      </w:pPr>
      <w:r>
        <w:rPr>
          <w:rFonts w:cs="David" w:hint="cs"/>
          <w:b/>
          <w:bCs/>
          <w:sz w:val="22"/>
          <w:rtl/>
        </w:rPr>
        <w:t>3.2   החששות התחרותיים המתעוררים כתוצאה מן ההסדר והתועלות התחרותיות שבצידו</w:t>
      </w:r>
    </w:p>
    <w:p w:rsidR="00000000" w:rsidRDefault="00784F2D">
      <w:pPr>
        <w:bidi/>
        <w:spacing w:before="100" w:beforeAutospacing="1" w:after="100" w:afterAutospacing="1"/>
        <w:divId w:val="1576166890"/>
        <w:rPr>
          <w:rFonts w:cs="David" w:hint="cs"/>
          <w:sz w:val="22"/>
          <w:rtl/>
        </w:rPr>
      </w:pPr>
      <w:r>
        <w:rPr>
          <w:rFonts w:cs="David" w:hint="cs"/>
          <w:sz w:val="22"/>
          <w:rtl/>
        </w:rPr>
        <w:t>הסדרים בין מתחרים לרכישה משותפת של תשומות טומנים בחובם כאמור חשש לפגיעה בתחרות. עם זאת, הסדרים אלו אינם נתפסים בהכרח כהסדרים אנטי תחרותיים</w:t>
      </w:r>
      <w:r>
        <w:rPr>
          <w:rFonts w:cs="David" w:hint="cs"/>
          <w:sz w:val="22"/>
          <w:rtl/>
        </w:rPr>
        <w:t xml:space="preserve"> מיסודם. זאת, בשונה מהסדרים לשיתוף פעולה בשיווק.</w:t>
      </w:r>
      <w:r>
        <w:rPr>
          <w:rStyle w:val="FootnoteReference"/>
          <w:rFonts w:cs="David"/>
          <w:sz w:val="22"/>
          <w:rtl/>
        </w:rPr>
        <w:footnoteReference w:id="6"/>
      </w:r>
      <w:r>
        <w:rPr>
          <w:rFonts w:cs="David" w:hint="cs"/>
          <w:sz w:val="22"/>
          <w:rtl/>
        </w:rPr>
        <w:t xml:space="preserve"> הסדרים בין מתחרים לרכישת תשומות מאפשרים לעיתים למתחרים לרכוש תשומות שלא היו זמינות עבורם ללא ההסדר, להתגבר על פערי מידע ולהתייעל כתוצאה מחסכון בעלויות.</w:t>
      </w:r>
      <w:r>
        <w:rPr>
          <w:rStyle w:val="FootnoteReference"/>
          <w:rFonts w:cs="David"/>
          <w:sz w:val="22"/>
          <w:rtl/>
        </w:rPr>
        <w:footnoteReference w:id="7"/>
      </w:r>
      <w:r>
        <w:rPr>
          <w:rFonts w:cs="David" w:hint="cs"/>
          <w:sz w:val="22"/>
          <w:rtl/>
        </w:rPr>
        <w:t xml:space="preserve"> </w:t>
      </w:r>
    </w:p>
    <w:p w:rsidR="00000000" w:rsidRDefault="00784F2D">
      <w:pPr>
        <w:bidi/>
        <w:spacing w:before="100" w:beforeAutospacing="1" w:after="100" w:afterAutospacing="1"/>
        <w:divId w:val="1576166890"/>
        <w:rPr>
          <w:rFonts w:hint="cs"/>
          <w:rtl/>
        </w:rPr>
      </w:pPr>
      <w:r>
        <w:rPr>
          <w:rFonts w:cs="David" w:hint="cs"/>
          <w:sz w:val="22"/>
          <w:rtl/>
        </w:rPr>
        <w:t>הכשרתו של הסדר בין מתחרים לשיתוף פעולה בניהול משא ומ</w:t>
      </w:r>
      <w:r>
        <w:rPr>
          <w:rFonts w:cs="David" w:hint="cs"/>
          <w:sz w:val="22"/>
          <w:rtl/>
        </w:rPr>
        <w:t>תן לרכישת תשומות תעשה על יסוד בחינת כל מקרה ונסיבותיו לגופן. במסגרת זו ייבחנו, בין השאר, הצדדים המבקשים לחבור למסגרת משא ומתן משותפת ומעמדם בשוק; כושר המיקוח היחסי שלהם; מידת מרכזיותו של התחום בו מתנהל המשא ומתן המשותף ביחס לפעילות הצדדים; ומידת הנטיה לתיא</w:t>
      </w:r>
      <w:r>
        <w:rPr>
          <w:rFonts w:cs="David" w:hint="cs"/>
          <w:sz w:val="22"/>
          <w:rtl/>
        </w:rPr>
        <w:t>ום (מפורש או משתמע) ביניהם. כמו כן, כדי להבטיח שההסדר אינו עירום, תבחן שאלת קיומם של יתרונות הנובעים מחסכון בעלויות עסקה וניהול משא ומתן על-ידי גורמים מקצועיים ויעילים; ותבחן גם האפשרות לגלגול התועלות שיצמחו מהמשא ומתן לציבור.</w:t>
      </w:r>
      <w:r>
        <w:rPr>
          <w:rStyle w:val="FootnoteReference"/>
          <w:rFonts w:cs="David"/>
          <w:sz w:val="22"/>
          <w:rtl/>
        </w:rPr>
        <w:footnoteReference w:id="8"/>
      </w:r>
      <w:r>
        <w:rPr>
          <w:rFonts w:cs="David" w:hint="cs"/>
          <w:sz w:val="22"/>
          <w:rtl/>
        </w:rPr>
        <w:t xml:space="preserve"> במאזן הסופי נשקלת הפגיעה המס</w:t>
      </w:r>
      <w:r>
        <w:rPr>
          <w:rFonts w:cs="David" w:hint="cs"/>
          <w:sz w:val="22"/>
          <w:rtl/>
        </w:rPr>
        <w:t>תברת בתחרות בשוק, אל מול התועלות הפרו התחרותיות בשוק אשר עשויות לצמוח מן ההסדר.</w:t>
      </w:r>
      <w:r>
        <w:rPr>
          <w:rStyle w:val="FootnoteReference"/>
          <w:rFonts w:cs="David"/>
          <w:sz w:val="22"/>
          <w:rtl/>
        </w:rPr>
        <w:footnoteReference w:id="9"/>
      </w:r>
    </w:p>
    <w:p w:rsidR="00000000" w:rsidRDefault="00784F2D">
      <w:pPr>
        <w:bidi/>
        <w:spacing w:before="100" w:beforeAutospacing="1" w:after="100" w:afterAutospacing="1"/>
        <w:divId w:val="1576166890"/>
        <w:rPr>
          <w:rFonts w:cs="David" w:hint="cs"/>
          <w:sz w:val="22"/>
        </w:rPr>
      </w:pPr>
      <w:r>
        <w:rPr>
          <w:rFonts w:cs="David" w:hint="cs"/>
          <w:sz w:val="22"/>
          <w:rtl/>
        </w:rPr>
        <w:t>ומן הכלל אל הפרט. מטרתו של מיזם המכולת בשכונה היא שיפור כושר המיקוח של הקמעונאים הקטנים שייקחו בו חלק אל מול ספקים, מה שצפוי להביא לשיפור תנאי הסחר להם הם זוכים, ולהפחתת עלויו</w:t>
      </w:r>
      <w:r>
        <w:rPr>
          <w:rFonts w:cs="David" w:hint="cs"/>
          <w:sz w:val="22"/>
          <w:rtl/>
        </w:rPr>
        <w:t xml:space="preserve">ת העסקה כתוצאה מניהול משא ומתן משותף. נוכח התחרות מצד קמעונאים שאינם חברים במכולת בשכונה, דוגמת חנויות בגודל קטן או בינוני של קמעונאים גדולים ונוכח השפעות הקיימות לפעילותם של קמעונאים גדולים ובינוניים על פעילות הקמעונאים הקטנים, ניתן לצפות כי שיפור התנאים </w:t>
      </w:r>
      <w:r>
        <w:rPr>
          <w:rFonts w:cs="David" w:hint="cs"/>
          <w:sz w:val="22"/>
          <w:rtl/>
        </w:rPr>
        <w:t xml:space="preserve">המסחריים להם יזכו הקמעונאים הקטנים יביא, בין היתר, להוזלת מחירי המוצרים המוצעים אצל הקמעונאים הקטנים לצרכן. </w:t>
      </w:r>
    </w:p>
    <w:p w:rsidR="00000000" w:rsidRDefault="00784F2D">
      <w:pPr>
        <w:bidi/>
        <w:spacing w:before="100" w:beforeAutospacing="1" w:after="100" w:afterAutospacing="1"/>
        <w:divId w:val="1576166890"/>
        <w:rPr>
          <w:rFonts w:cs="David" w:hint="cs"/>
          <w:sz w:val="22"/>
          <w:rtl/>
        </w:rPr>
      </w:pPr>
      <w:r>
        <w:rPr>
          <w:rFonts w:cs="David" w:hint="cs"/>
          <w:sz w:val="22"/>
          <w:rtl/>
        </w:rPr>
        <w:t xml:space="preserve">בצד היתרונות התחרותיים הגלומים בהסדר מושא הבקשה עולים מספר חששות תחרותיים אשר יבחנו להלן. </w:t>
      </w:r>
      <w:r>
        <w:rPr>
          <w:rFonts w:cs="David" w:hint="cs"/>
          <w:rtl/>
        </w:rPr>
        <w:t>החשש המרכזי הוא כי שיתוף הפעולה בין הקמעונאים הקטנים ברכי</w:t>
      </w:r>
      <w:r>
        <w:rPr>
          <w:rFonts w:cs="David" w:hint="cs"/>
          <w:rtl/>
        </w:rPr>
        <w:t>שת התשומות יזלוג לזירת התחרות אל מול הצרכן</w:t>
      </w:r>
      <w:r>
        <w:rPr>
          <w:rFonts w:cs="David" w:hint="cs"/>
          <w:b/>
          <w:bCs/>
          <w:rtl/>
        </w:rPr>
        <w:t xml:space="preserve"> </w:t>
      </w:r>
      <w:r>
        <w:rPr>
          <w:rFonts w:cs="David" w:hint="cs"/>
          <w:rtl/>
        </w:rPr>
        <w:t>(</w:t>
      </w:r>
      <w:r>
        <w:rPr>
          <w:rFonts w:hint="cs"/>
          <w:sz w:val="21"/>
          <w:szCs w:val="21"/>
        </w:rPr>
        <w:t>Spillover Effect</w:t>
      </w:r>
      <w:r>
        <w:rPr>
          <w:rFonts w:cs="David" w:hint="cs"/>
          <w:sz w:val="21"/>
          <w:szCs w:val="21"/>
          <w:rtl/>
        </w:rPr>
        <w:t xml:space="preserve">). </w:t>
      </w:r>
      <w:r>
        <w:rPr>
          <w:rFonts w:cs="David" w:hint="cs"/>
          <w:rtl/>
        </w:rPr>
        <w:t xml:space="preserve">חשש לכאורי נוסף הוא החשש מפני יצירת כוח מונופסוני למיזם המשותף אל מול ספקים קטנים ובינוניים שעשוי אף להביא לדחיקת </w:t>
      </w:r>
      <w:r>
        <w:rPr>
          <w:rFonts w:cs="David" w:hint="cs"/>
          <w:rtl/>
        </w:rPr>
        <w:lastRenderedPageBreak/>
        <w:t xml:space="preserve">ספקים. </w:t>
      </w:r>
      <w:r>
        <w:rPr>
          <w:rFonts w:cs="David" w:hint="cs"/>
          <w:sz w:val="22"/>
          <w:rtl/>
        </w:rPr>
        <w:t>כמו כן, שיתוף הפעולה מעלה חשש מפני העברת מידע רגיש מבחינה תחרותית בין הק</w:t>
      </w:r>
      <w:r>
        <w:rPr>
          <w:rFonts w:cs="David" w:hint="cs"/>
          <w:sz w:val="22"/>
          <w:rtl/>
        </w:rPr>
        <w:t xml:space="preserve">מעונאים החברים במיזם. </w:t>
      </w:r>
    </w:p>
    <w:p w:rsidR="00000000" w:rsidRDefault="00784F2D">
      <w:pPr>
        <w:bidi/>
        <w:spacing w:before="100" w:beforeAutospacing="1" w:after="100" w:afterAutospacing="1"/>
        <w:ind w:left="720"/>
        <w:divId w:val="1576166890"/>
        <w:rPr>
          <w:rFonts w:cs="David" w:hint="cs"/>
          <w:b/>
          <w:bCs/>
          <w:sz w:val="22"/>
          <w:rtl/>
        </w:rPr>
      </w:pPr>
      <w:r>
        <w:rPr>
          <w:rFonts w:cs="David" w:hint="cs"/>
          <w:b/>
          <w:bCs/>
          <w:sz w:val="22"/>
          <w:rtl/>
        </w:rPr>
        <w:t>3.2.1 השפעת ההסדר על התחרות מול הצרכן והחשש מזליגת שיתוף הפעולה לתחומים נוספים</w:t>
      </w:r>
    </w:p>
    <w:p w:rsidR="00000000" w:rsidRDefault="00784F2D">
      <w:pPr>
        <w:bidi/>
        <w:spacing w:before="100" w:beforeAutospacing="1" w:after="100" w:afterAutospacing="1"/>
        <w:divId w:val="1576166890"/>
        <w:rPr>
          <w:rFonts w:cs="David" w:hint="cs"/>
          <w:sz w:val="22"/>
          <w:rtl/>
        </w:rPr>
      </w:pPr>
      <w:r>
        <w:rPr>
          <w:rFonts w:cs="David" w:hint="cs"/>
          <w:sz w:val="22"/>
          <w:rtl/>
        </w:rPr>
        <w:t>חבירה של מתחרים לפעולה משותפת מעלה חשש כי שיתוף הפעולה יזלוג אל מעבר לדרוש, ויגרום לפגיעה בתחרות.</w:t>
      </w:r>
      <w:r>
        <w:rPr>
          <w:rStyle w:val="FootnoteReference"/>
          <w:rFonts w:cs="David"/>
          <w:rtl/>
        </w:rPr>
        <w:footnoteReference w:id="10"/>
      </w:r>
      <w:r>
        <w:rPr>
          <w:rFonts w:cs="David" w:hint="cs"/>
          <w:sz w:val="22"/>
          <w:rtl/>
        </w:rPr>
        <w:t xml:space="preserve"> </w:t>
      </w:r>
      <w:r>
        <w:rPr>
          <w:rFonts w:cs="David" w:hint="cs"/>
          <w:sz w:val="22"/>
          <w:rtl/>
        </w:rPr>
        <w:t>גם אם מדובר במיזם חיובי, אשר מתחיל את דרכו כשיתוף פעולה פורה בין גופים המבקשים לקדם יחדיו אינטרס חשוב וזקוקים לאיחוד כוחותיהם לשם כך, עשוי הוא להיות בעל תופעת לוואי פוגענית לתחרות.</w:t>
      </w:r>
      <w:r>
        <w:rPr>
          <w:rStyle w:val="FootnoteReference"/>
          <w:rFonts w:cs="David"/>
          <w:sz w:val="22"/>
          <w:rtl/>
        </w:rPr>
        <w:footnoteReference w:id="11"/>
      </w:r>
      <w:r>
        <w:rPr>
          <w:rFonts w:cs="David" w:hint="cs"/>
          <w:sz w:val="22"/>
          <w:rtl/>
        </w:rPr>
        <w:t xml:space="preserve"> </w:t>
      </w:r>
    </w:p>
    <w:p w:rsidR="00000000" w:rsidRDefault="00784F2D">
      <w:pPr>
        <w:bidi/>
        <w:spacing w:before="100" w:beforeAutospacing="1" w:after="100" w:afterAutospacing="1"/>
        <w:divId w:val="1576166890"/>
        <w:rPr>
          <w:rFonts w:cs="David" w:hint="cs"/>
          <w:rtl/>
        </w:rPr>
      </w:pPr>
      <w:r>
        <w:rPr>
          <w:rFonts w:cs="David" w:hint="cs"/>
          <w:rtl/>
        </w:rPr>
        <w:t>במקרה דנן, מתכונת פעילותו של מיזם המכולת בשכונה מקהה את החשש מפני זליגת ש</w:t>
      </w:r>
      <w:r>
        <w:rPr>
          <w:rFonts w:cs="David" w:hint="cs"/>
          <w:rtl/>
        </w:rPr>
        <w:t xml:space="preserve">יתוף הפעולה למחוזות זרים. זאת בין היתר משום שניהול המשא והמתן עם הספקים השונים נעשה על ידי נושאי משרה בצד שלישי </w:t>
      </w:r>
      <w:r>
        <w:rPr>
          <w:rFonts w:cs="David" w:hint="cs"/>
          <w:sz w:val="22"/>
          <w:rtl/>
        </w:rPr>
        <w:t>–</w:t>
      </w:r>
      <w:r>
        <w:rPr>
          <w:rFonts w:cs="David" w:hint="cs"/>
          <w:rtl/>
        </w:rPr>
        <w:t xml:space="preserve"> המכולת בשכונה בע"מ </w:t>
      </w:r>
      <w:r>
        <w:rPr>
          <w:rFonts w:cs="David" w:hint="cs"/>
          <w:sz w:val="22"/>
          <w:rtl/>
        </w:rPr>
        <w:t>–</w:t>
      </w:r>
      <w:r>
        <w:rPr>
          <w:rFonts w:cs="David" w:hint="cs"/>
          <w:rtl/>
        </w:rPr>
        <w:t xml:space="preserve"> שאינם מתחרים בתחום קמעונאות המזון, ולא על ידי הקמעונאים עצמם ומשום שהמיזם מושתת על התקשרויות ישירות ונפרדות בין המכולת בש</w:t>
      </w:r>
      <w:r>
        <w:rPr>
          <w:rFonts w:cs="David" w:hint="cs"/>
          <w:rtl/>
        </w:rPr>
        <w:t xml:space="preserve">כונה לבין כל אחד מהקמעונאים הקטנים, חלף התקשרויות בין קמעונאים השונים לבין עצמם.  כמו כן, הובהר על ידי בעלי מיזם המכולת בשכונה כי הם אינם עוסקים בתחום קמעונאות המזון או באספקתו, וכי בעלי המיזם אינם מועסקים על ידי קמעונאי או ספק מזון כלשהו. </w:t>
      </w:r>
    </w:p>
    <w:p w:rsidR="00000000" w:rsidRDefault="00784F2D">
      <w:pPr>
        <w:bidi/>
        <w:spacing w:before="100" w:beforeAutospacing="1" w:after="100" w:afterAutospacing="1"/>
        <w:divId w:val="1576166890"/>
        <w:rPr>
          <w:rFonts w:cs="David" w:hint="cs"/>
          <w:sz w:val="22"/>
          <w:rtl/>
        </w:rPr>
      </w:pPr>
      <w:r>
        <w:rPr>
          <w:rFonts w:cs="David" w:hint="cs"/>
          <w:sz w:val="22"/>
          <w:rtl/>
        </w:rPr>
        <w:t xml:space="preserve">בנוסף על האמור </w:t>
      </w:r>
      <w:r>
        <w:rPr>
          <w:rFonts w:cs="David" w:hint="cs"/>
          <w:sz w:val="22"/>
          <w:rtl/>
        </w:rPr>
        <w:t>לעיל, ניהולו של משא ומתן משותף לרכישת תשומות בין מתחרים מעורר חשש כי ההתאמה בעלויות תשומותיהם תקל על תיאום בין המתחרים ותגביר את יכולתם לנהוג בצורה מתואמת מול הצרכנים.</w:t>
      </w:r>
      <w:r>
        <w:rPr>
          <w:rStyle w:val="FootnoteReference"/>
          <w:rFonts w:cs="David"/>
          <w:rtl/>
        </w:rPr>
        <w:footnoteReference w:id="12"/>
      </w:r>
      <w:r>
        <w:rPr>
          <w:rFonts w:cs="David" w:hint="cs"/>
          <w:rtl/>
        </w:rPr>
        <w:t xml:space="preserve"> </w:t>
      </w:r>
      <w:r>
        <w:rPr>
          <w:rFonts w:cs="David" w:hint="cs"/>
          <w:sz w:val="22"/>
          <w:rtl/>
        </w:rPr>
        <w:t xml:space="preserve">מאחר שהתחרות בתחום קמעונאות המזון הינה, בעיקרה, תחרות גאוגרפית, במסגרתה חנויות המתחרות </w:t>
      </w:r>
      <w:r>
        <w:rPr>
          <w:rFonts w:cs="David" w:hint="cs"/>
          <w:sz w:val="22"/>
          <w:rtl/>
        </w:rPr>
        <w:t>זו בזו פונות לקהל צרכנים פוטנציאלי באזור גאוגרפי מסוים, חשש זה גובר ככל שהצדדים למשא ומתן המשותף ממוקמים בסמיכות זה לזה.</w:t>
      </w:r>
      <w:r>
        <w:rPr>
          <w:rStyle w:val="FootnoteReference"/>
          <w:rFonts w:cs="David"/>
          <w:sz w:val="22"/>
          <w:rtl/>
        </w:rPr>
        <w:footnoteReference w:id="13"/>
      </w:r>
      <w:r>
        <w:rPr>
          <w:rFonts w:cs="David" w:hint="cs"/>
          <w:sz w:val="22"/>
          <w:rtl/>
        </w:rPr>
        <w:t xml:space="preserve"> </w:t>
      </w:r>
    </w:p>
    <w:p w:rsidR="00000000" w:rsidRDefault="00784F2D">
      <w:pPr>
        <w:bidi/>
        <w:spacing w:before="100" w:beforeAutospacing="1" w:after="100" w:afterAutospacing="1"/>
        <w:divId w:val="1576166890"/>
        <w:rPr>
          <w:rFonts w:cs="David" w:hint="cs"/>
          <w:sz w:val="22"/>
          <w:rtl/>
        </w:rPr>
      </w:pPr>
      <w:r>
        <w:rPr>
          <w:rFonts w:cs="David" w:hint="cs"/>
          <w:sz w:val="22"/>
          <w:rtl/>
        </w:rPr>
        <w:t>נוכח חלקם היחסי הנמוך של הקמעונאים הקטנים מתוך סך ההוצאה על מוצרי מזון וצריכה של משקי בית בישראל בהשוואה לחלקם של קמעונאים גדולים בעל</w:t>
      </w:r>
      <w:r>
        <w:rPr>
          <w:rFonts w:cs="David" w:hint="cs"/>
          <w:sz w:val="22"/>
          <w:rtl/>
        </w:rPr>
        <w:t>י פריסה רחבה, ונוכח התחרות הקיימת לקמעונאים הקטנים מצד חנויות בגודל קטן או בינוני המופעלות על ידי הקמעונאים הגדולים, מצאתי כי חשש זה אינו משמעותי בענייננו.</w:t>
      </w:r>
    </w:p>
    <w:p w:rsidR="00000000" w:rsidRDefault="00784F2D">
      <w:pPr>
        <w:bidi/>
        <w:spacing w:before="100" w:beforeAutospacing="1" w:after="100" w:afterAutospacing="1"/>
        <w:divId w:val="1576166890"/>
        <w:rPr>
          <w:rFonts w:cs="David" w:hint="cs"/>
          <w:sz w:val="22"/>
          <w:rtl/>
        </w:rPr>
      </w:pPr>
      <w:r>
        <w:rPr>
          <w:rFonts w:cs="David" w:hint="cs"/>
          <w:sz w:val="22"/>
          <w:rtl/>
        </w:rPr>
        <w:t>עם זאת, מצאתי כי לצורך הבטחת מניעת זליגת שיתוף הפעולה למחוזות שאינם רצויים, כמתואר לעיל, יש להתנות א</w:t>
      </w:r>
      <w:r>
        <w:rPr>
          <w:rFonts w:cs="David" w:hint="cs"/>
          <w:sz w:val="22"/>
          <w:rtl/>
        </w:rPr>
        <w:t>ת מתן הפטור להסדר בתנאים אשר יתחמו את היקף הפעילות המותרת במסגרתו, יבטיחו כי ההתקשרות בהסדר תעשה בין קמעונאי לבין המכולת בשכונה ולא בין הקמעונאים לבין עצמם ויאסרו מתן שירותים על ידי המכולת בשכונה החורגים ממסגרת זו, בפרט בכל הנוגע להתערבות המכולת בשכונה במח</w:t>
      </w:r>
      <w:r>
        <w:rPr>
          <w:rFonts w:cs="David" w:hint="cs"/>
          <w:sz w:val="22"/>
          <w:rtl/>
        </w:rPr>
        <w:t>יר לצרכן הנקבע על ידי הקמעונאי. כמו כן, החלטתי להתנות פטור זה בתנאי האוסר על המכולת בשכונה למנוע מקמעונאי קטן שהינו צד להסדר מלהתקשר באופן עצמאי עם ספקים. באופן זה, עשויה להתקיים שונות במבנה עלויותיהם של החברים במכולת בשכונה.</w:t>
      </w:r>
    </w:p>
    <w:p w:rsidR="00000000" w:rsidRDefault="00784F2D">
      <w:pPr>
        <w:bidi/>
        <w:spacing w:before="100" w:beforeAutospacing="1" w:after="100" w:afterAutospacing="1"/>
        <w:ind w:left="432"/>
        <w:divId w:val="1576166890"/>
        <w:rPr>
          <w:rFonts w:cs="David" w:hint="cs"/>
          <w:b/>
          <w:bCs/>
          <w:sz w:val="22"/>
          <w:rtl/>
        </w:rPr>
      </w:pPr>
      <w:r>
        <w:rPr>
          <w:rFonts w:cs="David" w:hint="cs"/>
          <w:b/>
          <w:bCs/>
          <w:sz w:val="22"/>
          <w:rtl/>
        </w:rPr>
        <w:lastRenderedPageBreak/>
        <w:t>3.2.3 השפעת ההסדר על התחרות בר</w:t>
      </w:r>
      <w:r>
        <w:rPr>
          <w:rFonts w:cs="David" w:hint="cs"/>
          <w:b/>
          <w:bCs/>
          <w:sz w:val="22"/>
          <w:rtl/>
        </w:rPr>
        <w:t>כישה מספקים</w:t>
      </w:r>
    </w:p>
    <w:p w:rsidR="00000000" w:rsidRDefault="00784F2D">
      <w:pPr>
        <w:pStyle w:val="BodyText2"/>
        <w:bidi/>
        <w:jc w:val="both"/>
        <w:divId w:val="1576166890"/>
        <w:rPr>
          <w:rFonts w:cs="David" w:hint="cs"/>
          <w:sz w:val="22"/>
          <w:rtl/>
        </w:rPr>
      </w:pPr>
      <w:r>
        <w:rPr>
          <w:rFonts w:cs="David" w:hint="cs"/>
          <w:rtl/>
        </w:rPr>
        <w:t xml:space="preserve">בניגוד לתחרות במכירה לצרכן </w:t>
      </w:r>
      <w:r>
        <w:rPr>
          <w:rFonts w:cs="David" w:hint="cs"/>
          <w:sz w:val="22"/>
          <w:rtl/>
        </w:rPr>
        <w:t>–</w:t>
      </w:r>
      <w:r>
        <w:rPr>
          <w:rFonts w:cs="David" w:hint="cs"/>
          <w:rtl/>
        </w:rPr>
        <w:t xml:space="preserve"> שהיא תחרות גיאוגרפית </w:t>
      </w:r>
      <w:r>
        <w:rPr>
          <w:rFonts w:cs="David" w:hint="cs"/>
          <w:sz w:val="22"/>
          <w:rtl/>
        </w:rPr>
        <w:t>–</w:t>
      </w:r>
      <w:r>
        <w:rPr>
          <w:rFonts w:cs="David" w:hint="cs"/>
          <w:rtl/>
        </w:rPr>
        <w:t xml:space="preserve"> התחרות ברכישת תשומות ושירותים מספקים מתנהלת בזירה הארצית. השפעתו של מיזם לרכישה משותפת של תשומות על התחרות בתחום התשומות נגזרת מנפח הרכישות שמרכז המיזם ביחס לכלל הרכישות של אותה תשומה. מקום בו</w:t>
      </w:r>
      <w:r>
        <w:rPr>
          <w:rFonts w:cs="David" w:hint="cs"/>
          <w:rtl/>
        </w:rPr>
        <w:t xml:space="preserve"> מרכז המיזם נפח רכישות מהותי מכלל הרכישות של תשומה מסוימת, עשוי להתעורר החשש כי ההסדר יקנה לחברי המיזם כוח מונופסוני למול ספקי התשומות. נזקיו של כוח מונופסוני דומים לאלה המיוחסים לכוח שוק מונופוליסטי, דהיינו צמצום תפוקה וייקור מחירי המוצרים לצרכן.</w:t>
      </w:r>
      <w:r>
        <w:rPr>
          <w:rStyle w:val="FootnoteReference"/>
          <w:rFonts w:hint="cs"/>
        </w:rPr>
        <w:t xml:space="preserve"> </w:t>
      </w:r>
      <w:r>
        <w:rPr>
          <w:rStyle w:val="FootnoteReference"/>
        </w:rPr>
        <w:footnoteReference w:id="14"/>
      </w:r>
      <w:r>
        <w:rPr>
          <w:rFonts w:cs="David" w:hint="cs"/>
          <w:rtl/>
        </w:rPr>
        <w:t xml:space="preserve"> כמו כן</w:t>
      </w:r>
      <w:r>
        <w:rPr>
          <w:rFonts w:cs="David" w:hint="cs"/>
          <w:rtl/>
        </w:rPr>
        <w:t>, במקרה של בלעדיות לספק אצל רוכש משמעותי, עלול להתעורר חשש מפני הדרת ספקים מפלטפורמת המכירה של הקמעונאים הקטנים.</w:t>
      </w:r>
    </w:p>
    <w:p w:rsidR="00000000" w:rsidRDefault="00784F2D">
      <w:pPr>
        <w:pStyle w:val="BodyText2"/>
        <w:bidi/>
        <w:jc w:val="both"/>
        <w:divId w:val="1576166890"/>
        <w:rPr>
          <w:rFonts w:cs="David" w:hint="cs"/>
          <w:sz w:val="22"/>
          <w:rtl/>
        </w:rPr>
      </w:pPr>
      <w:r>
        <w:rPr>
          <w:rFonts w:cs="David" w:hint="cs"/>
          <w:sz w:val="22"/>
          <w:rtl/>
        </w:rPr>
        <w:t>בדיקת רשות ההגבלים העסקיים העלתה כי חלקם של הקמעונאים הקטנים, לרבות קמעונאים קטנים אשר אינם צד להסדר שבפני, מתוך כלל הרכישות מספקים בתחום המזון</w:t>
      </w:r>
      <w:r>
        <w:rPr>
          <w:rFonts w:cs="David" w:hint="cs"/>
          <w:sz w:val="22"/>
          <w:rtl/>
        </w:rPr>
        <w:t xml:space="preserve"> ומוצרי הצריכה אינו משמעותי, ועל כן החששות הללו מופגים בענייננו.</w:t>
      </w:r>
    </w:p>
    <w:p w:rsidR="00000000" w:rsidRDefault="00784F2D">
      <w:pPr>
        <w:pStyle w:val="BodyText2"/>
        <w:bidi/>
        <w:jc w:val="both"/>
        <w:divId w:val="1576166890"/>
        <w:rPr>
          <w:rFonts w:cs="David" w:hint="cs"/>
          <w:sz w:val="22"/>
          <w:rtl/>
        </w:rPr>
      </w:pPr>
      <w:r>
        <w:rPr>
          <w:rFonts w:cs="David" w:hint="cs"/>
          <w:sz w:val="22"/>
          <w:rtl/>
        </w:rPr>
        <w:t>כאמור, במסגרת ההסדר מבקשת המכולת בשכונה לנהל, בשם הקמעונאים הקטנים שיחברו למיזם, גם משא ומתן מול ספקי אשראי ושירותי ביטוח ומול נותני שירותים אחרים הנלווים והנובעים במישרין מניהול ותפעול המכול</w:t>
      </w:r>
      <w:r>
        <w:rPr>
          <w:rFonts w:cs="David" w:hint="cs"/>
          <w:sz w:val="22"/>
          <w:rtl/>
        </w:rPr>
        <w:t xml:space="preserve">ות; וכן להעניק שירותי מיתוג ושילוט משותפים לחברי המיזם. </w:t>
      </w:r>
      <w:r>
        <w:rPr>
          <w:rFonts w:cs="David" w:hint="cs"/>
          <w:rtl/>
        </w:rPr>
        <w:t xml:space="preserve">חלקם של </w:t>
      </w:r>
      <w:r>
        <w:rPr>
          <w:rFonts w:cs="David" w:hint="cs"/>
          <w:sz w:val="22"/>
          <w:rtl/>
        </w:rPr>
        <w:t>הקמעונאים הקטנים</w:t>
      </w:r>
      <w:r>
        <w:rPr>
          <w:rFonts w:cs="David" w:hint="cs"/>
          <w:rtl/>
        </w:rPr>
        <w:t xml:space="preserve"> </w:t>
      </w:r>
      <w:r>
        <w:rPr>
          <w:rFonts w:cs="David" w:hint="cs"/>
          <w:sz w:val="22"/>
          <w:rtl/>
        </w:rPr>
        <w:t>ברכישת תשומות אלו</w:t>
      </w:r>
      <w:r>
        <w:rPr>
          <w:rFonts w:cs="David" w:hint="cs"/>
          <w:rtl/>
        </w:rPr>
        <w:t xml:space="preserve"> קטן אף יותר, ועל כן, לא מצאתי כי קיים חשש לפגיעה בתחרות בשוק כתוצאה משיתוף פעולה זה</w:t>
      </w:r>
      <w:r>
        <w:rPr>
          <w:rFonts w:cs="David" w:hint="cs"/>
          <w:sz w:val="22"/>
          <w:rtl/>
        </w:rPr>
        <w:t xml:space="preserve">. </w:t>
      </w:r>
    </w:p>
    <w:p w:rsidR="00000000" w:rsidRDefault="00784F2D">
      <w:pPr>
        <w:bidi/>
        <w:spacing w:before="100" w:beforeAutospacing="1" w:after="100" w:afterAutospacing="1"/>
        <w:ind w:left="432"/>
        <w:divId w:val="1576166890"/>
        <w:rPr>
          <w:rFonts w:cs="David" w:hint="cs"/>
          <w:b/>
          <w:bCs/>
          <w:sz w:val="22"/>
          <w:rtl/>
        </w:rPr>
      </w:pPr>
      <w:r>
        <w:rPr>
          <w:rFonts w:cs="David" w:hint="cs"/>
          <w:b/>
          <w:bCs/>
          <w:sz w:val="22"/>
          <w:rtl/>
        </w:rPr>
        <w:t xml:space="preserve">3.2.4 חששות תחרותיים נוספים </w:t>
      </w:r>
    </w:p>
    <w:p w:rsidR="00000000" w:rsidRDefault="00784F2D">
      <w:pPr>
        <w:bidi/>
        <w:spacing w:before="100" w:beforeAutospacing="1" w:after="100" w:afterAutospacing="1"/>
        <w:divId w:val="1576166890"/>
        <w:rPr>
          <w:rFonts w:cs="David" w:hint="cs"/>
          <w:rtl/>
        </w:rPr>
      </w:pPr>
      <w:r>
        <w:rPr>
          <w:rFonts w:cs="David" w:hint="cs"/>
          <w:rtl/>
        </w:rPr>
        <w:t>נוסף על האמור לעיל, שיתוף הפעולה בין הקמעו</w:t>
      </w:r>
      <w:r>
        <w:rPr>
          <w:rFonts w:cs="David" w:hint="cs"/>
          <w:rtl/>
        </w:rPr>
        <w:t>נאים הקטנים במסגרת ההסדר שבפני מעורר חשש מפני פגיעה בתחרות שביניהם,  כתוצאה מהחלפת מידע בין הקמעונאים הקטנים לבין מיזם המכולת בשכונה. חילופי מידע בתחומים הנוגעים לתחרות עלולים להוות פרקטיקה מעודדת תיאום בין מתחרים, וזאת אף אם חילופי המידע נדרשים לשם מטרה ל</w:t>
      </w:r>
      <w:r>
        <w:rPr>
          <w:rFonts w:cs="David" w:hint="cs"/>
          <w:rtl/>
        </w:rPr>
        <w:t>גיטימית.</w:t>
      </w:r>
      <w:r>
        <w:rPr>
          <w:rStyle w:val="FootnoteReference"/>
          <w:rFonts w:cs="David"/>
          <w:sz w:val="22"/>
          <w:rtl/>
        </w:rPr>
        <w:footnoteReference w:id="15"/>
      </w:r>
      <w:r>
        <w:rPr>
          <w:rFonts w:cs="David" w:hint="cs"/>
          <w:rtl/>
        </w:rPr>
        <w:t xml:space="preserve"> החלפת מידע בין מתחרים עשויה אפוא, כשלעצמה, לעלות כדי הסדר כובל. </w:t>
      </w:r>
    </w:p>
    <w:p w:rsidR="00000000" w:rsidRDefault="00784F2D">
      <w:pPr>
        <w:bidi/>
        <w:spacing w:before="100" w:beforeAutospacing="1" w:after="100" w:afterAutospacing="1"/>
        <w:divId w:val="1576166890"/>
        <w:rPr>
          <w:rFonts w:cs="David" w:hint="cs"/>
          <w:sz w:val="22"/>
          <w:rtl/>
        </w:rPr>
      </w:pPr>
      <w:r>
        <w:rPr>
          <w:rFonts w:cs="David" w:hint="cs"/>
          <w:rtl/>
        </w:rPr>
        <w:t>ואולם, על פי ההסדר שהוצג בפני, יעביר כל אחד מן הקמעונאים מידע אודות תנאי המסחר להם הוא זוכה מהספקים לידי המכולת בשכונה בלבד ומידע זה לא יועבר בין החברים במיזם, בין אם במישרין ובין ב</w:t>
      </w:r>
      <w:r>
        <w:rPr>
          <w:rFonts w:cs="David" w:hint="cs"/>
          <w:rtl/>
        </w:rPr>
        <w:t>עקיפין באמצעות המכולת בשכונה. כמו כן, במסגרת המיזם אין הקמעונאים נדרשים לספק למכולת בשכונה מידע אודות מחירי מכירה לצרכן.</w:t>
      </w:r>
      <w:r>
        <w:rPr>
          <w:rFonts w:cs="David" w:hint="cs"/>
          <w:sz w:val="22"/>
          <w:rtl/>
        </w:rPr>
        <w:t xml:space="preserve"> </w:t>
      </w:r>
    </w:p>
    <w:p w:rsidR="00000000" w:rsidRDefault="00784F2D">
      <w:pPr>
        <w:bidi/>
        <w:spacing w:before="100" w:beforeAutospacing="1" w:after="100" w:afterAutospacing="1"/>
        <w:divId w:val="1576166890"/>
        <w:rPr>
          <w:rFonts w:cs="David" w:hint="cs"/>
          <w:sz w:val="22"/>
          <w:rtl/>
        </w:rPr>
      </w:pPr>
      <w:r>
        <w:rPr>
          <w:rFonts w:cs="David" w:hint="cs"/>
          <w:sz w:val="22"/>
          <w:rtl/>
        </w:rPr>
        <w:t>על מנת להבטיח זאת, מצאתי לקבוע תנאים מפורשים בהחלטה זו האוסרים על העברת מידע תחרותי בין חברי המכולת בשכונה, לרבות מידע בדבר כמויות מוז</w:t>
      </w:r>
      <w:r>
        <w:rPr>
          <w:rFonts w:cs="David" w:hint="cs"/>
          <w:sz w:val="22"/>
          <w:rtl/>
        </w:rPr>
        <w:t xml:space="preserve">מנות מספקים ונותני שירותים וכן אוסרים באופן מוחלט על תיאום או העברת מידע בין המכולת בשכונה וחבריה, או בין החברים לבין עצמם, בנושא תמחור מוצרים לצרכן. </w:t>
      </w:r>
    </w:p>
    <w:p w:rsidR="00000000" w:rsidRDefault="00784F2D">
      <w:pPr>
        <w:bidi/>
        <w:spacing w:before="100" w:beforeAutospacing="1" w:after="100" w:afterAutospacing="1"/>
        <w:divId w:val="1576166890"/>
        <w:rPr>
          <w:rFonts w:cs="David" w:hint="cs"/>
          <w:rtl/>
        </w:rPr>
      </w:pPr>
      <w:r>
        <w:rPr>
          <w:rFonts w:cs="David" w:hint="cs"/>
          <w:rtl/>
        </w:rPr>
        <w:t>חשש נוסף המתעורר נוכח מיזמים מסוג זה נוגע לפגיעה בתחרות כתוצאה מחסימת הגישה למיזם בפני מתחרים בשוק. בעניי</w:t>
      </w:r>
      <w:r>
        <w:rPr>
          <w:rFonts w:cs="David" w:hint="cs"/>
          <w:rtl/>
        </w:rPr>
        <w:t>ננו, חשש זה אינו גבוה בין היתר, משום שהמיזם עודנו בשלביו המוקדמים ואין כל תמריץ כלכלי לבעליו למנוע ממצטרפים חדשים לקחת בו חלק. יתרה מכך, ככל שמיזם המכולת בשכונה יגדל כתוצאה מהצטרפות חברים נוספים אליו כך יזכו חברי המיזם ליתרונות לגודל ולתנאים מסחריים מיטיבי</w:t>
      </w:r>
      <w:r>
        <w:rPr>
          <w:rFonts w:cs="David" w:hint="cs"/>
          <w:rtl/>
        </w:rPr>
        <w:t xml:space="preserve">ם יותר. על אף האמור, מאחר והפטור הניתן בגדרי החלטתי זו יעמוד בתוקפו למשך ארבע שנים, במהלכן עשויים להשתנות תמריציהם של מנהלי המכולת בשכונה, מצאתי להתנות פטור זה בתנאים האוסרים על המכולת בשכונה למנוע </w:t>
      </w:r>
      <w:r>
        <w:rPr>
          <w:rFonts w:cs="David" w:hint="cs"/>
          <w:rtl/>
        </w:rPr>
        <w:lastRenderedPageBreak/>
        <w:t>הצטרפותם של קמעונאים קטנים למיזם, ככל שהם עומדים ביתר התנא</w:t>
      </w:r>
      <w:r>
        <w:rPr>
          <w:rFonts w:cs="David" w:hint="cs"/>
          <w:rtl/>
        </w:rPr>
        <w:t xml:space="preserve">ים למתן הפטור, כמפורט להלן. </w:t>
      </w:r>
    </w:p>
    <w:p w:rsidR="00000000" w:rsidRDefault="00784F2D">
      <w:pPr>
        <w:pStyle w:val="Heading1"/>
        <w:numPr>
          <w:ilvl w:val="0"/>
          <w:numId w:val="2"/>
        </w:numPr>
        <w:bidi/>
        <w:ind w:right="720"/>
        <w:divId w:val="1576166890"/>
        <w:rPr>
          <w:rFonts w:eastAsia="Times New Roman" w:cs="David" w:hint="cs"/>
          <w:sz w:val="28"/>
          <w:szCs w:val="28"/>
          <w:rtl/>
        </w:rPr>
      </w:pPr>
      <w:r>
        <w:rPr>
          <w:rFonts w:eastAsia="Times New Roman" w:cs="David" w:hint="cs"/>
          <w:sz w:val="28"/>
          <w:szCs w:val="28"/>
          <w:rtl/>
        </w:rPr>
        <w:t>סוף דבר</w:t>
      </w:r>
    </w:p>
    <w:p w:rsidR="00000000" w:rsidRDefault="00784F2D">
      <w:pPr>
        <w:pStyle w:val="Heading2"/>
        <w:bidi/>
        <w:divId w:val="1576166890"/>
        <w:rPr>
          <w:rFonts w:eastAsia="Times New Roman" w:cs="David" w:hint="cs"/>
          <w:b w:val="0"/>
          <w:bCs w:val="0"/>
          <w:sz w:val="24"/>
          <w:szCs w:val="24"/>
          <w:rtl/>
        </w:rPr>
      </w:pPr>
      <w:r>
        <w:rPr>
          <w:rFonts w:eastAsia="Times New Roman" w:cs="David" w:hint="cs"/>
          <w:b w:val="0"/>
          <w:bCs w:val="0"/>
          <w:sz w:val="24"/>
          <w:szCs w:val="24"/>
          <w:rtl/>
        </w:rPr>
        <w:t xml:space="preserve">לאחר שנועצתי בוועדה לפטורים ומיזוגים, ומכוח הסמכות הנתונה לי בסעיף 14 לחוק ההגבלים העסקיים, ראיתי לנכון להעניק את הפטור המבוקש, וזאת למשך ארבע שנים, ובכפוף לתנאים שלהלן. </w:t>
      </w:r>
    </w:p>
    <w:p w:rsidR="00000000" w:rsidRDefault="00784F2D">
      <w:pPr>
        <w:bidi/>
        <w:spacing w:before="100" w:beforeAutospacing="1" w:after="120"/>
        <w:divId w:val="1576166890"/>
        <w:rPr>
          <w:rFonts w:cs="David" w:hint="cs"/>
          <w:rtl/>
        </w:rPr>
      </w:pPr>
      <w:r>
        <w:rPr>
          <w:rStyle w:val="Strong"/>
          <w:rFonts w:cs="David" w:hint="cs"/>
          <w:u w:val="single"/>
          <w:rtl/>
        </w:rPr>
        <w:t>ואלה הם התנאים למתן הפטור</w:t>
      </w:r>
      <w:r>
        <w:rPr>
          <w:rFonts w:cs="David" w:hint="cs"/>
          <w:rtl/>
        </w:rPr>
        <w:t xml:space="preserve">: </w:t>
      </w:r>
    </w:p>
    <w:p w:rsidR="00000000" w:rsidRDefault="00784F2D">
      <w:pPr>
        <w:bidi/>
        <w:spacing w:before="100" w:beforeAutospacing="1" w:after="120"/>
        <w:divId w:val="1576166890"/>
        <w:rPr>
          <w:rFonts w:cs="David" w:hint="cs"/>
          <w:b/>
          <w:bCs/>
          <w:rtl/>
        </w:rPr>
      </w:pPr>
      <w:r>
        <w:rPr>
          <w:rFonts w:cs="David" w:hint="cs"/>
          <w:b/>
          <w:bCs/>
          <w:rtl/>
        </w:rPr>
        <w:t>הגדרות:</w:t>
      </w:r>
    </w:p>
    <w:p w:rsidR="00000000" w:rsidRDefault="00784F2D">
      <w:pPr>
        <w:bidi/>
        <w:spacing w:before="100" w:beforeAutospacing="1" w:after="100" w:afterAutospacing="1"/>
        <w:ind w:left="-567" w:firstLine="567"/>
        <w:divId w:val="1576166890"/>
        <w:rPr>
          <w:rFonts w:cs="David" w:hint="cs"/>
          <w:rtl/>
        </w:rPr>
      </w:pPr>
      <w:r>
        <w:rPr>
          <w:rFonts w:cs="David" w:hint="cs"/>
          <w:rtl/>
        </w:rPr>
        <w:t>"</w:t>
      </w:r>
      <w:r>
        <w:rPr>
          <w:rStyle w:val="Strong"/>
          <w:rFonts w:cs="David" w:hint="cs"/>
          <w:rtl/>
        </w:rPr>
        <w:t>המכולת בשכונה</w:t>
      </w:r>
      <w:r>
        <w:rPr>
          <w:rFonts w:cs="David" w:hint="cs"/>
          <w:rtl/>
        </w:rPr>
        <w:t>" – המכולת בשכונה בע"מ;</w:t>
      </w:r>
    </w:p>
    <w:p w:rsidR="00000000" w:rsidRDefault="00784F2D">
      <w:pPr>
        <w:bidi/>
        <w:spacing w:before="100" w:beforeAutospacing="1" w:after="100" w:afterAutospacing="1"/>
        <w:divId w:val="1576166890"/>
        <w:rPr>
          <w:rFonts w:cs="David" w:hint="cs"/>
          <w:rtl/>
        </w:rPr>
      </w:pPr>
      <w:r>
        <w:rPr>
          <w:rFonts w:cs="David" w:hint="cs"/>
          <w:rtl/>
        </w:rPr>
        <w:t>"</w:t>
      </w:r>
      <w:r>
        <w:rPr>
          <w:rStyle w:val="Strong"/>
          <w:rFonts w:cs="David" w:hint="cs"/>
          <w:rtl/>
        </w:rPr>
        <w:t>הממונה</w:t>
      </w:r>
      <w:r>
        <w:rPr>
          <w:rFonts w:cs="David" w:hint="cs"/>
          <w:rtl/>
        </w:rPr>
        <w:t>" – הממונה על הגבלים עסקיים;</w:t>
      </w:r>
    </w:p>
    <w:p w:rsidR="00000000" w:rsidRDefault="00784F2D">
      <w:pPr>
        <w:bidi/>
        <w:spacing w:before="100" w:beforeAutospacing="1" w:after="100" w:afterAutospacing="1"/>
        <w:divId w:val="1576166890"/>
        <w:rPr>
          <w:rFonts w:cs="David" w:hint="cs"/>
          <w:rtl/>
        </w:rPr>
      </w:pPr>
      <w:r>
        <w:rPr>
          <w:rFonts w:cs="David" w:hint="cs"/>
          <w:rtl/>
        </w:rPr>
        <w:t>"</w:t>
      </w:r>
      <w:r>
        <w:rPr>
          <w:rFonts w:cs="David" w:hint="cs"/>
          <w:b/>
          <w:bCs/>
          <w:rtl/>
        </w:rPr>
        <w:t>חנות</w:t>
      </w:r>
      <w:r>
        <w:rPr>
          <w:rFonts w:cs="David" w:hint="cs"/>
          <w:rtl/>
        </w:rPr>
        <w:t>" – מקום לממכר קמעונאי של מזון ומוצרי צריכה, ויראו לעניין זה כמה נקודות מכירה כחנות אחת אם קמעונאי אחד מחזיק בהן במתחם אחד;</w:t>
      </w:r>
    </w:p>
    <w:p w:rsidR="00000000" w:rsidRDefault="00784F2D">
      <w:pPr>
        <w:bidi/>
        <w:spacing w:before="100" w:beforeAutospacing="1" w:after="100" w:afterAutospacing="1"/>
        <w:divId w:val="1576166890"/>
        <w:rPr>
          <w:rFonts w:cs="David" w:hint="cs"/>
          <w:rtl/>
        </w:rPr>
      </w:pPr>
      <w:r>
        <w:rPr>
          <w:rFonts w:cs="David" w:hint="cs"/>
          <w:rtl/>
        </w:rPr>
        <w:t>"</w:t>
      </w:r>
      <w:r>
        <w:rPr>
          <w:rFonts w:cs="David" w:hint="cs"/>
          <w:b/>
          <w:bCs/>
          <w:rtl/>
        </w:rPr>
        <w:t>מחזור מכירות</w:t>
      </w:r>
      <w:r>
        <w:rPr>
          <w:rFonts w:cs="David" w:hint="cs"/>
          <w:rtl/>
        </w:rPr>
        <w:t xml:space="preserve">" – ערך מכירות לפי דוחות כספיים מבוקרים, </w:t>
      </w:r>
      <w:r>
        <w:rPr>
          <w:rFonts w:cs="David" w:hint="cs"/>
          <w:rtl/>
        </w:rPr>
        <w:t xml:space="preserve">בלא מס ערך מוסף ובלא מס             קנייה, ולעניין חברה שיש לה חברות-אם או חברות-בת – לפי הדוחות הכספיים המאוחדים; </w:t>
      </w:r>
    </w:p>
    <w:p w:rsidR="00000000" w:rsidRDefault="00784F2D">
      <w:pPr>
        <w:bidi/>
        <w:spacing w:before="100" w:beforeAutospacing="1" w:after="100" w:afterAutospacing="1"/>
        <w:divId w:val="1576166890"/>
        <w:rPr>
          <w:rFonts w:cs="David" w:hint="cs"/>
          <w:rtl/>
        </w:rPr>
      </w:pPr>
      <w:r>
        <w:rPr>
          <w:rFonts w:cs="David" w:hint="cs"/>
          <w:rtl/>
        </w:rPr>
        <w:t>"</w:t>
      </w:r>
      <w:r>
        <w:rPr>
          <w:rStyle w:val="Strong"/>
          <w:rFonts w:cs="David" w:hint="cs"/>
          <w:rtl/>
        </w:rPr>
        <w:t>קמעונאי קטן</w:t>
      </w:r>
      <w:r>
        <w:rPr>
          <w:rFonts w:cs="David" w:hint="cs"/>
          <w:rtl/>
        </w:rPr>
        <w:t xml:space="preserve">" – </w:t>
      </w:r>
      <w:r>
        <w:rPr>
          <w:rFonts w:cs="David" w:hint="cs"/>
          <w:sz w:val="22"/>
          <w:rtl/>
        </w:rPr>
        <w:t>אדם המחזיק בחנות וכן כל אדם קשור אליו, אשר מתקיים בו אחד התנאים הבאים:</w:t>
      </w:r>
    </w:p>
    <w:p w:rsidR="00000000" w:rsidRDefault="00784F2D">
      <w:pPr>
        <w:pStyle w:val="FootnoteText"/>
        <w:numPr>
          <w:ilvl w:val="0"/>
          <w:numId w:val="4"/>
        </w:numPr>
        <w:bidi/>
        <w:spacing w:before="0" w:beforeAutospacing="0" w:after="0" w:afterAutospacing="0"/>
        <w:divId w:val="1576166890"/>
        <w:rPr>
          <w:rFonts w:hint="cs"/>
          <w:sz w:val="22"/>
          <w:rtl/>
        </w:rPr>
      </w:pPr>
      <w:r>
        <w:rPr>
          <w:rFonts w:cs="David" w:hint="cs"/>
          <w:sz w:val="22"/>
          <w:rtl/>
        </w:rPr>
        <w:t xml:space="preserve">אם הוא מחזיק בחנות אחת </w:t>
      </w:r>
      <w:r>
        <w:rPr>
          <w:rFonts w:cs="David" w:hint="cs"/>
          <w:rtl/>
        </w:rPr>
        <w:t>–</w:t>
      </w:r>
      <w:r>
        <w:rPr>
          <w:rFonts w:cs="David" w:hint="cs"/>
          <w:sz w:val="22"/>
          <w:rtl/>
        </w:rPr>
        <w:t xml:space="preserve"> שטחה של החנות אינו עולה על 2</w:t>
      </w:r>
      <w:r>
        <w:rPr>
          <w:rFonts w:cs="David" w:hint="cs"/>
          <w:sz w:val="22"/>
          <w:rtl/>
        </w:rPr>
        <w:t>50 מ"ר או שמחזור המכירות של החנות, בשנת הכספים הקודמת להצטרפותו למיזם המכולת בשכונה, אינו עולה על 12 מיליון ₪;</w:t>
      </w:r>
    </w:p>
    <w:p w:rsidR="00000000" w:rsidRDefault="00784F2D">
      <w:pPr>
        <w:pStyle w:val="FootnoteText"/>
        <w:numPr>
          <w:ilvl w:val="0"/>
          <w:numId w:val="4"/>
        </w:numPr>
        <w:bidi/>
        <w:spacing w:before="0" w:beforeAutospacing="0" w:after="0" w:afterAutospacing="0"/>
        <w:divId w:val="1576166890"/>
        <w:rPr>
          <w:rFonts w:cs="David" w:hint="cs"/>
          <w:sz w:val="22"/>
        </w:rPr>
      </w:pPr>
      <w:r>
        <w:rPr>
          <w:rFonts w:cs="David" w:hint="cs"/>
          <w:sz w:val="22"/>
          <w:rtl/>
        </w:rPr>
        <w:t xml:space="preserve">אם הוא מחזיק בשתי חנויות ומעלה </w:t>
      </w:r>
      <w:r>
        <w:rPr>
          <w:rFonts w:cs="David" w:hint="cs"/>
          <w:rtl/>
        </w:rPr>
        <w:t>–</w:t>
      </w:r>
      <w:r>
        <w:rPr>
          <w:rFonts w:cs="David" w:hint="cs"/>
          <w:sz w:val="22"/>
          <w:rtl/>
        </w:rPr>
        <w:t xml:space="preserve"> בכל אחת מן החנויות מתקיים האמור בתנאי (1) לעיל ומחזור המכירות המצרפי של כלל החנויות בהן הוא מחזיק, בשנת הכספים ה</w:t>
      </w:r>
      <w:r>
        <w:rPr>
          <w:rFonts w:cs="David" w:hint="cs"/>
          <w:sz w:val="22"/>
          <w:rtl/>
        </w:rPr>
        <w:t>קודמת להצטרפותו למיזם המכולת בשכונה, אינו עולה על 40 מיליון ₪ .</w:t>
      </w:r>
    </w:p>
    <w:p w:rsidR="00000000" w:rsidRDefault="00784F2D">
      <w:pPr>
        <w:bidi/>
        <w:spacing w:before="100" w:beforeAutospacing="1" w:after="100" w:afterAutospacing="1"/>
        <w:divId w:val="1576166890"/>
        <w:rPr>
          <w:rFonts w:cs="David" w:hint="cs"/>
          <w:rtl/>
        </w:rPr>
      </w:pPr>
      <w:r>
        <w:rPr>
          <w:rFonts w:cs="David" w:hint="cs"/>
          <w:rtl/>
        </w:rPr>
        <w:t>"</w:t>
      </w:r>
      <w:r>
        <w:rPr>
          <w:rStyle w:val="Strong"/>
          <w:rFonts w:cs="David" w:hint="cs"/>
          <w:rtl/>
        </w:rPr>
        <w:t>החברים במכולת בשכונה</w:t>
      </w:r>
      <w:r>
        <w:rPr>
          <w:rFonts w:cs="David" w:hint="cs"/>
          <w:rtl/>
        </w:rPr>
        <w:t xml:space="preserve">" – קמעונאים קטנים שהתקשרו בהסכם למתן שירותים עם המכולת בשכונה; </w:t>
      </w:r>
    </w:p>
    <w:p w:rsidR="00000000" w:rsidRDefault="00784F2D">
      <w:pPr>
        <w:bidi/>
        <w:spacing w:before="100" w:beforeAutospacing="1" w:after="100" w:afterAutospacing="1"/>
        <w:divId w:val="1576166890"/>
        <w:rPr>
          <w:rFonts w:cs="David" w:hint="cs"/>
          <w:rtl/>
        </w:rPr>
      </w:pPr>
      <w:r>
        <w:rPr>
          <w:rFonts w:cs="David" w:hint="cs"/>
          <w:rtl/>
        </w:rPr>
        <w:t>"</w:t>
      </w:r>
      <w:r>
        <w:rPr>
          <w:rFonts w:cs="David" w:hint="cs"/>
          <w:b/>
          <w:bCs/>
          <w:rtl/>
        </w:rPr>
        <w:t>שירותי</w:t>
      </w:r>
      <w:r>
        <w:rPr>
          <w:rFonts w:cs="David" w:hint="cs"/>
          <w:rtl/>
        </w:rPr>
        <w:t xml:space="preserve"> </w:t>
      </w:r>
      <w:r>
        <w:rPr>
          <w:rFonts w:cs="David" w:hint="cs"/>
          <w:b/>
          <w:bCs/>
          <w:rtl/>
        </w:rPr>
        <w:t>המיזם</w:t>
      </w:r>
      <w:r>
        <w:rPr>
          <w:rFonts w:cs="David" w:hint="cs"/>
          <w:rtl/>
        </w:rPr>
        <w:t>" – משא ומתן לסיכום התנאים המסחריים לרכישת מוצרי מזון ומוצרי צריכה; שירותי אשראי וביטוח;</w:t>
      </w:r>
      <w:r>
        <w:rPr>
          <w:rFonts w:cs="David" w:hint="cs"/>
          <w:sz w:val="22"/>
          <w:rtl/>
        </w:rPr>
        <w:t xml:space="preserve"> שירו</w:t>
      </w:r>
      <w:r>
        <w:rPr>
          <w:rFonts w:cs="David" w:hint="cs"/>
          <w:sz w:val="22"/>
          <w:rtl/>
        </w:rPr>
        <w:t>תי שילוט ומיתוג משותף; שירותי סידור ונראות</w:t>
      </w:r>
      <w:r>
        <w:rPr>
          <w:rFonts w:cs="David" w:hint="cs"/>
          <w:rtl/>
        </w:rPr>
        <w:t xml:space="preserve"> וכן מוצרים ושירותים נוספים הקשורים במישרין בניהול והפעלת חנות של קמעונאי קטן. </w:t>
      </w:r>
    </w:p>
    <w:p w:rsidR="00000000" w:rsidRDefault="00784F2D">
      <w:pPr>
        <w:bidi/>
        <w:spacing w:before="100" w:beforeAutospacing="1" w:after="100" w:afterAutospacing="1"/>
        <w:divId w:val="1576166890"/>
        <w:rPr>
          <w:rFonts w:cs="David" w:hint="cs"/>
          <w:rtl/>
        </w:rPr>
      </w:pPr>
      <w:r>
        <w:rPr>
          <w:rFonts w:cs="David" w:hint="cs"/>
          <w:rtl/>
        </w:rPr>
        <w:t>"</w:t>
      </w:r>
      <w:r>
        <w:rPr>
          <w:rStyle w:val="Strong"/>
          <w:rFonts w:cs="David" w:hint="cs"/>
          <w:rtl/>
        </w:rPr>
        <w:t>תנאי מכירה לצרכן</w:t>
      </w:r>
      <w:r>
        <w:rPr>
          <w:rFonts w:cs="David" w:hint="cs"/>
          <w:rtl/>
        </w:rPr>
        <w:t>" – לרבות מחיר המכירה לצרכן, מדיניות הנחות, מבצעי מכירות, מדיניות אשראי, סוג, מגוון ואיכות המוצרים שימכרו, מועד פתיחת</w:t>
      </w:r>
      <w:r>
        <w:rPr>
          <w:rFonts w:cs="David" w:hint="cs"/>
          <w:rtl/>
        </w:rPr>
        <w:t xml:space="preserve"> המרכול וכדומה.</w:t>
      </w:r>
    </w:p>
    <w:p w:rsidR="00000000" w:rsidRDefault="00784F2D">
      <w:pPr>
        <w:bidi/>
        <w:spacing w:before="100" w:beforeAutospacing="1" w:after="100" w:afterAutospacing="1"/>
        <w:divId w:val="1576166890"/>
        <w:rPr>
          <w:rFonts w:cs="David" w:hint="cs"/>
          <w:rtl/>
        </w:rPr>
      </w:pPr>
      <w:r>
        <w:rPr>
          <w:rFonts w:cs="David" w:hint="cs"/>
          <w:rtl/>
        </w:rPr>
        <w:t>"</w:t>
      </w:r>
      <w:r>
        <w:rPr>
          <w:rStyle w:val="Strong"/>
          <w:rFonts w:cs="David" w:hint="cs"/>
          <w:rtl/>
        </w:rPr>
        <w:t>תנאים מסחריים</w:t>
      </w:r>
      <w:r>
        <w:rPr>
          <w:rFonts w:cs="David" w:hint="cs"/>
          <w:rtl/>
        </w:rPr>
        <w:t xml:space="preserve">" – לרבות מחיר סיטונאי, הנחות, תנאי אשראי, סוג, מגוון ואיכות המוצרים וכדומה. </w:t>
      </w:r>
    </w:p>
    <w:p w:rsidR="00000000" w:rsidRDefault="00784F2D">
      <w:pPr>
        <w:bidi/>
        <w:spacing w:before="100" w:beforeAutospacing="1" w:after="100" w:afterAutospacing="1"/>
        <w:divId w:val="1576166890"/>
        <w:rPr>
          <w:rStyle w:val="Strong"/>
          <w:rFonts w:hint="cs"/>
          <w:rtl/>
        </w:rPr>
      </w:pPr>
      <w:r>
        <w:rPr>
          <w:rStyle w:val="Strong"/>
          <w:rFonts w:cs="David" w:hint="cs"/>
          <w:sz w:val="22"/>
          <w:rtl/>
        </w:rPr>
        <w:t>תנאים:</w:t>
      </w:r>
    </w:p>
    <w:p w:rsidR="00000000" w:rsidRDefault="00784F2D">
      <w:pPr>
        <w:pStyle w:val="ListParagraph"/>
        <w:numPr>
          <w:ilvl w:val="0"/>
          <w:numId w:val="6"/>
        </w:numPr>
        <w:bidi/>
        <w:ind w:left="418" w:right="720"/>
        <w:contextualSpacing/>
        <w:divId w:val="1576166890"/>
        <w:rPr>
          <w:rFonts w:hint="cs"/>
        </w:rPr>
      </w:pPr>
      <w:r>
        <w:rPr>
          <w:rFonts w:cs="David" w:hint="cs"/>
          <w:rtl/>
        </w:rPr>
        <w:t>המכולת בשכונה תעניק לקמעונאים קטנים את שירותי המיזם כהגדרתם לעיל בלבד. המכולת בשכונה לא תעניק שירותים למי שאינו קמעונאי קטן.</w:t>
      </w:r>
    </w:p>
    <w:p w:rsidR="00000000" w:rsidRDefault="00784F2D">
      <w:pPr>
        <w:pStyle w:val="10"/>
        <w:numPr>
          <w:ilvl w:val="0"/>
          <w:numId w:val="6"/>
        </w:numPr>
        <w:bidi/>
        <w:spacing w:before="120" w:beforeAutospacing="0" w:after="60" w:afterAutospacing="0" w:line="360" w:lineRule="auto"/>
        <w:ind w:left="418"/>
        <w:jc w:val="both"/>
        <w:divId w:val="1576166890"/>
        <w:rPr>
          <w:rFonts w:cs="David" w:hint="cs"/>
        </w:rPr>
      </w:pPr>
      <w:r>
        <w:rPr>
          <w:rFonts w:cs="David" w:hint="cs"/>
          <w:rtl/>
        </w:rPr>
        <w:t>המכולת בשכונה לא</w:t>
      </w:r>
      <w:r>
        <w:rPr>
          <w:rFonts w:cs="David" w:hint="cs"/>
          <w:rtl/>
        </w:rPr>
        <w:t xml:space="preserve"> תסרב לצרף קמעונאי קטן נוסף להסדר, בתנאים שיוויוניים.</w:t>
      </w:r>
    </w:p>
    <w:p w:rsidR="00000000" w:rsidRDefault="00784F2D">
      <w:pPr>
        <w:pStyle w:val="10"/>
        <w:numPr>
          <w:ilvl w:val="0"/>
          <w:numId w:val="6"/>
        </w:numPr>
        <w:bidi/>
        <w:spacing w:before="120" w:beforeAutospacing="0" w:after="60" w:afterAutospacing="0" w:line="360" w:lineRule="auto"/>
        <w:ind w:left="418"/>
        <w:jc w:val="both"/>
        <w:divId w:val="1576166890"/>
        <w:rPr>
          <w:rFonts w:cs="David" w:hint="cs"/>
          <w:rtl/>
        </w:rPr>
      </w:pPr>
      <w:r>
        <w:rPr>
          <w:rFonts w:cs="David" w:hint="cs"/>
          <w:rtl/>
        </w:rPr>
        <w:lastRenderedPageBreak/>
        <w:t xml:space="preserve">המכולת בשכונה לא תייעץ, תמליץ, תשפיע או תתערב בכל דרך אחרת בתנאי המכירה לצרכן של איזה מהמוצרים הנמכרים על ידי חברי המכולת בשכונה. </w:t>
      </w:r>
    </w:p>
    <w:p w:rsidR="00000000" w:rsidRDefault="00784F2D">
      <w:pPr>
        <w:pStyle w:val="10"/>
        <w:numPr>
          <w:ilvl w:val="0"/>
          <w:numId w:val="6"/>
        </w:numPr>
        <w:bidi/>
        <w:spacing w:before="120" w:beforeAutospacing="0" w:after="60" w:afterAutospacing="0" w:line="360" w:lineRule="auto"/>
        <w:ind w:left="418"/>
        <w:jc w:val="both"/>
        <w:divId w:val="1576166890"/>
        <w:rPr>
          <w:rFonts w:cs="David" w:hint="cs"/>
          <w:rtl/>
        </w:rPr>
      </w:pPr>
      <w:r>
        <w:rPr>
          <w:rFonts w:cs="David" w:hint="cs"/>
          <w:rtl/>
        </w:rPr>
        <w:t>פרט להענקת שירותי המיזם כהגדרתם לעיל, המכולת בשכונה לא תמנע, במישרין או</w:t>
      </w:r>
      <w:r>
        <w:rPr>
          <w:rFonts w:cs="David" w:hint="cs"/>
          <w:rtl/>
        </w:rPr>
        <w:t xml:space="preserve"> בעקיפין, מחברים במכולת בשכונה לרכוש מוצרים ושירותים ולנהל משא ומתן לרכישת מוצרים ושירותים שלא באמצעות המכולת בשכונה. </w:t>
      </w:r>
    </w:p>
    <w:p w:rsidR="00000000" w:rsidRDefault="00784F2D">
      <w:pPr>
        <w:pStyle w:val="10"/>
        <w:numPr>
          <w:ilvl w:val="0"/>
          <w:numId w:val="6"/>
        </w:numPr>
        <w:bidi/>
        <w:spacing w:before="120" w:beforeAutospacing="0" w:after="60" w:afterAutospacing="0" w:line="360" w:lineRule="auto"/>
        <w:ind w:left="418"/>
        <w:jc w:val="both"/>
        <w:divId w:val="1576166890"/>
        <w:rPr>
          <w:rFonts w:cs="David" w:hint="cs"/>
        </w:rPr>
      </w:pPr>
      <w:r>
        <w:rPr>
          <w:rFonts w:cs="David" w:hint="cs"/>
          <w:rtl/>
        </w:rPr>
        <w:t>ההתקשרות בין חברי המכולת בשכונה לבין ספקים ונותני שירות שונים תעשה על ידי כל אחד מחברי המכולת בשכונה באופן עצמאי. המכולת בשכונה לא תהא מעורבת בהתקשרות פרטנית בין חבר המכולת בשכונה לבין ספק או נותן שירות, למעט סיכום התנאים המסחריים שיוענקו על ידי ספקים ונות</w:t>
      </w:r>
      <w:r>
        <w:rPr>
          <w:rFonts w:cs="David" w:hint="cs"/>
          <w:rtl/>
        </w:rPr>
        <w:t xml:space="preserve">ני שירות לחברי המכולת בשכונה.  </w:t>
      </w:r>
      <w:r>
        <w:rPr>
          <w:rFonts w:cs="David" w:hint="cs"/>
          <w:highlight w:val="yellow"/>
          <w:rtl/>
        </w:rPr>
        <w:t xml:space="preserve"> </w:t>
      </w:r>
    </w:p>
    <w:p w:rsidR="00000000" w:rsidRDefault="00784F2D">
      <w:pPr>
        <w:pStyle w:val="ListParagraph"/>
        <w:keepNext/>
        <w:numPr>
          <w:ilvl w:val="0"/>
          <w:numId w:val="6"/>
        </w:numPr>
        <w:bidi/>
        <w:ind w:left="418" w:right="720"/>
        <w:outlineLvl w:val="0"/>
        <w:divId w:val="1576166890"/>
        <w:rPr>
          <w:rFonts w:cs="David" w:hint="cs"/>
          <w:b/>
          <w:bCs/>
          <w:i/>
          <w:iCs/>
          <w:rtl/>
        </w:rPr>
      </w:pPr>
      <w:r>
        <w:rPr>
          <w:rFonts w:cs="David" w:hint="cs"/>
          <w:rtl/>
        </w:rPr>
        <w:t xml:space="preserve">המכולת בשכונה ועובדיה לא ימסרו לחברי המכולת בשכונה כל מידע מסחרי הנוגע למי מחברי המכולת בשכונה, ובכלל זה מידע בדבר הכמויות המוזמנות מספקים או נותני שירות על-ידי חברי המכולת בשכונה. </w:t>
      </w:r>
    </w:p>
    <w:p w:rsidR="00000000" w:rsidRDefault="00784F2D">
      <w:pPr>
        <w:pStyle w:val="ListParagraph"/>
        <w:keepNext/>
        <w:numPr>
          <w:ilvl w:val="0"/>
          <w:numId w:val="6"/>
        </w:numPr>
        <w:bidi/>
        <w:ind w:left="418" w:right="720"/>
        <w:outlineLvl w:val="0"/>
        <w:divId w:val="1576166890"/>
        <w:rPr>
          <w:rFonts w:cs="David" w:hint="cs"/>
          <w:b/>
          <w:bCs/>
          <w:i/>
          <w:iCs/>
          <w:rtl/>
        </w:rPr>
      </w:pPr>
      <w:r>
        <w:rPr>
          <w:rFonts w:cs="David" w:hint="cs"/>
          <w:rtl/>
        </w:rPr>
        <w:t>מבלי לגרוע מכלליות האמור בסעיף 6 לעיל, המ</w:t>
      </w:r>
      <w:r>
        <w:rPr>
          <w:rFonts w:cs="David" w:hint="cs"/>
          <w:rtl/>
        </w:rPr>
        <w:t xml:space="preserve">כולת בשכונה והחברים במכולת בשכונה לא יהיו צד לכל הסכמה, הבנה, תיאום, תקשורת או החלפת מידע הנוגעים, במישרין או בעקיפין, לתנאי המכירה לצרכן של אחד או יותר מהמוצרים הנמכרים על ידי מי מחברי המכולת בשכונה. </w:t>
      </w:r>
    </w:p>
    <w:p w:rsidR="00000000" w:rsidRDefault="00784F2D">
      <w:pPr>
        <w:pStyle w:val="ListParagraph"/>
        <w:keepNext/>
        <w:numPr>
          <w:ilvl w:val="0"/>
          <w:numId w:val="2"/>
        </w:numPr>
        <w:bidi/>
        <w:ind w:left="418" w:right="720" w:hanging="432"/>
        <w:outlineLvl w:val="0"/>
        <w:divId w:val="1576166890"/>
        <w:rPr>
          <w:rFonts w:cs="David" w:hint="cs"/>
          <w:vanish/>
          <w:u w:val="single"/>
          <w:rtl/>
        </w:rPr>
      </w:pPr>
    </w:p>
    <w:p w:rsidR="00000000" w:rsidRDefault="00784F2D">
      <w:pPr>
        <w:pStyle w:val="ListParagraph"/>
        <w:keepNext/>
        <w:numPr>
          <w:ilvl w:val="0"/>
          <w:numId w:val="2"/>
        </w:numPr>
        <w:bidi/>
        <w:ind w:left="418" w:right="720" w:hanging="432"/>
        <w:outlineLvl w:val="0"/>
        <w:divId w:val="1576166890"/>
        <w:rPr>
          <w:rFonts w:cs="David" w:hint="cs"/>
          <w:vanish/>
          <w:u w:val="single"/>
          <w:rtl/>
        </w:rPr>
      </w:pPr>
    </w:p>
    <w:p w:rsidR="00000000" w:rsidRDefault="00784F2D">
      <w:pPr>
        <w:pStyle w:val="BodyText2"/>
        <w:numPr>
          <w:ilvl w:val="0"/>
          <w:numId w:val="6"/>
        </w:numPr>
        <w:overflowPunct w:val="0"/>
        <w:autoSpaceDE w:val="0"/>
        <w:autoSpaceDN w:val="0"/>
        <w:bidi/>
        <w:ind w:left="418" w:right="720"/>
        <w:jc w:val="both"/>
        <w:divId w:val="1576166890"/>
        <w:rPr>
          <w:rFonts w:cs="David" w:hint="cs"/>
          <w:sz w:val="22"/>
          <w:rtl/>
        </w:rPr>
      </w:pPr>
      <w:r>
        <w:rPr>
          <w:rFonts w:cs="David" w:hint="cs"/>
          <w:sz w:val="22"/>
          <w:rtl/>
        </w:rPr>
        <w:t>כל ספק בדבר פרשנותם או תחולתם של תנאים אלה יובא להכר</w:t>
      </w:r>
      <w:r>
        <w:rPr>
          <w:rFonts w:cs="David" w:hint="cs"/>
          <w:sz w:val="22"/>
          <w:rtl/>
        </w:rPr>
        <w:t>עת הממונה.</w:t>
      </w:r>
    </w:p>
    <w:p w:rsidR="00000000" w:rsidRDefault="00784F2D">
      <w:pPr>
        <w:overflowPunct w:val="0"/>
        <w:autoSpaceDE w:val="0"/>
        <w:autoSpaceDN w:val="0"/>
        <w:bidi/>
        <w:adjustRightInd w:val="0"/>
        <w:spacing w:before="100" w:beforeAutospacing="1" w:after="120"/>
        <w:textAlignment w:val="baseline"/>
        <w:divId w:val="1576166890"/>
        <w:rPr>
          <w:rFonts w:cs="David" w:hint="cs"/>
          <w:rtl/>
        </w:rPr>
      </w:pPr>
    </w:p>
    <w:p w:rsidR="00000000" w:rsidRDefault="00784F2D">
      <w:pPr>
        <w:overflowPunct w:val="0"/>
        <w:autoSpaceDE w:val="0"/>
        <w:autoSpaceDN w:val="0"/>
        <w:bidi/>
        <w:adjustRightInd w:val="0"/>
        <w:spacing w:before="100" w:beforeAutospacing="1" w:after="120"/>
        <w:textAlignment w:val="baseline"/>
        <w:divId w:val="1576166890"/>
        <w:rPr>
          <w:rFonts w:hint="cs"/>
          <w:rtl/>
        </w:rPr>
      </w:pPr>
      <w:r>
        <w:rPr>
          <w:rFonts w:cs="David" w:hint="cs"/>
          <w:rtl/>
        </w:rPr>
        <w:t xml:space="preserve">בהתאם לסעיף 15(א) לחוק ההגבלים העסקיים נתונה החלטתי זו לערר בפני אב בית הדין להגבלים עסקיים על ידי איגוד עסקי, ארגון צרכנים וכל אדם העלול להיפגע מההסדר הכובל. </w:t>
      </w:r>
    </w:p>
    <w:p w:rsidR="00000000" w:rsidRDefault="00784F2D">
      <w:pPr>
        <w:bidi/>
        <w:spacing w:before="100" w:beforeAutospacing="1" w:after="100" w:afterAutospacing="1"/>
        <w:ind w:left="5606"/>
        <w:divId w:val="1576166890"/>
        <w:rPr>
          <w:rFonts w:cs="David" w:hint="cs"/>
        </w:rPr>
      </w:pPr>
      <w:r>
        <w:rPr>
          <w:rFonts w:cs="David" w:hint="cs"/>
          <w:rtl/>
        </w:rPr>
        <w:t> </w:t>
      </w:r>
    </w:p>
    <w:p w:rsidR="00000000" w:rsidRDefault="00784F2D">
      <w:pPr>
        <w:bidi/>
        <w:spacing w:before="100" w:beforeAutospacing="1" w:after="100" w:afterAutospacing="1"/>
        <w:ind w:left="5606"/>
        <w:divId w:val="1576166890"/>
        <w:rPr>
          <w:rFonts w:cs="David" w:hint="cs"/>
          <w:rtl/>
        </w:rPr>
      </w:pPr>
      <w:r>
        <w:rPr>
          <w:rFonts w:cs="David" w:hint="cs"/>
          <w:rtl/>
        </w:rPr>
        <w:t xml:space="preserve">       פרופ' דיויד גילה</w:t>
      </w:r>
    </w:p>
    <w:p w:rsidR="00000000" w:rsidRDefault="00784F2D">
      <w:pPr>
        <w:bidi/>
        <w:spacing w:before="100" w:beforeAutospacing="1" w:after="100" w:afterAutospacing="1"/>
        <w:ind w:left="3600" w:firstLine="720"/>
        <w:divId w:val="1576166890"/>
        <w:rPr>
          <w:rFonts w:cs="David" w:hint="cs"/>
          <w:rtl/>
        </w:rPr>
      </w:pPr>
      <w:r>
        <w:rPr>
          <w:rFonts w:cs="David" w:hint="cs"/>
          <w:rtl/>
        </w:rPr>
        <w:t xml:space="preserve">                      הממונה על הגבלים עסקיים</w:t>
      </w:r>
    </w:p>
    <w:p w:rsidR="00000000" w:rsidRDefault="00784F2D">
      <w:pPr>
        <w:bidi/>
        <w:spacing w:before="100" w:beforeAutospacing="1" w:after="100" w:afterAutospacing="1"/>
        <w:divId w:val="1576166890"/>
        <w:rPr>
          <w:rFonts w:cs="David" w:hint="cs"/>
          <w:rtl/>
        </w:rPr>
      </w:pPr>
      <w:r>
        <w:rPr>
          <w:rFonts w:cs="David" w:hint="cs"/>
          <w:rtl/>
        </w:rPr>
        <w:t>ירושלים, ‏ח'</w:t>
      </w:r>
      <w:r>
        <w:rPr>
          <w:rFonts w:cs="David" w:hint="cs"/>
          <w:rtl/>
        </w:rPr>
        <w:t xml:space="preserve"> טבת, תשע"ה</w:t>
      </w:r>
    </w:p>
    <w:p w:rsidR="00000000" w:rsidRDefault="00784F2D">
      <w:pPr>
        <w:bidi/>
        <w:spacing w:before="100" w:beforeAutospacing="1" w:after="100" w:afterAutospacing="1"/>
        <w:divId w:val="1576166890"/>
        <w:rPr>
          <w:rStyle w:val="Strong"/>
          <w:rFonts w:hint="cs"/>
          <w:b w:val="0"/>
          <w:bCs w:val="0"/>
          <w:rtl/>
        </w:rPr>
      </w:pPr>
      <w:r>
        <w:rPr>
          <w:rFonts w:cs="David" w:hint="cs"/>
          <w:rtl/>
        </w:rPr>
        <w:t>‏30 בדצמבר, 2014</w:t>
      </w:r>
    </w:p>
    <w:p w:rsidR="00000000" w:rsidRDefault="00784F2D">
      <w:pPr>
        <w:pStyle w:val="NormalWeb"/>
        <w:bidi/>
        <w:spacing w:line="360" w:lineRule="auto"/>
        <w:divId w:val="1576166890"/>
        <w:rPr>
          <w:rFonts w:hint="cs"/>
          <w:rtl/>
        </w:rPr>
      </w:pPr>
      <w:r>
        <w:rPr>
          <w:rStyle w:val="Strong"/>
          <w:rFonts w:cs="David" w:hint="cs"/>
          <w:u w:val="single"/>
          <w:rtl/>
        </w:rPr>
        <w:t>נספח א'</w:t>
      </w:r>
    </w:p>
    <w:p w:rsidR="00000000" w:rsidRDefault="00784F2D">
      <w:pPr>
        <w:pStyle w:val="NormalWeb"/>
        <w:bidi/>
        <w:spacing w:line="360" w:lineRule="auto"/>
        <w:divId w:val="1576166890"/>
        <w:rPr>
          <w:rFonts w:cs="David" w:hint="cs"/>
          <w:rtl/>
        </w:rPr>
      </w:pPr>
      <w:r>
        <w:rPr>
          <w:rFonts w:cs="David" w:hint="cs"/>
          <w:rtl/>
        </w:rPr>
        <w:t>אני החתום/ה מטה, ......................., נושא/ת ת.ז. שמספרה ....................., המשמש/ת כ.........................  , מצהיר/ה בזה כדלקמן:</w:t>
      </w:r>
    </w:p>
    <w:p w:rsidR="00000000" w:rsidRDefault="00784F2D">
      <w:pPr>
        <w:bidi/>
        <w:spacing w:before="100" w:beforeAutospacing="1" w:after="100" w:afterAutospacing="1"/>
        <w:divId w:val="1576166890"/>
        <w:rPr>
          <w:rFonts w:cs="David" w:hint="cs"/>
          <w:rtl/>
        </w:rPr>
      </w:pPr>
      <w:r>
        <w:rPr>
          <w:rFonts w:cs="David" w:hint="cs"/>
          <w:rtl/>
        </w:rPr>
        <w:t>1.       קראתי במלואם את תנאי הממונה על הגבלים עסקיים למתן פטור מאישור בית הד</w:t>
      </w:r>
      <w:r>
        <w:rPr>
          <w:rFonts w:cs="David" w:hint="cs"/>
          <w:rtl/>
        </w:rPr>
        <w:t xml:space="preserve">ין להסדר </w:t>
      </w:r>
      <w:r>
        <w:rPr>
          <w:rFonts w:cs="David" w:hint="cs"/>
          <w:sz w:val="22"/>
          <w:rtl/>
        </w:rPr>
        <w:t xml:space="preserve">בין </w:t>
      </w:r>
      <w:r>
        <w:rPr>
          <w:rFonts w:cs="David" w:hint="cs"/>
          <w:rtl/>
        </w:rPr>
        <w:t xml:space="preserve">המכולת בשכונה בע"מ לבין קמעונאי מזון ומוצרי צריכה קטנים (תיק פטור </w:t>
      </w:r>
      <w:r>
        <w:rPr>
          <w:rFonts w:cs="David" w:hint="cs"/>
          <w:sz w:val="22"/>
          <w:rtl/>
        </w:rPr>
        <w:t>9674</w:t>
      </w:r>
      <w:r>
        <w:rPr>
          <w:rFonts w:cs="David" w:hint="cs"/>
          <w:rtl/>
        </w:rPr>
        <w:t>).</w:t>
      </w:r>
    </w:p>
    <w:p w:rsidR="00000000" w:rsidRDefault="00784F2D">
      <w:pPr>
        <w:pStyle w:val="NormalWeb"/>
        <w:bidi/>
        <w:spacing w:line="360" w:lineRule="auto"/>
        <w:divId w:val="1576166890"/>
        <w:rPr>
          <w:rFonts w:cs="David" w:hint="cs"/>
          <w:rtl/>
        </w:rPr>
      </w:pPr>
      <w:r>
        <w:rPr>
          <w:rFonts w:cs="David" w:hint="cs"/>
          <w:rtl/>
        </w:rPr>
        <w:t>2.       אני מודע/ת לכך כי קיום דווקני של כל התנאים הללו הוא הבסיס לקבלת פטור הממונה על הגבלים עסקיים להסדר זה.</w:t>
      </w:r>
    </w:p>
    <w:p w:rsidR="00000000" w:rsidRDefault="00784F2D">
      <w:pPr>
        <w:pStyle w:val="NormalWeb"/>
        <w:bidi/>
        <w:spacing w:line="360" w:lineRule="auto"/>
        <w:divId w:val="1576166890"/>
        <w:rPr>
          <w:rFonts w:cs="David" w:hint="cs"/>
          <w:highlight w:val="yellow"/>
          <w:rtl/>
        </w:rPr>
      </w:pPr>
      <w:r>
        <w:rPr>
          <w:rFonts w:cs="David" w:hint="cs"/>
          <w:rtl/>
        </w:rPr>
        <w:t xml:space="preserve">3.       ידוע לי כי הפרת התנאים הנזכרים עלולה להוות עבירה </w:t>
      </w:r>
      <w:r>
        <w:rPr>
          <w:rFonts w:cs="David" w:hint="cs"/>
          <w:rtl/>
        </w:rPr>
        <w:t xml:space="preserve">על חוק ההגבלים העסקיים, התשמ"ח – 1988 וכי אני עלול/ה להיות חשוף/ה לעונשים או לעיצומים הקבועים בחוק האמור. </w:t>
      </w:r>
    </w:p>
    <w:tbl>
      <w:tblPr>
        <w:bidiVisual/>
        <w:tblW w:w="0" w:type="auto"/>
        <w:jc w:val="center"/>
        <w:tblCellSpacing w:w="0" w:type="dxa"/>
        <w:tblCellMar>
          <w:left w:w="0" w:type="dxa"/>
          <w:right w:w="0" w:type="dxa"/>
        </w:tblCellMar>
        <w:tblLook w:val="04A0" w:firstRow="1" w:lastRow="0" w:firstColumn="1" w:lastColumn="0" w:noHBand="0" w:noVBand="1"/>
      </w:tblPr>
      <w:tblGrid>
        <w:gridCol w:w="1670"/>
        <w:gridCol w:w="1651"/>
        <w:gridCol w:w="1663"/>
        <w:gridCol w:w="1651"/>
        <w:gridCol w:w="1671"/>
      </w:tblGrid>
      <w:tr w:rsidR="00000000">
        <w:trPr>
          <w:divId w:val="1576166890"/>
          <w:tblCellSpacing w:w="0" w:type="dxa"/>
          <w:jc w:val="center"/>
        </w:trPr>
        <w:tc>
          <w:tcPr>
            <w:tcW w:w="1710" w:type="dxa"/>
            <w:vAlign w:val="center"/>
            <w:hideMark/>
          </w:tcPr>
          <w:p w:rsidR="00000000" w:rsidRDefault="00784F2D">
            <w:pPr>
              <w:pStyle w:val="NormalWeb"/>
              <w:bidi/>
              <w:spacing w:line="360" w:lineRule="auto"/>
              <w:rPr>
                <w:rFonts w:cs="David" w:hint="cs"/>
                <w:rtl/>
              </w:rPr>
            </w:pPr>
            <w:r>
              <w:rPr>
                <w:rFonts w:cs="David" w:hint="cs"/>
                <w:rtl/>
              </w:rPr>
              <w:lastRenderedPageBreak/>
              <w:t> </w:t>
            </w:r>
          </w:p>
        </w:tc>
        <w:tc>
          <w:tcPr>
            <w:tcW w:w="1710" w:type="dxa"/>
            <w:vAlign w:val="center"/>
            <w:hideMark/>
          </w:tcPr>
          <w:p w:rsidR="00000000" w:rsidRDefault="00784F2D">
            <w:pPr>
              <w:pStyle w:val="NormalWeb"/>
              <w:bidi/>
              <w:spacing w:line="360" w:lineRule="auto"/>
              <w:rPr>
                <w:rFonts w:cs="David"/>
              </w:rPr>
            </w:pPr>
            <w:r>
              <w:rPr>
                <w:rFonts w:cs="David" w:hint="cs"/>
                <w:rtl/>
              </w:rPr>
              <w:t> </w:t>
            </w:r>
          </w:p>
        </w:tc>
        <w:tc>
          <w:tcPr>
            <w:tcW w:w="1710" w:type="dxa"/>
            <w:vAlign w:val="center"/>
            <w:hideMark/>
          </w:tcPr>
          <w:p w:rsidR="00000000" w:rsidRDefault="00784F2D">
            <w:pPr>
              <w:pStyle w:val="NormalWeb"/>
              <w:bidi/>
              <w:spacing w:line="360" w:lineRule="auto"/>
              <w:rPr>
                <w:rFonts w:cs="David"/>
              </w:rPr>
            </w:pPr>
            <w:r>
              <w:rPr>
                <w:rFonts w:cs="David" w:hint="cs"/>
                <w:rtl/>
              </w:rPr>
              <w:t> </w:t>
            </w:r>
          </w:p>
        </w:tc>
        <w:tc>
          <w:tcPr>
            <w:tcW w:w="1710" w:type="dxa"/>
            <w:vAlign w:val="center"/>
            <w:hideMark/>
          </w:tcPr>
          <w:p w:rsidR="00000000" w:rsidRDefault="00784F2D">
            <w:pPr>
              <w:pStyle w:val="NormalWeb"/>
              <w:bidi/>
              <w:spacing w:line="360" w:lineRule="auto"/>
              <w:rPr>
                <w:rFonts w:cs="David"/>
              </w:rPr>
            </w:pPr>
            <w:r>
              <w:rPr>
                <w:rFonts w:cs="David" w:hint="cs"/>
                <w:rtl/>
              </w:rPr>
              <w:t> </w:t>
            </w:r>
          </w:p>
        </w:tc>
        <w:tc>
          <w:tcPr>
            <w:tcW w:w="1710" w:type="dxa"/>
            <w:vAlign w:val="center"/>
            <w:hideMark/>
          </w:tcPr>
          <w:p w:rsidR="00000000" w:rsidRDefault="00784F2D">
            <w:pPr>
              <w:pStyle w:val="NormalWeb"/>
              <w:bidi/>
              <w:spacing w:line="360" w:lineRule="auto"/>
              <w:rPr>
                <w:rFonts w:cs="David"/>
              </w:rPr>
            </w:pPr>
            <w:r>
              <w:rPr>
                <w:rFonts w:cs="David" w:hint="cs"/>
                <w:rtl/>
              </w:rPr>
              <w:t> </w:t>
            </w:r>
          </w:p>
        </w:tc>
      </w:tr>
      <w:tr w:rsidR="00000000">
        <w:trPr>
          <w:divId w:val="1576166890"/>
          <w:tblCellSpacing w:w="0" w:type="dxa"/>
          <w:jc w:val="center"/>
        </w:trPr>
        <w:tc>
          <w:tcPr>
            <w:tcW w:w="1710" w:type="dxa"/>
            <w:vAlign w:val="center"/>
            <w:hideMark/>
          </w:tcPr>
          <w:p w:rsidR="00000000" w:rsidRDefault="00784F2D">
            <w:pPr>
              <w:pStyle w:val="NormalWeb"/>
              <w:bidi/>
              <w:spacing w:line="360" w:lineRule="auto"/>
              <w:rPr>
                <w:rFonts w:cs="David"/>
                <w:b/>
                <w:bCs/>
              </w:rPr>
            </w:pPr>
            <w:r>
              <w:rPr>
                <w:rFonts w:cs="David" w:hint="cs"/>
                <w:b/>
                <w:bCs/>
                <w:rtl/>
              </w:rPr>
              <w:t>תאריך</w:t>
            </w:r>
          </w:p>
        </w:tc>
        <w:tc>
          <w:tcPr>
            <w:tcW w:w="1710" w:type="dxa"/>
            <w:vAlign w:val="center"/>
            <w:hideMark/>
          </w:tcPr>
          <w:p w:rsidR="00000000" w:rsidRDefault="00784F2D">
            <w:pPr>
              <w:pStyle w:val="NormalWeb"/>
              <w:bidi/>
              <w:spacing w:line="360" w:lineRule="auto"/>
              <w:rPr>
                <w:rFonts w:cs="David"/>
                <w:b/>
                <w:bCs/>
              </w:rPr>
            </w:pPr>
            <w:r>
              <w:rPr>
                <w:rFonts w:cs="David" w:hint="cs"/>
                <w:b/>
                <w:bCs/>
                <w:rtl/>
              </w:rPr>
              <w:t> </w:t>
            </w:r>
          </w:p>
        </w:tc>
        <w:tc>
          <w:tcPr>
            <w:tcW w:w="1710" w:type="dxa"/>
            <w:vAlign w:val="center"/>
            <w:hideMark/>
          </w:tcPr>
          <w:p w:rsidR="00000000" w:rsidRDefault="00784F2D">
            <w:pPr>
              <w:pStyle w:val="NormalWeb"/>
              <w:bidi/>
              <w:spacing w:line="360" w:lineRule="auto"/>
              <w:rPr>
                <w:rFonts w:cs="David"/>
              </w:rPr>
            </w:pPr>
            <w:r>
              <w:rPr>
                <w:rFonts w:cs="David" w:hint="cs"/>
                <w:rtl/>
              </w:rPr>
              <w:t>שם מלא</w:t>
            </w:r>
          </w:p>
        </w:tc>
        <w:tc>
          <w:tcPr>
            <w:tcW w:w="1710" w:type="dxa"/>
            <w:vAlign w:val="center"/>
            <w:hideMark/>
          </w:tcPr>
          <w:p w:rsidR="00000000" w:rsidRDefault="00784F2D">
            <w:pPr>
              <w:pStyle w:val="NormalWeb"/>
              <w:bidi/>
              <w:spacing w:line="360" w:lineRule="auto"/>
              <w:rPr>
                <w:rFonts w:cs="David"/>
              </w:rPr>
            </w:pPr>
            <w:r>
              <w:rPr>
                <w:rFonts w:cs="David" w:hint="cs"/>
                <w:rtl/>
              </w:rPr>
              <w:t> </w:t>
            </w:r>
          </w:p>
        </w:tc>
        <w:tc>
          <w:tcPr>
            <w:tcW w:w="1710" w:type="dxa"/>
            <w:vAlign w:val="center"/>
            <w:hideMark/>
          </w:tcPr>
          <w:p w:rsidR="00000000" w:rsidRDefault="00784F2D">
            <w:pPr>
              <w:pStyle w:val="NormalWeb"/>
              <w:bidi/>
              <w:spacing w:line="360" w:lineRule="auto"/>
              <w:rPr>
                <w:rFonts w:cs="David"/>
              </w:rPr>
            </w:pPr>
            <w:r>
              <w:rPr>
                <w:rFonts w:cs="David" w:hint="cs"/>
                <w:rtl/>
              </w:rPr>
              <w:t>חתימה</w:t>
            </w:r>
          </w:p>
        </w:tc>
      </w:tr>
    </w:tbl>
    <w:p w:rsidR="00000000" w:rsidRDefault="00784F2D">
      <w:pPr>
        <w:pStyle w:val="NormalWeb"/>
        <w:bidi/>
        <w:spacing w:line="360" w:lineRule="auto"/>
        <w:divId w:val="1576166890"/>
        <w:rPr>
          <w:rFonts w:cs="David"/>
        </w:rPr>
      </w:pPr>
      <w:r>
        <w:rPr>
          <w:rFonts w:cs="David" w:hint="cs"/>
          <w:rtl/>
        </w:rPr>
        <w:t> </w:t>
      </w:r>
    </w:p>
    <w:p w:rsidR="00000000" w:rsidRDefault="00784F2D">
      <w:pPr>
        <w:pStyle w:val="NormalWeb"/>
        <w:bidi/>
        <w:spacing w:line="360" w:lineRule="auto"/>
        <w:divId w:val="1576166890"/>
        <w:rPr>
          <w:rFonts w:cs="David" w:hint="cs"/>
          <w:rtl/>
        </w:rPr>
      </w:pPr>
      <w:r>
        <w:rPr>
          <w:rFonts w:cs="David" w:hint="cs"/>
          <w:rtl/>
        </w:rPr>
        <w:t>אישור</w:t>
      </w:r>
    </w:p>
    <w:p w:rsidR="00000000" w:rsidRDefault="00784F2D">
      <w:pPr>
        <w:pStyle w:val="NormalWeb"/>
        <w:bidi/>
        <w:spacing w:line="360" w:lineRule="auto"/>
        <w:divId w:val="1576166890"/>
        <w:rPr>
          <w:rFonts w:cs="David" w:hint="cs"/>
          <w:rtl/>
        </w:rPr>
      </w:pPr>
      <w:r>
        <w:rPr>
          <w:rFonts w:cs="David" w:hint="cs"/>
          <w:rtl/>
        </w:rPr>
        <w:t xml:space="preserve">הנני מאשר/ת בזה כי ביום ............ הופיע/ה בפני מר/גב' </w:t>
      </w:r>
      <w:r>
        <w:rPr>
          <w:rFonts w:cs="David" w:hint="cs"/>
          <w:rtl/>
        </w:rPr>
        <w:t>......................., בעל/ת ת.ז. ................, ואחרי שהזהרתיו/ה כי עליו/ה להצהיר את האמת וכי יהיה/תהיה צפוי/ה לעונשים הקבועים בחוק אם לא יעשה/תעשה כן, חתם/ה על ההצהרה הנ"ל בפני.</w:t>
      </w:r>
    </w:p>
    <w:p w:rsidR="00000000" w:rsidRDefault="00784F2D">
      <w:pPr>
        <w:pStyle w:val="NormalWeb"/>
        <w:bidi/>
        <w:spacing w:line="360" w:lineRule="auto"/>
        <w:jc w:val="both"/>
        <w:divId w:val="1576166890"/>
        <w:rPr>
          <w:rFonts w:cs="David" w:hint="cs"/>
          <w:rtl/>
        </w:rPr>
      </w:pPr>
      <w:r>
        <w:rPr>
          <w:rFonts w:cs="David" w:hint="cs"/>
          <w:rtl/>
        </w:rPr>
        <w:t>___________________________, עו"ד.                      מ.ר____________</w:t>
      </w:r>
      <w:r>
        <w:rPr>
          <w:rFonts w:cs="David" w:hint="cs"/>
          <w:rtl/>
        </w:rPr>
        <w:t>___________. </w:t>
      </w:r>
    </w:p>
    <w:p w:rsidR="00000000" w:rsidRDefault="00784F2D">
      <w:pPr>
        <w:pStyle w:val="Footer"/>
        <w:divId w:val="1683781077"/>
        <w:rPr>
          <w:rFonts w:hint="cs"/>
          <w:szCs w:val="14"/>
          <w:rtl/>
        </w:rPr>
      </w:pPr>
    </w:p>
    <w:p w:rsidR="00784F2D" w:rsidRDefault="00784F2D">
      <w:pPr>
        <w:divId w:val="1683781077"/>
        <w:rPr>
          <w:rFonts w:eastAsia="Times New Roman" w:hint="cs"/>
        </w:rPr>
      </w:pPr>
      <w:r>
        <w:rPr>
          <w:rFonts w:eastAsia="Times New Roman" w:hint="cs"/>
        </w:rPr>
        <w:t>\</w:t>
      </w:r>
    </w:p>
    <w:sectPr w:rsidR="00784F2D">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F2D" w:rsidRDefault="00784F2D">
      <w:r>
        <w:separator/>
      </w:r>
    </w:p>
  </w:endnote>
  <w:endnote w:type="continuationSeparator" w:id="0">
    <w:p w:rsidR="00784F2D" w:rsidRDefault="0078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F2D" w:rsidRDefault="00784F2D">
      <w:r>
        <w:separator/>
      </w:r>
    </w:p>
  </w:footnote>
  <w:footnote w:type="continuationSeparator" w:id="0">
    <w:p w:rsidR="00784F2D" w:rsidRDefault="00784F2D">
      <w:r>
        <w:continuationSeparator/>
      </w:r>
    </w:p>
  </w:footnote>
  <w:footnote w:id="1">
    <w:p w:rsidR="00000000" w:rsidRDefault="00784F2D">
      <w:pPr>
        <w:pStyle w:val="FootnoteText"/>
        <w:bidi/>
        <w:spacing w:before="0" w:beforeAutospacing="0"/>
        <w:rPr>
          <w:rFonts w:cs="David" w:hint="cs"/>
        </w:rPr>
      </w:pPr>
      <w:r>
        <w:rPr>
          <w:rStyle w:val="FootnoteReference"/>
        </w:rPr>
        <w:footnoteRef/>
      </w:r>
      <w:r>
        <w:rPr>
          <w:rFonts w:cs="David" w:hint="cs"/>
          <w:rtl/>
        </w:rPr>
        <w:t xml:space="preserve"> כמו כן מחזיקים במכולת השכונה הגב' נילי אלון ומר מאיר סוויסה.</w:t>
      </w:r>
    </w:p>
  </w:footnote>
  <w:footnote w:id="2">
    <w:p w:rsidR="00000000" w:rsidRDefault="00784F2D">
      <w:pPr>
        <w:pStyle w:val="FootnoteText"/>
        <w:bidi/>
        <w:spacing w:before="0" w:beforeAutospacing="0"/>
        <w:rPr>
          <w:rFonts w:cs="David" w:hint="cs"/>
          <w:rtl/>
        </w:rPr>
      </w:pPr>
      <w:r>
        <w:rPr>
          <w:rStyle w:val="FootnoteReference"/>
        </w:rPr>
        <w:footnoteRef/>
      </w:r>
      <w:r>
        <w:rPr>
          <w:rFonts w:cs="David" w:hint="cs"/>
          <w:rtl/>
        </w:rPr>
        <w:t xml:space="preserve"> חנות - מקום לממכר קמעונאי של מזון ומוצרי צריכה, ויראו לעניין זה כמה נקודות מכירה כחנות אחת אם קמעונאי אחד מחזיק בהן במתחם אחד.</w:t>
      </w:r>
    </w:p>
  </w:footnote>
  <w:footnote w:id="3">
    <w:p w:rsidR="00000000" w:rsidRDefault="00784F2D">
      <w:pPr>
        <w:pStyle w:val="FootnoteText"/>
        <w:bidi/>
        <w:spacing w:before="0" w:beforeAutospacing="0"/>
        <w:rPr>
          <w:rFonts w:hint="cs"/>
          <w:rtl/>
        </w:rPr>
      </w:pPr>
      <w:r>
        <w:rPr>
          <w:rStyle w:val="FootnoteReference"/>
        </w:rPr>
        <w:footnoteRef/>
      </w:r>
      <w:r>
        <w:rPr>
          <w:rFonts w:cs="David" w:hint="cs"/>
          <w:rtl/>
        </w:rPr>
        <w:t xml:space="preserve"> על אלה נמנים, בין היתר "חצי חינם", "יינות ביתן" </w:t>
      </w:r>
      <w:r>
        <w:rPr>
          <w:rFonts w:cs="David" w:hint="cs"/>
          <w:rtl/>
        </w:rPr>
        <w:t xml:space="preserve">רמי לוי שיווק השקמה, "א.ב.א. ויקטורי", "יוחננוף" ועוד. </w:t>
      </w:r>
    </w:p>
  </w:footnote>
  <w:footnote w:id="4">
    <w:p w:rsidR="00000000" w:rsidRDefault="00784F2D">
      <w:pPr>
        <w:pStyle w:val="FootnoteText"/>
        <w:bidi/>
        <w:spacing w:before="0" w:beforeAutospacing="0"/>
        <w:rPr>
          <w:rFonts w:hint="cs"/>
        </w:rPr>
      </w:pPr>
      <w:r>
        <w:rPr>
          <w:rStyle w:val="FootnoteReference"/>
        </w:rPr>
        <w:footnoteRef/>
      </w:r>
      <w:r>
        <w:rPr>
          <w:rFonts w:cs="David" w:hint="cs"/>
          <w:rtl/>
        </w:rPr>
        <w:t xml:space="preserve"> לדיון נוסף על ההבדלים שבין הרשתות הגדולות לבין הקמעונאים הקטנים ראו: מתן פטור מאישור הסדר כובל ל</w:t>
      </w:r>
      <w:r>
        <w:rPr>
          <w:rStyle w:val="Strong"/>
          <w:rFonts w:cs="David" w:hint="cs"/>
          <w:rtl/>
        </w:rPr>
        <w:t>הסדר בין קמע לייצוג הקמעונאים בישראל בע"מ לבין קמעונאים החברים בה</w:t>
      </w:r>
      <w:r>
        <w:rPr>
          <w:rFonts w:cs="David" w:hint="cs"/>
          <w:rtl/>
        </w:rPr>
        <w:t xml:space="preserve">; 2005 </w:t>
      </w:r>
      <w:r>
        <w:rPr>
          <w:rStyle w:val="Strong"/>
          <w:rFonts w:cs="David" w:hint="cs"/>
          <w:rtl/>
        </w:rPr>
        <w:t>הגבלים עסקיים</w:t>
      </w:r>
      <w:r>
        <w:rPr>
          <w:rFonts w:cs="David" w:hint="cs"/>
          <w:rtl/>
        </w:rPr>
        <w:t xml:space="preserve"> 5000131; נימוקי </w:t>
      </w:r>
      <w:r>
        <w:rPr>
          <w:rFonts w:cs="David" w:hint="cs"/>
          <w:rtl/>
        </w:rPr>
        <w:t xml:space="preserve">ההחלטה בדבר התנגדות למיזוג בין: </w:t>
      </w:r>
      <w:r>
        <w:rPr>
          <w:rFonts w:cs="David" w:hint="cs"/>
          <w:b/>
          <w:bCs/>
          <w:rtl/>
        </w:rPr>
        <w:t>הרבוע הכחול ישראל בע"מ וירקון (פלוס 2000) סיטונאות מזון בע"מ</w:t>
      </w:r>
      <w:r>
        <w:rPr>
          <w:rFonts w:cs="David" w:hint="cs"/>
          <w:rtl/>
        </w:rPr>
        <w:t xml:space="preserve">; 2001, </w:t>
      </w:r>
      <w:r>
        <w:rPr>
          <w:rFonts w:cs="David" w:hint="cs"/>
          <w:b/>
          <w:bCs/>
          <w:rtl/>
        </w:rPr>
        <w:t>הגבלים עסקיים</w:t>
      </w:r>
      <w:r>
        <w:rPr>
          <w:rFonts w:cs="David" w:hint="cs"/>
          <w:rtl/>
        </w:rPr>
        <w:t xml:space="preserve"> 3012217 (להלן: "</w:t>
      </w:r>
      <w:r>
        <w:rPr>
          <w:rFonts w:cs="David" w:hint="cs"/>
          <w:b/>
          <w:bCs/>
          <w:rtl/>
        </w:rPr>
        <w:t>עניין הרבוע הכחול</w:t>
      </w:r>
      <w:r>
        <w:rPr>
          <w:rFonts w:cs="David" w:hint="cs"/>
          <w:rtl/>
        </w:rPr>
        <w:t>").</w:t>
      </w:r>
    </w:p>
  </w:footnote>
  <w:footnote w:id="5">
    <w:p w:rsidR="00000000" w:rsidRDefault="00784F2D">
      <w:pPr>
        <w:pStyle w:val="FootnoteText"/>
        <w:bidi/>
        <w:spacing w:before="0" w:beforeAutospacing="0"/>
        <w:rPr>
          <w:rFonts w:cs="David" w:hint="cs"/>
        </w:rPr>
      </w:pPr>
      <w:r>
        <w:rPr>
          <w:rStyle w:val="FootnoteReference"/>
        </w:rPr>
        <w:footnoteRef/>
      </w:r>
      <w:r>
        <w:rPr>
          <w:rFonts w:cs="David" w:hint="cs"/>
          <w:rtl/>
        </w:rPr>
        <w:t xml:space="preserve"> מתוך סקר הוצאות משקי בית 2012, הלשכה המרכזית לסטטיסטיקה.</w:t>
      </w:r>
    </w:p>
  </w:footnote>
  <w:footnote w:id="6">
    <w:p w:rsidR="00000000" w:rsidRDefault="00784F2D">
      <w:pPr>
        <w:pStyle w:val="FootnoteText"/>
        <w:bidi/>
        <w:spacing w:before="0" w:beforeAutospacing="0"/>
        <w:rPr>
          <w:rFonts w:hint="cs"/>
          <w:rtl/>
        </w:rPr>
      </w:pPr>
      <w:r>
        <w:rPr>
          <w:rStyle w:val="FootnoteReference"/>
        </w:rPr>
        <w:footnoteRef/>
      </w:r>
      <w:r>
        <w:rPr>
          <w:rFonts w:cs="David" w:hint="cs"/>
          <w:rtl/>
        </w:rPr>
        <w:t xml:space="preserve"> </w:t>
      </w:r>
      <w:r>
        <w:rPr>
          <w:rStyle w:val="Strong"/>
          <w:rFonts w:cs="David" w:hint="cs"/>
          <w:b w:val="0"/>
          <w:bCs w:val="0"/>
          <w:rtl/>
        </w:rPr>
        <w:t>קביעת הממונה בדבר הסדר כובל בין</w:t>
      </w:r>
      <w:r>
        <w:rPr>
          <w:rStyle w:val="Strong"/>
          <w:rFonts w:cs="David" w:hint="cs"/>
          <w:rtl/>
        </w:rPr>
        <w:t xml:space="preserve"> חברות הסעה ב</w:t>
      </w:r>
      <w:r>
        <w:rPr>
          <w:rStyle w:val="Strong"/>
          <w:rFonts w:cs="David" w:hint="cs"/>
          <w:rtl/>
        </w:rPr>
        <w:t>יעדים תיור בע"מ</w:t>
      </w:r>
      <w:r>
        <w:rPr>
          <w:rFonts w:cs="David" w:hint="cs"/>
          <w:rtl/>
        </w:rPr>
        <w:t xml:space="preserve">; 2001 </w:t>
      </w:r>
      <w:r>
        <w:rPr>
          <w:rStyle w:val="Strong"/>
          <w:rFonts w:cs="David" w:hint="cs"/>
          <w:rtl/>
        </w:rPr>
        <w:t>הגבלים עסקיים</w:t>
      </w:r>
      <w:r>
        <w:rPr>
          <w:rFonts w:cs="David" w:hint="cs"/>
          <w:rtl/>
        </w:rPr>
        <w:t xml:space="preserve"> 3012980.</w:t>
      </w:r>
    </w:p>
  </w:footnote>
  <w:footnote w:id="7">
    <w:p w:rsidR="00000000" w:rsidRDefault="00784F2D">
      <w:pPr>
        <w:pStyle w:val="FootnoteText"/>
        <w:bidi/>
        <w:spacing w:before="0" w:beforeAutospacing="0"/>
        <w:rPr>
          <w:rFonts w:cs="David" w:hint="cs"/>
          <w:b/>
          <w:bCs/>
        </w:rPr>
      </w:pPr>
      <w:r>
        <w:rPr>
          <w:rStyle w:val="FootnoteReference"/>
        </w:rPr>
        <w:footnoteRef/>
      </w:r>
      <w:r>
        <w:rPr>
          <w:rFonts w:cs="David" w:hint="cs"/>
          <w:rtl/>
        </w:rPr>
        <w:t xml:space="preserve"> החלטה בדבר מתן פטור בתנאים מאישור הסדר כובל בין </w:t>
      </w:r>
      <w:r>
        <w:rPr>
          <w:rFonts w:cs="David" w:hint="cs"/>
          <w:b/>
          <w:bCs/>
          <w:rtl/>
        </w:rPr>
        <w:t>חטיבת רשתות הקמעונאיות בלשכת המסחר תל אביב והמרכז לבין חברים בו</w:t>
      </w:r>
      <w:r>
        <w:rPr>
          <w:rFonts w:cs="David" w:hint="cs"/>
          <w:rtl/>
        </w:rPr>
        <w:t xml:space="preserve">; 2013 </w:t>
      </w:r>
      <w:r>
        <w:rPr>
          <w:rFonts w:cs="David" w:hint="cs"/>
          <w:b/>
          <w:bCs/>
          <w:rtl/>
        </w:rPr>
        <w:t>הגבלים עסקיים</w:t>
      </w:r>
      <w:r>
        <w:rPr>
          <w:rFonts w:cs="David" w:hint="cs"/>
          <w:rtl/>
        </w:rPr>
        <w:t xml:space="preserve"> 500520.</w:t>
      </w:r>
    </w:p>
  </w:footnote>
  <w:footnote w:id="8">
    <w:p w:rsidR="00000000" w:rsidRDefault="00784F2D">
      <w:pPr>
        <w:pStyle w:val="FootnoteText"/>
        <w:bidi/>
        <w:spacing w:before="0" w:beforeAutospacing="0"/>
        <w:rPr>
          <w:rFonts w:hint="cs"/>
          <w:rtl/>
        </w:rPr>
      </w:pPr>
      <w:r>
        <w:rPr>
          <w:rStyle w:val="FootnoteReference"/>
        </w:rPr>
        <w:footnoteRef/>
      </w:r>
      <w:r>
        <w:rPr>
          <w:rFonts w:cs="David" w:hint="cs"/>
          <w:rtl/>
        </w:rPr>
        <w:t xml:space="preserve"> החלטה בדבר מתן פטור בתנאים מאישור הסדר כובל להסדר בין </w:t>
      </w:r>
      <w:r>
        <w:rPr>
          <w:rFonts w:cs="David" w:hint="cs"/>
          <w:b/>
          <w:bCs/>
          <w:rtl/>
        </w:rPr>
        <w:t>חברות לניהול תיקי השקעות, חברות לשיווק השקעות וחברות ייעוץ השקעות</w:t>
      </w:r>
      <w:r>
        <w:rPr>
          <w:rFonts w:cs="David" w:hint="cs"/>
          <w:rtl/>
        </w:rPr>
        <w:t xml:space="preserve">; 2010 </w:t>
      </w:r>
      <w:r>
        <w:rPr>
          <w:rFonts w:cs="David" w:hint="cs"/>
          <w:b/>
          <w:bCs/>
          <w:rtl/>
        </w:rPr>
        <w:t>הגבלים עסקיים</w:t>
      </w:r>
      <w:r>
        <w:rPr>
          <w:rFonts w:cs="David" w:hint="cs"/>
          <w:rtl/>
        </w:rPr>
        <w:t xml:space="preserve"> 5001689.</w:t>
      </w:r>
    </w:p>
  </w:footnote>
  <w:footnote w:id="9">
    <w:p w:rsidR="00000000" w:rsidRDefault="00784F2D">
      <w:pPr>
        <w:pStyle w:val="FootnoteText"/>
        <w:tabs>
          <w:tab w:val="left" w:pos="720"/>
        </w:tabs>
        <w:bidi/>
        <w:spacing w:before="0" w:beforeAutospacing="0" w:after="0" w:afterAutospacing="0"/>
        <w:ind w:left="32"/>
        <w:rPr>
          <w:rFonts w:cs="David" w:hint="cs"/>
        </w:rPr>
      </w:pPr>
      <w:r>
        <w:rPr>
          <w:rStyle w:val="FootnoteReference"/>
        </w:rPr>
        <w:footnoteRef/>
      </w:r>
      <w:r>
        <w:rPr>
          <w:rFonts w:cs="David" w:hint="cs"/>
          <w:rtl/>
        </w:rPr>
        <w:t xml:space="preserve"> ראו התייחסות לשיקולים למתן פטור לניהול משא ומתן בין מתחרים בהחלטה לפי סעיף 14 לחוק בדבר מתן פטור מאישור הסדר כובל ל</w:t>
      </w:r>
      <w:r>
        <w:rPr>
          <w:rStyle w:val="Strong"/>
          <w:rFonts w:cs="David" w:hint="cs"/>
          <w:rtl/>
        </w:rPr>
        <w:t>הסדר בין קמע לייצוג הקמעונאים בישראל בע"מ לב</w:t>
      </w:r>
      <w:r>
        <w:rPr>
          <w:rStyle w:val="Strong"/>
          <w:rFonts w:cs="David" w:hint="cs"/>
          <w:rtl/>
        </w:rPr>
        <w:t>ין קמעונאים החברים בה</w:t>
      </w:r>
      <w:r>
        <w:rPr>
          <w:rFonts w:cs="David" w:hint="cs"/>
          <w:rtl/>
        </w:rPr>
        <w:t xml:space="preserve">; 2005 </w:t>
      </w:r>
      <w:r>
        <w:rPr>
          <w:rStyle w:val="Strong"/>
          <w:rFonts w:cs="David" w:hint="cs"/>
          <w:rtl/>
        </w:rPr>
        <w:t>הגבלים עסקיים</w:t>
      </w:r>
      <w:r>
        <w:rPr>
          <w:rFonts w:cs="David" w:hint="cs"/>
          <w:rtl/>
        </w:rPr>
        <w:t xml:space="preserve"> 5000131.</w:t>
      </w:r>
    </w:p>
  </w:footnote>
  <w:footnote w:id="10">
    <w:p w:rsidR="00000000" w:rsidRDefault="00784F2D">
      <w:pPr>
        <w:pStyle w:val="FootnoteText"/>
        <w:bidi/>
        <w:spacing w:before="0" w:beforeAutospacing="0"/>
        <w:rPr>
          <w:rFonts w:cs="David" w:hint="cs"/>
          <w:rtl/>
        </w:rPr>
      </w:pPr>
      <w:r>
        <w:rPr>
          <w:rStyle w:val="FootnoteReference"/>
        </w:rPr>
        <w:footnoteRef/>
      </w:r>
      <w:r>
        <w:rPr>
          <w:rFonts w:cs="David" w:hint="cs"/>
          <w:rtl/>
        </w:rPr>
        <w:t xml:space="preserve"> ראו לעניין זה </w:t>
      </w:r>
      <w:r>
        <w:rPr>
          <w:rStyle w:val="Strong"/>
          <w:rFonts w:cs="David" w:hint="cs"/>
          <w:rtl/>
        </w:rPr>
        <w:t>קביעה על פי סעיף 43 לחוק ההגבלים העסקיים, תשמ"ח – 1988: הסדר כובל בין חברות הסעה ביעדים תיור בע"מ</w:t>
      </w:r>
      <w:r>
        <w:rPr>
          <w:rFonts w:cs="David" w:hint="cs"/>
          <w:rtl/>
        </w:rPr>
        <w:t xml:space="preserve">; 2001 </w:t>
      </w:r>
      <w:r>
        <w:rPr>
          <w:rStyle w:val="Strong"/>
          <w:rFonts w:cs="David" w:hint="cs"/>
          <w:rtl/>
        </w:rPr>
        <w:t xml:space="preserve">הגבלים עסקיים </w:t>
      </w:r>
      <w:r>
        <w:rPr>
          <w:rFonts w:cs="David" w:hint="cs"/>
          <w:rtl/>
        </w:rPr>
        <w:t>3012980.</w:t>
      </w:r>
    </w:p>
  </w:footnote>
  <w:footnote w:id="11">
    <w:p w:rsidR="00000000" w:rsidRDefault="00784F2D">
      <w:pPr>
        <w:pStyle w:val="FootnoteText"/>
        <w:bidi/>
        <w:spacing w:before="0" w:beforeAutospacing="0"/>
        <w:rPr>
          <w:rFonts w:cs="David" w:hint="cs"/>
          <w:rtl/>
        </w:rPr>
      </w:pPr>
      <w:r>
        <w:rPr>
          <w:rStyle w:val="FootnoteReference"/>
        </w:rPr>
        <w:footnoteRef/>
      </w:r>
      <w:r>
        <w:rPr>
          <w:rFonts w:cs="David" w:hint="cs"/>
          <w:rtl/>
        </w:rPr>
        <w:t xml:space="preserve"> החלטה בדבר מתן פטור בתנאים מאישור הסדר כובל להסכם בין: </w:t>
      </w:r>
      <w:r>
        <w:rPr>
          <w:rFonts w:cs="David" w:hint="cs"/>
          <w:b/>
          <w:bCs/>
          <w:rtl/>
        </w:rPr>
        <w:t xml:space="preserve">חמשת </w:t>
      </w:r>
      <w:r>
        <w:rPr>
          <w:rFonts w:cs="David" w:hint="cs"/>
          <w:b/>
          <w:bCs/>
          <w:rtl/>
        </w:rPr>
        <w:t>הבנקים הגדולים בישראל ו-</w:t>
      </w:r>
      <w:r>
        <w:rPr>
          <w:rFonts w:hint="cs"/>
          <w:b/>
          <w:bCs/>
        </w:rPr>
        <w:t>SBI-State Bank of India L.T.D</w:t>
      </w:r>
      <w:r>
        <w:rPr>
          <w:rFonts w:cs="David" w:hint="cs"/>
          <w:rtl/>
        </w:rPr>
        <w:t xml:space="preserve">; 2013 </w:t>
      </w:r>
      <w:r>
        <w:rPr>
          <w:rFonts w:cs="David" w:hint="cs"/>
          <w:b/>
          <w:bCs/>
          <w:rtl/>
        </w:rPr>
        <w:t xml:space="preserve">הגבלים עסקיים </w:t>
      </w:r>
      <w:r>
        <w:rPr>
          <w:rFonts w:cs="David" w:hint="cs"/>
          <w:rtl/>
        </w:rPr>
        <w:t>500465.</w:t>
      </w:r>
    </w:p>
  </w:footnote>
  <w:footnote w:id="12">
    <w:p w:rsidR="00000000" w:rsidRDefault="00784F2D">
      <w:pPr>
        <w:pStyle w:val="FootnoteText"/>
        <w:bidi/>
        <w:spacing w:before="0" w:beforeAutospacing="0"/>
        <w:rPr>
          <w:rFonts w:cs="David" w:hint="cs"/>
          <w:rtl/>
        </w:rPr>
      </w:pPr>
      <w:r>
        <w:rPr>
          <w:rStyle w:val="FootnoteReference"/>
        </w:rPr>
        <w:footnoteRef/>
      </w:r>
      <w:r>
        <w:rPr>
          <w:rFonts w:cs="David" w:hint="cs"/>
          <w:rtl/>
        </w:rPr>
        <w:t xml:space="preserve"> החלטה בדבר מתן פטור בתנאים מאישור הסדר כובל בין: </w:t>
      </w:r>
      <w:r>
        <w:rPr>
          <w:rFonts w:cs="David" w:hint="cs"/>
          <w:b/>
          <w:bCs/>
          <w:rtl/>
        </w:rPr>
        <w:t>חטיבת רשתות הקמעונאיות בלשכת המסחר תל אביב והמרכז לבין חברים בו</w:t>
      </w:r>
      <w:r>
        <w:rPr>
          <w:rFonts w:cs="David" w:hint="cs"/>
          <w:rtl/>
        </w:rPr>
        <w:t xml:space="preserve">; 2013 </w:t>
      </w:r>
      <w:r>
        <w:rPr>
          <w:rFonts w:cs="David" w:hint="cs"/>
          <w:b/>
          <w:bCs/>
          <w:rtl/>
        </w:rPr>
        <w:t>הגבלים עסקיים</w:t>
      </w:r>
      <w:r>
        <w:rPr>
          <w:rFonts w:cs="David" w:hint="cs"/>
          <w:rtl/>
        </w:rPr>
        <w:t xml:space="preserve"> 500520.</w:t>
      </w:r>
    </w:p>
  </w:footnote>
  <w:footnote w:id="13">
    <w:p w:rsidR="00000000" w:rsidRDefault="00784F2D">
      <w:pPr>
        <w:pStyle w:val="FootnoteText"/>
        <w:bidi/>
        <w:spacing w:before="0" w:beforeAutospacing="0"/>
        <w:rPr>
          <w:rFonts w:hint="cs"/>
          <w:b/>
          <w:bCs/>
          <w:rtl/>
        </w:rPr>
      </w:pPr>
      <w:r>
        <w:rPr>
          <w:rStyle w:val="FootnoteReference"/>
        </w:rPr>
        <w:footnoteRef/>
      </w:r>
      <w:r>
        <w:rPr>
          <w:rFonts w:cs="David" w:hint="cs"/>
          <w:rtl/>
        </w:rPr>
        <w:t>ראו סימן ב' לפרק ב' לחוק המזון</w:t>
      </w:r>
      <w:r>
        <w:rPr>
          <w:rFonts w:cs="David" w:hint="cs"/>
          <w:rtl/>
        </w:rPr>
        <w:t xml:space="preserve"> העוסק בתחרות גאוגרפית של קמעונאים; </w:t>
      </w:r>
      <w:r>
        <w:rPr>
          <w:rFonts w:cs="David" w:hint="cs"/>
          <w:b/>
          <w:bCs/>
          <w:rtl/>
        </w:rPr>
        <w:t>מתודולוגיה ליישום פרק התחרות הגאוגרפית בין קמעונאים על פי חוק קידום התחרות בענף המזון</w:t>
      </w:r>
      <w:r>
        <w:rPr>
          <w:rFonts w:cs="David" w:hint="cs"/>
          <w:rtl/>
        </w:rPr>
        <w:t xml:space="preserve">, 2014 </w:t>
      </w:r>
      <w:r>
        <w:rPr>
          <w:rFonts w:cs="David" w:hint="cs"/>
          <w:b/>
          <w:bCs/>
          <w:rtl/>
        </w:rPr>
        <w:t>הגבלים עסקיים</w:t>
      </w:r>
      <w:r>
        <w:rPr>
          <w:rFonts w:cs="David" w:hint="cs"/>
          <w:rtl/>
        </w:rPr>
        <w:t xml:space="preserve"> 500675.</w:t>
      </w:r>
    </w:p>
  </w:footnote>
  <w:footnote w:id="14">
    <w:p w:rsidR="00000000" w:rsidRDefault="00784F2D">
      <w:pPr>
        <w:pStyle w:val="FootnoteText"/>
        <w:bidi/>
        <w:spacing w:before="0" w:beforeAutospacing="0"/>
        <w:rPr>
          <w:rFonts w:cs="David" w:hint="cs"/>
        </w:rPr>
      </w:pPr>
      <w:r>
        <w:rPr>
          <w:rStyle w:val="FootnoteReference"/>
        </w:rPr>
        <w:footnoteRef/>
      </w:r>
      <w:r>
        <w:rPr>
          <w:rFonts w:cs="David" w:hint="cs"/>
          <w:rtl/>
        </w:rPr>
        <w:t xml:space="preserve"> לתיאור החששות התחרותיים אשר עולים כתוצאה מהסדר לרכישת תשומה בין מתחרים ראו: </w:t>
      </w:r>
      <w:r>
        <w:rPr>
          <w:rFonts w:hint="cs"/>
        </w:rPr>
        <w:t>Communication from the Commi</w:t>
      </w:r>
      <w:r>
        <w:rPr>
          <w:rFonts w:hint="cs"/>
        </w:rPr>
        <w:t>ssion - Guidelines on the applicability of Article 101 of the Treaty on the Functioning of the European Union to horizontal co-operation agreements, para 202-203 OJ C 11, 14.01.2011</w:t>
      </w:r>
      <w:r>
        <w:rPr>
          <w:rFonts w:cs="David" w:hint="cs"/>
          <w:rtl/>
        </w:rPr>
        <w:t xml:space="preserve"> (להלן: "</w:t>
      </w:r>
      <w:r>
        <w:rPr>
          <w:rFonts w:cs="David" w:hint="cs"/>
          <w:b/>
          <w:bCs/>
          <w:rtl/>
        </w:rPr>
        <w:t>הנחיות הנציבות</w:t>
      </w:r>
      <w:r>
        <w:rPr>
          <w:rFonts w:cs="David" w:hint="cs"/>
          <w:rtl/>
        </w:rPr>
        <w:t>").</w:t>
      </w:r>
    </w:p>
  </w:footnote>
  <w:footnote w:id="15">
    <w:p w:rsidR="00000000" w:rsidRDefault="00784F2D">
      <w:pPr>
        <w:pStyle w:val="FootnoteText"/>
        <w:bidi/>
        <w:spacing w:before="0" w:beforeAutospacing="0"/>
        <w:rPr>
          <w:rFonts w:cs="David" w:hint="cs"/>
          <w:rtl/>
        </w:rPr>
      </w:pPr>
      <w:r>
        <w:rPr>
          <w:rStyle w:val="FootnoteReference"/>
        </w:rPr>
        <w:footnoteRef/>
      </w:r>
      <w:r>
        <w:rPr>
          <w:rFonts w:cs="David" w:hint="cs"/>
          <w:rtl/>
        </w:rPr>
        <w:t xml:space="preserve"> </w:t>
      </w:r>
      <w:r>
        <w:rPr>
          <w:rFonts w:cs="David" w:hint="cs"/>
          <w:rtl/>
        </w:rPr>
        <w:t xml:space="preserve">החלטה בדבר מתן פטור בתנאים מאישור הסדר כובל להסכם בין: </w:t>
      </w:r>
      <w:r>
        <w:rPr>
          <w:rFonts w:cs="David" w:hint="cs"/>
          <w:b/>
          <w:bCs/>
          <w:rtl/>
        </w:rPr>
        <w:t>חמשת הבנקים הגדולים בישראל ו-</w:t>
      </w:r>
      <w:r>
        <w:rPr>
          <w:rFonts w:hint="cs"/>
          <w:b/>
          <w:bCs/>
        </w:rPr>
        <w:t>SBI-State Bank of India L.T.D</w:t>
      </w:r>
      <w:r>
        <w:rPr>
          <w:rFonts w:cs="David" w:hint="cs"/>
          <w:rtl/>
        </w:rPr>
        <w:t xml:space="preserve">, 2013 </w:t>
      </w:r>
      <w:r>
        <w:rPr>
          <w:rFonts w:cs="David" w:hint="cs"/>
          <w:b/>
          <w:bCs/>
          <w:rtl/>
        </w:rPr>
        <w:t>הגבלים עסקיים</w:t>
      </w:r>
      <w:r>
        <w:rPr>
          <w:rFonts w:cs="David" w:hint="cs"/>
          <w:rtl/>
        </w:rPr>
        <w:t xml:space="preserve"> 500465.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B0D8B"/>
    <w:multiLevelType w:val="multilevel"/>
    <w:tmpl w:val="8FF66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2D113B0"/>
    <w:multiLevelType w:val="multilevel"/>
    <w:tmpl w:val="ED661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ACA4B48"/>
    <w:multiLevelType w:val="multilevel"/>
    <w:tmpl w:val="807473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25BDE"/>
    <w:rsid w:val="00025BDE"/>
    <w:rsid w:val="00784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49FC845-9969-4337-B1E4-BBBFF7DC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2">
    <w:name w:val="Body Text 2"/>
    <w:basedOn w:val="Normal"/>
    <w:link w:val="BodyText2Char"/>
    <w:uiPriority w:val="99"/>
    <w:semiHidden/>
    <w:unhideWhenUsed/>
    <w:pPr>
      <w:spacing w:before="100" w:beforeAutospacing="1" w:after="100" w:afterAutospacing="1"/>
    </w:pPr>
  </w:style>
  <w:style w:type="character" w:customStyle="1" w:styleId="BodyText2Char">
    <w:name w:val="Body Text 2 Char"/>
    <w:basedOn w:val="DefaultParagraphFont"/>
    <w:link w:val="BodyText2"/>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Strong">
    <w:name w:val="Strong"/>
    <w:basedOn w:val="DefaultParagraphFont"/>
    <w:uiPriority w:val="22"/>
    <w:qFormat/>
    <w:rPr>
      <w:b/>
      <w:bCs/>
    </w:rPr>
  </w:style>
  <w:style w:type="character" w:styleId="FootnoteReference">
    <w:name w:val="footnote reference"/>
    <w:basedOn w:val="DefaultParagraphFont"/>
    <w:uiPriority w:val="99"/>
    <w:semiHidden/>
    <w:unhideWhenUsed/>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ListParagraph">
    <w:name w:val="List Paragraph"/>
    <w:basedOn w:val="Normal"/>
    <w:uiPriority w:val="34"/>
    <w:qFormat/>
    <w:pPr>
      <w:spacing w:before="100" w:beforeAutospacing="1" w:after="100" w:afterAutospacing="1"/>
    </w:pPr>
  </w:style>
  <w:style w:type="paragraph" w:customStyle="1" w:styleId="10">
    <w:name w:val="10"/>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555755">
      <w:marLeft w:val="0"/>
      <w:marRight w:val="0"/>
      <w:marTop w:val="0"/>
      <w:marBottom w:val="0"/>
      <w:divBdr>
        <w:top w:val="none" w:sz="0" w:space="0" w:color="auto"/>
        <w:left w:val="none" w:sz="0" w:space="0" w:color="auto"/>
        <w:bottom w:val="none" w:sz="0" w:space="0" w:color="auto"/>
        <w:right w:val="none" w:sz="0" w:space="0" w:color="auto"/>
      </w:divBdr>
    </w:div>
    <w:div w:id="1576166890">
      <w:marLeft w:val="0"/>
      <w:marRight w:val="0"/>
      <w:marTop w:val="0"/>
      <w:marBottom w:val="0"/>
      <w:divBdr>
        <w:top w:val="none" w:sz="0" w:space="0" w:color="auto"/>
        <w:left w:val="none" w:sz="0" w:space="0" w:color="auto"/>
        <w:bottom w:val="none" w:sz="0" w:space="0" w:color="auto"/>
        <w:right w:val="none" w:sz="0" w:space="0" w:color="auto"/>
      </w:divBdr>
    </w:div>
    <w:div w:id="1683781077">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2706</Words>
  <Characters>13532</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2019-07-30T20:26:00Z</dcterms:created>
  <dcterms:modified xsi:type="dcterms:W3CDTF">2019-07-30T20:26:00Z</dcterms:modified>
</cp:coreProperties>
</file>