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0CF4" w:rsidRPr="00381EA0" w:rsidRDefault="00470CF4" w:rsidP="00DF4672">
      <w:pPr>
        <w:spacing w:after="0"/>
        <w:jc w:val="center"/>
        <w:rPr>
          <w:rStyle w:val="Strong"/>
          <w:sz w:val="32"/>
          <w:szCs w:val="32"/>
          <w:rtl/>
        </w:rPr>
      </w:pPr>
      <w:bookmarkStart w:id="0" w:name="_GoBack"/>
      <w:r w:rsidRPr="00381EA0">
        <w:rPr>
          <w:rStyle w:val="Strong"/>
          <w:rFonts w:hint="eastAsia"/>
          <w:sz w:val="32"/>
          <w:szCs w:val="32"/>
          <w:rtl/>
        </w:rPr>
        <w:t>החלטה</w:t>
      </w:r>
      <w:r w:rsidRPr="00381EA0">
        <w:rPr>
          <w:rStyle w:val="Strong"/>
          <w:sz w:val="32"/>
          <w:szCs w:val="32"/>
          <w:rtl/>
        </w:rPr>
        <w:t xml:space="preserve"> </w:t>
      </w:r>
      <w:r w:rsidRPr="00381EA0">
        <w:rPr>
          <w:rStyle w:val="Strong"/>
          <w:rFonts w:hint="eastAsia"/>
          <w:sz w:val="32"/>
          <w:szCs w:val="32"/>
          <w:rtl/>
        </w:rPr>
        <w:t>לפי</w:t>
      </w:r>
      <w:r w:rsidRPr="00381EA0">
        <w:rPr>
          <w:rStyle w:val="Strong"/>
          <w:sz w:val="32"/>
          <w:szCs w:val="32"/>
          <w:rtl/>
        </w:rPr>
        <w:t xml:space="preserve"> </w:t>
      </w:r>
      <w:r w:rsidRPr="00381EA0">
        <w:rPr>
          <w:rStyle w:val="Strong"/>
          <w:rFonts w:hint="eastAsia"/>
          <w:sz w:val="32"/>
          <w:szCs w:val="32"/>
          <w:rtl/>
        </w:rPr>
        <w:t>סעיף</w:t>
      </w:r>
      <w:r w:rsidRPr="00381EA0">
        <w:rPr>
          <w:rStyle w:val="Strong"/>
          <w:sz w:val="32"/>
          <w:szCs w:val="32"/>
          <w:rtl/>
        </w:rPr>
        <w:t xml:space="preserve"> 14 </w:t>
      </w:r>
      <w:r w:rsidRPr="00381EA0">
        <w:rPr>
          <w:rStyle w:val="Strong"/>
          <w:rFonts w:hint="eastAsia"/>
          <w:sz w:val="32"/>
          <w:szCs w:val="32"/>
          <w:rtl/>
        </w:rPr>
        <w:t>לחוק</w:t>
      </w:r>
      <w:r w:rsidRPr="00381EA0">
        <w:rPr>
          <w:rStyle w:val="Strong"/>
          <w:sz w:val="32"/>
          <w:szCs w:val="32"/>
          <w:rtl/>
        </w:rPr>
        <w:t xml:space="preserve"> </w:t>
      </w:r>
      <w:r w:rsidRPr="00381EA0">
        <w:rPr>
          <w:rStyle w:val="Strong"/>
          <w:rFonts w:hint="eastAsia"/>
          <w:sz w:val="32"/>
          <w:szCs w:val="32"/>
          <w:rtl/>
        </w:rPr>
        <w:t>התחרות</w:t>
      </w:r>
      <w:r w:rsidRPr="00381EA0">
        <w:rPr>
          <w:rStyle w:val="Strong"/>
          <w:sz w:val="32"/>
          <w:szCs w:val="32"/>
          <w:rtl/>
        </w:rPr>
        <w:t xml:space="preserve"> </w:t>
      </w:r>
      <w:r w:rsidRPr="00381EA0">
        <w:rPr>
          <w:rStyle w:val="Strong"/>
          <w:rFonts w:hint="eastAsia"/>
          <w:sz w:val="32"/>
          <w:szCs w:val="32"/>
          <w:rtl/>
        </w:rPr>
        <w:t>הכלכלית</w:t>
      </w:r>
      <w:r w:rsidRPr="00381EA0">
        <w:rPr>
          <w:rStyle w:val="Strong"/>
          <w:sz w:val="32"/>
          <w:szCs w:val="32"/>
          <w:rtl/>
        </w:rPr>
        <w:t xml:space="preserve">, </w:t>
      </w:r>
      <w:r w:rsidRPr="00381EA0">
        <w:rPr>
          <w:rStyle w:val="Strong"/>
          <w:rFonts w:hint="eastAsia"/>
          <w:sz w:val="32"/>
          <w:szCs w:val="32"/>
          <w:rtl/>
        </w:rPr>
        <w:t>התשמ</w:t>
      </w:r>
      <w:r w:rsidRPr="00381EA0">
        <w:rPr>
          <w:rStyle w:val="Strong"/>
          <w:sz w:val="32"/>
          <w:szCs w:val="32"/>
          <w:rtl/>
        </w:rPr>
        <w:t>"ח-1988</w:t>
      </w:r>
    </w:p>
    <w:p w:rsidR="00470CF4" w:rsidRPr="00381EA0" w:rsidRDefault="00470CF4" w:rsidP="004275B1">
      <w:pPr>
        <w:spacing w:after="0"/>
        <w:jc w:val="center"/>
        <w:rPr>
          <w:rStyle w:val="Strong"/>
          <w:sz w:val="32"/>
          <w:szCs w:val="32"/>
          <w:rtl/>
        </w:rPr>
      </w:pPr>
      <w:r w:rsidRPr="00381EA0">
        <w:rPr>
          <w:rStyle w:val="Strong"/>
          <w:rFonts w:asciiTheme="minorHAnsi" w:eastAsiaTheme="minorHAnsi" w:hAnsiTheme="minorHAnsi" w:hint="eastAsia"/>
          <w:sz w:val="32"/>
          <w:szCs w:val="32"/>
          <w:rtl/>
        </w:rPr>
        <w:t>בדבר</w:t>
      </w:r>
      <w:r w:rsidRPr="00381EA0">
        <w:rPr>
          <w:rStyle w:val="Strong"/>
          <w:rFonts w:asciiTheme="minorHAnsi" w:eastAsiaTheme="minorHAnsi" w:hAnsiTheme="minorHAnsi"/>
          <w:sz w:val="32"/>
          <w:szCs w:val="32"/>
          <w:rtl/>
        </w:rPr>
        <w:t xml:space="preserve"> מתן פטור לכבילות </w:t>
      </w:r>
      <w:r w:rsidR="004275B1" w:rsidRPr="00381EA0">
        <w:rPr>
          <w:rStyle w:val="Strong"/>
          <w:rFonts w:asciiTheme="minorHAnsi" w:eastAsiaTheme="minorHAnsi" w:hAnsiTheme="minorHAnsi" w:hint="eastAsia"/>
          <w:sz w:val="32"/>
          <w:szCs w:val="32"/>
          <w:rtl/>
        </w:rPr>
        <w:t>ש</w:t>
      </w:r>
      <w:r w:rsidRPr="00381EA0">
        <w:rPr>
          <w:rStyle w:val="Strong"/>
          <w:rFonts w:asciiTheme="minorHAnsi" w:eastAsiaTheme="minorHAnsi" w:hAnsiTheme="minorHAnsi" w:hint="eastAsia"/>
          <w:sz w:val="32"/>
          <w:szCs w:val="32"/>
          <w:rtl/>
        </w:rPr>
        <w:t>בהסכם</w:t>
      </w:r>
      <w:r w:rsidRPr="00381EA0">
        <w:rPr>
          <w:rStyle w:val="Strong"/>
          <w:rFonts w:asciiTheme="minorHAnsi" w:eastAsiaTheme="minorHAnsi" w:hAnsiTheme="minorHAnsi"/>
          <w:sz w:val="32"/>
          <w:szCs w:val="32"/>
          <w:rtl/>
        </w:rPr>
        <w:t xml:space="preserve"> </w:t>
      </w:r>
      <w:r w:rsidR="004275B1" w:rsidRPr="00381EA0">
        <w:rPr>
          <w:rStyle w:val="Strong"/>
          <w:rFonts w:asciiTheme="minorHAnsi" w:eastAsiaTheme="minorHAnsi" w:hAnsiTheme="minorHAnsi" w:hint="eastAsia"/>
          <w:sz w:val="32"/>
          <w:szCs w:val="32"/>
          <w:rtl/>
        </w:rPr>
        <w:t>בין</w:t>
      </w:r>
      <w:r w:rsidR="004275B1" w:rsidRPr="00381EA0">
        <w:rPr>
          <w:rStyle w:val="Strong"/>
          <w:rFonts w:asciiTheme="minorHAnsi" w:eastAsiaTheme="minorHAnsi" w:hAnsiTheme="minorHAnsi"/>
          <w:sz w:val="32"/>
          <w:szCs w:val="32"/>
          <w:rtl/>
        </w:rPr>
        <w:t xml:space="preserve"> </w:t>
      </w:r>
      <w:r w:rsidRPr="00381EA0">
        <w:rPr>
          <w:rStyle w:val="Strong"/>
          <w:rFonts w:asciiTheme="minorHAnsi" w:eastAsiaTheme="minorHAnsi" w:hAnsiTheme="minorHAnsi" w:hint="eastAsia"/>
          <w:sz w:val="32"/>
          <w:szCs w:val="32"/>
          <w:rtl/>
        </w:rPr>
        <w:t>טמפו</w:t>
      </w:r>
      <w:r w:rsidRPr="00381EA0">
        <w:rPr>
          <w:rStyle w:val="Strong"/>
          <w:rFonts w:asciiTheme="minorHAnsi" w:eastAsiaTheme="minorHAnsi" w:hAnsiTheme="minorHAnsi"/>
          <w:sz w:val="32"/>
          <w:szCs w:val="32"/>
          <w:rtl/>
        </w:rPr>
        <w:t xml:space="preserve"> </w:t>
      </w:r>
      <w:r w:rsidRPr="00381EA0">
        <w:rPr>
          <w:rStyle w:val="Strong"/>
          <w:rFonts w:asciiTheme="minorHAnsi" w:eastAsiaTheme="minorHAnsi" w:hAnsiTheme="minorHAnsi" w:hint="eastAsia"/>
          <w:sz w:val="32"/>
          <w:szCs w:val="32"/>
          <w:rtl/>
        </w:rPr>
        <w:t>משקאות</w:t>
      </w:r>
      <w:r w:rsidRPr="00381EA0">
        <w:rPr>
          <w:rStyle w:val="Strong"/>
          <w:rFonts w:asciiTheme="minorHAnsi" w:eastAsiaTheme="minorHAnsi" w:hAnsiTheme="minorHAnsi"/>
          <w:sz w:val="32"/>
          <w:szCs w:val="32"/>
          <w:rtl/>
        </w:rPr>
        <w:t xml:space="preserve"> </w:t>
      </w:r>
      <w:r w:rsidRPr="00381EA0">
        <w:rPr>
          <w:rStyle w:val="Strong"/>
          <w:rFonts w:asciiTheme="minorHAnsi" w:eastAsiaTheme="minorHAnsi" w:hAnsiTheme="minorHAnsi" w:hint="eastAsia"/>
          <w:sz w:val="32"/>
          <w:szCs w:val="32"/>
          <w:rtl/>
        </w:rPr>
        <w:t>בע</w:t>
      </w:r>
      <w:r w:rsidRPr="00381EA0">
        <w:rPr>
          <w:rStyle w:val="Strong"/>
          <w:rFonts w:asciiTheme="minorHAnsi" w:eastAsiaTheme="minorHAnsi" w:hAnsiTheme="minorHAnsi"/>
          <w:sz w:val="32"/>
          <w:szCs w:val="32"/>
          <w:rtl/>
        </w:rPr>
        <w:t xml:space="preserve">"מ </w:t>
      </w:r>
      <w:r w:rsidRPr="00381EA0">
        <w:rPr>
          <w:rStyle w:val="Strong"/>
          <w:rFonts w:asciiTheme="minorHAnsi" w:eastAsiaTheme="minorHAnsi" w:hAnsiTheme="minorHAnsi" w:hint="eastAsia"/>
          <w:sz w:val="32"/>
          <w:szCs w:val="32"/>
          <w:rtl/>
        </w:rPr>
        <w:t>וטמפו</w:t>
      </w:r>
      <w:r w:rsidRPr="00381EA0">
        <w:rPr>
          <w:rStyle w:val="Strong"/>
          <w:rFonts w:asciiTheme="minorHAnsi" w:eastAsiaTheme="minorHAnsi" w:hAnsiTheme="minorHAnsi"/>
          <w:sz w:val="32"/>
          <w:szCs w:val="32"/>
          <w:rtl/>
        </w:rPr>
        <w:t xml:space="preserve"> </w:t>
      </w:r>
      <w:r w:rsidRPr="00381EA0">
        <w:rPr>
          <w:rStyle w:val="Strong"/>
          <w:rFonts w:asciiTheme="minorHAnsi" w:eastAsiaTheme="minorHAnsi" w:hAnsiTheme="minorHAnsi" w:hint="eastAsia"/>
          <w:sz w:val="32"/>
          <w:szCs w:val="32"/>
          <w:rtl/>
        </w:rPr>
        <w:t>שיווק</w:t>
      </w:r>
      <w:r w:rsidRPr="00381EA0">
        <w:rPr>
          <w:rStyle w:val="Strong"/>
          <w:rFonts w:asciiTheme="minorHAnsi" w:eastAsiaTheme="minorHAnsi" w:hAnsiTheme="minorHAnsi"/>
          <w:sz w:val="32"/>
          <w:szCs w:val="32"/>
          <w:rtl/>
        </w:rPr>
        <w:t xml:space="preserve"> (1981) </w:t>
      </w:r>
      <w:r w:rsidRPr="00381EA0">
        <w:rPr>
          <w:rStyle w:val="Strong"/>
          <w:rFonts w:asciiTheme="minorHAnsi" w:eastAsiaTheme="minorHAnsi" w:hAnsiTheme="minorHAnsi" w:hint="eastAsia"/>
          <w:sz w:val="32"/>
          <w:szCs w:val="32"/>
          <w:rtl/>
        </w:rPr>
        <w:t>בע</w:t>
      </w:r>
      <w:r w:rsidRPr="00381EA0">
        <w:rPr>
          <w:rStyle w:val="Strong"/>
          <w:rFonts w:asciiTheme="minorHAnsi" w:eastAsiaTheme="minorHAnsi" w:hAnsiTheme="minorHAnsi"/>
          <w:sz w:val="32"/>
          <w:szCs w:val="32"/>
          <w:rtl/>
        </w:rPr>
        <w:t>"מ</w:t>
      </w:r>
      <w:r w:rsidR="004275B1" w:rsidRPr="00381EA0">
        <w:rPr>
          <w:rStyle w:val="Strong"/>
          <w:rFonts w:asciiTheme="minorHAnsi" w:eastAsiaTheme="minorHAnsi" w:hAnsiTheme="minorHAnsi"/>
          <w:sz w:val="32"/>
          <w:szCs w:val="32"/>
          <w:rtl/>
        </w:rPr>
        <w:t xml:space="preserve"> לבין</w:t>
      </w:r>
      <w:r w:rsidRPr="00381EA0">
        <w:rPr>
          <w:rStyle w:val="Strong"/>
          <w:rFonts w:asciiTheme="minorHAnsi" w:eastAsiaTheme="minorHAnsi" w:hAnsiTheme="minorHAnsi"/>
          <w:sz w:val="32"/>
          <w:szCs w:val="32"/>
          <w:rtl/>
        </w:rPr>
        <w:t xml:space="preserve"> </w:t>
      </w:r>
      <w:r w:rsidRPr="00381EA0">
        <w:rPr>
          <w:rStyle w:val="Strong"/>
          <w:rFonts w:asciiTheme="majorBidi" w:eastAsiaTheme="minorHAnsi" w:hAnsiTheme="majorBidi" w:cstheme="majorBidi"/>
          <w:sz w:val="32"/>
          <w:szCs w:val="32"/>
        </w:rPr>
        <w:t>Royal Wine Corporation Ltd</w:t>
      </w:r>
    </w:p>
    <w:bookmarkEnd w:id="0"/>
    <w:p w:rsidR="00472358" w:rsidRPr="00932048" w:rsidRDefault="00472358" w:rsidP="00DF4672">
      <w:pPr>
        <w:spacing w:after="0"/>
        <w:jc w:val="center"/>
        <w:rPr>
          <w:rStyle w:val="Strong"/>
          <w:sz w:val="28"/>
          <w:szCs w:val="28"/>
        </w:rPr>
      </w:pPr>
    </w:p>
    <w:p w:rsidR="00470CF4" w:rsidRPr="003374CE" w:rsidRDefault="00470CF4" w:rsidP="00470CF4">
      <w:pPr>
        <w:pStyle w:val="41"/>
        <w:numPr>
          <w:ilvl w:val="0"/>
          <w:numId w:val="3"/>
        </w:numPr>
        <w:bidi/>
        <w:rPr>
          <w:rtl/>
        </w:rPr>
      </w:pPr>
      <w:r w:rsidRPr="003374CE">
        <w:rPr>
          <w:rFonts w:hint="cs"/>
          <w:rtl/>
        </w:rPr>
        <w:t>פתח דבר</w:t>
      </w:r>
    </w:p>
    <w:p w:rsidR="00470CF4" w:rsidRPr="00BF1C40" w:rsidRDefault="00470CF4" w:rsidP="004275B1">
      <w:pPr>
        <w:pStyle w:val="1"/>
        <w:numPr>
          <w:ilvl w:val="0"/>
          <w:numId w:val="0"/>
        </w:numPr>
        <w:rPr>
          <w:rtl/>
        </w:rPr>
      </w:pPr>
      <w:r w:rsidRPr="00E44571">
        <w:rPr>
          <w:rFonts w:hint="cs"/>
          <w:rtl/>
        </w:rPr>
        <w:t xml:space="preserve">מונחת בפניי בקשה למתן פטור לפי סעיף 14 לחוק התחרות הכלכלית, התשמ"ח-1988 (להלן </w:t>
      </w:r>
      <w:r w:rsidRPr="00E44571">
        <w:rPr>
          <w:rFonts w:hint="cs"/>
          <w:b/>
          <w:bCs/>
          <w:rtl/>
        </w:rPr>
        <w:t>החוק</w:t>
      </w:r>
      <w:r w:rsidRPr="00E44571">
        <w:rPr>
          <w:rFonts w:hint="cs"/>
          <w:rtl/>
        </w:rPr>
        <w:t>) להסדר כובל שהצדדים לו הם</w:t>
      </w:r>
      <w:r w:rsidRPr="00BF1C40">
        <w:rPr>
          <w:rStyle w:val="Strong"/>
          <w:rFonts w:asciiTheme="minorHAnsi" w:eastAsiaTheme="minorHAnsi" w:hAnsiTheme="minorHAnsi" w:hint="cs"/>
          <w:sz w:val="28"/>
          <w:szCs w:val="28"/>
          <w:rtl/>
        </w:rPr>
        <w:t xml:space="preserve"> </w:t>
      </w:r>
      <w:r w:rsidRPr="00BF1C40">
        <w:rPr>
          <w:rStyle w:val="Strong"/>
          <w:rFonts w:asciiTheme="minorHAnsi" w:eastAsiaTheme="minorHAnsi" w:hAnsiTheme="minorHAnsi" w:hint="cs"/>
          <w:b w:val="0"/>
          <w:bCs w:val="0"/>
          <w:rtl/>
        </w:rPr>
        <w:t>טמפו משקאות בע"מ</w:t>
      </w:r>
      <w:r w:rsidR="00472358">
        <w:rPr>
          <w:rStyle w:val="Strong"/>
          <w:rFonts w:asciiTheme="minorHAnsi" w:eastAsiaTheme="minorHAnsi" w:hAnsiTheme="minorHAnsi" w:hint="cs"/>
          <w:b w:val="0"/>
          <w:bCs w:val="0"/>
          <w:rtl/>
        </w:rPr>
        <w:t>,</w:t>
      </w:r>
      <w:r w:rsidRPr="00BF1C40">
        <w:rPr>
          <w:rStyle w:val="Strong"/>
          <w:rFonts w:asciiTheme="minorHAnsi" w:eastAsiaTheme="minorHAnsi" w:hAnsiTheme="minorHAnsi" w:hint="cs"/>
          <w:b w:val="0"/>
          <w:bCs w:val="0"/>
          <w:rtl/>
        </w:rPr>
        <w:t xml:space="preserve"> טמפו שיווק (1981) בע"מ</w:t>
      </w:r>
      <w:r>
        <w:rPr>
          <w:rFonts w:hint="cs"/>
          <w:rtl/>
        </w:rPr>
        <w:t xml:space="preserve"> </w:t>
      </w:r>
      <w:r w:rsidRPr="00E44571">
        <w:rPr>
          <w:rFonts w:hint="cs"/>
          <w:rtl/>
        </w:rPr>
        <w:t>(להלן</w:t>
      </w:r>
      <w:r w:rsidR="004275B1">
        <w:rPr>
          <w:rFonts w:hint="cs"/>
          <w:rtl/>
        </w:rPr>
        <w:t xml:space="preserve"> ביחד</w:t>
      </w:r>
      <w:r w:rsidRPr="00E44571">
        <w:rPr>
          <w:rFonts w:hint="cs"/>
          <w:rtl/>
        </w:rPr>
        <w:t xml:space="preserve"> </w:t>
      </w:r>
      <w:r>
        <w:rPr>
          <w:rFonts w:hint="cs"/>
          <w:b/>
          <w:bCs/>
          <w:rtl/>
        </w:rPr>
        <w:t>טמפו</w:t>
      </w:r>
      <w:r w:rsidRPr="00E44571">
        <w:rPr>
          <w:rFonts w:hint="cs"/>
          <w:rtl/>
        </w:rPr>
        <w:t xml:space="preserve">), </w:t>
      </w:r>
      <w:r w:rsidR="00472358">
        <w:rPr>
          <w:rFonts w:hint="cs"/>
          <w:rtl/>
        </w:rPr>
        <w:t>ו</w:t>
      </w:r>
      <w:r w:rsidR="00472358">
        <w:rPr>
          <w:rStyle w:val="Strong"/>
          <w:rFonts w:asciiTheme="minorHAnsi" w:eastAsiaTheme="minorHAnsi" w:hAnsiTheme="minorHAnsi" w:hint="cs"/>
          <w:sz w:val="28"/>
          <w:szCs w:val="28"/>
          <w:rtl/>
        </w:rPr>
        <w:t>-</w:t>
      </w:r>
      <w:r w:rsidRPr="00DF4672">
        <w:t>Royal Wine Corporation Ltd</w:t>
      </w:r>
      <w:r>
        <w:rPr>
          <w:rFonts w:hint="cs"/>
          <w:rtl/>
        </w:rPr>
        <w:t xml:space="preserve"> (להלן </w:t>
      </w:r>
      <w:r w:rsidRPr="002840AC">
        <w:rPr>
          <w:rFonts w:hint="cs"/>
          <w:b/>
          <w:bCs/>
          <w:rtl/>
        </w:rPr>
        <w:t>קדם</w:t>
      </w:r>
      <w:r>
        <w:rPr>
          <w:rFonts w:hint="cs"/>
          <w:rtl/>
        </w:rPr>
        <w:t>)</w:t>
      </w:r>
      <w:r w:rsidR="00472358">
        <w:rPr>
          <w:rFonts w:hint="cs"/>
          <w:rtl/>
        </w:rPr>
        <w:t>.</w:t>
      </w:r>
    </w:p>
    <w:p w:rsidR="00470CF4" w:rsidRDefault="00470CF4" w:rsidP="002A05B9">
      <w:pPr>
        <w:pStyle w:val="1"/>
        <w:numPr>
          <w:ilvl w:val="0"/>
          <w:numId w:val="0"/>
        </w:numPr>
        <w:rPr>
          <w:rtl/>
        </w:rPr>
      </w:pPr>
      <w:r w:rsidRPr="00A70D94">
        <w:rPr>
          <w:rFonts w:hint="cs"/>
          <w:rtl/>
        </w:rPr>
        <w:t xml:space="preserve">לאחר שבחנתי את ההסדר ואת הכבילות המצויות בו, כמו גם את השפעתם האפשרית על התחרות בשוק הרלוונטי, ולאחר שנועצתי בוועדה לפטורים ומיזוגים, שוכנעתי כי הכבילות אינן </w:t>
      </w:r>
      <w:r w:rsidR="002A05B9">
        <w:rPr>
          <w:rFonts w:hint="cs"/>
          <w:rtl/>
        </w:rPr>
        <w:t xml:space="preserve">מגבילות את התחרות בחלק ניכר של </w:t>
      </w:r>
      <w:r w:rsidRPr="00A70D94">
        <w:rPr>
          <w:rFonts w:hint="cs"/>
          <w:rtl/>
        </w:rPr>
        <w:t>שוק המושפע מן ההסדר, כי עיקרו של ההסדר אינו בהפחתת התחרות או במניעתה, וכי אין בו כבילות שאינן נחוצות למימוש עיקרו. מטעמים אלה ראוי ההסדר לפטור לפי סעיף 14 לחוק, בשל הנימוקים שיפורטו להלן.</w:t>
      </w:r>
    </w:p>
    <w:p w:rsidR="00470CF4" w:rsidRPr="00A70D94" w:rsidRDefault="00470CF4" w:rsidP="00470CF4">
      <w:pPr>
        <w:pStyle w:val="1"/>
        <w:numPr>
          <w:ilvl w:val="0"/>
          <w:numId w:val="0"/>
        </w:numPr>
        <w:rPr>
          <w:rtl/>
        </w:rPr>
      </w:pPr>
    </w:p>
    <w:p w:rsidR="00470CF4" w:rsidRPr="004F4A00" w:rsidRDefault="00470CF4" w:rsidP="00470CF4">
      <w:pPr>
        <w:pStyle w:val="41"/>
        <w:numPr>
          <w:ilvl w:val="0"/>
          <w:numId w:val="3"/>
        </w:numPr>
        <w:bidi/>
        <w:rPr>
          <w:rtl/>
        </w:rPr>
      </w:pPr>
      <w:r w:rsidRPr="00807A3C">
        <w:rPr>
          <w:rFonts w:hint="cs"/>
          <w:rtl/>
        </w:rPr>
        <w:t>ההסדר והצדדים לו</w:t>
      </w:r>
    </w:p>
    <w:p w:rsidR="00470CF4" w:rsidRPr="004F4A00" w:rsidRDefault="00470CF4" w:rsidP="00470CF4">
      <w:pPr>
        <w:pStyle w:val="63"/>
        <w:bidi/>
        <w:rPr>
          <w:rFonts w:eastAsiaTheme="minorEastAsia"/>
          <w:rtl/>
        </w:rPr>
      </w:pPr>
      <w:r>
        <w:rPr>
          <w:rFonts w:hint="cs"/>
          <w:rtl/>
        </w:rPr>
        <w:t>2.א. הצדדים להסדר</w:t>
      </w:r>
    </w:p>
    <w:p w:rsidR="00470CF4" w:rsidRPr="002840AC" w:rsidRDefault="00470CF4" w:rsidP="00AF435C">
      <w:pPr>
        <w:rPr>
          <w:rFonts w:asciiTheme="minorHAnsi" w:hAnsiTheme="minorHAnsi"/>
          <w:rtl/>
        </w:rPr>
      </w:pPr>
      <w:r>
        <w:rPr>
          <w:rFonts w:hint="cs"/>
          <w:b/>
          <w:bCs/>
          <w:rtl/>
        </w:rPr>
        <w:t xml:space="preserve">טמפו </w:t>
      </w:r>
      <w:r>
        <w:rPr>
          <w:rFonts w:hint="cs"/>
          <w:rtl/>
        </w:rPr>
        <w:t>היא חברה פרטית בבעלות חברת טמפו תעשיות בירה בע"מ (60%)</w:t>
      </w:r>
      <w:r>
        <w:rPr>
          <w:rStyle w:val="FootnoteReference"/>
          <w:rtl/>
        </w:rPr>
        <w:footnoteReference w:id="1"/>
      </w:r>
      <w:r>
        <w:rPr>
          <w:rFonts w:hint="cs"/>
          <w:rtl/>
        </w:rPr>
        <w:t xml:space="preserve"> ותאגיד </w:t>
      </w:r>
      <w:r>
        <w:rPr>
          <w:rFonts w:hint="cs"/>
        </w:rPr>
        <w:t>H</w:t>
      </w:r>
      <w:r>
        <w:rPr>
          <w:rFonts w:asciiTheme="minorHAnsi" w:hAnsiTheme="minorHAnsi"/>
        </w:rPr>
        <w:t>eineken</w:t>
      </w:r>
      <w:r>
        <w:rPr>
          <w:rFonts w:asciiTheme="minorHAnsi" w:hAnsiTheme="minorHAnsi" w:hint="cs"/>
          <w:rtl/>
        </w:rPr>
        <w:t xml:space="preserve"> העולמי (40%), העוסקת בייצור, ייבוא, שיווק והפצה של משקאות בחלוקה לשלושה תחומי פעילות</w:t>
      </w:r>
      <w:r w:rsidR="00090CC1">
        <w:rPr>
          <w:rFonts w:asciiTheme="minorHAnsi" w:hAnsiTheme="minorHAnsi" w:hint="cs"/>
          <w:rtl/>
        </w:rPr>
        <w:t xml:space="preserve"> </w:t>
      </w:r>
      <w:r w:rsidR="00AF435C">
        <w:rPr>
          <w:rFonts w:asciiTheme="minorHAnsi" w:hAnsiTheme="minorHAnsi" w:hint="cs"/>
          <w:rtl/>
        </w:rPr>
        <w:t>עיקריים:</w:t>
      </w:r>
      <w:r>
        <w:rPr>
          <w:rFonts w:asciiTheme="minorHAnsi" w:hAnsiTheme="minorHAnsi" w:hint="cs"/>
          <w:rtl/>
        </w:rPr>
        <w:t xml:space="preserve"> </w:t>
      </w:r>
      <w:r w:rsidR="00EF0324">
        <w:rPr>
          <w:rFonts w:asciiTheme="minorHAnsi" w:hAnsiTheme="minorHAnsi" w:hint="cs"/>
          <w:rtl/>
        </w:rPr>
        <w:t>בירה ומשקאות אלכוהוליים מיובאים</w:t>
      </w:r>
      <w:r w:rsidR="00AF435C">
        <w:rPr>
          <w:rFonts w:asciiTheme="minorHAnsi" w:hAnsiTheme="minorHAnsi" w:hint="cs"/>
          <w:rtl/>
        </w:rPr>
        <w:t>;</w:t>
      </w:r>
      <w:r>
        <w:rPr>
          <w:rFonts w:asciiTheme="minorHAnsi" w:hAnsiTheme="minorHAnsi" w:hint="cs"/>
          <w:rtl/>
        </w:rPr>
        <w:t xml:space="preserve"> יין ומשקאות קלים. טמפו </w:t>
      </w:r>
      <w:r w:rsidR="00EF0324">
        <w:rPr>
          <w:rFonts w:asciiTheme="minorHAnsi" w:hAnsiTheme="minorHAnsi" w:hint="cs"/>
          <w:rtl/>
        </w:rPr>
        <w:t>שולטת גם ב</w:t>
      </w:r>
      <w:r>
        <w:rPr>
          <w:rFonts w:asciiTheme="minorHAnsi" w:hAnsiTheme="minorHAnsi" w:hint="cs"/>
          <w:rtl/>
        </w:rPr>
        <w:t xml:space="preserve">כרמי צבי אחים סגל בע"מ (להלן </w:t>
      </w:r>
      <w:r w:rsidRPr="00827A34">
        <w:rPr>
          <w:rFonts w:asciiTheme="minorHAnsi" w:hAnsiTheme="minorHAnsi" w:hint="cs"/>
          <w:b/>
          <w:bCs/>
          <w:rtl/>
        </w:rPr>
        <w:t>סגל</w:t>
      </w:r>
      <w:r>
        <w:rPr>
          <w:rFonts w:asciiTheme="minorHAnsi" w:hAnsiTheme="minorHAnsi" w:hint="cs"/>
          <w:rtl/>
        </w:rPr>
        <w:t>) המייצרת מוצרי תירוש ענבים תחת המותג "סגל".</w:t>
      </w:r>
    </w:p>
    <w:p w:rsidR="00470CF4" w:rsidRDefault="00713DEB" w:rsidP="00AF435C">
      <w:pPr>
        <w:rPr>
          <w:rFonts w:asciiTheme="minorHAnsi" w:hAnsiTheme="minorHAnsi"/>
          <w:rtl/>
        </w:rPr>
      </w:pPr>
      <w:r w:rsidRPr="00DF4672">
        <w:rPr>
          <w:rStyle w:val="Strong"/>
          <w:rFonts w:asciiTheme="minorHAnsi" w:eastAsiaTheme="minorHAnsi" w:hAnsiTheme="minorHAnsi" w:hint="eastAsia"/>
          <w:rtl/>
        </w:rPr>
        <w:lastRenderedPageBreak/>
        <w:t>קדם</w:t>
      </w:r>
      <w:r>
        <w:rPr>
          <w:rStyle w:val="Strong"/>
          <w:rFonts w:asciiTheme="minorHAnsi" w:eastAsiaTheme="minorHAnsi" w:hAnsiTheme="minorHAnsi" w:hint="cs"/>
          <w:b w:val="0"/>
          <w:bCs w:val="0"/>
          <w:rtl/>
        </w:rPr>
        <w:t xml:space="preserve"> </w:t>
      </w:r>
      <w:r w:rsidR="00470CF4">
        <w:rPr>
          <w:rFonts w:asciiTheme="minorHAnsi" w:hAnsiTheme="minorHAnsi" w:hint="cs"/>
          <w:rtl/>
        </w:rPr>
        <w:t>היא חברה פרטית אמריקאית העוסקת בייצור שיווק ומכירה של משקאות ומוצרי מזון למגזר הדתי והחרדי בצפון אמריקה. קדם מוכרת בישראל מוצרי תירוש ענבים (רגילים ומוגזים) המיוצרים בארה"ב תחת מותגים "קדם" ו-"גאולה"</w:t>
      </w:r>
      <w:r w:rsidR="007C6458">
        <w:rPr>
          <w:rFonts w:asciiTheme="minorHAnsi" w:hAnsiTheme="minorHAnsi" w:hint="cs"/>
          <w:rtl/>
        </w:rPr>
        <w:t xml:space="preserve"> (להלן </w:t>
      </w:r>
      <w:r w:rsidR="007C6458">
        <w:rPr>
          <w:rFonts w:asciiTheme="minorHAnsi" w:hAnsiTheme="minorHAnsi" w:hint="cs"/>
          <w:b/>
          <w:bCs/>
          <w:rtl/>
        </w:rPr>
        <w:t>המוצרים</w:t>
      </w:r>
      <w:r w:rsidR="007C6458">
        <w:rPr>
          <w:rFonts w:asciiTheme="minorHAnsi" w:hAnsiTheme="minorHAnsi" w:hint="cs"/>
          <w:rtl/>
        </w:rPr>
        <w:t>)</w:t>
      </w:r>
      <w:r w:rsidR="00AF435C">
        <w:rPr>
          <w:rFonts w:asciiTheme="minorHAnsi" w:hAnsiTheme="minorHAnsi" w:hint="cs"/>
          <w:rtl/>
        </w:rPr>
        <w:t>.</w:t>
      </w:r>
      <w:r w:rsidR="00470CF4">
        <w:rPr>
          <w:rFonts w:asciiTheme="minorHAnsi" w:hAnsiTheme="minorHAnsi" w:hint="cs"/>
          <w:rtl/>
        </w:rPr>
        <w:t xml:space="preserve"> </w:t>
      </w:r>
    </w:p>
    <w:p w:rsidR="00470CF4" w:rsidRPr="004F4A00" w:rsidRDefault="00470CF4" w:rsidP="00470CF4">
      <w:pPr>
        <w:pStyle w:val="63"/>
        <w:bidi/>
        <w:rPr>
          <w:rFonts w:eastAsiaTheme="minorEastAsia"/>
          <w:rtl/>
        </w:rPr>
      </w:pPr>
      <w:r>
        <w:rPr>
          <w:rFonts w:hint="cs"/>
          <w:rtl/>
        </w:rPr>
        <w:t>2.ב. ההסדר והכבילות המצויות בו</w:t>
      </w:r>
    </w:p>
    <w:p w:rsidR="00D64BC6" w:rsidRDefault="00470CF4" w:rsidP="00847DA8">
      <w:pPr>
        <w:rPr>
          <w:rFonts w:asciiTheme="minorHAnsi" w:hAnsiTheme="minorHAnsi"/>
          <w:rtl/>
        </w:rPr>
      </w:pPr>
      <w:r>
        <w:rPr>
          <w:rFonts w:asciiTheme="minorHAnsi" w:hAnsiTheme="minorHAnsi" w:hint="cs"/>
          <w:rtl/>
        </w:rPr>
        <w:t xml:space="preserve">ביום 12 ביוני 2019 התקשרו </w:t>
      </w:r>
      <w:r w:rsidR="008E1C1D">
        <w:rPr>
          <w:rFonts w:asciiTheme="minorHAnsi" w:hAnsiTheme="minorHAnsi" w:hint="cs"/>
          <w:rtl/>
        </w:rPr>
        <w:t xml:space="preserve">טמפו וקדם </w:t>
      </w:r>
      <w:r>
        <w:rPr>
          <w:rFonts w:asciiTheme="minorHAnsi" w:hAnsiTheme="minorHAnsi" w:hint="cs"/>
          <w:rtl/>
        </w:rPr>
        <w:t xml:space="preserve">בהסכם </w:t>
      </w:r>
      <w:r w:rsidR="008D5940">
        <w:rPr>
          <w:rFonts w:asciiTheme="minorHAnsi" w:hAnsiTheme="minorHAnsi" w:hint="cs"/>
          <w:rtl/>
        </w:rPr>
        <w:t xml:space="preserve">הפצה בלעדי </w:t>
      </w:r>
      <w:r w:rsidR="008E1C1D">
        <w:rPr>
          <w:rFonts w:asciiTheme="minorHAnsi" w:hAnsiTheme="minorHAnsi" w:hint="cs"/>
          <w:rtl/>
        </w:rPr>
        <w:t xml:space="preserve">במסגרתו </w:t>
      </w:r>
      <w:r w:rsidR="00713DEB">
        <w:rPr>
          <w:rFonts w:asciiTheme="minorHAnsi" w:hAnsiTheme="minorHAnsi" w:hint="cs"/>
          <w:rtl/>
        </w:rPr>
        <w:t xml:space="preserve">טמפו </w:t>
      </w:r>
      <w:r w:rsidR="008D5940">
        <w:rPr>
          <w:rFonts w:asciiTheme="minorHAnsi" w:hAnsiTheme="minorHAnsi" w:hint="cs"/>
          <w:rtl/>
        </w:rPr>
        <w:t>תפיץ ותשווק את המוצרים</w:t>
      </w:r>
      <w:r w:rsidR="00CA1F45">
        <w:rPr>
          <w:rFonts w:asciiTheme="minorHAnsi" w:hAnsiTheme="minorHAnsi" w:hint="cs"/>
          <w:rtl/>
        </w:rPr>
        <w:t xml:space="preserve"> </w:t>
      </w:r>
      <w:r w:rsidR="001319C1">
        <w:rPr>
          <w:rFonts w:asciiTheme="minorHAnsi" w:hAnsiTheme="minorHAnsi" w:hint="cs"/>
          <w:rtl/>
        </w:rPr>
        <w:t xml:space="preserve">(להלן </w:t>
      </w:r>
      <w:r w:rsidR="001319C1">
        <w:rPr>
          <w:rFonts w:asciiTheme="minorHAnsi" w:hAnsiTheme="minorHAnsi" w:hint="cs"/>
          <w:b/>
          <w:bCs/>
          <w:rtl/>
        </w:rPr>
        <w:t>הסכם ההפצה</w:t>
      </w:r>
      <w:r w:rsidR="001319C1">
        <w:rPr>
          <w:rFonts w:asciiTheme="minorHAnsi" w:hAnsiTheme="minorHAnsi" w:hint="cs"/>
          <w:rtl/>
        </w:rPr>
        <w:t>)</w:t>
      </w:r>
      <w:r w:rsidR="00C143A1">
        <w:rPr>
          <w:rFonts w:asciiTheme="minorHAnsi" w:hAnsiTheme="minorHAnsi" w:hint="cs"/>
          <w:rtl/>
        </w:rPr>
        <w:t>.</w:t>
      </w:r>
    </w:p>
    <w:p w:rsidR="00470CF4" w:rsidRDefault="00CA1F45" w:rsidP="00533B94">
      <w:pPr>
        <w:rPr>
          <w:rFonts w:asciiTheme="minorHAnsi" w:hAnsiTheme="minorHAnsi"/>
          <w:rtl/>
        </w:rPr>
      </w:pPr>
      <w:r>
        <w:rPr>
          <w:rFonts w:asciiTheme="minorHAnsi" w:hAnsiTheme="minorHAnsi" w:hint="cs"/>
          <w:rtl/>
        </w:rPr>
        <w:t xml:space="preserve">במסגרת </w:t>
      </w:r>
      <w:r w:rsidR="001319C1">
        <w:rPr>
          <w:rFonts w:asciiTheme="minorHAnsi" w:hAnsiTheme="minorHAnsi" w:hint="cs"/>
          <w:rtl/>
        </w:rPr>
        <w:t>הסכם ההפצה</w:t>
      </w:r>
      <w:r>
        <w:rPr>
          <w:rFonts w:asciiTheme="minorHAnsi" w:hAnsiTheme="minorHAnsi" w:hint="cs"/>
          <w:rtl/>
        </w:rPr>
        <w:t xml:space="preserve"> </w:t>
      </w:r>
      <w:r w:rsidR="00730C3D">
        <w:rPr>
          <w:rFonts w:asciiTheme="minorHAnsi" w:hAnsiTheme="minorHAnsi" w:hint="cs"/>
          <w:rtl/>
        </w:rPr>
        <w:t>קדם ממנה את טמפו כמפיצה</w:t>
      </w:r>
      <w:r w:rsidR="001319C1">
        <w:rPr>
          <w:rFonts w:asciiTheme="minorHAnsi" w:hAnsiTheme="minorHAnsi" w:hint="cs"/>
          <w:rtl/>
        </w:rPr>
        <w:t xml:space="preserve"> בלעדית של המוצרים </w:t>
      </w:r>
      <w:r w:rsidR="001319C1">
        <w:rPr>
          <w:rFonts w:hint="cs"/>
          <w:sz w:val="28"/>
          <w:rtl/>
          <w:lang w:eastAsia="he-IL"/>
        </w:rPr>
        <w:t xml:space="preserve">וכן מתחייבת שלא תפיץ (או תמכור), במישרין או בעקיפין, </w:t>
      </w:r>
      <w:r w:rsidR="001319C1">
        <w:rPr>
          <w:rFonts w:asciiTheme="minorHAnsi" w:hAnsiTheme="minorHAnsi" w:hint="cs"/>
          <w:rtl/>
        </w:rPr>
        <w:t>את המוצרים אלא באמצעות טמפו</w:t>
      </w:r>
      <w:r w:rsidR="00B07144">
        <w:rPr>
          <w:rFonts w:asciiTheme="minorHAnsi" w:hAnsiTheme="minorHAnsi" w:hint="cs"/>
          <w:rtl/>
        </w:rPr>
        <w:t xml:space="preserve"> (להלן </w:t>
      </w:r>
      <w:r w:rsidR="00D26A3D">
        <w:rPr>
          <w:rFonts w:asciiTheme="minorHAnsi" w:hAnsiTheme="minorHAnsi" w:hint="cs"/>
          <w:b/>
          <w:bCs/>
          <w:rtl/>
        </w:rPr>
        <w:t>כבילת</w:t>
      </w:r>
      <w:r w:rsidR="00B07144">
        <w:rPr>
          <w:rFonts w:asciiTheme="minorHAnsi" w:hAnsiTheme="minorHAnsi" w:hint="cs"/>
          <w:b/>
          <w:bCs/>
          <w:rtl/>
        </w:rPr>
        <w:t xml:space="preserve"> </w:t>
      </w:r>
      <w:r w:rsidR="00D26A3D">
        <w:rPr>
          <w:rFonts w:asciiTheme="minorHAnsi" w:hAnsiTheme="minorHAnsi" w:hint="cs"/>
          <w:b/>
          <w:bCs/>
          <w:rtl/>
        </w:rPr>
        <w:t>הבלעדיות</w:t>
      </w:r>
      <w:r w:rsidR="00B07144">
        <w:rPr>
          <w:rFonts w:asciiTheme="minorHAnsi" w:hAnsiTheme="minorHAnsi" w:hint="cs"/>
          <w:rtl/>
        </w:rPr>
        <w:t>)</w:t>
      </w:r>
      <w:r w:rsidR="001319C1">
        <w:rPr>
          <w:rFonts w:asciiTheme="minorHAnsi" w:hAnsiTheme="minorHAnsi" w:hint="cs"/>
          <w:rtl/>
        </w:rPr>
        <w:t xml:space="preserve">. טמפו </w:t>
      </w:r>
      <w:r w:rsidR="00B07144">
        <w:rPr>
          <w:rFonts w:asciiTheme="minorHAnsi" w:hAnsiTheme="minorHAnsi" w:hint="cs"/>
          <w:rtl/>
        </w:rPr>
        <w:t xml:space="preserve">מצידה </w:t>
      </w:r>
      <w:r w:rsidR="001319C1">
        <w:rPr>
          <w:rFonts w:asciiTheme="minorHAnsi" w:hAnsiTheme="minorHAnsi" w:hint="cs"/>
          <w:rtl/>
        </w:rPr>
        <w:t>מתחייבת שלא</w:t>
      </w:r>
      <w:r w:rsidR="00B07144">
        <w:rPr>
          <w:rFonts w:asciiTheme="minorHAnsi" w:hAnsiTheme="minorHAnsi" w:hint="cs"/>
          <w:rtl/>
        </w:rPr>
        <w:t xml:space="preserve"> לייבא מארצות הברית לצורך מכירה מוצרים דומים למוצרים וכן מתחייבת כי  </w:t>
      </w:r>
      <w:r w:rsidR="00470CF4">
        <w:rPr>
          <w:rFonts w:asciiTheme="minorHAnsi" w:hAnsiTheme="minorHAnsi" w:hint="cs"/>
          <w:rtl/>
        </w:rPr>
        <w:t xml:space="preserve">כל עוד יקבי כרמל או יקבי </w:t>
      </w:r>
      <w:proofErr w:type="spellStart"/>
      <w:r w:rsidR="00470CF4">
        <w:rPr>
          <w:rFonts w:asciiTheme="minorHAnsi" w:hAnsiTheme="minorHAnsi" w:hint="cs"/>
          <w:rtl/>
        </w:rPr>
        <w:t>טפרברג</w:t>
      </w:r>
      <w:proofErr w:type="spellEnd"/>
      <w:r w:rsidR="00470CF4">
        <w:rPr>
          <w:rFonts w:asciiTheme="minorHAnsi" w:hAnsiTheme="minorHAnsi" w:hint="cs"/>
          <w:rtl/>
        </w:rPr>
        <w:t xml:space="preserve"> לא ישווקו או יפיצו מוצרי תירוש ממותגים בבקבוקי </w:t>
      </w:r>
      <w:r w:rsidR="00F0727D">
        <w:rPr>
          <w:rFonts w:asciiTheme="minorHAnsi" w:hAnsiTheme="minorHAnsi" w:hint="cs"/>
          <w:rtl/>
        </w:rPr>
        <w:t>פלסטיק (</w:t>
      </w:r>
      <w:r w:rsidR="00470CF4" w:rsidRPr="00985003">
        <w:rPr>
          <w:rFonts w:asciiTheme="majorBidi" w:hAnsiTheme="majorBidi" w:cstheme="majorBidi"/>
        </w:rPr>
        <w:t>PET</w:t>
      </w:r>
      <w:r w:rsidR="00F0727D">
        <w:rPr>
          <w:rFonts w:asciiTheme="minorHAnsi" w:hAnsiTheme="minorHAnsi" w:hint="cs"/>
          <w:rtl/>
        </w:rPr>
        <w:t>)</w:t>
      </w:r>
      <w:r w:rsidR="00AB092E">
        <w:rPr>
          <w:rFonts w:asciiTheme="minorHAnsi" w:hAnsiTheme="minorHAnsi" w:hint="cs"/>
          <w:rtl/>
        </w:rPr>
        <w:t>,</w:t>
      </w:r>
      <w:r w:rsidR="00470CF4">
        <w:rPr>
          <w:rFonts w:asciiTheme="minorHAnsi" w:hAnsiTheme="minorHAnsi" w:hint="cs"/>
          <w:rtl/>
        </w:rPr>
        <w:t xml:space="preserve"> היא לא תפיץ תירוש ענבים בבקבוקי </w:t>
      </w:r>
      <w:r w:rsidR="003F0F4F">
        <w:rPr>
          <w:rFonts w:asciiTheme="minorHAnsi" w:hAnsiTheme="minorHAnsi" w:hint="cs"/>
          <w:rtl/>
        </w:rPr>
        <w:t>פלסטיק</w:t>
      </w:r>
      <w:r w:rsidR="00470CF4">
        <w:rPr>
          <w:rFonts w:asciiTheme="minorHAnsi" w:hAnsiTheme="minorHAnsi" w:hint="cs"/>
          <w:rtl/>
        </w:rPr>
        <w:t xml:space="preserve"> </w:t>
      </w:r>
      <w:r w:rsidR="00C143A1">
        <w:rPr>
          <w:rFonts w:asciiTheme="minorHAnsi" w:hAnsiTheme="minorHAnsi" w:hint="cs"/>
          <w:rtl/>
        </w:rPr>
        <w:t xml:space="preserve">זולת המוצרים (להלן </w:t>
      </w:r>
      <w:r w:rsidR="00D26A3D">
        <w:rPr>
          <w:rFonts w:asciiTheme="minorHAnsi" w:hAnsiTheme="minorHAnsi" w:hint="cs"/>
          <w:b/>
          <w:bCs/>
          <w:rtl/>
        </w:rPr>
        <w:t>כבילת</w:t>
      </w:r>
      <w:r w:rsidR="00C143A1">
        <w:rPr>
          <w:rFonts w:asciiTheme="minorHAnsi" w:hAnsiTheme="minorHAnsi" w:hint="cs"/>
          <w:b/>
          <w:bCs/>
          <w:rtl/>
        </w:rPr>
        <w:t xml:space="preserve"> אי התחרות</w:t>
      </w:r>
      <w:r w:rsidR="00C143A1">
        <w:rPr>
          <w:rFonts w:asciiTheme="minorHAnsi" w:hAnsiTheme="minorHAnsi" w:hint="cs"/>
          <w:rtl/>
        </w:rPr>
        <w:t>)</w:t>
      </w:r>
      <w:r w:rsidR="00470CF4">
        <w:rPr>
          <w:rFonts w:asciiTheme="minorHAnsi" w:hAnsiTheme="minorHAnsi" w:hint="cs"/>
          <w:rtl/>
        </w:rPr>
        <w:t xml:space="preserve">. </w:t>
      </w:r>
    </w:p>
    <w:p w:rsidR="00D26A3D" w:rsidRDefault="00D26A3D" w:rsidP="00D26A3D">
      <w:pPr>
        <w:rPr>
          <w:rFonts w:asciiTheme="minorHAnsi" w:hAnsiTheme="minorHAnsi"/>
          <w:rtl/>
        </w:rPr>
      </w:pPr>
    </w:p>
    <w:p w:rsidR="00470CF4" w:rsidRDefault="00470CF4" w:rsidP="00A41760">
      <w:pPr>
        <w:pStyle w:val="41"/>
        <w:numPr>
          <w:ilvl w:val="0"/>
          <w:numId w:val="3"/>
        </w:numPr>
        <w:bidi/>
        <w:rPr>
          <w:rtl/>
        </w:rPr>
      </w:pPr>
      <w:r w:rsidRPr="005703F2">
        <w:rPr>
          <w:rFonts w:hint="cs"/>
          <w:rtl/>
        </w:rPr>
        <w:t>הניתוח התחרותי</w:t>
      </w:r>
    </w:p>
    <w:p w:rsidR="00D26A3D" w:rsidRPr="00090CC1" w:rsidRDefault="00D26A3D" w:rsidP="00090CC1">
      <w:pPr>
        <w:pStyle w:val="BodyText"/>
        <w:spacing w:before="240"/>
        <w:rPr>
          <w:u w:val="single"/>
          <w:rtl/>
        </w:rPr>
      </w:pPr>
      <w:r w:rsidRPr="00090CC1">
        <w:rPr>
          <w:rFonts w:hint="eastAsia"/>
          <w:u w:val="single"/>
          <w:rtl/>
        </w:rPr>
        <w:t>עיקרו</w:t>
      </w:r>
      <w:r w:rsidRPr="00090CC1">
        <w:rPr>
          <w:u w:val="single"/>
          <w:rtl/>
        </w:rPr>
        <w:t xml:space="preserve"> </w:t>
      </w:r>
      <w:r w:rsidRPr="00090CC1">
        <w:rPr>
          <w:rFonts w:hint="eastAsia"/>
          <w:u w:val="single"/>
          <w:rtl/>
        </w:rPr>
        <w:t>של</w:t>
      </w:r>
      <w:r w:rsidRPr="00090CC1">
        <w:rPr>
          <w:u w:val="single"/>
          <w:rtl/>
        </w:rPr>
        <w:t xml:space="preserve"> </w:t>
      </w:r>
      <w:r w:rsidRPr="00090CC1">
        <w:rPr>
          <w:rFonts w:hint="eastAsia"/>
          <w:u w:val="single"/>
          <w:rtl/>
        </w:rPr>
        <w:t>ההסדר</w:t>
      </w:r>
      <w:r w:rsidRPr="00090CC1">
        <w:rPr>
          <w:u w:val="single"/>
          <w:rtl/>
        </w:rPr>
        <w:t xml:space="preserve"> </w:t>
      </w:r>
      <w:r w:rsidRPr="00090CC1">
        <w:rPr>
          <w:rFonts w:hint="eastAsia"/>
          <w:u w:val="single"/>
          <w:rtl/>
        </w:rPr>
        <w:t>ונחיצות</w:t>
      </w:r>
      <w:r w:rsidRPr="00090CC1">
        <w:rPr>
          <w:u w:val="single"/>
          <w:rtl/>
        </w:rPr>
        <w:t xml:space="preserve"> </w:t>
      </w:r>
      <w:r w:rsidRPr="00090CC1">
        <w:rPr>
          <w:rFonts w:hint="eastAsia"/>
          <w:u w:val="single"/>
          <w:rtl/>
        </w:rPr>
        <w:t>הכבילות</w:t>
      </w:r>
    </w:p>
    <w:p w:rsidR="00D26A3D" w:rsidRDefault="00730C3D" w:rsidP="008D5940">
      <w:pPr>
        <w:pStyle w:val="BodyText"/>
        <w:rPr>
          <w:rtl/>
        </w:rPr>
      </w:pPr>
      <w:r>
        <w:rPr>
          <w:rFonts w:hint="cs"/>
          <w:rtl/>
        </w:rPr>
        <w:t>ההסדר שבפני הוא הסדר שעיקרו הפצה של מוצרים במסגרתו יצרן יין תירוש אחד מסכים עם ייצרן תירוש אחר שיפיץ את מוצריו</w:t>
      </w:r>
      <w:r w:rsidR="00D26A3D">
        <w:rPr>
          <w:rFonts w:hint="cs"/>
          <w:rtl/>
        </w:rPr>
        <w:t xml:space="preserve">. אין מדובר בהסדר שמטרתו הפחתת התחרות או מניעתה. בנוסף, וכפי שיוסבר, מדובר בהסדר יעיל במסגרתו מבקשת קדם – שמערך ההפצה שלה קטן ומצומצם – להפיץ את מוצריה באמצעות טמפו. לפיכך, מתן פטור להסכם ההפצה צפוי להביא לגידול משמעותי במספר הנקודות </w:t>
      </w:r>
      <w:r w:rsidR="008D5940">
        <w:rPr>
          <w:rFonts w:hint="cs"/>
          <w:rtl/>
        </w:rPr>
        <w:t xml:space="preserve">אליהן </w:t>
      </w:r>
      <w:r w:rsidR="00D26A3D">
        <w:rPr>
          <w:rFonts w:hint="cs"/>
          <w:rtl/>
        </w:rPr>
        <w:t xml:space="preserve">מגיעים המוצרים וכן להוזלה ניכרת של העלות השולית להפצתם. נוכח האמור ובהתחשב בניתוח שיוצג להלן בעניין </w:t>
      </w:r>
      <w:r w:rsidR="008D5940">
        <w:rPr>
          <w:rFonts w:hint="cs"/>
          <w:rtl/>
        </w:rPr>
        <w:t>השפעת ההסדר על התחרות</w:t>
      </w:r>
      <w:r w:rsidR="00D26A3D">
        <w:rPr>
          <w:rFonts w:hint="cs"/>
          <w:rtl/>
        </w:rPr>
        <w:t xml:space="preserve">, שוכנעתי שעיקרו של ההסדר אינו בהפחתת התחרות או במניעתה. </w:t>
      </w:r>
    </w:p>
    <w:p w:rsidR="00D64BC6" w:rsidRDefault="00D02834" w:rsidP="00090CC1">
      <w:pPr>
        <w:spacing w:before="100" w:beforeAutospacing="1" w:after="100" w:afterAutospacing="1"/>
        <w:rPr>
          <w:rtl/>
        </w:rPr>
      </w:pPr>
      <w:r>
        <w:rPr>
          <w:rFonts w:hint="cs"/>
          <w:rtl/>
        </w:rPr>
        <w:t>בענייננ</w:t>
      </w:r>
      <w:r>
        <w:rPr>
          <w:rFonts w:hint="eastAsia"/>
          <w:rtl/>
        </w:rPr>
        <w:t>ו</w:t>
      </w:r>
      <w:r w:rsidR="00D64BC6">
        <w:rPr>
          <w:rFonts w:hint="cs"/>
          <w:rtl/>
        </w:rPr>
        <w:t xml:space="preserve"> נראה כי </w:t>
      </w:r>
      <w:r w:rsidR="00D26A3D">
        <w:rPr>
          <w:rFonts w:hint="cs"/>
          <w:rtl/>
        </w:rPr>
        <w:t>כבילת הבלעדיות</w:t>
      </w:r>
      <w:r w:rsidR="00D64BC6">
        <w:rPr>
          <w:rFonts w:hint="cs"/>
          <w:rtl/>
        </w:rPr>
        <w:t xml:space="preserve"> </w:t>
      </w:r>
      <w:r w:rsidR="00D26A3D">
        <w:rPr>
          <w:rFonts w:hint="cs"/>
          <w:rtl/>
        </w:rPr>
        <w:t>נחוצה</w:t>
      </w:r>
      <w:r w:rsidR="00D64BC6">
        <w:rPr>
          <w:rFonts w:hint="cs"/>
          <w:rtl/>
        </w:rPr>
        <w:t xml:space="preserve"> </w:t>
      </w:r>
      <w:r w:rsidR="00D26A3D">
        <w:rPr>
          <w:rFonts w:hint="cs"/>
          <w:rtl/>
        </w:rPr>
        <w:t>על מנת שטמפו</w:t>
      </w:r>
      <w:r w:rsidR="00D64BC6">
        <w:rPr>
          <w:rFonts w:hint="cs"/>
          <w:rtl/>
        </w:rPr>
        <w:t xml:space="preserve"> תוכל להשקיע את ההשקעות הנדרשות בשיווק ופרסום </w:t>
      </w:r>
      <w:r w:rsidR="00D26A3D">
        <w:rPr>
          <w:rFonts w:hint="cs"/>
          <w:rtl/>
        </w:rPr>
        <w:t xml:space="preserve">המוצרים </w:t>
      </w:r>
      <w:r w:rsidR="00D64BC6">
        <w:rPr>
          <w:rFonts w:hint="cs"/>
          <w:rtl/>
        </w:rPr>
        <w:t xml:space="preserve">מבלי לחשוש מהנאת חינם מצד משווקים מתחרים אחרים, לרבות </w:t>
      </w:r>
      <w:r w:rsidR="00D26A3D">
        <w:rPr>
          <w:rFonts w:hint="cs"/>
          <w:rtl/>
        </w:rPr>
        <w:t>קדם</w:t>
      </w:r>
      <w:r w:rsidR="00D64BC6">
        <w:rPr>
          <w:rFonts w:hint="cs"/>
          <w:rtl/>
        </w:rPr>
        <w:t xml:space="preserve"> </w:t>
      </w:r>
      <w:r w:rsidR="00D64BC6">
        <w:rPr>
          <w:rFonts w:hint="cs"/>
          <w:rtl/>
        </w:rPr>
        <w:lastRenderedPageBreak/>
        <w:t xml:space="preserve">עצמה. מנגד, </w:t>
      </w:r>
      <w:r w:rsidR="00D26A3D">
        <w:rPr>
          <w:rFonts w:hint="cs"/>
          <w:rtl/>
        </w:rPr>
        <w:t xml:space="preserve">כבילת הבלעדיות ואי התחרות שאליהן התחייבה טמפו </w:t>
      </w:r>
      <w:r w:rsidR="00D64BC6">
        <w:rPr>
          <w:rFonts w:hint="cs"/>
          <w:rtl/>
        </w:rPr>
        <w:t xml:space="preserve">נדרשת על מנת למנוע פגיעה </w:t>
      </w:r>
      <w:r w:rsidR="00D26A3D">
        <w:rPr>
          <w:rFonts w:hint="cs"/>
          <w:rtl/>
        </w:rPr>
        <w:t>בקדם,</w:t>
      </w:r>
      <w:r w:rsidR="00D64BC6">
        <w:rPr>
          <w:rFonts w:hint="cs"/>
          <w:rtl/>
        </w:rPr>
        <w:t xml:space="preserve"> נוכח ההתחייבויות שלקחה על עצמה.</w:t>
      </w:r>
    </w:p>
    <w:p w:rsidR="00D26A3D" w:rsidRDefault="00D26A3D" w:rsidP="00B94426">
      <w:pPr>
        <w:pStyle w:val="BodyText"/>
        <w:spacing w:before="240"/>
        <w:rPr>
          <w:rtl/>
        </w:rPr>
      </w:pPr>
      <w:r>
        <w:rPr>
          <w:rFonts w:hint="cs"/>
          <w:rtl/>
        </w:rPr>
        <w:t xml:space="preserve">לפיכך, אין מדובר בהסדר שעיקרו הפחתת התחרות או מניעתה (הסדר "עירום") ואין בו כבילות שאינן נחוצות למימוש עיקרו </w:t>
      </w:r>
      <w:r>
        <w:rPr>
          <w:rtl/>
        </w:rPr>
        <w:t>–</w:t>
      </w:r>
      <w:r>
        <w:rPr>
          <w:rFonts w:hint="cs"/>
          <w:rtl/>
        </w:rPr>
        <w:t xml:space="preserve"> בכך מתקיימים תנאי סעיף 14(א)(2) לחוק.</w:t>
      </w:r>
    </w:p>
    <w:p w:rsidR="00D64BC6" w:rsidRPr="00090CC1" w:rsidRDefault="00D26A3D" w:rsidP="00090CC1">
      <w:pPr>
        <w:pStyle w:val="BodyText"/>
        <w:spacing w:before="240"/>
        <w:rPr>
          <w:u w:val="single"/>
          <w:rtl/>
        </w:rPr>
      </w:pPr>
      <w:r w:rsidRPr="00090CC1">
        <w:rPr>
          <w:rFonts w:hint="eastAsia"/>
          <w:u w:val="single"/>
          <w:rtl/>
        </w:rPr>
        <w:t>השפעת</w:t>
      </w:r>
      <w:r w:rsidRPr="00090CC1">
        <w:rPr>
          <w:u w:val="single"/>
          <w:rtl/>
        </w:rPr>
        <w:t xml:space="preserve"> </w:t>
      </w:r>
      <w:r w:rsidRPr="00090CC1">
        <w:rPr>
          <w:rFonts w:hint="eastAsia"/>
          <w:u w:val="single"/>
          <w:rtl/>
        </w:rPr>
        <w:t>ההסדר</w:t>
      </w:r>
      <w:r w:rsidRPr="00090CC1">
        <w:rPr>
          <w:u w:val="single"/>
          <w:rtl/>
        </w:rPr>
        <w:t xml:space="preserve"> </w:t>
      </w:r>
      <w:r w:rsidRPr="00090CC1">
        <w:rPr>
          <w:rFonts w:hint="eastAsia"/>
          <w:u w:val="single"/>
          <w:rtl/>
        </w:rPr>
        <w:t>על</w:t>
      </w:r>
      <w:r w:rsidRPr="00090CC1">
        <w:rPr>
          <w:u w:val="single"/>
          <w:rtl/>
        </w:rPr>
        <w:t xml:space="preserve"> </w:t>
      </w:r>
      <w:r w:rsidRPr="00090CC1">
        <w:rPr>
          <w:rFonts w:hint="eastAsia"/>
          <w:u w:val="single"/>
          <w:rtl/>
        </w:rPr>
        <w:t>התחרות</w:t>
      </w:r>
    </w:p>
    <w:p w:rsidR="00470CF4" w:rsidRPr="00DF4672" w:rsidRDefault="00470CF4" w:rsidP="00FC48A3">
      <w:pPr>
        <w:pStyle w:val="BodyText"/>
        <w:rPr>
          <w:rtl/>
        </w:rPr>
      </w:pPr>
      <w:r w:rsidRPr="00DF4672">
        <w:rPr>
          <w:rFonts w:hint="eastAsia"/>
          <w:rtl/>
        </w:rPr>
        <w:t>מוצרי</w:t>
      </w:r>
      <w:r w:rsidRPr="00DF4672">
        <w:rPr>
          <w:rtl/>
        </w:rPr>
        <w:t xml:space="preserve"> תירוש ענבים </w:t>
      </w:r>
      <w:r w:rsidRPr="00DF4672">
        <w:rPr>
          <w:rFonts w:hint="eastAsia"/>
          <w:rtl/>
        </w:rPr>
        <w:t>נבדלים</w:t>
      </w:r>
      <w:r w:rsidRPr="00DF4672">
        <w:rPr>
          <w:rtl/>
        </w:rPr>
        <w:t xml:space="preserve"> </w:t>
      </w:r>
      <w:r w:rsidRPr="00DF4672">
        <w:rPr>
          <w:rFonts w:hint="eastAsia"/>
          <w:rtl/>
        </w:rPr>
        <w:t>זה</w:t>
      </w:r>
      <w:r w:rsidRPr="00DF4672">
        <w:rPr>
          <w:rtl/>
        </w:rPr>
        <w:t xml:space="preserve"> </w:t>
      </w:r>
      <w:r w:rsidRPr="00DF4672">
        <w:rPr>
          <w:rFonts w:hint="eastAsia"/>
          <w:rtl/>
        </w:rPr>
        <w:t>מזה</w:t>
      </w:r>
      <w:r w:rsidRPr="00DF4672">
        <w:rPr>
          <w:rtl/>
        </w:rPr>
        <w:t xml:space="preserve"> </w:t>
      </w:r>
      <w:r w:rsidRPr="00DF4672">
        <w:rPr>
          <w:rFonts w:hint="eastAsia"/>
          <w:rtl/>
        </w:rPr>
        <w:t>בהכשר</w:t>
      </w:r>
      <w:r w:rsidRPr="00DF4672">
        <w:rPr>
          <w:rtl/>
        </w:rPr>
        <w:t xml:space="preserve">, </w:t>
      </w:r>
      <w:r w:rsidRPr="00DF4672">
        <w:rPr>
          <w:rFonts w:hint="eastAsia"/>
          <w:rtl/>
        </w:rPr>
        <w:t>בגודל</w:t>
      </w:r>
      <w:r w:rsidRPr="00DF4672">
        <w:rPr>
          <w:rtl/>
        </w:rPr>
        <w:t xml:space="preserve"> </w:t>
      </w:r>
      <w:r w:rsidRPr="00DF4672">
        <w:rPr>
          <w:rFonts w:hint="eastAsia"/>
          <w:rtl/>
        </w:rPr>
        <w:t>האריזה</w:t>
      </w:r>
      <w:r w:rsidRPr="00DF4672">
        <w:rPr>
          <w:rtl/>
        </w:rPr>
        <w:t xml:space="preserve"> </w:t>
      </w:r>
      <w:r w:rsidRPr="00DF4672">
        <w:rPr>
          <w:rFonts w:hint="eastAsia"/>
          <w:rtl/>
        </w:rPr>
        <w:t>ו</w:t>
      </w:r>
      <w:r w:rsidR="00F0727D">
        <w:rPr>
          <w:rFonts w:hint="cs"/>
          <w:rtl/>
        </w:rPr>
        <w:t>ב</w:t>
      </w:r>
      <w:r w:rsidRPr="00DF4672">
        <w:rPr>
          <w:rFonts w:hint="eastAsia"/>
          <w:rtl/>
        </w:rPr>
        <w:t>נפח</w:t>
      </w:r>
      <w:r w:rsidRPr="00DF4672">
        <w:rPr>
          <w:rtl/>
        </w:rPr>
        <w:t xml:space="preserve"> הבקבוק. </w:t>
      </w:r>
      <w:r w:rsidR="00F0727D">
        <w:rPr>
          <w:rFonts w:hint="cs"/>
          <w:rtl/>
        </w:rPr>
        <w:t>תירוש</w:t>
      </w:r>
      <w:r w:rsidRPr="00DF4672">
        <w:rPr>
          <w:rtl/>
        </w:rPr>
        <w:t xml:space="preserve"> המיוצר בארץ </w:t>
      </w:r>
      <w:r w:rsidR="00F0727D">
        <w:rPr>
          <w:rFonts w:hint="cs"/>
          <w:rtl/>
        </w:rPr>
        <w:t>משווק</w:t>
      </w:r>
      <w:r w:rsidRPr="00DF4672">
        <w:rPr>
          <w:rtl/>
        </w:rPr>
        <w:t xml:space="preserve"> </w:t>
      </w:r>
      <w:r w:rsidR="00F0727D">
        <w:rPr>
          <w:rFonts w:hint="cs"/>
          <w:rtl/>
        </w:rPr>
        <w:t>ב</w:t>
      </w:r>
      <w:r w:rsidRPr="00DF4672">
        <w:rPr>
          <w:rFonts w:hint="eastAsia"/>
          <w:rtl/>
        </w:rPr>
        <w:t>בקבוקי</w:t>
      </w:r>
      <w:r w:rsidRPr="00DF4672">
        <w:rPr>
          <w:rtl/>
        </w:rPr>
        <w:t xml:space="preserve"> </w:t>
      </w:r>
      <w:r w:rsidRPr="00DF4672">
        <w:rPr>
          <w:rFonts w:hint="eastAsia"/>
          <w:rtl/>
        </w:rPr>
        <w:t>זכוכית</w:t>
      </w:r>
      <w:r w:rsidR="00F0727D">
        <w:rPr>
          <w:rFonts w:hint="cs"/>
          <w:rtl/>
        </w:rPr>
        <w:t>, לעומת</w:t>
      </w:r>
      <w:r w:rsidRPr="00DF4672">
        <w:rPr>
          <w:rtl/>
        </w:rPr>
        <w:t xml:space="preserve"> </w:t>
      </w:r>
      <w:r w:rsidRPr="00DF4672">
        <w:rPr>
          <w:rFonts w:hint="eastAsia"/>
          <w:rtl/>
        </w:rPr>
        <w:t>חלק</w:t>
      </w:r>
      <w:r w:rsidRPr="00DF4672">
        <w:rPr>
          <w:rtl/>
        </w:rPr>
        <w:t xml:space="preserve"> </w:t>
      </w:r>
      <w:r w:rsidRPr="00DF4672">
        <w:rPr>
          <w:rFonts w:hint="eastAsia"/>
          <w:rtl/>
        </w:rPr>
        <w:t>מה</w:t>
      </w:r>
      <w:r w:rsidR="00F0727D">
        <w:rPr>
          <w:rFonts w:hint="cs"/>
          <w:rtl/>
        </w:rPr>
        <w:t>תירוש</w:t>
      </w:r>
      <w:r w:rsidRPr="00DF4672">
        <w:rPr>
          <w:rtl/>
        </w:rPr>
        <w:t xml:space="preserve"> המיובא </w:t>
      </w:r>
      <w:r w:rsidR="00FC48A3">
        <w:rPr>
          <w:rFonts w:hint="cs"/>
          <w:rtl/>
        </w:rPr>
        <w:t xml:space="preserve">שמשווק </w:t>
      </w:r>
      <w:r w:rsidR="00F0727D">
        <w:rPr>
          <w:rFonts w:hint="cs"/>
          <w:rtl/>
        </w:rPr>
        <w:t>בבקבוקי</w:t>
      </w:r>
      <w:r w:rsidRPr="00DF4672">
        <w:rPr>
          <w:rtl/>
        </w:rPr>
        <w:t xml:space="preserve"> </w:t>
      </w:r>
      <w:r w:rsidR="00F0727D">
        <w:rPr>
          <w:rFonts w:hint="cs"/>
          <w:rtl/>
        </w:rPr>
        <w:t>פלסטיק</w:t>
      </w:r>
      <w:r w:rsidRPr="00DF4672">
        <w:rPr>
          <w:rtl/>
        </w:rPr>
        <w:t>.</w:t>
      </w:r>
      <w:r w:rsidR="00D26A3D">
        <w:rPr>
          <w:rFonts w:hint="cs"/>
          <w:rtl/>
        </w:rPr>
        <w:t xml:space="preserve"> </w:t>
      </w:r>
      <w:r w:rsidR="009F1C45">
        <w:rPr>
          <w:rFonts w:hint="cs"/>
          <w:rtl/>
        </w:rPr>
        <w:t>תירוש</w:t>
      </w:r>
      <w:r w:rsidR="009F1C45" w:rsidRPr="009F1C45">
        <w:rPr>
          <w:rFonts w:hint="cs"/>
          <w:rtl/>
        </w:rPr>
        <w:t xml:space="preserve"> </w:t>
      </w:r>
      <w:r w:rsidR="009F1C45" w:rsidRPr="005F1F42">
        <w:rPr>
          <w:rFonts w:hint="cs"/>
          <w:rtl/>
        </w:rPr>
        <w:t xml:space="preserve">נמכר בישראל בשני </w:t>
      </w:r>
      <w:r w:rsidR="00881782">
        <w:rPr>
          <w:rFonts w:hint="cs"/>
          <w:rtl/>
        </w:rPr>
        <w:t>ערוצי הפצה עיקריים</w:t>
      </w:r>
      <w:r w:rsidR="00015ABB">
        <w:rPr>
          <w:rFonts w:hint="cs"/>
          <w:rtl/>
        </w:rPr>
        <w:t>: כללי וחרדי, בכשרות רגילה ובכשרות בד"צ.</w:t>
      </w:r>
      <w:r w:rsidR="007172A7">
        <w:rPr>
          <w:rFonts w:hint="cs"/>
          <w:rtl/>
        </w:rPr>
        <w:t xml:space="preserve"> </w:t>
      </w:r>
    </w:p>
    <w:p w:rsidR="00D26A3D" w:rsidRDefault="0088185B" w:rsidP="00FC48A3">
      <w:pPr>
        <w:pStyle w:val="BodyText"/>
        <w:rPr>
          <w:rFonts w:asciiTheme="minorHAnsi" w:hAnsiTheme="minorHAnsi"/>
          <w:rtl/>
        </w:rPr>
      </w:pPr>
      <w:r w:rsidRPr="005F1F42">
        <w:rPr>
          <w:rFonts w:hint="cs"/>
          <w:rtl/>
        </w:rPr>
        <w:t xml:space="preserve">בנקודת המוצא </w:t>
      </w:r>
      <w:r w:rsidR="00FC48A3">
        <w:rPr>
          <w:rFonts w:hint="cs"/>
          <w:rtl/>
        </w:rPr>
        <w:t>עסקינן בהסדר אופקי, אשר</w:t>
      </w:r>
      <w:r w:rsidR="00FC48A3" w:rsidRPr="005F1F42">
        <w:rPr>
          <w:rFonts w:hint="cs"/>
          <w:rtl/>
        </w:rPr>
        <w:t xml:space="preserve"> </w:t>
      </w:r>
      <w:r>
        <w:rPr>
          <w:rFonts w:hint="cs"/>
          <w:rtl/>
        </w:rPr>
        <w:t xml:space="preserve">עשוי </w:t>
      </w:r>
      <w:r w:rsidRPr="005F1F42">
        <w:rPr>
          <w:rFonts w:hint="cs"/>
          <w:rtl/>
        </w:rPr>
        <w:t>לעורר חשש לפגיעה בתחרות</w:t>
      </w:r>
      <w:r>
        <w:rPr>
          <w:rFonts w:hint="cs"/>
          <w:rtl/>
        </w:rPr>
        <w:t>, שכן</w:t>
      </w:r>
      <w:r w:rsidRPr="005F1F42">
        <w:rPr>
          <w:rFonts w:hint="cs"/>
          <w:rtl/>
        </w:rPr>
        <w:t xml:space="preserve"> ש</w:t>
      </w:r>
      <w:r>
        <w:rPr>
          <w:rFonts w:hint="cs"/>
          <w:rtl/>
        </w:rPr>
        <w:t>נ</w:t>
      </w:r>
      <w:r w:rsidRPr="005F1F42">
        <w:rPr>
          <w:rFonts w:hint="cs"/>
          <w:rtl/>
        </w:rPr>
        <w:t xml:space="preserve">י </w:t>
      </w:r>
      <w:r>
        <w:rPr>
          <w:rFonts w:hint="cs"/>
          <w:rtl/>
        </w:rPr>
        <w:t>הצדדים עוסקים</w:t>
      </w:r>
      <w:r w:rsidRPr="005F1F42">
        <w:rPr>
          <w:rFonts w:hint="cs"/>
          <w:rtl/>
        </w:rPr>
        <w:t xml:space="preserve"> בשיווק יין תירוש. </w:t>
      </w:r>
      <w:r w:rsidR="00D26A3D">
        <w:rPr>
          <w:rFonts w:hint="cs"/>
          <w:rtl/>
        </w:rPr>
        <w:t>עם זאת,</w:t>
      </w:r>
      <w:r w:rsidR="00D26A3D" w:rsidRPr="005F1F42">
        <w:rPr>
          <w:rFonts w:hint="cs"/>
          <w:rtl/>
        </w:rPr>
        <w:t xml:space="preserve"> </w:t>
      </w:r>
      <w:r w:rsidRPr="005F1F42">
        <w:rPr>
          <w:rFonts w:hint="cs"/>
          <w:rtl/>
        </w:rPr>
        <w:t xml:space="preserve">חשש זה מופג נוכח </w:t>
      </w:r>
      <w:r>
        <w:rPr>
          <w:rFonts w:hint="cs"/>
          <w:rtl/>
        </w:rPr>
        <w:t xml:space="preserve">קיומם </w:t>
      </w:r>
      <w:r w:rsidR="00D26A3D">
        <w:rPr>
          <w:rFonts w:hint="cs"/>
          <w:rtl/>
        </w:rPr>
        <w:t xml:space="preserve">של מספר רב של מתחרים גדולים ומשמעותיים בשיווק יין תירוש בערוצי השיווק האמורים, דוגמת </w:t>
      </w:r>
      <w:r w:rsidR="00D26A3D">
        <w:rPr>
          <w:rtl/>
        </w:rPr>
        <w:t>יקבי כרמל</w:t>
      </w:r>
      <w:r w:rsidR="00D26A3D">
        <w:rPr>
          <w:rFonts w:hint="cs"/>
          <w:rtl/>
        </w:rPr>
        <w:t>;</w:t>
      </w:r>
      <w:r w:rsidR="00D26A3D" w:rsidRPr="00DF4672">
        <w:rPr>
          <w:rtl/>
        </w:rPr>
        <w:t xml:space="preserve"> יקבי </w:t>
      </w:r>
      <w:proofErr w:type="spellStart"/>
      <w:r w:rsidR="00D26A3D" w:rsidRPr="00DF4672">
        <w:rPr>
          <w:rFonts w:hint="eastAsia"/>
          <w:rtl/>
        </w:rPr>
        <w:t>טפרברג</w:t>
      </w:r>
      <w:proofErr w:type="spellEnd"/>
      <w:r w:rsidR="00D26A3D" w:rsidRPr="00DF4672">
        <w:rPr>
          <w:rtl/>
        </w:rPr>
        <w:t xml:space="preserve">; </w:t>
      </w:r>
      <w:r w:rsidR="00D26A3D" w:rsidRPr="00DF4672">
        <w:rPr>
          <w:rFonts w:hint="eastAsia"/>
          <w:rtl/>
        </w:rPr>
        <w:t>יקבי</w:t>
      </w:r>
      <w:r w:rsidR="00D26A3D" w:rsidRPr="00DF4672">
        <w:rPr>
          <w:rtl/>
        </w:rPr>
        <w:t xml:space="preserve"> </w:t>
      </w:r>
      <w:r w:rsidR="00D26A3D" w:rsidRPr="00DF4672">
        <w:rPr>
          <w:rFonts w:hint="eastAsia"/>
          <w:rtl/>
        </w:rPr>
        <w:t>ארזה</w:t>
      </w:r>
      <w:r w:rsidR="00D26A3D">
        <w:rPr>
          <w:rFonts w:hint="cs"/>
          <w:rtl/>
        </w:rPr>
        <w:t>;</w:t>
      </w:r>
      <w:r w:rsidR="00D26A3D" w:rsidRPr="00DF4672">
        <w:rPr>
          <w:rtl/>
        </w:rPr>
        <w:t xml:space="preserve"> </w:t>
      </w:r>
      <w:r w:rsidR="00D26A3D" w:rsidRPr="00DF4672">
        <w:rPr>
          <w:rFonts w:hint="eastAsia"/>
          <w:rtl/>
        </w:rPr>
        <w:t>יקב</w:t>
      </w:r>
      <w:r w:rsidR="00D26A3D">
        <w:rPr>
          <w:rFonts w:hint="cs"/>
          <w:rtl/>
        </w:rPr>
        <w:t>י</w:t>
      </w:r>
      <w:r w:rsidR="00D26A3D" w:rsidRPr="00DF4672">
        <w:rPr>
          <w:rtl/>
        </w:rPr>
        <w:t xml:space="preserve"> </w:t>
      </w:r>
      <w:r w:rsidR="00D26A3D" w:rsidRPr="00DF4672">
        <w:rPr>
          <w:rFonts w:hint="eastAsia"/>
          <w:rtl/>
        </w:rPr>
        <w:t>אפרת</w:t>
      </w:r>
      <w:r w:rsidR="00D26A3D">
        <w:rPr>
          <w:rFonts w:hint="cs"/>
          <w:rtl/>
        </w:rPr>
        <w:t xml:space="preserve"> ו</w:t>
      </w:r>
      <w:r w:rsidR="00D26A3D" w:rsidRPr="00DF4672">
        <w:rPr>
          <w:rFonts w:hint="eastAsia"/>
          <w:rtl/>
        </w:rPr>
        <w:t>יקבי</w:t>
      </w:r>
      <w:r w:rsidR="00D26A3D" w:rsidRPr="00DF4672">
        <w:rPr>
          <w:rtl/>
        </w:rPr>
        <w:t xml:space="preserve"> </w:t>
      </w:r>
      <w:r w:rsidR="00D26A3D" w:rsidRPr="00DF4672">
        <w:rPr>
          <w:rFonts w:hint="eastAsia"/>
          <w:rtl/>
        </w:rPr>
        <w:t>ציון</w:t>
      </w:r>
      <w:r w:rsidR="00D26A3D">
        <w:rPr>
          <w:rFonts w:hint="cs"/>
          <w:rtl/>
        </w:rPr>
        <w:t xml:space="preserve">. בנוסף, </w:t>
      </w:r>
      <w:r w:rsidR="00D26A3D">
        <w:rPr>
          <w:rFonts w:asciiTheme="minorHAnsi" w:hAnsiTheme="minorHAnsi" w:hint="cs"/>
          <w:rtl/>
        </w:rPr>
        <w:t xml:space="preserve">מבדיקת הרשות עלה כי עיקר פעילותה של סגל היא בערוץ השיווק הכללי , בו חלקה של קדם זניח, בעוד עיקר פעילותה של קדם הוא בערוץ השיווק החרדי, בו חלקה של טמפו זניח. </w:t>
      </w:r>
    </w:p>
    <w:p w:rsidR="00A74DF1" w:rsidRDefault="00A74DF1" w:rsidP="00D26A3D">
      <w:pPr>
        <w:pStyle w:val="BodyText"/>
        <w:rPr>
          <w:rtl/>
        </w:rPr>
      </w:pPr>
    </w:p>
    <w:p w:rsidR="00A74DF1" w:rsidRDefault="00985003" w:rsidP="00985003">
      <w:pPr>
        <w:pStyle w:val="BodyText"/>
        <w:rPr>
          <w:rtl/>
        </w:rPr>
      </w:pPr>
      <w:r>
        <w:rPr>
          <w:rFonts w:hint="cs"/>
          <w:rtl/>
        </w:rPr>
        <w:t xml:space="preserve">בנוסף, </w:t>
      </w:r>
      <w:r w:rsidR="00B85720">
        <w:rPr>
          <w:rFonts w:hint="cs"/>
          <w:rtl/>
        </w:rPr>
        <w:t>הרחבת סל המוצרים שאותם מפיצה טמפו עשוי</w:t>
      </w:r>
      <w:r>
        <w:rPr>
          <w:rFonts w:hint="cs"/>
          <w:rtl/>
        </w:rPr>
        <w:t>ה</w:t>
      </w:r>
      <w:r w:rsidR="00B85720">
        <w:rPr>
          <w:rFonts w:hint="cs"/>
          <w:rtl/>
        </w:rPr>
        <w:t xml:space="preserve"> </w:t>
      </w:r>
      <w:r>
        <w:rPr>
          <w:rFonts w:hint="cs"/>
          <w:rtl/>
        </w:rPr>
        <w:t xml:space="preserve">להביא ליצירת </w:t>
      </w:r>
      <w:r w:rsidR="00B85720">
        <w:rPr>
          <w:rFonts w:hint="cs"/>
          <w:rtl/>
        </w:rPr>
        <w:t xml:space="preserve">חששות </w:t>
      </w:r>
      <w:proofErr w:type="spellStart"/>
      <w:r w:rsidR="00B85720">
        <w:rPr>
          <w:rFonts w:hint="cs"/>
          <w:rtl/>
        </w:rPr>
        <w:t>קונגלומרטיים</w:t>
      </w:r>
      <w:proofErr w:type="spellEnd"/>
      <w:r w:rsidR="00B85720">
        <w:rPr>
          <w:rFonts w:hint="cs"/>
          <w:rtl/>
        </w:rPr>
        <w:t xml:space="preserve"> (</w:t>
      </w:r>
      <w:r>
        <w:rPr>
          <w:rFonts w:asciiTheme="minorHAnsi" w:hAnsiTheme="minorHAnsi"/>
        </w:rPr>
        <w:t>"</w:t>
      </w:r>
      <w:r w:rsidRPr="00985003">
        <w:rPr>
          <w:rFonts w:asciiTheme="majorBidi" w:hAnsiTheme="majorBidi" w:cstheme="majorBidi"/>
        </w:rPr>
        <w:t xml:space="preserve">Portfolio </w:t>
      </w:r>
      <w:r w:rsidR="00B85720" w:rsidRPr="00985003">
        <w:rPr>
          <w:rFonts w:asciiTheme="majorBidi" w:hAnsiTheme="majorBidi" w:cstheme="majorBidi"/>
        </w:rPr>
        <w:t>effect</w:t>
      </w:r>
      <w:r>
        <w:rPr>
          <w:rFonts w:asciiTheme="minorHAnsi" w:hAnsiTheme="minorHAnsi"/>
        </w:rPr>
        <w:t>"</w:t>
      </w:r>
      <w:r w:rsidR="00B85720">
        <w:rPr>
          <w:rFonts w:asciiTheme="minorHAnsi" w:hAnsiTheme="minorHAnsi" w:hint="cs"/>
          <w:rtl/>
        </w:rPr>
        <w:t>). חששות אלה נוגעים בעיקר להגדלת כ</w:t>
      </w:r>
      <w:r w:rsidR="00AA1E61">
        <w:rPr>
          <w:rFonts w:asciiTheme="minorHAnsi" w:hAnsiTheme="minorHAnsi" w:hint="cs"/>
          <w:rtl/>
        </w:rPr>
        <w:t>ו</w:t>
      </w:r>
      <w:r w:rsidR="00B85720">
        <w:rPr>
          <w:rFonts w:asciiTheme="minorHAnsi" w:hAnsiTheme="minorHAnsi" w:hint="cs"/>
          <w:rtl/>
        </w:rPr>
        <w:t xml:space="preserve">ח המיקוח של טמפו מול קמעונאים בשל הרחבת סל המוצרים שטמפו מציעה לקמעונאים </w:t>
      </w:r>
      <w:r w:rsidR="00265333">
        <w:rPr>
          <w:rFonts w:asciiTheme="minorHAnsi" w:hAnsiTheme="minorHAnsi" w:hint="cs"/>
          <w:rtl/>
        </w:rPr>
        <w:t xml:space="preserve">ולחששות מפני קשירה בין מוצרים שונים בסל. אלא שבמקרה דנן נחה דעתי כי גם החששות </w:t>
      </w:r>
      <w:proofErr w:type="spellStart"/>
      <w:r w:rsidR="00265333">
        <w:rPr>
          <w:rFonts w:asciiTheme="minorHAnsi" w:hAnsiTheme="minorHAnsi" w:hint="cs"/>
          <w:rtl/>
        </w:rPr>
        <w:t>הקונגלומרטיים</w:t>
      </w:r>
      <w:proofErr w:type="spellEnd"/>
      <w:r w:rsidR="00265333">
        <w:rPr>
          <w:rFonts w:asciiTheme="minorHAnsi" w:hAnsiTheme="minorHAnsi" w:hint="cs"/>
          <w:rtl/>
        </w:rPr>
        <w:t xml:space="preserve"> </w:t>
      </w:r>
      <w:proofErr w:type="spellStart"/>
      <w:r w:rsidR="00265333">
        <w:rPr>
          <w:rFonts w:asciiTheme="minorHAnsi" w:hAnsiTheme="minorHAnsi" w:hint="cs"/>
          <w:rtl/>
        </w:rPr>
        <w:t>מופסים</w:t>
      </w:r>
      <w:proofErr w:type="spellEnd"/>
      <w:r w:rsidR="00265333">
        <w:rPr>
          <w:rFonts w:asciiTheme="minorHAnsi" w:hAnsiTheme="minorHAnsi" w:hint="cs"/>
          <w:rtl/>
        </w:rPr>
        <w:t xml:space="preserve">. ראשית, עוד טרם העסקה מושא החלטה זאת יש בידי טמפו סל רחב של מוצרים, ולמרות רוחבו של הסל, לא נראה כי נתח השוק שלה בתחומי התירוש הפכו משמעותיים. </w:t>
      </w:r>
      <w:r w:rsidR="00AF177A">
        <w:rPr>
          <w:rFonts w:asciiTheme="minorHAnsi" w:hAnsiTheme="minorHAnsi" w:hint="cs"/>
          <w:rtl/>
        </w:rPr>
        <w:t xml:space="preserve">שנית, קמעונאים עימם שוחחה הרשות לא ציינו כי קיים חשש מסוג זה. </w:t>
      </w:r>
    </w:p>
    <w:p w:rsidR="00D26A3D" w:rsidRDefault="00D26A3D" w:rsidP="00D26A3D">
      <w:pPr>
        <w:pStyle w:val="BodyText"/>
        <w:rPr>
          <w:rtl/>
        </w:rPr>
      </w:pPr>
      <w:r>
        <w:rPr>
          <w:rFonts w:hint="cs"/>
          <w:rtl/>
        </w:rPr>
        <w:t>לאור האמור לעיל, שוכנעתי כי הסדר ההפצה אינו מגביל את התחרות בחלק ניכר של שוק המושפע ממנו.</w:t>
      </w:r>
    </w:p>
    <w:p w:rsidR="00D26A3D" w:rsidRDefault="00D26A3D" w:rsidP="00D26A3D">
      <w:pPr>
        <w:pStyle w:val="BodyText"/>
        <w:rPr>
          <w:rtl/>
        </w:rPr>
      </w:pPr>
    </w:p>
    <w:p w:rsidR="00470CF4" w:rsidRPr="00493B27" w:rsidRDefault="00470CF4" w:rsidP="00470CF4">
      <w:pPr>
        <w:pStyle w:val="41"/>
        <w:numPr>
          <w:ilvl w:val="0"/>
          <w:numId w:val="3"/>
        </w:numPr>
        <w:bidi/>
        <w:rPr>
          <w:rtl/>
        </w:rPr>
      </w:pPr>
      <w:r w:rsidRPr="00493B27">
        <w:rPr>
          <w:rFonts w:hint="cs"/>
          <w:rtl/>
        </w:rPr>
        <w:t>סוף דבר</w:t>
      </w:r>
    </w:p>
    <w:p w:rsidR="00470CF4" w:rsidRDefault="00470CF4" w:rsidP="001A0753">
      <w:pPr>
        <w:spacing w:before="120" w:after="0"/>
        <w:rPr>
          <w:rtl/>
        </w:rPr>
      </w:pPr>
      <w:r w:rsidRPr="00493B27">
        <w:rPr>
          <w:rFonts w:hint="cs"/>
          <w:rtl/>
        </w:rPr>
        <w:t xml:space="preserve">לאחר שנועצתי </w:t>
      </w:r>
      <w:r w:rsidR="001A0753">
        <w:rPr>
          <w:rFonts w:hint="cs"/>
          <w:rtl/>
        </w:rPr>
        <w:t>ב</w:t>
      </w:r>
      <w:r w:rsidRPr="00493B27">
        <w:rPr>
          <w:rFonts w:hint="cs"/>
          <w:rtl/>
        </w:rPr>
        <w:t>וועדה לפטורים ולמיזוגים, ראיתי לנכון להשתמש בסמכות הנתונה לי בסעיף 14 לחוק ולהעניק את הפטור המבוקש</w:t>
      </w:r>
      <w:r w:rsidR="0054797F">
        <w:rPr>
          <w:rFonts w:hint="cs"/>
          <w:rtl/>
        </w:rPr>
        <w:t xml:space="preserve"> למשך שש שנים</w:t>
      </w:r>
      <w:r w:rsidRPr="00493B27">
        <w:rPr>
          <w:rFonts w:hint="cs"/>
          <w:rtl/>
        </w:rPr>
        <w:t>.</w:t>
      </w:r>
    </w:p>
    <w:p w:rsidR="00470CF4" w:rsidRDefault="00470CF4" w:rsidP="0054797F">
      <w:pPr>
        <w:spacing w:before="120" w:after="0"/>
        <w:rPr>
          <w:rtl/>
        </w:rPr>
      </w:pPr>
      <w:r w:rsidRPr="00493B27">
        <w:rPr>
          <w:rFonts w:hint="cs"/>
          <w:rtl/>
        </w:rPr>
        <w:t>בהתאם לסעיף 15(א) לחוק נתונה החלטתי זו לערר בפני בית הדין ל</w:t>
      </w:r>
      <w:r w:rsidR="0054797F">
        <w:rPr>
          <w:rFonts w:hint="cs"/>
          <w:rtl/>
        </w:rPr>
        <w:t xml:space="preserve">תחרות </w:t>
      </w:r>
      <w:r w:rsidRPr="00493B27">
        <w:rPr>
          <w:rFonts w:hint="cs"/>
          <w:rtl/>
        </w:rPr>
        <w:t>על ידי איגוד עסקי, ארגון צרכנים או כל אדם העלול להיפגע מההסדר הכובל עליו ניתן הפטור.</w:t>
      </w:r>
    </w:p>
    <w:p w:rsidR="0054797F" w:rsidRDefault="0054797F" w:rsidP="00470CF4">
      <w:pPr>
        <w:spacing w:before="120" w:after="0"/>
        <w:rPr>
          <w:rtl/>
        </w:rPr>
      </w:pPr>
    </w:p>
    <w:p w:rsidR="008D4ED7" w:rsidRPr="00493B27" w:rsidRDefault="008D4ED7" w:rsidP="00470CF4">
      <w:pPr>
        <w:spacing w:before="120" w:after="0"/>
        <w:rPr>
          <w:rtl/>
        </w:rPr>
      </w:pPr>
    </w:p>
    <w:p w:rsidR="00470CF4" w:rsidRPr="00195F02" w:rsidRDefault="00470CF4" w:rsidP="00470CF4">
      <w:pPr>
        <w:ind w:left="5902"/>
        <w:jc w:val="center"/>
        <w:rPr>
          <w:rtl/>
        </w:rPr>
      </w:pPr>
      <w:r w:rsidRPr="00195F02">
        <w:rPr>
          <w:rFonts w:hint="cs"/>
          <w:rtl/>
        </w:rPr>
        <w:t>מיכל הלפרין</w:t>
      </w:r>
    </w:p>
    <w:p w:rsidR="00470CF4" w:rsidRPr="00195F02" w:rsidRDefault="00470CF4" w:rsidP="00470CF4">
      <w:pPr>
        <w:ind w:left="5902"/>
        <w:jc w:val="center"/>
        <w:rPr>
          <w:rtl/>
        </w:rPr>
      </w:pPr>
      <w:r w:rsidRPr="00195F02">
        <w:rPr>
          <w:rFonts w:hint="cs"/>
          <w:rtl/>
        </w:rPr>
        <w:t xml:space="preserve">הממונה על התחרות </w:t>
      </w:r>
    </w:p>
    <w:p w:rsidR="00470CF4" w:rsidRDefault="008D4ED7" w:rsidP="00470CF4">
      <w:pPr>
        <w:rPr>
          <w:rtl/>
        </w:rPr>
      </w:pPr>
      <w:r>
        <w:rPr>
          <w:rFonts w:hint="eastAsia"/>
          <w:rtl/>
        </w:rPr>
        <w:t>‏</w:t>
      </w:r>
      <w:r>
        <w:rPr>
          <w:rFonts w:hint="cs"/>
          <w:rtl/>
        </w:rPr>
        <w:t xml:space="preserve">ירושלים, </w:t>
      </w:r>
      <w:r>
        <w:rPr>
          <w:rFonts w:hint="eastAsia"/>
          <w:rtl/>
        </w:rPr>
        <w:t>י</w:t>
      </w:r>
      <w:r>
        <w:rPr>
          <w:rtl/>
        </w:rPr>
        <w:t>"ד תמוז, תשע"ט</w:t>
      </w:r>
    </w:p>
    <w:p w:rsidR="008D4ED7" w:rsidRDefault="008D4ED7" w:rsidP="00470CF4">
      <w:pPr>
        <w:rPr>
          <w:rtl/>
        </w:rPr>
      </w:pPr>
      <w:r>
        <w:rPr>
          <w:rFonts w:hint="eastAsia"/>
          <w:rtl/>
        </w:rPr>
        <w:t>‏</w:t>
      </w:r>
      <w:r>
        <w:rPr>
          <w:rtl/>
        </w:rPr>
        <w:t>17 יולי, 2019</w:t>
      </w:r>
    </w:p>
    <w:p w:rsidR="00470CF4" w:rsidRDefault="00470CF4" w:rsidP="00470CF4">
      <w:pPr>
        <w:rPr>
          <w:rtl/>
        </w:rPr>
      </w:pPr>
    </w:p>
    <w:p w:rsidR="00470CF4" w:rsidRPr="002A044A" w:rsidRDefault="00470CF4" w:rsidP="00470CF4">
      <w:pPr>
        <w:rPr>
          <w:rFonts w:asciiTheme="minorHAnsi" w:hAnsiTheme="minorHAnsi"/>
        </w:rPr>
      </w:pPr>
    </w:p>
    <w:p w:rsidR="00470CF4" w:rsidRDefault="00470CF4" w:rsidP="00470CF4"/>
    <w:p w:rsidR="00FB3916" w:rsidRDefault="00DF7FDD">
      <w:r>
        <w:rPr>
          <w:rtl/>
        </w:rPr>
        <w:softHyphen/>
      </w:r>
    </w:p>
    <w:sectPr w:rsidR="00FB3916" w:rsidSect="00427E2B">
      <w:headerReference w:type="default" r:id="rId8"/>
      <w:foot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22EE" w:rsidRDefault="006D22EE" w:rsidP="00D828DB">
      <w:pPr>
        <w:spacing w:after="0" w:line="240" w:lineRule="auto"/>
      </w:pPr>
      <w:r>
        <w:separator/>
      </w:r>
    </w:p>
  </w:endnote>
  <w:endnote w:type="continuationSeparator" w:id="0">
    <w:p w:rsidR="006D22EE" w:rsidRDefault="006D22EE" w:rsidP="00D828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B1"/>
    <w:family w:val="swiss"/>
    <w:pitch w:val="variable"/>
    <w:sig w:usb0="00000801" w:usb1="0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9C2" w:rsidRDefault="007E69C2" w:rsidP="00091066">
    <w:pPr>
      <w:pStyle w:val="Footer"/>
      <w:rPr>
        <w:rtl/>
      </w:rPr>
    </w:pPr>
    <w:r>
      <w:rPr>
        <w:noProof/>
        <w:rtl/>
      </w:rPr>
      <w:drawing>
        <wp:anchor distT="0" distB="0" distL="114300" distR="114300" simplePos="0" relativeHeight="251669504" behindDoc="1" locked="0" layoutInCell="1" allowOverlap="1" wp14:anchorId="35BEC74E" wp14:editId="72F0C643">
          <wp:simplePos x="0" y="0"/>
          <wp:positionH relativeFrom="page">
            <wp:posOffset>-47625</wp:posOffset>
          </wp:positionH>
          <wp:positionV relativeFrom="paragraph">
            <wp:posOffset>-670560</wp:posOffset>
          </wp:positionV>
          <wp:extent cx="7583471" cy="1270000"/>
          <wp:effectExtent l="0" t="0" r="0" b="6350"/>
          <wp:wrapNone/>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מעודכן.png"/>
                  <pic:cNvPicPr/>
                </pic:nvPicPr>
                <pic:blipFill>
                  <a:blip r:embed="rId1">
                    <a:extLst>
                      <a:ext uri="{28A0092B-C50C-407E-A947-70E740481C1C}">
                        <a14:useLocalDpi xmlns:a14="http://schemas.microsoft.com/office/drawing/2010/main" val="0"/>
                      </a:ext>
                    </a:extLst>
                  </a:blip>
                  <a:stretch>
                    <a:fillRect/>
                  </a:stretch>
                </pic:blipFill>
                <pic:spPr>
                  <a:xfrm>
                    <a:off x="0" y="0"/>
                    <a:ext cx="7583471" cy="12700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22EE" w:rsidRDefault="006D22EE" w:rsidP="00D828DB">
      <w:pPr>
        <w:spacing w:after="0" w:line="240" w:lineRule="auto"/>
      </w:pPr>
      <w:r>
        <w:separator/>
      </w:r>
    </w:p>
  </w:footnote>
  <w:footnote w:type="continuationSeparator" w:id="0">
    <w:p w:rsidR="006D22EE" w:rsidRDefault="006D22EE" w:rsidP="00D828DB">
      <w:pPr>
        <w:spacing w:after="0" w:line="240" w:lineRule="auto"/>
      </w:pPr>
      <w:r>
        <w:continuationSeparator/>
      </w:r>
    </w:p>
  </w:footnote>
  <w:footnote w:id="1">
    <w:p w:rsidR="007E69C2" w:rsidRDefault="007E69C2" w:rsidP="00470CF4">
      <w:pPr>
        <w:pStyle w:val="FootnoteText"/>
      </w:pPr>
      <w:r>
        <w:rPr>
          <w:rStyle w:val="FootnoteReference"/>
        </w:rPr>
        <w:footnoteRef/>
      </w:r>
      <w:r>
        <w:rPr>
          <w:rtl/>
        </w:rPr>
        <w:t xml:space="preserve"> </w:t>
      </w:r>
      <w:r>
        <w:rPr>
          <w:rFonts w:hint="cs"/>
          <w:rtl/>
        </w:rPr>
        <w:t>טמפו תעשיות בירה היא חברה פרטית בבעלות ובשליטת בני משפחת בר (60%) ובני משפחת בורנשטיין (40%)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9C2" w:rsidRDefault="007E69C2" w:rsidP="00BC4D11">
    <w:pPr>
      <w:pStyle w:val="Header"/>
      <w:rPr>
        <w:rtl/>
      </w:rPr>
    </w:pPr>
    <w:r>
      <w:rPr>
        <w:noProof/>
        <w:rtl/>
      </w:rPr>
      <w:drawing>
        <wp:anchor distT="0" distB="0" distL="114300" distR="114300" simplePos="0" relativeHeight="251668480" behindDoc="1" locked="0" layoutInCell="1" allowOverlap="1" wp14:anchorId="03A2B5AC" wp14:editId="142049E0">
          <wp:simplePos x="0" y="0"/>
          <wp:positionH relativeFrom="page">
            <wp:posOffset>657224</wp:posOffset>
          </wp:positionH>
          <wp:positionV relativeFrom="paragraph">
            <wp:posOffset>-449579</wp:posOffset>
          </wp:positionV>
          <wp:extent cx="6904379" cy="1396504"/>
          <wp:effectExtent l="0" t="0" r="0" b="0"/>
          <wp:wrapNone/>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מעודכן_1.png"/>
                  <pic:cNvPicPr/>
                </pic:nvPicPr>
                <pic:blipFill>
                  <a:blip r:embed="rId1">
                    <a:extLst>
                      <a:ext uri="{28A0092B-C50C-407E-A947-70E740481C1C}">
                        <a14:useLocalDpi xmlns:a14="http://schemas.microsoft.com/office/drawing/2010/main" val="0"/>
                      </a:ext>
                    </a:extLst>
                  </a:blip>
                  <a:stretch>
                    <a:fillRect/>
                  </a:stretch>
                </pic:blipFill>
                <pic:spPr>
                  <a:xfrm>
                    <a:off x="0" y="0"/>
                    <a:ext cx="6952287" cy="1406194"/>
                  </a:xfrm>
                  <a:prstGeom prst="rect">
                    <a:avLst/>
                  </a:prstGeom>
                </pic:spPr>
              </pic:pic>
            </a:graphicData>
          </a:graphic>
          <wp14:sizeRelH relativeFrom="page">
            <wp14:pctWidth>0</wp14:pctWidth>
          </wp14:sizeRelH>
          <wp14:sizeRelV relativeFrom="page">
            <wp14:pctHeight>0</wp14:pctHeight>
          </wp14:sizeRelV>
        </wp:anchor>
      </w:drawing>
    </w:r>
  </w:p>
  <w:p w:rsidR="007E69C2" w:rsidRDefault="007E69C2">
    <w:pPr>
      <w:pStyle w:val="Header"/>
      <w:rPr>
        <w:rtl/>
      </w:rPr>
    </w:pPr>
  </w:p>
  <w:p w:rsidR="007E69C2" w:rsidRDefault="007E69C2">
    <w:pPr>
      <w:pStyle w:val="Header"/>
      <w:rPr>
        <w:rtl/>
      </w:rPr>
    </w:pPr>
  </w:p>
  <w:p w:rsidR="007E69C2" w:rsidRDefault="007E69C2">
    <w:pPr>
      <w:pStyle w:val="Header"/>
      <w:rPr>
        <w:rtl/>
      </w:rPr>
    </w:pPr>
  </w:p>
  <w:p w:rsidR="007E69C2" w:rsidRDefault="007E69C2">
    <w:pPr>
      <w:pStyle w:val="Header"/>
      <w:rPr>
        <w:rtl/>
      </w:rPr>
    </w:pPr>
  </w:p>
  <w:p w:rsidR="007E69C2" w:rsidRDefault="007E69C2">
    <w:pPr>
      <w:pStyle w:val="Header"/>
      <w:rPr>
        <w:rtl/>
      </w:rPr>
    </w:pPr>
  </w:p>
  <w:p w:rsidR="007E69C2" w:rsidRDefault="007E69C2">
    <w:pPr>
      <w:pStyle w:val="Header"/>
      <w:rPr>
        <w:rtl/>
      </w:rPr>
    </w:pPr>
  </w:p>
  <w:p w:rsidR="007E69C2" w:rsidRDefault="007E69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DF1EAC"/>
    <w:multiLevelType w:val="hybridMultilevel"/>
    <w:tmpl w:val="D77649B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6DE7C92"/>
    <w:multiLevelType w:val="hybridMultilevel"/>
    <w:tmpl w:val="D77649B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ED62D93"/>
    <w:multiLevelType w:val="multilevel"/>
    <w:tmpl w:val="D2606A3C"/>
    <w:lvl w:ilvl="0">
      <w:start w:val="1"/>
      <w:numFmt w:val="decimal"/>
      <w:pStyle w:val="1"/>
      <w:lvlText w:val="%1."/>
      <w:lvlJc w:val="left"/>
      <w:pPr>
        <w:ind w:left="360" w:hanging="360"/>
      </w:pPr>
      <w:rPr>
        <w:rFonts w:hint="default"/>
      </w:rPr>
    </w:lvl>
    <w:lvl w:ilvl="1">
      <w:start w:val="1"/>
      <w:numFmt w:val="decimal"/>
      <w:lvlText w:val="%1.%2."/>
      <w:lvlJc w:val="left"/>
      <w:pPr>
        <w:ind w:left="907" w:hanging="547"/>
      </w:pPr>
      <w:rPr>
        <w:rFonts w:hint="default"/>
      </w:rPr>
    </w:lvl>
    <w:lvl w:ilvl="2">
      <w:start w:val="1"/>
      <w:numFmt w:val="decimal"/>
      <w:lvlText w:val="%1.%2.%3."/>
      <w:lvlJc w:val="left"/>
      <w:pPr>
        <w:ind w:left="1588" w:hanging="681"/>
      </w:pPr>
      <w:rPr>
        <w:rFonts w:hint="default"/>
      </w:rPr>
    </w:lvl>
    <w:lvl w:ilvl="3">
      <w:start w:val="1"/>
      <w:numFmt w:val="decimal"/>
      <w:lvlText w:val="%1.%2.%3.%4."/>
      <w:lvlJc w:val="left"/>
      <w:pPr>
        <w:ind w:left="2438" w:hanging="850"/>
      </w:pPr>
      <w:rPr>
        <w:rFonts w:hint="default"/>
      </w:rPr>
    </w:lvl>
    <w:lvl w:ilvl="4">
      <w:start w:val="1"/>
      <w:numFmt w:val="decimal"/>
      <w:lvlText w:val="%1.%2.%3.%4.%5."/>
      <w:lvlJc w:val="left"/>
      <w:pPr>
        <w:ind w:left="3459" w:hanging="1021"/>
      </w:pPr>
      <w:rPr>
        <w:rFonts w:hint="default"/>
      </w:rPr>
    </w:lvl>
    <w:lvl w:ilvl="5">
      <w:start w:val="1"/>
      <w:numFmt w:val="decimal"/>
      <w:lvlText w:val="%1.%2.%3.%4.%5.%6."/>
      <w:lvlJc w:val="left"/>
      <w:pPr>
        <w:ind w:left="4649" w:hanging="1190"/>
      </w:pPr>
      <w:rPr>
        <w:rFonts w:hint="default"/>
      </w:rPr>
    </w:lvl>
    <w:lvl w:ilvl="6">
      <w:start w:val="1"/>
      <w:numFmt w:val="decimal"/>
      <w:lvlText w:val="%1.%2.%3.%4.%5.%6.%7."/>
      <w:lvlJc w:val="left"/>
      <w:pPr>
        <w:ind w:left="6010" w:hanging="1361"/>
      </w:pPr>
      <w:rPr>
        <w:rFonts w:hint="default"/>
      </w:rPr>
    </w:lvl>
    <w:lvl w:ilvl="7">
      <w:start w:val="1"/>
      <w:numFmt w:val="decimal"/>
      <w:lvlText w:val="%1.%2.%3.%4.%5.%6.%7.%8."/>
      <w:lvlJc w:val="left"/>
      <w:pPr>
        <w:ind w:left="7541" w:hanging="1531"/>
      </w:pPr>
      <w:rPr>
        <w:rFonts w:hint="default"/>
      </w:rPr>
    </w:lvl>
    <w:lvl w:ilvl="8">
      <w:start w:val="1"/>
      <w:numFmt w:val="decimal"/>
      <w:lvlText w:val="%1.%2.%3.%4.%5.%6.%7.%8.%9."/>
      <w:lvlJc w:val="left"/>
      <w:pPr>
        <w:ind w:left="9015" w:hanging="1474"/>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8DB"/>
    <w:rsid w:val="00002A74"/>
    <w:rsid w:val="00015ABB"/>
    <w:rsid w:val="000359BD"/>
    <w:rsid w:val="00062C38"/>
    <w:rsid w:val="0006580D"/>
    <w:rsid w:val="00075F2C"/>
    <w:rsid w:val="00077541"/>
    <w:rsid w:val="00084683"/>
    <w:rsid w:val="00090CC1"/>
    <w:rsid w:val="00091066"/>
    <w:rsid w:val="000A702E"/>
    <w:rsid w:val="000B1D92"/>
    <w:rsid w:val="000C19A7"/>
    <w:rsid w:val="000C6F18"/>
    <w:rsid w:val="000E45FB"/>
    <w:rsid w:val="000F3488"/>
    <w:rsid w:val="000F417A"/>
    <w:rsid w:val="001056A7"/>
    <w:rsid w:val="001272E4"/>
    <w:rsid w:val="001275F2"/>
    <w:rsid w:val="001319C1"/>
    <w:rsid w:val="00167C34"/>
    <w:rsid w:val="001A0753"/>
    <w:rsid w:val="001A42E7"/>
    <w:rsid w:val="001B53D8"/>
    <w:rsid w:val="001D71D5"/>
    <w:rsid w:val="001E7485"/>
    <w:rsid w:val="00206B66"/>
    <w:rsid w:val="00210068"/>
    <w:rsid w:val="002163D4"/>
    <w:rsid w:val="00232DB1"/>
    <w:rsid w:val="00257CDF"/>
    <w:rsid w:val="002632B9"/>
    <w:rsid w:val="00265333"/>
    <w:rsid w:val="002840AC"/>
    <w:rsid w:val="002A044A"/>
    <w:rsid w:val="002A05B9"/>
    <w:rsid w:val="002C5E69"/>
    <w:rsid w:val="002D1D88"/>
    <w:rsid w:val="002F7B63"/>
    <w:rsid w:val="00337A5F"/>
    <w:rsid w:val="003504A7"/>
    <w:rsid w:val="00353E14"/>
    <w:rsid w:val="0036105C"/>
    <w:rsid w:val="00367A1D"/>
    <w:rsid w:val="00381EA0"/>
    <w:rsid w:val="00395E04"/>
    <w:rsid w:val="003D5426"/>
    <w:rsid w:val="003F0F4F"/>
    <w:rsid w:val="003F17DC"/>
    <w:rsid w:val="003F3B65"/>
    <w:rsid w:val="00425977"/>
    <w:rsid w:val="004275B1"/>
    <w:rsid w:val="00427E2B"/>
    <w:rsid w:val="004428E8"/>
    <w:rsid w:val="00460CE6"/>
    <w:rsid w:val="00470CF4"/>
    <w:rsid w:val="00471008"/>
    <w:rsid w:val="00472358"/>
    <w:rsid w:val="00476C04"/>
    <w:rsid w:val="00482478"/>
    <w:rsid w:val="004B0676"/>
    <w:rsid w:val="00512270"/>
    <w:rsid w:val="00531CEF"/>
    <w:rsid w:val="00533B94"/>
    <w:rsid w:val="00536AAB"/>
    <w:rsid w:val="0054797F"/>
    <w:rsid w:val="005562F9"/>
    <w:rsid w:val="00573167"/>
    <w:rsid w:val="00582153"/>
    <w:rsid w:val="005900CE"/>
    <w:rsid w:val="005933F9"/>
    <w:rsid w:val="005C3C8E"/>
    <w:rsid w:val="005E003D"/>
    <w:rsid w:val="005E7E71"/>
    <w:rsid w:val="005F4296"/>
    <w:rsid w:val="00600C9E"/>
    <w:rsid w:val="00605662"/>
    <w:rsid w:val="00606057"/>
    <w:rsid w:val="00634702"/>
    <w:rsid w:val="00640D79"/>
    <w:rsid w:val="00652185"/>
    <w:rsid w:val="0069033A"/>
    <w:rsid w:val="00691876"/>
    <w:rsid w:val="006A0617"/>
    <w:rsid w:val="006D22EE"/>
    <w:rsid w:val="006E3456"/>
    <w:rsid w:val="00713DEB"/>
    <w:rsid w:val="00714AD4"/>
    <w:rsid w:val="007172A7"/>
    <w:rsid w:val="00722A1C"/>
    <w:rsid w:val="00730C3D"/>
    <w:rsid w:val="00780B98"/>
    <w:rsid w:val="00794828"/>
    <w:rsid w:val="007C6458"/>
    <w:rsid w:val="007E69C2"/>
    <w:rsid w:val="007F2E96"/>
    <w:rsid w:val="00800850"/>
    <w:rsid w:val="0082630D"/>
    <w:rsid w:val="00827A34"/>
    <w:rsid w:val="00847DA8"/>
    <w:rsid w:val="00870DB8"/>
    <w:rsid w:val="00877ED1"/>
    <w:rsid w:val="00881782"/>
    <w:rsid w:val="0088185B"/>
    <w:rsid w:val="00892D78"/>
    <w:rsid w:val="008C2DE6"/>
    <w:rsid w:val="008D4ED7"/>
    <w:rsid w:val="008D5940"/>
    <w:rsid w:val="008E07C9"/>
    <w:rsid w:val="008E1C1D"/>
    <w:rsid w:val="008E2721"/>
    <w:rsid w:val="008F1957"/>
    <w:rsid w:val="00912748"/>
    <w:rsid w:val="00920CB5"/>
    <w:rsid w:val="00933922"/>
    <w:rsid w:val="009341AC"/>
    <w:rsid w:val="00947E0F"/>
    <w:rsid w:val="00954DE4"/>
    <w:rsid w:val="00977EB8"/>
    <w:rsid w:val="00985003"/>
    <w:rsid w:val="009A0C8C"/>
    <w:rsid w:val="009A1B8E"/>
    <w:rsid w:val="009E0D59"/>
    <w:rsid w:val="009E10D3"/>
    <w:rsid w:val="009E57F4"/>
    <w:rsid w:val="009F1C45"/>
    <w:rsid w:val="00A03E75"/>
    <w:rsid w:val="00A2314C"/>
    <w:rsid w:val="00A415A8"/>
    <w:rsid w:val="00A41760"/>
    <w:rsid w:val="00A42161"/>
    <w:rsid w:val="00A42562"/>
    <w:rsid w:val="00A544E9"/>
    <w:rsid w:val="00A72E7E"/>
    <w:rsid w:val="00A74DF1"/>
    <w:rsid w:val="00A7741D"/>
    <w:rsid w:val="00A9291F"/>
    <w:rsid w:val="00AA1E61"/>
    <w:rsid w:val="00AB092E"/>
    <w:rsid w:val="00AB7109"/>
    <w:rsid w:val="00AC4009"/>
    <w:rsid w:val="00AF177A"/>
    <w:rsid w:val="00AF435C"/>
    <w:rsid w:val="00B07144"/>
    <w:rsid w:val="00B414A5"/>
    <w:rsid w:val="00B51B5C"/>
    <w:rsid w:val="00B5335C"/>
    <w:rsid w:val="00B80D05"/>
    <w:rsid w:val="00B85720"/>
    <w:rsid w:val="00B94426"/>
    <w:rsid w:val="00BC4D11"/>
    <w:rsid w:val="00BD1C8C"/>
    <w:rsid w:val="00BF1C40"/>
    <w:rsid w:val="00C143A1"/>
    <w:rsid w:val="00C41833"/>
    <w:rsid w:val="00C51E14"/>
    <w:rsid w:val="00C72733"/>
    <w:rsid w:val="00CA1F45"/>
    <w:rsid w:val="00CB7FA7"/>
    <w:rsid w:val="00CC1EDF"/>
    <w:rsid w:val="00CD62B1"/>
    <w:rsid w:val="00CF797C"/>
    <w:rsid w:val="00D00546"/>
    <w:rsid w:val="00D02834"/>
    <w:rsid w:val="00D26A3D"/>
    <w:rsid w:val="00D46718"/>
    <w:rsid w:val="00D64BC6"/>
    <w:rsid w:val="00D75338"/>
    <w:rsid w:val="00D76134"/>
    <w:rsid w:val="00D7727F"/>
    <w:rsid w:val="00D828DB"/>
    <w:rsid w:val="00D9296C"/>
    <w:rsid w:val="00D934E4"/>
    <w:rsid w:val="00DA2788"/>
    <w:rsid w:val="00DB7199"/>
    <w:rsid w:val="00DF4672"/>
    <w:rsid w:val="00DF7FDD"/>
    <w:rsid w:val="00E03116"/>
    <w:rsid w:val="00E04332"/>
    <w:rsid w:val="00E82891"/>
    <w:rsid w:val="00E87363"/>
    <w:rsid w:val="00E91942"/>
    <w:rsid w:val="00E953A3"/>
    <w:rsid w:val="00EA0B37"/>
    <w:rsid w:val="00EC4147"/>
    <w:rsid w:val="00EC4BC7"/>
    <w:rsid w:val="00EF0324"/>
    <w:rsid w:val="00EF034B"/>
    <w:rsid w:val="00F05FBB"/>
    <w:rsid w:val="00F0727D"/>
    <w:rsid w:val="00F11E48"/>
    <w:rsid w:val="00F3560F"/>
    <w:rsid w:val="00F613A2"/>
    <w:rsid w:val="00F625DB"/>
    <w:rsid w:val="00F95369"/>
    <w:rsid w:val="00FB3916"/>
    <w:rsid w:val="00FB7410"/>
    <w:rsid w:val="00FC48A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64B0E869-5D8D-481B-B80B-85DF28A85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07C9"/>
    <w:pPr>
      <w:bidi/>
      <w:spacing w:after="120" w:line="360" w:lineRule="auto"/>
      <w:jc w:val="both"/>
    </w:pPr>
    <w:rPr>
      <w:rFonts w:ascii="David" w:eastAsia="Times New Roman" w:hAnsi="David" w:cs="David"/>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828DB"/>
    <w:pPr>
      <w:tabs>
        <w:tab w:val="center" w:pos="4153"/>
        <w:tab w:val="right" w:pos="8306"/>
      </w:tabs>
      <w:spacing w:after="0" w:line="240" w:lineRule="auto"/>
    </w:pPr>
  </w:style>
  <w:style w:type="character" w:customStyle="1" w:styleId="HeaderChar">
    <w:name w:val="Header Char"/>
    <w:basedOn w:val="DefaultParagraphFont"/>
    <w:link w:val="Header"/>
    <w:uiPriority w:val="99"/>
    <w:rsid w:val="00D828DB"/>
  </w:style>
  <w:style w:type="paragraph" w:styleId="Footer">
    <w:name w:val="footer"/>
    <w:basedOn w:val="Normal"/>
    <w:link w:val="FooterChar"/>
    <w:uiPriority w:val="99"/>
    <w:unhideWhenUsed/>
    <w:rsid w:val="00D828DB"/>
    <w:pPr>
      <w:tabs>
        <w:tab w:val="center" w:pos="4153"/>
        <w:tab w:val="right" w:pos="8306"/>
      </w:tabs>
      <w:spacing w:after="0" w:line="240" w:lineRule="auto"/>
    </w:pPr>
  </w:style>
  <w:style w:type="character" w:customStyle="1" w:styleId="FooterChar">
    <w:name w:val="Footer Char"/>
    <w:basedOn w:val="DefaultParagraphFont"/>
    <w:link w:val="Footer"/>
    <w:uiPriority w:val="99"/>
    <w:rsid w:val="00D828DB"/>
  </w:style>
  <w:style w:type="paragraph" w:customStyle="1" w:styleId="41">
    <w:name w:val="4. רמה 1"/>
    <w:next w:val="BodyText"/>
    <w:link w:val="410"/>
    <w:qFormat/>
    <w:rsid w:val="008E07C9"/>
    <w:pPr>
      <w:spacing w:after="0" w:line="360" w:lineRule="auto"/>
      <w:jc w:val="both"/>
      <w:outlineLvl w:val="0"/>
    </w:pPr>
    <w:rPr>
      <w:rFonts w:ascii="David" w:eastAsia="Times New Roman" w:hAnsi="David" w:cs="David"/>
      <w:b/>
      <w:bCs/>
      <w:sz w:val="28"/>
      <w:szCs w:val="28"/>
      <w:u w:val="single"/>
    </w:rPr>
  </w:style>
  <w:style w:type="paragraph" w:styleId="BodyText">
    <w:name w:val="Body Text"/>
    <w:basedOn w:val="Normal"/>
    <w:link w:val="BodyTextChar"/>
    <w:uiPriority w:val="99"/>
    <w:unhideWhenUsed/>
    <w:rsid w:val="008E07C9"/>
  </w:style>
  <w:style w:type="character" w:customStyle="1" w:styleId="BodyTextChar">
    <w:name w:val="Body Text Char"/>
    <w:basedOn w:val="DefaultParagraphFont"/>
    <w:link w:val="BodyText"/>
    <w:uiPriority w:val="99"/>
    <w:rsid w:val="008E07C9"/>
    <w:rPr>
      <w:rFonts w:ascii="David" w:eastAsia="Times New Roman" w:hAnsi="David" w:cs="David"/>
      <w:sz w:val="24"/>
      <w:szCs w:val="24"/>
    </w:rPr>
  </w:style>
  <w:style w:type="character" w:customStyle="1" w:styleId="410">
    <w:name w:val="4. רמה 1 תו"/>
    <w:basedOn w:val="DefaultParagraphFont"/>
    <w:link w:val="41"/>
    <w:rsid w:val="008E07C9"/>
    <w:rPr>
      <w:rFonts w:ascii="David" w:eastAsia="Times New Roman" w:hAnsi="David" w:cs="David"/>
      <w:b/>
      <w:bCs/>
      <w:sz w:val="28"/>
      <w:szCs w:val="28"/>
      <w:u w:val="single"/>
    </w:rPr>
  </w:style>
  <w:style w:type="paragraph" w:customStyle="1" w:styleId="63">
    <w:name w:val="6. רמה 3"/>
    <w:next w:val="BodyText"/>
    <w:link w:val="630"/>
    <w:qFormat/>
    <w:rsid w:val="008E07C9"/>
    <w:pPr>
      <w:spacing w:after="120" w:line="360" w:lineRule="auto"/>
      <w:jc w:val="both"/>
      <w:outlineLvl w:val="2"/>
    </w:pPr>
    <w:rPr>
      <w:rFonts w:ascii="David" w:eastAsia="Times New Roman" w:hAnsi="David" w:cs="David"/>
      <w:b/>
      <w:bCs/>
      <w:sz w:val="24"/>
      <w:szCs w:val="24"/>
    </w:rPr>
  </w:style>
  <w:style w:type="character" w:customStyle="1" w:styleId="630">
    <w:name w:val="6. רמה 3 תו"/>
    <w:basedOn w:val="DefaultParagraphFont"/>
    <w:link w:val="63"/>
    <w:rsid w:val="008E07C9"/>
    <w:rPr>
      <w:rFonts w:ascii="David" w:eastAsia="Times New Roman" w:hAnsi="David" w:cs="David"/>
      <w:b/>
      <w:bCs/>
      <w:sz w:val="24"/>
      <w:szCs w:val="24"/>
    </w:rPr>
  </w:style>
  <w:style w:type="paragraph" w:styleId="FootnoteText">
    <w:name w:val="footnote text"/>
    <w:basedOn w:val="Normal"/>
    <w:link w:val="FootnoteTextChar"/>
    <w:uiPriority w:val="99"/>
    <w:semiHidden/>
    <w:unhideWhenUsed/>
    <w:rsid w:val="008E07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E07C9"/>
    <w:rPr>
      <w:rFonts w:ascii="David" w:eastAsia="Times New Roman" w:hAnsi="David" w:cs="David"/>
      <w:sz w:val="20"/>
      <w:szCs w:val="20"/>
    </w:rPr>
  </w:style>
  <w:style w:type="character" w:styleId="FootnoteReference">
    <w:name w:val="footnote reference"/>
    <w:basedOn w:val="DefaultParagraphFont"/>
    <w:uiPriority w:val="99"/>
    <w:semiHidden/>
    <w:unhideWhenUsed/>
    <w:rsid w:val="008E07C9"/>
    <w:rPr>
      <w:vertAlign w:val="superscript"/>
    </w:rPr>
  </w:style>
  <w:style w:type="paragraph" w:customStyle="1" w:styleId="1">
    <w:name w:val="1. מספור"/>
    <w:basedOn w:val="BodyText"/>
    <w:link w:val="10"/>
    <w:qFormat/>
    <w:rsid w:val="008E07C9"/>
    <w:pPr>
      <w:numPr>
        <w:numId w:val="1"/>
      </w:numPr>
    </w:pPr>
  </w:style>
  <w:style w:type="character" w:customStyle="1" w:styleId="10">
    <w:name w:val="1. מספור תו"/>
    <w:basedOn w:val="DefaultParagraphFont"/>
    <w:link w:val="1"/>
    <w:rsid w:val="008E07C9"/>
    <w:rPr>
      <w:rFonts w:ascii="David" w:eastAsia="Times New Roman" w:hAnsi="David" w:cs="David"/>
      <w:sz w:val="24"/>
      <w:szCs w:val="24"/>
    </w:rPr>
  </w:style>
  <w:style w:type="character" w:styleId="Strong">
    <w:name w:val="Strong"/>
    <w:basedOn w:val="DefaultParagraphFont"/>
    <w:uiPriority w:val="22"/>
    <w:qFormat/>
    <w:rsid w:val="008E07C9"/>
    <w:rPr>
      <w:b/>
      <w:bCs/>
    </w:rPr>
  </w:style>
  <w:style w:type="paragraph" w:styleId="BalloonText">
    <w:name w:val="Balloon Text"/>
    <w:basedOn w:val="Normal"/>
    <w:link w:val="BalloonTextChar"/>
    <w:uiPriority w:val="99"/>
    <w:semiHidden/>
    <w:unhideWhenUsed/>
    <w:rsid w:val="00472358"/>
    <w:pPr>
      <w:spacing w:after="0" w:line="240" w:lineRule="auto"/>
    </w:pPr>
    <w:rPr>
      <w:rFonts w:ascii="Tahoma" w:hAnsi="Tahoma" w:cs="Tahoma"/>
      <w:sz w:val="18"/>
      <w:szCs w:val="18"/>
    </w:rPr>
  </w:style>
  <w:style w:type="character" w:customStyle="1" w:styleId="BalloonTextChar">
    <w:name w:val="Balloon Text Char"/>
    <w:basedOn w:val="DefaultParagraphFont"/>
    <w:link w:val="BalloonText"/>
    <w:uiPriority w:val="99"/>
    <w:semiHidden/>
    <w:rsid w:val="00472358"/>
    <w:rPr>
      <w:rFonts w:ascii="Tahoma" w:eastAsia="Times New Roman" w:hAnsi="Tahoma" w:cs="Tahoma"/>
      <w:sz w:val="18"/>
      <w:szCs w:val="18"/>
    </w:rPr>
  </w:style>
  <w:style w:type="character" w:styleId="CommentReference">
    <w:name w:val="annotation reference"/>
    <w:basedOn w:val="DefaultParagraphFont"/>
    <w:uiPriority w:val="99"/>
    <w:semiHidden/>
    <w:unhideWhenUsed/>
    <w:rsid w:val="00A42562"/>
    <w:rPr>
      <w:sz w:val="16"/>
      <w:szCs w:val="16"/>
    </w:rPr>
  </w:style>
  <w:style w:type="paragraph" w:styleId="CommentText">
    <w:name w:val="annotation text"/>
    <w:basedOn w:val="Normal"/>
    <w:link w:val="CommentTextChar"/>
    <w:uiPriority w:val="99"/>
    <w:semiHidden/>
    <w:unhideWhenUsed/>
    <w:rsid w:val="00A42562"/>
    <w:pPr>
      <w:spacing w:line="240" w:lineRule="auto"/>
    </w:pPr>
    <w:rPr>
      <w:sz w:val="20"/>
      <w:szCs w:val="20"/>
    </w:rPr>
  </w:style>
  <w:style w:type="character" w:customStyle="1" w:styleId="CommentTextChar">
    <w:name w:val="Comment Text Char"/>
    <w:basedOn w:val="DefaultParagraphFont"/>
    <w:link w:val="CommentText"/>
    <w:uiPriority w:val="99"/>
    <w:semiHidden/>
    <w:rsid w:val="00A42562"/>
    <w:rPr>
      <w:rFonts w:ascii="David" w:eastAsia="Times New Roman" w:hAnsi="David" w:cs="David"/>
      <w:sz w:val="20"/>
      <w:szCs w:val="20"/>
    </w:rPr>
  </w:style>
  <w:style w:type="paragraph" w:styleId="CommentSubject">
    <w:name w:val="annotation subject"/>
    <w:basedOn w:val="CommentText"/>
    <w:next w:val="CommentText"/>
    <w:link w:val="CommentSubjectChar"/>
    <w:uiPriority w:val="99"/>
    <w:semiHidden/>
    <w:unhideWhenUsed/>
    <w:rsid w:val="00A42562"/>
    <w:rPr>
      <w:b/>
      <w:bCs/>
    </w:rPr>
  </w:style>
  <w:style w:type="character" w:customStyle="1" w:styleId="CommentSubjectChar">
    <w:name w:val="Comment Subject Char"/>
    <w:basedOn w:val="CommentTextChar"/>
    <w:link w:val="CommentSubject"/>
    <w:uiPriority w:val="99"/>
    <w:semiHidden/>
    <w:rsid w:val="00A42562"/>
    <w:rPr>
      <w:rFonts w:ascii="David" w:eastAsia="Times New Roman" w:hAnsi="David" w:cs="David"/>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3E4CA9-1D32-419D-B4A3-5919047A2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760</Words>
  <Characters>3805</Characters>
  <Application>Microsoft Office Word</Application>
  <DocSecurity>4</DocSecurity>
  <Lines>31</Lines>
  <Paragraphs>9</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Rashut_domain</Company>
  <LinksUpToDate>false</LinksUpToDate>
  <CharactersWithSpaces>4556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Nofar hadar</dc:creator>
  <cp:keywords/>
  <dc:description/>
  <cp:lastModifiedBy>Melita Shafir</cp:lastModifiedBy>
  <cp:revision>2</cp:revision>
  <cp:lastPrinted>2019-07-07T10:15:00Z</cp:lastPrinted>
  <dcterms:created xsi:type="dcterms:W3CDTF">2019-07-19T09:41:00Z</dcterms:created>
  <dcterms:modified xsi:type="dcterms:W3CDTF">2019-07-19T09:41:00Z</dcterms:modified>
</cp:coreProperties>
</file>