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000" w:rsidRDefault="00667DB7">
      <w:pPr>
        <w:pStyle w:val="Header"/>
        <w:jc w:val="right"/>
        <w:divId w:val="2046827151"/>
      </w:pPr>
    </w:p>
    <w:p w:rsidR="00000000" w:rsidRDefault="00667DB7">
      <w:pPr>
        <w:bidi/>
        <w:spacing w:after="120"/>
        <w:ind w:right="-180"/>
        <w:jc w:val="center"/>
        <w:rPr>
          <w:rStyle w:val="Strong"/>
          <w:rFonts w:cs="David" w:hint="cs"/>
          <w:sz w:val="22"/>
          <w:szCs w:val="30"/>
          <w:rtl/>
        </w:rPr>
      </w:pPr>
      <w:bookmarkStart w:id="0" w:name="_GoBack"/>
      <w:bookmarkEnd w:id="0"/>
      <w:r>
        <w:rPr>
          <w:rStyle w:val="Strong"/>
          <w:rFonts w:cs="David" w:hint="cs"/>
          <w:sz w:val="22"/>
          <w:szCs w:val="30"/>
          <w:rtl/>
        </w:rPr>
        <w:t xml:space="preserve"> </w:t>
      </w:r>
    </w:p>
    <w:p w:rsidR="00000000" w:rsidRDefault="00667DB7">
      <w:pPr>
        <w:bidi/>
        <w:spacing w:after="120"/>
        <w:ind w:right="-180"/>
        <w:jc w:val="center"/>
        <w:rPr>
          <w:rStyle w:val="Strong"/>
          <w:rFonts w:cs="David" w:hint="cs"/>
          <w:sz w:val="22"/>
          <w:szCs w:val="30"/>
          <w:rtl/>
        </w:rPr>
      </w:pPr>
      <w:r>
        <w:rPr>
          <w:rStyle w:val="Strong"/>
          <w:rFonts w:cs="David" w:hint="cs"/>
          <w:sz w:val="22"/>
          <w:szCs w:val="30"/>
          <w:rtl/>
        </w:rPr>
        <w:t>רשות ההגבלים העסקיים</w:t>
      </w:r>
    </w:p>
    <w:p w:rsidR="00000000" w:rsidRDefault="00667DB7">
      <w:pPr>
        <w:pStyle w:val="BodyText"/>
        <w:bidi/>
        <w:spacing w:before="240" w:beforeAutospacing="0" w:after="0" w:afterAutospacing="0" w:line="360" w:lineRule="auto"/>
        <w:rPr>
          <w:rFonts w:hint="cs"/>
          <w:sz w:val="32"/>
          <w:szCs w:val="32"/>
          <w:rtl/>
        </w:rPr>
      </w:pPr>
    </w:p>
    <w:p w:rsidR="00000000" w:rsidRDefault="00667DB7">
      <w:pPr>
        <w:pStyle w:val="BodyText"/>
        <w:bidi/>
        <w:spacing w:before="240" w:beforeAutospacing="0" w:after="0" w:afterAutospacing="0" w:line="360" w:lineRule="auto"/>
        <w:rPr>
          <w:rStyle w:val="Strong"/>
          <w:rFonts w:hint="cs"/>
          <w:rtl/>
        </w:rPr>
      </w:pPr>
      <w:r>
        <w:rPr>
          <w:rStyle w:val="Strong"/>
          <w:rFonts w:cs="David" w:hint="cs"/>
          <w:sz w:val="32"/>
          <w:szCs w:val="32"/>
          <w:rtl/>
        </w:rPr>
        <w:t xml:space="preserve">החלטה לפי סעיף 14 לחוק ההגבלים העסקיים, התשמ"ח-1988 </w:t>
      </w:r>
    </w:p>
    <w:p w:rsidR="00000000" w:rsidRDefault="00667DB7">
      <w:pPr>
        <w:pStyle w:val="BodyText"/>
        <w:bidi/>
        <w:spacing w:before="0" w:beforeAutospacing="0" w:after="120" w:afterAutospacing="0"/>
        <w:rPr>
          <w:rStyle w:val="Strong"/>
          <w:rFonts w:cs="David" w:hint="cs"/>
          <w:sz w:val="32"/>
          <w:szCs w:val="32"/>
          <w:rtl/>
        </w:rPr>
      </w:pPr>
      <w:r>
        <w:rPr>
          <w:rStyle w:val="Strong"/>
          <w:rFonts w:cs="David" w:hint="cs"/>
          <w:sz w:val="32"/>
          <w:szCs w:val="32"/>
          <w:rtl/>
        </w:rPr>
        <w:t>בדבר מתן פטור בתנאים מאישור הסדר כובל להסדר שצדדים לו</w:t>
      </w:r>
    </w:p>
    <w:p w:rsidR="00000000" w:rsidRDefault="00667DB7">
      <w:pPr>
        <w:pStyle w:val="BodyText3"/>
        <w:bidi/>
        <w:spacing w:before="0" w:beforeAutospacing="0" w:after="120" w:afterAutospacing="0" w:line="360" w:lineRule="auto"/>
        <w:rPr>
          <w:rStyle w:val="Strong"/>
          <w:rFonts w:cs="David" w:hint="cs"/>
          <w:u w:val="single"/>
          <w:rtl/>
        </w:rPr>
      </w:pPr>
      <w:r>
        <w:rPr>
          <w:rStyle w:val="Strong"/>
          <w:rFonts w:cs="David" w:hint="cs"/>
          <w:sz w:val="36"/>
          <w:szCs w:val="36"/>
          <w:u w:val="single"/>
          <w:rtl/>
        </w:rPr>
        <w:t>כלל חברה לביטוח בע"מ, מגדל חברה לביטוח בע"</w:t>
      </w:r>
      <w:r>
        <w:rPr>
          <w:rStyle w:val="Strong"/>
          <w:rFonts w:cs="David" w:hint="cs"/>
          <w:sz w:val="36"/>
          <w:szCs w:val="36"/>
          <w:u w:val="single"/>
          <w:rtl/>
        </w:rPr>
        <w:t>מ, הראל חברה לביטוח בע"מ, מנורה מבטחים ביטוח בע"מ, הפניקס חברה לביטוח בע"מ וסומך חייקין-</w:t>
      </w:r>
      <w:r>
        <w:rPr>
          <w:rStyle w:val="Strong"/>
          <w:rFonts w:cs="David" w:hint="cs"/>
          <w:sz w:val="28"/>
          <w:szCs w:val="28"/>
          <w:u w:val="single"/>
        </w:rPr>
        <w:t>KPMG</w:t>
      </w:r>
      <w:r>
        <w:rPr>
          <w:rStyle w:val="Strong"/>
          <w:rFonts w:cs="David" w:hint="cs"/>
          <w:sz w:val="28"/>
          <w:szCs w:val="28"/>
          <w:u w:val="single"/>
          <w:rtl/>
        </w:rPr>
        <w:t xml:space="preserve"> </w:t>
      </w:r>
    </w:p>
    <w:p w:rsidR="00000000" w:rsidRDefault="00667DB7">
      <w:pPr>
        <w:pStyle w:val="Heading1"/>
        <w:bidi/>
        <w:spacing w:before="240" w:beforeAutospacing="0" w:after="120" w:afterAutospacing="0"/>
        <w:ind w:left="360"/>
        <w:rPr>
          <w:rFonts w:eastAsia="Times New Roman" w:hint="cs"/>
          <w:sz w:val="24"/>
          <w:szCs w:val="24"/>
          <w:rtl/>
        </w:rPr>
      </w:pPr>
    </w:p>
    <w:p w:rsidR="00000000" w:rsidRDefault="00667DB7">
      <w:pPr>
        <w:pStyle w:val="Heading1"/>
        <w:bidi/>
        <w:spacing w:before="240" w:beforeAutospacing="0" w:after="120" w:afterAutospacing="0"/>
        <w:ind w:left="360"/>
        <w:rPr>
          <w:rFonts w:eastAsia="Times New Roman" w:cs="David" w:hint="cs"/>
          <w:sz w:val="24"/>
          <w:szCs w:val="24"/>
          <w:rtl/>
        </w:rPr>
      </w:pPr>
      <w:r>
        <w:rPr>
          <w:rFonts w:eastAsia="Times New Roman" w:cs="David" w:hint="cs"/>
          <w:sz w:val="24"/>
          <w:szCs w:val="24"/>
          <w:rtl/>
        </w:rPr>
        <w:t>א. פתח דבר</w:t>
      </w:r>
    </w:p>
    <w:p w:rsidR="00000000" w:rsidRDefault="00667DB7">
      <w:pPr>
        <w:bidi/>
        <w:spacing w:after="120"/>
        <w:rPr>
          <w:rFonts w:cs="David" w:hint="cs"/>
          <w:highlight w:val="cyan"/>
          <w:rtl/>
        </w:rPr>
      </w:pPr>
      <w:r>
        <w:rPr>
          <w:rFonts w:cs="David" w:hint="cs"/>
          <w:rtl/>
        </w:rPr>
        <w:t>בפניי בקשה למתן פטור לפי סעיף 14 לחוק ההגבלים העסקיים, התשמ"ח-1988 (להלן: "</w:t>
      </w:r>
      <w:r>
        <w:rPr>
          <w:rStyle w:val="Strong"/>
          <w:rFonts w:cs="David" w:hint="cs"/>
          <w:rtl/>
        </w:rPr>
        <w:t>החוק</w:t>
      </w:r>
      <w:r>
        <w:rPr>
          <w:rFonts w:cs="David" w:hint="cs"/>
          <w:rtl/>
        </w:rPr>
        <w:t xml:space="preserve">") להסדר כובל שהצדדים לו הם כלל חברה לביטוח בע"מ (להלן: </w:t>
      </w:r>
      <w:r>
        <w:rPr>
          <w:rStyle w:val="Strong"/>
          <w:rFonts w:cs="David" w:hint="cs"/>
          <w:rtl/>
        </w:rPr>
        <w:t>"כלל"</w:t>
      </w:r>
      <w:r>
        <w:rPr>
          <w:rFonts w:cs="David" w:hint="cs"/>
          <w:rtl/>
        </w:rPr>
        <w:t>), מגדל חב</w:t>
      </w:r>
      <w:r>
        <w:rPr>
          <w:rFonts w:cs="David" w:hint="cs"/>
          <w:rtl/>
        </w:rPr>
        <w:t xml:space="preserve">רה לביטוח בע"מ (להלן: </w:t>
      </w:r>
      <w:r>
        <w:rPr>
          <w:rStyle w:val="Strong"/>
          <w:rFonts w:cs="David" w:hint="cs"/>
          <w:rtl/>
        </w:rPr>
        <w:t>"מגדל"</w:t>
      </w:r>
      <w:r>
        <w:rPr>
          <w:rFonts w:cs="David" w:hint="cs"/>
          <w:rtl/>
        </w:rPr>
        <w:t xml:space="preserve">), הראל חברה לביטוח בע"מ (להלן: </w:t>
      </w:r>
      <w:r>
        <w:rPr>
          <w:rStyle w:val="Strong"/>
          <w:rFonts w:cs="David" w:hint="cs"/>
          <w:rtl/>
        </w:rPr>
        <w:t>"הראל"</w:t>
      </w:r>
      <w:r>
        <w:rPr>
          <w:rFonts w:cs="David" w:hint="cs"/>
          <w:rtl/>
        </w:rPr>
        <w:t>), מנורה מבטחים ביטוח בע"מ (להלן: "</w:t>
      </w:r>
      <w:r>
        <w:rPr>
          <w:rStyle w:val="Strong"/>
          <w:rFonts w:cs="David" w:hint="cs"/>
          <w:rtl/>
        </w:rPr>
        <w:t>מנורה"</w:t>
      </w:r>
      <w:r>
        <w:rPr>
          <w:rFonts w:cs="David" w:hint="cs"/>
          <w:rtl/>
        </w:rPr>
        <w:t>), הפניקס חברה לביטוח בע"מ (להלן: "</w:t>
      </w:r>
      <w:r>
        <w:rPr>
          <w:rStyle w:val="Strong"/>
          <w:rFonts w:cs="David" w:hint="cs"/>
          <w:rtl/>
        </w:rPr>
        <w:t>הפניקס"</w:t>
      </w:r>
      <w:r>
        <w:rPr>
          <w:rFonts w:cs="David" w:hint="cs"/>
          <w:rtl/>
        </w:rPr>
        <w:t>)</w:t>
      </w:r>
      <w:r>
        <w:rPr>
          <w:rStyle w:val="Strong"/>
          <w:rFonts w:cs="David" w:hint="cs"/>
          <w:rtl/>
        </w:rPr>
        <w:t xml:space="preserve"> </w:t>
      </w:r>
      <w:r>
        <w:rPr>
          <w:rFonts w:cs="David" w:hint="cs"/>
          <w:rtl/>
        </w:rPr>
        <w:t>וסומך חייקין-</w:t>
      </w:r>
      <w:r>
        <w:rPr>
          <w:rFonts w:cs="David" w:hint="cs"/>
        </w:rPr>
        <w:t>KPMG</w:t>
      </w:r>
      <w:r>
        <w:rPr>
          <w:rFonts w:cs="David" w:hint="cs"/>
          <w:rtl/>
        </w:rPr>
        <w:t xml:space="preserve">, שותפות רשומה ע"פ פקודת השותפויות (להלן: </w:t>
      </w:r>
      <w:r>
        <w:rPr>
          <w:rStyle w:val="Strong"/>
          <w:rFonts w:cs="David" w:hint="cs"/>
          <w:rtl/>
        </w:rPr>
        <w:t>"סומך חייקין"</w:t>
      </w:r>
      <w:r>
        <w:rPr>
          <w:rFonts w:cs="David" w:hint="cs"/>
          <w:rtl/>
        </w:rPr>
        <w:t>).</w:t>
      </w:r>
    </w:p>
    <w:p w:rsidR="00000000" w:rsidRDefault="00667DB7">
      <w:pPr>
        <w:bidi/>
        <w:spacing w:after="120"/>
        <w:rPr>
          <w:rFonts w:cs="David" w:hint="cs"/>
          <w:rtl/>
        </w:rPr>
      </w:pPr>
      <w:r>
        <w:rPr>
          <w:rFonts w:cs="David" w:hint="cs"/>
          <w:rtl/>
        </w:rPr>
        <w:t>עניינו של ההסדר הוא עריכת סקר מדדים בתחום הוצאות ה-</w:t>
      </w:r>
      <w:r>
        <w:rPr>
          <w:rFonts w:cs="David" w:hint="cs"/>
        </w:rPr>
        <w:t>IT</w:t>
      </w:r>
      <w:r>
        <w:rPr>
          <w:rFonts w:cs="David" w:hint="cs"/>
          <w:rtl/>
        </w:rPr>
        <w:t xml:space="preserve"> (</w:t>
      </w:r>
      <w:r>
        <w:rPr>
          <w:rFonts w:cs="David" w:hint="cs"/>
        </w:rPr>
        <w:t>Information Technology</w:t>
      </w:r>
      <w:r>
        <w:rPr>
          <w:rFonts w:cs="David" w:hint="cs"/>
          <w:rtl/>
        </w:rPr>
        <w:t xml:space="preserve">) בהשתתפות כלל, מגדל, הראל, מנורה והפניקס (להלן: </w:t>
      </w:r>
      <w:r>
        <w:rPr>
          <w:rStyle w:val="Strong"/>
          <w:rFonts w:cs="David" w:hint="cs"/>
          <w:rtl/>
        </w:rPr>
        <w:t>"חברות הביטוח"</w:t>
      </w:r>
      <w:r>
        <w:rPr>
          <w:rFonts w:cs="David" w:hint="cs"/>
          <w:rtl/>
        </w:rPr>
        <w:t>), שמטרתו חישוב מדדים בתחום הוצאות ה-</w:t>
      </w:r>
      <w:r>
        <w:rPr>
          <w:rFonts w:cs="David" w:hint="cs"/>
        </w:rPr>
        <w:t>IT</w:t>
      </w:r>
      <w:r>
        <w:rPr>
          <w:rFonts w:cs="David" w:hint="cs"/>
          <w:rtl/>
        </w:rPr>
        <w:t xml:space="preserve"> של חברות הביטוח. הסקר יתבצע על-ידי סומך חייקין, אשר תאסוף מחברות הביטוח נתונ</w:t>
      </w:r>
      <w:r>
        <w:rPr>
          <w:rFonts w:cs="David" w:hint="cs"/>
          <w:rtl/>
        </w:rPr>
        <w:t>ים רלוונטיים הקשורים לרמת ההוצאות במחלקת ה-</w:t>
      </w:r>
      <w:r>
        <w:rPr>
          <w:rFonts w:cs="David" w:hint="cs"/>
        </w:rPr>
        <w:t>IT</w:t>
      </w:r>
      <w:r>
        <w:rPr>
          <w:rFonts w:cs="David" w:hint="cs"/>
          <w:rtl/>
        </w:rPr>
        <w:t xml:space="preserve"> </w:t>
      </w:r>
      <w:r>
        <w:rPr>
          <w:rFonts w:cs="David" w:hint="cs"/>
          <w:rtl/>
        </w:rPr>
        <w:t>ולפילוחים ברבדים שונים של הוצאות אלו, ותחשב על פי נתונים אלו מדדים עבור כל אחת מחברות הביטוח בנפרד. סומך חייקין תעביר לכל אחת מהחברות את המדדים שחושבו עבורה, וכן תשווה אותם לממוצע המדדים של ארבע החברות האחרות ולתקופות קודמות (שלוש שנים).</w:t>
      </w:r>
    </w:p>
    <w:p w:rsidR="00000000" w:rsidRDefault="00667DB7">
      <w:pPr>
        <w:bidi/>
        <w:spacing w:after="120"/>
        <w:rPr>
          <w:rFonts w:cs="David" w:hint="cs"/>
          <w:rtl/>
        </w:rPr>
      </w:pPr>
      <w:r>
        <w:rPr>
          <w:rFonts w:cs="David" w:hint="cs"/>
          <w:rtl/>
        </w:rPr>
        <w:t>לאחר שבחנתי את ההס</w:t>
      </w:r>
      <w:r>
        <w:rPr>
          <w:rFonts w:cs="David" w:hint="cs"/>
          <w:rtl/>
        </w:rPr>
        <w:t xml:space="preserve">דר ואת הכבילות המצויות בו, כמו גם את השפעתן האפשרית על התחרות בשווקים הרלוונטיים, ולאחר שנועצתי בועדה לפטורים ולמיזוגים, הגעתי למסקנה כי עיקרו של ההסדר אינו בהפחתת התחרות או במניעתה, כי אין בהסדר כבילות שאינן נחוצות למימוש עיקרו וכי – בכפוף לתנאים הקבועים </w:t>
      </w:r>
      <w:r>
        <w:rPr>
          <w:rFonts w:cs="David" w:hint="cs"/>
          <w:rtl/>
        </w:rPr>
        <w:t>בסיפא להחלטה זו – הכבילות שבהסדר אינן פוגעות פגיעה של ממש בתחרות בשווקים כאמור. מטעמים אלה והנימוקים שיפורטו להלן, מצאתי כי ההסדר ראוי לפטור בתנאים לפי סעיף 14 לחוק ההגבלים העסקיים.</w:t>
      </w:r>
    </w:p>
    <w:p w:rsidR="00000000" w:rsidRDefault="00667DB7">
      <w:pPr>
        <w:pStyle w:val="Heading1"/>
        <w:bidi/>
        <w:spacing w:before="240" w:beforeAutospacing="0" w:after="120" w:afterAutospacing="0"/>
        <w:ind w:left="360"/>
        <w:rPr>
          <w:rFonts w:eastAsia="Times New Roman" w:cs="David" w:hint="cs"/>
          <w:sz w:val="24"/>
          <w:szCs w:val="24"/>
          <w:rtl/>
        </w:rPr>
      </w:pPr>
      <w:r>
        <w:rPr>
          <w:rFonts w:eastAsia="Times New Roman" w:cs="David" w:hint="cs"/>
          <w:sz w:val="24"/>
          <w:szCs w:val="24"/>
          <w:rtl/>
        </w:rPr>
        <w:t>ב. תיאור ההסדר</w:t>
      </w:r>
    </w:p>
    <w:p w:rsidR="00000000" w:rsidRDefault="00667DB7">
      <w:pPr>
        <w:pStyle w:val="Heading1"/>
        <w:bidi/>
        <w:spacing w:before="240" w:beforeAutospacing="0" w:after="120" w:afterAutospacing="0"/>
        <w:ind w:left="26"/>
        <w:rPr>
          <w:rFonts w:eastAsia="Times New Roman" w:cs="David" w:hint="cs"/>
          <w:b w:val="0"/>
          <w:bCs w:val="0"/>
          <w:sz w:val="24"/>
          <w:szCs w:val="24"/>
          <w:rtl/>
        </w:rPr>
      </w:pPr>
      <w:r>
        <w:rPr>
          <w:rFonts w:eastAsia="Times New Roman" w:cs="David" w:hint="cs"/>
          <w:b w:val="0"/>
          <w:bCs w:val="0"/>
          <w:sz w:val="24"/>
          <w:szCs w:val="24"/>
          <w:rtl/>
        </w:rPr>
        <w:t>חברות הביטוח פועלות בענפי הביטוח השונים, ובמסגרת זו עושות ש</w:t>
      </w:r>
      <w:r>
        <w:rPr>
          <w:rFonts w:eastAsia="Times New Roman" w:cs="David" w:hint="cs"/>
          <w:b w:val="0"/>
          <w:bCs w:val="0"/>
          <w:sz w:val="24"/>
          <w:szCs w:val="24"/>
          <w:rtl/>
        </w:rPr>
        <w:t xml:space="preserve">ימוש במערכות </w:t>
      </w:r>
      <w:r>
        <w:rPr>
          <w:rFonts w:eastAsia="Times New Roman" w:cs="David" w:hint="cs"/>
          <w:b w:val="0"/>
          <w:bCs w:val="0"/>
          <w:sz w:val="24"/>
          <w:szCs w:val="24"/>
        </w:rPr>
        <w:t>IT</w:t>
      </w:r>
      <w:r>
        <w:rPr>
          <w:rFonts w:eastAsia="Times New Roman" w:cs="David" w:hint="cs"/>
          <w:b w:val="0"/>
          <w:bCs w:val="0"/>
          <w:sz w:val="24"/>
          <w:szCs w:val="24"/>
          <w:rtl/>
        </w:rPr>
        <w:t>,</w:t>
      </w:r>
      <w:r>
        <w:rPr>
          <w:rFonts w:eastAsia="Times New Roman" w:cs="David" w:hint="cs"/>
          <w:b w:val="0"/>
          <w:bCs w:val="0"/>
          <w:sz w:val="36"/>
          <w:szCs w:val="36"/>
          <w:rtl/>
        </w:rPr>
        <w:t xml:space="preserve"> </w:t>
      </w:r>
      <w:r>
        <w:rPr>
          <w:rFonts w:eastAsia="Times New Roman" w:cs="David" w:hint="cs"/>
          <w:b w:val="0"/>
          <w:bCs w:val="0"/>
          <w:sz w:val="24"/>
          <w:szCs w:val="24"/>
          <w:rtl/>
        </w:rPr>
        <w:t xml:space="preserve">המספקות להן שירותי ניהול, שירותי טכנולוגיית מידע, תמיכה טכנית ועוד. </w:t>
      </w:r>
    </w:p>
    <w:p w:rsidR="00000000" w:rsidRDefault="00667DB7">
      <w:pPr>
        <w:bidi/>
        <w:spacing w:after="120"/>
        <w:rPr>
          <w:rFonts w:cs="David" w:hint="cs"/>
          <w:rtl/>
        </w:rPr>
      </w:pPr>
      <w:r>
        <w:rPr>
          <w:rFonts w:cs="David" w:hint="cs"/>
          <w:rtl/>
        </w:rPr>
        <w:t>במסגרת הבקשה הנוכחית, מבקשות חברות הביטוח לשכור את שירותיה של סומך חייקין, על מנת שהיא תערוך עבורן חישוב של מדדים בתחום הוצאות ה-</w:t>
      </w:r>
      <w:r>
        <w:rPr>
          <w:rFonts w:cs="David" w:hint="cs"/>
        </w:rPr>
        <w:t>IT</w:t>
      </w:r>
      <w:r>
        <w:rPr>
          <w:rFonts w:cs="David" w:hint="cs"/>
          <w:rtl/>
        </w:rPr>
        <w:t>.</w:t>
      </w:r>
      <w:r>
        <w:rPr>
          <w:rStyle w:val="Strong"/>
          <w:rFonts w:cs="David" w:hint="cs"/>
          <w:rtl/>
        </w:rPr>
        <w:t xml:space="preserve"> </w:t>
      </w:r>
      <w:r>
        <w:rPr>
          <w:rFonts w:cs="David" w:hint="cs"/>
          <w:rtl/>
        </w:rPr>
        <w:t xml:space="preserve">המדדים הנסקרים הם מדדים הקשורים לרמת </w:t>
      </w:r>
      <w:r>
        <w:rPr>
          <w:rFonts w:cs="David" w:hint="cs"/>
          <w:rtl/>
        </w:rPr>
        <w:t>ההוצאות במחלקת ה-</w:t>
      </w:r>
      <w:r>
        <w:rPr>
          <w:rFonts w:cs="David" w:hint="cs"/>
        </w:rPr>
        <w:t>IT</w:t>
      </w:r>
      <w:r>
        <w:rPr>
          <w:rFonts w:cs="David" w:hint="cs"/>
          <w:rtl/>
        </w:rPr>
        <w:t xml:space="preserve"> (מס' העובדים, זמן הפיתוח, הוצאות ה-</w:t>
      </w:r>
      <w:r>
        <w:rPr>
          <w:rFonts w:cs="David" w:hint="cs"/>
        </w:rPr>
        <w:t>IT</w:t>
      </w:r>
      <w:r>
        <w:rPr>
          <w:rFonts w:cs="David" w:hint="cs"/>
          <w:rtl/>
        </w:rPr>
        <w:t xml:space="preserve"> בתחומי הביטוח השונים וכו') וכן מדדים הקשורים לפילוח ההוצאות ביחידת ה-</w:t>
      </w:r>
      <w:r>
        <w:rPr>
          <w:rFonts w:cs="David" w:hint="cs"/>
        </w:rPr>
        <w:t>IT</w:t>
      </w:r>
      <w:r>
        <w:rPr>
          <w:rFonts w:cs="David" w:hint="cs"/>
          <w:rtl/>
        </w:rPr>
        <w:t xml:space="preserve">. </w:t>
      </w:r>
    </w:p>
    <w:p w:rsidR="00000000" w:rsidRDefault="00667DB7">
      <w:pPr>
        <w:bidi/>
        <w:spacing w:after="120"/>
        <w:rPr>
          <w:rFonts w:cs="David" w:hint="cs"/>
          <w:rtl/>
        </w:rPr>
      </w:pPr>
      <w:r>
        <w:rPr>
          <w:rFonts w:cs="David" w:hint="cs"/>
          <w:rtl/>
        </w:rPr>
        <w:lastRenderedPageBreak/>
        <w:t>נתוני הסקר המוגמר, יכללו השוואה בין המדדים של כל אחת מהחברות לבין ממוצע המדדים של חמש החברות, ולתקופות קודמות על פני שלוש הש</w:t>
      </w:r>
      <w:r>
        <w:rPr>
          <w:rFonts w:cs="David" w:hint="cs"/>
          <w:rtl/>
        </w:rPr>
        <w:t>נים האחרונות. באמצעות השוואת מדדים אלו, מבקשות חברות הביטוח ללמוד על רמת ההוצאות ועל פילוח ההוצאות במחלקת ה-</w:t>
      </w:r>
      <w:r>
        <w:rPr>
          <w:rFonts w:cs="David" w:hint="cs"/>
        </w:rPr>
        <w:t>IT</w:t>
      </w:r>
      <w:r>
        <w:rPr>
          <w:rFonts w:cs="David" w:hint="cs"/>
          <w:rtl/>
        </w:rPr>
        <w:t xml:space="preserve"> שלהן, בהשוואה לממוצע הענפי. </w:t>
      </w:r>
    </w:p>
    <w:p w:rsidR="00000000" w:rsidRDefault="00667DB7">
      <w:pPr>
        <w:bidi/>
        <w:spacing w:after="120"/>
        <w:rPr>
          <w:rFonts w:cs="David" w:hint="cs"/>
          <w:rtl/>
        </w:rPr>
      </w:pPr>
      <w:r>
        <w:rPr>
          <w:rFonts w:cs="David" w:hint="cs"/>
          <w:rtl/>
        </w:rPr>
        <w:t>במסגרת הסקר, לא יועברו לאף אחת מחברות הביטוח נתונים פרטניים של חברת ביטוח אחרת.</w:t>
      </w:r>
    </w:p>
    <w:p w:rsidR="00000000" w:rsidRDefault="00667DB7">
      <w:pPr>
        <w:pStyle w:val="Heading1"/>
        <w:bidi/>
        <w:spacing w:before="240" w:beforeAutospacing="0" w:after="120" w:afterAutospacing="0"/>
        <w:ind w:left="360"/>
        <w:rPr>
          <w:rFonts w:eastAsia="Times New Roman" w:cs="David" w:hint="cs"/>
          <w:sz w:val="24"/>
          <w:szCs w:val="24"/>
          <w:rtl/>
        </w:rPr>
      </w:pPr>
      <w:r>
        <w:rPr>
          <w:rFonts w:eastAsia="Times New Roman" w:cs="David" w:hint="cs"/>
          <w:sz w:val="24"/>
          <w:szCs w:val="24"/>
          <w:rtl/>
        </w:rPr>
        <w:t>ג. השפעתו של ההסדר על התחרות</w:t>
      </w:r>
    </w:p>
    <w:p w:rsidR="00000000" w:rsidRDefault="00667DB7">
      <w:pPr>
        <w:bidi/>
        <w:spacing w:after="120"/>
        <w:rPr>
          <w:rFonts w:cs="David" w:hint="cs"/>
          <w:rtl/>
        </w:rPr>
      </w:pPr>
      <w:r>
        <w:rPr>
          <w:rFonts w:cs="David" w:hint="cs"/>
          <w:rtl/>
        </w:rPr>
        <w:t>החשש הע</w:t>
      </w:r>
      <w:r>
        <w:rPr>
          <w:rFonts w:cs="David" w:hint="cs"/>
          <w:rtl/>
        </w:rPr>
        <w:t xml:space="preserve">יקרי העולה מחילופי מידע בין מתחרים הוא, כי המידע יביא להגבלת התחרות בין הצדדים להסדר. זאת, לשם המחשה, על דרך של הסרת חוסר הודאות באשר לפעולות המסחריות-עסקיות של מי מהם, אלה הננקטות כעת או אלה הצפויות בעתיד. במצב תחרותי, כל מנהל עסקים אמור לעצב באופן עצמאי </w:t>
      </w:r>
      <w:r>
        <w:rPr>
          <w:rFonts w:cs="David" w:hint="cs"/>
          <w:rtl/>
        </w:rPr>
        <w:t>את המדיניות העסקית שברצונו לאמץ בשוק, ולהתחרות דרך מדיניות זו על ליבו של הצרכן. העברת מידע בין מתחרים עלולה לפגוע בתחרות זו: בכוחו של המידע שמועבר לצמצם את חוסר הוודאות באשר לצעדיהם של המתחרים. בכך, מהודקות הזיקות בין השחקנים בשוק וגוברת היכולת לרכוש ולשמר</w:t>
      </w:r>
      <w:r>
        <w:rPr>
          <w:rFonts w:cs="David" w:hint="cs"/>
          <w:rtl/>
        </w:rPr>
        <w:t xml:space="preserve"> שיווי משקל על-תחרותי</w:t>
      </w:r>
      <w:r>
        <w:rPr>
          <w:rStyle w:val="FootnoteReference"/>
          <w:rFonts w:cs="David"/>
          <w:rtl/>
        </w:rPr>
        <w:footnoteReference w:id="1"/>
      </w:r>
      <w:r>
        <w:rPr>
          <w:rStyle w:val="FootnoteReference"/>
          <w:rFonts w:eastAsia="Times New Roman" w:cs="David"/>
        </w:rPr>
        <w:t>[1]</w:t>
      </w:r>
      <w:r>
        <w:rPr>
          <w:rFonts w:cs="David" w:hint="cs"/>
          <w:rtl/>
        </w:rPr>
        <w:t>.</w:t>
      </w:r>
    </w:p>
    <w:p w:rsidR="00000000" w:rsidRDefault="00667DB7">
      <w:pPr>
        <w:bidi/>
        <w:spacing w:after="120"/>
        <w:rPr>
          <w:rFonts w:cs="David" w:hint="cs"/>
          <w:rtl/>
        </w:rPr>
      </w:pPr>
      <w:r>
        <w:rPr>
          <w:rFonts w:cs="David" w:hint="cs"/>
          <w:rtl/>
        </w:rPr>
        <w:t>עם זאת, משקלן של השפעות אנטי-תחרותיות אלה משתנה ממקרה למקרה, בהתאם לגורמים המחליפים ביניהם מידע, למשקלם בשוק  או בשווקים הרלוונטיים, למהותו של המידע האמור להיות מועבר ביניהם, למנגנוני ההעברה, וכיוצא בזה לגורמים משפיעים נוספים</w:t>
      </w:r>
      <w:r>
        <w:rPr>
          <w:rStyle w:val="FootnoteReference"/>
          <w:rFonts w:cs="David"/>
          <w:rtl/>
        </w:rPr>
        <w:footnoteReference w:id="2"/>
      </w:r>
      <w:r>
        <w:rPr>
          <w:rStyle w:val="FootnoteReference"/>
          <w:rFonts w:eastAsia="Times New Roman" w:cs="David"/>
        </w:rPr>
        <w:t>[2]</w:t>
      </w:r>
      <w:r>
        <w:rPr>
          <w:rFonts w:cs="David" w:hint="cs"/>
          <w:rtl/>
        </w:rPr>
        <w:t>. כאשר עסקינן בהעברת מידע מסחרי-עסקי בין מתחרים, והעברת המידע אינה נחוצה לפעולה אחרת, יעילה ולגיטימית כשלעצמה, תהיה בכך אינדיקציה משמעותית למטען אנטי-תחרותי אשר צרור בהעברת המידע, ולקיומה של פרקטיקה פסולה.</w:t>
      </w:r>
    </w:p>
    <w:p w:rsidR="00000000" w:rsidRDefault="00667DB7">
      <w:pPr>
        <w:bidi/>
        <w:spacing w:after="120"/>
        <w:rPr>
          <w:rFonts w:cs="David" w:hint="cs"/>
          <w:rtl/>
        </w:rPr>
      </w:pPr>
      <w:r>
        <w:rPr>
          <w:rFonts w:cs="David" w:hint="cs"/>
          <w:rtl/>
        </w:rPr>
        <w:t>ומן הכלל אל הפרט. בחינת ענף הביטוח מעלה כי חברות ה</w:t>
      </w:r>
      <w:r>
        <w:rPr>
          <w:rFonts w:cs="David" w:hint="cs"/>
          <w:rtl/>
        </w:rPr>
        <w:t>ביטוח המבקשות הן חמש חברות הביטוח הגדולות בישראל, המרכזות יחד נתח שוק משמעותי ביותר בענף. עובדה זו עלולה להגביר את הסכנה להשפעות אנטי-תחרותיות בעקבות שיתוף הפעולה.</w:t>
      </w:r>
    </w:p>
    <w:p w:rsidR="00000000" w:rsidRDefault="00667DB7">
      <w:pPr>
        <w:bidi/>
        <w:spacing w:after="120"/>
        <w:rPr>
          <w:rFonts w:cs="David" w:hint="cs"/>
          <w:rtl/>
        </w:rPr>
      </w:pPr>
      <w:r>
        <w:rPr>
          <w:rFonts w:cs="David" w:hint="cs"/>
          <w:rtl/>
        </w:rPr>
        <w:t>מנגד, מצאתי כי העלויות הנבדקות אינן מהוות חלק משמעותי מהוצאותיהן של חברות הביטוח. לפיכך, מופ</w:t>
      </w:r>
      <w:r>
        <w:rPr>
          <w:rFonts w:cs="David" w:hint="cs"/>
          <w:rtl/>
        </w:rPr>
        <w:t>חת החשש מפני תיאום בין המתחרים, מכיוון שהמידע המועבר ביניהם נוגע לתחומים אשר אינם מהווים רכיב משמעותי מסך העלויות לייצור המוצר</w:t>
      </w:r>
      <w:r>
        <w:rPr>
          <w:rStyle w:val="FootnoteReference"/>
          <w:rFonts w:cs="David"/>
          <w:rtl/>
        </w:rPr>
        <w:footnoteReference w:id="3"/>
      </w:r>
      <w:r>
        <w:rPr>
          <w:rStyle w:val="FootnoteReference"/>
          <w:rFonts w:eastAsia="Times New Roman" w:cs="David"/>
        </w:rPr>
        <w:t>[3]</w:t>
      </w:r>
      <w:r>
        <w:rPr>
          <w:rFonts w:cs="David" w:hint="cs"/>
          <w:rtl/>
        </w:rPr>
        <w:t>. מידע זה, הנוגע לעלויות ותשומות של החברות במחלקת המחשוב, אף אינו מצוי בליבת התחרות שבין החברות לבין עצמן. בענייננו, חברות הבי</w:t>
      </w:r>
      <w:r>
        <w:rPr>
          <w:rFonts w:cs="David" w:hint="cs"/>
          <w:rtl/>
        </w:rPr>
        <w:t>טוח מתחרות ביניהן בעיקר על הפרמיות ודמי הניהול שהן גובות מהמבוטחים ועל השירות והכיסוי הביטוחי הניתן להם. בראשית דרכה של בקשה זו, ביקשו הצדדים כי יועבר גם מידע אשר נוגע לפרמיות הביטוח ולדמי הניהול. עניינים אלה, מטבע הדברים, מצויים בליבת התחרות שבין הצדדים ל</w:t>
      </w:r>
      <w:r>
        <w:rPr>
          <w:rFonts w:cs="David" w:hint="cs"/>
          <w:rtl/>
        </w:rPr>
        <w:t>הסדר. ביחס לנתונים אלו, הבהרתי לצדדים כי לא ניתן להתיר העברת מידע כאמור, וכי על עורכת הסקר להסתמך על מידע שפורסם באופן פומבי בלבד, ולציבור שאינו מסוים.</w:t>
      </w:r>
    </w:p>
    <w:p w:rsidR="00000000" w:rsidRDefault="00667DB7">
      <w:pPr>
        <w:bidi/>
        <w:spacing w:after="120"/>
        <w:rPr>
          <w:rFonts w:cs="David" w:hint="cs"/>
          <w:rtl/>
        </w:rPr>
      </w:pPr>
      <w:r>
        <w:rPr>
          <w:rFonts w:cs="David" w:hint="cs"/>
          <w:rtl/>
        </w:rPr>
        <w:t>חשש נוסף נוגע למישור התחרות בין חברות הביטוח בכל האמור ברכישת תשומות (להבדיל ממישור התחרות אל מול המבוטח</w:t>
      </w:r>
      <w:r>
        <w:rPr>
          <w:rFonts w:cs="David" w:hint="cs"/>
          <w:rtl/>
        </w:rPr>
        <w:t>ים). חשש זה נובע מכך שחלק מהמידע שיועבר מחברות הביטוח אל עורכת הסקר עוסק בהוצאות השכר בתחומי ה-</w:t>
      </w:r>
      <w:r>
        <w:rPr>
          <w:rFonts w:cs="David" w:hint="cs"/>
        </w:rPr>
        <w:t>IT</w:t>
      </w:r>
      <w:r>
        <w:rPr>
          <w:rFonts w:cs="David" w:hint="cs"/>
          <w:rtl/>
        </w:rPr>
        <w:t>. מידע זה עשוי לסייע לחברות הביטוח לאמוד את שכרם הממוצע של העובדים בתחומים הרלוונטיים לסקר. החשש הוא שהמידע שיועבר יאפשר את הפחתת תנאי השכר באורח מלאכותי וימנע</w:t>
      </w:r>
      <w:r>
        <w:rPr>
          <w:rFonts w:cs="David" w:hint="cs"/>
          <w:rtl/>
        </w:rPr>
        <w:t xml:space="preserve"> תחרות בין החברות על תנאי השכר המשולמים לעובדים. עם זאת, בחינת אופן עריכת הסקר והמדדים אשר יועברו לחברות הביטוח מעלה כי חשש זה מצומצם למדי: ראשית, הבחינה העלתה כי המדדים שיועברו אל חברות הביטוח, כתוצר של הסקר, לא יאפשרו להן לאבחן בין עובדים מסוגים שונים, ה</w:t>
      </w:r>
      <w:r>
        <w:rPr>
          <w:rFonts w:cs="David" w:hint="cs"/>
          <w:rtl/>
        </w:rPr>
        <w:t xml:space="preserve">נבדלים בתחומי התמחותם, יכולותיהם המקצועיות, הוותק שצברו, היקף המערכות וגודל </w:t>
      </w:r>
      <w:r>
        <w:rPr>
          <w:rFonts w:cs="David" w:hint="cs"/>
          <w:rtl/>
        </w:rPr>
        <w:lastRenderedPageBreak/>
        <w:t>האחריות המוטלת עליהם, קיום מרכיבים ניהוליים בתפקידם וכו'. שנית, חלק ניכר מהעובדים בתחומים אלו אינו מוגבל לעבודה בענף הביטוח בלבד, כך שהפחתה מלאכותית בשכרם תוביל למעבר שלהם לענפים א</w:t>
      </w:r>
      <w:r>
        <w:rPr>
          <w:rFonts w:cs="David" w:hint="cs"/>
          <w:rtl/>
        </w:rPr>
        <w:t>חרים. עוד אציין כי חשש דומה ניתן להעלות גם בקשר לתשומות הנרכשות על ידי חברות הביטוח מגורמים חיצוניים, בתחומים הרלוונטיים לסקר. גם לגבי תשומות אלו, נראה כי המדדים שיועברו אל חברות הביטוח לא יהיו ברמת הפירוט הנדרשת בכדי שחשש זה יתממש וכי חלק ניכר מהתשומות עש</w:t>
      </w:r>
      <w:r>
        <w:rPr>
          <w:rFonts w:cs="David" w:hint="cs"/>
          <w:rtl/>
        </w:rPr>
        <w:t>ויות לשמש גם ענפים אחרים.</w:t>
      </w:r>
    </w:p>
    <w:p w:rsidR="00000000" w:rsidRDefault="00667DB7">
      <w:pPr>
        <w:bidi/>
        <w:spacing w:after="120"/>
        <w:rPr>
          <w:rFonts w:cs="David" w:hint="cs"/>
          <w:rtl/>
        </w:rPr>
      </w:pPr>
      <w:r>
        <w:rPr>
          <w:rFonts w:cs="David" w:hint="cs"/>
          <w:rtl/>
        </w:rPr>
        <w:t>בנוסף, קיימים שיקולים נוספים המסייעים להקהות את החששות התחרותיים, בשני המישורים אשר צוינו לעיל. ראשית, המידע שיוצג בפני כל אחת מחברות הביטוח (מלבד מידע הנוגע לה עצמה) יהיה מידע מצרפי בלבד ולנוכח העובדה שמדובר ב-5 חברות, לא ניתן יה</w:t>
      </w:r>
      <w:r>
        <w:rPr>
          <w:rFonts w:cs="David" w:hint="cs"/>
          <w:rtl/>
        </w:rPr>
        <w:t>יה לשחזרו לגבי כל חברה בנפרד; שנית, במסגרת הסקר יועברו נתוני עבר בלבד, ואף בכך יש כדי להקהות מעוקצו התחרותי.</w:t>
      </w:r>
    </w:p>
    <w:p w:rsidR="00000000" w:rsidRDefault="00667DB7">
      <w:pPr>
        <w:bidi/>
        <w:spacing w:after="120"/>
        <w:rPr>
          <w:rFonts w:cs="David" w:hint="cs"/>
          <w:rtl/>
        </w:rPr>
      </w:pPr>
      <w:r>
        <w:rPr>
          <w:rFonts w:cs="David" w:hint="cs"/>
          <w:rtl/>
        </w:rPr>
        <w:t xml:space="preserve">אבהיר, כפי שנעשה גם בהחלטות קודמות, כי אין באיסוף המידע על ידי סומך חייקין כגוף חיצוני כדי להפיג את החששות התחרותיים הכרוכים באיסוף מידע זה, מה גם </w:t>
      </w:r>
      <w:r>
        <w:rPr>
          <w:rFonts w:cs="David" w:hint="cs"/>
          <w:rtl/>
        </w:rPr>
        <w:t>שמדובר בגוף המצוי בקשרי עבודה שוטפים עם רוב חברות הביטוח. על כן, גם במקרה זה, המגבלות החוזיות המצויות בהסדר אינן מהוות תחליף לתחימה מדויקת ופרטנית של המגבלות על העברת המידע, כפי שנעשה בתנאי החלטה זו</w:t>
      </w:r>
      <w:r>
        <w:rPr>
          <w:rStyle w:val="FootnoteReference"/>
          <w:rFonts w:cs="David"/>
          <w:rtl/>
        </w:rPr>
        <w:footnoteReference w:id="4"/>
      </w:r>
      <w:r>
        <w:rPr>
          <w:rStyle w:val="FootnoteReference"/>
          <w:rFonts w:eastAsia="Times New Roman" w:cs="David"/>
        </w:rPr>
        <w:t>[4]</w:t>
      </w:r>
      <w:r>
        <w:rPr>
          <w:rFonts w:cs="David" w:hint="cs"/>
          <w:rtl/>
        </w:rPr>
        <w:t>.</w:t>
      </w:r>
    </w:p>
    <w:p w:rsidR="00000000" w:rsidRDefault="00667DB7">
      <w:pPr>
        <w:bidi/>
        <w:spacing w:after="120"/>
        <w:rPr>
          <w:rFonts w:cs="David" w:hint="cs"/>
          <w:sz w:val="16"/>
          <w:szCs w:val="16"/>
          <w:rtl/>
        </w:rPr>
      </w:pPr>
      <w:r>
        <w:rPr>
          <w:rFonts w:cs="David" w:hint="cs"/>
          <w:rtl/>
        </w:rPr>
        <w:t>לנוכח כלל השיקולים המתוארים, הגעתי למסקנה כי ניתן יה</w:t>
      </w:r>
      <w:r>
        <w:rPr>
          <w:rFonts w:cs="David" w:hint="cs"/>
          <w:rtl/>
        </w:rPr>
        <w:t>יה להפיג בתנאים את החששות התחרותיים אשר תוארו לעיל. מכיוון שמדובר בסקר חד פעמי, אשר נדרשים מספר חודשים לצורך הכנתו, מצאתי לנכון לקצוב את תקופת הפטור באופן שלא תעלה על תקופה של שנה אחת מהיום.</w:t>
      </w:r>
    </w:p>
    <w:p w:rsidR="00000000" w:rsidRDefault="00667DB7">
      <w:pPr>
        <w:pStyle w:val="Heading1"/>
        <w:bidi/>
        <w:spacing w:before="240" w:beforeAutospacing="0" w:after="120" w:afterAutospacing="0"/>
        <w:ind w:left="360"/>
        <w:rPr>
          <w:rFonts w:eastAsia="Times New Roman" w:cs="David" w:hint="cs"/>
          <w:sz w:val="24"/>
          <w:szCs w:val="24"/>
          <w:rtl/>
        </w:rPr>
      </w:pPr>
      <w:r>
        <w:rPr>
          <w:rFonts w:eastAsia="Times New Roman" w:cs="David" w:hint="cs"/>
          <w:sz w:val="24"/>
          <w:szCs w:val="24"/>
          <w:rtl/>
        </w:rPr>
        <w:t>ד. סוף דבר</w:t>
      </w:r>
    </w:p>
    <w:p w:rsidR="00000000" w:rsidRDefault="00667DB7">
      <w:pPr>
        <w:pStyle w:val="Header"/>
        <w:bidi/>
        <w:spacing w:before="0" w:beforeAutospacing="0" w:after="120" w:afterAutospacing="0"/>
        <w:jc w:val="both"/>
        <w:rPr>
          <w:rFonts w:cs="David" w:hint="cs"/>
          <w:sz w:val="12"/>
          <w:szCs w:val="12"/>
          <w:rtl/>
        </w:rPr>
      </w:pPr>
      <w:r>
        <w:rPr>
          <w:rFonts w:cs="David" w:hint="cs"/>
          <w:rtl/>
        </w:rPr>
        <w:t>לאחר שנועצתי בועדה לפטורים ומיזוגים ומכוח הסמכות הנתונ</w:t>
      </w:r>
      <w:r>
        <w:rPr>
          <w:rFonts w:cs="David" w:hint="cs"/>
          <w:rtl/>
        </w:rPr>
        <w:t>ה לי בסעיף 14 לחוק ההגבלים העסקיים, ניתן בזה פטור, בתנאים המפורטים להלן, לחברות הביטוח המבקשות ולסומך חייקין, מן החובה לקבל את אישור בית הדין להגבלים עסקיים לעריכת סקר מדדים בתחום ה-</w:t>
      </w:r>
      <w:r>
        <w:rPr>
          <w:rFonts w:cs="David" w:hint="cs"/>
        </w:rPr>
        <w:t>IT</w:t>
      </w:r>
      <w:r>
        <w:rPr>
          <w:rFonts w:cs="David" w:hint="cs"/>
          <w:rtl/>
        </w:rPr>
        <w:t xml:space="preserve">. </w:t>
      </w:r>
    </w:p>
    <w:p w:rsidR="00000000" w:rsidRDefault="00667DB7">
      <w:pPr>
        <w:pStyle w:val="Header"/>
        <w:bidi/>
        <w:spacing w:before="360" w:beforeAutospacing="0" w:after="120" w:afterAutospacing="0"/>
        <w:jc w:val="both"/>
        <w:rPr>
          <w:rFonts w:cs="David" w:hint="cs"/>
          <w:rtl/>
        </w:rPr>
      </w:pPr>
      <w:r>
        <w:rPr>
          <w:rStyle w:val="Strong"/>
          <w:rFonts w:cs="David" w:hint="cs"/>
          <w:rtl/>
        </w:rPr>
        <w:t>הגדרות:</w:t>
      </w:r>
    </w:p>
    <w:p w:rsidR="00000000" w:rsidRDefault="00667DB7">
      <w:pPr>
        <w:bidi/>
        <w:spacing w:after="120"/>
        <w:rPr>
          <w:rFonts w:cs="David" w:hint="cs"/>
          <w:rtl/>
        </w:rPr>
      </w:pPr>
      <w:r>
        <w:rPr>
          <w:rFonts w:cs="David" w:hint="cs"/>
          <w:rtl/>
        </w:rPr>
        <w:t xml:space="preserve">בתנאים אלה יהיו למונחים הבאים הפירוש המופיע לצדם להלן: </w:t>
      </w:r>
    </w:p>
    <w:p w:rsidR="00000000" w:rsidRDefault="00667DB7">
      <w:pPr>
        <w:bidi/>
        <w:spacing w:after="120"/>
        <w:ind w:left="2186" w:hanging="2186"/>
        <w:rPr>
          <w:rFonts w:cs="David" w:hint="cs"/>
          <w:rtl/>
        </w:rPr>
      </w:pPr>
      <w:r>
        <w:rPr>
          <w:rFonts w:cs="David" w:hint="cs"/>
          <w:rtl/>
        </w:rPr>
        <w:t>"</w:t>
      </w:r>
      <w:r>
        <w:rPr>
          <w:rStyle w:val="Strong"/>
          <w:rFonts w:cs="David" w:hint="cs"/>
          <w:rtl/>
        </w:rPr>
        <w:t>חברות הביטוח</w:t>
      </w:r>
      <w:r>
        <w:rPr>
          <w:rFonts w:cs="David" w:hint="cs"/>
          <w:rtl/>
        </w:rPr>
        <w:t xml:space="preserve">" </w:t>
      </w:r>
      <w:r>
        <w:rPr>
          <w:rStyle w:val="Strong"/>
          <w:rFonts w:cs="David" w:hint="cs"/>
          <w:rtl/>
        </w:rPr>
        <w:t>-</w:t>
      </w:r>
      <w:r>
        <w:rPr>
          <w:rFonts w:cs="David" w:hint="cs"/>
          <w:rtl/>
        </w:rPr>
        <w:t xml:space="preserve">     </w:t>
      </w:r>
      <w:r>
        <w:rPr>
          <w:rFonts w:hint="cs"/>
        </w:rPr>
        <w:t xml:space="preserve">  </w:t>
      </w:r>
      <w:r>
        <w:rPr>
          <w:rFonts w:cs="David" w:hint="cs"/>
          <w:rtl/>
        </w:rPr>
        <w:t>כלל, מגדל, הראל, מנורה והפניקס;</w:t>
      </w:r>
    </w:p>
    <w:p w:rsidR="00000000" w:rsidRDefault="00667DB7">
      <w:pPr>
        <w:bidi/>
        <w:spacing w:after="120"/>
        <w:ind w:left="2186" w:hanging="2186"/>
        <w:rPr>
          <w:rFonts w:cs="David" w:hint="cs"/>
          <w:rtl/>
        </w:rPr>
      </w:pPr>
      <w:r>
        <w:rPr>
          <w:rFonts w:cs="David" w:hint="cs"/>
          <w:rtl/>
        </w:rPr>
        <w:t>"</w:t>
      </w:r>
      <w:r>
        <w:rPr>
          <w:rStyle w:val="Strong"/>
          <w:rFonts w:cs="David" w:hint="cs"/>
          <w:rtl/>
        </w:rPr>
        <w:t>הגוף הסוקר</w:t>
      </w:r>
      <w:r>
        <w:rPr>
          <w:rFonts w:cs="David" w:hint="cs"/>
          <w:rtl/>
        </w:rPr>
        <w:t>"</w:t>
      </w:r>
      <w:r>
        <w:rPr>
          <w:rStyle w:val="Strong"/>
          <w:rFonts w:cs="David" w:hint="cs"/>
          <w:rtl/>
        </w:rPr>
        <w:t xml:space="preserve">- </w:t>
      </w:r>
      <w:r>
        <w:rPr>
          <w:rFonts w:cs="David" w:hint="cs"/>
          <w:rtl/>
        </w:rPr>
        <w:tab/>
        <w:t>מחלקת ניהול סיכונים פיננסיים וכן ראש מערך הייעוץ, משרד רואי החשבון סומך חייקין;</w:t>
      </w:r>
    </w:p>
    <w:p w:rsidR="00000000" w:rsidRDefault="00667DB7">
      <w:pPr>
        <w:bidi/>
        <w:spacing w:after="120"/>
        <w:ind w:left="2186" w:hanging="2186"/>
        <w:rPr>
          <w:rFonts w:cs="David" w:hint="cs"/>
          <w:rtl/>
        </w:rPr>
      </w:pPr>
      <w:r>
        <w:rPr>
          <w:rFonts w:cs="David" w:hint="cs"/>
          <w:rtl/>
        </w:rPr>
        <w:t>"</w:t>
      </w:r>
      <w:r>
        <w:rPr>
          <w:rStyle w:val="Strong"/>
          <w:rFonts w:cs="David" w:hint="cs"/>
          <w:rtl/>
        </w:rPr>
        <w:t>נתונים נדרשים</w:t>
      </w:r>
      <w:r>
        <w:rPr>
          <w:rFonts w:cs="David" w:hint="cs"/>
          <w:rtl/>
        </w:rPr>
        <w:t>"</w:t>
      </w:r>
      <w:r>
        <w:rPr>
          <w:rStyle w:val="Strong"/>
          <w:rFonts w:cs="David" w:hint="cs"/>
          <w:rtl/>
        </w:rPr>
        <w:t xml:space="preserve"> -</w:t>
      </w:r>
      <w:r>
        <w:rPr>
          <w:rFonts w:cs="David" w:hint="cs"/>
          <w:rtl/>
        </w:rPr>
        <w:t xml:space="preserve">     </w:t>
      </w:r>
      <w:r>
        <w:rPr>
          <w:rFonts w:cs="David" w:hint="cs"/>
          <w:rtl/>
        </w:rPr>
        <w:t>הנתונים אותם נדרשות חברות הביטוח להעביר אל סומך חייקין לשם חישוב המדדים, כמפורט בנוסח המעודכן של מכתב ההתקשרות שהועבר לידי רשות ההגבלים העסקיים ביום 6 בינואר 2011, אשר יצורף כנספח א' להחלטתי זו;</w:t>
      </w:r>
    </w:p>
    <w:p w:rsidR="00000000" w:rsidRDefault="00667DB7">
      <w:pPr>
        <w:bidi/>
        <w:spacing w:after="120"/>
        <w:ind w:left="2160" w:hanging="2160"/>
        <w:rPr>
          <w:rFonts w:cs="David" w:hint="cs"/>
          <w:rtl/>
        </w:rPr>
      </w:pPr>
      <w:r>
        <w:rPr>
          <w:rFonts w:cs="David" w:hint="cs"/>
          <w:rtl/>
        </w:rPr>
        <w:t>"</w:t>
      </w:r>
      <w:r>
        <w:rPr>
          <w:rStyle w:val="Strong"/>
          <w:rFonts w:cs="David" w:hint="cs"/>
          <w:rtl/>
        </w:rPr>
        <w:t>תוצאות הסקר</w:t>
      </w:r>
      <w:r>
        <w:rPr>
          <w:rFonts w:cs="David" w:hint="cs"/>
          <w:rtl/>
        </w:rPr>
        <w:t>"</w:t>
      </w:r>
      <w:r>
        <w:rPr>
          <w:rStyle w:val="Strong"/>
          <w:rFonts w:cs="David" w:hint="cs"/>
          <w:rtl/>
        </w:rPr>
        <w:t xml:space="preserve"> -</w:t>
      </w:r>
      <w:r>
        <w:rPr>
          <w:rStyle w:val="Strong"/>
          <w:rFonts w:cs="David" w:hint="cs"/>
          <w:rtl/>
        </w:rPr>
        <w:tab/>
      </w:r>
      <w:r>
        <w:rPr>
          <w:rFonts w:cs="David" w:hint="cs"/>
          <w:rtl/>
        </w:rPr>
        <w:t>ממוצע פשוט של המדדים המפורטים בנספח א' והמחוש</w:t>
      </w:r>
      <w:r>
        <w:rPr>
          <w:rFonts w:cs="David" w:hint="cs"/>
          <w:rtl/>
        </w:rPr>
        <w:t>בים עבור חמש חברות הביטוח וכן, עבור כל חברה מחברות הביטוח בנפרד, היחס שבין מדדי החברה לממוצע פשוט של מדדי חמש החברות. והכל, ביחס לשלוש השנים האחרונות;</w:t>
      </w:r>
    </w:p>
    <w:p w:rsidR="00000000" w:rsidRDefault="00667DB7">
      <w:pPr>
        <w:bidi/>
        <w:spacing w:after="120"/>
        <w:rPr>
          <w:rStyle w:val="Strong"/>
          <w:rFonts w:hint="cs"/>
          <w:sz w:val="12"/>
          <w:szCs w:val="12"/>
          <w:rtl/>
        </w:rPr>
      </w:pPr>
      <w:r>
        <w:rPr>
          <w:rFonts w:cs="David" w:hint="cs"/>
          <w:rtl/>
        </w:rPr>
        <w:t>למונחים אחרים שבתנאים אלה ובהגדרות לעיל תהא המשמעות הנודעת להם בכללי ההגבלים העסקיים (הוראות והגדרות כללי</w:t>
      </w:r>
      <w:r>
        <w:rPr>
          <w:rFonts w:cs="David" w:hint="cs"/>
          <w:rtl/>
        </w:rPr>
        <w:t>ות), התשס"א-2001.</w:t>
      </w:r>
    </w:p>
    <w:p w:rsidR="00000000" w:rsidRDefault="00667DB7">
      <w:pPr>
        <w:bidi/>
        <w:spacing w:before="360" w:after="120"/>
        <w:rPr>
          <w:rFonts w:hint="cs"/>
          <w:rtl/>
        </w:rPr>
      </w:pPr>
      <w:r>
        <w:rPr>
          <w:rStyle w:val="Strong"/>
          <w:rFonts w:cs="David" w:hint="cs"/>
          <w:rtl/>
        </w:rPr>
        <w:t>תנאים</w:t>
      </w:r>
      <w:r>
        <w:rPr>
          <w:rFonts w:cs="David" w:hint="cs"/>
          <w:rtl/>
        </w:rPr>
        <w:t>:</w:t>
      </w:r>
    </w:p>
    <w:p w:rsidR="00000000" w:rsidRDefault="00667DB7">
      <w:pPr>
        <w:tabs>
          <w:tab w:val="num" w:pos="900"/>
        </w:tabs>
        <w:bidi/>
        <w:spacing w:before="120" w:line="360" w:lineRule="auto"/>
        <w:ind w:left="900" w:hanging="540"/>
        <w:rPr>
          <w:rFonts w:cs="David" w:hint="cs"/>
          <w:rtl/>
        </w:rPr>
      </w:pPr>
      <w:r>
        <w:rPr>
          <w:rFonts w:hint="cs"/>
          <w:rtl/>
        </w:rPr>
        <w:t>1.</w:t>
      </w:r>
      <w:r>
        <w:rPr>
          <w:sz w:val="14"/>
          <w:szCs w:val="14"/>
          <w:rtl/>
        </w:rPr>
        <w:t xml:space="preserve">             </w:t>
      </w:r>
      <w:r>
        <w:rPr>
          <w:rFonts w:cs="David" w:hint="cs"/>
          <w:rtl/>
        </w:rPr>
        <w:t>הפעילות המותרת במסגרת פטור זה היא עריכת סקר מדדים בתחום הוצאות ה-</w:t>
      </w:r>
      <w:r>
        <w:rPr>
          <w:rFonts w:cs="David" w:hint="cs"/>
        </w:rPr>
        <w:t>IT</w:t>
      </w:r>
      <w:r>
        <w:rPr>
          <w:rFonts w:cs="David" w:hint="cs"/>
          <w:rtl/>
        </w:rPr>
        <w:t xml:space="preserve"> בהשתתפות חברות הביטוח (להלן: "</w:t>
      </w:r>
      <w:r>
        <w:rPr>
          <w:rStyle w:val="Strong"/>
          <w:rFonts w:cs="David" w:hint="cs"/>
          <w:rtl/>
        </w:rPr>
        <w:t>הסקר</w:t>
      </w:r>
      <w:r>
        <w:rPr>
          <w:rFonts w:cs="David" w:hint="cs"/>
          <w:rtl/>
        </w:rPr>
        <w:t>"). פטור זה אינו מתיר כל פעילות החורגת מהאמור.</w:t>
      </w:r>
    </w:p>
    <w:p w:rsidR="00000000" w:rsidRDefault="00667DB7">
      <w:pPr>
        <w:tabs>
          <w:tab w:val="num" w:pos="900"/>
        </w:tabs>
        <w:bidi/>
        <w:spacing w:before="120" w:line="360" w:lineRule="auto"/>
        <w:ind w:left="900" w:hanging="540"/>
        <w:rPr>
          <w:rFonts w:cs="David" w:hint="cs"/>
        </w:rPr>
      </w:pPr>
      <w:r>
        <w:rPr>
          <w:rFonts w:hint="cs"/>
          <w:rtl/>
        </w:rPr>
        <w:t>2.</w:t>
      </w:r>
      <w:r>
        <w:rPr>
          <w:sz w:val="14"/>
          <w:szCs w:val="14"/>
          <w:rtl/>
        </w:rPr>
        <w:t xml:space="preserve">             </w:t>
      </w:r>
      <w:r>
        <w:rPr>
          <w:rFonts w:cs="David" w:hint="cs"/>
          <w:rtl/>
        </w:rPr>
        <w:t>הגוף הסוקר יעביר לכל חברה את תוצאות הסקר בלבד. תוצאו</w:t>
      </w:r>
      <w:r>
        <w:rPr>
          <w:rFonts w:cs="David" w:hint="cs"/>
          <w:rtl/>
        </w:rPr>
        <w:t xml:space="preserve">ת הסקר יוצגו באופן אשר לא יאפשר לחברות הביטוח לזהות את נתוניה או מדדיה הפרטניים של חברת ביטוח אחרת. מבלי לגרוע מכלליות האמור, כל חמש חברות הביטוח ישתתפו בסקר, וכלל המדדים אשר יוצגו לחברות הביטוח יכללו את הממוצע של כל חמש חברות הביטוח (למעט המדד של כל חברה </w:t>
      </w:r>
      <w:r>
        <w:rPr>
          <w:rFonts w:cs="David" w:hint="cs"/>
          <w:rtl/>
        </w:rPr>
        <w:t>המוצג לאותה החברה בלבד);</w:t>
      </w:r>
    </w:p>
    <w:p w:rsidR="00000000" w:rsidRDefault="00667DB7">
      <w:pPr>
        <w:tabs>
          <w:tab w:val="num" w:pos="900"/>
        </w:tabs>
        <w:bidi/>
        <w:spacing w:before="120" w:line="360" w:lineRule="auto"/>
        <w:ind w:left="900" w:hanging="540"/>
        <w:rPr>
          <w:rFonts w:cs="David" w:hint="cs"/>
        </w:rPr>
      </w:pPr>
      <w:r>
        <w:rPr>
          <w:rFonts w:hint="cs"/>
          <w:rtl/>
        </w:rPr>
        <w:t>3.</w:t>
      </w:r>
      <w:r>
        <w:rPr>
          <w:sz w:val="14"/>
          <w:szCs w:val="14"/>
          <w:rtl/>
        </w:rPr>
        <w:t xml:space="preserve">             </w:t>
      </w:r>
      <w:r>
        <w:rPr>
          <w:rFonts w:cs="David" w:hint="cs"/>
          <w:rtl/>
        </w:rPr>
        <w:t>לצורך עריכת הסקר לא יועברו לידי הגוף הסוקר נתונים נוספים על אלו הכלולים בנתונים הנדרשים, ולא יוצגו לחברות הביטוח מדדים נוספים פרט לאלו הכלולים בתוצאות הסקר, ללא קבלת אישור מראש ובכתב מאת הממונה על הגבלים עסקיים;</w:t>
      </w:r>
    </w:p>
    <w:p w:rsidR="00000000" w:rsidRDefault="00667DB7">
      <w:pPr>
        <w:tabs>
          <w:tab w:val="num" w:pos="900"/>
        </w:tabs>
        <w:bidi/>
        <w:spacing w:before="120" w:line="360" w:lineRule="auto"/>
        <w:ind w:left="900" w:hanging="540"/>
        <w:rPr>
          <w:rFonts w:cs="David" w:hint="cs"/>
        </w:rPr>
      </w:pPr>
      <w:r>
        <w:rPr>
          <w:rFonts w:hint="cs"/>
          <w:rtl/>
        </w:rPr>
        <w:t>4.</w:t>
      </w:r>
      <w:r>
        <w:rPr>
          <w:sz w:val="14"/>
          <w:szCs w:val="14"/>
          <w:rtl/>
        </w:rPr>
        <w:t>  </w:t>
      </w:r>
      <w:r>
        <w:rPr>
          <w:sz w:val="14"/>
          <w:szCs w:val="14"/>
          <w:rtl/>
        </w:rPr>
        <w:t xml:space="preserve">           </w:t>
      </w:r>
      <w:r>
        <w:rPr>
          <w:rFonts w:cs="David" w:hint="cs"/>
          <w:rtl/>
        </w:rPr>
        <w:t xml:space="preserve">הנתונים הנדרשים יועברו מכל חברה בנפרד ישירות לידי הגוף הסוקר ואליו בלבד; </w:t>
      </w:r>
    </w:p>
    <w:p w:rsidR="00000000" w:rsidRDefault="00667DB7">
      <w:pPr>
        <w:tabs>
          <w:tab w:val="num" w:pos="900"/>
        </w:tabs>
        <w:bidi/>
        <w:spacing w:before="120" w:line="360" w:lineRule="auto"/>
        <w:ind w:left="900" w:hanging="540"/>
        <w:rPr>
          <w:rFonts w:cs="David" w:hint="cs"/>
        </w:rPr>
      </w:pPr>
      <w:r>
        <w:rPr>
          <w:rFonts w:hint="cs"/>
          <w:rtl/>
        </w:rPr>
        <w:t>5.</w:t>
      </w:r>
      <w:r>
        <w:rPr>
          <w:sz w:val="14"/>
          <w:szCs w:val="14"/>
          <w:rtl/>
        </w:rPr>
        <w:t xml:space="preserve">             </w:t>
      </w:r>
      <w:r>
        <w:rPr>
          <w:rFonts w:cs="David" w:hint="cs"/>
          <w:rtl/>
        </w:rPr>
        <w:t>לא יתקיים כל מגע, דיון, שיח ו/או קשר אחר בין חמש חברות הביטוח בכל הנוגע לסקר;</w:t>
      </w:r>
    </w:p>
    <w:p w:rsidR="00000000" w:rsidRDefault="00667DB7">
      <w:pPr>
        <w:tabs>
          <w:tab w:val="num" w:pos="900"/>
        </w:tabs>
        <w:bidi/>
        <w:spacing w:before="120" w:line="360" w:lineRule="auto"/>
        <w:ind w:left="900" w:hanging="540"/>
        <w:rPr>
          <w:rFonts w:cs="David" w:hint="cs"/>
        </w:rPr>
      </w:pPr>
      <w:r>
        <w:rPr>
          <w:rFonts w:hint="cs"/>
          <w:rtl/>
        </w:rPr>
        <w:t>6.</w:t>
      </w:r>
      <w:r>
        <w:rPr>
          <w:sz w:val="14"/>
          <w:szCs w:val="14"/>
          <w:rtl/>
        </w:rPr>
        <w:t xml:space="preserve">             </w:t>
      </w:r>
      <w:r>
        <w:rPr>
          <w:rFonts w:cs="David" w:hint="cs"/>
          <w:rtl/>
        </w:rPr>
        <w:t>הגוף הסוקר לא יעביר, במישרין או בעקיפין, את הנתונים הנדרשים ו/א</w:t>
      </w:r>
      <w:r>
        <w:rPr>
          <w:rFonts w:cs="David" w:hint="cs"/>
          <w:rtl/>
        </w:rPr>
        <w:t>ו תוצאות הסקר ו/או כל חלק מהם (להלן בסעיף זה: "</w:t>
      </w:r>
      <w:r>
        <w:rPr>
          <w:rStyle w:val="Strong"/>
          <w:rFonts w:cs="David" w:hint="cs"/>
          <w:rtl/>
        </w:rPr>
        <w:t>המידע</w:t>
      </w:r>
      <w:r>
        <w:rPr>
          <w:rFonts w:cs="David" w:hint="cs"/>
          <w:rtl/>
        </w:rPr>
        <w:t>") לצד שלישי כלשהו. מבלי לגרוע מכלליות האמור, הגוף הסוקר לא יעביר את המידע לגורם כלשהו בתוך סומך חייקין שאינו הגוף הסוקר וכן לא יעביר את המידע של חברת ביטוח אחת אל חברת ביטוח אחרת;</w:t>
      </w:r>
    </w:p>
    <w:p w:rsidR="00000000" w:rsidRDefault="00667DB7">
      <w:pPr>
        <w:tabs>
          <w:tab w:val="num" w:pos="900"/>
        </w:tabs>
        <w:bidi/>
        <w:spacing w:before="120" w:line="360" w:lineRule="auto"/>
        <w:ind w:left="900" w:hanging="540"/>
        <w:rPr>
          <w:rFonts w:cs="David" w:hint="cs"/>
        </w:rPr>
      </w:pPr>
      <w:r>
        <w:rPr>
          <w:rFonts w:hint="cs"/>
          <w:rtl/>
        </w:rPr>
        <w:t>7.</w:t>
      </w:r>
      <w:r>
        <w:rPr>
          <w:sz w:val="14"/>
          <w:szCs w:val="14"/>
          <w:rtl/>
        </w:rPr>
        <w:t xml:space="preserve">             </w:t>
      </w:r>
      <w:r>
        <w:rPr>
          <w:rFonts w:cs="David" w:hint="cs"/>
          <w:rtl/>
        </w:rPr>
        <w:t>טרם תחיל</w:t>
      </w:r>
      <w:r>
        <w:rPr>
          <w:rFonts w:cs="David" w:hint="cs"/>
          <w:rtl/>
        </w:rPr>
        <w:t>ת ביצוע תפקידו של כל אדם מטעם חברות הביטוח או מטעם הגוף הסוקר, אשר ייטול חלק בפעילות הסקר, תועבר לרשות ההגבלים העסקיים חתימתו על כתב התחייבות בנוסח המצורף לתנאים אלה כנספח ב'.</w:t>
      </w:r>
    </w:p>
    <w:p w:rsidR="00000000" w:rsidRDefault="00667DB7">
      <w:pPr>
        <w:tabs>
          <w:tab w:val="num" w:pos="900"/>
        </w:tabs>
        <w:bidi/>
        <w:spacing w:before="120" w:line="360" w:lineRule="auto"/>
        <w:ind w:left="900" w:hanging="540"/>
        <w:rPr>
          <w:rFonts w:cs="David" w:hint="cs"/>
        </w:rPr>
      </w:pPr>
      <w:r>
        <w:rPr>
          <w:rFonts w:hint="cs"/>
          <w:rtl/>
        </w:rPr>
        <w:t>8.</w:t>
      </w:r>
      <w:r>
        <w:rPr>
          <w:sz w:val="14"/>
          <w:szCs w:val="14"/>
          <w:rtl/>
        </w:rPr>
        <w:t xml:space="preserve">             </w:t>
      </w:r>
      <w:r>
        <w:rPr>
          <w:rFonts w:cs="David" w:hint="cs"/>
          <w:rtl/>
        </w:rPr>
        <w:t>זולת אם נקבע במסמך זה במפורש אחרת, כל מגבלה החלה על תאגיד מכוח תנ</w:t>
      </w:r>
      <w:r>
        <w:rPr>
          <w:rFonts w:cs="David" w:hint="cs"/>
          <w:rtl/>
        </w:rPr>
        <w:t>אים אלה, חלה גם על כל אדם השולט בו וכן על כל תאגיד הנשלט על ידו.</w:t>
      </w:r>
    </w:p>
    <w:p w:rsidR="00000000" w:rsidRDefault="00667DB7">
      <w:pPr>
        <w:bidi/>
        <w:spacing w:before="120" w:line="360" w:lineRule="auto"/>
        <w:rPr>
          <w:rFonts w:hint="cs"/>
          <w:sz w:val="12"/>
          <w:szCs w:val="12"/>
        </w:rPr>
      </w:pPr>
    </w:p>
    <w:p w:rsidR="00000000" w:rsidRDefault="00667DB7">
      <w:pPr>
        <w:pStyle w:val="Header"/>
        <w:bidi/>
        <w:spacing w:before="0" w:beforeAutospacing="0" w:after="120" w:afterAutospacing="0"/>
        <w:jc w:val="both"/>
        <w:rPr>
          <w:rFonts w:cs="David" w:hint="cs"/>
          <w:rtl/>
        </w:rPr>
      </w:pPr>
      <w:r>
        <w:rPr>
          <w:rFonts w:cs="David" w:hint="cs"/>
          <w:rtl/>
        </w:rPr>
        <w:t xml:space="preserve">תוקפו של פטור זה הינו </w:t>
      </w:r>
      <w:r>
        <w:rPr>
          <w:rStyle w:val="Strong"/>
          <w:rFonts w:cs="David" w:hint="cs"/>
          <w:rtl/>
        </w:rPr>
        <w:t>לשנה אחת</w:t>
      </w:r>
      <w:r>
        <w:rPr>
          <w:rFonts w:cs="David" w:hint="cs"/>
          <w:rtl/>
        </w:rPr>
        <w:t>.</w:t>
      </w:r>
    </w:p>
    <w:p w:rsidR="00000000" w:rsidRDefault="00667DB7">
      <w:pPr>
        <w:pStyle w:val="Header"/>
        <w:bidi/>
        <w:spacing w:before="0" w:beforeAutospacing="0" w:after="120" w:afterAutospacing="0"/>
        <w:jc w:val="both"/>
        <w:rPr>
          <w:rFonts w:cs="David" w:hint="cs"/>
          <w:sz w:val="12"/>
          <w:szCs w:val="12"/>
          <w:rtl/>
        </w:rPr>
      </w:pPr>
    </w:p>
    <w:p w:rsidR="00000000" w:rsidRDefault="00667DB7">
      <w:pPr>
        <w:pStyle w:val="Header"/>
        <w:bidi/>
        <w:spacing w:before="0" w:beforeAutospacing="0" w:after="120" w:afterAutospacing="0"/>
        <w:jc w:val="both"/>
        <w:rPr>
          <w:rFonts w:cs="David" w:hint="cs"/>
          <w:rtl/>
        </w:rPr>
      </w:pPr>
      <w:r>
        <w:rPr>
          <w:rFonts w:cs="David" w:hint="cs"/>
          <w:rtl/>
        </w:rPr>
        <w:t>בהתאם לסעיף 15(א) לחוק ההגבלים העסקיים נתונה החלטתי זו לערר בפני אב בית הדין להגבלים עסקיים על ידי איגוד עסקי, ארגון צרכנים או כל אדם העלול להיפגע מההסדר הכובל עליו ניתן הפטור.</w:t>
      </w:r>
    </w:p>
    <w:p w:rsidR="00000000" w:rsidRDefault="00667DB7">
      <w:pPr>
        <w:pStyle w:val="Header"/>
        <w:bidi/>
        <w:spacing w:before="0" w:beforeAutospacing="0" w:after="120" w:afterAutospacing="0"/>
        <w:jc w:val="both"/>
        <w:rPr>
          <w:rFonts w:cs="David" w:hint="cs"/>
          <w:rtl/>
        </w:rPr>
      </w:pPr>
    </w:p>
    <w:p w:rsidR="00000000" w:rsidRDefault="00667DB7">
      <w:pPr>
        <w:bidi/>
        <w:spacing w:before="120" w:after="120" w:line="360" w:lineRule="auto"/>
        <w:ind w:left="5040"/>
        <w:jc w:val="center"/>
        <w:rPr>
          <w:rFonts w:cs="David" w:hint="cs"/>
          <w:rtl/>
        </w:rPr>
      </w:pPr>
      <w:r>
        <w:rPr>
          <w:rFonts w:cs="David" w:hint="cs"/>
          <w:rtl/>
        </w:rPr>
        <w:t>ד"ר</w:t>
      </w:r>
      <w:r>
        <w:rPr>
          <w:rFonts w:cs="David" w:hint="cs"/>
          <w:rtl/>
        </w:rPr>
        <w:t xml:space="preserve"> </w:t>
      </w:r>
      <w:r>
        <w:rPr>
          <w:rFonts w:cs="David" w:hint="cs"/>
          <w:rtl/>
        </w:rPr>
        <w:t>שלומי פריז</w:t>
      </w:r>
      <w:r>
        <w:rPr>
          <w:rFonts w:cs="David" w:hint="cs"/>
          <w:rtl/>
        </w:rPr>
        <w:t>ט</w:t>
      </w:r>
    </w:p>
    <w:p w:rsidR="00000000" w:rsidRDefault="00667DB7">
      <w:pPr>
        <w:bidi/>
        <w:spacing w:before="120" w:after="120" w:line="360" w:lineRule="auto"/>
        <w:ind w:left="4886"/>
        <w:jc w:val="center"/>
        <w:rPr>
          <w:rFonts w:cs="David" w:hint="cs"/>
          <w:rtl/>
        </w:rPr>
      </w:pPr>
      <w:r>
        <w:rPr>
          <w:rFonts w:cs="David" w:hint="cs"/>
          <w:rtl/>
        </w:rPr>
        <w:t>הממונה על הגבלים עסקיים (בפועל)</w:t>
      </w:r>
    </w:p>
    <w:p w:rsidR="00000000" w:rsidRDefault="00667DB7">
      <w:pPr>
        <w:pStyle w:val="Header"/>
        <w:bidi/>
        <w:spacing w:before="0" w:beforeAutospacing="0" w:after="120" w:afterAutospacing="0"/>
        <w:jc w:val="both"/>
        <w:rPr>
          <w:rFonts w:cs="David" w:hint="cs"/>
          <w:sz w:val="8"/>
          <w:szCs w:val="8"/>
          <w:rtl/>
        </w:rPr>
      </w:pPr>
      <w:r>
        <w:rPr>
          <w:rFonts w:cs="David" w:hint="cs"/>
          <w:sz w:val="16"/>
          <w:szCs w:val="16"/>
          <w:rtl/>
        </w:rPr>
        <w:t> </w:t>
      </w:r>
    </w:p>
    <w:p w:rsidR="00000000" w:rsidRDefault="00667DB7">
      <w:pPr>
        <w:bidi/>
        <w:spacing w:after="120" w:line="360" w:lineRule="auto"/>
        <w:rPr>
          <w:rFonts w:cs="David" w:hint="cs"/>
          <w:rtl/>
        </w:rPr>
      </w:pPr>
      <w:r>
        <w:rPr>
          <w:rFonts w:cs="David" w:hint="cs"/>
          <w:rtl/>
        </w:rPr>
        <w:t>ירושלים, כ"ט אדר ב' תשע"א</w:t>
      </w:r>
    </w:p>
    <w:p w:rsidR="00000000" w:rsidRDefault="00667DB7">
      <w:pPr>
        <w:bidi/>
        <w:spacing w:after="120" w:line="360" w:lineRule="auto"/>
        <w:rPr>
          <w:rFonts w:cs="David" w:hint="cs"/>
          <w:rtl/>
        </w:rPr>
      </w:pPr>
      <w:r>
        <w:rPr>
          <w:rFonts w:cs="David" w:hint="cs"/>
          <w:rtl/>
        </w:rPr>
        <w:t xml:space="preserve">4 </w:t>
      </w:r>
      <w:r>
        <w:rPr>
          <w:rFonts w:cs="David" w:hint="cs"/>
          <w:rtl/>
        </w:rPr>
        <w:t>באפריל 2011</w:t>
      </w:r>
    </w:p>
    <w:p w:rsidR="00000000" w:rsidRDefault="00667DB7">
      <w:pPr>
        <w:bidi/>
        <w:spacing w:before="120" w:after="120"/>
        <w:jc w:val="center"/>
        <w:rPr>
          <w:rStyle w:val="Strong"/>
          <w:rFonts w:hint="cs"/>
          <w:u w:val="single"/>
          <w:rtl/>
        </w:rPr>
      </w:pPr>
      <w:r>
        <w:rPr>
          <w:rFonts w:eastAsia="Times New Roman" w:cs="David" w:hint="cs"/>
          <w:rtl/>
        </w:rPr>
        <w:br w:type="page"/>
      </w:r>
      <w:r>
        <w:rPr>
          <w:rFonts w:hint="cs"/>
          <w:noProof/>
          <w:rtl/>
        </w:rPr>
        <mc:AlternateContent>
          <mc:Choice Requires="wps">
            <w:drawing>
              <wp:anchor distT="0" distB="0" distL="114300" distR="114300" simplePos="0" relativeHeight="251656192" behindDoc="0" locked="0" layoutInCell="1" allowOverlap="1">
                <wp:simplePos x="0" y="0"/>
                <wp:positionH relativeFrom="column">
                  <wp:posOffset>2057400</wp:posOffset>
                </wp:positionH>
                <wp:positionV relativeFrom="paragraph">
                  <wp:posOffset>-342900</wp:posOffset>
                </wp:positionV>
                <wp:extent cx="1485900" cy="457200"/>
                <wp:effectExtent l="0" t="0" r="0" b="0"/>
                <wp:wrapNone/>
                <wp:docPr id="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667DB7">
                            <w:pPr>
                              <w:bidi/>
                              <w:spacing w:before="120" w:after="120"/>
                              <w:jc w:val="center"/>
                              <w:rPr>
                                <w:rStyle w:val="Strong"/>
                                <w:rFonts w:cs="David"/>
                                <w:u w:val="single"/>
                              </w:rPr>
                            </w:pPr>
                            <w:r>
                              <w:rPr>
                                <w:rStyle w:val="Strong"/>
                                <w:rFonts w:cs="David" w:hint="cs"/>
                                <w:u w:val="single"/>
                                <w:rtl/>
                              </w:rPr>
                              <w:t>נספח א'</w:t>
                            </w:r>
                          </w:p>
                          <w:p w:rsidR="00000000" w:rsidRDefault="00667DB7">
                            <w:pPr>
                              <w:bidi/>
                              <w:spacing w:after="120"/>
                              <w:rPr>
                                <w:rFonts w:hint="cs"/>
                                <w:rt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162pt;margin-top:-27pt;width:117pt;height:36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" filled="f" stroked="f">
                <v:textbox>
                  <w:txbxContent>
                    <w:p w:rsidR="00000000" w:rsidRDefault="00667DB7">
                      <w:pPr>
                        <w:bidi/>
                        <w:spacing w:before="120" w:after="120"/>
                        <w:jc w:val="center"/>
                        <w:rPr>
                          <w:rStyle w:val="Strong"/>
                          <w:rFonts w:cs="David"/>
                          <w:u w:val="single"/>
                        </w:rPr>
                      </w:pPr>
                      <w:r>
                        <w:rPr>
                          <w:rStyle w:val="Strong"/>
                          <w:rFonts w:cs="David" w:hint="cs"/>
                          <w:u w:val="single"/>
                          <w:rtl/>
                        </w:rPr>
                        <w:t>נספח א'</w:t>
                      </w:r>
                    </w:p>
                    <w:p w:rsidR="00000000" w:rsidRDefault="00667DB7">
                      <w:pPr>
                        <w:bidi/>
                        <w:spacing w:after="120"/>
                        <w:rPr>
                          <w:rFonts w:hint="cs"/>
                          <w:rtl/>
                        </w:rPr>
                      </w:pPr>
                    </w:p>
                  </w:txbxContent>
                </v:textbox>
              </v:shape>
            </w:pict>
          </mc:Fallback>
        </mc:AlternateContent>
      </w:r>
      <w:r>
        <w:rPr>
          <w:rFonts w:hint="cs"/>
          <w:noProof/>
          <w:rtl/>
        </w:rPr>
        <w:drawing>
          <wp:anchor distT="0" distB="0" distL="114300" distR="114300" simplePos="0" relativeHeight="251659264" behindDoc="1" locked="0" layoutInCell="1" allowOverlap="1">
            <wp:simplePos x="0" y="0"/>
            <wp:positionH relativeFrom="column">
              <wp:posOffset>571500</wp:posOffset>
            </wp:positionH>
            <wp:positionV relativeFrom="paragraph">
              <wp:posOffset>38100</wp:posOffset>
            </wp:positionV>
            <wp:extent cx="4181475" cy="8534400"/>
            <wp:effectExtent l="0" t="0" r="6350" b="0"/>
            <wp:wrapNone/>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2717800" cy="5547360"/>
                    </a:xfrm>
                    <a:prstGeom prst="rect">
                      <a:avLst/>
                    </a:prstGeom>
                    <a:noFill/>
                  </pic:spPr>
                </pic:pic>
              </a:graphicData>
            </a:graphic>
            <wp14:sizeRelH relativeFrom="page">
              <wp14:pctWidth>0</wp14:pctWidth>
            </wp14:sizeRelH>
            <wp14:sizeRelV relativeFrom="page">
              <wp14:pctHeight>0</wp14:pctHeight>
            </wp14:sizeRelV>
          </wp:anchor>
        </w:drawing>
      </w:r>
      <w:r>
        <w:rPr>
          <w:rFonts w:cs="David" w:hint="cs"/>
          <w:b/>
          <w:bCs/>
          <w:u w:val="single"/>
          <w:rtl/>
        </w:rPr>
        <w:br w:type="page"/>
      </w:r>
    </w:p>
    <w:p w:rsidR="00000000" w:rsidRDefault="00667DB7">
      <w:pPr>
        <w:bidi/>
        <w:spacing w:before="120" w:after="120"/>
        <w:jc w:val="center"/>
        <w:rPr>
          <w:rStyle w:val="Strong"/>
          <w:rFonts w:cs="David" w:hint="cs"/>
          <w:u w:val="single"/>
          <w:rtl/>
        </w:rPr>
      </w:pPr>
      <w:r>
        <w:rPr>
          <w:rFonts w:hint="cs"/>
          <w:noProof/>
          <w:rtl/>
        </w:rPr>
        <w:drawing>
          <wp:anchor distT="0" distB="0" distL="114300" distR="114300" simplePos="0" relativeHeight="251658240" behindDoc="1" locked="0" layoutInCell="1" allowOverlap="1">
            <wp:simplePos x="0" y="0"/>
            <wp:positionH relativeFrom="column">
              <wp:posOffset>457200</wp:posOffset>
            </wp:positionH>
            <wp:positionV relativeFrom="paragraph">
              <wp:posOffset>3149600</wp:posOffset>
            </wp:positionV>
            <wp:extent cx="4448175" cy="5143500"/>
            <wp:effectExtent l="0" t="0" r="0" b="5715"/>
            <wp:wrapNone/>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4047490" cy="4680585"/>
                    </a:xfrm>
                    <a:prstGeom prst="rect">
                      <a:avLst/>
                    </a:prstGeom>
                    <a:noFill/>
                  </pic:spPr>
                </pic:pic>
              </a:graphicData>
            </a:graphic>
            <wp14:sizeRelH relativeFrom="page">
              <wp14:pctWidth>0</wp14:pctWidth>
            </wp14:sizeRelH>
            <wp14:sizeRelV relativeFrom="page">
              <wp14:pctHeight>0</wp14:pctHeight>
            </wp14:sizeRelV>
          </wp:anchor>
        </w:drawing>
      </w:r>
      <w:r>
        <w:rPr>
          <w:rFonts w:hint="cs"/>
          <w:noProof/>
          <w:rtl/>
        </w:rPr>
        <w:drawing>
          <wp:anchor distT="0" distB="0" distL="114300" distR="114300" simplePos="0" relativeHeight="251657216" behindDoc="1" locked="0" layoutInCell="1" allowOverlap="1">
            <wp:simplePos x="0" y="0"/>
            <wp:positionH relativeFrom="column">
              <wp:posOffset>571500</wp:posOffset>
            </wp:positionH>
            <wp:positionV relativeFrom="paragraph">
              <wp:posOffset>-736600</wp:posOffset>
            </wp:positionV>
            <wp:extent cx="4333875" cy="3790950"/>
            <wp:effectExtent l="0" t="0" r="8255" b="0"/>
            <wp:wrapNone/>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4030345" cy="3525520"/>
                    </a:xfrm>
                    <a:prstGeom prst="rect">
                      <a:avLst/>
                    </a:prstGeom>
                    <a:noFill/>
                  </pic:spPr>
                </pic:pic>
              </a:graphicData>
            </a:graphic>
            <wp14:sizeRelH relativeFrom="page">
              <wp14:pctWidth>0</wp14:pctWidth>
            </wp14:sizeRelH>
            <wp14:sizeRelV relativeFrom="page">
              <wp14:pctHeight>0</wp14:pctHeight>
            </wp14:sizeRelV>
          </wp:anchor>
        </w:drawing>
      </w:r>
      <w:r>
        <w:rPr>
          <w:rFonts w:cs="David" w:hint="cs"/>
          <w:b/>
          <w:bCs/>
          <w:u w:val="single"/>
          <w:rtl/>
        </w:rPr>
        <w:br w:type="column"/>
      </w:r>
      <w:r>
        <w:rPr>
          <w:rFonts w:cs="David"/>
          <w:b/>
          <w:bCs/>
          <w:noProof/>
        </w:rPr>
        <w:drawing>
          <wp:inline distT="0" distB="0" distL="0" distR="0">
            <wp:extent cx="4450080" cy="775716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4450080" cy="7757160"/>
                    </a:xfrm>
                    <a:prstGeom prst="rect">
                      <a:avLst/>
                    </a:prstGeom>
                    <a:noFill/>
                    <a:ln>
                      <a:noFill/>
                    </a:ln>
                  </pic:spPr>
                </pic:pic>
              </a:graphicData>
            </a:graphic>
          </wp:inline>
        </w:drawing>
      </w:r>
      <w:r>
        <w:rPr>
          <w:rFonts w:cs="David" w:hint="cs"/>
          <w:b/>
          <w:bCs/>
          <w:u w:val="single"/>
          <w:rtl/>
        </w:rPr>
        <w:br w:type="column"/>
      </w:r>
      <w:r>
        <w:rPr>
          <w:rStyle w:val="Strong"/>
          <w:rFonts w:cs="David" w:hint="cs"/>
          <w:u w:val="single"/>
          <w:rtl/>
        </w:rPr>
        <w:t>נספח ב'</w:t>
      </w:r>
    </w:p>
    <w:p w:rsidR="00000000" w:rsidRDefault="00667DB7">
      <w:pPr>
        <w:bidi/>
        <w:spacing w:before="120" w:after="120"/>
        <w:rPr>
          <w:rStyle w:val="Strong"/>
          <w:rFonts w:cs="David" w:hint="cs"/>
          <w:u w:val="single"/>
          <w:rtl/>
        </w:rPr>
      </w:pPr>
    </w:p>
    <w:p w:rsidR="00000000" w:rsidRDefault="00667DB7">
      <w:pPr>
        <w:bidi/>
        <w:spacing w:before="120" w:after="120"/>
        <w:rPr>
          <w:rFonts w:hint="cs"/>
          <w:rtl/>
        </w:rPr>
      </w:pPr>
      <w:r>
        <w:rPr>
          <w:rFonts w:cs="David" w:hint="cs"/>
          <w:rtl/>
        </w:rPr>
        <w:t>אני החתום/ה מטה, ......................., נושא/ת ת.ז. שמספרה ....................., המשמש/ת כ........................., מצהיר/ה בזה ומתחייב/ת כדלקמן:</w:t>
      </w:r>
    </w:p>
    <w:p w:rsidR="00000000" w:rsidRDefault="00667DB7">
      <w:pPr>
        <w:bidi/>
        <w:spacing w:before="120" w:after="120"/>
        <w:rPr>
          <w:rFonts w:cs="David" w:hint="cs"/>
          <w:rtl/>
        </w:rPr>
      </w:pPr>
    </w:p>
    <w:p w:rsidR="00000000" w:rsidRDefault="00667DB7">
      <w:pPr>
        <w:tabs>
          <w:tab w:val="num" w:pos="360"/>
        </w:tabs>
        <w:bidi/>
        <w:spacing w:before="120" w:after="120"/>
        <w:ind w:left="360" w:hanging="360"/>
        <w:rPr>
          <w:rFonts w:cs="David" w:hint="cs"/>
          <w:rtl/>
        </w:rPr>
      </w:pPr>
      <w:r>
        <w:rPr>
          <w:rFonts w:cs="David" w:hint="cs"/>
          <w:rtl/>
        </w:rPr>
        <w:t>1.</w:t>
      </w:r>
      <w:r>
        <w:rPr>
          <w:rFonts w:cs="David" w:hint="cs"/>
          <w:sz w:val="14"/>
          <w:szCs w:val="14"/>
          <w:rtl/>
        </w:rPr>
        <w:t xml:space="preserve">       </w:t>
      </w:r>
      <w:r>
        <w:rPr>
          <w:rFonts w:cs="David" w:hint="cs"/>
          <w:rtl/>
        </w:rPr>
        <w:t xml:space="preserve">הנני להודיע כי קראתי במלואם את תנאי הממונה על הגבלים עסקיים למתן פטור מאישור בית הדין להסדר בתיק פטור 8266 וכי תנאים אלו מקובלים עליי. </w:t>
      </w:r>
    </w:p>
    <w:p w:rsidR="00000000" w:rsidRDefault="00667DB7">
      <w:pPr>
        <w:tabs>
          <w:tab w:val="num" w:pos="360"/>
        </w:tabs>
        <w:bidi/>
        <w:spacing w:before="120" w:after="120"/>
        <w:ind w:left="360" w:hanging="360"/>
        <w:rPr>
          <w:rFonts w:cs="David" w:hint="cs"/>
          <w:rtl/>
        </w:rPr>
      </w:pPr>
      <w:r>
        <w:rPr>
          <w:rFonts w:cs="David" w:hint="cs"/>
          <w:rtl/>
        </w:rPr>
        <w:t>2.</w:t>
      </w:r>
      <w:r>
        <w:rPr>
          <w:rFonts w:cs="David" w:hint="cs"/>
          <w:sz w:val="14"/>
          <w:szCs w:val="14"/>
          <w:rtl/>
        </w:rPr>
        <w:t xml:space="preserve">       </w:t>
      </w:r>
      <w:r>
        <w:rPr>
          <w:rFonts w:cs="David" w:hint="cs"/>
          <w:rtl/>
        </w:rPr>
        <w:t>אני מודע/ת לכך כי קיום דווקני של כל התנאים הללו, על-ידִי ועל-ידֵי הצדדים הנוספים לפטור, הוא הבסיס לקבלת פטור המ</w:t>
      </w:r>
      <w:r>
        <w:rPr>
          <w:rFonts w:cs="David" w:hint="cs"/>
          <w:rtl/>
        </w:rPr>
        <w:t xml:space="preserve">מונה על הגבלים עסקיים להסדר זה. </w:t>
      </w:r>
    </w:p>
    <w:p w:rsidR="00000000" w:rsidRDefault="00667DB7">
      <w:pPr>
        <w:tabs>
          <w:tab w:val="num" w:pos="360"/>
        </w:tabs>
        <w:bidi/>
        <w:spacing w:before="120" w:after="120"/>
        <w:ind w:left="360" w:hanging="360"/>
        <w:rPr>
          <w:rFonts w:cs="David" w:hint="cs"/>
          <w:rtl/>
        </w:rPr>
      </w:pPr>
      <w:r>
        <w:rPr>
          <w:rFonts w:cs="David" w:hint="cs"/>
          <w:rtl/>
        </w:rPr>
        <w:t>3.</w:t>
      </w:r>
      <w:r>
        <w:rPr>
          <w:rFonts w:cs="David" w:hint="cs"/>
          <w:sz w:val="14"/>
          <w:szCs w:val="14"/>
          <w:rtl/>
        </w:rPr>
        <w:t xml:space="preserve">       </w:t>
      </w:r>
      <w:r>
        <w:rPr>
          <w:rFonts w:cs="David" w:hint="cs"/>
          <w:rtl/>
        </w:rPr>
        <w:t xml:space="preserve">ידוע לי כי הפרת התנאים הנזכרים מהווה עבירה פלילית על פי חוק ההגבלים העסקיים, התשמ"ח - 1988, שעונשה עד שלוש שנות מאסר. </w:t>
      </w:r>
    </w:p>
    <w:p w:rsidR="00000000" w:rsidRDefault="00667DB7">
      <w:pPr>
        <w:tabs>
          <w:tab w:val="num" w:pos="360"/>
        </w:tabs>
        <w:bidi/>
        <w:spacing w:before="120" w:after="120"/>
        <w:ind w:left="360" w:hanging="360"/>
        <w:rPr>
          <w:rFonts w:cs="David" w:hint="cs"/>
          <w:rtl/>
        </w:rPr>
      </w:pPr>
      <w:r>
        <w:rPr>
          <w:rFonts w:cs="David" w:hint="cs"/>
          <w:rtl/>
        </w:rPr>
        <w:t>4.</w:t>
      </w:r>
      <w:r>
        <w:rPr>
          <w:rFonts w:cs="David" w:hint="cs"/>
          <w:sz w:val="14"/>
          <w:szCs w:val="14"/>
          <w:rtl/>
        </w:rPr>
        <w:t xml:space="preserve">       </w:t>
      </w:r>
      <w:r>
        <w:rPr>
          <w:rFonts w:cs="David" w:hint="cs"/>
          <w:rtl/>
        </w:rPr>
        <w:t xml:space="preserve">כן ידוע לי כי סיוע להפרת תנאי האישור הנזכרים מהווה עבירה פלילית.  </w:t>
      </w:r>
    </w:p>
    <w:p w:rsidR="00000000" w:rsidRDefault="00667DB7">
      <w:pPr>
        <w:tabs>
          <w:tab w:val="num" w:pos="360"/>
        </w:tabs>
        <w:bidi/>
        <w:spacing w:before="120" w:after="120"/>
        <w:ind w:left="360" w:hanging="360"/>
        <w:rPr>
          <w:rFonts w:cs="David" w:hint="cs"/>
          <w:rtl/>
        </w:rPr>
      </w:pPr>
      <w:r>
        <w:rPr>
          <w:rFonts w:cs="David" w:hint="cs"/>
          <w:rtl/>
        </w:rPr>
        <w:t>5.</w:t>
      </w:r>
      <w:r>
        <w:rPr>
          <w:rFonts w:cs="David" w:hint="cs"/>
          <w:sz w:val="14"/>
          <w:szCs w:val="14"/>
          <w:rtl/>
        </w:rPr>
        <w:t>      </w:t>
      </w:r>
      <w:r>
        <w:rPr>
          <w:rFonts w:cs="David" w:hint="cs"/>
          <w:rtl/>
        </w:rPr>
        <w:t>אני מתחייב/</w:t>
      </w:r>
      <w:r>
        <w:rPr>
          <w:rFonts w:cs="David" w:hint="cs"/>
          <w:rtl/>
        </w:rPr>
        <w:t>ת שבמסגרת תפקידי לא אתן ידי, במעשה או במחדל, להפרת תנאי מתנאים אלה.</w:t>
      </w:r>
    </w:p>
    <w:p w:rsidR="00000000" w:rsidRDefault="00667DB7">
      <w:pPr>
        <w:bidi/>
        <w:spacing w:before="120" w:after="120"/>
        <w:rPr>
          <w:rFonts w:cs="David" w:hint="cs"/>
          <w:rtl/>
        </w:rPr>
      </w:pPr>
      <w:r>
        <w:rPr>
          <w:rFonts w:cs="David" w:hint="cs"/>
          <w:rtl/>
        </w:rPr>
        <w:t xml:space="preserve"> </w:t>
      </w:r>
    </w:p>
    <w:tbl>
      <w:tblPr>
        <w:bidiVisual/>
        <w:tblW w:w="0" w:type="auto"/>
        <w:jc w:val="center"/>
        <w:tblLook w:val="04A0" w:firstRow="1" w:lastRow="0" w:firstColumn="1" w:lastColumn="0" w:noHBand="0" w:noVBand="1"/>
      </w:tblPr>
      <w:tblGrid>
        <w:gridCol w:w="1670"/>
        <w:gridCol w:w="1649"/>
        <w:gridCol w:w="1664"/>
        <w:gridCol w:w="1650"/>
        <w:gridCol w:w="1673"/>
      </w:tblGrid>
      <w:tr w:rsidR="00000000">
        <w:trPr>
          <w:jc w:val="center"/>
        </w:trPr>
        <w:tc>
          <w:tcPr>
            <w:tcW w:w="1705" w:type="dxa"/>
            <w:tcBorders>
              <w:top w:val="nil"/>
              <w:left w:val="nil"/>
              <w:bottom w:val="single" w:sz="4" w:space="0" w:color="auto"/>
              <w:right w:val="nil"/>
            </w:tcBorders>
            <w:shd w:val="clear" w:color="auto" w:fill="auto"/>
          </w:tcPr>
          <w:p w:rsidR="00000000" w:rsidRDefault="00667DB7">
            <w:pPr>
              <w:bidi/>
              <w:spacing w:before="120" w:after="120"/>
              <w:rPr>
                <w:rFonts w:cs="David" w:hint="cs"/>
                <w:rtl/>
              </w:rPr>
            </w:pPr>
          </w:p>
        </w:tc>
        <w:tc>
          <w:tcPr>
            <w:tcW w:w="1705" w:type="dxa"/>
            <w:tcBorders>
              <w:top w:val="nil"/>
              <w:left w:val="nil"/>
              <w:bottom w:val="nil"/>
              <w:right w:val="nil"/>
            </w:tcBorders>
            <w:shd w:val="clear" w:color="auto" w:fill="auto"/>
          </w:tcPr>
          <w:p w:rsidR="00000000" w:rsidRDefault="00667DB7">
            <w:pPr>
              <w:bidi/>
              <w:spacing w:before="120" w:after="120"/>
              <w:rPr>
                <w:rFonts w:cs="David"/>
              </w:rPr>
            </w:pPr>
          </w:p>
        </w:tc>
        <w:tc>
          <w:tcPr>
            <w:tcW w:w="1706" w:type="dxa"/>
            <w:tcBorders>
              <w:top w:val="nil"/>
              <w:left w:val="nil"/>
              <w:bottom w:val="single" w:sz="4" w:space="0" w:color="auto"/>
              <w:right w:val="nil"/>
            </w:tcBorders>
            <w:shd w:val="clear" w:color="auto" w:fill="auto"/>
          </w:tcPr>
          <w:p w:rsidR="00000000" w:rsidRDefault="00667DB7">
            <w:pPr>
              <w:bidi/>
              <w:spacing w:before="120" w:after="120"/>
              <w:rPr>
                <w:rFonts w:cs="David"/>
              </w:rPr>
            </w:pPr>
          </w:p>
        </w:tc>
        <w:tc>
          <w:tcPr>
            <w:tcW w:w="1706" w:type="dxa"/>
            <w:tcBorders>
              <w:top w:val="nil"/>
              <w:left w:val="nil"/>
              <w:bottom w:val="nil"/>
              <w:right w:val="nil"/>
            </w:tcBorders>
            <w:shd w:val="clear" w:color="auto" w:fill="auto"/>
          </w:tcPr>
          <w:p w:rsidR="00000000" w:rsidRDefault="00667DB7">
            <w:pPr>
              <w:bidi/>
              <w:spacing w:before="120" w:after="120"/>
              <w:rPr>
                <w:rFonts w:cs="David"/>
              </w:rPr>
            </w:pPr>
          </w:p>
        </w:tc>
        <w:tc>
          <w:tcPr>
            <w:tcW w:w="1706" w:type="dxa"/>
            <w:tcBorders>
              <w:top w:val="nil"/>
              <w:left w:val="nil"/>
              <w:bottom w:val="single" w:sz="4" w:space="0" w:color="auto"/>
              <w:right w:val="nil"/>
            </w:tcBorders>
            <w:shd w:val="clear" w:color="auto" w:fill="auto"/>
          </w:tcPr>
          <w:p w:rsidR="00000000" w:rsidRDefault="00667DB7">
            <w:pPr>
              <w:bidi/>
              <w:spacing w:before="120" w:after="120"/>
              <w:rPr>
                <w:rFonts w:cs="David"/>
              </w:rPr>
            </w:pPr>
          </w:p>
        </w:tc>
      </w:tr>
      <w:tr w:rsidR="00000000">
        <w:trPr>
          <w:jc w:val="center"/>
        </w:trPr>
        <w:tc>
          <w:tcPr>
            <w:tcW w:w="1705" w:type="dxa"/>
            <w:tcBorders>
              <w:top w:val="single" w:sz="4" w:space="0" w:color="auto"/>
              <w:left w:val="nil"/>
              <w:bottom w:val="nil"/>
              <w:right w:val="nil"/>
            </w:tcBorders>
            <w:shd w:val="clear" w:color="auto" w:fill="auto"/>
            <w:hideMark/>
          </w:tcPr>
          <w:p w:rsidR="00000000" w:rsidRDefault="00667DB7">
            <w:pPr>
              <w:bidi/>
              <w:spacing w:before="120" w:after="120"/>
              <w:rPr>
                <w:rFonts w:cs="David"/>
              </w:rPr>
            </w:pPr>
            <w:r>
              <w:rPr>
                <w:rFonts w:cs="David" w:hint="cs"/>
                <w:rtl/>
              </w:rPr>
              <w:t>תאריך</w:t>
            </w:r>
          </w:p>
        </w:tc>
        <w:tc>
          <w:tcPr>
            <w:tcW w:w="1705" w:type="dxa"/>
            <w:tcBorders>
              <w:top w:val="nil"/>
              <w:left w:val="nil"/>
              <w:bottom w:val="nil"/>
              <w:right w:val="nil"/>
            </w:tcBorders>
            <w:shd w:val="clear" w:color="auto" w:fill="auto"/>
          </w:tcPr>
          <w:p w:rsidR="00000000" w:rsidRDefault="00667DB7">
            <w:pPr>
              <w:bidi/>
              <w:spacing w:before="120" w:after="120"/>
              <w:rPr>
                <w:rFonts w:cs="David"/>
              </w:rPr>
            </w:pPr>
          </w:p>
        </w:tc>
        <w:tc>
          <w:tcPr>
            <w:tcW w:w="1706" w:type="dxa"/>
            <w:tcBorders>
              <w:top w:val="single" w:sz="4" w:space="0" w:color="auto"/>
              <w:left w:val="nil"/>
              <w:bottom w:val="nil"/>
              <w:right w:val="nil"/>
            </w:tcBorders>
            <w:shd w:val="clear" w:color="auto" w:fill="auto"/>
            <w:hideMark/>
          </w:tcPr>
          <w:p w:rsidR="00000000" w:rsidRDefault="00667DB7">
            <w:pPr>
              <w:bidi/>
              <w:spacing w:before="120" w:after="120"/>
              <w:rPr>
                <w:rFonts w:cs="David"/>
              </w:rPr>
            </w:pPr>
            <w:r>
              <w:rPr>
                <w:rFonts w:cs="David" w:hint="cs"/>
                <w:rtl/>
              </w:rPr>
              <w:t>שם מלא</w:t>
            </w:r>
          </w:p>
        </w:tc>
        <w:tc>
          <w:tcPr>
            <w:tcW w:w="1706" w:type="dxa"/>
            <w:tcBorders>
              <w:top w:val="nil"/>
              <w:left w:val="nil"/>
              <w:bottom w:val="nil"/>
              <w:right w:val="nil"/>
            </w:tcBorders>
            <w:shd w:val="clear" w:color="auto" w:fill="auto"/>
          </w:tcPr>
          <w:p w:rsidR="00000000" w:rsidRDefault="00667DB7">
            <w:pPr>
              <w:bidi/>
              <w:spacing w:before="120" w:after="120"/>
              <w:rPr>
                <w:rFonts w:cs="David"/>
              </w:rPr>
            </w:pPr>
          </w:p>
        </w:tc>
        <w:tc>
          <w:tcPr>
            <w:tcW w:w="1706" w:type="dxa"/>
            <w:tcBorders>
              <w:top w:val="single" w:sz="4" w:space="0" w:color="auto"/>
              <w:left w:val="nil"/>
              <w:bottom w:val="nil"/>
              <w:right w:val="nil"/>
            </w:tcBorders>
            <w:shd w:val="clear" w:color="auto" w:fill="auto"/>
            <w:hideMark/>
          </w:tcPr>
          <w:p w:rsidR="00000000" w:rsidRDefault="00667DB7">
            <w:pPr>
              <w:bidi/>
              <w:spacing w:before="120" w:after="120"/>
              <w:rPr>
                <w:rFonts w:cs="David"/>
              </w:rPr>
            </w:pPr>
            <w:r>
              <w:rPr>
                <w:rFonts w:cs="David" w:hint="cs"/>
                <w:rtl/>
              </w:rPr>
              <w:t>חתימה</w:t>
            </w:r>
          </w:p>
        </w:tc>
      </w:tr>
    </w:tbl>
    <w:p w:rsidR="00000000" w:rsidRDefault="00667DB7">
      <w:pPr>
        <w:bidi/>
        <w:spacing w:before="120" w:after="120"/>
        <w:rPr>
          <w:rFonts w:cs="David"/>
        </w:rPr>
      </w:pPr>
    </w:p>
    <w:p w:rsidR="00000000" w:rsidRDefault="00667DB7">
      <w:pPr>
        <w:bidi/>
        <w:spacing w:before="120" w:after="120"/>
        <w:rPr>
          <w:rStyle w:val="Strong"/>
          <w:rFonts w:hint="cs"/>
          <w:rtl/>
        </w:rPr>
      </w:pPr>
      <w:r>
        <w:rPr>
          <w:rStyle w:val="Strong"/>
          <w:rFonts w:cs="David" w:hint="cs"/>
          <w:rtl/>
        </w:rPr>
        <w:t>אישור</w:t>
      </w:r>
    </w:p>
    <w:p w:rsidR="00000000" w:rsidRDefault="00667DB7">
      <w:pPr>
        <w:bidi/>
        <w:spacing w:before="120" w:after="120"/>
        <w:rPr>
          <w:rFonts w:hint="cs"/>
          <w:rtl/>
        </w:rPr>
      </w:pPr>
    </w:p>
    <w:p w:rsidR="00000000" w:rsidRDefault="00667DB7">
      <w:pPr>
        <w:bidi/>
        <w:spacing w:before="120" w:after="120"/>
        <w:rPr>
          <w:rFonts w:cs="David" w:hint="cs"/>
          <w:rtl/>
        </w:rPr>
      </w:pPr>
      <w:r>
        <w:rPr>
          <w:rFonts w:cs="David" w:hint="cs"/>
          <w:rtl/>
        </w:rPr>
        <w:t>הנני מאשר/ת בזה כי ביום ............ הופיע/ה בפני מר/גב' ......................., בעל/ת ת.ז. ................, ואחרי שהזהרתיו/ה כי עליו/ה להצהיר את האמת וכי יהיה/תהיה צפוי/ה לעונשים הקבועים בחוק אם לא יעשה/תעשה כן, חתם/ה על ההצהרה הנ"ל בפני.</w:t>
      </w:r>
    </w:p>
    <w:p w:rsidR="00000000" w:rsidRDefault="00667DB7">
      <w:pPr>
        <w:bidi/>
        <w:spacing w:before="120" w:after="120"/>
        <w:rPr>
          <w:rFonts w:cs="David" w:hint="cs"/>
          <w:rtl/>
        </w:rPr>
      </w:pPr>
    </w:p>
    <w:p w:rsidR="00000000" w:rsidRDefault="00667DB7">
      <w:pPr>
        <w:bidi/>
        <w:spacing w:before="120" w:after="120"/>
        <w:rPr>
          <w:rFonts w:cs="David" w:hint="cs"/>
          <w:rtl/>
        </w:rPr>
      </w:pPr>
      <w:r>
        <w:rPr>
          <w:rFonts w:cs="David" w:hint="cs"/>
          <w:rtl/>
        </w:rPr>
        <w:t>_____________</w:t>
      </w:r>
      <w:r>
        <w:rPr>
          <w:rFonts w:cs="David" w:hint="cs"/>
          <w:rtl/>
        </w:rPr>
        <w:t>_____</w:t>
      </w:r>
    </w:p>
    <w:p w:rsidR="00000000" w:rsidRDefault="00667DB7">
      <w:pPr>
        <w:bidi/>
        <w:spacing w:before="120" w:after="120"/>
        <w:rPr>
          <w:rFonts w:cs="David" w:hint="cs"/>
          <w:rtl/>
        </w:rPr>
      </w:pPr>
      <w:r>
        <w:rPr>
          <w:rFonts w:cs="David" w:hint="cs"/>
          <w:rtl/>
        </w:rPr>
        <w:t xml:space="preserve">                        ,עו"ד</w:t>
      </w:r>
    </w:p>
    <w:p w:rsidR="00000000" w:rsidRDefault="00667DB7">
      <w:pPr>
        <w:bidi/>
        <w:spacing w:before="120" w:after="120"/>
        <w:rPr>
          <w:rFonts w:cs="David" w:hint="cs"/>
          <w:rtl/>
        </w:rPr>
      </w:pPr>
    </w:p>
    <w:p w:rsidR="00000000" w:rsidRDefault="00667DB7">
      <w:pPr>
        <w:bidi/>
        <w:spacing w:before="120" w:after="120"/>
        <w:rPr>
          <w:rFonts w:cs="David" w:hint="cs"/>
          <w:rtl/>
        </w:rPr>
      </w:pPr>
      <w:r>
        <w:rPr>
          <w:rFonts w:cs="David" w:hint="cs"/>
          <w:rtl/>
        </w:rPr>
        <w:t>מ.ר.</w:t>
      </w:r>
    </w:p>
    <w:p w:rsidR="00000000" w:rsidRDefault="00667DB7">
      <w:pPr>
        <w:bidi/>
        <w:spacing w:before="120" w:after="120"/>
        <w:jc w:val="center"/>
        <w:rPr>
          <w:rFonts w:hint="cs"/>
          <w:rtl/>
        </w:rPr>
      </w:pPr>
    </w:p>
    <w:p w:rsidR="00000000" w:rsidRDefault="00667DB7">
      <w:pPr>
        <w:bidi/>
        <w:divId w:val="1496412840"/>
        <w:rPr>
          <w:rFonts w:eastAsia="Times New Roman" w:hint="cs"/>
          <w:rtl/>
        </w:rPr>
      </w:pPr>
      <w:r>
        <w:rPr>
          <w:rFonts w:eastAsia="Times New Roman" w:hint="cs"/>
          <w:rtl/>
        </w:rPr>
        <w:br w:type="textWrapping" w:clear="all"/>
      </w:r>
    </w:p>
    <w:p w:rsidR="00000000" w:rsidRDefault="00667DB7">
      <w:pPr>
        <w:bidi/>
        <w:divId w:val="1496412840"/>
        <w:rPr>
          <w:rFonts w:eastAsia="Times New Roman" w:hint="cs"/>
          <w:rtl/>
        </w:rPr>
      </w:pPr>
      <w:r>
        <w:rPr>
          <w:rFonts w:eastAsia="Times New Roman" w:hint="cs"/>
        </w:rPr>
        <w:pict>
          <v:rect id="_x0000_i1027" style="width:105.75pt;height:.6pt" o:hrpct="330" o:hralign="right" o:hrstd="t" o:hr="t" fillcolor="#a0a0a0" stroked="f"/>
        </w:pict>
      </w:r>
    </w:p>
    <w:p w:rsidR="00000000" w:rsidRDefault="00667DB7">
      <w:pPr>
        <w:pStyle w:val="Footer"/>
        <w:divId w:val="969629602"/>
        <w:rPr>
          <w:rFonts w:hint="cs"/>
          <w:szCs w:val="14"/>
        </w:rPr>
      </w:pPr>
    </w:p>
    <w:p w:rsidR="00000000" w:rsidRDefault="00667DB7">
      <w:pPr>
        <w:divId w:val="969629602"/>
        <w:rPr>
          <w:rFonts w:eastAsia="Times New Roman" w:hint="cs"/>
        </w:rPr>
      </w:pPr>
      <w:r>
        <w:rPr>
          <w:rFonts w:eastAsia="Times New Roman" w:hint="cs"/>
        </w:rPr>
        <w:t>\</w:t>
      </w:r>
    </w:p>
    <w:sectPr w:rsidR="00000000">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667DB7">
      <w:r>
        <w:separator/>
      </w:r>
    </w:p>
  </w:endnote>
  <w:endnote w:type="continuationSeparator" w:id="0">
    <w:p w:rsidR="00000000" w:rsidRDefault="00667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avid">
    <w:panose1 w:val="020E0502060401010101"/>
    <w:charset w:val="B1"/>
    <w:family w:val="swiss"/>
    <w:pitch w:val="variable"/>
    <w:sig w:usb0="00000801" w:usb1="00000000" w:usb2="00000000" w:usb3="00000000" w:csb0="0000002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667DB7">
      <w:r>
        <w:separator/>
      </w:r>
    </w:p>
  </w:footnote>
  <w:footnote w:type="continuationSeparator" w:id="0">
    <w:p w:rsidR="00000000" w:rsidRDefault="00667DB7">
      <w:r>
        <w:continuationSeparator/>
      </w:r>
    </w:p>
  </w:footnote>
  <w:footnote w:id="1">
    <w:p w:rsidR="00000000" w:rsidRDefault="00667DB7">
      <w:pPr>
        <w:pStyle w:val="FootnoteText"/>
        <w:bidi/>
        <w:spacing w:before="0" w:beforeAutospacing="0" w:after="0" w:afterAutospacing="0"/>
        <w:rPr>
          <w:rFonts w:cs="David" w:hint="cs"/>
          <w:sz w:val="20"/>
          <w:szCs w:val="20"/>
          <w:rtl/>
        </w:rPr>
      </w:pPr>
      <w:r>
        <w:rPr>
          <w:rStyle w:val="FootnoteReference"/>
          <w:rFonts w:cs="David"/>
        </w:rPr>
        <w:footnoteRef/>
      </w:r>
      <w:r>
        <w:rPr>
          <w:rStyle w:val="FootnoteReference"/>
          <w:rFonts w:eastAsia="Times New Roman" w:cs="David"/>
          <w:sz w:val="20"/>
          <w:szCs w:val="20"/>
        </w:rPr>
        <w:t>[1]</w:t>
      </w:r>
      <w:r>
        <w:rPr>
          <w:rFonts w:cs="David" w:hint="cs"/>
          <w:sz w:val="20"/>
          <w:szCs w:val="20"/>
          <w:rtl/>
        </w:rPr>
        <w:t xml:space="preserve"> ראו לעניין זה קביעה בדבר הסדר כובל </w:t>
      </w:r>
      <w:r>
        <w:rPr>
          <w:rFonts w:cs="David" w:hint="cs"/>
          <w:sz w:val="20"/>
          <w:szCs w:val="20"/>
          <w:rtl/>
        </w:rPr>
        <w:t xml:space="preserve">בין </w:t>
      </w:r>
      <w:r>
        <w:rPr>
          <w:rStyle w:val="Strong"/>
          <w:rFonts w:cs="David" w:hint="cs"/>
          <w:sz w:val="20"/>
          <w:szCs w:val="20"/>
          <w:rtl/>
        </w:rPr>
        <w:t>בנק הפועלים בע"מ, בנק לאומי לישראל בע"מ, בנק דיסקונט לישראל בע"מ, בנק המזרחי המאוחד בע"מ והבנק הבינלאומי הראשון לישראל בע"מ</w:t>
      </w:r>
      <w:r>
        <w:rPr>
          <w:rFonts w:cs="David" w:hint="cs"/>
          <w:sz w:val="20"/>
          <w:szCs w:val="20"/>
          <w:rtl/>
        </w:rPr>
        <w:t xml:space="preserve">; 2009 </w:t>
      </w:r>
      <w:r>
        <w:rPr>
          <w:rStyle w:val="Strong"/>
          <w:rFonts w:cs="David" w:hint="cs"/>
          <w:sz w:val="20"/>
          <w:szCs w:val="20"/>
          <w:rtl/>
        </w:rPr>
        <w:t>הגבלים עסקיים</w:t>
      </w:r>
      <w:r>
        <w:rPr>
          <w:rFonts w:cs="David" w:hint="cs"/>
          <w:sz w:val="20"/>
          <w:szCs w:val="20"/>
          <w:rtl/>
        </w:rPr>
        <w:t xml:space="preserve"> 5001411, עמ' 42; וכן החלטה לפי סעיף 14 לחוק בדבר מתן פטור מאישור הסדר כובל ל</w:t>
      </w:r>
      <w:r>
        <w:rPr>
          <w:rStyle w:val="Strong"/>
          <w:rFonts w:cs="David" w:hint="cs"/>
          <w:sz w:val="20"/>
          <w:szCs w:val="20"/>
          <w:rtl/>
        </w:rPr>
        <w:t>הסדר בין סלקום ישראל בע"מ, פרטנר</w:t>
      </w:r>
      <w:r>
        <w:rPr>
          <w:rStyle w:val="Strong"/>
          <w:rFonts w:cs="David" w:hint="cs"/>
          <w:sz w:val="20"/>
          <w:szCs w:val="20"/>
          <w:rtl/>
        </w:rPr>
        <w:t xml:space="preserve"> תקשורת בע"מ, פלאפון תקשורת בע"מ ו-</w:t>
      </w:r>
      <w:r>
        <w:rPr>
          <w:rStyle w:val="Strong"/>
          <w:rFonts w:cs="David" w:hint="cs"/>
          <w:sz w:val="18"/>
          <w:szCs w:val="18"/>
        </w:rPr>
        <w:t>LECG LTD.</w:t>
      </w:r>
      <w:r>
        <w:rPr>
          <w:rFonts w:cs="David" w:hint="cs"/>
          <w:sz w:val="20"/>
          <w:szCs w:val="20"/>
          <w:rtl/>
        </w:rPr>
        <w:t xml:space="preserve">; 2007 </w:t>
      </w:r>
      <w:r>
        <w:rPr>
          <w:rStyle w:val="Strong"/>
          <w:rFonts w:cs="David" w:hint="cs"/>
          <w:sz w:val="20"/>
          <w:szCs w:val="20"/>
          <w:rtl/>
        </w:rPr>
        <w:t>הגבלים עסקיים</w:t>
      </w:r>
      <w:r>
        <w:rPr>
          <w:rFonts w:cs="David" w:hint="cs"/>
          <w:sz w:val="20"/>
          <w:szCs w:val="20"/>
          <w:rtl/>
        </w:rPr>
        <w:t xml:space="preserve"> 5000601 (להלן: </w:t>
      </w:r>
      <w:r>
        <w:rPr>
          <w:rStyle w:val="Strong"/>
          <w:rFonts w:cs="David" w:hint="cs"/>
          <w:sz w:val="20"/>
          <w:szCs w:val="20"/>
          <w:rtl/>
        </w:rPr>
        <w:t>"החלטת הפטור בעניין חברות הסלולר"</w:t>
      </w:r>
      <w:r>
        <w:rPr>
          <w:rFonts w:cs="David" w:hint="cs"/>
          <w:sz w:val="20"/>
          <w:szCs w:val="20"/>
          <w:rtl/>
        </w:rPr>
        <w:t>).</w:t>
      </w:r>
    </w:p>
  </w:footnote>
  <w:footnote w:id="2">
    <w:p w:rsidR="00000000" w:rsidRDefault="00667DB7">
      <w:pPr>
        <w:pStyle w:val="FootnoteText"/>
        <w:bidi/>
        <w:spacing w:before="0" w:beforeAutospacing="0" w:after="0" w:afterAutospacing="0"/>
        <w:rPr>
          <w:rFonts w:cs="David" w:hint="cs"/>
          <w:sz w:val="20"/>
          <w:szCs w:val="20"/>
          <w:rtl/>
        </w:rPr>
      </w:pPr>
      <w:r>
        <w:rPr>
          <w:rStyle w:val="FootnoteReference"/>
        </w:rPr>
        <w:footnoteRef/>
      </w:r>
      <w:r>
        <w:rPr>
          <w:rStyle w:val="FootnoteReference"/>
          <w:rFonts w:eastAsia="Times New Roman"/>
          <w:sz w:val="20"/>
          <w:szCs w:val="20"/>
        </w:rPr>
        <w:t>[2]</w:t>
      </w:r>
      <w:r>
        <w:rPr>
          <w:rFonts w:hint="cs"/>
          <w:sz w:val="20"/>
          <w:szCs w:val="20"/>
          <w:rtl/>
        </w:rPr>
        <w:t xml:space="preserve"> </w:t>
      </w:r>
      <w:r>
        <w:rPr>
          <w:rFonts w:cs="David" w:hint="cs"/>
          <w:sz w:val="20"/>
          <w:szCs w:val="20"/>
          <w:rtl/>
        </w:rPr>
        <w:t>ראו התייחסות לשיקולים אלו ב</w:t>
      </w:r>
      <w:r>
        <w:rPr>
          <w:rStyle w:val="Strong"/>
          <w:rFonts w:cs="David" w:hint="cs"/>
          <w:sz w:val="20"/>
          <w:szCs w:val="20"/>
          <w:rtl/>
        </w:rPr>
        <w:t>גילוי דעת: פטור לחילופי מידע הכרחיים לפתרון בעיות שנת ה-2000 בתחום מערכות המחשוב</w:t>
      </w:r>
      <w:r>
        <w:rPr>
          <w:rFonts w:cs="David" w:hint="cs"/>
          <w:sz w:val="20"/>
          <w:szCs w:val="20"/>
          <w:rtl/>
        </w:rPr>
        <w:t>; 1999</w:t>
      </w:r>
      <w:r>
        <w:rPr>
          <w:rFonts w:hint="cs"/>
          <w:sz w:val="20"/>
          <w:szCs w:val="20"/>
        </w:rPr>
        <w:t xml:space="preserve"> </w:t>
      </w:r>
      <w:r>
        <w:rPr>
          <w:rFonts w:cs="David" w:hint="cs"/>
          <w:sz w:val="20"/>
          <w:szCs w:val="20"/>
          <w:rtl/>
        </w:rPr>
        <w:t xml:space="preserve"> </w:t>
      </w:r>
      <w:r>
        <w:rPr>
          <w:rStyle w:val="Strong"/>
          <w:rFonts w:cs="David" w:hint="cs"/>
          <w:sz w:val="20"/>
          <w:szCs w:val="20"/>
          <w:rtl/>
        </w:rPr>
        <w:t>הגבלים עסקיים</w:t>
      </w:r>
      <w:r>
        <w:rPr>
          <w:rFonts w:cs="David" w:hint="cs"/>
          <w:sz w:val="20"/>
          <w:szCs w:val="20"/>
          <w:rtl/>
        </w:rPr>
        <w:t>, 30022</w:t>
      </w:r>
      <w:r>
        <w:rPr>
          <w:rFonts w:cs="David" w:hint="cs"/>
          <w:sz w:val="20"/>
          <w:szCs w:val="20"/>
          <w:rtl/>
        </w:rPr>
        <w:t>01; וכן בהחלטה לפי סעיף 14 לחוק בדבר מתן פטור מאישור הסדר כובל ל</w:t>
      </w:r>
      <w:r>
        <w:rPr>
          <w:rStyle w:val="Strong"/>
          <w:rFonts w:cs="David" w:hint="cs"/>
          <w:sz w:val="20"/>
          <w:szCs w:val="20"/>
          <w:rtl/>
        </w:rPr>
        <w:t>הסדר בין מגדל חברה לביטוח בע"מ לבין חברות ביטוח אחרות ובנקים בישראל</w:t>
      </w:r>
      <w:r>
        <w:rPr>
          <w:rFonts w:cs="David" w:hint="cs"/>
          <w:sz w:val="20"/>
          <w:szCs w:val="20"/>
          <w:rtl/>
        </w:rPr>
        <w:t xml:space="preserve">; 2000 </w:t>
      </w:r>
      <w:r>
        <w:rPr>
          <w:rStyle w:val="Strong"/>
          <w:rFonts w:cs="David" w:hint="cs"/>
          <w:sz w:val="20"/>
          <w:szCs w:val="20"/>
          <w:rtl/>
        </w:rPr>
        <w:t>הגבלים עסקיים</w:t>
      </w:r>
      <w:r>
        <w:rPr>
          <w:rFonts w:cs="David" w:hint="cs"/>
          <w:sz w:val="20"/>
          <w:szCs w:val="20"/>
          <w:rtl/>
        </w:rPr>
        <w:t xml:space="preserve"> 3008149.</w:t>
      </w:r>
    </w:p>
  </w:footnote>
  <w:footnote w:id="3">
    <w:p w:rsidR="00000000" w:rsidRDefault="00667DB7">
      <w:pPr>
        <w:pStyle w:val="FootnoteText"/>
        <w:bidi/>
        <w:spacing w:before="0" w:beforeAutospacing="0" w:after="0" w:afterAutospacing="0"/>
        <w:rPr>
          <w:rFonts w:cs="David" w:hint="cs"/>
          <w:rtl/>
        </w:rPr>
      </w:pPr>
      <w:r>
        <w:rPr>
          <w:rStyle w:val="FootnoteReference"/>
          <w:rFonts w:cs="David"/>
        </w:rPr>
        <w:footnoteRef/>
      </w:r>
      <w:r>
        <w:rPr>
          <w:rStyle w:val="FootnoteReference"/>
          <w:rFonts w:eastAsia="Times New Roman" w:cs="David"/>
          <w:sz w:val="20"/>
          <w:szCs w:val="20"/>
        </w:rPr>
        <w:t>[3]</w:t>
      </w:r>
      <w:r>
        <w:rPr>
          <w:rFonts w:cs="David" w:hint="cs"/>
          <w:sz w:val="20"/>
          <w:szCs w:val="20"/>
          <w:rtl/>
        </w:rPr>
        <w:t xml:space="preserve"> ראו החלטה לפי סעיף 14 לחוק בדבר מתן פטור מאישור הסדר כובל </w:t>
      </w:r>
      <w:r>
        <w:rPr>
          <w:rStyle w:val="Strong"/>
          <w:rFonts w:cs="David" w:hint="cs"/>
          <w:sz w:val="20"/>
          <w:szCs w:val="20"/>
          <w:rtl/>
        </w:rPr>
        <w:t>להסדר שבין התאחדות תחנות הרדיו האזורי לבין תחנות הרדיו האזורי החברות בה, שעניינו ניהול משא ומתן משותף עם תאגידים לניהול משותף</w:t>
      </w:r>
      <w:r>
        <w:rPr>
          <w:rFonts w:cs="David" w:hint="cs"/>
          <w:sz w:val="20"/>
          <w:szCs w:val="20"/>
          <w:rtl/>
        </w:rPr>
        <w:t xml:space="preserve">; 2010 </w:t>
      </w:r>
      <w:r>
        <w:rPr>
          <w:rStyle w:val="Strong"/>
          <w:rFonts w:cs="David" w:hint="cs"/>
          <w:sz w:val="20"/>
          <w:szCs w:val="20"/>
          <w:rtl/>
        </w:rPr>
        <w:t>הגבלים עסקיים</w:t>
      </w:r>
      <w:r>
        <w:rPr>
          <w:rFonts w:cs="David" w:hint="cs"/>
          <w:sz w:val="20"/>
          <w:szCs w:val="20"/>
          <w:rtl/>
        </w:rPr>
        <w:t xml:space="preserve"> 5001692.</w:t>
      </w:r>
    </w:p>
  </w:footnote>
  <w:footnote w:id="4">
    <w:p w:rsidR="00000000" w:rsidRDefault="00667DB7">
      <w:pPr>
        <w:pStyle w:val="FootnoteText"/>
        <w:bidi/>
        <w:spacing w:before="0" w:beforeAutospacing="0" w:after="0" w:afterAutospacing="0"/>
        <w:rPr>
          <w:rFonts w:cs="David" w:hint="cs"/>
        </w:rPr>
      </w:pPr>
      <w:r>
        <w:rPr>
          <w:rStyle w:val="FootnoteReference"/>
        </w:rPr>
        <w:footnoteRef/>
      </w:r>
      <w:r>
        <w:rPr>
          <w:rStyle w:val="FootnoteReference"/>
          <w:rFonts w:eastAsia="Times New Roman"/>
          <w:sz w:val="20"/>
          <w:szCs w:val="20"/>
        </w:rPr>
        <w:t>[4]</w:t>
      </w:r>
      <w:r>
        <w:rPr>
          <w:rFonts w:hint="cs"/>
          <w:sz w:val="20"/>
          <w:szCs w:val="20"/>
          <w:rtl/>
        </w:rPr>
        <w:t xml:space="preserve"> </w:t>
      </w:r>
      <w:r>
        <w:rPr>
          <w:rFonts w:cs="David" w:hint="cs"/>
          <w:sz w:val="20"/>
          <w:szCs w:val="20"/>
          <w:rtl/>
        </w:rPr>
        <w:t xml:space="preserve">ראו לעניין זה, </w:t>
      </w:r>
      <w:r>
        <w:rPr>
          <w:rStyle w:val="Strong"/>
          <w:rFonts w:cs="David" w:hint="cs"/>
          <w:sz w:val="20"/>
          <w:szCs w:val="20"/>
          <w:rtl/>
        </w:rPr>
        <w:t>החלטת הפטור בעניין חברות הסלולר</w:t>
      </w:r>
      <w:r>
        <w:rPr>
          <w:rFonts w:cs="David" w:hint="cs"/>
          <w:sz w:val="20"/>
          <w:szCs w:val="20"/>
          <w:rtl/>
        </w:rPr>
        <w:t xml:space="preserve">, ה"ש 1 לעיל; וכן החלטה לפי סעיף 14 לחוק בדבר מתן </w:t>
      </w:r>
      <w:r>
        <w:rPr>
          <w:rFonts w:cs="David" w:hint="cs"/>
          <w:sz w:val="20"/>
          <w:szCs w:val="20"/>
          <w:rtl/>
        </w:rPr>
        <w:t>פטור מאישור הסדר כובל ל</w:t>
      </w:r>
      <w:r>
        <w:rPr>
          <w:rStyle w:val="Strong"/>
          <w:rFonts w:cs="David" w:hint="cs"/>
          <w:sz w:val="20"/>
          <w:szCs w:val="20"/>
          <w:rtl/>
        </w:rPr>
        <w:t>הסדר בין חברות לניהול תיקי השקעות, חברות לשיווק השקעות וחברות ייעוץ השקעות</w:t>
      </w:r>
      <w:r>
        <w:rPr>
          <w:rFonts w:cs="David" w:hint="cs"/>
          <w:sz w:val="20"/>
          <w:szCs w:val="20"/>
          <w:rtl/>
        </w:rPr>
        <w:t xml:space="preserve">; 2010 </w:t>
      </w:r>
      <w:r>
        <w:rPr>
          <w:rStyle w:val="Strong"/>
          <w:rFonts w:cs="David" w:hint="cs"/>
          <w:sz w:val="20"/>
          <w:szCs w:val="20"/>
          <w:rtl/>
        </w:rPr>
        <w:t>הגבלים עסקיים</w:t>
      </w:r>
      <w:r>
        <w:rPr>
          <w:rFonts w:cs="David" w:hint="cs"/>
          <w:sz w:val="20"/>
          <w:szCs w:val="20"/>
          <w:rtl/>
        </w:rPr>
        <w:t xml:space="preserve"> 5001689.</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667DB7"/>
    <w:rsid w:val="00667D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36F7026-7335-4FE6-A654-90856C98D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spacing w:before="100" w:beforeAutospacing="1" w:after="100" w:afterAutospacing="1"/>
    </w:pPr>
  </w:style>
  <w:style w:type="paragraph" w:styleId="Header">
    <w:name w:val="header"/>
    <w:basedOn w:val="Normal"/>
    <w:link w:val="HeaderChar"/>
    <w:uiPriority w:val="99"/>
    <w:semiHidden/>
    <w:unhideWhenUsed/>
    <w:pPr>
      <w:spacing w:before="100" w:beforeAutospacing="1" w:after="100" w:afterAutospacing="1"/>
    </w:pPr>
  </w:style>
  <w:style w:type="character" w:customStyle="1" w:styleId="HeaderChar">
    <w:name w:val="Header Char"/>
    <w:basedOn w:val="DefaultParagraphFont"/>
    <w:link w:val="Header"/>
    <w:uiPriority w:val="99"/>
    <w:semiHidden/>
    <w:rPr>
      <w:rFonts w:eastAsiaTheme="minorEastAsia"/>
      <w:sz w:val="24"/>
      <w:szCs w:val="24"/>
    </w:rPr>
  </w:style>
  <w:style w:type="character" w:styleId="Strong">
    <w:name w:val="Strong"/>
    <w:basedOn w:val="DefaultParagraphFont"/>
    <w:uiPriority w:val="22"/>
    <w:qFormat/>
    <w:rPr>
      <w:b/>
      <w:bCs/>
    </w:rPr>
  </w:style>
  <w:style w:type="paragraph" w:styleId="BodyText">
    <w:name w:val="Body Text"/>
    <w:basedOn w:val="Normal"/>
    <w:link w:val="BodyTextChar"/>
    <w:uiPriority w:val="99"/>
    <w:semiHidden/>
    <w:unhideWhenUsed/>
    <w:pPr>
      <w:spacing w:before="100" w:beforeAutospacing="1" w:after="100" w:afterAutospacing="1"/>
    </w:pPr>
  </w:style>
  <w:style w:type="character" w:customStyle="1" w:styleId="BodyTextChar">
    <w:name w:val="Body Text Char"/>
    <w:basedOn w:val="DefaultParagraphFont"/>
    <w:link w:val="BodyText"/>
    <w:uiPriority w:val="99"/>
    <w:semiHidden/>
    <w:rPr>
      <w:rFonts w:eastAsiaTheme="minorEastAsia"/>
      <w:sz w:val="24"/>
      <w:szCs w:val="24"/>
    </w:rPr>
  </w:style>
  <w:style w:type="paragraph" w:styleId="BodyText3">
    <w:name w:val="Body Text 3"/>
    <w:basedOn w:val="Normal"/>
    <w:link w:val="BodyText3Char"/>
    <w:uiPriority w:val="99"/>
    <w:semiHidden/>
    <w:unhideWhenUsed/>
    <w:pPr>
      <w:spacing w:before="100" w:beforeAutospacing="1" w:after="100" w:afterAutospacing="1"/>
    </w:pPr>
  </w:style>
  <w:style w:type="character" w:customStyle="1" w:styleId="BodyText3Char">
    <w:name w:val="Body Text 3 Char"/>
    <w:basedOn w:val="DefaultParagraphFont"/>
    <w:link w:val="BodyText3"/>
    <w:uiPriority w:val="99"/>
    <w:semiHidden/>
    <w:rPr>
      <w:rFonts w:eastAsiaTheme="minorEastAsia"/>
      <w:sz w:val="16"/>
      <w:szCs w:val="16"/>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E74B5" w:themeColor="accent1" w:themeShade="BF"/>
      <w:sz w:val="32"/>
      <w:szCs w:val="32"/>
    </w:rPr>
  </w:style>
  <w:style w:type="character" w:styleId="FootnoteReference">
    <w:name w:val="footnote reference"/>
    <w:basedOn w:val="DefaultParagraphFont"/>
    <w:uiPriority w:val="99"/>
    <w:semiHidden/>
    <w:unhideWhenUsed/>
  </w:style>
  <w:style w:type="paragraph" w:styleId="FootnoteText">
    <w:name w:val="footnote text"/>
    <w:basedOn w:val="Normal"/>
    <w:link w:val="FootnoteTextChar"/>
    <w:uiPriority w:val="99"/>
    <w:semiHidden/>
    <w:unhideWhenUsed/>
    <w:pPr>
      <w:spacing w:before="100" w:beforeAutospacing="1" w:after="100" w:afterAutospacing="1"/>
    </w:pPr>
  </w:style>
  <w:style w:type="character" w:customStyle="1" w:styleId="FootnoteTextChar">
    <w:name w:val="Footnote Text Char"/>
    <w:basedOn w:val="DefaultParagraphFont"/>
    <w:link w:val="FootnoteText"/>
    <w:uiPriority w:val="99"/>
    <w:semiHidden/>
    <w:rPr>
      <w:rFonts w:eastAsiaTheme="minorEastAsia"/>
    </w:rPr>
  </w:style>
  <w:style w:type="paragraph" w:styleId="Footer">
    <w:name w:val="footer"/>
    <w:basedOn w:val="Normal"/>
    <w:link w:val="FooterChar"/>
    <w:uiPriority w:val="99"/>
    <w:semiHidden/>
    <w:unhideWhenUsed/>
    <w:pPr>
      <w:spacing w:before="100" w:beforeAutospacing="1" w:after="100" w:afterAutospacing="1"/>
    </w:pPr>
  </w:style>
  <w:style w:type="character" w:customStyle="1" w:styleId="FooterChar">
    <w:name w:val="Footer Char"/>
    <w:basedOn w:val="DefaultParagraphFont"/>
    <w:link w:val="Footer"/>
    <w:uiPriority w:val="99"/>
    <w:semiHidden/>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9629602">
      <w:marLeft w:val="0"/>
      <w:marRight w:val="0"/>
      <w:marTop w:val="0"/>
      <w:marBottom w:val="0"/>
      <w:divBdr>
        <w:top w:val="none" w:sz="0" w:space="0" w:color="auto"/>
        <w:left w:val="none" w:sz="0" w:space="0" w:color="auto"/>
        <w:bottom w:val="none" w:sz="0" w:space="0" w:color="auto"/>
        <w:right w:val="none" w:sz="0" w:space="0" w:color="auto"/>
      </w:divBdr>
    </w:div>
    <w:div w:id="1496412840">
      <w:marLeft w:val="0"/>
      <w:marRight w:val="0"/>
      <w:marTop w:val="0"/>
      <w:marBottom w:val="0"/>
      <w:divBdr>
        <w:top w:val="none" w:sz="0" w:space="0" w:color="auto"/>
        <w:left w:val="none" w:sz="0" w:space="0" w:color="auto"/>
        <w:bottom w:val="none" w:sz="0" w:space="0" w:color="auto"/>
        <w:right w:val="none" w:sz="0" w:space="0" w:color="auto"/>
      </w:divBdr>
    </w:div>
    <w:div w:id="204682715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1745</Words>
  <Characters>8786</Characters>
  <Application>Microsoft Office Word</Application>
  <DocSecurity>0</DocSecurity>
  <Lines>73</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Melita Shafir</dc:creator>
  <cp:keywords/>
  <dc:description/>
  <cp:lastModifiedBy>Melita Shafir</cp:lastModifiedBy>
  <cp:revision>2</cp:revision>
  <dcterms:created xsi:type="dcterms:W3CDTF">2019-08-13T11:20:00Z</dcterms:created>
  <dcterms:modified xsi:type="dcterms:W3CDTF">2019-08-13T11:20:00Z</dcterms:modified>
</cp:coreProperties>
</file>