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E66BD" w14:textId="39C3DC9D" w:rsidR="00D924E2" w:rsidRPr="004D1F87" w:rsidRDefault="006A0784" w:rsidP="004D1F87">
      <w:pPr>
        <w:pStyle w:val="Title"/>
        <w:jc w:val="center"/>
        <w:rPr>
          <w:rFonts w:cs="David"/>
          <w:b/>
          <w:bCs/>
          <w:sz w:val="32"/>
          <w:szCs w:val="32"/>
          <w:rtl/>
        </w:rPr>
      </w:pPr>
      <w:r w:rsidRPr="004D1F87">
        <w:rPr>
          <w:rFonts w:cs="David" w:hint="cs"/>
          <w:b/>
          <w:bCs/>
          <w:sz w:val="32"/>
          <w:szCs w:val="32"/>
          <w:rtl/>
        </w:rPr>
        <w:t xml:space="preserve">החלטת הממונה על הגבלים עסקיים להטיל </w:t>
      </w:r>
      <w:r w:rsidR="00D924E2" w:rsidRPr="004D1F87">
        <w:rPr>
          <w:rFonts w:cs="David" w:hint="cs"/>
          <w:b/>
          <w:bCs/>
          <w:sz w:val="32"/>
          <w:szCs w:val="32"/>
          <w:rtl/>
        </w:rPr>
        <w:t>עיצום</w:t>
      </w:r>
      <w:r w:rsidR="00D924E2" w:rsidRPr="004D1F87">
        <w:rPr>
          <w:rFonts w:cs="David"/>
          <w:b/>
          <w:bCs/>
          <w:sz w:val="32"/>
          <w:szCs w:val="32"/>
          <w:rtl/>
        </w:rPr>
        <w:t xml:space="preserve"> </w:t>
      </w:r>
      <w:r w:rsidR="00D924E2" w:rsidRPr="004D1F87">
        <w:rPr>
          <w:rFonts w:cs="David" w:hint="cs"/>
          <w:b/>
          <w:bCs/>
          <w:sz w:val="32"/>
          <w:szCs w:val="32"/>
          <w:rtl/>
        </w:rPr>
        <w:t xml:space="preserve">כספי </w:t>
      </w:r>
      <w:r w:rsidR="00D924E2" w:rsidRPr="004D1F87">
        <w:rPr>
          <w:rFonts w:cs="David"/>
          <w:b/>
          <w:bCs/>
          <w:sz w:val="32"/>
          <w:szCs w:val="32"/>
          <w:rtl/>
        </w:rPr>
        <w:br/>
      </w:r>
      <w:r w:rsidR="00D924E2" w:rsidRPr="004D1F87">
        <w:rPr>
          <w:rFonts w:cs="David" w:hint="cs"/>
          <w:b/>
          <w:bCs/>
          <w:sz w:val="32"/>
          <w:szCs w:val="32"/>
          <w:rtl/>
        </w:rPr>
        <w:t>לפי סעיף 50ד(א)(</w:t>
      </w:r>
      <w:r w:rsidR="00EE0EB0" w:rsidRPr="004D1F87">
        <w:rPr>
          <w:rFonts w:cs="David" w:hint="cs"/>
          <w:b/>
          <w:bCs/>
          <w:sz w:val="32"/>
          <w:szCs w:val="32"/>
          <w:rtl/>
        </w:rPr>
        <w:t>2</w:t>
      </w:r>
      <w:r w:rsidR="00D924E2" w:rsidRPr="004D1F87">
        <w:rPr>
          <w:rFonts w:cs="David" w:hint="cs"/>
          <w:b/>
          <w:bCs/>
          <w:sz w:val="32"/>
          <w:szCs w:val="32"/>
          <w:rtl/>
        </w:rPr>
        <w:t xml:space="preserve">) לחוק ההגבלים העסקיים, התשמ"ח-1988 </w:t>
      </w:r>
      <w:r w:rsidR="00D924E2" w:rsidRPr="004D1F87">
        <w:rPr>
          <w:rFonts w:cs="David"/>
          <w:b/>
          <w:bCs/>
          <w:sz w:val="32"/>
          <w:szCs w:val="32"/>
          <w:rtl/>
        </w:rPr>
        <w:br/>
      </w:r>
      <w:r w:rsidR="00D924E2" w:rsidRPr="004D1F87">
        <w:rPr>
          <w:rFonts w:cs="David" w:hint="cs"/>
          <w:b/>
          <w:bCs/>
          <w:sz w:val="32"/>
          <w:szCs w:val="32"/>
          <w:rtl/>
        </w:rPr>
        <w:t xml:space="preserve">על </w:t>
      </w:r>
      <w:r w:rsidR="007E07CF" w:rsidRPr="004D1F87">
        <w:rPr>
          <w:rFonts w:cs="David" w:hint="cs"/>
          <w:b/>
          <w:bCs/>
          <w:sz w:val="32"/>
          <w:szCs w:val="32"/>
          <w:rtl/>
        </w:rPr>
        <w:t>יהודה</w:t>
      </w:r>
      <w:r w:rsidR="007E07CF" w:rsidRPr="004D1F87">
        <w:rPr>
          <w:rFonts w:cs="David"/>
          <w:b/>
          <w:bCs/>
          <w:sz w:val="32"/>
          <w:szCs w:val="32"/>
          <w:rtl/>
        </w:rPr>
        <w:t xml:space="preserve"> </w:t>
      </w:r>
      <w:r w:rsidR="007E07CF" w:rsidRPr="004D1F87">
        <w:rPr>
          <w:rFonts w:cs="David" w:hint="cs"/>
          <w:b/>
          <w:bCs/>
          <w:sz w:val="32"/>
          <w:szCs w:val="32"/>
          <w:rtl/>
        </w:rPr>
        <w:t>ברמן</w:t>
      </w:r>
      <w:r w:rsidR="007E07CF" w:rsidRPr="004D1F87">
        <w:rPr>
          <w:rFonts w:cs="David"/>
          <w:b/>
          <w:bCs/>
          <w:sz w:val="32"/>
          <w:szCs w:val="32"/>
          <w:rtl/>
        </w:rPr>
        <w:t xml:space="preserve"> </w:t>
      </w:r>
      <w:r w:rsidR="007E07CF" w:rsidRPr="004D1F87">
        <w:rPr>
          <w:rFonts w:cs="David" w:hint="cs"/>
          <w:b/>
          <w:bCs/>
          <w:sz w:val="32"/>
          <w:szCs w:val="32"/>
          <w:rtl/>
        </w:rPr>
        <w:t>בע</w:t>
      </w:r>
      <w:r w:rsidR="007E07CF" w:rsidRPr="004D1F87">
        <w:rPr>
          <w:rFonts w:cs="David"/>
          <w:b/>
          <w:bCs/>
          <w:sz w:val="32"/>
          <w:szCs w:val="32"/>
          <w:rtl/>
        </w:rPr>
        <w:t>"</w:t>
      </w:r>
      <w:r w:rsidR="007E07CF" w:rsidRPr="004D1F87">
        <w:rPr>
          <w:rFonts w:cs="David" w:hint="cs"/>
          <w:b/>
          <w:bCs/>
          <w:sz w:val="32"/>
          <w:szCs w:val="32"/>
          <w:rtl/>
        </w:rPr>
        <w:t>מ ומכלול</w:t>
      </w:r>
      <w:r w:rsidR="007E07CF" w:rsidRPr="004D1F87">
        <w:rPr>
          <w:rFonts w:cs="David"/>
          <w:b/>
          <w:bCs/>
          <w:sz w:val="32"/>
          <w:szCs w:val="32"/>
          <w:rtl/>
        </w:rPr>
        <w:t xml:space="preserve"> – </w:t>
      </w:r>
      <w:r w:rsidR="007E07CF" w:rsidRPr="004D1F87">
        <w:rPr>
          <w:rFonts w:cs="David" w:hint="cs"/>
          <w:b/>
          <w:bCs/>
          <w:sz w:val="32"/>
          <w:szCs w:val="32"/>
          <w:rtl/>
        </w:rPr>
        <w:t>חברה</w:t>
      </w:r>
      <w:r w:rsidR="007E07CF" w:rsidRPr="004D1F87">
        <w:rPr>
          <w:rFonts w:cs="David"/>
          <w:b/>
          <w:bCs/>
          <w:sz w:val="32"/>
          <w:szCs w:val="32"/>
          <w:rtl/>
        </w:rPr>
        <w:t xml:space="preserve"> </w:t>
      </w:r>
      <w:r w:rsidR="007E07CF" w:rsidRPr="004D1F87">
        <w:rPr>
          <w:rFonts w:cs="David" w:hint="cs"/>
          <w:b/>
          <w:bCs/>
          <w:sz w:val="32"/>
          <w:szCs w:val="32"/>
          <w:rtl/>
        </w:rPr>
        <w:t>למתן</w:t>
      </w:r>
      <w:r w:rsidR="007E07CF" w:rsidRPr="004D1F87">
        <w:rPr>
          <w:rFonts w:cs="David"/>
          <w:b/>
          <w:bCs/>
          <w:sz w:val="32"/>
          <w:szCs w:val="32"/>
          <w:rtl/>
        </w:rPr>
        <w:t xml:space="preserve"> </w:t>
      </w:r>
      <w:r w:rsidR="007E07CF" w:rsidRPr="004D1F87">
        <w:rPr>
          <w:rFonts w:cs="David" w:hint="cs"/>
          <w:b/>
          <w:bCs/>
          <w:sz w:val="32"/>
          <w:szCs w:val="32"/>
          <w:rtl/>
        </w:rPr>
        <w:t>שירותים</w:t>
      </w:r>
      <w:r w:rsidR="007E07CF" w:rsidRPr="004D1F87">
        <w:rPr>
          <w:rFonts w:cs="David"/>
          <w:b/>
          <w:bCs/>
          <w:sz w:val="32"/>
          <w:szCs w:val="32"/>
          <w:rtl/>
        </w:rPr>
        <w:t xml:space="preserve"> </w:t>
      </w:r>
      <w:r w:rsidR="007E07CF" w:rsidRPr="004D1F87">
        <w:rPr>
          <w:rFonts w:cs="David" w:hint="cs"/>
          <w:b/>
          <w:bCs/>
          <w:sz w:val="32"/>
          <w:szCs w:val="32"/>
          <w:rtl/>
        </w:rPr>
        <w:t>לסטודנטים</w:t>
      </w:r>
      <w:r w:rsidR="007E07CF" w:rsidRPr="004D1F87">
        <w:rPr>
          <w:rFonts w:cs="David"/>
          <w:b/>
          <w:bCs/>
          <w:sz w:val="32"/>
          <w:szCs w:val="32"/>
          <w:rtl/>
        </w:rPr>
        <w:t xml:space="preserve"> </w:t>
      </w:r>
      <w:r w:rsidR="007E07CF" w:rsidRPr="004D1F87">
        <w:rPr>
          <w:rFonts w:cs="David" w:hint="cs"/>
          <w:b/>
          <w:bCs/>
          <w:sz w:val="32"/>
          <w:szCs w:val="32"/>
          <w:rtl/>
        </w:rPr>
        <w:t>בטכניון</w:t>
      </w:r>
      <w:r w:rsidR="007E07CF" w:rsidRPr="004D1F87">
        <w:rPr>
          <w:rFonts w:cs="David"/>
          <w:b/>
          <w:bCs/>
          <w:sz w:val="32"/>
          <w:szCs w:val="32"/>
          <w:rtl/>
        </w:rPr>
        <w:t xml:space="preserve"> </w:t>
      </w:r>
      <w:r w:rsidR="007E07CF" w:rsidRPr="004D1F87">
        <w:rPr>
          <w:rFonts w:cs="David" w:hint="cs"/>
          <w:b/>
          <w:bCs/>
          <w:sz w:val="32"/>
          <w:szCs w:val="32"/>
          <w:rtl/>
        </w:rPr>
        <w:t>ובמוסדות</w:t>
      </w:r>
      <w:r w:rsidR="007E07CF" w:rsidRPr="004D1F87">
        <w:rPr>
          <w:rFonts w:cs="David"/>
          <w:b/>
          <w:bCs/>
          <w:sz w:val="32"/>
          <w:szCs w:val="32"/>
          <w:rtl/>
        </w:rPr>
        <w:t xml:space="preserve"> </w:t>
      </w:r>
      <w:r w:rsidR="007E07CF" w:rsidRPr="004D1F87">
        <w:rPr>
          <w:rFonts w:cs="David" w:hint="cs"/>
          <w:b/>
          <w:bCs/>
          <w:sz w:val="32"/>
          <w:szCs w:val="32"/>
          <w:rtl/>
        </w:rPr>
        <w:t>אקדמיים</w:t>
      </w:r>
      <w:r w:rsidR="007E07CF" w:rsidRPr="004D1F87">
        <w:rPr>
          <w:rFonts w:cs="David"/>
          <w:b/>
          <w:bCs/>
          <w:sz w:val="32"/>
          <w:szCs w:val="32"/>
          <w:rtl/>
        </w:rPr>
        <w:t xml:space="preserve"> </w:t>
      </w:r>
      <w:r w:rsidR="007E07CF" w:rsidRPr="004D1F87">
        <w:rPr>
          <w:rFonts w:cs="David" w:hint="cs"/>
          <w:b/>
          <w:bCs/>
          <w:sz w:val="32"/>
          <w:szCs w:val="32"/>
          <w:rtl/>
        </w:rPr>
        <w:t>אחרים</w:t>
      </w:r>
      <w:r w:rsidR="007E07CF" w:rsidRPr="004D1F87">
        <w:rPr>
          <w:rFonts w:cs="David"/>
          <w:b/>
          <w:bCs/>
          <w:sz w:val="32"/>
          <w:szCs w:val="32"/>
          <w:rtl/>
        </w:rPr>
        <w:t xml:space="preserve"> </w:t>
      </w:r>
      <w:r w:rsidR="007E07CF" w:rsidRPr="004D1F87">
        <w:rPr>
          <w:rFonts w:cs="David" w:hint="cs"/>
          <w:b/>
          <w:bCs/>
          <w:sz w:val="32"/>
          <w:szCs w:val="32"/>
          <w:rtl/>
        </w:rPr>
        <w:t>בע</w:t>
      </w:r>
      <w:r w:rsidR="007E07CF" w:rsidRPr="004D1F87">
        <w:rPr>
          <w:rFonts w:cs="David"/>
          <w:b/>
          <w:bCs/>
          <w:sz w:val="32"/>
          <w:szCs w:val="32"/>
          <w:rtl/>
        </w:rPr>
        <w:t>"</w:t>
      </w:r>
      <w:r w:rsidR="007E07CF" w:rsidRPr="004D1F87">
        <w:rPr>
          <w:rFonts w:cs="David" w:hint="cs"/>
          <w:b/>
          <w:bCs/>
          <w:sz w:val="32"/>
          <w:szCs w:val="32"/>
          <w:rtl/>
        </w:rPr>
        <w:t>מ</w:t>
      </w:r>
    </w:p>
    <w:p w14:paraId="4B5814F6" w14:textId="77777777" w:rsidR="00D924E2" w:rsidRPr="004B0E72" w:rsidRDefault="00D924E2" w:rsidP="004D1F87">
      <w:pPr>
        <w:pStyle w:val="Heading1"/>
        <w:numPr>
          <w:ilvl w:val="0"/>
          <w:numId w:val="39"/>
        </w:numPr>
      </w:pPr>
      <w:r w:rsidRPr="004B0E72">
        <w:rPr>
          <w:rFonts w:hint="cs"/>
          <w:rtl/>
        </w:rPr>
        <w:t>פתח דבר</w:t>
      </w:r>
    </w:p>
    <w:p w14:paraId="3E26D689" w14:textId="02FE4786" w:rsidR="00176BD7" w:rsidRPr="004B0E72" w:rsidRDefault="00AC7B7C" w:rsidP="001C0039">
      <w:pPr>
        <w:pStyle w:val="ListParagraph"/>
        <w:numPr>
          <w:ilvl w:val="0"/>
          <w:numId w:val="27"/>
        </w:numPr>
        <w:spacing w:line="360" w:lineRule="auto"/>
        <w:jc w:val="both"/>
      </w:pPr>
      <w:r w:rsidRPr="004B0E72">
        <w:rPr>
          <w:rFonts w:hint="cs"/>
          <w:rtl/>
        </w:rPr>
        <w:t xml:space="preserve">עניינה של החלטה זו </w:t>
      </w:r>
      <w:r w:rsidR="001C0039" w:rsidRPr="004B0E72">
        <w:rPr>
          <w:rFonts w:hint="cs"/>
          <w:rtl/>
        </w:rPr>
        <w:t>הוא ב</w:t>
      </w:r>
      <w:r w:rsidR="00361CBE" w:rsidRPr="004B0E72">
        <w:rPr>
          <w:rFonts w:hint="cs"/>
          <w:rtl/>
        </w:rPr>
        <w:t xml:space="preserve">הטלת עיצום כספי </w:t>
      </w:r>
      <w:r w:rsidR="00105A4E" w:rsidRPr="004B0E72">
        <w:rPr>
          <w:rFonts w:hint="cs"/>
          <w:rtl/>
        </w:rPr>
        <w:t xml:space="preserve">בהתאם </w:t>
      </w:r>
      <w:r w:rsidR="006F211D" w:rsidRPr="004B0E72">
        <w:rPr>
          <w:rFonts w:hint="cs"/>
          <w:rtl/>
        </w:rPr>
        <w:t>ל</w:t>
      </w:r>
      <w:r w:rsidR="001C0039" w:rsidRPr="004B0E72">
        <w:rPr>
          <w:rFonts w:hint="cs"/>
          <w:rtl/>
        </w:rPr>
        <w:t>סמכות הממונה על הגבלים עסקיים (להלן: "</w:t>
      </w:r>
      <w:r w:rsidR="001C0039" w:rsidRPr="004B0E72">
        <w:rPr>
          <w:rFonts w:hint="cs"/>
          <w:b/>
          <w:bCs/>
          <w:rtl/>
        </w:rPr>
        <w:t>הממונה</w:t>
      </w:r>
      <w:r w:rsidR="001C0039" w:rsidRPr="004B0E72">
        <w:rPr>
          <w:rFonts w:hint="cs"/>
          <w:rtl/>
        </w:rPr>
        <w:t>") לפי</w:t>
      </w:r>
      <w:r w:rsidR="001C0039" w:rsidRPr="004B0E72">
        <w:rPr>
          <w:rFonts w:hint="cs"/>
          <w:b/>
          <w:bCs/>
          <w:rtl/>
        </w:rPr>
        <w:t xml:space="preserve"> </w:t>
      </w:r>
      <w:r w:rsidR="007E07CF" w:rsidRPr="004B0E72">
        <w:rPr>
          <w:rFonts w:hint="cs"/>
          <w:rtl/>
        </w:rPr>
        <w:t>סעיף</w:t>
      </w:r>
      <w:r w:rsidR="007E07CF" w:rsidRPr="004B0E72">
        <w:rPr>
          <w:rtl/>
        </w:rPr>
        <w:t xml:space="preserve"> </w:t>
      </w:r>
      <w:r w:rsidR="00EF6389" w:rsidRPr="004B0E72">
        <w:rPr>
          <w:rtl/>
        </w:rPr>
        <w:t>50</w:t>
      </w:r>
      <w:r w:rsidR="00EF6389" w:rsidRPr="004B0E72">
        <w:rPr>
          <w:rFonts w:hint="cs"/>
          <w:rtl/>
        </w:rPr>
        <w:t>ד</w:t>
      </w:r>
      <w:r w:rsidR="00EE0EB0" w:rsidRPr="004B0E72">
        <w:rPr>
          <w:rFonts w:hint="cs"/>
          <w:rtl/>
        </w:rPr>
        <w:t>(א)</w:t>
      </w:r>
      <w:r w:rsidR="00EF6389" w:rsidRPr="004B0E72">
        <w:rPr>
          <w:rtl/>
        </w:rPr>
        <w:t xml:space="preserve">(2) </w:t>
      </w:r>
      <w:r w:rsidR="007E07CF" w:rsidRPr="004B0E72">
        <w:rPr>
          <w:rFonts w:hint="cs"/>
          <w:rtl/>
        </w:rPr>
        <w:t>לחוק</w:t>
      </w:r>
      <w:r w:rsidR="007E07CF" w:rsidRPr="004B0E72">
        <w:rPr>
          <w:rtl/>
        </w:rPr>
        <w:t xml:space="preserve"> </w:t>
      </w:r>
      <w:r w:rsidR="007E07CF" w:rsidRPr="004B0E72">
        <w:rPr>
          <w:rFonts w:hint="cs"/>
          <w:rtl/>
        </w:rPr>
        <w:t>ההגבלים</w:t>
      </w:r>
      <w:r w:rsidR="007E07CF" w:rsidRPr="004B0E72">
        <w:rPr>
          <w:rtl/>
        </w:rPr>
        <w:t xml:space="preserve"> </w:t>
      </w:r>
      <w:r w:rsidR="007E07CF" w:rsidRPr="004B0E72">
        <w:rPr>
          <w:rFonts w:hint="cs"/>
          <w:rtl/>
        </w:rPr>
        <w:t>העסקיים</w:t>
      </w:r>
      <w:r w:rsidR="007E07CF" w:rsidRPr="004B0E72">
        <w:rPr>
          <w:rtl/>
        </w:rPr>
        <w:t xml:space="preserve">, </w:t>
      </w:r>
      <w:r w:rsidR="007E07CF" w:rsidRPr="004B0E72">
        <w:rPr>
          <w:rFonts w:hint="cs"/>
          <w:rtl/>
        </w:rPr>
        <w:t>התשמ</w:t>
      </w:r>
      <w:r w:rsidR="007E07CF" w:rsidRPr="004B0E72">
        <w:rPr>
          <w:rtl/>
        </w:rPr>
        <w:t>"</w:t>
      </w:r>
      <w:r w:rsidR="007E07CF" w:rsidRPr="004B0E72">
        <w:rPr>
          <w:rFonts w:hint="cs"/>
          <w:rtl/>
        </w:rPr>
        <w:t>ח</w:t>
      </w:r>
      <w:r w:rsidR="007E07CF" w:rsidRPr="004B0E72">
        <w:rPr>
          <w:rtl/>
        </w:rPr>
        <w:t>-1988 (</w:t>
      </w:r>
      <w:r w:rsidR="007E07CF" w:rsidRPr="004B0E72">
        <w:rPr>
          <w:rFonts w:hint="cs"/>
          <w:rtl/>
        </w:rPr>
        <w:t>להלן</w:t>
      </w:r>
      <w:r w:rsidR="007E07CF" w:rsidRPr="004B0E72">
        <w:rPr>
          <w:rtl/>
        </w:rPr>
        <w:t>: "</w:t>
      </w:r>
      <w:r w:rsidR="007E07CF" w:rsidRPr="004B0E72">
        <w:rPr>
          <w:rFonts w:hint="cs"/>
          <w:b/>
          <w:bCs/>
          <w:rtl/>
        </w:rPr>
        <w:t>חוק</w:t>
      </w:r>
      <w:r w:rsidR="007E07CF" w:rsidRPr="004B0E72">
        <w:rPr>
          <w:rtl/>
        </w:rPr>
        <w:t xml:space="preserve"> </w:t>
      </w:r>
      <w:r w:rsidR="007E07CF" w:rsidRPr="004B0E72">
        <w:rPr>
          <w:rFonts w:hint="cs"/>
          <w:b/>
          <w:bCs/>
          <w:rtl/>
        </w:rPr>
        <w:t>ההגבלים</w:t>
      </w:r>
      <w:r w:rsidR="007E07CF" w:rsidRPr="004B0E72">
        <w:rPr>
          <w:rtl/>
        </w:rPr>
        <w:t xml:space="preserve"> </w:t>
      </w:r>
      <w:r w:rsidR="007E07CF" w:rsidRPr="004B0E72">
        <w:rPr>
          <w:rFonts w:hint="cs"/>
          <w:b/>
          <w:bCs/>
          <w:rtl/>
        </w:rPr>
        <w:t>העסקיים</w:t>
      </w:r>
      <w:r w:rsidR="007E07CF" w:rsidRPr="004B0E72">
        <w:rPr>
          <w:rtl/>
        </w:rPr>
        <w:t xml:space="preserve">" </w:t>
      </w:r>
      <w:r w:rsidR="007E07CF" w:rsidRPr="004B0E72">
        <w:rPr>
          <w:rFonts w:hint="cs"/>
          <w:rtl/>
        </w:rPr>
        <w:t>או</w:t>
      </w:r>
      <w:r w:rsidR="007E07CF" w:rsidRPr="004B0E72">
        <w:rPr>
          <w:rtl/>
        </w:rPr>
        <w:t xml:space="preserve"> "</w:t>
      </w:r>
      <w:r w:rsidR="007E07CF" w:rsidRPr="004B0E72">
        <w:rPr>
          <w:rFonts w:hint="cs"/>
          <w:b/>
          <w:bCs/>
          <w:rtl/>
        </w:rPr>
        <w:t>החוק</w:t>
      </w:r>
      <w:r w:rsidR="007E07CF" w:rsidRPr="004B0E72">
        <w:rPr>
          <w:rtl/>
        </w:rPr>
        <w:t>")</w:t>
      </w:r>
      <w:r w:rsidR="00105A4E" w:rsidRPr="004B0E72">
        <w:rPr>
          <w:rFonts w:hint="cs"/>
          <w:rtl/>
        </w:rPr>
        <w:t xml:space="preserve"> </w:t>
      </w:r>
      <w:r w:rsidR="00EF6389" w:rsidRPr="004B0E72">
        <w:rPr>
          <w:rFonts w:hint="cs"/>
          <w:rtl/>
        </w:rPr>
        <w:t>על</w:t>
      </w:r>
      <w:r w:rsidR="00EF6389" w:rsidRPr="004B0E72">
        <w:rPr>
          <w:rtl/>
        </w:rPr>
        <w:t xml:space="preserve"> </w:t>
      </w:r>
      <w:r w:rsidR="007E07CF" w:rsidRPr="004B0E72">
        <w:rPr>
          <w:rFonts w:hint="cs"/>
          <w:rtl/>
        </w:rPr>
        <w:t>יהודה</w:t>
      </w:r>
      <w:r w:rsidR="007E07CF" w:rsidRPr="004B0E72">
        <w:rPr>
          <w:rtl/>
        </w:rPr>
        <w:t xml:space="preserve"> </w:t>
      </w:r>
      <w:r w:rsidR="007E07CF" w:rsidRPr="004B0E72">
        <w:rPr>
          <w:rFonts w:hint="cs"/>
          <w:rtl/>
        </w:rPr>
        <w:t>ברמן</w:t>
      </w:r>
      <w:r w:rsidR="007E07CF" w:rsidRPr="004B0E72">
        <w:rPr>
          <w:rtl/>
        </w:rPr>
        <w:t xml:space="preserve"> </w:t>
      </w:r>
      <w:r w:rsidR="007E07CF" w:rsidRPr="004B0E72">
        <w:rPr>
          <w:rFonts w:hint="cs"/>
          <w:rtl/>
        </w:rPr>
        <w:t>בע</w:t>
      </w:r>
      <w:r w:rsidR="007E07CF" w:rsidRPr="004B0E72">
        <w:rPr>
          <w:rtl/>
        </w:rPr>
        <w:t>"</w:t>
      </w:r>
      <w:r w:rsidR="007E07CF" w:rsidRPr="004B0E72">
        <w:rPr>
          <w:rFonts w:hint="cs"/>
          <w:rtl/>
        </w:rPr>
        <w:t>מ</w:t>
      </w:r>
      <w:r w:rsidR="007E07CF" w:rsidRPr="004B0E72">
        <w:rPr>
          <w:rtl/>
        </w:rPr>
        <w:t xml:space="preserve"> (</w:t>
      </w:r>
      <w:r w:rsidR="007E07CF" w:rsidRPr="004B0E72">
        <w:rPr>
          <w:rFonts w:hint="cs"/>
          <w:rtl/>
        </w:rPr>
        <w:t>להלן</w:t>
      </w:r>
      <w:r w:rsidR="007E07CF" w:rsidRPr="004B0E72">
        <w:rPr>
          <w:rtl/>
        </w:rPr>
        <w:t>: "</w:t>
      </w:r>
      <w:r w:rsidR="007E07CF" w:rsidRPr="004B0E72">
        <w:rPr>
          <w:rFonts w:hint="cs"/>
          <w:b/>
          <w:bCs/>
          <w:rtl/>
        </w:rPr>
        <w:t>ברמן</w:t>
      </w:r>
      <w:r w:rsidR="007E07CF" w:rsidRPr="004B0E72">
        <w:rPr>
          <w:rtl/>
        </w:rPr>
        <w:t>")</w:t>
      </w:r>
      <w:r w:rsidR="007E07CF" w:rsidRPr="004B0E72">
        <w:rPr>
          <w:b/>
          <w:bCs/>
          <w:rtl/>
        </w:rPr>
        <w:t xml:space="preserve"> </w:t>
      </w:r>
      <w:r w:rsidR="007E07CF" w:rsidRPr="004B0E72">
        <w:rPr>
          <w:rFonts w:hint="cs"/>
          <w:rtl/>
        </w:rPr>
        <w:t>ומכלול</w:t>
      </w:r>
      <w:r w:rsidR="007E07CF" w:rsidRPr="004B0E72">
        <w:rPr>
          <w:rtl/>
        </w:rPr>
        <w:t xml:space="preserve"> – </w:t>
      </w:r>
      <w:r w:rsidR="007E07CF" w:rsidRPr="004B0E72">
        <w:rPr>
          <w:rFonts w:hint="cs"/>
          <w:rtl/>
        </w:rPr>
        <w:t>חברה</w:t>
      </w:r>
      <w:r w:rsidR="007E07CF" w:rsidRPr="004B0E72">
        <w:rPr>
          <w:rtl/>
        </w:rPr>
        <w:t xml:space="preserve"> </w:t>
      </w:r>
      <w:r w:rsidR="007E07CF" w:rsidRPr="004B0E72">
        <w:rPr>
          <w:rFonts w:hint="cs"/>
          <w:rtl/>
        </w:rPr>
        <w:t>למתן</w:t>
      </w:r>
      <w:r w:rsidR="007E07CF" w:rsidRPr="004B0E72">
        <w:rPr>
          <w:rtl/>
        </w:rPr>
        <w:t xml:space="preserve"> </w:t>
      </w:r>
      <w:r w:rsidR="007E07CF" w:rsidRPr="004B0E72">
        <w:rPr>
          <w:rFonts w:hint="cs"/>
          <w:rtl/>
        </w:rPr>
        <w:t>שירותים</w:t>
      </w:r>
      <w:r w:rsidR="007E07CF" w:rsidRPr="004B0E72">
        <w:rPr>
          <w:rtl/>
        </w:rPr>
        <w:t xml:space="preserve"> </w:t>
      </w:r>
      <w:r w:rsidR="007E07CF" w:rsidRPr="004B0E72">
        <w:rPr>
          <w:rFonts w:hint="cs"/>
          <w:rtl/>
        </w:rPr>
        <w:t>לסטודנטים</w:t>
      </w:r>
      <w:r w:rsidR="007E07CF" w:rsidRPr="004B0E72">
        <w:rPr>
          <w:rtl/>
        </w:rPr>
        <w:t xml:space="preserve"> </w:t>
      </w:r>
      <w:r w:rsidR="007E07CF" w:rsidRPr="004B0E72">
        <w:rPr>
          <w:rFonts w:hint="cs"/>
          <w:rtl/>
        </w:rPr>
        <w:t>בטכניון</w:t>
      </w:r>
      <w:r w:rsidR="007E07CF" w:rsidRPr="004B0E72">
        <w:rPr>
          <w:rtl/>
        </w:rPr>
        <w:t xml:space="preserve"> </w:t>
      </w:r>
      <w:r w:rsidR="007E07CF" w:rsidRPr="004B0E72">
        <w:rPr>
          <w:rFonts w:hint="cs"/>
          <w:rtl/>
        </w:rPr>
        <w:t>ובמוסדות</w:t>
      </w:r>
      <w:r w:rsidR="007E07CF" w:rsidRPr="004B0E72">
        <w:rPr>
          <w:rtl/>
        </w:rPr>
        <w:t xml:space="preserve"> </w:t>
      </w:r>
      <w:r w:rsidR="007E07CF" w:rsidRPr="004B0E72">
        <w:rPr>
          <w:rFonts w:hint="cs"/>
          <w:rtl/>
        </w:rPr>
        <w:t>אקדמיים</w:t>
      </w:r>
      <w:r w:rsidR="007E07CF" w:rsidRPr="004B0E72">
        <w:rPr>
          <w:rtl/>
        </w:rPr>
        <w:t xml:space="preserve"> </w:t>
      </w:r>
      <w:r w:rsidR="007E07CF" w:rsidRPr="004B0E72">
        <w:rPr>
          <w:rFonts w:hint="cs"/>
          <w:rtl/>
        </w:rPr>
        <w:t>אחרים</w:t>
      </w:r>
      <w:r w:rsidR="007E07CF" w:rsidRPr="004B0E72">
        <w:rPr>
          <w:rtl/>
        </w:rPr>
        <w:t xml:space="preserve"> </w:t>
      </w:r>
      <w:r w:rsidR="007E07CF" w:rsidRPr="004B0E72">
        <w:rPr>
          <w:rFonts w:hint="cs"/>
          <w:rtl/>
        </w:rPr>
        <w:t>בע</w:t>
      </w:r>
      <w:r w:rsidR="007E07CF" w:rsidRPr="004B0E72">
        <w:rPr>
          <w:rtl/>
        </w:rPr>
        <w:t>"</w:t>
      </w:r>
      <w:r w:rsidR="007E07CF" w:rsidRPr="004B0E72">
        <w:rPr>
          <w:rFonts w:hint="cs"/>
          <w:rtl/>
        </w:rPr>
        <w:t>מ</w:t>
      </w:r>
      <w:r w:rsidR="0009615B" w:rsidRPr="004B0E72">
        <w:rPr>
          <w:rtl/>
        </w:rPr>
        <w:t xml:space="preserve"> </w:t>
      </w:r>
      <w:r w:rsidR="00D924E2" w:rsidRPr="004B0E72">
        <w:rPr>
          <w:rtl/>
        </w:rPr>
        <w:t>(</w:t>
      </w:r>
      <w:r w:rsidR="00D924E2" w:rsidRPr="004B0E72">
        <w:rPr>
          <w:rFonts w:hint="cs"/>
          <w:rtl/>
        </w:rPr>
        <w:t>להלן</w:t>
      </w:r>
      <w:r w:rsidR="00D924E2" w:rsidRPr="004B0E72">
        <w:rPr>
          <w:rtl/>
        </w:rPr>
        <w:t>: "</w:t>
      </w:r>
      <w:r w:rsidR="007E07CF" w:rsidRPr="004B0E72">
        <w:rPr>
          <w:rFonts w:hint="cs"/>
          <w:b/>
          <w:bCs/>
          <w:rtl/>
        </w:rPr>
        <w:t>מכלול</w:t>
      </w:r>
      <w:r w:rsidR="00D924E2" w:rsidRPr="004B0E72">
        <w:rPr>
          <w:rtl/>
        </w:rPr>
        <w:t xml:space="preserve">" </w:t>
      </w:r>
      <w:r w:rsidR="007E07CF" w:rsidRPr="004B0E72">
        <w:rPr>
          <w:rFonts w:hint="cs"/>
          <w:rtl/>
        </w:rPr>
        <w:t>וביחד</w:t>
      </w:r>
      <w:r w:rsidR="007E07CF" w:rsidRPr="004B0E72">
        <w:rPr>
          <w:rtl/>
        </w:rPr>
        <w:t xml:space="preserve"> </w:t>
      </w:r>
      <w:r w:rsidR="00D924E2" w:rsidRPr="004B0E72">
        <w:rPr>
          <w:rtl/>
        </w:rPr>
        <w:t>"</w:t>
      </w:r>
      <w:r w:rsidR="00D924E2" w:rsidRPr="004B0E72">
        <w:rPr>
          <w:rFonts w:hint="cs"/>
          <w:b/>
          <w:bCs/>
          <w:rtl/>
        </w:rPr>
        <w:t>המפר</w:t>
      </w:r>
      <w:r w:rsidR="007E07CF" w:rsidRPr="004B0E72">
        <w:rPr>
          <w:rFonts w:hint="cs"/>
          <w:b/>
          <w:bCs/>
          <w:rtl/>
        </w:rPr>
        <w:t>ות</w:t>
      </w:r>
      <w:r w:rsidR="00D924E2" w:rsidRPr="004B0E72">
        <w:rPr>
          <w:rtl/>
        </w:rPr>
        <w:t>"</w:t>
      </w:r>
      <w:r w:rsidR="007E07CF" w:rsidRPr="004B0E72">
        <w:rPr>
          <w:b/>
          <w:bCs/>
          <w:rtl/>
        </w:rPr>
        <w:t xml:space="preserve"> </w:t>
      </w:r>
      <w:r w:rsidR="007E07CF" w:rsidRPr="004B0E72">
        <w:rPr>
          <w:rFonts w:hint="cs"/>
          <w:rtl/>
        </w:rPr>
        <w:t>או</w:t>
      </w:r>
      <w:r w:rsidR="007E07CF" w:rsidRPr="004B0E72">
        <w:rPr>
          <w:rtl/>
        </w:rPr>
        <w:t xml:space="preserve"> "</w:t>
      </w:r>
      <w:r w:rsidR="007E07CF" w:rsidRPr="004B0E72">
        <w:rPr>
          <w:rFonts w:hint="cs"/>
          <w:b/>
          <w:bCs/>
          <w:rtl/>
        </w:rPr>
        <w:t>הצדדים</w:t>
      </w:r>
      <w:r w:rsidR="007E07CF" w:rsidRPr="004B0E72">
        <w:rPr>
          <w:rtl/>
        </w:rPr>
        <w:t>"</w:t>
      </w:r>
      <w:r w:rsidR="00D924E2" w:rsidRPr="004B0E72">
        <w:rPr>
          <w:rtl/>
        </w:rPr>
        <w:t>)</w:t>
      </w:r>
      <w:r w:rsidR="00361CBE" w:rsidRPr="004B0E72">
        <w:rPr>
          <w:rFonts w:hint="cs"/>
          <w:rtl/>
        </w:rPr>
        <w:t xml:space="preserve">, בגין עשיית </w:t>
      </w:r>
      <w:r w:rsidR="00EF6389" w:rsidRPr="004B0E72">
        <w:rPr>
          <w:rFonts w:hint="cs"/>
          <w:rtl/>
        </w:rPr>
        <w:t>מעשים</w:t>
      </w:r>
      <w:r w:rsidR="00EF6389" w:rsidRPr="004B0E72">
        <w:rPr>
          <w:rtl/>
        </w:rPr>
        <w:t xml:space="preserve"> </w:t>
      </w:r>
      <w:r w:rsidR="00EF6389" w:rsidRPr="004B0E72">
        <w:rPr>
          <w:rFonts w:hint="cs"/>
          <w:rtl/>
        </w:rPr>
        <w:t>שיש</w:t>
      </w:r>
      <w:r w:rsidR="00EF6389" w:rsidRPr="004B0E72">
        <w:rPr>
          <w:rtl/>
        </w:rPr>
        <w:t xml:space="preserve"> </w:t>
      </w:r>
      <w:r w:rsidR="00EF6389" w:rsidRPr="004B0E72">
        <w:rPr>
          <w:rFonts w:hint="cs"/>
          <w:rtl/>
        </w:rPr>
        <w:t>בהם</w:t>
      </w:r>
      <w:r w:rsidR="00EF6389" w:rsidRPr="004B0E72">
        <w:rPr>
          <w:rtl/>
        </w:rPr>
        <w:t xml:space="preserve"> </w:t>
      </w:r>
      <w:r w:rsidR="00EF6389" w:rsidRPr="004B0E72">
        <w:rPr>
          <w:rFonts w:hint="cs"/>
          <w:rtl/>
        </w:rPr>
        <w:t>משום</w:t>
      </w:r>
      <w:r w:rsidR="00EF6389" w:rsidRPr="004B0E72">
        <w:rPr>
          <w:rtl/>
        </w:rPr>
        <w:t xml:space="preserve"> </w:t>
      </w:r>
      <w:r w:rsidR="00EF6389" w:rsidRPr="004B0E72">
        <w:rPr>
          <w:rFonts w:hint="cs"/>
          <w:rtl/>
        </w:rPr>
        <w:t>מיזוג</w:t>
      </w:r>
      <w:r w:rsidR="00B616C2" w:rsidRPr="004B0E72">
        <w:rPr>
          <w:rFonts w:hint="cs"/>
          <w:rtl/>
        </w:rPr>
        <w:t xml:space="preserve"> חברות</w:t>
      </w:r>
      <w:r w:rsidR="00EF6389" w:rsidRPr="004B0E72">
        <w:rPr>
          <w:rtl/>
        </w:rPr>
        <w:t xml:space="preserve">, </w:t>
      </w:r>
      <w:r w:rsidR="00EF6389" w:rsidRPr="004B0E72">
        <w:rPr>
          <w:rFonts w:hint="cs"/>
          <w:rtl/>
        </w:rPr>
        <w:t>שלא</w:t>
      </w:r>
      <w:r w:rsidR="00EF6389" w:rsidRPr="004B0E72">
        <w:rPr>
          <w:rtl/>
        </w:rPr>
        <w:t xml:space="preserve"> </w:t>
      </w:r>
      <w:r w:rsidR="00EF6389" w:rsidRPr="004B0E72">
        <w:rPr>
          <w:rFonts w:hint="cs"/>
          <w:rtl/>
        </w:rPr>
        <w:t>בהתאם</w:t>
      </w:r>
      <w:r w:rsidR="00EF6389" w:rsidRPr="004B0E72">
        <w:rPr>
          <w:rtl/>
        </w:rPr>
        <w:t xml:space="preserve"> </w:t>
      </w:r>
      <w:r w:rsidR="00EF6389" w:rsidRPr="004B0E72">
        <w:rPr>
          <w:rFonts w:hint="cs"/>
          <w:rtl/>
        </w:rPr>
        <w:t>להוראות</w:t>
      </w:r>
      <w:r w:rsidR="00EF6389" w:rsidRPr="004B0E72">
        <w:rPr>
          <w:rtl/>
        </w:rPr>
        <w:t xml:space="preserve"> </w:t>
      </w:r>
      <w:r w:rsidR="00EF6389" w:rsidRPr="004B0E72">
        <w:rPr>
          <w:rFonts w:hint="cs"/>
          <w:rtl/>
        </w:rPr>
        <w:t>פרק</w:t>
      </w:r>
      <w:r w:rsidR="00EF6389" w:rsidRPr="004B0E72">
        <w:rPr>
          <w:rtl/>
        </w:rPr>
        <w:t xml:space="preserve"> </w:t>
      </w:r>
      <w:r w:rsidR="00EF6389" w:rsidRPr="004B0E72">
        <w:rPr>
          <w:rFonts w:hint="cs"/>
          <w:rtl/>
        </w:rPr>
        <w:t>ג</w:t>
      </w:r>
      <w:r w:rsidR="00EF6389" w:rsidRPr="004B0E72">
        <w:rPr>
          <w:rtl/>
        </w:rPr>
        <w:t>'</w:t>
      </w:r>
      <w:r w:rsidR="00361CBE" w:rsidRPr="004B0E72">
        <w:rPr>
          <w:rFonts w:hint="cs"/>
          <w:rtl/>
        </w:rPr>
        <w:t xml:space="preserve"> לחוק</w:t>
      </w:r>
      <w:r w:rsidR="00EF6389" w:rsidRPr="004B0E72">
        <w:rPr>
          <w:rtl/>
        </w:rPr>
        <w:t>.</w:t>
      </w:r>
    </w:p>
    <w:p w14:paraId="42A92F15" w14:textId="700A9B9F" w:rsidR="005849AD" w:rsidRPr="004B0E72" w:rsidRDefault="005849AD" w:rsidP="00804448">
      <w:pPr>
        <w:pStyle w:val="ListParagraph"/>
        <w:numPr>
          <w:ilvl w:val="0"/>
          <w:numId w:val="27"/>
        </w:numPr>
        <w:spacing w:line="360" w:lineRule="auto"/>
        <w:jc w:val="both"/>
        <w:rPr>
          <w:rFonts w:ascii="Times New Roman" w:hAnsi="Times New Roman"/>
        </w:rPr>
      </w:pPr>
      <w:r w:rsidRPr="004B0E72">
        <w:rPr>
          <w:rFonts w:ascii="Times New Roman" w:hAnsi="Times New Roman"/>
          <w:rtl/>
        </w:rPr>
        <w:t xml:space="preserve">ביום 31 במאי 2015 הודיע </w:t>
      </w:r>
      <w:r w:rsidR="00361CBE" w:rsidRPr="004B0E72">
        <w:rPr>
          <w:rFonts w:ascii="Times New Roman" w:hAnsi="Times New Roman" w:hint="cs"/>
          <w:rtl/>
        </w:rPr>
        <w:t>הממונה על הגבלים עסקיים (להלן: "</w:t>
      </w:r>
      <w:r w:rsidR="00361CBE" w:rsidRPr="004B0E72">
        <w:rPr>
          <w:rFonts w:ascii="Times New Roman" w:hAnsi="Times New Roman" w:hint="cs"/>
          <w:b/>
          <w:bCs/>
          <w:rtl/>
        </w:rPr>
        <w:t>הממונה</w:t>
      </w:r>
      <w:r w:rsidR="00361CBE" w:rsidRPr="004B0E72">
        <w:rPr>
          <w:rFonts w:ascii="Times New Roman" w:hAnsi="Times New Roman" w:hint="cs"/>
          <w:rtl/>
        </w:rPr>
        <w:t>")</w:t>
      </w:r>
      <w:r w:rsidRPr="004B0E72">
        <w:rPr>
          <w:rFonts w:ascii="Times New Roman" w:hAnsi="Times New Roman"/>
          <w:rtl/>
        </w:rPr>
        <w:t xml:space="preserve"> למפרות על אודות כוונתו לעשות שימוש בסמכותו דלעיל ולהטיל על ברמן עיצום כספי בסכום של 200,000 ₪ ועל מכלול עיצום כספי בסכום של 20,000 ₪. כעת, לאחר שמיעת ושקילת טענות הצדדים, </w:t>
      </w:r>
      <w:r w:rsidR="00804448" w:rsidRPr="004B0E72">
        <w:rPr>
          <w:rFonts w:ascii="Times New Roman" w:hAnsi="Times New Roman" w:hint="cs"/>
          <w:rtl/>
        </w:rPr>
        <w:t>ולאחר שהממונה נועץ בוועדה לפטורים ולמיזוגים, הוחלט</w:t>
      </w:r>
      <w:r w:rsidRPr="004B0E72">
        <w:rPr>
          <w:rFonts w:ascii="Times New Roman" w:hAnsi="Times New Roman"/>
          <w:rtl/>
        </w:rPr>
        <w:t xml:space="preserve"> להפחית במידה ניכרת את </w:t>
      </w:r>
      <w:r w:rsidR="00804448" w:rsidRPr="004B0E72">
        <w:rPr>
          <w:rFonts w:ascii="Times New Roman" w:hAnsi="Times New Roman" w:hint="cs"/>
          <w:rtl/>
        </w:rPr>
        <w:t xml:space="preserve">סכום </w:t>
      </w:r>
      <w:r w:rsidRPr="004B0E72">
        <w:rPr>
          <w:rFonts w:ascii="Times New Roman" w:hAnsi="Times New Roman"/>
          <w:rtl/>
        </w:rPr>
        <w:t xml:space="preserve">העיצום </w:t>
      </w:r>
      <w:r w:rsidR="00804448" w:rsidRPr="004B0E72">
        <w:rPr>
          <w:rFonts w:ascii="Times New Roman" w:hAnsi="Times New Roman" w:hint="cs"/>
          <w:rtl/>
        </w:rPr>
        <w:t>שנשקל בראשונה</w:t>
      </w:r>
      <w:r w:rsidRPr="004B0E72">
        <w:rPr>
          <w:rFonts w:ascii="Times New Roman" w:hAnsi="Times New Roman" w:hint="cs"/>
          <w:rtl/>
        </w:rPr>
        <w:t xml:space="preserve">, כך שעל ברמן יוטל עיצום בסכום של 80,000 ₪ ועל מכלול עיצום בסכום של 5,000 ₪. </w:t>
      </w:r>
    </w:p>
    <w:p w14:paraId="33175388" w14:textId="055A6FEE" w:rsidR="00804448" w:rsidRPr="004B0E72" w:rsidRDefault="00804448" w:rsidP="00147141">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 xml:space="preserve">כבר בראשית הדברים יובהר כי </w:t>
      </w:r>
      <w:r w:rsidR="00147141" w:rsidRPr="004B0E72">
        <w:rPr>
          <w:rFonts w:ascii="Times New Roman" w:hAnsi="Times New Roman" w:hint="cs"/>
          <w:rtl/>
        </w:rPr>
        <w:t>מעשי הצד</w:t>
      </w:r>
      <w:r w:rsidR="00616D0E" w:rsidRPr="004B0E72">
        <w:rPr>
          <w:rFonts w:ascii="Times New Roman" w:hAnsi="Times New Roman" w:hint="cs"/>
          <w:rtl/>
        </w:rPr>
        <w:t>ד</w:t>
      </w:r>
      <w:r w:rsidR="00147141" w:rsidRPr="004B0E72">
        <w:rPr>
          <w:rFonts w:ascii="Times New Roman" w:hAnsi="Times New Roman" w:hint="cs"/>
          <w:rtl/>
        </w:rPr>
        <w:t>ים</w:t>
      </w:r>
      <w:r w:rsidRPr="004B0E72">
        <w:rPr>
          <w:rFonts w:ascii="Times New Roman" w:hAnsi="Times New Roman" w:hint="cs"/>
          <w:rtl/>
        </w:rPr>
        <w:t>, אשר יש בהם משום מיזוג, לא הקימו חשש סביר לפגיעה משמעותית בתחרות</w:t>
      </w:r>
      <w:r w:rsidR="00147141" w:rsidRPr="004B0E72">
        <w:rPr>
          <w:rFonts w:ascii="Times New Roman" w:hAnsi="Times New Roman" w:hint="cs"/>
          <w:rtl/>
        </w:rPr>
        <w:t>,</w:t>
      </w:r>
      <w:r w:rsidRPr="004B0E72">
        <w:rPr>
          <w:rFonts w:ascii="Times New Roman" w:hAnsi="Times New Roman" w:hint="cs"/>
          <w:rtl/>
        </w:rPr>
        <w:t xml:space="preserve"> ובשל כך הוטל על הצדדים עיצום </w:t>
      </w:r>
      <w:r w:rsidRPr="004B0E72">
        <w:rPr>
          <w:rFonts w:ascii="Times New Roman" w:hAnsi="Times New Roman" w:hint="cs"/>
          <w:rtl/>
        </w:rPr>
        <w:lastRenderedPageBreak/>
        <w:t xml:space="preserve">בסכום נמוך. החלטה זו ממוקדת אם כן בהפרת חובת הדיווח על מיזוג חברות וחובת ההמתנה לאישור הממונה </w:t>
      </w:r>
      <w:r w:rsidRPr="004B0E72">
        <w:rPr>
          <w:rFonts w:ascii="Times New Roman" w:hAnsi="Times New Roman"/>
          <w:rtl/>
        </w:rPr>
        <w:t>–</w:t>
      </w:r>
      <w:r w:rsidRPr="004B0E72">
        <w:rPr>
          <w:rFonts w:ascii="Times New Roman" w:hAnsi="Times New Roman" w:hint="cs"/>
          <w:rtl/>
        </w:rPr>
        <w:t xml:space="preserve"> חובות העומדות ביסוד משטר הפיקוח על מיזוגי</w:t>
      </w:r>
      <w:r w:rsidR="00440E14" w:rsidRPr="004B0E72">
        <w:rPr>
          <w:rFonts w:ascii="Times New Roman" w:hAnsi="Times New Roman" w:hint="cs"/>
          <w:rtl/>
        </w:rPr>
        <w:t xml:space="preserve"> חברות</w:t>
      </w:r>
      <w:r w:rsidRPr="004B0E72">
        <w:rPr>
          <w:rFonts w:ascii="Times New Roman" w:hAnsi="Times New Roman" w:hint="cs"/>
          <w:rtl/>
        </w:rPr>
        <w:t xml:space="preserve">. </w:t>
      </w:r>
    </w:p>
    <w:p w14:paraId="306885C3" w14:textId="2856135F" w:rsidR="00D924E2" w:rsidRPr="004B0E72" w:rsidRDefault="00D924E2" w:rsidP="00FB228B">
      <w:pPr>
        <w:pStyle w:val="ListParagraph"/>
        <w:numPr>
          <w:ilvl w:val="0"/>
          <w:numId w:val="27"/>
        </w:numPr>
        <w:spacing w:line="360" w:lineRule="auto"/>
        <w:jc w:val="both"/>
      </w:pPr>
      <w:r w:rsidRPr="004B0E72">
        <w:rPr>
          <w:rFonts w:hint="cs"/>
          <w:rtl/>
        </w:rPr>
        <w:t>הנימוקים להחלטה זו יפורטו להלן. ראשית יוצגו האירועים והעובדות המלמדים על הפרת החוק</w:t>
      </w:r>
      <w:r w:rsidR="0080616F" w:rsidRPr="004B0E72">
        <w:rPr>
          <w:rFonts w:hint="cs"/>
          <w:rtl/>
        </w:rPr>
        <w:t xml:space="preserve"> ו</w:t>
      </w:r>
      <w:r w:rsidRPr="004B0E72">
        <w:rPr>
          <w:rFonts w:hint="cs"/>
          <w:rtl/>
        </w:rPr>
        <w:t xml:space="preserve">לאחר מכן </w:t>
      </w:r>
      <w:r w:rsidR="00F46889" w:rsidRPr="004B0E72">
        <w:rPr>
          <w:rFonts w:hint="cs"/>
          <w:rtl/>
        </w:rPr>
        <w:t>יוצגו</w:t>
      </w:r>
      <w:r w:rsidR="00553EEB" w:rsidRPr="004B0E72">
        <w:rPr>
          <w:rFonts w:hint="cs"/>
          <w:rtl/>
        </w:rPr>
        <w:t xml:space="preserve"> </w:t>
      </w:r>
      <w:r w:rsidRPr="004B0E72">
        <w:rPr>
          <w:rFonts w:hint="cs"/>
          <w:rtl/>
        </w:rPr>
        <w:t>הנימוקים לקביעת גובה העיצום הכספי.</w:t>
      </w:r>
    </w:p>
    <w:p w14:paraId="540CD7BA" w14:textId="023555C6" w:rsidR="0027588A" w:rsidRPr="004B0E72" w:rsidRDefault="00D924E2" w:rsidP="00A66DE6">
      <w:pPr>
        <w:pStyle w:val="ListParagraph"/>
        <w:numPr>
          <w:ilvl w:val="0"/>
          <w:numId w:val="27"/>
        </w:numPr>
        <w:spacing w:line="360" w:lineRule="auto"/>
        <w:jc w:val="both"/>
        <w:rPr>
          <w:rtl/>
        </w:rPr>
      </w:pPr>
      <w:r w:rsidRPr="004B0E72">
        <w:rPr>
          <w:rFonts w:hint="cs"/>
          <w:rtl/>
        </w:rPr>
        <w:t>מסמך זה מהווה דרישת תשלום בהתאם להוראות סעיף 50ח(ב)(1) לחוק.</w:t>
      </w:r>
      <w:r w:rsidR="006A063B" w:rsidRPr="004B0E72">
        <w:rPr>
          <w:rFonts w:hint="cs"/>
          <w:rtl/>
        </w:rPr>
        <w:t xml:space="preserve"> </w:t>
      </w:r>
    </w:p>
    <w:p w14:paraId="69E22723" w14:textId="77777777" w:rsidR="0027588A" w:rsidRPr="004B0E72" w:rsidRDefault="0027588A" w:rsidP="003A2C7D">
      <w:pPr>
        <w:pStyle w:val="ListParagraph"/>
        <w:spacing w:line="360" w:lineRule="auto"/>
        <w:ind w:left="397"/>
        <w:jc w:val="both"/>
        <w:rPr>
          <w:rtl/>
        </w:rPr>
      </w:pPr>
    </w:p>
    <w:p w14:paraId="1F82A84C" w14:textId="65032722" w:rsidR="00D80C89" w:rsidRPr="004B0E72" w:rsidRDefault="00553EEB" w:rsidP="004D1F87">
      <w:pPr>
        <w:pStyle w:val="Heading1"/>
        <w:numPr>
          <w:ilvl w:val="0"/>
          <w:numId w:val="39"/>
        </w:numPr>
      </w:pPr>
      <w:r w:rsidRPr="004B0E72">
        <w:rPr>
          <w:rFonts w:hint="cs"/>
          <w:rtl/>
        </w:rPr>
        <w:t>הצדדים והרקע לעסקת המיזוג</w:t>
      </w:r>
    </w:p>
    <w:p w14:paraId="7AADD014" w14:textId="69F5A796" w:rsidR="005849AD" w:rsidRPr="004B0E72" w:rsidRDefault="005849AD" w:rsidP="004B0E72">
      <w:pPr>
        <w:pStyle w:val="ListParagraph"/>
        <w:numPr>
          <w:ilvl w:val="0"/>
          <w:numId w:val="27"/>
        </w:numPr>
        <w:spacing w:line="360" w:lineRule="auto"/>
        <w:jc w:val="both"/>
        <w:rPr>
          <w:rFonts w:ascii="Times New Roman" w:hAnsi="Times New Roman"/>
          <w:sz w:val="24"/>
          <w:rtl/>
        </w:rPr>
      </w:pPr>
      <w:r w:rsidRPr="004B0E72">
        <w:rPr>
          <w:rFonts w:ascii="Times New Roman" w:hAnsi="Times New Roman"/>
          <w:sz w:val="24"/>
          <w:rtl/>
        </w:rPr>
        <w:t xml:space="preserve">ברמן היא חברה פרטית העוסקת </w:t>
      </w:r>
      <w:r w:rsidR="004B0E72">
        <w:rPr>
          <w:rFonts w:ascii="Times New Roman" w:hAnsi="Times New Roman" w:hint="cs"/>
          <w:sz w:val="24"/>
          <w:rtl/>
        </w:rPr>
        <w:t xml:space="preserve">בין היתר </w:t>
      </w:r>
      <w:r w:rsidRPr="004B0E72">
        <w:rPr>
          <w:rFonts w:ascii="Times New Roman" w:hAnsi="Times New Roman"/>
          <w:sz w:val="24"/>
          <w:rtl/>
        </w:rPr>
        <w:t>בייבוא, שיווק ומכירה סיטונאית של מכשירי כתיבה</w:t>
      </w:r>
      <w:r w:rsidRPr="004B0E72">
        <w:rPr>
          <w:rFonts w:ascii="Times New Roman" w:hAnsi="Times New Roman" w:hint="cs"/>
          <w:sz w:val="24"/>
          <w:rtl/>
        </w:rPr>
        <w:t xml:space="preserve">, בעצמה ובאמצעות חברת בת בשם </w:t>
      </w:r>
      <w:r w:rsidRPr="004B0E72">
        <w:rPr>
          <w:rFonts w:ascii="Times New Roman" w:hAnsi="Times New Roman"/>
          <w:sz w:val="24"/>
          <w:rtl/>
        </w:rPr>
        <w:t>אטלס מכשירי כתיבה ומחשוב בע"מ (להלן: "</w:t>
      </w:r>
      <w:r w:rsidRPr="004B0E72">
        <w:rPr>
          <w:rFonts w:ascii="Times New Roman" w:hAnsi="Times New Roman"/>
          <w:b/>
          <w:bCs/>
          <w:sz w:val="24"/>
          <w:rtl/>
        </w:rPr>
        <w:t>אטלס</w:t>
      </w:r>
      <w:r w:rsidRPr="004B0E72">
        <w:rPr>
          <w:rFonts w:ascii="Times New Roman" w:hAnsi="Times New Roman"/>
          <w:sz w:val="24"/>
          <w:rtl/>
        </w:rPr>
        <w:t>")</w:t>
      </w:r>
      <w:r w:rsidRPr="004B0E72">
        <w:rPr>
          <w:rFonts w:ascii="Times New Roman" w:hAnsi="Times New Roman" w:hint="cs"/>
          <w:sz w:val="24"/>
          <w:rtl/>
        </w:rPr>
        <w:t xml:space="preserve">, תחת המותגים </w:t>
      </w:r>
      <w:r w:rsidRPr="004B0E72">
        <w:rPr>
          <w:rFonts w:ascii="Times New Roman" w:hAnsi="Times New Roman"/>
          <w:sz w:val="24"/>
        </w:rPr>
        <w:t>Pilot</w:t>
      </w:r>
      <w:r w:rsidRPr="004B0E72">
        <w:rPr>
          <w:rFonts w:ascii="Times New Roman" w:hAnsi="Times New Roman" w:hint="cs"/>
          <w:sz w:val="24"/>
          <w:rtl/>
        </w:rPr>
        <w:t xml:space="preserve"> ו</w:t>
      </w:r>
      <w:r w:rsidRPr="004B0E72">
        <w:rPr>
          <w:rFonts w:ascii="Times New Roman" w:hAnsi="Times New Roman"/>
          <w:sz w:val="24"/>
          <w:rtl/>
        </w:rPr>
        <w:t>שטדלר. בעקבות עסקת מיזוג שאושרה על-ידי הממונה בתחילת שנת 2014, ברמן מוחזקת על-ידי חגים נחלים בע"מ (להלן: "</w:t>
      </w:r>
      <w:r w:rsidRPr="004B0E72">
        <w:rPr>
          <w:rFonts w:ascii="Times New Roman" w:hAnsi="Times New Roman"/>
          <w:b/>
          <w:bCs/>
          <w:sz w:val="24"/>
          <w:rtl/>
        </w:rPr>
        <w:t>חגים</w:t>
      </w:r>
      <w:r w:rsidRPr="004B0E72">
        <w:rPr>
          <w:rFonts w:ascii="Times New Roman" w:hAnsi="Times New Roman"/>
          <w:sz w:val="24"/>
          <w:rtl/>
        </w:rPr>
        <w:t>") (כ-66.67%) ו-</w:t>
      </w:r>
      <w:r w:rsidRPr="004B0E72">
        <w:rPr>
          <w:rFonts w:ascii="Times New Roman" w:hAnsi="Times New Roman"/>
          <w:sz w:val="24"/>
        </w:rPr>
        <w:t>Pilot Corporation</w:t>
      </w:r>
      <w:r w:rsidRPr="004B0E72">
        <w:rPr>
          <w:rFonts w:ascii="Times New Roman" w:hAnsi="Times New Roman"/>
          <w:sz w:val="24"/>
          <w:rtl/>
        </w:rPr>
        <w:t xml:space="preserve"> (כ-33.33%).</w:t>
      </w:r>
      <w:r w:rsidR="00420737" w:rsidRPr="004B0E72">
        <w:rPr>
          <w:rStyle w:val="FootnoteReference"/>
          <w:rFonts w:ascii="Times New Roman" w:hAnsi="Times New Roman"/>
          <w:sz w:val="24"/>
          <w:rtl/>
        </w:rPr>
        <w:footnoteReference w:id="1"/>
      </w:r>
      <w:r w:rsidRPr="004B0E72">
        <w:rPr>
          <w:rFonts w:ascii="Times New Roman" w:hAnsi="Times New Roman"/>
          <w:sz w:val="24"/>
          <w:rtl/>
        </w:rPr>
        <w:t xml:space="preserve"> חגים עוסקת ב</w:t>
      </w:r>
      <w:r w:rsidRPr="004B0E72">
        <w:rPr>
          <w:rFonts w:ascii="Times New Roman" w:hAnsi="Times New Roman" w:hint="cs"/>
          <w:sz w:val="24"/>
          <w:rtl/>
        </w:rPr>
        <w:t xml:space="preserve">ייצור, </w:t>
      </w:r>
      <w:r w:rsidRPr="004B0E72">
        <w:rPr>
          <w:rFonts w:ascii="Times New Roman" w:hAnsi="Times New Roman"/>
          <w:sz w:val="24"/>
          <w:rtl/>
        </w:rPr>
        <w:t>שיווק והפצה</w:t>
      </w:r>
      <w:r w:rsidRPr="004B0E72">
        <w:rPr>
          <w:rFonts w:ascii="Times New Roman" w:hAnsi="Times New Roman" w:hint="cs"/>
          <w:sz w:val="24"/>
          <w:rtl/>
        </w:rPr>
        <w:t xml:space="preserve"> </w:t>
      </w:r>
      <w:r w:rsidR="00F154B3" w:rsidRPr="004B0E72">
        <w:rPr>
          <w:rFonts w:ascii="Times New Roman" w:hAnsi="Times New Roman" w:hint="cs"/>
          <w:sz w:val="24"/>
          <w:rtl/>
        </w:rPr>
        <w:t xml:space="preserve">של מוצרים שונים, בהם </w:t>
      </w:r>
      <w:r w:rsidRPr="004B0E72">
        <w:rPr>
          <w:rFonts w:ascii="Times New Roman" w:hAnsi="Times New Roman"/>
          <w:sz w:val="24"/>
          <w:rtl/>
        </w:rPr>
        <w:t xml:space="preserve">מוצרי </w:t>
      </w:r>
      <w:r w:rsidR="006A0784" w:rsidRPr="004B0E72">
        <w:rPr>
          <w:rFonts w:ascii="Times New Roman" w:hAnsi="Times New Roman" w:hint="cs"/>
          <w:sz w:val="24"/>
          <w:rtl/>
        </w:rPr>
        <w:t>"</w:t>
      </w:r>
      <w:r w:rsidRPr="004B0E72">
        <w:rPr>
          <w:rFonts w:ascii="Times New Roman" w:hAnsi="Times New Roman"/>
          <w:sz w:val="24"/>
          <w:rtl/>
        </w:rPr>
        <w:t>חזרה לבית הספר</w:t>
      </w:r>
      <w:r w:rsidR="006A0784" w:rsidRPr="004B0E72">
        <w:rPr>
          <w:rFonts w:ascii="Times New Roman" w:hAnsi="Times New Roman" w:hint="cs"/>
          <w:sz w:val="24"/>
          <w:rtl/>
        </w:rPr>
        <w:t>"</w:t>
      </w:r>
      <w:r w:rsidRPr="004B0E72">
        <w:rPr>
          <w:rFonts w:ascii="Times New Roman" w:hAnsi="Times New Roman" w:hint="cs"/>
          <w:sz w:val="24"/>
          <w:rtl/>
        </w:rPr>
        <w:t xml:space="preserve">, </w:t>
      </w:r>
      <w:r w:rsidRPr="004B0E72">
        <w:rPr>
          <w:rFonts w:ascii="Times New Roman" w:hAnsi="Times New Roman"/>
          <w:sz w:val="24"/>
          <w:rtl/>
        </w:rPr>
        <w:t xml:space="preserve">מכשירי כתיבה וציוד משרדי. </w:t>
      </w:r>
    </w:p>
    <w:p w14:paraId="7043A994" w14:textId="6800BB64" w:rsidR="00291710" w:rsidRPr="004B0E72" w:rsidRDefault="005849AD" w:rsidP="00616D0E">
      <w:pPr>
        <w:pStyle w:val="ListParagraph"/>
        <w:numPr>
          <w:ilvl w:val="0"/>
          <w:numId w:val="27"/>
        </w:numPr>
        <w:spacing w:line="360" w:lineRule="auto"/>
        <w:jc w:val="both"/>
        <w:rPr>
          <w:rFonts w:ascii="Times New Roman" w:hAnsi="Times New Roman"/>
          <w:sz w:val="24"/>
        </w:rPr>
      </w:pPr>
      <w:r w:rsidRPr="004B0E72">
        <w:rPr>
          <w:rFonts w:ascii="Times New Roman" w:hAnsi="Times New Roman"/>
          <w:sz w:val="24"/>
          <w:rtl/>
        </w:rPr>
        <w:lastRenderedPageBreak/>
        <w:t>מכלול היא חברה פרטית בבעלות אגודת הסטודנטים בטכניון – מכון הטכנולוגי לישראל  (</w:t>
      </w:r>
      <w:r w:rsidRPr="004B0E72">
        <w:rPr>
          <w:rFonts w:ascii="Times New Roman" w:hAnsi="Times New Roman" w:hint="cs"/>
          <w:sz w:val="24"/>
          <w:rtl/>
        </w:rPr>
        <w:t>90</w:t>
      </w:r>
      <w:r w:rsidRPr="004B0E72">
        <w:rPr>
          <w:rFonts w:ascii="Times New Roman" w:hAnsi="Times New Roman"/>
          <w:sz w:val="24"/>
          <w:rtl/>
        </w:rPr>
        <w:t>%) והטכניון – מכון טכנולוגי לישראל (</w:t>
      </w:r>
      <w:r w:rsidRPr="004B0E72">
        <w:rPr>
          <w:rFonts w:ascii="Times New Roman" w:hAnsi="Times New Roman" w:hint="cs"/>
          <w:sz w:val="24"/>
          <w:rtl/>
        </w:rPr>
        <w:t>10</w:t>
      </w:r>
      <w:r w:rsidRPr="004B0E72">
        <w:rPr>
          <w:rFonts w:ascii="Times New Roman" w:hAnsi="Times New Roman"/>
          <w:sz w:val="24"/>
          <w:rtl/>
        </w:rPr>
        <w:t xml:space="preserve">%). </w:t>
      </w:r>
      <w:r w:rsidR="00616D0E" w:rsidRPr="004B0E72">
        <w:rPr>
          <w:rFonts w:ascii="Times New Roman" w:hAnsi="Times New Roman" w:hint="cs"/>
          <w:sz w:val="24"/>
          <w:rtl/>
        </w:rPr>
        <w:t>עובר</w:t>
      </w:r>
      <w:r w:rsidR="003F0D10" w:rsidRPr="004B0E72">
        <w:rPr>
          <w:rFonts w:ascii="Times New Roman" w:hAnsi="Times New Roman" w:hint="cs"/>
          <w:sz w:val="24"/>
          <w:rtl/>
        </w:rPr>
        <w:t xml:space="preserve"> למיזוג, </w:t>
      </w:r>
      <w:r w:rsidRPr="004B0E72">
        <w:rPr>
          <w:rFonts w:ascii="Times New Roman" w:hAnsi="Times New Roman"/>
          <w:sz w:val="24"/>
          <w:rtl/>
        </w:rPr>
        <w:t xml:space="preserve">מכלול </w:t>
      </w:r>
      <w:r w:rsidRPr="004B0E72">
        <w:rPr>
          <w:rFonts w:ascii="Times New Roman" w:hAnsi="Times New Roman" w:hint="cs"/>
          <w:sz w:val="24"/>
          <w:rtl/>
        </w:rPr>
        <w:t>ניהלה והפעילה</w:t>
      </w:r>
      <w:r w:rsidRPr="004B0E72">
        <w:rPr>
          <w:rFonts w:ascii="Times New Roman" w:hAnsi="Times New Roman"/>
          <w:sz w:val="24"/>
          <w:rtl/>
        </w:rPr>
        <w:t xml:space="preserve"> ארבע חנויות בקמפוסים של הטכניון ובמוסדות נוספים, שעיקר פעילותן מכירה קמעונאית של ספרים, מכשירי כתיבה, ציוד משרדי, מוצרי אומנות, מחשבים וציוד היקפי, צעצועים, מוצרי מחנאות וכדומה</w:t>
      </w:r>
      <w:r w:rsidRPr="004B0E72">
        <w:rPr>
          <w:rFonts w:ascii="Times New Roman" w:hAnsi="Times New Roman" w:hint="cs"/>
          <w:sz w:val="24"/>
          <w:rtl/>
        </w:rPr>
        <w:t xml:space="preserve"> (להלן: "</w:t>
      </w:r>
      <w:r w:rsidRPr="004B0E72">
        <w:rPr>
          <w:rFonts w:ascii="Times New Roman" w:hAnsi="Times New Roman" w:hint="cs"/>
          <w:b/>
          <w:bCs/>
          <w:sz w:val="24"/>
          <w:rtl/>
        </w:rPr>
        <w:t>החנויות</w:t>
      </w:r>
      <w:r w:rsidRPr="004B0E72">
        <w:rPr>
          <w:rFonts w:ascii="Times New Roman" w:hAnsi="Times New Roman" w:hint="cs"/>
          <w:sz w:val="24"/>
          <w:rtl/>
        </w:rPr>
        <w:t>")</w:t>
      </w:r>
      <w:r w:rsidRPr="004B0E72">
        <w:rPr>
          <w:rFonts w:ascii="Times New Roman" w:hAnsi="Times New Roman"/>
          <w:sz w:val="24"/>
          <w:rtl/>
        </w:rPr>
        <w:t xml:space="preserve">. </w:t>
      </w:r>
    </w:p>
    <w:p w14:paraId="52D8A8D3" w14:textId="77777777" w:rsidR="005849AD" w:rsidRPr="004B0E72" w:rsidRDefault="005849AD" w:rsidP="005849AD">
      <w:pPr>
        <w:pStyle w:val="ListParagraph"/>
        <w:numPr>
          <w:ilvl w:val="0"/>
          <w:numId w:val="27"/>
        </w:numPr>
        <w:spacing w:line="360" w:lineRule="auto"/>
        <w:jc w:val="both"/>
        <w:rPr>
          <w:rFonts w:ascii="Times New Roman" w:hAnsi="Times New Roman"/>
          <w:sz w:val="24"/>
          <w:rtl/>
        </w:rPr>
      </w:pPr>
      <w:r w:rsidRPr="004B0E72">
        <w:rPr>
          <w:rFonts w:ascii="Times New Roman" w:hAnsi="Times New Roman"/>
          <w:rtl/>
        </w:rPr>
        <w:t>ביום 24.8.14 נחתם בין ברמן לבין מכלול הסכם הנוגע לניהול של ארבע החנויות (להלן: "</w:t>
      </w:r>
      <w:r w:rsidRPr="004B0E72">
        <w:rPr>
          <w:rFonts w:ascii="Times New Roman" w:hAnsi="Times New Roman"/>
          <w:b/>
          <w:bCs/>
          <w:rtl/>
        </w:rPr>
        <w:t>הסכם המיזוג</w:t>
      </w:r>
      <w:r w:rsidRPr="004B0E72">
        <w:rPr>
          <w:rFonts w:ascii="Times New Roman" w:hAnsi="Times New Roman"/>
          <w:rtl/>
        </w:rPr>
        <w:t>"). במסגרת זאת הוסכם כי ניהול החנויות יועבר מידי מכלול לידי ברמן לתקופה של שבע שנים (כאשר לברמן אופציה להאריך את ההסכם בשבע שנים נוספות). בתמורה לכך, ברמן תקבל את כלל ההכנסות מהחנויות, בניכוי דמי הרשאה שנתיים שישולמו למכלול</w:t>
      </w:r>
      <w:r w:rsidRPr="004B0E72">
        <w:rPr>
          <w:rFonts w:ascii="Times New Roman" w:hAnsi="Times New Roman"/>
          <w:sz w:val="24"/>
          <w:rtl/>
        </w:rPr>
        <w:t>. כן הוסכם כי הצדדים יפעלו להרחבת שיתוף הפעולה ביניהם בדרך של הקמת חברה משותפת לניהול חנויות נוספות.</w:t>
      </w:r>
      <w:r w:rsidRPr="004B0E72">
        <w:rPr>
          <w:rFonts w:ascii="Times New Roman" w:hAnsi="Times New Roman"/>
          <w:rtl/>
        </w:rPr>
        <w:t xml:space="preserve"> </w:t>
      </w:r>
    </w:p>
    <w:p w14:paraId="5CD197DE" w14:textId="206663C2" w:rsidR="005849AD" w:rsidRPr="004B0E72" w:rsidRDefault="005849AD" w:rsidP="00861545">
      <w:pPr>
        <w:pStyle w:val="ListParagraph"/>
        <w:numPr>
          <w:ilvl w:val="0"/>
          <w:numId w:val="27"/>
        </w:numPr>
        <w:spacing w:line="360" w:lineRule="auto"/>
        <w:jc w:val="both"/>
        <w:rPr>
          <w:rFonts w:ascii="Times New Roman" w:hAnsi="Times New Roman"/>
        </w:rPr>
      </w:pPr>
      <w:r w:rsidRPr="004B0E72">
        <w:rPr>
          <w:rFonts w:ascii="Times New Roman" w:hAnsi="Times New Roman"/>
          <w:rtl/>
        </w:rPr>
        <w:t>הצדדים הגישו הודעות מיזוג מלאות בגין עסקה זו ביום 17.11.14. במהלך בדיקת המיזוג נודע לרשות ההגבלים העסקים (להלן: "</w:t>
      </w:r>
      <w:r w:rsidRPr="004B0E72">
        <w:rPr>
          <w:rFonts w:ascii="Times New Roman" w:hAnsi="Times New Roman"/>
          <w:b/>
          <w:bCs/>
          <w:rtl/>
        </w:rPr>
        <w:t>הרשות</w:t>
      </w:r>
      <w:r w:rsidRPr="004B0E72">
        <w:rPr>
          <w:rFonts w:ascii="Times New Roman" w:hAnsi="Times New Roman"/>
          <w:rtl/>
        </w:rPr>
        <w:t xml:space="preserve">") על מעשים שעשו הצדדים, בתקופה שבין החתימה על הסכם המיזוג לבין קבלת אישור הממונה </w:t>
      </w:r>
      <w:r w:rsidRPr="004B0E72">
        <w:rPr>
          <w:rFonts w:ascii="Times New Roman" w:hAnsi="Times New Roman"/>
          <w:rtl/>
        </w:rPr>
        <w:lastRenderedPageBreak/>
        <w:t>לביצוע המיזוג ביום 7.1.15,</w:t>
      </w:r>
      <w:r w:rsidRPr="004B0E72">
        <w:rPr>
          <w:rFonts w:ascii="Times New Roman" w:hAnsi="Times New Roman"/>
          <w:vertAlign w:val="superscript"/>
          <w:rtl/>
        </w:rPr>
        <w:footnoteReference w:id="2"/>
      </w:r>
      <w:r w:rsidRPr="004B0E72">
        <w:rPr>
          <w:rFonts w:ascii="Times New Roman" w:hAnsi="Times New Roman"/>
          <w:rtl/>
        </w:rPr>
        <w:t xml:space="preserve"> שיש בהם משום מיזוג, </w:t>
      </w:r>
      <w:r w:rsidR="00861545" w:rsidRPr="004B0E72">
        <w:rPr>
          <w:rFonts w:ascii="Times New Roman" w:hAnsi="Times New Roman" w:hint="cs"/>
          <w:rtl/>
        </w:rPr>
        <w:t xml:space="preserve">בניגוד </w:t>
      </w:r>
      <w:r w:rsidRPr="004B0E72">
        <w:rPr>
          <w:rFonts w:ascii="Times New Roman" w:hAnsi="Times New Roman"/>
          <w:rtl/>
        </w:rPr>
        <w:t>להוראות פרק ג' לחוק, כפי שיתואר כעת.</w:t>
      </w:r>
      <w:r w:rsidRPr="004B0E72">
        <w:rPr>
          <w:rFonts w:ascii="Times New Roman" w:hAnsi="Times New Roman" w:hint="cs"/>
          <w:rtl/>
        </w:rPr>
        <w:t xml:space="preserve"> </w:t>
      </w:r>
    </w:p>
    <w:p w14:paraId="45012D3A" w14:textId="77777777" w:rsidR="00553EEB" w:rsidRPr="004B0E72" w:rsidRDefault="00553EEB" w:rsidP="00553EEB">
      <w:pPr>
        <w:pStyle w:val="ListParagraph"/>
        <w:spacing w:line="360" w:lineRule="auto"/>
        <w:ind w:left="397"/>
        <w:jc w:val="both"/>
      </w:pPr>
    </w:p>
    <w:p w14:paraId="54C75EDB" w14:textId="3667E707" w:rsidR="00CB389F" w:rsidRPr="004B0E72" w:rsidRDefault="00553EEB" w:rsidP="004D1F87">
      <w:pPr>
        <w:pStyle w:val="Heading1"/>
        <w:numPr>
          <w:ilvl w:val="0"/>
          <w:numId w:val="39"/>
        </w:numPr>
        <w:rPr>
          <w:rtl/>
        </w:rPr>
      </w:pPr>
      <w:r w:rsidRPr="004B0E72">
        <w:rPr>
          <w:rFonts w:hint="cs"/>
          <w:rtl/>
        </w:rPr>
        <w:t>מעשה ההפרה</w:t>
      </w:r>
    </w:p>
    <w:p w14:paraId="37A2703E" w14:textId="77777777" w:rsidR="005849AD" w:rsidRPr="004B0E72" w:rsidRDefault="005849AD" w:rsidP="004D1F87">
      <w:pPr>
        <w:pStyle w:val="Heading2"/>
      </w:pPr>
      <w:r w:rsidRPr="004B0E72">
        <w:rPr>
          <w:rtl/>
        </w:rPr>
        <w:t xml:space="preserve">ג.1. </w:t>
      </w:r>
      <w:r w:rsidRPr="004B0E72">
        <w:rPr>
          <w:rFonts w:hint="cs"/>
          <w:rtl/>
        </w:rPr>
        <w:t>המסגרת הנורמטיבית</w:t>
      </w:r>
    </w:p>
    <w:p w14:paraId="6DB8CD9E" w14:textId="77777777" w:rsidR="005849AD" w:rsidRPr="004B0E72" w:rsidRDefault="005849AD" w:rsidP="005849AD">
      <w:pPr>
        <w:pStyle w:val="ListParagraph"/>
        <w:numPr>
          <w:ilvl w:val="0"/>
          <w:numId w:val="27"/>
        </w:numPr>
        <w:spacing w:line="360" w:lineRule="auto"/>
        <w:jc w:val="both"/>
      </w:pPr>
      <w:r w:rsidRPr="004B0E72">
        <w:rPr>
          <w:rFonts w:hint="cs"/>
          <w:rtl/>
        </w:rPr>
        <w:t xml:space="preserve">סעיף 19 לחוק אוסר על מיזוג חברות שמתקיימים בו תנאי סעיף 17 לחוק, אלא אם כן ניתנה תחילה הודעת מיזוג ונתקבלה למיזוג הסכמת הממונה, ואם הייתה הסכמתו מותנית </w:t>
      </w:r>
      <w:r w:rsidRPr="004B0E72">
        <w:rPr>
          <w:rtl/>
        </w:rPr>
        <w:t>–</w:t>
      </w:r>
      <w:r w:rsidRPr="004B0E72">
        <w:rPr>
          <w:rFonts w:hint="cs"/>
          <w:rtl/>
        </w:rPr>
        <w:t xml:space="preserve"> לפי התנאים שקבע. </w:t>
      </w:r>
    </w:p>
    <w:p w14:paraId="65B51118" w14:textId="130DCD5D" w:rsidR="005849AD" w:rsidRPr="004B0E72" w:rsidRDefault="005849AD" w:rsidP="00EC142A">
      <w:pPr>
        <w:pStyle w:val="ListParagraph"/>
        <w:numPr>
          <w:ilvl w:val="0"/>
          <w:numId w:val="27"/>
        </w:numPr>
        <w:spacing w:line="360" w:lineRule="auto"/>
        <w:jc w:val="both"/>
      </w:pPr>
      <w:r w:rsidRPr="004B0E72">
        <w:rPr>
          <w:rFonts w:hint="cs"/>
          <w:rtl/>
        </w:rPr>
        <w:t>כפי שמובהר ב</w:t>
      </w:r>
      <w:r w:rsidRPr="004B0E72">
        <w:rPr>
          <w:rtl/>
        </w:rPr>
        <w:t>הנחיות הממונה לגבי הליכי הדיווח והבדיקה של מיזוגי חברות לפי חוק ההגבלים העסקיים (להלן: "</w:t>
      </w:r>
      <w:r w:rsidRPr="004B0E72">
        <w:rPr>
          <w:b/>
          <w:bCs/>
          <w:rtl/>
        </w:rPr>
        <w:t>הנחיות הדיווח</w:t>
      </w:r>
      <w:r w:rsidRPr="004B0E72">
        <w:rPr>
          <w:rtl/>
        </w:rPr>
        <w:t>")</w:t>
      </w:r>
      <w:r w:rsidRPr="004B0E72">
        <w:rPr>
          <w:rFonts w:hint="cs"/>
          <w:rtl/>
        </w:rPr>
        <w:t>,</w:t>
      </w:r>
      <w:r w:rsidRPr="004B0E72">
        <w:rPr>
          <w:vertAlign w:val="superscript"/>
          <w:rtl/>
        </w:rPr>
        <w:footnoteReference w:id="3"/>
      </w:r>
      <w:r w:rsidRPr="004B0E72">
        <w:rPr>
          <w:rtl/>
        </w:rPr>
        <w:t xml:space="preserve"> </w:t>
      </w:r>
      <w:r w:rsidRPr="004B0E72">
        <w:rPr>
          <w:rFonts w:hint="cs"/>
          <w:rtl/>
        </w:rPr>
        <w:t xml:space="preserve">משטר הפיקוח על מיזוגים בישראל מורכב משלושה נדבכים: בשלב הראשון, שלב סיווג העסקה, מערך הפיקוח מזהה את כלל העסקאות היוצרות או </w:t>
      </w:r>
      <w:r w:rsidR="00EC142A" w:rsidRPr="004B0E72">
        <w:rPr>
          <w:rFonts w:hint="cs"/>
          <w:rtl/>
        </w:rPr>
        <w:t>ה</w:t>
      </w:r>
      <w:r w:rsidRPr="004B0E72">
        <w:rPr>
          <w:rFonts w:hint="cs"/>
          <w:rtl/>
        </w:rPr>
        <w:t xml:space="preserve">מחזקות זיקה בין מנגנוני קבלת </w:t>
      </w:r>
      <w:r w:rsidR="00EC142A" w:rsidRPr="004B0E72">
        <w:rPr>
          <w:rFonts w:hint="cs"/>
          <w:rtl/>
        </w:rPr>
        <w:t>ה</w:t>
      </w:r>
      <w:r w:rsidRPr="004B0E72">
        <w:rPr>
          <w:rFonts w:hint="cs"/>
          <w:rtl/>
        </w:rPr>
        <w:t xml:space="preserve">החלטות בעסקים </w:t>
      </w:r>
      <w:r w:rsidR="00EC142A" w:rsidRPr="004B0E72">
        <w:rPr>
          <w:rFonts w:hint="cs"/>
          <w:rtl/>
        </w:rPr>
        <w:t>ה</w:t>
      </w:r>
      <w:r w:rsidRPr="004B0E72">
        <w:rPr>
          <w:rFonts w:hint="cs"/>
          <w:rtl/>
        </w:rPr>
        <w:t xml:space="preserve">שונים. בשלב השני, מזוהה האינטרס הציבורי המחייב בחינת העסקה, בהתאם לנפח הפעילות הכלכלית שמנהלים הצדדים או מעמדם </w:t>
      </w:r>
      <w:r w:rsidRPr="004B0E72">
        <w:rPr>
          <w:rFonts w:hint="cs"/>
          <w:rtl/>
        </w:rPr>
        <w:lastRenderedPageBreak/>
        <w:t>התחרותי. רק בשלב השלישי והאחרון תיבחן הפגיעה בתחרות הצפויה כתוצאה מהעסקה בנסיבות הפרטניות של המקרה.</w:t>
      </w:r>
    </w:p>
    <w:p w14:paraId="6E5DB8BB" w14:textId="5D564904" w:rsidR="005849AD" w:rsidRPr="004B0E72" w:rsidRDefault="005849AD" w:rsidP="004B0E72">
      <w:pPr>
        <w:pStyle w:val="ListParagraph"/>
        <w:numPr>
          <w:ilvl w:val="0"/>
          <w:numId w:val="27"/>
        </w:numPr>
        <w:spacing w:line="360" w:lineRule="auto"/>
        <w:jc w:val="both"/>
      </w:pPr>
      <w:r w:rsidRPr="004B0E72">
        <w:rPr>
          <w:rFonts w:hint="cs"/>
          <w:rtl/>
        </w:rPr>
        <w:t>משעברה עסקה את שני השלבים הראשונים, קמה לצדדים לה חובה להביא אותה לאישור הממונה ולהמתין להחלטתו. כמוסבר בהנחיות הדיווח, מיזוגים לגביהם חלות חובות הדיווח וההמתנה הם מיזוגים העלולים להקים חשש להגבלת התחרות, והדרך להגנה על התחרות ועל הציבור היא הבאתם בפני הממונה לבחינתו מראש, ולא בדיעבד:</w:t>
      </w:r>
      <w:r w:rsidRPr="004B0E72">
        <w:rPr>
          <w:rStyle w:val="FootnoteReference"/>
          <w:rtl/>
        </w:rPr>
        <w:footnoteReference w:id="4"/>
      </w:r>
    </w:p>
    <w:p w14:paraId="1C84D72C" w14:textId="77777777" w:rsidR="005849AD" w:rsidRPr="004B0E72" w:rsidRDefault="005849AD" w:rsidP="005849AD">
      <w:pPr>
        <w:pStyle w:val="Quote"/>
        <w:rPr>
          <w:rFonts w:ascii="Arial" w:hAnsi="Arial"/>
        </w:rPr>
      </w:pPr>
      <w:r w:rsidRPr="004B0E72">
        <w:rPr>
          <w:rFonts w:ascii="Arial" w:hAnsi="Arial" w:hint="cs"/>
          <w:rtl/>
        </w:rPr>
        <w:t>"</w:t>
      </w:r>
      <w:r w:rsidRPr="004B0E72">
        <w:rPr>
          <w:rFonts w:ascii="Arial" w:hAnsi="Arial"/>
          <w:rtl/>
        </w:rPr>
        <w:t>הנחתו של המחוקק הייתה כי סוג זה של עסקאות, כאשר הוא נעשה בי</w:t>
      </w:r>
      <w:r w:rsidRPr="004B0E72">
        <w:rPr>
          <w:rFonts w:ascii="Arial" w:hAnsi="Arial" w:hint="cs"/>
          <w:rtl/>
        </w:rPr>
        <w:t>ן</w:t>
      </w:r>
      <w:r w:rsidRPr="004B0E72">
        <w:rPr>
          <w:rFonts w:ascii="Arial" w:hAnsi="Arial"/>
          <w:rtl/>
        </w:rPr>
        <w:t xml:space="preserve"> יחידות כלכליות מסוג מסוי</w:t>
      </w:r>
      <w:r w:rsidRPr="004B0E72">
        <w:rPr>
          <w:rFonts w:ascii="Arial" w:hAnsi="Arial" w:hint="cs"/>
          <w:rtl/>
        </w:rPr>
        <w:t>ם</w:t>
      </w:r>
      <w:r w:rsidRPr="004B0E72">
        <w:rPr>
          <w:rFonts w:ascii="Arial" w:hAnsi="Arial"/>
        </w:rPr>
        <w:t xml:space="preserve"> </w:t>
      </w:r>
      <w:r w:rsidRPr="004B0E72">
        <w:rPr>
          <w:rFonts w:ascii="Arial" w:hAnsi="Arial"/>
          <w:rtl/>
        </w:rPr>
        <w:t>או בגודל מסוי</w:t>
      </w:r>
      <w:r w:rsidRPr="004B0E72">
        <w:rPr>
          <w:rFonts w:ascii="Arial" w:hAnsi="Arial" w:hint="cs"/>
          <w:rtl/>
        </w:rPr>
        <w:t xml:space="preserve">ם, עשוי, </w:t>
      </w:r>
      <w:r w:rsidRPr="004B0E72">
        <w:rPr>
          <w:rFonts w:ascii="Arial" w:hAnsi="Arial"/>
          <w:rtl/>
        </w:rPr>
        <w:t>בנסיבות מסוימות, להקי</w:t>
      </w:r>
      <w:r w:rsidRPr="004B0E72">
        <w:rPr>
          <w:rFonts w:ascii="Arial" w:hAnsi="Arial" w:hint="cs"/>
          <w:rtl/>
        </w:rPr>
        <w:t>ם</w:t>
      </w:r>
      <w:r w:rsidRPr="004B0E72">
        <w:rPr>
          <w:rFonts w:ascii="Arial" w:hAnsi="Arial"/>
        </w:rPr>
        <w:t xml:space="preserve"> </w:t>
      </w:r>
      <w:r w:rsidRPr="004B0E72">
        <w:rPr>
          <w:rFonts w:ascii="Arial" w:hAnsi="Arial"/>
          <w:rtl/>
        </w:rPr>
        <w:t>חשש להגבלת התחרות. חשש זה אינו מצדיק, כשלעצמו, לבלו</w:t>
      </w:r>
      <w:r w:rsidRPr="004B0E72">
        <w:rPr>
          <w:rFonts w:ascii="Arial" w:hAnsi="Arial" w:hint="cs"/>
          <w:rtl/>
        </w:rPr>
        <w:t xml:space="preserve">ם </w:t>
      </w:r>
      <w:r w:rsidRPr="004B0E72">
        <w:rPr>
          <w:rFonts w:ascii="Arial" w:hAnsi="Arial"/>
          <w:rtl/>
        </w:rPr>
        <w:t>את המיזוג, אלא מחייב את בחינת המיזוג מבעד לעדשת התחרות בעסק</w:t>
      </w:r>
      <w:r w:rsidRPr="004B0E72">
        <w:rPr>
          <w:rFonts w:ascii="Arial" w:hAnsi="Arial" w:hint="cs"/>
          <w:rtl/>
        </w:rPr>
        <w:t xml:space="preserve">ים </w:t>
      </w:r>
      <w:r w:rsidRPr="004B0E72">
        <w:rPr>
          <w:rFonts w:ascii="Arial" w:hAnsi="Arial"/>
          <w:rtl/>
        </w:rPr>
        <w:t>ואינטרס הציבור. מכא</w:t>
      </w:r>
      <w:r w:rsidRPr="004B0E72">
        <w:rPr>
          <w:rFonts w:ascii="Arial" w:hAnsi="Arial" w:hint="cs"/>
          <w:rtl/>
        </w:rPr>
        <w:t xml:space="preserve">ן </w:t>
      </w:r>
      <w:r w:rsidRPr="004B0E72">
        <w:rPr>
          <w:rFonts w:ascii="Arial" w:hAnsi="Arial"/>
          <w:rtl/>
        </w:rPr>
        <w:t>החובה להביא את העסקה לבדיקת הממונה ולאישורה</w:t>
      </w:r>
      <w:r w:rsidRPr="004B0E72">
        <w:rPr>
          <w:rFonts w:ascii="Arial" w:hAnsi="Arial" w:hint="cs"/>
          <w:rtl/>
        </w:rPr>
        <w:t>." (הנחיות הדיווח, עמ' 7)</w:t>
      </w:r>
    </w:p>
    <w:p w14:paraId="2F3F626A" w14:textId="77777777" w:rsidR="005849AD" w:rsidRPr="004B0E72" w:rsidRDefault="005849AD" w:rsidP="005849AD">
      <w:pPr>
        <w:pStyle w:val="ListParagraph"/>
        <w:numPr>
          <w:ilvl w:val="0"/>
          <w:numId w:val="27"/>
        </w:numPr>
        <w:spacing w:line="360" w:lineRule="auto"/>
        <w:jc w:val="both"/>
      </w:pPr>
      <w:r w:rsidRPr="004B0E72">
        <w:rPr>
          <w:rFonts w:hint="cs"/>
          <w:rtl/>
        </w:rPr>
        <w:t>על-מנת למנוע סיכול התכלית העומדת בבסיס משטר הפיקוח על מיזוגים לחובת הדיווח נלווית חובת המתנה להחלטת הממונה. כפי שמבהירות הנחיות הדיווח:</w:t>
      </w:r>
    </w:p>
    <w:p w14:paraId="2DAF5586" w14:textId="3F34DA42" w:rsidR="005849AD" w:rsidRPr="004B0E72" w:rsidRDefault="005849AD" w:rsidP="00EC142A">
      <w:pPr>
        <w:pStyle w:val="ListParagraph"/>
        <w:spacing w:line="240" w:lineRule="auto"/>
        <w:ind w:left="1076" w:right="851"/>
        <w:jc w:val="both"/>
        <w:rPr>
          <w:rFonts w:ascii="Arial" w:hAnsi="Arial"/>
          <w:rtl/>
        </w:rPr>
      </w:pPr>
      <w:r w:rsidRPr="004B0E72">
        <w:rPr>
          <w:rFonts w:ascii="Arial" w:hAnsi="Arial" w:hint="cs"/>
          <w:rtl/>
        </w:rPr>
        <w:t>"</w:t>
      </w:r>
      <w:r w:rsidRPr="004B0E72">
        <w:rPr>
          <w:rFonts w:ascii="Arial" w:hAnsi="Arial"/>
          <w:rtl/>
        </w:rPr>
        <w:t xml:space="preserve">חובת הדיווח המוקדם וחובת ההמתנה הן יסוד מוסד בשיטת הפיקוח. מטרתו הבסיסית של משטר הפיקוח היא לנטר </w:t>
      </w:r>
      <w:r w:rsidRPr="004B0E72">
        <w:rPr>
          <w:rFonts w:ascii="Arial" w:hAnsi="Arial"/>
          <w:b/>
          <w:bCs/>
          <w:rtl/>
        </w:rPr>
        <w:t>ולמנוע מראש</w:t>
      </w:r>
      <w:r w:rsidRPr="004B0E72">
        <w:rPr>
          <w:rFonts w:ascii="Arial" w:hAnsi="Arial"/>
          <w:rtl/>
        </w:rPr>
        <w:t xml:space="preserve"> את המטען האנטי-תחרותי שצרור בעסקאות מיזוג מסוימות. </w:t>
      </w:r>
      <w:r w:rsidRPr="004B0E72">
        <w:rPr>
          <w:rFonts w:ascii="Arial" w:hAnsi="Arial"/>
          <w:rtl/>
        </w:rPr>
        <w:lastRenderedPageBreak/>
        <w:t>הפיקוח המוקדם על עסקאות מיזוג חיוני להגנת התחרות בשווקים.</w:t>
      </w:r>
      <w:r w:rsidRPr="004B0E72">
        <w:rPr>
          <w:rFonts w:ascii="Arial" w:hAnsi="Arial" w:hint="cs"/>
          <w:rtl/>
        </w:rPr>
        <w:t xml:space="preserve">" (הנחיות הדיווח, עמ' </w:t>
      </w:r>
      <w:r w:rsidR="00EC142A" w:rsidRPr="004B0E72">
        <w:rPr>
          <w:rFonts w:ascii="Arial" w:hAnsi="Arial" w:hint="cs"/>
          <w:rtl/>
        </w:rPr>
        <w:t>8</w:t>
      </w:r>
      <w:r w:rsidRPr="004B0E72">
        <w:rPr>
          <w:rFonts w:ascii="Arial" w:hAnsi="Arial" w:hint="cs"/>
          <w:rtl/>
        </w:rPr>
        <w:t>, ההדגשה במקור)</w:t>
      </w:r>
    </w:p>
    <w:p w14:paraId="3A70C76D" w14:textId="77777777" w:rsidR="005849AD" w:rsidRPr="004B0E72" w:rsidRDefault="005849AD" w:rsidP="005849AD">
      <w:pPr>
        <w:pStyle w:val="ListParagraph"/>
        <w:spacing w:line="240" w:lineRule="auto"/>
        <w:ind w:left="1076" w:right="851"/>
        <w:jc w:val="both"/>
      </w:pPr>
    </w:p>
    <w:p w14:paraId="139F80F5" w14:textId="29B5DDCD" w:rsidR="005849AD" w:rsidRPr="004B0E72" w:rsidRDefault="005849AD" w:rsidP="00776430">
      <w:pPr>
        <w:pStyle w:val="ListParagraph"/>
        <w:numPr>
          <w:ilvl w:val="0"/>
          <w:numId w:val="27"/>
        </w:numPr>
        <w:spacing w:line="360" w:lineRule="auto"/>
        <w:jc w:val="both"/>
      </w:pPr>
      <w:r w:rsidRPr="004B0E72">
        <w:rPr>
          <w:rFonts w:hint="cs"/>
          <w:rtl/>
        </w:rPr>
        <w:t xml:space="preserve">כל מעשה שיש בו משום הקניית דריסת רגל לרוכש בעסק הנרכש, איחוד מלא או חלקי של פעילות או אקט </w:t>
      </w:r>
      <w:r w:rsidR="002B3D43" w:rsidRPr="004B0E72">
        <w:rPr>
          <w:rFonts w:hint="cs"/>
          <w:rtl/>
        </w:rPr>
        <w:t xml:space="preserve">העשוי </w:t>
      </w:r>
      <w:r w:rsidRPr="004B0E72">
        <w:rPr>
          <w:rFonts w:hint="cs"/>
          <w:rtl/>
        </w:rPr>
        <w:t>להשפיע ממשית על התנהלות התאגיד הנרכש או הרוכש,</w:t>
      </w:r>
      <w:r w:rsidRPr="004B0E72">
        <w:rPr>
          <w:rStyle w:val="FootnoteReference"/>
          <w:rtl/>
        </w:rPr>
        <w:footnoteReference w:id="5"/>
      </w:r>
      <w:r w:rsidRPr="004B0E72">
        <w:rPr>
          <w:rFonts w:hint="cs"/>
          <w:rtl/>
        </w:rPr>
        <w:t xml:space="preserve"> אשר נעשה בטרם קבלת הסכמת הממונה למיזוג, עולה כדי הפרת חובת ההמתנה ונודע גם בשם "מיזוג בפועל". </w:t>
      </w:r>
      <w:r w:rsidR="006A0784" w:rsidRPr="004B0E72">
        <w:rPr>
          <w:rFonts w:hint="cs"/>
          <w:rtl/>
        </w:rPr>
        <w:t>יוער כי לעניין זה אין כל נפקות לשאלת ההתערבות בפועל בפעילות הצד האחר בתקופה שלפני אישור המיזוג</w:t>
      </w:r>
      <w:r w:rsidR="00125C70" w:rsidRPr="004B0E72">
        <w:rPr>
          <w:rFonts w:hint="cs"/>
          <w:rtl/>
        </w:rPr>
        <w:t>:</w:t>
      </w:r>
      <w:r w:rsidR="006A0784" w:rsidRPr="004B0E72">
        <w:rPr>
          <w:rFonts w:hint="cs"/>
          <w:rtl/>
        </w:rPr>
        <w:t xml:space="preserve"> </w:t>
      </w:r>
      <w:r w:rsidR="006A0784" w:rsidRPr="004B0E72">
        <w:rPr>
          <w:rFonts w:ascii="Times New Roman" w:hAnsi="Times New Roman"/>
          <w:rtl/>
        </w:rPr>
        <w:t xml:space="preserve">הגדרת המיזוג שבחוק </w:t>
      </w:r>
      <w:r w:rsidR="006A0784" w:rsidRPr="004B0E72">
        <w:rPr>
          <w:rFonts w:ascii="Times New Roman" w:hAnsi="Times New Roman" w:hint="cs"/>
          <w:rtl/>
        </w:rPr>
        <w:t xml:space="preserve">מתמקדת ברכישת </w:t>
      </w:r>
      <w:r w:rsidR="00D421C1" w:rsidRPr="004B0E72">
        <w:rPr>
          <w:rFonts w:ascii="Times New Roman" w:hAnsi="Times New Roman" w:hint="cs"/>
          <w:rtl/>
        </w:rPr>
        <w:t xml:space="preserve">זכויות, ובכלל זה זכויות המקנות את </w:t>
      </w:r>
      <w:r w:rsidR="006A0784" w:rsidRPr="004B0E72">
        <w:rPr>
          <w:rFonts w:ascii="Times New Roman" w:hAnsi="Times New Roman" w:hint="cs"/>
          <w:b/>
          <w:bCs/>
          <w:rtl/>
        </w:rPr>
        <w:t xml:space="preserve">הכוח </w:t>
      </w:r>
      <w:r w:rsidR="006A0784" w:rsidRPr="004B0E72">
        <w:rPr>
          <w:rFonts w:ascii="Times New Roman" w:hAnsi="Times New Roman" w:hint="cs"/>
          <w:rtl/>
        </w:rPr>
        <w:t xml:space="preserve">לשלוט בפעילות החברה הנרכשת, ואינה נדרשת לשאלת </w:t>
      </w:r>
      <w:r w:rsidR="00FB08F5" w:rsidRPr="004B0E72">
        <w:rPr>
          <w:rFonts w:ascii="Times New Roman" w:hAnsi="Times New Roman" w:hint="cs"/>
          <w:rtl/>
        </w:rPr>
        <w:t>מימוש</w:t>
      </w:r>
      <w:r w:rsidR="006A0784" w:rsidRPr="004B0E72">
        <w:rPr>
          <w:rFonts w:ascii="Times New Roman" w:hAnsi="Times New Roman" w:hint="cs"/>
          <w:rtl/>
        </w:rPr>
        <w:t xml:space="preserve"> </w:t>
      </w:r>
      <w:r w:rsidR="00D421C1" w:rsidRPr="004B0E72">
        <w:rPr>
          <w:rFonts w:ascii="Times New Roman" w:hAnsi="Times New Roman" w:hint="cs"/>
          <w:rtl/>
        </w:rPr>
        <w:t xml:space="preserve">הזכויות או </w:t>
      </w:r>
      <w:r w:rsidR="006A0784" w:rsidRPr="004B0E72">
        <w:rPr>
          <w:rFonts w:ascii="Times New Roman" w:hAnsi="Times New Roman" w:hint="cs"/>
          <w:rtl/>
        </w:rPr>
        <w:t>השליטה בפועל</w:t>
      </w:r>
      <w:r w:rsidR="00776430" w:rsidRPr="004B0E72">
        <w:rPr>
          <w:rFonts w:ascii="Times New Roman" w:hAnsi="Times New Roman" w:hint="cs"/>
          <w:rtl/>
        </w:rPr>
        <w:t>.</w:t>
      </w:r>
    </w:p>
    <w:p w14:paraId="5A6DDD1B" w14:textId="77777777" w:rsidR="005849AD" w:rsidRPr="004B0E72" w:rsidRDefault="005849AD" w:rsidP="004D1F87">
      <w:pPr>
        <w:pStyle w:val="Heading2"/>
      </w:pPr>
      <w:r w:rsidRPr="004B0E72">
        <w:rPr>
          <w:rtl/>
        </w:rPr>
        <w:t>ג.2 הצדדים הפרו את חובת ההמתנה ו</w:t>
      </w:r>
      <w:r w:rsidRPr="004B0E72">
        <w:rPr>
          <w:rFonts w:hint="cs"/>
          <w:rtl/>
        </w:rPr>
        <w:t>עשו מעשים שהיה בהם משום מיזוג,</w:t>
      </w:r>
      <w:r w:rsidRPr="004B0E72">
        <w:rPr>
          <w:rtl/>
        </w:rPr>
        <w:t xml:space="preserve"> טרם אישורו</w:t>
      </w:r>
    </w:p>
    <w:p w14:paraId="03249956" w14:textId="0A72B6FA" w:rsidR="005849AD" w:rsidRPr="004B0E72" w:rsidRDefault="005849AD" w:rsidP="00C54714">
      <w:pPr>
        <w:pStyle w:val="ListParagraph"/>
        <w:numPr>
          <w:ilvl w:val="0"/>
          <w:numId w:val="27"/>
        </w:numPr>
        <w:spacing w:line="360" w:lineRule="auto"/>
        <w:jc w:val="both"/>
        <w:rPr>
          <w:rFonts w:ascii="Times New Roman" w:hAnsi="Times New Roman"/>
        </w:rPr>
      </w:pPr>
      <w:r w:rsidRPr="004B0E72">
        <w:rPr>
          <w:rFonts w:ascii="Times New Roman" w:hAnsi="Times New Roman"/>
          <w:rtl/>
        </w:rPr>
        <w:t>מחזור המכירות המאוחד של הצדדים בשנה שקדמה למיזוג עלה על 150 מיליון ₪ והמחזור של כל אחד מהם עלה על 10 מיליון ₪</w:t>
      </w:r>
      <w:r w:rsidRPr="004B0E72">
        <w:rPr>
          <w:rFonts w:ascii="Times New Roman" w:hAnsi="Times New Roman" w:hint="cs"/>
          <w:rtl/>
        </w:rPr>
        <w:t>:</w:t>
      </w:r>
      <w:r w:rsidRPr="004B0E72">
        <w:rPr>
          <w:rFonts w:ascii="Times New Roman" w:hAnsi="Times New Roman"/>
          <w:rtl/>
        </w:rPr>
        <w:t xml:space="preserve"> </w:t>
      </w:r>
      <w:r w:rsidRPr="004B0E72">
        <w:rPr>
          <w:rFonts w:ascii="Times New Roman" w:hAnsi="Times New Roman" w:hint="cs"/>
          <w:rtl/>
        </w:rPr>
        <w:t xml:space="preserve">מחזור </w:t>
      </w:r>
      <w:r w:rsidRPr="004B0E72">
        <w:rPr>
          <w:rFonts w:ascii="Times New Roman" w:hAnsi="Times New Roman"/>
          <w:rtl/>
        </w:rPr>
        <w:t>המכירות השנתי של ברמן לשנת 2013, לרבות של החברות הקשורות חגים ואטלס, עמד על כ-</w:t>
      </w:r>
      <w:r w:rsidR="00C54714">
        <w:rPr>
          <w:rFonts w:ascii="Times New Roman" w:hAnsi="Times New Roman"/>
        </w:rPr>
        <w:t>XXX</w:t>
      </w:r>
      <w:r w:rsidR="00C54714">
        <w:rPr>
          <w:rFonts w:ascii="Times New Roman" w:hAnsi="Times New Roman" w:hint="cs"/>
          <w:rtl/>
        </w:rPr>
        <w:t xml:space="preserve"> </w:t>
      </w:r>
      <w:r w:rsidRPr="004B0E72">
        <w:rPr>
          <w:rFonts w:ascii="Times New Roman" w:hAnsi="Times New Roman"/>
          <w:rtl/>
        </w:rPr>
        <w:t xml:space="preserve">מיליון </w:t>
      </w:r>
      <w:r w:rsidRPr="004B0E72">
        <w:rPr>
          <w:rFonts w:ascii="Times New Roman" w:hAnsi="Times New Roman" w:hint="cs"/>
          <w:rtl/>
        </w:rPr>
        <w:t xml:space="preserve">₪ </w:t>
      </w:r>
      <w:r w:rsidRPr="004B0E72">
        <w:rPr>
          <w:rFonts w:ascii="Times New Roman" w:hAnsi="Times New Roman"/>
          <w:rtl/>
        </w:rPr>
        <w:t>ומחזור המכירות השנתי של מכלול לשנת 2013 עמד על כ-</w:t>
      </w:r>
      <w:r w:rsidR="00C54714">
        <w:rPr>
          <w:rFonts w:ascii="Times New Roman" w:hAnsi="Times New Roman"/>
        </w:rPr>
        <w:t>XXX</w:t>
      </w:r>
      <w:r w:rsidR="00C54714">
        <w:rPr>
          <w:rFonts w:ascii="Times New Roman" w:hAnsi="Times New Roman" w:hint="cs"/>
          <w:rtl/>
        </w:rPr>
        <w:t xml:space="preserve"> </w:t>
      </w:r>
      <w:r w:rsidRPr="004B0E72">
        <w:rPr>
          <w:rFonts w:ascii="Times New Roman" w:hAnsi="Times New Roman"/>
          <w:rtl/>
        </w:rPr>
        <w:t>מיליון ₪.</w:t>
      </w:r>
      <w:r w:rsidRPr="004B0E72">
        <w:rPr>
          <w:rFonts w:ascii="Times New Roman" w:hAnsi="Times New Roman" w:hint="cs"/>
          <w:rtl/>
        </w:rPr>
        <w:t xml:space="preserve"> נוכח האמור, המיזוג בין ברמן ומכלול היה חייב בדיווח לפי </w:t>
      </w:r>
      <w:r w:rsidRPr="004B0E72">
        <w:rPr>
          <w:rFonts w:ascii="Times New Roman" w:hAnsi="Times New Roman"/>
          <w:rtl/>
        </w:rPr>
        <w:t xml:space="preserve">סעיף 17(א)(2) לחוק </w:t>
      </w:r>
      <w:r w:rsidRPr="004B0E72">
        <w:rPr>
          <w:rFonts w:ascii="Times New Roman" w:hAnsi="Times New Roman"/>
          <w:rtl/>
        </w:rPr>
        <w:lastRenderedPageBreak/>
        <w:t>ו</w:t>
      </w:r>
      <w:r w:rsidRPr="004B0E72">
        <w:rPr>
          <w:rFonts w:ascii="Times New Roman" w:hAnsi="Times New Roman" w:hint="cs"/>
          <w:rtl/>
        </w:rPr>
        <w:t>ל</w:t>
      </w:r>
      <w:r w:rsidRPr="004B0E72">
        <w:rPr>
          <w:rFonts w:ascii="Times New Roman" w:hAnsi="Times New Roman"/>
          <w:rtl/>
        </w:rPr>
        <w:t>תקנות ההגבלים העסקיים (מרשם, פרסום ודיווח על עסקאות), התשס"ד-2004 (להלן: "</w:t>
      </w:r>
      <w:r w:rsidRPr="004B0E72">
        <w:rPr>
          <w:rFonts w:ascii="Times New Roman" w:hAnsi="Times New Roman"/>
          <w:b/>
          <w:bCs/>
          <w:rtl/>
        </w:rPr>
        <w:t>התקנות</w:t>
      </w:r>
      <w:r w:rsidRPr="004B0E72">
        <w:rPr>
          <w:rFonts w:ascii="Times New Roman" w:hAnsi="Times New Roman"/>
          <w:rtl/>
        </w:rPr>
        <w:t>")</w:t>
      </w:r>
      <w:r w:rsidRPr="004B0E72">
        <w:rPr>
          <w:rFonts w:ascii="Times New Roman" w:hAnsi="Times New Roman" w:hint="cs"/>
          <w:rtl/>
        </w:rPr>
        <w:t xml:space="preserve"> שהותקנו </w:t>
      </w:r>
      <w:r w:rsidRPr="004B0E72">
        <w:rPr>
          <w:rFonts w:ascii="Times New Roman" w:hAnsi="Times New Roman"/>
          <w:rtl/>
        </w:rPr>
        <w:t>מכוחו</w:t>
      </w:r>
      <w:r w:rsidRPr="004B0E72">
        <w:rPr>
          <w:rFonts w:ascii="Times New Roman" w:hAnsi="Times New Roman" w:hint="cs"/>
          <w:rtl/>
        </w:rPr>
        <w:t xml:space="preserve">. </w:t>
      </w:r>
    </w:p>
    <w:p w14:paraId="2E1B3D54" w14:textId="77777777"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מטעם זה הגישו הצדדים את הודעות המיזוג בגין העסקה ביניהם, כפי שצוין על-ידם במפורש בהודעות המיזוג.</w:t>
      </w:r>
      <w:r w:rsidRPr="004B0E72">
        <w:rPr>
          <w:rFonts w:ascii="Times New Roman" w:hAnsi="Times New Roman"/>
          <w:rtl/>
        </w:rPr>
        <w:t xml:space="preserve"> </w:t>
      </w:r>
    </w:p>
    <w:p w14:paraId="660C8520" w14:textId="77777777"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ואולם הצדדים הפרו את חובת ההמתנה ו</w:t>
      </w:r>
      <w:r w:rsidRPr="004B0E72">
        <w:rPr>
          <w:rFonts w:ascii="Times New Roman" w:hAnsi="Times New Roman"/>
          <w:rtl/>
        </w:rPr>
        <w:t>ב</w:t>
      </w:r>
      <w:r w:rsidRPr="004B0E72">
        <w:rPr>
          <w:rFonts w:ascii="Times New Roman" w:hAnsi="Times New Roman" w:hint="cs"/>
          <w:rtl/>
        </w:rPr>
        <w:t xml:space="preserve">יצעו את </w:t>
      </w:r>
      <w:r w:rsidRPr="004B0E72">
        <w:rPr>
          <w:rFonts w:ascii="Times New Roman" w:hAnsi="Times New Roman"/>
          <w:rtl/>
        </w:rPr>
        <w:t>הפעולות הבאות</w:t>
      </w:r>
      <w:r w:rsidRPr="004B0E72">
        <w:rPr>
          <w:rFonts w:ascii="Times New Roman" w:hAnsi="Times New Roman" w:hint="cs"/>
          <w:rtl/>
        </w:rPr>
        <w:t>,</w:t>
      </w:r>
      <w:r w:rsidRPr="004B0E72">
        <w:rPr>
          <w:rFonts w:ascii="Times New Roman" w:hAnsi="Times New Roman"/>
          <w:rtl/>
        </w:rPr>
        <w:t xml:space="preserve"> העולות כדי מיזוג ביניהם</w:t>
      </w:r>
      <w:r w:rsidRPr="004B0E72">
        <w:rPr>
          <w:rFonts w:ascii="Times New Roman" w:hAnsi="Times New Roman" w:hint="cs"/>
          <w:rtl/>
        </w:rPr>
        <w:t>,</w:t>
      </w:r>
      <w:r w:rsidRPr="004B0E72">
        <w:rPr>
          <w:rFonts w:ascii="Times New Roman" w:hAnsi="Times New Roman"/>
          <w:rtl/>
        </w:rPr>
        <w:t xml:space="preserve"> בטרם </w:t>
      </w:r>
      <w:r w:rsidRPr="004B0E72">
        <w:rPr>
          <w:rFonts w:ascii="Times New Roman" w:hAnsi="Times New Roman" w:hint="cs"/>
          <w:rtl/>
        </w:rPr>
        <w:t>אישר הממונה את</w:t>
      </w:r>
      <w:r w:rsidRPr="004B0E72">
        <w:rPr>
          <w:rFonts w:ascii="Times New Roman" w:hAnsi="Times New Roman"/>
          <w:rtl/>
        </w:rPr>
        <w:t xml:space="preserve"> המיזוג: </w:t>
      </w:r>
    </w:p>
    <w:p w14:paraId="3A71ADB9" w14:textId="3C8BA23F" w:rsidR="005849AD" w:rsidRPr="004B0E72" w:rsidRDefault="005849AD" w:rsidP="00C54714">
      <w:pPr>
        <w:pStyle w:val="ListParagraph"/>
        <w:numPr>
          <w:ilvl w:val="0"/>
          <w:numId w:val="27"/>
        </w:numPr>
        <w:spacing w:line="360" w:lineRule="auto"/>
        <w:jc w:val="both"/>
      </w:pPr>
      <w:r w:rsidRPr="004B0E72">
        <w:rPr>
          <w:rFonts w:ascii="Times New Roman" w:hAnsi="Times New Roman"/>
          <w:rtl/>
        </w:rPr>
        <w:t xml:space="preserve">ביום 24.8.14 חתמו הצדדים על הסכם הלוואה, כשבאותו מעמד הלוותה ברמן למכלול סך של </w:t>
      </w:r>
      <w:r w:rsidR="00C54714">
        <w:rPr>
          <w:rFonts w:ascii="Times New Roman" w:hAnsi="Times New Roman"/>
        </w:rPr>
        <w:t>XXX</w:t>
      </w:r>
      <w:r w:rsidRPr="004B0E72">
        <w:rPr>
          <w:rFonts w:ascii="Times New Roman" w:hAnsi="Times New Roman"/>
          <w:rtl/>
        </w:rPr>
        <w:t xml:space="preserve"> ₪</w:t>
      </w:r>
      <w:r w:rsidR="00FC3062" w:rsidRPr="004B0E72">
        <w:rPr>
          <w:rFonts w:ascii="Times New Roman" w:hAnsi="Times New Roman" w:hint="cs"/>
          <w:rtl/>
        </w:rPr>
        <w:t xml:space="preserve"> </w:t>
      </w:r>
      <w:r w:rsidR="00FC3062" w:rsidRPr="004B0E72">
        <w:rPr>
          <w:rFonts w:ascii="Times New Roman" w:hAnsi="Times New Roman"/>
          <w:rtl/>
        </w:rPr>
        <w:t>–</w:t>
      </w:r>
      <w:r w:rsidR="0075380D" w:rsidRPr="004B0E72">
        <w:rPr>
          <w:rFonts w:ascii="Times New Roman" w:hAnsi="Times New Roman" w:hint="cs"/>
          <w:rtl/>
        </w:rPr>
        <w:t xml:space="preserve"> </w:t>
      </w:r>
      <w:r w:rsidR="00FC3062" w:rsidRPr="004B0E72">
        <w:rPr>
          <w:rFonts w:ascii="Times New Roman" w:hAnsi="Times New Roman" w:hint="cs"/>
          <w:rtl/>
        </w:rPr>
        <w:t>ס</w:t>
      </w:r>
      <w:r w:rsidR="0075380D" w:rsidRPr="004B0E72">
        <w:rPr>
          <w:rFonts w:ascii="Times New Roman" w:hAnsi="Times New Roman" w:hint="cs"/>
          <w:rtl/>
        </w:rPr>
        <w:t>כום</w:t>
      </w:r>
      <w:r w:rsidR="00590EFD" w:rsidRPr="004B0E72">
        <w:rPr>
          <w:rFonts w:ascii="Times New Roman" w:hAnsi="Times New Roman" w:hint="cs"/>
          <w:rtl/>
        </w:rPr>
        <w:t xml:space="preserve"> </w:t>
      </w:r>
      <w:r w:rsidRPr="004B0E72">
        <w:rPr>
          <w:rFonts w:ascii="Times New Roman" w:hAnsi="Times New Roman"/>
          <w:rtl/>
        </w:rPr>
        <w:t>השוו</w:t>
      </w:r>
      <w:r w:rsidR="0075380D" w:rsidRPr="004B0E72">
        <w:rPr>
          <w:rFonts w:ascii="Times New Roman" w:hAnsi="Times New Roman" w:hint="cs"/>
          <w:rtl/>
        </w:rPr>
        <w:t>ה</w:t>
      </w:r>
      <w:r w:rsidRPr="004B0E72">
        <w:rPr>
          <w:rFonts w:ascii="Times New Roman" w:hAnsi="Times New Roman"/>
          <w:rtl/>
        </w:rPr>
        <w:t xml:space="preserve"> לדמי ההרשאה השנתיים המינימליים </w:t>
      </w:r>
      <w:r w:rsidR="0075380D" w:rsidRPr="004B0E72">
        <w:rPr>
          <w:rFonts w:ascii="Times New Roman" w:hAnsi="Times New Roman" w:hint="cs"/>
          <w:rtl/>
        </w:rPr>
        <w:t xml:space="preserve">(התמורה המינימלית) </w:t>
      </w:r>
      <w:r w:rsidRPr="004B0E72">
        <w:rPr>
          <w:rFonts w:ascii="Times New Roman" w:hAnsi="Times New Roman" w:hint="cs"/>
          <w:rtl/>
        </w:rPr>
        <w:t xml:space="preserve">אשר </w:t>
      </w:r>
      <w:r w:rsidRPr="004B0E72">
        <w:rPr>
          <w:rFonts w:ascii="Times New Roman" w:hAnsi="Times New Roman"/>
          <w:rtl/>
        </w:rPr>
        <w:t>על-פי הסכם המיזוג</w:t>
      </w:r>
      <w:r w:rsidRPr="004B0E72">
        <w:rPr>
          <w:rFonts w:ascii="Times New Roman" w:hAnsi="Times New Roman" w:hint="cs"/>
          <w:rtl/>
        </w:rPr>
        <w:t xml:space="preserve"> ישולמו למכלול תמורת ניהול החנויות</w:t>
      </w:r>
      <w:r w:rsidR="00FC3062" w:rsidRPr="004B0E72">
        <w:rPr>
          <w:rFonts w:ascii="Times New Roman" w:hAnsi="Times New Roman" w:hint="cs"/>
          <w:rtl/>
        </w:rPr>
        <w:t>.</w:t>
      </w:r>
      <w:r w:rsidR="00FC3062" w:rsidRPr="004B0E72">
        <w:rPr>
          <w:rFonts w:ascii="Times New Roman" w:hAnsi="Times New Roman"/>
          <w:rtl/>
        </w:rPr>
        <w:t xml:space="preserve"> </w:t>
      </w:r>
    </w:p>
    <w:p w14:paraId="1F0E421D" w14:textId="7130E73A" w:rsidR="0079637E" w:rsidRPr="004B0E72" w:rsidRDefault="005849AD" w:rsidP="0010687B">
      <w:pPr>
        <w:pStyle w:val="ListParagraph"/>
        <w:numPr>
          <w:ilvl w:val="0"/>
          <w:numId w:val="27"/>
        </w:numPr>
        <w:spacing w:line="360" w:lineRule="auto"/>
        <w:jc w:val="both"/>
        <w:rPr>
          <w:rFonts w:ascii="Times New Roman" w:hAnsi="Times New Roman"/>
        </w:rPr>
      </w:pPr>
      <w:r w:rsidRPr="004B0E72">
        <w:rPr>
          <w:rFonts w:ascii="Times New Roman" w:hAnsi="Times New Roman"/>
          <w:rtl/>
        </w:rPr>
        <w:t xml:space="preserve">בנוסף, במהלך התקופה שבין חתימת ההסכם לבין קבלת אישור הממונה למיזוג הגיעו הצדדים להבנות בקשר עם המשך הפעלת החנויות עד להחלטת הממונה במיזוג, במסגרתן ברמן לקחה על עצמה את </w:t>
      </w:r>
      <w:r w:rsidRPr="004B0E72">
        <w:rPr>
          <w:rFonts w:ascii="Times New Roman" w:hAnsi="Times New Roman" w:hint="cs"/>
          <w:rtl/>
        </w:rPr>
        <w:t xml:space="preserve">רכישת </w:t>
      </w:r>
      <w:r w:rsidR="00B37FE1" w:rsidRPr="004B0E72">
        <w:rPr>
          <w:rFonts w:ascii="Times New Roman" w:hAnsi="Times New Roman" w:hint="cs"/>
          <w:rtl/>
        </w:rPr>
        <w:t>ה</w:t>
      </w:r>
      <w:r w:rsidRPr="004B0E72">
        <w:rPr>
          <w:rFonts w:ascii="Times New Roman" w:hAnsi="Times New Roman" w:hint="cs"/>
          <w:rtl/>
        </w:rPr>
        <w:t xml:space="preserve">סחורה עבור </w:t>
      </w:r>
      <w:r w:rsidRPr="004B0E72">
        <w:rPr>
          <w:rFonts w:ascii="Times New Roman" w:hAnsi="Times New Roman"/>
          <w:rtl/>
        </w:rPr>
        <w:t>החנו</w:t>
      </w:r>
      <w:r w:rsidRPr="004B0E72">
        <w:rPr>
          <w:rFonts w:ascii="Times New Roman" w:hAnsi="Times New Roman" w:hint="cs"/>
          <w:rtl/>
        </w:rPr>
        <w:t>יו</w:t>
      </w:r>
      <w:r w:rsidRPr="004B0E72">
        <w:rPr>
          <w:rFonts w:ascii="Times New Roman" w:hAnsi="Times New Roman"/>
          <w:rtl/>
        </w:rPr>
        <w:t xml:space="preserve">ת </w:t>
      </w:r>
      <w:r w:rsidR="0010687B" w:rsidRPr="004B0E72">
        <w:rPr>
          <w:rFonts w:ascii="Times New Roman" w:hAnsi="Times New Roman" w:hint="cs"/>
          <w:rtl/>
        </w:rPr>
        <w:t xml:space="preserve">והתשלום בעדה </w:t>
      </w:r>
      <w:r w:rsidRPr="004B0E72">
        <w:rPr>
          <w:rFonts w:ascii="Times New Roman" w:hAnsi="Times New Roman"/>
          <w:rtl/>
        </w:rPr>
        <w:t>(להלן: "</w:t>
      </w:r>
      <w:r w:rsidRPr="004B0E72">
        <w:rPr>
          <w:rFonts w:ascii="Times New Roman" w:hAnsi="Times New Roman"/>
          <w:b/>
          <w:bCs/>
          <w:rtl/>
        </w:rPr>
        <w:t>מתווה ההבנות</w:t>
      </w:r>
      <w:r w:rsidRPr="004B0E72">
        <w:rPr>
          <w:rFonts w:ascii="Times New Roman" w:hAnsi="Times New Roman"/>
          <w:rtl/>
        </w:rPr>
        <w:t>")</w:t>
      </w:r>
      <w:r w:rsidRPr="004B0E72">
        <w:rPr>
          <w:rFonts w:ascii="Times New Roman" w:hAnsi="Times New Roman" w:hint="cs"/>
          <w:rtl/>
        </w:rPr>
        <w:t xml:space="preserve">. </w:t>
      </w:r>
      <w:r w:rsidRPr="004B0E72">
        <w:rPr>
          <w:rFonts w:ascii="Times New Roman" w:hAnsi="Times New Roman"/>
          <w:rtl/>
        </w:rPr>
        <w:t xml:space="preserve">במקביל, והחל מיום 1.11.14, כלל פדיון החנויות הועבר לידי ברמן. </w:t>
      </w:r>
    </w:p>
    <w:p w14:paraId="06AB15DF" w14:textId="29C23722" w:rsidR="00F6012E" w:rsidRPr="004B0E72" w:rsidRDefault="00F6012E" w:rsidP="0049220E">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מעשים אלה</w:t>
      </w:r>
      <w:r w:rsidR="00E637C3" w:rsidRPr="004B0E72">
        <w:rPr>
          <w:rFonts w:ascii="Times New Roman" w:hAnsi="Times New Roman" w:hint="cs"/>
          <w:rtl/>
        </w:rPr>
        <w:t xml:space="preserve">, שנעשו טרם אישור הממונה, </w:t>
      </w:r>
      <w:r w:rsidR="00570410" w:rsidRPr="004B0E72">
        <w:rPr>
          <w:rFonts w:ascii="Times New Roman" w:hAnsi="Times New Roman" w:hint="cs"/>
          <w:rtl/>
        </w:rPr>
        <w:t>יוצרים</w:t>
      </w:r>
      <w:r w:rsidRPr="004B0E72">
        <w:rPr>
          <w:rFonts w:ascii="Times New Roman" w:hAnsi="Times New Roman" w:hint="cs"/>
          <w:rtl/>
        </w:rPr>
        <w:t xml:space="preserve"> </w:t>
      </w:r>
      <w:r w:rsidR="00125C70" w:rsidRPr="004B0E72">
        <w:rPr>
          <w:rFonts w:ascii="Times New Roman" w:hAnsi="Times New Roman" w:hint="cs"/>
          <w:rtl/>
        </w:rPr>
        <w:t>זיקה</w:t>
      </w:r>
      <w:r w:rsidR="00FB08F5" w:rsidRPr="004B0E72">
        <w:rPr>
          <w:rFonts w:ascii="Times New Roman" w:hAnsi="Times New Roman" w:hint="cs"/>
          <w:rtl/>
        </w:rPr>
        <w:t xml:space="preserve"> </w:t>
      </w:r>
      <w:r w:rsidRPr="004B0E72">
        <w:rPr>
          <w:rFonts w:ascii="Times New Roman" w:hAnsi="Times New Roman" w:hint="cs"/>
          <w:rtl/>
        </w:rPr>
        <w:t>בין מנגנוני קבלת ההחלטות ו</w:t>
      </w:r>
      <w:r w:rsidR="00125C70" w:rsidRPr="004B0E72">
        <w:rPr>
          <w:rFonts w:ascii="Times New Roman" w:hAnsi="Times New Roman" w:hint="cs"/>
          <w:rtl/>
        </w:rPr>
        <w:t xml:space="preserve">מקרבים בין </w:t>
      </w:r>
      <w:r w:rsidRPr="004B0E72">
        <w:rPr>
          <w:rFonts w:ascii="Times New Roman" w:hAnsi="Times New Roman" w:hint="cs"/>
          <w:rtl/>
        </w:rPr>
        <w:t xml:space="preserve">התמריצים של הצדדים, </w:t>
      </w:r>
      <w:r w:rsidR="00FC3062" w:rsidRPr="004B0E72">
        <w:rPr>
          <w:rFonts w:ascii="Times New Roman" w:hAnsi="Times New Roman" w:hint="cs"/>
          <w:rtl/>
        </w:rPr>
        <w:t>וי</w:t>
      </w:r>
      <w:r w:rsidRPr="004B0E72">
        <w:rPr>
          <w:rFonts w:ascii="Times New Roman" w:hAnsi="Times New Roman" w:hint="cs"/>
          <w:rtl/>
        </w:rPr>
        <w:t>ש ב</w:t>
      </w:r>
      <w:r w:rsidR="00125C70" w:rsidRPr="004B0E72">
        <w:rPr>
          <w:rFonts w:ascii="Times New Roman" w:hAnsi="Times New Roman" w:hint="cs"/>
          <w:rtl/>
        </w:rPr>
        <w:t xml:space="preserve">מעשים אלה </w:t>
      </w:r>
      <w:r w:rsidR="00E637C3" w:rsidRPr="004B0E72">
        <w:rPr>
          <w:rFonts w:ascii="Times New Roman" w:hAnsi="Times New Roman" w:hint="cs"/>
          <w:rtl/>
        </w:rPr>
        <w:t xml:space="preserve">משום מיזוג </w:t>
      </w:r>
      <w:r w:rsidRPr="004B0E72">
        <w:rPr>
          <w:rFonts w:ascii="Times New Roman" w:hAnsi="Times New Roman" w:hint="cs"/>
          <w:rtl/>
        </w:rPr>
        <w:t>חברות</w:t>
      </w:r>
      <w:r w:rsidR="00FC3062" w:rsidRPr="004B0E72">
        <w:rPr>
          <w:rFonts w:ascii="Times New Roman" w:hAnsi="Times New Roman" w:hint="cs"/>
          <w:rtl/>
        </w:rPr>
        <w:t xml:space="preserve"> </w:t>
      </w:r>
      <w:r w:rsidRPr="004B0E72">
        <w:rPr>
          <w:rFonts w:ascii="Times New Roman" w:hAnsi="Times New Roman" w:hint="cs"/>
          <w:rtl/>
        </w:rPr>
        <w:t xml:space="preserve">כפי שנסביר עתה. </w:t>
      </w:r>
    </w:p>
    <w:p w14:paraId="1B06BE32" w14:textId="4AE0A91C" w:rsidR="0090187A" w:rsidRPr="004B0E72" w:rsidRDefault="00702992" w:rsidP="00F6012E">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lastRenderedPageBreak/>
        <w:t xml:space="preserve">לעניין ההלוואה, </w:t>
      </w:r>
      <w:r w:rsidR="0090187A" w:rsidRPr="004B0E72">
        <w:rPr>
          <w:rFonts w:ascii="Times New Roman" w:hAnsi="Times New Roman"/>
          <w:rtl/>
        </w:rPr>
        <w:t>אין עוררין על כך שההלוואה ניתנה בזיקה לעסקת המיזוג</w:t>
      </w:r>
      <w:r w:rsidR="0090187A" w:rsidRPr="004B0E72">
        <w:rPr>
          <w:rFonts w:ascii="Times New Roman" w:hAnsi="Times New Roman" w:hint="cs"/>
          <w:rtl/>
        </w:rPr>
        <w:t>, והדברים עולים באופן ברור מנוסח ההסכמות שאליהן הגיעו הצדדים. בין היתר,</w:t>
      </w:r>
      <w:r w:rsidR="0090187A" w:rsidRPr="004B0E72">
        <w:rPr>
          <w:rFonts w:ascii="Times New Roman" w:hAnsi="Times New Roman"/>
          <w:rtl/>
        </w:rPr>
        <w:t xml:space="preserve"> </w:t>
      </w:r>
      <w:r w:rsidR="0090187A" w:rsidRPr="004B0E72">
        <w:rPr>
          <w:rFonts w:ascii="Times New Roman" w:hAnsi="Times New Roman" w:hint="cs"/>
          <w:rtl/>
        </w:rPr>
        <w:t xml:space="preserve">אין זה </w:t>
      </w:r>
      <w:r w:rsidR="0090187A" w:rsidRPr="004B0E72">
        <w:rPr>
          <w:rFonts w:ascii="Times New Roman" w:hAnsi="Times New Roman"/>
          <w:rtl/>
        </w:rPr>
        <w:t>צירוף מקרים</w:t>
      </w:r>
      <w:r w:rsidR="0090187A" w:rsidRPr="004B0E72">
        <w:rPr>
          <w:rFonts w:ascii="Times New Roman" w:hAnsi="Times New Roman" w:hint="cs"/>
          <w:rtl/>
        </w:rPr>
        <w:t xml:space="preserve"> </w:t>
      </w:r>
      <w:r w:rsidR="0090187A" w:rsidRPr="004B0E72">
        <w:rPr>
          <w:rFonts w:ascii="Times New Roman" w:hAnsi="Times New Roman"/>
          <w:rtl/>
        </w:rPr>
        <w:t>שסכום ההלוואה שווה</w:t>
      </w:r>
      <w:r w:rsidR="0090187A" w:rsidRPr="004B0E72">
        <w:rPr>
          <w:rFonts w:ascii="Times New Roman" w:hAnsi="Times New Roman" w:hint="cs"/>
          <w:rtl/>
        </w:rPr>
        <w:t xml:space="preserve"> </w:t>
      </w:r>
      <w:r w:rsidR="0090187A" w:rsidRPr="004B0E72">
        <w:rPr>
          <w:rFonts w:ascii="Times New Roman" w:hAnsi="Times New Roman"/>
          <w:rtl/>
        </w:rPr>
        <w:t>בדיוק לדמי ההרשאה השנתיים המינימליים על-פי הסכם המיזוג</w:t>
      </w:r>
      <w:r w:rsidR="0090187A" w:rsidRPr="004B0E72">
        <w:rPr>
          <w:rFonts w:ascii="Times New Roman" w:hAnsi="Times New Roman" w:hint="cs"/>
          <w:rtl/>
        </w:rPr>
        <w:t xml:space="preserve">, ושסכומים אלה צפויים היו להתקזז זה מזה, עם אישור המיזוג. הלכה למעשה, כך הועבר התשלום הראשון בגין עסקת המיזוג למכלול בעקיפין. </w:t>
      </w:r>
    </w:p>
    <w:p w14:paraId="6086DD52" w14:textId="0D65D4B8" w:rsidR="005849AD" w:rsidRPr="004B0E72" w:rsidRDefault="0049220E" w:rsidP="00F6012E">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 xml:space="preserve">כמו כן, </w:t>
      </w:r>
      <w:r w:rsidR="005849AD" w:rsidRPr="004B0E72">
        <w:rPr>
          <w:rFonts w:ascii="Times New Roman" w:hAnsi="Times New Roman"/>
          <w:rtl/>
        </w:rPr>
        <w:t>בשים לב להיקף הכספים שהוזרמו</w:t>
      </w:r>
      <w:r w:rsidR="0079637E" w:rsidRPr="004B0E72">
        <w:rPr>
          <w:rFonts w:ascii="Times New Roman" w:hAnsi="Times New Roman" w:hint="cs"/>
          <w:rtl/>
        </w:rPr>
        <w:t xml:space="preserve"> מברמן למכלול</w:t>
      </w:r>
      <w:r w:rsidR="005849AD" w:rsidRPr="004B0E72">
        <w:rPr>
          <w:rFonts w:ascii="Times New Roman" w:hAnsi="Times New Roman"/>
          <w:rtl/>
        </w:rPr>
        <w:t xml:space="preserve"> (בין במסגרת ההלוואה ובין במסגרת רכישת סחורה</w:t>
      </w:r>
      <w:r w:rsidR="005849AD" w:rsidRPr="004B0E72">
        <w:rPr>
          <w:rFonts w:ascii="Times New Roman" w:hAnsi="Times New Roman" w:hint="cs"/>
          <w:rtl/>
        </w:rPr>
        <w:t xml:space="preserve"> על ידי ברמן בעבור חנויות מכלול</w:t>
      </w:r>
      <w:r w:rsidR="005849AD" w:rsidRPr="004B0E72">
        <w:rPr>
          <w:rFonts w:ascii="Times New Roman" w:hAnsi="Times New Roman"/>
          <w:rtl/>
        </w:rPr>
        <w:t>), חלק משמעותי מהסיכון הכרוך בניהול חנויות</w:t>
      </w:r>
      <w:r w:rsidR="005849AD" w:rsidRPr="004B0E72">
        <w:rPr>
          <w:rFonts w:ascii="Times New Roman" w:hAnsi="Times New Roman" w:hint="cs"/>
          <w:rtl/>
        </w:rPr>
        <w:t xml:space="preserve"> מכלול</w:t>
      </w:r>
      <w:r w:rsidR="005849AD" w:rsidRPr="004B0E72">
        <w:rPr>
          <w:rFonts w:ascii="Times New Roman" w:hAnsi="Times New Roman"/>
          <w:rtl/>
        </w:rPr>
        <w:t xml:space="preserve"> הועבר לברמן, באופן שהיה עשוי להשפיע על תמריציה והתנהלותה העסקית של ברמן. </w:t>
      </w:r>
    </w:p>
    <w:p w14:paraId="30E56AFB" w14:textId="5A4EE0AD"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ית</w:t>
      </w:r>
      <w:r w:rsidR="00862B01" w:rsidRPr="004B0E72">
        <w:rPr>
          <w:rFonts w:ascii="Times New Roman" w:hAnsi="Times New Roman" w:hint="cs"/>
          <w:rtl/>
        </w:rPr>
        <w:t>י</w:t>
      </w:r>
      <w:r w:rsidRPr="004B0E72">
        <w:rPr>
          <w:rFonts w:ascii="Times New Roman" w:hAnsi="Times New Roman" w:hint="cs"/>
          <w:rtl/>
        </w:rPr>
        <w:t xml:space="preserve">רה מכך, </w:t>
      </w:r>
      <w:r w:rsidRPr="004B0E72">
        <w:rPr>
          <w:rFonts w:ascii="Times New Roman" w:hAnsi="Times New Roman"/>
          <w:rtl/>
        </w:rPr>
        <w:t>דו</w:t>
      </w:r>
      <w:r w:rsidR="0079637E" w:rsidRPr="004B0E72">
        <w:rPr>
          <w:rFonts w:ascii="Times New Roman" w:hAnsi="Times New Roman" w:hint="cs"/>
          <w:rtl/>
        </w:rPr>
        <w:t>ו</w:t>
      </w:r>
      <w:r w:rsidRPr="004B0E72">
        <w:rPr>
          <w:rFonts w:ascii="Times New Roman" w:hAnsi="Times New Roman"/>
          <w:rtl/>
        </w:rPr>
        <w:t>קא נוכח החיוניות שהייתה בהזרמה זו להמשך פעילותה של מכלול – כך לדבריה – היה בהזרמה זו כדי להגדיל את התלות של מכלול בברמן, ובכך להקנות לברמן יכולת השפעה על פעילותה של מכלול.</w:t>
      </w:r>
      <w:r w:rsidRPr="004B0E72">
        <w:rPr>
          <w:rFonts w:ascii="Times New Roman" w:hAnsi="Times New Roman"/>
          <w:vertAlign w:val="superscript"/>
          <w:rtl/>
        </w:rPr>
        <w:footnoteReference w:id="6"/>
      </w:r>
      <w:r w:rsidRPr="004B0E72">
        <w:rPr>
          <w:rFonts w:ascii="Times New Roman" w:hAnsi="Times New Roman"/>
          <w:rtl/>
        </w:rPr>
        <w:t xml:space="preserve"> </w:t>
      </w:r>
    </w:p>
    <w:p w14:paraId="6C45F101" w14:textId="77777777"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ascii="Times New Roman" w:hAnsi="Times New Roman"/>
          <w:rtl/>
        </w:rPr>
        <w:t xml:space="preserve">מנימוקים אלו ממש, </w:t>
      </w:r>
      <w:r w:rsidRPr="004B0E72">
        <w:rPr>
          <w:rFonts w:ascii="Times New Roman" w:hAnsi="Times New Roman" w:hint="cs"/>
          <w:rtl/>
        </w:rPr>
        <w:t>התייחס הממונה ב</w:t>
      </w:r>
      <w:r w:rsidRPr="004B0E72">
        <w:rPr>
          <w:rFonts w:ascii="Times New Roman" w:hAnsi="Times New Roman"/>
          <w:rtl/>
        </w:rPr>
        <w:t>הנחיות הדיווח במפורש למצב בו כספים מוזרמים על-ידי הרוכש לקופת החברה עמה הוא מבקש להתמזג:</w:t>
      </w:r>
    </w:p>
    <w:p w14:paraId="523B9AB0" w14:textId="77777777" w:rsidR="005849AD" w:rsidRPr="004B0E72" w:rsidRDefault="005849AD" w:rsidP="005849AD">
      <w:pPr>
        <w:pStyle w:val="Quote"/>
        <w:rPr>
          <w:rFonts w:ascii="Times New Roman" w:hAnsi="Times New Roman"/>
          <w:color w:val="auto"/>
          <w:rtl/>
        </w:rPr>
      </w:pPr>
      <w:r w:rsidRPr="004B0E72">
        <w:rPr>
          <w:rFonts w:ascii="Times New Roman" w:hAnsi="Times New Roman"/>
          <w:color w:val="auto"/>
          <w:rtl/>
        </w:rPr>
        <w:t xml:space="preserve">"הזרמת הכספים כרוכה, על פי רוב, בפיקוח הגורם המממן על השימוש בכספים המוזרמים. פעולות אלו חייבות באישור מוקדם של </w:t>
      </w:r>
      <w:r w:rsidRPr="004B0E72">
        <w:rPr>
          <w:rFonts w:ascii="Times New Roman" w:hAnsi="Times New Roman"/>
          <w:color w:val="auto"/>
          <w:rtl/>
        </w:rPr>
        <w:lastRenderedPageBreak/>
        <w:t>הממונה, הואיל והזרמת הכספים (על הזכויות הנלוות לה) עשויה להשפיע על התנהגותו התחרותית של העסק בפירוק, כמו גם על התנהגות הגורם המממן." (הנחיות הדיווח</w:t>
      </w:r>
      <w:r w:rsidRPr="004B0E72">
        <w:rPr>
          <w:rFonts w:ascii="Times New Roman" w:hAnsi="Times New Roman" w:hint="cs"/>
          <w:color w:val="auto"/>
          <w:rtl/>
        </w:rPr>
        <w:t xml:space="preserve">, </w:t>
      </w:r>
      <w:r w:rsidRPr="004B0E72">
        <w:rPr>
          <w:rFonts w:ascii="Times New Roman" w:hAnsi="Times New Roman"/>
          <w:color w:val="auto"/>
          <w:rtl/>
        </w:rPr>
        <w:t xml:space="preserve">עמ' </w:t>
      </w:r>
      <w:r w:rsidRPr="004B0E72">
        <w:rPr>
          <w:rFonts w:ascii="Times New Roman" w:hAnsi="Times New Roman" w:hint="cs"/>
          <w:color w:val="auto"/>
          <w:rtl/>
        </w:rPr>
        <w:t>10-9)</w:t>
      </w:r>
    </w:p>
    <w:p w14:paraId="53AA3E5C" w14:textId="18E56FEF"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ascii="Times New Roman" w:hAnsi="Times New Roman"/>
          <w:rtl/>
        </w:rPr>
        <w:t>הנחיות הדיווח אף מציינות כי במצבים בהם עיכוב בהזרמת הכספים מקים חשש מוצק וממשי לסיכול הליכי המכירה של החברה, ניתן לבוא בדברים עם הרשות לשם מציאת פתרון משפטי מתאים.</w:t>
      </w:r>
      <w:r w:rsidRPr="004B0E72">
        <w:rPr>
          <w:rStyle w:val="FootnoteReference"/>
          <w:rFonts w:ascii="Times New Roman" w:hAnsi="Times New Roman"/>
          <w:rtl/>
        </w:rPr>
        <w:footnoteReference w:id="7"/>
      </w:r>
      <w:r w:rsidRPr="004B0E72">
        <w:rPr>
          <w:rFonts w:ascii="Times New Roman" w:hAnsi="Times New Roman"/>
          <w:rtl/>
        </w:rPr>
        <w:t xml:space="preserve"> במסגרת זו תשקול הרשות את הצורך בהזרמת הכספים לאור החששות התחרותיים העולים מהמיזוג ו</w:t>
      </w:r>
      <w:r w:rsidR="001A322E" w:rsidRPr="004B0E72">
        <w:rPr>
          <w:rFonts w:ascii="Times New Roman" w:hAnsi="Times New Roman" w:hint="cs"/>
          <w:rtl/>
        </w:rPr>
        <w:t xml:space="preserve">תבחן את </w:t>
      </w:r>
      <w:r w:rsidRPr="004B0E72">
        <w:rPr>
          <w:rFonts w:ascii="Times New Roman" w:hAnsi="Times New Roman"/>
          <w:rtl/>
        </w:rPr>
        <w:t>המתווה הראוי לשם כך.</w:t>
      </w:r>
      <w:r w:rsidRPr="004B0E72">
        <w:rPr>
          <w:rFonts w:ascii="Times New Roman" w:hAnsi="Times New Roman"/>
          <w:vertAlign w:val="superscript"/>
          <w:rtl/>
        </w:rPr>
        <w:t xml:space="preserve"> </w:t>
      </w:r>
      <w:r w:rsidRPr="004B0E72">
        <w:rPr>
          <w:rFonts w:ascii="Times New Roman" w:hAnsi="Times New Roman"/>
          <w:rtl/>
        </w:rPr>
        <w:t>כאמור, הצדדים לא פעלו כך</w:t>
      </w:r>
      <w:r w:rsidRPr="004B0E72">
        <w:rPr>
          <w:rFonts w:ascii="Times New Roman" w:hAnsi="Times New Roman" w:hint="cs"/>
          <w:rtl/>
        </w:rPr>
        <w:t>.</w:t>
      </w:r>
    </w:p>
    <w:p w14:paraId="452722E4" w14:textId="4946C0CA" w:rsidR="005849AD" w:rsidRPr="004B0E72" w:rsidRDefault="005849AD" w:rsidP="00C54714">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 xml:space="preserve">עוד יצויין כי </w:t>
      </w:r>
      <w:r w:rsidRPr="004B0E72">
        <w:rPr>
          <w:rFonts w:hint="cs"/>
          <w:rtl/>
        </w:rPr>
        <w:t>ה</w:t>
      </w:r>
      <w:r w:rsidRPr="004B0E72" w:rsidDel="00286F5B">
        <w:rPr>
          <w:rFonts w:hint="cs"/>
          <w:rtl/>
        </w:rPr>
        <w:t xml:space="preserve">עובדה </w:t>
      </w:r>
      <w:r w:rsidRPr="004B0E72">
        <w:rPr>
          <w:rFonts w:hint="cs"/>
          <w:rtl/>
        </w:rPr>
        <w:t>שעוד בטרם</w:t>
      </w:r>
      <w:r w:rsidRPr="004B0E72" w:rsidDel="00286F5B">
        <w:rPr>
          <w:rFonts w:hint="cs"/>
          <w:rtl/>
        </w:rPr>
        <w:t xml:space="preserve"> מתן ההלוואה </w:t>
      </w:r>
      <w:r w:rsidRPr="004B0E72">
        <w:rPr>
          <w:rFonts w:hint="cs"/>
          <w:rtl/>
        </w:rPr>
        <w:t xml:space="preserve">הייתה </w:t>
      </w:r>
      <w:r w:rsidRPr="004B0E72" w:rsidDel="00286F5B">
        <w:rPr>
          <w:rFonts w:hint="cs"/>
          <w:rtl/>
        </w:rPr>
        <w:t>ברמן נושה משמעותי של מכלול (בסך של כ-</w:t>
      </w:r>
      <w:r w:rsidR="00C54714" w:rsidRPr="00C54714">
        <w:rPr>
          <w:rFonts w:asciiTheme="majorBidi" w:hAnsiTheme="majorBidi" w:cstheme="majorBidi"/>
        </w:rPr>
        <w:t>XXX</w:t>
      </w:r>
      <w:r w:rsidRPr="004B0E72" w:rsidDel="00286F5B">
        <w:rPr>
          <w:rFonts w:hint="cs"/>
          <w:rtl/>
        </w:rPr>
        <w:t xml:space="preserve"> ₪) </w:t>
      </w:r>
      <w:r w:rsidRPr="004B0E72">
        <w:rPr>
          <w:rFonts w:hint="cs"/>
          <w:rtl/>
        </w:rPr>
        <w:t>אינה ממעיטה מחשיבות</w:t>
      </w:r>
      <w:r w:rsidRPr="004B0E72" w:rsidDel="00286F5B">
        <w:rPr>
          <w:rFonts w:hint="cs"/>
          <w:rtl/>
        </w:rPr>
        <w:t xml:space="preserve"> השפעתה של הזרמת הכספים על תמריצי הצדדים. אין חולק על כך שיחסי נשייה עשויים ליצור תלות מסוימת של החייב בנושה,</w:t>
      </w:r>
      <w:r w:rsidR="00FC3062" w:rsidRPr="004B0E72">
        <w:rPr>
          <w:rStyle w:val="FootnoteReference"/>
          <w:rtl/>
        </w:rPr>
        <w:footnoteReference w:id="8"/>
      </w:r>
      <w:r w:rsidR="00BC0C90" w:rsidRPr="004B0E72">
        <w:rPr>
          <w:rFonts w:hint="cs"/>
          <w:rtl/>
        </w:rPr>
        <w:t xml:space="preserve"> </w:t>
      </w:r>
      <w:r w:rsidRPr="004B0E72" w:rsidDel="00286F5B">
        <w:rPr>
          <w:rFonts w:hint="cs"/>
          <w:rtl/>
        </w:rPr>
        <w:t>במיוחד במקרה של חברה בקשיים</w:t>
      </w:r>
      <w:r w:rsidRPr="004B0E72">
        <w:rPr>
          <w:rFonts w:hint="cs"/>
          <w:rtl/>
        </w:rPr>
        <w:t>,</w:t>
      </w:r>
      <w:r w:rsidRPr="004B0E72" w:rsidDel="00286F5B">
        <w:rPr>
          <w:rFonts w:hint="cs"/>
          <w:rtl/>
        </w:rPr>
        <w:t xml:space="preserve"> אך תלות זו רחוקה מלהיות מוחלטת. יתירה מכך, למכלול הי</w:t>
      </w:r>
      <w:r w:rsidR="00B97098" w:rsidRPr="004B0E72">
        <w:rPr>
          <w:rFonts w:hint="cs"/>
          <w:rtl/>
        </w:rPr>
        <w:t>ה</w:t>
      </w:r>
      <w:r w:rsidRPr="004B0E72" w:rsidDel="00286F5B">
        <w:rPr>
          <w:rFonts w:hint="cs"/>
          <w:rtl/>
        </w:rPr>
        <w:t xml:space="preserve"> מספר לא מבוטל של נושים, ובכללם מתחרים של ברמן. </w:t>
      </w:r>
      <w:r w:rsidR="00B97098" w:rsidRPr="004B0E72">
        <w:rPr>
          <w:rFonts w:hint="cs"/>
          <w:rtl/>
        </w:rPr>
        <w:t>ב</w:t>
      </w:r>
      <w:r w:rsidRPr="004B0E72" w:rsidDel="00286F5B">
        <w:rPr>
          <w:rFonts w:hint="cs"/>
          <w:rtl/>
        </w:rPr>
        <w:t xml:space="preserve">הגדלת החוב של ברמן למכלול, באמצעות הסכם ההלוואה, היה </w:t>
      </w:r>
      <w:r w:rsidRPr="004B0E72">
        <w:rPr>
          <w:rFonts w:hint="cs"/>
          <w:rtl/>
        </w:rPr>
        <w:t xml:space="preserve">הן </w:t>
      </w:r>
      <w:r w:rsidRPr="004B0E72" w:rsidDel="00286F5B">
        <w:rPr>
          <w:rFonts w:hint="cs"/>
          <w:rtl/>
        </w:rPr>
        <w:t>כדי להגביר את האינטרס הכלכלי של ברמן במכלול ולהגביר את הזיקה ביניהן; והן כדי להגדיל את התלות של מכלול דווקא בברמן, בהשוואה לנושיה האחרים</w:t>
      </w:r>
      <w:r w:rsidRPr="004B0E72" w:rsidDel="00286F5B">
        <w:rPr>
          <w:rFonts w:ascii="Times New Roman" w:hAnsi="Times New Roman" w:hint="cs"/>
          <w:rtl/>
        </w:rPr>
        <w:t>.</w:t>
      </w:r>
    </w:p>
    <w:p w14:paraId="440B3BA7" w14:textId="19FE254D" w:rsidR="00B86231" w:rsidRPr="004B0E72" w:rsidRDefault="005849AD" w:rsidP="00A66DE6">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lastRenderedPageBreak/>
        <w:t>בנוסף לפעולות המתוארות לעיל</w:t>
      </w:r>
      <w:r w:rsidRPr="004B0E72">
        <w:rPr>
          <w:rFonts w:ascii="Times New Roman" w:hAnsi="Times New Roman"/>
          <w:rtl/>
        </w:rPr>
        <w:t>,</w:t>
      </w:r>
      <w:r w:rsidR="003F0D10" w:rsidRPr="004B0E72">
        <w:rPr>
          <w:rFonts w:ascii="Times New Roman" w:hAnsi="Times New Roman" w:hint="cs"/>
          <w:rtl/>
        </w:rPr>
        <w:t xml:space="preserve"> החל מנובמבר 2014</w:t>
      </w:r>
      <w:r w:rsidRPr="004B0E72">
        <w:rPr>
          <w:rFonts w:ascii="Times New Roman" w:hAnsi="Times New Roman"/>
          <w:rtl/>
        </w:rPr>
        <w:t xml:space="preserve"> ברמן התקשרה עם הספקים של מכלול ו</w:t>
      </w:r>
      <w:r w:rsidRPr="004B0E72">
        <w:rPr>
          <w:rFonts w:ascii="Times New Roman" w:hAnsi="Times New Roman" w:hint="cs"/>
          <w:rtl/>
        </w:rPr>
        <w:t>רכשה את הסחורה עבור החנויות</w:t>
      </w:r>
      <w:r w:rsidRPr="004B0E72">
        <w:rPr>
          <w:rFonts w:ascii="Times New Roman" w:hAnsi="Times New Roman"/>
          <w:rtl/>
        </w:rPr>
        <w:t>. בכך הוקנתה לברמן דריסת רגל של ממש ב</w:t>
      </w:r>
      <w:r w:rsidRPr="004B0E72">
        <w:rPr>
          <w:rFonts w:ascii="Times New Roman" w:hAnsi="Times New Roman" w:hint="cs"/>
          <w:rtl/>
        </w:rPr>
        <w:t>ניהול ה</w:t>
      </w:r>
      <w:r w:rsidRPr="004B0E72">
        <w:rPr>
          <w:rFonts w:ascii="Times New Roman" w:hAnsi="Times New Roman"/>
          <w:rtl/>
        </w:rPr>
        <w:t>חנויות,</w:t>
      </w:r>
      <w:r w:rsidR="00BC0C90" w:rsidRPr="004B0E72">
        <w:rPr>
          <w:rFonts w:ascii="Times New Roman" w:hAnsi="Times New Roman" w:hint="cs"/>
          <w:rtl/>
        </w:rPr>
        <w:t xml:space="preserve"> </w:t>
      </w:r>
      <w:r w:rsidRPr="004B0E72">
        <w:rPr>
          <w:rFonts w:ascii="Times New Roman" w:hAnsi="Times New Roman"/>
          <w:rtl/>
        </w:rPr>
        <w:t>אשר העניקה לה</w:t>
      </w:r>
      <w:r w:rsidR="00FC3062" w:rsidRPr="004B0E72">
        <w:rPr>
          <w:rFonts w:ascii="Times New Roman" w:hAnsi="Times New Roman" w:hint="cs"/>
          <w:rtl/>
        </w:rPr>
        <w:t>,</w:t>
      </w:r>
      <w:r w:rsidRPr="004B0E72">
        <w:rPr>
          <w:rFonts w:ascii="Times New Roman" w:hAnsi="Times New Roman"/>
          <w:rtl/>
        </w:rPr>
        <w:t xml:space="preserve"> </w:t>
      </w:r>
      <w:r w:rsidR="009B1054" w:rsidRPr="004B0E72">
        <w:rPr>
          <w:rFonts w:ascii="Times New Roman" w:hAnsi="Times New Roman" w:hint="cs"/>
          <w:rtl/>
        </w:rPr>
        <w:t xml:space="preserve">לכל הפחות, </w:t>
      </w:r>
      <w:r w:rsidRPr="004B0E72">
        <w:rPr>
          <w:rFonts w:ascii="Times New Roman" w:hAnsi="Times New Roman"/>
          <w:rtl/>
        </w:rPr>
        <w:t>פוטנציאל שליטה על סוג והיקף המוצרים שנמכרו ב</w:t>
      </w:r>
      <w:r w:rsidRPr="004B0E72">
        <w:rPr>
          <w:rFonts w:ascii="Times New Roman" w:hAnsi="Times New Roman" w:hint="cs"/>
          <w:rtl/>
        </w:rPr>
        <w:t>הן</w:t>
      </w:r>
      <w:r w:rsidRPr="004B0E72">
        <w:rPr>
          <w:rFonts w:ascii="Times New Roman" w:hAnsi="Times New Roman"/>
          <w:rtl/>
        </w:rPr>
        <w:t xml:space="preserve">. יודגש כי אין מדובר בפעולה טכנית בלבד – עצם ביצוע ההזמנות מקנה לרוכש מידע נרחב על הרכישות של הלקוח ואף </w:t>
      </w:r>
      <w:r w:rsidR="009B1054" w:rsidRPr="004B0E72">
        <w:rPr>
          <w:rFonts w:ascii="Times New Roman" w:hAnsi="Times New Roman" w:hint="cs"/>
          <w:rtl/>
        </w:rPr>
        <w:t xml:space="preserve">יכולת </w:t>
      </w:r>
      <w:r w:rsidRPr="004B0E72">
        <w:rPr>
          <w:rFonts w:ascii="Times New Roman" w:hAnsi="Times New Roman"/>
          <w:rtl/>
        </w:rPr>
        <w:t>שליטה והתערבות בהליך הרכישה וזהות הספקים</w:t>
      </w:r>
      <w:r w:rsidR="00FC3062" w:rsidRPr="004B0E72">
        <w:rPr>
          <w:rFonts w:ascii="Times New Roman" w:hAnsi="Times New Roman" w:hint="cs"/>
          <w:rtl/>
        </w:rPr>
        <w:t>.</w:t>
      </w:r>
    </w:p>
    <w:p w14:paraId="05A640C7" w14:textId="4AF73803" w:rsidR="005849AD" w:rsidRPr="004B0E72" w:rsidRDefault="005849AD" w:rsidP="00E84734">
      <w:pPr>
        <w:pStyle w:val="ListParagraph"/>
        <w:numPr>
          <w:ilvl w:val="0"/>
          <w:numId w:val="27"/>
        </w:numPr>
        <w:spacing w:line="360" w:lineRule="auto"/>
        <w:jc w:val="both"/>
        <w:rPr>
          <w:rFonts w:ascii="Times New Roman" w:hAnsi="Times New Roman"/>
        </w:rPr>
      </w:pPr>
      <w:r w:rsidRPr="004B0E72">
        <w:rPr>
          <w:rFonts w:ascii="Times New Roman" w:hAnsi="Times New Roman"/>
          <w:rtl/>
        </w:rPr>
        <w:t>התערבות זו עשויה לבוא לידי ביטוי בצורות שונות, דוגמת מניעה או עיכוב הזמנות של ספקים אחרים (אשר חלקם כאמור מתחר</w:t>
      </w:r>
      <w:r w:rsidRPr="004B0E72">
        <w:rPr>
          <w:rFonts w:ascii="Times New Roman" w:hAnsi="Times New Roman" w:hint="cs"/>
          <w:rtl/>
        </w:rPr>
        <w:t>ים בברמן</w:t>
      </w:r>
      <w:r w:rsidRPr="004B0E72">
        <w:rPr>
          <w:rFonts w:ascii="Times New Roman" w:hAnsi="Times New Roman"/>
          <w:rtl/>
        </w:rPr>
        <w:t>). דברים אלה נכונים ביתר שאת כאשר הגורם המזמין אף מממן את הרכישות מכיסו (דבר שכמובן אינו נהוג כאשר מדובר באספקת שירותים טכניים בלבד).</w:t>
      </w:r>
      <w:r w:rsidRPr="004B0E72">
        <w:rPr>
          <w:rFonts w:ascii="Times New Roman" w:hAnsi="Times New Roman"/>
        </w:rPr>
        <w:t xml:space="preserve"> </w:t>
      </w:r>
      <w:r w:rsidRPr="004B0E72">
        <w:rPr>
          <w:rFonts w:ascii="Times New Roman" w:hAnsi="Times New Roman"/>
          <w:rtl/>
        </w:rPr>
        <w:t>נזכיר לעניין זה, כי אין נפקות לשאלה אם התערבות כמתואר בוצעה הלכה למעשה</w:t>
      </w:r>
      <w:r w:rsidRPr="004B0E72">
        <w:rPr>
          <w:rFonts w:ascii="Times New Roman" w:hAnsi="Times New Roman" w:hint="cs"/>
          <w:rtl/>
        </w:rPr>
        <w:t>, אם לאו</w:t>
      </w:r>
      <w:r w:rsidR="00FC3062" w:rsidRPr="004B0E72">
        <w:rPr>
          <w:rFonts w:ascii="Times New Roman" w:hAnsi="Times New Roman" w:hint="cs"/>
          <w:rtl/>
        </w:rPr>
        <w:t xml:space="preserve">, כפי </w:t>
      </w:r>
      <w:r w:rsidR="00E84734" w:rsidRPr="004B0E72">
        <w:rPr>
          <w:rFonts w:ascii="Times New Roman" w:hAnsi="Times New Roman" w:hint="cs"/>
          <w:rtl/>
        </w:rPr>
        <w:t xml:space="preserve">שהוסבר </w:t>
      </w:r>
      <w:r w:rsidR="00FC3062" w:rsidRPr="004B0E72">
        <w:rPr>
          <w:rFonts w:ascii="Times New Roman" w:hAnsi="Times New Roman" w:hint="cs"/>
          <w:rtl/>
        </w:rPr>
        <w:t>לעיל</w:t>
      </w:r>
      <w:r w:rsidRPr="004B0E72">
        <w:rPr>
          <w:rFonts w:ascii="Times New Roman" w:hAnsi="Times New Roman" w:hint="cs"/>
          <w:rtl/>
        </w:rPr>
        <w:t>.</w:t>
      </w:r>
      <w:r w:rsidRPr="004B0E72">
        <w:rPr>
          <w:rFonts w:ascii="Times New Roman" w:hAnsi="Times New Roman"/>
          <w:rtl/>
        </w:rPr>
        <w:t xml:space="preserve"> </w:t>
      </w:r>
    </w:p>
    <w:p w14:paraId="560FC0AC" w14:textId="77777777" w:rsidR="005849AD" w:rsidRPr="004B0E72" w:rsidRDefault="005849AD" w:rsidP="005849AD">
      <w:pPr>
        <w:pStyle w:val="ListParagraph"/>
        <w:numPr>
          <w:ilvl w:val="0"/>
          <w:numId w:val="27"/>
        </w:numPr>
        <w:spacing w:line="360" w:lineRule="auto"/>
        <w:jc w:val="both"/>
        <w:rPr>
          <w:rFonts w:ascii="Times New Roman" w:hAnsi="Times New Roman"/>
          <w:rtl/>
        </w:rPr>
      </w:pPr>
      <w:r w:rsidRPr="004B0E72">
        <w:rPr>
          <w:rFonts w:hint="cs"/>
          <w:rtl/>
        </w:rPr>
        <w:t>העברת פדיון החנויות לידי ברמן הוסיפה וחיזקה את הזיקה בינה לבין העסק הנרכש ויצרה לברמן אינטרס כלכלי מובהק בביצועים של החנויות. הדברים נכונים גם אם הפדיון נועד, כטענת הצדדים, לכסות את החוב שנוצר כתוצאה ממימון ההזמנות. מעבר לכך, עיון</w:t>
      </w:r>
      <w:r w:rsidRPr="004B0E72">
        <w:rPr>
          <w:rtl/>
        </w:rPr>
        <w:t xml:space="preserve"> </w:t>
      </w:r>
      <w:r w:rsidRPr="004B0E72">
        <w:rPr>
          <w:rFonts w:hint="cs"/>
          <w:rtl/>
        </w:rPr>
        <w:t>במידע</w:t>
      </w:r>
      <w:r w:rsidRPr="004B0E72">
        <w:rPr>
          <w:rtl/>
        </w:rPr>
        <w:t xml:space="preserve"> </w:t>
      </w:r>
      <w:r w:rsidRPr="004B0E72">
        <w:rPr>
          <w:rFonts w:hint="cs"/>
          <w:rtl/>
        </w:rPr>
        <w:t>שנמסר</w:t>
      </w:r>
      <w:r w:rsidRPr="004B0E72">
        <w:rPr>
          <w:rtl/>
        </w:rPr>
        <w:t xml:space="preserve"> </w:t>
      </w:r>
      <w:r w:rsidRPr="004B0E72">
        <w:rPr>
          <w:rFonts w:hint="cs"/>
          <w:rtl/>
        </w:rPr>
        <w:t>על</w:t>
      </w:r>
      <w:r w:rsidRPr="004B0E72">
        <w:rPr>
          <w:rtl/>
        </w:rPr>
        <w:t>-</w:t>
      </w:r>
      <w:r w:rsidRPr="004B0E72">
        <w:rPr>
          <w:rFonts w:hint="cs"/>
          <w:rtl/>
        </w:rPr>
        <w:t>ידי</w:t>
      </w:r>
      <w:r w:rsidRPr="004B0E72">
        <w:rPr>
          <w:rtl/>
        </w:rPr>
        <w:t xml:space="preserve"> </w:t>
      </w:r>
      <w:r w:rsidRPr="004B0E72">
        <w:rPr>
          <w:rFonts w:hint="cs"/>
          <w:rtl/>
        </w:rPr>
        <w:t>הצדדים</w:t>
      </w:r>
      <w:r w:rsidRPr="004B0E72">
        <w:rPr>
          <w:rtl/>
        </w:rPr>
        <w:t xml:space="preserve"> </w:t>
      </w:r>
      <w:r w:rsidRPr="004B0E72">
        <w:rPr>
          <w:rFonts w:hint="cs"/>
          <w:rtl/>
        </w:rPr>
        <w:t>מראה</w:t>
      </w:r>
      <w:r w:rsidRPr="004B0E72">
        <w:rPr>
          <w:rtl/>
        </w:rPr>
        <w:t xml:space="preserve"> </w:t>
      </w:r>
      <w:r w:rsidRPr="004B0E72">
        <w:rPr>
          <w:rFonts w:hint="cs"/>
          <w:rtl/>
        </w:rPr>
        <w:t>כי</w:t>
      </w:r>
      <w:r w:rsidRPr="004B0E72">
        <w:rPr>
          <w:rtl/>
        </w:rPr>
        <w:t xml:space="preserve"> </w:t>
      </w:r>
      <w:r w:rsidRPr="004B0E72">
        <w:rPr>
          <w:rFonts w:hint="cs"/>
          <w:rtl/>
        </w:rPr>
        <w:t>הצדדים</w:t>
      </w:r>
      <w:r w:rsidRPr="004B0E72">
        <w:rPr>
          <w:rtl/>
        </w:rPr>
        <w:t xml:space="preserve"> </w:t>
      </w:r>
      <w:r w:rsidRPr="004B0E72">
        <w:rPr>
          <w:rFonts w:hint="cs"/>
          <w:rtl/>
        </w:rPr>
        <w:t>לא</w:t>
      </w:r>
      <w:r w:rsidRPr="004B0E72">
        <w:rPr>
          <w:rtl/>
        </w:rPr>
        <w:t xml:space="preserve"> </w:t>
      </w:r>
      <w:r w:rsidRPr="004B0E72">
        <w:rPr>
          <w:rFonts w:hint="cs"/>
          <w:rtl/>
        </w:rPr>
        <w:t>הקפידו</w:t>
      </w:r>
      <w:r w:rsidRPr="004B0E72">
        <w:rPr>
          <w:rtl/>
        </w:rPr>
        <w:t xml:space="preserve"> </w:t>
      </w:r>
      <w:r w:rsidRPr="004B0E72">
        <w:rPr>
          <w:rFonts w:hint="cs"/>
          <w:rtl/>
        </w:rPr>
        <w:t>על</w:t>
      </w:r>
      <w:r w:rsidRPr="004B0E72">
        <w:rPr>
          <w:rtl/>
        </w:rPr>
        <w:t xml:space="preserve"> </w:t>
      </w:r>
      <w:r w:rsidRPr="004B0E72">
        <w:rPr>
          <w:rFonts w:hint="cs"/>
          <w:rtl/>
        </w:rPr>
        <w:t>שמירת</w:t>
      </w:r>
      <w:r w:rsidRPr="004B0E72">
        <w:rPr>
          <w:rtl/>
        </w:rPr>
        <w:t xml:space="preserve"> </w:t>
      </w:r>
      <w:r w:rsidRPr="004B0E72">
        <w:rPr>
          <w:rFonts w:hint="cs"/>
          <w:rtl/>
        </w:rPr>
        <w:t>קשר</w:t>
      </w:r>
      <w:r w:rsidRPr="004B0E72">
        <w:rPr>
          <w:rtl/>
        </w:rPr>
        <w:t xml:space="preserve"> </w:t>
      </w:r>
      <w:r w:rsidRPr="004B0E72">
        <w:rPr>
          <w:rFonts w:hint="cs"/>
          <w:rtl/>
        </w:rPr>
        <w:t>בין</w:t>
      </w:r>
      <w:r w:rsidRPr="004B0E72">
        <w:rPr>
          <w:rtl/>
        </w:rPr>
        <w:t xml:space="preserve"> </w:t>
      </w:r>
      <w:r w:rsidRPr="004B0E72">
        <w:rPr>
          <w:rFonts w:hint="cs"/>
          <w:rtl/>
        </w:rPr>
        <w:t>התשלומים</w:t>
      </w:r>
      <w:r w:rsidRPr="004B0E72">
        <w:rPr>
          <w:rtl/>
        </w:rPr>
        <w:t xml:space="preserve"> </w:t>
      </w:r>
      <w:r w:rsidRPr="004B0E72">
        <w:rPr>
          <w:rFonts w:hint="cs"/>
          <w:rtl/>
        </w:rPr>
        <w:t>המבוצעים</w:t>
      </w:r>
      <w:r w:rsidRPr="004B0E72">
        <w:rPr>
          <w:rtl/>
        </w:rPr>
        <w:t xml:space="preserve"> </w:t>
      </w:r>
      <w:r w:rsidRPr="004B0E72">
        <w:rPr>
          <w:rFonts w:hint="cs"/>
          <w:rtl/>
        </w:rPr>
        <w:t>על</w:t>
      </w:r>
      <w:r w:rsidRPr="004B0E72">
        <w:rPr>
          <w:rtl/>
        </w:rPr>
        <w:t>-</w:t>
      </w:r>
      <w:r w:rsidRPr="004B0E72">
        <w:rPr>
          <w:rFonts w:hint="cs"/>
          <w:rtl/>
        </w:rPr>
        <w:t>ידי</w:t>
      </w:r>
      <w:r w:rsidRPr="004B0E72">
        <w:rPr>
          <w:rtl/>
        </w:rPr>
        <w:t xml:space="preserve"> </w:t>
      </w:r>
      <w:r w:rsidRPr="004B0E72">
        <w:rPr>
          <w:rFonts w:hint="cs"/>
          <w:rtl/>
        </w:rPr>
        <w:t>ברמן</w:t>
      </w:r>
      <w:r w:rsidRPr="004B0E72">
        <w:rPr>
          <w:rtl/>
        </w:rPr>
        <w:t xml:space="preserve"> </w:t>
      </w:r>
      <w:r w:rsidRPr="004B0E72">
        <w:rPr>
          <w:rFonts w:hint="cs"/>
          <w:rtl/>
        </w:rPr>
        <w:t>לבין</w:t>
      </w:r>
      <w:r w:rsidRPr="004B0E72">
        <w:rPr>
          <w:rtl/>
        </w:rPr>
        <w:t xml:space="preserve"> </w:t>
      </w:r>
      <w:r w:rsidRPr="004B0E72">
        <w:rPr>
          <w:rFonts w:hint="cs"/>
          <w:rtl/>
        </w:rPr>
        <w:t>הפדיון</w:t>
      </w:r>
      <w:r w:rsidRPr="004B0E72">
        <w:rPr>
          <w:rtl/>
        </w:rPr>
        <w:t xml:space="preserve"> </w:t>
      </w:r>
      <w:r w:rsidRPr="004B0E72">
        <w:rPr>
          <w:rFonts w:hint="cs"/>
          <w:rtl/>
        </w:rPr>
        <w:t>שהתקבל</w:t>
      </w:r>
      <w:r w:rsidRPr="004B0E72">
        <w:rPr>
          <w:rtl/>
        </w:rPr>
        <w:t xml:space="preserve"> </w:t>
      </w:r>
      <w:r w:rsidRPr="004B0E72">
        <w:rPr>
          <w:rFonts w:hint="cs"/>
          <w:rtl/>
        </w:rPr>
        <w:t>מחנויות</w:t>
      </w:r>
      <w:r w:rsidRPr="004B0E72">
        <w:rPr>
          <w:rtl/>
        </w:rPr>
        <w:t xml:space="preserve"> </w:t>
      </w:r>
      <w:r w:rsidRPr="004B0E72">
        <w:rPr>
          <w:rFonts w:hint="cs"/>
          <w:rtl/>
        </w:rPr>
        <w:t>מכלול</w:t>
      </w:r>
      <w:r w:rsidRPr="004B0E72">
        <w:rPr>
          <w:rtl/>
        </w:rPr>
        <w:t xml:space="preserve">. </w:t>
      </w:r>
    </w:p>
    <w:p w14:paraId="355F7109" w14:textId="77777777" w:rsidR="005849AD" w:rsidRPr="004B0E72" w:rsidRDefault="005849AD" w:rsidP="005849AD">
      <w:pPr>
        <w:pStyle w:val="ListParagraph"/>
        <w:numPr>
          <w:ilvl w:val="0"/>
          <w:numId w:val="27"/>
        </w:numPr>
        <w:spacing w:line="360" w:lineRule="auto"/>
        <w:jc w:val="both"/>
      </w:pPr>
      <w:r w:rsidRPr="004B0E72">
        <w:rPr>
          <w:rFonts w:hint="cs"/>
          <w:rtl/>
        </w:rPr>
        <w:lastRenderedPageBreak/>
        <w:t>יוצא</w:t>
      </w:r>
      <w:r w:rsidRPr="004B0E72">
        <w:rPr>
          <w:rtl/>
        </w:rPr>
        <w:t xml:space="preserve"> </w:t>
      </w:r>
      <w:r w:rsidRPr="004B0E72">
        <w:rPr>
          <w:rFonts w:hint="cs"/>
          <w:rtl/>
        </w:rPr>
        <w:t>שברמן</w:t>
      </w:r>
      <w:r w:rsidRPr="004B0E72">
        <w:rPr>
          <w:rtl/>
        </w:rPr>
        <w:t xml:space="preserve"> </w:t>
      </w:r>
      <w:r w:rsidRPr="004B0E72">
        <w:rPr>
          <w:rFonts w:hint="cs"/>
          <w:rtl/>
        </w:rPr>
        <w:t>נשאה</w:t>
      </w:r>
      <w:r w:rsidRPr="004B0E72">
        <w:rPr>
          <w:rtl/>
        </w:rPr>
        <w:t xml:space="preserve"> </w:t>
      </w:r>
      <w:r w:rsidRPr="004B0E72">
        <w:rPr>
          <w:rFonts w:hint="cs"/>
          <w:rtl/>
        </w:rPr>
        <w:t>הן בסיכונים</w:t>
      </w:r>
      <w:r w:rsidRPr="004B0E72">
        <w:rPr>
          <w:rtl/>
        </w:rPr>
        <w:t xml:space="preserve"> </w:t>
      </w:r>
      <w:r w:rsidRPr="004B0E72">
        <w:rPr>
          <w:rFonts w:hint="cs"/>
          <w:rtl/>
        </w:rPr>
        <w:t>והן בסיכויים</w:t>
      </w:r>
      <w:r w:rsidRPr="004B0E72">
        <w:rPr>
          <w:rtl/>
        </w:rPr>
        <w:t xml:space="preserve"> </w:t>
      </w:r>
      <w:r w:rsidRPr="004B0E72">
        <w:rPr>
          <w:rFonts w:hint="cs"/>
          <w:rtl/>
        </w:rPr>
        <w:t>שבהפעלת</w:t>
      </w:r>
      <w:r w:rsidRPr="004B0E72">
        <w:rPr>
          <w:rtl/>
        </w:rPr>
        <w:t xml:space="preserve"> </w:t>
      </w:r>
      <w:r w:rsidRPr="004B0E72">
        <w:rPr>
          <w:rFonts w:hint="cs"/>
          <w:rtl/>
        </w:rPr>
        <w:t>החנויות</w:t>
      </w:r>
      <w:r w:rsidRPr="004B0E72">
        <w:rPr>
          <w:rtl/>
        </w:rPr>
        <w:t>:</w:t>
      </w:r>
      <w:r w:rsidRPr="004B0E72">
        <w:t xml:space="preserve"> </w:t>
      </w:r>
      <w:r w:rsidRPr="004B0E72">
        <w:rPr>
          <w:rFonts w:hint="cs"/>
          <w:rtl/>
        </w:rPr>
        <w:t>ככל</w:t>
      </w:r>
      <w:r w:rsidRPr="004B0E72">
        <w:rPr>
          <w:rtl/>
        </w:rPr>
        <w:t xml:space="preserve"> </w:t>
      </w:r>
      <w:r w:rsidRPr="004B0E72">
        <w:rPr>
          <w:rFonts w:hint="cs"/>
          <w:rtl/>
        </w:rPr>
        <w:t>שפדיון</w:t>
      </w:r>
      <w:r w:rsidRPr="004B0E72">
        <w:rPr>
          <w:rtl/>
        </w:rPr>
        <w:t xml:space="preserve"> </w:t>
      </w:r>
      <w:r w:rsidRPr="004B0E72">
        <w:rPr>
          <w:rFonts w:hint="cs"/>
          <w:rtl/>
        </w:rPr>
        <w:t>החנויות</w:t>
      </w:r>
      <w:r w:rsidRPr="004B0E72">
        <w:rPr>
          <w:rtl/>
        </w:rPr>
        <w:t xml:space="preserve"> </w:t>
      </w:r>
      <w:r w:rsidRPr="004B0E72">
        <w:rPr>
          <w:rFonts w:hint="cs"/>
          <w:rtl/>
        </w:rPr>
        <w:t>עלה</w:t>
      </w:r>
      <w:r w:rsidRPr="004B0E72">
        <w:rPr>
          <w:rtl/>
        </w:rPr>
        <w:t xml:space="preserve"> </w:t>
      </w:r>
      <w:r w:rsidRPr="004B0E72">
        <w:rPr>
          <w:rFonts w:hint="cs"/>
          <w:rtl/>
        </w:rPr>
        <w:t>על</w:t>
      </w:r>
      <w:r w:rsidRPr="004B0E72">
        <w:rPr>
          <w:rtl/>
        </w:rPr>
        <w:t xml:space="preserve"> </w:t>
      </w:r>
      <w:r w:rsidRPr="004B0E72">
        <w:rPr>
          <w:rFonts w:hint="cs"/>
          <w:rtl/>
        </w:rPr>
        <w:t>ההוצאות</w:t>
      </w:r>
      <w:r w:rsidRPr="004B0E72">
        <w:rPr>
          <w:rtl/>
        </w:rPr>
        <w:t xml:space="preserve"> </w:t>
      </w:r>
      <w:r w:rsidRPr="004B0E72">
        <w:rPr>
          <w:rFonts w:hint="cs"/>
          <w:rtl/>
        </w:rPr>
        <w:t>לרכישת</w:t>
      </w:r>
      <w:r w:rsidRPr="004B0E72">
        <w:rPr>
          <w:rtl/>
        </w:rPr>
        <w:t xml:space="preserve"> </w:t>
      </w:r>
      <w:r w:rsidRPr="004B0E72">
        <w:rPr>
          <w:rFonts w:hint="cs"/>
          <w:rtl/>
        </w:rPr>
        <w:t>סחורה</w:t>
      </w:r>
      <w:r w:rsidRPr="004B0E72">
        <w:rPr>
          <w:rtl/>
        </w:rPr>
        <w:t xml:space="preserve">, </w:t>
      </w:r>
      <w:r w:rsidRPr="004B0E72">
        <w:rPr>
          <w:rFonts w:hint="cs"/>
          <w:rtl/>
        </w:rPr>
        <w:t>ברמן</w:t>
      </w:r>
      <w:r w:rsidRPr="004B0E72">
        <w:rPr>
          <w:rtl/>
        </w:rPr>
        <w:t xml:space="preserve"> </w:t>
      </w:r>
      <w:r w:rsidRPr="004B0E72">
        <w:rPr>
          <w:rFonts w:hint="cs"/>
          <w:rtl/>
        </w:rPr>
        <w:t>נהנתה</w:t>
      </w:r>
      <w:r w:rsidRPr="004B0E72">
        <w:rPr>
          <w:rtl/>
        </w:rPr>
        <w:t xml:space="preserve"> </w:t>
      </w:r>
      <w:r w:rsidRPr="004B0E72">
        <w:rPr>
          <w:rFonts w:hint="cs"/>
          <w:rtl/>
        </w:rPr>
        <w:t>מכך</w:t>
      </w:r>
      <w:r w:rsidRPr="004B0E72">
        <w:rPr>
          <w:rtl/>
        </w:rPr>
        <w:t xml:space="preserve">; </w:t>
      </w:r>
      <w:r w:rsidRPr="004B0E72">
        <w:rPr>
          <w:rFonts w:hint="cs"/>
          <w:rtl/>
        </w:rPr>
        <w:t>ככל</w:t>
      </w:r>
      <w:r w:rsidRPr="004B0E72">
        <w:rPr>
          <w:rtl/>
        </w:rPr>
        <w:t xml:space="preserve"> </w:t>
      </w:r>
      <w:r w:rsidRPr="004B0E72">
        <w:rPr>
          <w:rFonts w:hint="cs"/>
          <w:rtl/>
        </w:rPr>
        <w:t>שההוצאות</w:t>
      </w:r>
      <w:r w:rsidRPr="004B0E72">
        <w:rPr>
          <w:rtl/>
        </w:rPr>
        <w:t xml:space="preserve"> </w:t>
      </w:r>
      <w:r w:rsidRPr="004B0E72">
        <w:rPr>
          <w:rFonts w:hint="cs"/>
          <w:rtl/>
        </w:rPr>
        <w:t>עלו</w:t>
      </w:r>
      <w:r w:rsidRPr="004B0E72">
        <w:rPr>
          <w:rtl/>
        </w:rPr>
        <w:t xml:space="preserve"> </w:t>
      </w:r>
      <w:r w:rsidRPr="004B0E72">
        <w:rPr>
          <w:rFonts w:hint="cs"/>
          <w:rtl/>
        </w:rPr>
        <w:t>על</w:t>
      </w:r>
      <w:r w:rsidRPr="004B0E72">
        <w:rPr>
          <w:rtl/>
        </w:rPr>
        <w:t xml:space="preserve"> </w:t>
      </w:r>
      <w:r w:rsidRPr="004B0E72">
        <w:rPr>
          <w:rFonts w:hint="cs"/>
          <w:rtl/>
        </w:rPr>
        <w:t>הפדיון</w:t>
      </w:r>
      <w:r w:rsidRPr="004B0E72">
        <w:rPr>
          <w:rtl/>
        </w:rPr>
        <w:t xml:space="preserve">, </w:t>
      </w:r>
      <w:r w:rsidRPr="004B0E72">
        <w:rPr>
          <w:rFonts w:hint="cs"/>
          <w:rtl/>
        </w:rPr>
        <w:t>חשיפתה</w:t>
      </w:r>
      <w:r w:rsidRPr="004B0E72">
        <w:rPr>
          <w:rtl/>
        </w:rPr>
        <w:t xml:space="preserve"> </w:t>
      </w:r>
      <w:r w:rsidRPr="004B0E72">
        <w:rPr>
          <w:rFonts w:hint="cs"/>
          <w:rtl/>
        </w:rPr>
        <w:t>של</w:t>
      </w:r>
      <w:r w:rsidRPr="004B0E72">
        <w:rPr>
          <w:rtl/>
        </w:rPr>
        <w:t xml:space="preserve"> </w:t>
      </w:r>
      <w:r w:rsidRPr="004B0E72">
        <w:rPr>
          <w:rFonts w:hint="cs"/>
          <w:rtl/>
        </w:rPr>
        <w:t>ברמן</w:t>
      </w:r>
      <w:r w:rsidRPr="004B0E72">
        <w:rPr>
          <w:rtl/>
        </w:rPr>
        <w:t xml:space="preserve"> </w:t>
      </w:r>
      <w:r w:rsidRPr="004B0E72">
        <w:rPr>
          <w:rFonts w:hint="cs"/>
          <w:rtl/>
        </w:rPr>
        <w:t>גדלה</w:t>
      </w:r>
      <w:r w:rsidRPr="004B0E72">
        <w:rPr>
          <w:rtl/>
        </w:rPr>
        <w:t xml:space="preserve"> </w:t>
      </w:r>
      <w:r w:rsidRPr="004B0E72">
        <w:rPr>
          <w:rFonts w:hint="cs"/>
          <w:rtl/>
        </w:rPr>
        <w:t>בהתאם</w:t>
      </w:r>
      <w:r w:rsidRPr="004B0E72">
        <w:rPr>
          <w:rtl/>
        </w:rPr>
        <w:t>.</w:t>
      </w:r>
    </w:p>
    <w:p w14:paraId="405C8823" w14:textId="73BB36A3" w:rsidR="00C20CC3" w:rsidRPr="004B0E72" w:rsidRDefault="00FC3062" w:rsidP="0010687B">
      <w:pPr>
        <w:pStyle w:val="ListParagraph"/>
        <w:numPr>
          <w:ilvl w:val="0"/>
          <w:numId w:val="27"/>
        </w:numPr>
        <w:spacing w:line="360" w:lineRule="auto"/>
        <w:jc w:val="both"/>
        <w:rPr>
          <w:rFonts w:ascii="Times New Roman" w:hAnsi="Times New Roman"/>
          <w:rtl/>
        </w:rPr>
      </w:pPr>
      <w:r w:rsidRPr="004B0E72">
        <w:rPr>
          <w:rFonts w:hint="cs"/>
          <w:rtl/>
        </w:rPr>
        <w:t xml:space="preserve">כפי שהזכרנו לעיל, האיסור על </w:t>
      </w:r>
      <w:r w:rsidR="00D421C1" w:rsidRPr="004B0E72">
        <w:rPr>
          <w:rFonts w:hint="cs"/>
          <w:rtl/>
        </w:rPr>
        <w:t xml:space="preserve">מיזוג טרם קבלת אישור הממונה </w:t>
      </w:r>
      <w:r w:rsidRPr="004B0E72">
        <w:rPr>
          <w:rFonts w:hint="cs"/>
          <w:rtl/>
        </w:rPr>
        <w:t xml:space="preserve">חל על </w:t>
      </w:r>
      <w:r w:rsidR="00834A2B" w:rsidRPr="004B0E72">
        <w:rPr>
          <w:rFonts w:hint="cs"/>
          <w:rtl/>
        </w:rPr>
        <w:t xml:space="preserve">כל מעשה שיש בו משום הקניית דריסת רגל לרוכש בעסק הנרכש, איחוד מלא או חלקי של פעילות או אקט </w:t>
      </w:r>
      <w:r w:rsidR="0010687B" w:rsidRPr="004B0E72">
        <w:rPr>
          <w:rFonts w:hint="cs"/>
          <w:rtl/>
        </w:rPr>
        <w:t xml:space="preserve">העשוי </w:t>
      </w:r>
      <w:r w:rsidR="00834A2B" w:rsidRPr="004B0E72">
        <w:rPr>
          <w:rFonts w:hint="cs"/>
          <w:rtl/>
        </w:rPr>
        <w:t>להשפיע ממשית על התנהלות התאגיד הנרכש או הרוכש</w:t>
      </w:r>
      <w:r w:rsidRPr="004B0E72">
        <w:rPr>
          <w:rFonts w:hint="cs"/>
          <w:rtl/>
        </w:rPr>
        <w:t xml:space="preserve">. במקרה דנן </w:t>
      </w:r>
      <w:r w:rsidR="005849AD" w:rsidRPr="004B0E72">
        <w:rPr>
          <w:rFonts w:hint="cs"/>
          <w:rtl/>
        </w:rPr>
        <w:t xml:space="preserve">הפעולות שנקטו הצדדים בתקופה שבין החתימה על הסכם המיזוג לבין קבלת אישור הממונה </w:t>
      </w:r>
      <w:r w:rsidR="005849AD" w:rsidRPr="004B0E72">
        <w:rPr>
          <w:rtl/>
        </w:rPr>
        <w:t>–</w:t>
      </w:r>
      <w:r w:rsidR="005849AD" w:rsidRPr="004B0E72">
        <w:rPr>
          <w:rFonts w:hint="cs"/>
          <w:rtl/>
        </w:rPr>
        <w:t xml:space="preserve"> הזרמת הכספים מברמן למכלול, הן במסגרת ההלוואה והן במסגרת מימון רכישת הסחורה, ביצוע ההזמנות על-ידי ברמן וקבלת פדיון החנויות על-ידה </w:t>
      </w:r>
      <w:r w:rsidR="005849AD" w:rsidRPr="004B0E72">
        <w:rPr>
          <w:rtl/>
        </w:rPr>
        <w:t>–</w:t>
      </w:r>
      <w:r w:rsidR="005849AD" w:rsidRPr="004B0E72">
        <w:rPr>
          <w:rFonts w:hint="cs"/>
          <w:rtl/>
        </w:rPr>
        <w:t xml:space="preserve"> הקנו לברמן דריסת רגל של ממש בהתנהלות החנויות של מכלול, הביאו לאיחוד (חלקי לכל הפחות) של פעילותם והעבירו סיכונים וסיכויים בפעילותה של מכלול לברמן, באופן שעלול היה להשפיע השפעה ממשית על התנהלות</w:t>
      </w:r>
      <w:r w:rsidR="00C5672A" w:rsidRPr="004B0E72">
        <w:rPr>
          <w:rFonts w:hint="cs"/>
          <w:rtl/>
        </w:rPr>
        <w:t>ה</w:t>
      </w:r>
      <w:r w:rsidR="005849AD" w:rsidRPr="004B0E72">
        <w:rPr>
          <w:rFonts w:hint="cs"/>
          <w:rtl/>
        </w:rPr>
        <w:t>. מכאן, שמעשי הצדדים קודם לאישור המיזוג היו משום מיזוג</w:t>
      </w:r>
      <w:r w:rsidR="005849AD" w:rsidRPr="004B0E72">
        <w:rPr>
          <w:rtl/>
        </w:rPr>
        <w:t xml:space="preserve"> </w:t>
      </w:r>
      <w:r w:rsidR="005849AD" w:rsidRPr="004B0E72">
        <w:rPr>
          <w:rFonts w:hint="cs"/>
          <w:rtl/>
        </w:rPr>
        <w:t>חברות בלא קבלת אישור מיזוג בהתאם להוראות פרק ג' לחוק (להלן: "</w:t>
      </w:r>
      <w:r w:rsidR="005849AD" w:rsidRPr="004B0E72">
        <w:rPr>
          <w:rFonts w:hint="cs"/>
          <w:b/>
          <w:bCs/>
          <w:rtl/>
        </w:rPr>
        <w:t>ההפרה</w:t>
      </w:r>
      <w:r w:rsidR="005849AD" w:rsidRPr="004B0E72">
        <w:rPr>
          <w:rFonts w:hint="cs"/>
          <w:rtl/>
        </w:rPr>
        <w:t xml:space="preserve">"). </w:t>
      </w:r>
    </w:p>
    <w:p w14:paraId="7F9D0A53" w14:textId="1E492965" w:rsidR="00D421C1" w:rsidRPr="004B0E72" w:rsidRDefault="00D421C1" w:rsidP="00430433">
      <w:pPr>
        <w:pStyle w:val="ListParagraph"/>
        <w:spacing w:line="360" w:lineRule="auto"/>
        <w:ind w:left="397"/>
        <w:jc w:val="both"/>
        <w:rPr>
          <w:rFonts w:ascii="Times New Roman" w:hAnsi="Times New Roman"/>
        </w:rPr>
      </w:pPr>
      <w:r w:rsidRPr="004B0E72">
        <w:rPr>
          <w:rFonts w:ascii="Times New Roman" w:hAnsi="Times New Roman" w:hint="cs"/>
          <w:rtl/>
        </w:rPr>
        <w:t xml:space="preserve">ג.3. </w:t>
      </w:r>
      <w:r w:rsidR="00F6012E" w:rsidRPr="004B0E72">
        <w:rPr>
          <w:rFonts w:ascii="Times New Roman" w:hAnsi="Times New Roman" w:hint="cs"/>
          <w:u w:val="single"/>
          <w:rtl/>
        </w:rPr>
        <w:t xml:space="preserve">התייחסות לעיקרי טענות הצדדים בעניין </w:t>
      </w:r>
      <w:r w:rsidR="00430433" w:rsidRPr="004B0E72">
        <w:rPr>
          <w:rFonts w:ascii="Times New Roman" w:hAnsi="Times New Roman" w:hint="cs"/>
          <w:u w:val="single"/>
          <w:rtl/>
        </w:rPr>
        <w:t>מעשה ההפרה</w:t>
      </w:r>
      <w:r w:rsidR="00F6012E" w:rsidRPr="004B0E72">
        <w:rPr>
          <w:rFonts w:ascii="Times New Roman" w:hAnsi="Times New Roman" w:hint="cs"/>
          <w:rtl/>
        </w:rPr>
        <w:t xml:space="preserve"> </w:t>
      </w:r>
    </w:p>
    <w:p w14:paraId="1180E63D" w14:textId="682FEDBA" w:rsidR="005849AD" w:rsidRPr="004B0E72" w:rsidRDefault="005849AD" w:rsidP="005C62F4">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 xml:space="preserve">במסגרת השימוע טענו הצדדים בפני הממונה כי לא הפרו את חובת ההמתנה, וזאת מאחר שממילא לא קמה חובת דיווח על המיזוג </w:t>
      </w:r>
      <w:r w:rsidRPr="004B0E72">
        <w:rPr>
          <w:rFonts w:ascii="Times New Roman" w:hAnsi="Times New Roman"/>
          <w:rtl/>
        </w:rPr>
        <w:t>(אשר על-פי הטענה, דווח לממונה בטעות).</w:t>
      </w:r>
      <w:r w:rsidR="003F0D10" w:rsidRPr="004B0E72">
        <w:rPr>
          <w:rFonts w:ascii="Times New Roman" w:hAnsi="Times New Roman" w:hint="cs"/>
          <w:rtl/>
        </w:rPr>
        <w:t xml:space="preserve"> </w:t>
      </w:r>
      <w:r w:rsidRPr="004B0E72">
        <w:rPr>
          <w:rFonts w:ascii="Times New Roman" w:hAnsi="Times New Roman" w:hint="cs"/>
          <w:rtl/>
        </w:rPr>
        <w:t>טענות הצדדים בעניין זה</w:t>
      </w:r>
      <w:r w:rsidRPr="004B0E72">
        <w:rPr>
          <w:rFonts w:ascii="Times New Roman" w:hAnsi="Times New Roman"/>
          <w:rtl/>
        </w:rPr>
        <w:t xml:space="preserve"> </w:t>
      </w:r>
      <w:r w:rsidRPr="004B0E72">
        <w:rPr>
          <w:rFonts w:ascii="Times New Roman" w:hAnsi="Times New Roman" w:hint="cs"/>
          <w:rtl/>
        </w:rPr>
        <w:t>עומדות</w:t>
      </w:r>
      <w:r w:rsidRPr="004B0E72">
        <w:rPr>
          <w:rFonts w:ascii="Times New Roman" w:hAnsi="Times New Roman"/>
          <w:rtl/>
        </w:rPr>
        <w:t xml:space="preserve"> </w:t>
      </w:r>
      <w:r w:rsidRPr="004B0E72">
        <w:rPr>
          <w:rFonts w:ascii="Times New Roman" w:hAnsi="Times New Roman" w:hint="cs"/>
          <w:rtl/>
        </w:rPr>
        <w:t>בסתירה</w:t>
      </w:r>
      <w:r w:rsidRPr="004B0E72">
        <w:rPr>
          <w:rFonts w:ascii="Times New Roman" w:hAnsi="Times New Roman"/>
          <w:rtl/>
        </w:rPr>
        <w:t xml:space="preserve"> </w:t>
      </w:r>
      <w:r w:rsidR="005C62F4" w:rsidRPr="004B0E72">
        <w:rPr>
          <w:rFonts w:ascii="Times New Roman" w:hAnsi="Times New Roman" w:hint="cs"/>
          <w:rtl/>
        </w:rPr>
        <w:t>למעשיהם של</w:t>
      </w:r>
      <w:r w:rsidR="005C62F4" w:rsidRPr="004B0E72">
        <w:rPr>
          <w:rFonts w:ascii="Times New Roman" w:hAnsi="Times New Roman"/>
          <w:rtl/>
        </w:rPr>
        <w:t xml:space="preserve"> </w:t>
      </w:r>
      <w:r w:rsidRPr="004B0E72">
        <w:rPr>
          <w:rFonts w:ascii="Times New Roman" w:hAnsi="Times New Roman" w:hint="cs"/>
          <w:rtl/>
        </w:rPr>
        <w:t>הצדדים</w:t>
      </w:r>
      <w:r w:rsidR="005C62F4" w:rsidRPr="004B0E72">
        <w:rPr>
          <w:rFonts w:ascii="Times New Roman" w:hAnsi="Times New Roman" w:hint="cs"/>
          <w:rtl/>
        </w:rPr>
        <w:t xml:space="preserve"> עצמם</w:t>
      </w:r>
      <w:r w:rsidRPr="004B0E72">
        <w:rPr>
          <w:rFonts w:ascii="Times New Roman" w:hAnsi="Times New Roman"/>
          <w:rtl/>
        </w:rPr>
        <w:t xml:space="preserve"> </w:t>
      </w:r>
      <w:r w:rsidR="005C62F4" w:rsidRPr="004B0E72">
        <w:rPr>
          <w:rFonts w:ascii="Times New Roman" w:hAnsi="Times New Roman" w:hint="cs"/>
          <w:rtl/>
        </w:rPr>
        <w:t>אשר הגישו לממונה</w:t>
      </w:r>
      <w:r w:rsidRPr="004B0E72">
        <w:rPr>
          <w:rFonts w:ascii="Times New Roman" w:hAnsi="Times New Roman"/>
          <w:rtl/>
        </w:rPr>
        <w:t xml:space="preserve"> </w:t>
      </w:r>
      <w:r w:rsidRPr="004B0E72">
        <w:rPr>
          <w:rFonts w:ascii="Times New Roman" w:hAnsi="Times New Roman" w:hint="cs"/>
          <w:rtl/>
        </w:rPr>
        <w:t>הודעות</w:t>
      </w:r>
      <w:r w:rsidRPr="004B0E72">
        <w:rPr>
          <w:rFonts w:ascii="Times New Roman" w:hAnsi="Times New Roman"/>
          <w:rtl/>
        </w:rPr>
        <w:t xml:space="preserve"> </w:t>
      </w:r>
      <w:r w:rsidRPr="004B0E72">
        <w:rPr>
          <w:rFonts w:ascii="Times New Roman" w:hAnsi="Times New Roman" w:hint="cs"/>
          <w:rtl/>
        </w:rPr>
        <w:t>מיזוג</w:t>
      </w:r>
      <w:r w:rsidR="005C62F4" w:rsidRPr="004B0E72">
        <w:rPr>
          <w:rFonts w:ascii="Times New Roman" w:hAnsi="Times New Roman" w:hint="cs"/>
          <w:rtl/>
        </w:rPr>
        <w:t xml:space="preserve"> בגין העסקה,</w:t>
      </w:r>
      <w:r w:rsidRPr="004B0E72">
        <w:rPr>
          <w:rFonts w:ascii="Times New Roman" w:hAnsi="Times New Roman"/>
          <w:rtl/>
        </w:rPr>
        <w:t xml:space="preserve"> </w:t>
      </w:r>
      <w:r w:rsidR="005C62F4" w:rsidRPr="004B0E72">
        <w:rPr>
          <w:rFonts w:ascii="Times New Roman" w:hAnsi="Times New Roman" w:hint="cs"/>
          <w:rtl/>
        </w:rPr>
        <w:t xml:space="preserve">כמו גם </w:t>
      </w:r>
      <w:r w:rsidRPr="004B0E72">
        <w:rPr>
          <w:rFonts w:ascii="Times New Roman" w:hAnsi="Times New Roman" w:hint="cs"/>
          <w:rtl/>
        </w:rPr>
        <w:t>ללשון</w:t>
      </w:r>
      <w:r w:rsidRPr="004B0E72">
        <w:rPr>
          <w:rFonts w:ascii="Times New Roman" w:hAnsi="Times New Roman"/>
          <w:rtl/>
        </w:rPr>
        <w:t xml:space="preserve"> </w:t>
      </w:r>
      <w:r w:rsidRPr="004B0E72">
        <w:rPr>
          <w:rFonts w:ascii="Times New Roman" w:hAnsi="Times New Roman" w:hint="cs"/>
          <w:rtl/>
        </w:rPr>
        <w:t>החוק</w:t>
      </w:r>
      <w:r w:rsidRPr="004B0E72">
        <w:rPr>
          <w:rFonts w:ascii="Times New Roman" w:hAnsi="Times New Roman"/>
          <w:rtl/>
        </w:rPr>
        <w:t xml:space="preserve"> </w:t>
      </w:r>
      <w:r w:rsidRPr="004B0E72">
        <w:rPr>
          <w:rFonts w:ascii="Times New Roman" w:hAnsi="Times New Roman" w:hint="cs"/>
          <w:rtl/>
        </w:rPr>
        <w:t>והתקנות</w:t>
      </w:r>
      <w:r w:rsidRPr="004B0E72">
        <w:rPr>
          <w:rFonts w:ascii="Times New Roman" w:hAnsi="Times New Roman"/>
          <w:rtl/>
        </w:rPr>
        <w:t xml:space="preserve">, </w:t>
      </w:r>
      <w:r w:rsidRPr="004B0E72">
        <w:rPr>
          <w:rFonts w:ascii="Times New Roman" w:hAnsi="Times New Roman" w:hint="cs"/>
          <w:rtl/>
        </w:rPr>
        <w:t>בהם</w:t>
      </w:r>
      <w:r w:rsidRPr="004B0E72">
        <w:rPr>
          <w:rFonts w:ascii="Times New Roman" w:hAnsi="Times New Roman"/>
          <w:rtl/>
        </w:rPr>
        <w:t xml:space="preserve"> נקבע באופן מפורש גובה מחזורי המכיר</w:t>
      </w:r>
      <w:r w:rsidRPr="004B0E72">
        <w:rPr>
          <w:rFonts w:ascii="Times New Roman" w:hAnsi="Times New Roman" w:hint="cs"/>
          <w:rtl/>
        </w:rPr>
        <w:t>ות</w:t>
      </w:r>
      <w:r w:rsidRPr="004B0E72">
        <w:rPr>
          <w:rFonts w:ascii="Times New Roman" w:hAnsi="Times New Roman"/>
          <w:rtl/>
        </w:rPr>
        <w:t xml:space="preserve"> הרלוונטיים לעניין </w:t>
      </w:r>
      <w:r w:rsidRPr="004B0E72">
        <w:rPr>
          <w:rFonts w:ascii="Times New Roman" w:hAnsi="Times New Roman"/>
          <w:rtl/>
        </w:rPr>
        <w:lastRenderedPageBreak/>
        <w:t>הדיווח</w:t>
      </w:r>
      <w:r w:rsidRPr="004B0E72">
        <w:rPr>
          <w:rFonts w:ascii="Times New Roman" w:hAnsi="Times New Roman" w:hint="cs"/>
          <w:rtl/>
        </w:rPr>
        <w:t>. הטענות עומדות בסתירה אף</w:t>
      </w:r>
      <w:r w:rsidRPr="004B0E72">
        <w:rPr>
          <w:rFonts w:ascii="Times New Roman" w:hAnsi="Times New Roman"/>
          <w:rtl/>
        </w:rPr>
        <w:t xml:space="preserve"> </w:t>
      </w:r>
      <w:r w:rsidRPr="004B0E72">
        <w:rPr>
          <w:rFonts w:ascii="Times New Roman" w:hAnsi="Times New Roman" w:hint="cs"/>
          <w:rtl/>
        </w:rPr>
        <w:t>לתכלית</w:t>
      </w:r>
      <w:r w:rsidRPr="004B0E72">
        <w:rPr>
          <w:rFonts w:ascii="Times New Roman" w:hAnsi="Times New Roman"/>
          <w:rtl/>
        </w:rPr>
        <w:t xml:space="preserve"> </w:t>
      </w:r>
      <w:r w:rsidRPr="004B0E72">
        <w:rPr>
          <w:rFonts w:ascii="Times New Roman" w:hAnsi="Times New Roman" w:hint="cs"/>
          <w:rtl/>
        </w:rPr>
        <w:t xml:space="preserve">החוק, כפי שיוסבר להלן, </w:t>
      </w:r>
      <w:r w:rsidR="009E5D9F" w:rsidRPr="004B0E72">
        <w:rPr>
          <w:rFonts w:ascii="Times New Roman" w:hAnsi="Times New Roman" w:hint="cs"/>
          <w:rtl/>
        </w:rPr>
        <w:t>ו</w:t>
      </w:r>
      <w:r w:rsidR="004B7E94">
        <w:rPr>
          <w:rFonts w:ascii="Times New Roman" w:hAnsi="Times New Roman" w:hint="cs"/>
          <w:rtl/>
        </w:rPr>
        <w:t>הממונה</w:t>
      </w:r>
      <w:r w:rsidR="009E5D9F" w:rsidRPr="004B0E72">
        <w:rPr>
          <w:rFonts w:ascii="Times New Roman" w:hAnsi="Times New Roman" w:hint="cs"/>
          <w:rtl/>
        </w:rPr>
        <w:t xml:space="preserve"> מצא שאין לקבלן</w:t>
      </w:r>
      <w:r w:rsidRPr="004B0E72">
        <w:rPr>
          <w:rFonts w:ascii="Times New Roman" w:hAnsi="Times New Roman" w:hint="cs"/>
          <w:rtl/>
        </w:rPr>
        <w:t>.</w:t>
      </w:r>
    </w:p>
    <w:p w14:paraId="190D6B55" w14:textId="77777777" w:rsidR="005849AD" w:rsidRPr="004B0E72" w:rsidRDefault="005849AD" w:rsidP="005849AD">
      <w:pPr>
        <w:pStyle w:val="ListParagraph"/>
        <w:numPr>
          <w:ilvl w:val="0"/>
          <w:numId w:val="27"/>
        </w:numPr>
        <w:spacing w:line="360" w:lineRule="auto"/>
        <w:jc w:val="both"/>
      </w:pPr>
      <w:r w:rsidRPr="004B0E72">
        <w:rPr>
          <w:rFonts w:hint="cs"/>
          <w:rtl/>
        </w:rPr>
        <w:t xml:space="preserve">טענתם הראשונה של הצדדים בהקשר זה היא כי אין להביא בחשבון את מחזור המכירות של חגים, חברת האם של ברמן, לצורך חישוב מחזור המכירות של ברמן. זאת מאחר שהמיזוג בין חגים לבין ברמן התרחש בתחילת שנת 2014, בעוד שלפי החוק והתקנות, שאלת קיומה של חובת הדיווח במיזוג דנן תקבע לפי מחזור המכירות על פי הדו"חות הכספיים בשנה שקדמה לו, קרי </w:t>
      </w:r>
      <w:r w:rsidRPr="004B0E72">
        <w:rPr>
          <w:rtl/>
        </w:rPr>
        <w:t>–</w:t>
      </w:r>
      <w:r w:rsidRPr="004B0E72">
        <w:rPr>
          <w:rFonts w:hint="cs"/>
          <w:rtl/>
        </w:rPr>
        <w:t xml:space="preserve"> שנת 2013. </w:t>
      </w:r>
    </w:p>
    <w:p w14:paraId="2EFBD001" w14:textId="77777777" w:rsidR="00F6012E" w:rsidRPr="004B0E72" w:rsidRDefault="005849AD" w:rsidP="00F6012E">
      <w:pPr>
        <w:pStyle w:val="ListParagraph"/>
        <w:numPr>
          <w:ilvl w:val="0"/>
          <w:numId w:val="27"/>
        </w:numPr>
        <w:spacing w:line="360" w:lineRule="auto"/>
        <w:jc w:val="both"/>
      </w:pPr>
      <w:r w:rsidRPr="004B0E72">
        <w:rPr>
          <w:rFonts w:hint="cs"/>
          <w:rtl/>
        </w:rPr>
        <w:t xml:space="preserve">אין בטענה זו ממש. ראשית, נזכיר שוב שהצדדים עצמם הצהירו בהודעות המיזוג שהוגשו מטעמם כי המיזוג היה חייב בדיווח לפי הוראות סעיף 17(א)(2) לחוק, ולא בכדי. </w:t>
      </w:r>
    </w:p>
    <w:p w14:paraId="1BEBBA87" w14:textId="3F5D701C" w:rsidR="00834A2B" w:rsidRPr="004B0E72" w:rsidRDefault="000031A6" w:rsidP="00CE3FD7">
      <w:pPr>
        <w:pStyle w:val="ListParagraph"/>
        <w:numPr>
          <w:ilvl w:val="0"/>
          <w:numId w:val="27"/>
        </w:numPr>
        <w:spacing w:line="360" w:lineRule="auto"/>
        <w:jc w:val="both"/>
      </w:pPr>
      <w:r w:rsidRPr="004B0E72">
        <w:rPr>
          <w:rFonts w:hint="cs"/>
          <w:rtl/>
        </w:rPr>
        <w:t xml:space="preserve">סעיף 9 לתקנות מסדיר את אופן קביעת מחזור המכירות של </w:t>
      </w:r>
      <w:r w:rsidR="00FA785C" w:rsidRPr="004B0E72">
        <w:rPr>
          <w:rFonts w:hint="cs"/>
          <w:rtl/>
        </w:rPr>
        <w:t>"</w:t>
      </w:r>
      <w:r w:rsidRPr="004B0E72">
        <w:rPr>
          <w:rFonts w:hint="cs"/>
          <w:rtl/>
        </w:rPr>
        <w:t>חברה מתמזגת</w:t>
      </w:r>
      <w:r w:rsidR="00FA785C" w:rsidRPr="004B0E72">
        <w:rPr>
          <w:rFonts w:hint="cs"/>
          <w:rtl/>
        </w:rPr>
        <w:t>"</w:t>
      </w:r>
      <w:r w:rsidRPr="004B0E72">
        <w:rPr>
          <w:rFonts w:hint="cs"/>
          <w:rtl/>
        </w:rPr>
        <w:t xml:space="preserve"> </w:t>
      </w:r>
      <w:r w:rsidR="00FA785C" w:rsidRPr="004B0E72">
        <w:rPr>
          <w:rFonts w:hint="cs"/>
          <w:rtl/>
        </w:rPr>
        <w:t>לצורך בחינת</w:t>
      </w:r>
      <w:r w:rsidRPr="004B0E72">
        <w:rPr>
          <w:rFonts w:hint="cs"/>
          <w:rtl/>
        </w:rPr>
        <w:t xml:space="preserve"> תחולת פרק ג' לחוק. </w:t>
      </w:r>
      <w:r w:rsidR="00FA785C" w:rsidRPr="004B0E72">
        <w:rPr>
          <w:rFonts w:hint="cs"/>
          <w:rtl/>
        </w:rPr>
        <w:t xml:space="preserve">על-פי סעיף 1 לתקנות, כל אדם קשור לחברה המתמזגת, ובכלל זה אדם השולט בה, אף הוא בגדר "חברה מתמזגת". </w:t>
      </w:r>
      <w:r w:rsidR="00834A2B" w:rsidRPr="004B0E72">
        <w:rPr>
          <w:rFonts w:hint="cs"/>
          <w:rtl/>
        </w:rPr>
        <w:t xml:space="preserve">יש להבחין בין שני הנושאים המוסדרים בכל אחד מהסעיפים הללו: </w:t>
      </w:r>
      <w:r w:rsidR="00C252B8" w:rsidRPr="004B0E72">
        <w:rPr>
          <w:rFonts w:hint="cs"/>
          <w:rtl/>
        </w:rPr>
        <w:t>שאלה אחת עניינה</w:t>
      </w:r>
      <w:r w:rsidR="00D421C1" w:rsidRPr="004B0E72">
        <w:rPr>
          <w:rFonts w:hint="cs"/>
          <w:rtl/>
        </w:rPr>
        <w:t xml:space="preserve"> </w:t>
      </w:r>
      <w:r w:rsidR="00834A2B" w:rsidRPr="004B0E72">
        <w:rPr>
          <w:rFonts w:hint="cs"/>
          <w:rtl/>
        </w:rPr>
        <w:t xml:space="preserve">זיהוי "החברות המתמזגות" ובכלל זה </w:t>
      </w:r>
      <w:r w:rsidR="00AC148D" w:rsidRPr="004B0E72">
        <w:rPr>
          <w:rFonts w:hint="cs"/>
          <w:rtl/>
        </w:rPr>
        <w:t>ה</w:t>
      </w:r>
      <w:r w:rsidR="00834A2B" w:rsidRPr="004B0E72">
        <w:rPr>
          <w:rFonts w:hint="cs"/>
          <w:rtl/>
        </w:rPr>
        <w:t>חבר</w:t>
      </w:r>
      <w:r w:rsidR="00AC148D" w:rsidRPr="004B0E72">
        <w:rPr>
          <w:rFonts w:hint="cs"/>
          <w:rtl/>
        </w:rPr>
        <w:t>ות</w:t>
      </w:r>
      <w:r w:rsidR="00834A2B" w:rsidRPr="004B0E72">
        <w:rPr>
          <w:rFonts w:hint="cs"/>
          <w:rtl/>
        </w:rPr>
        <w:t xml:space="preserve"> </w:t>
      </w:r>
      <w:r w:rsidR="00AC148D" w:rsidRPr="004B0E72">
        <w:rPr>
          <w:rFonts w:hint="cs"/>
          <w:rtl/>
        </w:rPr>
        <w:t xml:space="preserve">השולטות </w:t>
      </w:r>
      <w:r w:rsidR="0061522B" w:rsidRPr="004B0E72">
        <w:rPr>
          <w:rFonts w:hint="cs"/>
          <w:rtl/>
        </w:rPr>
        <w:t xml:space="preserve">בצדדים הישירים למיזוג </w:t>
      </w:r>
      <w:r w:rsidR="00834A2B" w:rsidRPr="004B0E72">
        <w:rPr>
          <w:rFonts w:hint="cs"/>
          <w:rtl/>
        </w:rPr>
        <w:t>בעת ביצוע המיזוג</w:t>
      </w:r>
      <w:r w:rsidR="00C252B8" w:rsidRPr="004B0E72">
        <w:rPr>
          <w:rFonts w:hint="cs"/>
          <w:rtl/>
        </w:rPr>
        <w:t>; השאלה השנייה</w:t>
      </w:r>
      <w:r w:rsidR="00D421C1" w:rsidRPr="004B0E72">
        <w:rPr>
          <w:rFonts w:hint="cs"/>
          <w:rtl/>
        </w:rPr>
        <w:t xml:space="preserve"> </w:t>
      </w:r>
      <w:r w:rsidR="00C252B8" w:rsidRPr="004B0E72">
        <w:rPr>
          <w:rFonts w:hint="cs"/>
          <w:rtl/>
        </w:rPr>
        <w:t>נוגעת</w:t>
      </w:r>
      <w:r w:rsidR="00834A2B" w:rsidRPr="004B0E72">
        <w:rPr>
          <w:rFonts w:hint="cs"/>
          <w:rtl/>
        </w:rPr>
        <w:t xml:space="preserve"> </w:t>
      </w:r>
      <w:r w:rsidR="00C252B8" w:rsidRPr="004B0E72">
        <w:rPr>
          <w:rFonts w:hint="cs"/>
          <w:rtl/>
        </w:rPr>
        <w:t>ל</w:t>
      </w:r>
      <w:r w:rsidR="00834A2B" w:rsidRPr="004B0E72">
        <w:rPr>
          <w:rFonts w:hint="cs"/>
          <w:rtl/>
        </w:rPr>
        <w:t>חישוב מחזור</w:t>
      </w:r>
      <w:r w:rsidR="00C252B8" w:rsidRPr="004B0E72">
        <w:rPr>
          <w:rFonts w:hint="cs"/>
          <w:rtl/>
        </w:rPr>
        <w:t xml:space="preserve"> המכירות</w:t>
      </w:r>
      <w:r w:rsidR="00834A2B" w:rsidRPr="004B0E72">
        <w:rPr>
          <w:rFonts w:hint="cs"/>
          <w:rtl/>
        </w:rPr>
        <w:t xml:space="preserve"> של החברות המתמזגות</w:t>
      </w:r>
      <w:r w:rsidR="000A5529" w:rsidRPr="004B0E72">
        <w:rPr>
          <w:rFonts w:hint="cs"/>
          <w:rtl/>
        </w:rPr>
        <w:t xml:space="preserve"> כפי שזוהו </w:t>
      </w:r>
      <w:r w:rsidR="00CE3FD7" w:rsidRPr="004B0E72">
        <w:rPr>
          <w:rFonts w:hint="cs"/>
          <w:rtl/>
        </w:rPr>
        <w:t xml:space="preserve">כאמור </w:t>
      </w:r>
      <w:r w:rsidR="000A5529" w:rsidRPr="004B0E72">
        <w:rPr>
          <w:rFonts w:hint="cs"/>
          <w:rtl/>
        </w:rPr>
        <w:t>לעיל</w:t>
      </w:r>
      <w:r w:rsidR="00834A2B" w:rsidRPr="004B0E72">
        <w:rPr>
          <w:rFonts w:hint="cs"/>
          <w:rtl/>
        </w:rPr>
        <w:t>, שנעשה על-פי הדו"חות הכספיים של השנה הקודמת. טענת הצדדים מבקשת לגרור את דרך חישוב מחזור המכירות של המתמזגות גם ל</w:t>
      </w:r>
      <w:r w:rsidR="00C252B8" w:rsidRPr="004B0E72">
        <w:rPr>
          <w:rFonts w:hint="cs"/>
          <w:rtl/>
        </w:rPr>
        <w:t xml:space="preserve">שאלת </w:t>
      </w:r>
      <w:r w:rsidR="00834A2B" w:rsidRPr="004B0E72">
        <w:rPr>
          <w:rFonts w:hint="cs"/>
          <w:rtl/>
        </w:rPr>
        <w:t xml:space="preserve">זיהוי הצדדים </w:t>
      </w:r>
      <w:r w:rsidR="00C252B8" w:rsidRPr="004B0E72">
        <w:rPr>
          <w:rFonts w:hint="cs"/>
          <w:rtl/>
        </w:rPr>
        <w:t>למיזוג</w:t>
      </w:r>
      <w:r w:rsidR="00834A2B" w:rsidRPr="004B0E72">
        <w:rPr>
          <w:rFonts w:hint="cs"/>
          <w:rtl/>
        </w:rPr>
        <w:t>, וזאת בניגוד ללשון החוק והתקנות וכפי שנראה מיד גם בניגוד לתכליתו.</w:t>
      </w:r>
    </w:p>
    <w:p w14:paraId="25E7208C" w14:textId="3AE2AA56" w:rsidR="005849AD" w:rsidRPr="004B0E72" w:rsidRDefault="00834A2B" w:rsidP="009B5AEA">
      <w:pPr>
        <w:pStyle w:val="ListParagraph"/>
        <w:numPr>
          <w:ilvl w:val="0"/>
          <w:numId w:val="27"/>
        </w:numPr>
        <w:spacing w:line="360" w:lineRule="auto"/>
        <w:jc w:val="both"/>
      </w:pPr>
      <w:r w:rsidRPr="004B0E72">
        <w:rPr>
          <w:rFonts w:hint="cs"/>
          <w:rtl/>
        </w:rPr>
        <w:lastRenderedPageBreak/>
        <w:t>תכלית סעיף 17(א)(2) לחוק הי</w:t>
      </w:r>
      <w:r w:rsidR="00570410" w:rsidRPr="004B0E72">
        <w:rPr>
          <w:rFonts w:hint="cs"/>
          <w:rtl/>
        </w:rPr>
        <w:t>א</w:t>
      </w:r>
      <w:r w:rsidRPr="004B0E72">
        <w:rPr>
          <w:rFonts w:hint="cs"/>
          <w:rtl/>
        </w:rPr>
        <w:t xml:space="preserve"> לזהות מיזוגים </w:t>
      </w:r>
      <w:r w:rsidR="009E7C91" w:rsidRPr="004B0E72">
        <w:rPr>
          <w:rFonts w:hint="cs"/>
          <w:rtl/>
        </w:rPr>
        <w:t xml:space="preserve">המצדיקים בחינה מעמיקה בשל נפח הפעילות הכלכלית של </w:t>
      </w:r>
      <w:r w:rsidR="00D421C1" w:rsidRPr="004B0E72">
        <w:rPr>
          <w:rFonts w:hint="cs"/>
          <w:rtl/>
        </w:rPr>
        <w:t>החברות המתמזגות</w:t>
      </w:r>
      <w:r w:rsidR="009B5AEA" w:rsidRPr="004B0E72">
        <w:rPr>
          <w:rFonts w:hint="cs"/>
          <w:rtl/>
        </w:rPr>
        <w:t xml:space="preserve"> </w:t>
      </w:r>
      <w:r w:rsidR="00570410" w:rsidRPr="004B0E72">
        <w:rPr>
          <w:rFonts w:hint="cs"/>
          <w:rtl/>
        </w:rPr>
        <w:t>ולהביאם בפני הממונה טרם ביצוע המיזוג</w:t>
      </w:r>
      <w:r w:rsidR="009E7C91" w:rsidRPr="004B0E72">
        <w:rPr>
          <w:rFonts w:hint="cs"/>
          <w:rtl/>
        </w:rPr>
        <w:t xml:space="preserve">; מימוש תכלית זו מחייב לזהות את </w:t>
      </w:r>
      <w:r w:rsidR="00D421C1" w:rsidRPr="004B0E72">
        <w:rPr>
          <w:rFonts w:hint="cs"/>
          <w:rtl/>
        </w:rPr>
        <w:t xml:space="preserve">החברות המתמזגות </w:t>
      </w:r>
      <w:r w:rsidR="009E7C91" w:rsidRPr="004B0E72">
        <w:rPr>
          <w:rFonts w:hint="cs"/>
          <w:rtl/>
        </w:rPr>
        <w:t>בעת ביצוע המיזוג</w:t>
      </w:r>
      <w:r w:rsidR="00D707A9" w:rsidRPr="004B0E72">
        <w:rPr>
          <w:rFonts w:hint="cs"/>
          <w:rtl/>
        </w:rPr>
        <w:t xml:space="preserve">, ולקחת בחשבון שינויים שחלו </w:t>
      </w:r>
      <w:r w:rsidR="001C0039" w:rsidRPr="004B0E72">
        <w:rPr>
          <w:rFonts w:hint="cs"/>
          <w:rtl/>
        </w:rPr>
        <w:t>בזהות בעל ה</w:t>
      </w:r>
      <w:r w:rsidR="00D707A9" w:rsidRPr="004B0E72">
        <w:rPr>
          <w:rFonts w:hint="cs"/>
          <w:rtl/>
        </w:rPr>
        <w:t>שליטה בהן</w:t>
      </w:r>
      <w:r w:rsidR="001C0039" w:rsidRPr="004B0E72">
        <w:rPr>
          <w:rFonts w:hint="cs"/>
          <w:rtl/>
        </w:rPr>
        <w:t xml:space="preserve">, </w:t>
      </w:r>
      <w:r w:rsidR="00D707A9" w:rsidRPr="004B0E72">
        <w:rPr>
          <w:rFonts w:hint="cs"/>
          <w:rtl/>
        </w:rPr>
        <w:t xml:space="preserve">אף </w:t>
      </w:r>
      <w:r w:rsidR="001C0039" w:rsidRPr="004B0E72">
        <w:rPr>
          <w:rFonts w:hint="cs"/>
          <w:rtl/>
        </w:rPr>
        <w:t xml:space="preserve">אם </w:t>
      </w:r>
      <w:r w:rsidR="00D707A9" w:rsidRPr="004B0E72">
        <w:rPr>
          <w:rFonts w:hint="cs"/>
          <w:rtl/>
        </w:rPr>
        <w:t xml:space="preserve">שינויים אלה לא קיבלו ביטוי בדו"חות הכספיים של השנה הקודמת למיזוג. </w:t>
      </w:r>
      <w:r w:rsidR="001C0039" w:rsidRPr="004B0E72">
        <w:rPr>
          <w:rFonts w:hint="cs"/>
          <w:rtl/>
        </w:rPr>
        <w:t xml:space="preserve">הפרשנות המוצעת על ידי המפרות עלולה לעודד </w:t>
      </w:r>
      <w:r w:rsidR="00D707A9" w:rsidRPr="004B0E72">
        <w:rPr>
          <w:rFonts w:hint="cs"/>
          <w:rtl/>
        </w:rPr>
        <w:t xml:space="preserve">"תכנון מיזוגים" במטרה לעקוף את מנגנון הפיקוח בחוק. </w:t>
      </w:r>
      <w:r w:rsidR="005849AD" w:rsidRPr="004B0E72">
        <w:rPr>
          <w:rFonts w:hint="cs"/>
          <w:rtl/>
        </w:rPr>
        <w:t>טול לדוגמה מקרה בו חברה א', שלה מחזור מכירות של מיליארדי שקלים לשנה, רוכשת בתחילת שנה מסוימת חברה ב', שלה מחזור מכירות נמוך. לפי טענת המפרות, החברה הממוזגת תוכל במשך אותה שנה לבצע מיזוגים כאוות נפשה, מבלי שתהא חובה להביאם לאישור הממונה מכוח חלופת מחזור המכירות, כל זמן שהמיזוג נעשה, מבחינה פורמלית, באמצעות חברה ב'. ברי כי פרשנות כאמור חותרת תחת תכלית הפיקוח על מיזוגים, ומסכלת אותה.</w:t>
      </w:r>
    </w:p>
    <w:p w14:paraId="2ED85F32" w14:textId="77777777" w:rsidR="005849AD" w:rsidRPr="004B0E72" w:rsidRDefault="005849AD" w:rsidP="005849AD">
      <w:pPr>
        <w:pStyle w:val="ListParagraph"/>
        <w:numPr>
          <w:ilvl w:val="0"/>
          <w:numId w:val="27"/>
        </w:numPr>
        <w:spacing w:line="360" w:lineRule="auto"/>
        <w:jc w:val="both"/>
      </w:pPr>
      <w:r w:rsidRPr="004B0E72">
        <w:rPr>
          <w:rFonts w:hint="cs"/>
          <w:rtl/>
        </w:rPr>
        <w:t xml:space="preserve">טענה נוספת שהעלו הצדדים היא כי הסכומים הרלוונטיים לעניין דיווח על מיזוג אינם אלה הנקובים במפורש בסעיף 17(א)(2) לחוק (רף מינימלי למחזור המאוחד של הצדדים העומד על 150 מיליון ₪) ובתקנה 9(ב) לתקנות (רף מינימלי של מחזור המכירות של שני צדדים לפחות העומד על 10 מיליון ₪ לכל צד), אלא יש לבחון את תחולת פרק ג' לחוק בהתאם לסכומים אשר היו מתקבלים לו עודכנו </w:t>
      </w:r>
      <w:r w:rsidRPr="004B0E72">
        <w:rPr>
          <w:rFonts w:hint="cs"/>
          <w:rtl/>
        </w:rPr>
        <w:lastRenderedPageBreak/>
        <w:t>הסכומים, בדרך הקבועה בסעיף 17(ב)(1) לחוק, דהיינו 204 מיליון ₪ ו-12.4 מיליון ₪ בהתאמה.</w:t>
      </w:r>
      <w:r w:rsidRPr="004B0E72">
        <w:rPr>
          <w:rStyle w:val="FootnoteReference"/>
          <w:rtl/>
        </w:rPr>
        <w:footnoteReference w:id="9"/>
      </w:r>
      <w:r w:rsidRPr="004B0E72">
        <w:rPr>
          <w:rtl/>
        </w:rPr>
        <w:t xml:space="preserve"> </w:t>
      </w:r>
      <w:r w:rsidRPr="004B0E72">
        <w:rPr>
          <w:rFonts w:hint="cs"/>
          <w:rtl/>
        </w:rPr>
        <w:t xml:space="preserve"> </w:t>
      </w:r>
    </w:p>
    <w:p w14:paraId="3DC8CDD1" w14:textId="5180770C" w:rsidR="005849AD" w:rsidRPr="004B0E72" w:rsidRDefault="005849AD" w:rsidP="005849AD">
      <w:pPr>
        <w:pStyle w:val="ListParagraph"/>
        <w:numPr>
          <w:ilvl w:val="0"/>
          <w:numId w:val="27"/>
        </w:numPr>
        <w:spacing w:line="360" w:lineRule="auto"/>
        <w:jc w:val="both"/>
      </w:pPr>
      <w:r w:rsidRPr="004B0E72">
        <w:rPr>
          <w:rFonts w:hint="cs"/>
          <w:rtl/>
        </w:rPr>
        <w:t xml:space="preserve">במקרה דנן, אין לטענה זו כל נפקות מעשית, מאחר שמחזורי המכירות הרלוונטיים של הצדדים בתקופה הרלוונטית ממילא עולים על 204 מיליון ₪ ומחזור המכירות של כל אחד מהם ממילא עולה על 12.4 מיליון ₪. מכל מקום ולמעלה מן הצורך, יובהר כי החוק קובע בלשון שאינה משתמעת לשני פנים כי "תחילת תקפו של סכום מעודכן כאמור תהיה ביום שהשר פרסם הודעה עליו ברשומות" (סעיף 17(ב)(3)). קרי, הליך העדכון הקבוע בסעיף 17(ב) לחוק אינו אוטומטי אלא תלוי בפרסום הודעה של השר ברשומות. בהיעדר הודעה כזו, הסכום המחייב הוא כמובן הסכום הקבוע בחוק. </w:t>
      </w:r>
    </w:p>
    <w:p w14:paraId="00A45312" w14:textId="555ECFDA"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hint="cs"/>
          <w:rtl/>
        </w:rPr>
        <w:t xml:space="preserve">נוכח כל המתואר לעיל, המדובר במיזוג החב בחובות הדיווח וההמתנה בהתאם להוראות פרק ג' לחוק ומעשי הצדדים עולים כדי מיזוג שלא בהתאם להוראות אלו.  </w:t>
      </w:r>
    </w:p>
    <w:p w14:paraId="3158C932" w14:textId="77777777" w:rsidR="005849AD" w:rsidRPr="004B0E72" w:rsidRDefault="005849AD" w:rsidP="005849AD">
      <w:pPr>
        <w:pStyle w:val="ListParagraph"/>
        <w:spacing w:line="360" w:lineRule="auto"/>
        <w:ind w:left="397"/>
        <w:jc w:val="both"/>
        <w:rPr>
          <w:rFonts w:ascii="Times New Roman" w:hAnsi="Times New Roman"/>
        </w:rPr>
      </w:pPr>
    </w:p>
    <w:p w14:paraId="4B5ABBFF" w14:textId="77777777" w:rsidR="00D924E2" w:rsidRPr="004B0E72" w:rsidRDefault="00D924E2" w:rsidP="004D1F87">
      <w:pPr>
        <w:pStyle w:val="Heading1"/>
        <w:numPr>
          <w:ilvl w:val="0"/>
          <w:numId w:val="39"/>
        </w:numPr>
      </w:pPr>
      <w:r w:rsidRPr="004B0E72">
        <w:rPr>
          <w:rFonts w:hint="cs"/>
          <w:rtl/>
        </w:rPr>
        <w:t>אכיפת</w:t>
      </w:r>
      <w:r w:rsidRPr="004B0E72">
        <w:rPr>
          <w:rtl/>
        </w:rPr>
        <w:t xml:space="preserve"> </w:t>
      </w:r>
      <w:r w:rsidRPr="004B0E72">
        <w:rPr>
          <w:rFonts w:hint="cs"/>
          <w:rtl/>
        </w:rPr>
        <w:t>הוראות</w:t>
      </w:r>
      <w:r w:rsidRPr="004B0E72">
        <w:rPr>
          <w:rtl/>
        </w:rPr>
        <w:t xml:space="preserve"> </w:t>
      </w:r>
      <w:r w:rsidRPr="004B0E72">
        <w:rPr>
          <w:rFonts w:hint="cs"/>
          <w:rtl/>
        </w:rPr>
        <w:t>החוק</w:t>
      </w:r>
      <w:r w:rsidRPr="004B0E72">
        <w:rPr>
          <w:rtl/>
        </w:rPr>
        <w:t xml:space="preserve"> </w:t>
      </w:r>
      <w:r w:rsidRPr="004B0E72">
        <w:rPr>
          <w:rFonts w:hint="cs"/>
          <w:rtl/>
        </w:rPr>
        <w:t>באמצעות</w:t>
      </w:r>
      <w:r w:rsidRPr="004B0E72">
        <w:rPr>
          <w:rtl/>
        </w:rPr>
        <w:t xml:space="preserve"> </w:t>
      </w:r>
      <w:r w:rsidRPr="004B0E72">
        <w:rPr>
          <w:rFonts w:hint="cs"/>
          <w:rtl/>
        </w:rPr>
        <w:t>הטלת</w:t>
      </w:r>
      <w:r w:rsidRPr="004B0E72">
        <w:rPr>
          <w:rtl/>
        </w:rPr>
        <w:t xml:space="preserve"> </w:t>
      </w:r>
      <w:r w:rsidRPr="004B0E72">
        <w:rPr>
          <w:rFonts w:hint="cs"/>
          <w:rtl/>
        </w:rPr>
        <w:t>עיצום</w:t>
      </w:r>
      <w:r w:rsidRPr="004B0E72">
        <w:rPr>
          <w:rtl/>
        </w:rPr>
        <w:t xml:space="preserve"> </w:t>
      </w:r>
      <w:r w:rsidRPr="004B0E72">
        <w:rPr>
          <w:rFonts w:hint="cs"/>
          <w:rtl/>
        </w:rPr>
        <w:t>כספי</w:t>
      </w:r>
    </w:p>
    <w:p w14:paraId="72EB0278" w14:textId="1D82DB9B" w:rsidR="00D924E2" w:rsidRPr="004B0E72" w:rsidRDefault="00D924E2" w:rsidP="00D924E2">
      <w:pPr>
        <w:pStyle w:val="ListParagraph"/>
        <w:numPr>
          <w:ilvl w:val="0"/>
          <w:numId w:val="27"/>
        </w:numPr>
        <w:spacing w:line="360" w:lineRule="auto"/>
        <w:jc w:val="both"/>
      </w:pPr>
      <w:r w:rsidRPr="004B0E72">
        <w:rPr>
          <w:rFonts w:hint="cs"/>
          <w:rtl/>
        </w:rPr>
        <w:lastRenderedPageBreak/>
        <w:t>בהחלטת</w:t>
      </w:r>
      <w:r w:rsidR="00965D5A" w:rsidRPr="004B0E72">
        <w:rPr>
          <w:rFonts w:hint="cs"/>
          <w:rtl/>
        </w:rPr>
        <w:t xml:space="preserve"> הממונה</w:t>
      </w:r>
      <w:r w:rsidRPr="004B0E72">
        <w:rPr>
          <w:rFonts w:hint="cs"/>
          <w:rtl/>
        </w:rPr>
        <w:t xml:space="preserve"> מיום 14.12.2014 בענין הטלת עיצום כספי על תנובה אגודה שיתופית לשיווק תוצרת חקלאית בע"מ וטירת צבי 2000 שותפות מוגבלת</w:t>
      </w:r>
      <w:r w:rsidRPr="004B0E72">
        <w:rPr>
          <w:rStyle w:val="FootnoteReference"/>
          <w:rtl/>
        </w:rPr>
        <w:footnoteReference w:id="10"/>
      </w:r>
      <w:r w:rsidRPr="004B0E72">
        <w:rPr>
          <w:rFonts w:hint="cs"/>
          <w:rtl/>
        </w:rPr>
        <w:t xml:space="preserve"> (להלן: "</w:t>
      </w:r>
      <w:r w:rsidRPr="004B0E72">
        <w:rPr>
          <w:rFonts w:hint="cs"/>
          <w:b/>
          <w:bCs/>
          <w:rtl/>
        </w:rPr>
        <w:t>ענין תנובה</w:t>
      </w:r>
      <w:r w:rsidRPr="004B0E72">
        <w:rPr>
          <w:rFonts w:hint="cs"/>
          <w:rtl/>
        </w:rPr>
        <w:t xml:space="preserve">") פורטו הרקע ותכלית מתן הסמכות להטיל עיצומים כספיים בידי הממונה במסגרת תיקון מספר 13 לחוק. כפי שפורט שם, סמכות זו נועדה להוסיף על אמצעי האכיפה הפליליים והמינהליים שבידי הממונה לשם קידום הציות להוראות החוק. </w:t>
      </w:r>
    </w:p>
    <w:p w14:paraId="3CCAB7D2" w14:textId="5EB2A15B" w:rsidR="00D924E2" w:rsidRPr="004B0E72" w:rsidRDefault="00D924E2" w:rsidP="00434B0D">
      <w:pPr>
        <w:pStyle w:val="ListParagraph"/>
        <w:numPr>
          <w:ilvl w:val="0"/>
          <w:numId w:val="27"/>
        </w:numPr>
        <w:spacing w:line="360" w:lineRule="auto"/>
        <w:jc w:val="both"/>
      </w:pPr>
      <w:r w:rsidRPr="004B0E72">
        <w:rPr>
          <w:rFonts w:hint="cs"/>
          <w:rtl/>
        </w:rPr>
        <w:t>סעיף 50ד לחוק קובע את המקרים שבעניינם יוכל הממונה להטיל עיצום כספי. הסעיף כולל שורה של הפרות של חוק ההגבלים העסקיים, ובכלל זה הפרת הורא</w:t>
      </w:r>
      <w:r w:rsidR="00EE1DA9" w:rsidRPr="004B0E72">
        <w:rPr>
          <w:rFonts w:hint="cs"/>
          <w:rtl/>
        </w:rPr>
        <w:t>ו</w:t>
      </w:r>
      <w:r w:rsidRPr="004B0E72">
        <w:rPr>
          <w:rFonts w:hint="cs"/>
          <w:rtl/>
        </w:rPr>
        <w:t xml:space="preserve">ת </w:t>
      </w:r>
      <w:r w:rsidR="00EE1DA9" w:rsidRPr="004B0E72">
        <w:rPr>
          <w:rFonts w:hint="cs"/>
          <w:rtl/>
        </w:rPr>
        <w:t>פרק ג' לחוק</w:t>
      </w:r>
      <w:r w:rsidRPr="004B0E72">
        <w:rPr>
          <w:rFonts w:hint="cs"/>
          <w:rtl/>
        </w:rPr>
        <w:t>, כבענייננו:</w:t>
      </w:r>
      <w:r w:rsidR="00F965F7" w:rsidRPr="004B0E72">
        <w:rPr>
          <w:rFonts w:hint="cs"/>
          <w:rtl/>
        </w:rPr>
        <w:t xml:space="preserve"> </w:t>
      </w:r>
    </w:p>
    <w:p w14:paraId="47FAC170" w14:textId="77777777" w:rsidR="00EE1DA9" w:rsidRPr="004B0E72" w:rsidRDefault="00D924E2" w:rsidP="00EE1DA9">
      <w:pPr>
        <w:pStyle w:val="Quote"/>
        <w:rPr>
          <w:rtl/>
        </w:rPr>
      </w:pPr>
      <w:r w:rsidRPr="004B0E72">
        <w:rPr>
          <w:rFonts w:hint="cs"/>
          <w:rtl/>
        </w:rPr>
        <w:t>"50ד. (</w:t>
      </w:r>
      <w:r w:rsidR="00EE1DA9" w:rsidRPr="004B0E72">
        <w:rPr>
          <w:rFonts w:hint="cs"/>
          <w:rtl/>
        </w:rPr>
        <w:t>א</w:t>
      </w:r>
      <w:r w:rsidRPr="004B0E72">
        <w:rPr>
          <w:rFonts w:hint="cs"/>
          <w:rtl/>
        </w:rPr>
        <w:t>) הפר</w:t>
      </w:r>
      <w:r w:rsidRPr="004B0E72">
        <w:rPr>
          <w:rtl/>
        </w:rPr>
        <w:t xml:space="preserve"> </w:t>
      </w:r>
      <w:r w:rsidRPr="004B0E72">
        <w:rPr>
          <w:rFonts w:hint="cs"/>
          <w:rtl/>
        </w:rPr>
        <w:t>אדם</w:t>
      </w:r>
      <w:r w:rsidRPr="004B0E72">
        <w:rPr>
          <w:rtl/>
        </w:rPr>
        <w:t xml:space="preserve"> </w:t>
      </w:r>
      <w:r w:rsidR="00EE1DA9" w:rsidRPr="004B0E72">
        <w:rPr>
          <w:rFonts w:hint="cs"/>
          <w:rtl/>
        </w:rPr>
        <w:t>הוראה מההוראות לפי חוק זה כמפורט להלן, רשאי הממונה להטיל עליו עיצום כספי לפי פרק זה, בסכום של עד מיליון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אחזורים ממחזור המכירות כאמור, ובלבד שסכום העיצום לא יעלה על 24 מיליון שקלים חדשים:</w:t>
      </w:r>
    </w:p>
    <w:p w14:paraId="79DBD0D5" w14:textId="77777777" w:rsidR="00D924E2" w:rsidRPr="004B0E72" w:rsidRDefault="00EE1DA9" w:rsidP="00EE1DA9">
      <w:pPr>
        <w:pStyle w:val="Quote"/>
        <w:rPr>
          <w:rtl/>
        </w:rPr>
      </w:pPr>
      <w:r w:rsidRPr="004B0E72">
        <w:rPr>
          <w:rFonts w:hint="cs"/>
          <w:rtl/>
        </w:rPr>
        <w:lastRenderedPageBreak/>
        <w:t>...(2) עשה מעשה שיש בו משום מיזוג, מלא או חלקי, שלא בהתאם להוראות לפי פרק ג', ובכלל זה הפר תנאי שקבע בית הדין או הממונה לפי סעיף 21(א) או 22(ג)."</w:t>
      </w:r>
    </w:p>
    <w:p w14:paraId="60CAE101" w14:textId="77777777" w:rsidR="00434B0D" w:rsidRPr="004B0E72" w:rsidRDefault="00B24F80" w:rsidP="00434B0D">
      <w:pPr>
        <w:spacing w:line="360" w:lineRule="auto"/>
        <w:ind w:left="397"/>
        <w:jc w:val="both"/>
        <w:rPr>
          <w:rtl/>
        </w:rPr>
      </w:pPr>
      <w:r w:rsidRPr="004B0E72">
        <w:rPr>
          <w:rFonts w:hint="cs"/>
          <w:rtl/>
        </w:rPr>
        <w:t xml:space="preserve">יצוין כי </w:t>
      </w:r>
      <w:r w:rsidR="00434B0D" w:rsidRPr="004B0E72">
        <w:rPr>
          <w:rFonts w:hint="cs"/>
          <w:rtl/>
        </w:rPr>
        <w:t>סכומי העיצום המרביים</w:t>
      </w:r>
      <w:r w:rsidRPr="004B0E72">
        <w:rPr>
          <w:rFonts w:hint="cs"/>
          <w:rtl/>
        </w:rPr>
        <w:t xml:space="preserve"> הנזכרים עודכנו בהתאם להוראות סעיף 50ט לחוק, והם עומדים עתה על 1,023,510 ₪</w:t>
      </w:r>
      <w:r w:rsidR="00434B0D" w:rsidRPr="004B0E72">
        <w:rPr>
          <w:rFonts w:hint="cs"/>
          <w:rtl/>
        </w:rPr>
        <w:t xml:space="preserve"> ו-</w:t>
      </w:r>
      <w:r w:rsidRPr="004B0E72">
        <w:rPr>
          <w:rFonts w:hint="cs"/>
          <w:rtl/>
        </w:rPr>
        <w:t>24,564,360 ₪</w:t>
      </w:r>
      <w:r w:rsidR="00434B0D" w:rsidRPr="004B0E72">
        <w:rPr>
          <w:rFonts w:hint="cs"/>
          <w:rtl/>
        </w:rPr>
        <w:t xml:space="preserve"> בהתאמה. </w:t>
      </w:r>
    </w:p>
    <w:p w14:paraId="00E771D8" w14:textId="175954B8" w:rsidR="00D924E2" w:rsidRPr="004B0E72" w:rsidRDefault="00D924E2" w:rsidP="00434B0D">
      <w:pPr>
        <w:pStyle w:val="ListParagraph"/>
        <w:numPr>
          <w:ilvl w:val="0"/>
          <w:numId w:val="27"/>
        </w:numPr>
        <w:spacing w:line="360" w:lineRule="auto"/>
        <w:jc w:val="both"/>
      </w:pPr>
      <w:r w:rsidRPr="004B0E72">
        <w:rPr>
          <w:rFonts w:hint="cs"/>
          <w:rtl/>
        </w:rPr>
        <w:t>אופן הפעלת שיקול דעתם של הרשות והממונה בבחירה בין כלי האכיפה השונים העומדים לרשותם הותווה ב"גילוי דעת 1/12: הנחיות רשות ההגבלים העסקיים בדבר השימוש בהליכי אכיפה של עיצומים כספיים"</w:t>
      </w:r>
      <w:r w:rsidRPr="004B0E72">
        <w:rPr>
          <w:rStyle w:val="FootnoteReference"/>
          <w:rtl/>
        </w:rPr>
        <w:footnoteReference w:id="11"/>
      </w:r>
      <w:r w:rsidRPr="004B0E72">
        <w:rPr>
          <w:rFonts w:hint="cs"/>
          <w:rtl/>
        </w:rPr>
        <w:t xml:space="preserve"> (להלן: "</w:t>
      </w:r>
      <w:r w:rsidRPr="004B0E72">
        <w:rPr>
          <w:rFonts w:hint="cs"/>
          <w:b/>
          <w:bCs/>
          <w:rtl/>
        </w:rPr>
        <w:t>גילוי</w:t>
      </w:r>
      <w:r w:rsidRPr="004B0E72">
        <w:rPr>
          <w:b/>
          <w:bCs/>
          <w:rtl/>
        </w:rPr>
        <w:t xml:space="preserve"> </w:t>
      </w:r>
      <w:r w:rsidRPr="004B0E72">
        <w:rPr>
          <w:rFonts w:hint="cs"/>
          <w:b/>
          <w:bCs/>
          <w:rtl/>
        </w:rPr>
        <w:t>דעת</w:t>
      </w:r>
      <w:r w:rsidRPr="004B0E72">
        <w:rPr>
          <w:b/>
          <w:bCs/>
          <w:rtl/>
        </w:rPr>
        <w:t xml:space="preserve"> 1/12</w:t>
      </w:r>
      <w:r w:rsidRPr="004B0E72">
        <w:rPr>
          <w:rFonts w:hint="cs"/>
          <w:rtl/>
        </w:rPr>
        <w:t xml:space="preserve">"). </w:t>
      </w:r>
    </w:p>
    <w:p w14:paraId="4A0725B0" w14:textId="77777777" w:rsidR="00D924E2" w:rsidRPr="004B0E72" w:rsidRDefault="00D924E2" w:rsidP="00D924E2">
      <w:pPr>
        <w:pStyle w:val="ListParagraph"/>
        <w:numPr>
          <w:ilvl w:val="0"/>
          <w:numId w:val="27"/>
        </w:numPr>
        <w:spacing w:line="360" w:lineRule="auto"/>
        <w:jc w:val="both"/>
        <w:rPr>
          <w:rtl/>
        </w:rPr>
      </w:pPr>
      <w:r w:rsidRPr="004B0E72">
        <w:rPr>
          <w:rFonts w:hint="cs"/>
          <w:rtl/>
        </w:rPr>
        <w:t>גילוי דעת 1/12 מבהיר</w:t>
      </w:r>
      <w:r w:rsidRPr="004B0E72">
        <w:rPr>
          <w:rFonts w:hint="cs"/>
          <w:sz w:val="24"/>
          <w:rtl/>
        </w:rPr>
        <w:t xml:space="preserve"> מהן ההפרות ובאלו נסיבות יהיה העיצום הכספי כלי האכיפה המרכזי בו ייעשה שימוש על ידי הממונה</w:t>
      </w:r>
      <w:r w:rsidRPr="004B0E72">
        <w:rPr>
          <w:sz w:val="24"/>
          <w:rtl/>
        </w:rPr>
        <w:t xml:space="preserve">. </w:t>
      </w:r>
      <w:r w:rsidRPr="004B0E72">
        <w:rPr>
          <w:rFonts w:hint="cs"/>
          <w:sz w:val="24"/>
          <w:rtl/>
        </w:rPr>
        <w:t xml:space="preserve">בין המקרים בהם יינקטו צעדי אכיפה מינהליים בדרך של הטלת עיצום כספי מונה גילוי הדעת את המקרה הבא: </w:t>
      </w:r>
    </w:p>
    <w:p w14:paraId="0F3DAFF3" w14:textId="77777777" w:rsidR="00D924E2" w:rsidRPr="004B0E72" w:rsidRDefault="004D7BDD" w:rsidP="004D7BDD">
      <w:pPr>
        <w:pStyle w:val="Quote"/>
        <w:rPr>
          <w:color w:val="auto"/>
          <w:rtl/>
        </w:rPr>
      </w:pPr>
      <w:r w:rsidRPr="004B0E72">
        <w:rPr>
          <w:rFonts w:hint="cs"/>
          <w:color w:val="auto"/>
          <w:rtl/>
        </w:rPr>
        <w:t>"2</w:t>
      </w:r>
      <w:r w:rsidR="00D924E2" w:rsidRPr="004B0E72">
        <w:rPr>
          <w:color w:val="auto"/>
          <w:rtl/>
        </w:rPr>
        <w:t xml:space="preserve">. </w:t>
      </w:r>
      <w:r w:rsidRPr="004B0E72">
        <w:rPr>
          <w:rFonts w:hint="cs"/>
          <w:color w:val="auto"/>
          <w:rtl/>
        </w:rPr>
        <w:t>מעשה (להלן, בגילוי דעת זה: לרבות מחדל) שיש בו משום מיזוג, מלא או חלקי, שלא בהתאם להוראות לפי פרק ג' לחוק, כאשר המיזוג אינו מיזוג אופקי."</w:t>
      </w:r>
    </w:p>
    <w:p w14:paraId="68AB5AEA" w14:textId="6171D691" w:rsidR="00773BF8" w:rsidRPr="004B0E72" w:rsidRDefault="005849AD" w:rsidP="000F3EEE">
      <w:pPr>
        <w:pStyle w:val="ListParagraph"/>
        <w:numPr>
          <w:ilvl w:val="0"/>
          <w:numId w:val="27"/>
        </w:numPr>
        <w:spacing w:before="120" w:after="0" w:line="360" w:lineRule="auto"/>
        <w:jc w:val="both"/>
        <w:rPr>
          <w:rFonts w:ascii="Times New Roman" w:hAnsi="Times New Roman"/>
        </w:rPr>
      </w:pPr>
      <w:r w:rsidRPr="004B0E72">
        <w:rPr>
          <w:rFonts w:ascii="Times New Roman" w:hAnsi="Times New Roman"/>
          <w:rtl/>
        </w:rPr>
        <w:t xml:space="preserve">כפי שפורט בהרחבה לעיל, הצדדים עשו </w:t>
      </w:r>
      <w:r w:rsidRPr="004B0E72">
        <w:rPr>
          <w:rFonts w:ascii="Times New Roman" w:hAnsi="Times New Roman" w:hint="cs"/>
          <w:rtl/>
        </w:rPr>
        <w:t xml:space="preserve">מעשה שיש בו משום </w:t>
      </w:r>
      <w:r w:rsidRPr="004B0E72">
        <w:rPr>
          <w:rFonts w:ascii="Times New Roman" w:hAnsi="Times New Roman"/>
          <w:rtl/>
        </w:rPr>
        <w:t xml:space="preserve">מיזוג שלא בהתאם להוראות פרק ג' לחוק. </w:t>
      </w:r>
      <w:r w:rsidR="00047D8A" w:rsidRPr="004B0E72">
        <w:rPr>
          <w:rFonts w:ascii="Times New Roman" w:hAnsi="Times New Roman" w:hint="cs"/>
          <w:rtl/>
        </w:rPr>
        <w:t xml:space="preserve">בכך, הפרו הצדדים את חובת ההמתנה, המונחת ביסוד משטר הפיקוח על המיזוגים בישראל. </w:t>
      </w:r>
      <w:r w:rsidR="00047D8A" w:rsidRPr="004B0E72">
        <w:rPr>
          <w:rFonts w:hint="cs"/>
          <w:rtl/>
        </w:rPr>
        <w:t xml:space="preserve">הפרה </w:t>
      </w:r>
      <w:r w:rsidR="009E7C91" w:rsidRPr="004B0E72">
        <w:rPr>
          <w:rFonts w:hint="cs"/>
          <w:rtl/>
        </w:rPr>
        <w:t xml:space="preserve">זו </w:t>
      </w:r>
      <w:r w:rsidR="00047D8A" w:rsidRPr="004B0E72">
        <w:rPr>
          <w:rFonts w:hint="cs"/>
          <w:rtl/>
        </w:rPr>
        <w:t xml:space="preserve">מסכלת את תכלית הפיקוח המיזוגים </w:t>
      </w:r>
      <w:r w:rsidR="00047D8A" w:rsidRPr="004B0E72">
        <w:rPr>
          <w:rtl/>
        </w:rPr>
        <w:t>–</w:t>
      </w:r>
      <w:r w:rsidR="00047D8A" w:rsidRPr="004B0E72">
        <w:rPr>
          <w:rFonts w:hint="cs"/>
          <w:rtl/>
        </w:rPr>
        <w:t xml:space="preserve"> ניטור ומניעה מראש של עסקאות אשר עלול להיות צרור בהן מטען </w:t>
      </w:r>
      <w:r w:rsidR="00047D8A" w:rsidRPr="004B0E72">
        <w:rPr>
          <w:rFonts w:hint="cs"/>
          <w:rtl/>
        </w:rPr>
        <w:lastRenderedPageBreak/>
        <w:t>אנטי-תחרותי</w:t>
      </w:r>
      <w:r w:rsidR="009E7C91" w:rsidRPr="004B0E72">
        <w:rPr>
          <w:rFonts w:hint="cs"/>
          <w:rtl/>
        </w:rPr>
        <w:t xml:space="preserve"> </w:t>
      </w:r>
      <w:r w:rsidR="009E7C91" w:rsidRPr="004B0E72">
        <w:rPr>
          <w:rtl/>
        </w:rPr>
        <w:t>–</w:t>
      </w:r>
      <w:r w:rsidR="009E7C91" w:rsidRPr="004B0E72">
        <w:rPr>
          <w:rFonts w:hint="cs"/>
          <w:rtl/>
        </w:rPr>
        <w:t xml:space="preserve"> ובכך טומנת בחוב</w:t>
      </w:r>
      <w:r w:rsidR="0072705A" w:rsidRPr="004B0E72">
        <w:rPr>
          <w:rFonts w:hint="cs"/>
          <w:rtl/>
        </w:rPr>
        <w:t>ה</w:t>
      </w:r>
      <w:r w:rsidR="009E7C91" w:rsidRPr="004B0E72">
        <w:rPr>
          <w:rFonts w:hint="cs"/>
          <w:rtl/>
        </w:rPr>
        <w:t xml:space="preserve"> סכנה לפגיעה בתחרות ובציבור</w:t>
      </w:r>
      <w:r w:rsidR="00047D8A" w:rsidRPr="004B0E72">
        <w:rPr>
          <w:rFonts w:hint="cs"/>
          <w:rtl/>
        </w:rPr>
        <w:t>.</w:t>
      </w:r>
      <w:r w:rsidR="00D707A9" w:rsidRPr="004B0E72">
        <w:rPr>
          <w:rFonts w:hint="cs"/>
          <w:rtl/>
        </w:rPr>
        <w:t xml:space="preserve"> מטעם זה, </w:t>
      </w:r>
      <w:r w:rsidR="00425FA1" w:rsidRPr="004B0E72">
        <w:rPr>
          <w:rFonts w:hint="cs"/>
          <w:rtl/>
        </w:rPr>
        <w:t xml:space="preserve">בין היתר, </w:t>
      </w:r>
      <w:r w:rsidR="00D707A9" w:rsidRPr="004B0E72">
        <w:rPr>
          <w:rFonts w:hint="cs"/>
          <w:rtl/>
        </w:rPr>
        <w:t>לא ראינו לנכון לקבל את טענ</w:t>
      </w:r>
      <w:r w:rsidR="000F3EEE" w:rsidRPr="004B0E72">
        <w:rPr>
          <w:rFonts w:hint="cs"/>
          <w:rtl/>
        </w:rPr>
        <w:t>ו</w:t>
      </w:r>
      <w:r w:rsidR="00D707A9" w:rsidRPr="004B0E72">
        <w:rPr>
          <w:rFonts w:hint="cs"/>
          <w:rtl/>
        </w:rPr>
        <w:t>ת הצדדים לפיה</w:t>
      </w:r>
      <w:r w:rsidR="000F3EEE" w:rsidRPr="004B0E72">
        <w:rPr>
          <w:rFonts w:hint="cs"/>
          <w:rtl/>
        </w:rPr>
        <w:t>ן</w:t>
      </w:r>
      <w:r w:rsidR="00D707A9" w:rsidRPr="004B0E72">
        <w:rPr>
          <w:rFonts w:hint="cs"/>
          <w:rtl/>
        </w:rPr>
        <w:t xml:space="preserve"> לא ראוי לאכוף את הוראות החוק </w:t>
      </w:r>
      <w:r w:rsidR="006743F1" w:rsidRPr="004B0E72">
        <w:rPr>
          <w:rFonts w:hint="cs"/>
          <w:rtl/>
        </w:rPr>
        <w:t xml:space="preserve">בנסיבות </w:t>
      </w:r>
      <w:r w:rsidR="00D707A9" w:rsidRPr="004B0E72">
        <w:rPr>
          <w:rFonts w:hint="cs"/>
          <w:rtl/>
        </w:rPr>
        <w:t>מקרה זה</w:t>
      </w:r>
      <w:r w:rsidR="006743F1" w:rsidRPr="004B0E72">
        <w:rPr>
          <w:rFonts w:hint="cs"/>
          <w:rtl/>
        </w:rPr>
        <w:t xml:space="preserve"> (אם כי נסיבות </w:t>
      </w:r>
      <w:r w:rsidR="001C0039" w:rsidRPr="004B0E72">
        <w:rPr>
          <w:rFonts w:hint="cs"/>
          <w:rtl/>
        </w:rPr>
        <w:t>המקרה</w:t>
      </w:r>
      <w:r w:rsidR="006743F1" w:rsidRPr="004B0E72">
        <w:rPr>
          <w:rFonts w:hint="cs"/>
          <w:rtl/>
        </w:rPr>
        <w:t xml:space="preserve"> נשקלו</w:t>
      </w:r>
      <w:r w:rsidR="000F3EEE" w:rsidRPr="004B0E72">
        <w:rPr>
          <w:rFonts w:hint="cs"/>
          <w:rtl/>
        </w:rPr>
        <w:t xml:space="preserve"> </w:t>
      </w:r>
      <w:r w:rsidR="006743F1" w:rsidRPr="004B0E72">
        <w:rPr>
          <w:rFonts w:hint="cs"/>
          <w:rtl/>
        </w:rPr>
        <w:t>בקביעת גובה העיצום כפי שיורחב בהמשך)</w:t>
      </w:r>
      <w:r w:rsidR="00D707A9" w:rsidRPr="004B0E72">
        <w:rPr>
          <w:rFonts w:hint="cs"/>
          <w:rtl/>
        </w:rPr>
        <w:t>.</w:t>
      </w:r>
      <w:r w:rsidR="00425FA1" w:rsidRPr="004B0E72">
        <w:rPr>
          <w:rFonts w:hint="cs"/>
          <w:rtl/>
        </w:rPr>
        <w:t xml:space="preserve"> </w:t>
      </w:r>
    </w:p>
    <w:p w14:paraId="3B97C1C5" w14:textId="07BFA3B5" w:rsidR="00773BF8" w:rsidRPr="004B0E72" w:rsidRDefault="00773BF8" w:rsidP="005849AD">
      <w:pPr>
        <w:pStyle w:val="ListParagraph"/>
        <w:numPr>
          <w:ilvl w:val="0"/>
          <w:numId w:val="27"/>
        </w:numPr>
        <w:spacing w:before="120" w:after="0" w:line="360" w:lineRule="auto"/>
        <w:jc w:val="both"/>
        <w:rPr>
          <w:rFonts w:ascii="Times New Roman" w:hAnsi="Times New Roman"/>
        </w:rPr>
      </w:pPr>
      <w:r w:rsidRPr="004B0E72">
        <w:rPr>
          <w:rFonts w:ascii="Times New Roman" w:hAnsi="Times New Roman" w:hint="cs"/>
          <w:rtl/>
        </w:rPr>
        <w:t>במקרה דנן</w:t>
      </w:r>
      <w:r w:rsidR="005849AD" w:rsidRPr="004B0E72">
        <w:rPr>
          <w:rFonts w:ascii="Times New Roman" w:hAnsi="Times New Roman"/>
          <w:rtl/>
        </w:rPr>
        <w:t xml:space="preserve"> עסקינן במיזוג אנכי בין ספק סיטונאי של מכשירי כתיבה וציוד משרדי לבין רשת קמעונאית שעיסוקה בין היתר במכירת מכשירי כתיבה וציוד משרדי במוסדות לימוד אקדמיים. </w:t>
      </w:r>
    </w:p>
    <w:p w14:paraId="65D0DA5D" w14:textId="5DF81D8F" w:rsidR="005849AD" w:rsidRPr="004B0E72" w:rsidRDefault="00773BF8" w:rsidP="009E7C91">
      <w:pPr>
        <w:pStyle w:val="ListParagraph"/>
        <w:numPr>
          <w:ilvl w:val="0"/>
          <w:numId w:val="27"/>
        </w:numPr>
        <w:spacing w:before="120" w:after="0" w:line="360" w:lineRule="auto"/>
        <w:jc w:val="both"/>
        <w:rPr>
          <w:rFonts w:ascii="Times New Roman" w:hAnsi="Times New Roman"/>
        </w:rPr>
      </w:pPr>
      <w:r w:rsidRPr="004B0E72">
        <w:rPr>
          <w:rFonts w:ascii="Times New Roman" w:hAnsi="Times New Roman" w:hint="cs"/>
          <w:rtl/>
        </w:rPr>
        <w:t xml:space="preserve">נוכח כל האמור </w:t>
      </w:r>
      <w:r w:rsidR="005849AD" w:rsidRPr="004B0E72">
        <w:rPr>
          <w:rFonts w:ascii="Times New Roman" w:hAnsi="Times New Roman" w:hint="cs"/>
          <w:rtl/>
        </w:rPr>
        <w:t xml:space="preserve">הגיע הממונה </w:t>
      </w:r>
      <w:r w:rsidR="005849AD" w:rsidRPr="004B0E72">
        <w:rPr>
          <w:rFonts w:ascii="Times New Roman" w:hAnsi="Times New Roman"/>
          <w:rtl/>
        </w:rPr>
        <w:t>לכלל מסקנה כי מן הראוי לעשות שימוש בכלי העיצום הכספי במקרה זה.</w:t>
      </w:r>
    </w:p>
    <w:p w14:paraId="18560405" w14:textId="1292E9BE" w:rsidR="005849AD" w:rsidRPr="004B0E72" w:rsidRDefault="005849AD" w:rsidP="00A66DE6">
      <w:pPr>
        <w:pStyle w:val="ListParagraph"/>
        <w:spacing w:before="120" w:after="0" w:line="360" w:lineRule="auto"/>
        <w:ind w:left="397"/>
        <w:jc w:val="both"/>
        <w:rPr>
          <w:rFonts w:ascii="Times New Roman" w:hAnsi="Times New Roman"/>
        </w:rPr>
      </w:pPr>
    </w:p>
    <w:p w14:paraId="47ED22FC" w14:textId="56C1A661" w:rsidR="00D924E2" w:rsidRPr="004B0E72" w:rsidRDefault="00D924E2" w:rsidP="004D1F87">
      <w:pPr>
        <w:pStyle w:val="Heading1"/>
        <w:numPr>
          <w:ilvl w:val="0"/>
          <w:numId w:val="39"/>
        </w:numPr>
        <w:rPr>
          <w:rtl/>
        </w:rPr>
      </w:pPr>
      <w:r w:rsidRPr="004B0E72">
        <w:rPr>
          <w:rFonts w:hint="cs"/>
          <w:rtl/>
        </w:rPr>
        <w:t>קביעת</w:t>
      </w:r>
      <w:r w:rsidRPr="004B0E72">
        <w:rPr>
          <w:rtl/>
        </w:rPr>
        <w:t xml:space="preserve"> </w:t>
      </w:r>
      <w:r w:rsidRPr="004B0E72">
        <w:rPr>
          <w:rFonts w:hint="cs"/>
          <w:rtl/>
        </w:rPr>
        <w:t>גובה</w:t>
      </w:r>
      <w:r w:rsidRPr="004B0E72">
        <w:rPr>
          <w:rtl/>
        </w:rPr>
        <w:t xml:space="preserve"> </w:t>
      </w:r>
      <w:r w:rsidRPr="004B0E72">
        <w:rPr>
          <w:rFonts w:hint="cs"/>
          <w:rtl/>
        </w:rPr>
        <w:t>העיצום</w:t>
      </w:r>
      <w:r w:rsidR="00F3637E" w:rsidRPr="004B0E72">
        <w:rPr>
          <w:rFonts w:hint="cs"/>
          <w:rtl/>
        </w:rPr>
        <w:t xml:space="preserve"> ו</w:t>
      </w:r>
      <w:r w:rsidRPr="004B0E72">
        <w:rPr>
          <w:rFonts w:hint="cs"/>
          <w:rtl/>
        </w:rPr>
        <w:t>התייחסות לטענות המפר</w:t>
      </w:r>
      <w:r w:rsidR="00F3637E" w:rsidRPr="004B0E72">
        <w:rPr>
          <w:rFonts w:hint="cs"/>
          <w:rtl/>
        </w:rPr>
        <w:t xml:space="preserve">ות בעניין </w:t>
      </w:r>
    </w:p>
    <w:p w14:paraId="287FD8EC" w14:textId="234829F6" w:rsidR="005849AD" w:rsidRPr="004B0E72" w:rsidRDefault="005849AD" w:rsidP="00F6012E">
      <w:pPr>
        <w:pStyle w:val="ListParagraph"/>
        <w:numPr>
          <w:ilvl w:val="0"/>
          <w:numId w:val="27"/>
        </w:numPr>
        <w:spacing w:line="360" w:lineRule="auto"/>
        <w:jc w:val="both"/>
        <w:rPr>
          <w:rFonts w:ascii="Times New Roman" w:hAnsi="Times New Roman"/>
        </w:rPr>
      </w:pPr>
      <w:r w:rsidRPr="004B0E72">
        <w:rPr>
          <w:rFonts w:ascii="Times New Roman" w:hAnsi="Times New Roman"/>
          <w:rtl/>
        </w:rPr>
        <w:t xml:space="preserve">על פי סעיף 50ד(א) לחוק הממונה רשאי להטיל על תאגיד שמחזור המכירות שלו בשנה שקדמה למועד ההפרה עלה על 10 מיליון ש"ח, עיצום כספי בשיעור של עד שמונה אחוזים ממחזור המכירות שלו, ובלבד שסכום העיצום לא יעלה על </w:t>
      </w:r>
      <w:r w:rsidR="00A66DE6" w:rsidRPr="004B0E72">
        <w:rPr>
          <w:rFonts w:ascii="Times New Roman" w:hAnsi="Times New Roman" w:hint="cs"/>
          <w:rtl/>
        </w:rPr>
        <w:t>24,564,360 ₪</w:t>
      </w:r>
      <w:r w:rsidR="00F6012E" w:rsidRPr="004B0E72">
        <w:rPr>
          <w:rFonts w:ascii="Times New Roman" w:hAnsi="Times New Roman" w:hint="cs"/>
          <w:rtl/>
        </w:rPr>
        <w:t>.</w:t>
      </w:r>
    </w:p>
    <w:p w14:paraId="4BB18D68" w14:textId="0E58EC88" w:rsidR="005849AD" w:rsidRPr="004B0E72" w:rsidRDefault="005849AD" w:rsidP="00C54714">
      <w:pPr>
        <w:pStyle w:val="ListParagraph"/>
        <w:numPr>
          <w:ilvl w:val="0"/>
          <w:numId w:val="27"/>
        </w:numPr>
        <w:spacing w:line="360" w:lineRule="auto"/>
        <w:jc w:val="both"/>
        <w:rPr>
          <w:rFonts w:ascii="Times New Roman" w:hAnsi="Times New Roman"/>
        </w:rPr>
      </w:pPr>
      <w:r w:rsidRPr="004B0E72">
        <w:rPr>
          <w:rFonts w:ascii="Times New Roman" w:hAnsi="Times New Roman"/>
          <w:rtl/>
        </w:rPr>
        <w:t>על פי המידע המצוי בידי הרשות, מחזור המכירות השנתי של ברמן בשנת 2013, לרבות החברות הקשורות חגים ואטלס, עמד על כ-</w:t>
      </w:r>
      <w:r w:rsidR="00C54714">
        <w:rPr>
          <w:rFonts w:ascii="Times New Roman" w:hAnsi="Times New Roman"/>
        </w:rPr>
        <w:t>XXX</w:t>
      </w:r>
      <w:r w:rsidRPr="004B0E72">
        <w:rPr>
          <w:rFonts w:ascii="Times New Roman" w:hAnsi="Times New Roman"/>
          <w:rtl/>
        </w:rPr>
        <w:t xml:space="preserve"> מיליון ₪. על כן, סכום העיצום המקסימאלי אותו ניתן להטיל עליה בגין ההפרה עומד על כ-</w:t>
      </w:r>
      <w:r w:rsidR="00C54714">
        <w:rPr>
          <w:rFonts w:ascii="Times New Roman" w:hAnsi="Times New Roman"/>
        </w:rPr>
        <w:t>XXX</w:t>
      </w:r>
      <w:r w:rsidRPr="004B0E72">
        <w:rPr>
          <w:rFonts w:ascii="Times New Roman" w:hAnsi="Times New Roman"/>
          <w:rtl/>
        </w:rPr>
        <w:t xml:space="preserve"> מיליון </w:t>
      </w:r>
      <w:r w:rsidRPr="004B0E72">
        <w:rPr>
          <w:rFonts w:ascii="Times New Roman" w:hAnsi="Times New Roman"/>
          <w:rtl/>
        </w:rPr>
        <w:lastRenderedPageBreak/>
        <w:t>₪</w:t>
      </w:r>
      <w:r w:rsidRPr="004B0E72">
        <w:rPr>
          <w:rFonts w:ascii="Times New Roman" w:hAnsi="Times New Roman" w:hint="cs"/>
          <w:rtl/>
        </w:rPr>
        <w:t>.</w:t>
      </w:r>
      <w:r w:rsidRPr="004B0E72">
        <w:rPr>
          <w:rFonts w:ascii="Times New Roman" w:hAnsi="Times New Roman"/>
          <w:rtl/>
        </w:rPr>
        <w:t xml:space="preserve"> מחזור המכירות השנתי של מכלול עמד בשנת 2013 על כ-</w:t>
      </w:r>
      <w:r w:rsidR="00C54714">
        <w:rPr>
          <w:rFonts w:ascii="Times New Roman" w:hAnsi="Times New Roman"/>
        </w:rPr>
        <w:t>XXX</w:t>
      </w:r>
      <w:r w:rsidR="00C54714">
        <w:rPr>
          <w:rFonts w:ascii="Times New Roman" w:hAnsi="Times New Roman" w:hint="cs"/>
          <w:rtl/>
        </w:rPr>
        <w:t xml:space="preserve"> </w:t>
      </w:r>
      <w:r w:rsidRPr="004B0E72">
        <w:rPr>
          <w:rFonts w:ascii="Times New Roman" w:hAnsi="Times New Roman"/>
          <w:rtl/>
        </w:rPr>
        <w:t xml:space="preserve">מיליון ₪, </w:t>
      </w:r>
      <w:r w:rsidRPr="004B0E72">
        <w:rPr>
          <w:rFonts w:ascii="Times New Roman" w:hAnsi="Times New Roman"/>
          <w:sz w:val="24"/>
          <w:rtl/>
        </w:rPr>
        <w:t>כך שהעיצום המרבי שניתן להטיל עליה עומד על כ-</w:t>
      </w:r>
      <w:r w:rsidR="00C54714">
        <w:rPr>
          <w:rFonts w:ascii="Times New Roman" w:hAnsi="Times New Roman"/>
          <w:sz w:val="24"/>
        </w:rPr>
        <w:t>XXX</w:t>
      </w:r>
      <w:r w:rsidR="00C54714">
        <w:rPr>
          <w:rFonts w:ascii="Times New Roman" w:hAnsi="Times New Roman" w:hint="cs"/>
          <w:sz w:val="24"/>
          <w:rtl/>
        </w:rPr>
        <w:t xml:space="preserve"> </w:t>
      </w:r>
      <w:r w:rsidRPr="004B0E72">
        <w:rPr>
          <w:rFonts w:ascii="Times New Roman" w:hAnsi="Times New Roman"/>
          <w:sz w:val="24"/>
          <w:rtl/>
        </w:rPr>
        <w:t xml:space="preserve">מיליון ₪. </w:t>
      </w:r>
    </w:p>
    <w:p w14:paraId="40D6F2F5" w14:textId="77777777" w:rsidR="000A2E4B" w:rsidRPr="004B0E72" w:rsidRDefault="00F3637E" w:rsidP="000A2E4B">
      <w:pPr>
        <w:pStyle w:val="ListParagraph"/>
        <w:numPr>
          <w:ilvl w:val="0"/>
          <w:numId w:val="27"/>
        </w:numPr>
        <w:spacing w:line="360" w:lineRule="auto"/>
        <w:jc w:val="both"/>
      </w:pPr>
      <w:r w:rsidRPr="004B0E72">
        <w:rPr>
          <w:rFonts w:hint="eastAsia"/>
          <w:rtl/>
        </w:rPr>
        <w:t>סעיף</w:t>
      </w:r>
      <w:r w:rsidRPr="004B0E72">
        <w:rPr>
          <w:rtl/>
        </w:rPr>
        <w:t xml:space="preserve"> 50ה לחוק מפרט רשימה בלתי ממצה של שיקולים אותם ישקול הממונה בבואו </w:t>
      </w:r>
      <w:r w:rsidRPr="004B0E72">
        <w:rPr>
          <w:rFonts w:hint="cs"/>
          <w:rtl/>
        </w:rPr>
        <w:t>לקבוע את סכום ה</w:t>
      </w:r>
      <w:r w:rsidRPr="004B0E72">
        <w:rPr>
          <w:rtl/>
        </w:rPr>
        <w:t>עיצום כספי</w:t>
      </w:r>
      <w:r w:rsidR="000A2E4B" w:rsidRPr="004B0E72">
        <w:rPr>
          <w:rFonts w:hint="cs"/>
          <w:rtl/>
        </w:rPr>
        <w:t>, כדלקמן:</w:t>
      </w:r>
    </w:p>
    <w:p w14:paraId="0BEF8996" w14:textId="50604389" w:rsidR="000A2E4B" w:rsidRPr="004B0E72" w:rsidRDefault="000A2E4B" w:rsidP="000A2E4B">
      <w:pPr>
        <w:pStyle w:val="Quote"/>
        <w:spacing w:after="0"/>
        <w:rPr>
          <w:rFonts w:ascii="Arial" w:hAnsi="Arial"/>
          <w:rtl/>
        </w:rPr>
      </w:pPr>
      <w:r w:rsidRPr="004B0E72">
        <w:rPr>
          <w:rFonts w:ascii="Arial" w:hAnsi="Arial"/>
          <w:rtl/>
        </w:rPr>
        <w:t>(1)</w:t>
      </w:r>
      <w:r w:rsidRPr="004B0E72">
        <w:rPr>
          <w:rFonts w:ascii="Arial" w:hAnsi="Arial"/>
          <w:rtl/>
        </w:rPr>
        <w:tab/>
      </w:r>
      <w:r w:rsidRPr="004B0E72">
        <w:rPr>
          <w:rFonts w:ascii="Arial" w:hAnsi="Arial" w:hint="cs"/>
          <w:rtl/>
        </w:rPr>
        <w:t>משך</w:t>
      </w:r>
      <w:r w:rsidRPr="004B0E72">
        <w:rPr>
          <w:rFonts w:ascii="Arial" w:hAnsi="Arial"/>
          <w:rtl/>
        </w:rPr>
        <w:t xml:space="preserve"> </w:t>
      </w:r>
      <w:r w:rsidRPr="004B0E72">
        <w:rPr>
          <w:rFonts w:ascii="Arial" w:hAnsi="Arial" w:hint="cs"/>
          <w:rtl/>
        </w:rPr>
        <w:t>ההפרה</w:t>
      </w:r>
      <w:r w:rsidRPr="004B0E72">
        <w:rPr>
          <w:rFonts w:ascii="Arial" w:hAnsi="Arial"/>
          <w:rtl/>
        </w:rPr>
        <w:t>;</w:t>
      </w:r>
    </w:p>
    <w:p w14:paraId="7F7DED7F" w14:textId="77777777" w:rsidR="000A2E4B" w:rsidRPr="004B0E72" w:rsidRDefault="000A2E4B" w:rsidP="000A2E4B">
      <w:pPr>
        <w:pStyle w:val="Quote"/>
        <w:spacing w:after="0"/>
        <w:rPr>
          <w:rFonts w:ascii="Arial" w:hAnsi="Arial"/>
          <w:rtl/>
        </w:rPr>
      </w:pPr>
      <w:r w:rsidRPr="004B0E72">
        <w:rPr>
          <w:rFonts w:ascii="Arial" w:hAnsi="Arial"/>
          <w:rtl/>
        </w:rPr>
        <w:t>(2)</w:t>
      </w:r>
      <w:r w:rsidRPr="004B0E72">
        <w:rPr>
          <w:rFonts w:ascii="Arial" w:hAnsi="Arial"/>
          <w:rtl/>
        </w:rPr>
        <w:tab/>
      </w:r>
      <w:r w:rsidRPr="004B0E72">
        <w:rPr>
          <w:rFonts w:ascii="Arial" w:hAnsi="Arial" w:hint="cs"/>
          <w:rtl/>
        </w:rPr>
        <w:t>מידת</w:t>
      </w:r>
      <w:r w:rsidRPr="004B0E72">
        <w:rPr>
          <w:rFonts w:ascii="Arial" w:hAnsi="Arial"/>
          <w:rtl/>
        </w:rPr>
        <w:t xml:space="preserve"> </w:t>
      </w:r>
      <w:r w:rsidRPr="004B0E72">
        <w:rPr>
          <w:rFonts w:ascii="Arial" w:hAnsi="Arial" w:hint="cs"/>
          <w:rtl/>
        </w:rPr>
        <w:t>הפגיעה</w:t>
      </w:r>
      <w:r w:rsidRPr="004B0E72">
        <w:rPr>
          <w:rFonts w:ascii="Arial" w:hAnsi="Arial"/>
          <w:rtl/>
        </w:rPr>
        <w:t xml:space="preserve"> </w:t>
      </w:r>
      <w:r w:rsidRPr="004B0E72">
        <w:rPr>
          <w:rFonts w:ascii="Arial" w:hAnsi="Arial" w:hint="cs"/>
          <w:rtl/>
        </w:rPr>
        <w:t>שההפרה</w:t>
      </w:r>
      <w:r w:rsidRPr="004B0E72">
        <w:rPr>
          <w:rFonts w:ascii="Arial" w:hAnsi="Arial"/>
          <w:rtl/>
        </w:rPr>
        <w:t xml:space="preserve"> </w:t>
      </w:r>
      <w:r w:rsidRPr="004B0E72">
        <w:rPr>
          <w:rFonts w:ascii="Arial" w:hAnsi="Arial" w:hint="cs"/>
          <w:rtl/>
        </w:rPr>
        <w:t>עלולה</w:t>
      </w:r>
      <w:r w:rsidRPr="004B0E72">
        <w:rPr>
          <w:rFonts w:ascii="Arial" w:hAnsi="Arial"/>
          <w:rtl/>
        </w:rPr>
        <w:t xml:space="preserve"> </w:t>
      </w:r>
      <w:r w:rsidRPr="004B0E72">
        <w:rPr>
          <w:rFonts w:ascii="Arial" w:hAnsi="Arial" w:hint="cs"/>
          <w:rtl/>
        </w:rPr>
        <w:t>לגרום</w:t>
      </w:r>
      <w:r w:rsidRPr="004B0E72">
        <w:rPr>
          <w:rFonts w:ascii="Arial" w:hAnsi="Arial"/>
          <w:rtl/>
        </w:rPr>
        <w:t xml:space="preserve"> </w:t>
      </w:r>
      <w:r w:rsidRPr="004B0E72">
        <w:rPr>
          <w:rFonts w:ascii="Arial" w:hAnsi="Arial" w:hint="cs"/>
          <w:rtl/>
        </w:rPr>
        <w:t>לתחרות</w:t>
      </w:r>
      <w:r w:rsidRPr="004B0E72">
        <w:rPr>
          <w:rFonts w:ascii="Arial" w:hAnsi="Arial"/>
          <w:rtl/>
        </w:rPr>
        <w:t xml:space="preserve"> </w:t>
      </w:r>
      <w:r w:rsidRPr="004B0E72">
        <w:rPr>
          <w:rFonts w:ascii="Arial" w:hAnsi="Arial" w:hint="cs"/>
          <w:rtl/>
        </w:rPr>
        <w:t>או</w:t>
      </w:r>
      <w:r w:rsidRPr="004B0E72">
        <w:rPr>
          <w:rFonts w:ascii="Arial" w:hAnsi="Arial"/>
          <w:rtl/>
        </w:rPr>
        <w:t xml:space="preserve"> </w:t>
      </w:r>
      <w:r w:rsidRPr="004B0E72">
        <w:rPr>
          <w:rFonts w:ascii="Arial" w:hAnsi="Arial" w:hint="cs"/>
          <w:rtl/>
        </w:rPr>
        <w:t>לציבור</w:t>
      </w:r>
      <w:r w:rsidRPr="004B0E72">
        <w:rPr>
          <w:rFonts w:ascii="Arial" w:hAnsi="Arial"/>
          <w:rtl/>
        </w:rPr>
        <w:t>;</w:t>
      </w:r>
    </w:p>
    <w:p w14:paraId="1D0D0F35" w14:textId="77777777" w:rsidR="000A2E4B" w:rsidRPr="004B0E72" w:rsidRDefault="000A2E4B" w:rsidP="000A2E4B">
      <w:pPr>
        <w:pStyle w:val="Quote"/>
        <w:spacing w:after="0"/>
        <w:rPr>
          <w:rFonts w:ascii="Arial" w:hAnsi="Arial"/>
          <w:rtl/>
        </w:rPr>
      </w:pPr>
      <w:r w:rsidRPr="004B0E72">
        <w:rPr>
          <w:rFonts w:ascii="Arial" w:hAnsi="Arial"/>
          <w:rtl/>
        </w:rPr>
        <w:t>(3)</w:t>
      </w:r>
      <w:r w:rsidRPr="004B0E72">
        <w:rPr>
          <w:rFonts w:ascii="Arial" w:hAnsi="Arial"/>
          <w:rtl/>
        </w:rPr>
        <w:tab/>
      </w:r>
      <w:r w:rsidRPr="004B0E72">
        <w:rPr>
          <w:rFonts w:ascii="Arial" w:hAnsi="Arial" w:hint="cs"/>
          <w:rtl/>
        </w:rPr>
        <w:t>חלקו</w:t>
      </w:r>
      <w:r w:rsidRPr="004B0E72">
        <w:rPr>
          <w:rFonts w:ascii="Arial" w:hAnsi="Arial"/>
          <w:rtl/>
        </w:rPr>
        <w:t xml:space="preserve"> </w:t>
      </w:r>
      <w:r w:rsidRPr="004B0E72">
        <w:rPr>
          <w:rFonts w:ascii="Arial" w:hAnsi="Arial" w:hint="cs"/>
          <w:rtl/>
        </w:rPr>
        <w:t>של</w:t>
      </w:r>
      <w:r w:rsidRPr="004B0E72">
        <w:rPr>
          <w:rFonts w:ascii="Arial" w:hAnsi="Arial"/>
          <w:rtl/>
        </w:rPr>
        <w:t xml:space="preserve"> </w:t>
      </w:r>
      <w:r w:rsidRPr="004B0E72">
        <w:rPr>
          <w:rFonts w:ascii="Arial" w:hAnsi="Arial" w:hint="cs"/>
          <w:rtl/>
        </w:rPr>
        <w:t>המפר</w:t>
      </w:r>
      <w:r w:rsidRPr="004B0E72">
        <w:rPr>
          <w:rFonts w:ascii="Arial" w:hAnsi="Arial"/>
          <w:rtl/>
        </w:rPr>
        <w:t xml:space="preserve"> </w:t>
      </w:r>
      <w:r w:rsidRPr="004B0E72">
        <w:rPr>
          <w:rFonts w:ascii="Arial" w:hAnsi="Arial" w:hint="cs"/>
          <w:rtl/>
        </w:rPr>
        <w:t>בהפרה</w:t>
      </w:r>
      <w:r w:rsidRPr="004B0E72">
        <w:rPr>
          <w:rFonts w:ascii="Arial" w:hAnsi="Arial"/>
          <w:rtl/>
        </w:rPr>
        <w:t xml:space="preserve">, </w:t>
      </w:r>
      <w:r w:rsidRPr="004B0E72">
        <w:rPr>
          <w:rFonts w:ascii="Arial" w:hAnsi="Arial" w:hint="cs"/>
          <w:rtl/>
        </w:rPr>
        <w:t>ומידת</w:t>
      </w:r>
      <w:r w:rsidRPr="004B0E72">
        <w:rPr>
          <w:rFonts w:ascii="Arial" w:hAnsi="Arial"/>
          <w:rtl/>
        </w:rPr>
        <w:t xml:space="preserve"> </w:t>
      </w:r>
      <w:r w:rsidRPr="004B0E72">
        <w:rPr>
          <w:rFonts w:ascii="Arial" w:hAnsi="Arial" w:hint="cs"/>
          <w:rtl/>
        </w:rPr>
        <w:t>השפעתו</w:t>
      </w:r>
      <w:r w:rsidRPr="004B0E72">
        <w:rPr>
          <w:rFonts w:ascii="Arial" w:hAnsi="Arial"/>
          <w:rtl/>
        </w:rPr>
        <w:t xml:space="preserve"> </w:t>
      </w:r>
      <w:r w:rsidRPr="004B0E72">
        <w:rPr>
          <w:rFonts w:ascii="Arial" w:hAnsi="Arial" w:hint="cs"/>
          <w:rtl/>
        </w:rPr>
        <w:t>על</w:t>
      </w:r>
      <w:r w:rsidRPr="004B0E72">
        <w:rPr>
          <w:rFonts w:ascii="Arial" w:hAnsi="Arial"/>
          <w:rtl/>
        </w:rPr>
        <w:t xml:space="preserve"> </w:t>
      </w:r>
      <w:r w:rsidRPr="004B0E72">
        <w:rPr>
          <w:rFonts w:ascii="Arial" w:hAnsi="Arial" w:hint="cs"/>
          <w:rtl/>
        </w:rPr>
        <w:t>ביצועה</w:t>
      </w:r>
      <w:r w:rsidRPr="004B0E72">
        <w:rPr>
          <w:rFonts w:ascii="Arial" w:hAnsi="Arial"/>
          <w:rtl/>
        </w:rPr>
        <w:t>;</w:t>
      </w:r>
    </w:p>
    <w:p w14:paraId="190D37A7" w14:textId="77777777" w:rsidR="000A2E4B" w:rsidRPr="004B0E72" w:rsidRDefault="000A2E4B" w:rsidP="000A2E4B">
      <w:pPr>
        <w:pStyle w:val="Quote"/>
        <w:spacing w:after="0"/>
        <w:rPr>
          <w:rFonts w:ascii="Arial" w:hAnsi="Arial"/>
          <w:rtl/>
        </w:rPr>
      </w:pPr>
      <w:r w:rsidRPr="004B0E72">
        <w:rPr>
          <w:rFonts w:ascii="Arial" w:hAnsi="Arial"/>
          <w:rtl/>
        </w:rPr>
        <w:t>(4)</w:t>
      </w:r>
      <w:r w:rsidRPr="004B0E72">
        <w:rPr>
          <w:rFonts w:ascii="Arial" w:hAnsi="Arial"/>
          <w:rtl/>
        </w:rPr>
        <w:tab/>
      </w:r>
      <w:r w:rsidRPr="004B0E72">
        <w:rPr>
          <w:rFonts w:ascii="Arial" w:hAnsi="Arial" w:hint="cs"/>
          <w:rtl/>
        </w:rPr>
        <w:t>קיומן</w:t>
      </w:r>
      <w:r w:rsidRPr="004B0E72">
        <w:rPr>
          <w:rFonts w:ascii="Arial" w:hAnsi="Arial"/>
          <w:rtl/>
        </w:rPr>
        <w:t xml:space="preserve"> </w:t>
      </w:r>
      <w:r w:rsidRPr="004B0E72">
        <w:rPr>
          <w:rFonts w:ascii="Arial" w:hAnsi="Arial" w:hint="cs"/>
          <w:rtl/>
        </w:rPr>
        <w:t>או</w:t>
      </w:r>
      <w:r w:rsidRPr="004B0E72">
        <w:rPr>
          <w:rFonts w:ascii="Arial" w:hAnsi="Arial"/>
          <w:rtl/>
        </w:rPr>
        <w:t xml:space="preserve"> </w:t>
      </w:r>
      <w:r w:rsidRPr="004B0E72">
        <w:rPr>
          <w:rFonts w:ascii="Arial" w:hAnsi="Arial" w:hint="cs"/>
          <w:rtl/>
        </w:rPr>
        <w:t>העדרן</w:t>
      </w:r>
      <w:r w:rsidRPr="004B0E72">
        <w:rPr>
          <w:rFonts w:ascii="Arial" w:hAnsi="Arial"/>
          <w:rtl/>
        </w:rPr>
        <w:t xml:space="preserve"> </w:t>
      </w:r>
      <w:r w:rsidRPr="004B0E72">
        <w:rPr>
          <w:rFonts w:ascii="Arial" w:hAnsi="Arial" w:hint="cs"/>
          <w:rtl/>
        </w:rPr>
        <w:t>של</w:t>
      </w:r>
      <w:r w:rsidRPr="004B0E72">
        <w:rPr>
          <w:rFonts w:ascii="Arial" w:hAnsi="Arial"/>
          <w:rtl/>
        </w:rPr>
        <w:t xml:space="preserve"> </w:t>
      </w:r>
      <w:r w:rsidRPr="004B0E72">
        <w:rPr>
          <w:rFonts w:ascii="Arial" w:hAnsi="Arial" w:hint="cs"/>
          <w:rtl/>
        </w:rPr>
        <w:t>הפרות</w:t>
      </w:r>
      <w:r w:rsidRPr="004B0E72">
        <w:rPr>
          <w:rFonts w:ascii="Arial" w:hAnsi="Arial"/>
          <w:rtl/>
        </w:rPr>
        <w:t xml:space="preserve"> </w:t>
      </w:r>
      <w:r w:rsidRPr="004B0E72">
        <w:rPr>
          <w:rFonts w:ascii="Arial" w:hAnsi="Arial" w:hint="cs"/>
          <w:rtl/>
        </w:rPr>
        <w:t>קודמות</w:t>
      </w:r>
      <w:r w:rsidRPr="004B0E72">
        <w:rPr>
          <w:rFonts w:ascii="Arial" w:hAnsi="Arial"/>
          <w:rtl/>
        </w:rPr>
        <w:t xml:space="preserve"> </w:t>
      </w:r>
      <w:r w:rsidRPr="004B0E72">
        <w:rPr>
          <w:rFonts w:ascii="Arial" w:hAnsi="Arial" w:hint="cs"/>
          <w:rtl/>
        </w:rPr>
        <w:t>ומועד</w:t>
      </w:r>
      <w:r w:rsidRPr="004B0E72">
        <w:rPr>
          <w:rFonts w:ascii="Arial" w:hAnsi="Arial"/>
          <w:rtl/>
        </w:rPr>
        <w:t xml:space="preserve"> </w:t>
      </w:r>
      <w:r w:rsidRPr="004B0E72">
        <w:rPr>
          <w:rFonts w:ascii="Arial" w:hAnsi="Arial" w:hint="cs"/>
          <w:rtl/>
        </w:rPr>
        <w:t>ביצוען</w:t>
      </w:r>
      <w:r w:rsidRPr="004B0E72">
        <w:rPr>
          <w:rFonts w:ascii="Arial" w:hAnsi="Arial"/>
          <w:rtl/>
        </w:rPr>
        <w:t>;</w:t>
      </w:r>
    </w:p>
    <w:p w14:paraId="2B1CBB84" w14:textId="77777777" w:rsidR="000A2E4B" w:rsidRPr="004B0E72" w:rsidRDefault="000A2E4B" w:rsidP="000A2E4B">
      <w:pPr>
        <w:pStyle w:val="Quote"/>
        <w:spacing w:after="0"/>
        <w:rPr>
          <w:rFonts w:ascii="Arial" w:hAnsi="Arial"/>
          <w:rtl/>
        </w:rPr>
      </w:pPr>
      <w:r w:rsidRPr="004B0E72">
        <w:rPr>
          <w:rFonts w:ascii="Arial" w:hAnsi="Arial"/>
          <w:rtl/>
        </w:rPr>
        <w:t>(5)</w:t>
      </w:r>
      <w:r w:rsidRPr="004B0E72">
        <w:rPr>
          <w:rFonts w:ascii="Arial" w:hAnsi="Arial"/>
          <w:rtl/>
        </w:rPr>
        <w:tab/>
      </w:r>
      <w:r w:rsidRPr="004B0E72">
        <w:rPr>
          <w:rFonts w:ascii="Arial" w:hAnsi="Arial" w:hint="cs"/>
          <w:rtl/>
        </w:rPr>
        <w:t>פעולות</w:t>
      </w:r>
      <w:r w:rsidRPr="004B0E72">
        <w:rPr>
          <w:rFonts w:ascii="Arial" w:hAnsi="Arial"/>
          <w:rtl/>
        </w:rPr>
        <w:t xml:space="preserve"> </w:t>
      </w:r>
      <w:r w:rsidRPr="004B0E72">
        <w:rPr>
          <w:rFonts w:ascii="Arial" w:hAnsi="Arial" w:hint="cs"/>
          <w:rtl/>
        </w:rPr>
        <w:t>שנקט</w:t>
      </w:r>
      <w:r w:rsidRPr="004B0E72">
        <w:rPr>
          <w:rFonts w:ascii="Arial" w:hAnsi="Arial"/>
          <w:rtl/>
        </w:rPr>
        <w:t xml:space="preserve"> </w:t>
      </w:r>
      <w:r w:rsidRPr="004B0E72">
        <w:rPr>
          <w:rFonts w:ascii="Arial" w:hAnsi="Arial" w:hint="cs"/>
          <w:rtl/>
        </w:rPr>
        <w:t>המפר</w:t>
      </w:r>
      <w:r w:rsidRPr="004B0E72">
        <w:rPr>
          <w:rFonts w:ascii="Arial" w:hAnsi="Arial"/>
          <w:rtl/>
        </w:rPr>
        <w:t xml:space="preserve"> </w:t>
      </w:r>
      <w:r w:rsidRPr="004B0E72">
        <w:rPr>
          <w:rFonts w:ascii="Arial" w:hAnsi="Arial" w:hint="cs"/>
          <w:rtl/>
        </w:rPr>
        <w:t>למניעת</w:t>
      </w:r>
      <w:r w:rsidRPr="004B0E72">
        <w:rPr>
          <w:rFonts w:ascii="Arial" w:hAnsi="Arial"/>
          <w:rtl/>
        </w:rPr>
        <w:t xml:space="preserve"> </w:t>
      </w:r>
      <w:r w:rsidRPr="004B0E72">
        <w:rPr>
          <w:rFonts w:ascii="Arial" w:hAnsi="Arial" w:hint="cs"/>
          <w:rtl/>
        </w:rPr>
        <w:t>הישנות</w:t>
      </w:r>
      <w:r w:rsidRPr="004B0E72">
        <w:rPr>
          <w:rFonts w:ascii="Arial" w:hAnsi="Arial"/>
          <w:rtl/>
        </w:rPr>
        <w:t xml:space="preserve"> </w:t>
      </w:r>
      <w:r w:rsidRPr="004B0E72">
        <w:rPr>
          <w:rFonts w:ascii="Arial" w:hAnsi="Arial" w:hint="cs"/>
          <w:rtl/>
        </w:rPr>
        <w:t>ההפרה</w:t>
      </w:r>
      <w:r w:rsidRPr="004B0E72">
        <w:rPr>
          <w:rFonts w:ascii="Arial" w:hAnsi="Arial"/>
          <w:rtl/>
        </w:rPr>
        <w:t xml:space="preserve"> </w:t>
      </w:r>
      <w:r w:rsidRPr="004B0E72">
        <w:rPr>
          <w:rFonts w:ascii="Arial" w:hAnsi="Arial" w:hint="cs"/>
          <w:rtl/>
        </w:rPr>
        <w:t>או</w:t>
      </w:r>
      <w:r w:rsidRPr="004B0E72">
        <w:rPr>
          <w:rFonts w:ascii="Arial" w:hAnsi="Arial"/>
          <w:rtl/>
        </w:rPr>
        <w:t xml:space="preserve"> </w:t>
      </w:r>
      <w:r w:rsidRPr="004B0E72">
        <w:rPr>
          <w:rFonts w:ascii="Arial" w:hAnsi="Arial" w:hint="cs"/>
          <w:rtl/>
        </w:rPr>
        <w:t>להפסקתה</w:t>
      </w:r>
      <w:r w:rsidRPr="004B0E72">
        <w:rPr>
          <w:rFonts w:ascii="Arial" w:hAnsi="Arial"/>
          <w:rtl/>
        </w:rPr>
        <w:t xml:space="preserve">, </w:t>
      </w:r>
      <w:r w:rsidRPr="004B0E72">
        <w:rPr>
          <w:rFonts w:ascii="Arial" w:hAnsi="Arial" w:hint="cs"/>
          <w:rtl/>
        </w:rPr>
        <w:t>לרבות</w:t>
      </w:r>
      <w:r w:rsidRPr="004B0E72">
        <w:rPr>
          <w:rFonts w:ascii="Arial" w:hAnsi="Arial"/>
          <w:rtl/>
        </w:rPr>
        <w:t xml:space="preserve"> </w:t>
      </w:r>
      <w:r w:rsidRPr="004B0E72">
        <w:rPr>
          <w:rFonts w:ascii="Arial" w:hAnsi="Arial" w:hint="cs"/>
          <w:rtl/>
        </w:rPr>
        <w:t>דיווח</w:t>
      </w:r>
      <w:r w:rsidRPr="004B0E72">
        <w:rPr>
          <w:rFonts w:ascii="Arial" w:hAnsi="Arial"/>
          <w:rtl/>
        </w:rPr>
        <w:t xml:space="preserve"> </w:t>
      </w:r>
      <w:r w:rsidRPr="004B0E72">
        <w:rPr>
          <w:rFonts w:ascii="Arial" w:hAnsi="Arial" w:hint="cs"/>
          <w:rtl/>
        </w:rPr>
        <w:t>מיוזמתו</w:t>
      </w:r>
      <w:r w:rsidRPr="004B0E72">
        <w:rPr>
          <w:rFonts w:ascii="Arial" w:hAnsi="Arial"/>
          <w:rtl/>
        </w:rPr>
        <w:t xml:space="preserve"> </w:t>
      </w:r>
      <w:r w:rsidRPr="004B0E72">
        <w:rPr>
          <w:rFonts w:ascii="Arial" w:hAnsi="Arial" w:hint="cs"/>
          <w:rtl/>
        </w:rPr>
        <w:t>על</w:t>
      </w:r>
      <w:r w:rsidRPr="004B0E72">
        <w:rPr>
          <w:rFonts w:ascii="Arial" w:hAnsi="Arial"/>
          <w:rtl/>
        </w:rPr>
        <w:t xml:space="preserve"> </w:t>
      </w:r>
      <w:r w:rsidRPr="004B0E72">
        <w:rPr>
          <w:rFonts w:ascii="Arial" w:hAnsi="Arial" w:hint="cs"/>
          <w:rtl/>
        </w:rPr>
        <w:t>ההפרה</w:t>
      </w:r>
      <w:r w:rsidRPr="004B0E72">
        <w:rPr>
          <w:rFonts w:ascii="Arial" w:hAnsi="Arial"/>
          <w:rtl/>
        </w:rPr>
        <w:t xml:space="preserve">, </w:t>
      </w:r>
      <w:r w:rsidRPr="004B0E72">
        <w:rPr>
          <w:rFonts w:ascii="Arial" w:hAnsi="Arial" w:hint="cs"/>
          <w:rtl/>
        </w:rPr>
        <w:t>או</w:t>
      </w:r>
      <w:r w:rsidRPr="004B0E72">
        <w:rPr>
          <w:rFonts w:ascii="Arial" w:hAnsi="Arial"/>
          <w:rtl/>
        </w:rPr>
        <w:t xml:space="preserve"> </w:t>
      </w:r>
      <w:r w:rsidRPr="004B0E72">
        <w:rPr>
          <w:rFonts w:ascii="Arial" w:hAnsi="Arial" w:hint="cs"/>
          <w:rtl/>
        </w:rPr>
        <w:t>פעולות</w:t>
      </w:r>
      <w:r w:rsidRPr="004B0E72">
        <w:rPr>
          <w:rFonts w:ascii="Arial" w:hAnsi="Arial"/>
          <w:rtl/>
        </w:rPr>
        <w:t xml:space="preserve"> </w:t>
      </w:r>
      <w:r w:rsidRPr="004B0E72">
        <w:rPr>
          <w:rFonts w:ascii="Arial" w:hAnsi="Arial" w:hint="cs"/>
          <w:rtl/>
        </w:rPr>
        <w:t>שנקט</w:t>
      </w:r>
      <w:r w:rsidRPr="004B0E72">
        <w:rPr>
          <w:rFonts w:ascii="Arial" w:hAnsi="Arial"/>
          <w:rtl/>
        </w:rPr>
        <w:t xml:space="preserve"> </w:t>
      </w:r>
      <w:r w:rsidRPr="004B0E72">
        <w:rPr>
          <w:rFonts w:ascii="Arial" w:hAnsi="Arial" w:hint="cs"/>
          <w:rtl/>
        </w:rPr>
        <w:t>לתיקון</w:t>
      </w:r>
      <w:r w:rsidRPr="004B0E72">
        <w:rPr>
          <w:rFonts w:ascii="Arial" w:hAnsi="Arial"/>
          <w:rtl/>
        </w:rPr>
        <w:t xml:space="preserve"> </w:t>
      </w:r>
      <w:r w:rsidRPr="004B0E72">
        <w:rPr>
          <w:rFonts w:ascii="Arial" w:hAnsi="Arial" w:hint="cs"/>
          <w:rtl/>
        </w:rPr>
        <w:t>תוצאות</w:t>
      </w:r>
      <w:r w:rsidRPr="004B0E72">
        <w:rPr>
          <w:rFonts w:ascii="Arial" w:hAnsi="Arial"/>
          <w:rtl/>
        </w:rPr>
        <w:t xml:space="preserve"> </w:t>
      </w:r>
      <w:r w:rsidRPr="004B0E72">
        <w:rPr>
          <w:rFonts w:ascii="Arial" w:hAnsi="Arial" w:hint="cs"/>
          <w:rtl/>
        </w:rPr>
        <w:t>ההפרה</w:t>
      </w:r>
      <w:r w:rsidRPr="004B0E72">
        <w:rPr>
          <w:rFonts w:ascii="Arial" w:hAnsi="Arial"/>
          <w:rtl/>
        </w:rPr>
        <w:t>;</w:t>
      </w:r>
    </w:p>
    <w:p w14:paraId="08527320" w14:textId="77777777" w:rsidR="000A2E4B" w:rsidRPr="004B0E72" w:rsidRDefault="000A2E4B" w:rsidP="000A2E4B">
      <w:pPr>
        <w:pStyle w:val="Quote"/>
        <w:spacing w:after="0"/>
        <w:rPr>
          <w:rFonts w:ascii="Arial" w:hAnsi="Arial"/>
          <w:rtl/>
        </w:rPr>
      </w:pPr>
      <w:r w:rsidRPr="004B0E72">
        <w:rPr>
          <w:rFonts w:ascii="Arial" w:hAnsi="Arial"/>
          <w:rtl/>
        </w:rPr>
        <w:t>(6)</w:t>
      </w:r>
      <w:r w:rsidRPr="004B0E72">
        <w:rPr>
          <w:rFonts w:ascii="Arial" w:hAnsi="Arial"/>
          <w:rtl/>
        </w:rPr>
        <w:tab/>
      </w:r>
      <w:r w:rsidRPr="004B0E72">
        <w:rPr>
          <w:rFonts w:ascii="Arial" w:hAnsi="Arial" w:hint="cs"/>
          <w:rtl/>
        </w:rPr>
        <w:t>לגבי</w:t>
      </w:r>
      <w:r w:rsidRPr="004B0E72">
        <w:rPr>
          <w:rFonts w:ascii="Arial" w:hAnsi="Arial"/>
          <w:rtl/>
        </w:rPr>
        <w:t xml:space="preserve"> </w:t>
      </w:r>
      <w:r w:rsidRPr="004B0E72">
        <w:rPr>
          <w:rFonts w:ascii="Arial" w:hAnsi="Arial" w:hint="cs"/>
          <w:rtl/>
        </w:rPr>
        <w:t>מפר</w:t>
      </w:r>
      <w:r w:rsidRPr="004B0E72">
        <w:rPr>
          <w:rFonts w:ascii="Arial" w:hAnsi="Arial"/>
          <w:rtl/>
        </w:rPr>
        <w:t xml:space="preserve"> </w:t>
      </w:r>
      <w:r w:rsidRPr="004B0E72">
        <w:rPr>
          <w:rFonts w:ascii="Arial" w:hAnsi="Arial" w:hint="cs"/>
          <w:rtl/>
        </w:rPr>
        <w:t>שהוא</w:t>
      </w:r>
      <w:r w:rsidRPr="004B0E72">
        <w:rPr>
          <w:rFonts w:ascii="Arial" w:hAnsi="Arial"/>
          <w:rtl/>
        </w:rPr>
        <w:t xml:space="preserve"> </w:t>
      </w:r>
      <w:r w:rsidRPr="004B0E72">
        <w:rPr>
          <w:rFonts w:ascii="Arial" w:hAnsi="Arial" w:hint="cs"/>
          <w:rtl/>
        </w:rPr>
        <w:t>יחיד</w:t>
      </w:r>
      <w:r w:rsidRPr="004B0E72">
        <w:rPr>
          <w:rFonts w:ascii="Arial" w:hAnsi="Arial"/>
          <w:rtl/>
        </w:rPr>
        <w:t xml:space="preserve"> – </w:t>
      </w:r>
      <w:r w:rsidRPr="004B0E72">
        <w:rPr>
          <w:rFonts w:ascii="Arial" w:hAnsi="Arial" w:hint="cs"/>
          <w:rtl/>
        </w:rPr>
        <w:t>יכולתו</w:t>
      </w:r>
      <w:r w:rsidRPr="004B0E72">
        <w:rPr>
          <w:rFonts w:ascii="Arial" w:hAnsi="Arial"/>
          <w:rtl/>
        </w:rPr>
        <w:t xml:space="preserve"> </w:t>
      </w:r>
      <w:r w:rsidRPr="004B0E72">
        <w:rPr>
          <w:rFonts w:ascii="Arial" w:hAnsi="Arial" w:hint="cs"/>
          <w:rtl/>
        </w:rPr>
        <w:t>הכלכלית</w:t>
      </w:r>
      <w:r w:rsidRPr="004B0E72">
        <w:rPr>
          <w:rFonts w:ascii="Arial" w:hAnsi="Arial"/>
          <w:rtl/>
        </w:rPr>
        <w:t xml:space="preserve">, </w:t>
      </w:r>
      <w:r w:rsidRPr="004B0E72">
        <w:rPr>
          <w:rFonts w:ascii="Arial" w:hAnsi="Arial" w:hint="cs"/>
          <w:rtl/>
        </w:rPr>
        <w:t>ובכלל</w:t>
      </w:r>
      <w:r w:rsidRPr="004B0E72">
        <w:rPr>
          <w:rFonts w:ascii="Arial" w:hAnsi="Arial"/>
          <w:rtl/>
        </w:rPr>
        <w:t xml:space="preserve"> </w:t>
      </w:r>
      <w:r w:rsidRPr="004B0E72">
        <w:rPr>
          <w:rFonts w:ascii="Arial" w:hAnsi="Arial" w:hint="cs"/>
          <w:rtl/>
        </w:rPr>
        <w:t>זה</w:t>
      </w:r>
      <w:r w:rsidRPr="004B0E72">
        <w:rPr>
          <w:rFonts w:ascii="Arial" w:hAnsi="Arial"/>
          <w:rtl/>
        </w:rPr>
        <w:t xml:space="preserve"> </w:t>
      </w:r>
      <w:r w:rsidRPr="004B0E72">
        <w:rPr>
          <w:rFonts w:ascii="Arial" w:hAnsi="Arial" w:hint="cs"/>
          <w:rtl/>
        </w:rPr>
        <w:t>הכנסתו</w:t>
      </w:r>
      <w:r w:rsidRPr="004B0E72">
        <w:rPr>
          <w:rFonts w:ascii="Arial" w:hAnsi="Arial"/>
          <w:rtl/>
        </w:rPr>
        <w:t xml:space="preserve"> </w:t>
      </w:r>
      <w:r w:rsidRPr="004B0E72">
        <w:rPr>
          <w:rFonts w:ascii="Arial" w:hAnsi="Arial" w:hint="cs"/>
          <w:rtl/>
        </w:rPr>
        <w:t>שהופקה</w:t>
      </w:r>
      <w:r w:rsidRPr="004B0E72">
        <w:rPr>
          <w:rFonts w:ascii="Arial" w:hAnsi="Arial"/>
          <w:rtl/>
        </w:rPr>
        <w:t xml:space="preserve"> </w:t>
      </w:r>
      <w:r w:rsidRPr="004B0E72">
        <w:rPr>
          <w:rFonts w:ascii="Arial" w:hAnsi="Arial" w:hint="cs"/>
          <w:rtl/>
        </w:rPr>
        <w:t>או</w:t>
      </w:r>
      <w:r w:rsidRPr="004B0E72">
        <w:rPr>
          <w:rFonts w:ascii="Arial" w:hAnsi="Arial"/>
          <w:rtl/>
        </w:rPr>
        <w:t xml:space="preserve"> </w:t>
      </w:r>
      <w:r w:rsidRPr="004B0E72">
        <w:rPr>
          <w:rFonts w:ascii="Arial" w:hAnsi="Arial" w:hint="cs"/>
          <w:rtl/>
        </w:rPr>
        <w:t>שנצמחה</w:t>
      </w:r>
      <w:r w:rsidRPr="004B0E72">
        <w:rPr>
          <w:rFonts w:ascii="Arial" w:hAnsi="Arial"/>
          <w:rtl/>
        </w:rPr>
        <w:t xml:space="preserve"> </w:t>
      </w:r>
      <w:r w:rsidRPr="004B0E72">
        <w:rPr>
          <w:rFonts w:ascii="Arial" w:hAnsi="Arial" w:hint="cs"/>
          <w:rtl/>
        </w:rPr>
        <w:t>מתאגיד</w:t>
      </w:r>
      <w:r w:rsidRPr="004B0E72">
        <w:rPr>
          <w:rFonts w:ascii="Arial" w:hAnsi="Arial"/>
          <w:rtl/>
        </w:rPr>
        <w:t xml:space="preserve"> </w:t>
      </w:r>
      <w:r w:rsidRPr="004B0E72">
        <w:rPr>
          <w:rFonts w:ascii="Arial" w:hAnsi="Arial" w:hint="cs"/>
          <w:rtl/>
        </w:rPr>
        <w:t>הקשור</w:t>
      </w:r>
      <w:r w:rsidRPr="004B0E72">
        <w:rPr>
          <w:rFonts w:ascii="Arial" w:hAnsi="Arial"/>
          <w:rtl/>
        </w:rPr>
        <w:t xml:space="preserve"> </w:t>
      </w:r>
      <w:r w:rsidRPr="004B0E72">
        <w:rPr>
          <w:rFonts w:ascii="Arial" w:hAnsi="Arial" w:hint="cs"/>
          <w:rtl/>
        </w:rPr>
        <w:t>בהפרה</w:t>
      </w:r>
      <w:r w:rsidRPr="004B0E72">
        <w:rPr>
          <w:rFonts w:ascii="Arial" w:hAnsi="Arial"/>
          <w:rtl/>
        </w:rPr>
        <w:t xml:space="preserve">, </w:t>
      </w:r>
      <w:r w:rsidRPr="004B0E72">
        <w:rPr>
          <w:rFonts w:ascii="Arial" w:hAnsi="Arial" w:hint="cs"/>
          <w:rtl/>
        </w:rPr>
        <w:t>וכן</w:t>
      </w:r>
      <w:r w:rsidRPr="004B0E72">
        <w:rPr>
          <w:rFonts w:ascii="Arial" w:hAnsi="Arial"/>
          <w:rtl/>
        </w:rPr>
        <w:t xml:space="preserve"> </w:t>
      </w:r>
      <w:r w:rsidRPr="004B0E72">
        <w:rPr>
          <w:rFonts w:ascii="Arial" w:hAnsi="Arial" w:hint="cs"/>
          <w:rtl/>
        </w:rPr>
        <w:t>נסיבות</w:t>
      </w:r>
      <w:r w:rsidRPr="004B0E72">
        <w:rPr>
          <w:rFonts w:ascii="Arial" w:hAnsi="Arial"/>
          <w:rtl/>
        </w:rPr>
        <w:t xml:space="preserve"> </w:t>
      </w:r>
      <w:r w:rsidRPr="004B0E72">
        <w:rPr>
          <w:rFonts w:ascii="Arial" w:hAnsi="Arial" w:hint="cs"/>
          <w:rtl/>
        </w:rPr>
        <w:t>אישיות</w:t>
      </w:r>
      <w:r w:rsidRPr="004B0E72">
        <w:rPr>
          <w:rFonts w:ascii="Arial" w:hAnsi="Arial"/>
          <w:rtl/>
        </w:rPr>
        <w:t xml:space="preserve"> </w:t>
      </w:r>
      <w:r w:rsidRPr="004B0E72">
        <w:rPr>
          <w:rFonts w:ascii="Arial" w:hAnsi="Arial" w:hint="cs"/>
          <w:rtl/>
        </w:rPr>
        <w:t>שבעטיין</w:t>
      </w:r>
      <w:r w:rsidRPr="004B0E72">
        <w:rPr>
          <w:rFonts w:ascii="Arial" w:hAnsi="Arial"/>
          <w:rtl/>
        </w:rPr>
        <w:t xml:space="preserve"> </w:t>
      </w:r>
      <w:r w:rsidRPr="004B0E72">
        <w:rPr>
          <w:rFonts w:ascii="Arial" w:hAnsi="Arial" w:hint="cs"/>
          <w:rtl/>
        </w:rPr>
        <w:t>בוצעה</w:t>
      </w:r>
      <w:r w:rsidRPr="004B0E72">
        <w:rPr>
          <w:rFonts w:ascii="Arial" w:hAnsi="Arial"/>
          <w:rtl/>
        </w:rPr>
        <w:t xml:space="preserve"> </w:t>
      </w:r>
      <w:r w:rsidRPr="004B0E72">
        <w:rPr>
          <w:rFonts w:ascii="Arial" w:hAnsi="Arial" w:hint="cs"/>
          <w:rtl/>
        </w:rPr>
        <w:t>ההפרה</w:t>
      </w:r>
      <w:r w:rsidRPr="004B0E72">
        <w:rPr>
          <w:rFonts w:ascii="Arial" w:hAnsi="Arial"/>
          <w:rtl/>
        </w:rPr>
        <w:t xml:space="preserve"> </w:t>
      </w:r>
      <w:r w:rsidRPr="004B0E72">
        <w:rPr>
          <w:rFonts w:ascii="Arial" w:hAnsi="Arial" w:hint="cs"/>
          <w:rtl/>
        </w:rPr>
        <w:t>או</w:t>
      </w:r>
      <w:r w:rsidRPr="004B0E72">
        <w:rPr>
          <w:rFonts w:ascii="Arial" w:hAnsi="Arial"/>
          <w:rtl/>
        </w:rPr>
        <w:t xml:space="preserve"> </w:t>
      </w:r>
      <w:r w:rsidRPr="004B0E72">
        <w:rPr>
          <w:rFonts w:ascii="Arial" w:hAnsi="Arial" w:hint="cs"/>
          <w:rtl/>
        </w:rPr>
        <w:t>נסיבות</w:t>
      </w:r>
      <w:r w:rsidRPr="004B0E72">
        <w:rPr>
          <w:rFonts w:ascii="Arial" w:hAnsi="Arial"/>
          <w:rtl/>
        </w:rPr>
        <w:t xml:space="preserve"> </w:t>
      </w:r>
      <w:r w:rsidRPr="004B0E72">
        <w:rPr>
          <w:rFonts w:ascii="Arial" w:hAnsi="Arial" w:hint="cs"/>
          <w:rtl/>
        </w:rPr>
        <w:t>אישיות</w:t>
      </w:r>
      <w:r w:rsidRPr="004B0E72">
        <w:rPr>
          <w:rFonts w:ascii="Arial" w:hAnsi="Arial"/>
          <w:rtl/>
        </w:rPr>
        <w:t xml:space="preserve"> </w:t>
      </w:r>
      <w:r w:rsidRPr="004B0E72">
        <w:rPr>
          <w:rFonts w:ascii="Arial" w:hAnsi="Arial" w:hint="cs"/>
          <w:rtl/>
        </w:rPr>
        <w:t>קשות</w:t>
      </w:r>
      <w:r w:rsidRPr="004B0E72">
        <w:rPr>
          <w:rFonts w:ascii="Arial" w:hAnsi="Arial"/>
          <w:rtl/>
        </w:rPr>
        <w:t xml:space="preserve"> </w:t>
      </w:r>
      <w:r w:rsidRPr="004B0E72">
        <w:rPr>
          <w:rFonts w:ascii="Arial" w:hAnsi="Arial" w:hint="cs"/>
          <w:rtl/>
        </w:rPr>
        <w:t>המצדיקות</w:t>
      </w:r>
      <w:r w:rsidRPr="004B0E72">
        <w:rPr>
          <w:rFonts w:ascii="Arial" w:hAnsi="Arial"/>
          <w:rtl/>
        </w:rPr>
        <w:t xml:space="preserve"> </w:t>
      </w:r>
      <w:r w:rsidRPr="004B0E72">
        <w:rPr>
          <w:rFonts w:ascii="Arial" w:hAnsi="Arial" w:hint="cs"/>
          <w:rtl/>
        </w:rPr>
        <w:t>שלא</w:t>
      </w:r>
      <w:r w:rsidRPr="004B0E72">
        <w:rPr>
          <w:rFonts w:ascii="Arial" w:hAnsi="Arial"/>
          <w:rtl/>
        </w:rPr>
        <w:t xml:space="preserve"> </w:t>
      </w:r>
      <w:r w:rsidRPr="004B0E72">
        <w:rPr>
          <w:rFonts w:ascii="Arial" w:hAnsi="Arial" w:hint="cs"/>
          <w:rtl/>
        </w:rPr>
        <w:t>למצות</w:t>
      </w:r>
      <w:r w:rsidRPr="004B0E72">
        <w:rPr>
          <w:rFonts w:ascii="Arial" w:hAnsi="Arial"/>
          <w:rtl/>
        </w:rPr>
        <w:t xml:space="preserve"> </w:t>
      </w:r>
      <w:r w:rsidRPr="004B0E72">
        <w:rPr>
          <w:rFonts w:ascii="Arial" w:hAnsi="Arial" w:hint="cs"/>
          <w:rtl/>
        </w:rPr>
        <w:t>את</w:t>
      </w:r>
      <w:r w:rsidRPr="004B0E72">
        <w:rPr>
          <w:rFonts w:ascii="Arial" w:hAnsi="Arial"/>
          <w:rtl/>
        </w:rPr>
        <w:t xml:space="preserve"> </w:t>
      </w:r>
      <w:r w:rsidRPr="004B0E72">
        <w:rPr>
          <w:rFonts w:ascii="Arial" w:hAnsi="Arial" w:hint="cs"/>
          <w:rtl/>
        </w:rPr>
        <w:t>הדין</w:t>
      </w:r>
      <w:r w:rsidRPr="004B0E72">
        <w:rPr>
          <w:rFonts w:ascii="Arial" w:hAnsi="Arial"/>
          <w:rtl/>
        </w:rPr>
        <w:t xml:space="preserve"> </w:t>
      </w:r>
      <w:r w:rsidRPr="004B0E72">
        <w:rPr>
          <w:rFonts w:ascii="Arial" w:hAnsi="Arial" w:hint="cs"/>
          <w:rtl/>
        </w:rPr>
        <w:t>עם</w:t>
      </w:r>
      <w:r w:rsidRPr="004B0E72">
        <w:rPr>
          <w:rFonts w:ascii="Arial" w:hAnsi="Arial"/>
          <w:rtl/>
        </w:rPr>
        <w:t xml:space="preserve"> </w:t>
      </w:r>
      <w:r w:rsidRPr="004B0E72">
        <w:rPr>
          <w:rFonts w:ascii="Arial" w:hAnsi="Arial" w:hint="cs"/>
          <w:rtl/>
        </w:rPr>
        <w:t>הפר</w:t>
      </w:r>
      <w:r w:rsidRPr="004B0E72">
        <w:rPr>
          <w:rFonts w:ascii="Arial" w:hAnsi="Arial"/>
          <w:rtl/>
        </w:rPr>
        <w:t>;</w:t>
      </w:r>
    </w:p>
    <w:p w14:paraId="2ACD747B" w14:textId="5033FFC6" w:rsidR="004D2156" w:rsidRPr="004B0E72" w:rsidRDefault="000A2E4B" w:rsidP="000A2E4B">
      <w:pPr>
        <w:pStyle w:val="Quote"/>
        <w:spacing w:after="0"/>
        <w:rPr>
          <w:rFonts w:ascii="Arial" w:hAnsi="Arial"/>
          <w:rtl/>
        </w:rPr>
      </w:pPr>
      <w:r w:rsidRPr="004B0E72">
        <w:rPr>
          <w:rFonts w:ascii="Arial" w:hAnsi="Arial"/>
          <w:rtl/>
        </w:rPr>
        <w:t>(7)</w:t>
      </w:r>
      <w:r w:rsidRPr="004B0E72">
        <w:rPr>
          <w:rFonts w:ascii="Arial" w:hAnsi="Arial"/>
          <w:rtl/>
        </w:rPr>
        <w:tab/>
      </w:r>
      <w:r w:rsidRPr="004B0E72">
        <w:rPr>
          <w:rFonts w:ascii="Arial" w:hAnsi="Arial" w:hint="cs"/>
          <w:rtl/>
        </w:rPr>
        <w:t>לגבי</w:t>
      </w:r>
      <w:r w:rsidRPr="004B0E72">
        <w:rPr>
          <w:rFonts w:ascii="Arial" w:hAnsi="Arial"/>
          <w:rtl/>
        </w:rPr>
        <w:t xml:space="preserve"> </w:t>
      </w:r>
      <w:r w:rsidRPr="004B0E72">
        <w:rPr>
          <w:rFonts w:ascii="Arial" w:hAnsi="Arial" w:hint="cs"/>
          <w:rtl/>
        </w:rPr>
        <w:t>מפר</w:t>
      </w:r>
      <w:r w:rsidRPr="004B0E72">
        <w:rPr>
          <w:rFonts w:ascii="Arial" w:hAnsi="Arial"/>
          <w:rtl/>
        </w:rPr>
        <w:t xml:space="preserve"> </w:t>
      </w:r>
      <w:r w:rsidRPr="004B0E72">
        <w:rPr>
          <w:rFonts w:ascii="Arial" w:hAnsi="Arial" w:hint="cs"/>
          <w:rtl/>
        </w:rPr>
        <w:t>שהוא</w:t>
      </w:r>
      <w:r w:rsidRPr="004B0E72">
        <w:rPr>
          <w:rFonts w:ascii="Arial" w:hAnsi="Arial"/>
          <w:rtl/>
        </w:rPr>
        <w:t xml:space="preserve"> </w:t>
      </w:r>
      <w:r w:rsidRPr="004B0E72">
        <w:rPr>
          <w:rFonts w:ascii="Arial" w:hAnsi="Arial" w:hint="cs"/>
          <w:rtl/>
        </w:rPr>
        <w:t>תאגיד</w:t>
      </w:r>
      <w:r w:rsidRPr="004B0E72">
        <w:rPr>
          <w:rFonts w:ascii="Arial" w:hAnsi="Arial"/>
          <w:rtl/>
        </w:rPr>
        <w:t xml:space="preserve"> – </w:t>
      </w:r>
      <w:r w:rsidRPr="004B0E72">
        <w:rPr>
          <w:rFonts w:ascii="Arial" w:hAnsi="Arial" w:hint="cs"/>
          <w:rtl/>
        </w:rPr>
        <w:t>קיומו</w:t>
      </w:r>
      <w:r w:rsidRPr="004B0E72">
        <w:rPr>
          <w:rFonts w:ascii="Arial" w:hAnsi="Arial"/>
          <w:rtl/>
        </w:rPr>
        <w:t xml:space="preserve"> </w:t>
      </w:r>
      <w:r w:rsidRPr="004B0E72">
        <w:rPr>
          <w:rFonts w:ascii="Arial" w:hAnsi="Arial" w:hint="cs"/>
          <w:rtl/>
        </w:rPr>
        <w:t>של</w:t>
      </w:r>
      <w:r w:rsidRPr="004B0E72">
        <w:rPr>
          <w:rFonts w:ascii="Arial" w:hAnsi="Arial"/>
          <w:rtl/>
        </w:rPr>
        <w:t xml:space="preserve"> </w:t>
      </w:r>
      <w:r w:rsidRPr="004B0E72">
        <w:rPr>
          <w:rFonts w:ascii="Arial" w:hAnsi="Arial" w:hint="cs"/>
          <w:rtl/>
        </w:rPr>
        <w:t>חשש</w:t>
      </w:r>
      <w:r w:rsidRPr="004B0E72">
        <w:rPr>
          <w:rFonts w:ascii="Arial" w:hAnsi="Arial"/>
          <w:rtl/>
        </w:rPr>
        <w:t xml:space="preserve"> </w:t>
      </w:r>
      <w:r w:rsidRPr="004B0E72">
        <w:rPr>
          <w:rFonts w:ascii="Arial" w:hAnsi="Arial" w:hint="cs"/>
          <w:rtl/>
        </w:rPr>
        <w:t>משמעותי</w:t>
      </w:r>
      <w:r w:rsidRPr="004B0E72">
        <w:rPr>
          <w:rFonts w:ascii="Arial" w:hAnsi="Arial"/>
          <w:rtl/>
        </w:rPr>
        <w:t xml:space="preserve"> </w:t>
      </w:r>
      <w:r w:rsidRPr="004B0E72">
        <w:rPr>
          <w:rFonts w:ascii="Arial" w:hAnsi="Arial" w:hint="cs"/>
          <w:rtl/>
        </w:rPr>
        <w:t>כי</w:t>
      </w:r>
      <w:r w:rsidRPr="004B0E72">
        <w:rPr>
          <w:rFonts w:ascii="Arial" w:hAnsi="Arial"/>
          <w:rtl/>
        </w:rPr>
        <w:t xml:space="preserve"> </w:t>
      </w:r>
      <w:r w:rsidRPr="004B0E72">
        <w:rPr>
          <w:rFonts w:ascii="Arial" w:hAnsi="Arial" w:hint="cs"/>
          <w:rtl/>
        </w:rPr>
        <w:t>כתוצאה</w:t>
      </w:r>
      <w:r w:rsidRPr="004B0E72">
        <w:rPr>
          <w:rFonts w:ascii="Arial" w:hAnsi="Arial"/>
          <w:rtl/>
        </w:rPr>
        <w:t xml:space="preserve"> </w:t>
      </w:r>
      <w:r w:rsidRPr="004B0E72">
        <w:rPr>
          <w:rFonts w:ascii="Arial" w:hAnsi="Arial" w:hint="cs"/>
          <w:rtl/>
        </w:rPr>
        <w:t>מהטלת</w:t>
      </w:r>
      <w:r w:rsidRPr="004B0E72">
        <w:rPr>
          <w:rFonts w:ascii="Arial" w:hAnsi="Arial"/>
          <w:rtl/>
        </w:rPr>
        <w:t xml:space="preserve"> </w:t>
      </w:r>
      <w:r w:rsidRPr="004B0E72">
        <w:rPr>
          <w:rFonts w:ascii="Arial" w:hAnsi="Arial" w:hint="cs"/>
          <w:rtl/>
        </w:rPr>
        <w:t>העיצום</w:t>
      </w:r>
      <w:r w:rsidRPr="004B0E72">
        <w:rPr>
          <w:rFonts w:ascii="Arial" w:hAnsi="Arial"/>
          <w:rtl/>
        </w:rPr>
        <w:t xml:space="preserve"> </w:t>
      </w:r>
      <w:r w:rsidRPr="004B0E72">
        <w:rPr>
          <w:rFonts w:ascii="Arial" w:hAnsi="Arial" w:hint="cs"/>
          <w:rtl/>
        </w:rPr>
        <w:t>לא</w:t>
      </w:r>
      <w:r w:rsidRPr="004B0E72">
        <w:rPr>
          <w:rFonts w:ascii="Arial" w:hAnsi="Arial"/>
          <w:rtl/>
        </w:rPr>
        <w:t xml:space="preserve"> </w:t>
      </w:r>
      <w:r w:rsidRPr="004B0E72">
        <w:rPr>
          <w:rFonts w:ascii="Arial" w:hAnsi="Arial" w:hint="cs"/>
          <w:rtl/>
        </w:rPr>
        <w:t>יוכל</w:t>
      </w:r>
      <w:r w:rsidRPr="004B0E72">
        <w:rPr>
          <w:rFonts w:ascii="Arial" w:hAnsi="Arial"/>
          <w:rtl/>
        </w:rPr>
        <w:t xml:space="preserve"> </w:t>
      </w:r>
      <w:r w:rsidRPr="004B0E72">
        <w:rPr>
          <w:rFonts w:ascii="Arial" w:hAnsi="Arial" w:hint="cs"/>
          <w:rtl/>
        </w:rPr>
        <w:t>המפר</w:t>
      </w:r>
      <w:r w:rsidRPr="004B0E72">
        <w:rPr>
          <w:rFonts w:ascii="Arial" w:hAnsi="Arial"/>
          <w:rtl/>
        </w:rPr>
        <w:t xml:space="preserve"> </w:t>
      </w:r>
      <w:r w:rsidRPr="004B0E72">
        <w:rPr>
          <w:rFonts w:ascii="Arial" w:hAnsi="Arial" w:hint="cs"/>
          <w:rtl/>
        </w:rPr>
        <w:t>לפרוע</w:t>
      </w:r>
      <w:r w:rsidRPr="004B0E72">
        <w:rPr>
          <w:rFonts w:ascii="Arial" w:hAnsi="Arial"/>
          <w:rtl/>
        </w:rPr>
        <w:t xml:space="preserve"> </w:t>
      </w:r>
      <w:r w:rsidRPr="004B0E72">
        <w:rPr>
          <w:rFonts w:ascii="Arial" w:hAnsi="Arial" w:hint="cs"/>
          <w:rtl/>
        </w:rPr>
        <w:t>את</w:t>
      </w:r>
      <w:r w:rsidRPr="004B0E72">
        <w:rPr>
          <w:rFonts w:ascii="Arial" w:hAnsi="Arial"/>
          <w:rtl/>
        </w:rPr>
        <w:t xml:space="preserve"> </w:t>
      </w:r>
      <w:r w:rsidRPr="004B0E72">
        <w:rPr>
          <w:rFonts w:ascii="Arial" w:hAnsi="Arial" w:hint="cs"/>
          <w:rtl/>
        </w:rPr>
        <w:t>חובותיו</w:t>
      </w:r>
      <w:r w:rsidRPr="004B0E72">
        <w:rPr>
          <w:rFonts w:ascii="Arial" w:hAnsi="Arial"/>
          <w:rtl/>
        </w:rPr>
        <w:t xml:space="preserve"> </w:t>
      </w:r>
      <w:r w:rsidRPr="004B0E72">
        <w:rPr>
          <w:rFonts w:ascii="Arial" w:hAnsi="Arial" w:hint="cs"/>
          <w:rtl/>
        </w:rPr>
        <w:t>ופעילותו</w:t>
      </w:r>
      <w:r w:rsidRPr="004B0E72">
        <w:rPr>
          <w:rFonts w:ascii="Arial" w:hAnsi="Arial"/>
          <w:rtl/>
        </w:rPr>
        <w:t xml:space="preserve"> </w:t>
      </w:r>
      <w:r w:rsidRPr="004B0E72">
        <w:rPr>
          <w:rFonts w:ascii="Arial" w:hAnsi="Arial" w:hint="cs"/>
          <w:rtl/>
        </w:rPr>
        <w:t>תופסק</w:t>
      </w:r>
      <w:r w:rsidRPr="004B0E72">
        <w:rPr>
          <w:rFonts w:ascii="Arial" w:hAnsi="Arial"/>
          <w:rtl/>
        </w:rPr>
        <w:t>.</w:t>
      </w:r>
    </w:p>
    <w:p w14:paraId="4622684F" w14:textId="77777777" w:rsidR="00695A9B" w:rsidRPr="004B0E72" w:rsidRDefault="00695A9B" w:rsidP="00695A9B">
      <w:pPr>
        <w:rPr>
          <w:sz w:val="2"/>
          <w:szCs w:val="2"/>
        </w:rPr>
      </w:pPr>
    </w:p>
    <w:p w14:paraId="036FAB14" w14:textId="05E4FDA6" w:rsidR="00D56B7E" w:rsidRPr="004B0E72" w:rsidRDefault="00F3637E" w:rsidP="00346D71">
      <w:pPr>
        <w:pStyle w:val="ListParagraph"/>
        <w:numPr>
          <w:ilvl w:val="0"/>
          <w:numId w:val="27"/>
        </w:numPr>
        <w:spacing w:line="360" w:lineRule="auto"/>
        <w:jc w:val="both"/>
      </w:pPr>
      <w:r w:rsidRPr="004B0E72">
        <w:rPr>
          <w:rFonts w:hint="cs"/>
          <w:rtl/>
        </w:rPr>
        <w:t xml:space="preserve">בנוסף, </w:t>
      </w:r>
      <w:r w:rsidRPr="004B0E72">
        <w:rPr>
          <w:rFonts w:hint="eastAsia"/>
          <w:rtl/>
        </w:rPr>
        <w:t>עם</w:t>
      </w:r>
      <w:r w:rsidRPr="004B0E72">
        <w:rPr>
          <w:rtl/>
        </w:rPr>
        <w:t xml:space="preserve"> </w:t>
      </w:r>
      <w:r w:rsidRPr="004B0E72">
        <w:rPr>
          <w:rFonts w:hint="eastAsia"/>
          <w:rtl/>
        </w:rPr>
        <w:t>הוספת</w:t>
      </w:r>
      <w:r w:rsidRPr="004B0E72">
        <w:rPr>
          <w:rtl/>
        </w:rPr>
        <w:t xml:space="preserve"> </w:t>
      </w:r>
      <w:r w:rsidRPr="004B0E72">
        <w:rPr>
          <w:rFonts w:hint="eastAsia"/>
          <w:rtl/>
        </w:rPr>
        <w:t>פרק</w:t>
      </w:r>
      <w:r w:rsidRPr="004B0E72">
        <w:rPr>
          <w:rtl/>
        </w:rPr>
        <w:t xml:space="preserve"> </w:t>
      </w:r>
      <w:r w:rsidRPr="004B0E72">
        <w:rPr>
          <w:rFonts w:hint="eastAsia"/>
          <w:rtl/>
        </w:rPr>
        <w:t>ז</w:t>
      </w:r>
      <w:r w:rsidRPr="004B0E72">
        <w:rPr>
          <w:rtl/>
        </w:rPr>
        <w:t xml:space="preserve">'1 </w:t>
      </w:r>
      <w:r w:rsidRPr="004B0E72">
        <w:rPr>
          <w:rFonts w:hint="eastAsia"/>
          <w:rtl/>
        </w:rPr>
        <w:t>לחוק</w:t>
      </w:r>
      <w:r w:rsidRPr="004B0E72">
        <w:rPr>
          <w:rtl/>
        </w:rPr>
        <w:t xml:space="preserve"> במסגרת תיקון 13 לחוק, פרסם הממונה </w:t>
      </w:r>
      <w:r w:rsidRPr="004B0E72">
        <w:rPr>
          <w:rFonts w:hint="cs"/>
          <w:rtl/>
        </w:rPr>
        <w:t>גילוי דעת בעניין שיקוליו בקביעת גובה עיצום כספי</w:t>
      </w:r>
      <w:r w:rsidR="00346D71" w:rsidRPr="004B0E72">
        <w:rPr>
          <w:rStyle w:val="FootnoteReference"/>
          <w:rtl/>
        </w:rPr>
        <w:footnoteReference w:id="12"/>
      </w:r>
      <w:r w:rsidRPr="004B0E72">
        <w:rPr>
          <w:rFonts w:hint="cs"/>
          <w:rtl/>
        </w:rPr>
        <w:t xml:space="preserve"> (להלן: "</w:t>
      </w:r>
      <w:r w:rsidRPr="004B0E72">
        <w:rPr>
          <w:rFonts w:hint="cs"/>
          <w:b/>
          <w:bCs/>
          <w:rtl/>
        </w:rPr>
        <w:t>גילוי דעת 2/12</w:t>
      </w:r>
      <w:r w:rsidRPr="004B0E72">
        <w:rPr>
          <w:rFonts w:hint="cs"/>
          <w:rtl/>
        </w:rPr>
        <w:t>"),</w:t>
      </w:r>
      <w:r w:rsidRPr="004B0E72">
        <w:rPr>
          <w:rtl/>
        </w:rPr>
        <w:t xml:space="preserve"> </w:t>
      </w:r>
      <w:r w:rsidRPr="004B0E72">
        <w:rPr>
          <w:rFonts w:hint="cs"/>
          <w:rtl/>
        </w:rPr>
        <w:t xml:space="preserve">בו </w:t>
      </w:r>
      <w:r w:rsidRPr="004B0E72">
        <w:rPr>
          <w:rFonts w:hint="cs"/>
          <w:rtl/>
        </w:rPr>
        <w:lastRenderedPageBreak/>
        <w:t xml:space="preserve">פורטו </w:t>
      </w:r>
      <w:r w:rsidRPr="004B0E72">
        <w:rPr>
          <w:rtl/>
        </w:rPr>
        <w:t xml:space="preserve">אמות המידה והשיקולים </w:t>
      </w:r>
      <w:r w:rsidRPr="004B0E72">
        <w:rPr>
          <w:rFonts w:hint="eastAsia"/>
          <w:rtl/>
        </w:rPr>
        <w:t>שיישקלו</w:t>
      </w:r>
      <w:r w:rsidRPr="004B0E72">
        <w:rPr>
          <w:rtl/>
        </w:rPr>
        <w:t xml:space="preserve"> </w:t>
      </w:r>
      <w:r w:rsidRPr="004B0E72">
        <w:rPr>
          <w:rFonts w:hint="eastAsia"/>
          <w:rtl/>
        </w:rPr>
        <w:t>בקביעת</w:t>
      </w:r>
      <w:r w:rsidRPr="004B0E72">
        <w:rPr>
          <w:rtl/>
        </w:rPr>
        <w:t xml:space="preserve"> </w:t>
      </w:r>
      <w:r w:rsidRPr="004B0E72">
        <w:rPr>
          <w:rFonts w:hint="eastAsia"/>
          <w:rtl/>
        </w:rPr>
        <w:t>גובה</w:t>
      </w:r>
      <w:r w:rsidRPr="004B0E72">
        <w:rPr>
          <w:rtl/>
        </w:rPr>
        <w:t xml:space="preserve"> </w:t>
      </w:r>
      <w:r w:rsidRPr="004B0E72">
        <w:rPr>
          <w:rFonts w:hint="cs"/>
          <w:rtl/>
        </w:rPr>
        <w:t>ה</w:t>
      </w:r>
      <w:r w:rsidRPr="004B0E72">
        <w:rPr>
          <w:rFonts w:hint="eastAsia"/>
          <w:rtl/>
        </w:rPr>
        <w:t>עיצום</w:t>
      </w:r>
      <w:r w:rsidRPr="004B0E72">
        <w:rPr>
          <w:rtl/>
        </w:rPr>
        <w:t xml:space="preserve"> </w:t>
      </w:r>
      <w:r w:rsidRPr="004B0E72">
        <w:rPr>
          <w:rFonts w:hint="cs"/>
          <w:rtl/>
        </w:rPr>
        <w:t>ה</w:t>
      </w:r>
      <w:r w:rsidRPr="004B0E72">
        <w:rPr>
          <w:rFonts w:hint="eastAsia"/>
          <w:rtl/>
        </w:rPr>
        <w:t>כספי</w:t>
      </w:r>
      <w:r w:rsidRPr="004B0E72">
        <w:rPr>
          <w:rFonts w:hint="cs"/>
          <w:rtl/>
        </w:rPr>
        <w:t>.</w:t>
      </w:r>
      <w:r w:rsidRPr="004B0E72">
        <w:rPr>
          <w:rtl/>
        </w:rPr>
        <w:t xml:space="preserve"> </w:t>
      </w:r>
      <w:r w:rsidR="005849AD" w:rsidRPr="004B0E72">
        <w:rPr>
          <w:rFonts w:ascii="Times New Roman" w:hAnsi="Times New Roman"/>
          <w:rtl/>
        </w:rPr>
        <w:t>כפי שמפורט שם, ההחלטה על הטלת עיצום כספי ושיעורו תיעשה על פי המתווה הקבוע בסעיף 50ה לחוק, ו</w:t>
      </w:r>
      <w:r w:rsidR="005849AD" w:rsidRPr="004B0E72">
        <w:rPr>
          <w:rFonts w:ascii="Times New Roman" w:hAnsi="Times New Roman" w:hint="cs"/>
          <w:rtl/>
        </w:rPr>
        <w:t>ב</w:t>
      </w:r>
      <w:r w:rsidR="005849AD" w:rsidRPr="004B0E72">
        <w:rPr>
          <w:rFonts w:ascii="Times New Roman" w:hAnsi="Times New Roman"/>
          <w:rtl/>
        </w:rPr>
        <w:t>התאם לנסיבותיו הייחודיות של כל מקרה ומקרה. ככלל, נסיבות</w:t>
      </w:r>
      <w:r w:rsidR="005849AD" w:rsidRPr="004B0E72">
        <w:rPr>
          <w:rFonts w:ascii="Times New Roman" w:hAnsi="Times New Roman" w:hint="cs"/>
          <w:rtl/>
        </w:rPr>
        <w:t xml:space="preserve"> אלה</w:t>
      </w:r>
      <w:r w:rsidR="005849AD" w:rsidRPr="004B0E72">
        <w:rPr>
          <w:rFonts w:ascii="Times New Roman" w:hAnsi="Times New Roman"/>
          <w:rtl/>
        </w:rPr>
        <w:t xml:space="preserve"> </w:t>
      </w:r>
      <w:r w:rsidR="005849AD" w:rsidRPr="004B0E72">
        <w:rPr>
          <w:rFonts w:ascii="Times New Roman" w:hAnsi="Times New Roman" w:hint="cs"/>
          <w:rtl/>
        </w:rPr>
        <w:t>ייבחנו</w:t>
      </w:r>
      <w:r w:rsidR="005849AD" w:rsidRPr="004B0E72">
        <w:rPr>
          <w:rFonts w:ascii="Times New Roman" w:hAnsi="Times New Roman"/>
          <w:rtl/>
        </w:rPr>
        <w:t xml:space="preserve"> על רקע תכליתו של חוק ההגבלים העסקיים, היא השמירה על התחרות החופשית. נוכח האמור, מידת הפגיעה בתחרות או בציבור שעלולה הייתה להיגרם כתוצאה מן ההפרה היא הפרמטר המרכזי לאורו ישקול הממונה את סכום העיצום שיוטל</w:t>
      </w:r>
      <w:r w:rsidR="005849AD" w:rsidRPr="004B0E72">
        <w:rPr>
          <w:rFonts w:ascii="Times New Roman" w:hAnsi="Times New Roman" w:hint="cs"/>
          <w:rtl/>
        </w:rPr>
        <w:t>.</w:t>
      </w:r>
      <w:r w:rsidR="005849AD" w:rsidRPr="004B0E72">
        <w:rPr>
          <w:rStyle w:val="FootnoteReference"/>
          <w:rFonts w:ascii="Times New Roman" w:hAnsi="Times New Roman"/>
          <w:rtl/>
        </w:rPr>
        <w:footnoteReference w:id="13"/>
      </w:r>
      <w:r w:rsidR="005849AD" w:rsidRPr="004B0E72">
        <w:rPr>
          <w:rFonts w:ascii="Times New Roman" w:hAnsi="Times New Roman"/>
          <w:rtl/>
        </w:rPr>
        <w:t xml:space="preserve"> </w:t>
      </w:r>
      <w:r w:rsidR="00D924E2" w:rsidRPr="004B0E72">
        <w:rPr>
          <w:rFonts w:hint="cs"/>
          <w:rtl/>
        </w:rPr>
        <w:t xml:space="preserve"> </w:t>
      </w:r>
    </w:p>
    <w:p w14:paraId="180BB0AB" w14:textId="119C8128" w:rsidR="000A2E4B" w:rsidRPr="004B0E72" w:rsidRDefault="000A2E4B" w:rsidP="00AE0545">
      <w:pPr>
        <w:pStyle w:val="ListParagraph"/>
        <w:numPr>
          <w:ilvl w:val="0"/>
          <w:numId w:val="27"/>
        </w:numPr>
        <w:spacing w:line="360" w:lineRule="auto"/>
        <w:jc w:val="both"/>
      </w:pPr>
      <w:r w:rsidRPr="004B0E72">
        <w:rPr>
          <w:rFonts w:hint="cs"/>
          <w:rtl/>
        </w:rPr>
        <w:t>ומן הכלל אל הפרט:</w:t>
      </w:r>
    </w:p>
    <w:p w14:paraId="73C8D8B2" w14:textId="0362E38F" w:rsidR="005849AD" w:rsidRPr="004B0E72" w:rsidRDefault="005849AD" w:rsidP="004C6D08">
      <w:pPr>
        <w:pStyle w:val="ListParagraph"/>
        <w:numPr>
          <w:ilvl w:val="0"/>
          <w:numId w:val="27"/>
        </w:numPr>
        <w:spacing w:line="360" w:lineRule="auto"/>
        <w:jc w:val="both"/>
        <w:rPr>
          <w:rFonts w:ascii="Times New Roman" w:hAnsi="Times New Roman"/>
        </w:rPr>
      </w:pPr>
      <w:r w:rsidRPr="004B0E72">
        <w:rPr>
          <w:rFonts w:ascii="Times New Roman" w:hAnsi="Times New Roman"/>
          <w:rtl/>
        </w:rPr>
        <w:t>במקרה דנן בחינת עסקת המיזוג העלתה כי היא אינה מעלה חשש סביר לפגיעה משמעותית בתחרות או בציבור</w:t>
      </w:r>
      <w:r w:rsidRPr="004B0E72">
        <w:rPr>
          <w:rFonts w:ascii="Times New Roman" w:hAnsi="Times New Roman" w:hint="cs"/>
          <w:rtl/>
        </w:rPr>
        <w:t>, ולפיכך זכה המיזוג לאישור הממונה</w:t>
      </w:r>
      <w:r w:rsidRPr="004B0E72">
        <w:rPr>
          <w:rFonts w:ascii="Times New Roman" w:hAnsi="Times New Roman"/>
          <w:rtl/>
        </w:rPr>
        <w:t>.</w:t>
      </w:r>
      <w:r w:rsidRPr="004B0E72">
        <w:rPr>
          <w:rFonts w:ascii="Times New Roman" w:hAnsi="Times New Roman"/>
          <w:vertAlign w:val="superscript"/>
          <w:rtl/>
        </w:rPr>
        <w:footnoteReference w:id="14"/>
      </w:r>
      <w:r w:rsidRPr="004B0E72">
        <w:rPr>
          <w:rFonts w:ascii="Times New Roman" w:hAnsi="Times New Roman"/>
          <w:rtl/>
        </w:rPr>
        <w:t xml:space="preserve"> </w:t>
      </w:r>
      <w:r w:rsidR="00A643B4" w:rsidRPr="004B0E72">
        <w:rPr>
          <w:rFonts w:ascii="Times New Roman" w:hAnsi="Times New Roman" w:hint="cs"/>
          <w:rtl/>
        </w:rPr>
        <w:t>עובדה זו עמדה ביסוד קביעת  גובה</w:t>
      </w:r>
      <w:r w:rsidR="00B37FE1" w:rsidRPr="004B0E72">
        <w:rPr>
          <w:rFonts w:ascii="Times New Roman" w:hAnsi="Times New Roman" w:hint="cs"/>
          <w:rtl/>
        </w:rPr>
        <w:t xml:space="preserve"> העיצום</w:t>
      </w:r>
      <w:r w:rsidR="009E7C91" w:rsidRPr="004B0E72">
        <w:rPr>
          <w:rFonts w:ascii="Times New Roman" w:hAnsi="Times New Roman" w:hint="cs"/>
          <w:rtl/>
        </w:rPr>
        <w:t xml:space="preserve"> בסכום נמוך. </w:t>
      </w:r>
    </w:p>
    <w:p w14:paraId="3C6BE250" w14:textId="77777777"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ascii="Times New Roman" w:hAnsi="Times New Roman"/>
          <w:rtl/>
        </w:rPr>
        <w:t xml:space="preserve">כעת נעבור לבחינת יתר השיקולים הפרטניים הרלוונטיים להפרה </w:t>
      </w:r>
      <w:r w:rsidRPr="004B0E72">
        <w:rPr>
          <w:rFonts w:ascii="Times New Roman" w:hAnsi="Times New Roman" w:hint="cs"/>
          <w:rtl/>
        </w:rPr>
        <w:t>ולצדדים</w:t>
      </w:r>
      <w:r w:rsidRPr="004B0E72">
        <w:rPr>
          <w:rFonts w:ascii="Times New Roman" w:hAnsi="Times New Roman"/>
          <w:rtl/>
        </w:rPr>
        <w:t>, בהתאם לסעיף 50ה לחוק ולגילוי דעת 2/12:</w:t>
      </w:r>
    </w:p>
    <w:p w14:paraId="11D5E60A" w14:textId="03C09309" w:rsidR="005849AD" w:rsidRPr="004B0E72" w:rsidRDefault="005849AD" w:rsidP="00A643B4">
      <w:pPr>
        <w:pStyle w:val="ListParagraph"/>
        <w:numPr>
          <w:ilvl w:val="1"/>
          <w:numId w:val="27"/>
        </w:numPr>
        <w:spacing w:line="360" w:lineRule="auto"/>
        <w:ind w:left="757"/>
        <w:jc w:val="both"/>
        <w:rPr>
          <w:rFonts w:ascii="Times New Roman" w:hAnsi="Times New Roman"/>
        </w:rPr>
      </w:pPr>
      <w:r w:rsidRPr="004B0E72">
        <w:rPr>
          <w:rFonts w:ascii="Times New Roman" w:hAnsi="Times New Roman"/>
          <w:b/>
          <w:bCs/>
          <w:rtl/>
        </w:rPr>
        <w:t>משך ההפרה</w:t>
      </w:r>
      <w:r w:rsidRPr="004B0E72">
        <w:rPr>
          <w:rFonts w:ascii="Times New Roman" w:hAnsi="Times New Roman"/>
          <w:rtl/>
        </w:rPr>
        <w:t xml:space="preserve">: </w:t>
      </w:r>
      <w:r w:rsidRPr="004B0E72">
        <w:rPr>
          <w:rFonts w:ascii="Times New Roman" w:hAnsi="Times New Roman" w:hint="cs"/>
          <w:rtl/>
        </w:rPr>
        <w:t xml:space="preserve">ההפרה התקיימה </w:t>
      </w:r>
      <w:r w:rsidRPr="004B0E72">
        <w:rPr>
          <w:rFonts w:ascii="Times New Roman" w:hAnsi="Times New Roman"/>
          <w:rtl/>
        </w:rPr>
        <w:t>במשך חודשים בודדים בלבד, עד לאישור הממונה</w:t>
      </w:r>
      <w:r w:rsidRPr="004B0E72">
        <w:rPr>
          <w:rFonts w:ascii="Times New Roman" w:hAnsi="Times New Roman" w:hint="cs"/>
          <w:rtl/>
        </w:rPr>
        <w:t xml:space="preserve"> למיזוג</w:t>
      </w:r>
      <w:r w:rsidRPr="004B0E72">
        <w:rPr>
          <w:rFonts w:ascii="Times New Roman" w:hAnsi="Times New Roman"/>
          <w:rtl/>
        </w:rPr>
        <w:t xml:space="preserve">; </w:t>
      </w:r>
      <w:r w:rsidR="0057459A" w:rsidRPr="004B0E72">
        <w:rPr>
          <w:rFonts w:ascii="Times New Roman" w:hAnsi="Times New Roman" w:hint="cs"/>
          <w:rtl/>
        </w:rPr>
        <w:t xml:space="preserve">בנסיבות </w:t>
      </w:r>
      <w:r w:rsidR="00A643B4" w:rsidRPr="004B0E72">
        <w:rPr>
          <w:rFonts w:ascii="Times New Roman" w:hAnsi="Times New Roman" w:hint="cs"/>
          <w:rtl/>
        </w:rPr>
        <w:t>מקרה זה</w:t>
      </w:r>
      <w:r w:rsidR="0057459A" w:rsidRPr="004B0E72">
        <w:rPr>
          <w:rFonts w:ascii="Times New Roman" w:hAnsi="Times New Roman" w:hint="cs"/>
          <w:rtl/>
        </w:rPr>
        <w:t xml:space="preserve">, </w:t>
      </w:r>
      <w:r w:rsidRPr="004B0E72">
        <w:rPr>
          <w:rFonts w:ascii="Times New Roman" w:hAnsi="Times New Roman"/>
          <w:rtl/>
        </w:rPr>
        <w:t xml:space="preserve">משך הזמן הקצר יחסית בו </w:t>
      </w:r>
      <w:r w:rsidRPr="004B0E72">
        <w:rPr>
          <w:rFonts w:ascii="Times New Roman" w:hAnsi="Times New Roman" w:hint="cs"/>
          <w:rtl/>
        </w:rPr>
        <w:t xml:space="preserve">התקיימה ההפרה </w:t>
      </w:r>
      <w:r w:rsidRPr="004B0E72">
        <w:rPr>
          <w:rFonts w:ascii="Times New Roman" w:hAnsi="Times New Roman"/>
          <w:rtl/>
        </w:rPr>
        <w:t>מהווה</w:t>
      </w:r>
      <w:r w:rsidR="0099371E" w:rsidRPr="004B0E72">
        <w:rPr>
          <w:rFonts w:ascii="Times New Roman" w:hAnsi="Times New Roman" w:hint="cs"/>
          <w:rtl/>
        </w:rPr>
        <w:t xml:space="preserve"> </w:t>
      </w:r>
      <w:r w:rsidRPr="004B0E72">
        <w:rPr>
          <w:rFonts w:ascii="Times New Roman" w:hAnsi="Times New Roman"/>
          <w:rtl/>
        </w:rPr>
        <w:t xml:space="preserve">שיקול לקולא. </w:t>
      </w:r>
      <w:r w:rsidR="0039621E" w:rsidRPr="004B0E72">
        <w:rPr>
          <w:rFonts w:ascii="Times New Roman" w:hAnsi="Times New Roman" w:hint="cs"/>
          <w:rtl/>
        </w:rPr>
        <w:t xml:space="preserve"> </w:t>
      </w:r>
    </w:p>
    <w:p w14:paraId="55E6D257" w14:textId="35F14729" w:rsidR="005849AD" w:rsidRPr="004B0E72" w:rsidRDefault="005849AD" w:rsidP="006526E1">
      <w:pPr>
        <w:pStyle w:val="ListParagraph"/>
        <w:numPr>
          <w:ilvl w:val="1"/>
          <w:numId w:val="27"/>
        </w:numPr>
        <w:spacing w:line="360" w:lineRule="auto"/>
        <w:ind w:left="757"/>
        <w:jc w:val="both"/>
      </w:pPr>
      <w:r w:rsidRPr="004B0E72">
        <w:rPr>
          <w:rFonts w:ascii="Times New Roman" w:hAnsi="Times New Roman"/>
          <w:b/>
          <w:bCs/>
          <w:rtl/>
        </w:rPr>
        <w:lastRenderedPageBreak/>
        <w:t>חלקו של המפר בהפרה ומידת השפעתו על ביצועה</w:t>
      </w:r>
      <w:r w:rsidRPr="004B0E72">
        <w:rPr>
          <w:rFonts w:ascii="Times New Roman" w:hAnsi="Times New Roman"/>
          <w:rtl/>
        </w:rPr>
        <w:t>:</w:t>
      </w:r>
      <w:r w:rsidRPr="004B0E72">
        <w:rPr>
          <w:rFonts w:ascii="Times New Roman" w:hAnsi="Times New Roman"/>
        </w:rPr>
        <w:t xml:space="preserve"> </w:t>
      </w:r>
      <w:r w:rsidRPr="004B0E72">
        <w:rPr>
          <w:rFonts w:hint="cs"/>
          <w:rtl/>
        </w:rPr>
        <w:t>בנסיבות המקרה לא מצאנו מקום לייחס</w:t>
      </w:r>
      <w:r w:rsidR="006526E1" w:rsidRPr="004B0E72">
        <w:rPr>
          <w:rFonts w:hint="cs"/>
          <w:rtl/>
        </w:rPr>
        <w:t xml:space="preserve"> למי מהצדדים להסדר</w:t>
      </w:r>
      <w:r w:rsidRPr="004B0E72">
        <w:rPr>
          <w:rFonts w:hint="cs"/>
          <w:rtl/>
        </w:rPr>
        <w:t xml:space="preserve"> חלק רב יותר או מידת השפעה רבה יותר על ההפרה. </w:t>
      </w:r>
    </w:p>
    <w:p w14:paraId="1320431A" w14:textId="77777777" w:rsidR="005849AD" w:rsidRPr="004B0E72" w:rsidRDefault="005849AD" w:rsidP="005849AD">
      <w:pPr>
        <w:pStyle w:val="ListParagraph"/>
        <w:numPr>
          <w:ilvl w:val="1"/>
          <w:numId w:val="27"/>
        </w:numPr>
        <w:spacing w:line="360" w:lineRule="auto"/>
        <w:ind w:left="757"/>
        <w:jc w:val="both"/>
        <w:rPr>
          <w:rFonts w:ascii="Times New Roman" w:hAnsi="Times New Roman"/>
        </w:rPr>
      </w:pPr>
      <w:r w:rsidRPr="004B0E72">
        <w:rPr>
          <w:rFonts w:ascii="Times New Roman" w:hAnsi="Times New Roman"/>
          <w:b/>
          <w:bCs/>
          <w:rtl/>
        </w:rPr>
        <w:t>קיומן או העדרן של הפרות קודמות</w:t>
      </w:r>
      <w:r w:rsidRPr="004B0E72">
        <w:rPr>
          <w:rFonts w:ascii="Times New Roman" w:hAnsi="Times New Roman"/>
          <w:rtl/>
        </w:rPr>
        <w:t>:</w:t>
      </w:r>
      <w:r w:rsidRPr="004B0E72">
        <w:rPr>
          <w:rFonts w:ascii="Times New Roman" w:hAnsi="Times New Roman"/>
        </w:rPr>
        <w:t xml:space="preserve"> </w:t>
      </w:r>
      <w:r w:rsidRPr="004B0E72">
        <w:rPr>
          <w:rFonts w:ascii="Times New Roman" w:hAnsi="Times New Roman"/>
          <w:rtl/>
        </w:rPr>
        <w:t xml:space="preserve">אין למפרות הפרות קודמות; עובדה זו </w:t>
      </w:r>
      <w:r w:rsidRPr="004B0E72">
        <w:rPr>
          <w:rFonts w:ascii="Times New Roman" w:hAnsi="Times New Roman" w:hint="cs"/>
          <w:rtl/>
        </w:rPr>
        <w:t xml:space="preserve">מהווה </w:t>
      </w:r>
      <w:r w:rsidRPr="004B0E72">
        <w:rPr>
          <w:rFonts w:ascii="Times New Roman" w:hAnsi="Times New Roman"/>
          <w:rtl/>
        </w:rPr>
        <w:t>שיקול לקולא.</w:t>
      </w:r>
    </w:p>
    <w:p w14:paraId="31F221EA" w14:textId="77777777" w:rsidR="005849AD" w:rsidRPr="004B0E72" w:rsidRDefault="005849AD" w:rsidP="005849AD">
      <w:pPr>
        <w:pStyle w:val="ListParagraph"/>
        <w:numPr>
          <w:ilvl w:val="1"/>
          <w:numId w:val="27"/>
        </w:numPr>
        <w:spacing w:line="360" w:lineRule="auto"/>
        <w:ind w:left="757"/>
        <w:jc w:val="both"/>
      </w:pPr>
      <w:r w:rsidRPr="004B0E72">
        <w:rPr>
          <w:rFonts w:hint="cs"/>
          <w:b/>
          <w:bCs/>
          <w:rtl/>
        </w:rPr>
        <w:t>פעולות שנקט המפר להפסקת ההפרה</w:t>
      </w:r>
      <w:r w:rsidRPr="004B0E72">
        <w:rPr>
          <w:rFonts w:hint="cs"/>
          <w:rtl/>
        </w:rPr>
        <w:t>:</w:t>
      </w:r>
      <w:r w:rsidRPr="004B0E72">
        <w:t xml:space="preserve"> </w:t>
      </w:r>
      <w:r w:rsidRPr="004B0E72">
        <w:rPr>
          <w:rFonts w:hint="cs"/>
          <w:rtl/>
        </w:rPr>
        <w:t xml:space="preserve">הצדדים לא הביאו את ההפרות לידיעת הרשות מיוזמתם, הגם שהודו בנעשה במענה לדרישת נתונים מטעם הרשות. מכאן, שאין מקום להתחשב בשיקול זה בקביעת גובה העיצום. </w:t>
      </w:r>
    </w:p>
    <w:p w14:paraId="310BCDEC" w14:textId="4994830B" w:rsidR="005849AD" w:rsidRPr="004B0E72" w:rsidRDefault="005849AD" w:rsidP="0057459A">
      <w:pPr>
        <w:pStyle w:val="ListParagraph"/>
        <w:numPr>
          <w:ilvl w:val="1"/>
          <w:numId w:val="27"/>
        </w:numPr>
        <w:spacing w:line="360" w:lineRule="auto"/>
        <w:ind w:left="757"/>
        <w:jc w:val="both"/>
      </w:pPr>
      <w:r w:rsidRPr="004B0E72">
        <w:rPr>
          <w:rFonts w:ascii="Times New Roman" w:hAnsi="Times New Roman"/>
          <w:b/>
          <w:bCs/>
          <w:rtl/>
        </w:rPr>
        <w:t>שיקולים נוספים</w:t>
      </w:r>
      <w:r w:rsidRPr="004B0E72">
        <w:rPr>
          <w:rFonts w:ascii="Times New Roman" w:hAnsi="Times New Roman"/>
          <w:rtl/>
        </w:rPr>
        <w:t xml:space="preserve">: </w:t>
      </w:r>
      <w:r w:rsidRPr="004B0E72">
        <w:rPr>
          <w:rFonts w:hint="cs"/>
          <w:rtl/>
        </w:rPr>
        <w:t xml:space="preserve">נוכח המצב הכלכלי הקשה של מכלול, </w:t>
      </w:r>
      <w:r w:rsidR="0057459A" w:rsidRPr="004B0E72">
        <w:rPr>
          <w:rFonts w:hint="cs"/>
          <w:rtl/>
        </w:rPr>
        <w:t xml:space="preserve">קיימת </w:t>
      </w:r>
      <w:r w:rsidRPr="004B0E72">
        <w:rPr>
          <w:rFonts w:hint="cs"/>
          <w:rtl/>
        </w:rPr>
        <w:t xml:space="preserve">אפשרות כי אילו היו הצדדים באים בדברים עם הרשות מבעוד מועד, ניתן היה להגיע לפתרון משפטי אשר היה מאפשר </w:t>
      </w:r>
      <w:r w:rsidR="00F604E6" w:rsidRPr="004B0E72">
        <w:rPr>
          <w:rFonts w:hint="cs"/>
          <w:rtl/>
        </w:rPr>
        <w:t xml:space="preserve">הזרמת כספים מברמן למכלול </w:t>
      </w:r>
      <w:r w:rsidR="00E26B01" w:rsidRPr="004B0E72">
        <w:rPr>
          <w:rFonts w:hint="cs"/>
          <w:rtl/>
        </w:rPr>
        <w:t>בהיקף ו</w:t>
      </w:r>
      <w:r w:rsidR="00F604E6" w:rsidRPr="004B0E72">
        <w:rPr>
          <w:rFonts w:hint="cs"/>
          <w:rtl/>
        </w:rPr>
        <w:t xml:space="preserve">במתווה </w:t>
      </w:r>
      <w:r w:rsidR="00105A4E" w:rsidRPr="004B0E72">
        <w:rPr>
          <w:rFonts w:hint="cs"/>
          <w:rtl/>
        </w:rPr>
        <w:t>שהיה נקבע על-ידי הרשות, בשים לב לנסיבות הפרטניות של עסקת המיזוג דנן</w:t>
      </w:r>
      <w:r w:rsidRPr="004B0E72">
        <w:rPr>
          <w:rFonts w:hint="cs"/>
          <w:rtl/>
        </w:rPr>
        <w:t xml:space="preserve">. עובדה זו נשקלה כשיקול לקולא. </w:t>
      </w:r>
    </w:p>
    <w:p w14:paraId="2CE7AE41" w14:textId="520EC70C" w:rsidR="005849AD" w:rsidRPr="004B0E72" w:rsidRDefault="005849AD" w:rsidP="00A66DE6">
      <w:pPr>
        <w:pStyle w:val="ListParagraph"/>
        <w:spacing w:line="360" w:lineRule="auto"/>
        <w:ind w:left="757"/>
        <w:jc w:val="both"/>
      </w:pPr>
      <w:r w:rsidRPr="004B0E72">
        <w:rPr>
          <w:rFonts w:hint="cs"/>
          <w:rtl/>
        </w:rPr>
        <w:t xml:space="preserve">ודוק: המדובר בשיקול לעניין קביעת גובה העיצום המתאים בלבד, וברי כי אין בו כדי להצדיק הימנעות מהטלת עיצום בגין המעשים מושא החלטה זו. העובדה כי הממונה נכון, במקרים המתאימים, להודיע על כוונתו להימנע מלאכוף את הוראות החוק בגין ביצוע פעולות שיש בהן משום מיזוג חברות, במקרים בהם נחה דעתו כי עיכוב בהזרמת כספים לעסק שבפירוק מקים חשש </w:t>
      </w:r>
      <w:r w:rsidRPr="004B0E72">
        <w:rPr>
          <w:rFonts w:hint="cs"/>
          <w:rtl/>
        </w:rPr>
        <w:lastRenderedPageBreak/>
        <w:t>לסיכול עסקת המיזוג,</w:t>
      </w:r>
      <w:r w:rsidRPr="004B0E72">
        <w:rPr>
          <w:rStyle w:val="FootnoteReference"/>
          <w:rtl/>
        </w:rPr>
        <w:footnoteReference w:id="15"/>
      </w:r>
      <w:r w:rsidRPr="004B0E72">
        <w:rPr>
          <w:rFonts w:hint="cs"/>
          <w:rtl/>
        </w:rPr>
        <w:t xml:space="preserve"> אין משמעותה כי צדדים למיזוג חופשיים לנקוט בכל פעולה הנדרשת לדעתם על מנת למנוע קריסה של החברה הנרכשת במסגרת המיזוג. זאת ועוד, הודעת הממונה בדבר הימנעות מנקיטת הליכי אכיפה במקרים כאלה אינה אקט פורמאלי גרידא, והרשות אינה משמשת "חותמת גומי" בהקשר זה. אילו הסוגיה הייתה מובאת בפניה, הייתה נבחנת הנחיצות שיש בהזרמת הכספים והיה נקבע </w:t>
      </w:r>
      <w:r w:rsidR="00591E68" w:rsidRPr="004B0E72">
        <w:rPr>
          <w:rFonts w:hint="cs"/>
          <w:rtl/>
        </w:rPr>
        <w:t>ההיקף ו</w:t>
      </w:r>
      <w:r w:rsidRPr="004B0E72">
        <w:rPr>
          <w:rFonts w:hint="cs"/>
          <w:rtl/>
        </w:rPr>
        <w:t>המתווה הראוי לכך בנסיבות העניין.</w:t>
      </w:r>
      <w:r w:rsidR="00F604E6" w:rsidRPr="004B0E72">
        <w:rPr>
          <w:rFonts w:hint="cs"/>
          <w:rtl/>
        </w:rPr>
        <w:t xml:space="preserve"> לא </w:t>
      </w:r>
      <w:r w:rsidR="00105A4E" w:rsidRPr="004B0E72">
        <w:rPr>
          <w:rFonts w:hint="cs"/>
          <w:rtl/>
        </w:rPr>
        <w:t>למותר</w:t>
      </w:r>
      <w:r w:rsidR="00F604E6" w:rsidRPr="004B0E72">
        <w:rPr>
          <w:rFonts w:hint="cs"/>
          <w:rtl/>
        </w:rPr>
        <w:t xml:space="preserve"> לציין כי ספק רב </w:t>
      </w:r>
      <w:r w:rsidR="00105A4E" w:rsidRPr="004B0E72">
        <w:rPr>
          <w:rFonts w:hint="cs"/>
          <w:rtl/>
        </w:rPr>
        <w:t>אם</w:t>
      </w:r>
      <w:r w:rsidR="00F604E6" w:rsidRPr="004B0E72">
        <w:rPr>
          <w:rFonts w:hint="cs"/>
          <w:rtl/>
        </w:rPr>
        <w:t xml:space="preserve"> מתווה </w:t>
      </w:r>
      <w:r w:rsidR="006526E1" w:rsidRPr="004B0E72">
        <w:rPr>
          <w:rFonts w:hint="cs"/>
          <w:rtl/>
        </w:rPr>
        <w:t>כאמור יכול לכלול</w:t>
      </w:r>
      <w:r w:rsidR="00F604E6" w:rsidRPr="004B0E72">
        <w:rPr>
          <w:rFonts w:hint="cs"/>
          <w:rtl/>
        </w:rPr>
        <w:t xml:space="preserve"> ביצוע הזמנות </w:t>
      </w:r>
      <w:r w:rsidR="00105A4E" w:rsidRPr="004B0E72">
        <w:rPr>
          <w:rFonts w:hint="cs"/>
          <w:rtl/>
        </w:rPr>
        <w:t xml:space="preserve">מספקים </w:t>
      </w:r>
      <w:r w:rsidR="00F604E6" w:rsidRPr="004B0E72">
        <w:rPr>
          <w:rFonts w:hint="cs"/>
          <w:rtl/>
        </w:rPr>
        <w:t xml:space="preserve">על-ידי ברמן או קבלת פדיון </w:t>
      </w:r>
      <w:r w:rsidR="00105A4E" w:rsidRPr="004B0E72">
        <w:rPr>
          <w:rFonts w:hint="cs"/>
          <w:rtl/>
        </w:rPr>
        <w:t xml:space="preserve">החנויות </w:t>
      </w:r>
      <w:r w:rsidR="00F604E6" w:rsidRPr="004B0E72">
        <w:rPr>
          <w:rFonts w:hint="cs"/>
          <w:rtl/>
        </w:rPr>
        <w:t xml:space="preserve">על-ידיה. </w:t>
      </w:r>
    </w:p>
    <w:p w14:paraId="57EC8745" w14:textId="77777777" w:rsidR="005849AD" w:rsidRPr="004B0E72" w:rsidRDefault="005849AD" w:rsidP="005849AD">
      <w:pPr>
        <w:pStyle w:val="ListParagraph"/>
        <w:numPr>
          <w:ilvl w:val="0"/>
          <w:numId w:val="27"/>
        </w:numPr>
        <w:spacing w:line="360" w:lineRule="auto"/>
        <w:jc w:val="both"/>
      </w:pPr>
      <w:r w:rsidRPr="004B0E72">
        <w:rPr>
          <w:rFonts w:hint="cs"/>
          <w:rtl/>
        </w:rPr>
        <w:t xml:space="preserve">במסגרת ההודעה על כוונת חיוב, ציין הממונה כשיקול נוסף לחומרא את מעמדה של ברמן כבעלת מונופולין בשווקים מסוימים בעלי זיקה למיזוג מושא החלטה זו. לאחר בחינת הטענות שהעלו הצדדים בעניין, השתכנע הממונה כי בנסיבות העניין, בהן ההפרה לא העלתה חשש לפגיעה בתחרות או בציבור, אין מקום לשקול את מעמדה של ברמן כשיקול לחומרא. </w:t>
      </w:r>
    </w:p>
    <w:p w14:paraId="280E46FF" w14:textId="77777777" w:rsidR="005849AD" w:rsidRPr="004B0E72" w:rsidRDefault="005849AD" w:rsidP="005849AD">
      <w:pPr>
        <w:pStyle w:val="ListParagraph"/>
        <w:numPr>
          <w:ilvl w:val="0"/>
          <w:numId w:val="27"/>
        </w:numPr>
        <w:spacing w:line="360" w:lineRule="auto"/>
        <w:jc w:val="both"/>
        <w:rPr>
          <w:rFonts w:ascii="Times New Roman" w:hAnsi="Times New Roman"/>
        </w:rPr>
      </w:pPr>
      <w:r w:rsidRPr="004B0E72">
        <w:rPr>
          <w:rFonts w:ascii="Times New Roman" w:hAnsi="Times New Roman"/>
          <w:rtl/>
        </w:rPr>
        <w:t xml:space="preserve">שקילת </w:t>
      </w:r>
      <w:r w:rsidRPr="004B0E72">
        <w:rPr>
          <w:rFonts w:ascii="Times New Roman" w:hAnsi="Times New Roman" w:hint="cs"/>
          <w:rtl/>
        </w:rPr>
        <w:t>כלל</w:t>
      </w:r>
      <w:r w:rsidRPr="004B0E72">
        <w:rPr>
          <w:rFonts w:ascii="Times New Roman" w:hAnsi="Times New Roman"/>
          <w:rtl/>
        </w:rPr>
        <w:t xml:space="preserve"> השיקולים המפורטים לעיל ביחס לחברה בנסיבות המקרה מצדיקה קביעת עיצום כספי בשיעור נמוך בתוך המתחם הקבוע בחוק. בנוסף, ניתן משקל גם </w:t>
      </w:r>
      <w:r w:rsidRPr="004B0E72">
        <w:rPr>
          <w:rFonts w:ascii="Times New Roman" w:hAnsi="Times New Roman" w:hint="cs"/>
          <w:rtl/>
        </w:rPr>
        <w:t>לכך ש</w:t>
      </w:r>
      <w:r w:rsidRPr="004B0E72">
        <w:rPr>
          <w:rFonts w:ascii="Times New Roman" w:hAnsi="Times New Roman"/>
          <w:rtl/>
        </w:rPr>
        <w:t xml:space="preserve">אנו מצויים בראשית האכיפה באמצעות הטלת עיצומים כספיים על תאגיד בהתאם לפרק ז'1 לחוק. העובדה כי מדובר באחד המקרים הראשונים בהם </w:t>
      </w:r>
      <w:r w:rsidRPr="004B0E72">
        <w:rPr>
          <w:rFonts w:ascii="Times New Roman" w:hAnsi="Times New Roman"/>
          <w:rtl/>
        </w:rPr>
        <w:lastRenderedPageBreak/>
        <w:t xml:space="preserve">מוטל עיצום כספי מכוח החוק מהווה שיקול משמעותי לטובת הפחתת העיצום הכספי בנסיבות מקרה זה. </w:t>
      </w:r>
    </w:p>
    <w:p w14:paraId="460915D9" w14:textId="51240C2D" w:rsidR="005849AD" w:rsidRPr="004B0E72" w:rsidRDefault="005849AD" w:rsidP="00B90819">
      <w:pPr>
        <w:pStyle w:val="ListParagraph"/>
        <w:numPr>
          <w:ilvl w:val="0"/>
          <w:numId w:val="27"/>
        </w:numPr>
        <w:spacing w:line="360" w:lineRule="auto"/>
        <w:jc w:val="both"/>
        <w:rPr>
          <w:rFonts w:ascii="Times New Roman" w:hAnsi="Times New Roman"/>
        </w:rPr>
      </w:pPr>
      <w:r w:rsidRPr="004B0E72">
        <w:rPr>
          <w:rFonts w:ascii="Times New Roman" w:hAnsi="Times New Roman" w:hint="cs"/>
          <w:rtl/>
        </w:rPr>
        <w:t xml:space="preserve">כאמור לעיל, בהודעות על כוונת חיוב הודיע על הממונה לצדדים כי הוא שוקל להטיל על ברמן עיצום כספי בסך 200,000 ₪ ועל מכלול עיצום כספי בסך 20,000 ₪. אולם, </w:t>
      </w:r>
      <w:r w:rsidRPr="004B0E72">
        <w:rPr>
          <w:rFonts w:ascii="Times New Roman" w:hAnsi="Times New Roman"/>
          <w:rtl/>
        </w:rPr>
        <w:t xml:space="preserve">בשים לב לכלל השיקולים </w:t>
      </w:r>
      <w:r w:rsidRPr="004B0E72">
        <w:rPr>
          <w:rFonts w:ascii="Times New Roman" w:hAnsi="Times New Roman" w:hint="cs"/>
          <w:rtl/>
        </w:rPr>
        <w:t xml:space="preserve">הרלוונטיים ולאחר בחינת טענות הצדדים כמפורט לעיל, הממונה </w:t>
      </w:r>
      <w:r w:rsidR="00B90819" w:rsidRPr="004B0E72">
        <w:rPr>
          <w:rFonts w:ascii="Times New Roman" w:hAnsi="Times New Roman" w:hint="cs"/>
          <w:rtl/>
        </w:rPr>
        <w:t xml:space="preserve">השתכנע </w:t>
      </w:r>
      <w:r w:rsidRPr="004B0E72">
        <w:rPr>
          <w:rFonts w:ascii="Times New Roman" w:hAnsi="Times New Roman" w:hint="cs"/>
          <w:rtl/>
        </w:rPr>
        <w:t xml:space="preserve">כי </w:t>
      </w:r>
      <w:r w:rsidRPr="004B0E72">
        <w:rPr>
          <w:rFonts w:ascii="Times New Roman" w:hAnsi="Times New Roman"/>
          <w:rtl/>
        </w:rPr>
        <w:t xml:space="preserve">יש להפחית </w:t>
      </w:r>
      <w:r w:rsidRPr="004B0E72">
        <w:rPr>
          <w:rFonts w:ascii="Times New Roman" w:hAnsi="Times New Roman" w:hint="cs"/>
          <w:rtl/>
        </w:rPr>
        <w:t xml:space="preserve">באופן ניכר את </w:t>
      </w:r>
      <w:r w:rsidRPr="004B0E72">
        <w:rPr>
          <w:rFonts w:ascii="Times New Roman" w:hAnsi="Times New Roman"/>
          <w:rtl/>
        </w:rPr>
        <w:t xml:space="preserve">סכום העיצום </w:t>
      </w:r>
      <w:r w:rsidRPr="004B0E72">
        <w:rPr>
          <w:rFonts w:ascii="Times New Roman" w:hAnsi="Times New Roman" w:hint="cs"/>
          <w:rtl/>
        </w:rPr>
        <w:t>שהוא שקל להטיל על הצדדים, ולהטיל על ברמן עיצום כספי בסך 80,000 ₪ ועל מכלול עיצום כספי בסך 5</w:t>
      </w:r>
      <w:r w:rsidR="00F604E6" w:rsidRPr="004B0E72">
        <w:rPr>
          <w:rFonts w:ascii="Times New Roman" w:hAnsi="Times New Roman" w:hint="cs"/>
          <w:rtl/>
        </w:rPr>
        <w:t>,</w:t>
      </w:r>
      <w:r w:rsidRPr="004B0E72">
        <w:rPr>
          <w:rFonts w:ascii="Times New Roman" w:hAnsi="Times New Roman" w:hint="cs"/>
          <w:rtl/>
        </w:rPr>
        <w:t>000 ₪ בלבד</w:t>
      </w:r>
      <w:r w:rsidRPr="004B0E72">
        <w:rPr>
          <w:rFonts w:ascii="Times New Roman" w:hAnsi="Times New Roman"/>
          <w:rtl/>
        </w:rPr>
        <w:t>.</w:t>
      </w:r>
    </w:p>
    <w:p w14:paraId="22E70B69" w14:textId="25E2C125" w:rsidR="005849AD" w:rsidRPr="004B0E72" w:rsidRDefault="005849AD" w:rsidP="009E7C91">
      <w:pPr>
        <w:pStyle w:val="ListParagraph"/>
        <w:numPr>
          <w:ilvl w:val="0"/>
          <w:numId w:val="27"/>
        </w:numPr>
        <w:spacing w:line="360" w:lineRule="auto"/>
        <w:jc w:val="both"/>
      </w:pPr>
      <w:r w:rsidRPr="004B0E72">
        <w:rPr>
          <w:rFonts w:hint="cs"/>
          <w:rtl/>
        </w:rPr>
        <w:t xml:space="preserve">בהקשר זה ראוי להזכיר </w:t>
      </w:r>
      <w:r w:rsidR="009E7C91" w:rsidRPr="004B0E72">
        <w:rPr>
          <w:rFonts w:hint="cs"/>
          <w:rtl/>
        </w:rPr>
        <w:t xml:space="preserve">בקצרה </w:t>
      </w:r>
      <w:r w:rsidRPr="004B0E72">
        <w:rPr>
          <w:rFonts w:hint="cs"/>
          <w:rtl/>
        </w:rPr>
        <w:t>טענה כללית שהעלו הצדדים, לפיה כל משטר העיצומים הכספיים נגוע באפליה פסולה</w:t>
      </w:r>
      <w:r w:rsidR="009E7C91" w:rsidRPr="004B0E72">
        <w:rPr>
          <w:rFonts w:hint="cs"/>
          <w:rtl/>
        </w:rPr>
        <w:t xml:space="preserve"> לרעת </w:t>
      </w:r>
      <w:r w:rsidRPr="004B0E72">
        <w:rPr>
          <w:rFonts w:hint="cs"/>
          <w:rtl/>
        </w:rPr>
        <w:t>חברות שגובה מחזורן נמוך מ</w:t>
      </w:r>
      <w:r w:rsidR="00BE6DC3">
        <w:rPr>
          <w:rFonts w:hint="cs"/>
          <w:rtl/>
        </w:rPr>
        <w:t>כ</w:t>
      </w:r>
      <w:r w:rsidRPr="004B0E72">
        <w:rPr>
          <w:rFonts w:hint="cs"/>
          <w:rtl/>
        </w:rPr>
        <w:t>-300 מ</w:t>
      </w:r>
      <w:r w:rsidR="009E7C91" w:rsidRPr="004B0E72">
        <w:rPr>
          <w:rFonts w:hint="cs"/>
          <w:rtl/>
        </w:rPr>
        <w:t>י</w:t>
      </w:r>
      <w:r w:rsidRPr="004B0E72">
        <w:rPr>
          <w:rFonts w:hint="cs"/>
          <w:rtl/>
        </w:rPr>
        <w:t xml:space="preserve">ליון ₪, עקב ההגבלה שקבע המחוקק בסעיף 50ד(א) על הסכום המירבי שניתן להטיל כעיצום.   </w:t>
      </w:r>
    </w:p>
    <w:p w14:paraId="14AD8B52" w14:textId="41ABAC18" w:rsidR="005849AD" w:rsidRPr="004B0E72" w:rsidRDefault="005849AD" w:rsidP="0072705A">
      <w:pPr>
        <w:pStyle w:val="ListParagraph"/>
        <w:numPr>
          <w:ilvl w:val="0"/>
          <w:numId w:val="27"/>
        </w:numPr>
        <w:spacing w:line="360" w:lineRule="auto"/>
        <w:jc w:val="both"/>
      </w:pPr>
      <w:r w:rsidRPr="004B0E72">
        <w:rPr>
          <w:rFonts w:hint="cs"/>
          <w:rtl/>
        </w:rPr>
        <w:t>טענה זו מוקשית על פניה, ו</w:t>
      </w:r>
      <w:r w:rsidR="0072705A" w:rsidRPr="004B0E72">
        <w:rPr>
          <w:rFonts w:hint="cs"/>
          <w:rtl/>
        </w:rPr>
        <w:t xml:space="preserve">למעשה </w:t>
      </w:r>
      <w:r w:rsidRPr="004B0E72">
        <w:rPr>
          <w:rFonts w:hint="cs"/>
          <w:rtl/>
        </w:rPr>
        <w:t xml:space="preserve">חותרת תחת חוקתיותם של מנגנונים עונשיים ומינהליים שונים הקבועים בחוקים רבים </w:t>
      </w:r>
      <w:r w:rsidR="00B77050" w:rsidRPr="004B0E72">
        <w:rPr>
          <w:rFonts w:hint="cs"/>
          <w:rtl/>
        </w:rPr>
        <w:t xml:space="preserve">כסכום אבסולוטי, שאינו תלוי בגובה המחזור </w:t>
      </w:r>
      <w:r w:rsidRPr="004B0E72">
        <w:rPr>
          <w:rFonts w:hint="cs"/>
          <w:rtl/>
        </w:rPr>
        <w:t>(כגון קנסות פליליים ועיצומים הקבועים בחוקים נוספים</w:t>
      </w:r>
      <w:r w:rsidR="00B77050" w:rsidRPr="004B0E72">
        <w:rPr>
          <w:rFonts w:hint="cs"/>
          <w:rtl/>
        </w:rPr>
        <w:t xml:space="preserve">). בחוק ההגבלים העסקיים, מצא המחוקק שיש להביא בחשבון את מחזור המכירות בקביעת גובה העיצום, על מנת ליצור הרתעה אפקטיבית </w:t>
      </w:r>
      <w:r w:rsidR="004C6D08" w:rsidRPr="004B0E72">
        <w:rPr>
          <w:rFonts w:hint="cs"/>
          <w:rtl/>
        </w:rPr>
        <w:t>בהתאמה ליכולתו הכלכלית של המפר</w:t>
      </w:r>
      <w:r w:rsidR="00B77050" w:rsidRPr="004B0E72">
        <w:rPr>
          <w:rFonts w:hint="cs"/>
          <w:rtl/>
        </w:rPr>
        <w:t>, הגם שסבר כי אין מקום להטיל עיצום הגבוה מסכום של 24 מ</w:t>
      </w:r>
      <w:r w:rsidR="0072705A" w:rsidRPr="004B0E72">
        <w:rPr>
          <w:rFonts w:hint="cs"/>
          <w:rtl/>
        </w:rPr>
        <w:t>י</w:t>
      </w:r>
      <w:r w:rsidR="00B77050" w:rsidRPr="004B0E72">
        <w:rPr>
          <w:rFonts w:hint="cs"/>
          <w:rtl/>
        </w:rPr>
        <w:t xml:space="preserve">ליון </w:t>
      </w:r>
      <w:r w:rsidR="004F4C81">
        <w:rPr>
          <w:rFonts w:hint="cs"/>
          <w:rtl/>
        </w:rPr>
        <w:t>₪ (כפי שסכום זה מעודכן מעת לעת)</w:t>
      </w:r>
      <w:r w:rsidR="00B77050" w:rsidRPr="004B0E72">
        <w:rPr>
          <w:rFonts w:hint="cs"/>
          <w:rtl/>
        </w:rPr>
        <w:t xml:space="preserve"> על תאגיד כלשהו, יהא גובה מחזורו אשר יהא</w:t>
      </w:r>
      <w:r w:rsidR="001A4B57" w:rsidRPr="004B0E72">
        <w:rPr>
          <w:rFonts w:hint="cs"/>
          <w:rtl/>
        </w:rPr>
        <w:t>.</w:t>
      </w:r>
    </w:p>
    <w:p w14:paraId="3BA536D7" w14:textId="73F79061" w:rsidR="005849AD" w:rsidRPr="004B0E72" w:rsidRDefault="0072705A" w:rsidP="00BE6DC3">
      <w:pPr>
        <w:pStyle w:val="ListParagraph"/>
        <w:numPr>
          <w:ilvl w:val="0"/>
          <w:numId w:val="27"/>
        </w:numPr>
        <w:spacing w:line="360" w:lineRule="auto"/>
        <w:jc w:val="both"/>
        <w:rPr>
          <w:rFonts w:ascii="Times New Roman" w:hAnsi="Times New Roman"/>
        </w:rPr>
      </w:pPr>
      <w:r w:rsidRPr="004B0E72">
        <w:rPr>
          <w:rFonts w:hint="cs"/>
          <w:rtl/>
        </w:rPr>
        <w:lastRenderedPageBreak/>
        <w:t>יחד עם זאת, אין בכך כדי למנוע התייחסות למחזור המכירות של המפר גם במסגרת החוק הנוכחי. כך למשל נקבע ב</w:t>
      </w:r>
      <w:r w:rsidR="005849AD" w:rsidRPr="004B0E72">
        <w:rPr>
          <w:rFonts w:hint="cs"/>
          <w:rtl/>
        </w:rPr>
        <w:t>גילוי דעת 2/12</w:t>
      </w:r>
      <w:r w:rsidR="00B77050" w:rsidRPr="004B0E72">
        <w:rPr>
          <w:rFonts w:hint="cs"/>
          <w:rtl/>
        </w:rPr>
        <w:t xml:space="preserve">, </w:t>
      </w:r>
      <w:r w:rsidR="005849AD" w:rsidRPr="004B0E72">
        <w:rPr>
          <w:rFonts w:hint="cs"/>
          <w:rtl/>
        </w:rPr>
        <w:t xml:space="preserve">כי </w:t>
      </w:r>
      <w:r w:rsidR="00B77050" w:rsidRPr="004B0E72">
        <w:rPr>
          <w:rFonts w:hint="cs"/>
          <w:rtl/>
        </w:rPr>
        <w:t xml:space="preserve">יש במחזור מכירות </w:t>
      </w:r>
      <w:r w:rsidR="00BE6DC3">
        <w:rPr>
          <w:rFonts w:hint="cs"/>
          <w:rtl/>
        </w:rPr>
        <w:t>העולה על הרף ממנו</w:t>
      </w:r>
      <w:r w:rsidR="00693672">
        <w:rPr>
          <w:rFonts w:hint="cs"/>
          <w:rtl/>
        </w:rPr>
        <w:t xml:space="preserve"> נגזרה תקרת העיצום הכספי בחוק </w:t>
      </w:r>
      <w:r w:rsidR="00BE6DC3">
        <w:rPr>
          <w:rFonts w:hint="cs"/>
          <w:rtl/>
        </w:rPr>
        <w:t xml:space="preserve">(כ-300 מיליון ₪) </w:t>
      </w:r>
      <w:r w:rsidR="005849AD" w:rsidRPr="004B0E72">
        <w:rPr>
          <w:rFonts w:hint="cs"/>
          <w:rtl/>
        </w:rPr>
        <w:t xml:space="preserve">כדי להוות שיקול להחמרה בשיעור העיצום המוטל על </w:t>
      </w:r>
      <w:r w:rsidR="00B77050" w:rsidRPr="004B0E72">
        <w:rPr>
          <w:rFonts w:hint="cs"/>
          <w:rtl/>
        </w:rPr>
        <w:t>מפר</w:t>
      </w:r>
      <w:r w:rsidR="005849AD" w:rsidRPr="004B0E72">
        <w:rPr>
          <w:rFonts w:hint="cs"/>
          <w:rtl/>
        </w:rPr>
        <w:t xml:space="preserve">. </w:t>
      </w:r>
      <w:r w:rsidRPr="004B0E72">
        <w:rPr>
          <w:rFonts w:hint="cs"/>
          <w:rtl/>
        </w:rPr>
        <w:t>ה</w:t>
      </w:r>
      <w:r w:rsidR="005849AD" w:rsidRPr="004B0E72">
        <w:rPr>
          <w:rFonts w:hint="cs"/>
          <w:rtl/>
        </w:rPr>
        <w:t xml:space="preserve">מדובר </w:t>
      </w:r>
      <w:r w:rsidRPr="004B0E72">
        <w:rPr>
          <w:rFonts w:hint="cs"/>
          <w:rtl/>
        </w:rPr>
        <w:t>באיזון ראוי נוכח ה</w:t>
      </w:r>
      <w:r w:rsidR="005849AD" w:rsidRPr="004B0E72">
        <w:rPr>
          <w:rFonts w:hint="cs"/>
          <w:rtl/>
        </w:rPr>
        <w:t xml:space="preserve">קושי עליו הצביעו המפרות, ככל שהוא רלוונטי במקרה פרטני כלשהו. </w:t>
      </w:r>
    </w:p>
    <w:p w14:paraId="02C6BDB2" w14:textId="77777777" w:rsidR="00D924E2" w:rsidRPr="004B0E72" w:rsidRDefault="00D924E2" w:rsidP="004D1F87">
      <w:pPr>
        <w:pStyle w:val="Heading1"/>
        <w:numPr>
          <w:ilvl w:val="0"/>
          <w:numId w:val="39"/>
        </w:numPr>
      </w:pPr>
      <w:r w:rsidRPr="004B0E72">
        <w:rPr>
          <w:rFonts w:hint="cs"/>
          <w:rtl/>
        </w:rPr>
        <w:t>היוועצות</w:t>
      </w:r>
      <w:r w:rsidRPr="004B0E72">
        <w:rPr>
          <w:rtl/>
        </w:rPr>
        <w:t xml:space="preserve"> </w:t>
      </w:r>
      <w:r w:rsidRPr="004B0E72">
        <w:rPr>
          <w:rFonts w:hint="cs"/>
          <w:rtl/>
        </w:rPr>
        <w:t>בוועדה</w:t>
      </w:r>
      <w:r w:rsidRPr="004B0E72">
        <w:rPr>
          <w:rtl/>
        </w:rPr>
        <w:t xml:space="preserve"> </w:t>
      </w:r>
      <w:r w:rsidRPr="004B0E72">
        <w:rPr>
          <w:rFonts w:hint="cs"/>
          <w:rtl/>
        </w:rPr>
        <w:t>לפטורים</w:t>
      </w:r>
      <w:r w:rsidRPr="004B0E72">
        <w:rPr>
          <w:rtl/>
        </w:rPr>
        <w:t xml:space="preserve"> </w:t>
      </w:r>
      <w:r w:rsidRPr="004B0E72">
        <w:rPr>
          <w:rFonts w:hint="cs"/>
          <w:rtl/>
        </w:rPr>
        <w:t>ולמיזוגים</w:t>
      </w:r>
    </w:p>
    <w:p w14:paraId="1D6813B5" w14:textId="77777777" w:rsidR="00D924E2" w:rsidRPr="004B0E72" w:rsidRDefault="00D924E2" w:rsidP="00D924E2">
      <w:pPr>
        <w:pStyle w:val="ListParagraph"/>
        <w:numPr>
          <w:ilvl w:val="0"/>
          <w:numId w:val="27"/>
        </w:numPr>
        <w:spacing w:line="360" w:lineRule="auto"/>
        <w:jc w:val="both"/>
      </w:pPr>
      <w:r w:rsidRPr="004B0E72">
        <w:rPr>
          <w:rFonts w:hint="cs"/>
          <w:rtl/>
        </w:rPr>
        <w:t>בהתאם</w:t>
      </w:r>
      <w:r w:rsidRPr="004B0E72">
        <w:rPr>
          <w:rtl/>
        </w:rPr>
        <w:t xml:space="preserve"> </w:t>
      </w:r>
      <w:r w:rsidRPr="004B0E72">
        <w:rPr>
          <w:rFonts w:hint="cs"/>
          <w:rtl/>
        </w:rPr>
        <w:t>לסעיף</w:t>
      </w:r>
      <w:r w:rsidRPr="004B0E72">
        <w:rPr>
          <w:rtl/>
        </w:rPr>
        <w:t xml:space="preserve"> 50</w:t>
      </w:r>
      <w:r w:rsidRPr="004B0E72">
        <w:rPr>
          <w:rFonts w:hint="cs"/>
          <w:rtl/>
        </w:rPr>
        <w:t>ח</w:t>
      </w:r>
      <w:r w:rsidRPr="004B0E72">
        <w:rPr>
          <w:rtl/>
        </w:rPr>
        <w:t>(</w:t>
      </w:r>
      <w:r w:rsidRPr="004B0E72">
        <w:rPr>
          <w:rFonts w:hint="cs"/>
          <w:rtl/>
        </w:rPr>
        <w:t>א</w:t>
      </w:r>
      <w:r w:rsidRPr="004B0E72">
        <w:rPr>
          <w:rtl/>
        </w:rPr>
        <w:t xml:space="preserve">)(1) </w:t>
      </w:r>
      <w:r w:rsidRPr="004B0E72">
        <w:rPr>
          <w:rFonts w:hint="cs"/>
          <w:rtl/>
        </w:rPr>
        <w:t>לחוק</w:t>
      </w:r>
      <w:r w:rsidRPr="004B0E72">
        <w:rPr>
          <w:rtl/>
        </w:rPr>
        <w:t xml:space="preserve">, </w:t>
      </w:r>
      <w:r w:rsidRPr="004B0E72">
        <w:rPr>
          <w:rFonts w:hint="cs"/>
          <w:rtl/>
        </w:rPr>
        <w:t>החלטת</w:t>
      </w:r>
      <w:r w:rsidRPr="004B0E72">
        <w:rPr>
          <w:rtl/>
        </w:rPr>
        <w:t xml:space="preserve"> </w:t>
      </w:r>
      <w:r w:rsidRPr="004B0E72">
        <w:rPr>
          <w:rFonts w:hint="cs"/>
          <w:rtl/>
        </w:rPr>
        <w:t>הממונה</w:t>
      </w:r>
      <w:r w:rsidRPr="004B0E72">
        <w:rPr>
          <w:rtl/>
        </w:rPr>
        <w:t xml:space="preserve"> </w:t>
      </w:r>
      <w:r w:rsidRPr="004B0E72">
        <w:rPr>
          <w:rFonts w:hint="cs"/>
          <w:rtl/>
        </w:rPr>
        <w:t>בדבר</w:t>
      </w:r>
      <w:r w:rsidRPr="004B0E72">
        <w:rPr>
          <w:rtl/>
        </w:rPr>
        <w:t xml:space="preserve"> </w:t>
      </w:r>
      <w:r w:rsidRPr="004B0E72">
        <w:rPr>
          <w:rFonts w:hint="cs"/>
          <w:rtl/>
        </w:rPr>
        <w:t>הטלת</w:t>
      </w:r>
      <w:r w:rsidRPr="004B0E72">
        <w:rPr>
          <w:rtl/>
        </w:rPr>
        <w:t xml:space="preserve"> </w:t>
      </w:r>
      <w:r w:rsidRPr="004B0E72">
        <w:rPr>
          <w:rFonts w:hint="cs"/>
          <w:rtl/>
        </w:rPr>
        <w:t>עיצום</w:t>
      </w:r>
      <w:r w:rsidRPr="004B0E72">
        <w:rPr>
          <w:rtl/>
        </w:rPr>
        <w:t xml:space="preserve"> </w:t>
      </w:r>
      <w:r w:rsidRPr="004B0E72">
        <w:rPr>
          <w:rFonts w:hint="cs"/>
          <w:rtl/>
        </w:rPr>
        <w:t>כספי</w:t>
      </w:r>
      <w:r w:rsidRPr="004B0E72">
        <w:rPr>
          <w:rtl/>
        </w:rPr>
        <w:t xml:space="preserve"> </w:t>
      </w:r>
      <w:r w:rsidRPr="004B0E72">
        <w:rPr>
          <w:rFonts w:hint="cs"/>
          <w:rtl/>
        </w:rPr>
        <w:t>וסכום</w:t>
      </w:r>
      <w:r w:rsidRPr="004B0E72">
        <w:rPr>
          <w:rtl/>
        </w:rPr>
        <w:t xml:space="preserve"> </w:t>
      </w:r>
      <w:r w:rsidRPr="004B0E72">
        <w:rPr>
          <w:rFonts w:hint="cs"/>
          <w:rtl/>
        </w:rPr>
        <w:t>העיצום</w:t>
      </w:r>
      <w:r w:rsidRPr="004B0E72">
        <w:rPr>
          <w:rtl/>
        </w:rPr>
        <w:t xml:space="preserve"> </w:t>
      </w:r>
      <w:r w:rsidRPr="004B0E72">
        <w:rPr>
          <w:rFonts w:hint="cs"/>
          <w:rtl/>
        </w:rPr>
        <w:t>הכספי</w:t>
      </w:r>
      <w:r w:rsidRPr="004B0E72">
        <w:rPr>
          <w:rtl/>
        </w:rPr>
        <w:t xml:space="preserve"> </w:t>
      </w:r>
      <w:r w:rsidRPr="004B0E72">
        <w:rPr>
          <w:rFonts w:hint="cs"/>
          <w:rtl/>
        </w:rPr>
        <w:t>שיוטל</w:t>
      </w:r>
      <w:r w:rsidRPr="004B0E72">
        <w:rPr>
          <w:rtl/>
        </w:rPr>
        <w:t xml:space="preserve"> </w:t>
      </w:r>
      <w:r w:rsidRPr="004B0E72">
        <w:rPr>
          <w:rFonts w:hint="cs"/>
          <w:rtl/>
        </w:rPr>
        <w:t>תינתן</w:t>
      </w:r>
      <w:r w:rsidRPr="004B0E72">
        <w:rPr>
          <w:rtl/>
        </w:rPr>
        <w:t xml:space="preserve"> </w:t>
      </w:r>
      <w:r w:rsidRPr="004B0E72">
        <w:rPr>
          <w:rFonts w:hint="cs"/>
          <w:rtl/>
        </w:rPr>
        <w:t>לאחר</w:t>
      </w:r>
      <w:r w:rsidRPr="004B0E72">
        <w:rPr>
          <w:rtl/>
        </w:rPr>
        <w:t xml:space="preserve"> </w:t>
      </w:r>
      <w:r w:rsidRPr="004B0E72">
        <w:rPr>
          <w:rFonts w:hint="cs"/>
          <w:rtl/>
        </w:rPr>
        <w:t>שקילת</w:t>
      </w:r>
      <w:r w:rsidRPr="004B0E72">
        <w:rPr>
          <w:rtl/>
        </w:rPr>
        <w:t xml:space="preserve"> </w:t>
      </w:r>
      <w:r w:rsidRPr="004B0E72">
        <w:rPr>
          <w:rFonts w:hint="cs"/>
          <w:rtl/>
        </w:rPr>
        <w:t>הטענות</w:t>
      </w:r>
      <w:r w:rsidRPr="004B0E72">
        <w:rPr>
          <w:rtl/>
        </w:rPr>
        <w:t xml:space="preserve"> </w:t>
      </w:r>
      <w:r w:rsidRPr="004B0E72">
        <w:rPr>
          <w:rFonts w:hint="cs"/>
          <w:rtl/>
        </w:rPr>
        <w:t>שהעלו</w:t>
      </w:r>
      <w:r w:rsidRPr="004B0E72">
        <w:rPr>
          <w:rtl/>
        </w:rPr>
        <w:t xml:space="preserve"> </w:t>
      </w:r>
      <w:r w:rsidRPr="004B0E72">
        <w:rPr>
          <w:rFonts w:hint="cs"/>
          <w:rtl/>
        </w:rPr>
        <w:t>הצדדים</w:t>
      </w:r>
      <w:r w:rsidRPr="004B0E72">
        <w:rPr>
          <w:rtl/>
        </w:rPr>
        <w:t xml:space="preserve"> </w:t>
      </w:r>
      <w:r w:rsidRPr="004B0E72">
        <w:rPr>
          <w:rFonts w:hint="cs"/>
          <w:rtl/>
        </w:rPr>
        <w:t>בפניו</w:t>
      </w:r>
      <w:r w:rsidRPr="004B0E72">
        <w:rPr>
          <w:rtl/>
        </w:rPr>
        <w:t xml:space="preserve"> </w:t>
      </w:r>
      <w:r w:rsidRPr="004B0E72">
        <w:rPr>
          <w:rFonts w:hint="cs"/>
          <w:rtl/>
        </w:rPr>
        <w:t>ולאחר</w:t>
      </w:r>
      <w:r w:rsidRPr="004B0E72">
        <w:rPr>
          <w:rtl/>
        </w:rPr>
        <w:t xml:space="preserve"> </w:t>
      </w:r>
      <w:r w:rsidRPr="004B0E72">
        <w:rPr>
          <w:rFonts w:hint="cs"/>
          <w:rtl/>
        </w:rPr>
        <w:t>התייעצות</w:t>
      </w:r>
      <w:r w:rsidRPr="004B0E72">
        <w:rPr>
          <w:rtl/>
        </w:rPr>
        <w:t xml:space="preserve"> </w:t>
      </w:r>
      <w:r w:rsidRPr="004B0E72">
        <w:rPr>
          <w:rFonts w:hint="cs"/>
          <w:rtl/>
        </w:rPr>
        <w:t>עם</w:t>
      </w:r>
      <w:r w:rsidRPr="004B0E72">
        <w:rPr>
          <w:rtl/>
        </w:rPr>
        <w:t xml:space="preserve"> </w:t>
      </w:r>
      <w:r w:rsidRPr="004B0E72">
        <w:rPr>
          <w:rFonts w:hint="cs"/>
          <w:rtl/>
        </w:rPr>
        <w:t>הוועדה</w:t>
      </w:r>
      <w:r w:rsidRPr="004B0E72">
        <w:rPr>
          <w:rtl/>
        </w:rPr>
        <w:t xml:space="preserve"> </w:t>
      </w:r>
      <w:r w:rsidRPr="004B0E72">
        <w:rPr>
          <w:rFonts w:hint="cs"/>
          <w:rtl/>
        </w:rPr>
        <w:t>לפטורים</w:t>
      </w:r>
      <w:r w:rsidRPr="004B0E72">
        <w:rPr>
          <w:rtl/>
        </w:rPr>
        <w:t xml:space="preserve"> </w:t>
      </w:r>
      <w:r w:rsidRPr="004B0E72">
        <w:rPr>
          <w:rFonts w:hint="cs"/>
          <w:rtl/>
        </w:rPr>
        <w:t>ולמיזוגים</w:t>
      </w:r>
      <w:r w:rsidRPr="004B0E72">
        <w:rPr>
          <w:rtl/>
        </w:rPr>
        <w:t>.</w:t>
      </w:r>
    </w:p>
    <w:p w14:paraId="3CC8C985" w14:textId="3C4985D6" w:rsidR="00D924E2" w:rsidRPr="004B0E72" w:rsidRDefault="00D924E2" w:rsidP="00E346E5">
      <w:pPr>
        <w:pStyle w:val="ListParagraph"/>
        <w:numPr>
          <w:ilvl w:val="0"/>
          <w:numId w:val="27"/>
        </w:numPr>
        <w:spacing w:line="360" w:lineRule="auto"/>
        <w:jc w:val="both"/>
      </w:pPr>
      <w:r w:rsidRPr="004B0E72">
        <w:rPr>
          <w:rFonts w:hint="cs"/>
          <w:rtl/>
        </w:rPr>
        <w:t>ביום</w:t>
      </w:r>
      <w:r w:rsidRPr="004B0E72">
        <w:rPr>
          <w:rtl/>
        </w:rPr>
        <w:t xml:space="preserve"> </w:t>
      </w:r>
      <w:r w:rsidR="00376B49" w:rsidRPr="004B0E72">
        <w:rPr>
          <w:rFonts w:hint="cs"/>
          <w:rtl/>
        </w:rPr>
        <w:t>25.11.15</w:t>
      </w:r>
      <w:r w:rsidR="00CA5297" w:rsidRPr="004B0E72">
        <w:rPr>
          <w:rFonts w:hint="cs"/>
          <w:rtl/>
        </w:rPr>
        <w:t xml:space="preserve"> </w:t>
      </w:r>
      <w:r w:rsidR="00376B49" w:rsidRPr="004B0E72">
        <w:rPr>
          <w:rFonts w:hint="cs"/>
          <w:rtl/>
        </w:rPr>
        <w:t>נועץ הממונה</w:t>
      </w:r>
      <w:r w:rsidRPr="004B0E72">
        <w:rPr>
          <w:rtl/>
        </w:rPr>
        <w:t xml:space="preserve"> </w:t>
      </w:r>
      <w:r w:rsidRPr="004B0E72">
        <w:rPr>
          <w:rFonts w:hint="cs"/>
          <w:rtl/>
        </w:rPr>
        <w:t>בוועדה</w:t>
      </w:r>
      <w:r w:rsidRPr="004B0E72">
        <w:rPr>
          <w:rtl/>
        </w:rPr>
        <w:t xml:space="preserve"> </w:t>
      </w:r>
      <w:r w:rsidRPr="004B0E72">
        <w:rPr>
          <w:rFonts w:hint="cs"/>
          <w:rtl/>
        </w:rPr>
        <w:t>לפטורים</w:t>
      </w:r>
      <w:r w:rsidRPr="004B0E72">
        <w:rPr>
          <w:rtl/>
        </w:rPr>
        <w:t xml:space="preserve"> </w:t>
      </w:r>
      <w:r w:rsidRPr="004B0E72">
        <w:rPr>
          <w:rFonts w:hint="cs"/>
          <w:rtl/>
        </w:rPr>
        <w:t>ולמיזוגים</w:t>
      </w:r>
      <w:r w:rsidRPr="004B0E72">
        <w:rPr>
          <w:rtl/>
        </w:rPr>
        <w:t xml:space="preserve"> </w:t>
      </w:r>
      <w:r w:rsidRPr="004B0E72">
        <w:rPr>
          <w:rFonts w:hint="cs"/>
          <w:rtl/>
        </w:rPr>
        <w:t>בענין</w:t>
      </w:r>
      <w:r w:rsidRPr="004B0E72">
        <w:rPr>
          <w:rtl/>
        </w:rPr>
        <w:t xml:space="preserve"> </w:t>
      </w:r>
      <w:r w:rsidR="00376B49" w:rsidRPr="004B0E72">
        <w:rPr>
          <w:rFonts w:hint="cs"/>
          <w:rtl/>
        </w:rPr>
        <w:t>כוונתו</w:t>
      </w:r>
      <w:r w:rsidRPr="004B0E72">
        <w:rPr>
          <w:rtl/>
        </w:rPr>
        <w:t xml:space="preserve"> </w:t>
      </w:r>
      <w:r w:rsidRPr="004B0E72">
        <w:rPr>
          <w:rFonts w:hint="cs"/>
          <w:rtl/>
        </w:rPr>
        <w:t>להטיל</w:t>
      </w:r>
      <w:r w:rsidRPr="004B0E72">
        <w:rPr>
          <w:rtl/>
        </w:rPr>
        <w:t xml:space="preserve"> </w:t>
      </w:r>
      <w:r w:rsidRPr="004B0E72">
        <w:rPr>
          <w:rFonts w:hint="cs"/>
          <w:rtl/>
        </w:rPr>
        <w:t>על</w:t>
      </w:r>
      <w:r w:rsidRPr="004B0E72">
        <w:rPr>
          <w:rtl/>
        </w:rPr>
        <w:t xml:space="preserve"> </w:t>
      </w:r>
      <w:r w:rsidR="00CA5297" w:rsidRPr="004B0E72">
        <w:rPr>
          <w:rFonts w:hint="cs"/>
          <w:rtl/>
        </w:rPr>
        <w:t xml:space="preserve">ברמן </w:t>
      </w:r>
      <w:r w:rsidR="00376B49" w:rsidRPr="004B0E72">
        <w:rPr>
          <w:rFonts w:hint="cs"/>
          <w:rtl/>
        </w:rPr>
        <w:t>עיצום</w:t>
      </w:r>
      <w:r w:rsidR="00376B49" w:rsidRPr="004B0E72">
        <w:rPr>
          <w:rtl/>
        </w:rPr>
        <w:t xml:space="preserve"> </w:t>
      </w:r>
      <w:r w:rsidR="00376B49" w:rsidRPr="004B0E72">
        <w:rPr>
          <w:rFonts w:hint="cs"/>
          <w:rtl/>
        </w:rPr>
        <w:t>כספי</w:t>
      </w:r>
      <w:r w:rsidR="00376B49" w:rsidRPr="004B0E72">
        <w:rPr>
          <w:rtl/>
        </w:rPr>
        <w:t xml:space="preserve"> </w:t>
      </w:r>
      <w:r w:rsidRPr="004B0E72">
        <w:rPr>
          <w:rFonts w:hint="cs"/>
          <w:rtl/>
        </w:rPr>
        <w:t>בסכום</w:t>
      </w:r>
      <w:r w:rsidRPr="004B0E72">
        <w:rPr>
          <w:rtl/>
        </w:rPr>
        <w:t xml:space="preserve"> </w:t>
      </w:r>
      <w:r w:rsidRPr="004B0E72">
        <w:rPr>
          <w:rFonts w:hint="cs"/>
          <w:rtl/>
        </w:rPr>
        <w:t>של</w:t>
      </w:r>
      <w:r w:rsidRPr="004B0E72">
        <w:rPr>
          <w:rtl/>
        </w:rPr>
        <w:t xml:space="preserve"> </w:t>
      </w:r>
      <w:r w:rsidR="00376B49" w:rsidRPr="004B0E72">
        <w:rPr>
          <w:rFonts w:hint="cs"/>
          <w:rtl/>
        </w:rPr>
        <w:t xml:space="preserve">80,000 ₪ </w:t>
      </w:r>
      <w:r w:rsidR="00CA5297" w:rsidRPr="004B0E72">
        <w:rPr>
          <w:rFonts w:hint="cs"/>
          <w:rtl/>
        </w:rPr>
        <w:t xml:space="preserve">ועל מכלול </w:t>
      </w:r>
      <w:r w:rsidR="00376B49" w:rsidRPr="004B0E72">
        <w:rPr>
          <w:rFonts w:hint="cs"/>
          <w:rtl/>
        </w:rPr>
        <w:t xml:space="preserve">עיצום כספי </w:t>
      </w:r>
      <w:r w:rsidR="00CA5297" w:rsidRPr="004B0E72">
        <w:rPr>
          <w:rFonts w:hint="cs"/>
          <w:rtl/>
        </w:rPr>
        <w:t xml:space="preserve">בסכום של </w:t>
      </w:r>
      <w:r w:rsidR="00376B49" w:rsidRPr="004B0E72">
        <w:rPr>
          <w:rFonts w:hint="cs"/>
          <w:rtl/>
        </w:rPr>
        <w:t xml:space="preserve">5,000 </w:t>
      </w:r>
      <w:r w:rsidR="00CA5297" w:rsidRPr="004B0E72">
        <w:rPr>
          <w:rFonts w:hint="cs"/>
          <w:rtl/>
        </w:rPr>
        <w:t>₪</w:t>
      </w:r>
      <w:r w:rsidR="00546DD0" w:rsidRPr="004B0E72">
        <w:rPr>
          <w:rFonts w:hint="cs"/>
          <w:rtl/>
        </w:rPr>
        <w:t>, כמתואר לעיל</w:t>
      </w:r>
      <w:r w:rsidR="00376B49" w:rsidRPr="004B0E72">
        <w:rPr>
          <w:rFonts w:hint="cs"/>
          <w:rtl/>
        </w:rPr>
        <w:t>.</w:t>
      </w:r>
      <w:r w:rsidR="00F604E6" w:rsidRPr="004B0E72">
        <w:rPr>
          <w:rFonts w:hint="cs"/>
          <w:rtl/>
        </w:rPr>
        <w:t xml:space="preserve"> הוועדה סברה </w:t>
      </w:r>
      <w:r w:rsidR="00E346E5" w:rsidRPr="004B0E72">
        <w:rPr>
          <w:rFonts w:hint="cs"/>
          <w:rtl/>
        </w:rPr>
        <w:t xml:space="preserve">פה אחד </w:t>
      </w:r>
      <w:r w:rsidR="00F604E6" w:rsidRPr="004B0E72">
        <w:rPr>
          <w:rFonts w:hint="cs"/>
          <w:rtl/>
        </w:rPr>
        <w:t>כי החברה הפרה את הוראות פרק ג' לחוק ו</w:t>
      </w:r>
      <w:r w:rsidR="00E346E5" w:rsidRPr="004B0E72">
        <w:rPr>
          <w:rFonts w:hint="cs"/>
          <w:rtl/>
        </w:rPr>
        <w:t>המליצה, גם זאת פה אחד</w:t>
      </w:r>
      <w:r w:rsidR="00894CEB" w:rsidRPr="004B0E72">
        <w:rPr>
          <w:rFonts w:hint="cs"/>
          <w:rtl/>
        </w:rPr>
        <w:t>,</w:t>
      </w:r>
      <w:r w:rsidR="00E346E5" w:rsidRPr="004B0E72">
        <w:rPr>
          <w:rFonts w:hint="cs"/>
          <w:rtl/>
        </w:rPr>
        <w:t xml:space="preserve"> על הטלת </w:t>
      </w:r>
      <w:r w:rsidR="00F604E6" w:rsidRPr="004B0E72">
        <w:rPr>
          <w:rFonts w:hint="cs"/>
          <w:rtl/>
        </w:rPr>
        <w:t>עיצום כספי בסכומים כאמור.</w:t>
      </w:r>
    </w:p>
    <w:p w14:paraId="0EE92C19" w14:textId="77777777" w:rsidR="00434B0D" w:rsidRPr="004B0E72" w:rsidRDefault="00434B0D" w:rsidP="00D924E2">
      <w:pPr>
        <w:pStyle w:val="ListParagraph"/>
        <w:spacing w:line="360" w:lineRule="auto"/>
        <w:ind w:left="397"/>
        <w:jc w:val="both"/>
      </w:pPr>
    </w:p>
    <w:p w14:paraId="7978DC8C" w14:textId="77777777" w:rsidR="00D924E2" w:rsidRPr="004B0E72" w:rsidRDefault="00D924E2" w:rsidP="004D1F87">
      <w:pPr>
        <w:pStyle w:val="Heading1"/>
        <w:numPr>
          <w:ilvl w:val="0"/>
          <w:numId w:val="39"/>
        </w:numPr>
      </w:pPr>
      <w:r w:rsidRPr="004B0E72">
        <w:rPr>
          <w:rFonts w:hint="cs"/>
          <w:rtl/>
        </w:rPr>
        <w:t>סוף</w:t>
      </w:r>
      <w:r w:rsidRPr="004B0E72">
        <w:rPr>
          <w:rtl/>
        </w:rPr>
        <w:t xml:space="preserve"> </w:t>
      </w:r>
      <w:r w:rsidRPr="004B0E72">
        <w:rPr>
          <w:rFonts w:hint="cs"/>
          <w:rtl/>
        </w:rPr>
        <w:t>דבר</w:t>
      </w:r>
      <w:r w:rsidRPr="004B0E72">
        <w:rPr>
          <w:rtl/>
        </w:rPr>
        <w:t xml:space="preserve"> </w:t>
      </w:r>
      <w:r w:rsidR="00546DD0" w:rsidRPr="004B0E72">
        <w:rPr>
          <w:rtl/>
        </w:rPr>
        <w:t>–</w:t>
      </w:r>
      <w:r w:rsidRPr="004B0E72">
        <w:rPr>
          <w:rtl/>
        </w:rPr>
        <w:t xml:space="preserve"> </w:t>
      </w:r>
      <w:bookmarkStart w:id="0" w:name="_GoBack"/>
      <w:bookmarkEnd w:id="0"/>
      <w:r w:rsidRPr="004B0E72">
        <w:rPr>
          <w:rFonts w:hint="cs"/>
          <w:rtl/>
        </w:rPr>
        <w:t>דרישת</w:t>
      </w:r>
      <w:r w:rsidRPr="004B0E72">
        <w:rPr>
          <w:rtl/>
        </w:rPr>
        <w:t xml:space="preserve"> </w:t>
      </w:r>
      <w:r w:rsidRPr="004B0E72">
        <w:rPr>
          <w:rFonts w:hint="cs"/>
          <w:rtl/>
        </w:rPr>
        <w:t>תשלום</w:t>
      </w:r>
    </w:p>
    <w:p w14:paraId="2CB1E364" w14:textId="3C5B773B" w:rsidR="00D924E2" w:rsidRPr="004B0E72" w:rsidRDefault="00D924E2" w:rsidP="00376B49">
      <w:pPr>
        <w:pStyle w:val="ListParagraph"/>
        <w:numPr>
          <w:ilvl w:val="0"/>
          <w:numId w:val="27"/>
        </w:numPr>
        <w:spacing w:line="360" w:lineRule="auto"/>
        <w:jc w:val="both"/>
      </w:pPr>
      <w:r w:rsidRPr="004B0E72">
        <w:rPr>
          <w:rFonts w:hint="cs"/>
          <w:rtl/>
        </w:rPr>
        <w:t>לאחר</w:t>
      </w:r>
      <w:r w:rsidRPr="004B0E72">
        <w:rPr>
          <w:rtl/>
        </w:rPr>
        <w:t xml:space="preserve"> </w:t>
      </w:r>
      <w:r w:rsidRPr="004B0E72">
        <w:rPr>
          <w:rFonts w:hint="cs"/>
          <w:rtl/>
        </w:rPr>
        <w:t>ששקלתי</w:t>
      </w:r>
      <w:r w:rsidRPr="004B0E72">
        <w:rPr>
          <w:rtl/>
        </w:rPr>
        <w:t xml:space="preserve"> </w:t>
      </w:r>
      <w:r w:rsidRPr="004B0E72">
        <w:rPr>
          <w:rFonts w:hint="cs"/>
          <w:rtl/>
        </w:rPr>
        <w:t>את</w:t>
      </w:r>
      <w:r w:rsidRPr="004B0E72">
        <w:rPr>
          <w:rtl/>
        </w:rPr>
        <w:t xml:space="preserve"> </w:t>
      </w:r>
      <w:r w:rsidRPr="004B0E72">
        <w:rPr>
          <w:rFonts w:hint="cs"/>
          <w:rtl/>
        </w:rPr>
        <w:t>הטענות</w:t>
      </w:r>
      <w:r w:rsidRPr="004B0E72">
        <w:rPr>
          <w:rtl/>
        </w:rPr>
        <w:t xml:space="preserve"> </w:t>
      </w:r>
      <w:r w:rsidRPr="004B0E72">
        <w:rPr>
          <w:rFonts w:hint="cs"/>
          <w:rtl/>
        </w:rPr>
        <w:t>שהעל</w:t>
      </w:r>
      <w:r w:rsidR="00434B0D" w:rsidRPr="004B0E72">
        <w:rPr>
          <w:rFonts w:hint="cs"/>
          <w:rtl/>
        </w:rPr>
        <w:t>ו</w:t>
      </w:r>
      <w:r w:rsidRPr="004B0E72">
        <w:rPr>
          <w:rtl/>
        </w:rPr>
        <w:t xml:space="preserve"> </w:t>
      </w:r>
      <w:r w:rsidRPr="004B0E72">
        <w:rPr>
          <w:rFonts w:hint="cs"/>
          <w:rtl/>
        </w:rPr>
        <w:t>בפני</w:t>
      </w:r>
      <w:r w:rsidRPr="004B0E72">
        <w:rPr>
          <w:rtl/>
        </w:rPr>
        <w:t xml:space="preserve"> </w:t>
      </w:r>
      <w:r w:rsidR="00CA5297" w:rsidRPr="004B0E72">
        <w:rPr>
          <w:rFonts w:hint="cs"/>
          <w:rtl/>
        </w:rPr>
        <w:t xml:space="preserve">המפרות </w:t>
      </w:r>
      <w:r w:rsidRPr="004B0E72">
        <w:rPr>
          <w:rFonts w:hint="cs"/>
          <w:rtl/>
        </w:rPr>
        <w:t>ולאחר</w:t>
      </w:r>
      <w:r w:rsidRPr="004B0E72">
        <w:rPr>
          <w:rtl/>
        </w:rPr>
        <w:t xml:space="preserve"> </w:t>
      </w:r>
      <w:r w:rsidRPr="004B0E72">
        <w:rPr>
          <w:rFonts w:hint="cs"/>
          <w:rtl/>
        </w:rPr>
        <w:t>שהתייעצתי</w:t>
      </w:r>
      <w:r w:rsidRPr="004B0E72">
        <w:rPr>
          <w:rtl/>
        </w:rPr>
        <w:t xml:space="preserve"> </w:t>
      </w:r>
      <w:r w:rsidRPr="004B0E72">
        <w:rPr>
          <w:rFonts w:hint="cs"/>
          <w:rtl/>
        </w:rPr>
        <w:t>עם</w:t>
      </w:r>
      <w:r w:rsidRPr="004B0E72">
        <w:rPr>
          <w:rtl/>
        </w:rPr>
        <w:t xml:space="preserve"> </w:t>
      </w:r>
      <w:r w:rsidRPr="004B0E72">
        <w:rPr>
          <w:rFonts w:hint="cs"/>
          <w:rtl/>
        </w:rPr>
        <w:t>הוועדה</w:t>
      </w:r>
      <w:r w:rsidRPr="004B0E72">
        <w:rPr>
          <w:rtl/>
        </w:rPr>
        <w:t xml:space="preserve"> </w:t>
      </w:r>
      <w:r w:rsidRPr="004B0E72">
        <w:rPr>
          <w:rFonts w:hint="cs"/>
          <w:rtl/>
        </w:rPr>
        <w:t>לפטורים</w:t>
      </w:r>
      <w:r w:rsidRPr="004B0E72">
        <w:rPr>
          <w:rtl/>
        </w:rPr>
        <w:t xml:space="preserve"> </w:t>
      </w:r>
      <w:r w:rsidRPr="004B0E72">
        <w:rPr>
          <w:rFonts w:hint="cs"/>
          <w:rtl/>
        </w:rPr>
        <w:t>ולמיזוגים</w:t>
      </w:r>
      <w:r w:rsidRPr="004B0E72">
        <w:rPr>
          <w:rtl/>
        </w:rPr>
        <w:t xml:space="preserve">, </w:t>
      </w:r>
      <w:r w:rsidRPr="004B0E72">
        <w:rPr>
          <w:rFonts w:hint="cs"/>
          <w:rtl/>
        </w:rPr>
        <w:t>מצאתי</w:t>
      </w:r>
      <w:r w:rsidRPr="004B0E72">
        <w:rPr>
          <w:rtl/>
        </w:rPr>
        <w:t xml:space="preserve"> </w:t>
      </w:r>
      <w:r w:rsidRPr="004B0E72">
        <w:rPr>
          <w:rFonts w:hint="cs"/>
          <w:rtl/>
        </w:rPr>
        <w:t>לנכון</w:t>
      </w:r>
      <w:r w:rsidRPr="004B0E72">
        <w:rPr>
          <w:rtl/>
        </w:rPr>
        <w:t xml:space="preserve"> </w:t>
      </w:r>
      <w:r w:rsidRPr="004B0E72">
        <w:rPr>
          <w:rFonts w:hint="cs"/>
          <w:rtl/>
        </w:rPr>
        <w:t>להטיל</w:t>
      </w:r>
      <w:r w:rsidRPr="004B0E72">
        <w:rPr>
          <w:rtl/>
        </w:rPr>
        <w:t xml:space="preserve"> </w:t>
      </w:r>
      <w:r w:rsidRPr="004B0E72">
        <w:rPr>
          <w:rFonts w:hint="cs"/>
          <w:rtl/>
        </w:rPr>
        <w:t>על</w:t>
      </w:r>
      <w:r w:rsidRPr="004B0E72">
        <w:rPr>
          <w:rtl/>
        </w:rPr>
        <w:t xml:space="preserve"> </w:t>
      </w:r>
      <w:r w:rsidR="00CA5297" w:rsidRPr="004B0E72">
        <w:rPr>
          <w:rFonts w:hint="cs"/>
          <w:rtl/>
        </w:rPr>
        <w:t xml:space="preserve">המפרות </w:t>
      </w:r>
      <w:r w:rsidRPr="004B0E72">
        <w:rPr>
          <w:rFonts w:hint="cs"/>
          <w:rtl/>
        </w:rPr>
        <w:t>עיצומים</w:t>
      </w:r>
      <w:r w:rsidRPr="004B0E72">
        <w:rPr>
          <w:rtl/>
        </w:rPr>
        <w:t xml:space="preserve"> </w:t>
      </w:r>
      <w:r w:rsidRPr="004B0E72">
        <w:rPr>
          <w:rFonts w:hint="cs"/>
          <w:rtl/>
        </w:rPr>
        <w:t>כספיים</w:t>
      </w:r>
      <w:r w:rsidRPr="004B0E72">
        <w:rPr>
          <w:rtl/>
        </w:rPr>
        <w:t xml:space="preserve"> </w:t>
      </w:r>
      <w:r w:rsidRPr="004B0E72">
        <w:rPr>
          <w:rFonts w:hint="cs"/>
          <w:rtl/>
        </w:rPr>
        <w:t>מכוח</w:t>
      </w:r>
      <w:r w:rsidRPr="004B0E72">
        <w:rPr>
          <w:rtl/>
        </w:rPr>
        <w:t xml:space="preserve"> </w:t>
      </w:r>
      <w:r w:rsidRPr="004B0E72">
        <w:rPr>
          <w:rFonts w:hint="cs"/>
          <w:rtl/>
        </w:rPr>
        <w:t>סעיף</w:t>
      </w:r>
      <w:r w:rsidRPr="004B0E72">
        <w:rPr>
          <w:rtl/>
        </w:rPr>
        <w:t xml:space="preserve"> 50</w:t>
      </w:r>
      <w:r w:rsidRPr="004B0E72">
        <w:rPr>
          <w:rFonts w:hint="cs"/>
          <w:rtl/>
        </w:rPr>
        <w:t>ד</w:t>
      </w:r>
      <w:r w:rsidRPr="004B0E72">
        <w:rPr>
          <w:rtl/>
        </w:rPr>
        <w:t>(</w:t>
      </w:r>
      <w:r w:rsidR="00CA5297" w:rsidRPr="004B0E72">
        <w:rPr>
          <w:rFonts w:hint="cs"/>
          <w:rtl/>
        </w:rPr>
        <w:t>א</w:t>
      </w:r>
      <w:r w:rsidRPr="004B0E72">
        <w:rPr>
          <w:rtl/>
        </w:rPr>
        <w:t>)</w:t>
      </w:r>
      <w:r w:rsidR="00CA5297" w:rsidRPr="004B0E72">
        <w:rPr>
          <w:rFonts w:hint="cs"/>
          <w:rtl/>
        </w:rPr>
        <w:t>(2)</w:t>
      </w:r>
      <w:r w:rsidRPr="004B0E72">
        <w:rPr>
          <w:rtl/>
        </w:rPr>
        <w:t xml:space="preserve"> </w:t>
      </w:r>
      <w:r w:rsidRPr="004B0E72">
        <w:rPr>
          <w:rFonts w:hint="cs"/>
          <w:rtl/>
        </w:rPr>
        <w:t>לחוק</w:t>
      </w:r>
      <w:r w:rsidRPr="004B0E72">
        <w:rPr>
          <w:rtl/>
        </w:rPr>
        <w:t xml:space="preserve"> </w:t>
      </w:r>
      <w:r w:rsidRPr="004B0E72">
        <w:rPr>
          <w:rFonts w:hint="cs"/>
          <w:rtl/>
        </w:rPr>
        <w:t>בגין</w:t>
      </w:r>
      <w:r w:rsidRPr="004B0E72">
        <w:rPr>
          <w:rtl/>
        </w:rPr>
        <w:t xml:space="preserve"> </w:t>
      </w:r>
      <w:r w:rsidR="00376B49" w:rsidRPr="004B0E72">
        <w:rPr>
          <w:rFonts w:hint="cs"/>
          <w:rtl/>
        </w:rPr>
        <w:t xml:space="preserve">עשיית מעשה שיש בו משום </w:t>
      </w:r>
      <w:r w:rsidR="00CA5297" w:rsidRPr="004B0E72">
        <w:rPr>
          <w:rFonts w:hint="cs"/>
          <w:rtl/>
        </w:rPr>
        <w:t xml:space="preserve">מיזוג </w:t>
      </w:r>
      <w:r w:rsidR="00376B49" w:rsidRPr="004B0E72">
        <w:rPr>
          <w:rFonts w:hint="cs"/>
          <w:rtl/>
        </w:rPr>
        <w:t>שלא בהתאם ל</w:t>
      </w:r>
      <w:r w:rsidR="00CA5297" w:rsidRPr="004B0E72">
        <w:rPr>
          <w:rFonts w:hint="cs"/>
          <w:rtl/>
        </w:rPr>
        <w:t>הוראות פרק ג' לחוק</w:t>
      </w:r>
      <w:r w:rsidRPr="004B0E72">
        <w:rPr>
          <w:rtl/>
        </w:rPr>
        <w:t xml:space="preserve">. </w:t>
      </w:r>
    </w:p>
    <w:p w14:paraId="3F6D48F9" w14:textId="27BF641C" w:rsidR="00D924E2" w:rsidRPr="004B0E72" w:rsidRDefault="00D924E2" w:rsidP="00237B3B">
      <w:pPr>
        <w:pStyle w:val="ListParagraph"/>
        <w:numPr>
          <w:ilvl w:val="0"/>
          <w:numId w:val="27"/>
        </w:numPr>
        <w:spacing w:line="360" w:lineRule="auto"/>
        <w:jc w:val="both"/>
      </w:pPr>
      <w:r w:rsidRPr="004B0E72">
        <w:rPr>
          <w:rFonts w:hint="cs"/>
          <w:rtl/>
        </w:rPr>
        <w:lastRenderedPageBreak/>
        <w:t>בהתאם</w:t>
      </w:r>
      <w:r w:rsidRPr="004B0E72">
        <w:rPr>
          <w:rtl/>
        </w:rPr>
        <w:t xml:space="preserve">, </w:t>
      </w:r>
      <w:r w:rsidRPr="004B0E72">
        <w:rPr>
          <w:rFonts w:hint="cs"/>
          <w:rtl/>
        </w:rPr>
        <w:t>על</w:t>
      </w:r>
      <w:r w:rsidRPr="004B0E72">
        <w:rPr>
          <w:rtl/>
        </w:rPr>
        <w:t xml:space="preserve"> </w:t>
      </w:r>
      <w:r w:rsidR="00CA5297" w:rsidRPr="004B0E72">
        <w:rPr>
          <w:rFonts w:hint="cs"/>
          <w:rtl/>
        </w:rPr>
        <w:t xml:space="preserve">ברמן </w:t>
      </w:r>
      <w:r w:rsidRPr="004B0E72">
        <w:rPr>
          <w:rFonts w:hint="cs"/>
          <w:rtl/>
        </w:rPr>
        <w:t>לשלם</w:t>
      </w:r>
      <w:r w:rsidRPr="004B0E72">
        <w:rPr>
          <w:rtl/>
        </w:rPr>
        <w:t xml:space="preserve"> </w:t>
      </w:r>
      <w:r w:rsidRPr="004B0E72">
        <w:rPr>
          <w:rFonts w:hint="cs"/>
          <w:rtl/>
        </w:rPr>
        <w:t>לאוצר</w:t>
      </w:r>
      <w:r w:rsidRPr="004B0E72">
        <w:rPr>
          <w:rtl/>
        </w:rPr>
        <w:t xml:space="preserve"> </w:t>
      </w:r>
      <w:r w:rsidRPr="004B0E72">
        <w:rPr>
          <w:rFonts w:hint="cs"/>
          <w:rtl/>
        </w:rPr>
        <w:t>המדינה</w:t>
      </w:r>
      <w:r w:rsidRPr="004B0E72">
        <w:rPr>
          <w:rtl/>
        </w:rPr>
        <w:t xml:space="preserve"> </w:t>
      </w:r>
      <w:r w:rsidRPr="004B0E72">
        <w:rPr>
          <w:rFonts w:hint="cs"/>
          <w:rtl/>
        </w:rPr>
        <w:t>סכום</w:t>
      </w:r>
      <w:r w:rsidRPr="004B0E72">
        <w:rPr>
          <w:rtl/>
        </w:rPr>
        <w:t xml:space="preserve"> </w:t>
      </w:r>
      <w:r w:rsidRPr="004B0E72">
        <w:rPr>
          <w:rFonts w:hint="cs"/>
          <w:rtl/>
        </w:rPr>
        <w:t xml:space="preserve">של </w:t>
      </w:r>
      <w:r w:rsidR="00670B93" w:rsidRPr="004B0E72">
        <w:rPr>
          <w:rFonts w:hint="cs"/>
          <w:rtl/>
        </w:rPr>
        <w:t xml:space="preserve">80,000 </w:t>
      </w:r>
      <w:r w:rsidRPr="004B0E72">
        <w:rPr>
          <w:rFonts w:hint="cs"/>
          <w:rtl/>
        </w:rPr>
        <w:t>ש</w:t>
      </w:r>
      <w:r w:rsidRPr="004B0E72">
        <w:rPr>
          <w:rtl/>
        </w:rPr>
        <w:t>"</w:t>
      </w:r>
      <w:r w:rsidRPr="004B0E72">
        <w:rPr>
          <w:rFonts w:hint="cs"/>
          <w:rtl/>
        </w:rPr>
        <w:t>ח</w:t>
      </w:r>
      <w:r w:rsidRPr="004B0E72">
        <w:rPr>
          <w:rtl/>
        </w:rPr>
        <w:t xml:space="preserve"> </w:t>
      </w:r>
      <w:r w:rsidR="00CA5297" w:rsidRPr="004B0E72">
        <w:rPr>
          <w:rFonts w:hint="cs"/>
          <w:rtl/>
        </w:rPr>
        <w:t xml:space="preserve">ועל מכלול לשלם סכום של </w:t>
      </w:r>
      <w:r w:rsidR="00670B93" w:rsidRPr="004B0E72">
        <w:rPr>
          <w:rFonts w:hint="cs"/>
          <w:rtl/>
        </w:rPr>
        <w:t>5,000</w:t>
      </w:r>
      <w:r w:rsidR="00CA5297" w:rsidRPr="004B0E72">
        <w:rPr>
          <w:rFonts w:hint="cs"/>
          <w:rtl/>
        </w:rPr>
        <w:t xml:space="preserve">₪ , </w:t>
      </w:r>
      <w:r w:rsidRPr="004B0E72">
        <w:rPr>
          <w:rFonts w:hint="cs"/>
          <w:rtl/>
        </w:rPr>
        <w:t>עד</w:t>
      </w:r>
      <w:r w:rsidRPr="004B0E72">
        <w:rPr>
          <w:rtl/>
        </w:rPr>
        <w:t xml:space="preserve"> </w:t>
      </w:r>
      <w:r w:rsidRPr="004B0E72">
        <w:rPr>
          <w:rFonts w:hint="cs"/>
          <w:rtl/>
        </w:rPr>
        <w:t>ליום</w:t>
      </w:r>
      <w:r w:rsidRPr="004B0E72">
        <w:rPr>
          <w:rtl/>
        </w:rPr>
        <w:t xml:space="preserve"> </w:t>
      </w:r>
      <w:r w:rsidR="00237B3B" w:rsidRPr="004B0E72">
        <w:rPr>
          <w:rFonts w:hint="cs"/>
          <w:rtl/>
        </w:rPr>
        <w:t>30 בדצמבר 2015.</w:t>
      </w:r>
      <w:r w:rsidR="006526E1" w:rsidRPr="004B0E72">
        <w:rPr>
          <w:rFonts w:hint="cs"/>
          <w:rtl/>
        </w:rPr>
        <w:t xml:space="preserve"> </w:t>
      </w:r>
    </w:p>
    <w:p w14:paraId="1F4CB8C3" w14:textId="4FB84378" w:rsidR="00D924E2" w:rsidRPr="004B0E72" w:rsidRDefault="00D924E2" w:rsidP="00EA3F81">
      <w:pPr>
        <w:pStyle w:val="ListParagraph"/>
        <w:numPr>
          <w:ilvl w:val="0"/>
          <w:numId w:val="27"/>
        </w:numPr>
        <w:spacing w:line="360" w:lineRule="auto"/>
        <w:jc w:val="both"/>
        <w:rPr>
          <w:rtl/>
        </w:rPr>
      </w:pPr>
      <w:r w:rsidRPr="004B0E72">
        <w:rPr>
          <w:rFonts w:hint="cs"/>
          <w:rtl/>
        </w:rPr>
        <w:t>בהתאם</w:t>
      </w:r>
      <w:r w:rsidRPr="004B0E72">
        <w:rPr>
          <w:rtl/>
        </w:rPr>
        <w:t xml:space="preserve"> </w:t>
      </w:r>
      <w:r w:rsidRPr="004B0E72">
        <w:rPr>
          <w:rFonts w:hint="cs"/>
          <w:rtl/>
        </w:rPr>
        <w:t>לסעיף</w:t>
      </w:r>
      <w:r w:rsidRPr="004B0E72">
        <w:rPr>
          <w:rtl/>
        </w:rPr>
        <w:t xml:space="preserve"> 50</w:t>
      </w:r>
      <w:r w:rsidRPr="004B0E72">
        <w:rPr>
          <w:rFonts w:hint="cs"/>
          <w:rtl/>
        </w:rPr>
        <w:t>יג</w:t>
      </w:r>
      <w:r w:rsidRPr="004B0E72">
        <w:rPr>
          <w:rtl/>
        </w:rPr>
        <w:t>(</w:t>
      </w:r>
      <w:r w:rsidRPr="004B0E72">
        <w:rPr>
          <w:rFonts w:hint="cs"/>
          <w:rtl/>
        </w:rPr>
        <w:t>א</w:t>
      </w:r>
      <w:r w:rsidRPr="004B0E72">
        <w:rPr>
          <w:rtl/>
        </w:rPr>
        <w:t xml:space="preserve">) </w:t>
      </w:r>
      <w:r w:rsidRPr="004B0E72">
        <w:rPr>
          <w:rFonts w:hint="cs"/>
          <w:rtl/>
        </w:rPr>
        <w:t>לחוק</w:t>
      </w:r>
      <w:r w:rsidRPr="004B0E72">
        <w:rPr>
          <w:rtl/>
        </w:rPr>
        <w:t xml:space="preserve">, </w:t>
      </w:r>
      <w:r w:rsidRPr="004B0E72">
        <w:rPr>
          <w:rFonts w:hint="cs"/>
          <w:rtl/>
        </w:rPr>
        <w:t>החברה</w:t>
      </w:r>
      <w:r w:rsidRPr="004B0E72">
        <w:rPr>
          <w:rtl/>
        </w:rPr>
        <w:t xml:space="preserve"> </w:t>
      </w:r>
      <w:r w:rsidRPr="004B0E72">
        <w:rPr>
          <w:rFonts w:hint="cs"/>
          <w:rtl/>
        </w:rPr>
        <w:t>רשאית</w:t>
      </w:r>
      <w:r w:rsidRPr="004B0E72">
        <w:rPr>
          <w:rtl/>
        </w:rPr>
        <w:t xml:space="preserve"> </w:t>
      </w:r>
      <w:r w:rsidRPr="004B0E72">
        <w:rPr>
          <w:rFonts w:hint="cs"/>
          <w:rtl/>
        </w:rPr>
        <w:t>לערור</w:t>
      </w:r>
      <w:r w:rsidRPr="004B0E72">
        <w:rPr>
          <w:rtl/>
        </w:rPr>
        <w:t xml:space="preserve"> </w:t>
      </w:r>
      <w:r w:rsidRPr="004B0E72">
        <w:rPr>
          <w:rFonts w:hint="cs"/>
          <w:rtl/>
        </w:rPr>
        <w:t>על</w:t>
      </w:r>
      <w:r w:rsidRPr="004B0E72">
        <w:rPr>
          <w:rtl/>
        </w:rPr>
        <w:t xml:space="preserve"> </w:t>
      </w:r>
      <w:r w:rsidRPr="004B0E72">
        <w:rPr>
          <w:rFonts w:hint="cs"/>
          <w:rtl/>
        </w:rPr>
        <w:t>החלטה</w:t>
      </w:r>
      <w:r w:rsidRPr="004B0E72">
        <w:rPr>
          <w:rtl/>
        </w:rPr>
        <w:t xml:space="preserve"> </w:t>
      </w:r>
      <w:r w:rsidRPr="004B0E72">
        <w:rPr>
          <w:rFonts w:hint="cs"/>
          <w:rtl/>
        </w:rPr>
        <w:t>זו</w:t>
      </w:r>
      <w:r w:rsidRPr="004B0E72">
        <w:rPr>
          <w:rtl/>
        </w:rPr>
        <w:t xml:space="preserve"> </w:t>
      </w:r>
      <w:r w:rsidRPr="004B0E72">
        <w:rPr>
          <w:rFonts w:hint="cs"/>
          <w:rtl/>
        </w:rPr>
        <w:t>לפני</w:t>
      </w:r>
      <w:r w:rsidRPr="004B0E72">
        <w:rPr>
          <w:rtl/>
        </w:rPr>
        <w:t xml:space="preserve"> </w:t>
      </w:r>
      <w:r w:rsidRPr="004B0E72">
        <w:rPr>
          <w:rFonts w:hint="cs"/>
          <w:rtl/>
        </w:rPr>
        <w:t>בית</w:t>
      </w:r>
      <w:r w:rsidRPr="004B0E72">
        <w:rPr>
          <w:rtl/>
        </w:rPr>
        <w:t xml:space="preserve"> </w:t>
      </w:r>
      <w:r w:rsidRPr="004B0E72">
        <w:rPr>
          <w:rFonts w:hint="cs"/>
          <w:rtl/>
        </w:rPr>
        <w:t>הדין</w:t>
      </w:r>
      <w:r w:rsidRPr="004B0E72">
        <w:rPr>
          <w:rtl/>
        </w:rPr>
        <w:t xml:space="preserve"> </w:t>
      </w:r>
      <w:r w:rsidRPr="004B0E72">
        <w:rPr>
          <w:rFonts w:hint="cs"/>
          <w:rtl/>
        </w:rPr>
        <w:t>להגבלים</w:t>
      </w:r>
      <w:r w:rsidRPr="004B0E72">
        <w:rPr>
          <w:rtl/>
        </w:rPr>
        <w:t xml:space="preserve"> </w:t>
      </w:r>
      <w:r w:rsidRPr="004B0E72">
        <w:rPr>
          <w:rFonts w:hint="cs"/>
          <w:rtl/>
        </w:rPr>
        <w:t>עסקיים</w:t>
      </w:r>
      <w:r w:rsidRPr="004B0E72">
        <w:rPr>
          <w:rtl/>
        </w:rPr>
        <w:t xml:space="preserve"> </w:t>
      </w:r>
      <w:r w:rsidRPr="004B0E72">
        <w:rPr>
          <w:rFonts w:hint="cs"/>
          <w:rtl/>
        </w:rPr>
        <w:t>בתוך</w:t>
      </w:r>
      <w:r w:rsidRPr="004B0E72">
        <w:rPr>
          <w:rtl/>
        </w:rPr>
        <w:t xml:space="preserve"> 30 </w:t>
      </w:r>
      <w:r w:rsidRPr="004B0E72">
        <w:rPr>
          <w:rFonts w:hint="cs"/>
          <w:rtl/>
        </w:rPr>
        <w:t>ימים</w:t>
      </w:r>
      <w:r w:rsidRPr="004B0E72">
        <w:rPr>
          <w:rtl/>
        </w:rPr>
        <w:t>.</w:t>
      </w:r>
    </w:p>
    <w:p w14:paraId="5D58CA15" w14:textId="1639A994" w:rsidR="00CA5297" w:rsidRPr="004B0E72" w:rsidRDefault="002421EF" w:rsidP="002421EF">
      <w:pPr>
        <w:ind w:left="4320"/>
        <w:jc w:val="center"/>
        <w:rPr>
          <w:rtl/>
        </w:rPr>
      </w:pPr>
      <w:r w:rsidRPr="004B0E72">
        <w:rPr>
          <w:rFonts w:hint="cs"/>
          <w:rtl/>
        </w:rPr>
        <w:t>אורי שוורץ</w:t>
      </w:r>
    </w:p>
    <w:p w14:paraId="324D7F24" w14:textId="6B9C718E" w:rsidR="00D924E2" w:rsidRPr="004B0E72" w:rsidRDefault="00D924E2" w:rsidP="002421EF">
      <w:pPr>
        <w:spacing w:line="240" w:lineRule="auto"/>
        <w:ind w:left="4320"/>
        <w:jc w:val="center"/>
        <w:rPr>
          <w:rtl/>
        </w:rPr>
      </w:pPr>
      <w:r w:rsidRPr="004B0E72">
        <w:rPr>
          <w:rFonts w:hint="cs"/>
          <w:rtl/>
        </w:rPr>
        <w:t>הממונה</w:t>
      </w:r>
      <w:r w:rsidRPr="004B0E72">
        <w:rPr>
          <w:rtl/>
        </w:rPr>
        <w:t xml:space="preserve"> </w:t>
      </w:r>
      <w:r w:rsidRPr="004B0E72">
        <w:rPr>
          <w:rFonts w:hint="cs"/>
          <w:rtl/>
        </w:rPr>
        <w:t>על</w:t>
      </w:r>
      <w:r w:rsidRPr="004B0E72">
        <w:rPr>
          <w:rtl/>
        </w:rPr>
        <w:t xml:space="preserve"> </w:t>
      </w:r>
      <w:r w:rsidRPr="004B0E72">
        <w:rPr>
          <w:rFonts w:hint="cs"/>
          <w:rtl/>
        </w:rPr>
        <w:t>הגבלים</w:t>
      </w:r>
      <w:r w:rsidRPr="004B0E72">
        <w:rPr>
          <w:rtl/>
        </w:rPr>
        <w:t xml:space="preserve"> </w:t>
      </w:r>
      <w:r w:rsidRPr="004B0E72">
        <w:rPr>
          <w:rFonts w:hint="cs"/>
          <w:rtl/>
        </w:rPr>
        <w:t>עסקיים</w:t>
      </w:r>
      <w:r w:rsidR="002421EF" w:rsidRPr="004B0E72">
        <w:rPr>
          <w:rFonts w:hint="cs"/>
          <w:rtl/>
        </w:rPr>
        <w:t xml:space="preserve"> (בפועל)</w:t>
      </w:r>
    </w:p>
    <w:p w14:paraId="6213570D" w14:textId="77777777" w:rsidR="00D924E2" w:rsidRPr="004B0E72" w:rsidRDefault="00D924E2" w:rsidP="00D924E2">
      <w:pPr>
        <w:spacing w:line="240" w:lineRule="auto"/>
        <w:rPr>
          <w:rtl/>
        </w:rPr>
      </w:pPr>
    </w:p>
    <w:p w14:paraId="4370E06E" w14:textId="77777777" w:rsidR="00237B3B" w:rsidRPr="004B0E72" w:rsidRDefault="00D924E2" w:rsidP="00CA5297">
      <w:pPr>
        <w:spacing w:line="240" w:lineRule="auto"/>
        <w:rPr>
          <w:rtl/>
        </w:rPr>
      </w:pPr>
      <w:r w:rsidRPr="004B0E72">
        <w:rPr>
          <w:rFonts w:hint="cs"/>
          <w:rtl/>
        </w:rPr>
        <w:t>ירושלים</w:t>
      </w:r>
      <w:r w:rsidRPr="004B0E72">
        <w:rPr>
          <w:rtl/>
        </w:rPr>
        <w:t>,</w:t>
      </w:r>
      <w:r w:rsidRPr="004B0E72">
        <w:rPr>
          <w:rFonts w:hint="cs"/>
          <w:rtl/>
        </w:rPr>
        <w:t>‏</w:t>
      </w:r>
      <w:r w:rsidRPr="004B0E72">
        <w:rPr>
          <w:rtl/>
        </w:rPr>
        <w:t xml:space="preserve"> </w:t>
      </w:r>
      <w:r w:rsidR="00237B3B" w:rsidRPr="004B0E72">
        <w:rPr>
          <w:rFonts w:hint="cs"/>
          <w:rtl/>
        </w:rPr>
        <w:t>י"ח בכסלו תשע"ו</w:t>
      </w:r>
    </w:p>
    <w:p w14:paraId="3F854FCA" w14:textId="5571ED1A" w:rsidR="00B26215" w:rsidRPr="002421EF" w:rsidRDefault="00237B3B" w:rsidP="00237B3B">
      <w:pPr>
        <w:spacing w:line="240" w:lineRule="auto"/>
        <w:ind w:firstLine="720"/>
      </w:pPr>
      <w:r w:rsidRPr="004B0E72">
        <w:rPr>
          <w:rFonts w:hint="cs"/>
          <w:rtl/>
        </w:rPr>
        <w:t xml:space="preserve">   30 בנובמבר 2015</w:t>
      </w:r>
    </w:p>
    <w:sectPr w:rsidR="00B26215" w:rsidRPr="002421EF" w:rsidSect="00AC2263">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42442" w14:textId="77777777" w:rsidR="00310D70" w:rsidRDefault="00310D70" w:rsidP="00D924E2">
      <w:pPr>
        <w:spacing w:after="0" w:line="240" w:lineRule="auto"/>
      </w:pPr>
      <w:r>
        <w:separator/>
      </w:r>
    </w:p>
  </w:endnote>
  <w:endnote w:type="continuationSeparator" w:id="0">
    <w:p w14:paraId="7A1CDCB2" w14:textId="77777777" w:rsidR="00310D70" w:rsidRDefault="00310D70" w:rsidP="00D92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05326314"/>
      <w:docPartObj>
        <w:docPartGallery w:val="Page Numbers (Bottom of Page)"/>
        <w:docPartUnique/>
      </w:docPartObj>
    </w:sdtPr>
    <w:sdtEndPr/>
    <w:sdtContent>
      <w:p w14:paraId="0402B689" w14:textId="17680C78" w:rsidR="00310D70" w:rsidRDefault="00310D70">
        <w:pPr>
          <w:pStyle w:val="Footer"/>
          <w:jc w:val="center"/>
          <w:rPr>
            <w:rtl/>
            <w:cs/>
          </w:rPr>
        </w:pPr>
        <w:r>
          <w:fldChar w:fldCharType="begin"/>
        </w:r>
        <w:r>
          <w:rPr>
            <w:rtl/>
            <w:cs/>
          </w:rPr>
          <w:instrText>PAGE   \* MERGEFORMAT</w:instrText>
        </w:r>
        <w:r>
          <w:fldChar w:fldCharType="separate"/>
        </w:r>
        <w:r w:rsidR="004D1F87" w:rsidRPr="004D1F87">
          <w:rPr>
            <w:noProof/>
            <w:rtl/>
            <w:lang w:val="he-IL"/>
          </w:rPr>
          <w:t>12</w:t>
        </w:r>
        <w:r>
          <w:fldChar w:fldCharType="end"/>
        </w:r>
      </w:p>
    </w:sdtContent>
  </w:sdt>
  <w:p w14:paraId="445F819D" w14:textId="77777777" w:rsidR="00310D70" w:rsidRDefault="00310D70" w:rsidP="00AC226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81CA2" w14:textId="77777777" w:rsidR="00310D70" w:rsidRDefault="00310D70" w:rsidP="00D924E2">
      <w:pPr>
        <w:spacing w:after="0" w:line="240" w:lineRule="auto"/>
      </w:pPr>
      <w:r>
        <w:separator/>
      </w:r>
    </w:p>
  </w:footnote>
  <w:footnote w:type="continuationSeparator" w:id="0">
    <w:p w14:paraId="114C1D6B" w14:textId="77777777" w:rsidR="00310D70" w:rsidRDefault="00310D70" w:rsidP="00D924E2">
      <w:pPr>
        <w:spacing w:after="0" w:line="240" w:lineRule="auto"/>
      </w:pPr>
      <w:r>
        <w:continuationSeparator/>
      </w:r>
    </w:p>
  </w:footnote>
  <w:footnote w:id="1">
    <w:p w14:paraId="08120C2C" w14:textId="77777777" w:rsidR="00420737" w:rsidRPr="00810409" w:rsidRDefault="00420737" w:rsidP="00420737">
      <w:pPr>
        <w:pStyle w:val="FootnoteText"/>
        <w:jc w:val="both"/>
        <w:rPr>
          <w:rFonts w:ascii="Times New Roman" w:hAnsi="Times New Roman"/>
        </w:rPr>
      </w:pPr>
      <w:r w:rsidRPr="00810409">
        <w:rPr>
          <w:rStyle w:val="FootnoteReference"/>
          <w:rFonts w:ascii="Times New Roman" w:hAnsi="Times New Roman"/>
        </w:rPr>
        <w:footnoteRef/>
      </w:r>
      <w:r w:rsidRPr="00810409">
        <w:rPr>
          <w:rFonts w:ascii="Times New Roman" w:hAnsi="Times New Roman"/>
          <w:rtl/>
        </w:rPr>
        <w:t xml:space="preserve"> אישור מיזוג בתנאים בין חגים נחלים בע"מ יהודה ברמן בע"מ (24.03.2014), מזג 9520, פורסם בי"פ 6828, 6463 (30.6.14)</w:t>
      </w:r>
      <w:r w:rsidRPr="00810409">
        <w:rPr>
          <w:rFonts w:ascii="Times New Roman" w:hAnsi="Times New Roman" w:hint="cs"/>
          <w:rtl/>
        </w:rPr>
        <w:t>.</w:t>
      </w:r>
    </w:p>
  </w:footnote>
  <w:footnote w:id="2">
    <w:p w14:paraId="6FBC0B18" w14:textId="51872ED9" w:rsidR="005849AD" w:rsidRPr="00810409" w:rsidRDefault="005849AD" w:rsidP="005849AD">
      <w:pPr>
        <w:pStyle w:val="FootnoteText"/>
        <w:jc w:val="both"/>
        <w:rPr>
          <w:rFonts w:ascii="Times New Roman" w:hAnsi="Times New Roman"/>
          <w:rtl/>
        </w:rPr>
      </w:pPr>
      <w:r w:rsidRPr="00810409">
        <w:rPr>
          <w:rStyle w:val="FootnoteReference"/>
          <w:rFonts w:ascii="Times New Roman" w:hAnsi="Times New Roman"/>
        </w:rPr>
        <w:footnoteRef/>
      </w:r>
      <w:r w:rsidRPr="00810409">
        <w:rPr>
          <w:rFonts w:ascii="Times New Roman" w:hAnsi="Times New Roman"/>
          <w:rtl/>
        </w:rPr>
        <w:t xml:space="preserve"> החלטה בעניין הודעת המיזוג בין יהודה ברמן בע"מ ומכלול – חברה למתן שירותים לסטודנטים בטכניון ובמוסדות אקדמיים אחרים בע"מ (7.1.15) </w:t>
      </w:r>
      <w:r w:rsidRPr="00810409">
        <w:rPr>
          <w:rFonts w:ascii="Times New Roman" w:hAnsi="Times New Roman"/>
          <w:b/>
          <w:bCs/>
          <w:rtl/>
        </w:rPr>
        <w:t>הגבלים עסקיים</w:t>
      </w:r>
      <w:r w:rsidRPr="00810409">
        <w:rPr>
          <w:rFonts w:ascii="Times New Roman" w:hAnsi="Times New Roman"/>
          <w:rtl/>
        </w:rPr>
        <w:t xml:space="preserve"> תיק 9817.  פורסם בי"פ 7002, 3999 (10.3.15)</w:t>
      </w:r>
      <w:r w:rsidR="00EC142A" w:rsidRPr="00810409">
        <w:rPr>
          <w:rFonts w:ascii="Times New Roman" w:hAnsi="Times New Roman" w:hint="cs"/>
          <w:rtl/>
        </w:rPr>
        <w:t>.</w:t>
      </w:r>
    </w:p>
  </w:footnote>
  <w:footnote w:id="3">
    <w:p w14:paraId="6923011B" w14:textId="77777777" w:rsidR="005849AD" w:rsidRPr="00810409" w:rsidRDefault="005849AD" w:rsidP="005849AD">
      <w:pPr>
        <w:pStyle w:val="FootnoteText"/>
        <w:jc w:val="both"/>
        <w:rPr>
          <w:rFonts w:ascii="Times New Roman" w:hAnsi="Times New Roman"/>
          <w:rtl/>
        </w:rPr>
      </w:pPr>
      <w:r w:rsidRPr="00810409">
        <w:rPr>
          <w:rStyle w:val="FootnoteReference"/>
          <w:rFonts w:ascii="Times New Roman" w:hAnsi="Times New Roman"/>
        </w:rPr>
        <w:footnoteRef/>
      </w:r>
      <w:r w:rsidRPr="00810409">
        <w:rPr>
          <w:rFonts w:ascii="Times New Roman" w:hAnsi="Times New Roman"/>
          <w:rtl/>
        </w:rPr>
        <w:t xml:space="preserve"> הנחיות הממונה על הגבלים עסקיים לגבי הליכי הדיווח והבדיקה של מיזוגי חברות לפי חוק ההגבלים העסקיים, התשמ"ח-1988 </w:t>
      </w:r>
      <w:r w:rsidRPr="00810409">
        <w:rPr>
          <w:rFonts w:ascii="Times New Roman" w:hAnsi="Times New Roman"/>
          <w:b/>
          <w:bCs/>
          <w:rtl/>
        </w:rPr>
        <w:t>הגבלים עסקיים</w:t>
      </w:r>
      <w:r w:rsidRPr="00810409">
        <w:rPr>
          <w:rFonts w:ascii="Times New Roman" w:hAnsi="Times New Roman"/>
          <w:rtl/>
        </w:rPr>
        <w:t xml:space="preserve"> 500631. ניתן למצוא באתר הרשות בכתובת </w:t>
      </w:r>
      <w:hyperlink r:id="rId1" w:history="1">
        <w:r w:rsidRPr="00810409">
          <w:rPr>
            <w:rStyle w:val="Hyperlink"/>
            <w:rFonts w:ascii="Times New Roman" w:hAnsi="Times New Roman"/>
          </w:rPr>
          <w:t>http://www.antitrust.gov.il/subject/202/item/33425.aspx</w:t>
        </w:r>
      </w:hyperlink>
      <w:r w:rsidRPr="00810409">
        <w:rPr>
          <w:rFonts w:ascii="Times New Roman" w:hAnsi="Times New Roman"/>
          <w:rtl/>
        </w:rPr>
        <w:t>.</w:t>
      </w:r>
    </w:p>
  </w:footnote>
  <w:footnote w:id="4">
    <w:p w14:paraId="7EEE5B4C" w14:textId="77777777" w:rsidR="005849AD" w:rsidRPr="00810409" w:rsidRDefault="005849AD" w:rsidP="005849AD">
      <w:pPr>
        <w:pStyle w:val="FootnoteText"/>
        <w:jc w:val="both"/>
        <w:rPr>
          <w:rFonts w:ascii="Times New Roman" w:hAnsi="Times New Roman"/>
          <w:rtl/>
        </w:rPr>
      </w:pPr>
      <w:r w:rsidRPr="00810409">
        <w:rPr>
          <w:rStyle w:val="FootnoteReference"/>
          <w:rFonts w:ascii="Times New Roman" w:hAnsi="Times New Roman"/>
        </w:rPr>
        <w:footnoteRef/>
      </w:r>
      <w:r w:rsidRPr="00810409">
        <w:rPr>
          <w:rFonts w:ascii="Times New Roman" w:hAnsi="Times New Roman"/>
          <w:rtl/>
        </w:rPr>
        <w:t xml:space="preserve"> ראו גם התייחסות לנושא דומה בהחלטת הממונה על הגבלים עסקיים להטיל עיצום כספי על תנובה אגודה שיתופית לשיווק תוצרת חקלאית בישראל בע"מ טירת צבי 2000 שותפות מוגבלת (14.12.14)</w:t>
      </w:r>
      <w:r w:rsidRPr="00810409">
        <w:rPr>
          <w:rFonts w:ascii="Times New Roman" w:hAnsi="Times New Roman"/>
          <w:b/>
          <w:bCs/>
          <w:rtl/>
        </w:rPr>
        <w:t xml:space="preserve"> הגבלים עסקיים </w:t>
      </w:r>
      <w:r w:rsidRPr="00810409">
        <w:rPr>
          <w:rFonts w:ascii="Times New Roman" w:hAnsi="Times New Roman"/>
          <w:rtl/>
        </w:rPr>
        <w:t>500723.</w:t>
      </w:r>
    </w:p>
  </w:footnote>
  <w:footnote w:id="5">
    <w:p w14:paraId="1931616E" w14:textId="77777777" w:rsidR="005849AD" w:rsidRPr="00810409" w:rsidRDefault="005849AD" w:rsidP="005849AD">
      <w:pPr>
        <w:pStyle w:val="FootnoteText"/>
      </w:pPr>
      <w:r w:rsidRPr="00810409">
        <w:rPr>
          <w:rStyle w:val="FootnoteReference"/>
        </w:rPr>
        <w:footnoteRef/>
      </w:r>
      <w:r w:rsidRPr="00810409">
        <w:rPr>
          <w:rtl/>
        </w:rPr>
        <w:t xml:space="preserve"> </w:t>
      </w:r>
      <w:r w:rsidRPr="00810409">
        <w:rPr>
          <w:rFonts w:hint="cs"/>
          <w:rtl/>
        </w:rPr>
        <w:t xml:space="preserve">הנחיות הדיווח, עמ' 6 וה"ש 5 שם. </w:t>
      </w:r>
    </w:p>
  </w:footnote>
  <w:footnote w:id="6">
    <w:p w14:paraId="389B40D2" w14:textId="77777777" w:rsidR="005849AD" w:rsidRPr="00810409" w:rsidRDefault="005849AD" w:rsidP="005849AD">
      <w:pPr>
        <w:pStyle w:val="FootnoteText"/>
      </w:pPr>
      <w:r w:rsidRPr="00810409">
        <w:rPr>
          <w:rStyle w:val="FootnoteReference"/>
        </w:rPr>
        <w:footnoteRef/>
      </w:r>
      <w:r w:rsidRPr="00810409">
        <w:rPr>
          <w:rtl/>
        </w:rPr>
        <w:t xml:space="preserve"> </w:t>
      </w:r>
      <w:r w:rsidRPr="00810409">
        <w:rPr>
          <w:rFonts w:hint="cs"/>
          <w:rtl/>
        </w:rPr>
        <w:t xml:space="preserve">הנחיות הדיווח, עמ' 6 וה"ש 5 שם. </w:t>
      </w:r>
    </w:p>
    <w:p w14:paraId="0C2DD271" w14:textId="77777777" w:rsidR="005849AD" w:rsidRPr="00810409" w:rsidRDefault="005849AD" w:rsidP="005849AD">
      <w:pPr>
        <w:pStyle w:val="FootnoteText"/>
        <w:jc w:val="both"/>
        <w:rPr>
          <w:rFonts w:ascii="Times New Roman" w:hAnsi="Times New Roman"/>
          <w:rtl/>
        </w:rPr>
      </w:pPr>
      <w:r w:rsidRPr="00810409">
        <w:rPr>
          <w:rStyle w:val="FootnoteReference"/>
          <w:rFonts w:ascii="Times New Roman" w:hAnsi="Times New Roman"/>
        </w:rPr>
        <w:footnoteRef/>
      </w:r>
      <w:r w:rsidRPr="00810409">
        <w:rPr>
          <w:rFonts w:ascii="Times New Roman" w:hAnsi="Times New Roman"/>
          <w:rtl/>
        </w:rPr>
        <w:t xml:space="preserve"> ראו קביעת הממונה בדבר מיזוג בפועל בין כור תעשיות בע"מ וקבוצת בנק הפועלים (17.9.98) </w:t>
      </w:r>
      <w:r w:rsidRPr="00810409">
        <w:rPr>
          <w:rFonts w:ascii="Times New Roman" w:hAnsi="Times New Roman"/>
          <w:b/>
          <w:bCs/>
          <w:rtl/>
        </w:rPr>
        <w:t>הגבלים עסקיים</w:t>
      </w:r>
      <w:r w:rsidRPr="00810409">
        <w:rPr>
          <w:rFonts w:ascii="Times New Roman" w:hAnsi="Times New Roman"/>
          <w:rtl/>
        </w:rPr>
        <w:t xml:space="preserve"> 3001329. </w:t>
      </w:r>
    </w:p>
  </w:footnote>
  <w:footnote w:id="7">
    <w:p w14:paraId="54EEF2BF" w14:textId="77777777" w:rsidR="005849AD" w:rsidRPr="00810409" w:rsidRDefault="005849AD" w:rsidP="005849AD">
      <w:pPr>
        <w:pStyle w:val="FootnoteText"/>
      </w:pPr>
      <w:r w:rsidRPr="00810409">
        <w:rPr>
          <w:rStyle w:val="FootnoteReference"/>
        </w:rPr>
        <w:footnoteRef/>
      </w:r>
      <w:r w:rsidRPr="00810409">
        <w:rPr>
          <w:rtl/>
        </w:rPr>
        <w:t xml:space="preserve"> </w:t>
      </w:r>
      <w:r w:rsidRPr="00810409">
        <w:rPr>
          <w:rFonts w:hint="cs"/>
          <w:rtl/>
        </w:rPr>
        <w:t>הנחיות הדיווח</w:t>
      </w:r>
      <w:r w:rsidRPr="00810409">
        <w:rPr>
          <w:rtl/>
        </w:rPr>
        <w:t xml:space="preserve">, </w:t>
      </w:r>
      <w:r w:rsidRPr="00810409">
        <w:rPr>
          <w:rFonts w:hint="cs"/>
          <w:rtl/>
        </w:rPr>
        <w:t>ה</w:t>
      </w:r>
      <w:r w:rsidRPr="00810409">
        <w:rPr>
          <w:rtl/>
        </w:rPr>
        <w:t>"</w:t>
      </w:r>
      <w:r w:rsidRPr="00810409">
        <w:rPr>
          <w:rFonts w:hint="cs"/>
          <w:rtl/>
        </w:rPr>
        <w:t>ש</w:t>
      </w:r>
      <w:r w:rsidRPr="00810409">
        <w:rPr>
          <w:rtl/>
        </w:rPr>
        <w:t xml:space="preserve"> 13</w:t>
      </w:r>
      <w:r w:rsidRPr="00810409">
        <w:rPr>
          <w:rFonts w:hint="cs"/>
          <w:rtl/>
        </w:rPr>
        <w:t xml:space="preserve"> בעמ' 10.</w:t>
      </w:r>
    </w:p>
  </w:footnote>
  <w:footnote w:id="8">
    <w:p w14:paraId="7A34EE20" w14:textId="2AE7570A" w:rsidR="00FC3062" w:rsidRPr="00810409" w:rsidRDefault="00FC3062" w:rsidP="00FC3062">
      <w:pPr>
        <w:pStyle w:val="FootnoteText"/>
      </w:pPr>
      <w:r w:rsidRPr="00810409">
        <w:rPr>
          <w:rStyle w:val="FootnoteReference"/>
        </w:rPr>
        <w:footnoteRef/>
      </w:r>
      <w:r w:rsidRPr="00810409">
        <w:rPr>
          <w:rtl/>
        </w:rPr>
        <w:t xml:space="preserve"> </w:t>
      </w:r>
      <w:r w:rsidRPr="00810409">
        <w:rPr>
          <w:rFonts w:hint="cs"/>
          <w:rtl/>
        </w:rPr>
        <w:t xml:space="preserve">ראו, למשל, בגילוי דעת 1/06 מאת הממונה על הגבלים עסקיים בעניין יחסי נשייה בין מתחרים כהסדר כובל (23.2.06) </w:t>
      </w:r>
      <w:r w:rsidRPr="00810409">
        <w:rPr>
          <w:rFonts w:hint="cs"/>
          <w:b/>
          <w:bCs/>
          <w:rtl/>
        </w:rPr>
        <w:t>הגבלים עסקיים</w:t>
      </w:r>
      <w:r w:rsidRPr="00810409">
        <w:rPr>
          <w:rFonts w:hint="cs"/>
          <w:rtl/>
        </w:rPr>
        <w:t xml:space="preserve"> 5000202.</w:t>
      </w:r>
    </w:p>
  </w:footnote>
  <w:footnote w:id="9">
    <w:p w14:paraId="3C8E70E7" w14:textId="77777777" w:rsidR="005849AD" w:rsidRPr="00810409" w:rsidRDefault="005849AD" w:rsidP="005849AD">
      <w:pPr>
        <w:pStyle w:val="FootnoteText"/>
        <w:rPr>
          <w:rtl/>
        </w:rPr>
      </w:pPr>
      <w:r w:rsidRPr="00810409">
        <w:rPr>
          <w:rStyle w:val="FootnoteReference"/>
        </w:rPr>
        <w:footnoteRef/>
      </w:r>
      <w:r w:rsidRPr="00810409">
        <w:rPr>
          <w:rtl/>
        </w:rPr>
        <w:t xml:space="preserve"> </w:t>
      </w:r>
      <w:r w:rsidRPr="00810409">
        <w:rPr>
          <w:rFonts w:hint="cs"/>
          <w:rtl/>
        </w:rPr>
        <w:t>לפי השינוי במדד בהשוואה למדד של שנת 1999, השנה שבה קבע שר הכלכלה בהודעה את הרף המינימלי של 150 מיליון ₪.</w:t>
      </w:r>
    </w:p>
  </w:footnote>
  <w:footnote w:id="10">
    <w:p w14:paraId="1E2CF30C" w14:textId="77777777" w:rsidR="00310D70" w:rsidRPr="00810409" w:rsidRDefault="00310D70" w:rsidP="00FC3C58">
      <w:pPr>
        <w:pStyle w:val="FootnoteText"/>
        <w:jc w:val="both"/>
        <w:rPr>
          <w:rFonts w:asciiTheme="majorBidi" w:hAnsiTheme="majorBidi"/>
        </w:rPr>
      </w:pPr>
      <w:r w:rsidRPr="00810409">
        <w:rPr>
          <w:rStyle w:val="FootnoteReference"/>
          <w:rFonts w:asciiTheme="majorBidi" w:hAnsiTheme="majorBidi"/>
        </w:rPr>
        <w:footnoteRef/>
      </w:r>
      <w:r w:rsidRPr="00810409">
        <w:rPr>
          <w:rFonts w:asciiTheme="majorBidi" w:hAnsiTheme="majorBidi"/>
          <w:rtl/>
        </w:rPr>
        <w:t xml:space="preserve"> החלטת הממונה על הגבלים עסקיים להטיל עיצום כספי לפי סעיף 50(ד)(1) לחוק ההגבלים העסקיים, התשמ"ח-1988 על תנובה אגודה שיתופית לשיווק תוצרת חקלאית בישראל בע"מ וטירת צבי 2000 שותפות מוגבלת (14.12.2014) </w:t>
      </w:r>
      <w:r w:rsidRPr="00810409">
        <w:rPr>
          <w:rFonts w:asciiTheme="majorBidi" w:hAnsiTheme="majorBidi"/>
          <w:b/>
          <w:bCs/>
          <w:rtl/>
        </w:rPr>
        <w:t xml:space="preserve">הגבלים עסקיים </w:t>
      </w:r>
      <w:r w:rsidRPr="00810409">
        <w:rPr>
          <w:rFonts w:asciiTheme="majorBidi" w:hAnsiTheme="majorBidi"/>
          <w:rtl/>
        </w:rPr>
        <w:t>500728.</w:t>
      </w:r>
    </w:p>
  </w:footnote>
  <w:footnote w:id="11">
    <w:p w14:paraId="3D74E508" w14:textId="77777777" w:rsidR="00310D70" w:rsidRPr="00810409" w:rsidRDefault="00310D70" w:rsidP="00FC3C58">
      <w:pPr>
        <w:pStyle w:val="FootnoteText"/>
        <w:jc w:val="both"/>
        <w:rPr>
          <w:rFonts w:asciiTheme="majorBidi" w:hAnsiTheme="majorBidi"/>
          <w:rtl/>
        </w:rPr>
      </w:pPr>
      <w:r w:rsidRPr="00810409">
        <w:rPr>
          <w:rStyle w:val="FootnoteReference"/>
          <w:rFonts w:asciiTheme="majorBidi" w:hAnsiTheme="majorBidi"/>
        </w:rPr>
        <w:footnoteRef/>
      </w:r>
      <w:r w:rsidRPr="00810409">
        <w:rPr>
          <w:rFonts w:asciiTheme="majorBidi" w:hAnsiTheme="majorBidi"/>
          <w:rtl/>
        </w:rPr>
        <w:t xml:space="preserve"> (24.7.2012) </w:t>
      </w:r>
      <w:r w:rsidRPr="00810409">
        <w:rPr>
          <w:rFonts w:asciiTheme="majorBidi" w:hAnsiTheme="majorBidi"/>
          <w:b/>
          <w:bCs/>
          <w:rtl/>
        </w:rPr>
        <w:t>הגבלים</w:t>
      </w:r>
      <w:r w:rsidRPr="00810409">
        <w:rPr>
          <w:rFonts w:asciiTheme="majorBidi" w:hAnsiTheme="majorBidi"/>
          <w:rtl/>
        </w:rPr>
        <w:t xml:space="preserve"> </w:t>
      </w:r>
      <w:r w:rsidRPr="00810409">
        <w:rPr>
          <w:rFonts w:asciiTheme="majorBidi" w:hAnsiTheme="majorBidi"/>
          <w:b/>
          <w:bCs/>
          <w:rtl/>
        </w:rPr>
        <w:t>עסקיים</w:t>
      </w:r>
      <w:r w:rsidRPr="00810409">
        <w:rPr>
          <w:rFonts w:asciiTheme="majorBidi" w:hAnsiTheme="majorBidi"/>
          <w:rtl/>
        </w:rPr>
        <w:t xml:space="preserve"> 5001998. </w:t>
      </w:r>
    </w:p>
  </w:footnote>
  <w:footnote w:id="12">
    <w:p w14:paraId="30DBE3D5" w14:textId="77777777" w:rsidR="00346D71" w:rsidRPr="00810409" w:rsidRDefault="00346D71" w:rsidP="00346D71">
      <w:pPr>
        <w:pStyle w:val="FootnoteText"/>
        <w:jc w:val="both"/>
        <w:rPr>
          <w:rFonts w:asciiTheme="majorBidi" w:hAnsiTheme="majorBidi"/>
          <w:rtl/>
        </w:rPr>
      </w:pPr>
      <w:r w:rsidRPr="00810409">
        <w:rPr>
          <w:rStyle w:val="FootnoteReference"/>
          <w:rFonts w:asciiTheme="majorBidi" w:hAnsiTheme="majorBidi"/>
        </w:rPr>
        <w:footnoteRef/>
      </w:r>
      <w:r w:rsidRPr="00810409">
        <w:rPr>
          <w:rFonts w:asciiTheme="majorBidi" w:hAnsiTheme="majorBidi"/>
          <w:rtl/>
        </w:rPr>
        <w:t xml:space="preserve"> גילוי דעת 2/12: שיקולי הממונה על הגבלים עסקיים בקביעת גובה עיצום כספי</w:t>
      </w:r>
      <w:r w:rsidRPr="00810409">
        <w:rPr>
          <w:rFonts w:asciiTheme="majorBidi" w:hAnsiTheme="majorBidi"/>
          <w:b/>
          <w:bCs/>
          <w:rtl/>
        </w:rPr>
        <w:t xml:space="preserve"> </w:t>
      </w:r>
      <w:r w:rsidRPr="00810409">
        <w:rPr>
          <w:rFonts w:asciiTheme="majorBidi" w:hAnsiTheme="majorBidi"/>
          <w:rtl/>
        </w:rPr>
        <w:t xml:space="preserve">(24.7.12) </w:t>
      </w:r>
      <w:r w:rsidRPr="00810409">
        <w:rPr>
          <w:rFonts w:asciiTheme="majorBidi" w:hAnsiTheme="majorBidi"/>
          <w:b/>
          <w:bCs/>
          <w:rtl/>
        </w:rPr>
        <w:t>הגבלים עסקיים</w:t>
      </w:r>
      <w:r w:rsidRPr="00810409">
        <w:rPr>
          <w:rFonts w:asciiTheme="majorBidi" w:hAnsiTheme="majorBidi"/>
          <w:rtl/>
        </w:rPr>
        <w:t xml:space="preserve"> 5001999.</w:t>
      </w:r>
    </w:p>
  </w:footnote>
  <w:footnote w:id="13">
    <w:p w14:paraId="71FAD573" w14:textId="77777777" w:rsidR="005849AD" w:rsidRPr="00810409" w:rsidRDefault="005849AD" w:rsidP="005849AD">
      <w:pPr>
        <w:pStyle w:val="FootnoteText"/>
      </w:pPr>
      <w:r w:rsidRPr="00810409">
        <w:rPr>
          <w:rStyle w:val="FootnoteReference"/>
        </w:rPr>
        <w:footnoteRef/>
      </w:r>
      <w:r w:rsidRPr="00810409">
        <w:rPr>
          <w:rtl/>
        </w:rPr>
        <w:t xml:space="preserve"> </w:t>
      </w:r>
      <w:r w:rsidRPr="00810409">
        <w:rPr>
          <w:rFonts w:ascii="Times New Roman" w:hAnsi="Times New Roman"/>
          <w:rtl/>
        </w:rPr>
        <w:t>ראו סעיף 50ה(2) לחוק וגילוי דעת 2/12, בעמ' 2</w:t>
      </w:r>
      <w:r w:rsidRPr="00810409">
        <w:rPr>
          <w:rFonts w:hint="cs"/>
          <w:rtl/>
        </w:rPr>
        <w:t>.</w:t>
      </w:r>
    </w:p>
  </w:footnote>
  <w:footnote w:id="14">
    <w:p w14:paraId="7B2E2098" w14:textId="0E16B078" w:rsidR="005849AD" w:rsidRPr="00810409" w:rsidRDefault="005849AD" w:rsidP="005849AD">
      <w:pPr>
        <w:pStyle w:val="FootnoteText"/>
        <w:jc w:val="both"/>
        <w:rPr>
          <w:rFonts w:ascii="Times New Roman" w:hAnsi="Times New Roman"/>
          <w:rtl/>
        </w:rPr>
      </w:pPr>
      <w:r w:rsidRPr="00810409">
        <w:rPr>
          <w:rStyle w:val="FootnoteReference"/>
          <w:rFonts w:ascii="Times New Roman" w:hAnsi="Times New Roman"/>
        </w:rPr>
        <w:footnoteRef/>
      </w:r>
      <w:r w:rsidRPr="00810409">
        <w:rPr>
          <w:rFonts w:ascii="Times New Roman" w:hAnsi="Times New Roman"/>
          <w:rtl/>
        </w:rPr>
        <w:t xml:space="preserve"> החלטה בעניין הודעת המיזוג בין </w:t>
      </w:r>
      <w:r w:rsidRPr="00810409">
        <w:rPr>
          <w:rFonts w:ascii="Times New Roman" w:hAnsi="Times New Roman" w:hint="cs"/>
          <w:rtl/>
        </w:rPr>
        <w:t>ברמן ומכלול, ה"ש 2 לעיל.</w:t>
      </w:r>
    </w:p>
  </w:footnote>
  <w:footnote w:id="15">
    <w:p w14:paraId="4F14AD15" w14:textId="0D4102D7" w:rsidR="005849AD" w:rsidRPr="007138F7" w:rsidRDefault="005849AD" w:rsidP="00BE6DC3">
      <w:pPr>
        <w:pStyle w:val="FootnoteText"/>
        <w:jc w:val="both"/>
        <w:rPr>
          <w:rFonts w:ascii="Times New Roman" w:hAnsi="Times New Roman"/>
        </w:rPr>
      </w:pPr>
      <w:r w:rsidRPr="00810409">
        <w:rPr>
          <w:rStyle w:val="FootnoteReference"/>
          <w:rFonts w:ascii="Times New Roman" w:hAnsi="Times New Roman"/>
        </w:rPr>
        <w:footnoteRef/>
      </w:r>
      <w:r w:rsidRPr="00810409">
        <w:rPr>
          <w:rFonts w:ascii="Times New Roman" w:hAnsi="Times New Roman"/>
          <w:rtl/>
        </w:rPr>
        <w:t xml:space="preserve"> ראו הנחיות הדיווח, עמ' 9-10 והדיון בסעיפים </w:t>
      </w:r>
      <w:r w:rsidR="00BE6DC3">
        <w:rPr>
          <w:rFonts w:ascii="Times New Roman" w:hAnsi="Times New Roman" w:hint="cs"/>
          <w:rtl/>
        </w:rPr>
        <w:t>24-25</w:t>
      </w:r>
      <w:r w:rsidRPr="00810409">
        <w:rPr>
          <w:rFonts w:ascii="Times New Roman" w:hAnsi="Times New Roman"/>
          <w:rtl/>
        </w:rPr>
        <w:t xml:space="preserve"> לעיל.</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C78A" w14:textId="77777777" w:rsidR="00310D70" w:rsidRDefault="00310D70">
    <w:pPr>
      <w:pStyle w:val="Header"/>
      <w:jc w:val="center"/>
      <w:rPr>
        <w:rtl/>
      </w:rPr>
    </w:pPr>
  </w:p>
  <w:p w14:paraId="050AD081" w14:textId="77777777" w:rsidR="00310D70" w:rsidRDefault="00310D70">
    <w:pPr>
      <w:pStyle w:val="Header"/>
      <w:jc w:val="center"/>
      <w:rPr>
        <w:rtl/>
      </w:rPr>
    </w:pPr>
    <w:r>
      <w:rPr>
        <w:noProof/>
      </w:rPr>
      <w:drawing>
        <wp:inline distT="0" distB="0" distL="0" distR="0" wp14:anchorId="05B95597" wp14:editId="321524C6">
          <wp:extent cx="485775" cy="767893"/>
          <wp:effectExtent l="0" t="0" r="0" b="0"/>
          <wp:docPr id="2" name="תמונה 2" descr="cid:image003.png@01CE8612.6B34F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cid:image003.png@01CE8612.6B34F8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86932" cy="769721"/>
                  </a:xfrm>
                  <a:prstGeom prst="rect">
                    <a:avLst/>
                  </a:prstGeom>
                  <a:noFill/>
                  <a:ln>
                    <a:noFill/>
                  </a:ln>
                </pic:spPr>
              </pic:pic>
            </a:graphicData>
          </a:graphic>
        </wp:inline>
      </w:drawing>
    </w:r>
  </w:p>
  <w:p w14:paraId="0AED9066" w14:textId="77777777" w:rsidR="00310D70" w:rsidRDefault="00310D70">
    <w:pPr>
      <w:pStyle w:val="Header"/>
      <w:jc w:val="center"/>
      <w:rPr>
        <w:rtl/>
      </w:rPr>
    </w:pPr>
  </w:p>
  <w:p w14:paraId="56C960FC" w14:textId="77777777" w:rsidR="00310D70" w:rsidRDefault="00310D70" w:rsidP="00AC2263">
    <w:pPr>
      <w:pStyle w:val="Header"/>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45FF"/>
    <w:multiLevelType w:val="hybridMultilevel"/>
    <w:tmpl w:val="19A4181A"/>
    <w:lvl w:ilvl="0" w:tplc="AED0D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9388B"/>
    <w:multiLevelType w:val="hybridMultilevel"/>
    <w:tmpl w:val="0CF45C98"/>
    <w:lvl w:ilvl="0" w:tplc="C1D0FB76">
      <w:start w:val="1"/>
      <w:numFmt w:val="hebrew1"/>
      <w:lvlText w:val="%1."/>
      <w:lvlJc w:val="left"/>
      <w:pPr>
        <w:ind w:left="720" w:hanging="360"/>
      </w:pPr>
      <w:rPr>
        <w:rFonts w:hint="default"/>
        <w:b/>
        <w:bCs/>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D21951"/>
    <w:multiLevelType w:val="hybridMultilevel"/>
    <w:tmpl w:val="45BEE6EA"/>
    <w:lvl w:ilvl="0" w:tplc="7F5C6B3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86707"/>
    <w:multiLevelType w:val="hybridMultilevel"/>
    <w:tmpl w:val="73F4B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E07B42"/>
    <w:multiLevelType w:val="hybridMultilevel"/>
    <w:tmpl w:val="BF16674E"/>
    <w:lvl w:ilvl="0" w:tplc="6D281138">
      <w:start w:val="1"/>
      <w:numFmt w:val="decimal"/>
      <w:lvlText w:val="%1."/>
      <w:lvlJc w:val="left"/>
      <w:pPr>
        <w:ind w:left="360" w:hanging="360"/>
      </w:pPr>
      <w:rPr>
        <w:rFonts w:hint="default"/>
        <w:lang w:val="en-US"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886774"/>
    <w:multiLevelType w:val="hybridMultilevel"/>
    <w:tmpl w:val="26F28CE0"/>
    <w:lvl w:ilvl="0" w:tplc="6A3AC19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E62A0"/>
    <w:multiLevelType w:val="hybridMultilevel"/>
    <w:tmpl w:val="BBA2C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AE789D"/>
    <w:multiLevelType w:val="multilevel"/>
    <w:tmpl w:val="0AA6F0B2"/>
    <w:lvl w:ilvl="0">
      <w:start w:val="1"/>
      <w:numFmt w:val="decimal"/>
      <w:pStyle w:val="1"/>
      <w:lvlText w:val="%1."/>
      <w:lvlJc w:val="center"/>
      <w:pPr>
        <w:tabs>
          <w:tab w:val="num" w:pos="567"/>
        </w:tabs>
        <w:ind w:left="567" w:hanging="567"/>
      </w:pPr>
      <w:rPr>
        <w:rFonts w:hint="default"/>
        <w:u w:val="none"/>
        <w:lang w:val="en-US"/>
      </w:rPr>
    </w:lvl>
    <w:lvl w:ilvl="1">
      <w:start w:val="1"/>
      <w:numFmt w:val="hebrew1"/>
      <w:pStyle w:val="2"/>
      <w:lvlText w:val="%2."/>
      <w:lvlJc w:val="center"/>
      <w:pPr>
        <w:tabs>
          <w:tab w:val="num" w:pos="1134"/>
        </w:tabs>
        <w:ind w:left="1134" w:hanging="510"/>
      </w:pPr>
      <w:rPr>
        <w:rFonts w:hint="default"/>
        <w:u w:val="none"/>
      </w:rPr>
    </w:lvl>
    <w:lvl w:ilvl="2">
      <w:start w:val="1"/>
      <w:numFmt w:val="decimal"/>
      <w:lvlText w:val="%3)"/>
      <w:lvlJc w:val="center"/>
      <w:pPr>
        <w:tabs>
          <w:tab w:val="num" w:pos="1701"/>
        </w:tabs>
        <w:ind w:left="1701" w:hanging="567"/>
      </w:pPr>
      <w:rPr>
        <w:rFonts w:hint="default"/>
        <w:u w:val="none"/>
      </w:rPr>
    </w:lvl>
    <w:lvl w:ilvl="3">
      <w:start w:val="1"/>
      <w:numFmt w:val="upperRoman"/>
      <w:lvlText w:val="(%4)"/>
      <w:lvlJc w:val="center"/>
      <w:pPr>
        <w:tabs>
          <w:tab w:val="num" w:pos="2551"/>
        </w:tabs>
        <w:ind w:left="2551" w:hanging="510"/>
      </w:pPr>
      <w:rPr>
        <w:rFonts w:hint="default"/>
        <w:u w:val="none"/>
      </w:rPr>
    </w:lvl>
    <w:lvl w:ilvl="4">
      <w:start w:val="1"/>
      <w:numFmt w:val="upperLetter"/>
      <w:lvlText w:val="%5"/>
      <w:lvlJc w:val="center"/>
      <w:pPr>
        <w:tabs>
          <w:tab w:val="num" w:pos="3118"/>
        </w:tabs>
        <w:ind w:left="3118" w:hanging="567"/>
      </w:pPr>
      <w:rPr>
        <w:rFonts w:hint="default"/>
        <w:u w:val="none"/>
      </w:rPr>
    </w:lvl>
    <w:lvl w:ilvl="5">
      <w:start w:val="1"/>
      <w:numFmt w:val="lowerLetter"/>
      <w:lvlText w:val="%6"/>
      <w:lvlJc w:val="center"/>
      <w:pPr>
        <w:tabs>
          <w:tab w:val="num" w:pos="3685"/>
        </w:tabs>
        <w:ind w:left="3685" w:hanging="567"/>
      </w:pPr>
      <w:rPr>
        <w:rFonts w:hint="default"/>
        <w:u w:val="none"/>
      </w:rPr>
    </w:lvl>
    <w:lvl w:ilvl="6">
      <w:start w:val="1"/>
      <w:numFmt w:val="chosung"/>
      <w:lvlText w:val=""/>
      <w:lvlJc w:val="left"/>
      <w:pPr>
        <w:tabs>
          <w:tab w:val="num" w:pos="4252"/>
        </w:tabs>
        <w:ind w:left="4252" w:hanging="567"/>
      </w:pPr>
      <w:rPr>
        <w:rFonts w:ascii="Symbol" w:hAnsi="Symbol" w:cs="Times New Roman" w:hint="default"/>
        <w:u w:val="none"/>
      </w:rPr>
    </w:lvl>
    <w:lvl w:ilvl="7">
      <w:start w:val="1"/>
      <w:numFmt w:val="cardinalText"/>
      <w:lvlText w:val="(%8)"/>
      <w:lvlJc w:val="center"/>
      <w:pPr>
        <w:tabs>
          <w:tab w:val="num" w:pos="4819"/>
        </w:tabs>
        <w:ind w:left="4819" w:hanging="510"/>
      </w:pPr>
      <w:rPr>
        <w:rFonts w:hint="default"/>
        <w:u w:val="none"/>
      </w:rPr>
    </w:lvl>
    <w:lvl w:ilvl="8">
      <w:start w:val="1"/>
      <w:numFmt w:val="lowerLetter"/>
      <w:lvlText w:val="(%9)"/>
      <w:lvlJc w:val="center"/>
      <w:pPr>
        <w:tabs>
          <w:tab w:val="num" w:pos="5386"/>
        </w:tabs>
        <w:ind w:left="5386" w:hanging="510"/>
      </w:pPr>
      <w:rPr>
        <w:rFonts w:hint="default"/>
        <w:u w:val="none"/>
      </w:rPr>
    </w:lvl>
  </w:abstractNum>
  <w:abstractNum w:abstractNumId="8" w15:restartNumberingAfterBreak="0">
    <w:nsid w:val="34317F8F"/>
    <w:multiLevelType w:val="hybridMultilevel"/>
    <w:tmpl w:val="75B2A284"/>
    <w:lvl w:ilvl="0" w:tplc="AD0ADC3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E5512F"/>
    <w:multiLevelType w:val="hybridMultilevel"/>
    <w:tmpl w:val="A428325A"/>
    <w:lvl w:ilvl="0" w:tplc="05A8792E">
      <w:start w:val="1"/>
      <w:numFmt w:val="decimal"/>
      <w:lvlText w:val="%1."/>
      <w:lvlJc w:val="left"/>
      <w:pPr>
        <w:tabs>
          <w:tab w:val="num" w:pos="720"/>
        </w:tabs>
        <w:ind w:left="720" w:hanging="360"/>
      </w:pPr>
      <w:rPr>
        <w:rFonts w:cs="David" w:hint="default"/>
        <w:b w:val="0"/>
        <w:bCs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F5048F"/>
    <w:multiLevelType w:val="hybridMultilevel"/>
    <w:tmpl w:val="34924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7655F9"/>
    <w:multiLevelType w:val="hybridMultilevel"/>
    <w:tmpl w:val="E53AA3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01A5F82"/>
    <w:multiLevelType w:val="hybridMultilevel"/>
    <w:tmpl w:val="C54C70DE"/>
    <w:lvl w:ilvl="0" w:tplc="86CCB8A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A51D7E"/>
    <w:multiLevelType w:val="hybridMultilevel"/>
    <w:tmpl w:val="D1C8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6C2D7A"/>
    <w:multiLevelType w:val="hybridMultilevel"/>
    <w:tmpl w:val="CB7CE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504B44"/>
    <w:multiLevelType w:val="hybridMultilevel"/>
    <w:tmpl w:val="75C44B96"/>
    <w:lvl w:ilvl="0" w:tplc="29B0D2B6">
      <w:start w:val="1"/>
      <w:numFmt w:val="decimal"/>
      <w:lvlText w:val="%1."/>
      <w:lvlJc w:val="left"/>
      <w:pPr>
        <w:ind w:left="397" w:hanging="397"/>
      </w:pPr>
      <w:rPr>
        <w:rFonts w:cs="David" w:hint="cs"/>
        <w:b w:val="0"/>
        <w:bCs w:val="0"/>
        <w:sz w:val="22"/>
        <w:szCs w:val="24"/>
        <w:lang w:val="en-US" w:bidi="he-IL"/>
      </w:rPr>
    </w:lvl>
    <w:lvl w:ilvl="1" w:tplc="0652EEE2">
      <w:start w:val="1"/>
      <w:numFmt w:val="hebrew1"/>
      <w:lvlText w:val="%2."/>
      <w:lvlJc w:val="left"/>
      <w:pPr>
        <w:ind w:left="1080" w:hanging="360"/>
      </w:pPr>
      <w:rPr>
        <w:rFonts w:hint="default"/>
        <w:b w:val="0"/>
        <w:bCs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A030AC"/>
    <w:multiLevelType w:val="hybridMultilevel"/>
    <w:tmpl w:val="1814217E"/>
    <w:lvl w:ilvl="0" w:tplc="73E46BD4">
      <w:start w:val="1"/>
      <w:numFmt w:val="decimal"/>
      <w:lvlText w:val="%1."/>
      <w:lvlJc w:val="left"/>
      <w:pPr>
        <w:ind w:left="360" w:hanging="360"/>
      </w:pPr>
      <w:rPr>
        <w:rFonts w:hint="default"/>
        <w:sz w:val="24"/>
      </w:rPr>
    </w:lvl>
    <w:lvl w:ilvl="1" w:tplc="74BA7EF6">
      <w:start w:val="1"/>
      <w:numFmt w:val="hebrew1"/>
      <w:lvlText w:val="%2."/>
      <w:lvlJc w:val="left"/>
      <w:pPr>
        <w:ind w:left="1080" w:hanging="360"/>
      </w:pPr>
      <w:rPr>
        <w:rFonts w:hint="default"/>
        <w:sz w:val="24"/>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9BF7771"/>
    <w:multiLevelType w:val="hybridMultilevel"/>
    <w:tmpl w:val="29D2B620"/>
    <w:lvl w:ilvl="0" w:tplc="74BA7EF6">
      <w:start w:val="1"/>
      <w:numFmt w:val="hebrew1"/>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6F692D"/>
    <w:multiLevelType w:val="hybridMultilevel"/>
    <w:tmpl w:val="99BC5ABC"/>
    <w:lvl w:ilvl="0" w:tplc="D198331E">
      <w:start w:val="1"/>
      <w:numFmt w:val="decimal"/>
      <w:lvlText w:val="%1."/>
      <w:lvlJc w:val="left"/>
      <w:pPr>
        <w:ind w:left="720" w:hanging="360"/>
      </w:pPr>
      <w:rPr>
        <w:rFonts w:hint="default"/>
        <w:lang w:bidi="he-I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E4337B"/>
    <w:multiLevelType w:val="hybridMultilevel"/>
    <w:tmpl w:val="63760DCA"/>
    <w:lvl w:ilvl="0" w:tplc="65BAEF3E">
      <w:start w:val="9"/>
      <w:numFmt w:val="decimal"/>
      <w:lvlText w:val="(%1)"/>
      <w:lvlJc w:val="left"/>
      <w:pPr>
        <w:ind w:left="1470" w:hanging="39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00E11"/>
    <w:multiLevelType w:val="hybridMultilevel"/>
    <w:tmpl w:val="978A1238"/>
    <w:lvl w:ilvl="0" w:tplc="35681DEE">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9D92EFB"/>
    <w:multiLevelType w:val="hybridMultilevel"/>
    <w:tmpl w:val="402C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FE6720"/>
    <w:multiLevelType w:val="hybridMultilevel"/>
    <w:tmpl w:val="E398F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B14B53"/>
    <w:multiLevelType w:val="hybridMultilevel"/>
    <w:tmpl w:val="09FEA2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727FD1"/>
    <w:multiLevelType w:val="hybridMultilevel"/>
    <w:tmpl w:val="82A6C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20C14"/>
    <w:multiLevelType w:val="hybridMultilevel"/>
    <w:tmpl w:val="777ADE2E"/>
    <w:lvl w:ilvl="0" w:tplc="4ACA9B9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933A2"/>
    <w:multiLevelType w:val="hybridMultilevel"/>
    <w:tmpl w:val="96D01140"/>
    <w:lvl w:ilvl="0" w:tplc="6D281138">
      <w:start w:val="1"/>
      <w:numFmt w:val="decimal"/>
      <w:lvlText w:val="%1."/>
      <w:lvlJc w:val="left"/>
      <w:pPr>
        <w:ind w:left="360" w:hanging="360"/>
      </w:pPr>
      <w:rPr>
        <w:rFonts w:hint="default"/>
        <w:lang w:val="en-US" w:bidi="he-IL"/>
      </w:rPr>
    </w:lvl>
    <w:lvl w:ilvl="1" w:tplc="04090013">
      <w:start w:val="1"/>
      <w:numFmt w:val="hebrew1"/>
      <w:lvlText w:val="%2."/>
      <w:lvlJc w:val="center"/>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1775E0"/>
    <w:multiLevelType w:val="hybridMultilevel"/>
    <w:tmpl w:val="B7689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AF14EE"/>
    <w:multiLevelType w:val="multilevel"/>
    <w:tmpl w:val="04090021"/>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29" w15:restartNumberingAfterBreak="0">
    <w:nsid w:val="6EC83F51"/>
    <w:multiLevelType w:val="hybridMultilevel"/>
    <w:tmpl w:val="D1D2E898"/>
    <w:lvl w:ilvl="0" w:tplc="828A71F8">
      <w:start w:val="1"/>
      <w:numFmt w:val="decimal"/>
      <w:lvlText w:val="%1."/>
      <w:lvlJc w:val="left"/>
      <w:pPr>
        <w:ind w:left="1890" w:hanging="360"/>
      </w:pPr>
      <w:rPr>
        <w:rFonts w:hint="default"/>
        <w:sz w:val="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0" w15:restartNumberingAfterBreak="0">
    <w:nsid w:val="6F2770D0"/>
    <w:multiLevelType w:val="hybridMultilevel"/>
    <w:tmpl w:val="60D2DF12"/>
    <w:lvl w:ilvl="0" w:tplc="B56A26A2">
      <w:start w:val="1"/>
      <w:numFmt w:val="decimal"/>
      <w:lvlText w:val="%1."/>
      <w:lvlJc w:val="left"/>
      <w:pPr>
        <w:ind w:left="720" w:hanging="360"/>
      </w:pPr>
      <w:rPr>
        <w:rFonts w:hint="default"/>
        <w:i w:val="0"/>
        <w:iCs w:val="0"/>
      </w:rPr>
    </w:lvl>
    <w:lvl w:ilvl="1" w:tplc="9BC2EDDE">
      <w:start w:val="1"/>
      <w:numFmt w:val="decimal"/>
      <w:lvlText w:val="(%2)"/>
      <w:lvlJc w:val="left"/>
      <w:pPr>
        <w:ind w:left="1470" w:hanging="390"/>
      </w:pPr>
      <w:rPr>
        <w:rFonts w:hint="default"/>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664D76"/>
    <w:multiLevelType w:val="hybridMultilevel"/>
    <w:tmpl w:val="BF2EB9F2"/>
    <w:lvl w:ilvl="0" w:tplc="AD0ADC34">
      <w:start w:val="1"/>
      <w:numFmt w:val="decimal"/>
      <w:lvlText w:val="%1."/>
      <w:lvlJc w:val="left"/>
      <w:pPr>
        <w:ind w:left="1344" w:hanging="360"/>
      </w:pPr>
      <w:rPr>
        <w:rFonts w:hint="default"/>
        <w:sz w:val="24"/>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2" w15:restartNumberingAfterBreak="0">
    <w:nsid w:val="72BA0C8D"/>
    <w:multiLevelType w:val="hybridMultilevel"/>
    <w:tmpl w:val="CF2C7B50"/>
    <w:lvl w:ilvl="0" w:tplc="27F2D9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07ABC"/>
    <w:multiLevelType w:val="hybridMultilevel"/>
    <w:tmpl w:val="1EAE7024"/>
    <w:lvl w:ilvl="0" w:tplc="0D8E58A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E60DA"/>
    <w:multiLevelType w:val="hybridMultilevel"/>
    <w:tmpl w:val="CF9AE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3502A6"/>
    <w:multiLevelType w:val="hybridMultilevel"/>
    <w:tmpl w:val="027A3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92242D"/>
    <w:multiLevelType w:val="hybridMultilevel"/>
    <w:tmpl w:val="042A1770"/>
    <w:lvl w:ilvl="0" w:tplc="9CAC20B0">
      <w:start w:val="1"/>
      <w:numFmt w:val="hebrew1"/>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23C98"/>
    <w:multiLevelType w:val="hybridMultilevel"/>
    <w:tmpl w:val="E0BC1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18529B"/>
    <w:multiLevelType w:val="hybridMultilevel"/>
    <w:tmpl w:val="938CDD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24"/>
  </w:num>
  <w:num w:numId="4">
    <w:abstractNumId w:val="3"/>
  </w:num>
  <w:num w:numId="5">
    <w:abstractNumId w:val="20"/>
  </w:num>
  <w:num w:numId="6">
    <w:abstractNumId w:val="32"/>
  </w:num>
  <w:num w:numId="7">
    <w:abstractNumId w:val="6"/>
  </w:num>
  <w:num w:numId="8">
    <w:abstractNumId w:val="30"/>
  </w:num>
  <w:num w:numId="9">
    <w:abstractNumId w:val="21"/>
  </w:num>
  <w:num w:numId="10">
    <w:abstractNumId w:val="13"/>
  </w:num>
  <w:num w:numId="11">
    <w:abstractNumId w:val="38"/>
  </w:num>
  <w:num w:numId="12">
    <w:abstractNumId w:val="10"/>
  </w:num>
  <w:num w:numId="13">
    <w:abstractNumId w:val="37"/>
  </w:num>
  <w:num w:numId="14">
    <w:abstractNumId w:val="22"/>
  </w:num>
  <w:num w:numId="15">
    <w:abstractNumId w:val="23"/>
  </w:num>
  <w:num w:numId="16">
    <w:abstractNumId w:val="8"/>
  </w:num>
  <w:num w:numId="17">
    <w:abstractNumId w:val="31"/>
  </w:num>
  <w:num w:numId="18">
    <w:abstractNumId w:val="12"/>
  </w:num>
  <w:num w:numId="19">
    <w:abstractNumId w:val="33"/>
  </w:num>
  <w:num w:numId="20">
    <w:abstractNumId w:val="11"/>
  </w:num>
  <w:num w:numId="21">
    <w:abstractNumId w:val="34"/>
  </w:num>
  <w:num w:numId="22">
    <w:abstractNumId w:val="2"/>
  </w:num>
  <w:num w:numId="23">
    <w:abstractNumId w:val="19"/>
  </w:num>
  <w:num w:numId="24">
    <w:abstractNumId w:val="26"/>
  </w:num>
  <w:num w:numId="25">
    <w:abstractNumId w:val="4"/>
  </w:num>
  <w:num w:numId="26">
    <w:abstractNumId w:val="27"/>
  </w:num>
  <w:num w:numId="27">
    <w:abstractNumId w:val="15"/>
  </w:num>
  <w:num w:numId="28">
    <w:abstractNumId w:val="1"/>
  </w:num>
  <w:num w:numId="29">
    <w:abstractNumId w:val="29"/>
  </w:num>
  <w:num w:numId="30">
    <w:abstractNumId w:val="7"/>
  </w:num>
  <w:num w:numId="31">
    <w:abstractNumId w:val="35"/>
  </w:num>
  <w:num w:numId="32">
    <w:abstractNumId w:val="16"/>
  </w:num>
  <w:num w:numId="33">
    <w:abstractNumId w:val="9"/>
  </w:num>
  <w:num w:numId="34">
    <w:abstractNumId w:val="18"/>
  </w:num>
  <w:num w:numId="35">
    <w:abstractNumId w:val="36"/>
  </w:num>
  <w:num w:numId="36">
    <w:abstractNumId w:val="25"/>
  </w:num>
  <w:num w:numId="37">
    <w:abstractNumId w:val="0"/>
  </w:num>
  <w:num w:numId="38">
    <w:abstractNumId w:val="14"/>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Formatting/>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4E2"/>
    <w:rsid w:val="000031A6"/>
    <w:rsid w:val="000045E1"/>
    <w:rsid w:val="0000681C"/>
    <w:rsid w:val="00010798"/>
    <w:rsid w:val="000114D1"/>
    <w:rsid w:val="000137F9"/>
    <w:rsid w:val="000158B4"/>
    <w:rsid w:val="0001660A"/>
    <w:rsid w:val="0002185C"/>
    <w:rsid w:val="0002467A"/>
    <w:rsid w:val="000254CE"/>
    <w:rsid w:val="000268AF"/>
    <w:rsid w:val="00030843"/>
    <w:rsid w:val="00031DD0"/>
    <w:rsid w:val="00032184"/>
    <w:rsid w:val="00032EC0"/>
    <w:rsid w:val="000338F6"/>
    <w:rsid w:val="0003537C"/>
    <w:rsid w:val="000360C4"/>
    <w:rsid w:val="00037304"/>
    <w:rsid w:val="00042AC1"/>
    <w:rsid w:val="00042B4A"/>
    <w:rsid w:val="000442E0"/>
    <w:rsid w:val="00044A89"/>
    <w:rsid w:val="0004650C"/>
    <w:rsid w:val="000469EF"/>
    <w:rsid w:val="00047D8A"/>
    <w:rsid w:val="00052CEA"/>
    <w:rsid w:val="000530D8"/>
    <w:rsid w:val="000536DF"/>
    <w:rsid w:val="00060438"/>
    <w:rsid w:val="0006087A"/>
    <w:rsid w:val="0006395A"/>
    <w:rsid w:val="00063D8E"/>
    <w:rsid w:val="00064567"/>
    <w:rsid w:val="000654FF"/>
    <w:rsid w:val="000660E1"/>
    <w:rsid w:val="00066D56"/>
    <w:rsid w:val="0006742D"/>
    <w:rsid w:val="00070048"/>
    <w:rsid w:val="000775A4"/>
    <w:rsid w:val="000808BB"/>
    <w:rsid w:val="00081EB2"/>
    <w:rsid w:val="00082EB7"/>
    <w:rsid w:val="00084CF6"/>
    <w:rsid w:val="00085C07"/>
    <w:rsid w:val="00090423"/>
    <w:rsid w:val="000931F6"/>
    <w:rsid w:val="00093264"/>
    <w:rsid w:val="00096026"/>
    <w:rsid w:val="0009615B"/>
    <w:rsid w:val="00096FBF"/>
    <w:rsid w:val="00097864"/>
    <w:rsid w:val="0009790B"/>
    <w:rsid w:val="000A2E4B"/>
    <w:rsid w:val="000A49CC"/>
    <w:rsid w:val="000A4D70"/>
    <w:rsid w:val="000A5529"/>
    <w:rsid w:val="000B22CE"/>
    <w:rsid w:val="000B2F95"/>
    <w:rsid w:val="000B3C05"/>
    <w:rsid w:val="000B4486"/>
    <w:rsid w:val="000B51FF"/>
    <w:rsid w:val="000B557C"/>
    <w:rsid w:val="000C04B8"/>
    <w:rsid w:val="000C1245"/>
    <w:rsid w:val="000C2387"/>
    <w:rsid w:val="000C2D25"/>
    <w:rsid w:val="000C3DB9"/>
    <w:rsid w:val="000C78E4"/>
    <w:rsid w:val="000D14CA"/>
    <w:rsid w:val="000D3481"/>
    <w:rsid w:val="000D414E"/>
    <w:rsid w:val="000D5527"/>
    <w:rsid w:val="000D58EC"/>
    <w:rsid w:val="000D63FF"/>
    <w:rsid w:val="000D7311"/>
    <w:rsid w:val="000D76CE"/>
    <w:rsid w:val="000E03C4"/>
    <w:rsid w:val="000E4B2E"/>
    <w:rsid w:val="000E4C26"/>
    <w:rsid w:val="000E50C9"/>
    <w:rsid w:val="000E6512"/>
    <w:rsid w:val="000F051A"/>
    <w:rsid w:val="000F1216"/>
    <w:rsid w:val="000F288B"/>
    <w:rsid w:val="000F2960"/>
    <w:rsid w:val="000F3EEE"/>
    <w:rsid w:val="000F673C"/>
    <w:rsid w:val="00104027"/>
    <w:rsid w:val="00104872"/>
    <w:rsid w:val="001054E7"/>
    <w:rsid w:val="00105A4E"/>
    <w:rsid w:val="0010687B"/>
    <w:rsid w:val="001103DD"/>
    <w:rsid w:val="0011059C"/>
    <w:rsid w:val="00110814"/>
    <w:rsid w:val="00111708"/>
    <w:rsid w:val="00115B40"/>
    <w:rsid w:val="00115D7D"/>
    <w:rsid w:val="00116FFB"/>
    <w:rsid w:val="001174F7"/>
    <w:rsid w:val="00121963"/>
    <w:rsid w:val="00125927"/>
    <w:rsid w:val="00125C70"/>
    <w:rsid w:val="00125E47"/>
    <w:rsid w:val="001273FE"/>
    <w:rsid w:val="00131F0A"/>
    <w:rsid w:val="00132615"/>
    <w:rsid w:val="00132CA9"/>
    <w:rsid w:val="001375DD"/>
    <w:rsid w:val="00142C22"/>
    <w:rsid w:val="00144A4C"/>
    <w:rsid w:val="00147141"/>
    <w:rsid w:val="00151BCD"/>
    <w:rsid w:val="00151C05"/>
    <w:rsid w:val="001523B6"/>
    <w:rsid w:val="001539B9"/>
    <w:rsid w:val="00154682"/>
    <w:rsid w:val="00157A7D"/>
    <w:rsid w:val="00164A65"/>
    <w:rsid w:val="00165C23"/>
    <w:rsid w:val="00165C84"/>
    <w:rsid w:val="00165EB0"/>
    <w:rsid w:val="00170C3F"/>
    <w:rsid w:val="00170F69"/>
    <w:rsid w:val="00174E70"/>
    <w:rsid w:val="00176A83"/>
    <w:rsid w:val="00176BD7"/>
    <w:rsid w:val="00181D30"/>
    <w:rsid w:val="00183619"/>
    <w:rsid w:val="001858B4"/>
    <w:rsid w:val="00186614"/>
    <w:rsid w:val="001866BA"/>
    <w:rsid w:val="001900BC"/>
    <w:rsid w:val="00190141"/>
    <w:rsid w:val="001903E0"/>
    <w:rsid w:val="00190F22"/>
    <w:rsid w:val="00192219"/>
    <w:rsid w:val="00192FBD"/>
    <w:rsid w:val="00193800"/>
    <w:rsid w:val="00194CFD"/>
    <w:rsid w:val="00197841"/>
    <w:rsid w:val="00197ACD"/>
    <w:rsid w:val="00197B07"/>
    <w:rsid w:val="001A17AC"/>
    <w:rsid w:val="001A322E"/>
    <w:rsid w:val="001A3542"/>
    <w:rsid w:val="001A4B57"/>
    <w:rsid w:val="001A6263"/>
    <w:rsid w:val="001B305B"/>
    <w:rsid w:val="001B37CF"/>
    <w:rsid w:val="001B7E74"/>
    <w:rsid w:val="001C0039"/>
    <w:rsid w:val="001C5ED6"/>
    <w:rsid w:val="001D40B5"/>
    <w:rsid w:val="001D6167"/>
    <w:rsid w:val="001D79AF"/>
    <w:rsid w:val="001E3462"/>
    <w:rsid w:val="001E5752"/>
    <w:rsid w:val="001E78E8"/>
    <w:rsid w:val="001E7A78"/>
    <w:rsid w:val="001F1150"/>
    <w:rsid w:val="001F22A7"/>
    <w:rsid w:val="001F4468"/>
    <w:rsid w:val="001F4615"/>
    <w:rsid w:val="001F7EA9"/>
    <w:rsid w:val="00200DC9"/>
    <w:rsid w:val="00202815"/>
    <w:rsid w:val="002043FD"/>
    <w:rsid w:val="00204EF3"/>
    <w:rsid w:val="00210660"/>
    <w:rsid w:val="00214F73"/>
    <w:rsid w:val="00217BE9"/>
    <w:rsid w:val="00220194"/>
    <w:rsid w:val="002219B0"/>
    <w:rsid w:val="00223EB7"/>
    <w:rsid w:val="00224CDB"/>
    <w:rsid w:val="00227413"/>
    <w:rsid w:val="00227BEC"/>
    <w:rsid w:val="00232B9F"/>
    <w:rsid w:val="0023561F"/>
    <w:rsid w:val="00235713"/>
    <w:rsid w:val="002363F5"/>
    <w:rsid w:val="00237743"/>
    <w:rsid w:val="00237B3B"/>
    <w:rsid w:val="00240E3A"/>
    <w:rsid w:val="00241AA4"/>
    <w:rsid w:val="00241CF3"/>
    <w:rsid w:val="002421EF"/>
    <w:rsid w:val="00242EE1"/>
    <w:rsid w:val="002433CE"/>
    <w:rsid w:val="00246107"/>
    <w:rsid w:val="0024642E"/>
    <w:rsid w:val="002502E5"/>
    <w:rsid w:val="002511CD"/>
    <w:rsid w:val="0025270F"/>
    <w:rsid w:val="00253217"/>
    <w:rsid w:val="00253B3F"/>
    <w:rsid w:val="00253E85"/>
    <w:rsid w:val="00254E6E"/>
    <w:rsid w:val="002561BE"/>
    <w:rsid w:val="0025749A"/>
    <w:rsid w:val="002578BB"/>
    <w:rsid w:val="0026016E"/>
    <w:rsid w:val="00261EFC"/>
    <w:rsid w:val="00262FEE"/>
    <w:rsid w:val="0026556C"/>
    <w:rsid w:val="00265FC3"/>
    <w:rsid w:val="002669AE"/>
    <w:rsid w:val="0026791C"/>
    <w:rsid w:val="002702CE"/>
    <w:rsid w:val="002706CF"/>
    <w:rsid w:val="00272B73"/>
    <w:rsid w:val="0027441C"/>
    <w:rsid w:val="0027588A"/>
    <w:rsid w:val="00275BD1"/>
    <w:rsid w:val="002768C9"/>
    <w:rsid w:val="002775AF"/>
    <w:rsid w:val="0027778A"/>
    <w:rsid w:val="0028064F"/>
    <w:rsid w:val="00281802"/>
    <w:rsid w:val="00281A69"/>
    <w:rsid w:val="00282541"/>
    <w:rsid w:val="00282940"/>
    <w:rsid w:val="00283B17"/>
    <w:rsid w:val="002846B0"/>
    <w:rsid w:val="002857A5"/>
    <w:rsid w:val="00287F54"/>
    <w:rsid w:val="0029016F"/>
    <w:rsid w:val="00291710"/>
    <w:rsid w:val="00291836"/>
    <w:rsid w:val="00291BE3"/>
    <w:rsid w:val="0029213A"/>
    <w:rsid w:val="0029220E"/>
    <w:rsid w:val="0029221D"/>
    <w:rsid w:val="00293017"/>
    <w:rsid w:val="002937DC"/>
    <w:rsid w:val="002953D6"/>
    <w:rsid w:val="0029573A"/>
    <w:rsid w:val="00295B37"/>
    <w:rsid w:val="002962E2"/>
    <w:rsid w:val="00297802"/>
    <w:rsid w:val="002A2A2F"/>
    <w:rsid w:val="002A3BEA"/>
    <w:rsid w:val="002A497C"/>
    <w:rsid w:val="002B022B"/>
    <w:rsid w:val="002B1C62"/>
    <w:rsid w:val="002B366C"/>
    <w:rsid w:val="002B3D43"/>
    <w:rsid w:val="002B4F41"/>
    <w:rsid w:val="002B765D"/>
    <w:rsid w:val="002C051A"/>
    <w:rsid w:val="002C175B"/>
    <w:rsid w:val="002C1DAA"/>
    <w:rsid w:val="002C341C"/>
    <w:rsid w:val="002C4170"/>
    <w:rsid w:val="002C6BC8"/>
    <w:rsid w:val="002D022C"/>
    <w:rsid w:val="002D32EC"/>
    <w:rsid w:val="002D4443"/>
    <w:rsid w:val="002D4826"/>
    <w:rsid w:val="002D4EC4"/>
    <w:rsid w:val="002D5FEB"/>
    <w:rsid w:val="002D7623"/>
    <w:rsid w:val="002E0BFE"/>
    <w:rsid w:val="002E1D39"/>
    <w:rsid w:val="002E1F6D"/>
    <w:rsid w:val="002E26C5"/>
    <w:rsid w:val="002E2F5C"/>
    <w:rsid w:val="002E5D66"/>
    <w:rsid w:val="002E79CB"/>
    <w:rsid w:val="002F015B"/>
    <w:rsid w:val="002F221B"/>
    <w:rsid w:val="002F34C1"/>
    <w:rsid w:val="002F64DA"/>
    <w:rsid w:val="003000BB"/>
    <w:rsid w:val="00302DDC"/>
    <w:rsid w:val="0030387C"/>
    <w:rsid w:val="0030528B"/>
    <w:rsid w:val="003055A7"/>
    <w:rsid w:val="0030692A"/>
    <w:rsid w:val="003077FE"/>
    <w:rsid w:val="00310190"/>
    <w:rsid w:val="00310D70"/>
    <w:rsid w:val="00311B2F"/>
    <w:rsid w:val="00311BBE"/>
    <w:rsid w:val="00312AF1"/>
    <w:rsid w:val="003131B5"/>
    <w:rsid w:val="00314110"/>
    <w:rsid w:val="00314C76"/>
    <w:rsid w:val="00317787"/>
    <w:rsid w:val="00317B86"/>
    <w:rsid w:val="00321929"/>
    <w:rsid w:val="00321960"/>
    <w:rsid w:val="00321C7A"/>
    <w:rsid w:val="003227F6"/>
    <w:rsid w:val="003255AB"/>
    <w:rsid w:val="00327F5E"/>
    <w:rsid w:val="00327FB0"/>
    <w:rsid w:val="0033023E"/>
    <w:rsid w:val="003304E8"/>
    <w:rsid w:val="00331855"/>
    <w:rsid w:val="00334FB8"/>
    <w:rsid w:val="00335B1D"/>
    <w:rsid w:val="00336A9D"/>
    <w:rsid w:val="00340B3D"/>
    <w:rsid w:val="0034212B"/>
    <w:rsid w:val="00342AA9"/>
    <w:rsid w:val="00344DE7"/>
    <w:rsid w:val="003469DE"/>
    <w:rsid w:val="00346A9B"/>
    <w:rsid w:val="00346D71"/>
    <w:rsid w:val="003473C5"/>
    <w:rsid w:val="00352FFA"/>
    <w:rsid w:val="00357763"/>
    <w:rsid w:val="003600A5"/>
    <w:rsid w:val="00360182"/>
    <w:rsid w:val="00361486"/>
    <w:rsid w:val="00361859"/>
    <w:rsid w:val="00361CBE"/>
    <w:rsid w:val="00363590"/>
    <w:rsid w:val="003656BE"/>
    <w:rsid w:val="00371495"/>
    <w:rsid w:val="00372674"/>
    <w:rsid w:val="00373896"/>
    <w:rsid w:val="00374DFF"/>
    <w:rsid w:val="00376B49"/>
    <w:rsid w:val="00376E24"/>
    <w:rsid w:val="00377D0E"/>
    <w:rsid w:val="00380C1F"/>
    <w:rsid w:val="003826D1"/>
    <w:rsid w:val="0038645D"/>
    <w:rsid w:val="0038649B"/>
    <w:rsid w:val="00386579"/>
    <w:rsid w:val="00386847"/>
    <w:rsid w:val="003913BC"/>
    <w:rsid w:val="00391C49"/>
    <w:rsid w:val="00394BCE"/>
    <w:rsid w:val="00395E76"/>
    <w:rsid w:val="0039621E"/>
    <w:rsid w:val="00396753"/>
    <w:rsid w:val="00396F48"/>
    <w:rsid w:val="0039773F"/>
    <w:rsid w:val="00397877"/>
    <w:rsid w:val="003A0036"/>
    <w:rsid w:val="003A2C7D"/>
    <w:rsid w:val="003A3CD6"/>
    <w:rsid w:val="003A4537"/>
    <w:rsid w:val="003A50A8"/>
    <w:rsid w:val="003A6DDA"/>
    <w:rsid w:val="003B0705"/>
    <w:rsid w:val="003B3AF6"/>
    <w:rsid w:val="003B4798"/>
    <w:rsid w:val="003C31AE"/>
    <w:rsid w:val="003C32F9"/>
    <w:rsid w:val="003C5E1F"/>
    <w:rsid w:val="003C6562"/>
    <w:rsid w:val="003C75BA"/>
    <w:rsid w:val="003C7FFB"/>
    <w:rsid w:val="003D11D4"/>
    <w:rsid w:val="003D1B4D"/>
    <w:rsid w:val="003D3CAA"/>
    <w:rsid w:val="003D696D"/>
    <w:rsid w:val="003E11BB"/>
    <w:rsid w:val="003E1F17"/>
    <w:rsid w:val="003E3C9E"/>
    <w:rsid w:val="003E4390"/>
    <w:rsid w:val="003E5405"/>
    <w:rsid w:val="003F0D10"/>
    <w:rsid w:val="003F17F5"/>
    <w:rsid w:val="003F7C32"/>
    <w:rsid w:val="0040087D"/>
    <w:rsid w:val="00405DC9"/>
    <w:rsid w:val="004073D6"/>
    <w:rsid w:val="004074F7"/>
    <w:rsid w:val="00413667"/>
    <w:rsid w:val="00413C98"/>
    <w:rsid w:val="00413E9A"/>
    <w:rsid w:val="004142A3"/>
    <w:rsid w:val="0041514B"/>
    <w:rsid w:val="00415AE2"/>
    <w:rsid w:val="00417D64"/>
    <w:rsid w:val="00420049"/>
    <w:rsid w:val="00420737"/>
    <w:rsid w:val="00420C58"/>
    <w:rsid w:val="00425FA1"/>
    <w:rsid w:val="00430433"/>
    <w:rsid w:val="00432745"/>
    <w:rsid w:val="00433340"/>
    <w:rsid w:val="00434B0D"/>
    <w:rsid w:val="00436650"/>
    <w:rsid w:val="00440E14"/>
    <w:rsid w:val="0044439C"/>
    <w:rsid w:val="0044537D"/>
    <w:rsid w:val="00445F32"/>
    <w:rsid w:val="00447A58"/>
    <w:rsid w:val="0045034F"/>
    <w:rsid w:val="00451570"/>
    <w:rsid w:val="004520FC"/>
    <w:rsid w:val="0045299B"/>
    <w:rsid w:val="004541EC"/>
    <w:rsid w:val="00454918"/>
    <w:rsid w:val="00455536"/>
    <w:rsid w:val="00456036"/>
    <w:rsid w:val="00456688"/>
    <w:rsid w:val="00456D99"/>
    <w:rsid w:val="0045759C"/>
    <w:rsid w:val="004577D7"/>
    <w:rsid w:val="0046062A"/>
    <w:rsid w:val="004607D1"/>
    <w:rsid w:val="00461639"/>
    <w:rsid w:val="00463A87"/>
    <w:rsid w:val="00463DE5"/>
    <w:rsid w:val="00466EC7"/>
    <w:rsid w:val="0047070C"/>
    <w:rsid w:val="00472E6A"/>
    <w:rsid w:val="004739A4"/>
    <w:rsid w:val="00474B4D"/>
    <w:rsid w:val="00481128"/>
    <w:rsid w:val="00482DD4"/>
    <w:rsid w:val="00483E86"/>
    <w:rsid w:val="0048588E"/>
    <w:rsid w:val="00487A15"/>
    <w:rsid w:val="004905D0"/>
    <w:rsid w:val="004906E0"/>
    <w:rsid w:val="0049220E"/>
    <w:rsid w:val="00492A41"/>
    <w:rsid w:val="004942C9"/>
    <w:rsid w:val="0049789F"/>
    <w:rsid w:val="00497C0A"/>
    <w:rsid w:val="004A2747"/>
    <w:rsid w:val="004A2A3F"/>
    <w:rsid w:val="004A2B97"/>
    <w:rsid w:val="004A3437"/>
    <w:rsid w:val="004A3B04"/>
    <w:rsid w:val="004A4B09"/>
    <w:rsid w:val="004A59A5"/>
    <w:rsid w:val="004A6983"/>
    <w:rsid w:val="004B0E72"/>
    <w:rsid w:val="004B2A86"/>
    <w:rsid w:val="004B4646"/>
    <w:rsid w:val="004B474F"/>
    <w:rsid w:val="004B52D4"/>
    <w:rsid w:val="004B7E94"/>
    <w:rsid w:val="004C071F"/>
    <w:rsid w:val="004C0CBC"/>
    <w:rsid w:val="004C21F3"/>
    <w:rsid w:val="004C23D7"/>
    <w:rsid w:val="004C2B40"/>
    <w:rsid w:val="004C46D3"/>
    <w:rsid w:val="004C4E74"/>
    <w:rsid w:val="004C6C0B"/>
    <w:rsid w:val="004C6D08"/>
    <w:rsid w:val="004D0C25"/>
    <w:rsid w:val="004D16A6"/>
    <w:rsid w:val="004D1F87"/>
    <w:rsid w:val="004D2156"/>
    <w:rsid w:val="004D4D77"/>
    <w:rsid w:val="004D6F54"/>
    <w:rsid w:val="004D7BDD"/>
    <w:rsid w:val="004E0429"/>
    <w:rsid w:val="004E053F"/>
    <w:rsid w:val="004E1669"/>
    <w:rsid w:val="004E22E8"/>
    <w:rsid w:val="004E2FD9"/>
    <w:rsid w:val="004E4D44"/>
    <w:rsid w:val="004E4E59"/>
    <w:rsid w:val="004E5012"/>
    <w:rsid w:val="004E5B15"/>
    <w:rsid w:val="004F1DF1"/>
    <w:rsid w:val="004F1FC6"/>
    <w:rsid w:val="004F2995"/>
    <w:rsid w:val="004F30E9"/>
    <w:rsid w:val="004F4020"/>
    <w:rsid w:val="004F4C81"/>
    <w:rsid w:val="004F4D15"/>
    <w:rsid w:val="004F6C1D"/>
    <w:rsid w:val="00500674"/>
    <w:rsid w:val="00500D03"/>
    <w:rsid w:val="00501405"/>
    <w:rsid w:val="00501DBD"/>
    <w:rsid w:val="005057F9"/>
    <w:rsid w:val="00510424"/>
    <w:rsid w:val="00510A70"/>
    <w:rsid w:val="00510E8C"/>
    <w:rsid w:val="00515CEE"/>
    <w:rsid w:val="0051646D"/>
    <w:rsid w:val="00516F92"/>
    <w:rsid w:val="00517376"/>
    <w:rsid w:val="00521AEB"/>
    <w:rsid w:val="00524283"/>
    <w:rsid w:val="00524738"/>
    <w:rsid w:val="005257F8"/>
    <w:rsid w:val="00527E5A"/>
    <w:rsid w:val="00534E1B"/>
    <w:rsid w:val="005354FD"/>
    <w:rsid w:val="0053626D"/>
    <w:rsid w:val="00536ECC"/>
    <w:rsid w:val="005370B3"/>
    <w:rsid w:val="0053791C"/>
    <w:rsid w:val="00537ADD"/>
    <w:rsid w:val="00541CDC"/>
    <w:rsid w:val="00542F15"/>
    <w:rsid w:val="00546DD0"/>
    <w:rsid w:val="005470FC"/>
    <w:rsid w:val="0055033C"/>
    <w:rsid w:val="00553EEB"/>
    <w:rsid w:val="0055424F"/>
    <w:rsid w:val="005573CB"/>
    <w:rsid w:val="00567680"/>
    <w:rsid w:val="00567D38"/>
    <w:rsid w:val="00570410"/>
    <w:rsid w:val="00570E67"/>
    <w:rsid w:val="00570ECE"/>
    <w:rsid w:val="005711E8"/>
    <w:rsid w:val="00571956"/>
    <w:rsid w:val="00572F3F"/>
    <w:rsid w:val="00573BA6"/>
    <w:rsid w:val="0057459A"/>
    <w:rsid w:val="00575435"/>
    <w:rsid w:val="005756EC"/>
    <w:rsid w:val="00575D9E"/>
    <w:rsid w:val="00576078"/>
    <w:rsid w:val="005822A2"/>
    <w:rsid w:val="0058281C"/>
    <w:rsid w:val="00582EC9"/>
    <w:rsid w:val="005849AD"/>
    <w:rsid w:val="005860BA"/>
    <w:rsid w:val="00590EFD"/>
    <w:rsid w:val="00591E68"/>
    <w:rsid w:val="00592709"/>
    <w:rsid w:val="00597BFA"/>
    <w:rsid w:val="005A2852"/>
    <w:rsid w:val="005A2EC4"/>
    <w:rsid w:val="005B05AD"/>
    <w:rsid w:val="005B0DB1"/>
    <w:rsid w:val="005B0F5B"/>
    <w:rsid w:val="005B1169"/>
    <w:rsid w:val="005B3929"/>
    <w:rsid w:val="005B7D06"/>
    <w:rsid w:val="005C253F"/>
    <w:rsid w:val="005C25B3"/>
    <w:rsid w:val="005C2A6F"/>
    <w:rsid w:val="005C49F9"/>
    <w:rsid w:val="005C4CE2"/>
    <w:rsid w:val="005C62F4"/>
    <w:rsid w:val="005C6300"/>
    <w:rsid w:val="005C7934"/>
    <w:rsid w:val="005D2C72"/>
    <w:rsid w:val="005D470F"/>
    <w:rsid w:val="005D51E5"/>
    <w:rsid w:val="005D54E2"/>
    <w:rsid w:val="005D59C0"/>
    <w:rsid w:val="005D6174"/>
    <w:rsid w:val="005D78C0"/>
    <w:rsid w:val="005E2A38"/>
    <w:rsid w:val="005E2C4A"/>
    <w:rsid w:val="005E2C9A"/>
    <w:rsid w:val="005E377E"/>
    <w:rsid w:val="005F0FAC"/>
    <w:rsid w:val="005F3A7A"/>
    <w:rsid w:val="005F4A6C"/>
    <w:rsid w:val="005F77D9"/>
    <w:rsid w:val="0060090E"/>
    <w:rsid w:val="00601774"/>
    <w:rsid w:val="0060496D"/>
    <w:rsid w:val="0060628F"/>
    <w:rsid w:val="00607D53"/>
    <w:rsid w:val="006123F5"/>
    <w:rsid w:val="00612897"/>
    <w:rsid w:val="00613F6E"/>
    <w:rsid w:val="0061522B"/>
    <w:rsid w:val="00615A2F"/>
    <w:rsid w:val="00616D0E"/>
    <w:rsid w:val="00617896"/>
    <w:rsid w:val="006178E0"/>
    <w:rsid w:val="00620083"/>
    <w:rsid w:val="006223E6"/>
    <w:rsid w:val="0062328F"/>
    <w:rsid w:val="00623D0B"/>
    <w:rsid w:val="00623F44"/>
    <w:rsid w:val="00624BCC"/>
    <w:rsid w:val="00625CC1"/>
    <w:rsid w:val="00626550"/>
    <w:rsid w:val="00626D9C"/>
    <w:rsid w:val="00627929"/>
    <w:rsid w:val="006315DD"/>
    <w:rsid w:val="00634381"/>
    <w:rsid w:val="00634AB2"/>
    <w:rsid w:val="006372C8"/>
    <w:rsid w:val="006376EF"/>
    <w:rsid w:val="00640E13"/>
    <w:rsid w:val="006423AE"/>
    <w:rsid w:val="00644CD4"/>
    <w:rsid w:val="00644F2C"/>
    <w:rsid w:val="00651C84"/>
    <w:rsid w:val="006526E1"/>
    <w:rsid w:val="006534B2"/>
    <w:rsid w:val="0065456D"/>
    <w:rsid w:val="00654CC7"/>
    <w:rsid w:val="00661127"/>
    <w:rsid w:val="00661514"/>
    <w:rsid w:val="00662F49"/>
    <w:rsid w:val="00664103"/>
    <w:rsid w:val="006641A5"/>
    <w:rsid w:val="006649A2"/>
    <w:rsid w:val="006675D2"/>
    <w:rsid w:val="00670B93"/>
    <w:rsid w:val="00670F88"/>
    <w:rsid w:val="0067199D"/>
    <w:rsid w:val="006723A3"/>
    <w:rsid w:val="00672DED"/>
    <w:rsid w:val="006743F1"/>
    <w:rsid w:val="00674476"/>
    <w:rsid w:val="00674A62"/>
    <w:rsid w:val="00677276"/>
    <w:rsid w:val="00677D3D"/>
    <w:rsid w:val="006808F2"/>
    <w:rsid w:val="006846E9"/>
    <w:rsid w:val="006847A8"/>
    <w:rsid w:val="00684938"/>
    <w:rsid w:val="00686364"/>
    <w:rsid w:val="006869DC"/>
    <w:rsid w:val="00686FE1"/>
    <w:rsid w:val="00687CD4"/>
    <w:rsid w:val="00691FF0"/>
    <w:rsid w:val="00693672"/>
    <w:rsid w:val="00695A9B"/>
    <w:rsid w:val="006A0111"/>
    <w:rsid w:val="006A063B"/>
    <w:rsid w:val="006A0784"/>
    <w:rsid w:val="006A44C2"/>
    <w:rsid w:val="006A5BD6"/>
    <w:rsid w:val="006A6903"/>
    <w:rsid w:val="006A69AC"/>
    <w:rsid w:val="006B1557"/>
    <w:rsid w:val="006B1C87"/>
    <w:rsid w:val="006B62B6"/>
    <w:rsid w:val="006B6455"/>
    <w:rsid w:val="006B71AD"/>
    <w:rsid w:val="006B7E10"/>
    <w:rsid w:val="006C2401"/>
    <w:rsid w:val="006C2A00"/>
    <w:rsid w:val="006C2A29"/>
    <w:rsid w:val="006D3437"/>
    <w:rsid w:val="006D3FDC"/>
    <w:rsid w:val="006E01AB"/>
    <w:rsid w:val="006E1AD9"/>
    <w:rsid w:val="006E230B"/>
    <w:rsid w:val="006E2B75"/>
    <w:rsid w:val="006E463F"/>
    <w:rsid w:val="006F1839"/>
    <w:rsid w:val="006F1960"/>
    <w:rsid w:val="006F211D"/>
    <w:rsid w:val="007011C0"/>
    <w:rsid w:val="007022B3"/>
    <w:rsid w:val="00702992"/>
    <w:rsid w:val="00705086"/>
    <w:rsid w:val="00706DF9"/>
    <w:rsid w:val="0071257E"/>
    <w:rsid w:val="00715D81"/>
    <w:rsid w:val="00721058"/>
    <w:rsid w:val="007223C5"/>
    <w:rsid w:val="00722C63"/>
    <w:rsid w:val="00722C83"/>
    <w:rsid w:val="00722D9A"/>
    <w:rsid w:val="0072315F"/>
    <w:rsid w:val="00725F87"/>
    <w:rsid w:val="0072648D"/>
    <w:rsid w:val="00726C1B"/>
    <w:rsid w:val="0072705A"/>
    <w:rsid w:val="00727689"/>
    <w:rsid w:val="00732C63"/>
    <w:rsid w:val="0073457A"/>
    <w:rsid w:val="00736C16"/>
    <w:rsid w:val="00744853"/>
    <w:rsid w:val="007463DA"/>
    <w:rsid w:val="007464CE"/>
    <w:rsid w:val="00747043"/>
    <w:rsid w:val="00747847"/>
    <w:rsid w:val="007521CB"/>
    <w:rsid w:val="007529A7"/>
    <w:rsid w:val="0075380D"/>
    <w:rsid w:val="00753DF6"/>
    <w:rsid w:val="00754585"/>
    <w:rsid w:val="00755465"/>
    <w:rsid w:val="007577E5"/>
    <w:rsid w:val="00760EEF"/>
    <w:rsid w:val="00762773"/>
    <w:rsid w:val="007632D2"/>
    <w:rsid w:val="00763E10"/>
    <w:rsid w:val="007647C7"/>
    <w:rsid w:val="00764878"/>
    <w:rsid w:val="0076546A"/>
    <w:rsid w:val="007666E5"/>
    <w:rsid w:val="00766CA7"/>
    <w:rsid w:val="007679F7"/>
    <w:rsid w:val="0077076E"/>
    <w:rsid w:val="007710D6"/>
    <w:rsid w:val="0077230F"/>
    <w:rsid w:val="00772A19"/>
    <w:rsid w:val="00772CD1"/>
    <w:rsid w:val="00773BF8"/>
    <w:rsid w:val="00775796"/>
    <w:rsid w:val="00776122"/>
    <w:rsid w:val="007761BA"/>
    <w:rsid w:val="00776288"/>
    <w:rsid w:val="00776430"/>
    <w:rsid w:val="00777879"/>
    <w:rsid w:val="0078080A"/>
    <w:rsid w:val="00780ED4"/>
    <w:rsid w:val="00781326"/>
    <w:rsid w:val="0078228D"/>
    <w:rsid w:val="00782DB3"/>
    <w:rsid w:val="007863E2"/>
    <w:rsid w:val="00786DB7"/>
    <w:rsid w:val="007909CE"/>
    <w:rsid w:val="00793142"/>
    <w:rsid w:val="00794082"/>
    <w:rsid w:val="0079637E"/>
    <w:rsid w:val="007A1FED"/>
    <w:rsid w:val="007A2A51"/>
    <w:rsid w:val="007A2FCE"/>
    <w:rsid w:val="007A43A8"/>
    <w:rsid w:val="007A4705"/>
    <w:rsid w:val="007B0323"/>
    <w:rsid w:val="007B05BC"/>
    <w:rsid w:val="007B1701"/>
    <w:rsid w:val="007B170F"/>
    <w:rsid w:val="007B600C"/>
    <w:rsid w:val="007B76CF"/>
    <w:rsid w:val="007C3491"/>
    <w:rsid w:val="007C3F1D"/>
    <w:rsid w:val="007C64DE"/>
    <w:rsid w:val="007C6CAB"/>
    <w:rsid w:val="007D079A"/>
    <w:rsid w:val="007D0D9E"/>
    <w:rsid w:val="007D14B4"/>
    <w:rsid w:val="007D1A56"/>
    <w:rsid w:val="007D3251"/>
    <w:rsid w:val="007D3535"/>
    <w:rsid w:val="007D35E8"/>
    <w:rsid w:val="007D3D78"/>
    <w:rsid w:val="007D65A9"/>
    <w:rsid w:val="007E07CF"/>
    <w:rsid w:val="007E1B27"/>
    <w:rsid w:val="007E38C6"/>
    <w:rsid w:val="007E4AAC"/>
    <w:rsid w:val="007E7216"/>
    <w:rsid w:val="007E721E"/>
    <w:rsid w:val="007F0C8C"/>
    <w:rsid w:val="007F1895"/>
    <w:rsid w:val="007F2CFA"/>
    <w:rsid w:val="007F3D48"/>
    <w:rsid w:val="007F4218"/>
    <w:rsid w:val="00800C2D"/>
    <w:rsid w:val="00804448"/>
    <w:rsid w:val="008046FB"/>
    <w:rsid w:val="00805301"/>
    <w:rsid w:val="0080616F"/>
    <w:rsid w:val="0080651B"/>
    <w:rsid w:val="00806D8D"/>
    <w:rsid w:val="00806E54"/>
    <w:rsid w:val="008100FE"/>
    <w:rsid w:val="00810409"/>
    <w:rsid w:val="00810FC1"/>
    <w:rsid w:val="00810FD5"/>
    <w:rsid w:val="008124AB"/>
    <w:rsid w:val="00812944"/>
    <w:rsid w:val="008141FA"/>
    <w:rsid w:val="008149F5"/>
    <w:rsid w:val="008217EF"/>
    <w:rsid w:val="00823C7C"/>
    <w:rsid w:val="0082527D"/>
    <w:rsid w:val="00825EAA"/>
    <w:rsid w:val="00826D7C"/>
    <w:rsid w:val="008275AF"/>
    <w:rsid w:val="0083049B"/>
    <w:rsid w:val="00830F69"/>
    <w:rsid w:val="008317B1"/>
    <w:rsid w:val="008323C6"/>
    <w:rsid w:val="00834105"/>
    <w:rsid w:val="00834A2B"/>
    <w:rsid w:val="0084038E"/>
    <w:rsid w:val="00842B70"/>
    <w:rsid w:val="00843F0F"/>
    <w:rsid w:val="0084422E"/>
    <w:rsid w:val="00847196"/>
    <w:rsid w:val="00847AE2"/>
    <w:rsid w:val="00851D1B"/>
    <w:rsid w:val="00852168"/>
    <w:rsid w:val="00852230"/>
    <w:rsid w:val="008534E2"/>
    <w:rsid w:val="00855A31"/>
    <w:rsid w:val="00856DA4"/>
    <w:rsid w:val="008572DE"/>
    <w:rsid w:val="00861545"/>
    <w:rsid w:val="00862178"/>
    <w:rsid w:val="008621B6"/>
    <w:rsid w:val="00862B01"/>
    <w:rsid w:val="00865D73"/>
    <w:rsid w:val="00865D98"/>
    <w:rsid w:val="00872D8B"/>
    <w:rsid w:val="00874B6B"/>
    <w:rsid w:val="00876BAD"/>
    <w:rsid w:val="00877004"/>
    <w:rsid w:val="008774AD"/>
    <w:rsid w:val="00883AC5"/>
    <w:rsid w:val="00885146"/>
    <w:rsid w:val="00885800"/>
    <w:rsid w:val="00885872"/>
    <w:rsid w:val="00890D4A"/>
    <w:rsid w:val="0089129D"/>
    <w:rsid w:val="00892137"/>
    <w:rsid w:val="008943EE"/>
    <w:rsid w:val="00894CEB"/>
    <w:rsid w:val="0089549F"/>
    <w:rsid w:val="008956A4"/>
    <w:rsid w:val="008969D7"/>
    <w:rsid w:val="00897640"/>
    <w:rsid w:val="008A2578"/>
    <w:rsid w:val="008A2B7D"/>
    <w:rsid w:val="008A35D5"/>
    <w:rsid w:val="008A4205"/>
    <w:rsid w:val="008A470C"/>
    <w:rsid w:val="008A503D"/>
    <w:rsid w:val="008A6352"/>
    <w:rsid w:val="008A63EF"/>
    <w:rsid w:val="008A716B"/>
    <w:rsid w:val="008B1A3D"/>
    <w:rsid w:val="008B32CF"/>
    <w:rsid w:val="008B54C0"/>
    <w:rsid w:val="008B5C06"/>
    <w:rsid w:val="008B65AB"/>
    <w:rsid w:val="008B66B4"/>
    <w:rsid w:val="008B69E4"/>
    <w:rsid w:val="008B7CBC"/>
    <w:rsid w:val="008B7D79"/>
    <w:rsid w:val="008C0DF1"/>
    <w:rsid w:val="008C435E"/>
    <w:rsid w:val="008C4801"/>
    <w:rsid w:val="008C492D"/>
    <w:rsid w:val="008D0DE6"/>
    <w:rsid w:val="008D1552"/>
    <w:rsid w:val="008D155B"/>
    <w:rsid w:val="008D2DE2"/>
    <w:rsid w:val="008D3001"/>
    <w:rsid w:val="008D57AC"/>
    <w:rsid w:val="008D69EB"/>
    <w:rsid w:val="008E16B9"/>
    <w:rsid w:val="008E3512"/>
    <w:rsid w:val="008E3FB9"/>
    <w:rsid w:val="008E431B"/>
    <w:rsid w:val="008E55EF"/>
    <w:rsid w:val="008E6D95"/>
    <w:rsid w:val="008F0983"/>
    <w:rsid w:val="008F2811"/>
    <w:rsid w:val="008F2AC5"/>
    <w:rsid w:val="008F3F23"/>
    <w:rsid w:val="008F6EFA"/>
    <w:rsid w:val="0090187A"/>
    <w:rsid w:val="00901AC3"/>
    <w:rsid w:val="00901DC6"/>
    <w:rsid w:val="00902430"/>
    <w:rsid w:val="00904306"/>
    <w:rsid w:val="009046A6"/>
    <w:rsid w:val="0090473B"/>
    <w:rsid w:val="00905985"/>
    <w:rsid w:val="009059B6"/>
    <w:rsid w:val="009127EF"/>
    <w:rsid w:val="0091428D"/>
    <w:rsid w:val="00914392"/>
    <w:rsid w:val="00914C04"/>
    <w:rsid w:val="00915152"/>
    <w:rsid w:val="00915F35"/>
    <w:rsid w:val="009165D0"/>
    <w:rsid w:val="00917CBA"/>
    <w:rsid w:val="00921628"/>
    <w:rsid w:val="00922827"/>
    <w:rsid w:val="00924124"/>
    <w:rsid w:val="0092427C"/>
    <w:rsid w:val="009311D4"/>
    <w:rsid w:val="00932C76"/>
    <w:rsid w:val="0093300A"/>
    <w:rsid w:val="009331B7"/>
    <w:rsid w:val="00933B3A"/>
    <w:rsid w:val="0093639D"/>
    <w:rsid w:val="00936B6A"/>
    <w:rsid w:val="00937893"/>
    <w:rsid w:val="00940C0A"/>
    <w:rsid w:val="0094132F"/>
    <w:rsid w:val="00941CB2"/>
    <w:rsid w:val="009441C5"/>
    <w:rsid w:val="00944F94"/>
    <w:rsid w:val="00946C48"/>
    <w:rsid w:val="009509B2"/>
    <w:rsid w:val="00950F8C"/>
    <w:rsid w:val="0095181F"/>
    <w:rsid w:val="00951EB5"/>
    <w:rsid w:val="0095246A"/>
    <w:rsid w:val="00953063"/>
    <w:rsid w:val="00953E34"/>
    <w:rsid w:val="00954FFE"/>
    <w:rsid w:val="00957EF0"/>
    <w:rsid w:val="009600C0"/>
    <w:rsid w:val="00965628"/>
    <w:rsid w:val="00965D5A"/>
    <w:rsid w:val="009742DE"/>
    <w:rsid w:val="00974BEB"/>
    <w:rsid w:val="00975DDC"/>
    <w:rsid w:val="00976313"/>
    <w:rsid w:val="009773D3"/>
    <w:rsid w:val="00977958"/>
    <w:rsid w:val="00990863"/>
    <w:rsid w:val="0099151F"/>
    <w:rsid w:val="00991713"/>
    <w:rsid w:val="0099371E"/>
    <w:rsid w:val="00993FCC"/>
    <w:rsid w:val="009941DF"/>
    <w:rsid w:val="0099429B"/>
    <w:rsid w:val="009943F1"/>
    <w:rsid w:val="00995FD3"/>
    <w:rsid w:val="00996A01"/>
    <w:rsid w:val="00997F6C"/>
    <w:rsid w:val="009A2120"/>
    <w:rsid w:val="009A22EF"/>
    <w:rsid w:val="009A484A"/>
    <w:rsid w:val="009A4ED7"/>
    <w:rsid w:val="009A5C6C"/>
    <w:rsid w:val="009B0C37"/>
    <w:rsid w:val="009B1054"/>
    <w:rsid w:val="009B2203"/>
    <w:rsid w:val="009B2A5E"/>
    <w:rsid w:val="009B3886"/>
    <w:rsid w:val="009B4737"/>
    <w:rsid w:val="009B5AEA"/>
    <w:rsid w:val="009C28B0"/>
    <w:rsid w:val="009C639F"/>
    <w:rsid w:val="009C6CF6"/>
    <w:rsid w:val="009C7FE8"/>
    <w:rsid w:val="009D05A5"/>
    <w:rsid w:val="009D0E81"/>
    <w:rsid w:val="009D52C7"/>
    <w:rsid w:val="009D6E4B"/>
    <w:rsid w:val="009E2999"/>
    <w:rsid w:val="009E5D9F"/>
    <w:rsid w:val="009E672D"/>
    <w:rsid w:val="009E7497"/>
    <w:rsid w:val="009E7C91"/>
    <w:rsid w:val="009F21C9"/>
    <w:rsid w:val="009F2C35"/>
    <w:rsid w:val="009F3703"/>
    <w:rsid w:val="009F3B31"/>
    <w:rsid w:val="009F3D84"/>
    <w:rsid w:val="009F6DD8"/>
    <w:rsid w:val="00A01BC1"/>
    <w:rsid w:val="00A031C3"/>
    <w:rsid w:val="00A1032C"/>
    <w:rsid w:val="00A12333"/>
    <w:rsid w:val="00A125A4"/>
    <w:rsid w:val="00A21066"/>
    <w:rsid w:val="00A21A7D"/>
    <w:rsid w:val="00A23984"/>
    <w:rsid w:val="00A23D4A"/>
    <w:rsid w:val="00A25120"/>
    <w:rsid w:val="00A26D27"/>
    <w:rsid w:val="00A2796B"/>
    <w:rsid w:val="00A27A66"/>
    <w:rsid w:val="00A31014"/>
    <w:rsid w:val="00A31FDC"/>
    <w:rsid w:val="00A342A6"/>
    <w:rsid w:val="00A4025B"/>
    <w:rsid w:val="00A42CA2"/>
    <w:rsid w:val="00A51669"/>
    <w:rsid w:val="00A527CB"/>
    <w:rsid w:val="00A529C3"/>
    <w:rsid w:val="00A54D13"/>
    <w:rsid w:val="00A563B8"/>
    <w:rsid w:val="00A57E1B"/>
    <w:rsid w:val="00A626DC"/>
    <w:rsid w:val="00A643B4"/>
    <w:rsid w:val="00A64750"/>
    <w:rsid w:val="00A65389"/>
    <w:rsid w:val="00A654A6"/>
    <w:rsid w:val="00A66CAB"/>
    <w:rsid w:val="00A66DE6"/>
    <w:rsid w:val="00A7031C"/>
    <w:rsid w:val="00A70D3F"/>
    <w:rsid w:val="00A72770"/>
    <w:rsid w:val="00A72AAA"/>
    <w:rsid w:val="00A74843"/>
    <w:rsid w:val="00A75E8C"/>
    <w:rsid w:val="00A76571"/>
    <w:rsid w:val="00A779E5"/>
    <w:rsid w:val="00A77E33"/>
    <w:rsid w:val="00A807DF"/>
    <w:rsid w:val="00A80CB1"/>
    <w:rsid w:val="00A81F87"/>
    <w:rsid w:val="00A83324"/>
    <w:rsid w:val="00A85087"/>
    <w:rsid w:val="00A85FEC"/>
    <w:rsid w:val="00A86F0A"/>
    <w:rsid w:val="00A90032"/>
    <w:rsid w:val="00A90825"/>
    <w:rsid w:val="00A91B1A"/>
    <w:rsid w:val="00A9390E"/>
    <w:rsid w:val="00A95EDA"/>
    <w:rsid w:val="00A97FC9"/>
    <w:rsid w:val="00AA1E95"/>
    <w:rsid w:val="00AA24B2"/>
    <w:rsid w:val="00AA2FAC"/>
    <w:rsid w:val="00AA40C4"/>
    <w:rsid w:val="00AA5025"/>
    <w:rsid w:val="00AA5728"/>
    <w:rsid w:val="00AA765D"/>
    <w:rsid w:val="00AB05C4"/>
    <w:rsid w:val="00AB4A18"/>
    <w:rsid w:val="00AB6B01"/>
    <w:rsid w:val="00AB70CD"/>
    <w:rsid w:val="00AC025E"/>
    <w:rsid w:val="00AC0C1F"/>
    <w:rsid w:val="00AC148D"/>
    <w:rsid w:val="00AC2263"/>
    <w:rsid w:val="00AC7B7C"/>
    <w:rsid w:val="00AD0BC5"/>
    <w:rsid w:val="00AD111D"/>
    <w:rsid w:val="00AD1E85"/>
    <w:rsid w:val="00AD24B4"/>
    <w:rsid w:val="00AD4CF1"/>
    <w:rsid w:val="00AE0545"/>
    <w:rsid w:val="00AE1CCF"/>
    <w:rsid w:val="00AE45C8"/>
    <w:rsid w:val="00AE4C35"/>
    <w:rsid w:val="00AE5030"/>
    <w:rsid w:val="00AE7BA5"/>
    <w:rsid w:val="00AF12AE"/>
    <w:rsid w:val="00AF1D5D"/>
    <w:rsid w:val="00AF2CCB"/>
    <w:rsid w:val="00AF31D3"/>
    <w:rsid w:val="00AF4C88"/>
    <w:rsid w:val="00AF5741"/>
    <w:rsid w:val="00AF5D3A"/>
    <w:rsid w:val="00AF7EF4"/>
    <w:rsid w:val="00B07F3F"/>
    <w:rsid w:val="00B11447"/>
    <w:rsid w:val="00B11612"/>
    <w:rsid w:val="00B14AAC"/>
    <w:rsid w:val="00B164A6"/>
    <w:rsid w:val="00B23193"/>
    <w:rsid w:val="00B232FF"/>
    <w:rsid w:val="00B24F80"/>
    <w:rsid w:val="00B26215"/>
    <w:rsid w:val="00B26BD9"/>
    <w:rsid w:val="00B26FA0"/>
    <w:rsid w:val="00B3096C"/>
    <w:rsid w:val="00B310D6"/>
    <w:rsid w:val="00B317A2"/>
    <w:rsid w:val="00B32018"/>
    <w:rsid w:val="00B35BAE"/>
    <w:rsid w:val="00B37066"/>
    <w:rsid w:val="00B37FE1"/>
    <w:rsid w:val="00B40880"/>
    <w:rsid w:val="00B436E0"/>
    <w:rsid w:val="00B44F62"/>
    <w:rsid w:val="00B45F82"/>
    <w:rsid w:val="00B473D2"/>
    <w:rsid w:val="00B50AD5"/>
    <w:rsid w:val="00B51B60"/>
    <w:rsid w:val="00B52446"/>
    <w:rsid w:val="00B53294"/>
    <w:rsid w:val="00B55FBA"/>
    <w:rsid w:val="00B56F98"/>
    <w:rsid w:val="00B578EC"/>
    <w:rsid w:val="00B615B8"/>
    <w:rsid w:val="00B616C2"/>
    <w:rsid w:val="00B62C59"/>
    <w:rsid w:val="00B64B54"/>
    <w:rsid w:val="00B64C1F"/>
    <w:rsid w:val="00B64C2A"/>
    <w:rsid w:val="00B657D5"/>
    <w:rsid w:val="00B706B2"/>
    <w:rsid w:val="00B72AE2"/>
    <w:rsid w:val="00B77050"/>
    <w:rsid w:val="00B80919"/>
    <w:rsid w:val="00B81242"/>
    <w:rsid w:val="00B81B34"/>
    <w:rsid w:val="00B86231"/>
    <w:rsid w:val="00B90819"/>
    <w:rsid w:val="00B90AC5"/>
    <w:rsid w:val="00B92D6C"/>
    <w:rsid w:val="00B95CAE"/>
    <w:rsid w:val="00B97098"/>
    <w:rsid w:val="00B97947"/>
    <w:rsid w:val="00BA0E44"/>
    <w:rsid w:val="00BA171E"/>
    <w:rsid w:val="00BA1AE2"/>
    <w:rsid w:val="00BA5BB1"/>
    <w:rsid w:val="00BA65D6"/>
    <w:rsid w:val="00BA6EC3"/>
    <w:rsid w:val="00BA7354"/>
    <w:rsid w:val="00BA792D"/>
    <w:rsid w:val="00BB12B6"/>
    <w:rsid w:val="00BB4CD4"/>
    <w:rsid w:val="00BB631B"/>
    <w:rsid w:val="00BB68E1"/>
    <w:rsid w:val="00BB6DFE"/>
    <w:rsid w:val="00BB7569"/>
    <w:rsid w:val="00BC047A"/>
    <w:rsid w:val="00BC0AB5"/>
    <w:rsid w:val="00BC0C90"/>
    <w:rsid w:val="00BC2F2E"/>
    <w:rsid w:val="00BC5263"/>
    <w:rsid w:val="00BC6741"/>
    <w:rsid w:val="00BD0491"/>
    <w:rsid w:val="00BD1D96"/>
    <w:rsid w:val="00BD2B06"/>
    <w:rsid w:val="00BD4815"/>
    <w:rsid w:val="00BD4EAA"/>
    <w:rsid w:val="00BD591F"/>
    <w:rsid w:val="00BD5B53"/>
    <w:rsid w:val="00BD65BB"/>
    <w:rsid w:val="00BE2D61"/>
    <w:rsid w:val="00BE494B"/>
    <w:rsid w:val="00BE4CC0"/>
    <w:rsid w:val="00BE5418"/>
    <w:rsid w:val="00BE6DC3"/>
    <w:rsid w:val="00BE7E46"/>
    <w:rsid w:val="00BF051A"/>
    <w:rsid w:val="00BF1E6F"/>
    <w:rsid w:val="00BF1F15"/>
    <w:rsid w:val="00BF22FB"/>
    <w:rsid w:val="00BF2A2F"/>
    <w:rsid w:val="00BF3FDA"/>
    <w:rsid w:val="00BF4DDE"/>
    <w:rsid w:val="00BF71A1"/>
    <w:rsid w:val="00C01489"/>
    <w:rsid w:val="00C01952"/>
    <w:rsid w:val="00C01E7D"/>
    <w:rsid w:val="00C04287"/>
    <w:rsid w:val="00C04C49"/>
    <w:rsid w:val="00C05B7A"/>
    <w:rsid w:val="00C1091E"/>
    <w:rsid w:val="00C116DA"/>
    <w:rsid w:val="00C11828"/>
    <w:rsid w:val="00C147C2"/>
    <w:rsid w:val="00C16D5C"/>
    <w:rsid w:val="00C1714D"/>
    <w:rsid w:val="00C20CC3"/>
    <w:rsid w:val="00C21B8C"/>
    <w:rsid w:val="00C252B8"/>
    <w:rsid w:val="00C307C3"/>
    <w:rsid w:val="00C30D23"/>
    <w:rsid w:val="00C31431"/>
    <w:rsid w:val="00C324C6"/>
    <w:rsid w:val="00C32707"/>
    <w:rsid w:val="00C328B3"/>
    <w:rsid w:val="00C32FDA"/>
    <w:rsid w:val="00C34EEA"/>
    <w:rsid w:val="00C37617"/>
    <w:rsid w:val="00C402D0"/>
    <w:rsid w:val="00C424A9"/>
    <w:rsid w:val="00C44EE3"/>
    <w:rsid w:val="00C4590C"/>
    <w:rsid w:val="00C46761"/>
    <w:rsid w:val="00C474F9"/>
    <w:rsid w:val="00C47DF6"/>
    <w:rsid w:val="00C508AE"/>
    <w:rsid w:val="00C5114F"/>
    <w:rsid w:val="00C52091"/>
    <w:rsid w:val="00C54533"/>
    <w:rsid w:val="00C54714"/>
    <w:rsid w:val="00C5672A"/>
    <w:rsid w:val="00C56BAD"/>
    <w:rsid w:val="00C61E12"/>
    <w:rsid w:val="00C62B2A"/>
    <w:rsid w:val="00C63154"/>
    <w:rsid w:val="00C66190"/>
    <w:rsid w:val="00C669E9"/>
    <w:rsid w:val="00C7161E"/>
    <w:rsid w:val="00C769FC"/>
    <w:rsid w:val="00C77A89"/>
    <w:rsid w:val="00C82EBE"/>
    <w:rsid w:val="00C84BC2"/>
    <w:rsid w:val="00C863A9"/>
    <w:rsid w:val="00C867AD"/>
    <w:rsid w:val="00C86DF0"/>
    <w:rsid w:val="00C909F2"/>
    <w:rsid w:val="00C93682"/>
    <w:rsid w:val="00C93D52"/>
    <w:rsid w:val="00C93E5B"/>
    <w:rsid w:val="00C94045"/>
    <w:rsid w:val="00C97365"/>
    <w:rsid w:val="00CA1133"/>
    <w:rsid w:val="00CA2C2E"/>
    <w:rsid w:val="00CA35D7"/>
    <w:rsid w:val="00CA3C02"/>
    <w:rsid w:val="00CA4359"/>
    <w:rsid w:val="00CA5297"/>
    <w:rsid w:val="00CA5C18"/>
    <w:rsid w:val="00CA6E24"/>
    <w:rsid w:val="00CB389F"/>
    <w:rsid w:val="00CB56DE"/>
    <w:rsid w:val="00CC0F75"/>
    <w:rsid w:val="00CC23EF"/>
    <w:rsid w:val="00CC2D63"/>
    <w:rsid w:val="00CC6471"/>
    <w:rsid w:val="00CC7AE6"/>
    <w:rsid w:val="00CD1B0E"/>
    <w:rsid w:val="00CD2335"/>
    <w:rsid w:val="00CD3F71"/>
    <w:rsid w:val="00CD5A20"/>
    <w:rsid w:val="00CE0214"/>
    <w:rsid w:val="00CE0357"/>
    <w:rsid w:val="00CE3CBF"/>
    <w:rsid w:val="00CE3FD7"/>
    <w:rsid w:val="00CE6667"/>
    <w:rsid w:val="00CE7DB9"/>
    <w:rsid w:val="00CF007F"/>
    <w:rsid w:val="00CF1E29"/>
    <w:rsid w:val="00CF3482"/>
    <w:rsid w:val="00CF6F2A"/>
    <w:rsid w:val="00CF7F0D"/>
    <w:rsid w:val="00D01015"/>
    <w:rsid w:val="00D030ED"/>
    <w:rsid w:val="00D044D4"/>
    <w:rsid w:val="00D05598"/>
    <w:rsid w:val="00D05B7B"/>
    <w:rsid w:val="00D13004"/>
    <w:rsid w:val="00D1399A"/>
    <w:rsid w:val="00D13C84"/>
    <w:rsid w:val="00D13D3F"/>
    <w:rsid w:val="00D13EDA"/>
    <w:rsid w:val="00D15960"/>
    <w:rsid w:val="00D1696C"/>
    <w:rsid w:val="00D172AF"/>
    <w:rsid w:val="00D17DF7"/>
    <w:rsid w:val="00D17F67"/>
    <w:rsid w:val="00D20796"/>
    <w:rsid w:val="00D221A1"/>
    <w:rsid w:val="00D228E9"/>
    <w:rsid w:val="00D244B1"/>
    <w:rsid w:val="00D25E6F"/>
    <w:rsid w:val="00D263AE"/>
    <w:rsid w:val="00D2694F"/>
    <w:rsid w:val="00D27824"/>
    <w:rsid w:val="00D325BD"/>
    <w:rsid w:val="00D334E7"/>
    <w:rsid w:val="00D34657"/>
    <w:rsid w:val="00D34AAF"/>
    <w:rsid w:val="00D40653"/>
    <w:rsid w:val="00D414E3"/>
    <w:rsid w:val="00D41D21"/>
    <w:rsid w:val="00D4201B"/>
    <w:rsid w:val="00D421C1"/>
    <w:rsid w:val="00D42A82"/>
    <w:rsid w:val="00D449AD"/>
    <w:rsid w:val="00D45732"/>
    <w:rsid w:val="00D46879"/>
    <w:rsid w:val="00D4768E"/>
    <w:rsid w:val="00D47D8D"/>
    <w:rsid w:val="00D50BC9"/>
    <w:rsid w:val="00D51046"/>
    <w:rsid w:val="00D566BB"/>
    <w:rsid w:val="00D56B7E"/>
    <w:rsid w:val="00D5727F"/>
    <w:rsid w:val="00D573D9"/>
    <w:rsid w:val="00D63660"/>
    <w:rsid w:val="00D63F54"/>
    <w:rsid w:val="00D64CB2"/>
    <w:rsid w:val="00D707A9"/>
    <w:rsid w:val="00D71387"/>
    <w:rsid w:val="00D7215C"/>
    <w:rsid w:val="00D72586"/>
    <w:rsid w:val="00D72793"/>
    <w:rsid w:val="00D738AC"/>
    <w:rsid w:val="00D742EB"/>
    <w:rsid w:val="00D76D3A"/>
    <w:rsid w:val="00D76DC4"/>
    <w:rsid w:val="00D7761A"/>
    <w:rsid w:val="00D8063C"/>
    <w:rsid w:val="00D806A7"/>
    <w:rsid w:val="00D80C89"/>
    <w:rsid w:val="00D816AF"/>
    <w:rsid w:val="00D82DDA"/>
    <w:rsid w:val="00D83451"/>
    <w:rsid w:val="00D84A1E"/>
    <w:rsid w:val="00D862C6"/>
    <w:rsid w:val="00D90EB7"/>
    <w:rsid w:val="00D924E2"/>
    <w:rsid w:val="00D95BDA"/>
    <w:rsid w:val="00D96516"/>
    <w:rsid w:val="00D97020"/>
    <w:rsid w:val="00DA6982"/>
    <w:rsid w:val="00DA7A85"/>
    <w:rsid w:val="00DB08AF"/>
    <w:rsid w:val="00DB337C"/>
    <w:rsid w:val="00DB4ACC"/>
    <w:rsid w:val="00DB52D5"/>
    <w:rsid w:val="00DB56E5"/>
    <w:rsid w:val="00DB7A14"/>
    <w:rsid w:val="00DC104C"/>
    <w:rsid w:val="00DC2D33"/>
    <w:rsid w:val="00DC31A2"/>
    <w:rsid w:val="00DC328E"/>
    <w:rsid w:val="00DC3335"/>
    <w:rsid w:val="00DC3EC6"/>
    <w:rsid w:val="00DC5132"/>
    <w:rsid w:val="00DC7032"/>
    <w:rsid w:val="00DC74F9"/>
    <w:rsid w:val="00DD13B8"/>
    <w:rsid w:val="00DD1D22"/>
    <w:rsid w:val="00DD2E19"/>
    <w:rsid w:val="00DD3403"/>
    <w:rsid w:val="00DE242B"/>
    <w:rsid w:val="00DE2F6F"/>
    <w:rsid w:val="00DE45CE"/>
    <w:rsid w:val="00DE5D5F"/>
    <w:rsid w:val="00DE7309"/>
    <w:rsid w:val="00DF2A02"/>
    <w:rsid w:val="00DF34F4"/>
    <w:rsid w:val="00DF36AB"/>
    <w:rsid w:val="00DF45AC"/>
    <w:rsid w:val="00DF72EF"/>
    <w:rsid w:val="00DF7CA3"/>
    <w:rsid w:val="00E00954"/>
    <w:rsid w:val="00E00B9F"/>
    <w:rsid w:val="00E01FD5"/>
    <w:rsid w:val="00E042F2"/>
    <w:rsid w:val="00E060EB"/>
    <w:rsid w:val="00E072CE"/>
    <w:rsid w:val="00E07585"/>
    <w:rsid w:val="00E1230B"/>
    <w:rsid w:val="00E12674"/>
    <w:rsid w:val="00E127AA"/>
    <w:rsid w:val="00E12812"/>
    <w:rsid w:val="00E12F06"/>
    <w:rsid w:val="00E137EB"/>
    <w:rsid w:val="00E161E7"/>
    <w:rsid w:val="00E162EF"/>
    <w:rsid w:val="00E163EF"/>
    <w:rsid w:val="00E164B4"/>
    <w:rsid w:val="00E16D7F"/>
    <w:rsid w:val="00E20B76"/>
    <w:rsid w:val="00E212E4"/>
    <w:rsid w:val="00E21AA1"/>
    <w:rsid w:val="00E236BB"/>
    <w:rsid w:val="00E23E1A"/>
    <w:rsid w:val="00E257CB"/>
    <w:rsid w:val="00E26B01"/>
    <w:rsid w:val="00E2739B"/>
    <w:rsid w:val="00E278D8"/>
    <w:rsid w:val="00E309EF"/>
    <w:rsid w:val="00E310B3"/>
    <w:rsid w:val="00E32D11"/>
    <w:rsid w:val="00E336C6"/>
    <w:rsid w:val="00E3418F"/>
    <w:rsid w:val="00E346E5"/>
    <w:rsid w:val="00E348F6"/>
    <w:rsid w:val="00E35B91"/>
    <w:rsid w:val="00E35BF5"/>
    <w:rsid w:val="00E363D5"/>
    <w:rsid w:val="00E374A6"/>
    <w:rsid w:val="00E40C3F"/>
    <w:rsid w:val="00E4591D"/>
    <w:rsid w:val="00E4624E"/>
    <w:rsid w:val="00E4765B"/>
    <w:rsid w:val="00E5489C"/>
    <w:rsid w:val="00E55739"/>
    <w:rsid w:val="00E57094"/>
    <w:rsid w:val="00E57243"/>
    <w:rsid w:val="00E57BF3"/>
    <w:rsid w:val="00E61B50"/>
    <w:rsid w:val="00E61C50"/>
    <w:rsid w:val="00E62B81"/>
    <w:rsid w:val="00E637C3"/>
    <w:rsid w:val="00E64AA9"/>
    <w:rsid w:val="00E65C5A"/>
    <w:rsid w:val="00E66032"/>
    <w:rsid w:val="00E6649A"/>
    <w:rsid w:val="00E67C27"/>
    <w:rsid w:val="00E70EBF"/>
    <w:rsid w:val="00E7120B"/>
    <w:rsid w:val="00E712FB"/>
    <w:rsid w:val="00E71ACD"/>
    <w:rsid w:val="00E722F1"/>
    <w:rsid w:val="00E73993"/>
    <w:rsid w:val="00E73CDE"/>
    <w:rsid w:val="00E74291"/>
    <w:rsid w:val="00E8244E"/>
    <w:rsid w:val="00E84734"/>
    <w:rsid w:val="00E84F58"/>
    <w:rsid w:val="00E8586C"/>
    <w:rsid w:val="00E91BD0"/>
    <w:rsid w:val="00E9282D"/>
    <w:rsid w:val="00E92BC9"/>
    <w:rsid w:val="00E97662"/>
    <w:rsid w:val="00EA076D"/>
    <w:rsid w:val="00EA126D"/>
    <w:rsid w:val="00EA3F81"/>
    <w:rsid w:val="00EB0BD2"/>
    <w:rsid w:val="00EB1B43"/>
    <w:rsid w:val="00EB4743"/>
    <w:rsid w:val="00EB4BD9"/>
    <w:rsid w:val="00EB7299"/>
    <w:rsid w:val="00EC03C4"/>
    <w:rsid w:val="00EC142A"/>
    <w:rsid w:val="00EC15D4"/>
    <w:rsid w:val="00EC3CDE"/>
    <w:rsid w:val="00EC4540"/>
    <w:rsid w:val="00EC4A30"/>
    <w:rsid w:val="00EC5B54"/>
    <w:rsid w:val="00EC6AEC"/>
    <w:rsid w:val="00EC77E7"/>
    <w:rsid w:val="00ED0188"/>
    <w:rsid w:val="00ED2DF0"/>
    <w:rsid w:val="00ED33D7"/>
    <w:rsid w:val="00ED6621"/>
    <w:rsid w:val="00ED7AC4"/>
    <w:rsid w:val="00EE0EB0"/>
    <w:rsid w:val="00EE1DA9"/>
    <w:rsid w:val="00EE2763"/>
    <w:rsid w:val="00EE2902"/>
    <w:rsid w:val="00EE3997"/>
    <w:rsid w:val="00EE5BC2"/>
    <w:rsid w:val="00EE611A"/>
    <w:rsid w:val="00EE73C4"/>
    <w:rsid w:val="00EF0913"/>
    <w:rsid w:val="00EF6389"/>
    <w:rsid w:val="00F031AF"/>
    <w:rsid w:val="00F03879"/>
    <w:rsid w:val="00F04591"/>
    <w:rsid w:val="00F058CE"/>
    <w:rsid w:val="00F06947"/>
    <w:rsid w:val="00F06AB9"/>
    <w:rsid w:val="00F14116"/>
    <w:rsid w:val="00F154B3"/>
    <w:rsid w:val="00F15ACA"/>
    <w:rsid w:val="00F1766B"/>
    <w:rsid w:val="00F17878"/>
    <w:rsid w:val="00F21732"/>
    <w:rsid w:val="00F225F9"/>
    <w:rsid w:val="00F23034"/>
    <w:rsid w:val="00F2366A"/>
    <w:rsid w:val="00F24087"/>
    <w:rsid w:val="00F24526"/>
    <w:rsid w:val="00F264EE"/>
    <w:rsid w:val="00F26AF6"/>
    <w:rsid w:val="00F306E9"/>
    <w:rsid w:val="00F33800"/>
    <w:rsid w:val="00F34160"/>
    <w:rsid w:val="00F3624B"/>
    <w:rsid w:val="00F3637E"/>
    <w:rsid w:val="00F36D45"/>
    <w:rsid w:val="00F36D6D"/>
    <w:rsid w:val="00F379A1"/>
    <w:rsid w:val="00F450CE"/>
    <w:rsid w:val="00F463CF"/>
    <w:rsid w:val="00F46889"/>
    <w:rsid w:val="00F52D72"/>
    <w:rsid w:val="00F535F2"/>
    <w:rsid w:val="00F53B80"/>
    <w:rsid w:val="00F54E6A"/>
    <w:rsid w:val="00F57104"/>
    <w:rsid w:val="00F5763A"/>
    <w:rsid w:val="00F6012E"/>
    <w:rsid w:val="00F604E6"/>
    <w:rsid w:val="00F618A3"/>
    <w:rsid w:val="00F63412"/>
    <w:rsid w:val="00F657DB"/>
    <w:rsid w:val="00F66670"/>
    <w:rsid w:val="00F67097"/>
    <w:rsid w:val="00F75BB4"/>
    <w:rsid w:val="00F772E0"/>
    <w:rsid w:val="00F80BAF"/>
    <w:rsid w:val="00F8389E"/>
    <w:rsid w:val="00F848FB"/>
    <w:rsid w:val="00F849E7"/>
    <w:rsid w:val="00F9081B"/>
    <w:rsid w:val="00F92327"/>
    <w:rsid w:val="00F92AF2"/>
    <w:rsid w:val="00F93761"/>
    <w:rsid w:val="00F965F7"/>
    <w:rsid w:val="00F97B64"/>
    <w:rsid w:val="00FA1D8B"/>
    <w:rsid w:val="00FA2537"/>
    <w:rsid w:val="00FA673E"/>
    <w:rsid w:val="00FA785C"/>
    <w:rsid w:val="00FA7ACA"/>
    <w:rsid w:val="00FB08B5"/>
    <w:rsid w:val="00FB08F5"/>
    <w:rsid w:val="00FB228B"/>
    <w:rsid w:val="00FB253B"/>
    <w:rsid w:val="00FB45EA"/>
    <w:rsid w:val="00FB47B5"/>
    <w:rsid w:val="00FB565B"/>
    <w:rsid w:val="00FB58BB"/>
    <w:rsid w:val="00FC13D6"/>
    <w:rsid w:val="00FC3062"/>
    <w:rsid w:val="00FC318F"/>
    <w:rsid w:val="00FC3C58"/>
    <w:rsid w:val="00FC5493"/>
    <w:rsid w:val="00FC551F"/>
    <w:rsid w:val="00FD19AA"/>
    <w:rsid w:val="00FD6210"/>
    <w:rsid w:val="00FD65E2"/>
    <w:rsid w:val="00FE019E"/>
    <w:rsid w:val="00FE19AB"/>
    <w:rsid w:val="00FE1EBB"/>
    <w:rsid w:val="00FE6B75"/>
    <w:rsid w:val="00FF0109"/>
    <w:rsid w:val="00FF073A"/>
    <w:rsid w:val="00FF08C8"/>
    <w:rsid w:val="00FF25C6"/>
    <w:rsid w:val="00FF4D35"/>
    <w:rsid w:val="00FF56EA"/>
    <w:rsid w:val="00FF575A"/>
    <w:rsid w:val="00FF62C8"/>
    <w:rsid w:val="00FF6B2F"/>
    <w:rsid w:val="00FF76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2E73B49"/>
  <w15:docId w15:val="{8D357511-A587-4730-A71F-F6EEC905F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4E2"/>
    <w:pPr>
      <w:bidi/>
    </w:pPr>
    <w:rPr>
      <w:rFonts w:cs="David"/>
      <w:szCs w:val="24"/>
    </w:rPr>
  </w:style>
  <w:style w:type="paragraph" w:styleId="Heading1">
    <w:name w:val="heading 1"/>
    <w:basedOn w:val="Normal"/>
    <w:next w:val="Normal"/>
    <w:link w:val="Heading1Char"/>
    <w:uiPriority w:val="9"/>
    <w:qFormat/>
    <w:rsid w:val="004D1F8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D1F8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24E2"/>
    <w:pPr>
      <w:ind w:left="720"/>
      <w:contextualSpacing/>
    </w:pPr>
  </w:style>
  <w:style w:type="paragraph" w:styleId="FootnoteText">
    <w:name w:val="footnote text"/>
    <w:basedOn w:val="Normal"/>
    <w:link w:val="FootnoteTextChar"/>
    <w:uiPriority w:val="99"/>
    <w:unhideWhenUsed/>
    <w:rsid w:val="00D924E2"/>
    <w:pPr>
      <w:spacing w:after="0" w:line="240" w:lineRule="auto"/>
    </w:pPr>
    <w:rPr>
      <w:sz w:val="20"/>
      <w:szCs w:val="20"/>
    </w:rPr>
  </w:style>
  <w:style w:type="character" w:customStyle="1" w:styleId="FootnoteTextChar">
    <w:name w:val="Footnote Text Char"/>
    <w:basedOn w:val="DefaultParagraphFont"/>
    <w:link w:val="FootnoteText"/>
    <w:uiPriority w:val="99"/>
    <w:rsid w:val="00D924E2"/>
    <w:rPr>
      <w:rFonts w:cs="David"/>
      <w:sz w:val="20"/>
      <w:szCs w:val="20"/>
    </w:rPr>
  </w:style>
  <w:style w:type="character" w:styleId="FootnoteReference">
    <w:name w:val="footnote reference"/>
    <w:basedOn w:val="DefaultParagraphFont"/>
    <w:uiPriority w:val="99"/>
    <w:unhideWhenUsed/>
    <w:rsid w:val="00D924E2"/>
    <w:rPr>
      <w:vertAlign w:val="superscript"/>
    </w:rPr>
  </w:style>
  <w:style w:type="character" w:styleId="CommentReference">
    <w:name w:val="annotation reference"/>
    <w:basedOn w:val="DefaultParagraphFont"/>
    <w:uiPriority w:val="99"/>
    <w:semiHidden/>
    <w:unhideWhenUsed/>
    <w:rsid w:val="00D924E2"/>
    <w:rPr>
      <w:sz w:val="16"/>
      <w:szCs w:val="16"/>
    </w:rPr>
  </w:style>
  <w:style w:type="paragraph" w:styleId="CommentText">
    <w:name w:val="annotation text"/>
    <w:basedOn w:val="Normal"/>
    <w:link w:val="CommentTextChar"/>
    <w:uiPriority w:val="99"/>
    <w:unhideWhenUsed/>
    <w:rsid w:val="00D924E2"/>
    <w:pPr>
      <w:spacing w:line="240" w:lineRule="auto"/>
    </w:pPr>
    <w:rPr>
      <w:sz w:val="20"/>
      <w:szCs w:val="20"/>
    </w:rPr>
  </w:style>
  <w:style w:type="character" w:customStyle="1" w:styleId="CommentTextChar">
    <w:name w:val="Comment Text Char"/>
    <w:basedOn w:val="DefaultParagraphFont"/>
    <w:link w:val="CommentText"/>
    <w:uiPriority w:val="99"/>
    <w:rsid w:val="00D924E2"/>
    <w:rPr>
      <w:rFonts w:cs="David"/>
      <w:sz w:val="20"/>
      <w:szCs w:val="20"/>
    </w:rPr>
  </w:style>
  <w:style w:type="character" w:styleId="Hyperlink">
    <w:name w:val="Hyperlink"/>
    <w:basedOn w:val="DefaultParagraphFont"/>
    <w:uiPriority w:val="99"/>
    <w:unhideWhenUsed/>
    <w:rsid w:val="00D924E2"/>
    <w:rPr>
      <w:color w:val="0000FF" w:themeColor="hyperlink"/>
      <w:u w:val="single"/>
    </w:rPr>
  </w:style>
  <w:style w:type="paragraph" w:styleId="BalloonText">
    <w:name w:val="Balloon Text"/>
    <w:basedOn w:val="Normal"/>
    <w:link w:val="BalloonTextChar"/>
    <w:uiPriority w:val="99"/>
    <w:semiHidden/>
    <w:unhideWhenUsed/>
    <w:rsid w:val="00D92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4E2"/>
    <w:rPr>
      <w:rFonts w:ascii="Tahoma" w:hAnsi="Tahoma" w:cs="Tahoma"/>
      <w:sz w:val="16"/>
      <w:szCs w:val="16"/>
    </w:rPr>
  </w:style>
  <w:style w:type="table" w:styleId="TableGrid">
    <w:name w:val="Table Grid"/>
    <w:basedOn w:val="TableNormal"/>
    <w:uiPriority w:val="59"/>
    <w:rsid w:val="00D92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924E2"/>
    <w:rPr>
      <w:b/>
      <w:bCs/>
    </w:rPr>
  </w:style>
  <w:style w:type="character" w:customStyle="1" w:styleId="CommentSubjectChar">
    <w:name w:val="Comment Subject Char"/>
    <w:basedOn w:val="CommentTextChar"/>
    <w:link w:val="CommentSubject"/>
    <w:uiPriority w:val="99"/>
    <w:semiHidden/>
    <w:rsid w:val="00D924E2"/>
    <w:rPr>
      <w:rFonts w:cs="David"/>
      <w:b/>
      <w:bCs/>
      <w:sz w:val="20"/>
      <w:szCs w:val="20"/>
    </w:rPr>
  </w:style>
  <w:style w:type="character" w:styleId="FollowedHyperlink">
    <w:name w:val="FollowedHyperlink"/>
    <w:basedOn w:val="DefaultParagraphFont"/>
    <w:uiPriority w:val="99"/>
    <w:semiHidden/>
    <w:unhideWhenUsed/>
    <w:rsid w:val="00D924E2"/>
    <w:rPr>
      <w:color w:val="800080" w:themeColor="followedHyperlink"/>
      <w:u w:val="single"/>
    </w:rPr>
  </w:style>
  <w:style w:type="paragraph" w:customStyle="1" w:styleId="P00">
    <w:name w:val="P00"/>
    <w:rsid w:val="00D924E2"/>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rFonts w:ascii="Times New Roman" w:eastAsia="Times New Roman" w:hAnsi="Times New Roman" w:cs="Times New Roman"/>
      <w:noProof/>
      <w:sz w:val="20"/>
      <w:szCs w:val="26"/>
      <w:lang w:eastAsia="he-IL"/>
    </w:rPr>
  </w:style>
  <w:style w:type="character" w:customStyle="1" w:styleId="default">
    <w:name w:val="default"/>
    <w:rsid w:val="00D924E2"/>
    <w:rPr>
      <w:rFonts w:ascii="Times New Roman" w:hAnsi="Times New Roman" w:cs="Times New Roman" w:hint="default"/>
      <w:sz w:val="26"/>
      <w:szCs w:val="26"/>
    </w:rPr>
  </w:style>
  <w:style w:type="character" w:customStyle="1" w:styleId="apple-converted-space">
    <w:name w:val="apple-converted-space"/>
    <w:basedOn w:val="DefaultParagraphFont"/>
    <w:rsid w:val="00D924E2"/>
  </w:style>
  <w:style w:type="paragraph" w:styleId="Revision">
    <w:name w:val="Revision"/>
    <w:hidden/>
    <w:uiPriority w:val="99"/>
    <w:semiHidden/>
    <w:rsid w:val="00D924E2"/>
    <w:pPr>
      <w:spacing w:after="0" w:line="240" w:lineRule="auto"/>
    </w:pPr>
    <w:rPr>
      <w:rFonts w:cs="David"/>
      <w:szCs w:val="24"/>
    </w:rPr>
  </w:style>
  <w:style w:type="paragraph" w:customStyle="1" w:styleId="tabletext">
    <w:name w:val="tabletext"/>
    <w:basedOn w:val="Normal"/>
    <w:rsid w:val="00D924E2"/>
    <w:pPr>
      <w:bidi w:val="0"/>
      <w:spacing w:before="100" w:beforeAutospacing="1" w:after="100" w:afterAutospacing="1" w:line="240" w:lineRule="auto"/>
    </w:pPr>
    <w:rPr>
      <w:rFonts w:ascii="Times New Roman" w:eastAsiaTheme="minorEastAsia" w:hAnsi="Times New Roman" w:cs="Times New Roman"/>
      <w:sz w:val="24"/>
    </w:rPr>
  </w:style>
  <w:style w:type="character" w:styleId="Strong">
    <w:name w:val="Strong"/>
    <w:basedOn w:val="DefaultParagraphFont"/>
    <w:uiPriority w:val="22"/>
    <w:qFormat/>
    <w:rsid w:val="00D924E2"/>
    <w:rPr>
      <w:b/>
      <w:bCs/>
    </w:rPr>
  </w:style>
  <w:style w:type="paragraph" w:styleId="NormalWeb">
    <w:name w:val="Normal (Web)"/>
    <w:basedOn w:val="Normal"/>
    <w:uiPriority w:val="99"/>
    <w:semiHidden/>
    <w:unhideWhenUsed/>
    <w:rsid w:val="00D924E2"/>
    <w:pPr>
      <w:bidi w:val="0"/>
      <w:spacing w:before="100" w:beforeAutospacing="1" w:after="100" w:afterAutospacing="1" w:line="240" w:lineRule="auto"/>
    </w:pPr>
    <w:rPr>
      <w:rFonts w:ascii="Times New Roman" w:eastAsia="Times New Roman" w:hAnsi="Times New Roman" w:cs="Times New Roman"/>
      <w:sz w:val="24"/>
    </w:rPr>
  </w:style>
  <w:style w:type="character" w:styleId="Emphasis">
    <w:name w:val="Emphasis"/>
    <w:basedOn w:val="DefaultParagraphFont"/>
    <w:uiPriority w:val="20"/>
    <w:qFormat/>
    <w:rsid w:val="00D924E2"/>
    <w:rPr>
      <w:i/>
      <w:iCs/>
    </w:rPr>
  </w:style>
  <w:style w:type="paragraph" w:styleId="Header">
    <w:name w:val="header"/>
    <w:basedOn w:val="Normal"/>
    <w:link w:val="HeaderChar"/>
    <w:unhideWhenUsed/>
    <w:rsid w:val="00D924E2"/>
    <w:pPr>
      <w:tabs>
        <w:tab w:val="center" w:pos="4153"/>
        <w:tab w:val="right" w:pos="8306"/>
      </w:tabs>
      <w:spacing w:after="0" w:line="240" w:lineRule="auto"/>
    </w:pPr>
  </w:style>
  <w:style w:type="character" w:customStyle="1" w:styleId="HeaderChar">
    <w:name w:val="Header Char"/>
    <w:basedOn w:val="DefaultParagraphFont"/>
    <w:link w:val="Header"/>
    <w:rsid w:val="00D924E2"/>
    <w:rPr>
      <w:rFonts w:cs="David"/>
      <w:szCs w:val="24"/>
    </w:rPr>
  </w:style>
  <w:style w:type="paragraph" w:styleId="Footer">
    <w:name w:val="footer"/>
    <w:basedOn w:val="Normal"/>
    <w:link w:val="FooterChar"/>
    <w:uiPriority w:val="99"/>
    <w:unhideWhenUsed/>
    <w:rsid w:val="00D924E2"/>
    <w:pPr>
      <w:tabs>
        <w:tab w:val="center" w:pos="4153"/>
        <w:tab w:val="right" w:pos="8306"/>
      </w:tabs>
      <w:spacing w:after="0" w:line="240" w:lineRule="auto"/>
    </w:pPr>
  </w:style>
  <w:style w:type="character" w:customStyle="1" w:styleId="FooterChar">
    <w:name w:val="Footer Char"/>
    <w:basedOn w:val="DefaultParagraphFont"/>
    <w:link w:val="Footer"/>
    <w:uiPriority w:val="99"/>
    <w:rsid w:val="00D924E2"/>
    <w:rPr>
      <w:rFonts w:cs="David"/>
      <w:szCs w:val="24"/>
    </w:rPr>
  </w:style>
  <w:style w:type="character" w:customStyle="1" w:styleId="big-number">
    <w:name w:val="big-number"/>
    <w:basedOn w:val="default"/>
    <w:rsid w:val="00D924E2"/>
    <w:rPr>
      <w:rFonts w:ascii="Times New Roman" w:hAnsi="Times New Roman" w:cs="Times New Roman" w:hint="default"/>
      <w:sz w:val="32"/>
      <w:szCs w:val="32"/>
    </w:rPr>
  </w:style>
  <w:style w:type="paragraph" w:customStyle="1" w:styleId="1">
    <w:name w:val="מספור1"/>
    <w:basedOn w:val="Normal"/>
    <w:next w:val="Normal"/>
    <w:qFormat/>
    <w:rsid w:val="00D924E2"/>
    <w:pPr>
      <w:numPr>
        <w:numId w:val="30"/>
      </w:numPr>
      <w:spacing w:before="120" w:after="60" w:line="360" w:lineRule="auto"/>
      <w:jc w:val="both"/>
    </w:pPr>
    <w:rPr>
      <w:rFonts w:ascii="Cambria" w:eastAsia="Times New Roman" w:hAnsi="Cambria"/>
      <w:sz w:val="20"/>
    </w:rPr>
  </w:style>
  <w:style w:type="paragraph" w:customStyle="1" w:styleId="2">
    <w:name w:val="מיספור2"/>
    <w:basedOn w:val="Normal"/>
    <w:next w:val="Normal"/>
    <w:rsid w:val="00D924E2"/>
    <w:pPr>
      <w:numPr>
        <w:ilvl w:val="1"/>
        <w:numId w:val="30"/>
      </w:numPr>
      <w:spacing w:before="120" w:after="60" w:line="360" w:lineRule="auto"/>
      <w:jc w:val="both"/>
    </w:pPr>
    <w:rPr>
      <w:rFonts w:ascii="Cambria" w:eastAsia="Times New Roman" w:hAnsi="Cambria"/>
      <w:sz w:val="20"/>
    </w:rPr>
  </w:style>
  <w:style w:type="paragraph" w:customStyle="1" w:styleId="a">
    <w:name w:val="a"/>
    <w:basedOn w:val="Normal"/>
    <w:rsid w:val="00D924E2"/>
    <w:pPr>
      <w:bidi w:val="0"/>
      <w:spacing w:before="100" w:beforeAutospacing="1" w:after="100" w:afterAutospacing="1" w:line="240" w:lineRule="auto"/>
    </w:pPr>
    <w:rPr>
      <w:rFonts w:ascii="Times New Roman" w:eastAsia="Times New Roman" w:hAnsi="Times New Roman" w:cs="Times New Roman"/>
      <w:sz w:val="24"/>
    </w:rPr>
  </w:style>
  <w:style w:type="paragraph" w:customStyle="1" w:styleId="a8">
    <w:name w:val="a8"/>
    <w:basedOn w:val="Normal"/>
    <w:rsid w:val="00D924E2"/>
    <w:pPr>
      <w:bidi w:val="0"/>
      <w:spacing w:before="100" w:beforeAutospacing="1" w:after="100" w:afterAutospacing="1" w:line="240" w:lineRule="auto"/>
    </w:pPr>
    <w:rPr>
      <w:rFonts w:ascii="Times New Roman" w:eastAsia="Times New Roman" w:hAnsi="Times New Roman" w:cs="Times New Roman"/>
      <w:sz w:val="24"/>
    </w:rPr>
  </w:style>
  <w:style w:type="paragraph" w:customStyle="1" w:styleId="10">
    <w:name w:val="1"/>
    <w:basedOn w:val="Normal"/>
    <w:rsid w:val="00D924E2"/>
    <w:pPr>
      <w:bidi w:val="0"/>
      <w:spacing w:before="100" w:beforeAutospacing="1" w:after="100" w:afterAutospacing="1" w:line="240" w:lineRule="auto"/>
    </w:pPr>
    <w:rPr>
      <w:rFonts w:ascii="Times New Roman" w:eastAsiaTheme="minorEastAsia" w:hAnsi="Times New Roman" w:cs="Times New Roman"/>
      <w:sz w:val="24"/>
    </w:rPr>
  </w:style>
  <w:style w:type="paragraph" w:customStyle="1" w:styleId="20">
    <w:name w:val="2"/>
    <w:basedOn w:val="Normal"/>
    <w:rsid w:val="00D924E2"/>
    <w:pPr>
      <w:bidi w:val="0"/>
      <w:spacing w:before="100" w:beforeAutospacing="1" w:after="100" w:afterAutospacing="1" w:line="240" w:lineRule="auto"/>
    </w:pPr>
    <w:rPr>
      <w:rFonts w:ascii="Times New Roman" w:eastAsiaTheme="minorEastAsia" w:hAnsi="Times New Roman" w:cs="Times New Roman"/>
      <w:sz w:val="24"/>
    </w:rPr>
  </w:style>
  <w:style w:type="paragraph" w:styleId="Quote">
    <w:name w:val="Quote"/>
    <w:basedOn w:val="Normal"/>
    <w:next w:val="Normal"/>
    <w:link w:val="QuoteChar"/>
    <w:uiPriority w:val="29"/>
    <w:qFormat/>
    <w:rsid w:val="00EE1DA9"/>
    <w:pPr>
      <w:ind w:left="935" w:right="993"/>
      <w:jc w:val="both"/>
    </w:pPr>
    <w:rPr>
      <w:color w:val="000000" w:themeColor="text1"/>
    </w:rPr>
  </w:style>
  <w:style w:type="character" w:customStyle="1" w:styleId="QuoteChar">
    <w:name w:val="Quote Char"/>
    <w:basedOn w:val="DefaultParagraphFont"/>
    <w:link w:val="Quote"/>
    <w:uiPriority w:val="29"/>
    <w:rsid w:val="00EE1DA9"/>
    <w:rPr>
      <w:rFonts w:cs="David"/>
      <w:color w:val="000000" w:themeColor="text1"/>
      <w:szCs w:val="24"/>
    </w:rPr>
  </w:style>
  <w:style w:type="paragraph" w:customStyle="1" w:styleId="p000">
    <w:name w:val="p00"/>
    <w:basedOn w:val="Normal"/>
    <w:rsid w:val="0027588A"/>
    <w:pPr>
      <w:bidi w:val="0"/>
      <w:spacing w:before="100" w:beforeAutospacing="1" w:after="100" w:afterAutospacing="1" w:line="240" w:lineRule="auto"/>
    </w:pPr>
    <w:rPr>
      <w:rFonts w:ascii="Times New Roman" w:eastAsia="Times New Roman" w:hAnsi="Times New Roman" w:cs="Times New Roman"/>
      <w:sz w:val="24"/>
    </w:rPr>
  </w:style>
  <w:style w:type="paragraph" w:styleId="Title">
    <w:name w:val="Title"/>
    <w:basedOn w:val="Normal"/>
    <w:next w:val="Normal"/>
    <w:link w:val="TitleChar"/>
    <w:uiPriority w:val="10"/>
    <w:qFormat/>
    <w:rsid w:val="004D1F8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F8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D1F87"/>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4D1F87"/>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749481">
      <w:bodyDiv w:val="1"/>
      <w:marLeft w:val="0"/>
      <w:marRight w:val="0"/>
      <w:marTop w:val="0"/>
      <w:marBottom w:val="0"/>
      <w:divBdr>
        <w:top w:val="none" w:sz="0" w:space="0" w:color="auto"/>
        <w:left w:val="none" w:sz="0" w:space="0" w:color="auto"/>
        <w:bottom w:val="none" w:sz="0" w:space="0" w:color="auto"/>
        <w:right w:val="none" w:sz="0" w:space="0" w:color="auto"/>
      </w:divBdr>
    </w:div>
    <w:div w:id="140773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ntitrust.gov.il/subject/202/item/33425.aspx"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CE8612.6B34F890" TargetMode="External"/><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7A299-D9FC-4D7E-B2F0-57FA0E0A0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3935</Words>
  <Characters>19678</Characters>
  <Application>Microsoft Office Word</Application>
  <DocSecurity>0</DocSecurity>
  <Lines>163</Lines>
  <Paragraphs>47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23566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Tobie Harris</dc:creator>
  <cp:lastModifiedBy>Melita Shafir</cp:lastModifiedBy>
  <cp:revision>2</cp:revision>
  <cp:lastPrinted>2015-11-30T14:20:00Z</cp:lastPrinted>
  <dcterms:created xsi:type="dcterms:W3CDTF">2018-12-12T09:02:00Z</dcterms:created>
  <dcterms:modified xsi:type="dcterms:W3CDTF">2018-12-12T09:02:00Z</dcterms:modified>
</cp:coreProperties>
</file>