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2F2DAA">
      <w:pPr>
        <w:pStyle w:val="Header"/>
        <w:jc w:val="right"/>
        <w:divId w:val="2059624782"/>
      </w:pPr>
      <w:bookmarkStart w:id="0" w:name="_GoBack"/>
      <w:bookmarkEnd w:id="0"/>
    </w:p>
    <w:p w:rsidR="00000000" w:rsidRDefault="002F2DAA">
      <w:pPr>
        <w:bidi/>
        <w:spacing w:before="240" w:line="360" w:lineRule="auto"/>
        <w:jc w:val="center"/>
        <w:rPr>
          <w:rFonts w:hint="cs"/>
          <w:rtl/>
        </w:rPr>
      </w:pPr>
      <w:r>
        <w:rPr>
          <w:rStyle w:val="Strong"/>
          <w:rFonts w:cs="David" w:hint="cs"/>
          <w:szCs w:val="28"/>
          <w:rtl/>
        </w:rPr>
        <w:t>החלטה לפי סעיף 14 לחוק ההגבלים העסקיים, התשמ"ח-1988</w:t>
      </w:r>
      <w:r>
        <w:rPr>
          <w:rFonts w:cs="David" w:hint="cs"/>
          <w:b/>
          <w:bCs/>
          <w:szCs w:val="28"/>
          <w:rtl/>
        </w:rPr>
        <w:br/>
      </w:r>
      <w:r>
        <w:rPr>
          <w:rStyle w:val="Strong"/>
          <w:rFonts w:cs="David" w:hint="cs"/>
          <w:sz w:val="28"/>
          <w:szCs w:val="28"/>
          <w:rtl/>
        </w:rPr>
        <w:t>בדבר מתן פטור בתנאים מאישור הסדר כובל להסדר חברת שירותי בנק אוטומטיים בע"מ:</w:t>
      </w:r>
      <w:r>
        <w:rPr>
          <w:rFonts w:cs="David" w:hint="cs"/>
          <w:b/>
          <w:bCs/>
          <w:szCs w:val="28"/>
          <w:rtl/>
        </w:rPr>
        <w:br/>
      </w:r>
      <w:r>
        <w:rPr>
          <w:rStyle w:val="Strong"/>
          <w:rFonts w:cs="David" w:hint="cs"/>
          <w:sz w:val="28"/>
          <w:szCs w:val="28"/>
          <w:u w:val="single"/>
          <w:rtl/>
        </w:rPr>
        <w:t>בנק הפועלים בע"מ, בנק לאומי לישראל בע"</w:t>
      </w:r>
      <w:r>
        <w:rPr>
          <w:rStyle w:val="Strong"/>
          <w:rFonts w:cs="David" w:hint="cs"/>
          <w:sz w:val="28"/>
          <w:szCs w:val="28"/>
          <w:u w:val="single"/>
          <w:rtl/>
        </w:rPr>
        <w:t>מ, בנק מזרחי טפחות בע"מ, בנק דיסקונט בע"מ, הבנק הבינלאומי הראשון לישראל בע"מ, שרותי בנק אוטומטיים בע"מ</w:t>
      </w:r>
    </w:p>
    <w:p w:rsidR="00000000" w:rsidRDefault="002F2DAA">
      <w:pPr>
        <w:bidi/>
        <w:spacing w:before="120" w:line="360" w:lineRule="auto"/>
        <w:jc w:val="both"/>
        <w:outlineLvl w:val="0"/>
        <w:rPr>
          <w:rFonts w:hint="cs"/>
          <w:rtl/>
        </w:rPr>
      </w:pPr>
      <w:r>
        <w:rPr>
          <w:rStyle w:val="Strong"/>
          <w:rFonts w:eastAsia="David" w:cs="David" w:hint="cs"/>
          <w:kern w:val="36"/>
          <w:rtl/>
        </w:rPr>
        <w:t>א. </w:t>
      </w:r>
      <w:r>
        <w:rPr>
          <w:rStyle w:val="Strong"/>
          <w:rFonts w:eastAsia="Times New Roman" w:cs="David" w:hint="cs"/>
          <w:kern w:val="36"/>
          <w:rtl/>
        </w:rPr>
        <w:t>פתח דבר</w:t>
      </w:r>
    </w:p>
    <w:p w:rsidR="00000000" w:rsidRDefault="002F2DAA">
      <w:pPr>
        <w:bidi/>
        <w:spacing w:before="120" w:line="360" w:lineRule="auto"/>
        <w:contextualSpacing/>
        <w:jc w:val="both"/>
        <w:rPr>
          <w:rFonts w:hint="cs"/>
          <w:rtl/>
        </w:rPr>
      </w:pPr>
      <w:r>
        <w:rPr>
          <w:rFonts w:cs="David" w:hint="cs"/>
          <w:rtl/>
        </w:rPr>
        <w:t>ביום 25 בספטמבר 2011 הונחה לפניי בקשת פטור לפי סעיף 14 לחוק ההגבלים העסקיים, התשמ"ח-1988 (להלן: "</w:t>
      </w:r>
      <w:r>
        <w:rPr>
          <w:rStyle w:val="Strong"/>
          <w:rFonts w:cs="David" w:hint="cs"/>
          <w:rtl/>
        </w:rPr>
        <w:t>החוק</w:t>
      </w:r>
      <w:r>
        <w:rPr>
          <w:rFonts w:cs="David" w:hint="cs"/>
          <w:rtl/>
        </w:rPr>
        <w:t>" או "</w:t>
      </w:r>
      <w:r>
        <w:rPr>
          <w:rStyle w:val="Strong"/>
          <w:rFonts w:cs="David" w:hint="cs"/>
          <w:rtl/>
        </w:rPr>
        <w:t>חוק ההגבלים העסקיים</w:t>
      </w:r>
      <w:r>
        <w:rPr>
          <w:rFonts w:cs="David" w:hint="cs"/>
          <w:rtl/>
        </w:rPr>
        <w:t xml:space="preserve">") להסדר שצדדים </w:t>
      </w:r>
      <w:r>
        <w:rPr>
          <w:rFonts w:cs="David" w:hint="cs"/>
          <w:rtl/>
        </w:rPr>
        <w:t>לו בנק הפועלים בע"מ ("</w:t>
      </w:r>
      <w:r>
        <w:rPr>
          <w:rStyle w:val="Strong"/>
          <w:rFonts w:cs="David" w:hint="cs"/>
          <w:rtl/>
        </w:rPr>
        <w:t>בנק הפועלים</w:t>
      </w:r>
      <w:r>
        <w:rPr>
          <w:rFonts w:cs="David" w:hint="cs"/>
          <w:rtl/>
        </w:rPr>
        <w:t>"), בנק לאומי לישראל בע"מ ("</w:t>
      </w:r>
      <w:r>
        <w:rPr>
          <w:rStyle w:val="Strong"/>
          <w:rFonts w:cs="David" w:hint="cs"/>
          <w:rtl/>
        </w:rPr>
        <w:t>בנק לאומי</w:t>
      </w:r>
      <w:r>
        <w:rPr>
          <w:rFonts w:cs="David" w:hint="cs"/>
          <w:rtl/>
        </w:rPr>
        <w:t>"), בנק דיסקונט בע"מ ("</w:t>
      </w:r>
      <w:r>
        <w:rPr>
          <w:rStyle w:val="Strong"/>
          <w:rFonts w:cs="David" w:hint="cs"/>
          <w:rtl/>
        </w:rPr>
        <w:t>בנק דיסקונט</w:t>
      </w:r>
      <w:r>
        <w:rPr>
          <w:rFonts w:cs="David" w:hint="cs"/>
          <w:rtl/>
        </w:rPr>
        <w:t>"), בנק מזרחי טפחות בע"מ ("</w:t>
      </w:r>
      <w:r>
        <w:rPr>
          <w:rStyle w:val="Strong"/>
          <w:rFonts w:cs="David" w:hint="cs"/>
          <w:rtl/>
        </w:rPr>
        <w:t>בנק מזרחי</w:t>
      </w:r>
      <w:r>
        <w:rPr>
          <w:rFonts w:cs="David" w:hint="cs"/>
          <w:rtl/>
        </w:rPr>
        <w:t>"), הבנק הבינלאומי הראשון לישראל בע"מ ("</w:t>
      </w:r>
      <w:r>
        <w:rPr>
          <w:rStyle w:val="Strong"/>
          <w:rFonts w:cs="David" w:hint="cs"/>
          <w:rtl/>
        </w:rPr>
        <w:t>בנק הבינלאומי</w:t>
      </w:r>
      <w:r>
        <w:rPr>
          <w:rFonts w:cs="David" w:hint="cs"/>
          <w:rtl/>
        </w:rPr>
        <w:t>") וחברת שירותי בנק אוטומטיים בע"מ (להלן: "</w:t>
      </w:r>
      <w:r>
        <w:rPr>
          <w:rStyle w:val="Strong"/>
          <w:rFonts w:cs="David" w:hint="cs"/>
          <w:rtl/>
        </w:rPr>
        <w:t>שבא</w:t>
      </w:r>
      <w:r>
        <w:rPr>
          <w:rFonts w:cs="David" w:hint="cs"/>
          <w:rtl/>
        </w:rPr>
        <w:t>"), שעניינו בעלות</w:t>
      </w:r>
      <w:r>
        <w:rPr>
          <w:rFonts w:cs="David" w:hint="cs"/>
          <w:rtl/>
        </w:rPr>
        <w:t xml:space="preserve"> משותפת בחברת שבא</w:t>
      </w:r>
      <w:r>
        <w:rPr>
          <w:rFonts w:cs="David" w:hint="cs"/>
          <w:sz w:val="22"/>
          <w:rtl/>
        </w:rPr>
        <w:t xml:space="preserve"> וגביית עמלה בין-בנקאית בגין שימוש הדדי במכשירי בנק אוטומטיים (</w:t>
      </w:r>
      <w:r>
        <w:rPr>
          <w:rFonts w:cs="David"/>
          <w:szCs w:val="22"/>
        </w:rPr>
        <w:t>Automated Teller Machine</w:t>
      </w:r>
      <w:r>
        <w:rPr>
          <w:rFonts w:cs="David" w:hint="cs"/>
          <w:sz w:val="22"/>
          <w:rtl/>
        </w:rPr>
        <w:t>, להלן: "</w:t>
      </w:r>
      <w:r>
        <w:rPr>
          <w:rStyle w:val="Strong"/>
          <w:rFonts w:cs="David"/>
          <w:szCs w:val="22"/>
        </w:rPr>
        <w:t>ATM</w:t>
      </w:r>
      <w:r>
        <w:rPr>
          <w:rFonts w:cs="David" w:hint="cs"/>
          <w:sz w:val="22"/>
          <w:rtl/>
        </w:rPr>
        <w:t>" או "</w:t>
      </w:r>
      <w:r>
        <w:rPr>
          <w:rStyle w:val="Strong"/>
          <w:rFonts w:cs="David" w:hint="cs"/>
          <w:sz w:val="22"/>
          <w:rtl/>
        </w:rPr>
        <w:t>כספומט</w:t>
      </w:r>
      <w:r>
        <w:rPr>
          <w:rFonts w:cs="David" w:hint="cs"/>
          <w:sz w:val="22"/>
          <w:rtl/>
        </w:rPr>
        <w:t xml:space="preserve">"). </w:t>
      </w:r>
    </w:p>
    <w:p w:rsidR="00000000" w:rsidRDefault="002F2DAA">
      <w:pPr>
        <w:bidi/>
        <w:spacing w:before="120" w:line="360" w:lineRule="auto"/>
        <w:jc w:val="both"/>
        <w:rPr>
          <w:rFonts w:hint="cs"/>
          <w:rtl/>
        </w:rPr>
      </w:pPr>
      <w:r>
        <w:rPr>
          <w:rFonts w:cs="David" w:hint="cs"/>
          <w:rtl/>
        </w:rPr>
        <w:t>ביום 22 במאי 2012 אושרה על-ידי, בתנאים, בקשת הפטור הרביעית בנושא זה</w:t>
      </w:r>
      <w:r>
        <w:rPr>
          <w:rStyle w:val="FootnoteReference"/>
          <w:rFonts w:cs="David"/>
          <w:vertAlign w:val="superscript"/>
          <w:rtl/>
        </w:rPr>
        <w:footnoteReference w:id="1"/>
      </w:r>
      <w:r>
        <w:rPr>
          <w:rStyle w:val="FootnoteReference"/>
          <w:rFonts w:cs="David" w:hint="cs"/>
          <w:vertAlign w:val="superscript"/>
        </w:rPr>
        <w:t>[1]</w:t>
      </w:r>
      <w:r>
        <w:rPr>
          <w:rFonts w:cs="David" w:hint="cs"/>
          <w:rtl/>
        </w:rPr>
        <w:t xml:space="preserve"> (להלן: "</w:t>
      </w:r>
      <w:r>
        <w:rPr>
          <w:rStyle w:val="Strong"/>
          <w:rFonts w:cs="David" w:hint="cs"/>
          <w:rtl/>
        </w:rPr>
        <w:t>הפטור הקודם</w:t>
      </w:r>
      <w:r>
        <w:rPr>
          <w:rFonts w:cs="David" w:hint="cs"/>
          <w:rtl/>
        </w:rPr>
        <w:t>"</w:t>
      </w:r>
      <w:r>
        <w:rPr>
          <w:rFonts w:cs="David" w:hint="cs"/>
          <w:rtl/>
        </w:rPr>
        <w:t>). כפי שפורט בפטור הקודם, נוכח המועד המאוחר בו הוגשה הבקשה, ומתוך רצון לאפשר לרשות ההגבלים העסקיים (להלן: "</w:t>
      </w:r>
      <w:r>
        <w:rPr>
          <w:rStyle w:val="Strong"/>
          <w:rFonts w:cs="David" w:hint="cs"/>
          <w:rtl/>
        </w:rPr>
        <w:t>הרשות</w:t>
      </w:r>
      <w:r>
        <w:rPr>
          <w:rFonts w:cs="David" w:hint="cs"/>
          <w:rtl/>
        </w:rPr>
        <w:t xml:space="preserve">") לסיים את הליך בדיקת בקשת הפטור וליתן לצדדים שהות להישמע בפני, הארכתי את הפטור, על תנאיו, לתקופות קצרות נוספות עד ליום 22 בספטמבר 2012. </w:t>
      </w:r>
    </w:p>
    <w:p w:rsidR="00000000" w:rsidRDefault="002F2DAA">
      <w:pPr>
        <w:bidi/>
        <w:spacing w:before="120" w:line="360" w:lineRule="auto"/>
        <w:jc w:val="both"/>
        <w:rPr>
          <w:rFonts w:hint="cs"/>
          <w:rtl/>
        </w:rPr>
      </w:pPr>
      <w:r>
        <w:rPr>
          <w:rFonts w:cs="David" w:hint="cs"/>
          <w:sz w:val="22"/>
          <w:rtl/>
        </w:rPr>
        <w:t>כפי ש</w:t>
      </w:r>
      <w:r>
        <w:rPr>
          <w:rFonts w:cs="David" w:hint="cs"/>
          <w:sz w:val="22"/>
          <w:rtl/>
        </w:rPr>
        <w:t>ציינתי בפטור הקודם, המיזם – במסגרתו חברו חמשת הבנקים הגדולים בישראל – הובא בפניי מן המוגמר. אך יחד עם זאת, אין הדבר אומר שעלינו להימנע מלבחון את העניין באופן מחודש, ומתוך השקפה נקיה של הדברים.</w:t>
      </w:r>
      <w:r>
        <w:rPr>
          <w:rStyle w:val="FootnoteReference"/>
          <w:rFonts w:cs="David"/>
          <w:sz w:val="22"/>
          <w:vertAlign w:val="superscript"/>
          <w:rtl/>
        </w:rPr>
        <w:footnoteReference w:id="2"/>
      </w:r>
      <w:r>
        <w:rPr>
          <w:rStyle w:val="FootnoteReference"/>
          <w:rFonts w:cs="David" w:hint="cs"/>
          <w:sz w:val="22"/>
          <w:vertAlign w:val="superscript"/>
        </w:rPr>
        <w:t>[2]</w:t>
      </w:r>
      <w:r>
        <w:rPr>
          <w:rFonts w:cs="David" w:hint="cs"/>
          <w:sz w:val="22"/>
          <w:vertAlign w:val="superscript"/>
          <w:rtl/>
        </w:rPr>
        <w:t xml:space="preserve">  </w:t>
      </w:r>
      <w:r>
        <w:rPr>
          <w:rFonts w:cs="David" w:hint="cs"/>
          <w:rtl/>
        </w:rPr>
        <w:t>ואכן, כפי שיפורט להלן, במהלך תקופה זו בחנתי מספר נושאים הנ</w:t>
      </w:r>
      <w:r>
        <w:rPr>
          <w:rFonts w:cs="David" w:hint="cs"/>
          <w:rtl/>
        </w:rPr>
        <w:t xml:space="preserve">וגעים לפעילותה של שבא, והגעתי למסקנה לפיה יש להביא אל סיומה את פעילותה של שבא בתחום </w:t>
      </w:r>
      <w:r>
        <w:rPr>
          <w:rFonts w:cs="David" w:hint="cs"/>
          <w:sz w:val="22"/>
          <w:rtl/>
        </w:rPr>
        <w:t>מכשירי ה-</w:t>
      </w:r>
      <w:r>
        <w:rPr>
          <w:rFonts w:cs="David"/>
        </w:rPr>
        <w:t>ATM</w:t>
      </w:r>
      <w:r>
        <w:rPr>
          <w:rFonts w:cs="David" w:hint="cs"/>
          <w:sz w:val="22"/>
          <w:rtl/>
        </w:rPr>
        <w:t xml:space="preserve"> תוך פרק זמן של 8 חודשים; וכן כי יש להתיר לשבא גביית תשלומים מגורמים המבקשים להתחבר למערכות שבא אך ורק ככל שמדובר בעלויות </w:t>
      </w:r>
      <w:r>
        <w:rPr>
          <w:rFonts w:cs="David" w:hint="cs"/>
          <w:rtl/>
        </w:rPr>
        <w:t>התוספתיות הכרוכות במתן גישה למערכות הש</w:t>
      </w:r>
      <w:r>
        <w:rPr>
          <w:rFonts w:cs="David" w:hint="cs"/>
          <w:rtl/>
        </w:rPr>
        <w:t xml:space="preserve">ונות, הנובעות באופן ישיר מביצוע ההתאמות הנדרשות </w:t>
      </w:r>
      <w:r>
        <w:rPr>
          <w:rFonts w:cs="David" w:hint="cs"/>
          <w:rtl/>
        </w:rPr>
        <w:lastRenderedPageBreak/>
        <w:t xml:space="preserve">במערכות, וזאת אך ורק לאחר הצגה מפורטת של חישוב העלויות בפני המצטרפים החדשים ובפניי ובכפוף לקבלת אישורי. </w:t>
      </w:r>
    </w:p>
    <w:p w:rsidR="00000000" w:rsidRDefault="002F2DAA">
      <w:pPr>
        <w:overflowPunct w:val="0"/>
        <w:bidi/>
        <w:adjustRightInd w:val="0"/>
        <w:spacing w:before="120" w:line="360" w:lineRule="auto"/>
        <w:jc w:val="both"/>
        <w:rPr>
          <w:rFonts w:hint="cs"/>
          <w:rtl/>
        </w:rPr>
      </w:pPr>
      <w:r>
        <w:rPr>
          <w:rFonts w:cs="David" w:hint="cs"/>
          <w:sz w:val="22"/>
          <w:rtl/>
        </w:rPr>
        <w:t>בכל אשר לפעילות שבא בתחום שירותי איסוף ואישור עסקאות ושירותי ממשק עבור סולקים ומנפיקים, מצאתי כי יש מקו</w:t>
      </w:r>
      <w:r>
        <w:rPr>
          <w:rFonts w:cs="David" w:hint="cs"/>
          <w:sz w:val="22"/>
          <w:rtl/>
        </w:rPr>
        <w:t xml:space="preserve">ם להמשיך ולבחון באופן מקיף את מאזן היתרונות והחסרונות הנובעים מפעילותה של שבא בתחום זה, ועל כן החלטתי להעניק את הפטור לתקופה של 6 חודשים לשם השלמת בחינה זו. </w:t>
      </w:r>
    </w:p>
    <w:p w:rsidR="00000000" w:rsidRDefault="002F2DAA">
      <w:pPr>
        <w:overflowPunct w:val="0"/>
        <w:bidi/>
        <w:adjustRightInd w:val="0"/>
        <w:spacing w:before="120" w:line="360" w:lineRule="auto"/>
        <w:jc w:val="both"/>
        <w:rPr>
          <w:rFonts w:hint="cs"/>
          <w:rtl/>
        </w:rPr>
      </w:pPr>
      <w:r>
        <w:rPr>
          <w:rFonts w:cs="David" w:hint="cs"/>
          <w:sz w:val="22"/>
          <w:rtl/>
        </w:rPr>
        <w:t xml:space="preserve">סופו של דבר, לאחר שבחנתי את ההסדר ואת הכבילות המצויות בו, כמו גם את השפעתן האפשרית על התחרות בשוק </w:t>
      </w:r>
      <w:r>
        <w:rPr>
          <w:rFonts w:cs="David" w:hint="cs"/>
          <w:sz w:val="22"/>
          <w:rtl/>
        </w:rPr>
        <w:t xml:space="preserve">הרלוונטי ולאחר שנועצתי בוועדה לפטורים ולמיזוגים, שוכנעתי כי אף שההסדר חל על חלק ניכר מהשוק, הרי שבכפוף לקיום מלא ושלם של כל התנאים המופיעים בסיפא להחלטתי, הכבילות שבו אינן פוגעות פגיעה של ממש בתחרות בשוק כאמור. כן באתי למסקנה כי עיקרו של ההסדר אינו בהפחתת </w:t>
      </w:r>
      <w:r>
        <w:rPr>
          <w:rFonts w:cs="David" w:hint="cs"/>
          <w:sz w:val="22"/>
          <w:rtl/>
        </w:rPr>
        <w:t xml:space="preserve">התחרות או במניעתה, וכי בכפוף לתנאים ולהגבלות המפורטים בסיפא להחלטתי ומהווים חלק בלתי נפרד ממנה, אין בהסדר כבילות שאינן נחוצות למימוש עיקרו. מטעמים אלה ובהתבסס על הנימוקים שיפורטו להלן, ראיתי לנכון ליתן פטור בתנאים להסדר דנא. </w:t>
      </w:r>
    </w:p>
    <w:p w:rsidR="00000000" w:rsidRDefault="002F2DAA">
      <w:pPr>
        <w:bidi/>
        <w:spacing w:before="120" w:line="360" w:lineRule="auto"/>
        <w:ind w:hanging="360"/>
        <w:jc w:val="both"/>
        <w:outlineLvl w:val="0"/>
        <w:rPr>
          <w:rFonts w:hint="cs"/>
          <w:rtl/>
        </w:rPr>
      </w:pPr>
      <w:r>
        <w:rPr>
          <w:rFonts w:cs="David" w:hint="cs"/>
          <w:sz w:val="22"/>
          <w:rtl/>
        </w:rPr>
        <w:tab/>
      </w:r>
      <w:r>
        <w:rPr>
          <w:rStyle w:val="Strong"/>
          <w:rFonts w:eastAsia="David" w:cs="David" w:hint="cs"/>
          <w:kern w:val="36"/>
          <w:rtl/>
        </w:rPr>
        <w:t>ב.  תפעול כספומטים על ידי שבא</w:t>
      </w:r>
    </w:p>
    <w:p w:rsidR="00000000" w:rsidRDefault="002F2DAA">
      <w:pPr>
        <w:bidi/>
        <w:spacing w:before="120" w:line="360" w:lineRule="auto"/>
        <w:ind w:hanging="360"/>
        <w:jc w:val="both"/>
        <w:outlineLvl w:val="1"/>
        <w:rPr>
          <w:rFonts w:hint="cs"/>
          <w:rtl/>
        </w:rPr>
      </w:pPr>
      <w:r>
        <w:rPr>
          <w:rStyle w:val="Strong"/>
          <w:rFonts w:eastAsia="David" w:cs="David" w:hint="cs"/>
          <w:sz w:val="14"/>
          <w:szCs w:val="14"/>
          <w:rtl/>
        </w:rPr>
        <w:t xml:space="preserve">            </w:t>
      </w:r>
      <w:r>
        <w:rPr>
          <w:rStyle w:val="Strong"/>
          <w:rFonts w:eastAsia="David" w:cs="David" w:hint="cs"/>
          <w:sz w:val="22"/>
          <w:rtl/>
        </w:rPr>
        <w:t>ב.1.</w:t>
      </w:r>
      <w:r>
        <w:rPr>
          <w:rStyle w:val="Strong"/>
          <w:rFonts w:eastAsia="David" w:cs="David" w:hint="cs"/>
          <w:sz w:val="14"/>
          <w:szCs w:val="14"/>
          <w:rtl/>
        </w:rPr>
        <w:t xml:space="preserve">  </w:t>
      </w:r>
      <w:r>
        <w:rPr>
          <w:rStyle w:val="Strong"/>
          <w:rFonts w:eastAsia="Times New Roman" w:cs="David" w:hint="cs"/>
          <w:sz w:val="22"/>
          <w:rtl/>
        </w:rPr>
        <w:t>כללי</w:t>
      </w:r>
    </w:p>
    <w:p w:rsidR="00000000" w:rsidRDefault="002F2DAA">
      <w:pPr>
        <w:bidi/>
        <w:spacing w:before="120" w:line="360" w:lineRule="auto"/>
        <w:jc w:val="both"/>
        <w:rPr>
          <w:rFonts w:hint="cs"/>
          <w:rtl/>
        </w:rPr>
      </w:pPr>
      <w:r>
        <w:rPr>
          <w:rFonts w:cs="David" w:hint="cs"/>
          <w:sz w:val="22"/>
          <w:rtl/>
        </w:rPr>
        <w:t>עד לשנת 2005, היה מחיר העמלה שניתן לגבות עבור משיכת מזומנים בכספומטים נתון תחת פיקוח, כך שבנקים או תאגיד בנקאי לא יכלו לגבות עמלה עבור משיכת מזומן.</w:t>
      </w:r>
      <w:r>
        <w:rPr>
          <w:rStyle w:val="FootnoteReference"/>
          <w:rFonts w:cs="David"/>
          <w:sz w:val="22"/>
          <w:vertAlign w:val="superscript"/>
          <w:rtl/>
        </w:rPr>
        <w:footnoteReference w:id="3"/>
      </w:r>
      <w:r>
        <w:rPr>
          <w:rStyle w:val="FootnoteReference"/>
          <w:rFonts w:cs="David" w:hint="cs"/>
          <w:sz w:val="22"/>
          <w:vertAlign w:val="superscript"/>
        </w:rPr>
        <w:t>[3]</w:t>
      </w:r>
      <w:r>
        <w:rPr>
          <w:rFonts w:cs="David" w:hint="cs"/>
          <w:sz w:val="22"/>
          <w:rtl/>
        </w:rPr>
        <w:t xml:space="preserve"> </w:t>
      </w:r>
      <w:r>
        <w:rPr>
          <w:rFonts w:cs="David" w:hint="cs"/>
          <w:sz w:val="22"/>
          <w:rtl/>
        </w:rPr>
        <w:t>בשנים אלו ההכנסות של שבא מפעילות הכספומטים נבעו מגביה של סכום קבוע מהאתרים בהם הוצבו הכספומטים (מרכזי קניות ומוסדות ציבוריים). עקב עלויות התפעול והאיסור על גביית עמלה, לא השתלם לבנקים ולשבא להציב כספומטים מרוחקים באתרים אשר לא שילמו עבור הצבת הכספומטים ומס</w:t>
      </w:r>
      <w:r>
        <w:rPr>
          <w:rFonts w:cs="David" w:hint="cs"/>
          <w:sz w:val="22"/>
          <w:rtl/>
        </w:rPr>
        <w:t>פר הכספומטים בישראל היה נמוך בהשוואה עולמית.</w:t>
      </w:r>
    </w:p>
    <w:p w:rsidR="00000000" w:rsidRDefault="002F2DAA">
      <w:pPr>
        <w:bidi/>
        <w:spacing w:before="120" w:line="360" w:lineRule="auto"/>
        <w:jc w:val="both"/>
        <w:rPr>
          <w:rFonts w:hint="cs"/>
          <w:rtl/>
        </w:rPr>
      </w:pPr>
      <w:r>
        <w:rPr>
          <w:rFonts w:cs="David" w:hint="cs"/>
          <w:sz w:val="22"/>
          <w:rtl/>
        </w:rPr>
        <w:t xml:space="preserve">בסוף 2005, הוסרה המגבלה על עמלת המשיכה בכספומטים שמרחקם מסניף הבנק עולה על 500 מטר (להלן: </w:t>
      </w:r>
      <w:r>
        <w:rPr>
          <w:rStyle w:val="Strong"/>
          <w:rFonts w:cs="David" w:hint="cs"/>
          <w:sz w:val="22"/>
          <w:rtl/>
        </w:rPr>
        <w:t>"כספומטים מרוחקים</w:t>
      </w:r>
      <w:r>
        <w:rPr>
          <w:rFonts w:cs="David" w:hint="cs"/>
          <w:sz w:val="22"/>
          <w:rtl/>
        </w:rPr>
        <w:t>").</w:t>
      </w:r>
      <w:r>
        <w:rPr>
          <w:rStyle w:val="FootnoteReference"/>
          <w:rFonts w:cs="David"/>
          <w:sz w:val="22"/>
          <w:vertAlign w:val="superscript"/>
          <w:rtl/>
        </w:rPr>
        <w:footnoteReference w:id="4"/>
      </w:r>
      <w:r>
        <w:rPr>
          <w:rStyle w:val="FootnoteReference"/>
          <w:rFonts w:cs="David" w:hint="cs"/>
          <w:sz w:val="22"/>
          <w:vertAlign w:val="superscript"/>
        </w:rPr>
        <w:t>[4]</w:t>
      </w:r>
      <w:r>
        <w:rPr>
          <w:rFonts w:cs="David" w:hint="cs"/>
          <w:sz w:val="22"/>
          <w:rtl/>
        </w:rPr>
        <w:t xml:space="preserve"> הוראה זו אפשרה לפעילות הצבת הכספומטים להפוך לרווחית. נוכח זאת, החלו הבנקים ושבא, כמו גם גורמים נ</w:t>
      </w:r>
      <w:r>
        <w:rPr>
          <w:rFonts w:cs="David" w:hint="cs"/>
          <w:sz w:val="22"/>
          <w:rtl/>
        </w:rPr>
        <w:t>וספים עליהם יורחב בהמשך, להציב כספומטים במקומות מרוחקים תוך גביית עמלות מלקוחותיהם ומספר הכספומטים גדל.</w:t>
      </w:r>
    </w:p>
    <w:p w:rsidR="00000000" w:rsidRDefault="002F2DAA">
      <w:pPr>
        <w:bidi/>
        <w:spacing w:before="120" w:line="360" w:lineRule="auto"/>
        <w:jc w:val="both"/>
        <w:rPr>
          <w:rFonts w:hint="cs"/>
          <w:rtl/>
        </w:rPr>
      </w:pPr>
      <w:r>
        <w:rPr>
          <w:rFonts w:cs="David" w:hint="cs"/>
          <w:sz w:val="22"/>
          <w:rtl/>
        </w:rPr>
        <w:t>בגרף שלהלן ניתן לראות את הגידול במספר הכספומטים החל משנת 1995 ועד לשנת 2011:</w:t>
      </w:r>
      <w:r>
        <w:rPr>
          <w:rFonts w:cs="David"/>
          <w:sz w:val="22"/>
          <w:vertAlign w:val="superscript"/>
          <w:rtl/>
        </w:rPr>
        <w:footnoteReference w:id="5"/>
      </w:r>
      <w:r>
        <w:rPr>
          <w:rFonts w:cs="David"/>
          <w:sz w:val="22"/>
          <w:vertAlign w:val="superscript"/>
        </w:rPr>
        <w:t>[5]</w:t>
      </w:r>
    </w:p>
    <w:p w:rsidR="00000000" w:rsidRDefault="002F2DAA">
      <w:pPr>
        <w:bidi/>
        <w:spacing w:before="120" w:line="360" w:lineRule="auto"/>
        <w:jc w:val="center"/>
        <w:rPr>
          <w:rFonts w:hint="cs"/>
          <w:rtl/>
        </w:rPr>
      </w:pPr>
      <w:r>
        <w:rPr>
          <w:rFonts w:cs="David"/>
          <w:noProof/>
        </w:rPr>
        <w:lastRenderedPageBreak/>
        <w:drawing>
          <wp:inline distT="0" distB="0" distL="0" distR="0">
            <wp:extent cx="4114800" cy="3810000"/>
            <wp:effectExtent l="0" t="0" r="0" b="0"/>
            <wp:docPr id="1" name="Picture 1" descr="C:\DOCUME~1\melitas\LOCALS~1\Temp\OICE_EF036DAD-0217-4F09-BF74-C954B38B38FE.0\msohtmlclip1\01\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melitas\LOCALS~1\Temp\OICE_EF036DAD-0217-4F09-BF74-C954B38B38FE.0\msohtmlclip1\01\clip_image002.png"/>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4114800" cy="3810000"/>
                    </a:xfrm>
                    <a:prstGeom prst="rect">
                      <a:avLst/>
                    </a:prstGeom>
                    <a:noFill/>
                    <a:ln>
                      <a:noFill/>
                    </a:ln>
                  </pic:spPr>
                </pic:pic>
              </a:graphicData>
            </a:graphic>
          </wp:inline>
        </w:drawing>
      </w:r>
    </w:p>
    <w:p w:rsidR="00000000" w:rsidRDefault="002F2DAA">
      <w:pPr>
        <w:bidi/>
        <w:spacing w:before="120" w:line="360" w:lineRule="auto"/>
        <w:jc w:val="both"/>
        <w:rPr>
          <w:rFonts w:hint="cs"/>
          <w:rtl/>
        </w:rPr>
      </w:pPr>
      <w:r>
        <w:rPr>
          <w:rFonts w:cs="David" w:hint="cs"/>
          <w:sz w:val="22"/>
          <w:rtl/>
        </w:rPr>
        <w:t>יחד עם זאת, על אף הגידול בהצבת הכספומטים המרוחקים, מ</w:t>
      </w:r>
      <w:r>
        <w:rPr>
          <w:rFonts w:cs="David" w:hint="cs"/>
          <w:sz w:val="22"/>
          <w:rtl/>
        </w:rPr>
        <w:t>ספרם ביחס לאוכלוסייה עודנו נמוך בהשוואה לאירופה</w:t>
      </w:r>
      <w:r>
        <w:rPr>
          <w:rFonts w:cs="David"/>
          <w:sz w:val="22"/>
          <w:vertAlign w:val="superscript"/>
          <w:rtl/>
        </w:rPr>
        <w:footnoteReference w:id="6"/>
      </w:r>
      <w:r>
        <w:rPr>
          <w:rFonts w:cs="David"/>
          <w:sz w:val="22"/>
          <w:vertAlign w:val="superscript"/>
        </w:rPr>
        <w:t>[6]</w:t>
      </w:r>
      <w:r>
        <w:rPr>
          <w:rFonts w:cs="David" w:hint="cs"/>
          <w:sz w:val="22"/>
          <w:rtl/>
        </w:rPr>
        <w:t>:</w:t>
      </w:r>
    </w:p>
    <w:p w:rsidR="00000000" w:rsidRDefault="002F2DAA">
      <w:pPr>
        <w:bidi/>
        <w:spacing w:before="120" w:line="360" w:lineRule="auto"/>
        <w:jc w:val="both"/>
        <w:rPr>
          <w:rFonts w:hint="cs"/>
          <w:rtl/>
        </w:rPr>
      </w:pPr>
      <w:r>
        <w:rPr>
          <w:rFonts w:cs="David"/>
          <w:noProof/>
        </w:rPr>
        <w:drawing>
          <wp:inline distT="0" distB="0" distL="0" distR="0">
            <wp:extent cx="5130800" cy="2997200"/>
            <wp:effectExtent l="0" t="0" r="0" b="0"/>
            <wp:docPr id="2" name="Picture 2" descr="C:\DOCUME~1\melitas\LOCALS~1\Temp\OICE_EF036DAD-0217-4F09-BF74-C954B38B38FE.0\msohtmlclip1\01\clip_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melitas\LOCALS~1\Temp\OICE_EF036DAD-0217-4F09-BF74-C954B38B38FE.0\msohtmlclip1\01\clip_image004.png"/>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5130800" cy="2997200"/>
                    </a:xfrm>
                    <a:prstGeom prst="rect">
                      <a:avLst/>
                    </a:prstGeom>
                    <a:noFill/>
                    <a:ln>
                      <a:noFill/>
                    </a:ln>
                  </pic:spPr>
                </pic:pic>
              </a:graphicData>
            </a:graphic>
          </wp:inline>
        </w:drawing>
      </w:r>
    </w:p>
    <w:p w:rsidR="00000000" w:rsidRDefault="002F2DAA">
      <w:pPr>
        <w:bidi/>
        <w:spacing w:before="120" w:line="360" w:lineRule="auto"/>
        <w:jc w:val="both"/>
        <w:rPr>
          <w:rFonts w:hint="cs"/>
          <w:rtl/>
        </w:rPr>
      </w:pPr>
      <w:r>
        <w:rPr>
          <w:rFonts w:cs="David" w:hint="cs"/>
          <w:sz w:val="22"/>
          <w:rtl/>
        </w:rPr>
        <w:t> </w:t>
      </w:r>
    </w:p>
    <w:p w:rsidR="00000000" w:rsidRDefault="002F2DAA">
      <w:pPr>
        <w:bidi/>
        <w:spacing w:before="120" w:line="360" w:lineRule="auto"/>
        <w:ind w:firstLine="720"/>
        <w:jc w:val="both"/>
        <w:rPr>
          <w:rFonts w:hint="cs"/>
          <w:rtl/>
        </w:rPr>
      </w:pPr>
      <w:r>
        <w:rPr>
          <w:rStyle w:val="Strong"/>
          <w:rFonts w:cs="David" w:hint="cs"/>
          <w:sz w:val="22"/>
          <w:rtl/>
        </w:rPr>
        <w:lastRenderedPageBreak/>
        <w:t xml:space="preserve">ב.2. מבנה הענף </w:t>
      </w:r>
    </w:p>
    <w:p w:rsidR="00000000" w:rsidRDefault="002F2DAA">
      <w:pPr>
        <w:bidi/>
        <w:spacing w:before="120" w:line="360" w:lineRule="auto"/>
        <w:jc w:val="both"/>
        <w:rPr>
          <w:rFonts w:hint="cs"/>
          <w:rtl/>
        </w:rPr>
      </w:pPr>
      <w:r>
        <w:rPr>
          <w:rFonts w:cs="David" w:hint="cs"/>
          <w:sz w:val="22"/>
          <w:rtl/>
        </w:rPr>
        <w:t>במערכת הבנקאית מצויים כספומטים צמודי סניף המספקים שירות משיכת מזומן בסניפי הבנקים. מתוקף הנחיות המפקח על הבנקים,</w:t>
      </w:r>
      <w:r>
        <w:rPr>
          <w:rFonts w:cs="David"/>
          <w:sz w:val="22"/>
          <w:vertAlign w:val="superscript"/>
          <w:rtl/>
        </w:rPr>
        <w:footnoteReference w:id="7"/>
      </w:r>
      <w:r>
        <w:rPr>
          <w:rFonts w:cs="David"/>
          <w:sz w:val="22"/>
          <w:vertAlign w:val="superscript"/>
        </w:rPr>
        <w:t>[7]</w:t>
      </w:r>
      <w:r>
        <w:rPr>
          <w:rFonts w:cs="David" w:hint="cs"/>
          <w:sz w:val="22"/>
          <w:rtl/>
        </w:rPr>
        <w:t xml:space="preserve"> במכשירים אלו לא נגבית עמלה מהלקוחות פרט לעמלת פעולה בערוץ ישיר עליה יורחב בהמשך. סכום המשיכה המקסימאלי משתנה בהתאם לסוג הבנק וסוג החשבון ונ</w:t>
      </w:r>
      <w:r>
        <w:rPr>
          <w:rFonts w:cs="David" w:hint="cs"/>
          <w:sz w:val="22"/>
          <w:rtl/>
        </w:rPr>
        <w:t xml:space="preserve">ע בין 4,000 ל-8,000 ₪. </w:t>
      </w:r>
    </w:p>
    <w:p w:rsidR="00000000" w:rsidRDefault="002F2DAA">
      <w:pPr>
        <w:bidi/>
        <w:spacing w:before="120" w:line="360" w:lineRule="auto"/>
        <w:jc w:val="both"/>
        <w:rPr>
          <w:rFonts w:hint="cs"/>
          <w:rtl/>
        </w:rPr>
      </w:pPr>
      <w:r>
        <w:rPr>
          <w:rFonts w:cs="David" w:hint="cs"/>
          <w:sz w:val="22"/>
          <w:rtl/>
        </w:rPr>
        <w:t>בנוסף לפעילות הבנקים בסניפים, מפעילים הבנקים גם כספומטים מרוחקים</w:t>
      </w:r>
      <w:r>
        <w:rPr>
          <w:rFonts w:cs="David"/>
          <w:sz w:val="22"/>
          <w:vertAlign w:val="superscript"/>
          <w:rtl/>
        </w:rPr>
        <w:footnoteReference w:id="8"/>
      </w:r>
      <w:r>
        <w:rPr>
          <w:rFonts w:cs="David"/>
          <w:sz w:val="22"/>
          <w:vertAlign w:val="superscript"/>
        </w:rPr>
        <w:t>[8]</w:t>
      </w:r>
      <w:r>
        <w:rPr>
          <w:rFonts w:cs="David" w:hint="cs"/>
          <w:sz w:val="22"/>
          <w:rtl/>
        </w:rPr>
        <w:t xml:space="preserve"> הדומים במאפייניהם לאלה המצויים בסניפי הבנק. כיום, נוהגים הבנקים שלא לגבות עמלה מלקוחותיהם במכשיר הכספומט ומסתפקים בגביית עמלה ממי שאינו לקוח הבנק או מהמשתמשים בכרט</w:t>
      </w:r>
      <w:r>
        <w:rPr>
          <w:rFonts w:cs="David" w:hint="cs"/>
          <w:sz w:val="22"/>
          <w:rtl/>
        </w:rPr>
        <w:t xml:space="preserve">יס חוץ בנקאי. </w:t>
      </w:r>
    </w:p>
    <w:p w:rsidR="00000000" w:rsidRDefault="002F2DAA">
      <w:pPr>
        <w:bidi/>
        <w:spacing w:before="120" w:line="360" w:lineRule="auto"/>
        <w:jc w:val="both"/>
        <w:rPr>
          <w:rFonts w:hint="cs"/>
          <w:rtl/>
        </w:rPr>
      </w:pPr>
      <w:r>
        <w:rPr>
          <w:rFonts w:cs="David" w:hint="cs"/>
          <w:sz w:val="22"/>
          <w:rtl/>
        </w:rPr>
        <w:t>לשבא רשת של כספומטים מרוחקים למשיכת מזומנים ולבירור יתרות. רשת זו כוללת כ-285  עמדות הממוקמות במקומות ציבוריים שונים, בהם קניונים, בתי-חולים, מוסדות להשכלה גבוהה, מרכזי מסחר, מחנות צה"ל ועוד. רשת זו מאפשרת ללקוחות הבנקים או חברות כרטיסי האשר</w:t>
      </w:r>
      <w:r>
        <w:rPr>
          <w:rFonts w:cs="David" w:hint="cs"/>
          <w:sz w:val="22"/>
          <w:rtl/>
        </w:rPr>
        <w:t>אי למשוך מזומנים ולקבל נתונים על יתרת חשבונם. בכל המכשירים מתאפשרת משיכה של עד 2,000 ₪, כאשר במרבית המכשירים גובה שבא עמלה מהלקוח בגין המשיכה, וכן משלם הלקוח עמלת פעולה בערוץ ישיר לבנק ממנו נמשך הכסף או התקבל המידע, בהתאם לתנאי ניהול חשבון העו"ש שלו.</w:t>
      </w:r>
    </w:p>
    <w:p w:rsidR="00000000" w:rsidRDefault="002F2DAA">
      <w:pPr>
        <w:bidi/>
        <w:spacing w:before="120" w:line="360" w:lineRule="auto"/>
        <w:jc w:val="both"/>
        <w:rPr>
          <w:rFonts w:hint="cs"/>
          <w:rtl/>
        </w:rPr>
      </w:pPr>
      <w:r>
        <w:rPr>
          <w:rFonts w:cs="David" w:hint="cs"/>
          <w:sz w:val="22"/>
          <w:rtl/>
        </w:rPr>
        <w:t>כמו כ</w:t>
      </w:r>
      <w:r>
        <w:rPr>
          <w:rFonts w:cs="David" w:hint="cs"/>
          <w:sz w:val="22"/>
          <w:rtl/>
        </w:rPr>
        <w:t xml:space="preserve">ן, ישנם גופים נוספים מחוץ למערכת הבנקאית המציעים שירותי משיכת מזומנים במודלים עסקיים שונים: </w:t>
      </w:r>
      <w:r>
        <w:rPr>
          <w:rFonts w:cs="David" w:hint="cs"/>
          <w:i/>
          <w:sz w:val="22"/>
          <w:rtl/>
        </w:rPr>
        <w:t>כספומטים "קשים"</w:t>
      </w:r>
      <w:r>
        <w:rPr>
          <w:rFonts w:cs="David" w:hint="cs"/>
          <w:sz w:val="22"/>
          <w:rtl/>
        </w:rPr>
        <w:t xml:space="preserve">, בדומה למערכת הבנקאית, שהינם מעין כספת מאובטחת, העומדת בפני עצמה וניתנת להצבה בכל מקום; כספומטים "רכים", המוצבים בתוך בית עסק או בסמוך לו </w:t>
      </w:r>
      <w:r>
        <w:rPr>
          <w:rFonts w:cs="David" w:hint="cs"/>
          <w:i/>
          <w:sz w:val="22"/>
          <w:rtl/>
        </w:rPr>
        <w:t>כאשר בעל ה</w:t>
      </w:r>
      <w:r>
        <w:rPr>
          <w:rFonts w:cs="David" w:hint="cs"/>
          <w:i/>
          <w:sz w:val="22"/>
          <w:rtl/>
        </w:rPr>
        <w:t>עסק הוא שאחראי לתפעול (טעינת המזומן) הכספומט</w:t>
      </w:r>
      <w:r>
        <w:rPr>
          <w:rFonts w:cs="David" w:hint="cs"/>
          <w:sz w:val="22"/>
          <w:rtl/>
        </w:rPr>
        <w:t xml:space="preserve">; ומשיכת מזומנים מקופת בית עסק באמצעות כרטיס אשראי או משיכת מזומן בקופת בית העסק באופן של חיוב מיידי.  </w:t>
      </w:r>
    </w:p>
    <w:p w:rsidR="00000000" w:rsidRDefault="002F2DAA">
      <w:pPr>
        <w:bidi/>
        <w:spacing w:before="120" w:line="360" w:lineRule="auto"/>
        <w:jc w:val="both"/>
        <w:rPr>
          <w:rFonts w:hint="cs"/>
          <w:rtl/>
        </w:rPr>
      </w:pPr>
      <w:r>
        <w:rPr>
          <w:rFonts w:cs="David" w:hint="cs"/>
          <w:sz w:val="22"/>
          <w:rtl/>
        </w:rPr>
        <w:tab/>
      </w:r>
      <w:r>
        <w:rPr>
          <w:rStyle w:val="Strong"/>
          <w:rFonts w:cs="David" w:hint="cs"/>
          <w:sz w:val="22"/>
          <w:rtl/>
        </w:rPr>
        <w:t xml:space="preserve">ב.3. החששות התחרותיים </w:t>
      </w:r>
    </w:p>
    <w:p w:rsidR="00000000" w:rsidRDefault="002F2DAA">
      <w:pPr>
        <w:bidi/>
        <w:spacing w:before="120" w:line="360" w:lineRule="auto"/>
        <w:jc w:val="both"/>
        <w:rPr>
          <w:rFonts w:hint="cs"/>
          <w:rtl/>
        </w:rPr>
      </w:pPr>
      <w:r>
        <w:rPr>
          <w:rFonts w:cs="David" w:hint="cs"/>
          <w:rtl/>
        </w:rPr>
        <w:t xml:space="preserve">באופן עקרוני ניתן לומר כי מיזם משותף בין מתחרים בתחום התחרות עשוי להקים שלושה חששות </w:t>
      </w:r>
      <w:r>
        <w:rPr>
          <w:rFonts w:cs="David" w:hint="cs"/>
          <w:rtl/>
        </w:rPr>
        <w:t>עיקריים לתחרות: (א) חשש להפחתת התחרות במישור היחסים שבין ההורים למיזם לבין המיזם עצמו; (ב) חשש להפחתת התחרות בין ההורים למיזם לבין עצמם; (ג) חשש כי המיזם המשותף יוביל לתיאומים אסורים בין ההורים למיזם לבין עצמם.</w:t>
      </w:r>
      <w:r>
        <w:rPr>
          <w:rStyle w:val="FootnoteReference"/>
          <w:rFonts w:cs="David"/>
          <w:vertAlign w:val="superscript"/>
          <w:rtl/>
        </w:rPr>
        <w:footnoteReference w:id="9"/>
      </w:r>
      <w:r>
        <w:rPr>
          <w:rStyle w:val="FootnoteReference"/>
          <w:rFonts w:cs="David" w:hint="cs"/>
          <w:vertAlign w:val="superscript"/>
        </w:rPr>
        <w:t>[9]</w:t>
      </w:r>
      <w:r>
        <w:rPr>
          <w:rFonts w:cs="David" w:hint="cs"/>
          <w:vertAlign w:val="superscript"/>
          <w:rtl/>
        </w:rPr>
        <w:t xml:space="preserve"> </w:t>
      </w:r>
    </w:p>
    <w:p w:rsidR="00000000" w:rsidRDefault="002F2DAA">
      <w:pPr>
        <w:bidi/>
        <w:spacing w:before="120" w:line="360" w:lineRule="auto"/>
        <w:jc w:val="both"/>
        <w:rPr>
          <w:rFonts w:hint="cs"/>
          <w:rtl/>
        </w:rPr>
      </w:pPr>
      <w:r>
        <w:rPr>
          <w:rFonts w:cs="David" w:hint="cs"/>
          <w:rtl/>
        </w:rPr>
        <w:lastRenderedPageBreak/>
        <w:t>כפי שהוסבר בפטור הקודם, בעניין הכספומטים</w:t>
      </w:r>
      <w:r>
        <w:rPr>
          <w:rFonts w:cs="David" w:hint="cs"/>
          <w:rtl/>
        </w:rPr>
        <w:t xml:space="preserve"> מתעורר חשש מהסוג הראשון: הורים למיזם משותף אינם נוטים להתחרות בו, שהרי תחרות כזו משמעה פגיעה באינטרסים שלהם עצמם, ולפיכך היא מטבעה תחרות מוגבלת. כך גם בענייננו: </w:t>
      </w:r>
      <w:r>
        <w:rPr>
          <w:rFonts w:cs="David" w:hint="cs"/>
          <w:sz w:val="22"/>
          <w:rtl/>
        </w:rPr>
        <w:t>הן הבנקים והן שבא מציבים כספומטים מרוחקים וגובים עמלה על שירות משיכת מזומנים. פעילות הבנקים בה</w:t>
      </w:r>
      <w:r>
        <w:rPr>
          <w:rFonts w:cs="David" w:hint="cs"/>
          <w:sz w:val="22"/>
          <w:rtl/>
        </w:rPr>
        <w:t>קשר זה מתחרה ישירות בפעילותה של שבא, שאת מניותיה הם מחזיקים. בנוסף, נוכחותה של שבא בתחום הכספומטים המרוחקים מקטינה את תמריץ ההשקעה של הבנקים בהרחבת הרשתות שלהם. מנגד, פריסת הכספומטים על ידי שבא מרתיעה בנקים, לרבות כאלה שאינם בעלים של שבא, להשקיע בפריסת כספ</w:t>
      </w:r>
      <w:r>
        <w:rPr>
          <w:rFonts w:cs="David" w:hint="cs"/>
          <w:sz w:val="22"/>
          <w:rtl/>
        </w:rPr>
        <w:t>ומטים מרוחקים בשליטה עצמאית של הבנק.</w:t>
      </w:r>
      <w:r>
        <w:rPr>
          <w:rFonts w:cs="David" w:hint="cs"/>
          <w:rtl/>
        </w:rPr>
        <w:t xml:space="preserve">  </w:t>
      </w:r>
    </w:p>
    <w:p w:rsidR="00000000" w:rsidRDefault="002F2DAA">
      <w:pPr>
        <w:bidi/>
        <w:spacing w:before="120" w:line="360" w:lineRule="auto"/>
        <w:jc w:val="both"/>
        <w:rPr>
          <w:rFonts w:hint="cs"/>
          <w:rtl/>
        </w:rPr>
      </w:pPr>
      <w:r>
        <w:rPr>
          <w:rFonts w:cs="David" w:hint="cs"/>
          <w:rtl/>
        </w:rPr>
        <w:t>אמנם בעניינו לא קיימות, למיטב ידיעתנו, הגבלות מפורשות לעניין יכולתם של חברי המיזם להתחרות במיזם עצמו. אולם אף ללא הגבלות אלה, כל מיזם משותף – אף אם אין בו כבילה מפורשת – כולל כבילה משתמעת לפיה יימנעו הורי המיזם מתחרות</w:t>
      </w:r>
      <w:r>
        <w:rPr>
          <w:rFonts w:cs="David" w:hint="cs"/>
          <w:rtl/>
        </w:rPr>
        <w:t xml:space="preserve"> במיזם עצמו</w:t>
      </w:r>
      <w:bookmarkStart w:id="1" w:name="_Ref152054710"/>
      <w:bookmarkEnd w:id="1"/>
      <w:r>
        <w:rPr>
          <w:rFonts w:cs="David" w:hint="cs"/>
          <w:rtl/>
        </w:rPr>
        <w:t>,</w:t>
      </w:r>
      <w:r>
        <w:rPr>
          <w:rStyle w:val="FootnoteReference"/>
          <w:rFonts w:cs="David"/>
          <w:vertAlign w:val="superscript"/>
          <w:rtl/>
        </w:rPr>
        <w:footnoteReference w:id="10"/>
      </w:r>
      <w:r>
        <w:rPr>
          <w:rStyle w:val="FootnoteReference"/>
          <w:rFonts w:cs="David" w:hint="cs"/>
          <w:vertAlign w:val="superscript"/>
        </w:rPr>
        <w:t>[10]</w:t>
      </w:r>
      <w:r>
        <w:rPr>
          <w:rFonts w:cs="David" w:hint="cs"/>
          <w:rtl/>
        </w:rPr>
        <w:t xml:space="preserve"> או לכל הפחות הקטנה משמעותית בתמריצים של הורי המיזם להתחרות בו. עמד על כך בית הדין להגבלים עסקיים בפסק הדין בעניין דטה קאר</w:t>
      </w:r>
      <w:r>
        <w:rPr>
          <w:rStyle w:val="FootnoteReference"/>
          <w:rFonts w:cs="David"/>
          <w:vertAlign w:val="superscript"/>
          <w:rtl/>
        </w:rPr>
        <w:footnoteReference w:id="11"/>
      </w:r>
      <w:r>
        <w:rPr>
          <w:rStyle w:val="FootnoteReference"/>
          <w:rFonts w:cs="David" w:hint="cs"/>
          <w:sz w:val="22"/>
          <w:szCs w:val="22"/>
          <w:vertAlign w:val="superscript"/>
        </w:rPr>
        <w:t>[11]</w:t>
      </w:r>
      <w:r>
        <w:rPr>
          <w:rFonts w:cs="David" w:hint="cs"/>
          <w:rtl/>
        </w:rPr>
        <w:t>:</w:t>
      </w:r>
    </w:p>
    <w:p w:rsidR="00000000" w:rsidRDefault="002F2DAA">
      <w:pPr>
        <w:bidi/>
        <w:spacing w:before="120" w:line="360" w:lineRule="auto"/>
        <w:ind w:left="720" w:right="1259"/>
        <w:jc w:val="both"/>
        <w:rPr>
          <w:rFonts w:hint="cs"/>
          <w:rtl/>
        </w:rPr>
      </w:pPr>
      <w:r>
        <w:rPr>
          <w:rFonts w:cs="David" w:hint="cs"/>
          <w:rtl/>
        </w:rPr>
        <w:t>"כעיקרון כל מיזם משותף שולל מהצדדים את החופש להתחרות בו, אף אם אין בהסכם ההקמה הגבלה מפורשת על התחרות".</w:t>
      </w:r>
    </w:p>
    <w:p w:rsidR="00000000" w:rsidRDefault="002F2DAA">
      <w:pPr>
        <w:bidi/>
        <w:spacing w:before="120" w:line="360" w:lineRule="auto"/>
        <w:jc w:val="both"/>
        <w:rPr>
          <w:rFonts w:hint="cs"/>
          <w:rtl/>
        </w:rPr>
      </w:pPr>
      <w:r>
        <w:rPr>
          <w:rFonts w:cs="David" w:hint="cs"/>
          <w:sz w:val="22"/>
          <w:rtl/>
        </w:rPr>
        <w:t xml:space="preserve">אף החשש מהסוג השני המצוין לעיל מתקיים בענייננו: פעילות שבא בתחום הכספומטים יוצרת תמריץ שלילי לבנקים המחזיקים בה, הפועלים גם הם בתחום הכספומטים המרוחקים, להתחרות באגרסיביות בינם לבין עצמם. </w:t>
      </w:r>
    </w:p>
    <w:p w:rsidR="00000000" w:rsidRDefault="002F2DAA">
      <w:pPr>
        <w:bidi/>
        <w:spacing w:before="120" w:line="360" w:lineRule="auto"/>
        <w:jc w:val="both"/>
        <w:rPr>
          <w:rFonts w:hint="cs"/>
          <w:rtl/>
        </w:rPr>
      </w:pPr>
      <w:r>
        <w:rPr>
          <w:rFonts w:cs="David" w:hint="cs"/>
          <w:sz w:val="22"/>
          <w:rtl/>
        </w:rPr>
        <w:t>התמריץ להתחרות, בין הבנקים לבין שבא ובין הבנקים לבין עצמם, באותם המ</w:t>
      </w:r>
      <w:r>
        <w:rPr>
          <w:rFonts w:cs="David" w:hint="cs"/>
          <w:sz w:val="22"/>
          <w:rtl/>
        </w:rPr>
        <w:t>קומות בהם שבא מפעילה כספומט, קטן עבור כל אחד מהבנקים המחזיקים בשבא. כלומר, החשש הוא ששבא גורמת לריכוך התחרות בין הבנקים לבין עצמם במקומות בהם היא מפעילה כספומטים.</w:t>
      </w:r>
    </w:p>
    <w:p w:rsidR="00000000" w:rsidRDefault="002F2DAA">
      <w:pPr>
        <w:bidi/>
        <w:spacing w:before="120" w:line="360" w:lineRule="auto"/>
        <w:jc w:val="both"/>
        <w:rPr>
          <w:rFonts w:hint="cs"/>
          <w:rtl/>
        </w:rPr>
      </w:pPr>
      <w:r>
        <w:rPr>
          <w:rFonts w:cs="David" w:hint="cs"/>
          <w:sz w:val="22"/>
          <w:rtl/>
        </w:rPr>
        <w:t>נוסף על כך, מהנתונים שבידי עולה כי מי שמגיע ליעילות גדולה בטיב השירות הם דווקא הבנקים הגדולים</w:t>
      </w:r>
      <w:r>
        <w:rPr>
          <w:rFonts w:cs="David" w:hint="cs"/>
          <w:sz w:val="22"/>
          <w:rtl/>
        </w:rPr>
        <w:t xml:space="preserve"> בישראל. יעילותם של הבנקים הגדולים אינה מתמצה רק בטיב השירות, אלא גם במחיר לצרכן. </w:t>
      </w:r>
    </w:p>
    <w:p w:rsidR="00000000" w:rsidRDefault="002F2DAA">
      <w:pPr>
        <w:bidi/>
        <w:spacing w:before="120" w:line="360" w:lineRule="auto"/>
        <w:jc w:val="both"/>
        <w:rPr>
          <w:rFonts w:hint="cs"/>
          <w:rtl/>
        </w:rPr>
      </w:pPr>
      <w:r>
        <w:rPr>
          <w:rFonts w:cs="David" w:hint="cs"/>
          <w:sz w:val="22"/>
          <w:rtl/>
        </w:rPr>
        <w:t>ניכר בבירור מהבדיקה שערכה הרשות שעמלת משיכת מזומן אינה הזולה ביותר אצל שבא. מבדיקת הרשות עולה דווקא כי העמלה הממוצעת הנמוכה ביותר נגבית על-ידי הבנקים הגדולים.</w:t>
      </w:r>
    </w:p>
    <w:p w:rsidR="00000000" w:rsidRDefault="002F2DAA">
      <w:pPr>
        <w:bidi/>
        <w:spacing w:before="120" w:line="360" w:lineRule="auto"/>
        <w:jc w:val="both"/>
        <w:rPr>
          <w:rFonts w:hint="cs"/>
          <w:rtl/>
        </w:rPr>
      </w:pPr>
      <w:r>
        <w:rPr>
          <w:rFonts w:cs="David" w:hint="cs"/>
          <w:sz w:val="22"/>
          <w:rtl/>
        </w:rPr>
        <w:t>מן המקובץ עולה</w:t>
      </w:r>
      <w:r>
        <w:rPr>
          <w:rFonts w:cs="David" w:hint="cs"/>
          <w:sz w:val="22"/>
          <w:rtl/>
        </w:rPr>
        <w:t>, כי ההחזקה המשותפת של הבנקים בפעילות זו עשויה דווקא לפגוע ביעילותה, בטיב השירות ובמחיר המוצע לצרכן, וכי הרחבת הפעילות של כספומטים מרוחקים של הבנקים דווקא תיטיב עם הלקוחות, מאחר שתוצאתה היא שיפור המחיר לצרכן ושיפור של איכות ומגוון השירות.</w:t>
      </w:r>
    </w:p>
    <w:p w:rsidR="00000000" w:rsidRDefault="002F2DAA">
      <w:pPr>
        <w:bidi/>
        <w:spacing w:before="120" w:line="360" w:lineRule="auto"/>
        <w:jc w:val="both"/>
        <w:rPr>
          <w:rFonts w:hint="cs"/>
          <w:rtl/>
        </w:rPr>
      </w:pPr>
      <w:r>
        <w:rPr>
          <w:rFonts w:cs="David" w:hint="cs"/>
          <w:sz w:val="22"/>
          <w:rtl/>
        </w:rPr>
        <w:lastRenderedPageBreak/>
        <w:t>לבסוף, לאחר בחינה</w:t>
      </w:r>
      <w:r>
        <w:rPr>
          <w:rFonts w:cs="David" w:hint="cs"/>
          <w:sz w:val="22"/>
          <w:rtl/>
        </w:rPr>
        <w:t xml:space="preserve"> של פעילותה של שבא בתחום הפעלת מכשירי</w:t>
      </w:r>
      <w:r>
        <w:rPr>
          <w:rFonts w:cs="David"/>
        </w:rPr>
        <w:t xml:space="preserve">ATM </w:t>
      </w:r>
      <w:r>
        <w:rPr>
          <w:rFonts w:cs="David" w:hint="cs"/>
          <w:sz w:val="22"/>
          <w:rtl/>
        </w:rPr>
        <w:t xml:space="preserve"> מצאתי, כי בהינתן פוטנציאל הפגיעה הממשי בתחרות הנובע מכך שתפעול מכשירי ה-</w:t>
      </w:r>
      <w:r>
        <w:rPr>
          <w:rFonts w:cs="David"/>
        </w:rPr>
        <w:t>ATM</w:t>
      </w:r>
      <w:r>
        <w:rPr>
          <w:rFonts w:cs="David" w:hint="cs"/>
          <w:sz w:val="22"/>
          <w:rtl/>
        </w:rPr>
        <w:t xml:space="preserve"> נעשה על ידי חברה שבבעלות חמשת הבנקים הגדולים בישראל בתחום בו הם מתחרים בעצמם, מצאתי לקבוע כי אין מקום לפטור מאישור בין הדין מיזם משותף מעי</w:t>
      </w:r>
      <w:r>
        <w:rPr>
          <w:rFonts w:cs="David" w:hint="cs"/>
          <w:sz w:val="22"/>
          <w:rtl/>
        </w:rPr>
        <w:t>ן זה, אלא לתקופה קצרה של 8 חודשים במהלכם תועבר פעילות ה-</w:t>
      </w:r>
      <w:r>
        <w:rPr>
          <w:rFonts w:cs="David"/>
        </w:rPr>
        <w:t>ATM</w:t>
      </w:r>
      <w:r>
        <w:rPr>
          <w:rFonts w:cs="David" w:hint="cs"/>
          <w:sz w:val="22"/>
          <w:rtl/>
        </w:rPr>
        <w:t xml:space="preserve"> של שבא לצד שלישי (אחד או יותר). הליך המכירה יובא לאישורי על מנת לוודא כי אין במכירה עצמה אין כדי לפגוע בתחרות.</w:t>
      </w:r>
    </w:p>
    <w:p w:rsidR="00000000" w:rsidRDefault="002F2DAA">
      <w:pPr>
        <w:bidi/>
        <w:spacing w:before="120" w:line="360" w:lineRule="auto"/>
        <w:jc w:val="both"/>
        <w:rPr>
          <w:rFonts w:hint="cs"/>
          <w:rtl/>
        </w:rPr>
      </w:pPr>
      <w:r>
        <w:rPr>
          <w:rFonts w:cs="David" w:hint="cs"/>
          <w:sz w:val="22"/>
          <w:rtl/>
        </w:rPr>
        <w:t xml:space="preserve">      </w:t>
      </w:r>
      <w:r>
        <w:rPr>
          <w:rStyle w:val="Strong"/>
          <w:rFonts w:eastAsia="David" w:cs="David" w:hint="cs"/>
          <w:kern w:val="36"/>
          <w:rtl/>
        </w:rPr>
        <w:t xml:space="preserve">ג. גביית דמי התחברות </w:t>
      </w:r>
    </w:p>
    <w:p w:rsidR="00000000" w:rsidRDefault="002F2DAA">
      <w:pPr>
        <w:bidi/>
        <w:spacing w:before="120" w:line="360" w:lineRule="auto"/>
        <w:jc w:val="both"/>
        <w:rPr>
          <w:rFonts w:hint="cs"/>
          <w:rtl/>
        </w:rPr>
      </w:pPr>
      <w:r>
        <w:rPr>
          <w:rFonts w:cs="David" w:hint="cs"/>
          <w:sz w:val="22"/>
          <w:rtl/>
        </w:rPr>
        <w:t>במסגרת תנאי הפטור הקודם אסרתי על שבא לגבות דמי התחברות למערכותיה הכוללים עלויות היסטוריות של המערכת. כן קבעתי שם כי שבא תהא רשאית לגבות את העלויות התוספתיות הנדרשות מהתאמת המערכת ובלבד שינבעו באופן ישיר מביצוע ההתאמות הנדרשות.</w:t>
      </w:r>
      <w:r>
        <w:rPr>
          <w:rStyle w:val="FootnoteReference"/>
          <w:rFonts w:cs="David"/>
          <w:sz w:val="22"/>
          <w:vertAlign w:val="superscript"/>
          <w:rtl/>
        </w:rPr>
        <w:footnoteReference w:id="12"/>
      </w:r>
      <w:r>
        <w:rPr>
          <w:rStyle w:val="FootnoteReference"/>
          <w:rFonts w:cs="David" w:hint="cs"/>
          <w:sz w:val="22"/>
          <w:vertAlign w:val="superscript"/>
        </w:rPr>
        <w:t>[12]</w:t>
      </w:r>
    </w:p>
    <w:p w:rsidR="00000000" w:rsidRDefault="002F2DAA">
      <w:pPr>
        <w:bidi/>
        <w:spacing w:before="120" w:line="360" w:lineRule="auto"/>
        <w:jc w:val="both"/>
        <w:rPr>
          <w:rFonts w:hint="cs"/>
          <w:rtl/>
        </w:rPr>
      </w:pPr>
      <w:r>
        <w:rPr>
          <w:rFonts w:cs="David" w:hint="cs"/>
          <w:sz w:val="22"/>
          <w:rtl/>
        </w:rPr>
        <w:t>החשש שעמד בבסיסו של תנאי</w:t>
      </w:r>
      <w:r>
        <w:rPr>
          <w:rFonts w:cs="David" w:hint="cs"/>
          <w:sz w:val="22"/>
          <w:rtl/>
        </w:rPr>
        <w:t xml:space="preserve"> זה נבע מכך שדמי ההתחברות הנגבים על ידי שבא, כמו גם משך ההתחברות, מהווים חסם כניסה לשוק הסליקה, דבר המשרת את השחקנים הקיימים בשוק – חברות כרטיסי האשראי – שהן חברות אחיות של שבא. </w:t>
      </w:r>
    </w:p>
    <w:p w:rsidR="00000000" w:rsidRDefault="002F2DAA">
      <w:pPr>
        <w:bidi/>
        <w:spacing w:before="120" w:line="360" w:lineRule="auto"/>
        <w:jc w:val="both"/>
        <w:rPr>
          <w:rFonts w:hint="cs"/>
          <w:rtl/>
        </w:rPr>
      </w:pPr>
      <w:r>
        <w:rPr>
          <w:rFonts w:cs="David" w:hint="cs"/>
          <w:sz w:val="22"/>
          <w:rtl/>
        </w:rPr>
        <w:t>במהלך התקופה שחלפה מאז הפטור הקודם הציגה בפניי שבא תחשיב כלכלי המפרט את דרישו</w:t>
      </w:r>
      <w:r>
        <w:rPr>
          <w:rFonts w:cs="David" w:hint="cs"/>
          <w:sz w:val="22"/>
          <w:rtl/>
        </w:rPr>
        <w:t>תיה בנושא דמי ההתחברות הן ביחס לעלות התוספתית הכרוכה בחיבור והן ביחס לעלויות ההיסטוריות שמבקשת שבא להעמיס על גורם המבקש להתחבר למתג כרטיסי האשראי. אני מוצא לנכון להעיר, כי תחשיב זה המוצע על ידי שבא כעת נמוך באופן משמעותי מאד מדמי ההתחברות שדרשה שבא בעבר. י</w:t>
      </w:r>
      <w:r>
        <w:rPr>
          <w:rFonts w:cs="David" w:hint="cs"/>
          <w:sz w:val="22"/>
          <w:rtl/>
        </w:rPr>
        <w:t xml:space="preserve">חד עם זאת, אף הוא אינו מבוסס דיו באופן מספק על מנת שאוכל להסכים לו. לפיכך, </w:t>
      </w:r>
      <w:r>
        <w:rPr>
          <w:rFonts w:cs="David" w:hint="cs"/>
          <w:rtl/>
        </w:rPr>
        <w:t>יש להתיר לשבא לגבות ממצטרפים חדשים אך ורק את העלויות התוספתיות הכרוכות במתן גישה למערכות השונות, אשר ינבעו באופן ישיר מביצוע ההתאמות הנדרשות במערכות, וזאת ורק לאחר הצגה מפורטת של חי</w:t>
      </w:r>
      <w:r>
        <w:rPr>
          <w:rFonts w:cs="David" w:hint="cs"/>
          <w:rtl/>
        </w:rPr>
        <w:t xml:space="preserve">שוב העלויות בפני המצטרפים החדשים ובפניי ובכפוף לקבלת אישורי בכתב. </w:t>
      </w:r>
    </w:p>
    <w:p w:rsidR="00000000" w:rsidRDefault="002F2DAA">
      <w:pPr>
        <w:bidi/>
        <w:spacing w:before="120" w:line="360" w:lineRule="auto"/>
        <w:jc w:val="both"/>
        <w:rPr>
          <w:rFonts w:hint="cs"/>
          <w:rtl/>
        </w:rPr>
      </w:pPr>
      <w:r>
        <w:rPr>
          <w:rFonts w:cs="David" w:hint="cs"/>
          <w:rtl/>
        </w:rPr>
        <w:t> </w:t>
      </w:r>
    </w:p>
    <w:p w:rsidR="00000000" w:rsidRDefault="002F2DAA">
      <w:pPr>
        <w:bidi/>
        <w:spacing w:before="120" w:line="360" w:lineRule="auto"/>
        <w:jc w:val="both"/>
        <w:outlineLvl w:val="0"/>
        <w:rPr>
          <w:rFonts w:hint="cs"/>
          <w:rtl/>
        </w:rPr>
      </w:pPr>
      <w:r>
        <w:rPr>
          <w:rStyle w:val="Strong"/>
          <w:rFonts w:eastAsia="David" w:cs="David" w:hint="cs"/>
          <w:kern w:val="36"/>
          <w:rtl/>
        </w:rPr>
        <w:t>ד. סוף דבר</w:t>
      </w:r>
    </w:p>
    <w:p w:rsidR="00000000" w:rsidRDefault="002F2DAA">
      <w:pPr>
        <w:bidi/>
        <w:spacing w:before="120" w:line="360" w:lineRule="auto"/>
        <w:jc w:val="both"/>
        <w:rPr>
          <w:rFonts w:hint="cs"/>
          <w:rtl/>
        </w:rPr>
      </w:pPr>
      <w:r>
        <w:rPr>
          <w:rFonts w:cs="David" w:hint="cs"/>
          <w:sz w:val="22"/>
          <w:rtl/>
        </w:rPr>
        <w:t xml:space="preserve">לאחר שנועצתי בוועדה לפטורים ומיזוגים, ראיתי לנכון להשתמש בסמכות הנתונה לי בסעיף 14 לחוק ההגבלים העסקיים להאריך את תוקפו של הפטור למשך 6 חודשים מהיום, בכפוף לתנאים שלהלן: </w:t>
      </w:r>
    </w:p>
    <w:p w:rsidR="00000000" w:rsidRDefault="002F2DAA">
      <w:pPr>
        <w:bidi/>
        <w:spacing w:before="100" w:beforeAutospacing="1" w:after="100" w:afterAutospacing="1" w:line="480" w:lineRule="auto"/>
        <w:jc w:val="both"/>
        <w:rPr>
          <w:rFonts w:hint="cs"/>
          <w:rtl/>
        </w:rPr>
      </w:pPr>
      <w:r>
        <w:rPr>
          <w:rStyle w:val="Strong"/>
          <w:rFonts w:cs="David" w:hint="cs"/>
          <w:b w:val="0"/>
          <w:sz w:val="22"/>
          <w:rtl/>
        </w:rPr>
        <w:t> הגדר</w:t>
      </w:r>
      <w:r>
        <w:rPr>
          <w:rStyle w:val="Strong"/>
          <w:rFonts w:cs="David" w:hint="cs"/>
          <w:b w:val="0"/>
          <w:sz w:val="22"/>
          <w:rtl/>
        </w:rPr>
        <w:t>ות</w:t>
      </w:r>
    </w:p>
    <w:p w:rsidR="00000000" w:rsidRDefault="002F2DAA">
      <w:pPr>
        <w:bidi/>
        <w:spacing w:before="100" w:beforeAutospacing="1" w:after="100" w:afterAutospacing="1"/>
        <w:jc w:val="both"/>
        <w:rPr>
          <w:rFonts w:hint="cs"/>
          <w:rtl/>
        </w:rPr>
      </w:pPr>
      <w:r>
        <w:rPr>
          <w:rFonts w:cs="David" w:hint="cs"/>
          <w:sz w:val="22"/>
          <w:rtl/>
        </w:rPr>
        <w:t xml:space="preserve">בתנאים אלה יהיו למונחים הבאים הפירוש המופיע לצדם להלן: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בית עסק</w:t>
      </w:r>
      <w:r>
        <w:rPr>
          <w:rFonts w:cs="David" w:hint="cs"/>
          <w:sz w:val="22"/>
          <w:rtl/>
        </w:rPr>
        <w:t xml:space="preserve">" - </w:t>
      </w:r>
      <w:r>
        <w:rPr>
          <w:rFonts w:cs="David" w:hint="cs"/>
          <w:sz w:val="22"/>
          <w:rtl/>
        </w:rPr>
        <w:tab/>
        <w:t>כהגדרתו בחוק כרטיסי חיוב, תשמ"ו-1986, לרבות תאגיד המעניק שירותי ניכיון</w:t>
      </w:r>
      <w:r>
        <w:rPr>
          <w:rFonts w:cs="David" w:hint="cs"/>
          <w:rtl/>
        </w:rPr>
        <w:t>;</w:t>
      </w:r>
    </w:p>
    <w:p w:rsidR="00000000" w:rsidRDefault="002F2DAA">
      <w:pPr>
        <w:bidi/>
        <w:spacing w:before="100" w:beforeAutospacing="1" w:after="100" w:afterAutospacing="1"/>
        <w:ind w:left="2268" w:hanging="2268"/>
        <w:jc w:val="both"/>
        <w:rPr>
          <w:rFonts w:hint="cs"/>
          <w:rtl/>
        </w:rPr>
      </w:pPr>
      <w:r>
        <w:rPr>
          <w:rFonts w:cs="David" w:hint="cs"/>
          <w:sz w:val="22"/>
          <w:rtl/>
        </w:rPr>
        <w:lastRenderedPageBreak/>
        <w:t>"</w:t>
      </w:r>
      <w:r>
        <w:rPr>
          <w:rStyle w:val="Strong"/>
          <w:rFonts w:cs="David" w:hint="cs"/>
          <w:b w:val="0"/>
          <w:sz w:val="22"/>
          <w:rtl/>
        </w:rPr>
        <w:t>בנק בינלאומי</w:t>
      </w:r>
      <w:r>
        <w:rPr>
          <w:rFonts w:cs="David" w:hint="cs"/>
          <w:sz w:val="22"/>
          <w:rtl/>
        </w:rPr>
        <w:t xml:space="preserve">" - </w:t>
      </w:r>
      <w:r>
        <w:rPr>
          <w:rFonts w:cs="David" w:hint="cs"/>
          <w:sz w:val="22"/>
          <w:rtl/>
        </w:rPr>
        <w:tab/>
        <w:t xml:space="preserve">בנק הבינלאומי הראשון לישראל בע"מ כל אדם השולט בו וכל תאגיד הנשלט על ידי מי מהם;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בנק דיסקונט</w:t>
      </w:r>
      <w:r>
        <w:rPr>
          <w:rFonts w:cs="David" w:hint="cs"/>
          <w:sz w:val="22"/>
          <w:rtl/>
        </w:rPr>
        <w:t>"</w:t>
      </w:r>
      <w:r>
        <w:rPr>
          <w:rFonts w:cs="David" w:hint="cs"/>
          <w:sz w:val="22"/>
          <w:rtl/>
        </w:rPr>
        <w:t xml:space="preserve"> - </w:t>
      </w:r>
      <w:r>
        <w:rPr>
          <w:rFonts w:cs="David" w:hint="cs"/>
          <w:sz w:val="22"/>
          <w:rtl/>
        </w:rPr>
        <w:tab/>
        <w:t xml:space="preserve">בנק דיסקונט בע"מ כל אדם השולט בו וכל תאגיד הנשלט על ידי מי מהם;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בנק לאומי</w:t>
      </w:r>
      <w:r>
        <w:rPr>
          <w:rFonts w:cs="David" w:hint="cs"/>
          <w:sz w:val="22"/>
          <w:rtl/>
        </w:rPr>
        <w:t>" -</w:t>
      </w:r>
      <w:r>
        <w:rPr>
          <w:rFonts w:cs="David" w:hint="cs"/>
          <w:sz w:val="22"/>
          <w:rtl/>
        </w:rPr>
        <w:tab/>
        <w:t>בנק לאומי לישראל בע"מ כל אדם השולט בו וכל תאגיד הנשלט על ידי מי מהם;</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בנק מזרחי</w:t>
      </w:r>
      <w:r>
        <w:rPr>
          <w:rFonts w:cs="David" w:hint="cs"/>
          <w:sz w:val="22"/>
          <w:rtl/>
        </w:rPr>
        <w:t xml:space="preserve">" - </w:t>
      </w:r>
      <w:r>
        <w:rPr>
          <w:rFonts w:cs="David" w:hint="cs"/>
          <w:sz w:val="22"/>
          <w:rtl/>
        </w:rPr>
        <w:tab/>
        <w:t>בנק מזרחי טפחות בע"מ כל אדם השולט בו וכל תאגיד הנשלט על ידי מי מהם;</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בנק הפועלים</w:t>
      </w:r>
      <w:r>
        <w:rPr>
          <w:rFonts w:cs="David" w:hint="cs"/>
          <w:sz w:val="22"/>
          <w:rtl/>
        </w:rPr>
        <w:t xml:space="preserve">" - </w:t>
      </w:r>
      <w:r>
        <w:rPr>
          <w:rFonts w:cs="David" w:hint="cs"/>
          <w:sz w:val="22"/>
          <w:rtl/>
        </w:rPr>
        <w:tab/>
        <w:t xml:space="preserve">בנק </w:t>
      </w:r>
      <w:r>
        <w:rPr>
          <w:rFonts w:cs="David" w:hint="cs"/>
          <w:sz w:val="22"/>
          <w:rtl/>
        </w:rPr>
        <w:t>הפועלים בע"מ כל אדם השולט בו וכל תאגיד הנשלט על ידי מי מהם;</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הבנקים</w:t>
      </w:r>
      <w:r>
        <w:rPr>
          <w:rFonts w:cs="David" w:hint="cs"/>
          <w:sz w:val="22"/>
          <w:rtl/>
        </w:rPr>
        <w:t xml:space="preserve">" - </w:t>
      </w:r>
      <w:r>
        <w:rPr>
          <w:rFonts w:cs="David" w:hint="cs"/>
          <w:sz w:val="22"/>
          <w:rtl/>
        </w:rPr>
        <w:tab/>
        <w:t xml:space="preserve">אחד או יותר מאלה: בנק בינלאומי, בנק דיסקונט, בנק לאומי, בנק מזרחי, בנק הפועלים;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sz w:val="22"/>
          <w:rtl/>
        </w:rPr>
        <w:t>הסכם לשימוש במכשירי בנק אוטומטיים</w:t>
      </w:r>
      <w:r>
        <w:rPr>
          <w:rFonts w:cs="David" w:hint="cs"/>
          <w:sz w:val="22"/>
          <w:rtl/>
        </w:rPr>
        <w:t>" - הסכם בין מתפעל מכשירי בנק אוטומטיים לבין מנפיק, המאפשר ללקוחות המ</w:t>
      </w:r>
      <w:r>
        <w:rPr>
          <w:rFonts w:cs="David" w:hint="cs"/>
          <w:sz w:val="22"/>
          <w:rtl/>
        </w:rPr>
        <w:t xml:space="preserve">נפיק לבצע פעולות של משיכת מזומנים או בירור מצב חשבון במכשירי הבנק האוטומטיים השייכים למתפעל כאמור, והכל בין אם המתפעל מנפיק מכשירי בנק אוטומטיים בעצמו ובין אם לאו; </w:t>
      </w:r>
    </w:p>
    <w:p w:rsidR="00000000" w:rsidRDefault="002F2DAA">
      <w:pPr>
        <w:bidi/>
        <w:spacing w:before="100" w:beforeAutospacing="1" w:after="100" w:afterAutospacing="1"/>
        <w:ind w:left="2268" w:hanging="2268"/>
        <w:jc w:val="both"/>
        <w:rPr>
          <w:rFonts w:hint="cs"/>
          <w:rtl/>
        </w:rPr>
      </w:pPr>
      <w:r>
        <w:rPr>
          <w:rStyle w:val="Strong"/>
          <w:rFonts w:cs="David" w:hint="cs"/>
          <w:b w:val="0"/>
          <w:sz w:val="22"/>
          <w:rtl/>
        </w:rPr>
        <w:t>"הפצת תוכנת "אשראית"</w:t>
      </w:r>
      <w:r>
        <w:rPr>
          <w:rFonts w:cs="David" w:hint="cs"/>
          <w:b/>
          <w:sz w:val="22"/>
          <w:rtl/>
        </w:rPr>
        <w:t>" –</w:t>
      </w:r>
      <w:r>
        <w:rPr>
          <w:rStyle w:val="Strong"/>
          <w:rFonts w:cs="David" w:hint="cs"/>
          <w:b w:val="0"/>
          <w:sz w:val="22"/>
          <w:rtl/>
        </w:rPr>
        <w:t xml:space="preserve"> </w:t>
      </w:r>
      <w:r>
        <w:rPr>
          <w:rFonts w:cs="David" w:hint="cs"/>
          <w:sz w:val="22"/>
          <w:rtl/>
        </w:rPr>
        <w:t xml:space="preserve"> הפצת תוכנת "אשראית", </w:t>
      </w:r>
      <w:r>
        <w:rPr>
          <w:rFonts w:cs="David" w:hint="cs"/>
          <w:b/>
          <w:sz w:val="22"/>
          <w:rtl/>
        </w:rPr>
        <w:t>ל</w:t>
      </w:r>
      <w:r>
        <w:rPr>
          <w:rFonts w:cs="David" w:hint="cs"/>
          <w:sz w:val="22"/>
          <w:rtl/>
        </w:rPr>
        <w:t>רבות מתן רישיונות ליצרנים לשימוש באפיון תוכנ</w:t>
      </w:r>
      <w:r>
        <w:rPr>
          <w:rFonts w:cs="David" w:hint="cs"/>
          <w:sz w:val="22"/>
          <w:rtl/>
        </w:rPr>
        <w:t>ת "אשראית";</w:t>
      </w:r>
      <w:r>
        <w:rPr>
          <w:rStyle w:val="Strong"/>
          <w:rFonts w:cs="David" w:hint="cs"/>
          <w:sz w:val="22"/>
          <w:rtl/>
        </w:rPr>
        <w:t xml:space="preserve">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כרטיס אשראי</w:t>
      </w:r>
      <w:r>
        <w:rPr>
          <w:rFonts w:cs="David" w:hint="cs"/>
          <w:sz w:val="22"/>
          <w:rtl/>
        </w:rPr>
        <w:t xml:space="preserve">" - </w:t>
      </w:r>
      <w:r>
        <w:rPr>
          <w:rFonts w:cs="David" w:hint="cs"/>
          <w:sz w:val="22"/>
          <w:rtl/>
        </w:rPr>
        <w:tab/>
        <w:t>לוחית או חפץ אחר לשימוש חוזר המיועדים לרכישת נכסים מאת בית עסק ללא תשלום מיידי של התמורה, לרבות "כרטיס בנק" ו"כרטיס חיוב", כהגדרתם בחוק כרטיסי חיוב, תשמ"ו-1986, ולרבות כרטיס המשמש הן ככרטיס אשראי והן ככרטיס למשיכת מזומנים ולבי</w:t>
      </w:r>
      <w:r>
        <w:rPr>
          <w:rFonts w:cs="David" w:hint="cs"/>
          <w:sz w:val="22"/>
          <w:rtl/>
        </w:rPr>
        <w:t xml:space="preserve">רור מצב חשבון באמצעות מכשירי בנק אוטומטיים. אך למעט כרטיס שכל ייעודו טעינת ערך כספי בו ושימוש בערך הכספי לתשלום; </w:t>
      </w:r>
    </w:p>
    <w:p w:rsidR="00000000" w:rsidRDefault="002F2D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504"/>
        </w:tabs>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לקוח</w:t>
      </w:r>
      <w:r>
        <w:rPr>
          <w:rFonts w:cs="David" w:hint="cs"/>
          <w:sz w:val="22"/>
          <w:rtl/>
        </w:rPr>
        <w:t xml:space="preserve">" - </w:t>
      </w:r>
      <w:r>
        <w:rPr>
          <w:rFonts w:cs="David" w:hint="cs"/>
          <w:sz w:val="22"/>
          <w:rtl/>
        </w:rPr>
        <w:tab/>
        <w:t xml:space="preserve">               כמשמעו בחוק כרטיסי חיוב, תשמ"ו-1986;</w:t>
      </w:r>
      <w:r>
        <w:rPr>
          <w:rFonts w:cs="David" w:hint="cs"/>
          <w:sz w:val="22"/>
          <w:rtl/>
        </w:rPr>
        <w:tab/>
      </w:r>
      <w:r>
        <w:rPr>
          <w:rFonts w:cs="David" w:hint="cs"/>
          <w:sz w:val="22"/>
          <w:rtl/>
        </w:rPr>
        <w:tab/>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מנפיק</w:t>
      </w:r>
      <w:r>
        <w:rPr>
          <w:rFonts w:cs="David" w:hint="cs"/>
          <w:sz w:val="22"/>
          <w:rtl/>
        </w:rPr>
        <w:t xml:space="preserve">" - </w:t>
      </w:r>
      <w:r>
        <w:rPr>
          <w:rFonts w:cs="David" w:hint="cs"/>
          <w:sz w:val="22"/>
          <w:rtl/>
        </w:rPr>
        <w:tab/>
      </w:r>
      <w:r>
        <w:rPr>
          <w:rFonts w:cs="David" w:hint="cs"/>
          <w:sz w:val="22"/>
          <w:rtl/>
        </w:rPr>
        <w:t xml:space="preserve">אדם המנפיק, מפיץ או משווק כרטיסי אשראי, שהוא צד לחוזה כרטיס חיוב, כהגדרתו בחוק כרטיסי חיוב, תשמ"ו-1986, עם מקבלו, שהוא לקוח, והאחראי לתשלומים המגיעים מלקוח שעשה שימוש בכרטיס אשראי שהונפק, הופץ או שווק על ידו;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נושא משרה/דירקטור</w:t>
      </w:r>
      <w:r>
        <w:rPr>
          <w:rFonts w:cs="David" w:hint="cs"/>
          <w:sz w:val="22"/>
          <w:rtl/>
        </w:rPr>
        <w:t xml:space="preserve">" - כהגדרתו של מונח זה בחוק </w:t>
      </w:r>
      <w:r>
        <w:rPr>
          <w:rFonts w:cs="David" w:hint="cs"/>
          <w:sz w:val="22"/>
          <w:rtl/>
        </w:rPr>
        <w:t xml:space="preserve">החברות, התשנ"ט-1999;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נקודת קצה</w:t>
      </w:r>
      <w:r>
        <w:rPr>
          <w:rFonts w:cs="David" w:hint="cs"/>
          <w:sz w:val="22"/>
          <w:rtl/>
        </w:rPr>
        <w:t xml:space="preserve">" - </w:t>
      </w:r>
      <w:r>
        <w:rPr>
          <w:rFonts w:cs="David" w:hint="cs"/>
          <w:sz w:val="22"/>
          <w:rtl/>
        </w:rPr>
        <w:tab/>
      </w:r>
      <w:r>
        <w:rPr>
          <w:rFonts w:cs="David"/>
        </w:rPr>
        <w:t>P.O.S</w:t>
      </w:r>
      <w:r>
        <w:rPr>
          <w:rFonts w:cs="David" w:hint="cs"/>
          <w:sz w:val="22"/>
          <w:rtl/>
        </w:rPr>
        <w:t>: קורא אלקטרוני של כרטיסי אשראי הנמצא אצל בית העסק, וכן טרמינל או כל מכשיר אחר המסוגל לקרוא את המידע אשר על גבי הכרטיס;</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סולק</w:t>
      </w:r>
      <w:r>
        <w:rPr>
          <w:rFonts w:cs="David" w:hint="cs"/>
          <w:sz w:val="22"/>
          <w:rtl/>
        </w:rPr>
        <w:t xml:space="preserve">" - </w:t>
      </w:r>
      <w:r>
        <w:rPr>
          <w:rFonts w:cs="David" w:hint="cs"/>
          <w:sz w:val="22"/>
          <w:rtl/>
        </w:rPr>
        <w:tab/>
        <w:t>כהגדרתו בחוק הבנקאות (רישוי), התשמ"א-1981;</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sz w:val="22"/>
          <w:rtl/>
        </w:rPr>
        <w:t xml:space="preserve">שירותי חיבור לשירות מיתוג </w:t>
      </w:r>
      <w:r>
        <w:rPr>
          <w:rStyle w:val="Strong"/>
          <w:rFonts w:cs="David"/>
        </w:rPr>
        <w:t>ATM</w:t>
      </w:r>
      <w:r>
        <w:rPr>
          <w:rFonts w:cs="David" w:hint="cs"/>
          <w:sz w:val="22"/>
          <w:rtl/>
        </w:rPr>
        <w:t>"  - שירותי</w:t>
      </w:r>
      <w:r>
        <w:rPr>
          <w:rFonts w:cs="David" w:hint="cs"/>
          <w:sz w:val="22"/>
          <w:rtl/>
        </w:rPr>
        <w:t xml:space="preserve">ם שמעניק תאגיד בנקאי בעל גישה לשירותי מיתוג </w:t>
      </w:r>
      <w:r>
        <w:rPr>
          <w:rFonts w:cs="David"/>
        </w:rPr>
        <w:t xml:space="preserve">ATM </w:t>
      </w:r>
      <w:r>
        <w:rPr>
          <w:rFonts w:cs="David" w:hint="cs"/>
          <w:sz w:val="22"/>
          <w:rtl/>
        </w:rPr>
        <w:t xml:space="preserve">, למתפעל מכשירי בנק אוטומטיים שאינו תאגיד בנקאי, המאפשרים למתפעל מכשירי בנק אוטומטיים שאינו תאגיד בנקאי לקבל שירותי מיתוג </w:t>
      </w:r>
      <w:r>
        <w:rPr>
          <w:rFonts w:cs="David"/>
        </w:rPr>
        <w:t xml:space="preserve">ATM </w:t>
      </w:r>
      <w:r>
        <w:rPr>
          <w:rFonts w:cs="David" w:hint="cs"/>
          <w:sz w:val="22"/>
          <w:rtl/>
        </w:rPr>
        <w:t xml:space="preserve"> מבלי להתחבר במישרין לשבא;</w:t>
      </w:r>
    </w:p>
    <w:p w:rsidR="00000000" w:rsidRDefault="002F2DAA">
      <w:pPr>
        <w:bidi/>
        <w:spacing w:before="100" w:beforeAutospacing="1" w:after="100" w:afterAutospacing="1"/>
        <w:ind w:left="2268" w:hanging="2268"/>
        <w:jc w:val="both"/>
        <w:rPr>
          <w:rFonts w:hint="cs"/>
          <w:rtl/>
        </w:rPr>
      </w:pPr>
      <w:r>
        <w:rPr>
          <w:rFonts w:cs="David" w:hint="cs"/>
          <w:sz w:val="22"/>
          <w:rtl/>
        </w:rPr>
        <w:lastRenderedPageBreak/>
        <w:t>"</w:t>
      </w:r>
      <w:r>
        <w:rPr>
          <w:rStyle w:val="Strong"/>
          <w:rFonts w:cs="David" w:hint="cs"/>
          <w:b w:val="0"/>
          <w:sz w:val="22"/>
          <w:rtl/>
        </w:rPr>
        <w:t>עמלה בגין פעולת משיכה</w:t>
      </w:r>
      <w:r>
        <w:rPr>
          <w:rFonts w:cs="David" w:hint="cs"/>
          <w:sz w:val="22"/>
          <w:rtl/>
        </w:rPr>
        <w:t>" - תשלום המשתלם בגין פעולת משיכת</w:t>
      </w:r>
      <w:r>
        <w:rPr>
          <w:rFonts w:cs="David" w:hint="cs"/>
          <w:sz w:val="22"/>
          <w:rtl/>
        </w:rPr>
        <w:t xml:space="preserve"> מזומנים במכשיר בנק אוטומטי לבעל מכשיר הבנק האוטומטי או לתאגיד בנקאי המספק שירותי חיבור לשירות מיתוג </w:t>
      </w:r>
      <w:r>
        <w:rPr>
          <w:rFonts w:cs="David"/>
        </w:rPr>
        <w:t>ATM</w:t>
      </w:r>
      <w:r>
        <w:rPr>
          <w:rFonts w:cs="David" w:hint="cs"/>
          <w:sz w:val="22"/>
          <w:rtl/>
        </w:rPr>
        <w:t xml:space="preserve"> למתפעל מכשירי בנק אוטומטיים שאינו תאגיד בנקאי, בגין אותה פעולה;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שבא</w:t>
      </w:r>
      <w:r>
        <w:rPr>
          <w:rFonts w:cs="David" w:hint="cs"/>
          <w:sz w:val="22"/>
          <w:rtl/>
        </w:rPr>
        <w:t xml:space="preserve">" - </w:t>
      </w:r>
      <w:r>
        <w:rPr>
          <w:rFonts w:cs="David" w:hint="cs"/>
          <w:sz w:val="22"/>
          <w:rtl/>
        </w:rPr>
        <w:tab/>
        <w:t>שירותי בנק אוטומטיים בע"מ וכל תאגיד הנשלט על ידה;</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שירותי איסוף</w:t>
      </w:r>
      <w:r>
        <w:rPr>
          <w:rFonts w:cs="David" w:hint="cs"/>
          <w:sz w:val="22"/>
          <w:rtl/>
        </w:rPr>
        <w:t xml:space="preserve"> </w:t>
      </w:r>
      <w:r>
        <w:rPr>
          <w:rStyle w:val="Strong"/>
          <w:rFonts w:cs="David" w:hint="cs"/>
          <w:sz w:val="22"/>
          <w:rtl/>
        </w:rPr>
        <w:t>ואישור</w:t>
      </w:r>
      <w:r>
        <w:rPr>
          <w:rFonts w:cs="David" w:hint="cs"/>
          <w:sz w:val="22"/>
          <w:rtl/>
        </w:rPr>
        <w:t>" -</w:t>
      </w:r>
      <w:r>
        <w:rPr>
          <w:rFonts w:cs="David" w:hint="cs"/>
          <w:sz w:val="22"/>
          <w:rtl/>
        </w:rPr>
        <w:tab/>
        <w:t>שיר</w:t>
      </w:r>
      <w:r>
        <w:rPr>
          <w:rFonts w:cs="David" w:hint="cs"/>
          <w:sz w:val="22"/>
          <w:rtl/>
        </w:rPr>
        <w:t xml:space="preserve">ותים שמעניקה שבא שעניינם הפעלת מערכת תקשורת דו-כיוונית בין סולקים לבתי עסק, לאיסוף, לקבלה ולהעברה של עסקאות, אישורים ופרטים הדרושים לאישור ולביצוע עסקאות המבוצעות בכרטיסי אשראי אצל בתי העסק, ולמיון העסקאות לפי זהות הסולק הרלוונטי לכל עסקה (בהתאם לסולק עמו </w:t>
      </w:r>
      <w:r>
        <w:rPr>
          <w:rFonts w:cs="David" w:hint="cs"/>
          <w:sz w:val="22"/>
          <w:rtl/>
        </w:rPr>
        <w:t xml:space="preserve">קשור בית העסק);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שירותי מיתוג</w:t>
      </w:r>
      <w:r>
        <w:rPr>
          <w:rFonts w:cs="David" w:hint="cs"/>
          <w:sz w:val="22"/>
          <w:rtl/>
        </w:rPr>
        <w:t xml:space="preserve"> </w:t>
      </w:r>
      <w:r>
        <w:rPr>
          <w:rStyle w:val="Strong"/>
          <w:rFonts w:cs="David"/>
        </w:rPr>
        <w:t>ATM</w:t>
      </w:r>
      <w:r>
        <w:rPr>
          <w:rFonts w:cs="David" w:hint="cs"/>
          <w:sz w:val="22"/>
          <w:rtl/>
        </w:rPr>
        <w:t>" - שירותים שמעניקה שבא שעניינם העברת אישורי פעולות לגבי משיכות מזומנים, קבלת מידע, הפקדות ופתיחת חשבונות חסכון, המתבצעות במכשירי בנק אוטומטיים של שבא ושל בנקים שונים, על ידי לקוחות של בנקים אחרים;</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שירותי ממשק</w:t>
      </w:r>
      <w:r>
        <w:rPr>
          <w:rFonts w:cs="David" w:hint="cs"/>
          <w:sz w:val="22"/>
          <w:rtl/>
        </w:rPr>
        <w:t xml:space="preserve">" -         </w:t>
      </w:r>
      <w:r>
        <w:rPr>
          <w:rFonts w:cs="David" w:hint="cs"/>
          <w:sz w:val="22"/>
          <w:rtl/>
        </w:rPr>
        <w:t>שירותים שמעניקה שבא שעניינם הפעלת מערכת המאפשרת העברת מידע בין סולקים לבין מנפיקים לשם מתן שירותי סליקה, ובכלל זה סליקה צולבת;</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שירותי סליקה</w:t>
      </w:r>
      <w:r>
        <w:rPr>
          <w:rFonts w:cs="David" w:hint="cs"/>
          <w:sz w:val="22"/>
          <w:rtl/>
        </w:rPr>
        <w:t xml:space="preserve">" - </w:t>
      </w:r>
      <w:r>
        <w:rPr>
          <w:rFonts w:cs="David" w:hint="cs"/>
          <w:sz w:val="22"/>
          <w:rtl/>
        </w:rPr>
        <w:tab/>
        <w:t>כהגדרתם בחוק הבנקאות (רישוי), התשמ"א-1981;</w:t>
      </w:r>
      <w:r>
        <w:rPr>
          <w:rFonts w:cs="David"/>
        </w:rPr>
        <w:t xml:space="preserve"> </w:t>
      </w:r>
      <w:r>
        <w:rPr>
          <w:rFonts w:cs="David" w:hint="cs"/>
          <w:sz w:val="22"/>
          <w:rtl/>
        </w:rPr>
        <w:t xml:space="preserve">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שירותי תקשורת למכרזי בנק ישראל</w:t>
      </w:r>
      <w:r>
        <w:rPr>
          <w:rFonts w:cs="David" w:hint="cs"/>
          <w:sz w:val="22"/>
          <w:rtl/>
        </w:rPr>
        <w:t xml:space="preserve">" </w:t>
      </w:r>
      <w:r>
        <w:rPr>
          <w:rFonts w:cs="David" w:hint="cs"/>
          <w:sz w:val="22"/>
          <w:rtl/>
        </w:rPr>
        <w:t>- שירותי הפעלת מערכת המאפשרת להגיש הצעות למכרזי בנק ישראל, ולקבל את תוצאות המכרזים כאמור, כולל שירות להעברות בין בנקאיות באמצעות בנק ישראל, וכן מתן הלוואות ודיווחים של כל בנק ובנק בנפרד לבנק ישראל;</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sz w:val="22"/>
          <w:rtl/>
        </w:rPr>
        <w:t>שליטה</w:t>
      </w:r>
      <w:r>
        <w:rPr>
          <w:rFonts w:cs="David" w:hint="cs"/>
          <w:sz w:val="22"/>
          <w:rtl/>
        </w:rPr>
        <w:t xml:space="preserve">" -                   </w:t>
      </w:r>
      <w:r>
        <w:rPr>
          <w:rFonts w:cs="David" w:hint="cs"/>
          <w:sz w:val="22"/>
          <w:rtl/>
        </w:rPr>
        <w:tab/>
        <w:t>כהגדרתה בכללי ההגבלים העסקיים</w:t>
      </w:r>
      <w:r>
        <w:rPr>
          <w:rFonts w:cs="David" w:hint="cs"/>
          <w:sz w:val="22"/>
          <w:rtl/>
        </w:rPr>
        <w:t xml:space="preserve"> (הוראות והגדרות כלליות), התשס"ו-2006;</w:t>
      </w:r>
    </w:p>
    <w:p w:rsidR="00000000" w:rsidRDefault="002F2DAA">
      <w:pPr>
        <w:bidi/>
        <w:spacing w:before="120" w:after="120"/>
        <w:ind w:left="2268" w:hanging="2268"/>
        <w:jc w:val="both"/>
        <w:rPr>
          <w:rFonts w:hint="cs"/>
          <w:rtl/>
        </w:rPr>
      </w:pPr>
      <w:r>
        <w:rPr>
          <w:rFonts w:cs="David" w:hint="cs"/>
          <w:sz w:val="22"/>
          <w:rtl/>
        </w:rPr>
        <w:t>"</w:t>
      </w:r>
      <w:r>
        <w:rPr>
          <w:rStyle w:val="Strong"/>
          <w:rFonts w:cs="David" w:hint="cs"/>
          <w:b w:val="0"/>
          <w:sz w:val="22"/>
          <w:rtl/>
        </w:rPr>
        <w:t>תאגיד בנקאי</w:t>
      </w:r>
      <w:r>
        <w:rPr>
          <w:rFonts w:cs="David" w:hint="cs"/>
          <w:sz w:val="22"/>
          <w:rtl/>
        </w:rPr>
        <w:t xml:space="preserve">" - </w:t>
      </w:r>
      <w:r>
        <w:rPr>
          <w:rFonts w:cs="David" w:hint="cs"/>
          <w:sz w:val="22"/>
          <w:rtl/>
        </w:rPr>
        <w:tab/>
        <w:t xml:space="preserve">כהגדרתו של מונח זה בחוק הבנקאות (רישוי), התשמ"א-1981, למעט- חברת שירותים משותפת כהגדרתה שם;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תחומי הפעילות</w:t>
      </w:r>
      <w:r>
        <w:rPr>
          <w:rFonts w:cs="David" w:hint="cs"/>
          <w:sz w:val="22"/>
          <w:rtl/>
        </w:rPr>
        <w:t xml:space="preserve">" - </w:t>
      </w:r>
      <w:r>
        <w:rPr>
          <w:rFonts w:cs="David" w:hint="cs"/>
          <w:sz w:val="22"/>
          <w:rtl/>
        </w:rPr>
        <w:tab/>
        <w:t xml:space="preserve">שירותי מיתוג </w:t>
      </w:r>
      <w:r>
        <w:rPr>
          <w:rFonts w:cs="David"/>
        </w:rPr>
        <w:t>ATM</w:t>
      </w:r>
      <w:r>
        <w:rPr>
          <w:rFonts w:cs="David" w:hint="cs"/>
          <w:sz w:val="22"/>
          <w:rtl/>
        </w:rPr>
        <w:t xml:space="preserve">, תפעול מכשירי בנק אוטומטיים, שירותי איסוף ואישור, הפצת תוכנת "אשראית", </w:t>
      </w:r>
      <w:r>
        <w:rPr>
          <w:rFonts w:cs="David" w:hint="cs"/>
          <w:sz w:val="22"/>
          <w:rtl/>
        </w:rPr>
        <w:t xml:space="preserve">שירותי ממשק, שירותי תקשורת למכרזי בנק ישראל, כהגדרתם לעיל; </w:t>
      </w:r>
    </w:p>
    <w:p w:rsidR="00000000" w:rsidRDefault="002F2DAA">
      <w:pPr>
        <w:bidi/>
        <w:spacing w:before="100" w:beforeAutospacing="1" w:after="100" w:afterAutospacing="1"/>
        <w:ind w:left="2268" w:hanging="2268"/>
        <w:jc w:val="both"/>
        <w:rPr>
          <w:rFonts w:hint="cs"/>
          <w:rtl/>
        </w:rPr>
      </w:pPr>
      <w:r>
        <w:rPr>
          <w:rFonts w:cs="David" w:hint="cs"/>
          <w:sz w:val="22"/>
          <w:rtl/>
        </w:rPr>
        <w:t>"</w:t>
      </w:r>
      <w:r>
        <w:rPr>
          <w:rStyle w:val="Strong"/>
          <w:rFonts w:cs="David" w:hint="cs"/>
          <w:b w:val="0"/>
          <w:sz w:val="22"/>
          <w:rtl/>
        </w:rPr>
        <w:t>תפעול מכשירי בנק אוטומטיים</w:t>
      </w:r>
      <w:r>
        <w:rPr>
          <w:rFonts w:cs="David" w:hint="cs"/>
          <w:sz w:val="22"/>
          <w:rtl/>
        </w:rPr>
        <w:t>" - הפעלת מערכת של מכשירי בנק אוטומטיים למשיכת מזומנים ו/או לבירור יתרות וכן תוכנות ומוצרים המאפשרים משיכת מזומנים ו/או בירור יתרות מקופות בתי עסק;</w:t>
      </w:r>
    </w:p>
    <w:p w:rsidR="00000000" w:rsidRDefault="002F2DAA">
      <w:pPr>
        <w:bidi/>
        <w:spacing w:before="100" w:beforeAutospacing="1" w:after="100" w:afterAutospacing="1"/>
        <w:jc w:val="both"/>
        <w:rPr>
          <w:rFonts w:hint="cs"/>
          <w:rtl/>
        </w:rPr>
      </w:pPr>
      <w:r>
        <w:rPr>
          <w:rFonts w:cs="David" w:hint="cs"/>
          <w:sz w:val="22"/>
          <w:rtl/>
        </w:rPr>
        <w:t> </w:t>
      </w:r>
    </w:p>
    <w:p w:rsidR="00000000" w:rsidRDefault="002F2DAA">
      <w:pPr>
        <w:bidi/>
        <w:spacing w:before="100" w:beforeAutospacing="1" w:after="100" w:afterAutospacing="1"/>
        <w:jc w:val="both"/>
        <w:rPr>
          <w:rFonts w:hint="cs"/>
          <w:rtl/>
        </w:rPr>
      </w:pPr>
      <w:r>
        <w:rPr>
          <w:rFonts w:cs="David" w:hint="cs"/>
          <w:sz w:val="22"/>
          <w:rtl/>
        </w:rPr>
        <w:t>למונחים אחרים שבתנאים אלה תהא המשמעות הנודעת להם בכללי ההגבלים העסקיים (הוראות והגדרות כלליות), התשס"ו-2006.</w:t>
      </w:r>
    </w:p>
    <w:p w:rsidR="00000000" w:rsidRDefault="002F2DAA">
      <w:pPr>
        <w:bidi/>
        <w:spacing w:before="100" w:beforeAutospacing="1" w:after="100" w:afterAutospacing="1"/>
        <w:jc w:val="both"/>
        <w:rPr>
          <w:rFonts w:hint="cs"/>
          <w:rtl/>
        </w:rPr>
      </w:pPr>
      <w:r>
        <w:rPr>
          <w:rStyle w:val="Strong"/>
          <w:rFonts w:cs="David" w:hint="cs"/>
          <w:sz w:val="22"/>
          <w:rtl/>
        </w:rPr>
        <w:t> </w:t>
      </w:r>
    </w:p>
    <w:p w:rsidR="00000000" w:rsidRDefault="002F2DAA">
      <w:pPr>
        <w:bidi/>
        <w:spacing w:before="100" w:beforeAutospacing="1" w:after="100" w:afterAutospacing="1"/>
        <w:jc w:val="both"/>
        <w:rPr>
          <w:rFonts w:hint="cs"/>
          <w:rtl/>
        </w:rPr>
      </w:pPr>
      <w:r>
        <w:rPr>
          <w:rStyle w:val="Strong"/>
          <w:rFonts w:cs="David" w:hint="cs"/>
          <w:sz w:val="22"/>
          <w:rtl/>
        </w:rPr>
        <w:t> </w:t>
      </w:r>
    </w:p>
    <w:p w:rsidR="00000000" w:rsidRDefault="002F2DAA">
      <w:pPr>
        <w:bidi/>
        <w:spacing w:before="100" w:beforeAutospacing="1" w:after="100" w:afterAutospacing="1"/>
        <w:jc w:val="both"/>
        <w:rPr>
          <w:rFonts w:hint="cs"/>
          <w:rtl/>
        </w:rPr>
      </w:pPr>
      <w:r>
        <w:rPr>
          <w:rStyle w:val="Strong"/>
          <w:rFonts w:cs="David" w:hint="cs"/>
          <w:sz w:val="22"/>
          <w:rtl/>
        </w:rPr>
        <w:t>הבעלות בשבא</w:t>
      </w:r>
    </w:p>
    <w:p w:rsidR="00000000" w:rsidRDefault="002F2DAA">
      <w:pPr>
        <w:numPr>
          <w:ilvl w:val="0"/>
          <w:numId w:val="1"/>
        </w:numPr>
        <w:bidi/>
        <w:spacing w:before="100" w:beforeAutospacing="1" w:after="100" w:afterAutospacing="1"/>
        <w:contextualSpacing/>
        <w:jc w:val="both"/>
        <w:rPr>
          <w:rFonts w:eastAsia="Times New Roman" w:hint="cs"/>
          <w:rtl/>
        </w:rPr>
      </w:pPr>
      <w:r>
        <w:rPr>
          <w:rFonts w:eastAsia="Times New Roman" w:cs="David" w:hint="cs"/>
          <w:sz w:val="22"/>
          <w:rtl/>
        </w:rPr>
        <w:lastRenderedPageBreak/>
        <w:t>כל עוד שבא מוחזקת על ידי יותר מאחד הבנקים או כל עוד יותר מאחד הבנקים מחזיק בשליטה בשבא - שבא תעסוק בתחומי הפעילות כהגדרתם לעיל ובהם</w:t>
      </w:r>
      <w:r>
        <w:rPr>
          <w:rFonts w:eastAsia="Times New Roman" w:cs="David" w:hint="cs"/>
          <w:sz w:val="22"/>
          <w:rtl/>
        </w:rPr>
        <w:t xml:space="preserve"> בלבד, והיא תעשה כן בהתאם לתנאים אלה. </w:t>
      </w:r>
    </w:p>
    <w:p w:rsidR="00000000" w:rsidRDefault="002F2DAA">
      <w:pPr>
        <w:numPr>
          <w:ilvl w:val="0"/>
          <w:numId w:val="2"/>
        </w:numPr>
        <w:bidi/>
        <w:spacing w:before="100" w:beforeAutospacing="1" w:after="100" w:afterAutospacing="1"/>
        <w:contextualSpacing/>
        <w:jc w:val="both"/>
        <w:rPr>
          <w:rFonts w:eastAsia="Times New Roman" w:hint="cs"/>
          <w:rtl/>
        </w:rPr>
      </w:pPr>
      <w:r>
        <w:rPr>
          <w:rFonts w:eastAsia="Times New Roman" w:cs="David" w:hint="cs"/>
          <w:sz w:val="22"/>
          <w:rtl/>
        </w:rPr>
        <w:t xml:space="preserve">שבא לא תחלק רווחים או תקבולים או הטבות מכל סוג שהוא לבנקים או למי שמחזיק זכות שליטה בה. מבלי לפגוע בכלליות האמור לעיל, שבא לא תעניק לבנקים או למי שמחזיק זכות שליטה בה דיבידנד, דמי ניהול, ריבית בגין החזר הלוואה בשיעור </w:t>
      </w:r>
      <w:r>
        <w:rPr>
          <w:rFonts w:eastAsia="Times New Roman" w:cs="David" w:hint="cs"/>
          <w:sz w:val="22"/>
          <w:rtl/>
        </w:rPr>
        <w:t>העולה על הריבית המקובלת במשק לעסקה הרלבנטית או כל הטבה אחרת, במישרין או בעקיפין וכן, לא תעניק הנחה אשר הנהנים ממנה בפועל יהיו רק הבנקים או מי שמחזיק זכות שליטה בה.</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שבא לא תעניק לדירקטורים שהם תאגידים המכהנים בה כל שכר או כל טובת הנאה אחרת, בקשר לתפקידם כדי</w:t>
      </w:r>
      <w:r>
        <w:rPr>
          <w:rFonts w:eastAsia="Times New Roman" w:cs="David" w:hint="cs"/>
          <w:sz w:val="22"/>
          <w:rtl/>
        </w:rPr>
        <w:t>רקטורים.</w:t>
      </w:r>
    </w:p>
    <w:p w:rsidR="00000000" w:rsidRDefault="002F2DAA">
      <w:pPr>
        <w:numPr>
          <w:ilvl w:val="0"/>
          <w:numId w:val="2"/>
        </w:numPr>
        <w:bidi/>
        <w:spacing w:before="100" w:beforeAutospacing="1" w:after="100" w:afterAutospacing="1"/>
        <w:jc w:val="both"/>
        <w:rPr>
          <w:rFonts w:eastAsia="Times New Roman" w:hint="cs"/>
          <w:rtl/>
        </w:rPr>
      </w:pPr>
      <w:bookmarkStart w:id="2" w:name="_Ref9949596"/>
      <w:r>
        <w:rPr>
          <w:rFonts w:eastAsia="Times New Roman" w:cs="David" w:hint="cs"/>
          <w:sz w:val="22"/>
          <w:rtl/>
        </w:rPr>
        <w:t>הבנקים לא ימנו לדירקטוריון שבא אדם שהנו בעל עניין בבנק ו/או חבר הנהלת בנק ו/או נושא משרה בתחומי המסחר, החשבות ו/או הקמעונאות בבנק. מבלי לגרוע מכלליות האמור, הבנקים לא ימנו לדירקטוריון שבא נושא משרה בבנק העוסק בעניינים הנוגעים לתחום ה-</w:t>
      </w:r>
      <w:r>
        <w:rPr>
          <w:rFonts w:eastAsia="Times New Roman" w:cs="David"/>
        </w:rPr>
        <w:t>ATM</w:t>
      </w:r>
      <w:r>
        <w:rPr>
          <w:rFonts w:eastAsia="Times New Roman" w:cs="David" w:hint="cs"/>
          <w:sz w:val="22"/>
          <w:rtl/>
        </w:rPr>
        <w:t xml:space="preserve"> וכרטיסי ה</w:t>
      </w:r>
      <w:r>
        <w:rPr>
          <w:rFonts w:eastAsia="Times New Roman" w:cs="David" w:hint="cs"/>
          <w:sz w:val="22"/>
          <w:rtl/>
        </w:rPr>
        <w:t xml:space="preserve">אשראי, לרבות - בקביעת מדיניות, פיתוח, שיווק, תמחור וקביעת גובה עמלות המשיכה – ולמעט תפעול המכשירים. </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 xml:space="preserve">הבנקים לא יעבירו ביניהם במישרין או בעקיפין, לרבות באמצעות נציגיהם בשבא, כל מידע שהעברתו עלולה לגרוע מן התחרות ביניהם, בפועל או בכוח. </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מבלי לגרוע מכלליות האמור, לא יועבר בין הבנקים, לרבות באמצעות נציגיהם בשבא, מידע הכולל פרטים הנוגעים לתכניות עסקיות כלליות או פרטניות של הבנקים, בין בעבר ובין בעתיד; מידע הנוגע לעלויות, לתמחור ולמחירים הנגבים על ידי הבנקים או משולמים על ידי הבנקים; מידע בדב</w:t>
      </w:r>
      <w:r>
        <w:rPr>
          <w:rFonts w:eastAsia="Times New Roman" w:cs="David" w:hint="cs"/>
          <w:sz w:val="22"/>
          <w:rtl/>
        </w:rPr>
        <w:t>ר מאפייני שירותים בנקאיים ואחרים שמעניקים הבנקים; בסיסי נתונים שבידי הבנקים; מידע על לקוחות וספקים של הבנקים; מידע בדבר הפוזיציות הפיננסיות של הבנקים; או מידע על תנאי אשראי או התקשרויות בעבר או בעתיד, למעט מידע כאמור שהיה לנחלת הרבים;</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המגעים בין נציגי הבנק</w:t>
      </w:r>
      <w:r>
        <w:rPr>
          <w:rFonts w:eastAsia="Times New Roman" w:cs="David" w:hint="cs"/>
          <w:sz w:val="22"/>
          <w:rtl/>
        </w:rPr>
        <w:t>ים במסגרת שבא יעשו באופן המצמצם כל חשש להפחתת התחרות בכוח או בפועל בין הבנקים, כולם או מקצתם; בכלל זה, מגעים בין הבנקים במסגרת שבא ייערכו בין בעלי התפקידים ההכרחיים לשם תפעולה השוטף של שבא בלבד ולשם כך בלבד.</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כל ההחלטות המהותיות של הבנקים הנוגעות לשבא, וההח</w:t>
      </w:r>
      <w:r>
        <w:rPr>
          <w:rFonts w:eastAsia="Times New Roman" w:cs="David" w:hint="cs"/>
          <w:sz w:val="22"/>
          <w:rtl/>
        </w:rPr>
        <w:t>לטות של מוסדות הניהול של שבא (דירקטוריון, ועדת דירקטורים, אסיפה כללית), יתועדו בכתב טרם או בעת עשייתן כך שכל החלטה תישמר ותומצא לממונה מיד בסמוך לדרישה מטעמו בעניין זה; מבלי לגרוע מכלליות האמור, יתועד פרוטוקול מלא מכל פגישה בין הבנקים בקשר לשבא, כולם או מק</w:t>
      </w:r>
      <w:r>
        <w:rPr>
          <w:rFonts w:eastAsia="Times New Roman" w:cs="David" w:hint="cs"/>
          <w:sz w:val="22"/>
          <w:rtl/>
        </w:rPr>
        <w:t xml:space="preserve">צתם. </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אדם שמונה כדירקטור בשבא וכן, מנכ"ל שבא ומנכ"ל כל אחד מהבנקים יחתום טרם תחילת ביצוע תפקידו על כתב התחייבות בנוסח המצורף לתנאים אלה כנספח א'. כתב ההתחייבות יועבר לרשות ההגבלים העסקיים 30 יום לאחר חתימתו. לעניין סעיף זה:  "הבנקים" -  בנק בינלאומי, בנק ד</w:t>
      </w:r>
      <w:r>
        <w:rPr>
          <w:rFonts w:eastAsia="Times New Roman" w:cs="David" w:hint="cs"/>
          <w:sz w:val="22"/>
          <w:rtl/>
        </w:rPr>
        <w:t>יסקונט בע"מ, בנק לאומי, בנק מזרחי, בנק הפועלים;</w:t>
      </w:r>
    </w:p>
    <w:p w:rsidR="00000000" w:rsidRDefault="002F2DAA">
      <w:pPr>
        <w:numPr>
          <w:ilvl w:val="0"/>
          <w:numId w:val="2"/>
        </w:numPr>
        <w:bidi/>
        <w:spacing w:before="100" w:beforeAutospacing="1" w:after="100" w:afterAutospacing="1"/>
        <w:jc w:val="both"/>
        <w:rPr>
          <w:rFonts w:eastAsia="Times New Roman" w:hint="cs"/>
          <w:rtl/>
        </w:rPr>
      </w:pPr>
      <w:r>
        <w:rPr>
          <w:rFonts w:eastAsia="Times New Roman" w:cs="David" w:hint="cs"/>
          <w:sz w:val="22"/>
          <w:rtl/>
        </w:rPr>
        <w:t xml:space="preserve">מובהר בזאת כי אין באמור בתנאים אלה כדי למנוע ממנהלו הכללי של בנק להתעדכן באשר לפעולותיו של הדירקטור הפועל מטעמו בשבא. </w:t>
      </w:r>
    </w:p>
    <w:p w:rsidR="00000000" w:rsidRDefault="002F2DAA">
      <w:pPr>
        <w:bidi/>
        <w:spacing w:before="100" w:beforeAutospacing="1" w:after="100" w:afterAutospacing="1"/>
        <w:jc w:val="both"/>
        <w:rPr>
          <w:rFonts w:hint="cs"/>
          <w:rtl/>
        </w:rPr>
      </w:pPr>
      <w:r>
        <w:rPr>
          <w:rStyle w:val="Strong"/>
          <w:rFonts w:cs="David" w:hint="cs"/>
          <w:sz w:val="22"/>
          <w:rtl/>
        </w:rPr>
        <w:t xml:space="preserve">שירותי מיתוג </w:t>
      </w:r>
      <w:r>
        <w:rPr>
          <w:rStyle w:val="Strong"/>
          <w:rFonts w:cs="David"/>
        </w:rPr>
        <w:t>ATM</w:t>
      </w:r>
      <w:r>
        <w:rPr>
          <w:rStyle w:val="Strong"/>
          <w:rFonts w:cs="David" w:hint="cs"/>
          <w:sz w:val="22"/>
          <w:rtl/>
        </w:rPr>
        <w:t xml:space="preserve"> ותפעול מכשירי בנק אוטומטיים</w:t>
      </w:r>
    </w:p>
    <w:p w:rsidR="00000000" w:rsidRDefault="002F2DAA">
      <w:pPr>
        <w:numPr>
          <w:ilvl w:val="0"/>
          <w:numId w:val="3"/>
        </w:numPr>
        <w:bidi/>
        <w:spacing w:before="100" w:beforeAutospacing="1" w:after="100" w:afterAutospacing="1"/>
        <w:jc w:val="both"/>
        <w:rPr>
          <w:rFonts w:eastAsia="Times New Roman" w:hint="cs"/>
          <w:rtl/>
        </w:rPr>
      </w:pPr>
      <w:bookmarkStart w:id="3" w:name="_Ref9953171"/>
      <w:bookmarkStart w:id="4" w:name="_Ref323834090"/>
      <w:bookmarkStart w:id="5" w:name="_Ref11421077"/>
      <w:r>
        <w:rPr>
          <w:rFonts w:eastAsia="Times New Roman" w:cs="David" w:hint="cs"/>
          <w:sz w:val="22"/>
          <w:rtl/>
        </w:rPr>
        <w:t xml:space="preserve">הבנקים ושבא יבצעו כל פעולה הנדרשת כדי לאפשר </w:t>
      </w:r>
      <w:r>
        <w:rPr>
          <w:rFonts w:eastAsia="Times New Roman" w:cs="David" w:hint="cs"/>
          <w:sz w:val="22"/>
          <w:rtl/>
        </w:rPr>
        <w:t xml:space="preserve">לכל מנפיק ולכל אדם המתפעל מכשירי בנק אוטומטיים גישה לשירותי מיתוג </w:t>
      </w:r>
      <w:r>
        <w:rPr>
          <w:rFonts w:eastAsia="Times New Roman" w:cs="David"/>
        </w:rPr>
        <w:t>ATM</w:t>
      </w:r>
      <w:r>
        <w:rPr>
          <w:rFonts w:eastAsia="Times New Roman" w:cs="David" w:hint="cs"/>
          <w:sz w:val="22"/>
          <w:rtl/>
        </w:rPr>
        <w:t xml:space="preserve"> המסופקים על ידי שבא. הגישה תינתן בתנאים שאינם גרועים מהתנאים שמעניקה שבא לבנקים ובתוך 120 ימים מיום שהתבקשה, אלא אם נגרמו עיכובים שמקורם בצד שביקש את מתן הגישה.</w:t>
      </w:r>
      <w:bookmarkEnd w:id="3"/>
      <w:bookmarkEnd w:id="4"/>
    </w:p>
    <w:p w:rsidR="00000000" w:rsidRDefault="002F2DAA">
      <w:pPr>
        <w:numPr>
          <w:ilvl w:val="0"/>
          <w:numId w:val="3"/>
        </w:numPr>
        <w:bidi/>
        <w:spacing w:before="100" w:beforeAutospacing="1" w:after="100" w:afterAutospacing="1"/>
        <w:jc w:val="both"/>
        <w:rPr>
          <w:rFonts w:eastAsia="Times New Roman" w:hint="cs"/>
          <w:rtl/>
        </w:rPr>
      </w:pPr>
      <w:bookmarkStart w:id="6" w:name="_Ref12167515"/>
      <w:bookmarkStart w:id="7" w:name="_Ref325304759"/>
      <w:r>
        <w:rPr>
          <w:rFonts w:eastAsia="Times New Roman" w:cs="David" w:hint="cs"/>
          <w:sz w:val="22"/>
          <w:rtl/>
        </w:rPr>
        <w:t xml:space="preserve">העמלות בגין שירותי מיתוג </w:t>
      </w:r>
      <w:r>
        <w:rPr>
          <w:rFonts w:eastAsia="Times New Roman" w:cs="David"/>
        </w:rPr>
        <w:t>ATM</w:t>
      </w:r>
      <w:r>
        <w:rPr>
          <w:rFonts w:eastAsia="Times New Roman" w:cs="David" w:hint="cs"/>
          <w:sz w:val="22"/>
          <w:rtl/>
        </w:rPr>
        <w:t xml:space="preserve"> שתגבה שבא מכל מקבל שירותים אלה תהיינה זהות</w:t>
      </w:r>
      <w:bookmarkEnd w:id="6"/>
      <w:bookmarkEnd w:id="7"/>
      <w:bookmarkEnd w:id="5"/>
      <w:r>
        <w:rPr>
          <w:rFonts w:eastAsia="Times New Roman" w:cs="David" w:hint="cs"/>
          <w:sz w:val="22"/>
          <w:rtl/>
        </w:rPr>
        <w:t xml:space="preserve"> לכל מקבלי השירותים אלא אם כן קיים הבדל בעלויות הישירות הנובעות ממתן השירות וככל שההבדל במחיר מוצדק באופן ישיר על ידי ההבדל בעלויות האמורות בלבד. </w:t>
      </w:r>
    </w:p>
    <w:p w:rsidR="00000000" w:rsidRDefault="002F2DAA">
      <w:pPr>
        <w:numPr>
          <w:ilvl w:val="0"/>
          <w:numId w:val="3"/>
        </w:numPr>
        <w:bidi/>
        <w:spacing w:before="100" w:beforeAutospacing="1" w:after="100" w:afterAutospacing="1"/>
        <w:jc w:val="both"/>
        <w:rPr>
          <w:rFonts w:eastAsia="Times New Roman" w:hint="cs"/>
          <w:rtl/>
        </w:rPr>
      </w:pPr>
      <w:r>
        <w:rPr>
          <w:rFonts w:eastAsia="Times New Roman" w:cs="David" w:hint="cs"/>
          <w:sz w:val="22"/>
          <w:rtl/>
        </w:rPr>
        <w:t xml:space="preserve">מבלי לגרוע מכלליות האמור בסעיף </w:t>
      </w:r>
      <w:r>
        <w:rPr>
          <w:rFonts w:eastAsia="Times New Roman" w:cs="David" w:hint="cs"/>
        </w:rPr>
        <w:t>‎</w:t>
      </w:r>
      <w:r>
        <w:rPr>
          <w:rFonts w:eastAsia="Times New Roman" w:cs="David"/>
        </w:rPr>
        <w:t>11</w:t>
      </w:r>
      <w:r>
        <w:rPr>
          <w:rFonts w:eastAsia="Times New Roman" w:cs="David" w:hint="cs"/>
          <w:sz w:val="22"/>
          <w:rtl/>
        </w:rPr>
        <w:t>, שבא לא תסרב סירוב בלתי סביר</w:t>
      </w:r>
      <w:r>
        <w:rPr>
          <w:rFonts w:eastAsia="Times New Roman" w:cs="David" w:hint="cs"/>
          <w:sz w:val="22"/>
          <w:rtl/>
        </w:rPr>
        <w:t xml:space="preserve"> להתקשר עם כל מנפיק</w:t>
      </w:r>
      <w:bookmarkEnd w:id="2"/>
      <w:r>
        <w:rPr>
          <w:rFonts w:eastAsia="Times New Roman" w:cs="David" w:hint="cs"/>
          <w:sz w:val="22"/>
          <w:rtl/>
        </w:rPr>
        <w:t xml:space="preserve"> ועם כל אדם המתפעל מכשירי בנק אוטומטיים לצורך מתן שירותי מיתוג </w:t>
      </w:r>
      <w:r>
        <w:rPr>
          <w:rFonts w:eastAsia="Times New Roman" w:cs="David"/>
        </w:rPr>
        <w:t>ATM</w:t>
      </w:r>
      <w:r>
        <w:rPr>
          <w:rFonts w:eastAsia="Times New Roman" w:cs="David" w:hint="cs"/>
          <w:sz w:val="22"/>
          <w:rtl/>
        </w:rPr>
        <w:t>. כמו כן, הבנקים ושבא לא יסרבו סירוב בלתי סביר להתקשר בהסכם לשימוש במכשירי בנק אוטומטיים עם כל מנפיק ועם כל אדם המתפעל מכשירי בנק אוטומטיים וכן, בהסכם למתן שירותי חיבור לש</w:t>
      </w:r>
      <w:r>
        <w:rPr>
          <w:rFonts w:eastAsia="Times New Roman" w:cs="David" w:hint="cs"/>
          <w:sz w:val="22"/>
          <w:rtl/>
        </w:rPr>
        <w:t xml:space="preserve">ירות מיתוג </w:t>
      </w:r>
      <w:r>
        <w:rPr>
          <w:rFonts w:eastAsia="Times New Roman" w:cs="David"/>
        </w:rPr>
        <w:t>ATM</w:t>
      </w:r>
      <w:r>
        <w:rPr>
          <w:rFonts w:eastAsia="Times New Roman" w:cs="David" w:hint="cs"/>
          <w:sz w:val="22"/>
          <w:rtl/>
        </w:rPr>
        <w:t xml:space="preserve"> עם מתפעל מכשירי בנק אוטומטיים שאיננו </w:t>
      </w:r>
      <w:r>
        <w:rPr>
          <w:rFonts w:eastAsia="Times New Roman" w:cs="David" w:hint="cs"/>
          <w:sz w:val="22"/>
          <w:rtl/>
        </w:rPr>
        <w:lastRenderedPageBreak/>
        <w:t>תאגיד בנקאי. התקשרות כאמור תהיה בתנאים שאינם גרועים מהתנאים שמעניקה שבא לבנקים, או מהתנאים שמעניקים הבנקים זה לזה, אלא ככל שקיימים הבדלים בעלויות הכרוכות במתן שירותים אלה המצדיק באופן ישיר את השוני בתנאים</w:t>
      </w:r>
      <w:r>
        <w:rPr>
          <w:rFonts w:eastAsia="Times New Roman" w:cs="David" w:hint="cs"/>
          <w:sz w:val="22"/>
          <w:rtl/>
        </w:rPr>
        <w:t>.</w:t>
      </w:r>
    </w:p>
    <w:p w:rsidR="00000000" w:rsidRDefault="002F2DAA">
      <w:pPr>
        <w:numPr>
          <w:ilvl w:val="0"/>
          <w:numId w:val="3"/>
        </w:numPr>
        <w:bidi/>
        <w:spacing w:before="100" w:beforeAutospacing="1" w:after="100" w:afterAutospacing="1"/>
        <w:jc w:val="both"/>
        <w:rPr>
          <w:rFonts w:eastAsia="Times New Roman" w:hint="cs"/>
          <w:rtl/>
        </w:rPr>
      </w:pPr>
      <w:r>
        <w:rPr>
          <w:rFonts w:eastAsia="Times New Roman" w:cs="David" w:hint="cs"/>
          <w:sz w:val="22"/>
          <w:rtl/>
        </w:rPr>
        <w:t xml:space="preserve">שבא תמכור את כל מכשירי </w:t>
      </w:r>
      <w:r>
        <w:rPr>
          <w:rFonts w:eastAsia="Times New Roman" w:cs="David"/>
        </w:rPr>
        <w:t>ATM</w:t>
      </w:r>
      <w:r>
        <w:rPr>
          <w:rFonts w:eastAsia="Times New Roman" w:cs="David" w:hint="cs"/>
          <w:sz w:val="22"/>
          <w:rtl/>
        </w:rPr>
        <w:t xml:space="preserve"> שברשותה תוך 8 חודשים מהיום (להלן: "</w:t>
      </w:r>
      <w:r>
        <w:rPr>
          <w:rStyle w:val="Strong"/>
          <w:rFonts w:eastAsia="Times New Roman" w:cs="David" w:hint="cs"/>
          <w:sz w:val="22"/>
          <w:rtl/>
        </w:rPr>
        <w:t>המועד הקובע</w:t>
      </w:r>
      <w:r>
        <w:rPr>
          <w:rFonts w:eastAsia="Times New Roman" w:cs="David" w:hint="cs"/>
          <w:sz w:val="22"/>
          <w:rtl/>
        </w:rPr>
        <w:t xml:space="preserve">"). לאחר המועד הקובע, לא יהיו בידי שבא או כל גורם מטעמה מכשירי </w:t>
      </w:r>
      <w:r>
        <w:rPr>
          <w:rFonts w:eastAsia="Times New Roman" w:cs="David"/>
        </w:rPr>
        <w:t>ATM</w:t>
      </w:r>
      <w:r>
        <w:rPr>
          <w:rFonts w:eastAsia="Times New Roman" w:cs="David" w:hint="cs"/>
          <w:sz w:val="22"/>
          <w:rtl/>
        </w:rPr>
        <w:t>. עסקאות המכירה של מכשירי ה-</w:t>
      </w:r>
      <w:r>
        <w:rPr>
          <w:rFonts w:eastAsia="Times New Roman" w:cs="David"/>
        </w:rPr>
        <w:t>ATM</w:t>
      </w:r>
      <w:r>
        <w:rPr>
          <w:rFonts w:eastAsia="Times New Roman" w:cs="David" w:hint="cs"/>
          <w:sz w:val="22"/>
          <w:rtl/>
        </w:rPr>
        <w:t xml:space="preserve"> יובאו כולם לאישור הממונה. למען הסר ספק יובהר, כי היה ועד למועד הקובע לא תשלים שבא א</w:t>
      </w:r>
      <w:r>
        <w:rPr>
          <w:rFonts w:eastAsia="Times New Roman" w:cs="David" w:hint="cs"/>
          <w:sz w:val="22"/>
          <w:rtl/>
        </w:rPr>
        <w:t>ת מכירת המכשירים, תפסיק שבא להפעילם.</w:t>
      </w:r>
    </w:p>
    <w:p w:rsidR="00000000" w:rsidRDefault="002F2DAA">
      <w:pPr>
        <w:bidi/>
        <w:spacing w:before="100" w:beforeAutospacing="1" w:after="100" w:afterAutospacing="1"/>
        <w:jc w:val="both"/>
        <w:rPr>
          <w:rFonts w:hint="cs"/>
          <w:rtl/>
        </w:rPr>
      </w:pPr>
      <w:r>
        <w:rPr>
          <w:rStyle w:val="Strong"/>
          <w:rFonts w:cs="David" w:hint="cs"/>
          <w:sz w:val="22"/>
          <w:rtl/>
        </w:rPr>
        <w:t xml:space="preserve">עמלה בין-בנקאית בגין עסקאות </w:t>
      </w:r>
      <w:r>
        <w:rPr>
          <w:rStyle w:val="Strong"/>
          <w:rFonts w:cs="David"/>
        </w:rPr>
        <w:t>ATM</w:t>
      </w:r>
    </w:p>
    <w:p w:rsidR="00000000" w:rsidRDefault="002F2DAA">
      <w:pPr>
        <w:numPr>
          <w:ilvl w:val="0"/>
          <w:numId w:val="4"/>
        </w:numPr>
        <w:bidi/>
        <w:spacing w:before="100" w:beforeAutospacing="1" w:after="100" w:afterAutospacing="1"/>
        <w:jc w:val="both"/>
        <w:rPr>
          <w:rFonts w:eastAsia="Times New Roman" w:hint="cs"/>
          <w:rtl/>
        </w:rPr>
      </w:pPr>
      <w:bookmarkStart w:id="8" w:name="_Ref10447273"/>
      <w:r>
        <w:rPr>
          <w:rFonts w:eastAsia="Times New Roman" w:cs="David" w:hint="cs"/>
          <w:sz w:val="22"/>
          <w:rtl/>
        </w:rPr>
        <w:t>שיעור העמלה בגין פעולות משיכה בין-בנקאיות לא יעלה על 20 סנט ארה"ב לפעולה.</w:t>
      </w:r>
      <w:bookmarkEnd w:id="8"/>
    </w:p>
    <w:p w:rsidR="00000000" w:rsidRDefault="002F2DAA">
      <w:pPr>
        <w:numPr>
          <w:ilvl w:val="0"/>
          <w:numId w:val="4"/>
        </w:numPr>
        <w:bidi/>
        <w:spacing w:before="100" w:beforeAutospacing="1" w:after="100" w:afterAutospacing="1"/>
        <w:jc w:val="both"/>
        <w:rPr>
          <w:rFonts w:eastAsia="Times New Roman" w:hint="cs"/>
          <w:rtl/>
        </w:rPr>
      </w:pPr>
      <w:r>
        <w:rPr>
          <w:rFonts w:eastAsia="Times New Roman" w:cs="David" w:hint="cs"/>
          <w:sz w:val="22"/>
          <w:rtl/>
        </w:rPr>
        <w:t xml:space="preserve">שיעור העמלה בגין פעולות משיכה בין-בנקאית שישלם כל אחד מהבנקים לתאגיד בנקאי המתפעל מכשירי בנק אוטומטיים או לתאגיד </w:t>
      </w:r>
      <w:r>
        <w:rPr>
          <w:rFonts w:eastAsia="Times New Roman" w:cs="David" w:hint="cs"/>
          <w:sz w:val="22"/>
          <w:rtl/>
        </w:rPr>
        <w:t xml:space="preserve">בנקאי המספק שירותי חיבור לשירות מיתוג </w:t>
      </w:r>
      <w:r>
        <w:rPr>
          <w:rFonts w:eastAsia="Times New Roman" w:cs="David"/>
        </w:rPr>
        <w:t>ATM</w:t>
      </w:r>
      <w:r>
        <w:rPr>
          <w:rFonts w:eastAsia="Times New Roman" w:cs="David" w:hint="cs"/>
          <w:sz w:val="22"/>
          <w:rtl/>
        </w:rPr>
        <w:t xml:space="preserve"> למתפעל מכשירי בנק אוטומטיים שאינו תאגיד בנקאי יהיה זהה ובכלל זה לא יהיה תלוי בזהות המנפיק, בזהות מתפעל מכשירי בנק אוטומטיים או במיקום מכשיר הבנק האוטומטי.</w:t>
      </w:r>
    </w:p>
    <w:p w:rsidR="00000000" w:rsidRDefault="002F2DAA">
      <w:pPr>
        <w:bidi/>
        <w:spacing w:before="100" w:beforeAutospacing="1" w:after="100" w:afterAutospacing="1"/>
        <w:jc w:val="both"/>
        <w:rPr>
          <w:rFonts w:hint="cs"/>
          <w:rtl/>
        </w:rPr>
      </w:pPr>
      <w:r>
        <w:rPr>
          <w:rStyle w:val="Strong"/>
          <w:rFonts w:cs="David" w:hint="cs"/>
          <w:sz w:val="22"/>
          <w:rtl/>
        </w:rPr>
        <w:t xml:space="preserve">שירותי איסוף ואישור, שירותי ממשק </w:t>
      </w:r>
    </w:p>
    <w:p w:rsidR="00000000" w:rsidRDefault="002F2DAA">
      <w:pPr>
        <w:numPr>
          <w:ilvl w:val="0"/>
          <w:numId w:val="5"/>
        </w:numPr>
        <w:bidi/>
        <w:spacing w:before="100" w:beforeAutospacing="1" w:after="100" w:afterAutospacing="1"/>
        <w:jc w:val="both"/>
        <w:rPr>
          <w:rFonts w:eastAsia="Times New Roman" w:hint="cs"/>
          <w:rtl/>
        </w:rPr>
      </w:pPr>
      <w:bookmarkStart w:id="9" w:name="_Ref323637870"/>
      <w:bookmarkStart w:id="10" w:name="_Ref323834105"/>
      <w:bookmarkStart w:id="11" w:name="_Ref11421081"/>
      <w:r>
        <w:rPr>
          <w:rFonts w:eastAsia="Times New Roman" w:cs="David" w:hint="cs"/>
          <w:sz w:val="22"/>
          <w:rtl/>
        </w:rPr>
        <w:t>הבנקים ושבא יבצעו כל פעול</w:t>
      </w:r>
      <w:r>
        <w:rPr>
          <w:rFonts w:eastAsia="Times New Roman" w:cs="David" w:hint="cs"/>
          <w:sz w:val="22"/>
          <w:rtl/>
        </w:rPr>
        <w:t>ה הנדרשת כדי לאפשר לכל סולק ולכל מנפיק ולכל תאגיד המעניק שירותי ניכיון (לפי העניין) גישה לשירותי איסוף ואישור ושירותי ממשק המסופקים על ידי שבא ולא יסרבו סירוב בלתי סביר להתקשר עם גורמים כאמור לצורך מתן שירותי איסוף ואישור ושירותי ממשק. הגישה תינתן בתנאים ש</w:t>
      </w:r>
      <w:r>
        <w:rPr>
          <w:rFonts w:eastAsia="Times New Roman" w:cs="David" w:hint="cs"/>
          <w:sz w:val="22"/>
          <w:rtl/>
        </w:rPr>
        <w:t>אינם גרועים מהתנאים שמעניקה שבא לבנקים ומהתנאים שמעניקים הבנקים זה לזה, וזאת בהקדם האפשרי, ובשים לב בין היתר לעיכובים שמקורם בצד שביקש את מתן הגישה. הוגשה בקשה למתן גישה כאמור, תעביר שבא דו"ח לממונה בדבר הפעולות שננקטו לצורך מתן הגישה בכל שישים ימים מיום ש</w:t>
      </w:r>
      <w:r>
        <w:rPr>
          <w:rFonts w:eastAsia="Times New Roman" w:cs="David" w:hint="cs"/>
          <w:sz w:val="22"/>
          <w:rtl/>
        </w:rPr>
        <w:t>התקבלה הבקשה בשבא ועד מתן הגישה בפועל.</w:t>
      </w:r>
      <w:bookmarkEnd w:id="9"/>
      <w:bookmarkEnd w:id="10"/>
      <w:r>
        <w:rPr>
          <w:rFonts w:eastAsia="Times New Roman" w:cs="David" w:hint="cs"/>
          <w:sz w:val="22"/>
          <w:rtl/>
        </w:rPr>
        <w:t xml:space="preserve"> </w:t>
      </w:r>
      <w:bookmarkStart w:id="12" w:name="_Ref323834132"/>
      <w:bookmarkStart w:id="13" w:name="_Ref325304771"/>
      <w:bookmarkEnd w:id="11"/>
    </w:p>
    <w:p w:rsidR="00000000" w:rsidRDefault="002F2DAA">
      <w:pPr>
        <w:numPr>
          <w:ilvl w:val="0"/>
          <w:numId w:val="5"/>
        </w:numPr>
        <w:bidi/>
        <w:spacing w:before="100" w:beforeAutospacing="1" w:after="100" w:afterAutospacing="1"/>
        <w:jc w:val="both"/>
        <w:rPr>
          <w:rFonts w:eastAsia="Times New Roman" w:hint="cs"/>
          <w:rtl/>
        </w:rPr>
      </w:pPr>
      <w:bookmarkStart w:id="14" w:name="_Ref327089944"/>
      <w:r>
        <w:rPr>
          <w:rFonts w:eastAsia="Times New Roman" w:cs="David" w:hint="cs"/>
          <w:sz w:val="22"/>
          <w:rtl/>
        </w:rPr>
        <w:t xml:space="preserve">העמלות בגין שירותי איסוף ואישור ושירותי ממשק שתגבה שבא מכל מי שמקבל שירותים אלה תהיינה זהות </w:t>
      </w:r>
      <w:bookmarkEnd w:id="12"/>
      <w:r>
        <w:rPr>
          <w:rFonts w:eastAsia="Times New Roman" w:cs="David" w:hint="cs"/>
          <w:sz w:val="22"/>
          <w:rtl/>
        </w:rPr>
        <w:t xml:space="preserve">לכל מקבלי השירותים, ובכלל זה  </w:t>
      </w:r>
      <w:r>
        <w:rPr>
          <w:rFonts w:eastAsia="Times New Roman" w:cs="David" w:hint="cs"/>
          <w:sz w:val="22"/>
          <w:rtl/>
        </w:rPr>
        <w:t>גובה העמלה לא יהיה תלוי בהיקף השימוש בשירות או בזהות בית העסק, והכל אלא אם כן קיים הבדל בעלויות הישירות הנובעות ממתן השירות וככל שההבדל במחיר מוצדק באופן ישיר על ידי ההבדל בעלויות האמורות בלבד.</w:t>
      </w:r>
      <w:bookmarkEnd w:id="14"/>
      <w:r>
        <w:rPr>
          <w:rFonts w:eastAsia="Times New Roman" w:cs="David" w:hint="cs"/>
          <w:sz w:val="22"/>
          <w:rtl/>
        </w:rPr>
        <w:t xml:space="preserve"> </w:t>
      </w:r>
      <w:bookmarkEnd w:id="13"/>
    </w:p>
    <w:p w:rsidR="00000000" w:rsidRDefault="002F2DAA">
      <w:pPr>
        <w:bidi/>
        <w:spacing w:before="100" w:beforeAutospacing="1" w:after="100" w:afterAutospacing="1"/>
        <w:jc w:val="both"/>
        <w:rPr>
          <w:rFonts w:hint="cs"/>
          <w:rtl/>
        </w:rPr>
      </w:pPr>
      <w:r>
        <w:rPr>
          <w:rStyle w:val="Strong"/>
          <w:rFonts w:cs="David" w:hint="cs"/>
          <w:sz w:val="22"/>
          <w:rtl/>
        </w:rPr>
        <w:t> איסור על גביית דמי התחברות</w:t>
      </w:r>
    </w:p>
    <w:p w:rsidR="00000000" w:rsidRDefault="002F2DAA">
      <w:pPr>
        <w:numPr>
          <w:ilvl w:val="0"/>
          <w:numId w:val="6"/>
        </w:numPr>
        <w:bidi/>
        <w:spacing w:before="100" w:beforeAutospacing="1" w:after="100" w:afterAutospacing="1"/>
        <w:jc w:val="both"/>
        <w:rPr>
          <w:rFonts w:eastAsia="Times New Roman" w:hint="cs"/>
          <w:rtl/>
        </w:rPr>
      </w:pPr>
      <w:r>
        <w:rPr>
          <w:rFonts w:eastAsia="Times New Roman" w:cs="David" w:hint="cs"/>
          <w:sz w:val="22"/>
          <w:rtl/>
        </w:rPr>
        <w:t xml:space="preserve">שבא אינה רשאית לגבות כל תשלום, לרבות עבור עלויות שנשאה בעבר, מאדם שיבקש להתחבר לשירותי מיתוג </w:t>
      </w:r>
      <w:r>
        <w:rPr>
          <w:rFonts w:eastAsia="Times New Roman" w:cs="David"/>
        </w:rPr>
        <w:t>ATM</w:t>
      </w:r>
      <w:r>
        <w:rPr>
          <w:rFonts w:eastAsia="Times New Roman" w:cs="David" w:hint="cs"/>
          <w:sz w:val="22"/>
          <w:rtl/>
        </w:rPr>
        <w:t>, שירותי ממשק ושירותי איסוף ואישור (להלן, ביחד: "</w:t>
      </w:r>
      <w:r>
        <w:rPr>
          <w:rStyle w:val="Strong"/>
          <w:rFonts w:eastAsia="Times New Roman" w:cs="David" w:hint="cs"/>
          <w:b w:val="0"/>
          <w:sz w:val="22"/>
          <w:rtl/>
        </w:rPr>
        <w:t>השירותים</w:t>
      </w:r>
      <w:r>
        <w:rPr>
          <w:rFonts w:eastAsia="Times New Roman" w:cs="David" w:hint="cs"/>
          <w:sz w:val="22"/>
          <w:rtl/>
        </w:rPr>
        <w:t xml:space="preserve">"). </w:t>
      </w:r>
    </w:p>
    <w:p w:rsidR="00000000" w:rsidRDefault="002F2DAA">
      <w:pPr>
        <w:numPr>
          <w:ilvl w:val="0"/>
          <w:numId w:val="6"/>
        </w:numPr>
        <w:bidi/>
        <w:spacing w:before="100" w:beforeAutospacing="1" w:after="100" w:afterAutospacing="1"/>
        <w:jc w:val="both"/>
        <w:rPr>
          <w:rFonts w:eastAsia="Times New Roman" w:hint="cs"/>
          <w:rtl/>
        </w:rPr>
      </w:pPr>
      <w:r>
        <w:rPr>
          <w:rFonts w:eastAsia="Times New Roman" w:cs="David" w:hint="cs"/>
          <w:sz w:val="22"/>
          <w:rtl/>
        </w:rPr>
        <w:t>על אף האמור בסעיף 19 לעיל, שבא תהיה רשאית לגבות מאדם שיבקש להתחבר לשירותים או מי מהן את העלויות הת</w:t>
      </w:r>
      <w:r>
        <w:rPr>
          <w:rFonts w:eastAsia="Times New Roman" w:cs="David" w:hint="cs"/>
          <w:sz w:val="22"/>
          <w:rtl/>
        </w:rPr>
        <w:t xml:space="preserve">וספתיות הכרוכות במתן גישה לשירותים שהוא מעוניין לקבל, ואשר ינבעו באופן ישיר מביצוע ההתאמות הנדרשות לשם מתן השירותים עבורו, וזאת לאחר הצגה מפורטת של חישוב העלויות בפני המבקש והממונה ובכפוף לקבלת אישורו של הממונה מראש ובכתב.  </w:t>
      </w:r>
    </w:p>
    <w:p w:rsidR="00000000" w:rsidRDefault="002F2DAA">
      <w:pPr>
        <w:bidi/>
        <w:spacing w:before="100" w:beforeAutospacing="1" w:after="100" w:afterAutospacing="1"/>
        <w:jc w:val="both"/>
        <w:rPr>
          <w:rFonts w:hint="cs"/>
          <w:rtl/>
        </w:rPr>
      </w:pPr>
      <w:r>
        <w:rPr>
          <w:rStyle w:val="Strong"/>
          <w:rFonts w:cs="David" w:hint="cs"/>
          <w:sz w:val="22"/>
          <w:rtl/>
        </w:rPr>
        <w:t>הפצת תוכנת "אשראית"</w:t>
      </w:r>
    </w:p>
    <w:p w:rsidR="00000000" w:rsidRDefault="002F2DAA">
      <w:pPr>
        <w:bidi/>
        <w:spacing w:before="100" w:beforeAutospacing="1" w:after="100" w:afterAutospacing="1"/>
        <w:ind w:left="651" w:hanging="283"/>
        <w:contextualSpacing/>
        <w:jc w:val="both"/>
        <w:rPr>
          <w:rFonts w:hint="cs"/>
          <w:rtl/>
        </w:rPr>
      </w:pPr>
      <w:r>
        <w:rPr>
          <w:rFonts w:eastAsia="Times New Roman" w:cs="David" w:hint="cs"/>
          <w:sz w:val="22"/>
          <w:rtl/>
        </w:rPr>
        <w:t>21. שבא תפס</w:t>
      </w:r>
      <w:r>
        <w:rPr>
          <w:rFonts w:eastAsia="Times New Roman" w:cs="David" w:hint="cs"/>
          <w:sz w:val="22"/>
          <w:rtl/>
        </w:rPr>
        <w:t xml:space="preserve">יק לגבות תשלום ממפיץ תכנת אשראית בגין שימוש בית עסק בתוכנת  "אשראית" מעת שהודיע לה המפיץ על סיום ההתקשרות בינו לבין בית העסק אשר עשה   שימוש בתכנה, וכל עוד בית העסק אינו מקבל מהמפיץ שירותים בגין תכנת "אשראית". </w:t>
      </w:r>
    </w:p>
    <w:p w:rsidR="00000000" w:rsidRDefault="002F2DAA">
      <w:pPr>
        <w:tabs>
          <w:tab w:val="num" w:pos="786"/>
        </w:tabs>
        <w:bidi/>
        <w:spacing w:before="100" w:beforeAutospacing="1" w:after="100" w:afterAutospacing="1"/>
        <w:ind w:left="720" w:hanging="357"/>
        <w:jc w:val="both"/>
        <w:rPr>
          <w:rFonts w:hint="cs"/>
          <w:rtl/>
        </w:rPr>
      </w:pPr>
      <w:r>
        <w:rPr>
          <w:rFonts w:eastAsia="Times New Roman"/>
          <w:rtl/>
        </w:rPr>
        <w:t>22.</w:t>
      </w:r>
      <w:r>
        <w:rPr>
          <w:rFonts w:eastAsia="Times New Roman"/>
          <w:sz w:val="14"/>
          <w:szCs w:val="14"/>
          <w:rtl/>
        </w:rPr>
        <w:t xml:space="preserve">   </w:t>
      </w:r>
      <w:r>
        <w:rPr>
          <w:rFonts w:eastAsia="Times New Roman" w:cs="David" w:hint="cs"/>
          <w:sz w:val="22"/>
          <w:rtl/>
        </w:rPr>
        <w:t>שבא תאפשר לכל אדם העומד בקריטריונים שיא</w:t>
      </w:r>
      <w:r>
        <w:rPr>
          <w:rFonts w:eastAsia="Times New Roman" w:cs="David" w:hint="cs"/>
          <w:sz w:val="22"/>
          <w:rtl/>
        </w:rPr>
        <w:t xml:space="preserve">ושרו על ידי הממונה ויפורסמו באתר האינטרנט של שבא, לקבל רישיון יצרן, ובכפוף להתחייבות חתומה לשמירת סודיות תעביר אליו את איפיון תוכנת "אשראית". </w:t>
      </w:r>
    </w:p>
    <w:p w:rsidR="00000000" w:rsidRDefault="002F2DAA">
      <w:pPr>
        <w:bidi/>
        <w:spacing w:before="100" w:beforeAutospacing="1" w:after="100" w:afterAutospacing="1"/>
        <w:jc w:val="both"/>
        <w:rPr>
          <w:rFonts w:hint="cs"/>
          <w:rtl/>
        </w:rPr>
      </w:pPr>
      <w:r>
        <w:rPr>
          <w:rStyle w:val="Strong"/>
          <w:rFonts w:cs="David" w:hint="cs"/>
          <w:sz w:val="22"/>
          <w:rtl/>
        </w:rPr>
        <w:lastRenderedPageBreak/>
        <w:t> שרותי תקשורת למכרזי בנק ישראל</w:t>
      </w:r>
    </w:p>
    <w:p w:rsidR="00000000" w:rsidRDefault="002F2DAA">
      <w:pPr>
        <w:bidi/>
        <w:spacing w:before="100" w:beforeAutospacing="1" w:after="100" w:afterAutospacing="1"/>
        <w:ind w:left="651" w:hanging="291"/>
        <w:jc w:val="both"/>
        <w:rPr>
          <w:rFonts w:hint="cs"/>
          <w:rtl/>
        </w:rPr>
      </w:pPr>
      <w:bookmarkStart w:id="15" w:name="_Ref321746200"/>
      <w:r>
        <w:rPr>
          <w:rFonts w:eastAsia="Times New Roman" w:cs="David" w:hint="cs"/>
          <w:sz w:val="22"/>
          <w:rtl/>
        </w:rPr>
        <w:t xml:space="preserve">23. שבא תבצע כל פעולה הנדרשת כדי לאפשר לכל אדם הרשאי להגיש הצעות למכרזי בנק ישראל </w:t>
      </w:r>
      <w:r>
        <w:rPr>
          <w:rFonts w:eastAsia="Times New Roman" w:cs="David" w:hint="cs"/>
          <w:sz w:val="22"/>
          <w:rtl/>
        </w:rPr>
        <w:t>גישה לשירותי תקשורת למכרזי בנק ישראל המסופקים על ידי שבא. הגישה תינתן בתנאים שאינם גרועים מהתנאים שמעניקה שבא לבנקים.</w:t>
      </w:r>
      <w:bookmarkEnd w:id="15"/>
    </w:p>
    <w:p w:rsidR="00000000" w:rsidRDefault="002F2DAA">
      <w:pPr>
        <w:bidi/>
        <w:spacing w:before="100" w:beforeAutospacing="1" w:after="100" w:afterAutospacing="1"/>
        <w:jc w:val="both"/>
        <w:rPr>
          <w:rFonts w:hint="cs"/>
          <w:rtl/>
        </w:rPr>
      </w:pPr>
      <w:r>
        <w:rPr>
          <w:rStyle w:val="Strong"/>
          <w:rFonts w:cs="David" w:hint="cs"/>
          <w:sz w:val="22"/>
          <w:rtl/>
        </w:rPr>
        <w:t>כללי</w:t>
      </w:r>
    </w:p>
    <w:p w:rsidR="00000000" w:rsidRDefault="002F2DAA">
      <w:pPr>
        <w:bidi/>
        <w:spacing w:before="100" w:beforeAutospacing="1" w:after="100" w:afterAutospacing="1"/>
        <w:ind w:left="653" w:hanging="369"/>
        <w:contextualSpacing/>
        <w:jc w:val="both"/>
        <w:rPr>
          <w:rFonts w:hint="cs"/>
          <w:rtl/>
        </w:rPr>
      </w:pPr>
      <w:r>
        <w:rPr>
          <w:rFonts w:eastAsia="Times New Roman" w:cs="David" w:hint="cs"/>
          <w:sz w:val="22"/>
          <w:rtl/>
        </w:rPr>
        <w:t>24. הבנקים ושבא יעמידו לרשות כל אדם כל מידע הנחוץ באופן סביר כדי לוודא כי התנאים  המפורטים לעיל אכן מתקיימים בתחום פעילותו של מבקש המ</w:t>
      </w:r>
      <w:r>
        <w:rPr>
          <w:rFonts w:eastAsia="Times New Roman" w:cs="David" w:hint="cs"/>
          <w:sz w:val="22"/>
          <w:rtl/>
        </w:rPr>
        <w:t xml:space="preserve">ידע. </w:t>
      </w:r>
    </w:p>
    <w:p w:rsidR="00000000" w:rsidRDefault="002F2DAA">
      <w:pPr>
        <w:tabs>
          <w:tab w:val="num" w:pos="644"/>
        </w:tabs>
        <w:bidi/>
        <w:spacing w:before="100" w:beforeAutospacing="1" w:after="100" w:afterAutospacing="1"/>
        <w:ind w:left="644" w:hanging="360"/>
        <w:jc w:val="both"/>
        <w:rPr>
          <w:rFonts w:hint="cs"/>
          <w:rtl/>
        </w:rPr>
      </w:pPr>
      <w:r>
        <w:rPr>
          <w:rFonts w:eastAsia="Times New Roman"/>
          <w:rtl/>
        </w:rPr>
        <w:t>25.</w:t>
      </w:r>
      <w:r>
        <w:rPr>
          <w:rFonts w:eastAsia="Times New Roman"/>
          <w:sz w:val="14"/>
          <w:szCs w:val="14"/>
          <w:rtl/>
        </w:rPr>
        <w:t xml:space="preserve">   </w:t>
      </w:r>
      <w:r>
        <w:rPr>
          <w:rFonts w:eastAsia="Times New Roman" w:cs="David" w:hint="cs"/>
          <w:sz w:val="22"/>
          <w:rtl/>
        </w:rPr>
        <w:t>הדו"חות הכספיים של שבא יפורסמו באתר האינטרנט שלה מיד עם חתימתם, וכן יפורסמו באתר הנ"ל תעריפוני השירותים השונים שמספקת שבא.</w:t>
      </w:r>
    </w:p>
    <w:p w:rsidR="00000000" w:rsidRDefault="002F2DAA">
      <w:pPr>
        <w:tabs>
          <w:tab w:val="num" w:pos="644"/>
        </w:tabs>
        <w:bidi/>
        <w:spacing w:before="100" w:beforeAutospacing="1" w:after="100" w:afterAutospacing="1"/>
        <w:ind w:left="644" w:hanging="360"/>
        <w:jc w:val="both"/>
        <w:rPr>
          <w:rFonts w:hint="cs"/>
          <w:rtl/>
        </w:rPr>
      </w:pPr>
      <w:r>
        <w:rPr>
          <w:rFonts w:eastAsia="Times New Roman"/>
          <w:rtl/>
        </w:rPr>
        <w:t>26.</w:t>
      </w:r>
      <w:r>
        <w:rPr>
          <w:rFonts w:eastAsia="Times New Roman"/>
          <w:sz w:val="14"/>
          <w:szCs w:val="14"/>
          <w:rtl/>
        </w:rPr>
        <w:t xml:space="preserve">   </w:t>
      </w:r>
      <w:r>
        <w:rPr>
          <w:rFonts w:eastAsia="Times New Roman" w:cs="David" w:hint="cs"/>
          <w:sz w:val="22"/>
          <w:rtl/>
        </w:rPr>
        <w:t>סעיפים 2 (לעניין האיסור על מתן הנחות),</w:t>
      </w:r>
      <w:r>
        <w:rPr>
          <w:rFonts w:eastAsia="Times New Roman" w:cs="David" w:hint="cs"/>
        </w:rPr>
        <w:t>‎</w:t>
      </w:r>
      <w:r>
        <w:rPr>
          <w:rFonts w:eastAsia="Times New Roman" w:cs="David"/>
        </w:rPr>
        <w:t>12</w:t>
      </w:r>
      <w:r>
        <w:rPr>
          <w:rFonts w:eastAsia="Times New Roman" w:cs="David" w:hint="cs"/>
          <w:sz w:val="22"/>
          <w:rtl/>
        </w:rPr>
        <w:t xml:space="preserve">, </w:t>
      </w:r>
      <w:r>
        <w:rPr>
          <w:rFonts w:eastAsia="Times New Roman" w:cs="David" w:hint="cs"/>
        </w:rPr>
        <w:t>‎</w:t>
      </w:r>
      <w:r>
        <w:rPr>
          <w:rFonts w:eastAsia="Times New Roman" w:cs="David" w:hint="cs"/>
          <w:rtl/>
        </w:rPr>
        <w:t>ו-</w:t>
      </w:r>
      <w:r>
        <w:rPr>
          <w:rFonts w:eastAsia="Times New Roman" w:cs="David"/>
        </w:rPr>
        <w:t>18</w:t>
      </w:r>
      <w:r>
        <w:rPr>
          <w:rFonts w:eastAsia="Times New Roman" w:cs="David" w:hint="cs"/>
          <w:sz w:val="22"/>
          <w:rtl/>
        </w:rPr>
        <w:t xml:space="preserve"> לתנאים אלו יחולו החל מיום 1.10.2012. </w:t>
      </w:r>
    </w:p>
    <w:p w:rsidR="00000000" w:rsidRDefault="002F2DAA">
      <w:pPr>
        <w:tabs>
          <w:tab w:val="num" w:pos="644"/>
        </w:tabs>
        <w:bidi/>
        <w:spacing w:before="100" w:beforeAutospacing="1" w:after="100" w:afterAutospacing="1"/>
        <w:ind w:left="644" w:hanging="360"/>
        <w:jc w:val="both"/>
        <w:rPr>
          <w:rFonts w:hint="cs"/>
          <w:rtl/>
        </w:rPr>
      </w:pPr>
      <w:r>
        <w:rPr>
          <w:rFonts w:eastAsia="Times New Roman"/>
          <w:rtl/>
        </w:rPr>
        <w:t>27.</w:t>
      </w:r>
      <w:r>
        <w:rPr>
          <w:rFonts w:eastAsia="Times New Roman"/>
          <w:sz w:val="14"/>
          <w:szCs w:val="14"/>
          <w:rtl/>
        </w:rPr>
        <w:t xml:space="preserve">   </w:t>
      </w:r>
      <w:r>
        <w:rPr>
          <w:rFonts w:eastAsia="Times New Roman" w:cs="David" w:hint="cs"/>
          <w:sz w:val="22"/>
          <w:rtl/>
        </w:rPr>
        <w:t>התעורר ספק בדבר פרשנותם או תחולתם של תנאים אלה - יובא הדבר להכרעת הממונה.</w:t>
      </w:r>
    </w:p>
    <w:p w:rsidR="00000000" w:rsidRDefault="002F2DAA">
      <w:pPr>
        <w:tabs>
          <w:tab w:val="num" w:pos="644"/>
        </w:tabs>
        <w:bidi/>
        <w:spacing w:before="100" w:beforeAutospacing="1" w:after="100" w:afterAutospacing="1"/>
        <w:ind w:left="644" w:hanging="360"/>
        <w:jc w:val="both"/>
        <w:rPr>
          <w:rFonts w:hint="cs"/>
          <w:rtl/>
        </w:rPr>
      </w:pPr>
      <w:r>
        <w:rPr>
          <w:rFonts w:eastAsia="Times New Roman"/>
          <w:rtl/>
        </w:rPr>
        <w:t>28.</w:t>
      </w:r>
      <w:r>
        <w:rPr>
          <w:rFonts w:eastAsia="Times New Roman"/>
          <w:sz w:val="14"/>
          <w:szCs w:val="14"/>
          <w:rtl/>
        </w:rPr>
        <w:t xml:space="preserve">   </w:t>
      </w:r>
      <w:r>
        <w:rPr>
          <w:rFonts w:eastAsia="Times New Roman" w:cs="David" w:hint="cs"/>
          <w:sz w:val="22"/>
          <w:rtl/>
        </w:rPr>
        <w:t xml:space="preserve">כל ספק בדבר תחולתם של תנאים אלה, פרשנותם או בדבר דרך יישומם - יובא להכרעת הממונה. </w:t>
      </w:r>
    </w:p>
    <w:p w:rsidR="00000000" w:rsidRDefault="002F2DAA">
      <w:pPr>
        <w:bidi/>
        <w:spacing w:before="100" w:beforeAutospacing="1" w:after="100" w:afterAutospacing="1"/>
        <w:jc w:val="both"/>
        <w:rPr>
          <w:rFonts w:hint="cs"/>
          <w:rtl/>
        </w:rPr>
      </w:pPr>
      <w:r>
        <w:rPr>
          <w:rFonts w:cs="David" w:hint="cs"/>
          <w:sz w:val="22"/>
          <w:rtl/>
        </w:rPr>
        <w:t>בהתאם לסעיף 15(א) לחוק ההגבלים העסקיים נתונה החלטתי זו לערר בפני אב בית הדין להגבלים עסקיים ע</w:t>
      </w:r>
      <w:r>
        <w:rPr>
          <w:rFonts w:cs="David" w:hint="cs"/>
          <w:sz w:val="22"/>
          <w:rtl/>
        </w:rPr>
        <w:t xml:space="preserve">ל ידי איגוד עסקי, ארגון צרכנים או כל אדם העלול להיפגע מההסדר הכובל עליו ניתן הפטור. </w:t>
      </w:r>
    </w:p>
    <w:p w:rsidR="00000000" w:rsidRDefault="002F2DAA">
      <w:pPr>
        <w:tabs>
          <w:tab w:val="left" w:pos="720"/>
          <w:tab w:val="center" w:pos="4153"/>
          <w:tab w:val="right" w:pos="8306"/>
        </w:tabs>
        <w:bidi/>
        <w:spacing w:before="100" w:beforeAutospacing="1" w:after="100" w:afterAutospacing="1" w:line="480" w:lineRule="auto"/>
        <w:ind w:left="360"/>
        <w:jc w:val="both"/>
        <w:rPr>
          <w:rFonts w:hint="cs"/>
          <w:rtl/>
        </w:rPr>
      </w:pPr>
      <w:r>
        <w:rPr>
          <w:rFonts w:cs="David" w:hint="cs"/>
          <w:sz w:val="22"/>
          <w:rtl/>
        </w:rPr>
        <w:t>  </w:t>
      </w:r>
    </w:p>
    <w:p w:rsidR="00000000" w:rsidRDefault="002F2DAA">
      <w:pPr>
        <w:tabs>
          <w:tab w:val="right" w:pos="8306"/>
        </w:tabs>
        <w:bidi/>
        <w:spacing w:before="100" w:beforeAutospacing="1" w:after="100" w:afterAutospacing="1" w:line="480" w:lineRule="auto"/>
        <w:ind w:left="4818"/>
        <w:jc w:val="both"/>
        <w:rPr>
          <w:rFonts w:hint="cs"/>
          <w:rtl/>
        </w:rPr>
      </w:pPr>
      <w:r>
        <w:rPr>
          <w:rFonts w:cs="David" w:hint="cs"/>
          <w:sz w:val="22"/>
          <w:rtl/>
        </w:rPr>
        <w:t xml:space="preserve">          פרופ' דיויד גילה</w:t>
      </w:r>
    </w:p>
    <w:p w:rsidR="00000000" w:rsidRDefault="002F2DAA">
      <w:pPr>
        <w:tabs>
          <w:tab w:val="right" w:pos="8306"/>
        </w:tabs>
        <w:bidi/>
        <w:spacing w:before="100" w:beforeAutospacing="1" w:after="100" w:afterAutospacing="1" w:line="480" w:lineRule="auto"/>
        <w:ind w:left="4818"/>
        <w:jc w:val="both"/>
        <w:rPr>
          <w:rFonts w:hint="cs"/>
          <w:rtl/>
        </w:rPr>
      </w:pPr>
      <w:r>
        <w:rPr>
          <w:rFonts w:cs="David" w:hint="cs"/>
          <w:sz w:val="22"/>
          <w:rtl/>
        </w:rPr>
        <w:t>הממונה על ההגבלים העסקיים</w:t>
      </w:r>
    </w:p>
    <w:p w:rsidR="00000000" w:rsidRDefault="002F2DAA">
      <w:pPr>
        <w:tabs>
          <w:tab w:val="left" w:pos="720"/>
          <w:tab w:val="center" w:pos="4153"/>
          <w:tab w:val="right" w:pos="8306"/>
        </w:tabs>
        <w:bidi/>
        <w:spacing w:line="480" w:lineRule="auto"/>
        <w:ind w:left="357"/>
        <w:jc w:val="both"/>
        <w:rPr>
          <w:rFonts w:hint="cs"/>
          <w:rtl/>
        </w:rPr>
      </w:pPr>
      <w:r>
        <w:rPr>
          <w:rFonts w:cs="David" w:hint="cs"/>
          <w:sz w:val="22"/>
          <w:rtl/>
        </w:rPr>
        <w:t xml:space="preserve">ירושלים, ‏ </w:t>
      </w:r>
      <w:r>
        <w:rPr>
          <w:rFonts w:cs="David" w:hint="cs"/>
          <w:sz w:val="22"/>
          <w:highlight w:val="yellow"/>
          <w:rtl/>
        </w:rPr>
        <w:t>‏</w:t>
      </w:r>
      <w:r>
        <w:rPr>
          <w:rFonts w:cs="David" w:hint="cs"/>
          <w:sz w:val="22"/>
          <w:rtl/>
        </w:rPr>
        <w:t>ד' תשרי התשע"ג</w:t>
      </w:r>
    </w:p>
    <w:p w:rsidR="00000000" w:rsidRDefault="002F2DAA">
      <w:pPr>
        <w:tabs>
          <w:tab w:val="left" w:pos="720"/>
          <w:tab w:val="center" w:pos="4153"/>
          <w:tab w:val="right" w:pos="8306"/>
        </w:tabs>
        <w:bidi/>
        <w:spacing w:line="480" w:lineRule="auto"/>
        <w:ind w:left="357"/>
        <w:jc w:val="both"/>
        <w:rPr>
          <w:rFonts w:hint="cs"/>
          <w:rtl/>
        </w:rPr>
      </w:pPr>
      <w:r>
        <w:rPr>
          <w:rFonts w:cs="David" w:hint="cs"/>
          <w:sz w:val="22"/>
          <w:rtl/>
        </w:rPr>
        <w:tab/>
        <w:t xml:space="preserve">          20 בספטמבר 2012</w:t>
      </w:r>
    </w:p>
    <w:p w:rsidR="00000000" w:rsidRDefault="002F2DAA">
      <w:pPr>
        <w:bidi/>
        <w:spacing w:before="100" w:beforeAutospacing="1" w:after="100" w:afterAutospacing="1" w:line="480" w:lineRule="auto"/>
        <w:jc w:val="both"/>
        <w:rPr>
          <w:rFonts w:hint="cs"/>
          <w:rtl/>
        </w:rPr>
      </w:pPr>
      <w:r>
        <w:rPr>
          <w:rFonts w:cs="David" w:hint="cs"/>
          <w:sz w:val="22"/>
          <w:rtl/>
        </w:rPr>
        <w:t> </w:t>
      </w:r>
    </w:p>
    <w:p w:rsidR="00000000" w:rsidRDefault="002F2DAA">
      <w:pPr>
        <w:bidi/>
        <w:spacing w:before="100" w:beforeAutospacing="1" w:after="100" w:afterAutospacing="1" w:line="480" w:lineRule="auto"/>
        <w:jc w:val="both"/>
        <w:rPr>
          <w:rFonts w:hint="cs"/>
          <w:rtl/>
        </w:rPr>
      </w:pPr>
      <w:r>
        <w:rPr>
          <w:rFonts w:cs="David" w:hint="cs"/>
          <w:sz w:val="22"/>
          <w:rtl/>
        </w:rPr>
        <w:t> </w:t>
      </w:r>
    </w:p>
    <w:p w:rsidR="00000000" w:rsidRDefault="002F2DAA">
      <w:pPr>
        <w:bidi/>
        <w:spacing w:before="100" w:beforeAutospacing="1" w:after="100" w:afterAutospacing="1" w:line="480" w:lineRule="auto"/>
        <w:jc w:val="center"/>
        <w:rPr>
          <w:rFonts w:hint="cs"/>
          <w:rtl/>
        </w:rPr>
      </w:pPr>
      <w:r>
        <w:rPr>
          <w:rStyle w:val="Strong"/>
          <w:rFonts w:cs="David" w:hint="cs"/>
          <w:b w:val="0"/>
          <w:sz w:val="22"/>
          <w:u w:val="single"/>
          <w:rtl/>
        </w:rPr>
        <w:t>נספח א'</w:t>
      </w:r>
    </w:p>
    <w:p w:rsidR="00000000" w:rsidRDefault="002F2DAA">
      <w:pPr>
        <w:bidi/>
        <w:spacing w:before="100" w:beforeAutospacing="1" w:after="100" w:afterAutospacing="1"/>
        <w:jc w:val="both"/>
        <w:rPr>
          <w:rFonts w:hint="cs"/>
          <w:rtl/>
        </w:rPr>
      </w:pPr>
      <w:r>
        <w:rPr>
          <w:rFonts w:cs="David" w:hint="cs"/>
          <w:sz w:val="22"/>
          <w:rtl/>
        </w:rPr>
        <w:t>אני החתום/ה מטה, ......................., נושא/ת ת.ז. שמספרה ....................., המשמש/ת כ.........................  , מצהיר/ה בזה ומתחייב/ת כדלקמן:</w:t>
      </w:r>
    </w:p>
    <w:p w:rsidR="00000000" w:rsidRDefault="002F2DAA">
      <w:pPr>
        <w:bidi/>
        <w:spacing w:before="100" w:beforeAutospacing="1" w:after="100" w:afterAutospacing="1"/>
        <w:jc w:val="both"/>
        <w:rPr>
          <w:rFonts w:hint="cs"/>
          <w:rtl/>
        </w:rPr>
      </w:pPr>
      <w:r>
        <w:rPr>
          <w:rFonts w:cs="David" w:hint="cs"/>
          <w:sz w:val="22"/>
          <w:rtl/>
        </w:rPr>
        <w:t> </w:t>
      </w:r>
    </w:p>
    <w:p w:rsidR="00000000" w:rsidRDefault="002F2DAA">
      <w:pPr>
        <w:bidi/>
        <w:spacing w:before="100" w:beforeAutospacing="1" w:after="100" w:afterAutospacing="1"/>
        <w:ind w:left="500" w:hanging="360"/>
        <w:jc w:val="both"/>
        <w:rPr>
          <w:rFonts w:hint="cs"/>
          <w:rtl/>
        </w:rPr>
      </w:pPr>
      <w:r>
        <w:rPr>
          <w:rFonts w:cs="David" w:hint="cs"/>
          <w:rtl/>
        </w:rPr>
        <w:t>1.</w:t>
      </w:r>
      <w:r>
        <w:rPr>
          <w:rFonts w:cs="David" w:hint="cs"/>
          <w:sz w:val="14"/>
          <w:szCs w:val="14"/>
          <w:rtl/>
        </w:rPr>
        <w:t xml:space="preserve">       </w:t>
      </w:r>
      <w:r>
        <w:rPr>
          <w:rFonts w:cs="David" w:hint="cs"/>
          <w:sz w:val="22"/>
          <w:rtl/>
        </w:rPr>
        <w:t>קראתי במלואם את תנאי הממונה על הגבלים עסקיים למתן פטור מאישור בית הדין להסדר שעניינו – שירותי</w:t>
      </w:r>
      <w:r>
        <w:rPr>
          <w:rFonts w:cs="David" w:hint="cs"/>
          <w:sz w:val="22"/>
          <w:rtl/>
        </w:rPr>
        <w:t xml:space="preserve"> בנק אוטומטיים בע"מ (תיק פטור 8677).</w:t>
      </w:r>
    </w:p>
    <w:p w:rsidR="00000000" w:rsidRDefault="002F2DAA">
      <w:pPr>
        <w:bidi/>
        <w:spacing w:before="100" w:beforeAutospacing="1" w:after="100" w:afterAutospacing="1"/>
        <w:ind w:left="500" w:hanging="360"/>
        <w:jc w:val="both"/>
        <w:rPr>
          <w:rFonts w:hint="cs"/>
          <w:rtl/>
        </w:rPr>
      </w:pPr>
      <w:r>
        <w:rPr>
          <w:rFonts w:cs="David" w:hint="cs"/>
          <w:rtl/>
        </w:rPr>
        <w:lastRenderedPageBreak/>
        <w:t>2.</w:t>
      </w:r>
      <w:r>
        <w:rPr>
          <w:rFonts w:cs="David" w:hint="cs"/>
          <w:sz w:val="14"/>
          <w:szCs w:val="14"/>
          <w:rtl/>
        </w:rPr>
        <w:t xml:space="preserve">       </w:t>
      </w:r>
      <w:r>
        <w:rPr>
          <w:rFonts w:cs="David" w:hint="cs"/>
          <w:sz w:val="22"/>
          <w:rtl/>
        </w:rPr>
        <w:t>אני מודע/ת לכך כי קיום דווקני של כל התנאים הללו הוא הבסיס לקבלת פטור הממונה על הגבלים עסקיים להסדר זה.</w:t>
      </w:r>
    </w:p>
    <w:p w:rsidR="00000000" w:rsidRDefault="002F2DAA">
      <w:pPr>
        <w:bidi/>
        <w:spacing w:before="100" w:beforeAutospacing="1" w:after="100" w:afterAutospacing="1"/>
        <w:ind w:left="500" w:hanging="360"/>
        <w:jc w:val="both"/>
        <w:rPr>
          <w:rFonts w:hint="cs"/>
          <w:rtl/>
        </w:rPr>
      </w:pPr>
      <w:r>
        <w:rPr>
          <w:rFonts w:cs="David" w:hint="cs"/>
          <w:rtl/>
        </w:rPr>
        <w:t>3.</w:t>
      </w:r>
      <w:r>
        <w:rPr>
          <w:rFonts w:cs="David" w:hint="cs"/>
          <w:sz w:val="14"/>
          <w:szCs w:val="14"/>
          <w:rtl/>
        </w:rPr>
        <w:t xml:space="preserve">       </w:t>
      </w:r>
      <w:r>
        <w:rPr>
          <w:rFonts w:cs="David" w:hint="cs"/>
          <w:sz w:val="22"/>
          <w:rtl/>
        </w:rPr>
        <w:t>ידוע לי כי הפרת התנאים הנזכרים מהווה עבירה פלילית על פי חוק ההגבלים העסקיים, התשמ"ח - 1988, שעונשה</w:t>
      </w:r>
      <w:r>
        <w:rPr>
          <w:rFonts w:cs="David" w:hint="cs"/>
          <w:sz w:val="22"/>
          <w:rtl/>
        </w:rPr>
        <w:t xml:space="preserve"> עד שלוש שנות מאסר. </w:t>
      </w:r>
    </w:p>
    <w:p w:rsidR="00000000" w:rsidRDefault="002F2DAA">
      <w:pPr>
        <w:bidi/>
        <w:spacing w:before="100" w:beforeAutospacing="1" w:after="100" w:afterAutospacing="1"/>
        <w:jc w:val="both"/>
        <w:rPr>
          <w:rFonts w:hint="cs"/>
          <w:rtl/>
        </w:rPr>
      </w:pPr>
      <w:r>
        <w:rPr>
          <w:rFonts w:cs="David" w:hint="cs"/>
          <w:sz w:val="22"/>
          <w:rtl/>
        </w:rPr>
        <w:t> </w:t>
      </w:r>
    </w:p>
    <w:tbl>
      <w:tblPr>
        <w:bidiVisual/>
        <w:tblW w:w="0" w:type="auto"/>
        <w:jc w:val="center"/>
        <w:tblLook w:val="04A0" w:firstRow="1" w:lastRow="0" w:firstColumn="1" w:lastColumn="0" w:noHBand="0" w:noVBand="1"/>
      </w:tblPr>
      <w:tblGrid>
        <w:gridCol w:w="1670"/>
        <w:gridCol w:w="1650"/>
        <w:gridCol w:w="1663"/>
        <w:gridCol w:w="1651"/>
        <w:gridCol w:w="1672"/>
      </w:tblGrid>
      <w:tr w:rsidR="00000000">
        <w:trPr>
          <w:jc w:val="center"/>
        </w:trPr>
        <w:tc>
          <w:tcPr>
            <w:tcW w:w="1705" w:type="dxa"/>
            <w:tcBorders>
              <w:top w:val="nil"/>
              <w:left w:val="nil"/>
              <w:bottom w:val="single" w:sz="4" w:space="0" w:color="auto"/>
              <w:right w:val="nil"/>
            </w:tcBorders>
            <w:hideMark/>
          </w:tcPr>
          <w:p w:rsidR="00000000" w:rsidRDefault="002F2DAA">
            <w:pPr>
              <w:bidi/>
              <w:spacing w:before="100" w:beforeAutospacing="1" w:after="100" w:afterAutospacing="1"/>
              <w:jc w:val="both"/>
              <w:rPr>
                <w:rFonts w:hint="cs"/>
                <w:rtl/>
              </w:rPr>
            </w:pPr>
            <w:r>
              <w:rPr>
                <w:rFonts w:cs="David"/>
              </w:rPr>
              <w:t> </w:t>
            </w:r>
          </w:p>
        </w:tc>
        <w:tc>
          <w:tcPr>
            <w:tcW w:w="1705" w:type="dxa"/>
            <w:hideMark/>
          </w:tcPr>
          <w:p w:rsidR="00000000" w:rsidRDefault="002F2DAA">
            <w:pPr>
              <w:bidi/>
              <w:spacing w:before="100" w:beforeAutospacing="1" w:after="100" w:afterAutospacing="1"/>
              <w:jc w:val="both"/>
              <w:rPr>
                <w:rtl/>
              </w:rPr>
            </w:pPr>
            <w:r>
              <w:rPr>
                <w:rFonts w:cs="David"/>
              </w:rPr>
              <w:t> </w:t>
            </w:r>
          </w:p>
        </w:tc>
        <w:tc>
          <w:tcPr>
            <w:tcW w:w="1706" w:type="dxa"/>
            <w:tcBorders>
              <w:top w:val="nil"/>
              <w:left w:val="nil"/>
              <w:bottom w:val="single" w:sz="4" w:space="0" w:color="auto"/>
              <w:right w:val="nil"/>
            </w:tcBorders>
            <w:hideMark/>
          </w:tcPr>
          <w:p w:rsidR="00000000" w:rsidRDefault="002F2DAA">
            <w:pPr>
              <w:bidi/>
              <w:spacing w:before="100" w:beforeAutospacing="1" w:after="100" w:afterAutospacing="1"/>
              <w:jc w:val="both"/>
              <w:rPr>
                <w:rtl/>
              </w:rPr>
            </w:pPr>
            <w:r>
              <w:rPr>
                <w:rFonts w:cs="David"/>
              </w:rPr>
              <w:t> </w:t>
            </w:r>
          </w:p>
        </w:tc>
        <w:tc>
          <w:tcPr>
            <w:tcW w:w="1706" w:type="dxa"/>
            <w:hideMark/>
          </w:tcPr>
          <w:p w:rsidR="00000000" w:rsidRDefault="002F2DAA">
            <w:pPr>
              <w:bidi/>
              <w:spacing w:before="100" w:beforeAutospacing="1" w:after="100" w:afterAutospacing="1"/>
              <w:jc w:val="both"/>
              <w:rPr>
                <w:rtl/>
              </w:rPr>
            </w:pPr>
            <w:r>
              <w:rPr>
                <w:rFonts w:cs="David"/>
              </w:rPr>
              <w:t> </w:t>
            </w:r>
          </w:p>
        </w:tc>
        <w:tc>
          <w:tcPr>
            <w:tcW w:w="1706" w:type="dxa"/>
            <w:tcBorders>
              <w:top w:val="nil"/>
              <w:left w:val="nil"/>
              <w:bottom w:val="single" w:sz="4" w:space="0" w:color="auto"/>
              <w:right w:val="nil"/>
            </w:tcBorders>
            <w:hideMark/>
          </w:tcPr>
          <w:p w:rsidR="00000000" w:rsidRDefault="002F2DAA">
            <w:pPr>
              <w:bidi/>
              <w:spacing w:before="100" w:beforeAutospacing="1" w:after="100" w:afterAutospacing="1"/>
              <w:jc w:val="both"/>
              <w:rPr>
                <w:rtl/>
              </w:rPr>
            </w:pPr>
            <w:r>
              <w:rPr>
                <w:rFonts w:cs="David"/>
              </w:rPr>
              <w:t> </w:t>
            </w:r>
          </w:p>
        </w:tc>
      </w:tr>
      <w:tr w:rsidR="00000000">
        <w:trPr>
          <w:jc w:val="center"/>
        </w:trPr>
        <w:tc>
          <w:tcPr>
            <w:tcW w:w="1705" w:type="dxa"/>
            <w:tcBorders>
              <w:top w:val="single" w:sz="4" w:space="0" w:color="auto"/>
              <w:left w:val="nil"/>
              <w:bottom w:val="nil"/>
              <w:right w:val="nil"/>
            </w:tcBorders>
            <w:hideMark/>
          </w:tcPr>
          <w:p w:rsidR="00000000" w:rsidRDefault="002F2DAA">
            <w:pPr>
              <w:bidi/>
              <w:spacing w:before="100" w:beforeAutospacing="1" w:after="100" w:afterAutospacing="1"/>
              <w:jc w:val="both"/>
              <w:rPr>
                <w:rtl/>
              </w:rPr>
            </w:pPr>
            <w:r>
              <w:rPr>
                <w:rFonts w:cs="David" w:hint="cs"/>
                <w:sz w:val="22"/>
                <w:rtl/>
              </w:rPr>
              <w:t>תאריך</w:t>
            </w:r>
          </w:p>
        </w:tc>
        <w:tc>
          <w:tcPr>
            <w:tcW w:w="1705" w:type="dxa"/>
            <w:hideMark/>
          </w:tcPr>
          <w:p w:rsidR="00000000" w:rsidRDefault="002F2DAA">
            <w:pPr>
              <w:bidi/>
              <w:spacing w:before="100" w:beforeAutospacing="1" w:after="100" w:afterAutospacing="1"/>
              <w:jc w:val="both"/>
              <w:rPr>
                <w:rtl/>
              </w:rPr>
            </w:pPr>
            <w:r>
              <w:rPr>
                <w:rFonts w:cs="David"/>
              </w:rPr>
              <w:t> </w:t>
            </w:r>
          </w:p>
        </w:tc>
        <w:tc>
          <w:tcPr>
            <w:tcW w:w="1706" w:type="dxa"/>
            <w:tcBorders>
              <w:top w:val="single" w:sz="4" w:space="0" w:color="auto"/>
              <w:left w:val="nil"/>
              <w:bottom w:val="nil"/>
              <w:right w:val="nil"/>
            </w:tcBorders>
            <w:hideMark/>
          </w:tcPr>
          <w:p w:rsidR="00000000" w:rsidRDefault="002F2DAA">
            <w:pPr>
              <w:bidi/>
              <w:spacing w:before="100" w:beforeAutospacing="1" w:after="100" w:afterAutospacing="1"/>
              <w:jc w:val="both"/>
              <w:rPr>
                <w:rtl/>
              </w:rPr>
            </w:pPr>
            <w:r>
              <w:rPr>
                <w:rFonts w:cs="David" w:hint="cs"/>
                <w:sz w:val="22"/>
                <w:rtl/>
              </w:rPr>
              <w:t>שם מלא</w:t>
            </w:r>
          </w:p>
        </w:tc>
        <w:tc>
          <w:tcPr>
            <w:tcW w:w="1706" w:type="dxa"/>
            <w:hideMark/>
          </w:tcPr>
          <w:p w:rsidR="00000000" w:rsidRDefault="002F2DAA">
            <w:pPr>
              <w:bidi/>
              <w:spacing w:before="100" w:beforeAutospacing="1" w:after="100" w:afterAutospacing="1"/>
              <w:jc w:val="both"/>
              <w:rPr>
                <w:rtl/>
              </w:rPr>
            </w:pPr>
            <w:r>
              <w:rPr>
                <w:rFonts w:cs="David"/>
              </w:rPr>
              <w:t> </w:t>
            </w:r>
          </w:p>
        </w:tc>
        <w:tc>
          <w:tcPr>
            <w:tcW w:w="1706" w:type="dxa"/>
            <w:tcBorders>
              <w:top w:val="single" w:sz="4" w:space="0" w:color="auto"/>
              <w:left w:val="nil"/>
              <w:bottom w:val="nil"/>
              <w:right w:val="nil"/>
            </w:tcBorders>
            <w:hideMark/>
          </w:tcPr>
          <w:p w:rsidR="00000000" w:rsidRDefault="002F2DAA">
            <w:pPr>
              <w:bidi/>
              <w:spacing w:before="100" w:beforeAutospacing="1" w:after="100" w:afterAutospacing="1"/>
              <w:jc w:val="both"/>
              <w:rPr>
                <w:rtl/>
              </w:rPr>
            </w:pPr>
            <w:r>
              <w:rPr>
                <w:rFonts w:cs="David" w:hint="cs"/>
                <w:sz w:val="22"/>
                <w:rtl/>
              </w:rPr>
              <w:t>חתימה</w:t>
            </w:r>
          </w:p>
        </w:tc>
      </w:tr>
    </w:tbl>
    <w:p w:rsidR="00000000" w:rsidRDefault="002F2DAA">
      <w:pPr>
        <w:bidi/>
        <w:spacing w:before="100" w:beforeAutospacing="1" w:after="100" w:afterAutospacing="1"/>
        <w:jc w:val="both"/>
        <w:rPr>
          <w:rtl/>
        </w:rPr>
      </w:pPr>
      <w:r>
        <w:rPr>
          <w:rFonts w:cs="David" w:hint="cs"/>
          <w:sz w:val="22"/>
          <w:rtl/>
        </w:rPr>
        <w:t> </w:t>
      </w:r>
    </w:p>
    <w:p w:rsidR="00000000" w:rsidRDefault="002F2DAA">
      <w:pPr>
        <w:bidi/>
        <w:spacing w:before="100" w:beforeAutospacing="1" w:after="100" w:afterAutospacing="1"/>
        <w:jc w:val="both"/>
        <w:rPr>
          <w:rFonts w:hint="cs"/>
          <w:rtl/>
        </w:rPr>
      </w:pPr>
      <w:r>
        <w:rPr>
          <w:rFonts w:cs="David" w:hint="cs"/>
          <w:b/>
          <w:sz w:val="22"/>
          <w:rtl/>
        </w:rPr>
        <w:t>אישור</w:t>
      </w:r>
    </w:p>
    <w:p w:rsidR="00000000" w:rsidRDefault="002F2DAA">
      <w:pPr>
        <w:bidi/>
        <w:spacing w:before="100" w:beforeAutospacing="1" w:after="100" w:afterAutospacing="1"/>
        <w:jc w:val="both"/>
        <w:rPr>
          <w:rFonts w:hint="cs"/>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2F2DAA">
      <w:pPr>
        <w:bidi/>
        <w:spacing w:before="100" w:beforeAutospacing="1" w:after="100" w:afterAutospacing="1"/>
        <w:jc w:val="both"/>
        <w:rPr>
          <w:rFonts w:hint="cs"/>
          <w:rtl/>
        </w:rPr>
      </w:pPr>
      <w:r>
        <w:rPr>
          <w:rFonts w:cs="David" w:hint="cs"/>
          <w:sz w:val="22"/>
          <w:rtl/>
        </w:rPr>
        <w:t> </w:t>
      </w:r>
    </w:p>
    <w:p w:rsidR="00000000" w:rsidRDefault="002F2DAA">
      <w:pPr>
        <w:bidi/>
        <w:spacing w:before="100" w:beforeAutospacing="1" w:after="100" w:afterAutospacing="1"/>
        <w:ind w:left="5103"/>
        <w:jc w:val="both"/>
        <w:rPr>
          <w:rFonts w:hint="cs"/>
          <w:rtl/>
        </w:rPr>
      </w:pPr>
      <w:r>
        <w:rPr>
          <w:rFonts w:cs="David" w:hint="cs"/>
          <w:sz w:val="22"/>
          <w:rtl/>
        </w:rPr>
        <w:t>____________</w:t>
      </w:r>
      <w:r>
        <w:rPr>
          <w:rFonts w:cs="David" w:hint="cs"/>
          <w:sz w:val="22"/>
          <w:rtl/>
        </w:rPr>
        <w:t>______</w:t>
      </w:r>
    </w:p>
    <w:p w:rsidR="00000000" w:rsidRDefault="002F2DAA">
      <w:pPr>
        <w:bidi/>
        <w:spacing w:before="100" w:beforeAutospacing="1" w:after="100" w:afterAutospacing="1"/>
        <w:ind w:left="5103"/>
        <w:jc w:val="both"/>
        <w:rPr>
          <w:rFonts w:hint="cs"/>
          <w:rtl/>
        </w:rPr>
      </w:pPr>
      <w:r>
        <w:rPr>
          <w:rFonts w:cs="David" w:hint="cs"/>
          <w:sz w:val="22"/>
          <w:rtl/>
        </w:rPr>
        <w:t>________,עו"ד</w:t>
      </w:r>
    </w:p>
    <w:p w:rsidR="00000000" w:rsidRDefault="002F2DAA">
      <w:pPr>
        <w:bidi/>
        <w:spacing w:before="100" w:beforeAutospacing="1" w:after="100" w:afterAutospacing="1"/>
        <w:ind w:left="5103"/>
        <w:jc w:val="both"/>
        <w:rPr>
          <w:rFonts w:hint="cs"/>
          <w:rtl/>
        </w:rPr>
      </w:pPr>
      <w:r>
        <w:rPr>
          <w:rFonts w:cs="David" w:hint="cs"/>
          <w:sz w:val="22"/>
          <w:rtl/>
        </w:rPr>
        <w:t>מ.ר. ________</w:t>
      </w:r>
    </w:p>
    <w:p w:rsidR="00000000" w:rsidRDefault="002F2DAA">
      <w:pPr>
        <w:bidi/>
        <w:spacing w:before="100" w:beforeAutospacing="1" w:after="100" w:afterAutospacing="1"/>
        <w:jc w:val="both"/>
        <w:rPr>
          <w:rFonts w:hint="cs"/>
          <w:rtl/>
        </w:rPr>
      </w:pPr>
      <w:r>
        <w:rPr>
          <w:rFonts w:cs="David"/>
        </w:rPr>
        <w:br w:type="textWrapping" w:clear="all"/>
      </w:r>
    </w:p>
    <w:p w:rsidR="00000000" w:rsidRDefault="002F2DAA">
      <w:pPr>
        <w:bidi/>
        <w:spacing w:before="100" w:beforeAutospacing="1" w:after="100" w:afterAutospacing="1"/>
        <w:jc w:val="both"/>
        <w:rPr>
          <w:rFonts w:hint="cs"/>
          <w:rtl/>
        </w:rPr>
      </w:pPr>
      <w:r>
        <w:rPr>
          <w:rFonts w:cs="David" w:hint="cs"/>
          <w:sz w:val="22"/>
          <w:rtl/>
        </w:rPr>
        <w:t> </w:t>
      </w:r>
    </w:p>
    <w:p w:rsidR="00000000" w:rsidRDefault="002F2DAA">
      <w:pPr>
        <w:bidi/>
        <w:spacing w:before="100" w:beforeAutospacing="1" w:after="100" w:afterAutospacing="1"/>
        <w:jc w:val="both"/>
        <w:rPr>
          <w:rFonts w:hint="cs"/>
          <w:rtl/>
        </w:rPr>
      </w:pPr>
      <w:r>
        <w:rPr>
          <w:rFonts w:cs="David" w:hint="cs"/>
        </w:rPr>
        <w:t> </w:t>
      </w:r>
    </w:p>
    <w:p w:rsidR="00000000" w:rsidRDefault="002F2DAA">
      <w:pPr>
        <w:bidi/>
        <w:divId w:val="1181361188"/>
        <w:rPr>
          <w:rFonts w:eastAsia="Times New Roman" w:hint="cs"/>
          <w:rtl/>
        </w:rPr>
      </w:pPr>
      <w:r>
        <w:rPr>
          <w:rFonts w:eastAsia="Times New Roman" w:hint="cs"/>
          <w:rtl/>
        </w:rPr>
        <w:br w:type="textWrapping" w:clear="all"/>
      </w:r>
    </w:p>
    <w:p w:rsidR="00000000" w:rsidRDefault="002F2DAA">
      <w:pPr>
        <w:bidi/>
        <w:divId w:val="1181361188"/>
        <w:rPr>
          <w:rFonts w:eastAsia="Times New Roman" w:hint="cs"/>
          <w:rtl/>
        </w:rPr>
      </w:pPr>
      <w:r>
        <w:rPr>
          <w:rFonts w:eastAsia="Times New Roman" w:hint="cs"/>
        </w:rPr>
        <w:pict>
          <v:rect id="_x0000_i1027" style="width:157.6pt;height:.6pt" o:hrpct="330" o:hrstd="t" o:hr="t" fillcolor="#a0a0a0" stroked="f"/>
        </w:pict>
      </w:r>
    </w:p>
    <w:p w:rsidR="00000000" w:rsidRDefault="002F2DAA">
      <w:pPr>
        <w:pStyle w:val="Footer"/>
        <w:divId w:val="172384609"/>
        <w:rPr>
          <w:rFonts w:hint="cs"/>
          <w:szCs w:val="14"/>
          <w:rtl/>
        </w:rPr>
      </w:pPr>
    </w:p>
    <w:p w:rsidR="00000000" w:rsidRDefault="002F2DAA">
      <w:pPr>
        <w:divId w:val="172384609"/>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F2DAA">
      <w:r>
        <w:separator/>
      </w:r>
    </w:p>
  </w:endnote>
  <w:endnote w:type="continuationSeparator" w:id="0">
    <w:p w:rsidR="00000000" w:rsidRDefault="002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F2DAA">
      <w:r>
        <w:separator/>
      </w:r>
    </w:p>
  </w:footnote>
  <w:footnote w:type="continuationSeparator" w:id="0">
    <w:p w:rsidR="00000000" w:rsidRDefault="002F2DAA">
      <w:r>
        <w:continuationSeparator/>
      </w:r>
    </w:p>
  </w:footnote>
  <w:footnote w:id="1">
    <w:p w:rsidR="00000000" w:rsidRDefault="002F2DAA">
      <w:pPr>
        <w:pStyle w:val="FootnoteText"/>
        <w:bidi/>
        <w:jc w:val="both"/>
        <w:rPr>
          <w:rFonts w:hint="cs"/>
          <w:rtl/>
        </w:rPr>
      </w:pPr>
      <w:r>
        <w:rPr>
          <w:rStyle w:val="FootnoteReference"/>
          <w:rFonts w:asciiTheme="minorHAnsi" w:hAnsiTheme="minorHAnsi" w:cstheme="minorBidi"/>
          <w:vertAlign w:val="superscript"/>
        </w:rPr>
        <w:footnoteRef/>
      </w:r>
      <w:r>
        <w:rPr>
          <w:rStyle w:val="FootnoteReference"/>
          <w:rFonts w:asciiTheme="minorHAnsi" w:eastAsiaTheme="minorHAnsi" w:hAnsiTheme="minorHAnsi" w:cstheme="minorBidi"/>
          <w:sz w:val="20"/>
          <w:szCs w:val="20"/>
          <w:vertAlign w:val="superscript"/>
        </w:rPr>
        <w:t>[1]</w:t>
      </w:r>
      <w:r>
        <w:rPr>
          <w:rFonts w:cs="David" w:hint="cs"/>
          <w:rtl/>
        </w:rPr>
        <w:t>החלטה לפי סעיף 14 לחוק ההגבלים העסקיים, התשמ"ח-1988 בדבר מתן פטור בתנאים מאישור הסדר כובל להסדר בשירותי בנקאות א</w:t>
      </w:r>
      <w:r>
        <w:rPr>
          <w:rFonts w:cs="David" w:hint="cs"/>
          <w:rtl/>
        </w:rPr>
        <w:t xml:space="preserve">וטומטיים בע"מ וקביעת עמלות הדדיות בין: </w:t>
      </w:r>
      <w:r>
        <w:rPr>
          <w:rStyle w:val="Strong"/>
          <w:rFonts w:asciiTheme="minorHAnsi" w:hAnsiTheme="minorHAnsi" w:cs="David" w:hint="cs"/>
          <w:rtl/>
        </w:rPr>
        <w:t xml:space="preserve">בנק הפועלים בע"מ, בנק לאומי לישראל בע"מ, בנק המזרחי המאוחד בע"מ, בנק דיסקונט בע"מ, הבנק הבינלאומי הראשון לישראל בע"מ; </w:t>
      </w:r>
      <w:r>
        <w:rPr>
          <w:rFonts w:cs="David" w:hint="cs"/>
          <w:rtl/>
        </w:rPr>
        <w:t>2012</w:t>
      </w:r>
      <w:r>
        <w:rPr>
          <w:rStyle w:val="Strong"/>
          <w:rFonts w:asciiTheme="minorHAnsi" w:hAnsiTheme="minorHAnsi" w:cs="David" w:hint="cs"/>
          <w:rtl/>
        </w:rPr>
        <w:t xml:space="preserve"> הגבלים עסקיים</w:t>
      </w:r>
      <w:r>
        <w:rPr>
          <w:rFonts w:cs="David" w:hint="cs"/>
          <w:rtl/>
        </w:rPr>
        <w:t>; 5001953.</w:t>
      </w:r>
    </w:p>
  </w:footnote>
  <w:footnote w:id="2">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[2]</w:t>
      </w:r>
      <w:r>
        <w:rPr>
          <w:rFonts w:cs="David" w:hint="cs"/>
          <w:rtl/>
        </w:rPr>
        <w:t xml:space="preserve"> וראו ה"ע 3276/99 </w:t>
      </w:r>
      <w:r>
        <w:rPr>
          <w:rStyle w:val="Strong"/>
          <w:rFonts w:cs="David" w:hint="cs"/>
          <w:rtl/>
        </w:rPr>
        <w:t>ערוצי זהב ושות' נ' איגוד במאי קולנוע וטלוויזיה בישראל</w:t>
      </w:r>
      <w:r>
        <w:rPr>
          <w:rFonts w:cs="David" w:hint="cs"/>
          <w:rtl/>
        </w:rPr>
        <w:t>, תק-מח 2000(2) 8751 ס' 36 לפסק הדין (2000).</w:t>
      </w:r>
    </w:p>
  </w:footnote>
  <w:footnote w:id="3">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[3]</w:t>
      </w:r>
      <w:r>
        <w:rPr>
          <w:rFonts w:cs="David" w:hint="cs"/>
          <w:rtl/>
        </w:rPr>
        <w:t xml:space="preserve"> ראו סקירה באתר בנק ישראל בכתובת </w:t>
      </w:r>
      <w:hyperlink r:id="rId1" w:history="1">
        <w:r>
          <w:rPr>
            <w:rStyle w:val="Hyperlink"/>
            <w:rFonts w:cs="David" w:hint="cs"/>
          </w:rPr>
          <w:t>http://www.bankisrael.gov.il/press/heb/051214/0</w:t>
        </w:r>
        <w:r>
          <w:rPr>
            <w:rStyle w:val="Hyperlink"/>
            <w:rFonts w:cs="David" w:hint="cs"/>
          </w:rPr>
          <w:t>51214a.htm</w:t>
        </w:r>
      </w:hyperlink>
      <w:r>
        <w:rPr>
          <w:rFonts w:cs="David" w:hint="cs"/>
          <w:rtl/>
        </w:rPr>
        <w:t xml:space="preserve"> .</w:t>
      </w:r>
    </w:p>
  </w:footnote>
  <w:footnote w:id="4">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[4]</w:t>
      </w:r>
      <w:r>
        <w:rPr>
          <w:rFonts w:cs="David" w:hint="cs"/>
          <w:vertAlign w:val="superscript"/>
          <w:rtl/>
        </w:rPr>
        <w:t xml:space="preserve"> </w:t>
      </w:r>
      <w:r>
        <w:rPr>
          <w:rFonts w:cs="David" w:hint="cs"/>
          <w:rtl/>
        </w:rPr>
        <w:t>צו פיקוח על מחירי שירותים ומוצרים (הסרה חלקית של הפיקוח מעמלת משיכת מזומנים באמצעות מכשירים אוטומטיים), התשס"ה-2005 (להלן: "</w:t>
      </w:r>
      <w:r>
        <w:rPr>
          <w:rStyle w:val="Strong"/>
          <w:rFonts w:cs="David" w:hint="cs"/>
          <w:rtl/>
        </w:rPr>
        <w:t>צו פיקוח מחירים</w:t>
      </w:r>
      <w:r>
        <w:rPr>
          <w:rFonts w:cs="David" w:hint="cs"/>
          <w:rtl/>
        </w:rPr>
        <w:t>").</w:t>
      </w:r>
    </w:p>
  </w:footnote>
  <w:footnote w:id="5">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[5]</w:t>
      </w:r>
      <w:r>
        <w:rPr>
          <w:rFonts w:cs="David" w:hint="cs"/>
          <w:vertAlign w:val="superscript"/>
          <w:rtl/>
        </w:rPr>
        <w:t xml:space="preserve"> </w:t>
      </w:r>
      <w:r>
        <w:rPr>
          <w:rFonts w:cs="David" w:hint="cs"/>
          <w:rtl/>
        </w:rPr>
        <w:t xml:space="preserve">הנתונים כוללים את כלל הכספומטים של הבנקים (צמודי סניף ומרוחקים), כספומטים של שבא (המוצגים </w:t>
      </w:r>
      <w:r>
        <w:rPr>
          <w:rFonts w:cs="David" w:hint="cs"/>
          <w:rtl/>
        </w:rPr>
        <w:t xml:space="preserve">בגרף ככספומטים של הבנקים) ושל מפעילים פרטיים. פורסם ביום 13.6.2012 בסקירה שנתית של מחלקת המטבע של בנק ישראל בכתובת  </w:t>
      </w:r>
      <w:hyperlink r:id="rId2" w:history="1">
        <w:r>
          <w:rPr>
            <w:rStyle w:val="Hyperlink"/>
            <w:rFonts w:cs="David" w:hint="cs"/>
          </w:rPr>
          <w:t>http://www.bankisrael.gov.il/deptdata/matbea/skira11.pdf</w:t>
        </w:r>
      </w:hyperlink>
      <w:r>
        <w:rPr>
          <w:rFonts w:cs="David" w:hint="cs"/>
        </w:rPr>
        <w:t xml:space="preserve"> </w:t>
      </w:r>
      <w:r>
        <w:rPr>
          <w:rFonts w:cs="David" w:hint="cs"/>
          <w:rtl/>
        </w:rPr>
        <w:t>.</w:t>
      </w:r>
    </w:p>
  </w:footnote>
  <w:footnote w:id="6">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[6]</w:t>
      </w:r>
      <w:r>
        <w:rPr>
          <w:rFonts w:cs="David" w:hint="cs"/>
          <w:rtl/>
        </w:rPr>
        <w:t>פורס</w:t>
      </w:r>
      <w:r>
        <w:rPr>
          <w:rFonts w:cs="David" w:hint="cs"/>
          <w:rtl/>
        </w:rPr>
        <w:t xml:space="preserve">ם ביום 13.6.2012 בסקירה שנתית של מחלקת המטבע של בנק ישראל בכתובת </w:t>
      </w:r>
      <w:hyperlink r:id="rId3" w:history="1">
        <w:r>
          <w:rPr>
            <w:rStyle w:val="Hyperlink"/>
            <w:rFonts w:cs="David" w:hint="cs"/>
          </w:rPr>
          <w:t>http://www.bankisrael.gov.il/deptdata/matbea/skira11.pdf</w:t>
        </w:r>
      </w:hyperlink>
      <w:r>
        <w:rPr>
          <w:rFonts w:cs="David" w:hint="cs"/>
          <w:rtl/>
        </w:rPr>
        <w:t xml:space="preserve"> .</w:t>
      </w:r>
    </w:p>
  </w:footnote>
  <w:footnote w:id="7">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[7]</w:t>
      </w:r>
      <w:r>
        <w:rPr>
          <w:rFonts w:cs="David" w:hint="cs"/>
          <w:rtl/>
        </w:rPr>
        <w:t xml:space="preserve"> המפקח על הבנקים: ניהול בנקאי תקין [1] (12/05) – </w:t>
      </w:r>
      <w:r>
        <w:rPr>
          <w:rFonts w:cs="David" w:hint="cs"/>
          <w:rtl/>
        </w:rPr>
        <w:t xml:space="preserve">משיכת מזומנים ממכשירי בנק אוטומטיים 442; פורסם באתר בנק ישראל, בכתובת: </w:t>
      </w:r>
      <w:hyperlink r:id="rId4" w:history="1">
        <w:r>
          <w:rPr>
            <w:rStyle w:val="Hyperlink"/>
            <w:rFonts w:cs="David" w:hint="cs"/>
          </w:rPr>
          <w:t>http://www.bankisrael.gov.il/deptdata/pikuah/nihul_takin/442.pdf</w:t>
        </w:r>
      </w:hyperlink>
      <w:r>
        <w:rPr>
          <w:rFonts w:cs="David" w:hint="cs"/>
          <w:rtl/>
        </w:rPr>
        <w:t xml:space="preserve">  </w:t>
      </w:r>
    </w:p>
  </w:footnote>
  <w:footnote w:id="8">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[8]</w:t>
      </w:r>
      <w:r>
        <w:rPr>
          <w:rFonts w:cs="David" w:hint="cs"/>
          <w:vertAlign w:val="superscript"/>
          <w:rtl/>
        </w:rPr>
        <w:t xml:space="preserve"> </w:t>
      </w:r>
      <w:r>
        <w:rPr>
          <w:rFonts w:cs="David" w:hint="cs"/>
          <w:rtl/>
        </w:rPr>
        <w:t>כהגדרתו בצו פיקוח מחירים, ראו ה"</w:t>
      </w:r>
      <w:r>
        <w:rPr>
          <w:rFonts w:cs="David" w:hint="cs"/>
          <w:rtl/>
        </w:rPr>
        <w:t>ש 4 לעיל.</w:t>
      </w:r>
    </w:p>
  </w:footnote>
  <w:footnote w:id="9">
    <w:p w:rsidR="00000000" w:rsidRDefault="002F2DAA">
      <w:pPr>
        <w:pStyle w:val="FootnoteText"/>
        <w:bidi/>
        <w:rPr>
          <w:rFonts w:hint="cs"/>
          <w:rtl/>
        </w:rPr>
      </w:pPr>
      <w:r>
        <w:rPr>
          <w:rStyle w:val="FootnoteReference"/>
          <w:rFonts w:asciiTheme="minorHAnsi" w:hAnsiTheme="minorHAnsi" w:cstheme="minorBidi"/>
          <w:vertAlign w:val="superscript"/>
        </w:rPr>
        <w:footnoteRef/>
      </w:r>
      <w:r>
        <w:rPr>
          <w:rStyle w:val="FootnoteReference"/>
          <w:rFonts w:asciiTheme="minorHAnsi" w:eastAsiaTheme="minorHAnsi" w:hAnsiTheme="minorHAnsi" w:cstheme="minorBidi"/>
          <w:sz w:val="20"/>
          <w:szCs w:val="20"/>
          <w:vertAlign w:val="superscript"/>
        </w:rPr>
        <w:t>[9]</w:t>
      </w:r>
      <w:r>
        <w:rPr>
          <w:rFonts w:asciiTheme="minorHAnsi" w:hAnsiTheme="minorHAnsi" w:cstheme="minorBidi"/>
          <w:rtl/>
        </w:rPr>
        <w:t xml:space="preserve"> </w:t>
      </w:r>
      <w:r>
        <w:rPr>
          <w:rFonts w:cs="David" w:hint="cs"/>
          <w:rtl/>
        </w:rPr>
        <w:t xml:space="preserve">החלטה לפי סעיף 14 לחוק ההגבלים העסקיים, התשמ"ח-1988 בדבר מתן פטור בתנאים מאישור הסדר כובל בעניין </w:t>
      </w:r>
      <w:r>
        <w:rPr>
          <w:rStyle w:val="Strong"/>
          <w:rFonts w:cs="David" w:hint="cs"/>
          <w:rtl/>
        </w:rPr>
        <w:t>הוועדה הישראלית למדרוג</w:t>
      </w:r>
      <w:r>
        <w:rPr>
          <w:rStyle w:val="Strong"/>
          <w:rFonts w:asciiTheme="minorHAnsi" w:hAnsiTheme="minorHAnsi" w:cs="David" w:hint="cs"/>
          <w:rtl/>
        </w:rPr>
        <w:t xml:space="preserve">; </w:t>
      </w:r>
      <w:r>
        <w:rPr>
          <w:rFonts w:cs="David" w:hint="cs"/>
          <w:rtl/>
        </w:rPr>
        <w:t>2007</w:t>
      </w:r>
      <w:r>
        <w:rPr>
          <w:rStyle w:val="Strong"/>
          <w:rFonts w:asciiTheme="minorHAnsi" w:hAnsiTheme="minorHAnsi" w:cs="David" w:hint="cs"/>
          <w:rtl/>
        </w:rPr>
        <w:t xml:space="preserve">  הגבלים עסקיים</w:t>
      </w:r>
      <w:r>
        <w:rPr>
          <w:rFonts w:cs="David" w:hint="cs"/>
          <w:rtl/>
        </w:rPr>
        <w:t xml:space="preserve"> 5000600.</w:t>
      </w:r>
    </w:p>
  </w:footnote>
  <w:footnote w:id="10">
    <w:p w:rsidR="00000000" w:rsidRDefault="002F2DAA">
      <w:pPr>
        <w:pStyle w:val="FootnoteText"/>
        <w:bidi/>
        <w:jc w:val="both"/>
        <w:rPr>
          <w:rFonts w:hint="cs"/>
          <w:rtl/>
        </w:rPr>
      </w:pPr>
      <w:r>
        <w:rPr>
          <w:rStyle w:val="FootnoteReference"/>
          <w:rFonts w:asciiTheme="minorHAnsi" w:hAnsiTheme="minorHAnsi" w:cstheme="minorBidi"/>
          <w:vertAlign w:val="superscript"/>
        </w:rPr>
        <w:footnoteRef/>
      </w:r>
      <w:r>
        <w:rPr>
          <w:rStyle w:val="FootnoteReference"/>
          <w:rFonts w:asciiTheme="minorHAnsi" w:eastAsiaTheme="minorHAnsi" w:hAnsiTheme="minorHAnsi" w:cstheme="minorBidi"/>
          <w:sz w:val="20"/>
          <w:szCs w:val="20"/>
          <w:vertAlign w:val="superscript"/>
        </w:rPr>
        <w:t>[10]</w:t>
      </w:r>
      <w:r>
        <w:rPr>
          <w:rFonts w:cs="David" w:hint="cs"/>
          <w:rtl/>
        </w:rPr>
        <w:t xml:space="preserve">ראו ערר 1/97 </w:t>
      </w:r>
      <w:r>
        <w:rPr>
          <w:rStyle w:val="Strong"/>
          <w:rFonts w:asciiTheme="minorHAnsi" w:hAnsiTheme="minorHAnsi" w:cs="David" w:hint="cs"/>
          <w:rtl/>
        </w:rPr>
        <w:t>איסכור שירותי פלדות בע"מ ואח' נ. הממונה על הגבלים עסקיים ואח'</w:t>
      </w:r>
      <w:r>
        <w:rPr>
          <w:rFonts w:cs="David" w:hint="cs"/>
          <w:rtl/>
        </w:rPr>
        <w:t>, דינים מחוזי לב(1), 64, פסקאות 8, 19, 20 לפסק הדין. מובן, כי כאשר מדובר במיזם משותף של מי שאינם מתחרים – לא בכח ולא בפועל – כי אז אין באיסור המשתמע להתחרות במיזם כדי לפגוע בתחרות</w:t>
      </w:r>
      <w:r>
        <w:rPr>
          <w:rFonts w:asciiTheme="minorHAnsi" w:hAnsiTheme="minorHAnsi" w:cstheme="minorBidi"/>
          <w:rtl/>
        </w:rPr>
        <w:t>.</w:t>
      </w:r>
    </w:p>
  </w:footnote>
  <w:footnote w:id="11">
    <w:p w:rsidR="00000000" w:rsidRDefault="002F2DAA">
      <w:pPr>
        <w:pStyle w:val="FootnoteText"/>
        <w:bidi/>
        <w:jc w:val="both"/>
        <w:rPr>
          <w:rFonts w:hint="cs"/>
          <w:rtl/>
        </w:rPr>
      </w:pPr>
      <w:r>
        <w:rPr>
          <w:rStyle w:val="FootnoteReference"/>
          <w:rFonts w:asciiTheme="minorHAnsi" w:hAnsiTheme="minorHAnsi" w:cstheme="minorBidi"/>
          <w:vertAlign w:val="superscript"/>
        </w:rPr>
        <w:footnoteRef/>
      </w:r>
      <w:r>
        <w:rPr>
          <w:rStyle w:val="FootnoteReference"/>
          <w:rFonts w:asciiTheme="minorHAnsi" w:eastAsiaTheme="minorHAnsi" w:hAnsiTheme="minorHAnsi" w:cstheme="minorBidi"/>
          <w:sz w:val="20"/>
          <w:szCs w:val="20"/>
          <w:vertAlign w:val="superscript"/>
        </w:rPr>
        <w:t>[11]</w:t>
      </w:r>
      <w:r>
        <w:rPr>
          <w:rFonts w:asciiTheme="minorHAnsi" w:hAnsiTheme="minorHAnsi" w:cstheme="minorBidi"/>
          <w:rtl/>
        </w:rPr>
        <w:t xml:space="preserve"> </w:t>
      </w:r>
      <w:r>
        <w:rPr>
          <w:rFonts w:cs="David" w:hint="cs"/>
          <w:rtl/>
        </w:rPr>
        <w:t xml:space="preserve">ה"ע 465/96 </w:t>
      </w:r>
      <w:r>
        <w:rPr>
          <w:rStyle w:val="Strong"/>
          <w:rFonts w:asciiTheme="minorHAnsi" w:hAnsiTheme="minorHAnsi" w:cs="David" w:hint="cs"/>
          <w:rtl/>
        </w:rPr>
        <w:t>דטה קאר נ' הממונה על ההגבלים העסקיים</w:t>
      </w:r>
      <w:r>
        <w:rPr>
          <w:rFonts w:cs="David" w:hint="cs"/>
          <w:rtl/>
        </w:rPr>
        <w:t>, דינים מחוזי, כרך כו(</w:t>
      </w:r>
      <w:r>
        <w:rPr>
          <w:rFonts w:cs="David" w:hint="cs"/>
          <w:rtl/>
        </w:rPr>
        <w:t>6), 146.</w:t>
      </w:r>
    </w:p>
  </w:footnote>
  <w:footnote w:id="12">
    <w:p w:rsidR="00000000" w:rsidRDefault="002F2DAA">
      <w:pPr>
        <w:pStyle w:val="FootnoteText"/>
        <w:bidi/>
        <w:jc w:val="both"/>
        <w:rPr>
          <w:rFonts w:hint="cs"/>
          <w:rtl/>
        </w:rPr>
      </w:pPr>
      <w:r>
        <w:rPr>
          <w:rStyle w:val="FootnoteReference"/>
          <w:rFonts w:asciiTheme="minorHAnsi" w:hAnsiTheme="minorHAnsi" w:cs="David"/>
          <w:vertAlign w:val="superscript"/>
        </w:rPr>
        <w:footnoteRef/>
      </w:r>
      <w:r>
        <w:rPr>
          <w:rStyle w:val="FootnoteReference"/>
          <w:rFonts w:asciiTheme="minorHAnsi" w:eastAsiaTheme="minorHAnsi" w:hAnsiTheme="minorHAnsi" w:cs="David"/>
          <w:sz w:val="20"/>
          <w:szCs w:val="20"/>
          <w:vertAlign w:val="superscript"/>
        </w:rPr>
        <w:t>[12]</w:t>
      </w:r>
      <w:r>
        <w:rPr>
          <w:rFonts w:cs="David" w:hint="cs"/>
          <w:rtl/>
        </w:rPr>
        <w:t xml:space="preserve"> תנאים 19-20 לבקשת הפטור הקודם.</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FB4"/>
    <w:multiLevelType w:val="multilevel"/>
    <w:tmpl w:val="F432E5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15ADD"/>
    <w:multiLevelType w:val="multilevel"/>
    <w:tmpl w:val="0D3058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50F12"/>
    <w:multiLevelType w:val="multilevel"/>
    <w:tmpl w:val="A8C64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F1F60"/>
    <w:multiLevelType w:val="multilevel"/>
    <w:tmpl w:val="B6B4A99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9B2AF3"/>
    <w:multiLevelType w:val="multilevel"/>
    <w:tmpl w:val="E6E46AE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B55BA0"/>
    <w:multiLevelType w:val="multilevel"/>
    <w:tmpl w:val="A46439C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DAA"/>
    <w:rsid w:val="002F2D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88C9205-9B0B-46A4-9410-829E6A4C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table" w:customStyle="1" w:styleId="a">
    <w:name w:val="טבלה רגילה"/>
    <w:uiPriority w:val="99"/>
    <w:semiHidden/>
    <w:pPr>
      <w:spacing w:after="200" w:line="276" w:lineRule="auto"/>
    </w:pPr>
    <w:rPr>
      <w:rFonts w:asciiTheme="minorHAnsi" w:hAnsiTheme="minorHAnsi" w:cstheme="minorBidi"/>
      <w:sz w:val="22"/>
      <w:szCs w:val="22"/>
    </w:rPr>
    <w:tblPr>
      <w:tblCellMar>
        <w:top w:w="0" w:type="dxa"/>
        <w:left w:w="108" w:type="dxa"/>
        <w:bottom w:w="0" w:type="dxa"/>
        <w:right w:w="108" w:type="dxa"/>
      </w:tblCellMar>
    </w:tbl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4609">
      <w:marLeft w:val="0"/>
      <w:marRight w:val="0"/>
      <w:marTop w:val="0"/>
      <w:marBottom w:val="0"/>
      <w:divBdr>
        <w:top w:val="none" w:sz="0" w:space="0" w:color="auto"/>
        <w:left w:val="none" w:sz="0" w:space="0" w:color="auto"/>
        <w:bottom w:val="none" w:sz="0" w:space="0" w:color="auto"/>
        <w:right w:val="none" w:sz="0" w:space="0" w:color="auto"/>
      </w:divBdr>
    </w:div>
    <w:div w:id="1181361188">
      <w:marLeft w:val="0"/>
      <w:marRight w:val="0"/>
      <w:marTop w:val="0"/>
      <w:marBottom w:val="0"/>
      <w:divBdr>
        <w:top w:val="none" w:sz="0" w:space="0" w:color="auto"/>
        <w:left w:val="none" w:sz="0" w:space="0" w:color="auto"/>
        <w:bottom w:val="none" w:sz="0" w:space="0" w:color="auto"/>
        <w:right w:val="none" w:sz="0" w:space="0" w:color="auto"/>
      </w:divBdr>
    </w:div>
    <w:div w:id="205962478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DOCUME~1\melitas\LOCALS~1\Temp\OICE_EF036DAD-0217-4F09-BF74-C954B38B38FE.0\msohtmlclip1\01\clip_image004.png" TargetMode="External"/><Relationship Id="rId3" Type="http://schemas.openxmlformats.org/officeDocument/2006/relationships/settings" Target="settings.xml"/><Relationship Id="rId7" Type="http://schemas.openxmlformats.org/officeDocument/2006/relationships/image" Target="file:///C:\DOCUME~1\melitas\LOCALS~1\Temp\OICE_EF036DAD-0217-4F09-BF74-C954B38B38FE.0\msohtmlclip1\01\clip_image002.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bankisrael.gov.il/deptdata/matbea/skira11.pdf" TargetMode="External"/><Relationship Id="rId2" Type="http://schemas.openxmlformats.org/officeDocument/2006/relationships/hyperlink" Target="http://www.bankisrael.gov.il/deptdata/matbea/skira11.pdf" TargetMode="External"/><Relationship Id="rId1" Type="http://schemas.openxmlformats.org/officeDocument/2006/relationships/hyperlink" Target="http://www.bankisrael.gov.il/press/heb/051214/051214a.htm" TargetMode="External"/><Relationship Id="rId4" Type="http://schemas.openxmlformats.org/officeDocument/2006/relationships/hyperlink" Target="http://www.bankisrael.gov.il/deptdata/pikuah/nihul_takin/44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3639</Words>
  <Characters>17946</Characters>
  <Application>Microsoft Office Word</Application>
  <DocSecurity>0</DocSecurity>
  <Lines>149</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2019-08-07T08:18:00Z</dcterms:created>
  <dcterms:modified xsi:type="dcterms:W3CDTF">2019-08-07T08:18:00Z</dcterms:modified>
</cp:coreProperties>
</file>