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AB" w:rsidRPr="003C36F2" w:rsidRDefault="008A6EAB" w:rsidP="00BA5F9D">
      <w:pPr>
        <w:ind w:right="-426"/>
        <w:jc w:val="center"/>
        <w:rPr>
          <w:rFonts w:cs="David"/>
          <w:b/>
          <w:bCs/>
          <w:sz w:val="24"/>
          <w:szCs w:val="24"/>
          <w:u w:val="single"/>
          <w:rtl/>
        </w:rPr>
      </w:pPr>
      <w:bookmarkStart w:id="0" w:name="_GoBack"/>
      <w:bookmarkEnd w:id="0"/>
      <w:r w:rsidRPr="00870594">
        <w:rPr>
          <w:rFonts w:cs="David" w:hint="cs"/>
          <w:b/>
          <w:bCs/>
          <w:sz w:val="24"/>
          <w:szCs w:val="24"/>
          <w:u w:val="single"/>
          <w:rtl/>
        </w:rPr>
        <w:t>תזכיר</w:t>
      </w:r>
      <w:r w:rsidRPr="00870594">
        <w:rPr>
          <w:rFonts w:cs="David"/>
          <w:b/>
          <w:bCs/>
          <w:sz w:val="24"/>
          <w:szCs w:val="24"/>
          <w:u w:val="single"/>
          <w:rtl/>
        </w:rPr>
        <w:t xml:space="preserve"> </w:t>
      </w:r>
      <w:r w:rsidRPr="00870594">
        <w:rPr>
          <w:rFonts w:cs="David" w:hint="cs"/>
          <w:b/>
          <w:bCs/>
          <w:sz w:val="24"/>
          <w:szCs w:val="24"/>
          <w:u w:val="single"/>
          <w:rtl/>
        </w:rPr>
        <w:t>חוק</w:t>
      </w:r>
      <w:r w:rsidRPr="00870594">
        <w:rPr>
          <w:rFonts w:cs="David"/>
          <w:b/>
          <w:bCs/>
          <w:sz w:val="24"/>
          <w:szCs w:val="24"/>
          <w:u w:val="single"/>
          <w:rtl/>
        </w:rPr>
        <w:t xml:space="preserve"> </w:t>
      </w:r>
    </w:p>
    <w:p w:rsidR="008A6EAB" w:rsidRPr="00625557" w:rsidRDefault="008A6EAB" w:rsidP="00BA5F9D">
      <w:pPr>
        <w:ind w:right="-426"/>
        <w:jc w:val="center"/>
        <w:rPr>
          <w:rFonts w:cs="David"/>
          <w:b/>
          <w:bCs/>
          <w:sz w:val="22"/>
          <w:szCs w:val="22"/>
          <w:u w:val="single"/>
          <w:rtl/>
        </w:rPr>
      </w:pPr>
    </w:p>
    <w:p w:rsidR="008A6EAB" w:rsidRPr="00D6542F" w:rsidRDefault="008A6EAB" w:rsidP="00BA5F9D">
      <w:pPr>
        <w:pStyle w:val="ae"/>
        <w:numPr>
          <w:ilvl w:val="0"/>
          <w:numId w:val="5"/>
        </w:numPr>
        <w:ind w:right="-426"/>
        <w:jc w:val="both"/>
        <w:rPr>
          <w:b/>
          <w:bCs/>
          <w:szCs w:val="24"/>
          <w:u w:val="single"/>
          <w:rtl/>
        </w:rPr>
      </w:pPr>
      <w:r w:rsidRPr="00D6542F">
        <w:rPr>
          <w:b/>
          <w:bCs/>
          <w:szCs w:val="24"/>
          <w:u w:val="single"/>
          <w:rtl/>
        </w:rPr>
        <w:t>שם החוק המוצע:</w:t>
      </w:r>
    </w:p>
    <w:p w:rsidR="00137C89" w:rsidRPr="002E46E8" w:rsidRDefault="00137C89" w:rsidP="00BA5F9D">
      <w:pPr>
        <w:spacing w:line="240" w:lineRule="auto"/>
        <w:ind w:left="360" w:right="-426" w:firstLine="360"/>
        <w:rPr>
          <w:rFonts w:cs="David"/>
          <w:b/>
          <w:bCs/>
          <w:sz w:val="24"/>
          <w:szCs w:val="24"/>
          <w:rtl/>
        </w:rPr>
      </w:pPr>
      <w:r w:rsidRPr="002E46E8">
        <w:rPr>
          <w:rFonts w:cs="David" w:hint="cs"/>
          <w:b/>
          <w:bCs/>
          <w:sz w:val="24"/>
          <w:szCs w:val="24"/>
          <w:rtl/>
        </w:rPr>
        <w:t>הצעת</w:t>
      </w:r>
      <w:r w:rsidRPr="002E46E8">
        <w:rPr>
          <w:rFonts w:cs="David"/>
          <w:b/>
          <w:bCs/>
          <w:sz w:val="24"/>
          <w:szCs w:val="24"/>
          <w:rtl/>
        </w:rPr>
        <w:t xml:space="preserve"> </w:t>
      </w:r>
      <w:r w:rsidRPr="002E46E8">
        <w:rPr>
          <w:rFonts w:cs="David" w:hint="cs"/>
          <w:b/>
          <w:bCs/>
          <w:sz w:val="24"/>
          <w:szCs w:val="24"/>
          <w:rtl/>
        </w:rPr>
        <w:t>חוק</w:t>
      </w:r>
      <w:r w:rsidRPr="002E46E8">
        <w:rPr>
          <w:rFonts w:cs="David"/>
          <w:b/>
          <w:bCs/>
          <w:sz w:val="24"/>
          <w:szCs w:val="24"/>
          <w:rtl/>
        </w:rPr>
        <w:t xml:space="preserve"> </w:t>
      </w:r>
      <w:r w:rsidR="00FD45C0" w:rsidRPr="002E46E8">
        <w:rPr>
          <w:rFonts w:cs="David" w:hint="cs"/>
          <w:b/>
          <w:bCs/>
          <w:sz w:val="24"/>
          <w:szCs w:val="24"/>
          <w:rtl/>
        </w:rPr>
        <w:t>ההגבלים</w:t>
      </w:r>
      <w:r w:rsidR="00FD45C0" w:rsidRPr="002E46E8">
        <w:rPr>
          <w:rFonts w:cs="David"/>
          <w:b/>
          <w:bCs/>
          <w:sz w:val="24"/>
          <w:szCs w:val="24"/>
          <w:rtl/>
        </w:rPr>
        <w:t xml:space="preserve"> </w:t>
      </w:r>
      <w:r w:rsidR="00FD45C0" w:rsidRPr="002E46E8">
        <w:rPr>
          <w:rFonts w:cs="David" w:hint="cs"/>
          <w:b/>
          <w:bCs/>
          <w:sz w:val="24"/>
          <w:szCs w:val="24"/>
          <w:rtl/>
        </w:rPr>
        <w:t>העסקיים</w:t>
      </w:r>
      <w:r w:rsidRPr="002E46E8">
        <w:rPr>
          <w:rFonts w:cs="David"/>
          <w:b/>
          <w:bCs/>
          <w:sz w:val="24"/>
          <w:szCs w:val="24"/>
          <w:rtl/>
        </w:rPr>
        <w:t xml:space="preserve"> (</w:t>
      </w:r>
      <w:r w:rsidRPr="002E46E8">
        <w:rPr>
          <w:rFonts w:cs="David" w:hint="cs"/>
          <w:b/>
          <w:bCs/>
          <w:sz w:val="24"/>
          <w:szCs w:val="24"/>
          <w:rtl/>
        </w:rPr>
        <w:t>תיקון</w:t>
      </w:r>
      <w:r w:rsidRPr="002E46E8">
        <w:rPr>
          <w:rFonts w:cs="David"/>
          <w:b/>
          <w:bCs/>
          <w:sz w:val="24"/>
          <w:szCs w:val="24"/>
          <w:rtl/>
        </w:rPr>
        <w:t xml:space="preserve"> </w:t>
      </w:r>
      <w:r w:rsidRPr="002E46E8">
        <w:rPr>
          <w:rFonts w:cs="David" w:hint="cs"/>
          <w:b/>
          <w:bCs/>
          <w:sz w:val="24"/>
          <w:szCs w:val="24"/>
          <w:rtl/>
        </w:rPr>
        <w:t>מס</w:t>
      </w:r>
      <w:r w:rsidRPr="002E46E8">
        <w:rPr>
          <w:rFonts w:cs="David"/>
          <w:b/>
          <w:bCs/>
          <w:sz w:val="24"/>
          <w:szCs w:val="24"/>
          <w:rtl/>
        </w:rPr>
        <w:t xml:space="preserve">' </w:t>
      </w:r>
      <w:r w:rsidR="002712BC" w:rsidRPr="002E46E8">
        <w:rPr>
          <w:rFonts w:cs="David"/>
          <w:b/>
          <w:bCs/>
          <w:sz w:val="24"/>
          <w:szCs w:val="24"/>
          <w:rtl/>
        </w:rPr>
        <w:t>--</w:t>
      </w:r>
      <w:r w:rsidRPr="002E46E8">
        <w:rPr>
          <w:rFonts w:cs="David"/>
          <w:b/>
          <w:bCs/>
          <w:sz w:val="24"/>
          <w:szCs w:val="24"/>
          <w:rtl/>
        </w:rPr>
        <w:t>)</w:t>
      </w:r>
      <w:r w:rsidR="00860D63" w:rsidRPr="002E46E8">
        <w:rPr>
          <w:rFonts w:cs="David" w:hint="cs"/>
          <w:b/>
          <w:bCs/>
          <w:sz w:val="24"/>
          <w:szCs w:val="24"/>
          <w:rtl/>
        </w:rPr>
        <w:t xml:space="preserve"> (עיון בתיק הרשות וסודיות המידע</w:t>
      </w:r>
      <w:r w:rsidR="007F7921" w:rsidRPr="002E46E8">
        <w:rPr>
          <w:rFonts w:cs="David" w:hint="cs"/>
          <w:b/>
          <w:bCs/>
          <w:sz w:val="24"/>
          <w:szCs w:val="24"/>
          <w:rtl/>
        </w:rPr>
        <w:t>)</w:t>
      </w:r>
      <w:r w:rsidR="00ED5228" w:rsidRPr="002E46E8">
        <w:rPr>
          <w:rFonts w:cs="David"/>
          <w:b/>
          <w:bCs/>
          <w:sz w:val="24"/>
          <w:szCs w:val="24"/>
          <w:rtl/>
        </w:rPr>
        <w:t>,</w:t>
      </w:r>
      <w:r w:rsidR="001E3855">
        <w:rPr>
          <w:rFonts w:cs="David" w:hint="cs"/>
          <w:b/>
          <w:bCs/>
          <w:sz w:val="24"/>
          <w:szCs w:val="24"/>
          <w:rtl/>
        </w:rPr>
        <w:t xml:space="preserve"> </w:t>
      </w:r>
      <w:r w:rsidR="001E3855">
        <w:rPr>
          <w:rFonts w:cs="David"/>
          <w:b/>
          <w:bCs/>
          <w:sz w:val="24"/>
          <w:szCs w:val="24"/>
          <w:rtl/>
        </w:rPr>
        <w:tab/>
      </w:r>
      <w:r w:rsidRPr="002E46E8">
        <w:rPr>
          <w:rFonts w:cs="David" w:hint="cs"/>
          <w:b/>
          <w:bCs/>
          <w:sz w:val="24"/>
          <w:szCs w:val="24"/>
          <w:rtl/>
        </w:rPr>
        <w:t>התשע</w:t>
      </w:r>
      <w:r w:rsidR="001E3855">
        <w:rPr>
          <w:rFonts w:cs="David" w:hint="cs"/>
          <w:b/>
          <w:bCs/>
          <w:sz w:val="24"/>
          <w:szCs w:val="24"/>
          <w:rtl/>
        </w:rPr>
        <w:t>"ו-</w:t>
      </w:r>
      <w:r w:rsidR="006B0383" w:rsidRPr="002E46E8">
        <w:rPr>
          <w:rFonts w:cs="David" w:hint="cs"/>
          <w:b/>
          <w:bCs/>
          <w:sz w:val="24"/>
          <w:szCs w:val="24"/>
          <w:rtl/>
        </w:rPr>
        <w:t>2016.</w:t>
      </w:r>
      <w:r w:rsidR="00ED5228" w:rsidRPr="002E46E8">
        <w:rPr>
          <w:rFonts w:cs="David"/>
          <w:b/>
          <w:bCs/>
          <w:sz w:val="24"/>
          <w:szCs w:val="24"/>
          <w:rtl/>
        </w:rPr>
        <w:tab/>
      </w:r>
    </w:p>
    <w:p w:rsidR="000333E9" w:rsidRPr="00D6542F" w:rsidRDefault="000333E9" w:rsidP="00BA5F9D">
      <w:pPr>
        <w:spacing w:line="240" w:lineRule="auto"/>
        <w:ind w:left="360" w:right="-426" w:firstLine="360"/>
        <w:rPr>
          <w:rFonts w:cs="David"/>
          <w:sz w:val="24"/>
          <w:szCs w:val="24"/>
          <w:rtl/>
        </w:rPr>
      </w:pPr>
    </w:p>
    <w:p w:rsidR="008A6EAB" w:rsidRPr="00D6542F" w:rsidRDefault="00FC53A4" w:rsidP="00BA5F9D">
      <w:pPr>
        <w:pStyle w:val="ae"/>
        <w:numPr>
          <w:ilvl w:val="0"/>
          <w:numId w:val="5"/>
        </w:numPr>
        <w:spacing w:line="360" w:lineRule="auto"/>
        <w:ind w:right="-426"/>
        <w:jc w:val="both"/>
        <w:rPr>
          <w:szCs w:val="24"/>
        </w:rPr>
      </w:pPr>
      <w:r w:rsidRPr="00D6542F">
        <w:rPr>
          <w:b/>
          <w:bCs/>
          <w:szCs w:val="24"/>
          <w:u w:val="single"/>
          <w:rtl/>
        </w:rPr>
        <w:t>עיקר</w:t>
      </w:r>
      <w:r w:rsidR="00152D69">
        <w:rPr>
          <w:rFonts w:hint="cs"/>
          <w:b/>
          <w:bCs/>
          <w:szCs w:val="24"/>
          <w:u w:val="single"/>
          <w:rtl/>
        </w:rPr>
        <w:t>י</w:t>
      </w:r>
      <w:r w:rsidR="008A6EAB" w:rsidRPr="00D6542F">
        <w:rPr>
          <w:b/>
          <w:bCs/>
          <w:szCs w:val="24"/>
          <w:u w:val="single"/>
          <w:rtl/>
        </w:rPr>
        <w:t xml:space="preserve"> החוק המוצע והצורך בו:</w:t>
      </w:r>
    </w:p>
    <w:p w:rsidR="00860D63" w:rsidRDefault="00A66E3F" w:rsidP="00BA5F9D">
      <w:pPr>
        <w:pStyle w:val="ae"/>
        <w:spacing w:line="360" w:lineRule="auto"/>
        <w:ind w:right="-426"/>
        <w:jc w:val="both"/>
        <w:rPr>
          <w:szCs w:val="24"/>
          <w:rtl/>
        </w:rPr>
      </w:pPr>
      <w:r w:rsidRPr="00D6542F">
        <w:rPr>
          <w:szCs w:val="24"/>
          <w:rtl/>
        </w:rPr>
        <w:t xml:space="preserve">מוצע לתקן את חוק </w:t>
      </w:r>
      <w:r w:rsidR="00FD45C0" w:rsidRPr="00D6542F">
        <w:rPr>
          <w:szCs w:val="24"/>
          <w:rtl/>
        </w:rPr>
        <w:t>ההגבלים העסקיים, התשמ"ח-1988</w:t>
      </w:r>
      <w:r w:rsidR="00C02021" w:rsidRPr="00D6542F">
        <w:rPr>
          <w:szCs w:val="24"/>
          <w:rtl/>
        </w:rPr>
        <w:t xml:space="preserve"> (להלן – </w:t>
      </w:r>
      <w:r w:rsidR="00A34902" w:rsidRPr="00D6542F">
        <w:rPr>
          <w:szCs w:val="24"/>
          <w:rtl/>
        </w:rPr>
        <w:t>"</w:t>
      </w:r>
      <w:r w:rsidRPr="00D6542F">
        <w:rPr>
          <w:szCs w:val="24"/>
          <w:rtl/>
        </w:rPr>
        <w:t>החוק</w:t>
      </w:r>
      <w:r w:rsidR="00A34902" w:rsidRPr="00D6542F">
        <w:rPr>
          <w:szCs w:val="24"/>
          <w:rtl/>
        </w:rPr>
        <w:t>", או "חוק ההגבלים העסקיים"</w:t>
      </w:r>
      <w:r w:rsidR="00860D63">
        <w:rPr>
          <w:szCs w:val="24"/>
          <w:rtl/>
        </w:rPr>
        <w:t>)</w:t>
      </w:r>
      <w:r w:rsidR="00860D63">
        <w:rPr>
          <w:rFonts w:hint="cs"/>
          <w:szCs w:val="24"/>
          <w:rtl/>
        </w:rPr>
        <w:t xml:space="preserve"> בשני נושאים עיקריים:</w:t>
      </w:r>
    </w:p>
    <w:p w:rsidR="00C36EE5" w:rsidRPr="00D6542F" w:rsidRDefault="00860D63" w:rsidP="00BA5F9D">
      <w:pPr>
        <w:pStyle w:val="ae"/>
        <w:numPr>
          <w:ilvl w:val="0"/>
          <w:numId w:val="17"/>
        </w:numPr>
        <w:spacing w:line="360" w:lineRule="auto"/>
        <w:ind w:right="-426"/>
        <w:jc w:val="both"/>
        <w:rPr>
          <w:szCs w:val="24"/>
        </w:rPr>
      </w:pPr>
      <w:r>
        <w:rPr>
          <w:rFonts w:hint="cs"/>
          <w:szCs w:val="24"/>
          <w:rtl/>
        </w:rPr>
        <w:t>הסדרה בחוק</w:t>
      </w:r>
      <w:r w:rsidR="00B53040">
        <w:rPr>
          <w:rFonts w:hint="cs"/>
          <w:szCs w:val="24"/>
          <w:rtl/>
        </w:rPr>
        <w:t xml:space="preserve"> ההגבלים העסקיים</w:t>
      </w:r>
      <w:r>
        <w:rPr>
          <w:rFonts w:hint="cs"/>
          <w:szCs w:val="24"/>
          <w:rtl/>
        </w:rPr>
        <w:t xml:space="preserve"> של הליכי הג</w:t>
      </w:r>
      <w:r w:rsidR="00176F79">
        <w:rPr>
          <w:rFonts w:hint="cs"/>
          <w:szCs w:val="24"/>
          <w:rtl/>
        </w:rPr>
        <w:t xml:space="preserve">ילוי והעיון במסמכים שבידי רשות הגבלים </w:t>
      </w:r>
      <w:r>
        <w:rPr>
          <w:rFonts w:hint="cs"/>
          <w:szCs w:val="24"/>
          <w:rtl/>
        </w:rPr>
        <w:t xml:space="preserve">עסקיים </w:t>
      </w:r>
      <w:r w:rsidR="00176F79">
        <w:rPr>
          <w:rFonts w:hint="cs"/>
          <w:szCs w:val="24"/>
          <w:rtl/>
        </w:rPr>
        <w:t>(</w:t>
      </w:r>
      <w:r w:rsidR="00647430">
        <w:rPr>
          <w:rFonts w:hint="cs"/>
          <w:szCs w:val="24"/>
          <w:rtl/>
        </w:rPr>
        <w:t>להלן</w:t>
      </w:r>
      <w:r w:rsidR="007576C0">
        <w:rPr>
          <w:rFonts w:hint="cs"/>
          <w:szCs w:val="24"/>
          <w:rtl/>
        </w:rPr>
        <w:t>:</w:t>
      </w:r>
      <w:r w:rsidR="00176F79">
        <w:rPr>
          <w:rFonts w:hint="cs"/>
          <w:szCs w:val="24"/>
          <w:rtl/>
        </w:rPr>
        <w:t xml:space="preserve"> "הרשות")</w:t>
      </w:r>
      <w:r w:rsidR="00927559">
        <w:rPr>
          <w:rFonts w:hint="cs"/>
          <w:szCs w:val="24"/>
          <w:rtl/>
        </w:rPr>
        <w:t>,</w:t>
      </w:r>
      <w:r w:rsidR="00176F79">
        <w:rPr>
          <w:rFonts w:hint="cs"/>
          <w:szCs w:val="24"/>
          <w:rtl/>
        </w:rPr>
        <w:t xml:space="preserve"> </w:t>
      </w:r>
      <w:r>
        <w:rPr>
          <w:rFonts w:hint="cs"/>
          <w:szCs w:val="24"/>
          <w:rtl/>
        </w:rPr>
        <w:t>הנוגעים להחלטה שלגביה ניתן להגיש ערר לב</w:t>
      </w:r>
      <w:r w:rsidR="00B53040">
        <w:rPr>
          <w:rFonts w:hint="cs"/>
          <w:szCs w:val="24"/>
          <w:rtl/>
        </w:rPr>
        <w:t>ית הדין להגבלים עסקיים</w:t>
      </w:r>
      <w:r w:rsidR="00801754">
        <w:rPr>
          <w:rFonts w:hint="cs"/>
          <w:szCs w:val="24"/>
          <w:rtl/>
        </w:rPr>
        <w:t xml:space="preserve"> (להלן: "בית הדין")</w:t>
      </w:r>
      <w:r w:rsidR="00B53040">
        <w:rPr>
          <w:rFonts w:hint="cs"/>
          <w:szCs w:val="24"/>
          <w:rtl/>
        </w:rPr>
        <w:t>, וקביעת הסדר מיוחד ביחס ל</w:t>
      </w:r>
      <w:r>
        <w:rPr>
          <w:rFonts w:hint="cs"/>
          <w:szCs w:val="24"/>
          <w:rtl/>
        </w:rPr>
        <w:t xml:space="preserve">מידע </w:t>
      </w:r>
      <w:r w:rsidR="00C57B7A">
        <w:rPr>
          <w:rFonts w:hint="cs"/>
          <w:szCs w:val="24"/>
          <w:rtl/>
        </w:rPr>
        <w:t xml:space="preserve">של </w:t>
      </w:r>
      <w:r w:rsidR="00AA65FB">
        <w:rPr>
          <w:rFonts w:hint="cs"/>
          <w:szCs w:val="24"/>
          <w:rtl/>
        </w:rPr>
        <w:t xml:space="preserve"> </w:t>
      </w:r>
      <w:r w:rsidR="00B53040">
        <w:rPr>
          <w:rFonts w:hint="cs"/>
          <w:szCs w:val="24"/>
          <w:rtl/>
        </w:rPr>
        <w:t>צד ג'</w:t>
      </w:r>
      <w:r w:rsidR="00B53040" w:rsidRPr="00B53040">
        <w:rPr>
          <w:rFonts w:hint="cs"/>
          <w:szCs w:val="24"/>
          <w:rtl/>
        </w:rPr>
        <w:t xml:space="preserve"> </w:t>
      </w:r>
      <w:r w:rsidR="00B53040">
        <w:rPr>
          <w:rFonts w:hint="cs"/>
          <w:szCs w:val="24"/>
          <w:rtl/>
        </w:rPr>
        <w:t xml:space="preserve">אשר יש להגן על סודיותו. </w:t>
      </w:r>
    </w:p>
    <w:p w:rsidR="00C21B84" w:rsidRPr="00D6542F" w:rsidRDefault="004C25F2" w:rsidP="00BA5F9D">
      <w:pPr>
        <w:pStyle w:val="ae"/>
        <w:numPr>
          <w:ilvl w:val="0"/>
          <w:numId w:val="17"/>
        </w:numPr>
        <w:spacing w:line="360" w:lineRule="auto"/>
        <w:ind w:right="-426"/>
        <w:jc w:val="both"/>
        <w:rPr>
          <w:szCs w:val="24"/>
          <w:rtl/>
        </w:rPr>
      </w:pPr>
      <w:r>
        <w:rPr>
          <w:rFonts w:hint="cs"/>
          <w:szCs w:val="24"/>
          <w:rtl/>
        </w:rPr>
        <w:t>הוראה בדבר סודיות המידע המתקבל ברשות ההגבלים העסקיים תוך כדי מילוי תפקידיה על פי דין.</w:t>
      </w:r>
    </w:p>
    <w:p w:rsidR="006F2BD3" w:rsidRDefault="00D9417A" w:rsidP="00BA5F9D">
      <w:pPr>
        <w:pStyle w:val="ae"/>
        <w:spacing w:line="360" w:lineRule="auto"/>
        <w:ind w:right="-426"/>
        <w:jc w:val="both"/>
        <w:rPr>
          <w:szCs w:val="24"/>
          <w:rtl/>
        </w:rPr>
      </w:pPr>
      <w:r w:rsidRPr="00D6542F">
        <w:rPr>
          <w:szCs w:val="24"/>
          <w:rtl/>
        </w:rPr>
        <w:t xml:space="preserve">להלן פירוט </w:t>
      </w:r>
      <w:r w:rsidR="00C21B84" w:rsidRPr="00D6542F">
        <w:rPr>
          <w:szCs w:val="24"/>
          <w:rtl/>
        </w:rPr>
        <w:t xml:space="preserve">עיקרי </w:t>
      </w:r>
      <w:r w:rsidRPr="00D6542F">
        <w:rPr>
          <w:szCs w:val="24"/>
          <w:rtl/>
        </w:rPr>
        <w:t>התיקונים המוצעים ותכליתם.</w:t>
      </w:r>
    </w:p>
    <w:p w:rsidR="0032461F" w:rsidRPr="0032461F" w:rsidRDefault="0032461F" w:rsidP="00BA5F9D">
      <w:pPr>
        <w:pStyle w:val="ae"/>
        <w:spacing w:line="360" w:lineRule="auto"/>
        <w:ind w:right="-426"/>
        <w:jc w:val="both"/>
        <w:rPr>
          <w:szCs w:val="24"/>
          <w:rtl/>
        </w:rPr>
      </w:pPr>
    </w:p>
    <w:p w:rsidR="0092489D" w:rsidRDefault="004C25F2" w:rsidP="00BA5F9D">
      <w:pPr>
        <w:pStyle w:val="ae"/>
        <w:numPr>
          <w:ilvl w:val="0"/>
          <w:numId w:val="21"/>
        </w:numPr>
        <w:spacing w:line="360" w:lineRule="auto"/>
        <w:ind w:right="-426"/>
        <w:jc w:val="both"/>
        <w:rPr>
          <w:b/>
          <w:bCs/>
          <w:szCs w:val="24"/>
        </w:rPr>
      </w:pPr>
      <w:r>
        <w:rPr>
          <w:rFonts w:hint="cs"/>
          <w:b/>
          <w:bCs/>
          <w:szCs w:val="24"/>
          <w:rtl/>
        </w:rPr>
        <w:t xml:space="preserve">הסדרה של הליכי הגילוי </w:t>
      </w:r>
      <w:r w:rsidR="001E687E">
        <w:rPr>
          <w:rFonts w:hint="cs"/>
          <w:b/>
          <w:bCs/>
          <w:szCs w:val="24"/>
          <w:rtl/>
        </w:rPr>
        <w:t>ו</w:t>
      </w:r>
      <w:r>
        <w:rPr>
          <w:rFonts w:hint="cs"/>
          <w:b/>
          <w:bCs/>
          <w:szCs w:val="24"/>
          <w:rtl/>
        </w:rPr>
        <w:t xml:space="preserve">העיון בתיק הרשות </w:t>
      </w:r>
    </w:p>
    <w:p w:rsidR="004C25F2" w:rsidRDefault="000D7CC9" w:rsidP="00303231">
      <w:pPr>
        <w:pStyle w:val="ae"/>
        <w:spacing w:line="360" w:lineRule="auto"/>
        <w:ind w:left="1080" w:right="-426"/>
        <w:jc w:val="both"/>
        <w:rPr>
          <w:szCs w:val="24"/>
          <w:rtl/>
        </w:rPr>
      </w:pPr>
      <w:r>
        <w:rPr>
          <w:rFonts w:hint="cs"/>
          <w:szCs w:val="24"/>
          <w:rtl/>
        </w:rPr>
        <w:t xml:space="preserve">סעיפים </w:t>
      </w:r>
      <w:r w:rsidR="00303231">
        <w:rPr>
          <w:rFonts w:hint="cs"/>
          <w:szCs w:val="24"/>
          <w:rtl/>
        </w:rPr>
        <w:t xml:space="preserve">30 </w:t>
      </w:r>
      <w:r>
        <w:rPr>
          <w:rFonts w:hint="cs"/>
          <w:szCs w:val="24"/>
          <w:rtl/>
        </w:rPr>
        <w:t>ו-</w:t>
      </w:r>
      <w:r w:rsidR="00303231">
        <w:rPr>
          <w:rFonts w:hint="cs"/>
          <w:szCs w:val="24"/>
          <w:rtl/>
        </w:rPr>
        <w:t xml:space="preserve">31 </w:t>
      </w:r>
      <w:r>
        <w:rPr>
          <w:rFonts w:hint="cs"/>
          <w:szCs w:val="24"/>
          <w:rtl/>
        </w:rPr>
        <w:t>ל</w:t>
      </w:r>
      <w:r w:rsidR="000E632E">
        <w:rPr>
          <w:rFonts w:hint="cs"/>
          <w:szCs w:val="24"/>
          <w:rtl/>
        </w:rPr>
        <w:t xml:space="preserve">חוק בתי דין מנהליים, </w:t>
      </w:r>
      <w:r w:rsidR="004C25F2">
        <w:rPr>
          <w:rFonts w:hint="cs"/>
          <w:szCs w:val="24"/>
          <w:rtl/>
        </w:rPr>
        <w:t>התשנ"ב-1992</w:t>
      </w:r>
      <w:r>
        <w:rPr>
          <w:rFonts w:hint="cs"/>
          <w:szCs w:val="24"/>
          <w:rtl/>
        </w:rPr>
        <w:t xml:space="preserve"> </w:t>
      </w:r>
      <w:r w:rsidR="0032461F">
        <w:rPr>
          <w:rFonts w:hint="cs"/>
          <w:szCs w:val="24"/>
          <w:rtl/>
        </w:rPr>
        <w:t xml:space="preserve">(להלן: "חוק בתי דין מנהליים") </w:t>
      </w:r>
      <w:r w:rsidR="004C25F2">
        <w:rPr>
          <w:rFonts w:hint="cs"/>
          <w:szCs w:val="24"/>
          <w:rtl/>
        </w:rPr>
        <w:t>מסדיר</w:t>
      </w:r>
      <w:r>
        <w:rPr>
          <w:rFonts w:hint="cs"/>
          <w:szCs w:val="24"/>
          <w:rtl/>
        </w:rPr>
        <w:t>ים</w:t>
      </w:r>
      <w:r w:rsidR="004C25F2">
        <w:rPr>
          <w:rFonts w:hint="cs"/>
          <w:szCs w:val="24"/>
          <w:rtl/>
        </w:rPr>
        <w:t xml:space="preserve"> את זכותו של מי שזכאי לערור על החלטת רשות מנהלית ביחס ל</w:t>
      </w:r>
      <w:r w:rsidR="00E45F2F">
        <w:rPr>
          <w:rFonts w:hint="cs"/>
          <w:szCs w:val="24"/>
          <w:rtl/>
        </w:rPr>
        <w:t>עיון ב</w:t>
      </w:r>
      <w:r w:rsidR="004C25F2">
        <w:rPr>
          <w:rFonts w:hint="cs"/>
          <w:szCs w:val="24"/>
          <w:rtl/>
        </w:rPr>
        <w:t>מסמכים שבידי הרשות הנוגעים להחלטה (להלן: "התיק" או "תיק הרשות"). הניסיון מל</w:t>
      </w:r>
      <w:r w:rsidR="0057354E">
        <w:rPr>
          <w:rFonts w:hint="cs"/>
          <w:szCs w:val="24"/>
          <w:rtl/>
        </w:rPr>
        <w:t>מד כי בעולם ההגבלים העסקיים יש צורך באיזון ייחודי ביחס לזכות העיון של העורר הפוטנציאלי, לעומת זכותו של צד ג'</w:t>
      </w:r>
      <w:r w:rsidR="00C57B7A">
        <w:rPr>
          <w:rFonts w:hint="cs"/>
          <w:szCs w:val="24"/>
          <w:rtl/>
        </w:rPr>
        <w:t xml:space="preserve"> שמסר מידע לרשות</w:t>
      </w:r>
      <w:r w:rsidR="0070203F">
        <w:rPr>
          <w:rFonts w:hint="cs"/>
          <w:szCs w:val="24"/>
          <w:rtl/>
        </w:rPr>
        <w:t>,</w:t>
      </w:r>
      <w:r w:rsidR="0057354E">
        <w:rPr>
          <w:rFonts w:hint="cs"/>
          <w:szCs w:val="24"/>
          <w:rtl/>
        </w:rPr>
        <w:t xml:space="preserve"> ולעומת אינטרס הרשות והציבור בהגנה על יכולתה של הרשות לאסוף את המידע הנחוץ לה על מנת לקבל החלטות בצורה מושכלת. מכאן הצורך בתיקון החוק. </w:t>
      </w:r>
    </w:p>
    <w:p w:rsidR="002124E1" w:rsidRDefault="002124E1" w:rsidP="00BA5F9D">
      <w:pPr>
        <w:pStyle w:val="ae"/>
        <w:spacing w:line="360" w:lineRule="auto"/>
        <w:ind w:left="1080" w:right="-426"/>
        <w:jc w:val="both"/>
        <w:rPr>
          <w:szCs w:val="24"/>
          <w:rtl/>
        </w:rPr>
      </w:pPr>
    </w:p>
    <w:p w:rsidR="0092591C" w:rsidRDefault="0057354E" w:rsidP="00BA5F9D">
      <w:pPr>
        <w:pStyle w:val="ae"/>
        <w:spacing w:line="360" w:lineRule="auto"/>
        <w:ind w:left="1080" w:right="-426"/>
        <w:jc w:val="both"/>
        <w:rPr>
          <w:szCs w:val="24"/>
          <w:rtl/>
        </w:rPr>
      </w:pPr>
      <w:r>
        <w:rPr>
          <w:rFonts w:hint="cs"/>
          <w:szCs w:val="24"/>
          <w:rtl/>
        </w:rPr>
        <w:t>על מנת להפעיל את סמכויותי</w:t>
      </w:r>
      <w:r w:rsidR="00C57B7A">
        <w:rPr>
          <w:rFonts w:hint="cs"/>
          <w:szCs w:val="24"/>
          <w:rtl/>
        </w:rPr>
        <w:t>ה</w:t>
      </w:r>
      <w:r>
        <w:rPr>
          <w:rFonts w:hint="cs"/>
          <w:szCs w:val="24"/>
          <w:rtl/>
        </w:rPr>
        <w:t xml:space="preserve"> לפי החוק, נדרש</w:t>
      </w:r>
      <w:r w:rsidR="00DE1E95">
        <w:rPr>
          <w:rFonts w:hint="cs"/>
          <w:szCs w:val="24"/>
          <w:rtl/>
        </w:rPr>
        <w:t>ת</w:t>
      </w:r>
      <w:r>
        <w:rPr>
          <w:rFonts w:hint="cs"/>
          <w:szCs w:val="24"/>
          <w:rtl/>
        </w:rPr>
        <w:t xml:space="preserve"> הממונה </w:t>
      </w:r>
      <w:r w:rsidR="0070203F">
        <w:rPr>
          <w:rFonts w:hint="cs"/>
          <w:szCs w:val="24"/>
          <w:rtl/>
        </w:rPr>
        <w:t xml:space="preserve">על הגבלים עסקיים </w:t>
      </w:r>
      <w:r w:rsidR="00176F79">
        <w:rPr>
          <w:rFonts w:hint="cs"/>
          <w:szCs w:val="24"/>
          <w:rtl/>
        </w:rPr>
        <w:t xml:space="preserve">(להלן: "הממונה") </w:t>
      </w:r>
      <w:r>
        <w:rPr>
          <w:rFonts w:hint="cs"/>
          <w:szCs w:val="24"/>
          <w:rtl/>
        </w:rPr>
        <w:t xml:space="preserve">להבנה טובה של נסיבות השוק בו פועלים השחקנים אשר בעניינם מתקבלות ההחלטות. על מנת לגבש תמונת מצב מלאה ככל הניתן, הממונה </w:t>
      </w:r>
      <w:r w:rsidR="00DE1E95">
        <w:rPr>
          <w:rFonts w:hint="cs"/>
          <w:szCs w:val="24"/>
          <w:rtl/>
        </w:rPr>
        <w:t xml:space="preserve">אוספת </w:t>
      </w:r>
      <w:r>
        <w:rPr>
          <w:rFonts w:hint="cs"/>
          <w:szCs w:val="24"/>
          <w:rtl/>
        </w:rPr>
        <w:t xml:space="preserve">מידע בעל רגישות מסחרית ותחרותית </w:t>
      </w:r>
      <w:r w:rsidR="00D94047">
        <w:rPr>
          <w:rFonts w:hint="cs"/>
          <w:szCs w:val="24"/>
          <w:rtl/>
        </w:rPr>
        <w:t xml:space="preserve">מגורמים שונים </w:t>
      </w:r>
      <w:r>
        <w:rPr>
          <w:rFonts w:hint="cs"/>
          <w:szCs w:val="24"/>
          <w:rtl/>
        </w:rPr>
        <w:t xml:space="preserve">הפועלים בשוק, </w:t>
      </w:r>
      <w:r w:rsidR="00D94047">
        <w:rPr>
          <w:rFonts w:hint="cs"/>
          <w:szCs w:val="24"/>
          <w:rtl/>
        </w:rPr>
        <w:t>ו</w:t>
      </w:r>
      <w:r>
        <w:rPr>
          <w:rFonts w:hint="cs"/>
          <w:szCs w:val="24"/>
          <w:rtl/>
        </w:rPr>
        <w:t xml:space="preserve">לא רק ממי שההחלטה מתקבלת בעניינו </w:t>
      </w:r>
      <w:r>
        <w:rPr>
          <w:szCs w:val="24"/>
          <w:rtl/>
        </w:rPr>
        <w:t>–</w:t>
      </w:r>
      <w:r>
        <w:rPr>
          <w:rFonts w:hint="cs"/>
          <w:szCs w:val="24"/>
          <w:rtl/>
        </w:rPr>
        <w:t xml:space="preserve"> לרבות ממתחרים, לקוחות וספקים. </w:t>
      </w:r>
      <w:r w:rsidR="00E15410">
        <w:rPr>
          <w:rFonts w:hint="cs"/>
          <w:szCs w:val="24"/>
          <w:rtl/>
        </w:rPr>
        <w:t>חלק ניכר מ</w:t>
      </w:r>
      <w:r w:rsidR="002124E1">
        <w:rPr>
          <w:rFonts w:hint="cs"/>
          <w:szCs w:val="24"/>
          <w:rtl/>
        </w:rPr>
        <w:t>המידע</w:t>
      </w:r>
      <w:r w:rsidR="00E15410">
        <w:rPr>
          <w:rFonts w:hint="cs"/>
          <w:szCs w:val="24"/>
          <w:rtl/>
        </w:rPr>
        <w:t xml:space="preserve"> הוא מטבעו כזה</w:t>
      </w:r>
      <w:r w:rsidR="00E15410" w:rsidRPr="00E15410">
        <w:rPr>
          <w:rFonts w:hint="cs"/>
          <w:szCs w:val="24"/>
          <w:rtl/>
        </w:rPr>
        <w:t xml:space="preserve"> שגילויו עלול לפגוע פגיעה ממשית בעניין מקצועי או מסחרי</w:t>
      </w:r>
      <w:r w:rsidR="00E15410">
        <w:rPr>
          <w:rFonts w:hint="cs"/>
          <w:szCs w:val="24"/>
          <w:rtl/>
        </w:rPr>
        <w:t xml:space="preserve"> של</w:t>
      </w:r>
      <w:r w:rsidR="002B24B6">
        <w:rPr>
          <w:rFonts w:hint="cs"/>
          <w:szCs w:val="24"/>
          <w:rtl/>
        </w:rPr>
        <w:t xml:space="preserve"> מוסר המידע (למשל: תכנית אסטרטגית של מתחרה להיכנס לשוק מסוים</w:t>
      </w:r>
      <w:r w:rsidR="00C57B7A">
        <w:rPr>
          <w:rFonts w:hint="cs"/>
          <w:szCs w:val="24"/>
          <w:rtl/>
        </w:rPr>
        <w:t>,</w:t>
      </w:r>
      <w:r w:rsidR="002B24B6">
        <w:rPr>
          <w:rFonts w:hint="cs"/>
          <w:szCs w:val="24"/>
          <w:rtl/>
        </w:rPr>
        <w:t xml:space="preserve"> </w:t>
      </w:r>
      <w:r w:rsidR="00FA715F">
        <w:rPr>
          <w:rFonts w:hint="cs"/>
          <w:szCs w:val="24"/>
          <w:rtl/>
        </w:rPr>
        <w:t>א</w:t>
      </w:r>
      <w:r w:rsidR="00C57B7A">
        <w:rPr>
          <w:rFonts w:hint="cs"/>
          <w:szCs w:val="24"/>
          <w:rtl/>
        </w:rPr>
        <w:t>ו</w:t>
      </w:r>
      <w:r w:rsidR="00FA715F">
        <w:rPr>
          <w:rFonts w:hint="cs"/>
          <w:szCs w:val="24"/>
          <w:rtl/>
        </w:rPr>
        <w:t xml:space="preserve"> </w:t>
      </w:r>
      <w:r w:rsidR="002B24B6">
        <w:rPr>
          <w:rFonts w:hint="cs"/>
          <w:szCs w:val="24"/>
          <w:rtl/>
        </w:rPr>
        <w:t>רשימת הספקים שעימם עובד לקוח של בעל זכות הערר).</w:t>
      </w:r>
      <w:r w:rsidR="0092591C">
        <w:rPr>
          <w:rFonts w:hint="cs"/>
          <w:szCs w:val="24"/>
          <w:rtl/>
        </w:rPr>
        <w:t xml:space="preserve"> </w:t>
      </w:r>
    </w:p>
    <w:p w:rsidR="007576C0" w:rsidRDefault="007576C0" w:rsidP="00BA5F9D">
      <w:pPr>
        <w:pStyle w:val="ae"/>
        <w:spacing w:line="360" w:lineRule="auto"/>
        <w:ind w:left="1080" w:right="-426"/>
        <w:jc w:val="both"/>
        <w:rPr>
          <w:szCs w:val="24"/>
          <w:rtl/>
        </w:rPr>
      </w:pPr>
    </w:p>
    <w:p w:rsidR="0092591C" w:rsidRDefault="002B24B6" w:rsidP="00BA5F9D">
      <w:pPr>
        <w:pStyle w:val="ae"/>
        <w:spacing w:line="360" w:lineRule="auto"/>
        <w:ind w:left="1080" w:right="-426"/>
        <w:jc w:val="both"/>
        <w:rPr>
          <w:szCs w:val="24"/>
          <w:rtl/>
        </w:rPr>
      </w:pPr>
      <w:r>
        <w:rPr>
          <w:rFonts w:hint="cs"/>
          <w:szCs w:val="24"/>
          <w:rtl/>
        </w:rPr>
        <w:t>יוצא, ש</w:t>
      </w:r>
      <w:r w:rsidR="0092591C">
        <w:rPr>
          <w:rFonts w:hint="cs"/>
          <w:szCs w:val="24"/>
          <w:rtl/>
        </w:rPr>
        <w:t>ב</w:t>
      </w:r>
      <w:r w:rsidR="00E45F2F">
        <w:rPr>
          <w:rFonts w:hint="cs"/>
          <w:szCs w:val="24"/>
          <w:rtl/>
        </w:rPr>
        <w:t xml:space="preserve">אופן ייחודי </w:t>
      </w:r>
      <w:r w:rsidR="00FA715F">
        <w:rPr>
          <w:rFonts w:hint="cs"/>
          <w:szCs w:val="24"/>
          <w:rtl/>
        </w:rPr>
        <w:t xml:space="preserve">לתחום </w:t>
      </w:r>
      <w:r w:rsidR="00E45F2F">
        <w:rPr>
          <w:rFonts w:hint="cs"/>
          <w:szCs w:val="24"/>
          <w:rtl/>
        </w:rPr>
        <w:t>ההגבלים העסקיים, ב</w:t>
      </w:r>
      <w:r w:rsidR="0092591C">
        <w:rPr>
          <w:rFonts w:hint="cs"/>
          <w:szCs w:val="24"/>
          <w:rtl/>
        </w:rPr>
        <w:t xml:space="preserve">קשה לעיון בתיק הרשות מצד עורר פוטנציאלי, </w:t>
      </w:r>
      <w:r w:rsidR="00DE1E95">
        <w:rPr>
          <w:rFonts w:hint="cs"/>
          <w:szCs w:val="24"/>
          <w:rtl/>
        </w:rPr>
        <w:t xml:space="preserve">מחייבת </w:t>
      </w:r>
      <w:r w:rsidR="00FE57B1">
        <w:rPr>
          <w:rFonts w:hint="cs"/>
          <w:szCs w:val="24"/>
          <w:rtl/>
        </w:rPr>
        <w:t>כעניין שבשגרה ל</w:t>
      </w:r>
      <w:r w:rsidR="00C57B7A">
        <w:rPr>
          <w:rFonts w:hint="cs"/>
          <w:szCs w:val="24"/>
          <w:rtl/>
        </w:rPr>
        <w:t xml:space="preserve">ערוך איזון </w:t>
      </w:r>
      <w:r w:rsidR="00FE57B1">
        <w:rPr>
          <w:rFonts w:hint="cs"/>
          <w:szCs w:val="24"/>
          <w:rtl/>
        </w:rPr>
        <w:t>בין זכות העורר</w:t>
      </w:r>
      <w:r w:rsidR="0092591C">
        <w:rPr>
          <w:rFonts w:hint="cs"/>
          <w:szCs w:val="24"/>
          <w:rtl/>
        </w:rPr>
        <w:t xml:space="preserve"> </w:t>
      </w:r>
      <w:r w:rsidR="00FE57B1">
        <w:rPr>
          <w:rFonts w:hint="cs"/>
          <w:szCs w:val="24"/>
          <w:rtl/>
        </w:rPr>
        <w:t xml:space="preserve">לעיון במידע שבבסיס החלטת הממונה, על מנת שיוכל למצות את זכותו </w:t>
      </w:r>
      <w:r w:rsidR="002124E1">
        <w:rPr>
          <w:rFonts w:hint="cs"/>
          <w:szCs w:val="24"/>
          <w:rtl/>
        </w:rPr>
        <w:t>ל</w:t>
      </w:r>
      <w:r w:rsidR="00FE57B1">
        <w:rPr>
          <w:rFonts w:hint="cs"/>
          <w:szCs w:val="24"/>
          <w:rtl/>
        </w:rPr>
        <w:t>ער</w:t>
      </w:r>
      <w:r w:rsidR="002124E1">
        <w:rPr>
          <w:rFonts w:hint="cs"/>
          <w:szCs w:val="24"/>
          <w:rtl/>
        </w:rPr>
        <w:t>ו</w:t>
      </w:r>
      <w:r w:rsidR="00FE57B1">
        <w:rPr>
          <w:rFonts w:hint="cs"/>
          <w:szCs w:val="24"/>
          <w:rtl/>
        </w:rPr>
        <w:t>ר</w:t>
      </w:r>
      <w:r w:rsidR="002124E1">
        <w:rPr>
          <w:rFonts w:hint="cs"/>
          <w:szCs w:val="24"/>
          <w:rtl/>
        </w:rPr>
        <w:t xml:space="preserve"> על ההחלטה</w:t>
      </w:r>
      <w:r w:rsidR="00FE57B1">
        <w:rPr>
          <w:rFonts w:hint="cs"/>
          <w:szCs w:val="24"/>
          <w:rtl/>
        </w:rPr>
        <w:t>, לבין ההגנה על זכוי</w:t>
      </w:r>
      <w:r w:rsidR="00E45F2F">
        <w:rPr>
          <w:rFonts w:hint="cs"/>
          <w:szCs w:val="24"/>
          <w:rtl/>
        </w:rPr>
        <w:t>ותיהם של מוסרי המידע כאמור.</w:t>
      </w:r>
      <w:r w:rsidR="0092591C">
        <w:rPr>
          <w:rFonts w:hint="cs"/>
          <w:szCs w:val="24"/>
          <w:rtl/>
        </w:rPr>
        <w:t xml:space="preserve"> זאת ועוד: לרשות ולציבור אינטרס בשיתוף פעולה </w:t>
      </w:r>
      <w:r w:rsidR="0092591C">
        <w:rPr>
          <w:rFonts w:hint="cs"/>
          <w:szCs w:val="24"/>
          <w:rtl/>
        </w:rPr>
        <w:lastRenderedPageBreak/>
        <w:t xml:space="preserve">מצד הפועלים בשוק באיסוף המידע </w:t>
      </w:r>
      <w:r w:rsidR="0092591C">
        <w:rPr>
          <w:szCs w:val="24"/>
          <w:rtl/>
        </w:rPr>
        <w:t>–</w:t>
      </w:r>
      <w:r w:rsidR="0092591C">
        <w:rPr>
          <w:rFonts w:hint="cs"/>
          <w:szCs w:val="24"/>
          <w:rtl/>
        </w:rPr>
        <w:t xml:space="preserve"> הגנת חסר על מוסרי המידע עלולה לפגוע ביכולתה של הרשות להמשיך וליהנות משיתוף הפעולה הנחוץ לה על מנת לגבש את תמונת עולם עובדתית מדויקת ככל האפשר כבסיס להחלטותיה. </w:t>
      </w:r>
    </w:p>
    <w:p w:rsidR="0092591C" w:rsidRDefault="0092591C" w:rsidP="00BA5F9D">
      <w:pPr>
        <w:pStyle w:val="ae"/>
        <w:spacing w:line="360" w:lineRule="auto"/>
        <w:ind w:left="1080" w:right="-426"/>
        <w:jc w:val="both"/>
        <w:rPr>
          <w:szCs w:val="24"/>
          <w:rtl/>
        </w:rPr>
      </w:pPr>
    </w:p>
    <w:p w:rsidR="0092591C" w:rsidRDefault="0092591C" w:rsidP="00BA5F9D">
      <w:pPr>
        <w:pStyle w:val="ae"/>
        <w:spacing w:line="360" w:lineRule="auto"/>
        <w:ind w:left="1080" w:right="-426"/>
        <w:jc w:val="both"/>
        <w:rPr>
          <w:szCs w:val="24"/>
          <w:rtl/>
        </w:rPr>
      </w:pPr>
      <w:r>
        <w:rPr>
          <w:rFonts w:hint="cs"/>
          <w:szCs w:val="24"/>
          <w:rtl/>
        </w:rPr>
        <w:t xml:space="preserve">במצב הדברים הנוכחי, בית הדין להגבלים העסקיים הוא הערכאה הראשונה המכריעה במחלוקות שעניינן מידע סודי של צדדים שלישיים בתיק הרשות. בפועל, </w:t>
      </w:r>
      <w:r w:rsidR="00D97436">
        <w:rPr>
          <w:rFonts w:hint="cs"/>
          <w:szCs w:val="24"/>
          <w:rtl/>
        </w:rPr>
        <w:t>ההסדר הדיוני המתגבש ברוב המכריע של ההליכים הוא כי מידע סודי של צדדים שלישיים עובר אך ורק לבא</w:t>
      </w:r>
      <w:r w:rsidR="000B1B85">
        <w:rPr>
          <w:rFonts w:hint="cs"/>
          <w:szCs w:val="24"/>
          <w:rtl/>
        </w:rPr>
        <w:t>י הכוח</w:t>
      </w:r>
      <w:r w:rsidR="00DE1E95">
        <w:rPr>
          <w:rFonts w:hint="cs"/>
          <w:szCs w:val="24"/>
          <w:rtl/>
        </w:rPr>
        <w:t xml:space="preserve"> </w:t>
      </w:r>
      <w:r w:rsidR="000B1B85">
        <w:rPr>
          <w:rFonts w:hint="cs"/>
          <w:szCs w:val="24"/>
          <w:rtl/>
        </w:rPr>
        <w:t xml:space="preserve">של העורר </w:t>
      </w:r>
      <w:r w:rsidR="00C57B7A">
        <w:rPr>
          <w:rFonts w:hint="cs"/>
          <w:szCs w:val="24"/>
          <w:rtl/>
        </w:rPr>
        <w:t xml:space="preserve">ולמומחים כלכליים מטעמו </w:t>
      </w:r>
      <w:r w:rsidR="000B1B85">
        <w:rPr>
          <w:rFonts w:hint="cs"/>
          <w:szCs w:val="24"/>
          <w:rtl/>
        </w:rPr>
        <w:t>ולא לעורר עצמו</w:t>
      </w:r>
      <w:r w:rsidR="00F271E3">
        <w:rPr>
          <w:rFonts w:hint="cs"/>
          <w:szCs w:val="24"/>
          <w:rtl/>
        </w:rPr>
        <w:t>, בכפוף להתחייבותם לשמירה על סודיות המסמכים והמידע</w:t>
      </w:r>
      <w:r w:rsidR="000B1B85">
        <w:rPr>
          <w:rFonts w:hint="cs"/>
          <w:szCs w:val="24"/>
          <w:rtl/>
        </w:rPr>
        <w:t xml:space="preserve"> (</w:t>
      </w:r>
      <w:r w:rsidR="008B2784">
        <w:rPr>
          <w:rFonts w:hint="cs"/>
          <w:szCs w:val="24"/>
          <w:rtl/>
        </w:rPr>
        <w:t xml:space="preserve">ראו, למשל, </w:t>
      </w:r>
      <w:r w:rsidR="008B2784" w:rsidRPr="008B2784">
        <w:rPr>
          <w:szCs w:val="24"/>
          <w:rtl/>
        </w:rPr>
        <w:t xml:space="preserve">ע"א 4524/01 </w:t>
      </w:r>
      <w:r w:rsidR="008B2784" w:rsidRPr="002C291D">
        <w:rPr>
          <w:szCs w:val="24"/>
          <w:u w:val="single"/>
          <w:rtl/>
        </w:rPr>
        <w:t>"מעריב" הוצאת מודיעין בע"מ נ' הממונה על ה</w:t>
      </w:r>
      <w:hyperlink r:id="rId13" w:history="1">
        <w:r w:rsidR="008B2784" w:rsidRPr="002C291D">
          <w:rPr>
            <w:szCs w:val="24"/>
            <w:u w:val="single"/>
            <w:rtl/>
          </w:rPr>
          <w:t>הגבלים העסקיים</w:t>
        </w:r>
      </w:hyperlink>
      <w:r w:rsidR="000B1B85">
        <w:rPr>
          <w:rFonts w:hint="cs"/>
          <w:szCs w:val="24"/>
          <w:rtl/>
        </w:rPr>
        <w:t xml:space="preserve">, </w:t>
      </w:r>
      <w:r w:rsidR="008B2784" w:rsidRPr="008B2784">
        <w:rPr>
          <w:szCs w:val="24"/>
          <w:rtl/>
        </w:rPr>
        <w:t>פ"ד נז(4)</w:t>
      </w:r>
      <w:r w:rsidR="000B1B85">
        <w:rPr>
          <w:rFonts w:hint="cs"/>
          <w:szCs w:val="24"/>
          <w:rtl/>
        </w:rPr>
        <w:t xml:space="preserve"> </w:t>
      </w:r>
      <w:r w:rsidR="008B2784" w:rsidRPr="008B2784">
        <w:rPr>
          <w:szCs w:val="24"/>
          <w:rtl/>
        </w:rPr>
        <w:t>521</w:t>
      </w:r>
      <w:r w:rsidR="000B1B85">
        <w:rPr>
          <w:rFonts w:hint="cs"/>
          <w:szCs w:val="24"/>
          <w:rtl/>
        </w:rPr>
        <w:t xml:space="preserve"> (2003), בו אימץ בית המשפט העליון את החלטת בית הדין להעביר נתונים לבאי כוח העוררים בלבד, לאחר שיחתמו על התחייבות על סודיות). ב</w:t>
      </w:r>
      <w:r w:rsidR="00D97436">
        <w:rPr>
          <w:rFonts w:hint="cs"/>
          <w:szCs w:val="24"/>
          <w:rtl/>
        </w:rPr>
        <w:t xml:space="preserve">כך נשמרת במידה רבה </w:t>
      </w:r>
      <w:r w:rsidR="000232AD">
        <w:rPr>
          <w:rFonts w:hint="cs"/>
          <w:szCs w:val="24"/>
          <w:rtl/>
        </w:rPr>
        <w:t xml:space="preserve">מאד </w:t>
      </w:r>
      <w:r w:rsidR="00E45F2F">
        <w:rPr>
          <w:rFonts w:hint="cs"/>
          <w:szCs w:val="24"/>
          <w:rtl/>
        </w:rPr>
        <w:t>יכולתו של העורר ל</w:t>
      </w:r>
      <w:r w:rsidR="000D7CC9">
        <w:rPr>
          <w:rFonts w:hint="cs"/>
          <w:szCs w:val="24"/>
          <w:rtl/>
        </w:rPr>
        <w:t>מצות</w:t>
      </w:r>
      <w:r w:rsidR="00D97436">
        <w:rPr>
          <w:rFonts w:hint="cs"/>
          <w:szCs w:val="24"/>
          <w:rtl/>
        </w:rPr>
        <w:t xml:space="preserve"> את </w:t>
      </w:r>
      <w:r w:rsidR="000D7CC9">
        <w:rPr>
          <w:rFonts w:hint="cs"/>
          <w:szCs w:val="24"/>
          <w:rtl/>
        </w:rPr>
        <w:t>טענותיו</w:t>
      </w:r>
      <w:r w:rsidR="00D97436">
        <w:rPr>
          <w:rFonts w:hint="cs"/>
          <w:szCs w:val="24"/>
          <w:rtl/>
        </w:rPr>
        <w:t xml:space="preserve"> בפני בית הדין, מחד גיסא, ומוסר המידע זוכה</w:t>
      </w:r>
      <w:r w:rsidR="000232AD">
        <w:rPr>
          <w:rFonts w:hint="cs"/>
          <w:szCs w:val="24"/>
          <w:rtl/>
        </w:rPr>
        <w:t xml:space="preserve"> להגנה משמעותית ולהפגת </w:t>
      </w:r>
      <w:r w:rsidR="005F2818">
        <w:rPr>
          <w:rFonts w:hint="cs"/>
          <w:szCs w:val="24"/>
          <w:rtl/>
        </w:rPr>
        <w:t>החשש מפני דליפת המידע הרגיש שהעביר</w:t>
      </w:r>
      <w:r w:rsidR="000232AD">
        <w:rPr>
          <w:rFonts w:hint="cs"/>
          <w:szCs w:val="24"/>
          <w:rtl/>
        </w:rPr>
        <w:t xml:space="preserve"> לרשות</w:t>
      </w:r>
      <w:r w:rsidR="00FA715F">
        <w:rPr>
          <w:rFonts w:hint="cs"/>
          <w:szCs w:val="24"/>
          <w:rtl/>
        </w:rPr>
        <w:t>, מאידך גיסא</w:t>
      </w:r>
      <w:r w:rsidR="000232AD">
        <w:rPr>
          <w:rFonts w:hint="cs"/>
          <w:szCs w:val="24"/>
          <w:rtl/>
        </w:rPr>
        <w:t>. איזון ראוי זה גם תומך, כאמור, ביכולתה של הרשות להמשיך ולאסוף מידע מצדדים שלישיים</w:t>
      </w:r>
      <w:r w:rsidR="000D7CC9">
        <w:rPr>
          <w:rFonts w:hint="cs"/>
          <w:szCs w:val="24"/>
          <w:rtl/>
        </w:rPr>
        <w:t xml:space="preserve"> ולבצע את תפקידה</w:t>
      </w:r>
      <w:r w:rsidR="000232AD">
        <w:rPr>
          <w:rFonts w:hint="cs"/>
          <w:szCs w:val="24"/>
          <w:rtl/>
        </w:rPr>
        <w:t>.</w:t>
      </w:r>
      <w:r w:rsidR="00E32DF2">
        <w:rPr>
          <w:rFonts w:hint="cs"/>
          <w:szCs w:val="24"/>
          <w:rtl/>
        </w:rPr>
        <w:t xml:space="preserve"> </w:t>
      </w:r>
    </w:p>
    <w:p w:rsidR="000232AD" w:rsidRDefault="000232AD" w:rsidP="00BA5F9D">
      <w:pPr>
        <w:pStyle w:val="ae"/>
        <w:spacing w:line="360" w:lineRule="auto"/>
        <w:ind w:left="1080" w:right="-426"/>
        <w:jc w:val="both"/>
        <w:rPr>
          <w:szCs w:val="24"/>
          <w:rtl/>
        </w:rPr>
      </w:pPr>
    </w:p>
    <w:p w:rsidR="000232AD" w:rsidRDefault="008F2966" w:rsidP="00BA5F9D">
      <w:pPr>
        <w:pStyle w:val="ae"/>
        <w:spacing w:line="360" w:lineRule="auto"/>
        <w:ind w:left="1080" w:right="-426"/>
        <w:jc w:val="both"/>
        <w:rPr>
          <w:szCs w:val="24"/>
          <w:rtl/>
        </w:rPr>
      </w:pPr>
      <w:r>
        <w:rPr>
          <w:rFonts w:hint="cs"/>
          <w:szCs w:val="24"/>
          <w:rtl/>
        </w:rPr>
        <w:t>תכלית</w:t>
      </w:r>
      <w:r w:rsidR="000232AD">
        <w:rPr>
          <w:rFonts w:hint="cs"/>
          <w:szCs w:val="24"/>
          <w:rtl/>
        </w:rPr>
        <w:t>ו של התיקון המוצע ה</w:t>
      </w:r>
      <w:r w:rsidR="0099779F">
        <w:rPr>
          <w:rFonts w:hint="cs"/>
          <w:szCs w:val="24"/>
          <w:rtl/>
        </w:rPr>
        <w:t>יא</w:t>
      </w:r>
      <w:r w:rsidR="000232AD">
        <w:rPr>
          <w:rFonts w:hint="cs"/>
          <w:szCs w:val="24"/>
          <w:rtl/>
        </w:rPr>
        <w:t xml:space="preserve"> להפוך את הסדר העיון באמצעות בא-כוח</w:t>
      </w:r>
      <w:r w:rsidR="00DE1E95">
        <w:rPr>
          <w:rFonts w:hint="cs"/>
          <w:szCs w:val="24"/>
          <w:rtl/>
        </w:rPr>
        <w:t xml:space="preserve"> ומומחה כלכלי</w:t>
      </w:r>
      <w:r w:rsidR="000D7CC9">
        <w:rPr>
          <w:rFonts w:hint="cs"/>
          <w:szCs w:val="24"/>
          <w:rtl/>
        </w:rPr>
        <w:t>, אשר תואר לעיל,</w:t>
      </w:r>
      <w:r w:rsidR="000232AD">
        <w:rPr>
          <w:rFonts w:hint="cs"/>
          <w:szCs w:val="24"/>
          <w:rtl/>
        </w:rPr>
        <w:t xml:space="preserve"> לברירת המחדל ביחס למידע מסחרי רגיש של צדדים שלישיים, </w:t>
      </w:r>
      <w:r w:rsidR="000D7CC9">
        <w:rPr>
          <w:rFonts w:hint="cs"/>
          <w:szCs w:val="24"/>
          <w:rtl/>
        </w:rPr>
        <w:t xml:space="preserve">באופן </w:t>
      </w:r>
      <w:r w:rsidR="00FA715F">
        <w:rPr>
          <w:rFonts w:hint="cs"/>
          <w:szCs w:val="24"/>
          <w:rtl/>
        </w:rPr>
        <w:t xml:space="preserve">שיהא זה </w:t>
      </w:r>
      <w:r w:rsidR="000D7CC9">
        <w:rPr>
          <w:rFonts w:hint="cs"/>
          <w:szCs w:val="24"/>
          <w:rtl/>
        </w:rPr>
        <w:t>ההסדר שיחול בהעדר החלטה אחרת</w:t>
      </w:r>
      <w:r w:rsidR="00FA715F">
        <w:rPr>
          <w:rFonts w:hint="cs"/>
          <w:szCs w:val="24"/>
          <w:rtl/>
        </w:rPr>
        <w:t xml:space="preserve"> של </w:t>
      </w:r>
      <w:r w:rsidR="00C92845">
        <w:rPr>
          <w:rFonts w:hint="cs"/>
          <w:szCs w:val="24"/>
          <w:rtl/>
        </w:rPr>
        <w:t>הממונה</w:t>
      </w:r>
      <w:r w:rsidR="00192051">
        <w:rPr>
          <w:rFonts w:hint="cs"/>
          <w:szCs w:val="24"/>
          <w:rtl/>
        </w:rPr>
        <w:t xml:space="preserve"> או </w:t>
      </w:r>
      <w:r w:rsidR="00C92845">
        <w:rPr>
          <w:rFonts w:hint="cs"/>
          <w:szCs w:val="24"/>
          <w:rtl/>
        </w:rPr>
        <w:t>בית הדין</w:t>
      </w:r>
      <w:r w:rsidR="00192051">
        <w:rPr>
          <w:rFonts w:hint="cs"/>
          <w:szCs w:val="24"/>
          <w:rtl/>
        </w:rPr>
        <w:t>, כפי שיפורט להלן</w:t>
      </w:r>
      <w:r w:rsidR="000D7CC9">
        <w:rPr>
          <w:rFonts w:hint="cs"/>
          <w:szCs w:val="24"/>
          <w:rtl/>
        </w:rPr>
        <w:t>. כמו כן, המטרה היא להעביר את זירת ההחלטה הראשונית ביחס להסדר העיון מבית הדין ל</w:t>
      </w:r>
      <w:r w:rsidR="000232AD">
        <w:rPr>
          <w:rFonts w:hint="cs"/>
          <w:szCs w:val="24"/>
          <w:rtl/>
        </w:rPr>
        <w:t>ממונה על הגבלים עסקיים. בכך יחסך זמן דיוני יקר בבית הדין וייעשה האיזון הראוי בדרך היעילה ביותר.</w:t>
      </w:r>
      <w:r w:rsidR="00E32DF2">
        <w:rPr>
          <w:rFonts w:hint="cs"/>
          <w:szCs w:val="24"/>
          <w:rtl/>
        </w:rPr>
        <w:t xml:space="preserve"> לצדדים המתנגדים להחלטת הממונה ביחס לעיון המותר תישמר הזכות לפנות לבית הדין בערר. </w:t>
      </w:r>
    </w:p>
    <w:p w:rsidR="005F2818" w:rsidRDefault="005F2818" w:rsidP="00BA5F9D">
      <w:pPr>
        <w:pStyle w:val="ae"/>
        <w:spacing w:line="360" w:lineRule="auto"/>
        <w:ind w:left="1080" w:right="-426"/>
        <w:jc w:val="both"/>
        <w:rPr>
          <w:szCs w:val="24"/>
          <w:rtl/>
        </w:rPr>
      </w:pPr>
    </w:p>
    <w:p w:rsidR="0032461F" w:rsidRDefault="0032461F" w:rsidP="00BA5F9D">
      <w:pPr>
        <w:pStyle w:val="ae"/>
        <w:spacing w:line="360" w:lineRule="auto"/>
        <w:ind w:left="1080" w:right="-426"/>
        <w:jc w:val="both"/>
        <w:rPr>
          <w:szCs w:val="24"/>
        </w:rPr>
      </w:pPr>
      <w:r>
        <w:rPr>
          <w:rFonts w:hint="cs"/>
          <w:szCs w:val="24"/>
          <w:rtl/>
        </w:rPr>
        <w:t xml:space="preserve">סעיף 37א המוצע </w:t>
      </w:r>
      <w:r w:rsidR="00F271E3">
        <w:rPr>
          <w:rFonts w:hint="cs"/>
          <w:szCs w:val="24"/>
          <w:rtl/>
        </w:rPr>
        <w:t>מפרט סייגים לזכות העיון, בהתאם ל</w:t>
      </w:r>
      <w:r>
        <w:rPr>
          <w:rFonts w:hint="cs"/>
          <w:szCs w:val="24"/>
          <w:rtl/>
        </w:rPr>
        <w:t>אמור בסעי</w:t>
      </w:r>
      <w:r w:rsidR="00366904">
        <w:rPr>
          <w:rFonts w:hint="cs"/>
          <w:szCs w:val="24"/>
          <w:rtl/>
        </w:rPr>
        <w:t>פים</w:t>
      </w:r>
      <w:r>
        <w:rPr>
          <w:rFonts w:hint="cs"/>
          <w:szCs w:val="24"/>
          <w:rtl/>
        </w:rPr>
        <w:t xml:space="preserve"> 30 (א) ו</w:t>
      </w:r>
      <w:r w:rsidR="00192051">
        <w:rPr>
          <w:rFonts w:hint="cs"/>
          <w:szCs w:val="24"/>
          <w:rtl/>
        </w:rPr>
        <w:t>-</w:t>
      </w:r>
      <w:r>
        <w:rPr>
          <w:rFonts w:hint="cs"/>
          <w:szCs w:val="24"/>
          <w:rtl/>
        </w:rPr>
        <w:t xml:space="preserve">(ב) לחוק בתי דין מנהליים, </w:t>
      </w:r>
      <w:r w:rsidR="00F271E3">
        <w:rPr>
          <w:rFonts w:hint="cs"/>
          <w:szCs w:val="24"/>
          <w:rtl/>
        </w:rPr>
        <w:t>ובתוספת סייגים</w:t>
      </w:r>
      <w:r w:rsidR="00BA7107">
        <w:rPr>
          <w:rFonts w:hint="cs"/>
          <w:szCs w:val="24"/>
          <w:rtl/>
        </w:rPr>
        <w:t xml:space="preserve"> </w:t>
      </w:r>
      <w:r w:rsidR="00366904">
        <w:rPr>
          <w:rFonts w:hint="cs"/>
          <w:szCs w:val="24"/>
          <w:rtl/>
        </w:rPr>
        <w:t>ה</w:t>
      </w:r>
      <w:r w:rsidR="00BA7107">
        <w:rPr>
          <w:rFonts w:hint="cs"/>
          <w:szCs w:val="24"/>
          <w:rtl/>
        </w:rPr>
        <w:t xml:space="preserve">רלבנטיים </w:t>
      </w:r>
      <w:r w:rsidR="00977362">
        <w:rPr>
          <w:rFonts w:hint="cs"/>
          <w:szCs w:val="24"/>
          <w:rtl/>
        </w:rPr>
        <w:t xml:space="preserve">במיוחד </w:t>
      </w:r>
      <w:r w:rsidR="00BA7107">
        <w:rPr>
          <w:rFonts w:hint="cs"/>
          <w:szCs w:val="24"/>
          <w:rtl/>
        </w:rPr>
        <w:t>למידע הנאסף ב</w:t>
      </w:r>
      <w:r w:rsidR="00176D84">
        <w:rPr>
          <w:rFonts w:hint="cs"/>
          <w:szCs w:val="24"/>
          <w:rtl/>
        </w:rPr>
        <w:t>רשות</w:t>
      </w:r>
      <w:r w:rsidR="00366904">
        <w:rPr>
          <w:rFonts w:hint="cs"/>
          <w:szCs w:val="24"/>
          <w:rtl/>
        </w:rPr>
        <w:t>, ו</w:t>
      </w:r>
      <w:r w:rsidR="00977362">
        <w:rPr>
          <w:rFonts w:hint="cs"/>
          <w:szCs w:val="24"/>
          <w:rtl/>
        </w:rPr>
        <w:t xml:space="preserve">עשוי להימצא בתיק הרשות בערר פוטנציאלי: </w:t>
      </w:r>
      <w:r>
        <w:rPr>
          <w:rFonts w:hint="cs"/>
          <w:szCs w:val="24"/>
          <w:rtl/>
        </w:rPr>
        <w:t>מידע אודות פרטי משא ומתן עם גוף או אדם שמחוץ לרשות; מידע שהעמדתו לעיון עלולה לפגוע בהמשך קבלת מידע על ידי הרשות</w:t>
      </w:r>
      <w:r w:rsidR="00BA7107">
        <w:rPr>
          <w:rFonts w:hint="cs"/>
          <w:szCs w:val="24"/>
          <w:rtl/>
        </w:rPr>
        <w:t>; ו</w:t>
      </w:r>
      <w:r w:rsidR="00BA7107" w:rsidRPr="00BA7107">
        <w:rPr>
          <w:szCs w:val="24"/>
          <w:rtl/>
        </w:rPr>
        <w:t>מ</w:t>
      </w:r>
      <w:r w:rsidR="00BA7107" w:rsidRPr="00BA7107">
        <w:rPr>
          <w:rFonts w:hint="cs"/>
          <w:szCs w:val="24"/>
          <w:rtl/>
        </w:rPr>
        <w:t>ידע על אודו</w:t>
      </w:r>
      <w:r w:rsidR="00BA7107" w:rsidRPr="00BA7107">
        <w:rPr>
          <w:szCs w:val="24"/>
          <w:rtl/>
        </w:rPr>
        <w:t xml:space="preserve">ת </w:t>
      </w:r>
      <w:r w:rsidR="00BA7107" w:rsidRPr="00BA7107">
        <w:rPr>
          <w:rFonts w:hint="cs"/>
          <w:szCs w:val="24"/>
          <w:rtl/>
        </w:rPr>
        <w:t>שיטות חקירה של הרשות או מידע שנאסף או שנוצר לצורכי חקירה פלילית</w:t>
      </w:r>
      <w:r w:rsidR="00BA7107">
        <w:rPr>
          <w:rFonts w:hint="cs"/>
          <w:szCs w:val="24"/>
          <w:rtl/>
        </w:rPr>
        <w:t>.</w:t>
      </w:r>
    </w:p>
    <w:p w:rsidR="00977362" w:rsidRDefault="00977362" w:rsidP="00BA5F9D">
      <w:pPr>
        <w:pStyle w:val="ae"/>
        <w:spacing w:line="360" w:lineRule="auto"/>
        <w:ind w:left="1080" w:right="-426"/>
        <w:jc w:val="both"/>
        <w:rPr>
          <w:szCs w:val="24"/>
          <w:rtl/>
        </w:rPr>
      </w:pPr>
    </w:p>
    <w:p w:rsidR="00977362" w:rsidRDefault="009C34C7" w:rsidP="00BA5F9D">
      <w:pPr>
        <w:pStyle w:val="ae"/>
        <w:spacing w:line="360" w:lineRule="auto"/>
        <w:ind w:left="1080" w:right="-426"/>
        <w:jc w:val="both"/>
        <w:rPr>
          <w:szCs w:val="24"/>
          <w:rtl/>
        </w:rPr>
      </w:pPr>
      <w:r>
        <w:rPr>
          <w:rFonts w:hint="cs"/>
          <w:szCs w:val="24"/>
          <w:rtl/>
        </w:rPr>
        <w:t xml:space="preserve">סעיף </w:t>
      </w:r>
      <w:r w:rsidR="00977362">
        <w:rPr>
          <w:rFonts w:hint="cs"/>
          <w:szCs w:val="24"/>
          <w:rtl/>
        </w:rPr>
        <w:t>37ב-37ה המוצעים מחליפים את ההסדר המצוי כיום בסעי</w:t>
      </w:r>
      <w:r w:rsidR="001A6F27">
        <w:rPr>
          <w:rFonts w:hint="cs"/>
          <w:szCs w:val="24"/>
          <w:rtl/>
        </w:rPr>
        <w:t>ף</w:t>
      </w:r>
      <w:r w:rsidR="00977362">
        <w:rPr>
          <w:rFonts w:hint="cs"/>
          <w:szCs w:val="24"/>
          <w:rtl/>
        </w:rPr>
        <w:t xml:space="preserve"> 30(</w:t>
      </w:r>
      <w:r w:rsidR="001A6F27">
        <w:rPr>
          <w:rFonts w:hint="cs"/>
          <w:szCs w:val="24"/>
          <w:rtl/>
        </w:rPr>
        <w:t>ד</w:t>
      </w:r>
      <w:r w:rsidR="00977362">
        <w:rPr>
          <w:rFonts w:hint="cs"/>
          <w:szCs w:val="24"/>
          <w:rtl/>
        </w:rPr>
        <w:t xml:space="preserve">) לחוק בתי דין מנהליים. </w:t>
      </w:r>
    </w:p>
    <w:p w:rsidR="00977362" w:rsidRDefault="00977362" w:rsidP="00BA5F9D">
      <w:pPr>
        <w:pStyle w:val="ae"/>
        <w:spacing w:line="360" w:lineRule="auto"/>
        <w:ind w:left="1080" w:right="-426"/>
        <w:jc w:val="both"/>
        <w:rPr>
          <w:szCs w:val="24"/>
          <w:rtl/>
        </w:rPr>
      </w:pPr>
    </w:p>
    <w:p w:rsidR="009C34C7" w:rsidRDefault="00977362" w:rsidP="00BA5F9D">
      <w:pPr>
        <w:pStyle w:val="ae"/>
        <w:spacing w:line="360" w:lineRule="auto"/>
        <w:ind w:left="1080" w:right="-426"/>
        <w:jc w:val="both"/>
        <w:rPr>
          <w:szCs w:val="24"/>
          <w:rtl/>
        </w:rPr>
      </w:pPr>
      <w:r>
        <w:rPr>
          <w:rFonts w:hint="cs"/>
          <w:szCs w:val="24"/>
          <w:rtl/>
        </w:rPr>
        <w:t xml:space="preserve">סעיף 37ב המוצע </w:t>
      </w:r>
      <w:r w:rsidR="00176F79">
        <w:rPr>
          <w:rFonts w:hint="cs"/>
          <w:szCs w:val="24"/>
          <w:rtl/>
        </w:rPr>
        <w:t>עוסק ב</w:t>
      </w:r>
      <w:r w:rsidR="005F2818">
        <w:rPr>
          <w:rFonts w:hint="cs"/>
          <w:szCs w:val="24"/>
          <w:rtl/>
        </w:rPr>
        <w:t>בקשה לממונה ל</w:t>
      </w:r>
      <w:r w:rsidR="00176F79">
        <w:rPr>
          <w:rFonts w:hint="cs"/>
          <w:szCs w:val="24"/>
          <w:rtl/>
        </w:rPr>
        <w:t>התיר עיון</w:t>
      </w:r>
      <w:r w:rsidR="005F2818">
        <w:rPr>
          <w:rFonts w:hint="cs"/>
          <w:szCs w:val="24"/>
          <w:rtl/>
        </w:rPr>
        <w:t xml:space="preserve"> במידע מוגן של אדם אחר, </w:t>
      </w:r>
      <w:r>
        <w:rPr>
          <w:rFonts w:hint="cs"/>
          <w:szCs w:val="24"/>
          <w:rtl/>
        </w:rPr>
        <w:t>ויוצר את ברירת המחדל לפיה</w:t>
      </w:r>
      <w:r w:rsidR="00176F79">
        <w:rPr>
          <w:rFonts w:hint="cs"/>
          <w:szCs w:val="24"/>
          <w:rtl/>
        </w:rPr>
        <w:t xml:space="preserve"> מידע כאמור יועבר לבא כוחו של המבקש או למומחה מטעמו בלבד. זאת, בכפוף </w:t>
      </w:r>
      <w:r w:rsidR="00BA5B97">
        <w:rPr>
          <w:rFonts w:hint="cs"/>
          <w:szCs w:val="24"/>
          <w:rtl/>
        </w:rPr>
        <w:t>ל</w:t>
      </w:r>
      <w:r w:rsidR="005F2818">
        <w:rPr>
          <w:rFonts w:hint="cs"/>
          <w:szCs w:val="24"/>
          <w:rtl/>
        </w:rPr>
        <w:t>מתן הצהרה על שמירה על סודיות המסמכים</w:t>
      </w:r>
      <w:r w:rsidR="00BA5B97">
        <w:rPr>
          <w:rFonts w:hint="cs"/>
          <w:szCs w:val="24"/>
          <w:rtl/>
        </w:rPr>
        <w:t xml:space="preserve">, ולכך שניתנה למוסר המידע הזדמנות להציג בפני הממונה את טענותיו בעניין. </w:t>
      </w:r>
      <w:r w:rsidR="001669E4">
        <w:rPr>
          <w:rFonts w:hint="cs"/>
          <w:szCs w:val="24"/>
          <w:rtl/>
        </w:rPr>
        <w:t>כמו כן, הסעיף מס</w:t>
      </w:r>
      <w:r w:rsidR="000749D9">
        <w:rPr>
          <w:rFonts w:hint="cs"/>
          <w:szCs w:val="24"/>
          <w:rtl/>
        </w:rPr>
        <w:t xml:space="preserve">מיך את הממונה לחרוג מהסדר העיון </w:t>
      </w:r>
      <w:r w:rsidR="001669E4">
        <w:rPr>
          <w:rFonts w:hint="cs"/>
          <w:szCs w:val="24"/>
          <w:rtl/>
        </w:rPr>
        <w:t>שבברירת המחדל</w:t>
      </w:r>
      <w:r w:rsidR="00366904">
        <w:rPr>
          <w:rFonts w:hint="cs"/>
          <w:szCs w:val="24"/>
          <w:rtl/>
        </w:rPr>
        <w:t>,</w:t>
      </w:r>
      <w:r w:rsidR="001669E4">
        <w:rPr>
          <w:rFonts w:hint="cs"/>
          <w:szCs w:val="24"/>
          <w:rtl/>
        </w:rPr>
        <w:t xml:space="preserve"> ולהתיר עיון גם למבקש עצמו, אם מצא שבנסיבות </w:t>
      </w:r>
      <w:r w:rsidR="001669E4">
        <w:rPr>
          <w:rFonts w:hint="cs"/>
          <w:szCs w:val="24"/>
          <w:rtl/>
        </w:rPr>
        <w:lastRenderedPageBreak/>
        <w:t>העניין הדבר נחוץ לשם עשיית צדק ועדיף מן הטעם למניעת העיון</w:t>
      </w:r>
      <w:r w:rsidR="000450DC">
        <w:rPr>
          <w:rFonts w:hint="cs"/>
          <w:szCs w:val="24"/>
          <w:rtl/>
        </w:rPr>
        <w:t>. הסעיף מסמיך את הממונה</w:t>
      </w:r>
      <w:r w:rsidR="001669E4">
        <w:rPr>
          <w:rFonts w:hint="cs"/>
          <w:szCs w:val="24"/>
          <w:rtl/>
        </w:rPr>
        <w:t xml:space="preserve"> לחרוג מהסדר העיון </w:t>
      </w:r>
      <w:r w:rsidR="000749D9">
        <w:rPr>
          <w:rFonts w:hint="cs"/>
          <w:szCs w:val="24"/>
          <w:rtl/>
        </w:rPr>
        <w:t>שבברירת המחדל</w:t>
      </w:r>
      <w:r w:rsidR="000450DC">
        <w:rPr>
          <w:rFonts w:hint="cs"/>
          <w:szCs w:val="24"/>
          <w:rtl/>
        </w:rPr>
        <w:t xml:space="preserve"> גם</w:t>
      </w:r>
      <w:r w:rsidR="000749D9">
        <w:rPr>
          <w:rFonts w:hint="cs"/>
          <w:szCs w:val="24"/>
          <w:rtl/>
        </w:rPr>
        <w:t xml:space="preserve"> באופן אחר, לרבות </w:t>
      </w:r>
      <w:r w:rsidR="000450DC">
        <w:rPr>
          <w:rFonts w:hint="cs"/>
          <w:szCs w:val="24"/>
          <w:rtl/>
        </w:rPr>
        <w:t>באי-</w:t>
      </w:r>
      <w:r w:rsidR="000749D9">
        <w:rPr>
          <w:rFonts w:hint="cs"/>
          <w:szCs w:val="24"/>
          <w:rtl/>
        </w:rPr>
        <w:t xml:space="preserve">התרת עיון במידע, אם מצא כי בנסיבות המקרה זהו האיזון הראוי בין זכויותיו של מבקש העיון לבין זכויותיו של מוסר המידע, בשים לב לאינטרס הציבור. </w:t>
      </w:r>
      <w:r w:rsidR="000450DC">
        <w:rPr>
          <w:rFonts w:hint="cs"/>
          <w:szCs w:val="24"/>
          <w:rtl/>
        </w:rPr>
        <w:t>עוד קובע הסעיף כי מבקש המידע או מוסר המידע אשר מתנגדים להחלטות הממונה רשאים לפנות לבית הדין</w:t>
      </w:r>
      <w:r w:rsidR="009271BF">
        <w:rPr>
          <w:rFonts w:hint="cs"/>
          <w:szCs w:val="24"/>
          <w:rtl/>
        </w:rPr>
        <w:t>,</w:t>
      </w:r>
      <w:r w:rsidR="000450DC">
        <w:rPr>
          <w:rFonts w:hint="cs"/>
          <w:szCs w:val="24"/>
          <w:rtl/>
        </w:rPr>
        <w:t xml:space="preserve"> ומסדיר את הליך הפניה ו</w:t>
      </w:r>
      <w:r w:rsidR="006A11E7">
        <w:rPr>
          <w:rFonts w:hint="cs"/>
          <w:szCs w:val="24"/>
          <w:rtl/>
        </w:rPr>
        <w:t xml:space="preserve">את </w:t>
      </w:r>
      <w:r w:rsidR="000450DC">
        <w:rPr>
          <w:rFonts w:hint="cs"/>
          <w:szCs w:val="24"/>
          <w:rtl/>
        </w:rPr>
        <w:t xml:space="preserve">ההליך בפני בית הדין. </w:t>
      </w:r>
    </w:p>
    <w:p w:rsidR="002B185B" w:rsidRDefault="002B185B" w:rsidP="00BA5F9D">
      <w:pPr>
        <w:pStyle w:val="ae"/>
        <w:spacing w:line="360" w:lineRule="auto"/>
        <w:ind w:left="1080" w:right="-426"/>
        <w:jc w:val="both"/>
        <w:rPr>
          <w:szCs w:val="24"/>
          <w:rtl/>
        </w:rPr>
      </w:pPr>
    </w:p>
    <w:p w:rsidR="000450DC" w:rsidRDefault="000450DC" w:rsidP="00BA5F9D">
      <w:pPr>
        <w:pStyle w:val="ae"/>
        <w:spacing w:line="360" w:lineRule="auto"/>
        <w:ind w:left="1080" w:right="-426"/>
        <w:jc w:val="both"/>
        <w:rPr>
          <w:szCs w:val="24"/>
          <w:rtl/>
        </w:rPr>
      </w:pPr>
      <w:r>
        <w:rPr>
          <w:rFonts w:hint="cs"/>
          <w:szCs w:val="24"/>
          <w:rtl/>
        </w:rPr>
        <w:t xml:space="preserve">סעיף </w:t>
      </w:r>
      <w:r w:rsidR="002B185B">
        <w:rPr>
          <w:rFonts w:hint="cs"/>
          <w:szCs w:val="24"/>
          <w:rtl/>
        </w:rPr>
        <w:t xml:space="preserve">37ג </w:t>
      </w:r>
      <w:r w:rsidR="001A6F27">
        <w:rPr>
          <w:rFonts w:hint="cs"/>
          <w:szCs w:val="24"/>
          <w:rtl/>
        </w:rPr>
        <w:t xml:space="preserve">המוצע </w:t>
      </w:r>
      <w:r w:rsidR="003E05DF">
        <w:rPr>
          <w:rFonts w:hint="cs"/>
          <w:szCs w:val="24"/>
          <w:rtl/>
        </w:rPr>
        <w:t>אוסר על הפרת הצהרה לשמירה על סודיות שניתנה על ידי מי שגולה לו מידע לפי סעיף 37ב</w:t>
      </w:r>
      <w:r w:rsidR="00D819EC">
        <w:rPr>
          <w:rFonts w:hint="cs"/>
          <w:szCs w:val="24"/>
          <w:rtl/>
        </w:rPr>
        <w:t>(ב) או 37ב(ג)</w:t>
      </w:r>
      <w:r w:rsidR="003E05DF">
        <w:rPr>
          <w:rFonts w:hint="cs"/>
          <w:szCs w:val="24"/>
          <w:rtl/>
        </w:rPr>
        <w:t xml:space="preserve">. </w:t>
      </w:r>
    </w:p>
    <w:p w:rsidR="002B185B" w:rsidRDefault="002B185B" w:rsidP="00BA5F9D">
      <w:pPr>
        <w:pStyle w:val="ae"/>
        <w:spacing w:line="360" w:lineRule="auto"/>
        <w:ind w:left="1080" w:right="-426"/>
        <w:jc w:val="both"/>
        <w:rPr>
          <w:szCs w:val="24"/>
          <w:rtl/>
        </w:rPr>
      </w:pPr>
    </w:p>
    <w:p w:rsidR="002B185B" w:rsidRDefault="002B185B" w:rsidP="00BA5F9D">
      <w:pPr>
        <w:pStyle w:val="ae"/>
        <w:spacing w:line="360" w:lineRule="auto"/>
        <w:ind w:left="1080" w:right="-426"/>
        <w:jc w:val="both"/>
        <w:rPr>
          <w:szCs w:val="24"/>
          <w:rtl/>
        </w:rPr>
      </w:pPr>
      <w:r>
        <w:rPr>
          <w:rFonts w:hint="cs"/>
          <w:szCs w:val="24"/>
          <w:rtl/>
        </w:rPr>
        <w:t xml:space="preserve">סעיף 37ד </w:t>
      </w:r>
      <w:r w:rsidR="001A6F27">
        <w:rPr>
          <w:rFonts w:hint="cs"/>
          <w:szCs w:val="24"/>
          <w:rtl/>
        </w:rPr>
        <w:t xml:space="preserve">המוצע </w:t>
      </w:r>
      <w:r>
        <w:rPr>
          <w:rFonts w:hint="cs"/>
          <w:szCs w:val="24"/>
          <w:rtl/>
        </w:rPr>
        <w:t xml:space="preserve">קובע כי ניתן יהיה להמשיך ולהגיש בקשת עיון לבית הדין כערכאה ראשונה בעניין מסמכים או חלקי מסמכים </w:t>
      </w:r>
      <w:r w:rsidR="00911331">
        <w:rPr>
          <w:rFonts w:hint="cs"/>
          <w:szCs w:val="24"/>
          <w:rtl/>
        </w:rPr>
        <w:t xml:space="preserve">שהעיון בהם נמנע מן הטעם שאין להם נגיעה להחלטה עליה עוררים, או שהם ראיות חסויות, או שהם מכילים חומר פנימי, או שיש בהם מידע על אודות פרטי משא ומתן עם גוף או אדם מחוץ לרשות, או שיש בהם מידע אודות שיטות חקירה או מידע שנאסף או נוצר לצורך חקירה פלילית. </w:t>
      </w:r>
      <w:r w:rsidR="001A6F27">
        <w:rPr>
          <w:rFonts w:hint="cs"/>
          <w:szCs w:val="24"/>
          <w:rtl/>
        </w:rPr>
        <w:t>עוד קובע הסעיף</w:t>
      </w:r>
      <w:r w:rsidR="00366904">
        <w:rPr>
          <w:rFonts w:hint="cs"/>
          <w:szCs w:val="24"/>
          <w:rtl/>
        </w:rPr>
        <w:t>,</w:t>
      </w:r>
      <w:r w:rsidR="001A6F27">
        <w:rPr>
          <w:rFonts w:hint="cs"/>
          <w:szCs w:val="24"/>
          <w:rtl/>
        </w:rPr>
        <w:t xml:space="preserve"> כי ניתן יהיה לפנות לבית הדין בבקשה להתיר עיון במידע שנמנע העיון בו מטעמים של בטחון המדינה, יחסי חוץ או עניין ציבור חשוב, וכי על בקשה כזאת ימשיך לחול סעיף 31 לחוק בתי דין מנהליים. </w:t>
      </w:r>
    </w:p>
    <w:p w:rsidR="001A6F27" w:rsidRDefault="001A6F27" w:rsidP="00BA5F9D">
      <w:pPr>
        <w:pStyle w:val="ae"/>
        <w:spacing w:line="360" w:lineRule="auto"/>
        <w:ind w:left="1080" w:right="-426"/>
        <w:jc w:val="both"/>
        <w:rPr>
          <w:szCs w:val="24"/>
          <w:rtl/>
        </w:rPr>
      </w:pPr>
    </w:p>
    <w:p w:rsidR="001A6F27" w:rsidRDefault="001A6F27" w:rsidP="00BA5F9D">
      <w:pPr>
        <w:pStyle w:val="ae"/>
        <w:spacing w:line="360" w:lineRule="auto"/>
        <w:ind w:left="1080" w:right="-426"/>
        <w:jc w:val="both"/>
        <w:rPr>
          <w:szCs w:val="24"/>
          <w:rtl/>
        </w:rPr>
      </w:pPr>
      <w:r>
        <w:rPr>
          <w:rFonts w:hint="cs"/>
          <w:szCs w:val="24"/>
          <w:rtl/>
        </w:rPr>
        <w:t xml:space="preserve">סעיף 37ה המוצע מחליף את סעיף 30(ג) לחוק בתי דין מנהליים וקובע הסדר דומה, לפיו בית הדין רשאי </w:t>
      </w:r>
      <w:r w:rsidR="00164B7D">
        <w:rPr>
          <w:rFonts w:hint="cs"/>
          <w:szCs w:val="24"/>
          <w:rtl/>
        </w:rPr>
        <w:t>להחליט במסגרת הליך המתנהל בפניו</w:t>
      </w:r>
      <w:r>
        <w:rPr>
          <w:rFonts w:hint="cs"/>
          <w:szCs w:val="24"/>
          <w:rtl/>
        </w:rPr>
        <w:t xml:space="preserve"> כי תיק הרשות יימסר לבית הדין, בסייגים הקבועים בסעיף</w:t>
      </w:r>
      <w:r w:rsidR="00AE037A">
        <w:rPr>
          <w:rFonts w:hint="cs"/>
          <w:szCs w:val="24"/>
          <w:rtl/>
        </w:rPr>
        <w:t>.</w:t>
      </w:r>
    </w:p>
    <w:p w:rsidR="008F0BA5" w:rsidRDefault="008F0BA5" w:rsidP="00BA5F9D">
      <w:pPr>
        <w:pStyle w:val="ae"/>
        <w:spacing w:line="360" w:lineRule="auto"/>
        <w:ind w:left="1080" w:right="-426"/>
        <w:jc w:val="both"/>
        <w:rPr>
          <w:szCs w:val="24"/>
          <w:rtl/>
        </w:rPr>
      </w:pPr>
    </w:p>
    <w:p w:rsidR="008F0BA5" w:rsidRPr="008F0BA5" w:rsidRDefault="008F0BA5" w:rsidP="00BA5F9D">
      <w:pPr>
        <w:pStyle w:val="ae"/>
        <w:numPr>
          <w:ilvl w:val="0"/>
          <w:numId w:val="21"/>
        </w:numPr>
        <w:spacing w:line="360" w:lineRule="auto"/>
        <w:ind w:right="-426"/>
        <w:jc w:val="both"/>
        <w:rPr>
          <w:b/>
          <w:bCs/>
          <w:szCs w:val="24"/>
        </w:rPr>
      </w:pPr>
      <w:r w:rsidRPr="008F0BA5">
        <w:rPr>
          <w:rFonts w:hint="cs"/>
          <w:b/>
          <w:bCs/>
          <w:szCs w:val="24"/>
          <w:rtl/>
        </w:rPr>
        <w:t xml:space="preserve">סודיות המידע המתקבל ברשות ההגבלים העסקיים </w:t>
      </w:r>
    </w:p>
    <w:p w:rsidR="00AC55DB" w:rsidRPr="009D571D" w:rsidRDefault="00141AFE" w:rsidP="00303231">
      <w:pPr>
        <w:pStyle w:val="ae"/>
        <w:spacing w:line="360" w:lineRule="auto"/>
        <w:ind w:left="1080" w:right="-426"/>
        <w:jc w:val="both"/>
        <w:rPr>
          <w:szCs w:val="24"/>
          <w:rtl/>
        </w:rPr>
      </w:pPr>
      <w:r>
        <w:rPr>
          <w:rFonts w:hint="cs"/>
          <w:szCs w:val="24"/>
          <w:rtl/>
        </w:rPr>
        <w:t>סעיף 46יא המוצע</w:t>
      </w:r>
      <w:r w:rsidR="009D571D">
        <w:rPr>
          <w:rFonts w:hint="cs"/>
          <w:szCs w:val="24"/>
          <w:rtl/>
        </w:rPr>
        <w:t xml:space="preserve"> כתיקון לחוק ההגבלים העסקיים, יחד עם התיקונים עקיפים ל</w:t>
      </w:r>
      <w:r w:rsidR="009D571D" w:rsidRPr="00E71001">
        <w:rPr>
          <w:rFonts w:hint="cs"/>
          <w:szCs w:val="24"/>
          <w:rtl/>
        </w:rPr>
        <w:t>חוק קידום התחרות בענף המזון, התשע"ד-2014</w:t>
      </w:r>
      <w:r w:rsidR="009D571D">
        <w:rPr>
          <w:rFonts w:hint="cs"/>
          <w:szCs w:val="24"/>
          <w:rtl/>
        </w:rPr>
        <w:t xml:space="preserve"> </w:t>
      </w:r>
      <w:r w:rsidR="009D571D" w:rsidRPr="00E71001">
        <w:rPr>
          <w:rFonts w:hint="cs"/>
          <w:szCs w:val="24"/>
          <w:rtl/>
        </w:rPr>
        <w:t>והחוק לקידום התחרות ולצמצום הריכוזיות, התשע"ד-2013</w:t>
      </w:r>
      <w:r w:rsidR="009D571D">
        <w:rPr>
          <w:rFonts w:hint="cs"/>
          <w:szCs w:val="24"/>
          <w:rtl/>
        </w:rPr>
        <w:t xml:space="preserve"> </w:t>
      </w:r>
      <w:r w:rsidR="0002744F">
        <w:rPr>
          <w:rFonts w:hint="cs"/>
          <w:szCs w:val="24"/>
          <w:rtl/>
        </w:rPr>
        <w:t xml:space="preserve">אשר </w:t>
      </w:r>
      <w:r w:rsidR="009D571D">
        <w:rPr>
          <w:rFonts w:hint="cs"/>
          <w:szCs w:val="24"/>
          <w:rtl/>
        </w:rPr>
        <w:t xml:space="preserve">בסעיפים 3 ו-4 לנוסח התזכיר, </w:t>
      </w:r>
      <w:r w:rsidR="00303231">
        <w:rPr>
          <w:rFonts w:hint="cs"/>
          <w:szCs w:val="24"/>
          <w:rtl/>
        </w:rPr>
        <w:t>עוסקים בהגנה על סודיות המידע המתקבל ברשות מפני גילוי</w:t>
      </w:r>
      <w:r w:rsidRPr="009D571D">
        <w:rPr>
          <w:rFonts w:hint="cs"/>
          <w:szCs w:val="24"/>
          <w:rtl/>
        </w:rPr>
        <w:t xml:space="preserve">. בדומה למצב ברשויות אכיפה כלכלית אחרות, דוגמת רשות ניירות ערך ורשות המיסים, יש אינטרס </w:t>
      </w:r>
      <w:r w:rsidR="00A17C78" w:rsidRPr="009D571D">
        <w:rPr>
          <w:rFonts w:hint="cs"/>
          <w:szCs w:val="24"/>
          <w:rtl/>
        </w:rPr>
        <w:t xml:space="preserve">ציבורי </w:t>
      </w:r>
      <w:r w:rsidRPr="009D571D">
        <w:rPr>
          <w:rFonts w:hint="cs"/>
          <w:szCs w:val="24"/>
          <w:rtl/>
        </w:rPr>
        <w:t xml:space="preserve">מיוחד בהגנה מחוזקת על המידע המתקבל ברשות מפני גילוי. </w:t>
      </w:r>
    </w:p>
    <w:p w:rsidR="009D571D" w:rsidRDefault="009D571D" w:rsidP="00BA5F9D">
      <w:pPr>
        <w:pStyle w:val="ae"/>
        <w:spacing w:line="360" w:lineRule="auto"/>
        <w:ind w:left="1080" w:right="-426"/>
        <w:jc w:val="both"/>
        <w:rPr>
          <w:szCs w:val="24"/>
          <w:rtl/>
        </w:rPr>
      </w:pPr>
    </w:p>
    <w:p w:rsidR="003F5DA4" w:rsidRPr="00AC55DB" w:rsidRDefault="00AC55DB" w:rsidP="00BA5F9D">
      <w:pPr>
        <w:pStyle w:val="ae"/>
        <w:spacing w:line="360" w:lineRule="auto"/>
        <w:ind w:left="1080" w:right="-426"/>
        <w:jc w:val="both"/>
        <w:rPr>
          <w:szCs w:val="24"/>
          <w:rtl/>
        </w:rPr>
      </w:pPr>
      <w:r>
        <w:rPr>
          <w:rFonts w:hint="cs"/>
          <w:szCs w:val="24"/>
          <w:rtl/>
        </w:rPr>
        <w:t xml:space="preserve">ראשית, ישנה חשיבות </w:t>
      </w:r>
      <w:r w:rsidR="00141AFE" w:rsidRPr="00AC55DB">
        <w:rPr>
          <w:rFonts w:hint="cs"/>
          <w:szCs w:val="24"/>
          <w:rtl/>
        </w:rPr>
        <w:t xml:space="preserve">רבה </w:t>
      </w:r>
      <w:r>
        <w:rPr>
          <w:rFonts w:hint="cs"/>
          <w:szCs w:val="24"/>
          <w:rtl/>
        </w:rPr>
        <w:t>להגנה על סודיות המידע</w:t>
      </w:r>
      <w:r w:rsidR="005923DB">
        <w:rPr>
          <w:rFonts w:hint="cs"/>
          <w:szCs w:val="24"/>
          <w:rtl/>
        </w:rPr>
        <w:t xml:space="preserve"> של צדדים שלישיים</w:t>
      </w:r>
      <w:r>
        <w:rPr>
          <w:rFonts w:hint="cs"/>
          <w:szCs w:val="24"/>
          <w:rtl/>
        </w:rPr>
        <w:t xml:space="preserve"> כדי לאפשר את </w:t>
      </w:r>
      <w:r w:rsidR="00141AFE" w:rsidRPr="00AC55DB">
        <w:rPr>
          <w:rFonts w:hint="cs"/>
          <w:szCs w:val="24"/>
          <w:rtl/>
        </w:rPr>
        <w:t>שיתוף הפעולה הנחוץ מכלל הגורמים הפועלים בשוק, כ</w:t>
      </w:r>
      <w:r w:rsidR="00A17C78" w:rsidRPr="00AC55DB">
        <w:rPr>
          <w:rFonts w:hint="cs"/>
          <w:szCs w:val="24"/>
          <w:rtl/>
        </w:rPr>
        <w:t>פי שכבר הוסבר לעיל</w:t>
      </w:r>
      <w:r w:rsidR="00141AFE" w:rsidRPr="00AC55DB">
        <w:rPr>
          <w:rFonts w:hint="cs"/>
          <w:szCs w:val="24"/>
          <w:rtl/>
        </w:rPr>
        <w:t xml:space="preserve">, על מנת שהרשות תוכל לגבש את תמונת עולם עובדתית מדויקת ככל האפשר כבסיס להחלטותיה. </w:t>
      </w:r>
      <w:r w:rsidR="00685BBE" w:rsidRPr="00AC55DB">
        <w:rPr>
          <w:rFonts w:hint="cs"/>
          <w:szCs w:val="24"/>
          <w:rtl/>
        </w:rPr>
        <w:t>בהקשר זה, חשוב להדגיש כי פעמים רבות הגופים מהם נאסף המידע הם "שחקנים חוזרים", במובן זה שעבודת הרשות מולם אינה חד-פעמית, ולכן ישנה חשיבות מיוחדת ביצירת בסיס בחוק שיאפשר וייתמוך ביחסי האמון הנחוצים.</w:t>
      </w:r>
    </w:p>
    <w:p w:rsidR="00437450" w:rsidRPr="00437450" w:rsidRDefault="00AC55DB" w:rsidP="00303231">
      <w:pPr>
        <w:pStyle w:val="ae"/>
        <w:spacing w:line="360" w:lineRule="auto"/>
        <w:ind w:left="1080" w:right="-426"/>
        <w:jc w:val="both"/>
        <w:rPr>
          <w:szCs w:val="24"/>
          <w:rtl/>
        </w:rPr>
      </w:pPr>
      <w:r>
        <w:rPr>
          <w:szCs w:val="24"/>
          <w:rtl/>
        </w:rPr>
        <w:lastRenderedPageBreak/>
        <w:br/>
      </w:r>
      <w:r w:rsidR="003F5DA4">
        <w:rPr>
          <w:rFonts w:hint="cs"/>
          <w:szCs w:val="24"/>
          <w:rtl/>
        </w:rPr>
        <w:t xml:space="preserve">לכך </w:t>
      </w:r>
      <w:r w:rsidR="003B34CF">
        <w:rPr>
          <w:rFonts w:hint="cs"/>
          <w:szCs w:val="24"/>
          <w:rtl/>
        </w:rPr>
        <w:t xml:space="preserve">יש להוסיף כי </w:t>
      </w:r>
      <w:r w:rsidR="0036095E">
        <w:rPr>
          <w:rFonts w:hint="cs"/>
          <w:szCs w:val="24"/>
          <w:rtl/>
        </w:rPr>
        <w:t>ה</w:t>
      </w:r>
      <w:r w:rsidR="003B34CF">
        <w:rPr>
          <w:rFonts w:hint="cs"/>
          <w:szCs w:val="24"/>
          <w:rtl/>
        </w:rPr>
        <w:t>מידע העסקי המתקבל ברשות לשם ביצוע משימותיה השונות, הוא יוצא דופן בהיקפו העצום כמו גם במידת רגישותו התחרותית</w:t>
      </w:r>
      <w:r w:rsidR="00767A05">
        <w:rPr>
          <w:rFonts w:hint="cs"/>
          <w:szCs w:val="24"/>
          <w:rtl/>
        </w:rPr>
        <w:t xml:space="preserve"> ו</w:t>
      </w:r>
      <w:r w:rsidR="0036095E">
        <w:rPr>
          <w:rFonts w:hint="cs"/>
          <w:szCs w:val="24"/>
          <w:rtl/>
        </w:rPr>
        <w:t>ה</w:t>
      </w:r>
      <w:r>
        <w:rPr>
          <w:rFonts w:hint="cs"/>
          <w:szCs w:val="24"/>
          <w:rtl/>
        </w:rPr>
        <w:t>מסחרית</w:t>
      </w:r>
      <w:r w:rsidR="00767A05">
        <w:rPr>
          <w:rFonts w:hint="cs"/>
          <w:szCs w:val="24"/>
          <w:rtl/>
        </w:rPr>
        <w:t>, ו</w:t>
      </w:r>
      <w:r w:rsidR="003B34CF">
        <w:rPr>
          <w:rFonts w:hint="cs"/>
          <w:szCs w:val="24"/>
          <w:rtl/>
        </w:rPr>
        <w:t xml:space="preserve">עשוי להיות </w:t>
      </w:r>
      <w:r w:rsidR="00A558B0">
        <w:rPr>
          <w:rFonts w:hint="cs"/>
          <w:szCs w:val="24"/>
          <w:rtl/>
        </w:rPr>
        <w:t xml:space="preserve">בעל </w:t>
      </w:r>
      <w:r w:rsidR="003B34CF">
        <w:rPr>
          <w:rFonts w:hint="cs"/>
          <w:szCs w:val="24"/>
          <w:rtl/>
        </w:rPr>
        <w:t xml:space="preserve">ערך רב עבור גורמים </w:t>
      </w:r>
      <w:r w:rsidR="00767A05">
        <w:rPr>
          <w:rFonts w:hint="cs"/>
          <w:szCs w:val="24"/>
          <w:rtl/>
        </w:rPr>
        <w:t>עסקיים</w:t>
      </w:r>
      <w:r w:rsidR="003B34CF">
        <w:rPr>
          <w:rFonts w:hint="cs"/>
          <w:szCs w:val="24"/>
          <w:rtl/>
        </w:rPr>
        <w:t>. מכאן עולה חשש</w:t>
      </w:r>
      <w:r w:rsidR="00303231">
        <w:rPr>
          <w:rFonts w:hint="cs"/>
          <w:szCs w:val="24"/>
          <w:rtl/>
        </w:rPr>
        <w:t>, למשל,</w:t>
      </w:r>
      <w:r w:rsidR="003B34CF">
        <w:rPr>
          <w:rFonts w:hint="cs"/>
          <w:szCs w:val="24"/>
          <w:rtl/>
        </w:rPr>
        <w:t xml:space="preserve"> כי </w:t>
      </w:r>
      <w:r w:rsidR="00303231">
        <w:rPr>
          <w:rFonts w:hint="cs"/>
          <w:szCs w:val="24"/>
          <w:rtl/>
        </w:rPr>
        <w:t>ייעשה שימוש ב</w:t>
      </w:r>
      <w:r w:rsidR="003B34CF">
        <w:rPr>
          <w:rFonts w:hint="cs"/>
          <w:szCs w:val="24"/>
          <w:rtl/>
        </w:rPr>
        <w:t xml:space="preserve">בקשות לפי חוק חופש המידע </w:t>
      </w:r>
      <w:r w:rsidR="00303231" w:rsidRPr="009D571D">
        <w:rPr>
          <w:rFonts w:hint="cs"/>
          <w:szCs w:val="24"/>
          <w:rtl/>
        </w:rPr>
        <w:t>התשנ"ח-1998 (להלן: "חוק חופש המידע")</w:t>
      </w:r>
      <w:r w:rsidR="00303231">
        <w:rPr>
          <w:rFonts w:hint="cs"/>
          <w:szCs w:val="24"/>
          <w:rtl/>
        </w:rPr>
        <w:t xml:space="preserve"> כ</w:t>
      </w:r>
      <w:r w:rsidR="003B34CF">
        <w:rPr>
          <w:rFonts w:hint="cs"/>
          <w:szCs w:val="24"/>
          <w:rtl/>
        </w:rPr>
        <w:t xml:space="preserve">ערוץ לאיסוף מידע </w:t>
      </w:r>
      <w:r w:rsidR="00303231">
        <w:rPr>
          <w:rFonts w:hint="cs"/>
          <w:szCs w:val="24"/>
          <w:rtl/>
        </w:rPr>
        <w:t xml:space="preserve">אשר התקבל ברשות מגורמים חיצוניים </w:t>
      </w:r>
      <w:r w:rsidR="003B34CF">
        <w:rPr>
          <w:rFonts w:hint="cs"/>
          <w:szCs w:val="24"/>
          <w:rtl/>
        </w:rPr>
        <w:t xml:space="preserve">לשם השגת יתרון עסקי </w:t>
      </w:r>
      <w:r w:rsidR="003B34CF">
        <w:rPr>
          <w:szCs w:val="24"/>
          <w:rtl/>
        </w:rPr>
        <w:t>–</w:t>
      </w:r>
      <w:r w:rsidR="003B34CF">
        <w:rPr>
          <w:rFonts w:hint="cs"/>
          <w:szCs w:val="24"/>
          <w:rtl/>
        </w:rPr>
        <w:t xml:space="preserve"> </w:t>
      </w:r>
      <w:r w:rsidR="00437450">
        <w:rPr>
          <w:rFonts w:hint="cs"/>
          <w:szCs w:val="24"/>
          <w:rtl/>
        </w:rPr>
        <w:t xml:space="preserve">מטרה שאין לה דבר וחצי דבר עם התכליות </w:t>
      </w:r>
      <w:r w:rsidR="00A6450F">
        <w:rPr>
          <w:rFonts w:hint="cs"/>
          <w:szCs w:val="24"/>
          <w:rtl/>
        </w:rPr>
        <w:t xml:space="preserve">שבבסיס חוק חופש המידע: </w:t>
      </w:r>
      <w:r w:rsidR="00437450">
        <w:rPr>
          <w:rFonts w:hint="cs"/>
          <w:szCs w:val="24"/>
          <w:rtl/>
        </w:rPr>
        <w:t>מימוש חופש הביטוי וזכות הציבור לדעת, ביקורת ופיקוח על עבודת רשויות השלטון, הבטחת אמון הציבור במערכות השלטון, ו</w:t>
      </w:r>
      <w:r w:rsidR="00CE25F5">
        <w:rPr>
          <w:rFonts w:hint="cs"/>
          <w:szCs w:val="24"/>
          <w:rtl/>
        </w:rPr>
        <w:t xml:space="preserve">מימוש </w:t>
      </w:r>
      <w:r w:rsidR="00437450">
        <w:rPr>
          <w:rFonts w:hint="cs"/>
          <w:szCs w:val="24"/>
          <w:rtl/>
        </w:rPr>
        <w:t>קניינו של הציבור במידע הציבורי. (לעניין תכליות חוק חופש המידע, ראו</w:t>
      </w:r>
      <w:r w:rsidR="004A488E">
        <w:rPr>
          <w:rFonts w:hint="cs"/>
          <w:szCs w:val="24"/>
          <w:rtl/>
        </w:rPr>
        <w:t>,</w:t>
      </w:r>
      <w:r w:rsidR="003D3B12">
        <w:rPr>
          <w:rFonts w:hint="cs"/>
          <w:szCs w:val="24"/>
          <w:rtl/>
        </w:rPr>
        <w:t xml:space="preserve"> למשל</w:t>
      </w:r>
      <w:r w:rsidR="004A488E">
        <w:rPr>
          <w:rFonts w:hint="cs"/>
          <w:szCs w:val="24"/>
          <w:rtl/>
        </w:rPr>
        <w:t>,</w:t>
      </w:r>
      <w:r w:rsidR="00437450">
        <w:rPr>
          <w:rFonts w:hint="cs"/>
          <w:szCs w:val="24"/>
          <w:rtl/>
        </w:rPr>
        <w:t xml:space="preserve"> עע"מ 3908/11 </w:t>
      </w:r>
      <w:r w:rsidR="00437450" w:rsidRPr="00437450">
        <w:rPr>
          <w:rFonts w:hint="cs"/>
          <w:szCs w:val="24"/>
          <w:u w:val="single"/>
          <w:rtl/>
        </w:rPr>
        <w:t>מדינת ישראל הנהלת בתי המשפט נ' עיתון דה מרקר באמצעות עיתון הארץ</w:t>
      </w:r>
      <w:r w:rsidR="00437450">
        <w:rPr>
          <w:rFonts w:hint="cs"/>
          <w:szCs w:val="24"/>
          <w:u w:val="single"/>
          <w:rtl/>
        </w:rPr>
        <w:t xml:space="preserve"> בע"מ</w:t>
      </w:r>
      <w:r w:rsidR="00437450">
        <w:rPr>
          <w:rFonts w:hint="cs"/>
          <w:szCs w:val="24"/>
          <w:rtl/>
        </w:rPr>
        <w:t xml:space="preserve"> (12.7.11), </w:t>
      </w:r>
      <w:r w:rsidR="003D3B12">
        <w:rPr>
          <w:rFonts w:hint="cs"/>
          <w:szCs w:val="24"/>
          <w:rtl/>
        </w:rPr>
        <w:t>פסקאות 21-22 לפסק דינה של כבוד השופטת ארבל)</w:t>
      </w:r>
      <w:r w:rsidR="00A6450F">
        <w:rPr>
          <w:rFonts w:hint="cs"/>
          <w:szCs w:val="24"/>
          <w:rtl/>
        </w:rPr>
        <w:t xml:space="preserve">. </w:t>
      </w:r>
    </w:p>
    <w:p w:rsidR="00E42935" w:rsidRDefault="00E42935" w:rsidP="00BA5F9D">
      <w:pPr>
        <w:pStyle w:val="ae"/>
        <w:spacing w:line="360" w:lineRule="auto"/>
        <w:ind w:left="1080" w:right="-426"/>
        <w:jc w:val="both"/>
        <w:rPr>
          <w:szCs w:val="24"/>
          <w:rtl/>
        </w:rPr>
      </w:pPr>
    </w:p>
    <w:p w:rsidR="00163EEF" w:rsidRDefault="008257F7" w:rsidP="00BA5F9D">
      <w:pPr>
        <w:pStyle w:val="ae"/>
        <w:spacing w:line="360" w:lineRule="auto"/>
        <w:ind w:left="1080" w:right="-426"/>
        <w:jc w:val="both"/>
        <w:rPr>
          <w:szCs w:val="24"/>
          <w:rtl/>
        </w:rPr>
      </w:pPr>
      <w:r>
        <w:rPr>
          <w:rFonts w:hint="cs"/>
          <w:szCs w:val="24"/>
          <w:rtl/>
        </w:rPr>
        <w:t xml:space="preserve">מאפיינים אלה של עבודת </w:t>
      </w:r>
      <w:r w:rsidR="00176D84">
        <w:rPr>
          <w:rFonts w:hint="cs"/>
          <w:szCs w:val="24"/>
          <w:rtl/>
        </w:rPr>
        <w:t>הרשות</w:t>
      </w:r>
      <w:r>
        <w:rPr>
          <w:rFonts w:hint="cs"/>
          <w:szCs w:val="24"/>
          <w:rtl/>
        </w:rPr>
        <w:t xml:space="preserve"> והמידע הנאסף בה, מצדיקים </w:t>
      </w:r>
      <w:r w:rsidR="00A17C78">
        <w:rPr>
          <w:rFonts w:hint="cs"/>
          <w:szCs w:val="24"/>
          <w:rtl/>
        </w:rPr>
        <w:t xml:space="preserve">כי </w:t>
      </w:r>
      <w:r>
        <w:rPr>
          <w:rFonts w:hint="cs"/>
          <w:szCs w:val="24"/>
          <w:rtl/>
        </w:rPr>
        <w:t xml:space="preserve">נקודת </w:t>
      </w:r>
      <w:r w:rsidR="00A17C78">
        <w:rPr>
          <w:rFonts w:hint="cs"/>
          <w:szCs w:val="24"/>
          <w:rtl/>
        </w:rPr>
        <w:t>ה</w:t>
      </w:r>
      <w:r>
        <w:rPr>
          <w:rFonts w:hint="cs"/>
          <w:szCs w:val="24"/>
          <w:rtl/>
        </w:rPr>
        <w:t xml:space="preserve">איזון בין אינטרס הציבור בנגישות למידע </w:t>
      </w:r>
      <w:r w:rsidR="00303231">
        <w:rPr>
          <w:rFonts w:hint="cs"/>
          <w:szCs w:val="24"/>
          <w:rtl/>
        </w:rPr>
        <w:t xml:space="preserve">שהתקבל ברשות </w:t>
      </w:r>
      <w:r>
        <w:rPr>
          <w:rFonts w:hint="cs"/>
          <w:szCs w:val="24"/>
          <w:rtl/>
        </w:rPr>
        <w:t>, לבין אינטרס הציבור בשמירה על סודיות המידע</w:t>
      </w:r>
      <w:r w:rsidR="00A17C78">
        <w:rPr>
          <w:rFonts w:hint="cs"/>
          <w:szCs w:val="24"/>
          <w:rtl/>
        </w:rPr>
        <w:t>, תיט</w:t>
      </w:r>
      <w:r w:rsidR="00A17C78">
        <w:rPr>
          <w:rFonts w:hint="eastAsia"/>
          <w:szCs w:val="24"/>
          <w:rtl/>
        </w:rPr>
        <w:t>ה</w:t>
      </w:r>
      <w:r w:rsidR="00A17C78">
        <w:rPr>
          <w:rFonts w:hint="cs"/>
          <w:szCs w:val="24"/>
          <w:rtl/>
        </w:rPr>
        <w:t xml:space="preserve"> יותר לטובת אינטרס השמירה על סודיות המידע, לעומת ההסדר הכללי שבחוק חופש המידע</w:t>
      </w:r>
      <w:r>
        <w:rPr>
          <w:rFonts w:hint="cs"/>
          <w:szCs w:val="24"/>
          <w:rtl/>
        </w:rPr>
        <w:t xml:space="preserve">. </w:t>
      </w:r>
    </w:p>
    <w:p w:rsidR="00E42935" w:rsidRDefault="00E42935" w:rsidP="00BA5F9D">
      <w:pPr>
        <w:pStyle w:val="ae"/>
        <w:spacing w:line="360" w:lineRule="auto"/>
        <w:ind w:left="1080" w:right="-426"/>
        <w:jc w:val="both"/>
        <w:rPr>
          <w:szCs w:val="24"/>
          <w:rtl/>
        </w:rPr>
      </w:pPr>
    </w:p>
    <w:p w:rsidR="006C6A69" w:rsidRDefault="006C6A69" w:rsidP="00BA5F9D">
      <w:pPr>
        <w:pStyle w:val="ae"/>
        <w:spacing w:line="360" w:lineRule="auto"/>
        <w:ind w:left="1080" w:right="-426"/>
        <w:jc w:val="both"/>
        <w:rPr>
          <w:szCs w:val="24"/>
          <w:rtl/>
        </w:rPr>
      </w:pPr>
      <w:r>
        <w:rPr>
          <w:rFonts w:hint="cs"/>
          <w:szCs w:val="24"/>
          <w:rtl/>
        </w:rPr>
        <w:t xml:space="preserve">על כן, סעיף קטן (א) קובע כי ככלל, אין לגלות מידע המתקבל ברשות תוך כדי מילוי תפקידיה על פי דין. כלל זה אינו חל ביחס לגילוי לצורך הליך פלילי, גילוי </w:t>
      </w:r>
      <w:r w:rsidRPr="006C6A69">
        <w:rPr>
          <w:rFonts w:hint="cs"/>
          <w:szCs w:val="24"/>
          <w:rtl/>
        </w:rPr>
        <w:t xml:space="preserve">לפי דרישה של היועץ המשפטי </w:t>
      </w:r>
      <w:r>
        <w:rPr>
          <w:rFonts w:hint="cs"/>
          <w:szCs w:val="24"/>
          <w:rtl/>
        </w:rPr>
        <w:t xml:space="preserve">לממשלה, בית דין או בית משפט, </w:t>
      </w:r>
      <w:r w:rsidRPr="006C6A69">
        <w:rPr>
          <w:rFonts w:hint="cs"/>
          <w:szCs w:val="24"/>
          <w:rtl/>
        </w:rPr>
        <w:t>גילוי ידיעה שהיא נחלת הכלל</w:t>
      </w:r>
      <w:r>
        <w:rPr>
          <w:rFonts w:hint="cs"/>
          <w:szCs w:val="24"/>
          <w:rtl/>
        </w:rPr>
        <w:t>, וכן ביחס ל</w:t>
      </w:r>
      <w:r w:rsidRPr="006C6A69">
        <w:rPr>
          <w:rFonts w:hint="cs"/>
          <w:szCs w:val="24"/>
          <w:rtl/>
        </w:rPr>
        <w:t xml:space="preserve">גילוי, פרסום או מתן הודעה לפי חוק </w:t>
      </w:r>
      <w:r>
        <w:rPr>
          <w:rFonts w:hint="cs"/>
          <w:szCs w:val="24"/>
          <w:rtl/>
        </w:rPr>
        <w:t>ההגבלים העסקיים</w:t>
      </w:r>
      <w:r w:rsidR="00B813E3">
        <w:rPr>
          <w:rFonts w:hint="cs"/>
          <w:szCs w:val="24"/>
          <w:rtl/>
        </w:rPr>
        <w:t xml:space="preserve"> (למשל, במסגרת זכות העיון של מי שזכאי לערור על החלטת הממונה לפי סעיפים 37א-37ה המוצעים לעיל)</w:t>
      </w:r>
      <w:r>
        <w:rPr>
          <w:rFonts w:hint="cs"/>
          <w:szCs w:val="24"/>
          <w:rtl/>
        </w:rPr>
        <w:t>.</w:t>
      </w:r>
    </w:p>
    <w:p w:rsidR="00E42935" w:rsidRDefault="00E42935" w:rsidP="00BA5F9D">
      <w:pPr>
        <w:pStyle w:val="ae"/>
        <w:spacing w:line="360" w:lineRule="auto"/>
        <w:ind w:left="1080" w:right="-426"/>
        <w:jc w:val="both"/>
        <w:rPr>
          <w:szCs w:val="24"/>
          <w:rtl/>
        </w:rPr>
      </w:pPr>
    </w:p>
    <w:p w:rsidR="00447551" w:rsidRDefault="00447551" w:rsidP="00BA5F9D">
      <w:pPr>
        <w:pStyle w:val="ae"/>
        <w:spacing w:line="360" w:lineRule="auto"/>
        <w:ind w:left="1080" w:right="-426"/>
        <w:jc w:val="both"/>
        <w:rPr>
          <w:szCs w:val="24"/>
          <w:rtl/>
        </w:rPr>
      </w:pPr>
      <w:r>
        <w:rPr>
          <w:rFonts w:hint="cs"/>
          <w:szCs w:val="24"/>
          <w:rtl/>
        </w:rPr>
        <w:t>סעיף קטן (ב) מתיר לממונה</w:t>
      </w:r>
      <w:r w:rsidR="008C7147">
        <w:rPr>
          <w:rFonts w:hint="cs"/>
          <w:szCs w:val="24"/>
          <w:rtl/>
        </w:rPr>
        <w:t xml:space="preserve"> ולמי שהסמי</w:t>
      </w:r>
      <w:r w:rsidR="00E71001">
        <w:rPr>
          <w:rFonts w:hint="cs"/>
          <w:szCs w:val="24"/>
          <w:rtl/>
        </w:rPr>
        <w:t>כה</w:t>
      </w:r>
      <w:r w:rsidR="008C7147">
        <w:rPr>
          <w:rFonts w:hint="cs"/>
          <w:szCs w:val="24"/>
          <w:rtl/>
        </w:rPr>
        <w:t xml:space="preserve"> לכך </w:t>
      </w:r>
      <w:r>
        <w:rPr>
          <w:rFonts w:hint="cs"/>
          <w:szCs w:val="24"/>
          <w:rtl/>
        </w:rPr>
        <w:t xml:space="preserve">לגלות מידע מקום בו הדבר נדרש </w:t>
      </w:r>
      <w:r w:rsidR="008C7147">
        <w:rPr>
          <w:rFonts w:hint="cs"/>
          <w:szCs w:val="24"/>
          <w:rtl/>
        </w:rPr>
        <w:t>במהלך הפעלת סמכויות הממונה</w:t>
      </w:r>
      <w:r>
        <w:rPr>
          <w:rFonts w:hint="cs"/>
          <w:szCs w:val="24"/>
          <w:rtl/>
        </w:rPr>
        <w:t xml:space="preserve"> </w:t>
      </w:r>
      <w:r w:rsidR="008C7147" w:rsidRPr="008C7147">
        <w:rPr>
          <w:szCs w:val="24"/>
          <w:rtl/>
        </w:rPr>
        <w:t xml:space="preserve">לפי כל דין </w:t>
      </w:r>
      <w:r w:rsidR="008C7147">
        <w:rPr>
          <w:rFonts w:hint="cs"/>
          <w:szCs w:val="24"/>
          <w:rtl/>
        </w:rPr>
        <w:t>(</w:t>
      </w:r>
      <w:r w:rsidR="00482081">
        <w:rPr>
          <w:rFonts w:hint="cs"/>
          <w:szCs w:val="24"/>
          <w:rtl/>
        </w:rPr>
        <w:t>למשל, כחלק מנימוקי ה</w:t>
      </w:r>
      <w:r>
        <w:rPr>
          <w:rFonts w:hint="cs"/>
          <w:szCs w:val="24"/>
          <w:rtl/>
        </w:rPr>
        <w:t>חלטה לפי חוק ההגבלים העסקיים</w:t>
      </w:r>
      <w:r w:rsidR="008C7147">
        <w:rPr>
          <w:rFonts w:hint="cs"/>
          <w:szCs w:val="24"/>
          <w:rtl/>
        </w:rPr>
        <w:t xml:space="preserve">), </w:t>
      </w:r>
      <w:r w:rsidR="008C7147" w:rsidRPr="008C7147">
        <w:rPr>
          <w:szCs w:val="24"/>
          <w:rtl/>
        </w:rPr>
        <w:t>או לקידום תכליתו של אותו דין</w:t>
      </w:r>
      <w:r w:rsidR="008C7147">
        <w:rPr>
          <w:rFonts w:hint="cs"/>
          <w:szCs w:val="24"/>
          <w:rtl/>
        </w:rPr>
        <w:t>. כמו כן, ניתן יהיה לגלו</w:t>
      </w:r>
      <w:r w:rsidR="00B47366">
        <w:rPr>
          <w:rFonts w:hint="cs"/>
          <w:szCs w:val="24"/>
          <w:rtl/>
        </w:rPr>
        <w:t xml:space="preserve">ת את המידע מקום </w:t>
      </w:r>
      <w:r w:rsidR="008C7147">
        <w:rPr>
          <w:rFonts w:hint="cs"/>
          <w:szCs w:val="24"/>
          <w:rtl/>
        </w:rPr>
        <w:t>בו טעמים של טובת הציבור ב</w:t>
      </w:r>
      <w:r w:rsidR="008C7147" w:rsidRPr="008C7147">
        <w:rPr>
          <w:rFonts w:hint="cs"/>
          <w:szCs w:val="24"/>
          <w:rtl/>
        </w:rPr>
        <w:t>גילוי המידע גובר</w:t>
      </w:r>
      <w:r w:rsidR="008C7147">
        <w:rPr>
          <w:rFonts w:hint="cs"/>
          <w:szCs w:val="24"/>
          <w:rtl/>
        </w:rPr>
        <w:t>ים</w:t>
      </w:r>
      <w:r w:rsidR="008C7147" w:rsidRPr="008C7147">
        <w:rPr>
          <w:rFonts w:hint="cs"/>
          <w:szCs w:val="24"/>
          <w:rtl/>
        </w:rPr>
        <w:t xml:space="preserve"> על הטעמים לאי-גילויו.</w:t>
      </w:r>
      <w:r w:rsidR="00B47366">
        <w:rPr>
          <w:rFonts w:hint="cs"/>
          <w:szCs w:val="24"/>
          <w:rtl/>
        </w:rPr>
        <w:t xml:space="preserve"> הסעיף מבהיר כי הממונה רשאי</w:t>
      </w:r>
      <w:r w:rsidR="00E71001">
        <w:rPr>
          <w:rFonts w:hint="cs"/>
          <w:szCs w:val="24"/>
          <w:rtl/>
        </w:rPr>
        <w:t>ת</w:t>
      </w:r>
      <w:r w:rsidR="00B47366">
        <w:rPr>
          <w:rFonts w:hint="cs"/>
          <w:szCs w:val="24"/>
          <w:rtl/>
        </w:rPr>
        <w:t xml:space="preserve"> לקבוע את היקף הגילוי ואת האופן שבו ייעשה. ברור כי מקום בו הגילוי נעשה תוך </w:t>
      </w:r>
      <w:r w:rsidR="00B47366" w:rsidRPr="00B47366">
        <w:rPr>
          <w:szCs w:val="24"/>
          <w:rtl/>
        </w:rPr>
        <w:t>השמטת פרטים</w:t>
      </w:r>
      <w:r w:rsidR="00B47366">
        <w:rPr>
          <w:rFonts w:hint="cs"/>
          <w:szCs w:val="24"/>
          <w:rtl/>
        </w:rPr>
        <w:t xml:space="preserve"> או</w:t>
      </w:r>
      <w:r w:rsidR="00B47366" w:rsidRPr="00B47366">
        <w:rPr>
          <w:szCs w:val="24"/>
          <w:rtl/>
        </w:rPr>
        <w:t xml:space="preserve"> עריכת שינויים או תוך התניית תנאים בדבר דרך קבלת המידע והשימוש בו, </w:t>
      </w:r>
      <w:r w:rsidR="00B47366">
        <w:rPr>
          <w:rFonts w:hint="cs"/>
          <w:szCs w:val="24"/>
          <w:rtl/>
        </w:rPr>
        <w:t>על הרשות לציין זאת</w:t>
      </w:r>
      <w:r w:rsidR="00B47366" w:rsidRPr="00B47366">
        <w:rPr>
          <w:szCs w:val="24"/>
          <w:rtl/>
        </w:rPr>
        <w:t xml:space="preserve">, אלא אם כן אין לגלות עובדה זו, מהטעמים המפורטים בסעיף </w:t>
      </w:r>
      <w:r w:rsidR="00397015">
        <w:rPr>
          <w:szCs w:val="24"/>
          <w:rtl/>
        </w:rPr>
        <w:t>9</w:t>
      </w:r>
      <w:r w:rsidR="00397015">
        <w:rPr>
          <w:rFonts w:hint="cs"/>
          <w:szCs w:val="24"/>
          <w:rtl/>
        </w:rPr>
        <w:t>(א)(1)</w:t>
      </w:r>
      <w:r w:rsidR="00676515">
        <w:rPr>
          <w:rFonts w:hint="cs"/>
          <w:szCs w:val="24"/>
          <w:rtl/>
        </w:rPr>
        <w:t xml:space="preserve"> לחוק חופש המידע</w:t>
      </w:r>
      <w:r w:rsidR="00B47366" w:rsidRPr="00B47366">
        <w:rPr>
          <w:szCs w:val="24"/>
        </w:rPr>
        <w:t>.</w:t>
      </w:r>
    </w:p>
    <w:p w:rsidR="002B185B" w:rsidRDefault="002B185B" w:rsidP="00BA5F9D">
      <w:pPr>
        <w:pStyle w:val="ae"/>
        <w:spacing w:line="360" w:lineRule="auto"/>
        <w:ind w:left="1080" w:right="-426"/>
        <w:jc w:val="both"/>
        <w:rPr>
          <w:szCs w:val="24"/>
          <w:rtl/>
        </w:rPr>
      </w:pPr>
    </w:p>
    <w:p w:rsidR="008A6EAB" w:rsidRPr="003C36F2" w:rsidRDefault="008A6EAB" w:rsidP="00BA5F9D">
      <w:pPr>
        <w:pStyle w:val="ae"/>
        <w:numPr>
          <w:ilvl w:val="0"/>
          <w:numId w:val="5"/>
        </w:numPr>
        <w:ind w:right="-426"/>
        <w:jc w:val="both"/>
        <w:rPr>
          <w:b/>
          <w:bCs/>
          <w:szCs w:val="24"/>
          <w:u w:val="single"/>
        </w:rPr>
      </w:pPr>
      <w:r w:rsidRPr="003C36F2">
        <w:rPr>
          <w:b/>
          <w:bCs/>
          <w:szCs w:val="24"/>
          <w:u w:val="single"/>
          <w:rtl/>
        </w:rPr>
        <w:t>השפעת החוק המוצע על החוק הקיים:</w:t>
      </w:r>
    </w:p>
    <w:p w:rsidR="008A6EAB" w:rsidRPr="003C36F2" w:rsidRDefault="00137C89" w:rsidP="00BA5F9D">
      <w:pPr>
        <w:spacing w:line="360" w:lineRule="auto"/>
        <w:ind w:left="720" w:right="-426" w:firstLine="0"/>
        <w:rPr>
          <w:rFonts w:cs="David"/>
          <w:sz w:val="24"/>
          <w:szCs w:val="24"/>
          <w:rtl/>
        </w:rPr>
      </w:pPr>
      <w:r w:rsidRPr="003C36F2">
        <w:rPr>
          <w:rFonts w:cs="David" w:hint="cs"/>
          <w:sz w:val="24"/>
          <w:szCs w:val="24"/>
          <w:rtl/>
        </w:rPr>
        <w:t>יתוק</w:t>
      </w:r>
      <w:r w:rsidR="00E71001">
        <w:rPr>
          <w:rFonts w:cs="David" w:hint="cs"/>
          <w:sz w:val="24"/>
          <w:szCs w:val="24"/>
          <w:rtl/>
        </w:rPr>
        <w:t>נו</w:t>
      </w:r>
      <w:r w:rsidRPr="003C36F2">
        <w:rPr>
          <w:rFonts w:cs="David"/>
          <w:sz w:val="24"/>
          <w:szCs w:val="24"/>
          <w:rtl/>
        </w:rPr>
        <w:t xml:space="preserve"> </w:t>
      </w:r>
      <w:r w:rsidRPr="003C36F2">
        <w:rPr>
          <w:rFonts w:cs="David" w:hint="cs"/>
          <w:sz w:val="24"/>
          <w:szCs w:val="24"/>
          <w:rtl/>
        </w:rPr>
        <w:t>חוק</w:t>
      </w:r>
      <w:r w:rsidRPr="003C36F2">
        <w:rPr>
          <w:rFonts w:cs="David"/>
          <w:sz w:val="24"/>
          <w:szCs w:val="24"/>
          <w:rtl/>
        </w:rPr>
        <w:t xml:space="preserve"> </w:t>
      </w:r>
      <w:r w:rsidR="00FD45C0" w:rsidRPr="003C36F2">
        <w:rPr>
          <w:rFonts w:cs="David" w:hint="cs"/>
          <w:sz w:val="24"/>
          <w:szCs w:val="24"/>
          <w:rtl/>
        </w:rPr>
        <w:t>ההגבלים</w:t>
      </w:r>
      <w:r w:rsidR="00FD45C0" w:rsidRPr="003C36F2">
        <w:rPr>
          <w:rFonts w:cs="David"/>
          <w:sz w:val="24"/>
          <w:szCs w:val="24"/>
          <w:rtl/>
        </w:rPr>
        <w:t xml:space="preserve"> </w:t>
      </w:r>
      <w:r w:rsidR="00FD45C0" w:rsidRPr="003C36F2">
        <w:rPr>
          <w:rFonts w:cs="David" w:hint="cs"/>
          <w:sz w:val="24"/>
          <w:szCs w:val="24"/>
          <w:rtl/>
        </w:rPr>
        <w:t>העסקיים</w:t>
      </w:r>
      <w:r w:rsidR="00FD45C0" w:rsidRPr="003C36F2">
        <w:rPr>
          <w:rFonts w:cs="David"/>
          <w:sz w:val="24"/>
          <w:szCs w:val="24"/>
          <w:rtl/>
        </w:rPr>
        <w:t xml:space="preserve">, </w:t>
      </w:r>
      <w:r w:rsidR="00FD45C0" w:rsidRPr="003C36F2">
        <w:rPr>
          <w:rFonts w:cs="David" w:hint="cs"/>
          <w:sz w:val="24"/>
          <w:szCs w:val="24"/>
          <w:rtl/>
        </w:rPr>
        <w:t>התשמ</w:t>
      </w:r>
      <w:r w:rsidR="00FD45C0" w:rsidRPr="003C36F2">
        <w:rPr>
          <w:rFonts w:cs="David"/>
          <w:sz w:val="24"/>
          <w:szCs w:val="24"/>
          <w:rtl/>
        </w:rPr>
        <w:t>"</w:t>
      </w:r>
      <w:r w:rsidR="00FD45C0" w:rsidRPr="003C36F2">
        <w:rPr>
          <w:rFonts w:cs="David" w:hint="cs"/>
          <w:sz w:val="24"/>
          <w:szCs w:val="24"/>
          <w:rtl/>
        </w:rPr>
        <w:t>ח</w:t>
      </w:r>
      <w:r w:rsidR="00FD45C0" w:rsidRPr="003C36F2">
        <w:rPr>
          <w:rFonts w:cs="David"/>
          <w:sz w:val="24"/>
          <w:szCs w:val="24"/>
          <w:rtl/>
        </w:rPr>
        <w:t>-1988</w:t>
      </w:r>
      <w:r w:rsidR="00E71001">
        <w:rPr>
          <w:rFonts w:cs="David" w:hint="cs"/>
          <w:sz w:val="24"/>
          <w:szCs w:val="24"/>
          <w:rtl/>
        </w:rPr>
        <w:t xml:space="preserve">, </w:t>
      </w:r>
      <w:r w:rsidR="00E71001" w:rsidRPr="00E71001">
        <w:rPr>
          <w:rFonts w:cs="David" w:hint="cs"/>
          <w:sz w:val="24"/>
          <w:szCs w:val="24"/>
          <w:rtl/>
        </w:rPr>
        <w:t>חוק קידום התחרות בענף המזון, התשע"ד-2014</w:t>
      </w:r>
      <w:r w:rsidR="00A309C7">
        <w:rPr>
          <w:rFonts w:cs="David" w:hint="cs"/>
          <w:sz w:val="24"/>
          <w:szCs w:val="24"/>
          <w:rtl/>
        </w:rPr>
        <w:t xml:space="preserve"> </w:t>
      </w:r>
      <w:r w:rsidR="00E71001">
        <w:rPr>
          <w:rFonts w:cs="David" w:hint="cs"/>
          <w:sz w:val="24"/>
          <w:szCs w:val="24"/>
          <w:rtl/>
        </w:rPr>
        <w:t xml:space="preserve"> </w:t>
      </w:r>
      <w:r w:rsidR="00E71001" w:rsidRPr="00E71001">
        <w:rPr>
          <w:rFonts w:cs="David" w:hint="cs"/>
          <w:sz w:val="24"/>
          <w:szCs w:val="24"/>
          <w:rtl/>
        </w:rPr>
        <w:t>והחוק לקידום התחרות ולצמצום הריכוזיות, התשע"ד-</w:t>
      </w:r>
      <w:r w:rsidR="00E71001">
        <w:rPr>
          <w:rFonts w:cs="David" w:hint="cs"/>
          <w:sz w:val="24"/>
          <w:szCs w:val="24"/>
          <w:rtl/>
        </w:rPr>
        <w:t xml:space="preserve"> </w:t>
      </w:r>
      <w:r w:rsidR="00E71001" w:rsidRPr="00E71001">
        <w:rPr>
          <w:rFonts w:cs="David" w:hint="cs"/>
          <w:sz w:val="24"/>
          <w:szCs w:val="24"/>
          <w:rtl/>
        </w:rPr>
        <w:t>2013</w:t>
      </w:r>
      <w:r w:rsidR="00E71001">
        <w:rPr>
          <w:rFonts w:cs="David" w:hint="cs"/>
          <w:sz w:val="24"/>
          <w:szCs w:val="24"/>
          <w:rtl/>
        </w:rPr>
        <w:t xml:space="preserve">, </w:t>
      </w:r>
      <w:r w:rsidR="00A309C7">
        <w:rPr>
          <w:rFonts w:cs="David" w:hint="cs"/>
          <w:sz w:val="24"/>
          <w:szCs w:val="24"/>
          <w:rtl/>
        </w:rPr>
        <w:t>כמתואר בתזכיר זה</w:t>
      </w:r>
      <w:r w:rsidRPr="003C36F2">
        <w:rPr>
          <w:rFonts w:cs="David"/>
          <w:sz w:val="24"/>
          <w:szCs w:val="24"/>
          <w:rtl/>
        </w:rPr>
        <w:t>.</w:t>
      </w:r>
    </w:p>
    <w:p w:rsidR="004311E2" w:rsidRPr="003C36F2" w:rsidRDefault="004311E2" w:rsidP="00BA5F9D">
      <w:pPr>
        <w:ind w:right="-426" w:firstLine="0"/>
        <w:rPr>
          <w:rFonts w:cs="David"/>
          <w:sz w:val="24"/>
          <w:szCs w:val="24"/>
          <w:rtl/>
        </w:rPr>
      </w:pPr>
    </w:p>
    <w:p w:rsidR="008A6EAB" w:rsidRPr="003C36F2" w:rsidRDefault="008A6EAB" w:rsidP="00BA5F9D">
      <w:pPr>
        <w:pStyle w:val="ae"/>
        <w:numPr>
          <w:ilvl w:val="0"/>
          <w:numId w:val="5"/>
        </w:numPr>
        <w:ind w:right="-426"/>
        <w:jc w:val="both"/>
        <w:rPr>
          <w:b/>
          <w:bCs/>
          <w:szCs w:val="24"/>
          <w:u w:val="single"/>
        </w:rPr>
      </w:pPr>
      <w:r w:rsidRPr="003C36F2">
        <w:rPr>
          <w:b/>
          <w:bCs/>
          <w:szCs w:val="24"/>
          <w:u w:val="single"/>
          <w:rtl/>
        </w:rPr>
        <w:t>השפעת החוק המוצע על תקציב המדינה</w:t>
      </w:r>
      <w:r w:rsidR="00FC53A4" w:rsidRPr="003C36F2">
        <w:rPr>
          <w:b/>
          <w:bCs/>
          <w:szCs w:val="24"/>
          <w:u w:val="single"/>
          <w:rtl/>
        </w:rPr>
        <w:t>, תקנים במשרדי הממשלה וההיבט המינהלי</w:t>
      </w:r>
      <w:r w:rsidRPr="003C36F2">
        <w:rPr>
          <w:b/>
          <w:bCs/>
          <w:szCs w:val="24"/>
          <w:u w:val="single"/>
          <w:rtl/>
        </w:rPr>
        <w:t>:</w:t>
      </w:r>
    </w:p>
    <w:p w:rsidR="00354723" w:rsidRDefault="007852CC" w:rsidP="00BA5F9D">
      <w:pPr>
        <w:ind w:left="651" w:right="-426" w:firstLine="0"/>
        <w:rPr>
          <w:rFonts w:cs="David"/>
          <w:sz w:val="24"/>
          <w:szCs w:val="24"/>
          <w:rtl/>
        </w:rPr>
      </w:pPr>
      <w:r w:rsidRPr="003C36F2">
        <w:rPr>
          <w:rFonts w:cs="David" w:hint="cs"/>
          <w:sz w:val="24"/>
          <w:szCs w:val="24"/>
          <w:rtl/>
        </w:rPr>
        <w:t>אין</w:t>
      </w:r>
      <w:r w:rsidRPr="003C36F2">
        <w:rPr>
          <w:rFonts w:cs="David"/>
          <w:sz w:val="24"/>
          <w:szCs w:val="24"/>
          <w:rtl/>
        </w:rPr>
        <w:t>.</w:t>
      </w:r>
    </w:p>
    <w:p w:rsidR="004D177F" w:rsidRDefault="004D177F" w:rsidP="00BA5F9D">
      <w:pPr>
        <w:ind w:left="651" w:right="-426" w:firstLine="0"/>
        <w:rPr>
          <w:rFonts w:cs="David"/>
          <w:sz w:val="24"/>
          <w:szCs w:val="24"/>
          <w:rtl/>
        </w:rPr>
      </w:pPr>
    </w:p>
    <w:p w:rsidR="00DA281B" w:rsidRPr="00354723" w:rsidRDefault="00DA281B" w:rsidP="00BA5F9D">
      <w:pPr>
        <w:pStyle w:val="ae"/>
        <w:numPr>
          <w:ilvl w:val="0"/>
          <w:numId w:val="5"/>
        </w:numPr>
        <w:ind w:right="-426"/>
        <w:rPr>
          <w:rFonts w:ascii="Hadasa Roso SL" w:eastAsia="MS Mincho" w:hAnsi="Hadasa Roso SL"/>
          <w:color w:val="000000"/>
          <w:szCs w:val="24"/>
          <w:lang w:eastAsia="ja-JP"/>
        </w:rPr>
      </w:pPr>
      <w:r w:rsidRPr="00354723">
        <w:rPr>
          <w:rFonts w:hint="cs"/>
          <w:b/>
          <w:bCs/>
          <w:szCs w:val="24"/>
          <w:u w:val="single"/>
          <w:rtl/>
        </w:rPr>
        <w:t>הערכת השפעות רגולציה (</w:t>
      </w:r>
      <w:r w:rsidRPr="00354723">
        <w:rPr>
          <w:b/>
          <w:bCs/>
          <w:szCs w:val="24"/>
          <w:u w:val="single"/>
        </w:rPr>
        <w:t>RIA</w:t>
      </w:r>
      <w:r w:rsidRPr="00354723">
        <w:rPr>
          <w:rFonts w:hint="cs"/>
          <w:b/>
          <w:bCs/>
          <w:szCs w:val="24"/>
          <w:u w:val="single"/>
          <w:rtl/>
        </w:rPr>
        <w:t>)</w:t>
      </w:r>
    </w:p>
    <w:p w:rsidR="00DA281B" w:rsidRDefault="00DA281B" w:rsidP="00BA5F9D">
      <w:pPr>
        <w:pStyle w:val="Hesber"/>
        <w:ind w:left="501" w:right="-426" w:firstLine="0"/>
        <w:rPr>
          <w:rFonts w:ascii="Hadasa Roso SL" w:eastAsia="MS Mincho" w:hAnsi="Hadasa Roso SL"/>
          <w:spacing w:val="1"/>
          <w:sz w:val="24"/>
          <w:szCs w:val="24"/>
          <w:rtl/>
        </w:rPr>
      </w:pPr>
      <w:r>
        <w:rPr>
          <w:rFonts w:ascii="Hadasa Roso SL" w:eastAsia="MS Mincho" w:hAnsi="Hadasa Roso SL" w:hint="cs"/>
          <w:spacing w:val="1"/>
          <w:sz w:val="24"/>
          <w:szCs w:val="24"/>
          <w:rtl/>
        </w:rPr>
        <w:t>החקיקה המוצעת אינה רגולציה המחויבת</w:t>
      </w:r>
      <w:r>
        <w:rPr>
          <w:rFonts w:ascii="Hadasa Roso SL" w:eastAsia="MS Mincho" w:hAnsi="Hadasa Roso SL"/>
          <w:spacing w:val="1"/>
          <w:sz w:val="24"/>
          <w:szCs w:val="24"/>
          <w:rtl/>
        </w:rPr>
        <w:t xml:space="preserve"> </w:t>
      </w:r>
      <w:r>
        <w:rPr>
          <w:rFonts w:ascii="Hadasa Roso SL" w:eastAsia="MS Mincho" w:hAnsi="Hadasa Roso SL" w:hint="cs"/>
          <w:spacing w:val="1"/>
          <w:sz w:val="24"/>
          <w:szCs w:val="24"/>
          <w:rtl/>
        </w:rPr>
        <w:t>ב</w:t>
      </w:r>
      <w:r w:rsidRPr="00DA281B">
        <w:rPr>
          <w:rFonts w:ascii="Hadasa Roso SL" w:eastAsia="MS Mincho" w:hAnsi="Hadasa Roso SL"/>
          <w:spacing w:val="1"/>
          <w:sz w:val="24"/>
          <w:szCs w:val="24"/>
          <w:rtl/>
        </w:rPr>
        <w:t xml:space="preserve">עריכת </w:t>
      </w:r>
      <w:r w:rsidRPr="00DA281B">
        <w:rPr>
          <w:rFonts w:ascii="Hadasa Roso SL" w:eastAsia="MS Mincho" w:hAnsi="Hadasa Roso SL"/>
          <w:spacing w:val="1"/>
          <w:sz w:val="24"/>
          <w:szCs w:val="24"/>
        </w:rPr>
        <w:t>RIA</w:t>
      </w:r>
      <w:r w:rsidRPr="00DA281B">
        <w:rPr>
          <w:rFonts w:ascii="Hadasa Roso SL" w:eastAsia="MS Mincho" w:hAnsi="Hadasa Roso SL"/>
          <w:spacing w:val="1"/>
          <w:sz w:val="24"/>
          <w:szCs w:val="24"/>
          <w:rtl/>
        </w:rPr>
        <w:t xml:space="preserve">. </w:t>
      </w:r>
    </w:p>
    <w:p w:rsidR="00354723" w:rsidRPr="00DA281B" w:rsidRDefault="00354723" w:rsidP="00BA5F9D">
      <w:pPr>
        <w:pStyle w:val="Hesber"/>
        <w:ind w:right="-426"/>
        <w:rPr>
          <w:rFonts w:ascii="Hadasa Roso SL" w:eastAsia="MS Mincho" w:hAnsi="Hadasa Roso SL"/>
          <w:spacing w:val="1"/>
          <w:sz w:val="24"/>
          <w:szCs w:val="24"/>
        </w:rPr>
      </w:pPr>
    </w:p>
    <w:p w:rsidR="008A6EAB" w:rsidRDefault="00FC53A4" w:rsidP="00BA5F9D">
      <w:pPr>
        <w:pStyle w:val="ae"/>
        <w:numPr>
          <w:ilvl w:val="0"/>
          <w:numId w:val="5"/>
        </w:numPr>
        <w:ind w:right="-426"/>
        <w:jc w:val="both"/>
        <w:rPr>
          <w:b/>
          <w:bCs/>
          <w:szCs w:val="24"/>
          <w:u w:val="single"/>
        </w:rPr>
      </w:pPr>
      <w:r w:rsidRPr="003C36F2">
        <w:rPr>
          <w:b/>
          <w:bCs/>
          <w:szCs w:val="24"/>
          <w:u w:val="single"/>
          <w:rtl/>
        </w:rPr>
        <w:t>להלן הנוסח המוצע</w:t>
      </w:r>
      <w:r w:rsidR="008A6EAB" w:rsidRPr="003C36F2">
        <w:rPr>
          <w:b/>
          <w:bCs/>
          <w:szCs w:val="24"/>
          <w:u w:val="single"/>
          <w:rtl/>
        </w:rPr>
        <w:t>:</w:t>
      </w:r>
    </w:p>
    <w:p w:rsidR="00B33880" w:rsidRDefault="00B33880" w:rsidP="00BA5F9D">
      <w:pPr>
        <w:pStyle w:val="ae"/>
        <w:ind w:right="-426"/>
        <w:jc w:val="both"/>
        <w:rPr>
          <w:b/>
          <w:bCs/>
          <w:szCs w:val="24"/>
          <w:u w:val="single"/>
          <w:rtl/>
        </w:rPr>
      </w:pPr>
    </w:p>
    <w:p w:rsidR="003322DE" w:rsidRPr="00E42935" w:rsidRDefault="003322DE" w:rsidP="00BA5F9D">
      <w:pPr>
        <w:ind w:right="-426" w:firstLine="0"/>
        <w:rPr>
          <w:b/>
          <w:bCs/>
          <w:szCs w:val="24"/>
          <w:u w:val="single"/>
          <w:rtl/>
        </w:rPr>
      </w:pPr>
    </w:p>
    <w:p w:rsidR="003322DE" w:rsidRPr="003322DE" w:rsidRDefault="003322DE" w:rsidP="00BA5F9D">
      <w:pPr>
        <w:ind w:right="-426"/>
        <w:jc w:val="center"/>
        <w:rPr>
          <w:rFonts w:cs="David"/>
          <w:b/>
          <w:bCs/>
          <w:sz w:val="26"/>
          <w:szCs w:val="26"/>
          <w:rtl/>
        </w:rPr>
      </w:pPr>
      <w:r w:rsidRPr="003322DE">
        <w:rPr>
          <w:rFonts w:cs="David" w:hint="cs"/>
          <w:b/>
          <w:bCs/>
          <w:sz w:val="26"/>
          <w:szCs w:val="26"/>
          <w:rtl/>
        </w:rPr>
        <w:t>תזכיר</w:t>
      </w:r>
      <w:r w:rsidRPr="003322DE">
        <w:rPr>
          <w:rFonts w:cs="David"/>
          <w:b/>
          <w:bCs/>
          <w:sz w:val="26"/>
          <w:szCs w:val="26"/>
          <w:rtl/>
        </w:rPr>
        <w:t xml:space="preserve"> </w:t>
      </w:r>
      <w:r w:rsidRPr="003322DE">
        <w:rPr>
          <w:rFonts w:cs="David" w:hint="cs"/>
          <w:b/>
          <w:bCs/>
          <w:sz w:val="26"/>
          <w:szCs w:val="26"/>
          <w:rtl/>
        </w:rPr>
        <w:t>חוק</w:t>
      </w:r>
      <w:r w:rsidRPr="003322DE">
        <w:rPr>
          <w:rFonts w:cs="David"/>
          <w:b/>
          <w:bCs/>
          <w:sz w:val="26"/>
          <w:szCs w:val="26"/>
          <w:rtl/>
        </w:rPr>
        <w:t xml:space="preserve"> </w:t>
      </w:r>
      <w:r w:rsidRPr="003322DE">
        <w:rPr>
          <w:rFonts w:cs="David" w:hint="cs"/>
          <w:b/>
          <w:bCs/>
          <w:sz w:val="26"/>
          <w:szCs w:val="26"/>
          <w:rtl/>
        </w:rPr>
        <w:t>ההגבלים</w:t>
      </w:r>
      <w:r w:rsidRPr="003322DE">
        <w:rPr>
          <w:rFonts w:cs="David"/>
          <w:b/>
          <w:bCs/>
          <w:sz w:val="26"/>
          <w:szCs w:val="26"/>
          <w:rtl/>
        </w:rPr>
        <w:t xml:space="preserve"> </w:t>
      </w:r>
      <w:r w:rsidRPr="003322DE">
        <w:rPr>
          <w:rFonts w:cs="David" w:hint="cs"/>
          <w:b/>
          <w:bCs/>
          <w:sz w:val="26"/>
          <w:szCs w:val="26"/>
          <w:rtl/>
        </w:rPr>
        <w:t>העסקיים</w:t>
      </w:r>
      <w:r w:rsidRPr="003322DE">
        <w:rPr>
          <w:rFonts w:cs="David"/>
          <w:b/>
          <w:bCs/>
          <w:sz w:val="26"/>
          <w:szCs w:val="26"/>
          <w:rtl/>
        </w:rPr>
        <w:t xml:space="preserve"> (</w:t>
      </w:r>
      <w:r w:rsidRPr="003322DE">
        <w:rPr>
          <w:rFonts w:cs="David" w:hint="cs"/>
          <w:b/>
          <w:bCs/>
          <w:sz w:val="26"/>
          <w:szCs w:val="26"/>
          <w:rtl/>
        </w:rPr>
        <w:t>תיקון</w:t>
      </w:r>
      <w:r w:rsidRPr="003322DE">
        <w:rPr>
          <w:rFonts w:cs="David"/>
          <w:b/>
          <w:bCs/>
          <w:sz w:val="26"/>
          <w:szCs w:val="26"/>
          <w:rtl/>
        </w:rPr>
        <w:t xml:space="preserve"> </w:t>
      </w:r>
      <w:r w:rsidRPr="003322DE">
        <w:rPr>
          <w:rFonts w:cs="David" w:hint="cs"/>
          <w:b/>
          <w:bCs/>
          <w:sz w:val="26"/>
          <w:szCs w:val="26"/>
          <w:rtl/>
        </w:rPr>
        <w:t>מס</w:t>
      </w:r>
      <w:r w:rsidRPr="003322DE">
        <w:rPr>
          <w:rFonts w:cs="David"/>
          <w:b/>
          <w:bCs/>
          <w:sz w:val="26"/>
          <w:szCs w:val="26"/>
          <w:rtl/>
        </w:rPr>
        <w:t xml:space="preserve">' </w:t>
      </w:r>
      <w:r w:rsidRPr="003322DE">
        <w:rPr>
          <w:rFonts w:cs="David" w:hint="cs"/>
          <w:b/>
          <w:bCs/>
          <w:sz w:val="26"/>
          <w:szCs w:val="26"/>
          <w:rtl/>
        </w:rPr>
        <w:t>--</w:t>
      </w:r>
      <w:r w:rsidRPr="003322DE">
        <w:rPr>
          <w:rFonts w:cs="David"/>
          <w:b/>
          <w:bCs/>
          <w:sz w:val="26"/>
          <w:szCs w:val="26"/>
          <w:rtl/>
        </w:rPr>
        <w:t>)</w:t>
      </w:r>
      <w:r w:rsidRPr="003322DE">
        <w:rPr>
          <w:rFonts w:cs="David" w:hint="cs"/>
          <w:b/>
          <w:bCs/>
          <w:sz w:val="26"/>
          <w:szCs w:val="26"/>
          <w:rtl/>
        </w:rPr>
        <w:t xml:space="preserve"> (עיון בתיק הרשות וסודיות המידע)</w:t>
      </w:r>
      <w:r w:rsidRPr="003322DE">
        <w:rPr>
          <w:rFonts w:cs="David"/>
          <w:b/>
          <w:bCs/>
          <w:sz w:val="26"/>
          <w:szCs w:val="26"/>
          <w:rtl/>
        </w:rPr>
        <w:t xml:space="preserve">, </w:t>
      </w:r>
      <w:r w:rsidRPr="003322DE">
        <w:rPr>
          <w:rFonts w:cs="David" w:hint="cs"/>
          <w:b/>
          <w:bCs/>
          <w:sz w:val="26"/>
          <w:szCs w:val="26"/>
          <w:rtl/>
        </w:rPr>
        <w:t xml:space="preserve">התשע"ו-2016 </w:t>
      </w:r>
    </w:p>
    <w:p w:rsidR="003322DE" w:rsidRDefault="003322DE" w:rsidP="00BA5F9D">
      <w:pPr>
        <w:pStyle w:val="HeadHatzaotHok"/>
        <w:keepNext w:val="0"/>
        <w:keepLines w:val="0"/>
        <w:ind w:right="-426"/>
        <w:rPr>
          <w:rtl/>
        </w:rPr>
      </w:pPr>
    </w:p>
    <w:tbl>
      <w:tblPr>
        <w:bidiVisual/>
        <w:tblW w:w="8873" w:type="dxa"/>
        <w:tblLayout w:type="fixed"/>
        <w:tblCellMar>
          <w:top w:w="57" w:type="dxa"/>
          <w:left w:w="0" w:type="dxa"/>
          <w:bottom w:w="57" w:type="dxa"/>
          <w:right w:w="0" w:type="dxa"/>
        </w:tblCellMar>
        <w:tblLook w:val="0000" w:firstRow="0" w:lastRow="0" w:firstColumn="0" w:lastColumn="0" w:noHBand="0" w:noVBand="0"/>
      </w:tblPr>
      <w:tblGrid>
        <w:gridCol w:w="1871"/>
        <w:gridCol w:w="624"/>
        <w:gridCol w:w="624"/>
        <w:gridCol w:w="624"/>
        <w:gridCol w:w="452"/>
        <w:gridCol w:w="678"/>
        <w:gridCol w:w="624"/>
        <w:gridCol w:w="569"/>
        <w:gridCol w:w="2807"/>
      </w:tblGrid>
      <w:tr w:rsidR="003322DE" w:rsidRPr="00652872" w:rsidTr="00F112E4">
        <w:trPr>
          <w:cantSplit/>
        </w:trPr>
        <w:tc>
          <w:tcPr>
            <w:tcW w:w="1871" w:type="dxa"/>
            <w:shd w:val="clear" w:color="auto" w:fill="auto"/>
            <w:tcMar>
              <w:top w:w="91" w:type="dxa"/>
              <w:left w:w="0" w:type="dxa"/>
              <w:bottom w:w="91" w:type="dxa"/>
              <w:right w:w="0" w:type="dxa"/>
            </w:tcMar>
          </w:tcPr>
          <w:p w:rsidR="003322DE" w:rsidRPr="00652872" w:rsidRDefault="003322DE" w:rsidP="00F112E4">
            <w:pPr>
              <w:pStyle w:val="TableSideHeading"/>
              <w:ind w:left="231" w:right="228"/>
              <w:rPr>
                <w:rtl/>
              </w:rPr>
            </w:pPr>
            <w:r>
              <w:rPr>
                <w:rFonts w:hint="cs"/>
                <w:rtl/>
              </w:rPr>
              <w:t>הוספת סעיפים 27א עד 37ה</w:t>
            </w:r>
          </w:p>
        </w:tc>
        <w:tc>
          <w:tcPr>
            <w:tcW w:w="624" w:type="dxa"/>
            <w:shd w:val="clear" w:color="auto" w:fill="auto"/>
            <w:tcMar>
              <w:top w:w="91" w:type="dxa"/>
              <w:left w:w="0" w:type="dxa"/>
              <w:bottom w:w="91" w:type="dxa"/>
              <w:right w:w="0" w:type="dxa"/>
            </w:tcMar>
          </w:tcPr>
          <w:p w:rsidR="003322DE" w:rsidRPr="00652872" w:rsidRDefault="003322DE" w:rsidP="00F112E4">
            <w:pPr>
              <w:pStyle w:val="TableText"/>
              <w:tabs>
                <w:tab w:val="clear" w:pos="624"/>
                <w:tab w:val="left" w:pos="198"/>
              </w:tabs>
              <w:ind w:right="-196"/>
              <w:rPr>
                <w:rtl/>
              </w:rPr>
            </w:pPr>
            <w:r w:rsidRPr="00652872">
              <w:rPr>
                <w:rtl/>
              </w:rPr>
              <w:t>1.</w:t>
            </w:r>
          </w:p>
        </w:tc>
        <w:tc>
          <w:tcPr>
            <w:tcW w:w="6378" w:type="dxa"/>
            <w:gridSpan w:val="7"/>
          </w:tcPr>
          <w:p w:rsidR="003322DE" w:rsidRPr="00652872" w:rsidRDefault="003322DE" w:rsidP="00F112E4">
            <w:pPr>
              <w:pStyle w:val="TableBlock"/>
              <w:ind w:left="146" w:right="289"/>
              <w:jc w:val="left"/>
              <w:rPr>
                <w:rtl/>
              </w:rPr>
            </w:pPr>
            <w:r w:rsidRPr="00CD5B26">
              <w:rPr>
                <w:rFonts w:hint="cs"/>
                <w:rtl/>
              </w:rPr>
              <w:t xml:space="preserve">בחוק </w:t>
            </w:r>
            <w:r>
              <w:rPr>
                <w:rFonts w:hint="cs"/>
                <w:rtl/>
              </w:rPr>
              <w:t>ההגבלים העסקיים, התשמ"ח–1988</w:t>
            </w:r>
            <w:r w:rsidRPr="00895472">
              <w:rPr>
                <w:rStyle w:val="a7"/>
                <w:rFonts w:asciiTheme="minorBidi" w:hAnsiTheme="minorBidi" w:cstheme="minorBidi"/>
                <w:sz w:val="14"/>
                <w:szCs w:val="20"/>
                <w:rtl/>
              </w:rPr>
              <w:footnoteReference w:id="1"/>
            </w:r>
            <w:r>
              <w:rPr>
                <w:rFonts w:hint="cs"/>
                <w:rtl/>
              </w:rPr>
              <w:t xml:space="preserve"> (להלן – החוק העיקרי), אחרי סעיף 37 יבוא:</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vAlign w:val="center"/>
          </w:tcPr>
          <w:p w:rsidR="003322DE" w:rsidRPr="00652872" w:rsidRDefault="003322DE" w:rsidP="006B00B1">
            <w:pPr>
              <w:pStyle w:val="TableText"/>
              <w:ind w:left="146" w:right="142"/>
              <w:rPr>
                <w:rtl/>
              </w:rPr>
            </w:pPr>
            <w:r>
              <w:rPr>
                <w:rFonts w:hint="cs"/>
                <w:rtl/>
              </w:rPr>
              <w:t>"זכות עיון בתיק הרשות למי שזכאי להגיש ערר</w:t>
            </w:r>
          </w:p>
        </w:tc>
        <w:tc>
          <w:tcPr>
            <w:tcW w:w="678" w:type="dxa"/>
          </w:tcPr>
          <w:p w:rsidR="003322DE" w:rsidRPr="00652872" w:rsidRDefault="003322DE" w:rsidP="006B00B1">
            <w:pPr>
              <w:pStyle w:val="TableText"/>
              <w:ind w:right="-426"/>
              <w:rPr>
                <w:rtl/>
              </w:rPr>
            </w:pPr>
            <w:r>
              <w:rPr>
                <w:rFonts w:hint="cs"/>
                <w:rtl/>
              </w:rPr>
              <w:t>37א.</w:t>
            </w:r>
          </w:p>
        </w:tc>
        <w:tc>
          <w:tcPr>
            <w:tcW w:w="4000" w:type="dxa"/>
            <w:gridSpan w:val="3"/>
            <w:shd w:val="clear" w:color="auto" w:fill="auto"/>
            <w:tcMar>
              <w:top w:w="91" w:type="dxa"/>
              <w:left w:w="0" w:type="dxa"/>
              <w:bottom w:w="91" w:type="dxa"/>
              <w:right w:w="0" w:type="dxa"/>
            </w:tcMar>
          </w:tcPr>
          <w:p w:rsidR="003322DE" w:rsidRPr="00652872" w:rsidRDefault="003322DE" w:rsidP="00F112E4">
            <w:pPr>
              <w:pStyle w:val="TableText"/>
              <w:ind w:left="201" w:right="0"/>
              <w:jc w:val="both"/>
              <w:rPr>
                <w:rtl/>
              </w:rPr>
            </w:pPr>
            <w:r>
              <w:rPr>
                <w:rFonts w:hint="cs"/>
                <w:rtl/>
              </w:rPr>
              <w:t>(א)</w:t>
            </w:r>
            <w:r>
              <w:rPr>
                <w:rtl/>
              </w:rPr>
              <w:tab/>
            </w:r>
            <w:r w:rsidRPr="00836999">
              <w:rPr>
                <w:rStyle w:val="default"/>
                <w:rFonts w:hint="cs"/>
                <w:rtl/>
              </w:rPr>
              <w:t xml:space="preserve">מי שזכאי להגיש </w:t>
            </w:r>
            <w:r>
              <w:rPr>
                <w:rStyle w:val="default"/>
                <w:rFonts w:hint="cs"/>
                <w:rtl/>
              </w:rPr>
              <w:t xml:space="preserve">ערר על החלטת הממונה, זכאי לעיין </w:t>
            </w:r>
            <w:r w:rsidRPr="00836999">
              <w:rPr>
                <w:rStyle w:val="default"/>
                <w:rFonts w:hint="cs"/>
                <w:rtl/>
              </w:rPr>
              <w:t xml:space="preserve">במסמכים שבידי הממונה הנוגעים להחלטה (להלן </w:t>
            </w:r>
            <w:r w:rsidRPr="00836999">
              <w:rPr>
                <w:rStyle w:val="default"/>
                <w:rFonts w:hint="eastAsia"/>
                <w:rtl/>
              </w:rPr>
              <w:t>–</w:t>
            </w:r>
            <w:r w:rsidRPr="00836999">
              <w:rPr>
                <w:rStyle w:val="default"/>
                <w:rFonts w:hint="cs"/>
                <w:rtl/>
              </w:rPr>
              <w:t xml:space="preserve"> התיק), ולהעתיק מסמכים מן התיק</w:t>
            </w:r>
            <w:r>
              <w:rPr>
                <w:rFonts w:hint="cs"/>
                <w:rtl/>
              </w:rPr>
              <w:t>.</w:t>
            </w:r>
          </w:p>
        </w:tc>
      </w:tr>
      <w:tr w:rsidR="003322DE" w:rsidRPr="00652872" w:rsidTr="00DD3BE0">
        <w:trPr>
          <w:cantSplit/>
          <w:trHeight w:val="931"/>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Default="003322DE" w:rsidP="006B00B1">
            <w:pPr>
              <w:pStyle w:val="TableText"/>
              <w:ind w:right="-426"/>
              <w:rPr>
                <w:rtl/>
              </w:rPr>
            </w:pPr>
          </w:p>
        </w:tc>
        <w:tc>
          <w:tcPr>
            <w:tcW w:w="678" w:type="dxa"/>
          </w:tcPr>
          <w:p w:rsidR="003322DE" w:rsidRDefault="003322DE" w:rsidP="006B00B1">
            <w:pPr>
              <w:pStyle w:val="TableText"/>
              <w:ind w:right="-426"/>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Text"/>
              <w:ind w:left="201" w:right="0"/>
              <w:jc w:val="both"/>
              <w:rPr>
                <w:rtl/>
              </w:rPr>
            </w:pPr>
            <w:r>
              <w:rPr>
                <w:rFonts w:hint="cs"/>
                <w:rtl/>
              </w:rPr>
              <w:t>(ב)</w:t>
            </w:r>
            <w:r>
              <w:rPr>
                <w:rtl/>
              </w:rPr>
              <w:tab/>
            </w:r>
            <w:r w:rsidRPr="00D32B39">
              <w:rPr>
                <w:rFonts w:hint="cs"/>
                <w:rtl/>
              </w:rPr>
              <w:t>זכות העיון בתיק לפי סעיף קטן (א) לא תחול על מסמכים או חלקי מסמכים, שהתקיים בהם אח</w:t>
            </w:r>
            <w:r>
              <w:rPr>
                <w:rFonts w:hint="cs"/>
                <w:rtl/>
              </w:rPr>
              <w:t>ד</w:t>
            </w:r>
            <w:r w:rsidRPr="00D32B39">
              <w:rPr>
                <w:rFonts w:hint="cs"/>
                <w:rtl/>
              </w:rPr>
              <w:t xml:space="preserve"> מאלה</w:t>
            </w:r>
            <w:r>
              <w:rPr>
                <w:rStyle w:val="default"/>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Default="003322DE" w:rsidP="006B00B1">
            <w:pPr>
              <w:pStyle w:val="TableText"/>
              <w:ind w:right="-426"/>
              <w:rPr>
                <w:rtl/>
              </w:rPr>
            </w:pPr>
          </w:p>
        </w:tc>
        <w:tc>
          <w:tcPr>
            <w:tcW w:w="678" w:type="dxa"/>
          </w:tcPr>
          <w:p w:rsidR="003322DE"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Pr="00652872" w:rsidRDefault="003322DE" w:rsidP="00F112E4">
            <w:pPr>
              <w:pStyle w:val="TableBlock"/>
              <w:ind w:left="144"/>
              <w:rPr>
                <w:rtl/>
              </w:rPr>
            </w:pPr>
            <w:r>
              <w:rPr>
                <w:rStyle w:val="default"/>
                <w:rFonts w:hint="cs"/>
                <w:rtl/>
              </w:rPr>
              <w:t>(1)</w:t>
            </w:r>
            <w:r>
              <w:rPr>
                <w:rStyle w:val="default"/>
                <w:rtl/>
              </w:rPr>
              <w:tab/>
            </w:r>
            <w:r w:rsidRPr="00836999">
              <w:rPr>
                <w:rStyle w:val="default"/>
                <w:rFonts w:hint="cs"/>
                <w:rtl/>
              </w:rPr>
              <w:t>אין להם נגיעה להחלטה שעליה עוררים</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Pr="00652872" w:rsidRDefault="003322DE" w:rsidP="00F112E4">
            <w:pPr>
              <w:pStyle w:val="TableBlock"/>
              <w:ind w:left="144"/>
              <w:rPr>
                <w:rtl/>
              </w:rPr>
            </w:pPr>
            <w:r>
              <w:rPr>
                <w:rFonts w:hint="cs"/>
                <w:rtl/>
              </w:rPr>
              <w:t>(2)</w:t>
            </w:r>
            <w:r>
              <w:rPr>
                <w:rtl/>
              </w:rPr>
              <w:tab/>
            </w:r>
            <w:r w:rsidRPr="00836999">
              <w:rPr>
                <w:rStyle w:val="default"/>
                <w:rFonts w:hint="cs"/>
                <w:rtl/>
              </w:rPr>
              <w:t>יש בהם סוד מקצועי או מסחרי</w:t>
            </w:r>
            <w:r>
              <w:rPr>
                <w:rStyle w:val="default"/>
                <w:rFonts w:hint="cs"/>
                <w:rtl/>
              </w:rPr>
              <w:t>, ידיעה סודית כמשמעותה לפי כל דין</w:t>
            </w:r>
            <w:r>
              <w:rPr>
                <w:rFonts w:hint="cs"/>
                <w:rtl/>
              </w:rPr>
              <w:t xml:space="preserve">, לרבות </w:t>
            </w:r>
            <w:r w:rsidRPr="0087529C">
              <w:rPr>
                <w:rFonts w:hint="cs"/>
                <w:rtl/>
              </w:rPr>
              <w:t>מידע הנוגע לענ</w:t>
            </w:r>
            <w:r>
              <w:rPr>
                <w:rFonts w:hint="cs"/>
                <w:rtl/>
              </w:rPr>
              <w:t>י</w:t>
            </w:r>
            <w:r w:rsidRPr="0087529C">
              <w:rPr>
                <w:rFonts w:hint="cs"/>
                <w:rtl/>
              </w:rPr>
              <w:t xml:space="preserve">ינים מסחריים או מקצועיים הקשורים לעסקיו של אדם, שגילויו עלול לפגוע פגיעה ממשית </w:t>
            </w:r>
            <w:r>
              <w:rPr>
                <w:rFonts w:hint="cs"/>
                <w:rtl/>
              </w:rPr>
              <w:t>בעניין</w:t>
            </w:r>
            <w:r w:rsidRPr="0087529C">
              <w:rPr>
                <w:rFonts w:hint="cs"/>
                <w:rtl/>
              </w:rPr>
              <w:t xml:space="preserve"> מקצועי </w:t>
            </w:r>
            <w:r>
              <w:rPr>
                <w:rFonts w:hint="cs"/>
                <w:rtl/>
              </w:rPr>
              <w:t xml:space="preserve">או </w:t>
            </w:r>
            <w:r w:rsidRPr="0087529C">
              <w:rPr>
                <w:rFonts w:hint="cs"/>
                <w:rtl/>
              </w:rPr>
              <w:t xml:space="preserve">מסחרי </w:t>
            </w:r>
            <w:r>
              <w:rPr>
                <w:rFonts w:hint="cs"/>
                <w:rtl/>
              </w:rPr>
              <w:t xml:space="preserve"> של אותו אדם;</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Default="003322DE" w:rsidP="00F112E4">
            <w:pPr>
              <w:pStyle w:val="TableBlock"/>
              <w:ind w:left="144" w:right="141"/>
              <w:rPr>
                <w:rtl/>
              </w:rPr>
            </w:pPr>
            <w:r>
              <w:rPr>
                <w:rFonts w:hint="cs"/>
                <w:rtl/>
              </w:rPr>
              <w:t>(3)</w:t>
            </w:r>
            <w:r>
              <w:rPr>
                <w:rtl/>
              </w:rPr>
              <w:tab/>
            </w:r>
            <w:r w:rsidRPr="00836999">
              <w:rPr>
                <w:rStyle w:val="default"/>
                <w:rFonts w:hint="cs"/>
                <w:rtl/>
              </w:rPr>
              <w:t>בטחון המדינה, יחסי החוץ או ענין ציבורי חשוב מחייבים שלא להרשות עיון בהם</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Default="003322DE" w:rsidP="00F112E4">
            <w:pPr>
              <w:pStyle w:val="TableBlock"/>
              <w:ind w:left="144"/>
              <w:rPr>
                <w:rtl/>
              </w:rPr>
            </w:pPr>
            <w:r>
              <w:rPr>
                <w:rFonts w:hint="cs"/>
                <w:rtl/>
              </w:rPr>
              <w:t>(4)</w:t>
            </w:r>
            <w:r>
              <w:rPr>
                <w:rtl/>
              </w:rPr>
              <w:tab/>
            </w:r>
            <w:r w:rsidRPr="00836999">
              <w:rPr>
                <w:rStyle w:val="default"/>
                <w:rFonts w:hint="cs"/>
                <w:rtl/>
              </w:rPr>
              <w:t>הם ראיות חסויות לפי פרק ג' לפקודת הראיות [נוסח חדש], התשל"א-1971</w:t>
            </w:r>
            <w:r w:rsidRPr="00895472">
              <w:rPr>
                <w:rStyle w:val="a7"/>
                <w:rFonts w:asciiTheme="minorBidi" w:hAnsiTheme="minorBidi" w:cstheme="minorBidi"/>
                <w:szCs w:val="20"/>
                <w:rtl/>
              </w:rPr>
              <w:footnoteReference w:id="2"/>
            </w:r>
            <w:r w:rsidRPr="00836999">
              <w:rPr>
                <w:rStyle w:val="default"/>
                <w:rFonts w:hint="cs"/>
                <w:rtl/>
              </w:rPr>
              <w:t xml:space="preserve">, או לפי כל דין אחר; על ראיות חסויות לפי סעיפים 44 ו-45 לפקודה </w:t>
            </w:r>
            <w:r>
              <w:rPr>
                <w:rStyle w:val="default"/>
                <w:rFonts w:hint="cs"/>
                <w:rtl/>
              </w:rPr>
              <w:t xml:space="preserve">האמורה </w:t>
            </w:r>
            <w:r w:rsidRPr="00836999">
              <w:rPr>
                <w:rStyle w:val="default"/>
                <w:rFonts w:hint="cs"/>
                <w:rtl/>
              </w:rPr>
              <w:t>יחול סעיף 31 לחוק בתי דין מינהליים, התשנ"ב-1992</w:t>
            </w:r>
            <w:r w:rsidRPr="00895472">
              <w:rPr>
                <w:rStyle w:val="a7"/>
                <w:rFonts w:asciiTheme="minorBidi" w:hAnsiTheme="minorBidi" w:cstheme="minorBidi"/>
                <w:szCs w:val="20"/>
                <w:rtl/>
              </w:rPr>
              <w:footnoteReference w:id="3"/>
            </w:r>
            <w:r w:rsidRPr="00895472">
              <w:rPr>
                <w:rFonts w:asciiTheme="minorBidi" w:hAnsiTheme="minorBidi" w:cstheme="minorBidi"/>
                <w:sz w:val="14"/>
                <w:szCs w:val="20"/>
                <w:rtl/>
              </w:rPr>
              <w:t xml:space="preserve"> </w:t>
            </w:r>
            <w:r>
              <w:rPr>
                <w:rFonts w:hint="cs"/>
                <w:rtl/>
              </w:rPr>
              <w:t xml:space="preserve">(להלן </w:t>
            </w:r>
            <w:r>
              <w:rPr>
                <w:rtl/>
              </w:rPr>
              <w:t>–</w:t>
            </w:r>
            <w:r>
              <w:rPr>
                <w:rFonts w:hint="cs"/>
                <w:rtl/>
              </w:rPr>
              <w:t xml:space="preserve"> חוק בתי דין מינהליים);</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Default="003322DE" w:rsidP="00F112E4">
            <w:pPr>
              <w:pStyle w:val="TableBlock"/>
              <w:ind w:left="144"/>
              <w:rPr>
                <w:rtl/>
              </w:rPr>
            </w:pPr>
            <w:r>
              <w:rPr>
                <w:rFonts w:hint="cs"/>
                <w:rtl/>
              </w:rPr>
              <w:t>(5)</w:t>
            </w:r>
            <w:r>
              <w:rPr>
                <w:rtl/>
              </w:rPr>
              <w:tab/>
            </w:r>
            <w:r w:rsidRPr="00CD632B">
              <w:rPr>
                <w:rtl/>
              </w:rPr>
              <w:t>ה</w:t>
            </w:r>
            <w:r w:rsidRPr="00CD632B">
              <w:rPr>
                <w:rFonts w:hint="cs"/>
                <w:rtl/>
              </w:rPr>
              <w:t>ם מכילים חומר פנימי, כגון: רשומות מדיונים פנימיים, דיווח לממונים, הצעו</w:t>
            </w:r>
            <w:r w:rsidRPr="00CD632B">
              <w:rPr>
                <w:rtl/>
              </w:rPr>
              <w:t>ת</w:t>
            </w:r>
            <w:r w:rsidRPr="00CD632B">
              <w:rPr>
                <w:rFonts w:hint="cs"/>
                <w:rtl/>
              </w:rPr>
              <w:t xml:space="preserve"> וטיוטות של החלטות</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Default="003322DE" w:rsidP="00F112E4">
            <w:pPr>
              <w:pStyle w:val="TableBlock"/>
              <w:ind w:left="144"/>
              <w:rPr>
                <w:rtl/>
              </w:rPr>
            </w:pPr>
            <w:r>
              <w:rPr>
                <w:rFonts w:hint="cs"/>
                <w:rtl/>
              </w:rPr>
              <w:t>(6)</w:t>
            </w:r>
            <w:r>
              <w:rPr>
                <w:rtl/>
              </w:rPr>
              <w:tab/>
            </w:r>
            <w:r w:rsidRPr="00836999">
              <w:rPr>
                <w:rStyle w:val="default"/>
                <w:rFonts w:hint="cs"/>
                <w:rtl/>
              </w:rPr>
              <w:t>העיון בהם עלול לפגוע, שלא כדין, בזכות או בענ</w:t>
            </w:r>
            <w:r>
              <w:rPr>
                <w:rStyle w:val="default"/>
                <w:rFonts w:hint="cs"/>
                <w:rtl/>
              </w:rPr>
              <w:t>י</w:t>
            </w:r>
            <w:r w:rsidRPr="00836999">
              <w:rPr>
                <w:rStyle w:val="default"/>
                <w:rFonts w:hint="cs"/>
                <w:rtl/>
              </w:rPr>
              <w:t>ין אישי של אדם אחר</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Default="003322DE" w:rsidP="00F112E4">
            <w:pPr>
              <w:pStyle w:val="TableBlock"/>
              <w:ind w:left="144"/>
              <w:rPr>
                <w:rtl/>
              </w:rPr>
            </w:pPr>
            <w:r>
              <w:rPr>
                <w:rFonts w:hint="cs"/>
                <w:rtl/>
              </w:rPr>
              <w:t>(7)</w:t>
            </w:r>
            <w:r>
              <w:rPr>
                <w:rtl/>
              </w:rPr>
              <w:tab/>
            </w:r>
            <w:r>
              <w:rPr>
                <w:rStyle w:val="default"/>
                <w:rFonts w:hint="cs"/>
                <w:rtl/>
              </w:rPr>
              <w:t>הם עוסקים במינוי, בהטלת תפקיד, בהערכות אישיות, בכשירות לתפקיד או בהישגים של אדם, ובכלל זה של העורר;</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Pr="00652872" w:rsidRDefault="003322DE" w:rsidP="00F112E4">
            <w:pPr>
              <w:pStyle w:val="TableBlock"/>
              <w:ind w:left="144"/>
              <w:rPr>
                <w:rtl/>
              </w:rPr>
            </w:pPr>
            <w:r>
              <w:rPr>
                <w:rFonts w:hint="cs"/>
                <w:rtl/>
              </w:rPr>
              <w:t>(8)</w:t>
            </w:r>
            <w:r>
              <w:rPr>
                <w:rtl/>
              </w:rPr>
              <w:tab/>
            </w:r>
            <w:r>
              <w:rPr>
                <w:rStyle w:val="default"/>
                <w:rFonts w:hint="cs"/>
                <w:rtl/>
              </w:rPr>
              <w:t xml:space="preserve">יש בהם </w:t>
            </w:r>
            <w:r w:rsidRPr="00836999">
              <w:rPr>
                <w:rStyle w:val="default"/>
                <w:rFonts w:hint="cs"/>
                <w:rtl/>
              </w:rPr>
              <w:t>מידע על אודות פרטי משא ומתן עם גוף או עם אדם שמחוץ לרשות</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A56B2" w:rsidRPr="00652872" w:rsidRDefault="003322DE" w:rsidP="00F112E4">
            <w:pPr>
              <w:pStyle w:val="TableBlock"/>
              <w:ind w:left="144"/>
              <w:rPr>
                <w:rtl/>
              </w:rPr>
            </w:pPr>
            <w:r>
              <w:rPr>
                <w:rFonts w:hint="cs"/>
                <w:rtl/>
              </w:rPr>
              <w:t>(9)</w:t>
            </w:r>
            <w:r>
              <w:rPr>
                <w:rtl/>
              </w:rPr>
              <w:tab/>
            </w:r>
            <w:r>
              <w:rPr>
                <w:rStyle w:val="default"/>
                <w:rFonts w:hint="cs"/>
                <w:rtl/>
              </w:rPr>
              <w:t xml:space="preserve">יש בהם </w:t>
            </w:r>
            <w:r w:rsidRPr="00836999">
              <w:rPr>
                <w:rStyle w:val="default"/>
                <w:rFonts w:hint="cs"/>
                <w:rtl/>
              </w:rPr>
              <w:t>מידע שהעמדתו לעיון עלולה לפגוע בהמשך קבלת מידע על ידי הרשות</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A56B2" w:rsidRPr="00652872" w:rsidRDefault="003322DE" w:rsidP="00F112E4">
            <w:pPr>
              <w:pStyle w:val="TableBlock"/>
              <w:ind w:left="144"/>
              <w:rPr>
                <w:rtl/>
              </w:rPr>
            </w:pPr>
            <w:r>
              <w:rPr>
                <w:rFonts w:hint="cs"/>
                <w:rtl/>
              </w:rPr>
              <w:t>(10)</w:t>
            </w:r>
            <w:r>
              <w:rPr>
                <w:rtl/>
              </w:rPr>
              <w:tab/>
            </w:r>
            <w:r>
              <w:rPr>
                <w:rStyle w:val="default"/>
                <w:rFonts w:hint="cs"/>
                <w:rtl/>
              </w:rPr>
              <w:t xml:space="preserve">יש בהם </w:t>
            </w:r>
            <w:r w:rsidRPr="00836999">
              <w:rPr>
                <w:rStyle w:val="default"/>
                <w:rtl/>
              </w:rPr>
              <w:t>מ</w:t>
            </w:r>
            <w:r w:rsidRPr="00836999">
              <w:rPr>
                <w:rStyle w:val="default"/>
                <w:rFonts w:hint="cs"/>
                <w:rtl/>
              </w:rPr>
              <w:t>ידע על אודו</w:t>
            </w:r>
            <w:r w:rsidRPr="00836999">
              <w:rPr>
                <w:rStyle w:val="default"/>
                <w:rtl/>
              </w:rPr>
              <w:t xml:space="preserve">ת </w:t>
            </w:r>
            <w:r w:rsidRPr="00836999">
              <w:rPr>
                <w:rStyle w:val="default"/>
                <w:rFonts w:hint="cs"/>
                <w:rtl/>
              </w:rPr>
              <w:t>שיטות</w:t>
            </w:r>
            <w:r>
              <w:rPr>
                <w:rStyle w:val="default"/>
                <w:rFonts w:hint="cs"/>
                <w:rtl/>
              </w:rPr>
              <w:t xml:space="preserve"> חקירה</w:t>
            </w:r>
            <w:r w:rsidRPr="00836999">
              <w:rPr>
                <w:rStyle w:val="default"/>
                <w:rFonts w:hint="cs"/>
                <w:rtl/>
              </w:rPr>
              <w:t xml:space="preserve"> של הרשות</w:t>
            </w:r>
            <w:r>
              <w:rPr>
                <w:rStyle w:val="default"/>
                <w:rFonts w:hint="cs"/>
                <w:rtl/>
              </w:rPr>
              <w:t xml:space="preserve"> או</w:t>
            </w:r>
            <w:r w:rsidRPr="00545575">
              <w:rPr>
                <w:rFonts w:ascii="Times New Roman" w:eastAsia="Times New Roman" w:hAnsi="Times New Roman" w:cs="FrankRuehl" w:hint="cs"/>
                <w:color w:val="auto"/>
                <w:sz w:val="26"/>
                <w:rtl/>
                <w:lang w:eastAsia="he-IL"/>
              </w:rPr>
              <w:t xml:space="preserve"> </w:t>
            </w:r>
            <w:r w:rsidRPr="00545575">
              <w:rPr>
                <w:rFonts w:hint="cs"/>
                <w:sz w:val="26"/>
                <w:rtl/>
              </w:rPr>
              <w:t>מידע שנאסף או שנוצר ל</w:t>
            </w:r>
            <w:r>
              <w:rPr>
                <w:rFonts w:hint="cs"/>
                <w:sz w:val="26"/>
                <w:rtl/>
              </w:rPr>
              <w:t xml:space="preserve">צורכי חקירה פלילית לרבות </w:t>
            </w:r>
            <w:r w:rsidRPr="00545575">
              <w:rPr>
                <w:rFonts w:hint="cs"/>
                <w:sz w:val="26"/>
                <w:rtl/>
              </w:rPr>
              <w:t>מידע מודיעיני</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ight="141"/>
              <w:rPr>
                <w:rtl/>
              </w:rPr>
            </w:pPr>
            <w:r w:rsidRPr="003C3D43">
              <w:rPr>
                <w:rFonts w:hint="cs"/>
                <w:sz w:val="26"/>
                <w:rtl/>
              </w:rPr>
              <w:t>ו</w:t>
            </w:r>
            <w:r w:rsidRPr="003C3D43">
              <w:rPr>
                <w:sz w:val="26"/>
                <w:rtl/>
              </w:rPr>
              <w:t>ב</w:t>
            </w:r>
            <w:r w:rsidRPr="003C3D43">
              <w:rPr>
                <w:rFonts w:hint="cs"/>
                <w:sz w:val="26"/>
                <w:rtl/>
              </w:rPr>
              <w:t>לבד שלא יימנע עיון בשל טעם מן הטעמים המוזכרים בסעיף קטן זה א</w:t>
            </w:r>
            <w:r w:rsidRPr="003C3D43">
              <w:rPr>
                <w:sz w:val="26"/>
                <w:rtl/>
              </w:rPr>
              <w:t>ל</w:t>
            </w:r>
            <w:r w:rsidRPr="003C3D43">
              <w:rPr>
                <w:rFonts w:hint="cs"/>
                <w:sz w:val="26"/>
                <w:rtl/>
              </w:rPr>
              <w:t>א במידה הנדרשת על ידי אותו טעם</w:t>
            </w:r>
            <w:r>
              <w:rPr>
                <w:rStyle w:val="default"/>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B8107C">
            <w:pPr>
              <w:pStyle w:val="TableText"/>
              <w:tabs>
                <w:tab w:val="clear" w:pos="1247"/>
              </w:tabs>
              <w:ind w:left="146" w:right="142"/>
              <w:rPr>
                <w:rtl/>
              </w:rPr>
            </w:pPr>
            <w:r>
              <w:rPr>
                <w:rFonts w:hint="cs"/>
                <w:rtl/>
              </w:rPr>
              <w:t>בקשה לממונה להתיר עיון במידע מוגן של אדם אחר</w:t>
            </w:r>
          </w:p>
        </w:tc>
        <w:tc>
          <w:tcPr>
            <w:tcW w:w="678" w:type="dxa"/>
          </w:tcPr>
          <w:p w:rsidR="003322DE" w:rsidRPr="00652872" w:rsidRDefault="003322DE" w:rsidP="006B00B1">
            <w:pPr>
              <w:pStyle w:val="TableText"/>
              <w:ind w:right="-426"/>
              <w:rPr>
                <w:rtl/>
              </w:rPr>
            </w:pPr>
            <w:r>
              <w:rPr>
                <w:rFonts w:hint="cs"/>
                <w:rtl/>
              </w:rPr>
              <w:t>37ב.</w:t>
            </w:r>
          </w:p>
        </w:tc>
        <w:tc>
          <w:tcPr>
            <w:tcW w:w="4000" w:type="dxa"/>
            <w:gridSpan w:val="3"/>
            <w:shd w:val="clear" w:color="auto" w:fill="auto"/>
            <w:tcMar>
              <w:top w:w="91" w:type="dxa"/>
              <w:left w:w="0" w:type="dxa"/>
              <w:bottom w:w="91" w:type="dxa"/>
              <w:right w:w="0" w:type="dxa"/>
            </w:tcMar>
          </w:tcPr>
          <w:p w:rsidR="003322DE" w:rsidRPr="00652872" w:rsidRDefault="003322DE" w:rsidP="00F112E4">
            <w:pPr>
              <w:pStyle w:val="TableBlock"/>
              <w:ind w:left="201"/>
              <w:rPr>
                <w:rtl/>
              </w:rPr>
            </w:pPr>
            <w:r>
              <w:rPr>
                <w:rFonts w:hint="cs"/>
                <w:rtl/>
              </w:rPr>
              <w:t>(א)</w:t>
            </w:r>
            <w:r>
              <w:rPr>
                <w:rFonts w:hint="cs"/>
                <w:rtl/>
              </w:rPr>
              <w:tab/>
            </w:r>
            <w:r w:rsidRPr="00836999">
              <w:rPr>
                <w:rStyle w:val="default"/>
                <w:rFonts w:hint="cs"/>
                <w:rtl/>
              </w:rPr>
              <w:t xml:space="preserve">עורר או צד אחר </w:t>
            </w:r>
            <w:r w:rsidRPr="00836999">
              <w:rPr>
                <w:rStyle w:val="default"/>
                <w:rtl/>
              </w:rPr>
              <w:t>ל</w:t>
            </w:r>
            <w:r w:rsidRPr="00836999">
              <w:rPr>
                <w:rStyle w:val="default"/>
                <w:rFonts w:hint="eastAsia"/>
                <w:rtl/>
              </w:rPr>
              <w:t>הליך</w:t>
            </w:r>
            <w:r w:rsidRPr="00836999">
              <w:rPr>
                <w:rStyle w:val="default"/>
                <w:rtl/>
              </w:rPr>
              <w:t xml:space="preserve"> </w:t>
            </w:r>
            <w:r>
              <w:rPr>
                <w:rStyle w:val="default"/>
                <w:rFonts w:hint="cs"/>
                <w:rtl/>
              </w:rPr>
              <w:t xml:space="preserve">לפני </w:t>
            </w:r>
            <w:r w:rsidRPr="00836999">
              <w:rPr>
                <w:rStyle w:val="default"/>
                <w:rFonts w:hint="eastAsia"/>
                <w:rtl/>
              </w:rPr>
              <w:t>בית</w:t>
            </w:r>
            <w:r w:rsidRPr="00836999">
              <w:rPr>
                <w:rStyle w:val="default"/>
                <w:rtl/>
              </w:rPr>
              <w:t xml:space="preserve"> </w:t>
            </w:r>
            <w:r w:rsidRPr="00836999">
              <w:rPr>
                <w:rStyle w:val="default"/>
                <w:rFonts w:hint="eastAsia"/>
                <w:rtl/>
              </w:rPr>
              <w:t>הדין</w:t>
            </w:r>
            <w:r w:rsidRPr="00836999">
              <w:rPr>
                <w:rStyle w:val="default"/>
                <w:rFonts w:hint="cs"/>
                <w:rtl/>
              </w:rPr>
              <w:t xml:space="preserve"> </w:t>
            </w:r>
            <w:r>
              <w:rPr>
                <w:rStyle w:val="default"/>
                <w:rFonts w:hint="cs"/>
                <w:rtl/>
              </w:rPr>
              <w:t xml:space="preserve">(בסעיף זה </w:t>
            </w:r>
            <w:r>
              <w:rPr>
                <w:rStyle w:val="default"/>
                <w:rtl/>
              </w:rPr>
              <w:t>–</w:t>
            </w:r>
            <w:r>
              <w:rPr>
                <w:rStyle w:val="default"/>
                <w:rFonts w:hint="cs"/>
                <w:rtl/>
              </w:rPr>
              <w:t xml:space="preserve"> המבקש) רשאי להגיש לממונה בקשה </w:t>
            </w:r>
            <w:r w:rsidRPr="00836999">
              <w:rPr>
                <w:rStyle w:val="default"/>
                <w:rFonts w:hint="cs"/>
                <w:rtl/>
              </w:rPr>
              <w:t>לעיין גם במסמכים</w:t>
            </w:r>
            <w:r>
              <w:rPr>
                <w:rStyle w:val="default"/>
                <w:rFonts w:hint="cs"/>
                <w:rtl/>
              </w:rPr>
              <w:t xml:space="preserve"> או חלקי מסמכים</w:t>
            </w:r>
            <w:r w:rsidRPr="00836999">
              <w:rPr>
                <w:rStyle w:val="default"/>
                <w:rFonts w:hint="cs"/>
                <w:rtl/>
              </w:rPr>
              <w:t xml:space="preserve"> </w:t>
            </w:r>
            <w:r>
              <w:rPr>
                <w:rStyle w:val="default"/>
                <w:rFonts w:hint="cs"/>
                <w:rtl/>
              </w:rPr>
              <w:t xml:space="preserve">המצויים </w:t>
            </w:r>
            <w:r w:rsidRPr="00836999">
              <w:rPr>
                <w:rStyle w:val="default"/>
                <w:rFonts w:hint="cs"/>
                <w:rtl/>
              </w:rPr>
              <w:t xml:space="preserve">בתיק </w:t>
            </w:r>
            <w:r>
              <w:rPr>
                <w:rStyle w:val="default"/>
                <w:rFonts w:hint="cs"/>
                <w:rtl/>
              </w:rPr>
              <w:t xml:space="preserve">שמתקיים בהם האמור </w:t>
            </w:r>
            <w:r w:rsidRPr="00836999">
              <w:rPr>
                <w:rStyle w:val="default"/>
                <w:rFonts w:hint="cs"/>
                <w:rtl/>
              </w:rPr>
              <w:t>בסעי</w:t>
            </w:r>
            <w:r>
              <w:rPr>
                <w:rStyle w:val="default"/>
                <w:rFonts w:hint="cs"/>
                <w:rtl/>
              </w:rPr>
              <w:t>פים</w:t>
            </w:r>
            <w:r w:rsidRPr="00836999">
              <w:rPr>
                <w:rStyle w:val="default"/>
                <w:rFonts w:hint="cs"/>
                <w:rtl/>
              </w:rPr>
              <w:t xml:space="preserve"> </w:t>
            </w:r>
            <w:r>
              <w:rPr>
                <w:rStyle w:val="default"/>
                <w:rFonts w:hint="cs"/>
                <w:rtl/>
              </w:rPr>
              <w:t>37א</w:t>
            </w:r>
            <w:r w:rsidRPr="00836999">
              <w:rPr>
                <w:rStyle w:val="default"/>
                <w:rFonts w:hint="cs"/>
                <w:rtl/>
              </w:rPr>
              <w:t>(ב)</w:t>
            </w:r>
            <w:r>
              <w:rPr>
                <w:rStyle w:val="default"/>
                <w:rFonts w:hint="cs"/>
                <w:rtl/>
              </w:rPr>
              <w:t>(2), 37א(ב)(6) או</w:t>
            </w:r>
            <w:r w:rsidRPr="00836999">
              <w:rPr>
                <w:rStyle w:val="default"/>
                <w:rFonts w:hint="cs"/>
                <w:rtl/>
              </w:rPr>
              <w:t xml:space="preserve"> </w:t>
            </w:r>
            <w:r>
              <w:rPr>
                <w:rStyle w:val="default"/>
                <w:rFonts w:hint="cs"/>
                <w:rtl/>
              </w:rPr>
              <w:t>37א(ב)(7).</w:t>
            </w:r>
            <w:r>
              <w:rPr>
                <w:rtl/>
              </w:rPr>
              <w:tab/>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0"/>
              <w:rPr>
                <w:rtl/>
              </w:rPr>
            </w:pPr>
            <w:r>
              <w:rPr>
                <w:rFonts w:hint="cs"/>
                <w:rtl/>
              </w:rPr>
              <w:t>(ב)</w:t>
            </w:r>
          </w:p>
        </w:tc>
        <w:tc>
          <w:tcPr>
            <w:tcW w:w="3376" w:type="dxa"/>
            <w:gridSpan w:val="2"/>
            <w:shd w:val="clear" w:color="auto" w:fill="auto"/>
            <w:tcMar>
              <w:top w:w="91" w:type="dxa"/>
              <w:left w:w="0" w:type="dxa"/>
              <w:bottom w:w="91" w:type="dxa"/>
              <w:right w:w="0" w:type="dxa"/>
            </w:tcMar>
          </w:tcPr>
          <w:p w:rsidR="00A2075B" w:rsidRPr="00652872" w:rsidRDefault="003322DE" w:rsidP="00F112E4">
            <w:pPr>
              <w:pStyle w:val="TableBlock"/>
              <w:ind w:left="144"/>
              <w:rPr>
                <w:rtl/>
              </w:rPr>
            </w:pPr>
            <w:r>
              <w:rPr>
                <w:rFonts w:hint="cs"/>
                <w:rtl/>
              </w:rPr>
              <w:t>(1)</w:t>
            </w:r>
            <w:r>
              <w:rPr>
                <w:rtl/>
              </w:rPr>
              <w:tab/>
            </w:r>
            <w:r w:rsidRPr="004B4623">
              <w:rPr>
                <w:rStyle w:val="default"/>
                <w:rFonts w:hint="cs"/>
                <w:rtl/>
              </w:rPr>
              <w:t xml:space="preserve">התקבלה בקשה לפי סעיף </w:t>
            </w:r>
            <w:r w:rsidR="00211A15">
              <w:rPr>
                <w:rStyle w:val="default"/>
                <w:rFonts w:hint="cs"/>
                <w:rtl/>
              </w:rPr>
              <w:t>קטן (</w:t>
            </w:r>
            <w:r w:rsidRPr="004B4623">
              <w:rPr>
                <w:rStyle w:val="default"/>
                <w:rFonts w:hint="cs"/>
                <w:rtl/>
              </w:rPr>
              <w:t>א), הממונה יעביר מסמכים או חלקי מסמכים שהתבקשו לבא</w:t>
            </w:r>
            <w:r w:rsidRPr="004B4623">
              <w:rPr>
                <w:rStyle w:val="default"/>
                <w:rtl/>
              </w:rPr>
              <w:t xml:space="preserve"> </w:t>
            </w:r>
            <w:r w:rsidRPr="004B4623">
              <w:rPr>
                <w:rStyle w:val="default"/>
                <w:rFonts w:hint="cs"/>
                <w:rtl/>
              </w:rPr>
              <w:t>כוחו</w:t>
            </w:r>
            <w:r w:rsidRPr="004B4623">
              <w:rPr>
                <w:rStyle w:val="default"/>
                <w:rtl/>
              </w:rPr>
              <w:t xml:space="preserve"> </w:t>
            </w:r>
            <w:r w:rsidRPr="004B4623">
              <w:rPr>
                <w:rStyle w:val="default"/>
                <w:rFonts w:hint="cs"/>
                <w:rtl/>
              </w:rPr>
              <w:t>של המבקש או</w:t>
            </w:r>
            <w:r w:rsidRPr="004B4623">
              <w:rPr>
                <w:rStyle w:val="default"/>
                <w:rtl/>
              </w:rPr>
              <w:t xml:space="preserve"> </w:t>
            </w:r>
            <w:r w:rsidRPr="004B4623">
              <w:rPr>
                <w:rStyle w:val="default"/>
                <w:rFonts w:hint="cs"/>
                <w:rtl/>
              </w:rPr>
              <w:t>למומחה</w:t>
            </w:r>
            <w:r w:rsidRPr="004B4623">
              <w:rPr>
                <w:rStyle w:val="default"/>
                <w:rtl/>
              </w:rPr>
              <w:t xml:space="preserve"> </w:t>
            </w:r>
            <w:r w:rsidRPr="004B4623">
              <w:rPr>
                <w:rStyle w:val="default"/>
                <w:rFonts w:hint="cs"/>
                <w:rtl/>
              </w:rPr>
              <w:t>מטעמו</w:t>
            </w:r>
            <w:r w:rsidRPr="004B4623">
              <w:rPr>
                <w:rStyle w:val="default"/>
                <w:rtl/>
              </w:rPr>
              <w:t xml:space="preserve"> </w:t>
            </w:r>
            <w:r w:rsidRPr="004B4623">
              <w:rPr>
                <w:rStyle w:val="default"/>
                <w:rFonts w:hint="cs"/>
                <w:rtl/>
              </w:rPr>
              <w:t>בלבד, ובלבד שניתנה הצהרה לשמירה על סודיות המסמכים</w:t>
            </w:r>
            <w:r w:rsidRPr="004B4623">
              <w:rPr>
                <w:rStyle w:val="default"/>
                <w:rtl/>
              </w:rPr>
              <w:t xml:space="preserve"> </w:t>
            </w:r>
            <w:r w:rsidRPr="004B4623">
              <w:rPr>
                <w:rStyle w:val="default"/>
                <w:rFonts w:hint="cs"/>
                <w:rtl/>
              </w:rPr>
              <w:t>או חלקי</w:t>
            </w:r>
            <w:r w:rsidRPr="004B4623">
              <w:rPr>
                <w:rStyle w:val="default"/>
                <w:rtl/>
              </w:rPr>
              <w:t xml:space="preserve"> </w:t>
            </w:r>
            <w:r w:rsidRPr="004B4623">
              <w:rPr>
                <w:rStyle w:val="default"/>
                <w:rFonts w:hint="cs"/>
                <w:rtl/>
              </w:rPr>
              <w:t>המסמכים שיימסרו, אשר במסגרתה יתחייב מקבל המידע שלא להעביר את המסמכים או תוכנם, בין היתר למבקש עצמו; הצהרה כאמור תיערך באופן שיקבע הממונה.</w:t>
            </w:r>
            <w:r w:rsidRPr="004B4623">
              <w:rPr>
                <w:rStyle w:val="default"/>
                <w:rtl/>
              </w:rPr>
              <w:t xml:space="preserve"> </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3376" w:type="dxa"/>
            <w:gridSpan w:val="2"/>
            <w:shd w:val="clear" w:color="auto" w:fill="auto"/>
            <w:tcMar>
              <w:top w:w="91" w:type="dxa"/>
              <w:left w:w="0" w:type="dxa"/>
              <w:bottom w:w="91" w:type="dxa"/>
              <w:right w:w="0" w:type="dxa"/>
            </w:tcMar>
          </w:tcPr>
          <w:p w:rsidR="003322DE" w:rsidRPr="00652872" w:rsidRDefault="003322DE" w:rsidP="00F112E4">
            <w:pPr>
              <w:pStyle w:val="TableBlock"/>
              <w:ind w:left="144" w:right="-426"/>
              <w:rPr>
                <w:rtl/>
              </w:rPr>
            </w:pPr>
            <w:r>
              <w:rPr>
                <w:rFonts w:hint="cs"/>
                <w:rtl/>
              </w:rPr>
              <w:t>(2)</w:t>
            </w:r>
            <w:r>
              <w:rPr>
                <w:rtl/>
              </w:rPr>
              <w:tab/>
            </w:r>
            <w:r>
              <w:rPr>
                <w:rFonts w:hint="cs"/>
                <w:rtl/>
              </w:rPr>
              <w:t xml:space="preserve">בסעיף קטן זה </w:t>
            </w:r>
            <w:r>
              <w:rPr>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569" w:type="dxa"/>
            <w:shd w:val="clear" w:color="auto" w:fill="auto"/>
            <w:tcMar>
              <w:top w:w="91" w:type="dxa"/>
              <w:left w:w="0" w:type="dxa"/>
              <w:bottom w:w="91" w:type="dxa"/>
              <w:right w:w="0" w:type="dxa"/>
            </w:tcMar>
          </w:tcPr>
          <w:p w:rsidR="003322DE" w:rsidRPr="00652872" w:rsidRDefault="003322DE" w:rsidP="006B00B1">
            <w:pPr>
              <w:pStyle w:val="TableBlockOutdent"/>
              <w:ind w:right="-426"/>
              <w:jc w:val="left"/>
              <w:rPr>
                <w:rtl/>
              </w:rPr>
            </w:pPr>
          </w:p>
        </w:tc>
        <w:tc>
          <w:tcPr>
            <w:tcW w:w="2807" w:type="dxa"/>
            <w:shd w:val="clear" w:color="auto" w:fill="auto"/>
          </w:tcPr>
          <w:p w:rsidR="003322DE" w:rsidRPr="00652872" w:rsidRDefault="003322DE" w:rsidP="00F112E4">
            <w:pPr>
              <w:pStyle w:val="TableBlockOutdent"/>
              <w:ind w:hanging="482"/>
              <w:rPr>
                <w:rtl/>
              </w:rPr>
            </w:pPr>
            <w:r w:rsidRPr="00C0285C">
              <w:rPr>
                <w:rStyle w:val="default"/>
                <w:rtl/>
              </w:rPr>
              <w:t>"</w:t>
            </w:r>
            <w:r w:rsidRPr="004442DF">
              <w:rPr>
                <w:rFonts w:hint="cs"/>
                <w:rtl/>
              </w:rPr>
              <w:t>בא</w:t>
            </w:r>
            <w:r w:rsidRPr="004442DF">
              <w:rPr>
                <w:rtl/>
              </w:rPr>
              <w:t xml:space="preserve"> </w:t>
            </w:r>
            <w:r w:rsidRPr="004442DF">
              <w:rPr>
                <w:rFonts w:hint="cs"/>
                <w:rtl/>
              </w:rPr>
              <w:t>כוח</w:t>
            </w:r>
            <w:r w:rsidRPr="004442DF">
              <w:rPr>
                <w:rtl/>
              </w:rPr>
              <w:t xml:space="preserve">" </w:t>
            </w:r>
            <w:r w:rsidRPr="004442DF">
              <w:rPr>
                <w:rFonts w:hint="cs"/>
                <w:rtl/>
              </w:rPr>
              <w:t>ו</w:t>
            </w:r>
            <w:r w:rsidRPr="004442DF">
              <w:rPr>
                <w:rtl/>
              </w:rPr>
              <w:t>"</w:t>
            </w:r>
            <w:r w:rsidRPr="004442DF">
              <w:rPr>
                <w:rFonts w:hint="cs"/>
                <w:rtl/>
              </w:rPr>
              <w:t>מומחה</w:t>
            </w:r>
            <w:r w:rsidRPr="004442DF">
              <w:rPr>
                <w:rtl/>
              </w:rPr>
              <w:t xml:space="preserve"> </w:t>
            </w:r>
            <w:r w:rsidRPr="004442DF">
              <w:rPr>
                <w:rFonts w:hint="cs"/>
                <w:rtl/>
              </w:rPr>
              <w:t>כלכלי</w:t>
            </w:r>
            <w:r w:rsidRPr="004442DF">
              <w:rPr>
                <w:rtl/>
              </w:rPr>
              <w:t xml:space="preserve">" – </w:t>
            </w:r>
            <w:r w:rsidRPr="004442DF">
              <w:rPr>
                <w:rFonts w:hint="cs"/>
                <w:rtl/>
              </w:rPr>
              <w:t>למעט</w:t>
            </w:r>
            <w:r w:rsidRPr="004442DF">
              <w:rPr>
                <w:rtl/>
              </w:rPr>
              <w:t xml:space="preserve"> </w:t>
            </w:r>
            <w:r w:rsidRPr="004442DF">
              <w:rPr>
                <w:rFonts w:hint="cs"/>
                <w:rtl/>
              </w:rPr>
              <w:t>מי</w:t>
            </w:r>
            <w:r w:rsidRPr="004442DF">
              <w:rPr>
                <w:rtl/>
              </w:rPr>
              <w:t xml:space="preserve"> </w:t>
            </w:r>
            <w:r w:rsidRPr="004442DF">
              <w:rPr>
                <w:rFonts w:hint="cs"/>
                <w:rtl/>
              </w:rPr>
              <w:t>שמועסק</w:t>
            </w:r>
            <w:r w:rsidRPr="004442DF">
              <w:rPr>
                <w:rtl/>
              </w:rPr>
              <w:t xml:space="preserve"> </w:t>
            </w:r>
            <w:r w:rsidRPr="004442DF">
              <w:rPr>
                <w:rFonts w:hint="cs"/>
                <w:rtl/>
              </w:rPr>
              <w:t>דרך</w:t>
            </w:r>
            <w:r w:rsidRPr="004442DF">
              <w:rPr>
                <w:rtl/>
              </w:rPr>
              <w:t xml:space="preserve"> </w:t>
            </w:r>
            <w:r w:rsidRPr="004442DF">
              <w:rPr>
                <w:rFonts w:hint="cs"/>
                <w:rtl/>
              </w:rPr>
              <w:t>קבע</w:t>
            </w:r>
            <w:r w:rsidRPr="004442DF">
              <w:rPr>
                <w:rtl/>
              </w:rPr>
              <w:t xml:space="preserve"> </w:t>
            </w:r>
            <w:r w:rsidRPr="004442DF">
              <w:rPr>
                <w:rFonts w:hint="cs"/>
                <w:rtl/>
              </w:rPr>
              <w:t>על</w:t>
            </w:r>
            <w:r w:rsidRPr="004442DF">
              <w:rPr>
                <w:rtl/>
              </w:rPr>
              <w:t xml:space="preserve"> </w:t>
            </w:r>
            <w:r w:rsidRPr="004442DF">
              <w:rPr>
                <w:rFonts w:hint="cs"/>
                <w:rtl/>
              </w:rPr>
              <w:t>ידי</w:t>
            </w:r>
            <w:r w:rsidRPr="004442DF">
              <w:rPr>
                <w:rtl/>
              </w:rPr>
              <w:t xml:space="preserve"> </w:t>
            </w:r>
            <w:r w:rsidRPr="004442DF">
              <w:rPr>
                <w:rFonts w:hint="cs"/>
                <w:rtl/>
              </w:rPr>
              <w:t>המבקש</w:t>
            </w:r>
            <w:r w:rsidRPr="004442DF">
              <w:rPr>
                <w:rtl/>
              </w:rPr>
              <w:t xml:space="preserve"> </w:t>
            </w:r>
            <w:r w:rsidRPr="004442DF">
              <w:rPr>
                <w:rFonts w:hint="cs"/>
                <w:rtl/>
              </w:rPr>
              <w:t>או</w:t>
            </w:r>
            <w:r w:rsidRPr="004442DF">
              <w:rPr>
                <w:rtl/>
              </w:rPr>
              <w:t xml:space="preserve"> </w:t>
            </w:r>
            <w:r w:rsidRPr="004442DF">
              <w:rPr>
                <w:rFonts w:hint="cs"/>
                <w:rtl/>
              </w:rPr>
              <w:t>על</w:t>
            </w:r>
            <w:r w:rsidRPr="004442DF">
              <w:rPr>
                <w:rtl/>
              </w:rPr>
              <w:t xml:space="preserve"> </w:t>
            </w:r>
            <w:r w:rsidRPr="004442DF">
              <w:rPr>
                <w:rFonts w:hint="cs"/>
                <w:rtl/>
              </w:rPr>
              <w:t>ידי</w:t>
            </w:r>
            <w:r w:rsidRPr="004442DF">
              <w:rPr>
                <w:rtl/>
              </w:rPr>
              <w:t xml:space="preserve"> </w:t>
            </w:r>
            <w:r w:rsidRPr="004442DF">
              <w:rPr>
                <w:rFonts w:hint="cs"/>
                <w:rtl/>
              </w:rPr>
              <w:t>אדם</w:t>
            </w:r>
            <w:r w:rsidRPr="004442DF">
              <w:rPr>
                <w:rtl/>
              </w:rPr>
              <w:t xml:space="preserve"> </w:t>
            </w:r>
            <w:r w:rsidRPr="004442DF">
              <w:rPr>
                <w:rFonts w:hint="cs"/>
                <w:rtl/>
              </w:rPr>
              <w:t>הקשור</w:t>
            </w:r>
            <w:r w:rsidRPr="004442DF">
              <w:rPr>
                <w:rtl/>
              </w:rPr>
              <w:t xml:space="preserve"> </w:t>
            </w:r>
            <w:r w:rsidRPr="004442DF">
              <w:rPr>
                <w:rFonts w:hint="cs"/>
                <w:rtl/>
              </w:rPr>
              <w:t>אליו</w:t>
            </w:r>
            <w:r w:rsidRPr="004442DF">
              <w:rPr>
                <w:rtl/>
              </w:rPr>
              <w:t xml:space="preserve">, </w:t>
            </w:r>
            <w:r w:rsidRPr="004442DF">
              <w:rPr>
                <w:rFonts w:hint="cs"/>
                <w:rtl/>
              </w:rPr>
              <w:t>ולמעט</w:t>
            </w:r>
            <w:r w:rsidRPr="004442DF">
              <w:rPr>
                <w:rtl/>
              </w:rPr>
              <w:t xml:space="preserve"> </w:t>
            </w:r>
            <w:r w:rsidRPr="004442DF">
              <w:rPr>
                <w:rFonts w:hint="cs"/>
                <w:rtl/>
              </w:rPr>
              <w:t>מי</w:t>
            </w:r>
            <w:r w:rsidRPr="004442DF">
              <w:rPr>
                <w:rtl/>
              </w:rPr>
              <w:t xml:space="preserve"> </w:t>
            </w:r>
            <w:r w:rsidRPr="004442DF">
              <w:rPr>
                <w:rFonts w:hint="cs"/>
                <w:rtl/>
              </w:rPr>
              <w:t>שיש</w:t>
            </w:r>
            <w:r w:rsidRPr="004442DF">
              <w:rPr>
                <w:rtl/>
              </w:rPr>
              <w:t xml:space="preserve"> </w:t>
            </w:r>
            <w:r w:rsidRPr="004442DF">
              <w:rPr>
                <w:rFonts w:hint="cs"/>
                <w:rtl/>
              </w:rPr>
              <w:t>לו</w:t>
            </w:r>
            <w:r w:rsidRPr="004442DF">
              <w:rPr>
                <w:rtl/>
              </w:rPr>
              <w:t xml:space="preserve"> </w:t>
            </w:r>
            <w:r w:rsidRPr="004442DF">
              <w:rPr>
                <w:rFonts w:hint="cs"/>
                <w:rtl/>
              </w:rPr>
              <w:t>עניין</w:t>
            </w:r>
            <w:r w:rsidRPr="004442DF">
              <w:rPr>
                <w:rtl/>
              </w:rPr>
              <w:t xml:space="preserve"> </w:t>
            </w:r>
            <w:r w:rsidRPr="004442DF">
              <w:rPr>
                <w:rFonts w:hint="cs"/>
                <w:rtl/>
              </w:rPr>
              <w:t>אישי</w:t>
            </w:r>
            <w:r w:rsidRPr="004442DF">
              <w:rPr>
                <w:rtl/>
              </w:rPr>
              <w:t xml:space="preserve"> </w:t>
            </w:r>
            <w:r w:rsidRPr="004442DF">
              <w:rPr>
                <w:rFonts w:hint="cs"/>
                <w:rtl/>
              </w:rPr>
              <w:t>במבקש</w:t>
            </w:r>
            <w:r w:rsidRPr="004442DF">
              <w:rPr>
                <w:rtl/>
              </w:rPr>
              <w:t xml:space="preserve"> </w:t>
            </w:r>
            <w:r w:rsidRPr="004442DF">
              <w:rPr>
                <w:rFonts w:hint="cs"/>
                <w:rtl/>
              </w:rPr>
              <w:t>העיון</w:t>
            </w:r>
            <w:r w:rsidRPr="004442DF">
              <w:rPr>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569" w:type="dxa"/>
            <w:shd w:val="clear" w:color="auto" w:fill="auto"/>
            <w:tcMar>
              <w:top w:w="91" w:type="dxa"/>
              <w:left w:w="0" w:type="dxa"/>
              <w:bottom w:w="91" w:type="dxa"/>
              <w:right w:w="0" w:type="dxa"/>
            </w:tcMar>
          </w:tcPr>
          <w:p w:rsidR="003322DE" w:rsidRPr="00652872" w:rsidRDefault="003322DE" w:rsidP="006B00B1">
            <w:pPr>
              <w:pStyle w:val="TableBlockOutdent"/>
              <w:ind w:right="-426"/>
              <w:jc w:val="left"/>
              <w:rPr>
                <w:rtl/>
              </w:rPr>
            </w:pPr>
          </w:p>
        </w:tc>
        <w:tc>
          <w:tcPr>
            <w:tcW w:w="2807" w:type="dxa"/>
            <w:shd w:val="clear" w:color="auto" w:fill="auto"/>
          </w:tcPr>
          <w:p w:rsidR="003322DE" w:rsidRPr="00C0285C" w:rsidRDefault="003322DE" w:rsidP="00F112E4">
            <w:pPr>
              <w:pStyle w:val="TableBlockOutdent"/>
              <w:ind w:hanging="482"/>
              <w:rPr>
                <w:rStyle w:val="default"/>
                <w:rtl/>
              </w:rPr>
            </w:pPr>
            <w:r>
              <w:rPr>
                <w:rStyle w:val="default"/>
                <w:rFonts w:hint="cs"/>
                <w:rtl/>
              </w:rPr>
              <w:t>"</w:t>
            </w:r>
            <w:r w:rsidRPr="004442DF">
              <w:rPr>
                <w:rFonts w:hint="cs"/>
                <w:rtl/>
              </w:rPr>
              <w:t xml:space="preserve">עניין אישי" </w:t>
            </w:r>
            <w:r w:rsidRPr="004442DF">
              <w:rPr>
                <w:rtl/>
              </w:rPr>
              <w:t>–</w:t>
            </w:r>
            <w:r w:rsidRPr="004442DF">
              <w:rPr>
                <w:rFonts w:hint="cs"/>
                <w:rtl/>
              </w:rPr>
              <w:t xml:space="preserve"> כהגדרתו בחוק החברות, התשנ"ט</w:t>
            </w:r>
            <w:r w:rsidRPr="004442DF">
              <w:rPr>
                <w:rFonts w:hint="eastAsia"/>
                <w:rtl/>
              </w:rPr>
              <w:t>–</w:t>
            </w:r>
            <w:r w:rsidRPr="004442DF">
              <w:rPr>
                <w:rFonts w:hint="cs"/>
                <w:rtl/>
              </w:rPr>
              <w:t>1999</w:t>
            </w:r>
            <w:r w:rsidRPr="00895472">
              <w:rPr>
                <w:rStyle w:val="a7"/>
                <w:rFonts w:asciiTheme="minorBidi" w:hAnsiTheme="minorBidi" w:cstheme="minorBidi"/>
                <w:szCs w:val="20"/>
                <w:rtl/>
              </w:rPr>
              <w:footnoteReference w:id="4"/>
            </w:r>
            <w:r>
              <w:rPr>
                <w:rStyle w:val="default"/>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Block"/>
              <w:ind w:right="-426"/>
              <w:jc w:val="left"/>
              <w:rPr>
                <w:rtl/>
              </w:rPr>
            </w:pPr>
          </w:p>
        </w:tc>
        <w:tc>
          <w:tcPr>
            <w:tcW w:w="4000" w:type="dxa"/>
            <w:gridSpan w:val="3"/>
            <w:shd w:val="clear" w:color="auto" w:fill="auto"/>
            <w:tcMar>
              <w:top w:w="91" w:type="dxa"/>
              <w:left w:w="0" w:type="dxa"/>
              <w:bottom w:w="91" w:type="dxa"/>
              <w:right w:w="0" w:type="dxa"/>
            </w:tcMar>
          </w:tcPr>
          <w:p w:rsidR="00F112E4" w:rsidRDefault="003322DE" w:rsidP="00F112E4">
            <w:pPr>
              <w:pStyle w:val="TableBlock"/>
              <w:ind w:left="201"/>
              <w:rPr>
                <w:rtl/>
              </w:rPr>
            </w:pPr>
            <w:r>
              <w:rPr>
                <w:rFonts w:hint="cs"/>
                <w:rtl/>
              </w:rPr>
              <w:t>(ג)</w:t>
            </w:r>
            <w:r>
              <w:rPr>
                <w:rtl/>
              </w:rPr>
              <w:tab/>
            </w:r>
            <w:r w:rsidRPr="001F2CAA">
              <w:rPr>
                <w:rFonts w:hint="cs"/>
                <w:rtl/>
              </w:rPr>
              <w:t>הממונה רשאי, לבקשת המבקש, להעביר מסמכים או חלקי מסמכים שהתבקשו לפי סעיף קטן (א) לעיונו של המבקש עצמו, שלא באמצעות בא כוח או מומחה כאמור בסעיף קטן (ב), אם  מצא הממונה כי בנסיבות העניין עיון המבקש עצמו נחוץ לשם עשיית צדק, ועדיף מן הטעם</w:t>
            </w:r>
            <w:r>
              <w:rPr>
                <w:rFonts w:hint="cs"/>
                <w:rtl/>
              </w:rPr>
              <w:t xml:space="preserve"> </w:t>
            </w:r>
            <w:r w:rsidRPr="001F2CAA">
              <w:rPr>
                <w:rFonts w:hint="cs"/>
                <w:rtl/>
              </w:rPr>
              <w:t>למניעת העיון;</w:t>
            </w:r>
          </w:p>
          <w:p w:rsidR="003322DE" w:rsidRPr="00652872" w:rsidRDefault="003322DE" w:rsidP="00F112E4">
            <w:pPr>
              <w:pStyle w:val="TableBlock"/>
              <w:ind w:left="201"/>
              <w:rPr>
                <w:rtl/>
              </w:rPr>
            </w:pPr>
            <w:r w:rsidRPr="001F2CAA">
              <w:rPr>
                <w:rFonts w:hint="cs"/>
                <w:rtl/>
              </w:rPr>
              <w:t>אולם הממונה לא ימסור מסמכים או חלקי מסמכים לפי סעיף קטן זה, אלא אם ניתנה הצהרה לשמירה על סודיות המסמכים</w:t>
            </w:r>
            <w:r w:rsidRPr="001F2CAA">
              <w:rPr>
                <w:rtl/>
              </w:rPr>
              <w:t xml:space="preserve"> </w:t>
            </w:r>
            <w:r w:rsidRPr="001F2CAA">
              <w:rPr>
                <w:rFonts w:hint="cs"/>
                <w:rtl/>
              </w:rPr>
              <w:t>או חלקי</w:t>
            </w:r>
            <w:r w:rsidRPr="001F2CAA">
              <w:rPr>
                <w:rtl/>
              </w:rPr>
              <w:t xml:space="preserve"> </w:t>
            </w:r>
            <w:r w:rsidRPr="001F2CAA">
              <w:rPr>
                <w:rFonts w:hint="cs"/>
                <w:rtl/>
              </w:rPr>
              <w:t>המסמכים שיימסרו; הצהרה כאמור תיערך באופן שייקבע הממונה.</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Block"/>
              <w:ind w:right="-426"/>
              <w:jc w:val="left"/>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Pr>
                <w:rtl/>
              </w:rPr>
            </w:pPr>
            <w:r>
              <w:rPr>
                <w:rFonts w:hint="cs"/>
                <w:rtl/>
              </w:rPr>
              <w:t>(ד)</w:t>
            </w:r>
            <w:r>
              <w:rPr>
                <w:rtl/>
              </w:rPr>
              <w:tab/>
            </w:r>
            <w:r w:rsidRPr="009E6FEE">
              <w:rPr>
                <w:rStyle w:val="default"/>
                <w:rFonts w:hint="cs"/>
                <w:rtl/>
              </w:rPr>
              <w:t>הממונה רשאי להתיר עיון בדרך אחרת מהדרכים הקבועות בסעיפים קטנים (ב) או (ג) או במגבלות נוספות, וכן לא להתיר עיון כלל, אם מצא כי בנסיבות המקרה הדבר נחוץ לשם איזון ראוי בין זכויותיו של המבקש לבין זכויותיו של מוסר המידע, ובשים לב לאינטרס הציבור.</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Block"/>
              <w:ind w:right="-426"/>
              <w:jc w:val="left"/>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Pr>
                <w:rtl/>
              </w:rPr>
            </w:pPr>
            <w:r>
              <w:rPr>
                <w:rFonts w:hint="cs"/>
                <w:rtl/>
              </w:rPr>
              <w:t>(ה)</w:t>
            </w:r>
            <w:r>
              <w:rPr>
                <w:rtl/>
              </w:rPr>
              <w:tab/>
            </w:r>
            <w:r w:rsidRPr="00836999">
              <w:rPr>
                <w:rStyle w:val="default"/>
                <w:rFonts w:hint="cs"/>
                <w:rtl/>
              </w:rPr>
              <w:t xml:space="preserve">הממונה לא </w:t>
            </w:r>
            <w:r>
              <w:rPr>
                <w:rStyle w:val="default"/>
                <w:rFonts w:hint="cs"/>
                <w:rtl/>
              </w:rPr>
              <w:t xml:space="preserve">ימסור מסמכים או חלקי מסמכים לעיון לפי סעיפים קטנים (ב) (ג) או (ד), אלא אם </w:t>
            </w:r>
            <w:r w:rsidRPr="00D74E71">
              <w:rPr>
                <w:rStyle w:val="default"/>
                <w:rFonts w:hint="cs"/>
                <w:rtl/>
              </w:rPr>
              <w:t>ניתנה למוסר המידע הזדמנות להציג לפניו את טענותיו; החליט הממונה להעמיד מסמך לעיון על אף התנגדותו של מוסר המידע,  יודיע על כך למוסר המידע בכתב, ולא יעמיד את המסמך לעיון אלא לאחר שחלפו 15 ימים מיום מתן ההודעה למוסר המידע או, אם פנה מוסר המידע לבית הדין לפי סעיף קטן (</w:t>
            </w:r>
            <w:r>
              <w:rPr>
                <w:rStyle w:val="default"/>
                <w:rFonts w:hint="cs"/>
                <w:rtl/>
              </w:rPr>
              <w:t>ו</w:t>
            </w:r>
            <w:r w:rsidRPr="00D74E71">
              <w:rPr>
                <w:rStyle w:val="default"/>
                <w:rFonts w:hint="cs"/>
                <w:rtl/>
              </w:rPr>
              <w:t>), עד להחלטת בית הדין בעניין</w:t>
            </w:r>
            <w:r>
              <w:rPr>
                <w:rStyle w:val="default"/>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Block"/>
              <w:ind w:right="-426"/>
              <w:jc w:val="left"/>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Pr>
                <w:rtl/>
              </w:rPr>
            </w:pPr>
            <w:r>
              <w:rPr>
                <w:rFonts w:hint="cs"/>
                <w:rtl/>
              </w:rPr>
              <w:t>(ו)</w:t>
            </w:r>
            <w:r>
              <w:rPr>
                <w:rtl/>
              </w:rPr>
              <w:tab/>
            </w:r>
            <w:r>
              <w:rPr>
                <w:rStyle w:val="default"/>
                <w:rFonts w:hint="cs"/>
                <w:rtl/>
              </w:rPr>
              <w:t>מבקש עיון לפי סעיף קטן (א), ומוסר מידע שהממונה החליט להעמיד לעיון לפי סעיפים קטנים (ב)</w:t>
            </w:r>
            <w:r w:rsidR="000B7A08">
              <w:rPr>
                <w:rStyle w:val="default"/>
                <w:rFonts w:hint="cs"/>
                <w:rtl/>
              </w:rPr>
              <w:t>, (ג)</w:t>
            </w:r>
            <w:r>
              <w:rPr>
                <w:rStyle w:val="default"/>
                <w:rFonts w:hint="cs"/>
                <w:rtl/>
              </w:rPr>
              <w:t xml:space="preserve"> או (</w:t>
            </w:r>
            <w:r w:rsidR="000B7A08">
              <w:rPr>
                <w:rStyle w:val="default"/>
                <w:rFonts w:hint="cs"/>
                <w:rtl/>
              </w:rPr>
              <w:t>ד</w:t>
            </w:r>
            <w:r>
              <w:rPr>
                <w:rStyle w:val="default"/>
                <w:rFonts w:hint="cs"/>
                <w:rtl/>
              </w:rPr>
              <w:t xml:space="preserve">), המתנגדים להחלטות הממונה לפי סעיף זה, רשאים לפנות לבית הדין </w:t>
            </w:r>
            <w:r w:rsidRPr="00177438">
              <w:rPr>
                <w:rStyle w:val="default"/>
                <w:rFonts w:hint="cs"/>
                <w:rtl/>
              </w:rPr>
              <w:t>בבקשת התנגדות</w:t>
            </w:r>
            <w:r>
              <w:rPr>
                <w:rStyle w:val="default"/>
                <w:rFonts w:hint="cs"/>
                <w:rtl/>
              </w:rPr>
              <w:t xml:space="preserve"> מנומקת בכתב</w:t>
            </w:r>
            <w:r w:rsidRPr="005E1837">
              <w:rPr>
                <w:rStyle w:val="default"/>
                <w:rFonts w:hint="eastAsia"/>
                <w:rtl/>
              </w:rPr>
              <w:t xml:space="preserve"> בתוך</w:t>
            </w:r>
            <w:r w:rsidRPr="005E1837">
              <w:rPr>
                <w:rStyle w:val="default"/>
                <w:rtl/>
              </w:rPr>
              <w:t xml:space="preserve"> 15 </w:t>
            </w:r>
            <w:r w:rsidRPr="005E1837">
              <w:rPr>
                <w:rStyle w:val="default"/>
                <w:rFonts w:hint="eastAsia"/>
                <w:rtl/>
              </w:rPr>
              <w:t>ימים</w:t>
            </w:r>
            <w:r w:rsidRPr="005E1837">
              <w:rPr>
                <w:rStyle w:val="default"/>
                <w:rtl/>
              </w:rPr>
              <w:t xml:space="preserve"> </w:t>
            </w:r>
            <w:r>
              <w:rPr>
                <w:rStyle w:val="default"/>
                <w:rFonts w:hint="cs"/>
                <w:rtl/>
              </w:rPr>
              <w:t>מיום שהממונה הודיע להם על החלטותיו.</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24" w:type="dxa"/>
          </w:tcPr>
          <w:p w:rsidR="003322DE" w:rsidRPr="00652872" w:rsidRDefault="003322DE" w:rsidP="006B00B1">
            <w:pPr>
              <w:pStyle w:val="TableText"/>
              <w:ind w:right="-426"/>
              <w:rPr>
                <w:rtl/>
              </w:rPr>
            </w:pPr>
          </w:p>
        </w:tc>
        <w:tc>
          <w:tcPr>
            <w:tcW w:w="452" w:type="dxa"/>
          </w:tcPr>
          <w:p w:rsidR="003322DE" w:rsidRPr="00652872" w:rsidRDefault="003322DE" w:rsidP="006B00B1">
            <w:pPr>
              <w:pStyle w:val="TableText"/>
              <w:ind w:right="-426"/>
              <w:rPr>
                <w:rtl/>
              </w:rPr>
            </w:pPr>
          </w:p>
        </w:tc>
        <w:tc>
          <w:tcPr>
            <w:tcW w:w="678" w:type="dxa"/>
          </w:tcPr>
          <w:p w:rsidR="003322DE" w:rsidRPr="00652872" w:rsidRDefault="003322DE" w:rsidP="006B00B1">
            <w:pPr>
              <w:pStyle w:val="TableBlock"/>
              <w:ind w:right="-426"/>
              <w:jc w:val="left"/>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Pr>
                <w:rtl/>
              </w:rPr>
            </w:pPr>
            <w:r>
              <w:rPr>
                <w:rFonts w:hint="cs"/>
                <w:rtl/>
              </w:rPr>
              <w:t>(ז)</w:t>
            </w:r>
            <w:r>
              <w:rPr>
                <w:rtl/>
              </w:rPr>
              <w:tab/>
            </w:r>
            <w:r>
              <w:rPr>
                <w:rStyle w:val="default"/>
                <w:rFonts w:hint="cs"/>
                <w:rtl/>
              </w:rPr>
              <w:t>בית הדין יחליט בבקשת התנגדות לפי סעיף (ו) לאחר שנתן לממונה, למבקש העיון ולמוסר המידע שהעיון בו מתבקש, הזדמנות להשמיע את טענותיהם.</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B8107C">
            <w:pPr>
              <w:pStyle w:val="TableText"/>
              <w:ind w:left="146" w:right="142"/>
              <w:rPr>
                <w:rtl/>
              </w:rPr>
            </w:pPr>
            <w:r>
              <w:rPr>
                <w:rFonts w:hint="cs"/>
                <w:rtl/>
              </w:rPr>
              <w:t>הצהרה לשמירה על סודיות</w:t>
            </w:r>
          </w:p>
        </w:tc>
        <w:tc>
          <w:tcPr>
            <w:tcW w:w="678" w:type="dxa"/>
          </w:tcPr>
          <w:p w:rsidR="003322DE" w:rsidRPr="00652872" w:rsidRDefault="003322DE" w:rsidP="006B00B1">
            <w:pPr>
              <w:pStyle w:val="TableText"/>
              <w:ind w:right="-426"/>
              <w:rPr>
                <w:rtl/>
              </w:rPr>
            </w:pPr>
            <w:r>
              <w:rPr>
                <w:rFonts w:hint="cs"/>
                <w:rtl/>
              </w:rPr>
              <w:t>37ג.</w:t>
            </w:r>
          </w:p>
        </w:tc>
        <w:tc>
          <w:tcPr>
            <w:tcW w:w="4000" w:type="dxa"/>
            <w:gridSpan w:val="3"/>
            <w:shd w:val="clear" w:color="auto" w:fill="auto"/>
            <w:tcMar>
              <w:top w:w="91" w:type="dxa"/>
              <w:left w:w="0" w:type="dxa"/>
              <w:bottom w:w="91" w:type="dxa"/>
              <w:right w:w="0" w:type="dxa"/>
            </w:tcMar>
          </w:tcPr>
          <w:p w:rsidR="003322DE" w:rsidRPr="0040569F" w:rsidRDefault="003322DE" w:rsidP="00F112E4">
            <w:pPr>
              <w:pStyle w:val="TableBlock"/>
              <w:ind w:left="201"/>
              <w:rPr>
                <w:rStyle w:val="default"/>
                <w:rtl/>
              </w:rPr>
            </w:pPr>
            <w:r w:rsidRPr="0040569F">
              <w:rPr>
                <w:rFonts w:hint="cs"/>
                <w:rtl/>
              </w:rPr>
              <w:t>לא יפר אדם הצהרה לשמירה על סודיות שנתן לפי סעיף 37ב(ב) או 37ב(ג).</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B8107C">
            <w:pPr>
              <w:pStyle w:val="TableText"/>
              <w:ind w:left="146" w:right="142"/>
              <w:rPr>
                <w:rtl/>
              </w:rPr>
            </w:pPr>
            <w:r w:rsidRPr="0040569F">
              <w:rPr>
                <w:rFonts w:hint="cs"/>
                <w:rtl/>
              </w:rPr>
              <w:t>בקשה לבית הדין להתיר עיון במסמכים</w:t>
            </w:r>
          </w:p>
        </w:tc>
        <w:tc>
          <w:tcPr>
            <w:tcW w:w="678" w:type="dxa"/>
          </w:tcPr>
          <w:p w:rsidR="003322DE" w:rsidRPr="00652872" w:rsidRDefault="003322DE" w:rsidP="006B00B1">
            <w:pPr>
              <w:pStyle w:val="TableText"/>
              <w:ind w:right="-426"/>
              <w:rPr>
                <w:rtl/>
              </w:rPr>
            </w:pPr>
            <w:r>
              <w:rPr>
                <w:rFonts w:hint="cs"/>
                <w:rtl/>
              </w:rPr>
              <w:t>37ד.</w:t>
            </w:r>
          </w:p>
        </w:tc>
        <w:tc>
          <w:tcPr>
            <w:tcW w:w="4000" w:type="dxa"/>
            <w:gridSpan w:val="3"/>
            <w:shd w:val="clear" w:color="auto" w:fill="auto"/>
            <w:tcMar>
              <w:top w:w="91" w:type="dxa"/>
              <w:left w:w="0" w:type="dxa"/>
              <w:bottom w:w="91" w:type="dxa"/>
              <w:right w:w="0" w:type="dxa"/>
            </w:tcMar>
          </w:tcPr>
          <w:p w:rsidR="003322DE" w:rsidRPr="00652872" w:rsidRDefault="003322DE" w:rsidP="00F112E4">
            <w:pPr>
              <w:pStyle w:val="TableBlock"/>
              <w:ind w:left="201"/>
              <w:rPr>
                <w:rtl/>
              </w:rPr>
            </w:pPr>
            <w:r>
              <w:rPr>
                <w:rFonts w:hint="cs"/>
                <w:rtl/>
              </w:rPr>
              <w:t>(א)</w:t>
            </w:r>
            <w:r>
              <w:rPr>
                <w:rtl/>
              </w:rPr>
              <w:tab/>
            </w:r>
            <w:r w:rsidRPr="0040569F">
              <w:rPr>
                <w:rFonts w:hint="cs"/>
                <w:rtl/>
              </w:rPr>
              <w:t xml:space="preserve">עורר או צד אחר </w:t>
            </w:r>
            <w:r w:rsidRPr="0040569F">
              <w:rPr>
                <w:rtl/>
              </w:rPr>
              <w:t>ל</w:t>
            </w:r>
            <w:r w:rsidRPr="0040569F">
              <w:rPr>
                <w:rFonts w:hint="eastAsia"/>
                <w:rtl/>
              </w:rPr>
              <w:t>הליך</w:t>
            </w:r>
            <w:r w:rsidRPr="0040569F">
              <w:rPr>
                <w:rtl/>
              </w:rPr>
              <w:t xml:space="preserve"> </w:t>
            </w:r>
            <w:r w:rsidRPr="0040569F">
              <w:rPr>
                <w:rFonts w:hint="cs"/>
                <w:rtl/>
              </w:rPr>
              <w:t xml:space="preserve">לפני </w:t>
            </w:r>
            <w:r w:rsidRPr="0040569F">
              <w:rPr>
                <w:rFonts w:hint="eastAsia"/>
                <w:rtl/>
              </w:rPr>
              <w:t>בית</w:t>
            </w:r>
            <w:r w:rsidRPr="0040569F">
              <w:rPr>
                <w:rtl/>
              </w:rPr>
              <w:t xml:space="preserve"> </w:t>
            </w:r>
            <w:r w:rsidRPr="0040569F">
              <w:rPr>
                <w:rFonts w:hint="eastAsia"/>
                <w:rtl/>
              </w:rPr>
              <w:t>הדין</w:t>
            </w:r>
            <w:r w:rsidRPr="0040569F">
              <w:rPr>
                <w:rFonts w:hint="cs"/>
                <w:rtl/>
              </w:rPr>
              <w:t xml:space="preserve"> רשאי לפנות לבית הדין בבקשה לעיין במסמכים או חלקי מסמכים שהעיון בהם נמנע ממנו לפי סעיפים</w:t>
            </w:r>
            <w:r>
              <w:rPr>
                <w:rFonts w:hint="cs"/>
                <w:rtl/>
              </w:rPr>
              <w:t xml:space="preserve"> </w:t>
            </w:r>
            <w:r w:rsidRPr="0040569F">
              <w:rPr>
                <w:rFonts w:hint="cs"/>
                <w:rtl/>
              </w:rPr>
              <w:t>37א(ב)(1), 37א(ב)(4), 37א(ב)(5), 37א(ב)(8), 37א(ב)(9) או 37א(ב)(10); בית הדין רשאי לאפשר עיון במסמכים, כפי שייקבע, אם לדעתו הצורך בעיון לשם עשיית צדק עדיף על הטעם למניעת העיון.</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40569F" w:rsidRDefault="003322DE" w:rsidP="006B00B1">
            <w:pPr>
              <w:pStyle w:val="TableText"/>
              <w:ind w:right="-426"/>
              <w:rPr>
                <w:rtl/>
              </w:rPr>
            </w:pPr>
          </w:p>
        </w:tc>
        <w:tc>
          <w:tcPr>
            <w:tcW w:w="678" w:type="dxa"/>
          </w:tcPr>
          <w:p w:rsidR="003322DE" w:rsidRDefault="003322DE" w:rsidP="006B00B1">
            <w:pPr>
              <w:pStyle w:val="TableText"/>
              <w:ind w:right="-426"/>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Pr>
                <w:rtl/>
              </w:rPr>
            </w:pPr>
            <w:r>
              <w:rPr>
                <w:rFonts w:hint="cs"/>
                <w:rtl/>
              </w:rPr>
              <w:t>(ב)</w:t>
            </w:r>
            <w:r>
              <w:rPr>
                <w:rtl/>
              </w:rPr>
              <w:tab/>
            </w:r>
            <w:r w:rsidRPr="00622FCB">
              <w:rPr>
                <w:rFonts w:hint="cs"/>
                <w:rtl/>
              </w:rPr>
              <w:t xml:space="preserve">עורר או צד אחר </w:t>
            </w:r>
            <w:r w:rsidRPr="00622FCB">
              <w:rPr>
                <w:rtl/>
              </w:rPr>
              <w:t>ל</w:t>
            </w:r>
            <w:r w:rsidRPr="00622FCB">
              <w:rPr>
                <w:rFonts w:hint="eastAsia"/>
                <w:rtl/>
              </w:rPr>
              <w:t>הליך</w:t>
            </w:r>
            <w:r w:rsidRPr="00622FCB">
              <w:rPr>
                <w:rtl/>
              </w:rPr>
              <w:t xml:space="preserve"> </w:t>
            </w:r>
            <w:r w:rsidRPr="00622FCB">
              <w:rPr>
                <w:rFonts w:hint="cs"/>
                <w:rtl/>
              </w:rPr>
              <w:t xml:space="preserve">לפני </w:t>
            </w:r>
            <w:r w:rsidRPr="00622FCB">
              <w:rPr>
                <w:rFonts w:hint="eastAsia"/>
                <w:rtl/>
              </w:rPr>
              <w:t>בית</w:t>
            </w:r>
            <w:r w:rsidRPr="00622FCB">
              <w:rPr>
                <w:rtl/>
              </w:rPr>
              <w:t xml:space="preserve"> </w:t>
            </w:r>
            <w:r w:rsidRPr="00622FCB">
              <w:rPr>
                <w:rFonts w:hint="eastAsia"/>
                <w:rtl/>
              </w:rPr>
              <w:t>הדין</w:t>
            </w:r>
            <w:r w:rsidRPr="00622FCB">
              <w:rPr>
                <w:rFonts w:hint="cs"/>
                <w:rtl/>
              </w:rPr>
              <w:t xml:space="preserve"> רשאי לפנות לבית הדין בבקשה לעיין במסמכים או חלקי מסמכים שהעיון בהם נמנע ממנו לפי סעיף 37א(ב)(3); על בקשה כאמור יחולו הוראות סעיף 31  לחוק בתי דין מינהליים.</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B8107C">
            <w:pPr>
              <w:pStyle w:val="TableText"/>
              <w:ind w:left="146" w:right="142"/>
              <w:rPr>
                <w:rtl/>
              </w:rPr>
            </w:pPr>
            <w:r w:rsidRPr="00E22A26">
              <w:rPr>
                <w:rFonts w:hint="cs"/>
                <w:rtl/>
              </w:rPr>
              <w:t>מסירת מסמכים לעיון בית הדין</w:t>
            </w:r>
          </w:p>
        </w:tc>
        <w:tc>
          <w:tcPr>
            <w:tcW w:w="678" w:type="dxa"/>
          </w:tcPr>
          <w:p w:rsidR="003322DE" w:rsidRDefault="003322DE" w:rsidP="006B00B1">
            <w:pPr>
              <w:pStyle w:val="TableText"/>
              <w:ind w:right="-426"/>
              <w:rPr>
                <w:rtl/>
              </w:rPr>
            </w:pPr>
            <w:r>
              <w:rPr>
                <w:rFonts w:hint="cs"/>
                <w:rtl/>
              </w:rPr>
              <w:t>37ה.</w:t>
            </w:r>
          </w:p>
        </w:tc>
        <w:tc>
          <w:tcPr>
            <w:tcW w:w="4000" w:type="dxa"/>
            <w:gridSpan w:val="3"/>
            <w:shd w:val="clear" w:color="auto" w:fill="auto"/>
            <w:tcMar>
              <w:top w:w="91" w:type="dxa"/>
              <w:left w:w="0" w:type="dxa"/>
              <w:bottom w:w="91" w:type="dxa"/>
              <w:right w:w="0" w:type="dxa"/>
            </w:tcMar>
          </w:tcPr>
          <w:p w:rsidR="003322DE" w:rsidRPr="00652872" w:rsidRDefault="003322DE" w:rsidP="00F112E4">
            <w:pPr>
              <w:pStyle w:val="TableBlock"/>
              <w:ind w:left="201"/>
              <w:rPr>
                <w:rtl/>
              </w:rPr>
            </w:pPr>
            <w:r w:rsidRPr="00E22A26">
              <w:rPr>
                <w:rFonts w:hint="cs"/>
                <w:rtl/>
              </w:rPr>
              <w:t>בית</w:t>
            </w:r>
            <w:r w:rsidRPr="00E22A26">
              <w:rPr>
                <w:rtl/>
              </w:rPr>
              <w:t xml:space="preserve"> </w:t>
            </w:r>
            <w:r w:rsidRPr="00E22A26">
              <w:rPr>
                <w:rFonts w:hint="cs"/>
                <w:rtl/>
              </w:rPr>
              <w:t>הדין</w:t>
            </w:r>
            <w:r w:rsidRPr="00E22A26">
              <w:rPr>
                <w:rtl/>
              </w:rPr>
              <w:t xml:space="preserve"> </w:t>
            </w:r>
            <w:r w:rsidRPr="00E22A26">
              <w:rPr>
                <w:rFonts w:hint="cs"/>
                <w:rtl/>
              </w:rPr>
              <w:t>רשאי</w:t>
            </w:r>
            <w:r w:rsidRPr="00E22A26">
              <w:rPr>
                <w:rtl/>
              </w:rPr>
              <w:t xml:space="preserve"> </w:t>
            </w:r>
            <w:r w:rsidRPr="00E22A26">
              <w:rPr>
                <w:rFonts w:hint="cs"/>
                <w:rtl/>
              </w:rPr>
              <w:t xml:space="preserve">להחליט במסגרת הליך המתנהל בפניו, </w:t>
            </w:r>
            <w:r w:rsidRPr="00E22A26">
              <w:rPr>
                <w:rtl/>
              </w:rPr>
              <w:t>ביוזמתו או לפי בקשת העורר</w:t>
            </w:r>
            <w:r w:rsidRPr="00E22A26">
              <w:rPr>
                <w:rFonts w:hint="cs"/>
                <w:rtl/>
              </w:rPr>
              <w:t xml:space="preserve"> או צד אחר להליך בפני בית הדין, כי</w:t>
            </w:r>
            <w:r w:rsidRPr="00E22A26">
              <w:rPr>
                <w:rtl/>
              </w:rPr>
              <w:t xml:space="preserve"> </w:t>
            </w:r>
            <w:r w:rsidRPr="00E22A26">
              <w:rPr>
                <w:rFonts w:hint="cs"/>
                <w:rtl/>
              </w:rPr>
              <w:t>התיק</w:t>
            </w:r>
            <w:r w:rsidRPr="00E22A26">
              <w:rPr>
                <w:rtl/>
              </w:rPr>
              <w:t xml:space="preserve"> </w:t>
            </w:r>
            <w:r w:rsidRPr="00E22A26">
              <w:rPr>
                <w:rFonts w:hint="cs"/>
                <w:rtl/>
              </w:rPr>
              <w:t>יימסר</w:t>
            </w:r>
            <w:r w:rsidRPr="00E22A26">
              <w:rPr>
                <w:rtl/>
              </w:rPr>
              <w:t xml:space="preserve"> </w:t>
            </w:r>
            <w:r w:rsidRPr="00E22A26">
              <w:rPr>
                <w:rFonts w:hint="cs"/>
                <w:rtl/>
              </w:rPr>
              <w:t>לבית</w:t>
            </w:r>
            <w:r w:rsidRPr="00E22A26">
              <w:rPr>
                <w:rtl/>
              </w:rPr>
              <w:t xml:space="preserve"> </w:t>
            </w:r>
            <w:r w:rsidRPr="00E22A26">
              <w:rPr>
                <w:rFonts w:hint="cs"/>
                <w:rtl/>
              </w:rPr>
              <w:t>הדין</w:t>
            </w:r>
            <w:r w:rsidRPr="00E22A26">
              <w:rPr>
                <w:rtl/>
              </w:rPr>
              <w:t xml:space="preserve">, </w:t>
            </w:r>
            <w:r w:rsidRPr="00E22A26">
              <w:rPr>
                <w:rFonts w:hint="cs"/>
                <w:rtl/>
              </w:rPr>
              <w:t>למעט</w:t>
            </w:r>
            <w:r w:rsidRPr="00E22A26">
              <w:rPr>
                <w:rtl/>
              </w:rPr>
              <w:t xml:space="preserve"> </w:t>
            </w:r>
            <w:r w:rsidRPr="00E22A26">
              <w:rPr>
                <w:rFonts w:hint="cs"/>
                <w:rtl/>
              </w:rPr>
              <w:t>מסמכים</w:t>
            </w:r>
            <w:r w:rsidRPr="00E22A26">
              <w:rPr>
                <w:rtl/>
              </w:rPr>
              <w:t xml:space="preserve"> </w:t>
            </w:r>
            <w:r w:rsidRPr="00E22A26">
              <w:rPr>
                <w:rFonts w:hint="cs"/>
                <w:rtl/>
              </w:rPr>
              <w:t>אשר</w:t>
            </w:r>
            <w:r w:rsidRPr="00E22A26">
              <w:rPr>
                <w:rtl/>
              </w:rPr>
              <w:t xml:space="preserve"> </w:t>
            </w:r>
            <w:r w:rsidRPr="00E22A26">
              <w:rPr>
                <w:rFonts w:hint="cs"/>
                <w:rtl/>
              </w:rPr>
              <w:t>מסירתם</w:t>
            </w:r>
            <w:r w:rsidRPr="00E22A26">
              <w:rPr>
                <w:rtl/>
              </w:rPr>
              <w:t xml:space="preserve"> </w:t>
            </w:r>
            <w:r w:rsidRPr="00E22A26">
              <w:rPr>
                <w:rFonts w:hint="cs"/>
                <w:rtl/>
              </w:rPr>
              <w:t>עלולה</w:t>
            </w:r>
            <w:r w:rsidRPr="00E22A26">
              <w:rPr>
                <w:rtl/>
              </w:rPr>
              <w:t xml:space="preserve"> </w:t>
            </w:r>
            <w:r w:rsidRPr="00E22A26">
              <w:rPr>
                <w:rFonts w:hint="cs"/>
                <w:rtl/>
              </w:rPr>
              <w:t>לפגוע</w:t>
            </w:r>
            <w:r w:rsidRPr="00E22A26">
              <w:rPr>
                <w:rtl/>
              </w:rPr>
              <w:t xml:space="preserve"> </w:t>
            </w:r>
            <w:r w:rsidRPr="00E22A26">
              <w:rPr>
                <w:rFonts w:hint="cs"/>
                <w:rtl/>
              </w:rPr>
              <w:t>בביטחון</w:t>
            </w:r>
            <w:r w:rsidRPr="00E22A26">
              <w:rPr>
                <w:rtl/>
              </w:rPr>
              <w:t xml:space="preserve"> </w:t>
            </w:r>
            <w:r w:rsidRPr="00E22A26">
              <w:rPr>
                <w:rFonts w:hint="cs"/>
                <w:rtl/>
              </w:rPr>
              <w:t>המדינה</w:t>
            </w:r>
            <w:r w:rsidRPr="00E22A26">
              <w:rPr>
                <w:rtl/>
              </w:rPr>
              <w:t xml:space="preserve"> </w:t>
            </w:r>
            <w:r w:rsidRPr="00E22A26">
              <w:rPr>
                <w:rFonts w:hint="cs"/>
                <w:rtl/>
              </w:rPr>
              <w:t>או</w:t>
            </w:r>
            <w:r w:rsidRPr="00E22A26">
              <w:rPr>
                <w:rtl/>
              </w:rPr>
              <w:t xml:space="preserve"> </w:t>
            </w:r>
            <w:r w:rsidRPr="00E22A26">
              <w:rPr>
                <w:rFonts w:hint="cs"/>
                <w:rtl/>
              </w:rPr>
              <w:t>ביחסי</w:t>
            </w:r>
            <w:r w:rsidRPr="00E22A26">
              <w:rPr>
                <w:rtl/>
              </w:rPr>
              <w:t xml:space="preserve"> </w:t>
            </w:r>
            <w:r w:rsidRPr="00E22A26">
              <w:rPr>
                <w:rFonts w:hint="cs"/>
                <w:rtl/>
              </w:rPr>
              <w:t>החוץ</w:t>
            </w:r>
            <w:r w:rsidRPr="00E22A26">
              <w:rPr>
                <w:rtl/>
              </w:rPr>
              <w:t xml:space="preserve"> </w:t>
            </w:r>
            <w:r w:rsidRPr="00E22A26">
              <w:rPr>
                <w:rFonts w:hint="cs"/>
                <w:rtl/>
              </w:rPr>
              <w:t>שלה</w:t>
            </w:r>
            <w:r w:rsidRPr="00E22A26">
              <w:rPr>
                <w:rtl/>
              </w:rPr>
              <w:t xml:space="preserve">, </w:t>
            </w:r>
            <w:r w:rsidRPr="00E22A26">
              <w:rPr>
                <w:rFonts w:hint="cs"/>
                <w:rtl/>
              </w:rPr>
              <w:t>או</w:t>
            </w:r>
            <w:r w:rsidRPr="00E22A26">
              <w:rPr>
                <w:rtl/>
              </w:rPr>
              <w:t xml:space="preserve"> </w:t>
            </w:r>
            <w:r w:rsidRPr="00E22A26">
              <w:rPr>
                <w:rFonts w:hint="cs"/>
                <w:rtl/>
              </w:rPr>
              <w:t>מסמכים</w:t>
            </w:r>
            <w:r w:rsidRPr="00E22A26">
              <w:rPr>
                <w:rtl/>
              </w:rPr>
              <w:t xml:space="preserve"> </w:t>
            </w:r>
            <w:r w:rsidRPr="00E22A26">
              <w:rPr>
                <w:rFonts w:hint="cs"/>
                <w:rtl/>
              </w:rPr>
              <w:t>אחרים</w:t>
            </w:r>
            <w:r w:rsidRPr="00E22A26">
              <w:rPr>
                <w:rtl/>
              </w:rPr>
              <w:t xml:space="preserve"> </w:t>
            </w:r>
            <w:r w:rsidRPr="00E22A26">
              <w:rPr>
                <w:rFonts w:hint="cs"/>
                <w:rtl/>
              </w:rPr>
              <w:t>שלדעת</w:t>
            </w:r>
            <w:r w:rsidRPr="00E22A26">
              <w:rPr>
                <w:rtl/>
              </w:rPr>
              <w:t xml:space="preserve"> </w:t>
            </w:r>
            <w:r w:rsidRPr="00E22A26">
              <w:rPr>
                <w:rFonts w:hint="cs"/>
                <w:rtl/>
              </w:rPr>
              <w:t>בית</w:t>
            </w:r>
            <w:r w:rsidRPr="00E22A26">
              <w:rPr>
                <w:rtl/>
              </w:rPr>
              <w:t xml:space="preserve"> </w:t>
            </w:r>
            <w:r w:rsidRPr="00E22A26">
              <w:rPr>
                <w:rFonts w:hint="cs"/>
                <w:rtl/>
              </w:rPr>
              <w:t>הדין</w:t>
            </w:r>
            <w:r w:rsidRPr="00E22A26">
              <w:rPr>
                <w:rtl/>
              </w:rPr>
              <w:t xml:space="preserve"> </w:t>
            </w:r>
            <w:r w:rsidRPr="00E22A26">
              <w:rPr>
                <w:rFonts w:hint="cs"/>
                <w:rtl/>
              </w:rPr>
              <w:t>אין</w:t>
            </w:r>
            <w:r w:rsidRPr="00E22A26">
              <w:rPr>
                <w:rtl/>
              </w:rPr>
              <w:t xml:space="preserve"> </w:t>
            </w:r>
            <w:r w:rsidRPr="00E22A26">
              <w:rPr>
                <w:rFonts w:hint="cs"/>
                <w:rtl/>
              </w:rPr>
              <w:t>זה</w:t>
            </w:r>
            <w:r w:rsidRPr="00E22A26">
              <w:rPr>
                <w:rtl/>
              </w:rPr>
              <w:t xml:space="preserve"> </w:t>
            </w:r>
            <w:r w:rsidRPr="00E22A26">
              <w:rPr>
                <w:rFonts w:hint="cs"/>
                <w:rtl/>
              </w:rPr>
              <w:t>מן</w:t>
            </w:r>
            <w:r w:rsidRPr="00E22A26">
              <w:rPr>
                <w:rtl/>
              </w:rPr>
              <w:t xml:space="preserve"> </w:t>
            </w:r>
            <w:r w:rsidRPr="00E22A26">
              <w:rPr>
                <w:rFonts w:hint="cs"/>
                <w:rtl/>
              </w:rPr>
              <w:t>הראוי</w:t>
            </w:r>
            <w:r w:rsidRPr="00E22A26">
              <w:rPr>
                <w:rtl/>
              </w:rPr>
              <w:t xml:space="preserve">, </w:t>
            </w:r>
            <w:r w:rsidRPr="00E22A26">
              <w:rPr>
                <w:rFonts w:hint="cs"/>
                <w:rtl/>
              </w:rPr>
              <w:t>בנסיבות</w:t>
            </w:r>
            <w:r w:rsidRPr="00E22A26">
              <w:rPr>
                <w:rtl/>
              </w:rPr>
              <w:t xml:space="preserve"> </w:t>
            </w:r>
            <w:r w:rsidRPr="00E22A26">
              <w:rPr>
                <w:rFonts w:hint="cs"/>
                <w:rtl/>
              </w:rPr>
              <w:t>הענ</w:t>
            </w:r>
            <w:r w:rsidR="00616890">
              <w:rPr>
                <w:rFonts w:hint="cs"/>
                <w:rtl/>
              </w:rPr>
              <w:t>י</w:t>
            </w:r>
            <w:r w:rsidRPr="00E22A26">
              <w:rPr>
                <w:rFonts w:hint="cs"/>
                <w:rtl/>
              </w:rPr>
              <w:t>ין</w:t>
            </w:r>
            <w:r w:rsidRPr="00E22A26">
              <w:rPr>
                <w:rtl/>
              </w:rPr>
              <w:t xml:space="preserve">, </w:t>
            </w:r>
            <w:r w:rsidRPr="00E22A26">
              <w:rPr>
                <w:rFonts w:hint="cs"/>
                <w:rtl/>
              </w:rPr>
              <w:t>שיימסרו</w:t>
            </w:r>
            <w:r w:rsidRPr="00E22A26">
              <w:rPr>
                <w:rtl/>
              </w:rPr>
              <w:t xml:space="preserve"> </w:t>
            </w:r>
            <w:r w:rsidRPr="00E22A26">
              <w:rPr>
                <w:rFonts w:hint="cs"/>
                <w:rtl/>
              </w:rPr>
              <w:t>לו</w:t>
            </w:r>
            <w:r w:rsidRPr="00E22A26">
              <w:rPr>
                <w:rtl/>
              </w:rPr>
              <w:t>.</w:t>
            </w:r>
            <w:r>
              <w:rPr>
                <w:rFonts w:hint="cs"/>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r w:rsidRPr="00E21C68">
              <w:rPr>
                <w:rFonts w:hint="cs"/>
                <w:rtl/>
              </w:rPr>
              <w:t xml:space="preserve">הוספת </w:t>
            </w:r>
            <w:r>
              <w:rPr>
                <w:rFonts w:hint="cs"/>
                <w:rtl/>
              </w:rPr>
              <w:t>סעיף  46יא</w:t>
            </w: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r>
              <w:rPr>
                <w:rFonts w:hint="cs"/>
                <w:rtl/>
              </w:rPr>
              <w:t xml:space="preserve">2. </w:t>
            </w:r>
          </w:p>
        </w:tc>
        <w:tc>
          <w:tcPr>
            <w:tcW w:w="6378" w:type="dxa"/>
            <w:gridSpan w:val="7"/>
            <w:shd w:val="clear" w:color="auto" w:fill="auto"/>
            <w:tcMar>
              <w:top w:w="91" w:type="dxa"/>
              <w:left w:w="0" w:type="dxa"/>
              <w:bottom w:w="91" w:type="dxa"/>
              <w:right w:w="0" w:type="dxa"/>
            </w:tcMar>
          </w:tcPr>
          <w:p w:rsidR="003322DE" w:rsidRPr="00652872" w:rsidRDefault="003322DE" w:rsidP="006B00B1">
            <w:pPr>
              <w:pStyle w:val="TableBlockOutdent"/>
              <w:ind w:right="-426" w:hanging="478"/>
              <w:jc w:val="left"/>
              <w:rPr>
                <w:rtl/>
              </w:rPr>
            </w:pPr>
            <w:r w:rsidRPr="003B688B">
              <w:rPr>
                <w:rFonts w:hint="cs"/>
                <w:rtl/>
              </w:rPr>
              <w:t>בחוק העיקרי, אחרי סעיף 46 יבוא:</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E21C68"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6B00B1">
            <w:pPr>
              <w:pStyle w:val="TableText"/>
              <w:ind w:left="146" w:right="-426"/>
              <w:rPr>
                <w:rtl/>
              </w:rPr>
            </w:pPr>
            <w:r>
              <w:rPr>
                <w:rFonts w:hint="cs"/>
                <w:rtl/>
              </w:rPr>
              <w:t>"סודיות</w:t>
            </w:r>
          </w:p>
        </w:tc>
        <w:tc>
          <w:tcPr>
            <w:tcW w:w="678" w:type="dxa"/>
          </w:tcPr>
          <w:p w:rsidR="003322DE" w:rsidRDefault="003322DE" w:rsidP="006B00B1">
            <w:pPr>
              <w:pStyle w:val="TableText"/>
              <w:ind w:right="-426"/>
              <w:rPr>
                <w:rtl/>
              </w:rPr>
            </w:pPr>
            <w:r>
              <w:rPr>
                <w:rFonts w:hint="cs"/>
                <w:rtl/>
              </w:rPr>
              <w:t>46יא.</w:t>
            </w:r>
          </w:p>
        </w:tc>
        <w:tc>
          <w:tcPr>
            <w:tcW w:w="4000" w:type="dxa"/>
            <w:gridSpan w:val="3"/>
            <w:shd w:val="clear" w:color="auto" w:fill="auto"/>
            <w:tcMar>
              <w:top w:w="91" w:type="dxa"/>
              <w:left w:w="0" w:type="dxa"/>
              <w:bottom w:w="91" w:type="dxa"/>
              <w:right w:w="0" w:type="dxa"/>
            </w:tcMar>
          </w:tcPr>
          <w:p w:rsidR="00A2075B" w:rsidRPr="00652872" w:rsidRDefault="003322DE" w:rsidP="00F112E4">
            <w:pPr>
              <w:pStyle w:val="TableBlock"/>
              <w:ind w:left="201"/>
              <w:rPr>
                <w:rtl/>
              </w:rPr>
            </w:pPr>
            <w:r>
              <w:rPr>
                <w:rFonts w:hint="cs"/>
                <w:rtl/>
              </w:rPr>
              <w:t>(א)</w:t>
            </w:r>
            <w:r>
              <w:rPr>
                <w:rtl/>
              </w:rPr>
              <w:tab/>
            </w:r>
            <w:r>
              <w:rPr>
                <w:rFonts w:hint="cs"/>
                <w:sz w:val="26"/>
                <w:rtl/>
              </w:rPr>
              <w:t>לא יגלה אדם ידיעה שהתקבלה אצלו ולא יראה מסמך, פנקס או תעודה שהתקבלו אצלו תוך כדי מילוי תפקידו לפי חוק זה (בסעיף זה – ידיעה שגילויה אסור), ואולם אין בסעיף קטן זה כדי למנוע גילוי לצורכי הליך פלילי, לרבות חקירה פלילית, או לפי דרישה של היועץ המשפטי לממשלה, בית דין או בית משפט, או גילוי ידיעה שהיא נחלת הכלל או שחלה לגביה חובת גילוי, פרסום או מתן הודעה לפי חוק זה.</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E21C68"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Default="003322DE" w:rsidP="006B00B1">
            <w:pPr>
              <w:pStyle w:val="TableText"/>
              <w:ind w:right="-426"/>
              <w:rPr>
                <w:rtl/>
              </w:rPr>
            </w:pPr>
          </w:p>
        </w:tc>
        <w:tc>
          <w:tcPr>
            <w:tcW w:w="678" w:type="dxa"/>
          </w:tcPr>
          <w:p w:rsidR="003322DE" w:rsidRDefault="003322DE" w:rsidP="006B00B1">
            <w:pPr>
              <w:pStyle w:val="TableText"/>
              <w:ind w:right="-426"/>
              <w:rPr>
                <w:rtl/>
              </w:rPr>
            </w:pPr>
          </w:p>
        </w:tc>
        <w:tc>
          <w:tcPr>
            <w:tcW w:w="4000" w:type="dxa"/>
            <w:gridSpan w:val="3"/>
            <w:shd w:val="clear" w:color="auto" w:fill="auto"/>
            <w:tcMar>
              <w:top w:w="91" w:type="dxa"/>
              <w:left w:w="0" w:type="dxa"/>
              <w:bottom w:w="91" w:type="dxa"/>
              <w:right w:w="0" w:type="dxa"/>
            </w:tcMar>
          </w:tcPr>
          <w:p w:rsidR="00FD1225" w:rsidRDefault="003322DE" w:rsidP="00F112E4">
            <w:pPr>
              <w:pStyle w:val="TableBlock"/>
              <w:ind w:left="201"/>
              <w:rPr>
                <w:rtl/>
              </w:rPr>
            </w:pPr>
            <w:r>
              <w:rPr>
                <w:rFonts w:hint="cs"/>
                <w:rtl/>
              </w:rPr>
              <w:t>(ב)</w:t>
            </w:r>
            <w:r>
              <w:rPr>
                <w:rtl/>
              </w:rPr>
              <w:tab/>
            </w:r>
            <w:r>
              <w:rPr>
                <w:rFonts w:hint="cs"/>
                <w:sz w:val="26"/>
                <w:rtl/>
              </w:rPr>
              <w:t xml:space="preserve">על אף האמור בסעיף קטן (א), הממונה או מי שהוסמך על ידו רשאי לגלות ידיעה שגילויה אסור, אם מצא כי גילוי כאמור </w:t>
            </w:r>
            <w:r w:rsidRPr="00EC5F41">
              <w:rPr>
                <w:sz w:val="26"/>
                <w:rtl/>
              </w:rPr>
              <w:t xml:space="preserve">נדרש </w:t>
            </w:r>
            <w:r>
              <w:rPr>
                <w:rFonts w:hint="cs"/>
                <w:sz w:val="26"/>
                <w:rtl/>
              </w:rPr>
              <w:t>במהלך</w:t>
            </w:r>
            <w:r w:rsidRPr="00EC5F41">
              <w:rPr>
                <w:sz w:val="26"/>
                <w:rtl/>
              </w:rPr>
              <w:t xml:space="preserve"> הפעלת סמכויותיו של הממונה לפי כל דין או לקידום תכליתו של אותו דין</w:t>
            </w:r>
            <w:r>
              <w:rPr>
                <w:rFonts w:hint="cs"/>
                <w:sz w:val="26"/>
                <w:rtl/>
              </w:rPr>
              <w:t xml:space="preserve">, או שנחיצות גילוי המידע מטעמים אחרים של טובת הציבור גוברת על הטעמים לאי-גילויו. לעניין גילוי לפי פסקה זו, רשאי הממונה לקבוע את היקף הגילוי ואת האופן שבו ייעשה; גילה הממונה, או מי שהסמיך לכך, מידע תוך </w:t>
            </w:r>
            <w:r>
              <w:rPr>
                <w:sz w:val="26"/>
                <w:rtl/>
              </w:rPr>
              <w:t>השמטת פרטים</w:t>
            </w:r>
            <w:r>
              <w:rPr>
                <w:rFonts w:hint="cs"/>
                <w:sz w:val="26"/>
                <w:rtl/>
              </w:rPr>
              <w:t xml:space="preserve"> </w:t>
            </w:r>
            <w:r>
              <w:rPr>
                <w:sz w:val="26"/>
                <w:rtl/>
              </w:rPr>
              <w:t xml:space="preserve">או </w:t>
            </w:r>
            <w:r>
              <w:rPr>
                <w:rFonts w:hint="cs"/>
                <w:sz w:val="26"/>
                <w:rtl/>
              </w:rPr>
              <w:t>עריכת שינויים, י</w:t>
            </w:r>
            <w:r w:rsidRPr="004C496F">
              <w:rPr>
                <w:sz w:val="26"/>
                <w:rtl/>
              </w:rPr>
              <w:t>ציין זאת, אלא אם כן אין לגלות עובדה</w:t>
            </w:r>
            <w:r>
              <w:rPr>
                <w:sz w:val="26"/>
                <w:rtl/>
              </w:rPr>
              <w:t xml:space="preserve"> זו, מהטעמים המפורטים בסע</w:t>
            </w:r>
            <w:r>
              <w:rPr>
                <w:rFonts w:hint="cs"/>
                <w:sz w:val="26"/>
                <w:rtl/>
              </w:rPr>
              <w:t>יף 9(א)(1) לחוק חופש המידע, תשנ"ח-1998.</w:t>
            </w:r>
            <w:r w:rsidRPr="00895472">
              <w:rPr>
                <w:rStyle w:val="a7"/>
                <w:rFonts w:asciiTheme="minorBidi" w:hAnsiTheme="minorBidi" w:cstheme="minorBidi"/>
                <w:szCs w:val="20"/>
                <w:rtl/>
              </w:rPr>
              <w:footnoteReference w:id="5"/>
            </w:r>
            <w:r>
              <w:rPr>
                <w:rFonts w:hint="cs"/>
                <w:sz w:val="26"/>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0"/>
              <w:rPr>
                <w:rtl/>
              </w:rPr>
            </w:pPr>
            <w:r>
              <w:rPr>
                <w:rFonts w:hint="cs"/>
                <w:rtl/>
              </w:rPr>
              <w:t>תיקון חוק לקידום התחרות ולצמצום הריכוזיות, הת</w:t>
            </w:r>
            <w:r w:rsidR="00EA3922">
              <w:rPr>
                <w:rFonts w:hint="cs"/>
                <w:rtl/>
              </w:rPr>
              <w:t>ש</w:t>
            </w:r>
            <w:r>
              <w:rPr>
                <w:rFonts w:hint="cs"/>
                <w:rtl/>
              </w:rPr>
              <w:t>ע"ד-2013</w:t>
            </w:r>
          </w:p>
        </w:tc>
        <w:tc>
          <w:tcPr>
            <w:tcW w:w="624" w:type="dxa"/>
            <w:shd w:val="clear" w:color="auto" w:fill="auto"/>
            <w:tcMar>
              <w:top w:w="91" w:type="dxa"/>
              <w:left w:w="0" w:type="dxa"/>
              <w:bottom w:w="91" w:type="dxa"/>
              <w:right w:w="0" w:type="dxa"/>
            </w:tcMar>
          </w:tcPr>
          <w:p w:rsidR="003322DE" w:rsidRPr="00652872" w:rsidRDefault="004E6814" w:rsidP="006B00B1">
            <w:pPr>
              <w:pStyle w:val="TableText"/>
              <w:ind w:right="-426"/>
              <w:rPr>
                <w:rtl/>
              </w:rPr>
            </w:pPr>
            <w:r>
              <w:rPr>
                <w:rFonts w:hint="cs"/>
                <w:rtl/>
              </w:rPr>
              <w:t>3</w:t>
            </w:r>
            <w:r w:rsidR="003322DE">
              <w:rPr>
                <w:rFonts w:hint="cs"/>
                <w:rtl/>
              </w:rPr>
              <w:t>.</w:t>
            </w:r>
          </w:p>
        </w:tc>
        <w:tc>
          <w:tcPr>
            <w:tcW w:w="6378" w:type="dxa"/>
            <w:gridSpan w:val="7"/>
            <w:shd w:val="clear" w:color="auto" w:fill="auto"/>
            <w:tcMar>
              <w:top w:w="91" w:type="dxa"/>
              <w:left w:w="0" w:type="dxa"/>
              <w:bottom w:w="91" w:type="dxa"/>
              <w:right w:w="0" w:type="dxa"/>
            </w:tcMar>
          </w:tcPr>
          <w:p w:rsidR="003322DE" w:rsidRPr="00652872" w:rsidRDefault="003322DE" w:rsidP="006B00B1">
            <w:pPr>
              <w:pStyle w:val="TableBlock"/>
              <w:ind w:left="146"/>
              <w:jc w:val="left"/>
              <w:rPr>
                <w:rtl/>
              </w:rPr>
            </w:pPr>
            <w:r w:rsidRPr="008C6889">
              <w:rPr>
                <w:rFonts w:hint="cs"/>
                <w:rtl/>
              </w:rPr>
              <w:t>בחוק</w:t>
            </w:r>
            <w:r>
              <w:rPr>
                <w:rStyle w:val="default"/>
                <w:rFonts w:hint="cs"/>
                <w:rtl/>
              </w:rPr>
              <w:t xml:space="preserve"> לקידום התחרות ולצמצום הריכוזיות, התשע"ד-2013</w:t>
            </w:r>
            <w:r w:rsidRPr="00895472">
              <w:rPr>
                <w:rStyle w:val="a7"/>
                <w:rFonts w:asciiTheme="minorBidi" w:hAnsiTheme="minorBidi" w:cstheme="minorBidi"/>
                <w:szCs w:val="20"/>
                <w:rtl/>
              </w:rPr>
              <w:footnoteReference w:id="6"/>
            </w:r>
            <w:r w:rsidR="007A6C13">
              <w:rPr>
                <w:rStyle w:val="default"/>
                <w:rFonts w:hint="cs"/>
                <w:rtl/>
              </w:rPr>
              <w:t xml:space="preserve">, </w:t>
            </w:r>
            <w:r w:rsidRPr="007A6C13">
              <w:rPr>
                <w:rFonts w:hint="cs"/>
                <w:rtl/>
              </w:rPr>
              <w:t>אחרי</w:t>
            </w:r>
            <w:r>
              <w:rPr>
                <w:rStyle w:val="default"/>
                <w:rFonts w:hint="cs"/>
                <w:rtl/>
              </w:rPr>
              <w:t xml:space="preserve"> סעיף 43, יבוא:</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1C2F73" w:rsidP="006B00B1">
            <w:pPr>
              <w:pStyle w:val="TableSideHeading"/>
              <w:ind w:right="-426"/>
              <w:rPr>
                <w:rtl/>
              </w:rPr>
            </w:pPr>
            <w:r>
              <w:rPr>
                <w:rFonts w:hint="cs"/>
                <w:rtl/>
              </w:rPr>
              <w:lastRenderedPageBreak/>
              <w:t xml:space="preserve"> </w:t>
            </w: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6B00B1">
            <w:pPr>
              <w:pStyle w:val="TableText"/>
              <w:ind w:right="-426"/>
              <w:rPr>
                <w:rtl/>
              </w:rPr>
            </w:pPr>
            <w:r>
              <w:rPr>
                <w:rFonts w:hint="cs"/>
                <w:rtl/>
              </w:rPr>
              <w:t>"סודיות</w:t>
            </w:r>
          </w:p>
        </w:tc>
        <w:tc>
          <w:tcPr>
            <w:tcW w:w="678" w:type="dxa"/>
          </w:tcPr>
          <w:p w:rsidR="003322DE" w:rsidRPr="00652872" w:rsidRDefault="003322DE" w:rsidP="006B00B1">
            <w:pPr>
              <w:pStyle w:val="TableText"/>
              <w:ind w:right="-426"/>
              <w:rPr>
                <w:rtl/>
              </w:rPr>
            </w:pPr>
            <w:r>
              <w:rPr>
                <w:rFonts w:hint="cs"/>
                <w:rtl/>
              </w:rPr>
              <w:t>43א.</w:t>
            </w:r>
          </w:p>
        </w:tc>
        <w:tc>
          <w:tcPr>
            <w:tcW w:w="4000" w:type="dxa"/>
            <w:gridSpan w:val="3"/>
            <w:shd w:val="clear" w:color="auto" w:fill="auto"/>
            <w:tcMar>
              <w:top w:w="91" w:type="dxa"/>
              <w:left w:w="0" w:type="dxa"/>
              <w:bottom w:w="91" w:type="dxa"/>
              <w:right w:w="0" w:type="dxa"/>
            </w:tcMar>
          </w:tcPr>
          <w:p w:rsidR="003322DE" w:rsidRPr="00652872" w:rsidRDefault="003322DE" w:rsidP="00F112E4">
            <w:pPr>
              <w:pStyle w:val="TableBlock"/>
              <w:ind w:left="201"/>
              <w:rPr>
                <w:rtl/>
              </w:rPr>
            </w:pPr>
            <w:r>
              <w:rPr>
                <w:rFonts w:hint="cs"/>
                <w:rtl/>
              </w:rPr>
              <w:t>(א)</w:t>
            </w:r>
            <w:r>
              <w:rPr>
                <w:rtl/>
              </w:rPr>
              <w:tab/>
            </w:r>
            <w:r w:rsidRPr="00E005B5">
              <w:rPr>
                <w:rFonts w:hint="cs"/>
                <w:rtl/>
              </w:rPr>
              <w:t>לא יגלה אדם ידיעה שהתקבלה ברשות ההגבלים העסקיים ולא יראה מסמך, פנקס או תעודה שהתקבלו אצלו תוך כדי מילוי תפקידו ברשות ההגבלים העסקיים לפי חוק זה (בסעיף זה – ידיעה שגילויה אסור), וכן לא יגלה את תוכנה של ידיעה שגילויה אסור, ואולם אין בסעיף קטן זה כדי למנוע גילוי לצורכי הליך פלילי, לרבות חקירה פלילית, או לפי דרישה של היועץ המשפטי לממשלה, בית דין או בית משפט, או גילוי ידיעה שהיא נחלת הכלל או שחלה לגביה חובת גילוי, פרסום או מתן הודעה לפי חוק זה.</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Default="003322DE" w:rsidP="006B00B1">
            <w:pPr>
              <w:pStyle w:val="TableText"/>
              <w:ind w:right="-426"/>
              <w:rPr>
                <w:rtl/>
              </w:rPr>
            </w:pPr>
          </w:p>
        </w:tc>
        <w:tc>
          <w:tcPr>
            <w:tcW w:w="678" w:type="dxa"/>
          </w:tcPr>
          <w:p w:rsidR="003322DE" w:rsidRDefault="003322DE" w:rsidP="006B00B1">
            <w:pPr>
              <w:pStyle w:val="TableText"/>
              <w:ind w:right="-426"/>
              <w:rPr>
                <w:rtl/>
              </w:rPr>
            </w:pPr>
          </w:p>
        </w:tc>
        <w:tc>
          <w:tcPr>
            <w:tcW w:w="4000" w:type="dxa"/>
            <w:gridSpan w:val="3"/>
            <w:shd w:val="clear" w:color="auto" w:fill="auto"/>
            <w:tcMar>
              <w:top w:w="91" w:type="dxa"/>
              <w:left w:w="0" w:type="dxa"/>
              <w:bottom w:w="91" w:type="dxa"/>
              <w:right w:w="0" w:type="dxa"/>
            </w:tcMar>
          </w:tcPr>
          <w:p w:rsidR="003322DE" w:rsidRDefault="003322DE" w:rsidP="00F112E4">
            <w:pPr>
              <w:pStyle w:val="TableBlock"/>
              <w:ind w:left="201"/>
              <w:rPr>
                <w:rtl/>
              </w:rPr>
            </w:pPr>
            <w:r>
              <w:rPr>
                <w:rFonts w:hint="cs"/>
                <w:rtl/>
              </w:rPr>
              <w:t>(ב)</w:t>
            </w:r>
            <w:r>
              <w:rPr>
                <w:rtl/>
              </w:rPr>
              <w:tab/>
            </w:r>
            <w:r>
              <w:rPr>
                <w:rFonts w:hint="cs"/>
                <w:sz w:val="26"/>
                <w:rtl/>
              </w:rPr>
              <w:t xml:space="preserve">על אף האמור בסעיף קטן (א), הממונה, או מי שהוסמך על ידו, רשאי לגלות ידיעה שגילויה אסור, אם מצא כי גילוי כאמור </w:t>
            </w:r>
            <w:r w:rsidRPr="00EC5F41">
              <w:rPr>
                <w:sz w:val="26"/>
                <w:rtl/>
              </w:rPr>
              <w:t xml:space="preserve">נדרש </w:t>
            </w:r>
            <w:r>
              <w:rPr>
                <w:rFonts w:hint="cs"/>
                <w:sz w:val="26"/>
                <w:rtl/>
              </w:rPr>
              <w:t>במהלך</w:t>
            </w:r>
            <w:r w:rsidRPr="00EC5F41">
              <w:rPr>
                <w:sz w:val="26"/>
                <w:rtl/>
              </w:rPr>
              <w:t xml:space="preserve"> הפעלת סמכויותיו של הממונה לפי כל דין או לקידום תכליתו של אותו דין</w:t>
            </w:r>
            <w:r>
              <w:rPr>
                <w:rFonts w:hint="cs"/>
                <w:sz w:val="26"/>
                <w:rtl/>
              </w:rPr>
              <w:t xml:space="preserve">, או שנחיצות גילוי המידע מטעמים אחרים של טובת הציבור גוברת על הטעמים לאי-גילויו. לעניין גילוי לפי פסקה זו, רשאי הממונה לקבוע את היקף הגילוי ואת האופן שבו ייעשה.  לעניין גילוי לפי פסקה זו, רשאי הממונה לקבוע את היקף הגילוי ואת האופן שבו ייעשה; גילה הממונה, או מי שהסמיך לכך, מידע תוך </w:t>
            </w:r>
            <w:r>
              <w:rPr>
                <w:sz w:val="26"/>
                <w:rtl/>
              </w:rPr>
              <w:t>השמטת פרטים</w:t>
            </w:r>
            <w:r>
              <w:rPr>
                <w:rFonts w:hint="cs"/>
                <w:sz w:val="26"/>
                <w:rtl/>
              </w:rPr>
              <w:t xml:space="preserve"> </w:t>
            </w:r>
            <w:r>
              <w:rPr>
                <w:sz w:val="26"/>
                <w:rtl/>
              </w:rPr>
              <w:t xml:space="preserve">או </w:t>
            </w:r>
            <w:r>
              <w:rPr>
                <w:rFonts w:hint="cs"/>
                <w:sz w:val="26"/>
                <w:rtl/>
              </w:rPr>
              <w:t>עריכת שינויים, י</w:t>
            </w:r>
            <w:r w:rsidRPr="004C496F">
              <w:rPr>
                <w:sz w:val="26"/>
                <w:rtl/>
              </w:rPr>
              <w:t>ציין זאת, אלא אם כן אין לגלות עובדה</w:t>
            </w:r>
            <w:r>
              <w:rPr>
                <w:sz w:val="26"/>
                <w:rtl/>
              </w:rPr>
              <w:t xml:space="preserve"> זו, מהטעמים המפורטים בסע</w:t>
            </w:r>
            <w:r>
              <w:rPr>
                <w:rFonts w:hint="cs"/>
                <w:sz w:val="26"/>
                <w:rtl/>
              </w:rPr>
              <w:t>יף 9(א)(1) לחוק חופש המידע, תשנ"ח-1998.</w:t>
            </w:r>
            <w:r w:rsidRPr="00895472">
              <w:rPr>
                <w:rStyle w:val="a7"/>
                <w:rFonts w:asciiTheme="minorBidi" w:hAnsiTheme="minorBidi" w:cstheme="minorBidi"/>
                <w:szCs w:val="20"/>
                <w:rtl/>
              </w:rPr>
              <w:footnoteReference w:id="7"/>
            </w:r>
            <w:r>
              <w:rPr>
                <w:rFonts w:hint="cs"/>
                <w:sz w:val="26"/>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501953">
            <w:pPr>
              <w:pStyle w:val="TableSideHeading"/>
              <w:ind w:right="86"/>
              <w:rPr>
                <w:rtl/>
              </w:rPr>
            </w:pPr>
            <w:r>
              <w:rPr>
                <w:rFonts w:hint="cs"/>
                <w:rtl/>
              </w:rPr>
              <w:lastRenderedPageBreak/>
              <w:t>תיקון חוק קידום התחרות בענף המזון, התשע"ד-2014</w:t>
            </w:r>
          </w:p>
        </w:tc>
        <w:tc>
          <w:tcPr>
            <w:tcW w:w="624" w:type="dxa"/>
            <w:shd w:val="clear" w:color="auto" w:fill="auto"/>
            <w:tcMar>
              <w:top w:w="91" w:type="dxa"/>
              <w:left w:w="0" w:type="dxa"/>
              <w:bottom w:w="91" w:type="dxa"/>
              <w:right w:w="0" w:type="dxa"/>
            </w:tcMar>
          </w:tcPr>
          <w:p w:rsidR="003322DE" w:rsidRPr="00652872" w:rsidRDefault="009D571D" w:rsidP="006B00B1">
            <w:pPr>
              <w:pStyle w:val="TableText"/>
              <w:ind w:right="-426"/>
              <w:rPr>
                <w:rtl/>
              </w:rPr>
            </w:pPr>
            <w:r>
              <w:rPr>
                <w:rFonts w:hint="cs"/>
                <w:rtl/>
              </w:rPr>
              <w:t>4</w:t>
            </w:r>
            <w:r w:rsidR="003322DE">
              <w:rPr>
                <w:rFonts w:hint="cs"/>
                <w:rtl/>
              </w:rPr>
              <w:t>.</w:t>
            </w:r>
          </w:p>
        </w:tc>
        <w:tc>
          <w:tcPr>
            <w:tcW w:w="6378" w:type="dxa"/>
            <w:gridSpan w:val="7"/>
            <w:shd w:val="clear" w:color="auto" w:fill="auto"/>
            <w:tcMar>
              <w:top w:w="91" w:type="dxa"/>
              <w:left w:w="0" w:type="dxa"/>
              <w:bottom w:w="91" w:type="dxa"/>
              <w:right w:w="0" w:type="dxa"/>
            </w:tcMar>
          </w:tcPr>
          <w:p w:rsidR="003322DE" w:rsidRPr="00652872" w:rsidRDefault="003322DE" w:rsidP="006B00B1">
            <w:pPr>
              <w:pStyle w:val="TableBlockOutdent"/>
              <w:ind w:right="-426" w:hanging="478"/>
              <w:jc w:val="left"/>
              <w:rPr>
                <w:rtl/>
              </w:rPr>
            </w:pPr>
            <w:r>
              <w:rPr>
                <w:rFonts w:hint="cs"/>
                <w:rtl/>
              </w:rPr>
              <w:t>בחוק קידום התחרות בענף המזון, התשע"ד-2014</w:t>
            </w:r>
            <w:r w:rsidRPr="00895472">
              <w:rPr>
                <w:rStyle w:val="a7"/>
                <w:rFonts w:asciiTheme="minorBidi" w:hAnsiTheme="minorBidi" w:cstheme="minorBidi"/>
                <w:szCs w:val="20"/>
                <w:rtl/>
              </w:rPr>
              <w:footnoteReference w:id="8"/>
            </w:r>
            <w:r>
              <w:rPr>
                <w:rFonts w:hint="cs"/>
                <w:sz w:val="26"/>
                <w:rtl/>
              </w:rPr>
              <w:t xml:space="preserve"> </w:t>
            </w:r>
            <w:r>
              <w:rPr>
                <w:sz w:val="26"/>
                <w:rtl/>
              </w:rPr>
              <w:t>–</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378" w:type="dxa"/>
            <w:gridSpan w:val="7"/>
            <w:shd w:val="clear" w:color="auto" w:fill="auto"/>
            <w:tcMar>
              <w:top w:w="91" w:type="dxa"/>
              <w:left w:w="0" w:type="dxa"/>
              <w:bottom w:w="91" w:type="dxa"/>
              <w:right w:w="0" w:type="dxa"/>
            </w:tcMar>
          </w:tcPr>
          <w:p w:rsidR="003322DE" w:rsidRPr="00652872" w:rsidRDefault="003322DE" w:rsidP="006B00B1">
            <w:pPr>
              <w:pStyle w:val="TableBlockOutdent"/>
              <w:ind w:right="-426"/>
              <w:jc w:val="left"/>
              <w:rPr>
                <w:rtl/>
              </w:rPr>
            </w:pPr>
            <w:r>
              <w:rPr>
                <w:rFonts w:hint="cs"/>
                <w:rtl/>
              </w:rPr>
              <w:t>(</w:t>
            </w:r>
            <w:r w:rsidR="004E6814">
              <w:rPr>
                <w:rFonts w:hint="cs"/>
                <w:rtl/>
              </w:rPr>
              <w:t>א</w:t>
            </w:r>
            <w:r>
              <w:rPr>
                <w:rFonts w:hint="cs"/>
                <w:rtl/>
              </w:rPr>
              <w:t>)</w:t>
            </w:r>
            <w:r>
              <w:rPr>
                <w:rFonts w:hint="cs"/>
                <w:rtl/>
              </w:rPr>
              <w:tab/>
            </w:r>
            <w:r>
              <w:rPr>
                <w:rFonts w:hint="cs"/>
                <w:sz w:val="26"/>
                <w:rtl/>
              </w:rPr>
              <w:t>בכותרת סימן ג', אחרי "אכיפה", יבוא "סודיות מידע";</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6378" w:type="dxa"/>
            <w:gridSpan w:val="7"/>
            <w:shd w:val="clear" w:color="auto" w:fill="auto"/>
            <w:tcMar>
              <w:top w:w="91" w:type="dxa"/>
              <w:left w:w="0" w:type="dxa"/>
              <w:bottom w:w="91" w:type="dxa"/>
              <w:right w:w="0" w:type="dxa"/>
            </w:tcMar>
          </w:tcPr>
          <w:p w:rsidR="003322DE" w:rsidRDefault="003322DE" w:rsidP="006B00B1">
            <w:pPr>
              <w:pStyle w:val="TableBlockOutdent"/>
              <w:ind w:right="-426"/>
              <w:jc w:val="left"/>
              <w:rPr>
                <w:rtl/>
              </w:rPr>
            </w:pPr>
            <w:r>
              <w:rPr>
                <w:rFonts w:hint="cs"/>
                <w:rtl/>
              </w:rPr>
              <w:t>(</w:t>
            </w:r>
            <w:r w:rsidR="004E6814">
              <w:rPr>
                <w:rFonts w:hint="cs"/>
                <w:rtl/>
              </w:rPr>
              <w:t>ב</w:t>
            </w:r>
            <w:r>
              <w:rPr>
                <w:rFonts w:hint="cs"/>
                <w:rtl/>
              </w:rPr>
              <w:t>)</w:t>
            </w:r>
            <w:r>
              <w:rPr>
                <w:rtl/>
              </w:rPr>
              <w:tab/>
            </w:r>
            <w:r>
              <w:rPr>
                <w:rFonts w:hint="cs"/>
                <w:rtl/>
              </w:rPr>
              <w:t>אחרי סעיף 22 יבוא:</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Pr="00652872" w:rsidRDefault="003322DE" w:rsidP="006B00B1">
            <w:pPr>
              <w:pStyle w:val="TableText"/>
              <w:ind w:right="-426"/>
              <w:rPr>
                <w:rtl/>
              </w:rPr>
            </w:pPr>
            <w:r>
              <w:rPr>
                <w:rFonts w:hint="cs"/>
                <w:rtl/>
              </w:rPr>
              <w:t>"סודיות</w:t>
            </w:r>
          </w:p>
        </w:tc>
        <w:tc>
          <w:tcPr>
            <w:tcW w:w="678" w:type="dxa"/>
          </w:tcPr>
          <w:p w:rsidR="003322DE" w:rsidRPr="00652872" w:rsidRDefault="003322DE" w:rsidP="006B00B1">
            <w:pPr>
              <w:pStyle w:val="TableText"/>
              <w:ind w:right="-426"/>
              <w:rPr>
                <w:rtl/>
              </w:rPr>
            </w:pPr>
            <w:r>
              <w:rPr>
                <w:rFonts w:hint="cs"/>
                <w:rtl/>
              </w:rPr>
              <w:t>22א.</w:t>
            </w:r>
          </w:p>
        </w:tc>
        <w:tc>
          <w:tcPr>
            <w:tcW w:w="4000" w:type="dxa"/>
            <w:gridSpan w:val="3"/>
            <w:shd w:val="clear" w:color="auto" w:fill="auto"/>
            <w:tcMar>
              <w:top w:w="91" w:type="dxa"/>
              <w:left w:w="0" w:type="dxa"/>
              <w:bottom w:w="91" w:type="dxa"/>
              <w:right w:w="0" w:type="dxa"/>
            </w:tcMar>
          </w:tcPr>
          <w:p w:rsidR="003322DE" w:rsidRPr="00652872" w:rsidRDefault="003322DE" w:rsidP="00F112E4">
            <w:pPr>
              <w:pStyle w:val="TableBlock"/>
              <w:ind w:left="201"/>
              <w:rPr>
                <w:rtl/>
              </w:rPr>
            </w:pPr>
            <w:r w:rsidRPr="00287A0D">
              <w:rPr>
                <w:rFonts w:hint="cs"/>
                <w:rtl/>
              </w:rPr>
              <w:t>(א)</w:t>
            </w:r>
            <w:r w:rsidRPr="00287A0D">
              <w:rPr>
                <w:rtl/>
              </w:rPr>
              <w:tab/>
            </w:r>
            <w:r w:rsidRPr="00287A0D">
              <w:rPr>
                <w:rFonts w:hint="cs"/>
                <w:rtl/>
              </w:rPr>
              <w:t>לא יגלה אדם ידיעה שהתקבלה אצלו ולא יראה מסמך, פנקס או תעודה שהתקבלו אצלו תוך כדי מילוי תפקידו לפי חוק זה (בסעיף זה – ידיעה שגילויה אסור) וכן לא יגלה את תוכנה של ידיעה שגילויה אסור, ואולם אין בסעיף קטן זה כדי למנוע גילוי לצורכי הליך פלילי, לרבות חקירה פלילית, או לפי דרישה של היועץ המשפטי לממשלה, בית דין או בית משפט, או גילוי ידיעה שהיא נחלת הכלל או שחלה לגביה חובת גילוי, פרסום או מתן הודעה לפי חוק זה.</w:t>
            </w:r>
          </w:p>
        </w:tc>
      </w:tr>
      <w:tr w:rsidR="003322DE" w:rsidRPr="00652872" w:rsidTr="00DD3BE0">
        <w:trPr>
          <w:cantSplit/>
        </w:trPr>
        <w:tc>
          <w:tcPr>
            <w:tcW w:w="1871" w:type="dxa"/>
            <w:shd w:val="clear" w:color="auto" w:fill="auto"/>
            <w:tcMar>
              <w:top w:w="91" w:type="dxa"/>
              <w:left w:w="0" w:type="dxa"/>
              <w:bottom w:w="91" w:type="dxa"/>
              <w:right w:w="0" w:type="dxa"/>
            </w:tcMar>
          </w:tcPr>
          <w:p w:rsidR="003322DE" w:rsidRPr="00652872" w:rsidRDefault="003322DE" w:rsidP="006B00B1">
            <w:pPr>
              <w:pStyle w:val="TableSideHeading"/>
              <w:ind w:right="-426"/>
              <w:rPr>
                <w:rtl/>
              </w:rPr>
            </w:pPr>
          </w:p>
        </w:tc>
        <w:tc>
          <w:tcPr>
            <w:tcW w:w="624" w:type="dxa"/>
            <w:shd w:val="clear" w:color="auto" w:fill="auto"/>
            <w:tcMar>
              <w:top w:w="91" w:type="dxa"/>
              <w:left w:w="0" w:type="dxa"/>
              <w:bottom w:w="91" w:type="dxa"/>
              <w:right w:w="0" w:type="dxa"/>
            </w:tcMar>
          </w:tcPr>
          <w:p w:rsidR="003322DE" w:rsidRPr="00652872" w:rsidRDefault="003322DE" w:rsidP="006B00B1">
            <w:pPr>
              <w:pStyle w:val="TableText"/>
              <w:ind w:right="-426"/>
              <w:rPr>
                <w:rtl/>
              </w:rPr>
            </w:pPr>
          </w:p>
        </w:tc>
        <w:tc>
          <w:tcPr>
            <w:tcW w:w="1700" w:type="dxa"/>
            <w:gridSpan w:val="3"/>
            <w:shd w:val="clear" w:color="auto" w:fill="auto"/>
            <w:tcMar>
              <w:top w:w="91" w:type="dxa"/>
              <w:left w:w="0" w:type="dxa"/>
              <w:bottom w:w="91" w:type="dxa"/>
              <w:right w:w="0" w:type="dxa"/>
            </w:tcMar>
          </w:tcPr>
          <w:p w:rsidR="003322DE" w:rsidRDefault="003322DE" w:rsidP="006B00B1">
            <w:pPr>
              <w:pStyle w:val="TableText"/>
              <w:ind w:right="-426"/>
              <w:rPr>
                <w:rtl/>
              </w:rPr>
            </w:pPr>
          </w:p>
        </w:tc>
        <w:tc>
          <w:tcPr>
            <w:tcW w:w="678" w:type="dxa"/>
          </w:tcPr>
          <w:p w:rsidR="003322DE" w:rsidRDefault="003322DE" w:rsidP="006B00B1">
            <w:pPr>
              <w:pStyle w:val="TableText"/>
              <w:ind w:right="-426"/>
              <w:rPr>
                <w:rtl/>
              </w:rPr>
            </w:pPr>
          </w:p>
        </w:tc>
        <w:tc>
          <w:tcPr>
            <w:tcW w:w="4000" w:type="dxa"/>
            <w:gridSpan w:val="3"/>
            <w:shd w:val="clear" w:color="auto" w:fill="auto"/>
            <w:tcMar>
              <w:top w:w="91" w:type="dxa"/>
              <w:left w:w="0" w:type="dxa"/>
              <w:bottom w:w="91" w:type="dxa"/>
              <w:right w:w="0" w:type="dxa"/>
            </w:tcMar>
          </w:tcPr>
          <w:p w:rsidR="003322DE" w:rsidRPr="00287A0D" w:rsidRDefault="003322DE" w:rsidP="00F112E4">
            <w:pPr>
              <w:pStyle w:val="TableBlock"/>
              <w:ind w:left="201"/>
              <w:rPr>
                <w:rtl/>
              </w:rPr>
            </w:pPr>
            <w:r>
              <w:rPr>
                <w:rFonts w:hint="cs"/>
                <w:rtl/>
              </w:rPr>
              <w:t>(ב)</w:t>
            </w:r>
            <w:r>
              <w:rPr>
                <w:rtl/>
              </w:rPr>
              <w:tab/>
            </w:r>
            <w:r>
              <w:rPr>
                <w:rFonts w:hint="cs"/>
                <w:sz w:val="26"/>
                <w:rtl/>
              </w:rPr>
              <w:t xml:space="preserve">על אף האמור בסעיף קטן (א), הממונה או מי שהוסמך על ידו רשאי לגלות ידיעה שגילויה אסור, אם מצא כי גילוי כאמור </w:t>
            </w:r>
            <w:r w:rsidRPr="00EC5F41">
              <w:rPr>
                <w:sz w:val="26"/>
                <w:rtl/>
              </w:rPr>
              <w:t xml:space="preserve">נדרש </w:t>
            </w:r>
            <w:r>
              <w:rPr>
                <w:rFonts w:hint="cs"/>
                <w:sz w:val="26"/>
                <w:rtl/>
              </w:rPr>
              <w:t>במהלך</w:t>
            </w:r>
            <w:r w:rsidRPr="00EC5F41">
              <w:rPr>
                <w:sz w:val="26"/>
                <w:rtl/>
              </w:rPr>
              <w:t xml:space="preserve"> הפעלת סמכויותיו של הממונה לפי כל דין או לקידום תכליתו של אותו דין</w:t>
            </w:r>
            <w:r>
              <w:rPr>
                <w:rFonts w:hint="cs"/>
                <w:sz w:val="26"/>
                <w:rtl/>
              </w:rPr>
              <w:t xml:space="preserve">, או שנחיצות גילוי המידע מטעמים אחרים של טובת הציבור גוברת על הטעמים לאי-גילויו. לעניין גילוי לפי פסקה זו, רשאי הממונה לקבוע את היקף הגילוי ואת האופן שבו ייעשה; גילה הממונה, או מי שהסמיך לכך, מידע תוך </w:t>
            </w:r>
            <w:r>
              <w:rPr>
                <w:sz w:val="26"/>
                <w:rtl/>
              </w:rPr>
              <w:t>השמטת פרטים</w:t>
            </w:r>
            <w:r>
              <w:rPr>
                <w:rFonts w:hint="cs"/>
                <w:sz w:val="26"/>
                <w:rtl/>
              </w:rPr>
              <w:t xml:space="preserve"> </w:t>
            </w:r>
            <w:r>
              <w:rPr>
                <w:sz w:val="26"/>
                <w:rtl/>
              </w:rPr>
              <w:t xml:space="preserve">או </w:t>
            </w:r>
            <w:r>
              <w:rPr>
                <w:rFonts w:hint="cs"/>
                <w:sz w:val="26"/>
                <w:rtl/>
              </w:rPr>
              <w:t>עריכת שינויים, י</w:t>
            </w:r>
            <w:r w:rsidRPr="004C496F">
              <w:rPr>
                <w:sz w:val="26"/>
                <w:rtl/>
              </w:rPr>
              <w:t>ציין זאת, אלא אם כן אין לגלות עובדה</w:t>
            </w:r>
            <w:r>
              <w:rPr>
                <w:sz w:val="26"/>
                <w:rtl/>
              </w:rPr>
              <w:t xml:space="preserve"> זו, מהטעמים המפורטים בסע</w:t>
            </w:r>
            <w:r>
              <w:rPr>
                <w:rFonts w:hint="cs"/>
                <w:sz w:val="26"/>
                <w:rtl/>
              </w:rPr>
              <w:t>יף 9(א)(1) לחוק חופש המידע, תשנ"ח-1998.</w:t>
            </w:r>
            <w:r w:rsidRPr="00895472">
              <w:rPr>
                <w:rStyle w:val="a7"/>
                <w:rFonts w:asciiTheme="minorBidi" w:hAnsiTheme="minorBidi" w:cstheme="minorBidi"/>
                <w:szCs w:val="20"/>
                <w:rtl/>
              </w:rPr>
              <w:footnoteReference w:id="9"/>
            </w:r>
            <w:r>
              <w:rPr>
                <w:rFonts w:hint="cs"/>
                <w:sz w:val="26"/>
                <w:rtl/>
              </w:rPr>
              <w:t xml:space="preserve"> "</w:t>
            </w:r>
          </w:p>
        </w:tc>
      </w:tr>
    </w:tbl>
    <w:p w:rsidR="003322DE" w:rsidRDefault="003322DE" w:rsidP="00BA5F9D">
      <w:pPr>
        <w:pStyle w:val="HeadHatzaotHok"/>
        <w:keepNext w:val="0"/>
        <w:keepLines w:val="0"/>
        <w:ind w:right="-426"/>
        <w:rPr>
          <w:rtl/>
        </w:rPr>
      </w:pPr>
      <w:r>
        <w:rPr>
          <w:rFonts w:hint="cs"/>
          <w:rtl/>
        </w:rPr>
        <w:t>******************************</w:t>
      </w:r>
    </w:p>
    <w:sectPr w:rsidR="003322DE" w:rsidSect="00715A05">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4EF" w:rsidRDefault="005344EF" w:rsidP="008A6EAB">
      <w:pPr>
        <w:spacing w:before="0" w:line="240" w:lineRule="auto"/>
      </w:pPr>
      <w:r>
        <w:separator/>
      </w:r>
    </w:p>
  </w:endnote>
  <w:endnote w:type="continuationSeparator" w:id="0">
    <w:p w:rsidR="005344EF" w:rsidRDefault="005344EF" w:rsidP="008A6EA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adasa Roso SL">
    <w:altName w:val="Times New Roman"/>
    <w:charset w:val="00"/>
    <w:family w:val="roman"/>
    <w:pitch w:val="variable"/>
    <w:sig w:usb0="80001827" w:usb1="5000004A" w:usb2="00000020" w:usb3="00000000" w:csb0="0000002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F73" w:rsidRDefault="001C2F7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F73" w:rsidRPr="00F66DDB" w:rsidRDefault="001C2F73">
    <w:pPr>
      <w:pStyle w:val="ac"/>
      <w:jc w:val="center"/>
      <w:rPr>
        <w:rFonts w:ascii="David" w:hAnsi="David" w:cs="David"/>
        <w:sz w:val="22"/>
        <w:szCs w:val="22"/>
      </w:rPr>
    </w:pPr>
    <w:r w:rsidRPr="00F66DDB">
      <w:rPr>
        <w:rFonts w:ascii="David" w:hAnsi="David" w:cs="David"/>
        <w:sz w:val="22"/>
        <w:szCs w:val="22"/>
      </w:rPr>
      <w:fldChar w:fldCharType="begin"/>
    </w:r>
    <w:r w:rsidRPr="00F66DDB">
      <w:rPr>
        <w:rFonts w:ascii="David" w:hAnsi="David" w:cs="David"/>
        <w:sz w:val="22"/>
        <w:szCs w:val="22"/>
      </w:rPr>
      <w:instrText xml:space="preserve"> PAGE   \* MERGEFORMAT </w:instrText>
    </w:r>
    <w:r w:rsidRPr="00F66DDB">
      <w:rPr>
        <w:rFonts w:ascii="David" w:hAnsi="David" w:cs="David"/>
        <w:sz w:val="22"/>
        <w:szCs w:val="22"/>
      </w:rPr>
      <w:fldChar w:fldCharType="separate"/>
    </w:r>
    <w:r w:rsidR="00C14765" w:rsidRPr="00C14765">
      <w:rPr>
        <w:rFonts w:ascii="David" w:hAnsi="David" w:cs="David"/>
        <w:noProof/>
        <w:sz w:val="22"/>
        <w:szCs w:val="22"/>
        <w:rtl/>
        <w:lang w:val="he-IL"/>
      </w:rPr>
      <w:t>1</w:t>
    </w:r>
    <w:r w:rsidRPr="00F66DDB">
      <w:rPr>
        <w:rFonts w:ascii="David" w:hAnsi="David" w:cs="David"/>
        <w:sz w:val="22"/>
        <w:szCs w:val="22"/>
      </w:rPr>
      <w:fldChar w:fldCharType="end"/>
    </w:r>
  </w:p>
  <w:p w:rsidR="001C2F73" w:rsidRDefault="001C2F7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F73" w:rsidRDefault="001C2F7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4EF" w:rsidRDefault="005344EF" w:rsidP="008A6EAB">
      <w:pPr>
        <w:spacing w:before="0" w:line="240" w:lineRule="auto"/>
      </w:pPr>
      <w:r>
        <w:separator/>
      </w:r>
    </w:p>
  </w:footnote>
  <w:footnote w:type="continuationSeparator" w:id="0">
    <w:p w:rsidR="005344EF" w:rsidRDefault="005344EF" w:rsidP="008A6EAB">
      <w:pPr>
        <w:spacing w:before="0" w:line="240" w:lineRule="auto"/>
      </w:pPr>
      <w:r>
        <w:continuationSeparator/>
      </w:r>
    </w:p>
  </w:footnote>
  <w:footnote w:id="1">
    <w:p w:rsidR="001C2F73" w:rsidRPr="000A4ECD" w:rsidRDefault="001C2F73" w:rsidP="003322DE">
      <w:pPr>
        <w:pStyle w:val="a5"/>
      </w:pPr>
      <w:r w:rsidRPr="000A4ECD">
        <w:rPr>
          <w:rStyle w:val="a7"/>
        </w:rPr>
        <w:footnoteRef/>
      </w:r>
      <w:r w:rsidRPr="000A4ECD">
        <w:rPr>
          <w:rtl/>
        </w:rPr>
        <w:t xml:space="preserve"> </w:t>
      </w:r>
      <w:r>
        <w:rPr>
          <w:rFonts w:hint="cs"/>
          <w:rtl/>
        </w:rPr>
        <w:t>ס"ח התשמ"ח, עמ' 128; התשע"ה, 111.</w:t>
      </w:r>
    </w:p>
  </w:footnote>
  <w:footnote w:id="2">
    <w:p w:rsidR="001C2F73" w:rsidRPr="000A4ECD" w:rsidRDefault="001C2F73" w:rsidP="003322DE">
      <w:pPr>
        <w:pStyle w:val="a5"/>
        <w:rPr>
          <w:rtl/>
        </w:rPr>
      </w:pPr>
      <w:r w:rsidRPr="000A4ECD">
        <w:rPr>
          <w:rStyle w:val="a7"/>
        </w:rPr>
        <w:footnoteRef/>
      </w:r>
      <w:r w:rsidRPr="000A4ECD">
        <w:rPr>
          <w:rtl/>
        </w:rPr>
        <w:t xml:space="preserve"> </w:t>
      </w:r>
      <w:r w:rsidRPr="000A4ECD">
        <w:rPr>
          <w:rFonts w:hint="cs"/>
          <w:rtl/>
        </w:rPr>
        <w:t>דיני</w:t>
      </w:r>
      <w:r w:rsidRPr="000A4ECD">
        <w:rPr>
          <w:rtl/>
        </w:rPr>
        <w:t xml:space="preserve"> </w:t>
      </w:r>
      <w:r w:rsidRPr="000A4ECD">
        <w:rPr>
          <w:rFonts w:hint="cs"/>
          <w:rtl/>
        </w:rPr>
        <w:t>מדינת</w:t>
      </w:r>
      <w:r w:rsidRPr="000A4ECD">
        <w:rPr>
          <w:rtl/>
        </w:rPr>
        <w:t xml:space="preserve"> </w:t>
      </w:r>
      <w:r w:rsidRPr="000A4ECD">
        <w:rPr>
          <w:rFonts w:hint="cs"/>
          <w:rtl/>
        </w:rPr>
        <w:t>ישראל</w:t>
      </w:r>
      <w:r w:rsidRPr="000A4ECD">
        <w:rPr>
          <w:rtl/>
        </w:rPr>
        <w:t xml:space="preserve">, </w:t>
      </w:r>
      <w:r w:rsidRPr="000A4ECD">
        <w:rPr>
          <w:rFonts w:hint="cs"/>
          <w:rtl/>
        </w:rPr>
        <w:t>נוסח</w:t>
      </w:r>
      <w:r w:rsidRPr="000A4ECD">
        <w:rPr>
          <w:rtl/>
        </w:rPr>
        <w:t xml:space="preserve"> </w:t>
      </w:r>
      <w:r w:rsidRPr="000A4ECD">
        <w:rPr>
          <w:rFonts w:hint="cs"/>
          <w:rtl/>
        </w:rPr>
        <w:t>חדש</w:t>
      </w:r>
      <w:r w:rsidRPr="000A4ECD">
        <w:rPr>
          <w:rtl/>
        </w:rPr>
        <w:t xml:space="preserve"> 18, </w:t>
      </w:r>
      <w:r w:rsidRPr="000A4ECD">
        <w:rPr>
          <w:rFonts w:hint="cs"/>
          <w:rtl/>
        </w:rPr>
        <w:t>עמ</w:t>
      </w:r>
      <w:r w:rsidRPr="000A4ECD">
        <w:rPr>
          <w:rtl/>
        </w:rPr>
        <w:t>' 421</w:t>
      </w:r>
      <w:r>
        <w:rPr>
          <w:rFonts w:hint="cs"/>
          <w:rtl/>
        </w:rPr>
        <w:t>; התשע"ו</w:t>
      </w:r>
      <w:r w:rsidRPr="000A4ECD">
        <w:rPr>
          <w:rFonts w:hint="cs"/>
          <w:rtl/>
        </w:rPr>
        <w:t xml:space="preserve">, עמ' </w:t>
      </w:r>
      <w:r>
        <w:rPr>
          <w:rFonts w:hint="cs"/>
          <w:rtl/>
        </w:rPr>
        <w:t>308</w:t>
      </w:r>
      <w:r w:rsidRPr="000A4ECD">
        <w:rPr>
          <w:rFonts w:hint="cs"/>
          <w:rtl/>
        </w:rPr>
        <w:t>.</w:t>
      </w:r>
    </w:p>
  </w:footnote>
  <w:footnote w:id="3">
    <w:p w:rsidR="001C2F73" w:rsidRPr="000A4ECD" w:rsidRDefault="001C2F73" w:rsidP="003322DE">
      <w:pPr>
        <w:pStyle w:val="a5"/>
        <w:rPr>
          <w:rtl/>
        </w:rPr>
      </w:pPr>
      <w:r w:rsidRPr="000A4ECD">
        <w:rPr>
          <w:rStyle w:val="a7"/>
        </w:rPr>
        <w:footnoteRef/>
      </w:r>
      <w:r w:rsidRPr="000A4ECD">
        <w:rPr>
          <w:rtl/>
        </w:rPr>
        <w:t xml:space="preserve"> </w:t>
      </w:r>
      <w:r w:rsidRPr="000A4ECD">
        <w:rPr>
          <w:rFonts w:hint="cs"/>
          <w:rtl/>
        </w:rPr>
        <w:t>ס</w:t>
      </w:r>
      <w:r w:rsidRPr="000A4ECD">
        <w:rPr>
          <w:rtl/>
        </w:rPr>
        <w:t>"</w:t>
      </w:r>
      <w:r w:rsidRPr="000A4ECD">
        <w:rPr>
          <w:rFonts w:hint="cs"/>
          <w:rtl/>
        </w:rPr>
        <w:t>ח</w:t>
      </w:r>
      <w:r w:rsidRPr="000A4ECD">
        <w:rPr>
          <w:rtl/>
        </w:rPr>
        <w:t xml:space="preserve"> </w:t>
      </w:r>
      <w:r w:rsidRPr="000A4ECD">
        <w:rPr>
          <w:rFonts w:hint="cs"/>
          <w:rtl/>
        </w:rPr>
        <w:t>התשנ</w:t>
      </w:r>
      <w:r w:rsidRPr="000A4ECD">
        <w:rPr>
          <w:rtl/>
        </w:rPr>
        <w:t>"</w:t>
      </w:r>
      <w:r w:rsidRPr="000A4ECD">
        <w:rPr>
          <w:rFonts w:hint="cs"/>
          <w:rtl/>
        </w:rPr>
        <w:t>ב</w:t>
      </w:r>
      <w:r w:rsidRPr="000A4ECD">
        <w:rPr>
          <w:rtl/>
        </w:rPr>
        <w:t xml:space="preserve">, </w:t>
      </w:r>
      <w:r w:rsidRPr="000A4ECD">
        <w:rPr>
          <w:rFonts w:hint="cs"/>
          <w:rtl/>
        </w:rPr>
        <w:t>עמ</w:t>
      </w:r>
      <w:r w:rsidRPr="000A4ECD">
        <w:rPr>
          <w:rtl/>
        </w:rPr>
        <w:t xml:space="preserve">' 90; </w:t>
      </w:r>
      <w:r w:rsidRPr="000A4ECD">
        <w:rPr>
          <w:rFonts w:hint="cs"/>
          <w:rtl/>
        </w:rPr>
        <w:t>התשע</w:t>
      </w:r>
      <w:r w:rsidRPr="000A4ECD">
        <w:rPr>
          <w:rtl/>
        </w:rPr>
        <w:t>"</w:t>
      </w:r>
      <w:r w:rsidRPr="000A4ECD">
        <w:rPr>
          <w:rFonts w:hint="cs"/>
          <w:rtl/>
        </w:rPr>
        <w:t>ג</w:t>
      </w:r>
      <w:r w:rsidRPr="000A4ECD">
        <w:rPr>
          <w:rtl/>
        </w:rPr>
        <w:t xml:space="preserve">, </w:t>
      </w:r>
      <w:r w:rsidRPr="000A4ECD">
        <w:rPr>
          <w:rFonts w:hint="cs"/>
          <w:rtl/>
        </w:rPr>
        <w:t>עמ</w:t>
      </w:r>
      <w:r w:rsidRPr="000A4ECD">
        <w:rPr>
          <w:rtl/>
        </w:rPr>
        <w:t>' 16.</w:t>
      </w:r>
    </w:p>
  </w:footnote>
  <w:footnote w:id="4">
    <w:p w:rsidR="001C2F73" w:rsidRPr="000A4ECD" w:rsidRDefault="001C2F73" w:rsidP="003322DE">
      <w:pPr>
        <w:pStyle w:val="a5"/>
        <w:rPr>
          <w:rtl/>
        </w:rPr>
      </w:pPr>
      <w:r w:rsidRPr="000A4ECD">
        <w:rPr>
          <w:rStyle w:val="a7"/>
        </w:rPr>
        <w:footnoteRef/>
      </w:r>
      <w:r w:rsidRPr="000A4ECD">
        <w:rPr>
          <w:rtl/>
        </w:rPr>
        <w:t xml:space="preserve"> </w:t>
      </w:r>
      <w:r>
        <w:rPr>
          <w:rFonts w:hint="cs"/>
          <w:rtl/>
        </w:rPr>
        <w:t>ס"ח ה</w:t>
      </w:r>
      <w:r w:rsidRPr="000A4ECD">
        <w:rPr>
          <w:rFonts w:hint="cs"/>
          <w:rtl/>
        </w:rPr>
        <w:t>ת</w:t>
      </w:r>
      <w:r>
        <w:rPr>
          <w:rFonts w:hint="cs"/>
          <w:rtl/>
        </w:rPr>
        <w:t>שנ"ט, עמ' 189; התשע"ו, עמ' 625.</w:t>
      </w:r>
    </w:p>
  </w:footnote>
  <w:footnote w:id="5">
    <w:p w:rsidR="001C2F73" w:rsidRPr="000A4ECD" w:rsidRDefault="001C2F73" w:rsidP="003322DE">
      <w:pPr>
        <w:pStyle w:val="a5"/>
        <w:rPr>
          <w:rtl/>
        </w:rPr>
      </w:pPr>
      <w:r w:rsidRPr="000A4ECD">
        <w:rPr>
          <w:rStyle w:val="a7"/>
        </w:rPr>
        <w:footnoteRef/>
      </w:r>
      <w:r w:rsidRPr="000A4ECD">
        <w:rPr>
          <w:rtl/>
        </w:rPr>
        <w:t xml:space="preserve"> </w:t>
      </w:r>
      <w:hyperlink r:id="rId1" w:history="1">
        <w:r w:rsidRPr="000A4ECD">
          <w:rPr>
            <w:rtl/>
          </w:rPr>
          <w:t xml:space="preserve">ס"ח </w:t>
        </w:r>
        <w:r w:rsidRPr="000A4ECD">
          <w:rPr>
            <w:rFonts w:hint="cs"/>
            <w:rtl/>
          </w:rPr>
          <w:t>ה</w:t>
        </w:r>
        <w:r w:rsidRPr="000A4ECD">
          <w:rPr>
            <w:rtl/>
          </w:rPr>
          <w:t>תשנ"ח</w:t>
        </w:r>
        <w:r>
          <w:rPr>
            <w:rFonts w:hint="cs"/>
            <w:rtl/>
          </w:rPr>
          <w:t>, עמ' 226; התשע"ו, עמ' 313.</w:t>
        </w:r>
        <w:r w:rsidRPr="000A4ECD">
          <w:rPr>
            <w:rFonts w:hint="cs"/>
            <w:rtl/>
          </w:rPr>
          <w:t xml:space="preserve"> </w:t>
        </w:r>
      </w:hyperlink>
    </w:p>
  </w:footnote>
  <w:footnote w:id="6">
    <w:p w:rsidR="001C2F73" w:rsidRPr="000A4ECD" w:rsidRDefault="001C2F73" w:rsidP="003322DE">
      <w:pPr>
        <w:pStyle w:val="a5"/>
        <w:rPr>
          <w:rtl/>
        </w:rPr>
      </w:pPr>
      <w:r w:rsidRPr="000A4ECD">
        <w:rPr>
          <w:rStyle w:val="a7"/>
        </w:rPr>
        <w:footnoteRef/>
      </w:r>
      <w:r w:rsidRPr="000A4ECD">
        <w:rPr>
          <w:rtl/>
        </w:rPr>
        <w:t xml:space="preserve"> </w:t>
      </w:r>
      <w:r w:rsidRPr="000A4ECD">
        <w:rPr>
          <w:rFonts w:hint="cs"/>
          <w:rtl/>
        </w:rPr>
        <w:t xml:space="preserve">ס"ח התשע"ד, עמ' 92. </w:t>
      </w:r>
    </w:p>
  </w:footnote>
  <w:footnote w:id="7">
    <w:p w:rsidR="001C2F73" w:rsidRPr="000A4ECD" w:rsidRDefault="001C2F73" w:rsidP="003322DE">
      <w:pPr>
        <w:pStyle w:val="a5"/>
        <w:rPr>
          <w:rtl/>
        </w:rPr>
      </w:pPr>
      <w:r w:rsidRPr="000A4ECD">
        <w:rPr>
          <w:rStyle w:val="a7"/>
        </w:rPr>
        <w:footnoteRef/>
      </w:r>
      <w:r w:rsidRPr="000A4ECD">
        <w:rPr>
          <w:rtl/>
        </w:rPr>
        <w:t xml:space="preserve"> </w:t>
      </w:r>
      <w:hyperlink r:id="rId2" w:history="1">
        <w:r w:rsidRPr="000A4ECD">
          <w:rPr>
            <w:rtl/>
          </w:rPr>
          <w:t xml:space="preserve">ס"ח </w:t>
        </w:r>
        <w:r w:rsidRPr="000A4ECD">
          <w:rPr>
            <w:rFonts w:hint="cs"/>
            <w:rtl/>
          </w:rPr>
          <w:t>ה</w:t>
        </w:r>
        <w:r w:rsidRPr="000A4ECD">
          <w:rPr>
            <w:rtl/>
          </w:rPr>
          <w:t>תשנ"ח</w:t>
        </w:r>
        <w:r>
          <w:rPr>
            <w:rFonts w:hint="cs"/>
            <w:rtl/>
          </w:rPr>
          <w:t>, עמ' 226; התשע"ו, עמ' 313.</w:t>
        </w:r>
        <w:r w:rsidRPr="000A4ECD">
          <w:rPr>
            <w:rFonts w:hint="cs"/>
            <w:rtl/>
          </w:rPr>
          <w:t xml:space="preserve"> </w:t>
        </w:r>
      </w:hyperlink>
    </w:p>
  </w:footnote>
  <w:footnote w:id="8">
    <w:p w:rsidR="001C2F73" w:rsidRPr="000A4ECD" w:rsidRDefault="001C2F73" w:rsidP="003322DE">
      <w:pPr>
        <w:pStyle w:val="a5"/>
        <w:rPr>
          <w:rtl/>
        </w:rPr>
      </w:pPr>
      <w:r w:rsidRPr="000A4ECD">
        <w:rPr>
          <w:rStyle w:val="a7"/>
        </w:rPr>
        <w:footnoteRef/>
      </w:r>
      <w:r w:rsidRPr="000A4ECD">
        <w:rPr>
          <w:rtl/>
        </w:rPr>
        <w:t xml:space="preserve"> </w:t>
      </w:r>
      <w:r>
        <w:rPr>
          <w:rFonts w:hint="cs"/>
          <w:rtl/>
        </w:rPr>
        <w:t>ס"ח השתע"ד, עמ' 438; התשע"ה, עמ' 296.</w:t>
      </w:r>
    </w:p>
  </w:footnote>
  <w:footnote w:id="9">
    <w:p w:rsidR="001C2F73" w:rsidRPr="000A4ECD" w:rsidRDefault="001C2F73" w:rsidP="003322DE">
      <w:pPr>
        <w:pStyle w:val="a5"/>
        <w:rPr>
          <w:rtl/>
        </w:rPr>
      </w:pPr>
      <w:r w:rsidRPr="000A4ECD">
        <w:rPr>
          <w:rStyle w:val="a7"/>
        </w:rPr>
        <w:footnoteRef/>
      </w:r>
      <w:r w:rsidRPr="000A4ECD">
        <w:rPr>
          <w:rtl/>
        </w:rPr>
        <w:t xml:space="preserve"> </w:t>
      </w:r>
      <w:r w:rsidRPr="000A4ECD">
        <w:rPr>
          <w:rStyle w:val="apple-converted-space"/>
          <w:rFonts w:ascii="FrankRuehl" w:hAnsi="FrankRuehl"/>
          <w:sz w:val="22"/>
          <w:szCs w:val="22"/>
        </w:rPr>
        <w:t> </w:t>
      </w:r>
      <w:r w:rsidRPr="00585990">
        <w:rPr>
          <w:rtl/>
        </w:rPr>
        <w:t xml:space="preserve">ס"ח </w:t>
      </w:r>
      <w:r w:rsidRPr="00585990">
        <w:rPr>
          <w:rFonts w:hint="cs"/>
          <w:rtl/>
        </w:rPr>
        <w:t>ה</w:t>
      </w:r>
      <w:r w:rsidRPr="00585990">
        <w:rPr>
          <w:rtl/>
        </w:rPr>
        <w:t>תשנ"ח</w:t>
      </w:r>
      <w:r w:rsidRPr="00585990">
        <w:rPr>
          <w:rFonts w:hint="cs"/>
          <w:rtl/>
        </w:rPr>
        <w:t>, עמ' 226; התשע"ו, עמ' 313</w:t>
      </w:r>
      <w:r>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F73" w:rsidRDefault="001C2F7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F73" w:rsidRDefault="001C2F7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F73" w:rsidRDefault="001C2F7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6AAD98"/>
    <w:lvl w:ilvl="0">
      <w:start w:val="1"/>
      <w:numFmt w:val="decimal"/>
      <w:lvlText w:val="%1."/>
      <w:lvlJc w:val="left"/>
      <w:pPr>
        <w:tabs>
          <w:tab w:val="num" w:pos="1492"/>
        </w:tabs>
        <w:ind w:left="1492" w:hanging="360"/>
      </w:pPr>
      <w:rPr>
        <w:rFonts w:cs="Times New Roman"/>
      </w:rPr>
    </w:lvl>
  </w:abstractNum>
  <w:abstractNum w:abstractNumId="1">
    <w:nsid w:val="063A177F"/>
    <w:multiLevelType w:val="hybridMultilevel"/>
    <w:tmpl w:val="2CA8758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8EE4EC8"/>
    <w:multiLevelType w:val="hybridMultilevel"/>
    <w:tmpl w:val="EF9269E6"/>
    <w:lvl w:ilvl="0" w:tplc="04090013">
      <w:start w:val="1"/>
      <w:numFmt w:val="hebrew1"/>
      <w:lvlText w:val="%1."/>
      <w:lvlJc w:val="center"/>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
    <w:nsid w:val="0E767207"/>
    <w:multiLevelType w:val="hybridMultilevel"/>
    <w:tmpl w:val="B3CADA5E"/>
    <w:lvl w:ilvl="0" w:tplc="29ACFC64">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100414"/>
    <w:multiLevelType w:val="hybridMultilevel"/>
    <w:tmpl w:val="07F46A2E"/>
    <w:lvl w:ilvl="0" w:tplc="D46CC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532DA4"/>
    <w:multiLevelType w:val="hybridMultilevel"/>
    <w:tmpl w:val="88A6F388"/>
    <w:lvl w:ilvl="0" w:tplc="31E466B8">
      <w:start w:val="1"/>
      <w:numFmt w:val="hebrew1"/>
      <w:lvlText w:val="%1."/>
      <w:lvlJc w:val="left"/>
      <w:pPr>
        <w:ind w:left="720" w:hanging="360"/>
      </w:pPr>
      <w:rPr>
        <w:rFonts w:cs="David" w:hint="default"/>
        <w:b w:val="0"/>
        <w:bCs/>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3491652"/>
    <w:multiLevelType w:val="hybridMultilevel"/>
    <w:tmpl w:val="7CE61876"/>
    <w:lvl w:ilvl="0" w:tplc="D37859DA">
      <w:start w:val="1"/>
      <w:numFmt w:val="hebrew1"/>
      <w:lvlText w:val="(%1)"/>
      <w:lvlJc w:val="left"/>
      <w:pPr>
        <w:ind w:left="1080" w:hanging="360"/>
      </w:pPr>
      <w:rPr>
        <w:rFonts w:cs="David"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9062D9E"/>
    <w:multiLevelType w:val="hybridMultilevel"/>
    <w:tmpl w:val="6F2C61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0812DC"/>
    <w:multiLevelType w:val="hybridMultilevel"/>
    <w:tmpl w:val="14F20EE0"/>
    <w:lvl w:ilvl="0" w:tplc="3166A4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D78F3"/>
    <w:multiLevelType w:val="hybridMultilevel"/>
    <w:tmpl w:val="9E4C4E42"/>
    <w:lvl w:ilvl="0" w:tplc="861C87C0">
      <w:start w:val="1"/>
      <w:numFmt w:val="decimal"/>
      <w:lvlText w:val="(%1)"/>
      <w:lvlJc w:val="left"/>
      <w:pPr>
        <w:tabs>
          <w:tab w:val="num" w:pos="624"/>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F1D4A3F"/>
    <w:multiLevelType w:val="hybridMultilevel"/>
    <w:tmpl w:val="309418C0"/>
    <w:lvl w:ilvl="0" w:tplc="D090CA4C">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F827B33"/>
    <w:multiLevelType w:val="hybridMultilevel"/>
    <w:tmpl w:val="D0FAA75C"/>
    <w:lvl w:ilvl="0" w:tplc="60FE71F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21D227AA"/>
    <w:multiLevelType w:val="hybridMultilevel"/>
    <w:tmpl w:val="1340F502"/>
    <w:lvl w:ilvl="0" w:tplc="36C0B75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8C2473"/>
    <w:multiLevelType w:val="hybridMultilevel"/>
    <w:tmpl w:val="21BEF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5176D9F"/>
    <w:multiLevelType w:val="hybridMultilevel"/>
    <w:tmpl w:val="7E54D858"/>
    <w:lvl w:ilvl="0" w:tplc="9DB828E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55B2BF2"/>
    <w:multiLevelType w:val="hybridMultilevel"/>
    <w:tmpl w:val="25522CB6"/>
    <w:lvl w:ilvl="0" w:tplc="B8528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10D2F"/>
    <w:multiLevelType w:val="hybridMultilevel"/>
    <w:tmpl w:val="8878FAA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68F5D71"/>
    <w:multiLevelType w:val="hybridMultilevel"/>
    <w:tmpl w:val="9272CB4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78E7E55"/>
    <w:multiLevelType w:val="hybridMultilevel"/>
    <w:tmpl w:val="DB865E72"/>
    <w:lvl w:ilvl="0" w:tplc="DF102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283E78"/>
    <w:multiLevelType w:val="hybridMultilevel"/>
    <w:tmpl w:val="898C4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AF43316"/>
    <w:multiLevelType w:val="hybridMultilevel"/>
    <w:tmpl w:val="87F2E776"/>
    <w:lvl w:ilvl="0" w:tplc="79005B5E">
      <w:start w:val="1"/>
      <w:numFmt w:val="hebrew1"/>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4F897FE3"/>
    <w:multiLevelType w:val="hybridMultilevel"/>
    <w:tmpl w:val="05FCD994"/>
    <w:lvl w:ilvl="0" w:tplc="C0DE8B68">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4021177"/>
    <w:multiLevelType w:val="hybridMultilevel"/>
    <w:tmpl w:val="6F2C61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56BD5A83"/>
    <w:multiLevelType w:val="hybridMultilevel"/>
    <w:tmpl w:val="5DC0FA6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nsid w:val="5A0A7551"/>
    <w:multiLevelType w:val="hybridMultilevel"/>
    <w:tmpl w:val="7DE6719C"/>
    <w:lvl w:ilvl="0" w:tplc="A98E4D8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B087EFB"/>
    <w:multiLevelType w:val="hybridMultilevel"/>
    <w:tmpl w:val="931E8F5A"/>
    <w:lvl w:ilvl="0" w:tplc="4AE0C3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6E1058"/>
    <w:multiLevelType w:val="hybridMultilevel"/>
    <w:tmpl w:val="C31A5E36"/>
    <w:lvl w:ilvl="0" w:tplc="4BB4CCAE">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ABB44D5"/>
    <w:multiLevelType w:val="hybridMultilevel"/>
    <w:tmpl w:val="DAAA2A9A"/>
    <w:lvl w:ilvl="0" w:tplc="A8A0AC1A">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E4E7A00"/>
    <w:multiLevelType w:val="hybridMultilevel"/>
    <w:tmpl w:val="768E99B4"/>
    <w:lvl w:ilvl="0" w:tplc="2AF08D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B94D53"/>
    <w:multiLevelType w:val="hybridMultilevel"/>
    <w:tmpl w:val="732CD88A"/>
    <w:lvl w:ilvl="0" w:tplc="A4D04AF0">
      <w:start w:val="1"/>
      <w:numFmt w:val="hebrew1"/>
      <w:lvlText w:val="(%1)"/>
      <w:lvlJc w:val="left"/>
      <w:pPr>
        <w:ind w:left="720" w:hanging="360"/>
      </w:pPr>
      <w:rPr>
        <w:rFonts w:ascii="Arial" w:eastAsia="Arial Unicode MS" w:hAnsi="Arial" w:cs="David"/>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3C544D"/>
    <w:multiLevelType w:val="hybridMultilevel"/>
    <w:tmpl w:val="3BCC751C"/>
    <w:lvl w:ilvl="0" w:tplc="746489A4">
      <w:start w:val="1"/>
      <w:numFmt w:val="decimal"/>
      <w:lvlText w:val="%1."/>
      <w:lvlJc w:val="left"/>
      <w:pPr>
        <w:tabs>
          <w:tab w:val="num" w:pos="0"/>
        </w:tabs>
      </w:pPr>
      <w:rPr>
        <w:rFonts w:cs="Times New Roman" w:hint="default"/>
      </w:rPr>
    </w:lvl>
    <w:lvl w:ilvl="1" w:tplc="16DA2B36">
      <w:start w:val="1"/>
      <w:numFmt w:val="hebrew1"/>
      <w:lvlText w:val="(%2)"/>
      <w:lvlJc w:val="left"/>
      <w:pPr>
        <w:tabs>
          <w:tab w:val="num" w:pos="624"/>
        </w:tabs>
      </w:pPr>
      <w:rPr>
        <w:rFonts w:ascii="Arial" w:eastAsia="Arial Unicode MS" w:hAnsi="Arial" w:cs="David"/>
      </w:rPr>
    </w:lvl>
    <w:lvl w:ilvl="2" w:tplc="1C9CE13C">
      <w:start w:val="1"/>
      <w:numFmt w:val="hebrew1"/>
      <w:lvlText w:val="(%3)"/>
      <w:lvlJc w:val="left"/>
      <w:pPr>
        <w:tabs>
          <w:tab w:val="num" w:pos="624"/>
        </w:tabs>
      </w:pPr>
      <w:rPr>
        <w:rFonts w:cs="David" w:hint="default"/>
      </w:rPr>
    </w:lvl>
    <w:lvl w:ilvl="3" w:tplc="1F820BA4">
      <w:start w:val="1"/>
      <w:numFmt w:val="hebrew1"/>
      <w:lvlRestart w:val="0"/>
      <w:lvlText w:val="(%4)"/>
      <w:lvlJc w:val="left"/>
      <w:pPr>
        <w:tabs>
          <w:tab w:val="num" w:pos="624"/>
        </w:tabs>
      </w:pPr>
      <w:rPr>
        <w:rFonts w:cs="Times New Roman" w:hint="default"/>
      </w:rPr>
    </w:lvl>
    <w:lvl w:ilvl="4" w:tplc="62C6E096">
      <w:start w:val="1"/>
      <w:numFmt w:val="decimal"/>
      <w:lvlRestart w:val="0"/>
      <w:lvlText w:val="(%5)"/>
      <w:lvlJc w:val="left"/>
      <w:pPr>
        <w:tabs>
          <w:tab w:val="num" w:pos="3864"/>
        </w:tabs>
        <w:ind w:left="324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5C858E4"/>
    <w:multiLevelType w:val="hybridMultilevel"/>
    <w:tmpl w:val="882C6ED4"/>
    <w:lvl w:ilvl="0" w:tplc="4112A21E">
      <w:start w:val="1"/>
      <w:numFmt w:val="hebrew1"/>
      <w:lvlRestart w:val="0"/>
      <w:lvlText w:val="(%1)"/>
      <w:lvlJc w:val="left"/>
      <w:pPr>
        <w:tabs>
          <w:tab w:val="num" w:pos="624"/>
        </w:tabs>
      </w:pPr>
      <w:rPr>
        <w:rFonts w:cs="Times New Roman" w:hint="default"/>
      </w:rPr>
    </w:lvl>
    <w:lvl w:ilvl="1" w:tplc="49082BE6">
      <w:start w:val="1"/>
      <w:numFmt w:val="decimal"/>
      <w:lvlRestart w:val="0"/>
      <w:lvlText w:val="(%2)"/>
      <w:lvlJc w:val="left"/>
      <w:pPr>
        <w:tabs>
          <w:tab w:val="num" w:pos="1704"/>
        </w:tabs>
        <w:ind w:left="1080"/>
      </w:pPr>
      <w:rPr>
        <w:rFonts w:cs="Times New Roman" w:hint="default"/>
      </w:rPr>
    </w:lvl>
    <w:lvl w:ilvl="2" w:tplc="48C06176">
      <w:start w:val="1"/>
      <w:numFmt w:val="decimal"/>
      <w:lvlRestart w:val="0"/>
      <w:lvlText w:val="(%3)"/>
      <w:lvlJc w:val="left"/>
      <w:pPr>
        <w:tabs>
          <w:tab w:val="num" w:pos="2604"/>
        </w:tabs>
        <w:ind w:left="198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5FC230F"/>
    <w:multiLevelType w:val="hybridMultilevel"/>
    <w:tmpl w:val="FF18FFA8"/>
    <w:lvl w:ilvl="0" w:tplc="6C78C34E">
      <w:start w:val="1"/>
      <w:numFmt w:val="hebrew1"/>
      <w:lvlText w:val="%1."/>
      <w:lvlJc w:val="left"/>
      <w:pPr>
        <w:ind w:left="720" w:hanging="360"/>
      </w:pPr>
      <w:rPr>
        <w:rFonts w:cs="David" w:hint="default"/>
        <w:b w:val="0"/>
        <w:bCs/>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8E540A6"/>
    <w:multiLevelType w:val="hybridMultilevel"/>
    <w:tmpl w:val="FC8667EC"/>
    <w:lvl w:ilvl="0" w:tplc="C6E2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864E20"/>
    <w:multiLevelType w:val="hybridMultilevel"/>
    <w:tmpl w:val="360E00AC"/>
    <w:lvl w:ilvl="0" w:tplc="9A3EADA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402ED3"/>
    <w:multiLevelType w:val="hybridMultilevel"/>
    <w:tmpl w:val="2756827A"/>
    <w:lvl w:ilvl="0" w:tplc="06182604">
      <w:start w:val="1"/>
      <w:numFmt w:val="decimal"/>
      <w:lvlRestart w:val="0"/>
      <w:lvlText w:val="(%1)"/>
      <w:lvlJc w:val="left"/>
      <w:pPr>
        <w:tabs>
          <w:tab w:val="num" w:pos="624"/>
        </w:tabs>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962F3"/>
    <w:multiLevelType w:val="hybridMultilevel"/>
    <w:tmpl w:val="E664338E"/>
    <w:lvl w:ilvl="0" w:tplc="AC4A11E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0"/>
  </w:num>
  <w:num w:numId="3">
    <w:abstractNumId w:val="9"/>
  </w:num>
  <w:num w:numId="4">
    <w:abstractNumId w:val="31"/>
  </w:num>
  <w:num w:numId="5">
    <w:abstractNumId w:val="32"/>
  </w:num>
  <w:num w:numId="6">
    <w:abstractNumId w:val="27"/>
  </w:num>
  <w:num w:numId="7">
    <w:abstractNumId w:val="10"/>
  </w:num>
  <w:num w:numId="8">
    <w:abstractNumId w:val="35"/>
  </w:num>
  <w:num w:numId="9">
    <w:abstractNumId w:val="3"/>
  </w:num>
  <w:num w:numId="10">
    <w:abstractNumId w:val="19"/>
  </w:num>
  <w:num w:numId="11">
    <w:abstractNumId w:val="1"/>
  </w:num>
  <w:num w:numId="12">
    <w:abstractNumId w:val="7"/>
  </w:num>
  <w:num w:numId="13">
    <w:abstractNumId w:val="16"/>
  </w:num>
  <w:num w:numId="14">
    <w:abstractNumId w:val="23"/>
  </w:num>
  <w:num w:numId="15">
    <w:abstractNumId w:val="22"/>
  </w:num>
  <w:num w:numId="16">
    <w:abstractNumId w:val="24"/>
  </w:num>
  <w:num w:numId="17">
    <w:abstractNumId w:val="11"/>
  </w:num>
  <w:num w:numId="18">
    <w:abstractNumId w:val="13"/>
  </w:num>
  <w:num w:numId="19">
    <w:abstractNumId w:val="21"/>
  </w:num>
  <w:num w:numId="20">
    <w:abstractNumId w:val="26"/>
  </w:num>
  <w:num w:numId="21">
    <w:abstractNumId w:val="14"/>
  </w:num>
  <w:num w:numId="22">
    <w:abstractNumId w:val="5"/>
  </w:num>
  <w:num w:numId="23">
    <w:abstractNumId w:val="20"/>
  </w:num>
  <w:num w:numId="24">
    <w:abstractNumId w:val="6"/>
  </w:num>
  <w:num w:numId="25">
    <w:abstractNumId w:val="17"/>
  </w:num>
  <w:num w:numId="26">
    <w:abstractNumId w:val="29"/>
  </w:num>
  <w:num w:numId="27">
    <w:abstractNumId w:val="15"/>
  </w:num>
  <w:num w:numId="28">
    <w:abstractNumId w:val="28"/>
  </w:num>
  <w:num w:numId="29">
    <w:abstractNumId w:val="25"/>
  </w:num>
  <w:num w:numId="30">
    <w:abstractNumId w:val="34"/>
  </w:num>
  <w:num w:numId="31">
    <w:abstractNumId w:val="12"/>
  </w:num>
  <w:num w:numId="32">
    <w:abstractNumId w:val="36"/>
  </w:num>
  <w:num w:numId="33">
    <w:abstractNumId w:val="18"/>
  </w:num>
  <w:num w:numId="34">
    <w:abstractNumId w:val="33"/>
  </w:num>
  <w:num w:numId="35">
    <w:abstractNumId w:val="8"/>
  </w:num>
  <w:num w:numId="36">
    <w:abstractNumId w:val="4"/>
  </w:num>
  <w:num w:numId="3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IT">
    <w15:presenceInfo w15:providerId="None" w15:userId="I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EAB"/>
    <w:rsid w:val="00006548"/>
    <w:rsid w:val="000076F7"/>
    <w:rsid w:val="00014037"/>
    <w:rsid w:val="00014445"/>
    <w:rsid w:val="000166B4"/>
    <w:rsid w:val="00017EE1"/>
    <w:rsid w:val="00021D3A"/>
    <w:rsid w:val="000232AD"/>
    <w:rsid w:val="0002744F"/>
    <w:rsid w:val="0002771E"/>
    <w:rsid w:val="00030F50"/>
    <w:rsid w:val="000333AB"/>
    <w:rsid w:val="000333E9"/>
    <w:rsid w:val="00034D4C"/>
    <w:rsid w:val="00040E8A"/>
    <w:rsid w:val="00041C13"/>
    <w:rsid w:val="000421BE"/>
    <w:rsid w:val="00042EEA"/>
    <w:rsid w:val="000450DC"/>
    <w:rsid w:val="000456AE"/>
    <w:rsid w:val="00047E68"/>
    <w:rsid w:val="00053BA5"/>
    <w:rsid w:val="00054A56"/>
    <w:rsid w:val="00056F6F"/>
    <w:rsid w:val="000601A6"/>
    <w:rsid w:val="000606F6"/>
    <w:rsid w:val="000676EA"/>
    <w:rsid w:val="000701D8"/>
    <w:rsid w:val="00070E72"/>
    <w:rsid w:val="00072B88"/>
    <w:rsid w:val="000749D9"/>
    <w:rsid w:val="00076C21"/>
    <w:rsid w:val="0008020A"/>
    <w:rsid w:val="00082F25"/>
    <w:rsid w:val="00083CFA"/>
    <w:rsid w:val="00084C1E"/>
    <w:rsid w:val="0008506B"/>
    <w:rsid w:val="0008549B"/>
    <w:rsid w:val="0009158F"/>
    <w:rsid w:val="000A05C2"/>
    <w:rsid w:val="000A1145"/>
    <w:rsid w:val="000A1286"/>
    <w:rsid w:val="000A38AF"/>
    <w:rsid w:val="000A5892"/>
    <w:rsid w:val="000B1B85"/>
    <w:rsid w:val="000B26EB"/>
    <w:rsid w:val="000B30B1"/>
    <w:rsid w:val="000B3FDB"/>
    <w:rsid w:val="000B4F81"/>
    <w:rsid w:val="000B6428"/>
    <w:rsid w:val="000B7A08"/>
    <w:rsid w:val="000B7E66"/>
    <w:rsid w:val="000C1CD9"/>
    <w:rsid w:val="000C2289"/>
    <w:rsid w:val="000C4DDA"/>
    <w:rsid w:val="000D1F6A"/>
    <w:rsid w:val="000D34CA"/>
    <w:rsid w:val="000D3ED5"/>
    <w:rsid w:val="000D64D1"/>
    <w:rsid w:val="000D718D"/>
    <w:rsid w:val="000D7B9A"/>
    <w:rsid w:val="000D7CC9"/>
    <w:rsid w:val="000E02BF"/>
    <w:rsid w:val="000E34E0"/>
    <w:rsid w:val="000E4281"/>
    <w:rsid w:val="000E632E"/>
    <w:rsid w:val="000E719D"/>
    <w:rsid w:val="000F77E8"/>
    <w:rsid w:val="000F7DF7"/>
    <w:rsid w:val="00110981"/>
    <w:rsid w:val="00111A73"/>
    <w:rsid w:val="00112273"/>
    <w:rsid w:val="00114EB7"/>
    <w:rsid w:val="001173D6"/>
    <w:rsid w:val="00121151"/>
    <w:rsid w:val="0012398B"/>
    <w:rsid w:val="00123D72"/>
    <w:rsid w:val="00124467"/>
    <w:rsid w:val="0012507B"/>
    <w:rsid w:val="001272A3"/>
    <w:rsid w:val="0013083D"/>
    <w:rsid w:val="00131A68"/>
    <w:rsid w:val="0013290B"/>
    <w:rsid w:val="00137014"/>
    <w:rsid w:val="001370C5"/>
    <w:rsid w:val="00137C89"/>
    <w:rsid w:val="00137FAA"/>
    <w:rsid w:val="00140BDB"/>
    <w:rsid w:val="00141AFE"/>
    <w:rsid w:val="00141B76"/>
    <w:rsid w:val="00142DB3"/>
    <w:rsid w:val="00145C94"/>
    <w:rsid w:val="00146708"/>
    <w:rsid w:val="00152D69"/>
    <w:rsid w:val="00154437"/>
    <w:rsid w:val="00161272"/>
    <w:rsid w:val="001623ED"/>
    <w:rsid w:val="00163C07"/>
    <w:rsid w:val="00163EEF"/>
    <w:rsid w:val="001640B4"/>
    <w:rsid w:val="00164B7D"/>
    <w:rsid w:val="00164B8D"/>
    <w:rsid w:val="00166059"/>
    <w:rsid w:val="001669E4"/>
    <w:rsid w:val="00171993"/>
    <w:rsid w:val="00171C9F"/>
    <w:rsid w:val="0017545C"/>
    <w:rsid w:val="00175F5E"/>
    <w:rsid w:val="00176D84"/>
    <w:rsid w:val="00176F79"/>
    <w:rsid w:val="00177C2A"/>
    <w:rsid w:val="0018011D"/>
    <w:rsid w:val="00180873"/>
    <w:rsid w:val="00190ED2"/>
    <w:rsid w:val="00191404"/>
    <w:rsid w:val="00192051"/>
    <w:rsid w:val="00192811"/>
    <w:rsid w:val="001A1292"/>
    <w:rsid w:val="001A3C54"/>
    <w:rsid w:val="001A6F27"/>
    <w:rsid w:val="001B26F0"/>
    <w:rsid w:val="001B3A1F"/>
    <w:rsid w:val="001C1B79"/>
    <w:rsid w:val="001C2F73"/>
    <w:rsid w:val="001C5911"/>
    <w:rsid w:val="001C6402"/>
    <w:rsid w:val="001D2EFF"/>
    <w:rsid w:val="001D3F14"/>
    <w:rsid w:val="001D5F8B"/>
    <w:rsid w:val="001D758A"/>
    <w:rsid w:val="001D7BED"/>
    <w:rsid w:val="001E1BE7"/>
    <w:rsid w:val="001E32BC"/>
    <w:rsid w:val="001E3855"/>
    <w:rsid w:val="001E509C"/>
    <w:rsid w:val="001E6321"/>
    <w:rsid w:val="001E687E"/>
    <w:rsid w:val="001E7D1B"/>
    <w:rsid w:val="001F010A"/>
    <w:rsid w:val="001F1220"/>
    <w:rsid w:val="001F202F"/>
    <w:rsid w:val="001F5686"/>
    <w:rsid w:val="001F6BD0"/>
    <w:rsid w:val="001F6E45"/>
    <w:rsid w:val="00202D8F"/>
    <w:rsid w:val="002062F2"/>
    <w:rsid w:val="00207887"/>
    <w:rsid w:val="002078B4"/>
    <w:rsid w:val="0021082E"/>
    <w:rsid w:val="00211A15"/>
    <w:rsid w:val="00211DED"/>
    <w:rsid w:val="002124E1"/>
    <w:rsid w:val="002143C7"/>
    <w:rsid w:val="0021512F"/>
    <w:rsid w:val="0021594C"/>
    <w:rsid w:val="0021699F"/>
    <w:rsid w:val="00223E94"/>
    <w:rsid w:val="0022468D"/>
    <w:rsid w:val="00224C3A"/>
    <w:rsid w:val="00227728"/>
    <w:rsid w:val="00227C00"/>
    <w:rsid w:val="00233269"/>
    <w:rsid w:val="002336B8"/>
    <w:rsid w:val="00237980"/>
    <w:rsid w:val="00237DF7"/>
    <w:rsid w:val="0024386A"/>
    <w:rsid w:val="00245714"/>
    <w:rsid w:val="00245D68"/>
    <w:rsid w:val="002504C4"/>
    <w:rsid w:val="00251BDE"/>
    <w:rsid w:val="0025215A"/>
    <w:rsid w:val="00252F36"/>
    <w:rsid w:val="002534B4"/>
    <w:rsid w:val="00253AF5"/>
    <w:rsid w:val="00253C56"/>
    <w:rsid w:val="002542FD"/>
    <w:rsid w:val="00255CD6"/>
    <w:rsid w:val="002612CB"/>
    <w:rsid w:val="00263BE0"/>
    <w:rsid w:val="002712BC"/>
    <w:rsid w:val="00273C16"/>
    <w:rsid w:val="00276F63"/>
    <w:rsid w:val="00281F24"/>
    <w:rsid w:val="002822BE"/>
    <w:rsid w:val="00283B03"/>
    <w:rsid w:val="00285F0D"/>
    <w:rsid w:val="002902EE"/>
    <w:rsid w:val="00291DDA"/>
    <w:rsid w:val="002941D9"/>
    <w:rsid w:val="0029542F"/>
    <w:rsid w:val="002A0ECB"/>
    <w:rsid w:val="002A5BB1"/>
    <w:rsid w:val="002B185B"/>
    <w:rsid w:val="002B1F35"/>
    <w:rsid w:val="002B24B6"/>
    <w:rsid w:val="002B43D8"/>
    <w:rsid w:val="002B5890"/>
    <w:rsid w:val="002B5B7E"/>
    <w:rsid w:val="002B63C0"/>
    <w:rsid w:val="002C0B0D"/>
    <w:rsid w:val="002C0E50"/>
    <w:rsid w:val="002C1203"/>
    <w:rsid w:val="002C291D"/>
    <w:rsid w:val="002C4B75"/>
    <w:rsid w:val="002C6481"/>
    <w:rsid w:val="002C7FF6"/>
    <w:rsid w:val="002D246C"/>
    <w:rsid w:val="002D6B9C"/>
    <w:rsid w:val="002E46E8"/>
    <w:rsid w:val="002E5B45"/>
    <w:rsid w:val="002F2961"/>
    <w:rsid w:val="002F2CA8"/>
    <w:rsid w:val="002F565C"/>
    <w:rsid w:val="002F5ED7"/>
    <w:rsid w:val="003002D4"/>
    <w:rsid w:val="00301E0D"/>
    <w:rsid w:val="00302B8E"/>
    <w:rsid w:val="00303231"/>
    <w:rsid w:val="00303E54"/>
    <w:rsid w:val="00305268"/>
    <w:rsid w:val="00306A63"/>
    <w:rsid w:val="00306E3D"/>
    <w:rsid w:val="00307685"/>
    <w:rsid w:val="00313058"/>
    <w:rsid w:val="00313D94"/>
    <w:rsid w:val="003169C3"/>
    <w:rsid w:val="00316E15"/>
    <w:rsid w:val="00320F50"/>
    <w:rsid w:val="0032461F"/>
    <w:rsid w:val="0032510E"/>
    <w:rsid w:val="00325260"/>
    <w:rsid w:val="003258AD"/>
    <w:rsid w:val="003322DE"/>
    <w:rsid w:val="00333C14"/>
    <w:rsid w:val="00334056"/>
    <w:rsid w:val="00336DC0"/>
    <w:rsid w:val="00340ADB"/>
    <w:rsid w:val="00341C26"/>
    <w:rsid w:val="00343999"/>
    <w:rsid w:val="00346942"/>
    <w:rsid w:val="00347C94"/>
    <w:rsid w:val="00351B45"/>
    <w:rsid w:val="00354723"/>
    <w:rsid w:val="0035564A"/>
    <w:rsid w:val="00355FF8"/>
    <w:rsid w:val="003560F5"/>
    <w:rsid w:val="0036095E"/>
    <w:rsid w:val="003613FE"/>
    <w:rsid w:val="00363A84"/>
    <w:rsid w:val="003645EA"/>
    <w:rsid w:val="00364748"/>
    <w:rsid w:val="00366904"/>
    <w:rsid w:val="003706CE"/>
    <w:rsid w:val="00371AA0"/>
    <w:rsid w:val="00373DE7"/>
    <w:rsid w:val="00374C2A"/>
    <w:rsid w:val="00375A2F"/>
    <w:rsid w:val="00375A69"/>
    <w:rsid w:val="0037613A"/>
    <w:rsid w:val="003767B8"/>
    <w:rsid w:val="00383629"/>
    <w:rsid w:val="00391C76"/>
    <w:rsid w:val="0039239F"/>
    <w:rsid w:val="00392BC3"/>
    <w:rsid w:val="003964E8"/>
    <w:rsid w:val="00397015"/>
    <w:rsid w:val="00397F21"/>
    <w:rsid w:val="003A4CC7"/>
    <w:rsid w:val="003A4F04"/>
    <w:rsid w:val="003A56B2"/>
    <w:rsid w:val="003A5CDC"/>
    <w:rsid w:val="003A7393"/>
    <w:rsid w:val="003A7B7A"/>
    <w:rsid w:val="003B0CB4"/>
    <w:rsid w:val="003B10C4"/>
    <w:rsid w:val="003B20B7"/>
    <w:rsid w:val="003B2150"/>
    <w:rsid w:val="003B34CF"/>
    <w:rsid w:val="003B42C1"/>
    <w:rsid w:val="003C1795"/>
    <w:rsid w:val="003C36F2"/>
    <w:rsid w:val="003C37B5"/>
    <w:rsid w:val="003C55D3"/>
    <w:rsid w:val="003D0266"/>
    <w:rsid w:val="003D0A8C"/>
    <w:rsid w:val="003D38F2"/>
    <w:rsid w:val="003D3B12"/>
    <w:rsid w:val="003D3B1D"/>
    <w:rsid w:val="003D44F3"/>
    <w:rsid w:val="003D4DE1"/>
    <w:rsid w:val="003D4FCC"/>
    <w:rsid w:val="003D5CF2"/>
    <w:rsid w:val="003D60F7"/>
    <w:rsid w:val="003D611F"/>
    <w:rsid w:val="003E05DF"/>
    <w:rsid w:val="003F05A7"/>
    <w:rsid w:val="003F12D7"/>
    <w:rsid w:val="003F5DA4"/>
    <w:rsid w:val="003F64A6"/>
    <w:rsid w:val="003F6B61"/>
    <w:rsid w:val="003F70DE"/>
    <w:rsid w:val="00404D0F"/>
    <w:rsid w:val="004057A8"/>
    <w:rsid w:val="00407EF4"/>
    <w:rsid w:val="0041394C"/>
    <w:rsid w:val="004179FA"/>
    <w:rsid w:val="00417D19"/>
    <w:rsid w:val="004237E8"/>
    <w:rsid w:val="00425FDE"/>
    <w:rsid w:val="004265E8"/>
    <w:rsid w:val="00426A85"/>
    <w:rsid w:val="0043080A"/>
    <w:rsid w:val="004311E2"/>
    <w:rsid w:val="004329F7"/>
    <w:rsid w:val="00434916"/>
    <w:rsid w:val="00434A9B"/>
    <w:rsid w:val="00437450"/>
    <w:rsid w:val="00446446"/>
    <w:rsid w:val="00447551"/>
    <w:rsid w:val="004502A6"/>
    <w:rsid w:val="00450A03"/>
    <w:rsid w:val="0045101D"/>
    <w:rsid w:val="004545FC"/>
    <w:rsid w:val="00455579"/>
    <w:rsid w:val="00455EAF"/>
    <w:rsid w:val="0045726E"/>
    <w:rsid w:val="00457C5F"/>
    <w:rsid w:val="00463AA9"/>
    <w:rsid w:val="00464EBC"/>
    <w:rsid w:val="004672CC"/>
    <w:rsid w:val="004758E4"/>
    <w:rsid w:val="00475B5D"/>
    <w:rsid w:val="004809B8"/>
    <w:rsid w:val="00481966"/>
    <w:rsid w:val="00482081"/>
    <w:rsid w:val="00485074"/>
    <w:rsid w:val="004871E4"/>
    <w:rsid w:val="00490E72"/>
    <w:rsid w:val="00492448"/>
    <w:rsid w:val="00496162"/>
    <w:rsid w:val="004A16C9"/>
    <w:rsid w:val="004A23E9"/>
    <w:rsid w:val="004A322E"/>
    <w:rsid w:val="004A488E"/>
    <w:rsid w:val="004A562A"/>
    <w:rsid w:val="004A5752"/>
    <w:rsid w:val="004B12B2"/>
    <w:rsid w:val="004B3365"/>
    <w:rsid w:val="004B366B"/>
    <w:rsid w:val="004C1CC9"/>
    <w:rsid w:val="004C25F2"/>
    <w:rsid w:val="004C2C2C"/>
    <w:rsid w:val="004C5BA8"/>
    <w:rsid w:val="004D177F"/>
    <w:rsid w:val="004D3822"/>
    <w:rsid w:val="004D4041"/>
    <w:rsid w:val="004D772E"/>
    <w:rsid w:val="004E0CAC"/>
    <w:rsid w:val="004E147E"/>
    <w:rsid w:val="004E169B"/>
    <w:rsid w:val="004E196F"/>
    <w:rsid w:val="004E3F7E"/>
    <w:rsid w:val="004E406A"/>
    <w:rsid w:val="004E4D5B"/>
    <w:rsid w:val="004E547F"/>
    <w:rsid w:val="004E6814"/>
    <w:rsid w:val="004F07D6"/>
    <w:rsid w:val="004F0F2F"/>
    <w:rsid w:val="004F33BB"/>
    <w:rsid w:val="004F658C"/>
    <w:rsid w:val="0050013D"/>
    <w:rsid w:val="00501953"/>
    <w:rsid w:val="00502656"/>
    <w:rsid w:val="00503DA0"/>
    <w:rsid w:val="00504E09"/>
    <w:rsid w:val="00510D7D"/>
    <w:rsid w:val="00512D9E"/>
    <w:rsid w:val="005146DB"/>
    <w:rsid w:val="00520A05"/>
    <w:rsid w:val="00520F07"/>
    <w:rsid w:val="00521597"/>
    <w:rsid w:val="0052172C"/>
    <w:rsid w:val="00523134"/>
    <w:rsid w:val="00523B15"/>
    <w:rsid w:val="00525AE1"/>
    <w:rsid w:val="0052683E"/>
    <w:rsid w:val="00532B9A"/>
    <w:rsid w:val="005344EF"/>
    <w:rsid w:val="00536FF8"/>
    <w:rsid w:val="00537F1A"/>
    <w:rsid w:val="005413A8"/>
    <w:rsid w:val="005423BB"/>
    <w:rsid w:val="005438CE"/>
    <w:rsid w:val="00544041"/>
    <w:rsid w:val="00545C08"/>
    <w:rsid w:val="00550012"/>
    <w:rsid w:val="00556D53"/>
    <w:rsid w:val="00561E4C"/>
    <w:rsid w:val="0056527B"/>
    <w:rsid w:val="00567444"/>
    <w:rsid w:val="00570C58"/>
    <w:rsid w:val="005725FC"/>
    <w:rsid w:val="00572829"/>
    <w:rsid w:val="0057354E"/>
    <w:rsid w:val="00574602"/>
    <w:rsid w:val="00584220"/>
    <w:rsid w:val="005853EA"/>
    <w:rsid w:val="00585DAE"/>
    <w:rsid w:val="005867D9"/>
    <w:rsid w:val="00590597"/>
    <w:rsid w:val="00591830"/>
    <w:rsid w:val="005923DB"/>
    <w:rsid w:val="005932AA"/>
    <w:rsid w:val="005935F2"/>
    <w:rsid w:val="00594BE0"/>
    <w:rsid w:val="005966F0"/>
    <w:rsid w:val="005971E6"/>
    <w:rsid w:val="005A1924"/>
    <w:rsid w:val="005A4BFF"/>
    <w:rsid w:val="005A5EB7"/>
    <w:rsid w:val="005B2000"/>
    <w:rsid w:val="005B23BC"/>
    <w:rsid w:val="005B315C"/>
    <w:rsid w:val="005B3A59"/>
    <w:rsid w:val="005C2A5B"/>
    <w:rsid w:val="005C46BC"/>
    <w:rsid w:val="005C58A1"/>
    <w:rsid w:val="005D3C89"/>
    <w:rsid w:val="005D5452"/>
    <w:rsid w:val="005D5A35"/>
    <w:rsid w:val="005E1180"/>
    <w:rsid w:val="005E23F1"/>
    <w:rsid w:val="005E31D6"/>
    <w:rsid w:val="005E4138"/>
    <w:rsid w:val="005E5288"/>
    <w:rsid w:val="005F2818"/>
    <w:rsid w:val="005F2BAA"/>
    <w:rsid w:val="005F2ED8"/>
    <w:rsid w:val="005F5B6E"/>
    <w:rsid w:val="005F6095"/>
    <w:rsid w:val="005F6DCA"/>
    <w:rsid w:val="005F72B5"/>
    <w:rsid w:val="005F7ABB"/>
    <w:rsid w:val="00600BEC"/>
    <w:rsid w:val="00602FB0"/>
    <w:rsid w:val="00612FD6"/>
    <w:rsid w:val="006141DD"/>
    <w:rsid w:val="00615AA9"/>
    <w:rsid w:val="006161D5"/>
    <w:rsid w:val="00616890"/>
    <w:rsid w:val="0061731E"/>
    <w:rsid w:val="006223F1"/>
    <w:rsid w:val="006233EA"/>
    <w:rsid w:val="00625557"/>
    <w:rsid w:val="00630EEB"/>
    <w:rsid w:val="00631023"/>
    <w:rsid w:val="0063614F"/>
    <w:rsid w:val="00642C0C"/>
    <w:rsid w:val="00643372"/>
    <w:rsid w:val="00644A82"/>
    <w:rsid w:val="00647430"/>
    <w:rsid w:val="006509E5"/>
    <w:rsid w:val="00652C82"/>
    <w:rsid w:val="0066441B"/>
    <w:rsid w:val="00664D1A"/>
    <w:rsid w:val="00665693"/>
    <w:rsid w:val="006658D9"/>
    <w:rsid w:val="00665C53"/>
    <w:rsid w:val="00665E21"/>
    <w:rsid w:val="00667586"/>
    <w:rsid w:val="006677D3"/>
    <w:rsid w:val="00667913"/>
    <w:rsid w:val="006679DE"/>
    <w:rsid w:val="00671F47"/>
    <w:rsid w:val="00674707"/>
    <w:rsid w:val="00676515"/>
    <w:rsid w:val="00681223"/>
    <w:rsid w:val="0068166C"/>
    <w:rsid w:val="00685257"/>
    <w:rsid w:val="00685BBE"/>
    <w:rsid w:val="006862B5"/>
    <w:rsid w:val="00687311"/>
    <w:rsid w:val="006908F6"/>
    <w:rsid w:val="006920A4"/>
    <w:rsid w:val="006967B7"/>
    <w:rsid w:val="00696883"/>
    <w:rsid w:val="00697C34"/>
    <w:rsid w:val="006A11E7"/>
    <w:rsid w:val="006A1A3B"/>
    <w:rsid w:val="006A3D0A"/>
    <w:rsid w:val="006A6EB9"/>
    <w:rsid w:val="006B00B1"/>
    <w:rsid w:val="006B025C"/>
    <w:rsid w:val="006B0383"/>
    <w:rsid w:val="006B0624"/>
    <w:rsid w:val="006B06DC"/>
    <w:rsid w:val="006B0704"/>
    <w:rsid w:val="006B0E9F"/>
    <w:rsid w:val="006B1123"/>
    <w:rsid w:val="006B3056"/>
    <w:rsid w:val="006B327E"/>
    <w:rsid w:val="006B41F6"/>
    <w:rsid w:val="006B51B9"/>
    <w:rsid w:val="006B5FFD"/>
    <w:rsid w:val="006B63C9"/>
    <w:rsid w:val="006B7771"/>
    <w:rsid w:val="006C24DC"/>
    <w:rsid w:val="006C61E8"/>
    <w:rsid w:val="006C6A69"/>
    <w:rsid w:val="006C77DB"/>
    <w:rsid w:val="006D0C80"/>
    <w:rsid w:val="006D0D51"/>
    <w:rsid w:val="006D1F21"/>
    <w:rsid w:val="006D2BAD"/>
    <w:rsid w:val="006D5212"/>
    <w:rsid w:val="006D6F3A"/>
    <w:rsid w:val="006E00F1"/>
    <w:rsid w:val="006E3434"/>
    <w:rsid w:val="006E4241"/>
    <w:rsid w:val="006E686E"/>
    <w:rsid w:val="006E7198"/>
    <w:rsid w:val="006F0279"/>
    <w:rsid w:val="006F0D89"/>
    <w:rsid w:val="006F2BD3"/>
    <w:rsid w:val="006F2CAB"/>
    <w:rsid w:val="006F63F5"/>
    <w:rsid w:val="006F6EB7"/>
    <w:rsid w:val="0070173D"/>
    <w:rsid w:val="00701A48"/>
    <w:rsid w:val="0070203F"/>
    <w:rsid w:val="0070237A"/>
    <w:rsid w:val="007035E9"/>
    <w:rsid w:val="00706C8E"/>
    <w:rsid w:val="0071084A"/>
    <w:rsid w:val="007131D4"/>
    <w:rsid w:val="00713EF2"/>
    <w:rsid w:val="0071535A"/>
    <w:rsid w:val="00715A05"/>
    <w:rsid w:val="007161BA"/>
    <w:rsid w:val="00717154"/>
    <w:rsid w:val="00717C81"/>
    <w:rsid w:val="00720854"/>
    <w:rsid w:val="00725FE1"/>
    <w:rsid w:val="0072660C"/>
    <w:rsid w:val="00727F28"/>
    <w:rsid w:val="00730DA6"/>
    <w:rsid w:val="00732D85"/>
    <w:rsid w:val="00735600"/>
    <w:rsid w:val="00735F4D"/>
    <w:rsid w:val="007404F9"/>
    <w:rsid w:val="00741D07"/>
    <w:rsid w:val="00742509"/>
    <w:rsid w:val="0074536D"/>
    <w:rsid w:val="007470F1"/>
    <w:rsid w:val="007476F9"/>
    <w:rsid w:val="0075034E"/>
    <w:rsid w:val="0075390C"/>
    <w:rsid w:val="007562E7"/>
    <w:rsid w:val="00756D41"/>
    <w:rsid w:val="00756FD3"/>
    <w:rsid w:val="00757596"/>
    <w:rsid w:val="007576C0"/>
    <w:rsid w:val="00764476"/>
    <w:rsid w:val="00766855"/>
    <w:rsid w:val="00767A05"/>
    <w:rsid w:val="0077175B"/>
    <w:rsid w:val="0077602E"/>
    <w:rsid w:val="00783620"/>
    <w:rsid w:val="0078477C"/>
    <w:rsid w:val="007852CC"/>
    <w:rsid w:val="00787151"/>
    <w:rsid w:val="00787ADC"/>
    <w:rsid w:val="00787E6F"/>
    <w:rsid w:val="00787FAE"/>
    <w:rsid w:val="00791ACD"/>
    <w:rsid w:val="00794074"/>
    <w:rsid w:val="00795441"/>
    <w:rsid w:val="007A0448"/>
    <w:rsid w:val="007A39F2"/>
    <w:rsid w:val="007A4BD8"/>
    <w:rsid w:val="007A511D"/>
    <w:rsid w:val="007A673E"/>
    <w:rsid w:val="007A6C13"/>
    <w:rsid w:val="007B1D08"/>
    <w:rsid w:val="007B52A3"/>
    <w:rsid w:val="007B59FE"/>
    <w:rsid w:val="007B72F0"/>
    <w:rsid w:val="007C5406"/>
    <w:rsid w:val="007C56CC"/>
    <w:rsid w:val="007C62F7"/>
    <w:rsid w:val="007C7622"/>
    <w:rsid w:val="007D05A9"/>
    <w:rsid w:val="007D13F3"/>
    <w:rsid w:val="007D1BD0"/>
    <w:rsid w:val="007D475E"/>
    <w:rsid w:val="007D54F1"/>
    <w:rsid w:val="007E1328"/>
    <w:rsid w:val="007E1E9D"/>
    <w:rsid w:val="007E3156"/>
    <w:rsid w:val="007E49C0"/>
    <w:rsid w:val="007E7FAD"/>
    <w:rsid w:val="007F09B4"/>
    <w:rsid w:val="007F25FA"/>
    <w:rsid w:val="007F7921"/>
    <w:rsid w:val="00801754"/>
    <w:rsid w:val="00803293"/>
    <w:rsid w:val="00804BA4"/>
    <w:rsid w:val="00805923"/>
    <w:rsid w:val="00807B1A"/>
    <w:rsid w:val="0082179D"/>
    <w:rsid w:val="008232D7"/>
    <w:rsid w:val="008257F7"/>
    <w:rsid w:val="00825A6C"/>
    <w:rsid w:val="00832C8C"/>
    <w:rsid w:val="008353C6"/>
    <w:rsid w:val="00835DED"/>
    <w:rsid w:val="00836580"/>
    <w:rsid w:val="0083658D"/>
    <w:rsid w:val="008403FD"/>
    <w:rsid w:val="0084268D"/>
    <w:rsid w:val="0084331B"/>
    <w:rsid w:val="00845AFC"/>
    <w:rsid w:val="008472FD"/>
    <w:rsid w:val="0085290A"/>
    <w:rsid w:val="00852F01"/>
    <w:rsid w:val="00855778"/>
    <w:rsid w:val="008563E0"/>
    <w:rsid w:val="00856405"/>
    <w:rsid w:val="0085726A"/>
    <w:rsid w:val="0086044B"/>
    <w:rsid w:val="00860D63"/>
    <w:rsid w:val="00864D23"/>
    <w:rsid w:val="00865136"/>
    <w:rsid w:val="00865CA6"/>
    <w:rsid w:val="00870594"/>
    <w:rsid w:val="00870AE8"/>
    <w:rsid w:val="00870FF1"/>
    <w:rsid w:val="00872AAD"/>
    <w:rsid w:val="0087666E"/>
    <w:rsid w:val="00877D95"/>
    <w:rsid w:val="00880883"/>
    <w:rsid w:val="00881824"/>
    <w:rsid w:val="008836EF"/>
    <w:rsid w:val="00884FA7"/>
    <w:rsid w:val="00885A88"/>
    <w:rsid w:val="00885EB9"/>
    <w:rsid w:val="00886458"/>
    <w:rsid w:val="008904A6"/>
    <w:rsid w:val="00892492"/>
    <w:rsid w:val="00892BB2"/>
    <w:rsid w:val="00892DB4"/>
    <w:rsid w:val="00895472"/>
    <w:rsid w:val="00896132"/>
    <w:rsid w:val="00896BAA"/>
    <w:rsid w:val="00896BB3"/>
    <w:rsid w:val="008A1805"/>
    <w:rsid w:val="008A195B"/>
    <w:rsid w:val="008A2A97"/>
    <w:rsid w:val="008A3AF9"/>
    <w:rsid w:val="008A456A"/>
    <w:rsid w:val="008A4832"/>
    <w:rsid w:val="008A4874"/>
    <w:rsid w:val="008A5B0D"/>
    <w:rsid w:val="008A5C60"/>
    <w:rsid w:val="008A6359"/>
    <w:rsid w:val="008A6EAB"/>
    <w:rsid w:val="008B02FD"/>
    <w:rsid w:val="008B1863"/>
    <w:rsid w:val="008B2784"/>
    <w:rsid w:val="008B6ED8"/>
    <w:rsid w:val="008B722B"/>
    <w:rsid w:val="008C049C"/>
    <w:rsid w:val="008C316C"/>
    <w:rsid w:val="008C3935"/>
    <w:rsid w:val="008C57AC"/>
    <w:rsid w:val="008C6889"/>
    <w:rsid w:val="008C6DDD"/>
    <w:rsid w:val="008C7147"/>
    <w:rsid w:val="008C7F8C"/>
    <w:rsid w:val="008D005F"/>
    <w:rsid w:val="008D0E7E"/>
    <w:rsid w:val="008D716D"/>
    <w:rsid w:val="008D7F40"/>
    <w:rsid w:val="008E2E2A"/>
    <w:rsid w:val="008E709B"/>
    <w:rsid w:val="008F0BA5"/>
    <w:rsid w:val="008F0D00"/>
    <w:rsid w:val="008F2390"/>
    <w:rsid w:val="008F2966"/>
    <w:rsid w:val="008F537D"/>
    <w:rsid w:val="00901980"/>
    <w:rsid w:val="00906C39"/>
    <w:rsid w:val="00906EE9"/>
    <w:rsid w:val="009077E7"/>
    <w:rsid w:val="00907C8D"/>
    <w:rsid w:val="00911331"/>
    <w:rsid w:val="00911F4E"/>
    <w:rsid w:val="00913481"/>
    <w:rsid w:val="009139B3"/>
    <w:rsid w:val="00915FFA"/>
    <w:rsid w:val="00920018"/>
    <w:rsid w:val="009201A3"/>
    <w:rsid w:val="0092085A"/>
    <w:rsid w:val="00923A7D"/>
    <w:rsid w:val="0092489D"/>
    <w:rsid w:val="0092591C"/>
    <w:rsid w:val="00926421"/>
    <w:rsid w:val="0092696D"/>
    <w:rsid w:val="009271BF"/>
    <w:rsid w:val="00927486"/>
    <w:rsid w:val="00927559"/>
    <w:rsid w:val="00934D8E"/>
    <w:rsid w:val="009354BB"/>
    <w:rsid w:val="0093588E"/>
    <w:rsid w:val="00937B45"/>
    <w:rsid w:val="0094121A"/>
    <w:rsid w:val="00941A25"/>
    <w:rsid w:val="00945650"/>
    <w:rsid w:val="0095403F"/>
    <w:rsid w:val="00954504"/>
    <w:rsid w:val="00956E10"/>
    <w:rsid w:val="0095799B"/>
    <w:rsid w:val="00960B3B"/>
    <w:rsid w:val="009626EE"/>
    <w:rsid w:val="009670D5"/>
    <w:rsid w:val="009703A1"/>
    <w:rsid w:val="00972A7C"/>
    <w:rsid w:val="0097700D"/>
    <w:rsid w:val="00977362"/>
    <w:rsid w:val="00981883"/>
    <w:rsid w:val="00981C79"/>
    <w:rsid w:val="00981D3A"/>
    <w:rsid w:val="009825F1"/>
    <w:rsid w:val="00986C6D"/>
    <w:rsid w:val="009877CF"/>
    <w:rsid w:val="00990D68"/>
    <w:rsid w:val="0099249D"/>
    <w:rsid w:val="00995643"/>
    <w:rsid w:val="00995FE6"/>
    <w:rsid w:val="00996A11"/>
    <w:rsid w:val="0099779F"/>
    <w:rsid w:val="009A67BF"/>
    <w:rsid w:val="009A6A21"/>
    <w:rsid w:val="009A6AC4"/>
    <w:rsid w:val="009A74E9"/>
    <w:rsid w:val="009A78E5"/>
    <w:rsid w:val="009B024D"/>
    <w:rsid w:val="009B096E"/>
    <w:rsid w:val="009B1C2C"/>
    <w:rsid w:val="009B3BE0"/>
    <w:rsid w:val="009B3C55"/>
    <w:rsid w:val="009B42FC"/>
    <w:rsid w:val="009B5D7F"/>
    <w:rsid w:val="009B7E03"/>
    <w:rsid w:val="009C0723"/>
    <w:rsid w:val="009C0CDF"/>
    <w:rsid w:val="009C26F7"/>
    <w:rsid w:val="009C34C7"/>
    <w:rsid w:val="009C357A"/>
    <w:rsid w:val="009C3B6E"/>
    <w:rsid w:val="009C46D4"/>
    <w:rsid w:val="009C573E"/>
    <w:rsid w:val="009D1EAE"/>
    <w:rsid w:val="009D2E09"/>
    <w:rsid w:val="009D4063"/>
    <w:rsid w:val="009D571D"/>
    <w:rsid w:val="009D6C73"/>
    <w:rsid w:val="009E1735"/>
    <w:rsid w:val="009E2D93"/>
    <w:rsid w:val="009E394B"/>
    <w:rsid w:val="009E6ABD"/>
    <w:rsid w:val="009E6E70"/>
    <w:rsid w:val="009F4548"/>
    <w:rsid w:val="009F55EB"/>
    <w:rsid w:val="009F5DC1"/>
    <w:rsid w:val="00A0034E"/>
    <w:rsid w:val="00A0042D"/>
    <w:rsid w:val="00A015F6"/>
    <w:rsid w:val="00A01822"/>
    <w:rsid w:val="00A02C4F"/>
    <w:rsid w:val="00A04759"/>
    <w:rsid w:val="00A067DE"/>
    <w:rsid w:val="00A075B0"/>
    <w:rsid w:val="00A10515"/>
    <w:rsid w:val="00A11FB0"/>
    <w:rsid w:val="00A12A49"/>
    <w:rsid w:val="00A13E60"/>
    <w:rsid w:val="00A14A67"/>
    <w:rsid w:val="00A17806"/>
    <w:rsid w:val="00A17C78"/>
    <w:rsid w:val="00A2075B"/>
    <w:rsid w:val="00A25BF9"/>
    <w:rsid w:val="00A27A79"/>
    <w:rsid w:val="00A309C7"/>
    <w:rsid w:val="00A31A9D"/>
    <w:rsid w:val="00A34902"/>
    <w:rsid w:val="00A36733"/>
    <w:rsid w:val="00A372EF"/>
    <w:rsid w:val="00A42075"/>
    <w:rsid w:val="00A42328"/>
    <w:rsid w:val="00A425AB"/>
    <w:rsid w:val="00A42E68"/>
    <w:rsid w:val="00A435AA"/>
    <w:rsid w:val="00A436E1"/>
    <w:rsid w:val="00A4538F"/>
    <w:rsid w:val="00A45A03"/>
    <w:rsid w:val="00A50A53"/>
    <w:rsid w:val="00A5207A"/>
    <w:rsid w:val="00A52938"/>
    <w:rsid w:val="00A5373A"/>
    <w:rsid w:val="00A54D74"/>
    <w:rsid w:val="00A558B0"/>
    <w:rsid w:val="00A55B43"/>
    <w:rsid w:val="00A561FF"/>
    <w:rsid w:val="00A56549"/>
    <w:rsid w:val="00A56A6C"/>
    <w:rsid w:val="00A60317"/>
    <w:rsid w:val="00A62837"/>
    <w:rsid w:val="00A628F5"/>
    <w:rsid w:val="00A62BB2"/>
    <w:rsid w:val="00A63E85"/>
    <w:rsid w:val="00A64059"/>
    <w:rsid w:val="00A6450F"/>
    <w:rsid w:val="00A6577A"/>
    <w:rsid w:val="00A66661"/>
    <w:rsid w:val="00A66E3F"/>
    <w:rsid w:val="00A72633"/>
    <w:rsid w:val="00A72A72"/>
    <w:rsid w:val="00A7402F"/>
    <w:rsid w:val="00A74FDC"/>
    <w:rsid w:val="00A764C3"/>
    <w:rsid w:val="00A76D06"/>
    <w:rsid w:val="00A77A17"/>
    <w:rsid w:val="00A836DB"/>
    <w:rsid w:val="00A84BD0"/>
    <w:rsid w:val="00A918D2"/>
    <w:rsid w:val="00A95E16"/>
    <w:rsid w:val="00AA3720"/>
    <w:rsid w:val="00AA5310"/>
    <w:rsid w:val="00AA65FB"/>
    <w:rsid w:val="00AA703A"/>
    <w:rsid w:val="00AA7425"/>
    <w:rsid w:val="00AB26EE"/>
    <w:rsid w:val="00AB31F7"/>
    <w:rsid w:val="00AC111D"/>
    <w:rsid w:val="00AC1A95"/>
    <w:rsid w:val="00AC2EC5"/>
    <w:rsid w:val="00AC55DB"/>
    <w:rsid w:val="00AC56AA"/>
    <w:rsid w:val="00AC5E64"/>
    <w:rsid w:val="00AD0577"/>
    <w:rsid w:val="00AD0DA2"/>
    <w:rsid w:val="00AD1C79"/>
    <w:rsid w:val="00AD1DA0"/>
    <w:rsid w:val="00AD1F18"/>
    <w:rsid w:val="00AD3C9D"/>
    <w:rsid w:val="00AD6D01"/>
    <w:rsid w:val="00AE037A"/>
    <w:rsid w:val="00AE6678"/>
    <w:rsid w:val="00AF03FE"/>
    <w:rsid w:val="00AF1D9E"/>
    <w:rsid w:val="00AF3661"/>
    <w:rsid w:val="00AF3E75"/>
    <w:rsid w:val="00AF6303"/>
    <w:rsid w:val="00AF6D43"/>
    <w:rsid w:val="00AF7C85"/>
    <w:rsid w:val="00B0120E"/>
    <w:rsid w:val="00B03E10"/>
    <w:rsid w:val="00B0456F"/>
    <w:rsid w:val="00B07BF1"/>
    <w:rsid w:val="00B1115F"/>
    <w:rsid w:val="00B12676"/>
    <w:rsid w:val="00B139ED"/>
    <w:rsid w:val="00B13A91"/>
    <w:rsid w:val="00B13E92"/>
    <w:rsid w:val="00B168F6"/>
    <w:rsid w:val="00B25324"/>
    <w:rsid w:val="00B26DAE"/>
    <w:rsid w:val="00B27A4C"/>
    <w:rsid w:val="00B33880"/>
    <w:rsid w:val="00B339CB"/>
    <w:rsid w:val="00B360A3"/>
    <w:rsid w:val="00B37254"/>
    <w:rsid w:val="00B40177"/>
    <w:rsid w:val="00B4158F"/>
    <w:rsid w:val="00B4172A"/>
    <w:rsid w:val="00B47294"/>
    <w:rsid w:val="00B47366"/>
    <w:rsid w:val="00B50AD3"/>
    <w:rsid w:val="00B51485"/>
    <w:rsid w:val="00B53040"/>
    <w:rsid w:val="00B53313"/>
    <w:rsid w:val="00B56FDB"/>
    <w:rsid w:val="00B6397F"/>
    <w:rsid w:val="00B664E4"/>
    <w:rsid w:val="00B66FFE"/>
    <w:rsid w:val="00B70C0E"/>
    <w:rsid w:val="00B70E9D"/>
    <w:rsid w:val="00B75C5A"/>
    <w:rsid w:val="00B8107C"/>
    <w:rsid w:val="00B8114A"/>
    <w:rsid w:val="00B813E3"/>
    <w:rsid w:val="00B81EE6"/>
    <w:rsid w:val="00B8329B"/>
    <w:rsid w:val="00B85D95"/>
    <w:rsid w:val="00B911AA"/>
    <w:rsid w:val="00B92A25"/>
    <w:rsid w:val="00B96CF5"/>
    <w:rsid w:val="00B96E27"/>
    <w:rsid w:val="00B97BF7"/>
    <w:rsid w:val="00BA03AD"/>
    <w:rsid w:val="00BA5B1A"/>
    <w:rsid w:val="00BA5B97"/>
    <w:rsid w:val="00BA5F9D"/>
    <w:rsid w:val="00BA7107"/>
    <w:rsid w:val="00BA7897"/>
    <w:rsid w:val="00BA78A0"/>
    <w:rsid w:val="00BA7D44"/>
    <w:rsid w:val="00BB0805"/>
    <w:rsid w:val="00BB4FF5"/>
    <w:rsid w:val="00BB5B21"/>
    <w:rsid w:val="00BB67B5"/>
    <w:rsid w:val="00BC1653"/>
    <w:rsid w:val="00BC23EA"/>
    <w:rsid w:val="00BC2408"/>
    <w:rsid w:val="00BC3D1C"/>
    <w:rsid w:val="00BC4EDE"/>
    <w:rsid w:val="00BD0C6C"/>
    <w:rsid w:val="00BD137A"/>
    <w:rsid w:val="00BD2BBA"/>
    <w:rsid w:val="00BD2E72"/>
    <w:rsid w:val="00BD641D"/>
    <w:rsid w:val="00BD6722"/>
    <w:rsid w:val="00BE1511"/>
    <w:rsid w:val="00BE1D70"/>
    <w:rsid w:val="00BE48B1"/>
    <w:rsid w:val="00BF2221"/>
    <w:rsid w:val="00BF2A13"/>
    <w:rsid w:val="00BF3747"/>
    <w:rsid w:val="00BF5073"/>
    <w:rsid w:val="00BF563C"/>
    <w:rsid w:val="00BF58C8"/>
    <w:rsid w:val="00BF6DDB"/>
    <w:rsid w:val="00C01730"/>
    <w:rsid w:val="00C02021"/>
    <w:rsid w:val="00C06EEE"/>
    <w:rsid w:val="00C126EE"/>
    <w:rsid w:val="00C12705"/>
    <w:rsid w:val="00C13C47"/>
    <w:rsid w:val="00C140C0"/>
    <w:rsid w:val="00C14765"/>
    <w:rsid w:val="00C1629B"/>
    <w:rsid w:val="00C212AD"/>
    <w:rsid w:val="00C21B84"/>
    <w:rsid w:val="00C221B9"/>
    <w:rsid w:val="00C253E3"/>
    <w:rsid w:val="00C2673A"/>
    <w:rsid w:val="00C316E9"/>
    <w:rsid w:val="00C31A55"/>
    <w:rsid w:val="00C31C6B"/>
    <w:rsid w:val="00C32313"/>
    <w:rsid w:val="00C34DE2"/>
    <w:rsid w:val="00C35006"/>
    <w:rsid w:val="00C357D3"/>
    <w:rsid w:val="00C36EE5"/>
    <w:rsid w:val="00C4002A"/>
    <w:rsid w:val="00C409A0"/>
    <w:rsid w:val="00C43AD5"/>
    <w:rsid w:val="00C449C6"/>
    <w:rsid w:val="00C45C6E"/>
    <w:rsid w:val="00C54A46"/>
    <w:rsid w:val="00C576FC"/>
    <w:rsid w:val="00C57B7A"/>
    <w:rsid w:val="00C613F4"/>
    <w:rsid w:val="00C623B8"/>
    <w:rsid w:val="00C64A95"/>
    <w:rsid w:val="00C663D0"/>
    <w:rsid w:val="00C71862"/>
    <w:rsid w:val="00C72771"/>
    <w:rsid w:val="00C759CA"/>
    <w:rsid w:val="00C75F48"/>
    <w:rsid w:val="00C81D97"/>
    <w:rsid w:val="00C832F8"/>
    <w:rsid w:val="00C87F17"/>
    <w:rsid w:val="00C9071B"/>
    <w:rsid w:val="00C918F0"/>
    <w:rsid w:val="00C91DE9"/>
    <w:rsid w:val="00C92845"/>
    <w:rsid w:val="00C93262"/>
    <w:rsid w:val="00C932BA"/>
    <w:rsid w:val="00C94076"/>
    <w:rsid w:val="00CB3AD3"/>
    <w:rsid w:val="00CC1445"/>
    <w:rsid w:val="00CC1986"/>
    <w:rsid w:val="00CC2B98"/>
    <w:rsid w:val="00CC36BD"/>
    <w:rsid w:val="00CD3602"/>
    <w:rsid w:val="00CD3D91"/>
    <w:rsid w:val="00CD74A3"/>
    <w:rsid w:val="00CE128D"/>
    <w:rsid w:val="00CE25F5"/>
    <w:rsid w:val="00CE65A7"/>
    <w:rsid w:val="00CE6A99"/>
    <w:rsid w:val="00CE6C7B"/>
    <w:rsid w:val="00CF105C"/>
    <w:rsid w:val="00CF170D"/>
    <w:rsid w:val="00CF3169"/>
    <w:rsid w:val="00CF590E"/>
    <w:rsid w:val="00CF5BDF"/>
    <w:rsid w:val="00CF5C08"/>
    <w:rsid w:val="00CF6056"/>
    <w:rsid w:val="00D0145F"/>
    <w:rsid w:val="00D0206C"/>
    <w:rsid w:val="00D0363E"/>
    <w:rsid w:val="00D03DB6"/>
    <w:rsid w:val="00D11102"/>
    <w:rsid w:val="00D12794"/>
    <w:rsid w:val="00D12A26"/>
    <w:rsid w:val="00D1304F"/>
    <w:rsid w:val="00D144B9"/>
    <w:rsid w:val="00D20443"/>
    <w:rsid w:val="00D21F6B"/>
    <w:rsid w:val="00D2547E"/>
    <w:rsid w:val="00D26141"/>
    <w:rsid w:val="00D27CAC"/>
    <w:rsid w:val="00D328FC"/>
    <w:rsid w:val="00D354C7"/>
    <w:rsid w:val="00D4142A"/>
    <w:rsid w:val="00D45CDA"/>
    <w:rsid w:val="00D51C48"/>
    <w:rsid w:val="00D54479"/>
    <w:rsid w:val="00D56E3F"/>
    <w:rsid w:val="00D572A1"/>
    <w:rsid w:val="00D6520A"/>
    <w:rsid w:val="00D6542F"/>
    <w:rsid w:val="00D718FC"/>
    <w:rsid w:val="00D72890"/>
    <w:rsid w:val="00D72E53"/>
    <w:rsid w:val="00D738C2"/>
    <w:rsid w:val="00D744B4"/>
    <w:rsid w:val="00D76E02"/>
    <w:rsid w:val="00D816F9"/>
    <w:rsid w:val="00D819EC"/>
    <w:rsid w:val="00D81AD3"/>
    <w:rsid w:val="00D928F7"/>
    <w:rsid w:val="00D94047"/>
    <w:rsid w:val="00D9417A"/>
    <w:rsid w:val="00D97436"/>
    <w:rsid w:val="00DA0F59"/>
    <w:rsid w:val="00DA281B"/>
    <w:rsid w:val="00DA5794"/>
    <w:rsid w:val="00DA69FF"/>
    <w:rsid w:val="00DA72E1"/>
    <w:rsid w:val="00DA768E"/>
    <w:rsid w:val="00DB0697"/>
    <w:rsid w:val="00DB301B"/>
    <w:rsid w:val="00DB6A40"/>
    <w:rsid w:val="00DC01AA"/>
    <w:rsid w:val="00DC10B5"/>
    <w:rsid w:val="00DC191E"/>
    <w:rsid w:val="00DC2406"/>
    <w:rsid w:val="00DC30F1"/>
    <w:rsid w:val="00DC4254"/>
    <w:rsid w:val="00DD2B7A"/>
    <w:rsid w:val="00DD31C8"/>
    <w:rsid w:val="00DD3BE0"/>
    <w:rsid w:val="00DD3D35"/>
    <w:rsid w:val="00DD4CDB"/>
    <w:rsid w:val="00DD6DE4"/>
    <w:rsid w:val="00DE151D"/>
    <w:rsid w:val="00DE1E95"/>
    <w:rsid w:val="00DE2E26"/>
    <w:rsid w:val="00DE3142"/>
    <w:rsid w:val="00DE5E1C"/>
    <w:rsid w:val="00DE7395"/>
    <w:rsid w:val="00DF588F"/>
    <w:rsid w:val="00E03DB8"/>
    <w:rsid w:val="00E04191"/>
    <w:rsid w:val="00E04EE2"/>
    <w:rsid w:val="00E04FCD"/>
    <w:rsid w:val="00E054AA"/>
    <w:rsid w:val="00E06A36"/>
    <w:rsid w:val="00E109E7"/>
    <w:rsid w:val="00E110ED"/>
    <w:rsid w:val="00E129F7"/>
    <w:rsid w:val="00E15410"/>
    <w:rsid w:val="00E15878"/>
    <w:rsid w:val="00E2249A"/>
    <w:rsid w:val="00E23602"/>
    <w:rsid w:val="00E2557D"/>
    <w:rsid w:val="00E30069"/>
    <w:rsid w:val="00E318AC"/>
    <w:rsid w:val="00E31E76"/>
    <w:rsid w:val="00E32DF2"/>
    <w:rsid w:val="00E34613"/>
    <w:rsid w:val="00E361BF"/>
    <w:rsid w:val="00E36CE5"/>
    <w:rsid w:val="00E41358"/>
    <w:rsid w:val="00E41959"/>
    <w:rsid w:val="00E42037"/>
    <w:rsid w:val="00E42935"/>
    <w:rsid w:val="00E433B7"/>
    <w:rsid w:val="00E45F2D"/>
    <w:rsid w:val="00E45F2F"/>
    <w:rsid w:val="00E46385"/>
    <w:rsid w:val="00E50990"/>
    <w:rsid w:val="00E51E09"/>
    <w:rsid w:val="00E54105"/>
    <w:rsid w:val="00E54E45"/>
    <w:rsid w:val="00E554B5"/>
    <w:rsid w:val="00E564A9"/>
    <w:rsid w:val="00E65376"/>
    <w:rsid w:val="00E65DEC"/>
    <w:rsid w:val="00E67FCA"/>
    <w:rsid w:val="00E71001"/>
    <w:rsid w:val="00E7315B"/>
    <w:rsid w:val="00E770B1"/>
    <w:rsid w:val="00E84E8F"/>
    <w:rsid w:val="00E87A80"/>
    <w:rsid w:val="00E9094D"/>
    <w:rsid w:val="00E90ECE"/>
    <w:rsid w:val="00E91E12"/>
    <w:rsid w:val="00E92777"/>
    <w:rsid w:val="00E92F9D"/>
    <w:rsid w:val="00E93FD9"/>
    <w:rsid w:val="00E94CF9"/>
    <w:rsid w:val="00E95967"/>
    <w:rsid w:val="00E95FC3"/>
    <w:rsid w:val="00E967C1"/>
    <w:rsid w:val="00E97006"/>
    <w:rsid w:val="00EA10EC"/>
    <w:rsid w:val="00EA3329"/>
    <w:rsid w:val="00EA3922"/>
    <w:rsid w:val="00EA3CC4"/>
    <w:rsid w:val="00EB50CC"/>
    <w:rsid w:val="00EB5627"/>
    <w:rsid w:val="00EB6A43"/>
    <w:rsid w:val="00EB6F4E"/>
    <w:rsid w:val="00EC0FF2"/>
    <w:rsid w:val="00EC1BC5"/>
    <w:rsid w:val="00EC4554"/>
    <w:rsid w:val="00ED0C20"/>
    <w:rsid w:val="00ED2368"/>
    <w:rsid w:val="00ED3760"/>
    <w:rsid w:val="00ED47EE"/>
    <w:rsid w:val="00ED5228"/>
    <w:rsid w:val="00ED534C"/>
    <w:rsid w:val="00ED7616"/>
    <w:rsid w:val="00EE2A42"/>
    <w:rsid w:val="00EE2CBD"/>
    <w:rsid w:val="00EE44CF"/>
    <w:rsid w:val="00EF1866"/>
    <w:rsid w:val="00EF32B6"/>
    <w:rsid w:val="00F028A2"/>
    <w:rsid w:val="00F07DC5"/>
    <w:rsid w:val="00F104DB"/>
    <w:rsid w:val="00F112E4"/>
    <w:rsid w:val="00F12367"/>
    <w:rsid w:val="00F12993"/>
    <w:rsid w:val="00F1691A"/>
    <w:rsid w:val="00F17C7E"/>
    <w:rsid w:val="00F21158"/>
    <w:rsid w:val="00F217D4"/>
    <w:rsid w:val="00F22A6D"/>
    <w:rsid w:val="00F22AFA"/>
    <w:rsid w:val="00F22DF4"/>
    <w:rsid w:val="00F24BC4"/>
    <w:rsid w:val="00F255D7"/>
    <w:rsid w:val="00F25980"/>
    <w:rsid w:val="00F2638A"/>
    <w:rsid w:val="00F26675"/>
    <w:rsid w:val="00F271E3"/>
    <w:rsid w:val="00F317D4"/>
    <w:rsid w:val="00F3602A"/>
    <w:rsid w:val="00F40027"/>
    <w:rsid w:val="00F40BB3"/>
    <w:rsid w:val="00F41824"/>
    <w:rsid w:val="00F42F9A"/>
    <w:rsid w:val="00F43805"/>
    <w:rsid w:val="00F44725"/>
    <w:rsid w:val="00F44B2F"/>
    <w:rsid w:val="00F453A1"/>
    <w:rsid w:val="00F460E6"/>
    <w:rsid w:val="00F46299"/>
    <w:rsid w:val="00F50A13"/>
    <w:rsid w:val="00F531FE"/>
    <w:rsid w:val="00F54FEB"/>
    <w:rsid w:val="00F5740E"/>
    <w:rsid w:val="00F6194A"/>
    <w:rsid w:val="00F63A29"/>
    <w:rsid w:val="00F644AF"/>
    <w:rsid w:val="00F66023"/>
    <w:rsid w:val="00F66DDB"/>
    <w:rsid w:val="00F701ED"/>
    <w:rsid w:val="00F73DE9"/>
    <w:rsid w:val="00F741B3"/>
    <w:rsid w:val="00F751D2"/>
    <w:rsid w:val="00F775A2"/>
    <w:rsid w:val="00F8215E"/>
    <w:rsid w:val="00F83312"/>
    <w:rsid w:val="00F84EE8"/>
    <w:rsid w:val="00F85EEC"/>
    <w:rsid w:val="00F87B8A"/>
    <w:rsid w:val="00F9424A"/>
    <w:rsid w:val="00F951AB"/>
    <w:rsid w:val="00FA1765"/>
    <w:rsid w:val="00FA592D"/>
    <w:rsid w:val="00FA628C"/>
    <w:rsid w:val="00FA715F"/>
    <w:rsid w:val="00FB2142"/>
    <w:rsid w:val="00FB35D2"/>
    <w:rsid w:val="00FB5B00"/>
    <w:rsid w:val="00FB70FB"/>
    <w:rsid w:val="00FC063B"/>
    <w:rsid w:val="00FC0CD9"/>
    <w:rsid w:val="00FC460E"/>
    <w:rsid w:val="00FC53A4"/>
    <w:rsid w:val="00FC7737"/>
    <w:rsid w:val="00FD03F2"/>
    <w:rsid w:val="00FD1225"/>
    <w:rsid w:val="00FD2379"/>
    <w:rsid w:val="00FD45C0"/>
    <w:rsid w:val="00FD7BB9"/>
    <w:rsid w:val="00FE20DF"/>
    <w:rsid w:val="00FE245B"/>
    <w:rsid w:val="00FE5622"/>
    <w:rsid w:val="00FE57B1"/>
    <w:rsid w:val="00FE6789"/>
    <w:rsid w:val="00FE6815"/>
    <w:rsid w:val="00FF5FFD"/>
    <w:rsid w:val="00FF65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EAB"/>
    <w:pPr>
      <w:widowControl w:val="0"/>
      <w:autoSpaceDE w:val="0"/>
      <w:autoSpaceDN w:val="0"/>
      <w:bidi/>
      <w:adjustRightInd w:val="0"/>
      <w:spacing w:before="102" w:line="204" w:lineRule="atLeast"/>
      <w:ind w:firstLine="340"/>
      <w:jc w:val="both"/>
      <w:textAlignment w:val="center"/>
    </w:pPr>
    <w:rPr>
      <w:rFonts w:ascii="Hadasa Roso SL" w:eastAsia="MS Mincho" w:hAnsi="Hadasa Roso SL" w:cs="Hadasa Roso SL"/>
      <w:color w:val="000000"/>
      <w:spacing w:val="1"/>
      <w:sz w:val="17"/>
      <w:szCs w:val="17"/>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link w:val="TableText0"/>
    <w:rsid w:val="008A6EAB"/>
    <w:pPr>
      <w:keepLines/>
      <w:tabs>
        <w:tab w:val="left" w:pos="624"/>
        <w:tab w:val="left" w:pos="1247"/>
      </w:tabs>
      <w:snapToGrid w:val="0"/>
      <w:spacing w:before="0" w:line="360" w:lineRule="auto"/>
      <w:ind w:right="57" w:firstLine="0"/>
      <w:jc w:val="left"/>
    </w:pPr>
    <w:rPr>
      <w:rFonts w:ascii="Arial" w:eastAsia="Arial Unicode MS" w:hAnsi="Arial" w:cs="David"/>
      <w:spacing w:val="0"/>
      <w:sz w:val="20"/>
      <w:szCs w:val="26"/>
    </w:rPr>
  </w:style>
  <w:style w:type="paragraph" w:customStyle="1" w:styleId="TableSideHeading">
    <w:name w:val="Table SideHeading"/>
    <w:basedOn w:val="TableText"/>
    <w:link w:val="TableSideHeading0"/>
    <w:rsid w:val="008A6EAB"/>
  </w:style>
  <w:style w:type="paragraph" w:customStyle="1" w:styleId="TableBlock">
    <w:name w:val="Table Block"/>
    <w:basedOn w:val="TableText"/>
    <w:rsid w:val="008A6EAB"/>
    <w:pPr>
      <w:ind w:right="0"/>
      <w:jc w:val="both"/>
    </w:pPr>
  </w:style>
  <w:style w:type="paragraph" w:customStyle="1" w:styleId="TableHead">
    <w:name w:val="Table Head"/>
    <w:basedOn w:val="TableText"/>
    <w:rsid w:val="008A6EAB"/>
    <w:pPr>
      <w:ind w:right="0"/>
      <w:jc w:val="center"/>
    </w:pPr>
    <w:rPr>
      <w:b/>
      <w:bCs/>
    </w:rPr>
  </w:style>
  <w:style w:type="paragraph" w:customStyle="1" w:styleId="HeadMitparsemetBaze">
    <w:name w:val="Head MitparsemetBaze"/>
    <w:basedOn w:val="a"/>
    <w:rsid w:val="008A6EAB"/>
    <w:pPr>
      <w:keepNext/>
      <w:keepLines/>
      <w:pageBreakBefore/>
      <w:snapToGrid w:val="0"/>
      <w:spacing w:before="480" w:line="360" w:lineRule="auto"/>
      <w:ind w:firstLine="0"/>
    </w:pPr>
    <w:rPr>
      <w:rFonts w:ascii="Arial" w:eastAsia="Arial Unicode MS" w:hAnsi="Arial" w:cs="David"/>
      <w:b/>
      <w:bCs/>
      <w:spacing w:val="0"/>
      <w:sz w:val="20"/>
      <w:szCs w:val="26"/>
    </w:rPr>
  </w:style>
  <w:style w:type="paragraph" w:customStyle="1" w:styleId="HeadHatzaotHok">
    <w:name w:val="Head HatzaotHok"/>
    <w:basedOn w:val="a"/>
    <w:rsid w:val="008A6EAB"/>
    <w:pPr>
      <w:keepNext/>
      <w:keepLines/>
      <w:snapToGrid w:val="0"/>
      <w:spacing w:before="240" w:line="360" w:lineRule="auto"/>
      <w:ind w:firstLine="0"/>
      <w:jc w:val="center"/>
    </w:pPr>
    <w:rPr>
      <w:rFonts w:ascii="Arial" w:eastAsia="Arial Unicode MS" w:hAnsi="Arial" w:cs="David"/>
      <w:b/>
      <w:bCs/>
      <w:spacing w:val="0"/>
      <w:sz w:val="20"/>
      <w:szCs w:val="26"/>
    </w:rPr>
  </w:style>
  <w:style w:type="paragraph" w:customStyle="1" w:styleId="HesberWriters">
    <w:name w:val="Hesber Writers"/>
    <w:basedOn w:val="Hesber"/>
    <w:rsid w:val="008A6EAB"/>
    <w:pPr>
      <w:spacing w:before="120" w:after="6000"/>
      <w:ind w:left="1418" w:firstLine="0"/>
      <w:jc w:val="right"/>
    </w:pPr>
    <w:rPr>
      <w:b/>
      <w:bCs/>
    </w:rPr>
  </w:style>
  <w:style w:type="paragraph" w:customStyle="1" w:styleId="Hesber1st">
    <w:name w:val="Hesber 1st"/>
    <w:basedOn w:val="Hesber"/>
    <w:rsid w:val="008A6EAB"/>
    <w:pPr>
      <w:tabs>
        <w:tab w:val="left" w:pos="680"/>
        <w:tab w:val="left" w:pos="1020"/>
      </w:tabs>
      <w:ind w:firstLine="0"/>
    </w:pPr>
  </w:style>
  <w:style w:type="paragraph" w:customStyle="1" w:styleId="HeadDivreiHesber">
    <w:name w:val="Head DivreiHesber"/>
    <w:basedOn w:val="a"/>
    <w:rsid w:val="008A6EAB"/>
    <w:pPr>
      <w:snapToGrid w:val="0"/>
      <w:spacing w:before="360" w:after="120" w:line="360" w:lineRule="auto"/>
      <w:ind w:firstLine="0"/>
      <w:jc w:val="center"/>
    </w:pPr>
    <w:rPr>
      <w:rFonts w:ascii="Arial" w:eastAsia="Arial Unicode MS" w:hAnsi="Arial" w:cs="David"/>
      <w:b/>
      <w:spacing w:val="40"/>
      <w:sz w:val="20"/>
      <w:szCs w:val="26"/>
    </w:rPr>
  </w:style>
  <w:style w:type="paragraph" w:customStyle="1" w:styleId="HeadHatzaotHok4Futer">
    <w:name w:val="Head HatzaotHok4Futer"/>
    <w:basedOn w:val="HeadHatzaotHok"/>
    <w:rsid w:val="008A6EAB"/>
    <w:pPr>
      <w:spacing w:before="120" w:after="120"/>
    </w:pPr>
    <w:rPr>
      <w:color w:val="FF0000"/>
      <w:w w:val="80"/>
    </w:rPr>
  </w:style>
  <w:style w:type="paragraph" w:styleId="a3">
    <w:name w:val="endnote text"/>
    <w:basedOn w:val="a"/>
    <w:link w:val="a4"/>
    <w:uiPriority w:val="99"/>
    <w:semiHidden/>
    <w:rsid w:val="008A6EAB"/>
    <w:pPr>
      <w:ind w:left="227" w:hanging="227"/>
    </w:pPr>
    <w:rPr>
      <w:sz w:val="14"/>
      <w:szCs w:val="22"/>
    </w:rPr>
  </w:style>
  <w:style w:type="character" w:customStyle="1" w:styleId="a4">
    <w:name w:val="טקסט הערת סיום תו"/>
    <w:basedOn w:val="a0"/>
    <w:link w:val="a3"/>
    <w:uiPriority w:val="99"/>
    <w:semiHidden/>
    <w:locked/>
    <w:rsid w:val="008A6EAB"/>
    <w:rPr>
      <w:rFonts w:ascii="Hadasa Roso SL" w:eastAsia="MS Mincho" w:hAnsi="Hadasa Roso SL" w:cs="Times New Roman"/>
      <w:color w:val="000000"/>
      <w:spacing w:val="1"/>
      <w:sz w:val="14"/>
      <w:lang w:val="x-none" w:eastAsia="ja-JP"/>
    </w:rPr>
  </w:style>
  <w:style w:type="paragraph" w:customStyle="1" w:styleId="Hesber">
    <w:name w:val="Hesber"/>
    <w:basedOn w:val="a"/>
    <w:rsid w:val="008A6EAB"/>
    <w:pPr>
      <w:snapToGrid w:val="0"/>
      <w:spacing w:before="0" w:line="360" w:lineRule="auto"/>
    </w:pPr>
    <w:rPr>
      <w:rFonts w:ascii="Arial" w:eastAsia="Arial Unicode MS" w:hAnsi="Arial" w:cs="David"/>
      <w:spacing w:val="0"/>
      <w:sz w:val="20"/>
      <w:szCs w:val="26"/>
    </w:rPr>
  </w:style>
  <w:style w:type="paragraph" w:customStyle="1" w:styleId="TableInnerSideHeading">
    <w:name w:val="Table InnerSideHeading"/>
    <w:basedOn w:val="TableSideHeading"/>
    <w:rsid w:val="008A6EAB"/>
  </w:style>
  <w:style w:type="paragraph" w:styleId="a5">
    <w:name w:val="footnote text"/>
    <w:basedOn w:val="a"/>
    <w:link w:val="a6"/>
    <w:autoRedefine/>
    <w:rsid w:val="008A6EAB"/>
    <w:pPr>
      <w:snapToGrid w:val="0"/>
      <w:spacing w:before="0" w:line="240" w:lineRule="auto"/>
      <w:ind w:left="227" w:hanging="227"/>
      <w:jc w:val="left"/>
    </w:pPr>
    <w:rPr>
      <w:rFonts w:ascii="Arial" w:eastAsia="Arial Unicode MS" w:hAnsi="Arial" w:cs="David"/>
      <w:spacing w:val="0"/>
      <w:sz w:val="14"/>
      <w:szCs w:val="20"/>
    </w:rPr>
  </w:style>
  <w:style w:type="character" w:customStyle="1" w:styleId="a6">
    <w:name w:val="טקסט הערת שוליים תו"/>
    <w:basedOn w:val="a0"/>
    <w:link w:val="a5"/>
    <w:locked/>
    <w:rsid w:val="008A6EAB"/>
    <w:rPr>
      <w:rFonts w:ascii="Arial" w:eastAsia="Arial Unicode MS" w:hAnsi="Arial" w:cs="Times New Roman"/>
      <w:color w:val="000000"/>
      <w:sz w:val="20"/>
      <w:lang w:val="x-none" w:eastAsia="ja-JP"/>
    </w:rPr>
  </w:style>
  <w:style w:type="paragraph" w:customStyle="1" w:styleId="HesberHeading">
    <w:name w:val="Hesber Heading"/>
    <w:basedOn w:val="Hesber"/>
    <w:rsid w:val="008A6EAB"/>
    <w:pPr>
      <w:tabs>
        <w:tab w:val="left" w:pos="624"/>
        <w:tab w:val="left" w:pos="1247"/>
      </w:tabs>
      <w:ind w:firstLine="0"/>
    </w:pPr>
    <w:rPr>
      <w:b/>
      <w:bCs/>
    </w:rPr>
  </w:style>
  <w:style w:type="character" w:styleId="a7">
    <w:name w:val="footnote reference"/>
    <w:basedOn w:val="a0"/>
    <w:rsid w:val="008A6EAB"/>
    <w:rPr>
      <w:rFonts w:cs="Times New Roman"/>
      <w:vertAlign w:val="superscript"/>
    </w:rPr>
  </w:style>
  <w:style w:type="character" w:styleId="a8">
    <w:name w:val="endnote reference"/>
    <w:basedOn w:val="a0"/>
    <w:uiPriority w:val="99"/>
    <w:semiHidden/>
    <w:rsid w:val="008A6EAB"/>
    <w:rPr>
      <w:rFonts w:cs="Times New Roman"/>
      <w:vertAlign w:val="superscript"/>
    </w:rPr>
  </w:style>
  <w:style w:type="paragraph" w:customStyle="1" w:styleId="TableBlockOutdent">
    <w:name w:val="Table BlockOutdent"/>
    <w:basedOn w:val="TableBlock"/>
    <w:rsid w:val="008A6EAB"/>
    <w:pPr>
      <w:ind w:left="624" w:hanging="624"/>
    </w:pPr>
  </w:style>
  <w:style w:type="paragraph" w:styleId="a9">
    <w:name w:val="header"/>
    <w:basedOn w:val="a"/>
    <w:link w:val="aa"/>
    <w:uiPriority w:val="99"/>
    <w:rsid w:val="008A6EAB"/>
    <w:pPr>
      <w:tabs>
        <w:tab w:val="center" w:pos="4153"/>
        <w:tab w:val="right" w:pos="8306"/>
      </w:tabs>
    </w:pPr>
  </w:style>
  <w:style w:type="character" w:customStyle="1" w:styleId="aa">
    <w:name w:val="כותרת עליונה תו"/>
    <w:basedOn w:val="a0"/>
    <w:link w:val="a9"/>
    <w:uiPriority w:val="99"/>
    <w:locked/>
    <w:rsid w:val="008A6EAB"/>
    <w:rPr>
      <w:rFonts w:ascii="Hadasa Roso SL" w:eastAsia="MS Mincho" w:hAnsi="Hadasa Roso SL" w:cs="Times New Roman"/>
      <w:color w:val="000000"/>
      <w:spacing w:val="1"/>
      <w:sz w:val="17"/>
      <w:lang w:val="x-none" w:eastAsia="ja-JP"/>
    </w:rPr>
  </w:style>
  <w:style w:type="character" w:styleId="ab">
    <w:name w:val="page number"/>
    <w:basedOn w:val="a0"/>
    <w:uiPriority w:val="99"/>
    <w:rsid w:val="008A6EAB"/>
    <w:rPr>
      <w:rFonts w:cs="Times New Roman"/>
    </w:rPr>
  </w:style>
  <w:style w:type="paragraph" w:styleId="ac">
    <w:name w:val="footer"/>
    <w:basedOn w:val="a"/>
    <w:link w:val="ad"/>
    <w:uiPriority w:val="99"/>
    <w:rsid w:val="008A6EAB"/>
    <w:pPr>
      <w:tabs>
        <w:tab w:val="center" w:pos="4153"/>
        <w:tab w:val="right" w:pos="8306"/>
      </w:tabs>
    </w:pPr>
  </w:style>
  <w:style w:type="character" w:customStyle="1" w:styleId="ad">
    <w:name w:val="כותרת תחתונה תו"/>
    <w:basedOn w:val="a0"/>
    <w:link w:val="ac"/>
    <w:uiPriority w:val="99"/>
    <w:locked/>
    <w:rsid w:val="008A6EAB"/>
    <w:rPr>
      <w:rFonts w:ascii="Hadasa Roso SL" w:eastAsia="MS Mincho" w:hAnsi="Hadasa Roso SL" w:cs="Times New Roman"/>
      <w:color w:val="000000"/>
      <w:spacing w:val="1"/>
      <w:sz w:val="17"/>
      <w:lang w:val="x-none" w:eastAsia="ja-JP"/>
    </w:rPr>
  </w:style>
  <w:style w:type="paragraph" w:customStyle="1" w:styleId="Cover1-Reshumot">
    <w:name w:val="Cover 1-Reshumot"/>
    <w:basedOn w:val="a"/>
    <w:rsid w:val="008A6EAB"/>
    <w:pPr>
      <w:tabs>
        <w:tab w:val="left" w:pos="1191"/>
        <w:tab w:val="left" w:pos="1587"/>
      </w:tabs>
      <w:snapToGrid w:val="0"/>
      <w:spacing w:before="240" w:after="240" w:line="480" w:lineRule="auto"/>
      <w:ind w:firstLine="0"/>
      <w:jc w:val="center"/>
    </w:pPr>
    <w:rPr>
      <w:rFonts w:ascii="Arial" w:eastAsia="Arial Unicode MS" w:hAnsi="Arial" w:cs="David"/>
      <w:spacing w:val="0"/>
      <w:sz w:val="20"/>
      <w:szCs w:val="26"/>
    </w:rPr>
  </w:style>
  <w:style w:type="paragraph" w:customStyle="1" w:styleId="Cover2-HatzaotHok">
    <w:name w:val="Cover 2-HatzaotHok"/>
    <w:basedOn w:val="Cover1-Reshumot"/>
    <w:rsid w:val="008A6EAB"/>
    <w:rPr>
      <w:sz w:val="36"/>
      <w:szCs w:val="52"/>
    </w:rPr>
  </w:style>
  <w:style w:type="paragraph" w:customStyle="1" w:styleId="Cover3-Haknesset">
    <w:name w:val="Cover 3-Haknesset"/>
    <w:basedOn w:val="Cover1-Reshumot"/>
    <w:rsid w:val="008A6EAB"/>
    <w:rPr>
      <w:b/>
      <w:bCs/>
      <w:spacing w:val="60"/>
    </w:rPr>
  </w:style>
  <w:style w:type="paragraph" w:customStyle="1" w:styleId="Cover4-Date">
    <w:name w:val="Cover 4-Date"/>
    <w:basedOn w:val="a"/>
    <w:rsid w:val="008A6EAB"/>
    <w:pPr>
      <w:pBdr>
        <w:bottom w:val="single" w:sz="4" w:space="0" w:color="auto"/>
      </w:pBdr>
      <w:tabs>
        <w:tab w:val="center" w:pos="4820"/>
        <w:tab w:val="right" w:pos="9639"/>
      </w:tabs>
      <w:snapToGrid w:val="0"/>
      <w:spacing w:before="240" w:after="240" w:line="360" w:lineRule="auto"/>
      <w:ind w:firstLine="0"/>
      <w:jc w:val="left"/>
    </w:pPr>
    <w:rPr>
      <w:rFonts w:ascii="Arial" w:eastAsia="Arial Unicode MS" w:hAnsi="Arial" w:cs="David"/>
      <w:spacing w:val="0"/>
      <w:sz w:val="20"/>
      <w:szCs w:val="26"/>
    </w:rPr>
  </w:style>
  <w:style w:type="paragraph" w:customStyle="1" w:styleId="Ragil">
    <w:name w:val="Ragil"/>
    <w:basedOn w:val="a"/>
    <w:rsid w:val="008A6EAB"/>
    <w:pPr>
      <w:snapToGrid w:val="0"/>
      <w:spacing w:before="0" w:line="360" w:lineRule="auto"/>
      <w:jc w:val="left"/>
    </w:pPr>
    <w:rPr>
      <w:rFonts w:ascii="Arial" w:eastAsia="Arial Unicode MS" w:hAnsi="Arial" w:cs="David"/>
      <w:spacing w:val="0"/>
      <w:sz w:val="20"/>
      <w:szCs w:val="26"/>
    </w:rPr>
  </w:style>
  <w:style w:type="paragraph" w:styleId="ae">
    <w:name w:val="List Paragraph"/>
    <w:basedOn w:val="a"/>
    <w:uiPriority w:val="34"/>
    <w:qFormat/>
    <w:rsid w:val="008A6EAB"/>
    <w:pPr>
      <w:widowControl/>
      <w:autoSpaceDE/>
      <w:autoSpaceDN/>
      <w:adjustRightInd/>
      <w:spacing w:before="0" w:line="240" w:lineRule="auto"/>
      <w:ind w:left="720" w:firstLine="0"/>
      <w:contextualSpacing/>
      <w:jc w:val="left"/>
      <w:textAlignment w:val="auto"/>
    </w:pPr>
    <w:rPr>
      <w:rFonts w:ascii="Times New Roman" w:eastAsia="Times New Roman" w:hAnsi="Times New Roman" w:cs="David"/>
      <w:color w:val="auto"/>
      <w:spacing w:val="0"/>
      <w:sz w:val="24"/>
      <w:szCs w:val="26"/>
      <w:lang w:eastAsia="en-US"/>
    </w:rPr>
  </w:style>
  <w:style w:type="character" w:styleId="af">
    <w:name w:val="annotation reference"/>
    <w:basedOn w:val="a0"/>
    <w:rsid w:val="008A6EAB"/>
    <w:rPr>
      <w:rFonts w:cs="Times New Roman"/>
      <w:sz w:val="16"/>
    </w:rPr>
  </w:style>
  <w:style w:type="paragraph" w:styleId="af0">
    <w:name w:val="annotation text"/>
    <w:basedOn w:val="a"/>
    <w:link w:val="af1"/>
    <w:rsid w:val="008A6EAB"/>
    <w:pPr>
      <w:widowControl/>
      <w:autoSpaceDE/>
      <w:autoSpaceDN/>
      <w:adjustRightInd/>
      <w:spacing w:before="0" w:line="240" w:lineRule="auto"/>
      <w:ind w:firstLine="0"/>
      <w:jc w:val="left"/>
      <w:textAlignment w:val="auto"/>
    </w:pPr>
    <w:rPr>
      <w:rFonts w:ascii="Times New Roman" w:eastAsia="Times New Roman" w:hAnsi="Times New Roman" w:cs="David"/>
      <w:color w:val="auto"/>
      <w:spacing w:val="0"/>
      <w:sz w:val="20"/>
      <w:szCs w:val="20"/>
      <w:lang w:eastAsia="en-US"/>
    </w:rPr>
  </w:style>
  <w:style w:type="character" w:customStyle="1" w:styleId="af1">
    <w:name w:val="טקסט הערה תו"/>
    <w:basedOn w:val="a0"/>
    <w:link w:val="af0"/>
    <w:locked/>
    <w:rsid w:val="008A6EAB"/>
    <w:rPr>
      <w:rFonts w:ascii="Times New Roman" w:hAnsi="Times New Roman" w:cs="Times New Roman"/>
      <w:sz w:val="20"/>
    </w:rPr>
  </w:style>
  <w:style w:type="paragraph" w:styleId="af2">
    <w:name w:val="annotation subject"/>
    <w:basedOn w:val="af0"/>
    <w:next w:val="af0"/>
    <w:link w:val="af3"/>
    <w:uiPriority w:val="99"/>
    <w:semiHidden/>
    <w:unhideWhenUsed/>
    <w:rsid w:val="008A6EAB"/>
    <w:pPr>
      <w:widowControl w:val="0"/>
      <w:autoSpaceDE w:val="0"/>
      <w:autoSpaceDN w:val="0"/>
      <w:adjustRightInd w:val="0"/>
      <w:spacing w:before="102"/>
      <w:ind w:firstLine="340"/>
      <w:jc w:val="both"/>
      <w:textAlignment w:val="center"/>
    </w:pPr>
    <w:rPr>
      <w:rFonts w:ascii="Hadasa Roso SL" w:eastAsia="MS Mincho" w:hAnsi="Hadasa Roso SL" w:cs="Hadasa Roso SL"/>
      <w:b/>
      <w:bCs/>
      <w:color w:val="000000"/>
      <w:spacing w:val="1"/>
      <w:lang w:eastAsia="ja-JP"/>
    </w:rPr>
  </w:style>
  <w:style w:type="character" w:customStyle="1" w:styleId="af3">
    <w:name w:val="נושא הערה תו"/>
    <w:basedOn w:val="af1"/>
    <w:link w:val="af2"/>
    <w:uiPriority w:val="99"/>
    <w:semiHidden/>
    <w:locked/>
    <w:rsid w:val="008A6EAB"/>
    <w:rPr>
      <w:rFonts w:ascii="Hadasa Roso SL" w:eastAsia="MS Mincho" w:hAnsi="Hadasa Roso SL" w:cs="Times New Roman"/>
      <w:b/>
      <w:color w:val="000000"/>
      <w:spacing w:val="1"/>
      <w:sz w:val="20"/>
      <w:lang w:val="x-none" w:eastAsia="ja-JP"/>
    </w:rPr>
  </w:style>
  <w:style w:type="paragraph" w:styleId="af4">
    <w:name w:val="Balloon Text"/>
    <w:basedOn w:val="a"/>
    <w:link w:val="af5"/>
    <w:uiPriority w:val="99"/>
    <w:semiHidden/>
    <w:unhideWhenUsed/>
    <w:rsid w:val="008A6EAB"/>
    <w:pPr>
      <w:spacing w:before="0" w:line="240" w:lineRule="auto"/>
    </w:pPr>
    <w:rPr>
      <w:rFonts w:ascii="Tahoma" w:hAnsi="Tahoma" w:cs="Tahoma"/>
      <w:sz w:val="16"/>
      <w:szCs w:val="16"/>
    </w:rPr>
  </w:style>
  <w:style w:type="character" w:customStyle="1" w:styleId="af5">
    <w:name w:val="טקסט בלונים תו"/>
    <w:basedOn w:val="a0"/>
    <w:link w:val="af4"/>
    <w:uiPriority w:val="99"/>
    <w:semiHidden/>
    <w:locked/>
    <w:rsid w:val="008A6EAB"/>
    <w:rPr>
      <w:rFonts w:ascii="Tahoma" w:eastAsia="MS Mincho" w:hAnsi="Tahoma" w:cs="Times New Roman"/>
      <w:color w:val="000000"/>
      <w:spacing w:val="1"/>
      <w:sz w:val="16"/>
      <w:lang w:val="x-none" w:eastAsia="ja-JP"/>
    </w:rPr>
  </w:style>
  <w:style w:type="paragraph" w:customStyle="1" w:styleId="footnote">
    <w:name w:val="footnote"/>
    <w:basedOn w:val="a"/>
    <w:rsid w:val="008A6EAB"/>
    <w:pPr>
      <w:suppressAutoHyphens/>
      <w:adjustRightInd/>
      <w:spacing w:before="0" w:line="240" w:lineRule="auto"/>
      <w:ind w:left="2835" w:firstLine="0"/>
      <w:textAlignment w:val="auto"/>
    </w:pPr>
    <w:rPr>
      <w:rFonts w:ascii="Times New Roman" w:eastAsia="Times New Roman" w:hAnsi="Times New Roman" w:cs="Times New Roman"/>
      <w:noProof/>
      <w:color w:val="auto"/>
      <w:spacing w:val="0"/>
      <w:sz w:val="22"/>
      <w:szCs w:val="22"/>
      <w:lang w:eastAsia="he-IL"/>
    </w:rPr>
  </w:style>
  <w:style w:type="character" w:customStyle="1" w:styleId="default">
    <w:name w:val="default"/>
    <w:rsid w:val="00C9071B"/>
    <w:rPr>
      <w:rFonts w:ascii="Times New Roman" w:hAnsi="Times New Roman"/>
      <w:sz w:val="26"/>
    </w:rPr>
  </w:style>
  <w:style w:type="table" w:styleId="af6">
    <w:name w:val="Table Grid"/>
    <w:basedOn w:val="a1"/>
    <w:uiPriority w:val="59"/>
    <w:rsid w:val="00E92777"/>
    <w:pPr>
      <w:jc w:val="both"/>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00">
    <w:name w:val="P00"/>
    <w:rsid w:val="008A5C6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ascii="Times New Roman" w:hAnsi="Times New Roman" w:cs="Times New Roman"/>
      <w:noProof/>
      <w:szCs w:val="26"/>
      <w:lang w:eastAsia="he-IL"/>
    </w:rPr>
  </w:style>
  <w:style w:type="character" w:styleId="Hyperlink">
    <w:name w:val="Hyperlink"/>
    <w:basedOn w:val="a0"/>
    <w:uiPriority w:val="99"/>
    <w:rsid w:val="00A66E3F"/>
    <w:rPr>
      <w:rFonts w:cs="Times New Roman"/>
      <w:color w:val="0000FF"/>
      <w:u w:val="single"/>
    </w:rPr>
  </w:style>
  <w:style w:type="character" w:styleId="FollowedHyperlink">
    <w:name w:val="FollowedHyperlink"/>
    <w:basedOn w:val="a0"/>
    <w:uiPriority w:val="99"/>
    <w:semiHidden/>
    <w:unhideWhenUsed/>
    <w:rsid w:val="00A66E3F"/>
    <w:rPr>
      <w:rFonts w:cs="Times New Roman"/>
      <w:color w:val="800080"/>
      <w:u w:val="single"/>
    </w:rPr>
  </w:style>
  <w:style w:type="paragraph" w:customStyle="1" w:styleId="P22">
    <w:name w:val="P22"/>
    <w:basedOn w:val="P00"/>
    <w:rsid w:val="00237DF7"/>
    <w:pPr>
      <w:tabs>
        <w:tab w:val="clear" w:pos="624"/>
        <w:tab w:val="clear" w:pos="1021"/>
      </w:tabs>
      <w:ind w:right="1021"/>
    </w:pPr>
  </w:style>
  <w:style w:type="paragraph" w:customStyle="1" w:styleId="P11">
    <w:name w:val="P11"/>
    <w:basedOn w:val="P00"/>
    <w:rsid w:val="00237DF7"/>
    <w:pPr>
      <w:tabs>
        <w:tab w:val="clear" w:pos="624"/>
      </w:tabs>
      <w:ind w:right="624"/>
    </w:pPr>
  </w:style>
  <w:style w:type="paragraph" w:styleId="af7">
    <w:name w:val="Revision"/>
    <w:hidden/>
    <w:uiPriority w:val="99"/>
    <w:semiHidden/>
    <w:rsid w:val="00BF563C"/>
    <w:rPr>
      <w:rFonts w:ascii="Hadasa Roso SL" w:eastAsia="MS Mincho" w:hAnsi="Hadasa Roso SL" w:cs="Hadasa Roso SL"/>
      <w:color w:val="000000"/>
      <w:spacing w:val="1"/>
      <w:sz w:val="17"/>
      <w:szCs w:val="17"/>
      <w:lang w:eastAsia="ja-JP"/>
    </w:rPr>
  </w:style>
  <w:style w:type="paragraph" w:customStyle="1" w:styleId="p220">
    <w:name w:val="p22"/>
    <w:basedOn w:val="a"/>
    <w:rsid w:val="003322DE"/>
    <w:pPr>
      <w:widowControl/>
      <w:autoSpaceDE/>
      <w:autoSpaceDN/>
      <w:bidi w:val="0"/>
      <w:adjustRightInd/>
      <w:spacing w:before="100" w:beforeAutospacing="1" w:after="100" w:afterAutospacing="1" w:line="240" w:lineRule="auto"/>
      <w:ind w:firstLine="0"/>
      <w:jc w:val="left"/>
      <w:textAlignment w:val="auto"/>
    </w:pPr>
    <w:rPr>
      <w:rFonts w:ascii="Times New Roman" w:eastAsia="Times New Roman" w:hAnsi="Times New Roman" w:cs="Times New Roman"/>
      <w:color w:val="auto"/>
      <w:spacing w:val="0"/>
      <w:sz w:val="24"/>
      <w:szCs w:val="24"/>
      <w:lang w:eastAsia="en-US"/>
    </w:rPr>
  </w:style>
  <w:style w:type="character" w:customStyle="1" w:styleId="TableText0">
    <w:name w:val="Table Text תו"/>
    <w:link w:val="TableText"/>
    <w:rsid w:val="003322DE"/>
    <w:rPr>
      <w:rFonts w:ascii="Arial" w:eastAsia="Arial Unicode MS" w:hAnsi="Arial" w:cs="David"/>
      <w:color w:val="000000"/>
      <w:szCs w:val="26"/>
      <w:lang w:eastAsia="ja-JP"/>
    </w:rPr>
  </w:style>
  <w:style w:type="character" w:customStyle="1" w:styleId="TableSideHeading0">
    <w:name w:val="Table SideHeading תו"/>
    <w:basedOn w:val="TableText0"/>
    <w:link w:val="TableSideHeading"/>
    <w:rsid w:val="003322DE"/>
    <w:rPr>
      <w:rFonts w:ascii="Arial" w:eastAsia="Arial Unicode MS" w:hAnsi="Arial" w:cs="David"/>
      <w:color w:val="000000"/>
      <w:szCs w:val="26"/>
      <w:lang w:eastAsia="ja-JP"/>
    </w:rPr>
  </w:style>
  <w:style w:type="character" w:customStyle="1" w:styleId="apple-converted-space">
    <w:name w:val="apple-converted-space"/>
    <w:basedOn w:val="a0"/>
    <w:rsid w:val="003322DE"/>
  </w:style>
  <w:style w:type="paragraph" w:customStyle="1" w:styleId="p33">
    <w:name w:val="p33"/>
    <w:basedOn w:val="a"/>
    <w:rsid w:val="003322DE"/>
    <w:pPr>
      <w:widowControl/>
      <w:autoSpaceDE/>
      <w:autoSpaceDN/>
      <w:bidi w:val="0"/>
      <w:adjustRightInd/>
      <w:spacing w:before="100" w:beforeAutospacing="1" w:after="100" w:afterAutospacing="1" w:line="240" w:lineRule="auto"/>
      <w:ind w:firstLine="0"/>
      <w:jc w:val="left"/>
      <w:textAlignment w:val="auto"/>
    </w:pPr>
    <w:rPr>
      <w:rFonts w:ascii="Times New Roman" w:eastAsia="Times New Roman" w:hAnsi="Times New Roman" w:cs="Times New Roman"/>
      <w:color w:val="auto"/>
      <w:spacing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EAB"/>
    <w:pPr>
      <w:widowControl w:val="0"/>
      <w:autoSpaceDE w:val="0"/>
      <w:autoSpaceDN w:val="0"/>
      <w:bidi/>
      <w:adjustRightInd w:val="0"/>
      <w:spacing w:before="102" w:line="204" w:lineRule="atLeast"/>
      <w:ind w:firstLine="340"/>
      <w:jc w:val="both"/>
      <w:textAlignment w:val="center"/>
    </w:pPr>
    <w:rPr>
      <w:rFonts w:ascii="Hadasa Roso SL" w:eastAsia="MS Mincho" w:hAnsi="Hadasa Roso SL" w:cs="Hadasa Roso SL"/>
      <w:color w:val="000000"/>
      <w:spacing w:val="1"/>
      <w:sz w:val="17"/>
      <w:szCs w:val="17"/>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link w:val="TableText0"/>
    <w:rsid w:val="008A6EAB"/>
    <w:pPr>
      <w:keepLines/>
      <w:tabs>
        <w:tab w:val="left" w:pos="624"/>
        <w:tab w:val="left" w:pos="1247"/>
      </w:tabs>
      <w:snapToGrid w:val="0"/>
      <w:spacing w:before="0" w:line="360" w:lineRule="auto"/>
      <w:ind w:right="57" w:firstLine="0"/>
      <w:jc w:val="left"/>
    </w:pPr>
    <w:rPr>
      <w:rFonts w:ascii="Arial" w:eastAsia="Arial Unicode MS" w:hAnsi="Arial" w:cs="David"/>
      <w:spacing w:val="0"/>
      <w:sz w:val="20"/>
      <w:szCs w:val="26"/>
    </w:rPr>
  </w:style>
  <w:style w:type="paragraph" w:customStyle="1" w:styleId="TableSideHeading">
    <w:name w:val="Table SideHeading"/>
    <w:basedOn w:val="TableText"/>
    <w:link w:val="TableSideHeading0"/>
    <w:rsid w:val="008A6EAB"/>
  </w:style>
  <w:style w:type="paragraph" w:customStyle="1" w:styleId="TableBlock">
    <w:name w:val="Table Block"/>
    <w:basedOn w:val="TableText"/>
    <w:rsid w:val="008A6EAB"/>
    <w:pPr>
      <w:ind w:right="0"/>
      <w:jc w:val="both"/>
    </w:pPr>
  </w:style>
  <w:style w:type="paragraph" w:customStyle="1" w:styleId="TableHead">
    <w:name w:val="Table Head"/>
    <w:basedOn w:val="TableText"/>
    <w:rsid w:val="008A6EAB"/>
    <w:pPr>
      <w:ind w:right="0"/>
      <w:jc w:val="center"/>
    </w:pPr>
    <w:rPr>
      <w:b/>
      <w:bCs/>
    </w:rPr>
  </w:style>
  <w:style w:type="paragraph" w:customStyle="1" w:styleId="HeadMitparsemetBaze">
    <w:name w:val="Head MitparsemetBaze"/>
    <w:basedOn w:val="a"/>
    <w:rsid w:val="008A6EAB"/>
    <w:pPr>
      <w:keepNext/>
      <w:keepLines/>
      <w:pageBreakBefore/>
      <w:snapToGrid w:val="0"/>
      <w:spacing w:before="480" w:line="360" w:lineRule="auto"/>
      <w:ind w:firstLine="0"/>
    </w:pPr>
    <w:rPr>
      <w:rFonts w:ascii="Arial" w:eastAsia="Arial Unicode MS" w:hAnsi="Arial" w:cs="David"/>
      <w:b/>
      <w:bCs/>
      <w:spacing w:val="0"/>
      <w:sz w:val="20"/>
      <w:szCs w:val="26"/>
    </w:rPr>
  </w:style>
  <w:style w:type="paragraph" w:customStyle="1" w:styleId="HeadHatzaotHok">
    <w:name w:val="Head HatzaotHok"/>
    <w:basedOn w:val="a"/>
    <w:rsid w:val="008A6EAB"/>
    <w:pPr>
      <w:keepNext/>
      <w:keepLines/>
      <w:snapToGrid w:val="0"/>
      <w:spacing w:before="240" w:line="360" w:lineRule="auto"/>
      <w:ind w:firstLine="0"/>
      <w:jc w:val="center"/>
    </w:pPr>
    <w:rPr>
      <w:rFonts w:ascii="Arial" w:eastAsia="Arial Unicode MS" w:hAnsi="Arial" w:cs="David"/>
      <w:b/>
      <w:bCs/>
      <w:spacing w:val="0"/>
      <w:sz w:val="20"/>
      <w:szCs w:val="26"/>
    </w:rPr>
  </w:style>
  <w:style w:type="paragraph" w:customStyle="1" w:styleId="HesberWriters">
    <w:name w:val="Hesber Writers"/>
    <w:basedOn w:val="Hesber"/>
    <w:rsid w:val="008A6EAB"/>
    <w:pPr>
      <w:spacing w:before="120" w:after="6000"/>
      <w:ind w:left="1418" w:firstLine="0"/>
      <w:jc w:val="right"/>
    </w:pPr>
    <w:rPr>
      <w:b/>
      <w:bCs/>
    </w:rPr>
  </w:style>
  <w:style w:type="paragraph" w:customStyle="1" w:styleId="Hesber1st">
    <w:name w:val="Hesber 1st"/>
    <w:basedOn w:val="Hesber"/>
    <w:rsid w:val="008A6EAB"/>
    <w:pPr>
      <w:tabs>
        <w:tab w:val="left" w:pos="680"/>
        <w:tab w:val="left" w:pos="1020"/>
      </w:tabs>
      <w:ind w:firstLine="0"/>
    </w:pPr>
  </w:style>
  <w:style w:type="paragraph" w:customStyle="1" w:styleId="HeadDivreiHesber">
    <w:name w:val="Head DivreiHesber"/>
    <w:basedOn w:val="a"/>
    <w:rsid w:val="008A6EAB"/>
    <w:pPr>
      <w:snapToGrid w:val="0"/>
      <w:spacing w:before="360" w:after="120" w:line="360" w:lineRule="auto"/>
      <w:ind w:firstLine="0"/>
      <w:jc w:val="center"/>
    </w:pPr>
    <w:rPr>
      <w:rFonts w:ascii="Arial" w:eastAsia="Arial Unicode MS" w:hAnsi="Arial" w:cs="David"/>
      <w:b/>
      <w:spacing w:val="40"/>
      <w:sz w:val="20"/>
      <w:szCs w:val="26"/>
    </w:rPr>
  </w:style>
  <w:style w:type="paragraph" w:customStyle="1" w:styleId="HeadHatzaotHok4Futer">
    <w:name w:val="Head HatzaotHok4Futer"/>
    <w:basedOn w:val="HeadHatzaotHok"/>
    <w:rsid w:val="008A6EAB"/>
    <w:pPr>
      <w:spacing w:before="120" w:after="120"/>
    </w:pPr>
    <w:rPr>
      <w:color w:val="FF0000"/>
      <w:w w:val="80"/>
    </w:rPr>
  </w:style>
  <w:style w:type="paragraph" w:styleId="a3">
    <w:name w:val="endnote text"/>
    <w:basedOn w:val="a"/>
    <w:link w:val="a4"/>
    <w:uiPriority w:val="99"/>
    <w:semiHidden/>
    <w:rsid w:val="008A6EAB"/>
    <w:pPr>
      <w:ind w:left="227" w:hanging="227"/>
    </w:pPr>
    <w:rPr>
      <w:sz w:val="14"/>
      <w:szCs w:val="22"/>
    </w:rPr>
  </w:style>
  <w:style w:type="character" w:customStyle="1" w:styleId="a4">
    <w:name w:val="טקסט הערת סיום תו"/>
    <w:basedOn w:val="a0"/>
    <w:link w:val="a3"/>
    <w:uiPriority w:val="99"/>
    <w:semiHidden/>
    <w:locked/>
    <w:rsid w:val="008A6EAB"/>
    <w:rPr>
      <w:rFonts w:ascii="Hadasa Roso SL" w:eastAsia="MS Mincho" w:hAnsi="Hadasa Roso SL" w:cs="Times New Roman"/>
      <w:color w:val="000000"/>
      <w:spacing w:val="1"/>
      <w:sz w:val="14"/>
      <w:lang w:val="x-none" w:eastAsia="ja-JP"/>
    </w:rPr>
  </w:style>
  <w:style w:type="paragraph" w:customStyle="1" w:styleId="Hesber">
    <w:name w:val="Hesber"/>
    <w:basedOn w:val="a"/>
    <w:rsid w:val="008A6EAB"/>
    <w:pPr>
      <w:snapToGrid w:val="0"/>
      <w:spacing w:before="0" w:line="360" w:lineRule="auto"/>
    </w:pPr>
    <w:rPr>
      <w:rFonts w:ascii="Arial" w:eastAsia="Arial Unicode MS" w:hAnsi="Arial" w:cs="David"/>
      <w:spacing w:val="0"/>
      <w:sz w:val="20"/>
      <w:szCs w:val="26"/>
    </w:rPr>
  </w:style>
  <w:style w:type="paragraph" w:customStyle="1" w:styleId="TableInnerSideHeading">
    <w:name w:val="Table InnerSideHeading"/>
    <w:basedOn w:val="TableSideHeading"/>
    <w:rsid w:val="008A6EAB"/>
  </w:style>
  <w:style w:type="paragraph" w:styleId="a5">
    <w:name w:val="footnote text"/>
    <w:basedOn w:val="a"/>
    <w:link w:val="a6"/>
    <w:autoRedefine/>
    <w:rsid w:val="008A6EAB"/>
    <w:pPr>
      <w:snapToGrid w:val="0"/>
      <w:spacing w:before="0" w:line="240" w:lineRule="auto"/>
      <w:ind w:left="227" w:hanging="227"/>
      <w:jc w:val="left"/>
    </w:pPr>
    <w:rPr>
      <w:rFonts w:ascii="Arial" w:eastAsia="Arial Unicode MS" w:hAnsi="Arial" w:cs="David"/>
      <w:spacing w:val="0"/>
      <w:sz w:val="14"/>
      <w:szCs w:val="20"/>
    </w:rPr>
  </w:style>
  <w:style w:type="character" w:customStyle="1" w:styleId="a6">
    <w:name w:val="טקסט הערת שוליים תו"/>
    <w:basedOn w:val="a0"/>
    <w:link w:val="a5"/>
    <w:locked/>
    <w:rsid w:val="008A6EAB"/>
    <w:rPr>
      <w:rFonts w:ascii="Arial" w:eastAsia="Arial Unicode MS" w:hAnsi="Arial" w:cs="Times New Roman"/>
      <w:color w:val="000000"/>
      <w:sz w:val="20"/>
      <w:lang w:val="x-none" w:eastAsia="ja-JP"/>
    </w:rPr>
  </w:style>
  <w:style w:type="paragraph" w:customStyle="1" w:styleId="HesberHeading">
    <w:name w:val="Hesber Heading"/>
    <w:basedOn w:val="Hesber"/>
    <w:rsid w:val="008A6EAB"/>
    <w:pPr>
      <w:tabs>
        <w:tab w:val="left" w:pos="624"/>
        <w:tab w:val="left" w:pos="1247"/>
      </w:tabs>
      <w:ind w:firstLine="0"/>
    </w:pPr>
    <w:rPr>
      <w:b/>
      <w:bCs/>
    </w:rPr>
  </w:style>
  <w:style w:type="character" w:styleId="a7">
    <w:name w:val="footnote reference"/>
    <w:basedOn w:val="a0"/>
    <w:rsid w:val="008A6EAB"/>
    <w:rPr>
      <w:rFonts w:cs="Times New Roman"/>
      <w:vertAlign w:val="superscript"/>
    </w:rPr>
  </w:style>
  <w:style w:type="character" w:styleId="a8">
    <w:name w:val="endnote reference"/>
    <w:basedOn w:val="a0"/>
    <w:uiPriority w:val="99"/>
    <w:semiHidden/>
    <w:rsid w:val="008A6EAB"/>
    <w:rPr>
      <w:rFonts w:cs="Times New Roman"/>
      <w:vertAlign w:val="superscript"/>
    </w:rPr>
  </w:style>
  <w:style w:type="paragraph" w:customStyle="1" w:styleId="TableBlockOutdent">
    <w:name w:val="Table BlockOutdent"/>
    <w:basedOn w:val="TableBlock"/>
    <w:rsid w:val="008A6EAB"/>
    <w:pPr>
      <w:ind w:left="624" w:hanging="624"/>
    </w:pPr>
  </w:style>
  <w:style w:type="paragraph" w:styleId="a9">
    <w:name w:val="header"/>
    <w:basedOn w:val="a"/>
    <w:link w:val="aa"/>
    <w:uiPriority w:val="99"/>
    <w:rsid w:val="008A6EAB"/>
    <w:pPr>
      <w:tabs>
        <w:tab w:val="center" w:pos="4153"/>
        <w:tab w:val="right" w:pos="8306"/>
      </w:tabs>
    </w:pPr>
  </w:style>
  <w:style w:type="character" w:customStyle="1" w:styleId="aa">
    <w:name w:val="כותרת עליונה תו"/>
    <w:basedOn w:val="a0"/>
    <w:link w:val="a9"/>
    <w:uiPriority w:val="99"/>
    <w:locked/>
    <w:rsid w:val="008A6EAB"/>
    <w:rPr>
      <w:rFonts w:ascii="Hadasa Roso SL" w:eastAsia="MS Mincho" w:hAnsi="Hadasa Roso SL" w:cs="Times New Roman"/>
      <w:color w:val="000000"/>
      <w:spacing w:val="1"/>
      <w:sz w:val="17"/>
      <w:lang w:val="x-none" w:eastAsia="ja-JP"/>
    </w:rPr>
  </w:style>
  <w:style w:type="character" w:styleId="ab">
    <w:name w:val="page number"/>
    <w:basedOn w:val="a0"/>
    <w:uiPriority w:val="99"/>
    <w:rsid w:val="008A6EAB"/>
    <w:rPr>
      <w:rFonts w:cs="Times New Roman"/>
    </w:rPr>
  </w:style>
  <w:style w:type="paragraph" w:styleId="ac">
    <w:name w:val="footer"/>
    <w:basedOn w:val="a"/>
    <w:link w:val="ad"/>
    <w:uiPriority w:val="99"/>
    <w:rsid w:val="008A6EAB"/>
    <w:pPr>
      <w:tabs>
        <w:tab w:val="center" w:pos="4153"/>
        <w:tab w:val="right" w:pos="8306"/>
      </w:tabs>
    </w:pPr>
  </w:style>
  <w:style w:type="character" w:customStyle="1" w:styleId="ad">
    <w:name w:val="כותרת תחתונה תו"/>
    <w:basedOn w:val="a0"/>
    <w:link w:val="ac"/>
    <w:uiPriority w:val="99"/>
    <w:locked/>
    <w:rsid w:val="008A6EAB"/>
    <w:rPr>
      <w:rFonts w:ascii="Hadasa Roso SL" w:eastAsia="MS Mincho" w:hAnsi="Hadasa Roso SL" w:cs="Times New Roman"/>
      <w:color w:val="000000"/>
      <w:spacing w:val="1"/>
      <w:sz w:val="17"/>
      <w:lang w:val="x-none" w:eastAsia="ja-JP"/>
    </w:rPr>
  </w:style>
  <w:style w:type="paragraph" w:customStyle="1" w:styleId="Cover1-Reshumot">
    <w:name w:val="Cover 1-Reshumot"/>
    <w:basedOn w:val="a"/>
    <w:rsid w:val="008A6EAB"/>
    <w:pPr>
      <w:tabs>
        <w:tab w:val="left" w:pos="1191"/>
        <w:tab w:val="left" w:pos="1587"/>
      </w:tabs>
      <w:snapToGrid w:val="0"/>
      <w:spacing w:before="240" w:after="240" w:line="480" w:lineRule="auto"/>
      <w:ind w:firstLine="0"/>
      <w:jc w:val="center"/>
    </w:pPr>
    <w:rPr>
      <w:rFonts w:ascii="Arial" w:eastAsia="Arial Unicode MS" w:hAnsi="Arial" w:cs="David"/>
      <w:spacing w:val="0"/>
      <w:sz w:val="20"/>
      <w:szCs w:val="26"/>
    </w:rPr>
  </w:style>
  <w:style w:type="paragraph" w:customStyle="1" w:styleId="Cover2-HatzaotHok">
    <w:name w:val="Cover 2-HatzaotHok"/>
    <w:basedOn w:val="Cover1-Reshumot"/>
    <w:rsid w:val="008A6EAB"/>
    <w:rPr>
      <w:sz w:val="36"/>
      <w:szCs w:val="52"/>
    </w:rPr>
  </w:style>
  <w:style w:type="paragraph" w:customStyle="1" w:styleId="Cover3-Haknesset">
    <w:name w:val="Cover 3-Haknesset"/>
    <w:basedOn w:val="Cover1-Reshumot"/>
    <w:rsid w:val="008A6EAB"/>
    <w:rPr>
      <w:b/>
      <w:bCs/>
      <w:spacing w:val="60"/>
    </w:rPr>
  </w:style>
  <w:style w:type="paragraph" w:customStyle="1" w:styleId="Cover4-Date">
    <w:name w:val="Cover 4-Date"/>
    <w:basedOn w:val="a"/>
    <w:rsid w:val="008A6EAB"/>
    <w:pPr>
      <w:pBdr>
        <w:bottom w:val="single" w:sz="4" w:space="0" w:color="auto"/>
      </w:pBdr>
      <w:tabs>
        <w:tab w:val="center" w:pos="4820"/>
        <w:tab w:val="right" w:pos="9639"/>
      </w:tabs>
      <w:snapToGrid w:val="0"/>
      <w:spacing w:before="240" w:after="240" w:line="360" w:lineRule="auto"/>
      <w:ind w:firstLine="0"/>
      <w:jc w:val="left"/>
    </w:pPr>
    <w:rPr>
      <w:rFonts w:ascii="Arial" w:eastAsia="Arial Unicode MS" w:hAnsi="Arial" w:cs="David"/>
      <w:spacing w:val="0"/>
      <w:sz w:val="20"/>
      <w:szCs w:val="26"/>
    </w:rPr>
  </w:style>
  <w:style w:type="paragraph" w:customStyle="1" w:styleId="Ragil">
    <w:name w:val="Ragil"/>
    <w:basedOn w:val="a"/>
    <w:rsid w:val="008A6EAB"/>
    <w:pPr>
      <w:snapToGrid w:val="0"/>
      <w:spacing w:before="0" w:line="360" w:lineRule="auto"/>
      <w:jc w:val="left"/>
    </w:pPr>
    <w:rPr>
      <w:rFonts w:ascii="Arial" w:eastAsia="Arial Unicode MS" w:hAnsi="Arial" w:cs="David"/>
      <w:spacing w:val="0"/>
      <w:sz w:val="20"/>
      <w:szCs w:val="26"/>
    </w:rPr>
  </w:style>
  <w:style w:type="paragraph" w:styleId="ae">
    <w:name w:val="List Paragraph"/>
    <w:basedOn w:val="a"/>
    <w:uiPriority w:val="34"/>
    <w:qFormat/>
    <w:rsid w:val="008A6EAB"/>
    <w:pPr>
      <w:widowControl/>
      <w:autoSpaceDE/>
      <w:autoSpaceDN/>
      <w:adjustRightInd/>
      <w:spacing w:before="0" w:line="240" w:lineRule="auto"/>
      <w:ind w:left="720" w:firstLine="0"/>
      <w:contextualSpacing/>
      <w:jc w:val="left"/>
      <w:textAlignment w:val="auto"/>
    </w:pPr>
    <w:rPr>
      <w:rFonts w:ascii="Times New Roman" w:eastAsia="Times New Roman" w:hAnsi="Times New Roman" w:cs="David"/>
      <w:color w:val="auto"/>
      <w:spacing w:val="0"/>
      <w:sz w:val="24"/>
      <w:szCs w:val="26"/>
      <w:lang w:eastAsia="en-US"/>
    </w:rPr>
  </w:style>
  <w:style w:type="character" w:styleId="af">
    <w:name w:val="annotation reference"/>
    <w:basedOn w:val="a0"/>
    <w:rsid w:val="008A6EAB"/>
    <w:rPr>
      <w:rFonts w:cs="Times New Roman"/>
      <w:sz w:val="16"/>
    </w:rPr>
  </w:style>
  <w:style w:type="paragraph" w:styleId="af0">
    <w:name w:val="annotation text"/>
    <w:basedOn w:val="a"/>
    <w:link w:val="af1"/>
    <w:rsid w:val="008A6EAB"/>
    <w:pPr>
      <w:widowControl/>
      <w:autoSpaceDE/>
      <w:autoSpaceDN/>
      <w:adjustRightInd/>
      <w:spacing w:before="0" w:line="240" w:lineRule="auto"/>
      <w:ind w:firstLine="0"/>
      <w:jc w:val="left"/>
      <w:textAlignment w:val="auto"/>
    </w:pPr>
    <w:rPr>
      <w:rFonts w:ascii="Times New Roman" w:eastAsia="Times New Roman" w:hAnsi="Times New Roman" w:cs="David"/>
      <w:color w:val="auto"/>
      <w:spacing w:val="0"/>
      <w:sz w:val="20"/>
      <w:szCs w:val="20"/>
      <w:lang w:eastAsia="en-US"/>
    </w:rPr>
  </w:style>
  <w:style w:type="character" w:customStyle="1" w:styleId="af1">
    <w:name w:val="טקסט הערה תו"/>
    <w:basedOn w:val="a0"/>
    <w:link w:val="af0"/>
    <w:locked/>
    <w:rsid w:val="008A6EAB"/>
    <w:rPr>
      <w:rFonts w:ascii="Times New Roman" w:hAnsi="Times New Roman" w:cs="Times New Roman"/>
      <w:sz w:val="20"/>
    </w:rPr>
  </w:style>
  <w:style w:type="paragraph" w:styleId="af2">
    <w:name w:val="annotation subject"/>
    <w:basedOn w:val="af0"/>
    <w:next w:val="af0"/>
    <w:link w:val="af3"/>
    <w:uiPriority w:val="99"/>
    <w:semiHidden/>
    <w:unhideWhenUsed/>
    <w:rsid w:val="008A6EAB"/>
    <w:pPr>
      <w:widowControl w:val="0"/>
      <w:autoSpaceDE w:val="0"/>
      <w:autoSpaceDN w:val="0"/>
      <w:adjustRightInd w:val="0"/>
      <w:spacing w:before="102"/>
      <w:ind w:firstLine="340"/>
      <w:jc w:val="both"/>
      <w:textAlignment w:val="center"/>
    </w:pPr>
    <w:rPr>
      <w:rFonts w:ascii="Hadasa Roso SL" w:eastAsia="MS Mincho" w:hAnsi="Hadasa Roso SL" w:cs="Hadasa Roso SL"/>
      <w:b/>
      <w:bCs/>
      <w:color w:val="000000"/>
      <w:spacing w:val="1"/>
      <w:lang w:eastAsia="ja-JP"/>
    </w:rPr>
  </w:style>
  <w:style w:type="character" w:customStyle="1" w:styleId="af3">
    <w:name w:val="נושא הערה תו"/>
    <w:basedOn w:val="af1"/>
    <w:link w:val="af2"/>
    <w:uiPriority w:val="99"/>
    <w:semiHidden/>
    <w:locked/>
    <w:rsid w:val="008A6EAB"/>
    <w:rPr>
      <w:rFonts w:ascii="Hadasa Roso SL" w:eastAsia="MS Mincho" w:hAnsi="Hadasa Roso SL" w:cs="Times New Roman"/>
      <w:b/>
      <w:color w:val="000000"/>
      <w:spacing w:val="1"/>
      <w:sz w:val="20"/>
      <w:lang w:val="x-none" w:eastAsia="ja-JP"/>
    </w:rPr>
  </w:style>
  <w:style w:type="paragraph" w:styleId="af4">
    <w:name w:val="Balloon Text"/>
    <w:basedOn w:val="a"/>
    <w:link w:val="af5"/>
    <w:uiPriority w:val="99"/>
    <w:semiHidden/>
    <w:unhideWhenUsed/>
    <w:rsid w:val="008A6EAB"/>
    <w:pPr>
      <w:spacing w:before="0" w:line="240" w:lineRule="auto"/>
    </w:pPr>
    <w:rPr>
      <w:rFonts w:ascii="Tahoma" w:hAnsi="Tahoma" w:cs="Tahoma"/>
      <w:sz w:val="16"/>
      <w:szCs w:val="16"/>
    </w:rPr>
  </w:style>
  <w:style w:type="character" w:customStyle="1" w:styleId="af5">
    <w:name w:val="טקסט בלונים תו"/>
    <w:basedOn w:val="a0"/>
    <w:link w:val="af4"/>
    <w:uiPriority w:val="99"/>
    <w:semiHidden/>
    <w:locked/>
    <w:rsid w:val="008A6EAB"/>
    <w:rPr>
      <w:rFonts w:ascii="Tahoma" w:eastAsia="MS Mincho" w:hAnsi="Tahoma" w:cs="Times New Roman"/>
      <w:color w:val="000000"/>
      <w:spacing w:val="1"/>
      <w:sz w:val="16"/>
      <w:lang w:val="x-none" w:eastAsia="ja-JP"/>
    </w:rPr>
  </w:style>
  <w:style w:type="paragraph" w:customStyle="1" w:styleId="footnote">
    <w:name w:val="footnote"/>
    <w:basedOn w:val="a"/>
    <w:rsid w:val="008A6EAB"/>
    <w:pPr>
      <w:suppressAutoHyphens/>
      <w:adjustRightInd/>
      <w:spacing w:before="0" w:line="240" w:lineRule="auto"/>
      <w:ind w:left="2835" w:firstLine="0"/>
      <w:textAlignment w:val="auto"/>
    </w:pPr>
    <w:rPr>
      <w:rFonts w:ascii="Times New Roman" w:eastAsia="Times New Roman" w:hAnsi="Times New Roman" w:cs="Times New Roman"/>
      <w:noProof/>
      <w:color w:val="auto"/>
      <w:spacing w:val="0"/>
      <w:sz w:val="22"/>
      <w:szCs w:val="22"/>
      <w:lang w:eastAsia="he-IL"/>
    </w:rPr>
  </w:style>
  <w:style w:type="character" w:customStyle="1" w:styleId="default">
    <w:name w:val="default"/>
    <w:rsid w:val="00C9071B"/>
    <w:rPr>
      <w:rFonts w:ascii="Times New Roman" w:hAnsi="Times New Roman"/>
      <w:sz w:val="26"/>
    </w:rPr>
  </w:style>
  <w:style w:type="table" w:styleId="af6">
    <w:name w:val="Table Grid"/>
    <w:basedOn w:val="a1"/>
    <w:uiPriority w:val="59"/>
    <w:rsid w:val="00E92777"/>
    <w:pPr>
      <w:jc w:val="both"/>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00">
    <w:name w:val="P00"/>
    <w:rsid w:val="008A5C6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ascii="Times New Roman" w:hAnsi="Times New Roman" w:cs="Times New Roman"/>
      <w:noProof/>
      <w:szCs w:val="26"/>
      <w:lang w:eastAsia="he-IL"/>
    </w:rPr>
  </w:style>
  <w:style w:type="character" w:styleId="Hyperlink">
    <w:name w:val="Hyperlink"/>
    <w:basedOn w:val="a0"/>
    <w:uiPriority w:val="99"/>
    <w:rsid w:val="00A66E3F"/>
    <w:rPr>
      <w:rFonts w:cs="Times New Roman"/>
      <w:color w:val="0000FF"/>
      <w:u w:val="single"/>
    </w:rPr>
  </w:style>
  <w:style w:type="character" w:styleId="FollowedHyperlink">
    <w:name w:val="FollowedHyperlink"/>
    <w:basedOn w:val="a0"/>
    <w:uiPriority w:val="99"/>
    <w:semiHidden/>
    <w:unhideWhenUsed/>
    <w:rsid w:val="00A66E3F"/>
    <w:rPr>
      <w:rFonts w:cs="Times New Roman"/>
      <w:color w:val="800080"/>
      <w:u w:val="single"/>
    </w:rPr>
  </w:style>
  <w:style w:type="paragraph" w:customStyle="1" w:styleId="P22">
    <w:name w:val="P22"/>
    <w:basedOn w:val="P00"/>
    <w:rsid w:val="00237DF7"/>
    <w:pPr>
      <w:tabs>
        <w:tab w:val="clear" w:pos="624"/>
        <w:tab w:val="clear" w:pos="1021"/>
      </w:tabs>
      <w:ind w:right="1021"/>
    </w:pPr>
  </w:style>
  <w:style w:type="paragraph" w:customStyle="1" w:styleId="P11">
    <w:name w:val="P11"/>
    <w:basedOn w:val="P00"/>
    <w:rsid w:val="00237DF7"/>
    <w:pPr>
      <w:tabs>
        <w:tab w:val="clear" w:pos="624"/>
      </w:tabs>
      <w:ind w:right="624"/>
    </w:pPr>
  </w:style>
  <w:style w:type="paragraph" w:styleId="af7">
    <w:name w:val="Revision"/>
    <w:hidden/>
    <w:uiPriority w:val="99"/>
    <w:semiHidden/>
    <w:rsid w:val="00BF563C"/>
    <w:rPr>
      <w:rFonts w:ascii="Hadasa Roso SL" w:eastAsia="MS Mincho" w:hAnsi="Hadasa Roso SL" w:cs="Hadasa Roso SL"/>
      <w:color w:val="000000"/>
      <w:spacing w:val="1"/>
      <w:sz w:val="17"/>
      <w:szCs w:val="17"/>
      <w:lang w:eastAsia="ja-JP"/>
    </w:rPr>
  </w:style>
  <w:style w:type="paragraph" w:customStyle="1" w:styleId="p220">
    <w:name w:val="p22"/>
    <w:basedOn w:val="a"/>
    <w:rsid w:val="003322DE"/>
    <w:pPr>
      <w:widowControl/>
      <w:autoSpaceDE/>
      <w:autoSpaceDN/>
      <w:bidi w:val="0"/>
      <w:adjustRightInd/>
      <w:spacing w:before="100" w:beforeAutospacing="1" w:after="100" w:afterAutospacing="1" w:line="240" w:lineRule="auto"/>
      <w:ind w:firstLine="0"/>
      <w:jc w:val="left"/>
      <w:textAlignment w:val="auto"/>
    </w:pPr>
    <w:rPr>
      <w:rFonts w:ascii="Times New Roman" w:eastAsia="Times New Roman" w:hAnsi="Times New Roman" w:cs="Times New Roman"/>
      <w:color w:val="auto"/>
      <w:spacing w:val="0"/>
      <w:sz w:val="24"/>
      <w:szCs w:val="24"/>
      <w:lang w:eastAsia="en-US"/>
    </w:rPr>
  </w:style>
  <w:style w:type="character" w:customStyle="1" w:styleId="TableText0">
    <w:name w:val="Table Text תו"/>
    <w:link w:val="TableText"/>
    <w:rsid w:val="003322DE"/>
    <w:rPr>
      <w:rFonts w:ascii="Arial" w:eastAsia="Arial Unicode MS" w:hAnsi="Arial" w:cs="David"/>
      <w:color w:val="000000"/>
      <w:szCs w:val="26"/>
      <w:lang w:eastAsia="ja-JP"/>
    </w:rPr>
  </w:style>
  <w:style w:type="character" w:customStyle="1" w:styleId="TableSideHeading0">
    <w:name w:val="Table SideHeading תו"/>
    <w:basedOn w:val="TableText0"/>
    <w:link w:val="TableSideHeading"/>
    <w:rsid w:val="003322DE"/>
    <w:rPr>
      <w:rFonts w:ascii="Arial" w:eastAsia="Arial Unicode MS" w:hAnsi="Arial" w:cs="David"/>
      <w:color w:val="000000"/>
      <w:szCs w:val="26"/>
      <w:lang w:eastAsia="ja-JP"/>
    </w:rPr>
  </w:style>
  <w:style w:type="character" w:customStyle="1" w:styleId="apple-converted-space">
    <w:name w:val="apple-converted-space"/>
    <w:basedOn w:val="a0"/>
    <w:rsid w:val="003322DE"/>
  </w:style>
  <w:style w:type="paragraph" w:customStyle="1" w:styleId="p33">
    <w:name w:val="p33"/>
    <w:basedOn w:val="a"/>
    <w:rsid w:val="003322DE"/>
    <w:pPr>
      <w:widowControl/>
      <w:autoSpaceDE/>
      <w:autoSpaceDN/>
      <w:bidi w:val="0"/>
      <w:adjustRightInd/>
      <w:spacing w:before="100" w:beforeAutospacing="1" w:after="100" w:afterAutospacing="1" w:line="240" w:lineRule="auto"/>
      <w:ind w:firstLine="0"/>
      <w:jc w:val="left"/>
      <w:textAlignment w:val="auto"/>
    </w:pPr>
    <w:rPr>
      <w:rFonts w:ascii="Times New Roman" w:eastAsia="Times New Roman" w:hAnsi="Times New Roman" w:cs="Times New Roman"/>
      <w:color w:val="auto"/>
      <w:spacing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8737">
      <w:marLeft w:val="0"/>
      <w:marRight w:val="0"/>
      <w:marTop w:val="0"/>
      <w:marBottom w:val="0"/>
      <w:divBdr>
        <w:top w:val="none" w:sz="0" w:space="0" w:color="auto"/>
        <w:left w:val="none" w:sz="0" w:space="0" w:color="auto"/>
        <w:bottom w:val="none" w:sz="0" w:space="0" w:color="auto"/>
        <w:right w:val="none" w:sz="0" w:space="0" w:color="auto"/>
      </w:divBdr>
    </w:div>
    <w:div w:id="129058738">
      <w:marLeft w:val="0"/>
      <w:marRight w:val="0"/>
      <w:marTop w:val="0"/>
      <w:marBottom w:val="0"/>
      <w:divBdr>
        <w:top w:val="none" w:sz="0" w:space="0" w:color="auto"/>
        <w:left w:val="none" w:sz="0" w:space="0" w:color="auto"/>
        <w:bottom w:val="none" w:sz="0" w:space="0" w:color="auto"/>
        <w:right w:val="none" w:sz="0" w:space="0" w:color="auto"/>
      </w:divBdr>
    </w:div>
    <w:div w:id="129058739">
      <w:marLeft w:val="0"/>
      <w:marRight w:val="0"/>
      <w:marTop w:val="0"/>
      <w:marBottom w:val="0"/>
      <w:divBdr>
        <w:top w:val="none" w:sz="0" w:space="0" w:color="auto"/>
        <w:left w:val="none" w:sz="0" w:space="0" w:color="auto"/>
        <w:bottom w:val="none" w:sz="0" w:space="0" w:color="auto"/>
        <w:right w:val="none" w:sz="0" w:space="0" w:color="auto"/>
      </w:divBdr>
    </w:div>
    <w:div w:id="129058740">
      <w:marLeft w:val="0"/>
      <w:marRight w:val="0"/>
      <w:marTop w:val="0"/>
      <w:marBottom w:val="0"/>
      <w:divBdr>
        <w:top w:val="none" w:sz="0" w:space="0" w:color="auto"/>
        <w:left w:val="none" w:sz="0" w:space="0" w:color="auto"/>
        <w:bottom w:val="none" w:sz="0" w:space="0" w:color="auto"/>
        <w:right w:val="none" w:sz="0" w:space="0" w:color="auto"/>
      </w:divBdr>
    </w:div>
    <w:div w:id="129058741">
      <w:marLeft w:val="0"/>
      <w:marRight w:val="0"/>
      <w:marTop w:val="0"/>
      <w:marBottom w:val="0"/>
      <w:divBdr>
        <w:top w:val="none" w:sz="0" w:space="0" w:color="auto"/>
        <w:left w:val="none" w:sz="0" w:space="0" w:color="auto"/>
        <w:bottom w:val="none" w:sz="0" w:space="0" w:color="auto"/>
        <w:right w:val="none" w:sz="0" w:space="0" w:color="auto"/>
      </w:divBdr>
    </w:div>
    <w:div w:id="56086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fridmanwork.com/lawyers5798.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www.nevo.co.il/Law_word/law14/LAW-1667.pdf" TargetMode="External"/><Relationship Id="rId1" Type="http://schemas.openxmlformats.org/officeDocument/2006/relationships/hyperlink" Target="http://www.nevo.co.il/Law_word/law14/LAW-166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fNumber xmlns="d2589617-2f74-4077-aee7-f516ed6393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מסמך" ma:contentTypeID="0x010100161B5BAE19C0A94ABF7F052772C71F14" ma:contentTypeVersion="1" ma:contentTypeDescription="צור מסמך חדש." ma:contentTypeScope="" ma:versionID="4c4e7c02a57e54f45d23c2b2cc14d8d5">
  <xsd:schema xmlns:xsd="http://www.w3.org/2001/XMLSchema" xmlns:p="http://schemas.microsoft.com/office/2006/metadata/properties" xmlns:ns2="d2589617-2f74-4077-aee7-f516ed639388" targetNamespace="http://schemas.microsoft.com/office/2006/metadata/properties" ma:root="true" ma:fieldsID="07cad186b484ecc037a0bd5112bdf38e" ns2:_="">
    <xsd:import namespace="d2589617-2f74-4077-aee7-f516ed639388"/>
    <xsd:element name="properties">
      <xsd:complexType>
        <xsd:sequence>
          <xsd:element name="documentManagement">
            <xsd:complexType>
              <xsd:all>
                <xsd:element ref="ns2:RefNumber" minOccurs="0"/>
              </xsd:all>
            </xsd:complexType>
          </xsd:element>
        </xsd:sequence>
      </xsd:complexType>
    </xsd:element>
  </xsd:schema>
  <xsd:schema xmlns:xsd="http://www.w3.org/2001/XMLSchema" xmlns:dms="http://schemas.microsoft.com/office/2006/documentManagement/types" targetNamespace="d2589617-2f74-4077-aee7-f516ed639388" elementFormDefault="qualified">
    <xsd:import namespace="http://schemas.microsoft.com/office/2006/documentManagement/types"/>
    <xsd:element name="RefNumber" ma:index="8" nillable="true" ma:displayName="RefNumber" ma:description="מס' טופס" ma:internalName="Ref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ma:readOnly="true"/>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03B22-43EE-4CB8-9507-B8EE619386D9}">
  <ds:schemaRefs>
    <ds:schemaRef ds:uri="http://schemas.microsoft.com/office/2006/metadata/properties"/>
    <ds:schemaRef ds:uri="http://www.w3.org/XML/1998/namespace"/>
    <ds:schemaRef ds:uri="http://schemas.openxmlformats.org/package/2006/metadata/core-properties"/>
    <ds:schemaRef ds:uri="d2589617-2f74-4077-aee7-f516ed639388"/>
    <ds:schemaRef ds:uri="http://schemas.microsoft.com/office/2006/documentManagement/types"/>
    <ds:schemaRef ds:uri="http://purl.org/dc/terms/"/>
    <ds:schemaRef ds:uri="http://purl.org/dc/elements/1.1/"/>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35384F59-BE3F-4500-8107-4D4A0A878B37}">
  <ds:schemaRefs>
    <ds:schemaRef ds:uri="http://schemas.microsoft.com/sharepoint/v3/contenttype/forms"/>
  </ds:schemaRefs>
</ds:datastoreItem>
</file>

<file path=customXml/itemProps3.xml><?xml version="1.0" encoding="utf-8"?>
<ds:datastoreItem xmlns:ds="http://schemas.openxmlformats.org/officeDocument/2006/customXml" ds:itemID="{6BC3EA4F-3881-4586-84A0-23623BAD8C92}">
  <ds:schemaRefs>
    <ds:schemaRef ds:uri="http://schemas.microsoft.com/office/2006/metadata/longProperties"/>
  </ds:schemaRefs>
</ds:datastoreItem>
</file>

<file path=customXml/itemProps4.xml><?xml version="1.0" encoding="utf-8"?>
<ds:datastoreItem xmlns:ds="http://schemas.openxmlformats.org/officeDocument/2006/customXml" ds:itemID="{9B1DCD7D-6168-4663-8522-B5C1BE353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589617-2f74-4077-aee7-f516ed63938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EAEBFFE-0E17-428E-A8B8-2BFAC89DF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2998</Words>
  <Characters>14037</Characters>
  <Application>Microsoft Office Word</Application>
  <DocSecurity>0</DocSecurity>
  <Lines>116</Lines>
  <Paragraphs>34</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תבנית חקיקה 30 11 11.doc</vt:lpstr>
      <vt:lpstr>תבנית חקיקה 30 11 11.doc</vt:lpstr>
    </vt:vector>
  </TitlesOfParts>
  <Company>MNI</Company>
  <LinksUpToDate>false</LinksUpToDate>
  <CharactersWithSpaces>17001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תבנית חקיקה 30 11 11.doc</dc:title>
  <dc:creator>עינב</dc:creator>
  <cp:lastModifiedBy>Melita Shafir</cp:lastModifiedBy>
  <cp:revision>2</cp:revision>
  <cp:lastPrinted>2016-11-22T12:34:00Z</cp:lastPrinted>
  <dcterms:created xsi:type="dcterms:W3CDTF">2016-11-22T12:36:00Z</dcterms:created>
  <dcterms:modified xsi:type="dcterms:W3CDTF">2016-11-22T12:36:00Z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תבנית חקיקה 30 11 11.doc</vt:lpwstr>
  </property>
  <property fmtid="{D5CDD505-2E9C-101B-9397-08002B2CF9AE}" pid="3" name="display_urn:schemas-microsoft-com:office:office#Editor">
    <vt:lpwstr>חשבון מערכת</vt:lpwstr>
  </property>
  <property fmtid="{D5CDD505-2E9C-101B-9397-08002B2CF9AE}" pid="4" name="xd_Signature">
    <vt:lpwstr/>
  </property>
  <property fmtid="{D5CDD505-2E9C-101B-9397-08002B2CF9AE}" pid="5" name="display_urn:schemas-microsoft-com:office:office#Author">
    <vt:lpwstr>חשבון מערכת</vt:lpwstr>
  </property>
  <property fmtid="{D5CDD505-2E9C-101B-9397-08002B2CF9AE}" pid="6" name="TemplateUrl">
    <vt:lpwstr/>
  </property>
  <property fmtid="{D5CDD505-2E9C-101B-9397-08002B2CF9AE}" pid="7" name="xd_ProgID">
    <vt:lpwstr/>
  </property>
  <property fmtid="{D5CDD505-2E9C-101B-9397-08002B2CF9AE}" pid="8" name="ContentTypeId">
    <vt:lpwstr>0x01010034AA3CC870903E44ABBA2C3DB528C81E</vt:lpwstr>
  </property>
  <property fmtid="{D5CDD505-2E9C-101B-9397-08002B2CF9AE}" pid="9" name="_SourceUrl">
    <vt:lpwstr/>
  </property>
  <property fmtid="{D5CDD505-2E9C-101B-9397-08002B2CF9AE}" pid="10" name="_SharedFileIndex">
    <vt:lpwstr/>
  </property>
</Properties>
</file>