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A4" w:rsidRPr="005A57B3" w:rsidRDefault="00F73F36" w:rsidP="00DB4076">
      <w:pPr>
        <w:spacing w:before="240" w:after="240"/>
        <w:contextualSpacing/>
        <w:jc w:val="both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5A57B3">
        <w:rPr>
          <w:rFonts w:cs="David" w:hint="cs"/>
          <w:b/>
          <w:bCs/>
          <w:sz w:val="32"/>
          <w:szCs w:val="32"/>
          <w:u w:val="single"/>
          <w:rtl/>
        </w:rPr>
        <w:t>דברי מנהל בתי המשפט</w:t>
      </w:r>
      <w:r w:rsidR="00B824EF" w:rsidRPr="005A57B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824EF" w:rsidRPr="005A57B3">
        <w:rPr>
          <w:rFonts w:cs="David"/>
          <w:b/>
          <w:bCs/>
          <w:sz w:val="32"/>
          <w:szCs w:val="32"/>
          <w:u w:val="single"/>
          <w:rtl/>
        </w:rPr>
        <w:t>–</w:t>
      </w:r>
      <w:r w:rsidR="00DB4076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824EF" w:rsidRPr="005A57B3">
        <w:rPr>
          <w:rFonts w:cs="David" w:hint="cs"/>
          <w:b/>
          <w:bCs/>
          <w:sz w:val="32"/>
          <w:szCs w:val="32"/>
          <w:u w:val="single"/>
          <w:rtl/>
        </w:rPr>
        <w:t xml:space="preserve">כנס </w:t>
      </w:r>
      <w:r w:rsidR="005A57B3">
        <w:rPr>
          <w:rFonts w:cs="David" w:hint="cs"/>
          <w:b/>
          <w:bCs/>
          <w:sz w:val="32"/>
          <w:szCs w:val="32"/>
          <w:u w:val="single"/>
          <w:rtl/>
        </w:rPr>
        <w:t>השק</w:t>
      </w:r>
      <w:r w:rsidR="00DB4076">
        <w:rPr>
          <w:rFonts w:cs="David" w:hint="cs"/>
          <w:b/>
          <w:bCs/>
          <w:sz w:val="32"/>
          <w:szCs w:val="32"/>
          <w:u w:val="single"/>
          <w:rtl/>
        </w:rPr>
        <w:t>ת</w:t>
      </w:r>
      <w:r w:rsidR="005A57B3">
        <w:rPr>
          <w:rFonts w:cs="David" w:hint="cs"/>
          <w:b/>
          <w:bCs/>
          <w:sz w:val="32"/>
          <w:szCs w:val="32"/>
          <w:u w:val="single"/>
          <w:rtl/>
        </w:rPr>
        <w:t xml:space="preserve"> תוכנית אסטרטגית</w:t>
      </w:r>
      <w:r w:rsidR="00B824EF" w:rsidRPr="005A57B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315C55" w:rsidRPr="005A57B3">
        <w:rPr>
          <w:rFonts w:cs="David" w:hint="cs"/>
          <w:b/>
          <w:bCs/>
          <w:sz w:val="32"/>
          <w:szCs w:val="32"/>
          <w:u w:val="single"/>
          <w:rtl/>
        </w:rPr>
        <w:t>17</w:t>
      </w:r>
      <w:r w:rsidR="00B824EF" w:rsidRPr="005A57B3">
        <w:rPr>
          <w:rFonts w:cs="David" w:hint="cs"/>
          <w:b/>
          <w:bCs/>
          <w:sz w:val="32"/>
          <w:szCs w:val="32"/>
          <w:u w:val="single"/>
          <w:rtl/>
        </w:rPr>
        <w:t>.</w:t>
      </w:r>
      <w:r w:rsidR="00315C55" w:rsidRPr="005A57B3">
        <w:rPr>
          <w:rFonts w:cs="David" w:hint="cs"/>
          <w:b/>
          <w:bCs/>
          <w:sz w:val="32"/>
          <w:szCs w:val="32"/>
          <w:u w:val="single"/>
          <w:rtl/>
        </w:rPr>
        <w:t>9</w:t>
      </w:r>
      <w:r w:rsidR="00B824EF" w:rsidRPr="005A57B3">
        <w:rPr>
          <w:rFonts w:cs="David" w:hint="cs"/>
          <w:b/>
          <w:bCs/>
          <w:sz w:val="32"/>
          <w:szCs w:val="32"/>
          <w:u w:val="single"/>
          <w:rtl/>
        </w:rPr>
        <w:t>.2015</w:t>
      </w:r>
    </w:p>
    <w:p w:rsidR="00B824EF" w:rsidRPr="005A57B3" w:rsidRDefault="00B824EF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F73F36" w:rsidRPr="005A57B3" w:rsidRDefault="00001CB3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>נשיא</w:t>
      </w:r>
      <w:r w:rsidR="00833842" w:rsidRPr="005A57B3">
        <w:rPr>
          <w:rFonts w:cs="David" w:hint="cs"/>
          <w:sz w:val="32"/>
          <w:szCs w:val="32"/>
          <w:rtl/>
        </w:rPr>
        <w:t>ת</w:t>
      </w:r>
      <w:r w:rsidRPr="005A57B3">
        <w:rPr>
          <w:rFonts w:cs="David" w:hint="cs"/>
          <w:sz w:val="32"/>
          <w:szCs w:val="32"/>
          <w:rtl/>
        </w:rPr>
        <w:t xml:space="preserve"> בית משפט העליון כב' השופט</w:t>
      </w:r>
      <w:r w:rsidR="00315C55" w:rsidRPr="005A57B3">
        <w:rPr>
          <w:rFonts w:cs="David" w:hint="cs"/>
          <w:sz w:val="32"/>
          <w:szCs w:val="32"/>
          <w:rtl/>
        </w:rPr>
        <w:t>ת</w:t>
      </w:r>
      <w:r w:rsidRPr="005A57B3">
        <w:rPr>
          <w:rFonts w:cs="David" w:hint="cs"/>
          <w:sz w:val="32"/>
          <w:szCs w:val="32"/>
          <w:rtl/>
        </w:rPr>
        <w:t xml:space="preserve"> מרים נאור, </w:t>
      </w:r>
      <w:r w:rsidR="00315C55" w:rsidRPr="005A57B3">
        <w:rPr>
          <w:rFonts w:cs="David" w:hint="cs"/>
          <w:sz w:val="32"/>
          <w:szCs w:val="32"/>
          <w:rtl/>
        </w:rPr>
        <w:t xml:space="preserve">שרת המשפטים גב' איילת שקד, </w:t>
      </w:r>
      <w:r w:rsidRPr="005A57B3">
        <w:rPr>
          <w:rFonts w:cs="David" w:hint="cs"/>
          <w:sz w:val="32"/>
          <w:szCs w:val="32"/>
          <w:rtl/>
        </w:rPr>
        <w:t>נשיאים ונשיאות, שופטים ושופטות, קציני מטה, מנהלי מחוזות, מזכירים ראשיים</w:t>
      </w:r>
      <w:r w:rsidR="00DB4076">
        <w:rPr>
          <w:rFonts w:cs="David" w:hint="cs"/>
          <w:sz w:val="32"/>
          <w:szCs w:val="32"/>
          <w:rtl/>
        </w:rPr>
        <w:t>,</w:t>
      </w:r>
      <w:r w:rsidRPr="005A57B3">
        <w:rPr>
          <w:rFonts w:cs="David" w:hint="cs"/>
          <w:sz w:val="32"/>
          <w:szCs w:val="32"/>
          <w:rtl/>
        </w:rPr>
        <w:t xml:space="preserve"> </w:t>
      </w:r>
      <w:r w:rsidR="00315C55" w:rsidRPr="005A57B3">
        <w:rPr>
          <w:rFonts w:cs="David" w:hint="cs"/>
          <w:sz w:val="32"/>
          <w:szCs w:val="32"/>
          <w:rtl/>
        </w:rPr>
        <w:t xml:space="preserve">סגנים </w:t>
      </w:r>
      <w:r w:rsidRPr="005A57B3">
        <w:rPr>
          <w:rFonts w:cs="David" w:hint="cs"/>
          <w:sz w:val="32"/>
          <w:szCs w:val="32"/>
          <w:rtl/>
        </w:rPr>
        <w:t>וחברי צוותי יישום.</w:t>
      </w:r>
    </w:p>
    <w:p w:rsidR="005A57B3" w:rsidRDefault="005A57B3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C37A0E" w:rsidRPr="005A57B3" w:rsidRDefault="00C37A0E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 xml:space="preserve">לפני כשנה התכנסנו באולם זה </w:t>
      </w:r>
      <w:r w:rsidR="005031F4" w:rsidRPr="005A57B3">
        <w:rPr>
          <w:rFonts w:cs="David" w:hint="cs"/>
          <w:sz w:val="32"/>
          <w:szCs w:val="32"/>
          <w:rtl/>
        </w:rPr>
        <w:t>כדי</w:t>
      </w:r>
      <w:r w:rsidRPr="005A57B3">
        <w:rPr>
          <w:rFonts w:cs="David" w:hint="cs"/>
          <w:sz w:val="32"/>
          <w:szCs w:val="32"/>
          <w:rtl/>
        </w:rPr>
        <w:t xml:space="preserve"> להתניע את המהלך המשמעותי והמרכזי במערכת בתי המשפט לשנים הבאות</w:t>
      </w:r>
      <w:r w:rsidR="005031F4" w:rsidRPr="005A57B3">
        <w:rPr>
          <w:rFonts w:cs="David" w:hint="cs"/>
          <w:sz w:val="32"/>
          <w:szCs w:val="32"/>
          <w:rtl/>
        </w:rPr>
        <w:t xml:space="preserve"> </w:t>
      </w:r>
      <w:r w:rsidR="005031F4" w:rsidRPr="005A57B3">
        <w:rPr>
          <w:rFonts w:cs="David"/>
          <w:sz w:val="32"/>
          <w:szCs w:val="32"/>
          <w:rtl/>
        </w:rPr>
        <w:t>–</w:t>
      </w:r>
      <w:r w:rsidR="005031F4" w:rsidRPr="005A57B3">
        <w:rPr>
          <w:rFonts w:cs="David" w:hint="cs"/>
          <w:sz w:val="32"/>
          <w:szCs w:val="32"/>
          <w:rtl/>
        </w:rPr>
        <w:t xml:space="preserve"> </w:t>
      </w:r>
      <w:r w:rsidRPr="005A57B3">
        <w:rPr>
          <w:rFonts w:cs="David" w:hint="cs"/>
          <w:sz w:val="32"/>
          <w:szCs w:val="32"/>
          <w:rtl/>
        </w:rPr>
        <w:t>התוכנית האסטרטגית.</w:t>
      </w:r>
    </w:p>
    <w:p w:rsidR="00A260FD" w:rsidRPr="005A57B3" w:rsidRDefault="00A260FD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C37A0E" w:rsidRPr="005A57B3" w:rsidRDefault="00C37A0E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>אין זה סוד</w:t>
      </w:r>
      <w:r w:rsidR="00DA3634" w:rsidRPr="005A57B3">
        <w:rPr>
          <w:rFonts w:cs="David" w:hint="cs"/>
          <w:sz w:val="32"/>
          <w:szCs w:val="32"/>
          <w:rtl/>
        </w:rPr>
        <w:t>,</w:t>
      </w:r>
      <w:r w:rsidRPr="005A57B3">
        <w:rPr>
          <w:rFonts w:cs="David" w:hint="cs"/>
          <w:sz w:val="32"/>
          <w:szCs w:val="32"/>
          <w:rtl/>
        </w:rPr>
        <w:t xml:space="preserve"> כי רבים מאתנו הטילו ספק באפשרות שמערכת בתי המשפט תוביל</w:t>
      </w:r>
      <w:r w:rsidR="00A260FD" w:rsidRPr="005A57B3">
        <w:rPr>
          <w:rFonts w:cs="David" w:hint="cs"/>
          <w:sz w:val="32"/>
          <w:szCs w:val="32"/>
          <w:rtl/>
        </w:rPr>
        <w:t>,</w:t>
      </w:r>
      <w:r w:rsidRPr="005A57B3">
        <w:rPr>
          <w:rFonts w:cs="David" w:hint="cs"/>
          <w:sz w:val="32"/>
          <w:szCs w:val="32"/>
          <w:rtl/>
        </w:rPr>
        <w:t xml:space="preserve"> תניע ותכיל שינוי </w:t>
      </w:r>
      <w:r w:rsidR="00A260FD" w:rsidRPr="005A57B3">
        <w:rPr>
          <w:rFonts w:cs="David" w:hint="cs"/>
          <w:sz w:val="32"/>
          <w:szCs w:val="32"/>
          <w:rtl/>
        </w:rPr>
        <w:t>דרמתי</w:t>
      </w:r>
      <w:r w:rsidR="00C12CE4" w:rsidRPr="005A57B3">
        <w:rPr>
          <w:rFonts w:cs="David" w:hint="cs"/>
          <w:sz w:val="32"/>
          <w:szCs w:val="32"/>
          <w:rtl/>
        </w:rPr>
        <w:t>,</w:t>
      </w:r>
      <w:r w:rsidR="00A260FD" w:rsidRPr="005A57B3">
        <w:rPr>
          <w:rFonts w:cs="David" w:hint="cs"/>
          <w:sz w:val="32"/>
          <w:szCs w:val="32"/>
          <w:rtl/>
        </w:rPr>
        <w:t xml:space="preserve"> </w:t>
      </w:r>
      <w:r w:rsidRPr="005A57B3">
        <w:rPr>
          <w:rFonts w:cs="David" w:hint="cs"/>
          <w:sz w:val="32"/>
          <w:szCs w:val="32"/>
          <w:rtl/>
        </w:rPr>
        <w:t>מרכזי ומשמעותי</w:t>
      </w:r>
      <w:r w:rsidR="00DA3634" w:rsidRPr="005A57B3">
        <w:rPr>
          <w:rFonts w:cs="David" w:hint="cs"/>
          <w:sz w:val="32"/>
          <w:szCs w:val="32"/>
          <w:rtl/>
        </w:rPr>
        <w:t xml:space="preserve"> כמו זה העומד בפתחינו</w:t>
      </w:r>
      <w:r w:rsidRPr="005A57B3">
        <w:rPr>
          <w:rFonts w:cs="David" w:hint="cs"/>
          <w:sz w:val="32"/>
          <w:szCs w:val="32"/>
          <w:rtl/>
        </w:rPr>
        <w:t>.</w:t>
      </w:r>
    </w:p>
    <w:p w:rsidR="00C37A0E" w:rsidRPr="005A57B3" w:rsidRDefault="00C37A0E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F73F36" w:rsidRPr="005A57B3" w:rsidRDefault="00C37A0E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 xml:space="preserve">היה ברור </w:t>
      </w:r>
      <w:r w:rsidR="00C12CE4" w:rsidRPr="005A57B3">
        <w:rPr>
          <w:rFonts w:cs="David" w:hint="cs"/>
          <w:sz w:val="32"/>
          <w:szCs w:val="32"/>
          <w:rtl/>
        </w:rPr>
        <w:t>לנו</w:t>
      </w:r>
      <w:r w:rsidRPr="005A57B3">
        <w:rPr>
          <w:rFonts w:cs="David" w:hint="cs"/>
          <w:sz w:val="32"/>
          <w:szCs w:val="32"/>
          <w:rtl/>
        </w:rPr>
        <w:t xml:space="preserve"> כי רק באמצעות </w:t>
      </w:r>
      <w:r w:rsidR="00F73F36" w:rsidRPr="005A57B3">
        <w:rPr>
          <w:rFonts w:cs="David" w:hint="cs"/>
          <w:sz w:val="32"/>
          <w:szCs w:val="32"/>
          <w:rtl/>
        </w:rPr>
        <w:t>ראייה מפו</w:t>
      </w:r>
      <w:r w:rsidR="00724351" w:rsidRPr="005A57B3">
        <w:rPr>
          <w:rFonts w:cs="David" w:hint="cs"/>
          <w:sz w:val="32"/>
          <w:szCs w:val="32"/>
          <w:rtl/>
        </w:rPr>
        <w:t>כ</w:t>
      </w:r>
      <w:r w:rsidR="00F73F36" w:rsidRPr="005A57B3">
        <w:rPr>
          <w:rFonts w:cs="David" w:hint="cs"/>
          <w:sz w:val="32"/>
          <w:szCs w:val="32"/>
          <w:rtl/>
        </w:rPr>
        <w:t xml:space="preserve">חת </w:t>
      </w:r>
      <w:r w:rsidR="00724351" w:rsidRPr="005A57B3">
        <w:rPr>
          <w:rFonts w:cs="David" w:hint="cs"/>
          <w:sz w:val="32"/>
          <w:szCs w:val="32"/>
          <w:rtl/>
        </w:rPr>
        <w:t xml:space="preserve">של </w:t>
      </w:r>
      <w:r w:rsidR="00F73F36" w:rsidRPr="005A57B3">
        <w:rPr>
          <w:rFonts w:cs="David" w:hint="cs"/>
          <w:sz w:val="32"/>
          <w:szCs w:val="32"/>
          <w:rtl/>
        </w:rPr>
        <w:t xml:space="preserve">עוצמות </w:t>
      </w:r>
      <w:r w:rsidR="005031F4" w:rsidRPr="005A57B3">
        <w:rPr>
          <w:rFonts w:cs="David" w:hint="cs"/>
          <w:sz w:val="32"/>
          <w:szCs w:val="32"/>
          <w:rtl/>
        </w:rPr>
        <w:t>מערכת בתי המשפט</w:t>
      </w:r>
      <w:r w:rsidR="00724351" w:rsidRPr="005A57B3">
        <w:rPr>
          <w:rFonts w:cs="David" w:hint="cs"/>
          <w:sz w:val="32"/>
          <w:szCs w:val="32"/>
          <w:rtl/>
        </w:rPr>
        <w:t>,</w:t>
      </w:r>
      <w:r w:rsidR="005031F4" w:rsidRPr="005A57B3">
        <w:rPr>
          <w:rFonts w:cs="David" w:hint="cs"/>
          <w:sz w:val="32"/>
          <w:szCs w:val="32"/>
          <w:rtl/>
        </w:rPr>
        <w:t xml:space="preserve"> </w:t>
      </w:r>
      <w:r w:rsidR="00DA3634" w:rsidRPr="005A57B3">
        <w:rPr>
          <w:rFonts w:cs="David" w:hint="cs"/>
          <w:sz w:val="32"/>
          <w:szCs w:val="32"/>
          <w:rtl/>
        </w:rPr>
        <w:t>הכרה ב</w:t>
      </w:r>
      <w:r w:rsidR="008B7D75" w:rsidRPr="005A57B3">
        <w:rPr>
          <w:rFonts w:cs="David" w:hint="cs"/>
          <w:sz w:val="32"/>
          <w:szCs w:val="32"/>
          <w:rtl/>
        </w:rPr>
        <w:t xml:space="preserve">מחסור </w:t>
      </w:r>
      <w:r w:rsidR="001A564A" w:rsidRPr="005A57B3">
        <w:rPr>
          <w:rFonts w:cs="David" w:hint="cs"/>
          <w:sz w:val="32"/>
          <w:szCs w:val="32"/>
          <w:rtl/>
        </w:rPr>
        <w:t>ב</w:t>
      </w:r>
      <w:r w:rsidR="008B7D75" w:rsidRPr="005A57B3">
        <w:rPr>
          <w:rFonts w:cs="David" w:hint="cs"/>
          <w:sz w:val="32"/>
          <w:szCs w:val="32"/>
          <w:rtl/>
        </w:rPr>
        <w:t>משאבי</w:t>
      </w:r>
      <w:r w:rsidR="005031F4" w:rsidRPr="005A57B3">
        <w:rPr>
          <w:rFonts w:cs="David" w:hint="cs"/>
          <w:sz w:val="32"/>
          <w:szCs w:val="32"/>
          <w:rtl/>
        </w:rPr>
        <w:t>ה</w:t>
      </w:r>
      <w:r w:rsidR="00724351" w:rsidRPr="005A57B3">
        <w:rPr>
          <w:rFonts w:cs="David" w:hint="cs"/>
          <w:sz w:val="32"/>
          <w:szCs w:val="32"/>
          <w:rtl/>
        </w:rPr>
        <w:t>,</w:t>
      </w:r>
      <w:r w:rsidR="008B7D75" w:rsidRPr="005A57B3">
        <w:rPr>
          <w:rFonts w:cs="David" w:hint="cs"/>
          <w:sz w:val="32"/>
          <w:szCs w:val="32"/>
          <w:rtl/>
        </w:rPr>
        <w:t xml:space="preserve"> אל מול הא</w:t>
      </w:r>
      <w:r w:rsidR="00A260FD" w:rsidRPr="005A57B3">
        <w:rPr>
          <w:rFonts w:cs="David" w:hint="cs"/>
          <w:sz w:val="32"/>
          <w:szCs w:val="32"/>
          <w:rtl/>
        </w:rPr>
        <w:t>תגרים</w:t>
      </w:r>
      <w:r w:rsidR="00724351" w:rsidRPr="005A57B3">
        <w:rPr>
          <w:rFonts w:cs="David" w:hint="cs"/>
          <w:sz w:val="32"/>
          <w:szCs w:val="32"/>
          <w:rtl/>
        </w:rPr>
        <w:t>,</w:t>
      </w:r>
      <w:r w:rsidR="00A260FD" w:rsidRPr="005A57B3">
        <w:rPr>
          <w:rFonts w:cs="David" w:hint="cs"/>
          <w:sz w:val="32"/>
          <w:szCs w:val="32"/>
          <w:rtl/>
        </w:rPr>
        <w:t xml:space="preserve"> המטרות והיעדים</w:t>
      </w:r>
      <w:r w:rsidR="00DB4076">
        <w:rPr>
          <w:rFonts w:cs="David" w:hint="cs"/>
          <w:sz w:val="32"/>
          <w:szCs w:val="32"/>
          <w:rtl/>
        </w:rPr>
        <w:t xml:space="preserve"> מולם היא ניצבת,</w:t>
      </w:r>
      <w:r w:rsidR="00724351" w:rsidRPr="005A57B3">
        <w:rPr>
          <w:rFonts w:cs="David" w:hint="cs"/>
          <w:sz w:val="32"/>
          <w:szCs w:val="32"/>
          <w:rtl/>
        </w:rPr>
        <w:t xml:space="preserve"> ניתן לצאת לדרך. והכל תוך</w:t>
      </w:r>
      <w:r w:rsidR="00A260FD" w:rsidRPr="005A57B3">
        <w:rPr>
          <w:rFonts w:cs="David" w:hint="cs"/>
          <w:sz w:val="32"/>
          <w:szCs w:val="32"/>
          <w:rtl/>
        </w:rPr>
        <w:t xml:space="preserve"> </w:t>
      </w:r>
      <w:r w:rsidR="008B7D75" w:rsidRPr="005A57B3">
        <w:rPr>
          <w:rFonts w:cs="David" w:hint="cs"/>
          <w:sz w:val="32"/>
          <w:szCs w:val="32"/>
          <w:rtl/>
        </w:rPr>
        <w:t xml:space="preserve">שיתוף </w:t>
      </w:r>
      <w:r w:rsidR="00724351" w:rsidRPr="005A57B3">
        <w:rPr>
          <w:rFonts w:cs="David" w:hint="cs"/>
          <w:sz w:val="32"/>
          <w:szCs w:val="32"/>
          <w:rtl/>
        </w:rPr>
        <w:t xml:space="preserve">פעולה </w:t>
      </w:r>
      <w:r w:rsidR="008B7D75" w:rsidRPr="005A57B3">
        <w:rPr>
          <w:rFonts w:cs="David" w:hint="cs"/>
          <w:sz w:val="32"/>
          <w:szCs w:val="32"/>
          <w:rtl/>
        </w:rPr>
        <w:t>וקיום דיאלוג בין כלל הגורמים במערכת</w:t>
      </w:r>
      <w:r w:rsidR="00DA3634" w:rsidRPr="005A57B3">
        <w:rPr>
          <w:rFonts w:cs="David" w:hint="cs"/>
          <w:sz w:val="32"/>
          <w:szCs w:val="32"/>
          <w:rtl/>
        </w:rPr>
        <w:t>,</w:t>
      </w:r>
      <w:r w:rsidR="008B7D75" w:rsidRPr="005A57B3">
        <w:rPr>
          <w:rFonts w:cs="David" w:hint="cs"/>
          <w:sz w:val="32"/>
          <w:szCs w:val="32"/>
          <w:rtl/>
        </w:rPr>
        <w:t xml:space="preserve"> </w:t>
      </w:r>
      <w:r w:rsidR="00B824EF" w:rsidRPr="005A57B3">
        <w:rPr>
          <w:rFonts w:cs="David" w:hint="cs"/>
          <w:sz w:val="32"/>
          <w:szCs w:val="32"/>
          <w:rtl/>
        </w:rPr>
        <w:t xml:space="preserve">החל משלב התכנון </w:t>
      </w:r>
      <w:r w:rsidR="00A260FD" w:rsidRPr="005A57B3">
        <w:rPr>
          <w:rFonts w:cs="David" w:hint="cs"/>
          <w:sz w:val="32"/>
          <w:szCs w:val="32"/>
          <w:rtl/>
        </w:rPr>
        <w:t>ועד לשלב היישום</w:t>
      </w:r>
      <w:r w:rsidR="00724351" w:rsidRPr="005A57B3">
        <w:rPr>
          <w:rFonts w:cs="David" w:hint="cs"/>
          <w:sz w:val="32"/>
          <w:szCs w:val="32"/>
          <w:rtl/>
        </w:rPr>
        <w:t xml:space="preserve">. </w:t>
      </w:r>
    </w:p>
    <w:p w:rsidR="005031F4" w:rsidRPr="005A57B3" w:rsidRDefault="005031F4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5A57B3" w:rsidRPr="005A57B3" w:rsidRDefault="005031F4" w:rsidP="00DB4076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cs="David"/>
          <w:rtl/>
        </w:rPr>
      </w:pPr>
      <w:r w:rsidRPr="005A57B3">
        <w:rPr>
          <w:rFonts w:cs="David"/>
          <w:sz w:val="32"/>
          <w:szCs w:val="32"/>
          <w:rtl/>
        </w:rPr>
        <w:t xml:space="preserve">כבר </w:t>
      </w:r>
      <w:r w:rsidRPr="005A57B3">
        <w:rPr>
          <w:rFonts w:cs="David" w:hint="cs"/>
          <w:sz w:val="32"/>
          <w:szCs w:val="32"/>
          <w:rtl/>
        </w:rPr>
        <w:t>בשלבים הראשונים של הה</w:t>
      </w:r>
      <w:r w:rsidR="00724351" w:rsidRPr="005A57B3">
        <w:rPr>
          <w:rFonts w:cs="David" w:hint="cs"/>
          <w:sz w:val="32"/>
          <w:szCs w:val="32"/>
          <w:rtl/>
        </w:rPr>
        <w:t>י</w:t>
      </w:r>
      <w:r w:rsidRPr="005A57B3">
        <w:rPr>
          <w:rFonts w:cs="David" w:hint="cs"/>
          <w:sz w:val="32"/>
          <w:szCs w:val="32"/>
          <w:rtl/>
        </w:rPr>
        <w:t>ערכות לקראת</w:t>
      </w:r>
      <w:r w:rsidRPr="005A57B3">
        <w:rPr>
          <w:rFonts w:cs="David"/>
          <w:sz w:val="32"/>
          <w:szCs w:val="32"/>
          <w:rtl/>
        </w:rPr>
        <w:t xml:space="preserve"> </w:t>
      </w:r>
      <w:r w:rsidRPr="005A57B3">
        <w:rPr>
          <w:rFonts w:cs="David" w:hint="cs"/>
          <w:sz w:val="32"/>
          <w:szCs w:val="32"/>
          <w:rtl/>
        </w:rPr>
        <w:t>ה</w:t>
      </w:r>
      <w:r w:rsidRPr="005A57B3">
        <w:rPr>
          <w:rFonts w:cs="David"/>
          <w:sz w:val="32"/>
          <w:szCs w:val="32"/>
          <w:rtl/>
        </w:rPr>
        <w:t xml:space="preserve">תוכנית האסטרטגית הבהרנו לנציגות העובדים, </w:t>
      </w:r>
      <w:r w:rsidRPr="005A57B3">
        <w:rPr>
          <w:rFonts w:cs="David" w:hint="cs"/>
          <w:sz w:val="32"/>
          <w:szCs w:val="32"/>
          <w:rtl/>
        </w:rPr>
        <w:t xml:space="preserve">שנמצאת כאן היום, </w:t>
      </w:r>
      <w:r w:rsidRPr="005A57B3">
        <w:rPr>
          <w:rFonts w:cs="David"/>
          <w:sz w:val="32"/>
          <w:szCs w:val="32"/>
          <w:rtl/>
        </w:rPr>
        <w:t xml:space="preserve">כי אנו רואים </w:t>
      </w:r>
      <w:r w:rsidR="00DB4076">
        <w:rPr>
          <w:rFonts w:cs="David" w:hint="cs"/>
          <w:sz w:val="32"/>
          <w:szCs w:val="32"/>
          <w:rtl/>
        </w:rPr>
        <w:t>בעובדים</w:t>
      </w:r>
      <w:r w:rsidRPr="005A57B3">
        <w:rPr>
          <w:rFonts w:cs="David"/>
          <w:sz w:val="32"/>
          <w:szCs w:val="32"/>
          <w:rtl/>
        </w:rPr>
        <w:t xml:space="preserve"> שותפ</w:t>
      </w:r>
      <w:r w:rsidR="00DB4076">
        <w:rPr>
          <w:rFonts w:cs="David" w:hint="cs"/>
          <w:sz w:val="32"/>
          <w:szCs w:val="32"/>
          <w:rtl/>
        </w:rPr>
        <w:t>ים</w:t>
      </w:r>
      <w:r w:rsidRPr="005A57B3">
        <w:rPr>
          <w:rFonts w:cs="David"/>
          <w:sz w:val="32"/>
          <w:szCs w:val="32"/>
          <w:rtl/>
        </w:rPr>
        <w:t xml:space="preserve"> מלאים</w:t>
      </w:r>
      <w:r w:rsidRPr="005A57B3">
        <w:rPr>
          <w:rFonts w:cs="David" w:hint="cs"/>
          <w:sz w:val="32"/>
          <w:szCs w:val="32"/>
          <w:rtl/>
        </w:rPr>
        <w:t xml:space="preserve"> </w:t>
      </w:r>
      <w:r w:rsidRPr="005A57B3">
        <w:rPr>
          <w:rFonts w:cs="David"/>
          <w:sz w:val="32"/>
          <w:szCs w:val="32"/>
          <w:rtl/>
        </w:rPr>
        <w:t>למה</w:t>
      </w:r>
      <w:r w:rsidRPr="005A57B3">
        <w:rPr>
          <w:rFonts w:cs="David" w:hint="cs"/>
          <w:sz w:val="32"/>
          <w:szCs w:val="32"/>
          <w:rtl/>
        </w:rPr>
        <w:t>ל</w:t>
      </w:r>
      <w:r w:rsidR="00724351" w:rsidRPr="005A57B3">
        <w:rPr>
          <w:rFonts w:cs="David" w:hint="cs"/>
          <w:sz w:val="32"/>
          <w:szCs w:val="32"/>
          <w:rtl/>
        </w:rPr>
        <w:t>ך</w:t>
      </w:r>
      <w:r w:rsidRPr="005A57B3">
        <w:rPr>
          <w:rFonts w:cs="David" w:hint="cs"/>
          <w:sz w:val="32"/>
          <w:szCs w:val="32"/>
          <w:rtl/>
        </w:rPr>
        <w:t xml:space="preserve"> וגורם מרכזי להצלחתו</w:t>
      </w:r>
      <w:r w:rsidR="005A57B3" w:rsidRPr="005A57B3">
        <w:rPr>
          <w:rFonts w:cs="David"/>
        </w:rPr>
        <w:t xml:space="preserve"> </w:t>
      </w:r>
      <w:r w:rsidRPr="005A57B3">
        <w:rPr>
          <w:rFonts w:cs="David"/>
        </w:rPr>
        <w:t>.</w:t>
      </w:r>
      <w:r w:rsidR="005A57B3" w:rsidRPr="005A57B3">
        <w:rPr>
          <w:rFonts w:cs="David" w:hint="cs"/>
          <w:rtl/>
        </w:rPr>
        <w:t xml:space="preserve"> </w:t>
      </w:r>
    </w:p>
    <w:p w:rsidR="00A260FD" w:rsidRPr="005A57B3" w:rsidRDefault="005031F4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cs="David"/>
          <w:b/>
          <w:bCs/>
          <w:sz w:val="32"/>
          <w:szCs w:val="32"/>
          <w:u w:val="single"/>
          <w:rtl/>
        </w:rPr>
      </w:pPr>
      <w:r w:rsidRPr="005A57B3">
        <w:rPr>
          <w:rFonts w:cs="David"/>
        </w:rPr>
        <w:br/>
      </w:r>
      <w:r w:rsidR="00A260FD" w:rsidRPr="005A57B3">
        <w:rPr>
          <w:rFonts w:cs="David" w:hint="cs"/>
          <w:b/>
          <w:bCs/>
          <w:sz w:val="32"/>
          <w:szCs w:val="32"/>
          <w:u w:val="single"/>
          <w:rtl/>
        </w:rPr>
        <w:t xml:space="preserve">כך </w:t>
      </w:r>
      <w:r w:rsidR="00724351" w:rsidRPr="005A57B3">
        <w:rPr>
          <w:rFonts w:cs="David" w:hint="cs"/>
          <w:b/>
          <w:bCs/>
          <w:sz w:val="32"/>
          <w:szCs w:val="32"/>
          <w:u w:val="single"/>
          <w:rtl/>
        </w:rPr>
        <w:t>נהגנו</w:t>
      </w:r>
      <w:r w:rsidR="00A260FD" w:rsidRPr="005A57B3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724351" w:rsidRPr="005A57B3">
        <w:rPr>
          <w:rFonts w:cs="David" w:hint="cs"/>
          <w:b/>
          <w:bCs/>
          <w:sz w:val="32"/>
          <w:szCs w:val="32"/>
          <w:u w:val="single"/>
          <w:rtl/>
        </w:rPr>
        <w:t>וכך עוד ננהג</w:t>
      </w:r>
      <w:r w:rsidR="00A260FD" w:rsidRPr="005A57B3">
        <w:rPr>
          <w:rFonts w:cs="David" w:hint="cs"/>
          <w:b/>
          <w:bCs/>
          <w:sz w:val="32"/>
          <w:szCs w:val="32"/>
          <w:u w:val="single"/>
          <w:rtl/>
        </w:rPr>
        <w:t>.</w:t>
      </w:r>
    </w:p>
    <w:p w:rsidR="00A260FD" w:rsidRPr="005A57B3" w:rsidRDefault="00A260FD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A260FD" w:rsidRPr="005A57B3" w:rsidRDefault="00F73F36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 xml:space="preserve">האתגר </w:t>
      </w:r>
      <w:r w:rsidR="00A260FD" w:rsidRPr="005A57B3">
        <w:rPr>
          <w:rFonts w:cs="David" w:hint="cs"/>
          <w:sz w:val="32"/>
          <w:szCs w:val="32"/>
          <w:rtl/>
        </w:rPr>
        <w:t>הראשון</w:t>
      </w:r>
      <w:r w:rsidRPr="005A57B3">
        <w:rPr>
          <w:rFonts w:cs="David" w:hint="cs"/>
          <w:sz w:val="32"/>
          <w:szCs w:val="32"/>
          <w:rtl/>
        </w:rPr>
        <w:t xml:space="preserve"> </w:t>
      </w:r>
      <w:r w:rsidR="00724351" w:rsidRPr="005A57B3">
        <w:rPr>
          <w:rFonts w:cs="David" w:hint="cs"/>
          <w:sz w:val="32"/>
          <w:szCs w:val="32"/>
          <w:rtl/>
        </w:rPr>
        <w:t xml:space="preserve">שעמד בפנינו </w:t>
      </w:r>
      <w:r w:rsidR="00724351" w:rsidRPr="005A57B3">
        <w:rPr>
          <w:rFonts w:cs="David"/>
          <w:sz w:val="32"/>
          <w:szCs w:val="32"/>
          <w:rtl/>
        </w:rPr>
        <w:t>–</w:t>
      </w:r>
      <w:r w:rsidR="00724351" w:rsidRPr="005A57B3">
        <w:rPr>
          <w:rFonts w:cs="David" w:hint="cs"/>
          <w:sz w:val="32"/>
          <w:szCs w:val="32"/>
          <w:rtl/>
        </w:rPr>
        <w:t xml:space="preserve"> </w:t>
      </w:r>
      <w:r w:rsidR="008B7D75" w:rsidRPr="005A57B3">
        <w:rPr>
          <w:rFonts w:cs="David" w:hint="cs"/>
          <w:sz w:val="32"/>
          <w:szCs w:val="32"/>
          <w:rtl/>
        </w:rPr>
        <w:t xml:space="preserve">התכנון </w:t>
      </w:r>
      <w:r w:rsidR="00A260FD" w:rsidRPr="005A57B3">
        <w:rPr>
          <w:rFonts w:cs="David" w:hint="cs"/>
          <w:sz w:val="32"/>
          <w:szCs w:val="32"/>
          <w:rtl/>
        </w:rPr>
        <w:t>האסטרטגי ו</w:t>
      </w:r>
      <w:r w:rsidR="00724351" w:rsidRPr="005A57B3">
        <w:rPr>
          <w:rFonts w:cs="David" w:hint="cs"/>
          <w:sz w:val="32"/>
          <w:szCs w:val="32"/>
          <w:rtl/>
        </w:rPr>
        <w:t xml:space="preserve">גיבוש </w:t>
      </w:r>
      <w:r w:rsidR="00A260FD" w:rsidRPr="005A57B3">
        <w:rPr>
          <w:rFonts w:cs="David" w:hint="cs"/>
          <w:sz w:val="32"/>
          <w:szCs w:val="32"/>
          <w:rtl/>
        </w:rPr>
        <w:t xml:space="preserve">המלצות של </w:t>
      </w:r>
      <w:r w:rsidR="008B7D75" w:rsidRPr="005A57B3">
        <w:rPr>
          <w:rFonts w:cs="David" w:hint="cs"/>
          <w:sz w:val="32"/>
          <w:szCs w:val="32"/>
          <w:rtl/>
        </w:rPr>
        <w:t>צוותי היישום</w:t>
      </w:r>
      <w:r w:rsidR="00A260FD" w:rsidRPr="005A57B3">
        <w:rPr>
          <w:rFonts w:cs="David" w:hint="cs"/>
          <w:sz w:val="32"/>
          <w:szCs w:val="32"/>
          <w:rtl/>
        </w:rPr>
        <w:t>- תם ונשלם.</w:t>
      </w:r>
    </w:p>
    <w:p w:rsidR="00F73F36" w:rsidRPr="005A57B3" w:rsidRDefault="00A260FD" w:rsidP="007A3209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 xml:space="preserve">כעת </w:t>
      </w:r>
      <w:r w:rsidR="00724351" w:rsidRPr="005A57B3">
        <w:rPr>
          <w:rFonts w:cs="David" w:hint="cs"/>
          <w:sz w:val="32"/>
          <w:szCs w:val="32"/>
          <w:rtl/>
        </w:rPr>
        <w:t xml:space="preserve">אנו ניצבים לפני </w:t>
      </w:r>
      <w:r w:rsidR="00C12CE4" w:rsidRPr="005A57B3">
        <w:rPr>
          <w:rFonts w:cs="David" w:hint="cs"/>
          <w:sz w:val="32"/>
          <w:szCs w:val="32"/>
          <w:rtl/>
        </w:rPr>
        <w:t>אישור ההמלצות על ידי נשיאת בית משפט העליו</w:t>
      </w:r>
      <w:r w:rsidR="007A3209">
        <w:rPr>
          <w:rFonts w:cs="David" w:hint="cs"/>
          <w:sz w:val="32"/>
          <w:szCs w:val="32"/>
          <w:rtl/>
        </w:rPr>
        <w:t>ן</w:t>
      </w:r>
      <w:r w:rsidR="00C12CE4" w:rsidRPr="005A57B3">
        <w:rPr>
          <w:rFonts w:cs="David" w:hint="cs"/>
          <w:sz w:val="32"/>
          <w:szCs w:val="32"/>
          <w:rtl/>
        </w:rPr>
        <w:t xml:space="preserve"> ו</w:t>
      </w:r>
      <w:r w:rsidR="00F73F36" w:rsidRPr="005A57B3">
        <w:rPr>
          <w:rFonts w:cs="David" w:hint="cs"/>
          <w:sz w:val="32"/>
          <w:szCs w:val="32"/>
          <w:rtl/>
        </w:rPr>
        <w:t>החשוב מכל</w:t>
      </w:r>
      <w:r w:rsidR="005A57B3">
        <w:rPr>
          <w:rFonts w:cs="David" w:hint="cs"/>
          <w:sz w:val="32"/>
          <w:szCs w:val="32"/>
          <w:rtl/>
        </w:rPr>
        <w:t xml:space="preserve"> </w:t>
      </w:r>
      <w:r w:rsidR="005A57B3">
        <w:rPr>
          <w:rFonts w:cs="David"/>
          <w:sz w:val="32"/>
          <w:szCs w:val="32"/>
          <w:rtl/>
        </w:rPr>
        <w:t>–</w:t>
      </w:r>
      <w:r w:rsidR="005A57B3">
        <w:rPr>
          <w:rFonts w:cs="David" w:hint="cs"/>
          <w:sz w:val="32"/>
          <w:szCs w:val="32"/>
          <w:rtl/>
        </w:rPr>
        <w:t xml:space="preserve"> </w:t>
      </w:r>
      <w:r w:rsidR="00F73F36" w:rsidRPr="005A57B3">
        <w:rPr>
          <w:rFonts w:cs="David" w:hint="cs"/>
          <w:sz w:val="32"/>
          <w:szCs w:val="32"/>
          <w:rtl/>
        </w:rPr>
        <w:t xml:space="preserve">הביצוע והיישום של יעדי התוכנית </w:t>
      </w:r>
      <w:r w:rsidR="00C12CE4" w:rsidRPr="005A57B3">
        <w:rPr>
          <w:rFonts w:cs="David" w:hint="cs"/>
          <w:sz w:val="32"/>
          <w:szCs w:val="32"/>
          <w:rtl/>
        </w:rPr>
        <w:t>והוצאתה</w:t>
      </w:r>
      <w:r w:rsidR="00F73F36" w:rsidRPr="005A57B3">
        <w:rPr>
          <w:rFonts w:cs="David" w:hint="cs"/>
          <w:sz w:val="32"/>
          <w:szCs w:val="32"/>
          <w:rtl/>
        </w:rPr>
        <w:t xml:space="preserve"> לפועל</w:t>
      </w:r>
      <w:r w:rsidR="00C12CE4" w:rsidRPr="005A57B3">
        <w:rPr>
          <w:rFonts w:cs="David" w:hint="cs"/>
          <w:sz w:val="32"/>
          <w:szCs w:val="32"/>
          <w:rtl/>
        </w:rPr>
        <w:t>.</w:t>
      </w:r>
      <w:r w:rsidR="00F73F36" w:rsidRPr="005A57B3">
        <w:rPr>
          <w:rFonts w:cs="David" w:hint="cs"/>
          <w:sz w:val="32"/>
          <w:szCs w:val="32"/>
          <w:rtl/>
        </w:rPr>
        <w:t xml:space="preserve"> </w:t>
      </w:r>
    </w:p>
    <w:p w:rsidR="00C12CE4" w:rsidRPr="005A57B3" w:rsidRDefault="00C12CE4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8B7D75" w:rsidRPr="005A57B3" w:rsidRDefault="008B7D7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lastRenderedPageBreak/>
        <w:t xml:space="preserve">סוד הצלחתה של התוכנית </w:t>
      </w:r>
      <w:r w:rsidR="00C12CE4" w:rsidRPr="005A57B3">
        <w:rPr>
          <w:rFonts w:cs="David" w:hint="cs"/>
          <w:sz w:val="32"/>
          <w:szCs w:val="32"/>
          <w:rtl/>
        </w:rPr>
        <w:t>מתבסס</w:t>
      </w:r>
      <w:r w:rsidRPr="005A57B3">
        <w:rPr>
          <w:rFonts w:cs="David" w:hint="cs"/>
          <w:sz w:val="32"/>
          <w:szCs w:val="32"/>
          <w:rtl/>
        </w:rPr>
        <w:t xml:space="preserve"> בעיקר על העמדת תשתיות וכלי עבודה ראויים לכל שופט</w:t>
      </w:r>
      <w:r w:rsidR="005A57B3" w:rsidRPr="005A57B3">
        <w:rPr>
          <w:rFonts w:cs="David" w:hint="cs"/>
          <w:sz w:val="32"/>
          <w:szCs w:val="32"/>
          <w:rtl/>
        </w:rPr>
        <w:t>.</w:t>
      </w:r>
      <w:r w:rsidRPr="005A57B3">
        <w:rPr>
          <w:rFonts w:cs="David" w:hint="cs"/>
          <w:sz w:val="32"/>
          <w:szCs w:val="32"/>
          <w:rtl/>
        </w:rPr>
        <w:t xml:space="preserve"> </w:t>
      </w:r>
      <w:r w:rsidR="005A57B3" w:rsidRPr="005A57B3">
        <w:rPr>
          <w:rFonts w:cs="David" w:hint="cs"/>
          <w:sz w:val="32"/>
          <w:szCs w:val="32"/>
          <w:rtl/>
        </w:rPr>
        <w:t>אלה</w:t>
      </w:r>
      <w:r w:rsidRPr="005A57B3">
        <w:rPr>
          <w:rFonts w:cs="David" w:hint="cs"/>
          <w:sz w:val="32"/>
          <w:szCs w:val="32"/>
          <w:rtl/>
        </w:rPr>
        <w:t xml:space="preserve"> </w:t>
      </w:r>
      <w:r w:rsidR="005A57B3" w:rsidRPr="005A57B3">
        <w:rPr>
          <w:rFonts w:cs="David" w:hint="cs"/>
          <w:sz w:val="32"/>
          <w:szCs w:val="32"/>
          <w:rtl/>
        </w:rPr>
        <w:t xml:space="preserve">יביאו </w:t>
      </w:r>
      <w:r w:rsidRPr="005A57B3">
        <w:rPr>
          <w:rFonts w:cs="David" w:hint="cs"/>
          <w:sz w:val="32"/>
          <w:szCs w:val="32"/>
          <w:rtl/>
        </w:rPr>
        <w:t>להתייעלות משמעותית בעבודת המערכת</w:t>
      </w:r>
      <w:r w:rsidR="007A3209">
        <w:rPr>
          <w:rFonts w:cs="David" w:hint="cs"/>
          <w:sz w:val="32"/>
          <w:szCs w:val="32"/>
          <w:rtl/>
        </w:rPr>
        <w:t xml:space="preserve">, </w:t>
      </w:r>
      <w:r w:rsidRPr="005A57B3">
        <w:rPr>
          <w:rFonts w:cs="David" w:hint="cs"/>
          <w:sz w:val="32"/>
          <w:szCs w:val="32"/>
          <w:rtl/>
        </w:rPr>
        <w:t>קיצור משך ח</w:t>
      </w:r>
      <w:r w:rsidR="00B824EF" w:rsidRPr="005A57B3">
        <w:rPr>
          <w:rFonts w:cs="David" w:hint="cs"/>
          <w:sz w:val="32"/>
          <w:szCs w:val="32"/>
          <w:rtl/>
        </w:rPr>
        <w:t>יי מאות אלפי התיקים המתנהלים</w:t>
      </w:r>
      <w:r w:rsidR="00DB4076">
        <w:rPr>
          <w:rFonts w:cs="David" w:hint="cs"/>
          <w:sz w:val="32"/>
          <w:szCs w:val="32"/>
          <w:rtl/>
        </w:rPr>
        <w:t>,</w:t>
      </w:r>
      <w:r w:rsidR="00B824EF" w:rsidRPr="005A57B3">
        <w:rPr>
          <w:rFonts w:cs="David" w:hint="cs"/>
          <w:sz w:val="32"/>
          <w:szCs w:val="32"/>
          <w:rtl/>
        </w:rPr>
        <w:t xml:space="preserve"> </w:t>
      </w:r>
      <w:r w:rsidR="005A57B3" w:rsidRPr="005A57B3">
        <w:rPr>
          <w:rFonts w:cs="David" w:hint="cs"/>
          <w:sz w:val="32"/>
          <w:szCs w:val="32"/>
          <w:rtl/>
        </w:rPr>
        <w:t>ו</w:t>
      </w:r>
      <w:r w:rsidR="007A3209">
        <w:rPr>
          <w:rFonts w:cs="David" w:hint="cs"/>
          <w:sz w:val="32"/>
          <w:szCs w:val="32"/>
          <w:rtl/>
        </w:rPr>
        <w:t>ל</w:t>
      </w:r>
      <w:r w:rsidR="005A57B3" w:rsidRPr="005A57B3">
        <w:rPr>
          <w:rFonts w:cs="David" w:hint="cs"/>
          <w:sz w:val="32"/>
          <w:szCs w:val="32"/>
          <w:rtl/>
        </w:rPr>
        <w:t xml:space="preserve">שיפור השירות הניתן </w:t>
      </w:r>
      <w:r w:rsidR="00B824EF" w:rsidRPr="005A57B3">
        <w:rPr>
          <w:rFonts w:cs="David" w:hint="cs"/>
          <w:sz w:val="32"/>
          <w:szCs w:val="32"/>
          <w:rtl/>
        </w:rPr>
        <w:t>לציבור המתדיינים.</w:t>
      </w:r>
    </w:p>
    <w:p w:rsidR="001A564A" w:rsidRPr="005A57B3" w:rsidRDefault="001A564A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ascii="Times New Roman" w:eastAsia="Times New Roman" w:hAnsi="Times New Roman" w:cs="David"/>
          <w:sz w:val="32"/>
          <w:szCs w:val="32"/>
          <w:rtl/>
          <w:lang w:eastAsia="he-IL"/>
        </w:rPr>
      </w:pPr>
    </w:p>
    <w:p w:rsidR="00C12CE4" w:rsidRPr="005A57B3" w:rsidRDefault="008B7D75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cs="David"/>
          <w:sz w:val="32"/>
          <w:szCs w:val="32"/>
          <w:rtl/>
        </w:rPr>
      </w:pP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השגת יעדי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 xml:space="preserve"> התוכנית</w:t>
      </w: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 xml:space="preserve"> 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מהווה</w:t>
      </w: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 xml:space="preserve"> הזדמנות לכולנו להוביל את מערכת המשפט לה</w:t>
      </w:r>
      <w:r w:rsidR="007A3209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י</w:t>
      </w: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ערכות מיטבית להתמו</w:t>
      </w:r>
      <w:r w:rsidR="00C12CE4"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דדות עם האתגרים העומדים בפנינו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 xml:space="preserve"> ובכך, </w:t>
      </w:r>
      <w:r w:rsidR="00C12CE4" w:rsidRPr="005A57B3">
        <w:rPr>
          <w:rFonts w:cs="David" w:hint="cs"/>
          <w:sz w:val="32"/>
          <w:szCs w:val="32"/>
          <w:rtl/>
        </w:rPr>
        <w:t xml:space="preserve">למצב את מערכת המשפט כגוף יעיל ומשיא ערך למערך השפיטה, לעורכי הדין ולציבור בעלי הדין. </w:t>
      </w:r>
    </w:p>
    <w:p w:rsidR="00C12CE4" w:rsidRPr="005A57B3" w:rsidRDefault="00C12CE4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C12CE4" w:rsidRPr="005A57B3" w:rsidRDefault="00B824EF" w:rsidP="005A57B3">
      <w:pPr>
        <w:spacing w:before="240" w:after="240" w:line="360" w:lineRule="auto"/>
        <w:contextualSpacing/>
        <w:jc w:val="both"/>
        <w:rPr>
          <w:rFonts w:ascii="Times New Roman" w:eastAsia="Times New Roman" w:hAnsi="Times New Roman" w:cs="David"/>
          <w:sz w:val="32"/>
          <w:szCs w:val="32"/>
          <w:rtl/>
          <w:lang w:eastAsia="he-IL"/>
        </w:rPr>
      </w:pPr>
      <w:r w:rsidRPr="005A57B3">
        <w:rPr>
          <w:rFonts w:cs="David" w:hint="cs"/>
          <w:sz w:val="32"/>
          <w:szCs w:val="32"/>
          <w:rtl/>
        </w:rPr>
        <w:t>בהזדמנות זו אני רוצה להודות לכל אח</w:t>
      </w:r>
      <w:r w:rsidR="00DA3634" w:rsidRPr="005A57B3">
        <w:rPr>
          <w:rFonts w:cs="David" w:hint="cs"/>
          <w:sz w:val="32"/>
          <w:szCs w:val="32"/>
          <w:rtl/>
        </w:rPr>
        <w:t>ת</w:t>
      </w:r>
      <w:r w:rsidRPr="005A57B3">
        <w:rPr>
          <w:rFonts w:cs="David" w:hint="cs"/>
          <w:sz w:val="32"/>
          <w:szCs w:val="32"/>
          <w:rtl/>
        </w:rPr>
        <w:t xml:space="preserve"> ואח</w:t>
      </w:r>
      <w:r w:rsidR="00DA3634" w:rsidRPr="005A57B3">
        <w:rPr>
          <w:rFonts w:cs="David" w:hint="cs"/>
          <w:sz w:val="32"/>
          <w:szCs w:val="32"/>
          <w:rtl/>
        </w:rPr>
        <w:t>ד</w:t>
      </w:r>
      <w:r w:rsidRPr="005A57B3">
        <w:rPr>
          <w:rFonts w:cs="David" w:hint="cs"/>
          <w:sz w:val="32"/>
          <w:szCs w:val="32"/>
          <w:rtl/>
        </w:rPr>
        <w:t xml:space="preserve"> </w:t>
      </w:r>
      <w:r w:rsidR="00DA3634" w:rsidRPr="005A57B3">
        <w:rPr>
          <w:rFonts w:cs="David" w:hint="cs"/>
          <w:sz w:val="32"/>
          <w:szCs w:val="32"/>
          <w:rtl/>
        </w:rPr>
        <w:t>מכם</w:t>
      </w:r>
      <w:r w:rsidR="005A57B3" w:rsidRPr="005A57B3">
        <w:rPr>
          <w:rFonts w:cs="David" w:hint="cs"/>
          <w:sz w:val="32"/>
          <w:szCs w:val="32"/>
          <w:rtl/>
        </w:rPr>
        <w:t>.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 xml:space="preserve"> 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נפעמנו כולנו מהמחויבות ומהמעורבות של כלל השו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ת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פים והגורמים מבית, נשיאים, שופטים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,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 xml:space="preserve"> מנהלים, קציני מטה ועובדים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.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 xml:space="preserve"> כולם יחד נרתמו כאיש אחד </w:t>
      </w:r>
      <w:r w:rsidR="00C12CE4"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והתגייסו לקח</w:t>
      </w:r>
      <w:r w:rsidR="005A57B3"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ת חלק בהבניית התוכנית האסטרטגית</w:t>
      </w:r>
      <w:r w:rsidR="005A57B3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 xml:space="preserve">. </w:t>
      </w:r>
      <w:r w:rsidR="00C12CE4"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זאת בנוסף למשימות השו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ט</w:t>
      </w:r>
      <w:r w:rsidR="00C12CE4"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 xml:space="preserve">פות והעומסים המוטלים עליכם בעבודה </w:t>
      </w:r>
      <w:r w:rsidR="005031F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ה</w:t>
      </w:r>
      <w:r w:rsidR="00C12CE4"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יומיומית</w:t>
      </w:r>
      <w:r w:rsidR="00C12CE4"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.</w:t>
      </w:r>
    </w:p>
    <w:p w:rsidR="005031F4" w:rsidRPr="005A57B3" w:rsidRDefault="005031F4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ascii="Times New Roman" w:eastAsia="Times New Roman" w:hAnsi="Times New Roman" w:cs="David"/>
          <w:sz w:val="32"/>
          <w:szCs w:val="32"/>
          <w:rtl/>
          <w:lang w:eastAsia="he-IL"/>
        </w:rPr>
      </w:pPr>
    </w:p>
    <w:p w:rsidR="00C12CE4" w:rsidRPr="005A57B3" w:rsidRDefault="00C12CE4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ascii="Times New Roman" w:eastAsia="Times New Roman" w:hAnsi="Times New Roman" w:cs="David"/>
          <w:sz w:val="32"/>
          <w:szCs w:val="32"/>
          <w:rtl/>
          <w:lang w:eastAsia="he-IL"/>
        </w:rPr>
      </w:pP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>המחויבות והמעורבות שגיל</w:t>
      </w:r>
      <w:r w:rsidR="007A3209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י</w:t>
      </w: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 xml:space="preserve">תם, היא אבן יסוד בתשתית בניין התוכנית ותנאי </w:t>
      </w:r>
      <w:r w:rsidRPr="005A57B3">
        <w:rPr>
          <w:rFonts w:ascii="Times New Roman" w:eastAsia="Times New Roman" w:hAnsi="Times New Roman" w:cs="David" w:hint="cs"/>
          <w:sz w:val="32"/>
          <w:szCs w:val="32"/>
          <w:rtl/>
          <w:lang w:eastAsia="he-IL"/>
        </w:rPr>
        <w:t>מרכזי</w:t>
      </w:r>
      <w:r w:rsidRPr="005A57B3">
        <w:rPr>
          <w:rFonts w:ascii="Times New Roman" w:eastAsia="Times New Roman" w:hAnsi="Times New Roman" w:cs="David"/>
          <w:sz w:val="32"/>
          <w:szCs w:val="32"/>
          <w:rtl/>
          <w:lang w:eastAsia="he-IL"/>
        </w:rPr>
        <w:t xml:space="preserve"> להצלחה ועל כך שאו ברכה.</w:t>
      </w:r>
    </w:p>
    <w:p w:rsidR="005031F4" w:rsidRPr="005A57B3" w:rsidRDefault="005031F4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ascii="Times New Roman" w:eastAsia="Times New Roman" w:hAnsi="Times New Roman" w:cs="David"/>
          <w:b/>
          <w:bCs/>
          <w:sz w:val="32"/>
          <w:szCs w:val="32"/>
          <w:rtl/>
          <w:lang w:eastAsia="he-IL"/>
        </w:rPr>
      </w:pPr>
    </w:p>
    <w:p w:rsidR="00C12CE4" w:rsidRPr="005A57B3" w:rsidRDefault="00C12CE4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cs="David"/>
          <w:b/>
          <w:bCs/>
          <w:sz w:val="24"/>
          <w:rtl/>
        </w:rPr>
      </w:pPr>
      <w:r w:rsidRPr="005A57B3">
        <w:rPr>
          <w:rFonts w:ascii="Times New Roman" w:eastAsia="Times New Roman" w:hAnsi="Times New Roman" w:cs="David"/>
          <w:b/>
          <w:bCs/>
          <w:sz w:val="32"/>
          <w:szCs w:val="32"/>
          <w:rtl/>
          <w:lang w:eastAsia="he-IL"/>
        </w:rPr>
        <w:t>אנ</w:t>
      </w:r>
      <w:r w:rsidRPr="005A57B3">
        <w:rPr>
          <w:rFonts w:ascii="Times New Roman" w:eastAsia="Times New Roman" w:hAnsi="Times New Roman" w:cs="David" w:hint="cs"/>
          <w:b/>
          <w:bCs/>
          <w:sz w:val="32"/>
          <w:szCs w:val="32"/>
          <w:rtl/>
          <w:lang w:eastAsia="he-IL"/>
        </w:rPr>
        <w:t xml:space="preserve">י </w:t>
      </w:r>
      <w:r w:rsidRPr="005A57B3">
        <w:rPr>
          <w:rFonts w:ascii="Times New Roman" w:eastAsia="Times New Roman" w:hAnsi="Times New Roman" w:cs="David"/>
          <w:b/>
          <w:bCs/>
          <w:sz w:val="32"/>
          <w:szCs w:val="32"/>
          <w:rtl/>
          <w:lang w:eastAsia="he-IL"/>
        </w:rPr>
        <w:t>מודה לכולכם על תרומתכם הרבה</w:t>
      </w:r>
      <w:r w:rsidRPr="005A57B3">
        <w:rPr>
          <w:rFonts w:ascii="Times New Roman" w:eastAsia="Times New Roman" w:hAnsi="Times New Roman" w:cs="David" w:hint="cs"/>
          <w:b/>
          <w:bCs/>
          <w:sz w:val="32"/>
          <w:szCs w:val="32"/>
          <w:rtl/>
          <w:lang w:eastAsia="he-IL"/>
        </w:rPr>
        <w:t xml:space="preserve"> ו</w:t>
      </w:r>
      <w:r w:rsidRPr="005A57B3">
        <w:rPr>
          <w:rFonts w:ascii="Times New Roman" w:eastAsia="Times New Roman" w:hAnsi="Times New Roman" w:cs="David"/>
          <w:b/>
          <w:bCs/>
          <w:sz w:val="32"/>
          <w:szCs w:val="32"/>
          <w:rtl/>
          <w:lang w:eastAsia="he-IL"/>
        </w:rPr>
        <w:t>יישר כ</w:t>
      </w:r>
      <w:r w:rsidRPr="005A57B3">
        <w:rPr>
          <w:rFonts w:ascii="Times New Roman" w:eastAsia="Times New Roman" w:hAnsi="Times New Roman" w:cs="David" w:hint="cs"/>
          <w:b/>
          <w:bCs/>
          <w:sz w:val="32"/>
          <w:szCs w:val="32"/>
          <w:rtl/>
          <w:lang w:eastAsia="he-IL"/>
        </w:rPr>
        <w:t>ו</w:t>
      </w:r>
      <w:r w:rsidRPr="005A57B3">
        <w:rPr>
          <w:rFonts w:ascii="Times New Roman" w:eastAsia="Times New Roman" w:hAnsi="Times New Roman" w:cs="David"/>
          <w:b/>
          <w:bCs/>
          <w:sz w:val="32"/>
          <w:szCs w:val="32"/>
          <w:rtl/>
          <w:lang w:eastAsia="he-IL"/>
        </w:rPr>
        <w:t>ח</w:t>
      </w:r>
      <w:r w:rsidRPr="005A57B3">
        <w:rPr>
          <w:rFonts w:ascii="Times New Roman" w:eastAsia="Times New Roman" w:hAnsi="Times New Roman" w:cs="David" w:hint="cs"/>
          <w:b/>
          <w:bCs/>
          <w:sz w:val="32"/>
          <w:szCs w:val="32"/>
          <w:rtl/>
          <w:lang w:eastAsia="he-IL"/>
        </w:rPr>
        <w:t xml:space="preserve"> על העשייה</w:t>
      </w:r>
      <w:r w:rsidR="005031F4" w:rsidRPr="005A57B3">
        <w:rPr>
          <w:rFonts w:ascii="Times New Roman" w:eastAsia="Times New Roman" w:hAnsi="Times New Roman" w:cs="David" w:hint="cs"/>
          <w:b/>
          <w:bCs/>
          <w:sz w:val="32"/>
          <w:szCs w:val="32"/>
          <w:rtl/>
          <w:lang w:eastAsia="he-IL"/>
        </w:rPr>
        <w:t>.</w:t>
      </w:r>
      <w:r w:rsidRPr="005A57B3">
        <w:rPr>
          <w:rFonts w:cs="David" w:hint="cs"/>
          <w:b/>
          <w:bCs/>
          <w:sz w:val="24"/>
          <w:rtl/>
        </w:rPr>
        <w:tab/>
      </w:r>
      <w:r w:rsidRPr="005A57B3">
        <w:rPr>
          <w:rFonts w:cs="David" w:hint="cs"/>
          <w:b/>
          <w:bCs/>
          <w:sz w:val="24"/>
          <w:rtl/>
        </w:rPr>
        <w:tab/>
      </w:r>
    </w:p>
    <w:p w:rsidR="001A564A" w:rsidRPr="005A57B3" w:rsidRDefault="001A564A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315C55" w:rsidRPr="005A57B3" w:rsidRDefault="00315C55" w:rsidP="007A3209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 xml:space="preserve">אני רוצה לסיים בדברי כב' השופט </w:t>
      </w:r>
      <w:r w:rsidR="005A57B3" w:rsidRPr="005A57B3">
        <w:rPr>
          <w:rFonts w:cs="David" w:hint="cs"/>
          <w:sz w:val="32"/>
          <w:szCs w:val="32"/>
          <w:rtl/>
        </w:rPr>
        <w:t xml:space="preserve">אהרון </w:t>
      </w:r>
      <w:r w:rsidRPr="005A57B3">
        <w:rPr>
          <w:rFonts w:cs="David" w:hint="cs"/>
          <w:sz w:val="32"/>
          <w:szCs w:val="32"/>
          <w:rtl/>
        </w:rPr>
        <w:t>ברק (</w:t>
      </w:r>
      <w:r w:rsidR="007A3209">
        <w:rPr>
          <w:rFonts w:cs="David" w:hint="cs"/>
          <w:sz w:val="32"/>
          <w:szCs w:val="32"/>
          <w:rtl/>
        </w:rPr>
        <w:t>כ</w:t>
      </w:r>
      <w:r w:rsidRPr="005A57B3">
        <w:rPr>
          <w:rFonts w:cs="David" w:hint="cs"/>
          <w:sz w:val="32"/>
          <w:szCs w:val="32"/>
          <w:rtl/>
        </w:rPr>
        <w:t xml:space="preserve">תוארו אז) </w:t>
      </w:r>
      <w:r w:rsidRPr="005A57B3">
        <w:rPr>
          <w:rFonts w:cs="David" w:hint="cs"/>
          <w:b/>
          <w:bCs/>
          <w:sz w:val="32"/>
          <w:szCs w:val="32"/>
          <w:rtl/>
        </w:rPr>
        <w:t xml:space="preserve">בפס"ד אבנר בוסקילה נ' שאול צמח, </w:t>
      </w:r>
      <w:r w:rsidRPr="005A57B3">
        <w:rPr>
          <w:rFonts w:cs="David" w:hint="cs"/>
          <w:sz w:val="32"/>
          <w:szCs w:val="32"/>
          <w:rtl/>
        </w:rPr>
        <w:t>פס"ד מרתק הדן באיזון שבין השיקולים התומכים בדין קיים והשוללים סטייה ממנו, לבין השיקולים המצדיקים את השינוי במישור הנורמאטיבי.</w:t>
      </w:r>
    </w:p>
    <w:p w:rsidR="00DA3634" w:rsidRPr="005A57B3" w:rsidRDefault="00DA3634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315C55" w:rsidRPr="005A57B3" w:rsidRDefault="00315C55" w:rsidP="005A57B3">
      <w:pPr>
        <w:spacing w:before="240" w:after="240" w:line="360" w:lineRule="auto"/>
        <w:ind w:left="720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t>"...</w:t>
      </w:r>
      <w:r w:rsidRPr="005A57B3">
        <w:rPr>
          <w:rFonts w:cs="David" w:hint="cs"/>
          <w:b/>
          <w:bCs/>
          <w:sz w:val="32"/>
          <w:szCs w:val="32"/>
          <w:rtl/>
        </w:rPr>
        <w:t xml:space="preserve">כמו הנשר בשמיים השומר על יציבותו רק כאשר הוא בתנועה, כך גם המשפט יהא יציב, רק כאשר הוא ינוע..." </w:t>
      </w: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DA3634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 w:rsidRPr="005A57B3">
        <w:rPr>
          <w:rFonts w:cs="David" w:hint="cs"/>
          <w:sz w:val="32"/>
          <w:szCs w:val="32"/>
          <w:rtl/>
        </w:rPr>
        <w:lastRenderedPageBreak/>
        <w:t xml:space="preserve">כך גם אנו נפעל להניע </w:t>
      </w:r>
      <w:r w:rsidR="007A3209">
        <w:rPr>
          <w:rFonts w:cs="David" w:hint="cs"/>
          <w:sz w:val="32"/>
          <w:szCs w:val="32"/>
          <w:rtl/>
        </w:rPr>
        <w:t>את מערכת ב</w:t>
      </w:r>
      <w:r w:rsidRPr="005A57B3">
        <w:rPr>
          <w:rFonts w:cs="David" w:hint="cs"/>
          <w:sz w:val="32"/>
          <w:szCs w:val="32"/>
          <w:rtl/>
        </w:rPr>
        <w:t>ת</w:t>
      </w:r>
      <w:r w:rsidR="007A3209">
        <w:rPr>
          <w:rFonts w:cs="David" w:hint="cs"/>
          <w:sz w:val="32"/>
          <w:szCs w:val="32"/>
          <w:rtl/>
        </w:rPr>
        <w:t>י</w:t>
      </w:r>
      <w:r w:rsidRPr="005A57B3">
        <w:rPr>
          <w:rFonts w:cs="David" w:hint="cs"/>
          <w:sz w:val="32"/>
          <w:szCs w:val="32"/>
          <w:rtl/>
        </w:rPr>
        <w:t xml:space="preserve"> המשפט קדימה</w:t>
      </w:r>
      <w:r w:rsidR="00DA3634" w:rsidRPr="005A57B3">
        <w:rPr>
          <w:rFonts w:cs="David" w:hint="cs"/>
          <w:sz w:val="32"/>
          <w:szCs w:val="32"/>
          <w:rtl/>
        </w:rPr>
        <w:t>.</w:t>
      </w:r>
      <w:r w:rsidR="005031F4" w:rsidRPr="005A57B3">
        <w:rPr>
          <w:rFonts w:cs="David" w:hint="cs"/>
          <w:sz w:val="32"/>
          <w:szCs w:val="32"/>
          <w:rtl/>
        </w:rPr>
        <w:t xml:space="preserve"> </w:t>
      </w:r>
      <w:r w:rsidR="00DA3634" w:rsidRPr="005A57B3">
        <w:rPr>
          <w:rFonts w:cs="David" w:hint="cs"/>
          <w:sz w:val="32"/>
          <w:szCs w:val="32"/>
          <w:rtl/>
        </w:rPr>
        <w:t>נמשיך לעשות</w:t>
      </w:r>
      <w:r w:rsidR="00DA3634" w:rsidRPr="005A57B3">
        <w:rPr>
          <w:rFonts w:cs="David"/>
          <w:sz w:val="32"/>
          <w:szCs w:val="32"/>
          <w:rtl/>
        </w:rPr>
        <w:t xml:space="preserve"> </w:t>
      </w:r>
      <w:r w:rsidR="00DA3634" w:rsidRPr="005A57B3">
        <w:rPr>
          <w:rFonts w:cs="David"/>
          <w:b/>
          <w:bCs/>
          <w:sz w:val="32"/>
          <w:szCs w:val="32"/>
          <w:rtl/>
        </w:rPr>
        <w:t>משפט</w:t>
      </w:r>
      <w:r w:rsidR="00DA3634" w:rsidRPr="005A57B3">
        <w:rPr>
          <w:rFonts w:cs="David"/>
          <w:sz w:val="32"/>
          <w:szCs w:val="32"/>
          <w:rtl/>
        </w:rPr>
        <w:t xml:space="preserve"> </w:t>
      </w:r>
      <w:r w:rsidR="00DA3634" w:rsidRPr="005A57B3">
        <w:rPr>
          <w:rFonts w:cs="David"/>
          <w:b/>
          <w:bCs/>
          <w:sz w:val="32"/>
          <w:szCs w:val="32"/>
          <w:rtl/>
        </w:rPr>
        <w:t>הוגן, יעיל ואיכות</w:t>
      </w:r>
      <w:r w:rsidR="00DA3634" w:rsidRPr="005A57B3">
        <w:rPr>
          <w:rFonts w:cs="David" w:hint="cs"/>
          <w:b/>
          <w:bCs/>
          <w:sz w:val="32"/>
          <w:szCs w:val="32"/>
          <w:rtl/>
        </w:rPr>
        <w:t>י</w:t>
      </w:r>
      <w:r w:rsidR="005A57B3" w:rsidRPr="005A57B3">
        <w:rPr>
          <w:rFonts w:cs="David" w:hint="cs"/>
          <w:sz w:val="32"/>
          <w:szCs w:val="32"/>
          <w:rtl/>
        </w:rPr>
        <w:t xml:space="preserve"> ונביא </w:t>
      </w:r>
      <w:r w:rsidR="00DA3634" w:rsidRPr="005A57B3">
        <w:rPr>
          <w:rFonts w:cs="David" w:hint="cs"/>
          <w:sz w:val="32"/>
          <w:szCs w:val="32"/>
          <w:rtl/>
        </w:rPr>
        <w:t>ל</w:t>
      </w:r>
      <w:r w:rsidR="00DA3634" w:rsidRPr="005A57B3">
        <w:rPr>
          <w:rFonts w:cs="David"/>
          <w:sz w:val="32"/>
          <w:szCs w:val="32"/>
          <w:rtl/>
        </w:rPr>
        <w:t>מיצובה הראוי של מערכת המשפט הישראלית כתל-תלפיות, שעיני הכול נשואות אליה</w:t>
      </w:r>
      <w:r w:rsidR="00DA3634" w:rsidRPr="005A57B3">
        <w:rPr>
          <w:rFonts w:cs="David"/>
          <w:sz w:val="32"/>
          <w:szCs w:val="32"/>
        </w:rPr>
        <w:t>.</w:t>
      </w: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b/>
          <w:bCs/>
          <w:sz w:val="32"/>
          <w:szCs w:val="32"/>
          <w:rtl/>
        </w:rPr>
      </w:pPr>
      <w:r w:rsidRPr="005A57B3">
        <w:rPr>
          <w:rFonts w:cs="David" w:hint="cs"/>
          <w:b/>
          <w:bCs/>
          <w:sz w:val="32"/>
          <w:szCs w:val="32"/>
          <w:rtl/>
        </w:rPr>
        <w:t xml:space="preserve">אני מאחל לכם ולבני משפחותיכם חג שמח ושנה טובה מבורכת. </w:t>
      </w: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C12CE4" w:rsidRPr="005A57B3" w:rsidRDefault="00C12CE4" w:rsidP="005A57B3">
      <w:pPr>
        <w:tabs>
          <w:tab w:val="center" w:pos="6321"/>
        </w:tabs>
        <w:overflowPunct w:val="0"/>
        <w:autoSpaceDE w:val="0"/>
        <w:autoSpaceDN w:val="0"/>
        <w:adjustRightInd w:val="0"/>
        <w:spacing w:before="240" w:after="240" w:line="360" w:lineRule="auto"/>
        <w:contextualSpacing/>
        <w:jc w:val="both"/>
        <w:textAlignment w:val="baseline"/>
        <w:rPr>
          <w:rFonts w:ascii="Times New Roman" w:eastAsia="Times New Roman" w:hAnsi="Times New Roman" w:cs="David"/>
          <w:sz w:val="32"/>
          <w:szCs w:val="32"/>
          <w:rtl/>
          <w:lang w:eastAsia="he-IL"/>
        </w:rPr>
      </w:pP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315C55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7A3209" w:rsidRDefault="007A3209" w:rsidP="007A3209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 xml:space="preserve">    </w:t>
      </w:r>
    </w:p>
    <w:p w:rsidR="007A3209" w:rsidRDefault="007A3209" w:rsidP="007A3209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/>
          <w:sz w:val="32"/>
          <w:szCs w:val="32"/>
          <w:rtl/>
        </w:rPr>
        <w:tab/>
      </w:r>
      <w:r>
        <w:rPr>
          <w:rFonts w:cs="David" w:hint="cs"/>
          <w:sz w:val="32"/>
          <w:szCs w:val="32"/>
          <w:rtl/>
        </w:rPr>
        <w:t>השופט מיכאל שפיצר</w:t>
      </w:r>
    </w:p>
    <w:p w:rsidR="007A3209" w:rsidRDefault="007A3209" w:rsidP="007A3209">
      <w:pPr>
        <w:spacing w:before="240" w:after="240" w:line="360" w:lineRule="auto"/>
        <w:ind w:left="3600" w:firstLine="720"/>
        <w:contextualSpacing/>
        <w:jc w:val="both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מנהל בתי המשפט</w:t>
      </w:r>
    </w:p>
    <w:p w:rsidR="007A3209" w:rsidRDefault="007A3209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7A3209" w:rsidRPr="005A57B3" w:rsidRDefault="007A3209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C55406" w:rsidRPr="005A57B3" w:rsidRDefault="00C55406" w:rsidP="005A57B3">
      <w:pPr>
        <w:spacing w:before="240" w:after="240" w:line="360" w:lineRule="auto"/>
        <w:contextualSpacing/>
        <w:jc w:val="both"/>
        <w:rPr>
          <w:rFonts w:cs="David"/>
          <w:rtl/>
        </w:rPr>
      </w:pPr>
    </w:p>
    <w:p w:rsidR="00757F4C" w:rsidRPr="005A57B3" w:rsidRDefault="00757F4C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315C55" w:rsidRPr="005A57B3" w:rsidRDefault="00315C55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  <w:rtl/>
        </w:rPr>
      </w:pPr>
    </w:p>
    <w:p w:rsidR="00F73F36" w:rsidRPr="005A57B3" w:rsidRDefault="00F73F36" w:rsidP="005A57B3">
      <w:pPr>
        <w:spacing w:before="240" w:after="240" w:line="360" w:lineRule="auto"/>
        <w:contextualSpacing/>
        <w:jc w:val="both"/>
        <w:rPr>
          <w:rFonts w:cs="David"/>
          <w:sz w:val="32"/>
          <w:szCs w:val="32"/>
        </w:rPr>
      </w:pPr>
    </w:p>
    <w:sectPr w:rsidR="00F73F36" w:rsidRPr="005A57B3" w:rsidSect="008215B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21" w:rsidRDefault="00025621" w:rsidP="00DA3634">
      <w:pPr>
        <w:spacing w:after="0" w:line="240" w:lineRule="auto"/>
      </w:pPr>
      <w:r>
        <w:separator/>
      </w:r>
    </w:p>
  </w:endnote>
  <w:endnote w:type="continuationSeparator" w:id="0">
    <w:p w:rsidR="00025621" w:rsidRDefault="00025621" w:rsidP="00DA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26831887"/>
      <w:docPartObj>
        <w:docPartGallery w:val="Page Numbers (Bottom of Page)"/>
        <w:docPartUnique/>
      </w:docPartObj>
    </w:sdtPr>
    <w:sdtEndPr>
      <w:rPr>
        <w:cs/>
      </w:rPr>
    </w:sdtEndPr>
    <w:sdtContent>
      <w:p w:rsidR="00DA3634" w:rsidRDefault="00DA3634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65017D" w:rsidRPr="0065017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DA3634" w:rsidRDefault="00DA36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21" w:rsidRDefault="00025621" w:rsidP="00DA3634">
      <w:pPr>
        <w:spacing w:after="0" w:line="240" w:lineRule="auto"/>
      </w:pPr>
      <w:r>
        <w:separator/>
      </w:r>
    </w:p>
  </w:footnote>
  <w:footnote w:type="continuationSeparator" w:id="0">
    <w:p w:rsidR="00025621" w:rsidRDefault="00025621" w:rsidP="00DA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F3D98"/>
    <w:multiLevelType w:val="multilevel"/>
    <w:tmpl w:val="651E9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36"/>
    <w:rsid w:val="00001CB3"/>
    <w:rsid w:val="00025621"/>
    <w:rsid w:val="00047301"/>
    <w:rsid w:val="001A564A"/>
    <w:rsid w:val="00315C55"/>
    <w:rsid w:val="00405993"/>
    <w:rsid w:val="005031F4"/>
    <w:rsid w:val="005A57B3"/>
    <w:rsid w:val="0065017D"/>
    <w:rsid w:val="00724351"/>
    <w:rsid w:val="00757F4C"/>
    <w:rsid w:val="007A3209"/>
    <w:rsid w:val="008215B1"/>
    <w:rsid w:val="00833842"/>
    <w:rsid w:val="008B7D75"/>
    <w:rsid w:val="00A260FD"/>
    <w:rsid w:val="00B77DA4"/>
    <w:rsid w:val="00B824EF"/>
    <w:rsid w:val="00C12CE4"/>
    <w:rsid w:val="00C36501"/>
    <w:rsid w:val="00C37A0E"/>
    <w:rsid w:val="00C55406"/>
    <w:rsid w:val="00DA3634"/>
    <w:rsid w:val="00DB4076"/>
    <w:rsid w:val="00F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15C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57F4C"/>
    <w:rPr>
      <w:b/>
      <w:bCs/>
      <w:i w:val="0"/>
      <w:iCs w:val="0"/>
    </w:rPr>
  </w:style>
  <w:style w:type="character" w:customStyle="1" w:styleId="st">
    <w:name w:val="st"/>
    <w:basedOn w:val="a0"/>
    <w:rsid w:val="00757F4C"/>
  </w:style>
  <w:style w:type="paragraph" w:styleId="a4">
    <w:name w:val="header"/>
    <w:basedOn w:val="a"/>
    <w:link w:val="a5"/>
    <w:uiPriority w:val="99"/>
    <w:unhideWhenUsed/>
    <w:rsid w:val="00DA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A3634"/>
  </w:style>
  <w:style w:type="paragraph" w:styleId="a6">
    <w:name w:val="footer"/>
    <w:basedOn w:val="a"/>
    <w:link w:val="a7"/>
    <w:uiPriority w:val="99"/>
    <w:unhideWhenUsed/>
    <w:rsid w:val="00DA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A3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15C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57F4C"/>
    <w:rPr>
      <w:b/>
      <w:bCs/>
      <w:i w:val="0"/>
      <w:iCs w:val="0"/>
    </w:rPr>
  </w:style>
  <w:style w:type="character" w:customStyle="1" w:styleId="st">
    <w:name w:val="st"/>
    <w:basedOn w:val="a0"/>
    <w:rsid w:val="00757F4C"/>
  </w:style>
  <w:style w:type="paragraph" w:styleId="a4">
    <w:name w:val="header"/>
    <w:basedOn w:val="a"/>
    <w:link w:val="a5"/>
    <w:uiPriority w:val="99"/>
    <w:unhideWhenUsed/>
    <w:rsid w:val="00DA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A3634"/>
  </w:style>
  <w:style w:type="paragraph" w:styleId="a6">
    <w:name w:val="footer"/>
    <w:basedOn w:val="a"/>
    <w:link w:val="a7"/>
    <w:uiPriority w:val="99"/>
    <w:unhideWhenUsed/>
    <w:rsid w:val="00DA3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A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 Profile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פנינה אלקיס</dc:creator>
  <cp:lastModifiedBy>court</cp:lastModifiedBy>
  <cp:revision>2</cp:revision>
  <cp:lastPrinted>2015-09-10T11:07:00Z</cp:lastPrinted>
  <dcterms:created xsi:type="dcterms:W3CDTF">2015-09-12T15:12:00Z</dcterms:created>
  <dcterms:modified xsi:type="dcterms:W3CDTF">2015-09-12T15:12:00Z</dcterms:modified>
</cp:coreProperties>
</file>