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093" w:rsidRDefault="0060289E">
      <w:pPr>
        <w:rPr>
          <w:rFonts w:cs="David"/>
          <w:sz w:val="28"/>
          <w:szCs w:val="28"/>
          <w:rtl/>
        </w:rPr>
      </w:pPr>
      <w:bookmarkStart w:id="0" w:name="_GoBack"/>
      <w:bookmarkEnd w:id="0"/>
      <w:r>
        <w:rPr>
          <w:rFonts w:cs="David" w:hint="cs"/>
          <w:sz w:val="28"/>
          <w:szCs w:val="28"/>
          <w:rtl/>
        </w:rPr>
        <w:t xml:space="preserve">תודה שהזמנתם אותי לטקס זה. </w:t>
      </w:r>
    </w:p>
    <w:p w:rsidR="0060289E" w:rsidRDefault="0060289E">
      <w:pPr>
        <w:rPr>
          <w:rFonts w:cs="David"/>
          <w:sz w:val="28"/>
          <w:szCs w:val="28"/>
          <w:rtl/>
        </w:rPr>
      </w:pPr>
    </w:p>
    <w:p w:rsidR="0060289E" w:rsidRDefault="0060289E" w:rsidP="0060289E">
      <w:pPr>
        <w:spacing w:line="360" w:lineRule="auto"/>
        <w:jc w:val="both"/>
        <w:rPr>
          <w:rFonts w:cs="David"/>
          <w:sz w:val="28"/>
          <w:szCs w:val="28"/>
          <w:rtl/>
        </w:rPr>
      </w:pPr>
      <w:r>
        <w:rPr>
          <w:rFonts w:cs="David" w:hint="cs"/>
          <w:sz w:val="28"/>
          <w:szCs w:val="28"/>
          <w:rtl/>
        </w:rPr>
        <w:t xml:space="preserve">כבוד הוא לי להשתתף בטקס חלוקת מלגות על שם השופט דורון </w:t>
      </w:r>
      <w:proofErr w:type="spellStart"/>
      <w:r>
        <w:rPr>
          <w:rFonts w:cs="David" w:hint="cs"/>
          <w:sz w:val="28"/>
          <w:szCs w:val="28"/>
          <w:rtl/>
        </w:rPr>
        <w:t>מיבלום</w:t>
      </w:r>
      <w:proofErr w:type="spellEnd"/>
      <w:r>
        <w:rPr>
          <w:rFonts w:cs="David" w:hint="cs"/>
          <w:sz w:val="28"/>
          <w:szCs w:val="28"/>
          <w:rtl/>
        </w:rPr>
        <w:t xml:space="preserve"> ז"ל שכיהן כנשיאו של בית הדין האזורי לעבודה בחיפה, בראשו אני עומד היום. </w:t>
      </w:r>
    </w:p>
    <w:p w:rsidR="0060289E" w:rsidRDefault="0060289E" w:rsidP="0060289E">
      <w:pPr>
        <w:spacing w:line="360" w:lineRule="auto"/>
        <w:jc w:val="both"/>
        <w:rPr>
          <w:rFonts w:cs="David"/>
          <w:sz w:val="28"/>
          <w:szCs w:val="28"/>
          <w:rtl/>
        </w:rPr>
      </w:pPr>
      <w:r>
        <w:rPr>
          <w:rFonts w:cs="David" w:hint="cs"/>
          <w:sz w:val="28"/>
          <w:szCs w:val="28"/>
          <w:rtl/>
        </w:rPr>
        <w:t xml:space="preserve">אני הכרתי את השופט </w:t>
      </w:r>
      <w:proofErr w:type="spellStart"/>
      <w:r>
        <w:rPr>
          <w:rFonts w:cs="David" w:hint="cs"/>
          <w:sz w:val="28"/>
          <w:szCs w:val="28"/>
          <w:rtl/>
        </w:rPr>
        <w:t>מיבלום</w:t>
      </w:r>
      <w:proofErr w:type="spellEnd"/>
      <w:r>
        <w:rPr>
          <w:rFonts w:cs="David" w:hint="cs"/>
          <w:sz w:val="28"/>
          <w:szCs w:val="28"/>
          <w:rtl/>
        </w:rPr>
        <w:t xml:space="preserve"> ז"ל כעורך דין שהופיע לפניו ולא </w:t>
      </w:r>
      <w:proofErr w:type="spellStart"/>
      <w:r>
        <w:rPr>
          <w:rFonts w:cs="David" w:hint="cs"/>
          <w:sz w:val="28"/>
          <w:szCs w:val="28"/>
          <w:rtl/>
        </w:rPr>
        <w:t>היתה</w:t>
      </w:r>
      <w:proofErr w:type="spellEnd"/>
      <w:r>
        <w:rPr>
          <w:rFonts w:cs="David" w:hint="cs"/>
          <w:sz w:val="28"/>
          <w:szCs w:val="28"/>
          <w:rtl/>
        </w:rPr>
        <w:t xml:space="preserve"> לי הזכות להכירו באופן אישי. </w:t>
      </w:r>
      <w:r w:rsidR="009D0FD4">
        <w:rPr>
          <w:rFonts w:cs="David" w:hint="cs"/>
          <w:sz w:val="28"/>
          <w:szCs w:val="28"/>
          <w:rtl/>
        </w:rPr>
        <w:t xml:space="preserve"> </w:t>
      </w:r>
      <w:r>
        <w:rPr>
          <w:rFonts w:cs="David" w:hint="cs"/>
          <w:sz w:val="28"/>
          <w:szCs w:val="28"/>
          <w:rtl/>
        </w:rPr>
        <w:t xml:space="preserve">אך חשוב לי לתאר את דמותו של השופט </w:t>
      </w:r>
      <w:proofErr w:type="spellStart"/>
      <w:r>
        <w:rPr>
          <w:rFonts w:cs="David" w:hint="cs"/>
          <w:sz w:val="28"/>
          <w:szCs w:val="28"/>
          <w:rtl/>
        </w:rPr>
        <w:t>מיבלום</w:t>
      </w:r>
      <w:proofErr w:type="spellEnd"/>
      <w:r>
        <w:rPr>
          <w:rFonts w:cs="David" w:hint="cs"/>
          <w:sz w:val="28"/>
          <w:szCs w:val="28"/>
          <w:rtl/>
        </w:rPr>
        <w:t xml:space="preserve"> ז"ל המצטיירת, הן מפסיקותיו והן מהאנשים שעבדו עמו, אשר מזה שנים עובדים גם עמי ואהבתם אליו ניכרת כל הזמן. </w:t>
      </w:r>
    </w:p>
    <w:p w:rsidR="0060289E" w:rsidRDefault="0060289E" w:rsidP="0060289E">
      <w:pPr>
        <w:spacing w:line="360" w:lineRule="auto"/>
        <w:jc w:val="both"/>
        <w:rPr>
          <w:rFonts w:cs="David"/>
          <w:sz w:val="28"/>
          <w:szCs w:val="28"/>
          <w:rtl/>
        </w:rPr>
      </w:pPr>
      <w:r>
        <w:rPr>
          <w:rFonts w:cs="David" w:hint="cs"/>
          <w:sz w:val="28"/>
          <w:szCs w:val="28"/>
          <w:rtl/>
        </w:rPr>
        <w:t xml:space="preserve">דורון </w:t>
      </w:r>
      <w:proofErr w:type="spellStart"/>
      <w:r>
        <w:rPr>
          <w:rFonts w:cs="David" w:hint="cs"/>
          <w:sz w:val="28"/>
          <w:szCs w:val="28"/>
          <w:rtl/>
        </w:rPr>
        <w:t>מיבלום</w:t>
      </w:r>
      <w:proofErr w:type="spellEnd"/>
      <w:r>
        <w:rPr>
          <w:rFonts w:cs="David" w:hint="cs"/>
          <w:sz w:val="28"/>
          <w:szCs w:val="28"/>
          <w:rtl/>
        </w:rPr>
        <w:t xml:space="preserve"> ז"ל היה שופט אוהב אדם, אשר הבין את צרכיו וזכויותיו של החלש והבודד אל מול המערכת. השפעתו של השופט </w:t>
      </w:r>
      <w:proofErr w:type="spellStart"/>
      <w:r>
        <w:rPr>
          <w:rFonts w:cs="David" w:hint="cs"/>
          <w:sz w:val="28"/>
          <w:szCs w:val="28"/>
          <w:rtl/>
        </w:rPr>
        <w:t>מיבלום</w:t>
      </w:r>
      <w:proofErr w:type="spellEnd"/>
      <w:r>
        <w:rPr>
          <w:rFonts w:cs="David" w:hint="cs"/>
          <w:sz w:val="28"/>
          <w:szCs w:val="28"/>
          <w:rtl/>
        </w:rPr>
        <w:t xml:space="preserve"> ז"ל על בית הדין ניכרת עד היום ובמה דברים אמורים. </w:t>
      </w:r>
    </w:p>
    <w:p w:rsidR="0060289E" w:rsidRDefault="0060289E" w:rsidP="0060289E">
      <w:pPr>
        <w:spacing w:line="360" w:lineRule="auto"/>
        <w:jc w:val="both"/>
        <w:rPr>
          <w:rFonts w:cs="David"/>
          <w:sz w:val="28"/>
          <w:szCs w:val="28"/>
          <w:rtl/>
        </w:rPr>
      </w:pPr>
      <w:r>
        <w:rPr>
          <w:rFonts w:cs="David" w:hint="cs"/>
          <w:sz w:val="28"/>
          <w:szCs w:val="28"/>
          <w:rtl/>
        </w:rPr>
        <w:t xml:space="preserve">משך שנים רבות חלה בבתי הדין לעבודה הלכה ברורה שקבעה חזקה חלוטה לפיה בעלות על רכב או שימוש קבוע ברכב שללו זכאות לתשלום קצבת הבטחת הכנסה. זו </w:t>
      </w:r>
      <w:proofErr w:type="spellStart"/>
      <w:r>
        <w:rPr>
          <w:rFonts w:cs="David" w:hint="cs"/>
          <w:sz w:val="28"/>
          <w:szCs w:val="28"/>
          <w:rtl/>
        </w:rPr>
        <w:t>היתה</w:t>
      </w:r>
      <w:proofErr w:type="spellEnd"/>
      <w:r>
        <w:rPr>
          <w:rFonts w:cs="David" w:hint="cs"/>
          <w:sz w:val="28"/>
          <w:szCs w:val="28"/>
          <w:rtl/>
        </w:rPr>
        <w:t xml:space="preserve"> ההלכה הנהוגה עד ליום 28.02.12 אז ניתן בג"צ חסן על ידי </w:t>
      </w:r>
      <w:r w:rsidR="009D0FD4">
        <w:rPr>
          <w:rFonts w:cs="David" w:hint="cs"/>
          <w:sz w:val="28"/>
          <w:szCs w:val="28"/>
          <w:rtl/>
        </w:rPr>
        <w:t xml:space="preserve">כב' </w:t>
      </w:r>
      <w:r>
        <w:rPr>
          <w:rFonts w:cs="David" w:hint="cs"/>
          <w:sz w:val="28"/>
          <w:szCs w:val="28"/>
          <w:rtl/>
        </w:rPr>
        <w:t>הנשיאה כתוארה אז השופטת דורית בייניש</w:t>
      </w:r>
      <w:r w:rsidR="009D0FD4">
        <w:rPr>
          <w:rFonts w:cs="David" w:hint="cs"/>
          <w:sz w:val="28"/>
          <w:szCs w:val="28"/>
          <w:rtl/>
        </w:rPr>
        <w:t xml:space="preserve"> (בג"צ 10662/04 סלאח חסן ואח' נ. המוסד לביטוח לאומי)</w:t>
      </w:r>
      <w:r>
        <w:rPr>
          <w:rFonts w:cs="David" w:hint="cs"/>
          <w:sz w:val="28"/>
          <w:szCs w:val="28"/>
          <w:rtl/>
        </w:rPr>
        <w:t xml:space="preserve">. עד אז די היה בעצם הבעלות או השימוש ברכב בכדי לשלול מאדם גמלת הבטחת הכנסה. </w:t>
      </w:r>
    </w:p>
    <w:p w:rsidR="007B22E3" w:rsidRDefault="007B22E3" w:rsidP="009D0FD4">
      <w:pPr>
        <w:spacing w:line="360" w:lineRule="auto"/>
        <w:jc w:val="both"/>
        <w:rPr>
          <w:rFonts w:cs="David"/>
          <w:sz w:val="28"/>
          <w:szCs w:val="28"/>
          <w:rtl/>
        </w:rPr>
      </w:pPr>
      <w:r>
        <w:rPr>
          <w:rFonts w:cs="David" w:hint="cs"/>
          <w:sz w:val="28"/>
          <w:szCs w:val="28"/>
          <w:rtl/>
        </w:rPr>
        <w:t xml:space="preserve">בג"צ חסן שינה את המצב המשפטי </w:t>
      </w:r>
      <w:proofErr w:type="spellStart"/>
      <w:r>
        <w:rPr>
          <w:rFonts w:cs="David" w:hint="cs"/>
          <w:sz w:val="28"/>
          <w:szCs w:val="28"/>
          <w:rtl/>
        </w:rPr>
        <w:t>בקובעו</w:t>
      </w:r>
      <w:proofErr w:type="spellEnd"/>
      <w:r>
        <w:rPr>
          <w:rFonts w:cs="David" w:hint="cs"/>
          <w:sz w:val="28"/>
          <w:szCs w:val="28"/>
          <w:rtl/>
        </w:rPr>
        <w:t xml:space="preserve"> שאותה הלכה ששללה באופן גורף זכאות לגמלת הבטחת הכנסה פוגעת בזכות לקיום מינימלי בכבוד וזו פגיעה שאינה מידתית </w:t>
      </w:r>
      <w:r w:rsidR="009D0FD4">
        <w:rPr>
          <w:rFonts w:cs="David" w:hint="cs"/>
          <w:sz w:val="28"/>
          <w:szCs w:val="28"/>
          <w:rtl/>
        </w:rPr>
        <w:t>ו</w:t>
      </w:r>
      <w:r>
        <w:rPr>
          <w:rFonts w:cs="David" w:hint="cs"/>
          <w:sz w:val="28"/>
          <w:szCs w:val="28"/>
          <w:rtl/>
        </w:rPr>
        <w:t xml:space="preserve">אינה עומדת במבחני החוקתיות. לכן נקבע, כי יש להכריז על בטלותו של אותו סעיף 9א(ב) לחוק הבטחת הכנסה על מנת לאפשר למחוקק גיבוש הסדר חדש. </w:t>
      </w:r>
    </w:p>
    <w:p w:rsidR="00530D69" w:rsidRDefault="007B22E3" w:rsidP="007B22E3">
      <w:pPr>
        <w:spacing w:line="360" w:lineRule="auto"/>
        <w:jc w:val="both"/>
        <w:rPr>
          <w:rFonts w:cs="David"/>
          <w:sz w:val="28"/>
          <w:szCs w:val="28"/>
          <w:rtl/>
        </w:rPr>
      </w:pPr>
      <w:r>
        <w:rPr>
          <w:rFonts w:cs="David" w:hint="cs"/>
          <w:sz w:val="28"/>
          <w:szCs w:val="28"/>
          <w:rtl/>
        </w:rPr>
        <w:t>אבקש להקריא לכם קטע קצר מפסק דין</w:t>
      </w:r>
      <w:r w:rsidR="00530D69">
        <w:rPr>
          <w:rFonts w:cs="David" w:hint="cs"/>
          <w:sz w:val="28"/>
          <w:szCs w:val="28"/>
          <w:rtl/>
        </w:rPr>
        <w:t>:</w:t>
      </w:r>
    </w:p>
    <w:p w:rsidR="007B22E3" w:rsidRDefault="00530D69" w:rsidP="00530D69">
      <w:pPr>
        <w:spacing w:line="360" w:lineRule="auto"/>
        <w:jc w:val="both"/>
        <w:rPr>
          <w:rFonts w:cs="David"/>
          <w:b/>
          <w:bCs/>
          <w:sz w:val="28"/>
          <w:szCs w:val="28"/>
          <w:rtl/>
        </w:rPr>
      </w:pPr>
      <w:r>
        <w:rPr>
          <w:rFonts w:cs="David" w:hint="cs"/>
          <w:b/>
          <w:bCs/>
          <w:sz w:val="28"/>
          <w:szCs w:val="28"/>
          <w:rtl/>
        </w:rPr>
        <w:t>"בשנים האחרונות חזרו ועלו הרהורים, אף מפיהם של שופטי בית הדין הארצי, בדבר תוקפה של ההלכה הנ"ל ונשאלה השאלה אם עומדת היא בצוק העיתים או נוכח השתנות בסיסית של נתונים מבניים, כלכליים וחברתיים בחברה הישראלית....</w:t>
      </w:r>
    </w:p>
    <w:p w:rsidR="00530D69" w:rsidRDefault="00530D69" w:rsidP="00530D69">
      <w:pPr>
        <w:spacing w:line="360" w:lineRule="auto"/>
        <w:jc w:val="both"/>
        <w:rPr>
          <w:rFonts w:cs="David"/>
          <w:b/>
          <w:bCs/>
          <w:sz w:val="28"/>
          <w:szCs w:val="28"/>
          <w:rtl/>
        </w:rPr>
      </w:pPr>
      <w:r>
        <w:rPr>
          <w:rFonts w:cs="David" w:hint="cs"/>
          <w:b/>
          <w:bCs/>
          <w:sz w:val="28"/>
          <w:szCs w:val="28"/>
          <w:rtl/>
        </w:rPr>
        <w:t xml:space="preserve">במישור הכלכלי והחברתי </w:t>
      </w:r>
      <w:r>
        <w:rPr>
          <w:rFonts w:cs="David"/>
          <w:b/>
          <w:bCs/>
          <w:sz w:val="28"/>
          <w:szCs w:val="28"/>
          <w:rtl/>
        </w:rPr>
        <w:t>–</w:t>
      </w:r>
      <w:r>
        <w:rPr>
          <w:rFonts w:cs="David" w:hint="cs"/>
          <w:b/>
          <w:bCs/>
          <w:sz w:val="28"/>
          <w:szCs w:val="28"/>
          <w:rtl/>
        </w:rPr>
        <w:t xml:space="preserve"> אין כעת ספק כי החברה הישראלית מצויה בתקופה שונה מזו שבה התגבשה ההלכה הפסיקתית הנ"ל ...</w:t>
      </w:r>
    </w:p>
    <w:p w:rsidR="00530D69" w:rsidRDefault="00530D69" w:rsidP="00530D69">
      <w:pPr>
        <w:spacing w:line="360" w:lineRule="auto"/>
        <w:jc w:val="both"/>
        <w:rPr>
          <w:rFonts w:cs="David"/>
          <w:b/>
          <w:bCs/>
          <w:sz w:val="28"/>
          <w:szCs w:val="28"/>
          <w:rtl/>
        </w:rPr>
      </w:pPr>
      <w:r>
        <w:rPr>
          <w:rFonts w:cs="David" w:hint="cs"/>
          <w:b/>
          <w:bCs/>
          <w:sz w:val="28"/>
          <w:szCs w:val="28"/>
          <w:rtl/>
        </w:rPr>
        <w:t xml:space="preserve">לאחר שבחנו וחזרנו ובחנו פני הדברים </w:t>
      </w:r>
      <w:proofErr w:type="spellStart"/>
      <w:r>
        <w:rPr>
          <w:rFonts w:cs="David" w:hint="cs"/>
          <w:b/>
          <w:bCs/>
          <w:sz w:val="28"/>
          <w:szCs w:val="28"/>
          <w:rtl/>
        </w:rPr>
        <w:t>ובשוקלינו</w:t>
      </w:r>
      <w:proofErr w:type="spellEnd"/>
      <w:r>
        <w:rPr>
          <w:rFonts w:cs="David" w:hint="cs"/>
          <w:b/>
          <w:bCs/>
          <w:sz w:val="28"/>
          <w:szCs w:val="28"/>
          <w:rtl/>
        </w:rPr>
        <w:t xml:space="preserve"> את המישור המשפטי והמישור החברתי-כלכלי, הגענו למסקנה, כי בענייננו אין ההלכה הנ"ל עומדת במבחן המידתיות, נוכח הפגיעה העולה על המידה שבתקנה נשוא הכרעה זו והשלכותיה. כיום, חדלה ההחזקה בכלי רכב להיות סממן של רווחה כלכלית </w:t>
      </w:r>
      <w:proofErr w:type="spellStart"/>
      <w:r>
        <w:rPr>
          <w:rFonts w:cs="David" w:hint="cs"/>
          <w:b/>
          <w:bCs/>
          <w:sz w:val="28"/>
          <w:szCs w:val="28"/>
          <w:rtl/>
        </w:rPr>
        <w:t>ובודאי</w:t>
      </w:r>
      <w:proofErr w:type="spellEnd"/>
      <w:r>
        <w:rPr>
          <w:rFonts w:cs="David" w:hint="cs"/>
          <w:b/>
          <w:bCs/>
          <w:sz w:val="28"/>
          <w:szCs w:val="28"/>
          <w:rtl/>
        </w:rPr>
        <w:t xml:space="preserve"> שאינה בבחינת מותרות".</w:t>
      </w:r>
    </w:p>
    <w:p w:rsidR="00530D69" w:rsidRDefault="00530D69" w:rsidP="00530D69">
      <w:pPr>
        <w:spacing w:line="360" w:lineRule="auto"/>
        <w:jc w:val="both"/>
        <w:rPr>
          <w:rFonts w:cs="David"/>
          <w:b/>
          <w:bCs/>
          <w:sz w:val="28"/>
          <w:szCs w:val="28"/>
          <w:rtl/>
        </w:rPr>
      </w:pPr>
    </w:p>
    <w:p w:rsidR="00530D69" w:rsidRDefault="00530D69" w:rsidP="00530D69">
      <w:pPr>
        <w:spacing w:line="360" w:lineRule="auto"/>
        <w:jc w:val="both"/>
        <w:rPr>
          <w:rFonts w:cs="David"/>
          <w:sz w:val="28"/>
          <w:szCs w:val="28"/>
          <w:rtl/>
        </w:rPr>
      </w:pPr>
      <w:r>
        <w:rPr>
          <w:rFonts w:cs="David" w:hint="cs"/>
          <w:sz w:val="28"/>
          <w:szCs w:val="28"/>
          <w:rtl/>
        </w:rPr>
        <w:t xml:space="preserve">אם סברתם כי הקראתי לכם קטע מבג"צ חסן שניתן בחודש פברואר 2012 טעיתם. זהו קטע מפסק דינו של השופט </w:t>
      </w:r>
      <w:proofErr w:type="spellStart"/>
      <w:r>
        <w:rPr>
          <w:rFonts w:cs="David" w:hint="cs"/>
          <w:sz w:val="28"/>
          <w:szCs w:val="28"/>
          <w:rtl/>
        </w:rPr>
        <w:t>מיבלום</w:t>
      </w:r>
      <w:proofErr w:type="spellEnd"/>
      <w:r>
        <w:rPr>
          <w:rFonts w:cs="David" w:hint="cs"/>
          <w:sz w:val="28"/>
          <w:szCs w:val="28"/>
          <w:rtl/>
        </w:rPr>
        <w:t xml:space="preserve"> ז"ל שניתן כ-14 שנים קודם לכן, ביום 26.05.98 </w:t>
      </w:r>
      <w:r w:rsidR="009D0FD4">
        <w:rPr>
          <w:rFonts w:cs="David" w:hint="cs"/>
          <w:sz w:val="28"/>
          <w:szCs w:val="28"/>
          <w:rtl/>
        </w:rPr>
        <w:t xml:space="preserve">(ראה בל 1069/98) </w:t>
      </w:r>
      <w:r>
        <w:rPr>
          <w:rFonts w:cs="David" w:hint="cs"/>
          <w:sz w:val="28"/>
          <w:szCs w:val="28"/>
          <w:rtl/>
        </w:rPr>
        <w:t xml:space="preserve">בתביעתה של אם חד הורית לשלושה ילדים קטנים שאחד מילדיה סבל ממחלה ואביהם של ילדיה היה נרקומן. </w:t>
      </w:r>
    </w:p>
    <w:p w:rsidR="00530D69" w:rsidRDefault="00530D69" w:rsidP="00530D69">
      <w:pPr>
        <w:spacing w:line="360" w:lineRule="auto"/>
        <w:jc w:val="both"/>
        <w:rPr>
          <w:rFonts w:cs="David"/>
          <w:sz w:val="28"/>
          <w:szCs w:val="28"/>
          <w:rtl/>
        </w:rPr>
      </w:pPr>
      <w:r>
        <w:rPr>
          <w:rFonts w:cs="David" w:hint="cs"/>
          <w:sz w:val="28"/>
          <w:szCs w:val="28"/>
          <w:rtl/>
        </w:rPr>
        <w:t xml:space="preserve">זוהי דוגמא מובהקת לכך שהשופט </w:t>
      </w:r>
      <w:proofErr w:type="spellStart"/>
      <w:r>
        <w:rPr>
          <w:rFonts w:cs="David" w:hint="cs"/>
          <w:sz w:val="28"/>
          <w:szCs w:val="28"/>
          <w:rtl/>
        </w:rPr>
        <w:t>מיבלום</w:t>
      </w:r>
      <w:proofErr w:type="spellEnd"/>
      <w:r>
        <w:rPr>
          <w:rFonts w:cs="David" w:hint="cs"/>
          <w:sz w:val="28"/>
          <w:szCs w:val="28"/>
          <w:rtl/>
        </w:rPr>
        <w:t xml:space="preserve"> ז"ל היה שופט פורץ דרך המחובר לעמו ואיש שאוהב אנשים. </w:t>
      </w:r>
    </w:p>
    <w:p w:rsidR="00530D69" w:rsidRDefault="00530D69" w:rsidP="0061223A">
      <w:pPr>
        <w:spacing w:line="360" w:lineRule="auto"/>
        <w:jc w:val="both"/>
        <w:rPr>
          <w:rFonts w:cs="David"/>
          <w:sz w:val="28"/>
          <w:szCs w:val="28"/>
          <w:rtl/>
        </w:rPr>
      </w:pPr>
      <w:r>
        <w:rPr>
          <w:rFonts w:cs="David" w:hint="cs"/>
          <w:sz w:val="28"/>
          <w:szCs w:val="28"/>
          <w:rtl/>
        </w:rPr>
        <w:t xml:space="preserve">עד היום </w:t>
      </w:r>
      <w:r w:rsidR="0061223A">
        <w:rPr>
          <w:rFonts w:cs="David" w:hint="cs"/>
          <w:sz w:val="28"/>
          <w:szCs w:val="28"/>
          <w:rtl/>
        </w:rPr>
        <w:t xml:space="preserve">אותם </w:t>
      </w:r>
      <w:r>
        <w:rPr>
          <w:rFonts w:cs="David" w:hint="cs"/>
          <w:sz w:val="28"/>
          <w:szCs w:val="28"/>
          <w:rtl/>
        </w:rPr>
        <w:t xml:space="preserve">אנשים שעבדו עמו </w:t>
      </w:r>
      <w:r w:rsidR="0061223A">
        <w:rPr>
          <w:rFonts w:cs="David" w:hint="cs"/>
          <w:sz w:val="28"/>
          <w:szCs w:val="28"/>
          <w:rtl/>
        </w:rPr>
        <w:t xml:space="preserve">והעובדים עמי </w:t>
      </w:r>
      <w:r>
        <w:rPr>
          <w:rFonts w:cs="David" w:hint="cs"/>
          <w:sz w:val="28"/>
          <w:szCs w:val="28"/>
          <w:rtl/>
        </w:rPr>
        <w:t xml:space="preserve">מזה שנים מדברים על אישיותו המדהימה מלאת החן וההומור של השופט </w:t>
      </w:r>
      <w:proofErr w:type="spellStart"/>
      <w:r>
        <w:rPr>
          <w:rFonts w:cs="David" w:hint="cs"/>
          <w:sz w:val="28"/>
          <w:szCs w:val="28"/>
          <w:rtl/>
        </w:rPr>
        <w:t>מיבלום</w:t>
      </w:r>
      <w:proofErr w:type="spellEnd"/>
      <w:r>
        <w:rPr>
          <w:rFonts w:cs="David" w:hint="cs"/>
          <w:sz w:val="28"/>
          <w:szCs w:val="28"/>
          <w:rtl/>
        </w:rPr>
        <w:t xml:space="preserve"> ז"ל. </w:t>
      </w:r>
    </w:p>
    <w:p w:rsidR="0061223A" w:rsidRDefault="0061223A" w:rsidP="0061223A">
      <w:pPr>
        <w:spacing w:line="360" w:lineRule="auto"/>
        <w:jc w:val="both"/>
        <w:rPr>
          <w:rFonts w:cs="David"/>
          <w:sz w:val="28"/>
          <w:szCs w:val="28"/>
          <w:rtl/>
        </w:rPr>
      </w:pPr>
      <w:r>
        <w:rPr>
          <w:rFonts w:cs="David" w:hint="cs"/>
          <w:sz w:val="28"/>
          <w:szCs w:val="28"/>
          <w:rtl/>
        </w:rPr>
        <w:t xml:space="preserve">מכאן, אבקש לאחל הצלחה לאותם סטודנטים שעבודותיהם בנושאי עולם העבודה זכו למלגות על שמו של השופט המנוח דורון </w:t>
      </w:r>
      <w:proofErr w:type="spellStart"/>
      <w:r>
        <w:rPr>
          <w:rFonts w:cs="David" w:hint="cs"/>
          <w:sz w:val="28"/>
          <w:szCs w:val="28"/>
          <w:rtl/>
        </w:rPr>
        <w:t>מיבלום</w:t>
      </w:r>
      <w:proofErr w:type="spellEnd"/>
      <w:r>
        <w:rPr>
          <w:rFonts w:cs="David" w:hint="cs"/>
          <w:sz w:val="28"/>
          <w:szCs w:val="28"/>
          <w:rtl/>
        </w:rPr>
        <w:t xml:space="preserve"> ז"ל שמשמש דוגמא לכולנו. </w:t>
      </w:r>
    </w:p>
    <w:p w:rsidR="0061223A" w:rsidRPr="0060289E" w:rsidRDefault="0061223A" w:rsidP="0061223A">
      <w:pPr>
        <w:spacing w:line="360" w:lineRule="auto"/>
        <w:jc w:val="both"/>
        <w:rPr>
          <w:rFonts w:cs="David"/>
          <w:sz w:val="28"/>
          <w:szCs w:val="28"/>
        </w:rPr>
      </w:pPr>
    </w:p>
    <w:sectPr w:rsidR="0061223A" w:rsidRPr="0060289E" w:rsidSect="00E4374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D97"/>
    <w:rsid w:val="00530D69"/>
    <w:rsid w:val="0060289E"/>
    <w:rsid w:val="0061223A"/>
    <w:rsid w:val="007B22E3"/>
    <w:rsid w:val="008B7D97"/>
    <w:rsid w:val="009D0FD4"/>
    <w:rsid w:val="009D4093"/>
    <w:rsid w:val="00C35A66"/>
    <w:rsid w:val="00E437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506A7-ED2F-41B8-A7A8-0D4D9DD4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2045</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
    </vt:vector>
  </TitlesOfParts>
  <Company>Court</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אלכס קוגן</dc:creator>
  <cp:keywords/>
  <dc:description/>
  <cp:lastModifiedBy>NGCS</cp:lastModifiedBy>
  <cp:revision>2</cp:revision>
  <cp:lastPrinted>2016-01-31T11:37:00Z</cp:lastPrinted>
  <dcterms:created xsi:type="dcterms:W3CDTF">2016-02-03T07:44:00Z</dcterms:created>
  <dcterms:modified xsi:type="dcterms:W3CDTF">2016-02-03T07:44:00Z</dcterms:modified>
</cp:coreProperties>
</file>