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9C" w:rsidRDefault="00B4289C">
      <w:pPr>
        <w:pStyle w:val="a3"/>
        <w:tabs>
          <w:tab w:val="clear" w:pos="4153"/>
          <w:tab w:val="clear" w:pos="8306"/>
        </w:tabs>
        <w:rPr>
          <w:rtl/>
        </w:rPr>
      </w:pPr>
    </w:p>
    <w:p w:rsidR="00B4289C" w:rsidRPr="0069105C" w:rsidRDefault="00B4289C" w:rsidP="0069105C">
      <w:pPr>
        <w:jc w:val="right"/>
        <w:rPr>
          <w:rtl/>
        </w:rPr>
      </w:pPr>
      <w:r>
        <w:rPr>
          <w:rtl/>
        </w:rPr>
        <w:tab/>
      </w:r>
      <w:r>
        <w:rPr>
          <w:rtl/>
        </w:rPr>
        <w:tab/>
      </w:r>
      <w:r>
        <w:rPr>
          <w:rtl/>
        </w:rPr>
        <w:tab/>
      </w:r>
      <w:r>
        <w:rPr>
          <w:rtl/>
        </w:rPr>
        <w:tab/>
      </w:r>
      <w:r>
        <w:rPr>
          <w:rtl/>
        </w:rPr>
        <w:tab/>
        <w:t xml:space="preserve">          </w:t>
      </w:r>
      <w:proofErr w:type="spellStart"/>
      <w:r>
        <w:rPr>
          <w:rtl/>
        </w:rPr>
        <w:t>ירושלים,</w:t>
      </w:r>
      <w:bookmarkStart w:id="0" w:name="_GoBack"/>
      <w:bookmarkEnd w:id="0"/>
      <w:r w:rsidR="0069105C" w:rsidRPr="0069105C">
        <w:rPr>
          <w:rFonts w:hint="cs"/>
          <w:rtl/>
        </w:rPr>
        <w:t>ט"ז</w:t>
      </w:r>
      <w:proofErr w:type="spellEnd"/>
      <w:r w:rsidR="0069105C" w:rsidRPr="0069105C">
        <w:rPr>
          <w:rFonts w:hint="cs"/>
          <w:rtl/>
        </w:rPr>
        <w:t xml:space="preserve"> חשוון תשפ"א</w:t>
      </w:r>
    </w:p>
    <w:p w:rsidR="00D57FA2" w:rsidRDefault="0069105C" w:rsidP="00D57FA2">
      <w:pPr>
        <w:jc w:val="right"/>
        <w:rPr>
          <w:rtl/>
        </w:rPr>
      </w:pPr>
      <w:r>
        <w:rPr>
          <w:rFonts w:hint="cs"/>
          <w:rtl/>
        </w:rPr>
        <w:t>3 נובמבר, 2020</w:t>
      </w:r>
    </w:p>
    <w:p w:rsidR="00B4289C" w:rsidRDefault="00B4289C" w:rsidP="0069105C">
      <w:pPr>
        <w:jc w:val="right"/>
        <w:rPr>
          <w:szCs w:val="20"/>
          <w:rtl/>
        </w:rPr>
      </w:pPr>
      <w:r>
        <w:rPr>
          <w:szCs w:val="20"/>
          <w:rtl/>
        </w:rPr>
        <w:t xml:space="preserve">מס' תיק </w:t>
      </w:r>
      <w:r w:rsidR="0069105C">
        <w:rPr>
          <w:szCs w:val="20"/>
          <w:rtl/>
        </w:rPr>
        <w:t>–</w:t>
      </w:r>
      <w:r>
        <w:rPr>
          <w:szCs w:val="20"/>
          <w:rtl/>
        </w:rPr>
        <w:t xml:space="preserve"> </w:t>
      </w:r>
      <w:r w:rsidR="0069105C">
        <w:rPr>
          <w:rFonts w:hint="cs"/>
          <w:szCs w:val="20"/>
          <w:rtl/>
        </w:rPr>
        <w:t>67/2020</w:t>
      </w:r>
    </w:p>
    <w:p w:rsidR="00B4289C" w:rsidRDefault="00B4289C">
      <w:pPr>
        <w:rPr>
          <w:rtl/>
        </w:rPr>
      </w:pPr>
    </w:p>
    <w:p w:rsidR="00B4289C" w:rsidRDefault="00B4289C">
      <w:pPr>
        <w:rPr>
          <w:rtl/>
        </w:rPr>
      </w:pPr>
    </w:p>
    <w:p w:rsidR="00B4289C" w:rsidRDefault="00B4289C">
      <w:pPr>
        <w:rPr>
          <w:rtl/>
        </w:rPr>
      </w:pPr>
      <w:r>
        <w:rPr>
          <w:rtl/>
        </w:rPr>
        <w:t>לכבוד</w:t>
      </w:r>
    </w:p>
    <w:p w:rsidR="00B4289C" w:rsidRDefault="0069105C">
      <w:pPr>
        <w:rPr>
          <w:rtl/>
        </w:rPr>
      </w:pPr>
      <w:r>
        <w:rPr>
          <w:rFonts w:hint="cs"/>
          <w:rtl/>
        </w:rPr>
        <w:t>עו"ד אלעד מן</w:t>
      </w:r>
    </w:p>
    <w:p w:rsidR="00B4289C" w:rsidRDefault="00B4289C">
      <w:pPr>
        <w:rPr>
          <w:rtl/>
        </w:rPr>
      </w:pPr>
    </w:p>
    <w:p w:rsidR="00B4289C" w:rsidRDefault="00ED083D">
      <w:pPr>
        <w:rPr>
          <w:rtl/>
        </w:rPr>
      </w:pPr>
      <w:r>
        <w:rPr>
          <w:rFonts w:hint="cs"/>
          <w:rtl/>
        </w:rPr>
        <w:t>שלום רב,</w:t>
      </w:r>
    </w:p>
    <w:p w:rsidR="00B4289C" w:rsidRDefault="00B4289C">
      <w:pPr>
        <w:rPr>
          <w:rtl/>
        </w:rPr>
      </w:pPr>
    </w:p>
    <w:p w:rsidR="00EB33C1" w:rsidRDefault="00EB33C1" w:rsidP="00EB33C1">
      <w:pPr>
        <w:spacing w:line="300" w:lineRule="auto"/>
        <w:ind w:left="566" w:hanging="567"/>
        <w:jc w:val="center"/>
        <w:rPr>
          <w:b/>
          <w:bCs/>
          <w:szCs w:val="26"/>
          <w:u w:val="single"/>
          <w:rtl/>
        </w:rPr>
      </w:pPr>
      <w:r w:rsidRPr="001307A3">
        <w:rPr>
          <w:rFonts w:hint="eastAsia"/>
          <w:b/>
          <w:bCs/>
          <w:szCs w:val="26"/>
          <w:u w:val="single"/>
          <w:rtl/>
        </w:rPr>
        <w:t>הנדון</w:t>
      </w:r>
      <w:r w:rsidRPr="00676BF5">
        <w:rPr>
          <w:rFonts w:hint="cs"/>
          <w:b/>
          <w:bCs/>
          <w:szCs w:val="26"/>
          <w:u w:val="single"/>
          <w:rtl/>
        </w:rPr>
        <w:t>:</w:t>
      </w:r>
      <w:bookmarkStart w:id="1" w:name="About"/>
      <w:bookmarkEnd w:id="1"/>
      <w:r>
        <w:rPr>
          <w:b/>
          <w:bCs/>
          <w:szCs w:val="26"/>
          <w:u w:val="single"/>
          <w:rtl/>
        </w:rPr>
        <w:t xml:space="preserve"> </w:t>
      </w:r>
      <w:r>
        <w:rPr>
          <w:rFonts w:hint="cs"/>
          <w:b/>
          <w:bCs/>
          <w:szCs w:val="26"/>
          <w:u w:val="single"/>
          <w:rtl/>
        </w:rPr>
        <w:t xml:space="preserve">מענה </w:t>
      </w:r>
      <w:r>
        <w:rPr>
          <w:b/>
          <w:bCs/>
          <w:szCs w:val="26"/>
          <w:u w:val="single"/>
          <w:rtl/>
        </w:rPr>
        <w:t xml:space="preserve">בקשת חופש מידע </w:t>
      </w:r>
      <w:bookmarkStart w:id="2" w:name="Reference"/>
      <w:bookmarkEnd w:id="2"/>
      <w:r w:rsidRPr="001307A3">
        <w:rPr>
          <w:b/>
          <w:bCs/>
          <w:szCs w:val="26"/>
          <w:u w:val="single"/>
          <w:rtl/>
        </w:rPr>
        <w:t>מיום 08 ביוני 2020</w:t>
      </w:r>
    </w:p>
    <w:p w:rsidR="00EB33C1" w:rsidRPr="001307A3" w:rsidRDefault="00EB33C1" w:rsidP="00EB33C1">
      <w:pPr>
        <w:spacing w:line="300" w:lineRule="auto"/>
        <w:ind w:left="566" w:hanging="567"/>
        <w:rPr>
          <w:b/>
          <w:bCs/>
          <w:szCs w:val="26"/>
          <w:u w:val="single"/>
          <w:rtl/>
        </w:rPr>
      </w:pPr>
    </w:p>
    <w:p w:rsidR="00EB33C1" w:rsidRPr="004850FD" w:rsidRDefault="00EB33C1" w:rsidP="00EB33C1">
      <w:pPr>
        <w:spacing w:line="300" w:lineRule="auto"/>
        <w:jc w:val="both"/>
        <w:rPr>
          <w:szCs w:val="26"/>
          <w:rtl/>
        </w:rPr>
      </w:pPr>
      <w:bookmarkStart w:id="3" w:name="Start"/>
      <w:bookmarkEnd w:id="3"/>
    </w:p>
    <w:p w:rsidR="00EB33C1" w:rsidRPr="00A64613" w:rsidRDefault="00EB33C1" w:rsidP="00EB33C1">
      <w:pPr>
        <w:pStyle w:val="a5"/>
        <w:numPr>
          <w:ilvl w:val="0"/>
          <w:numId w:val="1"/>
        </w:numPr>
        <w:overflowPunct w:val="0"/>
        <w:autoSpaceDE w:val="0"/>
        <w:autoSpaceDN w:val="0"/>
        <w:adjustRightInd w:val="0"/>
        <w:spacing w:before="0" w:after="0"/>
        <w:contextualSpacing w:val="0"/>
        <w:textAlignment w:val="baseline"/>
      </w:pPr>
      <w:r w:rsidRPr="00A64613">
        <w:rPr>
          <w:rtl/>
        </w:rPr>
        <w:t xml:space="preserve">ביום </w:t>
      </w:r>
      <w:r>
        <w:rPr>
          <w:rFonts w:hint="cs"/>
          <w:rtl/>
        </w:rPr>
        <w:t>8</w:t>
      </w:r>
      <w:r w:rsidRPr="00A64613">
        <w:rPr>
          <w:rtl/>
        </w:rPr>
        <w:t xml:space="preserve"> </w:t>
      </w:r>
      <w:r>
        <w:rPr>
          <w:rFonts w:hint="cs"/>
          <w:rtl/>
        </w:rPr>
        <w:t>ביוני</w:t>
      </w:r>
      <w:r w:rsidRPr="00A64613">
        <w:rPr>
          <w:rtl/>
        </w:rPr>
        <w:t xml:space="preserve"> </w:t>
      </w:r>
      <w:r w:rsidRPr="00A64613">
        <w:rPr>
          <w:rFonts w:hint="cs"/>
          <w:rtl/>
        </w:rPr>
        <w:t>2020</w:t>
      </w:r>
      <w:r w:rsidRPr="00A64613">
        <w:rPr>
          <w:rtl/>
        </w:rPr>
        <w:t xml:space="preserve"> </w:t>
      </w:r>
      <w:r w:rsidRPr="00A64613">
        <w:rPr>
          <w:rFonts w:hint="cs"/>
          <w:rtl/>
        </w:rPr>
        <w:t>הגשתם</w:t>
      </w:r>
      <w:r w:rsidRPr="00A64613">
        <w:rPr>
          <w:rtl/>
        </w:rPr>
        <w:t xml:space="preserve"> בקשה לקבלת מידע לפי חוק חופש המידע, התשנ"ח-1998 (להלן</w:t>
      </w:r>
      <w:r w:rsidRPr="00A64613">
        <w:rPr>
          <w:rFonts w:hint="cs"/>
          <w:rtl/>
        </w:rPr>
        <w:t xml:space="preserve"> - </w:t>
      </w:r>
      <w:r w:rsidRPr="00086E34">
        <w:rPr>
          <w:b/>
          <w:bCs/>
          <w:rtl/>
        </w:rPr>
        <w:t>החוק</w:t>
      </w:r>
      <w:r w:rsidRPr="00A64613">
        <w:rPr>
          <w:rtl/>
        </w:rPr>
        <w:t>)</w:t>
      </w:r>
      <w:r w:rsidRPr="00A64613">
        <w:rPr>
          <w:rFonts w:hint="cs"/>
          <w:rtl/>
        </w:rPr>
        <w:t>.</w:t>
      </w:r>
    </w:p>
    <w:p w:rsidR="00EB33C1" w:rsidRDefault="00EB33C1" w:rsidP="00EB33C1">
      <w:pPr>
        <w:pStyle w:val="a5"/>
        <w:numPr>
          <w:ilvl w:val="0"/>
          <w:numId w:val="1"/>
        </w:numPr>
        <w:spacing w:line="300" w:lineRule="auto"/>
      </w:pPr>
      <w:r>
        <w:rPr>
          <w:rFonts w:hint="cs"/>
          <w:rtl/>
        </w:rPr>
        <w:t>לאחר בחינת בקשת חופש המידע על-ידי הגורמים הרלוונטיים במשרד המשפטים, הרינו להודיעכם שחל איסור על מסירת המידע המדויק כפי שהתבקש על ידכם, הואיל ומידע אודות טיב הזיקה המשפחתית בין עובדים הוא בגדר מידע אישי ורגיש, ככל ויש בו כדי לאפשר זיהוי של העובד אודותיו ניתן המידע, מסירת מידע כגון דא עולה כדי פגיעה בפרטיות.</w:t>
      </w:r>
    </w:p>
    <w:p w:rsidR="00EB33C1" w:rsidRDefault="00EB33C1" w:rsidP="00EB33C1">
      <w:pPr>
        <w:pStyle w:val="a5"/>
        <w:numPr>
          <w:ilvl w:val="0"/>
          <w:numId w:val="1"/>
        </w:numPr>
        <w:spacing w:line="300" w:lineRule="auto"/>
      </w:pPr>
      <w:r>
        <w:rPr>
          <w:rFonts w:hint="cs"/>
          <w:rtl/>
        </w:rPr>
        <w:t>לאור הנתונים המבוקשים ישנה אפשרות סבירה לזיהוי חלק מהעובדים באמצעים סבירים, על בסיס מידע זה ותוך הצלבות עם מידע גלוי. לאור האמור לעיל, המסקנה היא שמדובר במידע שאין למוסרו, בהתאם להוראות סעיף 9(א)(3) לחוק.</w:t>
      </w:r>
    </w:p>
    <w:p w:rsidR="00EB33C1" w:rsidRDefault="00EB33C1" w:rsidP="00EB33C1">
      <w:pPr>
        <w:pStyle w:val="a5"/>
        <w:numPr>
          <w:ilvl w:val="0"/>
          <w:numId w:val="1"/>
        </w:numPr>
        <w:spacing w:line="300" w:lineRule="auto"/>
      </w:pPr>
      <w:r>
        <w:rPr>
          <w:rFonts w:hint="cs"/>
          <w:rtl/>
        </w:rPr>
        <w:t>עם זאת, כיוון שניתן לצמצם את הפגיעה הפוטנציאלית בפרטיות העובדים לרמה שאינה עולה די פגיעה אסורה בפרטיות, בדרך של צמצום הפרטים שיימסרו אודות הזיקה המשפחתית המדויקת בין העובד לבין בן משפחתו, הוחלט לציין קרבת משפחה עקרונית וכללית.</w:t>
      </w:r>
    </w:p>
    <w:p w:rsidR="00EB33C1" w:rsidRDefault="00EB33C1" w:rsidP="00EB33C1">
      <w:pPr>
        <w:pStyle w:val="a5"/>
        <w:numPr>
          <w:ilvl w:val="0"/>
          <w:numId w:val="1"/>
        </w:numPr>
        <w:spacing w:line="300" w:lineRule="auto"/>
      </w:pPr>
      <w:r>
        <w:rPr>
          <w:rFonts w:hint="cs"/>
          <w:rtl/>
        </w:rPr>
        <w:t>להלן המידע המבוקש, שאינו עולה כדי פגיעה בפרטיות:</w:t>
      </w:r>
    </w:p>
    <w:p w:rsidR="00EB33C1" w:rsidRDefault="00EB33C1" w:rsidP="00EB33C1">
      <w:pPr>
        <w:spacing w:line="300" w:lineRule="auto"/>
        <w:rPr>
          <w:rtl/>
        </w:rPr>
      </w:pPr>
    </w:p>
    <w:tbl>
      <w:tblPr>
        <w:tblStyle w:val="a6"/>
        <w:bidiVisual/>
        <w:tblW w:w="0" w:type="auto"/>
        <w:jc w:val="center"/>
        <w:tblLook w:val="04A0" w:firstRow="1" w:lastRow="0" w:firstColumn="1" w:lastColumn="0" w:noHBand="0" w:noVBand="1"/>
      </w:tblPr>
      <w:tblGrid>
        <w:gridCol w:w="1631"/>
        <w:gridCol w:w="926"/>
        <w:gridCol w:w="777"/>
        <w:gridCol w:w="781"/>
        <w:gridCol w:w="1146"/>
        <w:gridCol w:w="1172"/>
        <w:gridCol w:w="781"/>
        <w:gridCol w:w="599"/>
        <w:gridCol w:w="875"/>
      </w:tblGrid>
      <w:tr w:rsidR="00EB33C1" w:rsidRPr="0010739F" w:rsidTr="00877626">
        <w:trPr>
          <w:trHeight w:val="828"/>
          <w:jc w:val="center"/>
        </w:trPr>
        <w:tc>
          <w:tcPr>
            <w:tcW w:w="1631" w:type="dxa"/>
            <w:noWrap/>
            <w:hideMark/>
          </w:tcPr>
          <w:p w:rsidR="00EB33C1" w:rsidRPr="0010739F" w:rsidRDefault="00EB33C1" w:rsidP="00877626">
            <w:pPr>
              <w:spacing w:line="300" w:lineRule="auto"/>
              <w:rPr>
                <w:rFonts w:ascii="David" w:hAnsi="David"/>
                <w:b/>
                <w:bCs/>
                <w:sz w:val="20"/>
                <w:szCs w:val="20"/>
              </w:rPr>
            </w:pPr>
            <w:r w:rsidRPr="0010739F">
              <w:rPr>
                <w:rFonts w:ascii="David" w:hAnsi="David"/>
                <w:b/>
                <w:bCs/>
                <w:sz w:val="20"/>
                <w:szCs w:val="20"/>
                <w:rtl/>
              </w:rPr>
              <w:t xml:space="preserve">תפקיד העובד </w:t>
            </w:r>
          </w:p>
        </w:tc>
        <w:tc>
          <w:tcPr>
            <w:tcW w:w="926"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מגדר העובד</w:t>
            </w:r>
          </w:p>
        </w:tc>
        <w:tc>
          <w:tcPr>
            <w:tcW w:w="777"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ותק העובד</w:t>
            </w:r>
          </w:p>
        </w:tc>
        <w:tc>
          <w:tcPr>
            <w:tcW w:w="781"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אופן העסקה</w:t>
            </w:r>
          </w:p>
        </w:tc>
        <w:tc>
          <w:tcPr>
            <w:tcW w:w="1146"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מספר קרובי משפחה מועסקים לאותו עובד</w:t>
            </w:r>
          </w:p>
        </w:tc>
        <w:tc>
          <w:tcPr>
            <w:tcW w:w="1172"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 xml:space="preserve">תפקיד </w:t>
            </w:r>
            <w:r>
              <w:rPr>
                <w:rFonts w:ascii="David" w:hAnsi="David" w:hint="cs"/>
                <w:b/>
                <w:bCs/>
                <w:sz w:val="20"/>
                <w:szCs w:val="20"/>
                <w:rtl/>
              </w:rPr>
              <w:t>קרוב המשפחה</w:t>
            </w:r>
            <w:r w:rsidRPr="0010739F">
              <w:rPr>
                <w:rFonts w:ascii="David" w:hAnsi="David"/>
                <w:b/>
                <w:bCs/>
                <w:sz w:val="20"/>
                <w:szCs w:val="20"/>
                <w:rtl/>
              </w:rPr>
              <w:t xml:space="preserve"> </w:t>
            </w:r>
          </w:p>
        </w:tc>
        <w:tc>
          <w:tcPr>
            <w:tcW w:w="781"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אופן העסקה</w:t>
            </w:r>
          </w:p>
        </w:tc>
        <w:tc>
          <w:tcPr>
            <w:tcW w:w="599"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מגדר</w:t>
            </w:r>
          </w:p>
        </w:tc>
        <w:tc>
          <w:tcPr>
            <w:tcW w:w="875" w:type="dxa"/>
            <w:hideMark/>
          </w:tcPr>
          <w:p w:rsidR="00EB33C1" w:rsidRPr="0010739F" w:rsidRDefault="00EB33C1" w:rsidP="00877626">
            <w:pPr>
              <w:spacing w:line="300" w:lineRule="auto"/>
              <w:rPr>
                <w:rFonts w:ascii="David" w:hAnsi="David"/>
                <w:b/>
                <w:bCs/>
                <w:sz w:val="20"/>
                <w:szCs w:val="20"/>
                <w:rtl/>
              </w:rPr>
            </w:pPr>
            <w:r w:rsidRPr="0010739F">
              <w:rPr>
                <w:rFonts w:ascii="David" w:hAnsi="David"/>
                <w:b/>
                <w:bCs/>
                <w:sz w:val="20"/>
                <w:szCs w:val="20"/>
                <w:rtl/>
              </w:rPr>
              <w:t>ותק</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 xml:space="preserve">מנהלת ענף </w:t>
            </w:r>
            <w:r>
              <w:rPr>
                <w:rFonts w:ascii="David" w:hAnsi="David" w:hint="cs"/>
                <w:sz w:val="20"/>
                <w:szCs w:val="20"/>
                <w:rtl/>
              </w:rPr>
              <w:t xml:space="preserve"> </w:t>
            </w:r>
            <w:proofErr w:type="spellStart"/>
            <w:r>
              <w:rPr>
                <w:rFonts w:ascii="David" w:hAnsi="David" w:hint="cs"/>
                <w:sz w:val="20"/>
                <w:szCs w:val="20"/>
                <w:rtl/>
              </w:rPr>
              <w:t>תיקיון</w:t>
            </w:r>
            <w:proofErr w:type="spellEnd"/>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אגף ההון האנושי</w:t>
            </w:r>
          </w:p>
        </w:tc>
        <w:tc>
          <w:tcPr>
            <w:tcW w:w="92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נקבה</w:t>
            </w:r>
          </w:p>
        </w:tc>
        <w:tc>
          <w:tcPr>
            <w:tcW w:w="777"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33</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קבוע</w:t>
            </w:r>
          </w:p>
        </w:tc>
        <w:tc>
          <w:tcPr>
            <w:tcW w:w="114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 xml:space="preserve">מרכז קניינות </w:t>
            </w:r>
            <w:r>
              <w:rPr>
                <w:rFonts w:ascii="David" w:hAnsi="David"/>
                <w:sz w:val="20"/>
                <w:szCs w:val="20"/>
                <w:rtl/>
              </w:rPr>
              <w:t>–</w:t>
            </w:r>
            <w:r>
              <w:rPr>
                <w:rFonts w:ascii="David" w:hAnsi="David" w:hint="cs"/>
                <w:sz w:val="20"/>
                <w:szCs w:val="20"/>
                <w:rtl/>
              </w:rPr>
              <w:t xml:space="preserve"> תכנון ותקצוב</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קבוע</w:t>
            </w:r>
          </w:p>
        </w:tc>
        <w:tc>
          <w:tcPr>
            <w:tcW w:w="599"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875"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20</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 xml:space="preserve">מנהל תחום </w:t>
            </w:r>
            <w:r>
              <w:rPr>
                <w:rFonts w:ascii="David" w:hAnsi="David" w:hint="cs"/>
                <w:sz w:val="20"/>
                <w:szCs w:val="20"/>
                <w:rtl/>
              </w:rPr>
              <w:t xml:space="preserve">בטיחות </w:t>
            </w:r>
            <w:r>
              <w:rPr>
                <w:rFonts w:ascii="David" w:hAnsi="David"/>
                <w:sz w:val="20"/>
                <w:szCs w:val="20"/>
                <w:rtl/>
              </w:rPr>
              <w:t>–</w:t>
            </w:r>
            <w:r>
              <w:rPr>
                <w:rFonts w:ascii="David" w:hAnsi="David" w:hint="cs"/>
                <w:sz w:val="20"/>
                <w:szCs w:val="20"/>
                <w:rtl/>
              </w:rPr>
              <w:t xml:space="preserve"> </w:t>
            </w:r>
            <w:proofErr w:type="spellStart"/>
            <w:r>
              <w:rPr>
                <w:rFonts w:ascii="David" w:hAnsi="David" w:hint="cs"/>
                <w:sz w:val="20"/>
                <w:szCs w:val="20"/>
                <w:rtl/>
              </w:rPr>
              <w:t>מינהל</w:t>
            </w:r>
            <w:proofErr w:type="spellEnd"/>
            <w:r>
              <w:rPr>
                <w:rFonts w:ascii="David" w:hAnsi="David" w:hint="cs"/>
                <w:sz w:val="20"/>
                <w:szCs w:val="20"/>
                <w:rtl/>
              </w:rPr>
              <w:t xml:space="preserve"> הרכב הממשלתי</w:t>
            </w:r>
          </w:p>
        </w:tc>
        <w:tc>
          <w:tcPr>
            <w:tcW w:w="92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777"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28</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קבוע</w:t>
            </w:r>
          </w:p>
        </w:tc>
        <w:tc>
          <w:tcPr>
            <w:tcW w:w="114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חשבת בכירה</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החשב הכללי</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חוזה</w:t>
            </w:r>
          </w:p>
        </w:tc>
        <w:tc>
          <w:tcPr>
            <w:tcW w:w="599"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נקבה</w:t>
            </w:r>
          </w:p>
        </w:tc>
        <w:tc>
          <w:tcPr>
            <w:tcW w:w="875"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26</w:t>
            </w:r>
          </w:p>
        </w:tc>
      </w:tr>
      <w:tr w:rsidR="00EB33C1" w:rsidRPr="0010739F" w:rsidTr="00877626">
        <w:trPr>
          <w:trHeight w:val="276"/>
          <w:jc w:val="center"/>
        </w:trPr>
        <w:tc>
          <w:tcPr>
            <w:tcW w:w="1631"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מנהל תחום</w:t>
            </w:r>
            <w:r>
              <w:rPr>
                <w:rFonts w:ascii="David" w:hAnsi="David" w:hint="cs"/>
                <w:sz w:val="20"/>
                <w:szCs w:val="20"/>
                <w:rtl/>
              </w:rPr>
              <w:t xml:space="preserve"> ועדות רפואיות </w:t>
            </w:r>
            <w:r>
              <w:rPr>
                <w:rFonts w:ascii="David" w:hAnsi="David"/>
                <w:sz w:val="20"/>
                <w:szCs w:val="20"/>
                <w:rtl/>
              </w:rPr>
              <w:t>–</w:t>
            </w:r>
            <w:r>
              <w:rPr>
                <w:rFonts w:ascii="David" w:hAnsi="David" w:hint="cs"/>
                <w:sz w:val="20"/>
                <w:szCs w:val="20"/>
                <w:rtl/>
              </w:rPr>
              <w:t xml:space="preserve"> הרשות </w:t>
            </w:r>
            <w:r>
              <w:rPr>
                <w:rFonts w:ascii="David" w:hAnsi="David" w:hint="cs"/>
                <w:sz w:val="20"/>
                <w:szCs w:val="20"/>
                <w:rtl/>
              </w:rPr>
              <w:lastRenderedPageBreak/>
              <w:t>לזכויות ניצולי השואה</w:t>
            </w:r>
          </w:p>
        </w:tc>
        <w:tc>
          <w:tcPr>
            <w:tcW w:w="92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lastRenderedPageBreak/>
              <w:t>זכר</w:t>
            </w:r>
          </w:p>
        </w:tc>
        <w:tc>
          <w:tcPr>
            <w:tcW w:w="777"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10</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קבוע</w:t>
            </w:r>
          </w:p>
        </w:tc>
        <w:tc>
          <w:tcPr>
            <w:tcW w:w="1146"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מנהלת ענף</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הרשות לזכויות </w:t>
            </w:r>
            <w:r>
              <w:rPr>
                <w:rFonts w:ascii="David" w:hAnsi="David" w:hint="cs"/>
                <w:sz w:val="20"/>
                <w:szCs w:val="20"/>
                <w:rtl/>
              </w:rPr>
              <w:lastRenderedPageBreak/>
              <w:t>ניצולי השואה</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lastRenderedPageBreak/>
              <w:t>קבוע</w:t>
            </w:r>
          </w:p>
        </w:tc>
        <w:tc>
          <w:tcPr>
            <w:tcW w:w="599"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נקבה</w:t>
            </w:r>
          </w:p>
        </w:tc>
        <w:tc>
          <w:tcPr>
            <w:tcW w:w="875"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9</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מרכז בכיר</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אגף ההון האנושי</w:t>
            </w:r>
            <w:r w:rsidRPr="0010739F">
              <w:rPr>
                <w:rFonts w:ascii="David" w:hAnsi="David"/>
                <w:sz w:val="20"/>
                <w:szCs w:val="20"/>
                <w:rtl/>
              </w:rPr>
              <w:t xml:space="preserve"> </w:t>
            </w:r>
          </w:p>
        </w:tc>
        <w:tc>
          <w:tcPr>
            <w:tcW w:w="92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777"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20</w:t>
            </w:r>
          </w:p>
        </w:tc>
        <w:tc>
          <w:tcPr>
            <w:tcW w:w="78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קבוע</w:t>
            </w:r>
          </w:p>
        </w:tc>
        <w:tc>
          <w:tcPr>
            <w:tcW w:w="114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מנהלת מדור</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w:t>
            </w:r>
            <w:proofErr w:type="spellStart"/>
            <w:r>
              <w:rPr>
                <w:rFonts w:ascii="David" w:hAnsi="David" w:hint="cs"/>
                <w:sz w:val="20"/>
                <w:szCs w:val="20"/>
                <w:rtl/>
              </w:rPr>
              <w:t>מינהלת</w:t>
            </w:r>
            <w:proofErr w:type="spellEnd"/>
            <w:r>
              <w:rPr>
                <w:rFonts w:ascii="David" w:hAnsi="David" w:hint="cs"/>
                <w:sz w:val="20"/>
                <w:szCs w:val="20"/>
                <w:rtl/>
              </w:rPr>
              <w:t xml:space="preserve"> הגמלאות</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קבוע</w:t>
            </w:r>
          </w:p>
        </w:tc>
        <w:tc>
          <w:tcPr>
            <w:tcW w:w="599"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נקבה</w:t>
            </w:r>
          </w:p>
        </w:tc>
        <w:tc>
          <w:tcPr>
            <w:tcW w:w="875"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5</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מנהל תחום</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w:t>
            </w:r>
            <w:proofErr w:type="spellStart"/>
            <w:r>
              <w:rPr>
                <w:rFonts w:ascii="David" w:hAnsi="David" w:hint="cs"/>
                <w:sz w:val="20"/>
                <w:szCs w:val="20"/>
                <w:rtl/>
              </w:rPr>
              <w:t>מינהלת</w:t>
            </w:r>
            <w:proofErr w:type="spellEnd"/>
            <w:r>
              <w:rPr>
                <w:rFonts w:ascii="David" w:hAnsi="David" w:hint="cs"/>
                <w:sz w:val="20"/>
                <w:szCs w:val="20"/>
                <w:rtl/>
              </w:rPr>
              <w:t xml:space="preserve"> הגמלאות</w:t>
            </w:r>
          </w:p>
        </w:tc>
        <w:tc>
          <w:tcPr>
            <w:tcW w:w="92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777"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27</w:t>
            </w:r>
          </w:p>
        </w:tc>
        <w:tc>
          <w:tcPr>
            <w:tcW w:w="78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קבוע</w:t>
            </w:r>
          </w:p>
        </w:tc>
        <w:tc>
          <w:tcPr>
            <w:tcW w:w="114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מרכז בכיר</w:t>
            </w:r>
            <w:r>
              <w:rPr>
                <w:rFonts w:ascii="David" w:hAnsi="David" w:hint="cs"/>
                <w:sz w:val="20"/>
                <w:szCs w:val="20"/>
                <w:rtl/>
              </w:rPr>
              <w:t xml:space="preserve"> התקשרויות </w:t>
            </w:r>
            <w:r>
              <w:rPr>
                <w:rFonts w:ascii="David" w:hAnsi="David"/>
                <w:sz w:val="20"/>
                <w:szCs w:val="20"/>
                <w:rtl/>
              </w:rPr>
              <w:t>–</w:t>
            </w:r>
            <w:r>
              <w:rPr>
                <w:rFonts w:ascii="David" w:hAnsi="David" w:hint="cs"/>
                <w:sz w:val="20"/>
                <w:szCs w:val="20"/>
                <w:rtl/>
              </w:rPr>
              <w:t xml:space="preserve"> אגף כספים</w:t>
            </w:r>
            <w:r w:rsidRPr="0010739F">
              <w:rPr>
                <w:rFonts w:ascii="David" w:hAnsi="David"/>
                <w:sz w:val="20"/>
                <w:szCs w:val="20"/>
                <w:rtl/>
              </w:rPr>
              <w:t xml:space="preserve"> </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חוזה</w:t>
            </w:r>
          </w:p>
        </w:tc>
        <w:tc>
          <w:tcPr>
            <w:tcW w:w="599"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875"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2</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 xml:space="preserve">מנהל מדור </w:t>
            </w:r>
            <w:proofErr w:type="spellStart"/>
            <w:r>
              <w:rPr>
                <w:rFonts w:ascii="David" w:hAnsi="David" w:hint="cs"/>
                <w:sz w:val="20"/>
                <w:szCs w:val="20"/>
                <w:rtl/>
              </w:rPr>
              <w:t>תיקיון</w:t>
            </w:r>
            <w:proofErr w:type="spellEnd"/>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w:t>
            </w:r>
            <w:proofErr w:type="spellStart"/>
            <w:r>
              <w:rPr>
                <w:rFonts w:ascii="David" w:hAnsi="David" w:hint="cs"/>
                <w:sz w:val="20"/>
                <w:szCs w:val="20"/>
                <w:rtl/>
              </w:rPr>
              <w:t>מינהלת</w:t>
            </w:r>
            <w:proofErr w:type="spellEnd"/>
            <w:r>
              <w:rPr>
                <w:rFonts w:ascii="David" w:hAnsi="David" w:hint="cs"/>
                <w:sz w:val="20"/>
                <w:szCs w:val="20"/>
                <w:rtl/>
              </w:rPr>
              <w:t xml:space="preserve"> הגמלאות</w:t>
            </w:r>
          </w:p>
        </w:tc>
        <w:tc>
          <w:tcPr>
            <w:tcW w:w="92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777"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25</w:t>
            </w:r>
          </w:p>
        </w:tc>
        <w:tc>
          <w:tcPr>
            <w:tcW w:w="78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קבוע</w:t>
            </w:r>
          </w:p>
        </w:tc>
        <w:tc>
          <w:tcPr>
            <w:tcW w:w="114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 xml:space="preserve">כלכלן </w:t>
            </w:r>
            <w:r>
              <w:rPr>
                <w:rFonts w:ascii="David" w:hAnsi="David"/>
                <w:sz w:val="20"/>
                <w:szCs w:val="20"/>
                <w:rtl/>
              </w:rPr>
              <w:t>–</w:t>
            </w:r>
            <w:r>
              <w:rPr>
                <w:rFonts w:ascii="David" w:hAnsi="David" w:hint="cs"/>
                <w:sz w:val="20"/>
                <w:szCs w:val="20"/>
                <w:rtl/>
              </w:rPr>
              <w:t xml:space="preserve"> יחידת פיקוח רשות החברות</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חוזה</w:t>
            </w:r>
          </w:p>
        </w:tc>
        <w:tc>
          <w:tcPr>
            <w:tcW w:w="599"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875"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r>
      <w:tr w:rsidR="00EB33C1" w:rsidRPr="0010739F" w:rsidTr="00877626">
        <w:trPr>
          <w:trHeight w:val="552"/>
          <w:jc w:val="center"/>
        </w:trPr>
        <w:tc>
          <w:tcPr>
            <w:tcW w:w="163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נהג תחבורה</w:t>
            </w:r>
          </w:p>
        </w:tc>
        <w:tc>
          <w:tcPr>
            <w:tcW w:w="92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777"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3</w:t>
            </w:r>
          </w:p>
        </w:tc>
        <w:tc>
          <w:tcPr>
            <w:tcW w:w="78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קבוע</w:t>
            </w:r>
          </w:p>
        </w:tc>
        <w:tc>
          <w:tcPr>
            <w:tcW w:w="114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 xml:space="preserve">סטודנט </w:t>
            </w:r>
            <w:r>
              <w:rPr>
                <w:rFonts w:ascii="David" w:hAnsi="David" w:hint="cs"/>
                <w:sz w:val="20"/>
                <w:szCs w:val="20"/>
                <w:rtl/>
              </w:rPr>
              <w:t xml:space="preserve"> - אגף החשב הכללי</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שעתי</w:t>
            </w:r>
          </w:p>
        </w:tc>
        <w:tc>
          <w:tcPr>
            <w:tcW w:w="599"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875"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r>
      <w:tr w:rsidR="00EB33C1" w:rsidRPr="0010739F" w:rsidTr="00877626">
        <w:trPr>
          <w:trHeight w:val="552"/>
          <w:jc w:val="center"/>
        </w:trPr>
        <w:tc>
          <w:tcPr>
            <w:tcW w:w="1631" w:type="dxa"/>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מנהלת תחום</w:t>
            </w:r>
            <w:r>
              <w:rPr>
                <w:rFonts w:ascii="David" w:hAnsi="David" w:hint="cs"/>
                <w:sz w:val="20"/>
                <w:szCs w:val="20"/>
                <w:rtl/>
              </w:rPr>
              <w:t xml:space="preserve"> מטה </w:t>
            </w:r>
            <w:proofErr w:type="spellStart"/>
            <w:r>
              <w:rPr>
                <w:rFonts w:ascii="David" w:hAnsi="David" w:hint="cs"/>
                <w:sz w:val="20"/>
                <w:szCs w:val="20"/>
                <w:rtl/>
              </w:rPr>
              <w:t>ומינהל</w:t>
            </w:r>
            <w:proofErr w:type="spellEnd"/>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w:t>
            </w:r>
            <w:proofErr w:type="spellStart"/>
            <w:r>
              <w:rPr>
                <w:rFonts w:ascii="David" w:hAnsi="David" w:hint="cs"/>
                <w:sz w:val="20"/>
                <w:szCs w:val="20"/>
                <w:rtl/>
              </w:rPr>
              <w:t>מינהלת</w:t>
            </w:r>
            <w:proofErr w:type="spellEnd"/>
            <w:r>
              <w:rPr>
                <w:rFonts w:ascii="David" w:hAnsi="David" w:hint="cs"/>
                <w:sz w:val="20"/>
                <w:szCs w:val="20"/>
                <w:rtl/>
              </w:rPr>
              <w:t xml:space="preserve"> הגמלאות</w:t>
            </w:r>
            <w:r w:rsidRPr="0010739F">
              <w:rPr>
                <w:rFonts w:ascii="David" w:hAnsi="David"/>
                <w:sz w:val="20"/>
                <w:szCs w:val="20"/>
                <w:rtl/>
              </w:rPr>
              <w:t xml:space="preserve"> </w:t>
            </w:r>
          </w:p>
        </w:tc>
        <w:tc>
          <w:tcPr>
            <w:tcW w:w="926" w:type="dxa"/>
            <w:noWrap/>
            <w:hideMark/>
          </w:tcPr>
          <w:p w:rsidR="00EB33C1" w:rsidRPr="004A5E43" w:rsidRDefault="00EB33C1" w:rsidP="00877626">
            <w:pPr>
              <w:spacing w:line="300" w:lineRule="auto"/>
              <w:rPr>
                <w:rFonts w:ascii="David" w:hAnsi="David"/>
                <w:sz w:val="20"/>
                <w:szCs w:val="20"/>
                <w:rtl/>
              </w:rPr>
            </w:pPr>
            <w:r w:rsidRPr="0010739F">
              <w:rPr>
                <w:rFonts w:ascii="David" w:hAnsi="David"/>
                <w:sz w:val="20"/>
                <w:szCs w:val="20"/>
              </w:rPr>
              <w:t> </w:t>
            </w:r>
            <w:r>
              <w:rPr>
                <w:rFonts w:ascii="David" w:hAnsi="David" w:hint="cs"/>
                <w:sz w:val="20"/>
                <w:szCs w:val="20"/>
                <w:rtl/>
              </w:rPr>
              <w:t>נקבה</w:t>
            </w:r>
          </w:p>
        </w:tc>
        <w:tc>
          <w:tcPr>
            <w:tcW w:w="777"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Pr>
              <w:t>30</w:t>
            </w:r>
          </w:p>
        </w:tc>
        <w:tc>
          <w:tcPr>
            <w:tcW w:w="781" w:type="dxa"/>
            <w:noWrap/>
            <w:hideMark/>
          </w:tcPr>
          <w:p w:rsidR="00EB33C1" w:rsidRPr="0010739F" w:rsidRDefault="00EB33C1" w:rsidP="00877626">
            <w:pPr>
              <w:spacing w:line="300" w:lineRule="auto"/>
              <w:rPr>
                <w:rFonts w:ascii="David" w:hAnsi="David"/>
                <w:sz w:val="20"/>
                <w:szCs w:val="20"/>
              </w:rPr>
            </w:pPr>
            <w:r w:rsidRPr="0010739F">
              <w:rPr>
                <w:rFonts w:ascii="David" w:hAnsi="David"/>
                <w:sz w:val="20"/>
                <w:szCs w:val="20"/>
                <w:rtl/>
              </w:rPr>
              <w:t>קבוע</w:t>
            </w:r>
          </w:p>
        </w:tc>
        <w:tc>
          <w:tcPr>
            <w:tcW w:w="1146"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c>
          <w:tcPr>
            <w:tcW w:w="1172"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סטודנט</w:t>
            </w:r>
            <w:r>
              <w:rPr>
                <w:rFonts w:ascii="David" w:hAnsi="David" w:hint="cs"/>
                <w:sz w:val="20"/>
                <w:szCs w:val="20"/>
                <w:rtl/>
              </w:rPr>
              <w:t xml:space="preserve"> </w:t>
            </w:r>
            <w:r>
              <w:rPr>
                <w:rFonts w:ascii="David" w:hAnsi="David"/>
                <w:sz w:val="20"/>
                <w:szCs w:val="20"/>
                <w:rtl/>
              </w:rPr>
              <w:t>–</w:t>
            </w:r>
            <w:r>
              <w:rPr>
                <w:rFonts w:ascii="David" w:hAnsi="David" w:hint="cs"/>
                <w:sz w:val="20"/>
                <w:szCs w:val="20"/>
                <w:rtl/>
              </w:rPr>
              <w:t xml:space="preserve"> אגף כספים</w:t>
            </w:r>
          </w:p>
        </w:tc>
        <w:tc>
          <w:tcPr>
            <w:tcW w:w="781" w:type="dxa"/>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שעתי</w:t>
            </w:r>
          </w:p>
        </w:tc>
        <w:tc>
          <w:tcPr>
            <w:tcW w:w="599"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tl/>
              </w:rPr>
              <w:t>זכר</w:t>
            </w:r>
          </w:p>
        </w:tc>
        <w:tc>
          <w:tcPr>
            <w:tcW w:w="875" w:type="dxa"/>
            <w:noWrap/>
            <w:hideMark/>
          </w:tcPr>
          <w:p w:rsidR="00EB33C1" w:rsidRPr="0010739F" w:rsidRDefault="00EB33C1" w:rsidP="00877626">
            <w:pPr>
              <w:spacing w:line="300" w:lineRule="auto"/>
              <w:rPr>
                <w:rFonts w:ascii="David" w:hAnsi="David"/>
                <w:sz w:val="20"/>
                <w:szCs w:val="20"/>
                <w:rtl/>
              </w:rPr>
            </w:pPr>
            <w:r w:rsidRPr="0010739F">
              <w:rPr>
                <w:rFonts w:ascii="David" w:hAnsi="David"/>
                <w:sz w:val="20"/>
                <w:szCs w:val="20"/>
              </w:rPr>
              <w:t>1</w:t>
            </w:r>
          </w:p>
        </w:tc>
      </w:tr>
    </w:tbl>
    <w:p w:rsidR="00EB33C1" w:rsidRPr="003D5EB0" w:rsidRDefault="00EB33C1" w:rsidP="00EB33C1">
      <w:pPr>
        <w:spacing w:line="300" w:lineRule="auto"/>
        <w:rPr>
          <w:szCs w:val="26"/>
          <w:rtl/>
        </w:rPr>
      </w:pPr>
      <w:r>
        <w:rPr>
          <w:rFonts w:hint="cs"/>
          <w:rtl/>
        </w:rPr>
        <w:t xml:space="preserve"> </w:t>
      </w:r>
    </w:p>
    <w:p w:rsidR="00EB33C1" w:rsidRPr="004850FD" w:rsidRDefault="00EB33C1" w:rsidP="00EB33C1">
      <w:pPr>
        <w:spacing w:line="300" w:lineRule="auto"/>
        <w:jc w:val="both"/>
        <w:rPr>
          <w:szCs w:val="26"/>
          <w:rtl/>
        </w:rPr>
      </w:pPr>
    </w:p>
    <w:p w:rsidR="00EB33C1" w:rsidRPr="001307A3" w:rsidRDefault="00EB33C1" w:rsidP="00EB33C1">
      <w:pPr>
        <w:pStyle w:val="a5"/>
        <w:spacing w:line="300" w:lineRule="auto"/>
        <w:rPr>
          <w:rtl/>
        </w:rPr>
      </w:pPr>
    </w:p>
    <w:p w:rsidR="00EB33C1" w:rsidRPr="00A64613" w:rsidRDefault="00EB33C1" w:rsidP="00EB33C1">
      <w:pPr>
        <w:pStyle w:val="a5"/>
        <w:numPr>
          <w:ilvl w:val="0"/>
          <w:numId w:val="1"/>
        </w:numPr>
        <w:spacing w:line="300" w:lineRule="auto"/>
        <w:rPr>
          <w:rtl/>
        </w:rPr>
      </w:pPr>
      <w:r w:rsidRPr="00A64613">
        <w:rPr>
          <w:rtl/>
        </w:rPr>
        <w:t>הרינו להביא לידיעתך, כי לפי סעיף 17 לחוק באפשרותך להגיש תוך 45 ימים, עתירה מנהלי</w:t>
      </w:r>
      <w:r w:rsidRPr="00A64613">
        <w:rPr>
          <w:rFonts w:hint="cs"/>
          <w:rtl/>
        </w:rPr>
        <w:t>ת</w:t>
      </w:r>
      <w:r w:rsidRPr="00A64613">
        <w:rPr>
          <w:rtl/>
        </w:rPr>
        <w:t xml:space="preserve"> על החלטה זו לבית המשפט המחוזי ירושלים בשבתו כבית משפט לעניינים מנהליים.</w:t>
      </w:r>
    </w:p>
    <w:p w:rsidR="00EB33C1" w:rsidRPr="00B41EB1" w:rsidRDefault="00EB33C1" w:rsidP="00EB33C1">
      <w:pPr>
        <w:rPr>
          <w:rFonts w:ascii="David" w:hAnsi="David"/>
          <w:rtl/>
        </w:rPr>
      </w:pPr>
    </w:p>
    <w:p w:rsidR="00EB33C1" w:rsidRDefault="00EB33C1" w:rsidP="00EB33C1">
      <w:pPr>
        <w:ind w:left="5022"/>
        <w:jc w:val="center"/>
        <w:rPr>
          <w:rtl/>
        </w:rPr>
      </w:pPr>
      <w:r>
        <w:rPr>
          <w:rtl/>
        </w:rPr>
        <w:t>בכבוד רב ,</w:t>
      </w:r>
    </w:p>
    <w:p w:rsidR="00EB33C1" w:rsidRDefault="00EB33C1" w:rsidP="00EB33C1">
      <w:pPr>
        <w:ind w:left="5022"/>
        <w:jc w:val="center"/>
        <w:rPr>
          <w:rtl/>
        </w:rPr>
      </w:pPr>
      <w:r>
        <w:rPr>
          <w:noProof/>
        </w:rPr>
        <w:drawing>
          <wp:inline distT="0" distB="0" distL="0" distR="0" wp14:anchorId="6466EC6C" wp14:editId="5B88DCF9">
            <wp:extent cx="1200150" cy="447675"/>
            <wp:effectExtent l="0" t="0" r="0" b="0"/>
            <wp:docPr id="3" name="Picture 1"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EB33C1" w:rsidRDefault="00EB33C1" w:rsidP="00EB33C1">
      <w:pPr>
        <w:ind w:left="5022"/>
        <w:jc w:val="center"/>
        <w:rPr>
          <w:rtl/>
        </w:rPr>
      </w:pPr>
      <w:r>
        <w:rPr>
          <w:rFonts w:hint="cs"/>
          <w:rtl/>
        </w:rPr>
        <w:t>אנט קליימן</w:t>
      </w:r>
    </w:p>
    <w:p w:rsidR="00EB33C1" w:rsidRDefault="00EB33C1" w:rsidP="00EB33C1">
      <w:pPr>
        <w:ind w:left="5022"/>
        <w:jc w:val="center"/>
        <w:rPr>
          <w:rtl/>
        </w:rPr>
      </w:pPr>
      <w:r>
        <w:rPr>
          <w:rtl/>
        </w:rPr>
        <w:t>ממונה על פניות הציבור וחוק חופש המידע</w:t>
      </w:r>
    </w:p>
    <w:p w:rsidR="00B4289C" w:rsidRDefault="00B4289C">
      <w:pPr>
        <w:rPr>
          <w:rtl/>
        </w:rPr>
      </w:pPr>
    </w:p>
    <w:p w:rsidR="000503E2" w:rsidRDefault="000503E2">
      <w:pPr>
        <w:rPr>
          <w:rtl/>
        </w:rPr>
      </w:pPr>
    </w:p>
    <w:p w:rsidR="00B4289C" w:rsidRDefault="00B4289C"/>
    <w:sectPr w:rsidR="00B4289C">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64" w:rsidRDefault="00E20A64">
      <w:pPr>
        <w:spacing w:line="240" w:lineRule="auto"/>
      </w:pPr>
      <w:r>
        <w:separator/>
      </w:r>
    </w:p>
  </w:endnote>
  <w:endnote w:type="continuationSeparator" w:id="0">
    <w:p w:rsidR="00E20A64" w:rsidRDefault="00E20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64" w:rsidRDefault="00E20A64">
      <w:pPr>
        <w:spacing w:line="240" w:lineRule="auto"/>
      </w:pPr>
      <w:r>
        <w:separator/>
      </w:r>
    </w:p>
  </w:footnote>
  <w:footnote w:type="continuationSeparator" w:id="0">
    <w:p w:rsidR="00E20A64" w:rsidRDefault="00E20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69A4"/>
    <w:multiLevelType w:val="hybridMultilevel"/>
    <w:tmpl w:val="5722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24"/>
    <w:rsid w:val="000503E2"/>
    <w:rsid w:val="00063FAB"/>
    <w:rsid w:val="00153806"/>
    <w:rsid w:val="001F71DD"/>
    <w:rsid w:val="002E6886"/>
    <w:rsid w:val="00322324"/>
    <w:rsid w:val="003D55DA"/>
    <w:rsid w:val="00656CB2"/>
    <w:rsid w:val="0069105C"/>
    <w:rsid w:val="00B4289C"/>
    <w:rsid w:val="00D57FA2"/>
    <w:rsid w:val="00E20A64"/>
    <w:rsid w:val="00EA6CFA"/>
    <w:rsid w:val="00EB33C1"/>
    <w:rsid w:val="00ED083D"/>
    <w:rsid w:val="00F02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F024"/>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line="360" w:lineRule="auto"/>
      <w:textAlignment w:val="baseline"/>
    </w:pPr>
    <w:rPr>
      <w:rFonts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List Paragraph"/>
    <w:basedOn w:val="a"/>
    <w:uiPriority w:val="34"/>
    <w:qFormat/>
    <w:rsid w:val="00EB33C1"/>
    <w:pPr>
      <w:overflowPunct/>
      <w:autoSpaceDE/>
      <w:autoSpaceDN/>
      <w:adjustRightInd/>
      <w:spacing w:before="120" w:after="120"/>
      <w:ind w:left="720"/>
      <w:contextualSpacing/>
      <w:jc w:val="both"/>
      <w:textAlignment w:val="auto"/>
    </w:pPr>
    <w:rPr>
      <w:rFonts w:eastAsiaTheme="minorHAnsi" w:cs="FrankRuehl"/>
      <w:szCs w:val="26"/>
      <w:lang w:eastAsia="en-US"/>
    </w:rPr>
  </w:style>
  <w:style w:type="table" w:styleId="a6">
    <w:name w:val="Table Grid"/>
    <w:basedOn w:val="a1"/>
    <w:uiPriority w:val="59"/>
    <w:rsid w:val="00EB33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53806"/>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153806"/>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etapp\projects\information\fre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free.DOT</Template>
  <TotalTime>0</TotalTime>
  <Pages>2</Pages>
  <Words>347</Words>
  <Characters>1739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יובל לוי</cp:lastModifiedBy>
  <cp:revision>2</cp:revision>
  <cp:lastPrinted>2020-11-04T05:12:00Z</cp:lastPrinted>
  <dcterms:created xsi:type="dcterms:W3CDTF">2020-11-04T05:14:00Z</dcterms:created>
  <dcterms:modified xsi:type="dcterms:W3CDTF">2020-11-04T05:14:00Z</dcterms:modified>
</cp:coreProperties>
</file>