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22" w:rsidRPr="00C152F8" w:rsidRDefault="002453CF" w:rsidP="00B16422">
      <w:pPr>
        <w:spacing w:line="192" w:lineRule="auto"/>
        <w:rPr>
          <w:sz w:val="18"/>
          <w:szCs w:val="18"/>
          <w:rtl/>
        </w:rPr>
      </w:pPr>
      <w:r w:rsidRPr="00C152F8">
        <w:rPr>
          <w:rFonts w:cs="David" w:hint="cs"/>
          <w:b/>
          <w:bCs/>
          <w:sz w:val="18"/>
          <w:szCs w:val="18"/>
          <w:rtl/>
        </w:rPr>
        <w:t xml:space="preserve">                             </w:t>
      </w:r>
      <w:r w:rsidR="006B7B96" w:rsidRPr="00C152F8">
        <w:rPr>
          <w:rFonts w:cs="David" w:hint="cs"/>
          <w:b/>
          <w:bCs/>
          <w:sz w:val="18"/>
          <w:szCs w:val="18"/>
          <w:rtl/>
        </w:rPr>
        <w:t xml:space="preserve">           </w:t>
      </w:r>
      <w:r w:rsidR="006C3B1F" w:rsidRPr="00C152F8">
        <w:rPr>
          <w:rFonts w:cs="David" w:hint="cs"/>
          <w:b/>
          <w:bCs/>
          <w:sz w:val="18"/>
          <w:szCs w:val="18"/>
          <w:rtl/>
        </w:rPr>
        <w:t xml:space="preserve">                </w:t>
      </w:r>
      <w:r w:rsidRPr="00C152F8">
        <w:rPr>
          <w:rFonts w:cs="David" w:hint="cs"/>
          <w:b/>
          <w:bCs/>
          <w:sz w:val="18"/>
          <w:szCs w:val="18"/>
          <w:rtl/>
        </w:rPr>
        <w:t xml:space="preserve">  </w:t>
      </w:r>
      <w:r w:rsidR="001D42A7" w:rsidRPr="00C152F8">
        <w:rPr>
          <w:rFonts w:hint="cs"/>
          <w:b/>
          <w:bCs/>
          <w:sz w:val="18"/>
          <w:szCs w:val="18"/>
          <w:rtl/>
        </w:rPr>
        <w:t xml:space="preserve">  </w:t>
      </w:r>
    </w:p>
    <w:p w:rsidR="00983123" w:rsidRPr="00C152F8" w:rsidRDefault="001477AA" w:rsidP="001477AA">
      <w:pPr>
        <w:keepNext/>
        <w:tabs>
          <w:tab w:val="center" w:pos="6605"/>
        </w:tabs>
        <w:overflowPunct w:val="0"/>
        <w:autoSpaceDE w:val="0"/>
        <w:autoSpaceDN w:val="0"/>
        <w:adjustRightInd w:val="0"/>
        <w:spacing w:after="0" w:line="240" w:lineRule="auto"/>
        <w:jc w:val="right"/>
        <w:textAlignment w:val="baseline"/>
        <w:outlineLvl w:val="0"/>
        <w:rPr>
          <w:rFonts w:ascii="Times New Roman" w:eastAsia="Times New Roman" w:hAnsi="Times New Roman" w:cs="David"/>
          <w:noProof/>
          <w:color w:val="002060"/>
          <w:sz w:val="18"/>
          <w:szCs w:val="18"/>
        </w:rPr>
      </w:pPr>
      <w:r w:rsidRPr="00C152F8">
        <w:rPr>
          <w:rFonts w:ascii="Times New Roman" w:eastAsia="Times New Roman" w:hAnsi="Times New Roman" w:cs="David" w:hint="cs"/>
          <w:noProof/>
          <w:color w:val="002060"/>
          <w:sz w:val="18"/>
          <w:szCs w:val="18"/>
          <w:rtl/>
        </w:rPr>
        <w:t xml:space="preserve">ירושלים: </w:t>
      </w:r>
      <w:r w:rsidR="00983123" w:rsidRPr="00C152F8">
        <w:rPr>
          <w:rFonts w:ascii="Times New Roman" w:eastAsia="Times New Roman" w:hAnsi="Times New Roman" w:cs="David" w:hint="cs"/>
          <w:noProof/>
          <w:color w:val="002060"/>
          <w:sz w:val="18"/>
          <w:szCs w:val="18"/>
          <w:rtl/>
        </w:rPr>
        <w:fldChar w:fldCharType="begin"/>
      </w:r>
      <w:r w:rsidR="00983123" w:rsidRPr="00C152F8">
        <w:rPr>
          <w:rFonts w:ascii="Times New Roman" w:eastAsia="Times New Roman" w:hAnsi="Times New Roman" w:cs="David" w:hint="cs"/>
          <w:noProof/>
          <w:color w:val="002060"/>
          <w:sz w:val="18"/>
          <w:szCs w:val="18"/>
          <w:rtl/>
        </w:rPr>
        <w:instrText xml:space="preserve"> </w:instrText>
      </w:r>
      <w:r w:rsidR="00983123" w:rsidRPr="00C152F8">
        <w:rPr>
          <w:rFonts w:ascii="Times New Roman" w:eastAsia="Times New Roman" w:hAnsi="Times New Roman" w:cs="David"/>
          <w:noProof/>
          <w:color w:val="002060"/>
          <w:sz w:val="18"/>
          <w:szCs w:val="18"/>
        </w:rPr>
        <w:instrText>DOCPROPERTY  DocDateEng  \* MERGEFORMAT</w:instrText>
      </w:r>
      <w:r w:rsidR="00983123" w:rsidRPr="00C152F8">
        <w:rPr>
          <w:rFonts w:ascii="Times New Roman" w:eastAsia="Times New Roman" w:hAnsi="Times New Roman" w:cs="David" w:hint="cs"/>
          <w:noProof/>
          <w:color w:val="002060"/>
          <w:sz w:val="18"/>
          <w:szCs w:val="18"/>
          <w:rtl/>
        </w:rPr>
        <w:instrText xml:space="preserve"> </w:instrText>
      </w:r>
      <w:r w:rsidR="00983123" w:rsidRPr="00C152F8">
        <w:rPr>
          <w:rFonts w:ascii="Times New Roman" w:eastAsia="Times New Roman" w:hAnsi="Times New Roman" w:cs="David" w:hint="cs"/>
          <w:noProof/>
          <w:color w:val="002060"/>
          <w:sz w:val="18"/>
          <w:szCs w:val="18"/>
          <w:rtl/>
        </w:rPr>
        <w:fldChar w:fldCharType="separate"/>
      </w:r>
      <w:r w:rsidR="00432D23">
        <w:rPr>
          <w:rFonts w:ascii="Times New Roman" w:eastAsia="Times New Roman" w:hAnsi="Times New Roman" w:cs="David" w:hint="cs"/>
          <w:noProof/>
          <w:color w:val="002060"/>
          <w:sz w:val="18"/>
          <w:szCs w:val="18"/>
          <w:rtl/>
        </w:rPr>
        <w:t xml:space="preserve">07 </w:t>
      </w:r>
      <w:r w:rsidR="00983123" w:rsidRPr="00C152F8">
        <w:rPr>
          <w:rFonts w:ascii="Times New Roman" w:eastAsia="Times New Roman" w:hAnsi="Times New Roman" w:cs="David" w:hint="cs"/>
          <w:noProof/>
          <w:color w:val="002060"/>
          <w:sz w:val="18"/>
          <w:szCs w:val="18"/>
          <w:rtl/>
        </w:rPr>
        <w:t>בספטמבר 2020</w:t>
      </w:r>
      <w:r w:rsidR="00983123" w:rsidRPr="00C152F8">
        <w:rPr>
          <w:rFonts w:ascii="Times New Roman" w:eastAsia="Times New Roman" w:hAnsi="Times New Roman" w:cs="David" w:hint="cs"/>
          <w:noProof/>
          <w:color w:val="002060"/>
          <w:sz w:val="18"/>
          <w:szCs w:val="18"/>
          <w:rtl/>
        </w:rPr>
        <w:fldChar w:fldCharType="end"/>
      </w:r>
    </w:p>
    <w:p w:rsidR="00983123" w:rsidRPr="00C152F8" w:rsidRDefault="00983123" w:rsidP="001477AA">
      <w:pPr>
        <w:keepNext/>
        <w:tabs>
          <w:tab w:val="center" w:pos="6605"/>
        </w:tabs>
        <w:overflowPunct w:val="0"/>
        <w:autoSpaceDE w:val="0"/>
        <w:autoSpaceDN w:val="0"/>
        <w:adjustRightInd w:val="0"/>
        <w:spacing w:after="0" w:line="240" w:lineRule="auto"/>
        <w:jc w:val="right"/>
        <w:textAlignment w:val="baseline"/>
        <w:outlineLvl w:val="0"/>
        <w:rPr>
          <w:rFonts w:ascii="Times New Roman" w:eastAsia="Times New Roman" w:hAnsi="Times New Roman" w:cs="David"/>
          <w:noProof/>
          <w:color w:val="002060"/>
          <w:sz w:val="18"/>
          <w:szCs w:val="18"/>
          <w:rtl/>
        </w:rPr>
      </w:pPr>
      <w:r w:rsidRPr="00C152F8">
        <w:rPr>
          <w:rFonts w:ascii="Times New Roman" w:eastAsia="Times New Roman" w:hAnsi="Times New Roman" w:cs="David" w:hint="cs"/>
          <w:noProof/>
          <w:color w:val="002060"/>
          <w:sz w:val="18"/>
          <w:szCs w:val="18"/>
          <w:rtl/>
        </w:rPr>
        <w:t xml:space="preserve">                                                                                                   </w:t>
      </w:r>
      <w:r w:rsidRPr="00C152F8">
        <w:rPr>
          <w:rFonts w:ascii="Times New Roman" w:eastAsia="Times New Roman" w:hAnsi="Times New Roman" w:cs="David" w:hint="cs"/>
          <w:noProof/>
          <w:color w:val="002060"/>
          <w:sz w:val="18"/>
          <w:szCs w:val="18"/>
          <w:rtl/>
        </w:rPr>
        <w:fldChar w:fldCharType="begin"/>
      </w:r>
      <w:r w:rsidRPr="00C152F8">
        <w:rPr>
          <w:rFonts w:ascii="Times New Roman" w:eastAsia="Times New Roman" w:hAnsi="Times New Roman" w:cs="David" w:hint="cs"/>
          <w:noProof/>
          <w:color w:val="002060"/>
          <w:sz w:val="18"/>
          <w:szCs w:val="18"/>
          <w:rtl/>
        </w:rPr>
        <w:instrText xml:space="preserve"> </w:instrText>
      </w:r>
      <w:r w:rsidRPr="00C152F8">
        <w:rPr>
          <w:rFonts w:ascii="Times New Roman" w:eastAsia="Times New Roman" w:hAnsi="Times New Roman" w:cs="David"/>
          <w:noProof/>
          <w:color w:val="002060"/>
          <w:sz w:val="18"/>
          <w:szCs w:val="18"/>
        </w:rPr>
        <w:instrText>DOCPROPERTY  DocDateHeb  \* MERGEFORMAT</w:instrText>
      </w:r>
      <w:r w:rsidRPr="00C152F8">
        <w:rPr>
          <w:rFonts w:ascii="Times New Roman" w:eastAsia="Times New Roman" w:hAnsi="Times New Roman" w:cs="David" w:hint="cs"/>
          <w:noProof/>
          <w:color w:val="002060"/>
          <w:sz w:val="18"/>
          <w:szCs w:val="18"/>
          <w:rtl/>
        </w:rPr>
        <w:instrText xml:space="preserve"> </w:instrText>
      </w:r>
      <w:r w:rsidRPr="00C152F8">
        <w:rPr>
          <w:rFonts w:ascii="Times New Roman" w:eastAsia="Times New Roman" w:hAnsi="Times New Roman" w:cs="David" w:hint="cs"/>
          <w:noProof/>
          <w:color w:val="002060"/>
          <w:sz w:val="18"/>
          <w:szCs w:val="18"/>
          <w:rtl/>
        </w:rPr>
        <w:fldChar w:fldCharType="separate"/>
      </w:r>
      <w:r w:rsidR="00952CB8">
        <w:rPr>
          <w:rFonts w:ascii="Times New Roman" w:eastAsia="Times New Roman" w:hAnsi="Times New Roman" w:cs="David" w:hint="cs"/>
          <w:noProof/>
          <w:color w:val="002060"/>
          <w:sz w:val="18"/>
          <w:szCs w:val="18"/>
          <w:rtl/>
        </w:rPr>
        <w:t xml:space="preserve">י"ח </w:t>
      </w:r>
      <w:bookmarkStart w:id="0" w:name="_GoBack"/>
      <w:bookmarkEnd w:id="0"/>
      <w:r w:rsidRPr="00C152F8">
        <w:rPr>
          <w:rFonts w:ascii="Times New Roman" w:eastAsia="Times New Roman" w:hAnsi="Times New Roman" w:cs="David" w:hint="cs"/>
          <w:noProof/>
          <w:color w:val="002060"/>
          <w:sz w:val="18"/>
          <w:szCs w:val="18"/>
          <w:rtl/>
        </w:rPr>
        <w:t>באלול תש"ף</w:t>
      </w:r>
      <w:r w:rsidRPr="00C152F8">
        <w:rPr>
          <w:rFonts w:ascii="Times New Roman" w:eastAsia="Times New Roman" w:hAnsi="Times New Roman" w:cs="David" w:hint="cs"/>
          <w:noProof/>
          <w:color w:val="002060"/>
          <w:sz w:val="18"/>
          <w:szCs w:val="18"/>
          <w:rtl/>
        </w:rPr>
        <w:fldChar w:fldCharType="end"/>
      </w:r>
    </w:p>
    <w:p w:rsidR="00983123" w:rsidRPr="001477AA" w:rsidRDefault="00983123" w:rsidP="001477AA">
      <w:pPr>
        <w:keepNext/>
        <w:tabs>
          <w:tab w:val="center" w:pos="6605"/>
        </w:tabs>
        <w:overflowPunct w:val="0"/>
        <w:autoSpaceDE w:val="0"/>
        <w:autoSpaceDN w:val="0"/>
        <w:adjustRightInd w:val="0"/>
        <w:spacing w:after="0" w:line="240" w:lineRule="auto"/>
        <w:jc w:val="right"/>
        <w:textAlignment w:val="baseline"/>
        <w:outlineLvl w:val="0"/>
        <w:rPr>
          <w:rFonts w:ascii="Times New Roman" w:eastAsia="Times New Roman" w:hAnsi="Times New Roman" w:cs="David"/>
          <w:noProof/>
          <w:color w:val="002060"/>
          <w:sz w:val="24"/>
          <w:szCs w:val="24"/>
          <w:rtl/>
        </w:rPr>
      </w:pPr>
      <w:r w:rsidRPr="00C152F8">
        <w:rPr>
          <w:rFonts w:ascii="Times New Roman" w:eastAsia="Times New Roman" w:hAnsi="Times New Roman" w:cs="David" w:hint="cs"/>
          <w:noProof/>
          <w:color w:val="002060"/>
          <w:sz w:val="18"/>
          <w:szCs w:val="18"/>
          <w:rtl/>
        </w:rPr>
        <w:fldChar w:fldCharType="begin"/>
      </w:r>
      <w:r w:rsidRPr="00C152F8">
        <w:rPr>
          <w:rFonts w:ascii="Times New Roman" w:eastAsia="Times New Roman" w:hAnsi="Times New Roman" w:cs="David" w:hint="cs"/>
          <w:noProof/>
          <w:color w:val="002060"/>
          <w:sz w:val="18"/>
          <w:szCs w:val="18"/>
          <w:rtl/>
        </w:rPr>
        <w:instrText xml:space="preserve"> </w:instrText>
      </w:r>
      <w:r w:rsidRPr="00C152F8">
        <w:rPr>
          <w:rFonts w:ascii="Times New Roman" w:eastAsia="Times New Roman" w:hAnsi="Times New Roman" w:cs="David"/>
          <w:noProof/>
          <w:color w:val="002060"/>
          <w:sz w:val="18"/>
          <w:szCs w:val="18"/>
        </w:rPr>
        <w:instrText>DOCPROPERTY  DocNumber  \* MERGEFORMAT</w:instrText>
      </w:r>
      <w:r w:rsidRPr="00C152F8">
        <w:rPr>
          <w:rFonts w:ascii="Times New Roman" w:eastAsia="Times New Roman" w:hAnsi="Times New Roman" w:cs="David" w:hint="cs"/>
          <w:noProof/>
          <w:color w:val="002060"/>
          <w:sz w:val="18"/>
          <w:szCs w:val="18"/>
          <w:rtl/>
        </w:rPr>
        <w:instrText xml:space="preserve"> </w:instrText>
      </w:r>
      <w:r w:rsidRPr="00C152F8">
        <w:rPr>
          <w:rFonts w:ascii="Times New Roman" w:eastAsia="Times New Roman" w:hAnsi="Times New Roman" w:cs="David" w:hint="cs"/>
          <w:noProof/>
          <w:color w:val="002060"/>
          <w:sz w:val="18"/>
          <w:szCs w:val="18"/>
          <w:rtl/>
        </w:rPr>
        <w:fldChar w:fldCharType="separate"/>
      </w:r>
      <w:r w:rsidRPr="00C152F8">
        <w:rPr>
          <w:rFonts w:ascii="Times New Roman" w:eastAsia="Times New Roman" w:hAnsi="Times New Roman" w:cs="David" w:hint="cs"/>
          <w:noProof/>
          <w:color w:val="002060"/>
          <w:sz w:val="18"/>
          <w:szCs w:val="18"/>
          <w:rtl/>
        </w:rPr>
        <w:t>4700-1039-2020-186811</w:t>
      </w:r>
      <w:r w:rsidRPr="00C152F8">
        <w:rPr>
          <w:rFonts w:ascii="Times New Roman" w:eastAsia="Times New Roman" w:hAnsi="Times New Roman" w:cs="David" w:hint="cs"/>
          <w:noProof/>
          <w:color w:val="002060"/>
          <w:sz w:val="18"/>
          <w:szCs w:val="18"/>
          <w:rtl/>
        </w:rPr>
        <w:fldChar w:fldCharType="end"/>
      </w:r>
    </w:p>
    <w:p w:rsidR="00B16422" w:rsidRPr="00C842A7" w:rsidRDefault="00B16422" w:rsidP="00B16422">
      <w:pPr>
        <w:spacing w:line="192" w:lineRule="auto"/>
        <w:rPr>
          <w:rFonts w:ascii="David" w:hAnsi="David" w:cs="David"/>
          <w:sz w:val="24"/>
          <w:szCs w:val="24"/>
          <w:rtl/>
        </w:rPr>
      </w:pPr>
    </w:p>
    <w:p w:rsidR="00C152F8" w:rsidRDefault="00C152F8" w:rsidP="00C152F8">
      <w:pPr>
        <w:spacing w:after="240" w:line="276" w:lineRule="auto"/>
        <w:jc w:val="center"/>
        <w:rPr>
          <w:rFonts w:ascii="Times New Roman" w:eastAsia="Times New Roman" w:hAnsi="Times New Roman" w:cs="David"/>
          <w:b/>
          <w:bCs/>
          <w:noProof/>
          <w:color w:val="002060"/>
          <w:sz w:val="28"/>
          <w:szCs w:val="28"/>
          <w:u w:val="single"/>
        </w:rPr>
      </w:pPr>
      <w:r>
        <w:rPr>
          <w:rFonts w:ascii="Times New Roman" w:eastAsia="Times New Roman" w:hAnsi="Times New Roman" w:cs="David"/>
          <w:b/>
          <w:bCs/>
          <w:noProof/>
          <w:color w:val="002060"/>
          <w:sz w:val="28"/>
          <w:szCs w:val="28"/>
          <w:u w:val="single"/>
          <w:rtl/>
        </w:rPr>
        <w:t>פרסום רשימת המניעויות של השופטים והרשמים ברשות השופטת</w:t>
      </w:r>
    </w:p>
    <w:p w:rsidR="00C152F8" w:rsidRDefault="00C152F8" w:rsidP="00C152F8">
      <w:pPr>
        <w:spacing w:after="240" w:line="360" w:lineRule="auto"/>
        <w:jc w:val="both"/>
        <w:rPr>
          <w:rFonts w:ascii="Times New Roman" w:eastAsia="Times New Roman" w:hAnsi="Times New Roman" w:cs="David"/>
          <w:color w:val="002060"/>
          <w:sz w:val="24"/>
          <w:szCs w:val="24"/>
        </w:rPr>
      </w:pPr>
      <w:r>
        <w:rPr>
          <w:rFonts w:ascii="Times New Roman" w:eastAsia="Times New Roman" w:hAnsi="Times New Roman" w:cs="David"/>
          <w:color w:val="002060"/>
          <w:sz w:val="24"/>
          <w:szCs w:val="24"/>
          <w:rtl/>
        </w:rPr>
        <w:t>עם פתיחת שנת המשפט התשפ"א, ובהתאם להחלטת נשיאת בית המשפט העליון, השופטת אסתר חיות, תפורסם החל מהיום</w:t>
      </w:r>
      <w:r>
        <w:rPr>
          <w:rFonts w:ascii="Times New Roman" w:eastAsia="Times New Roman" w:hAnsi="Times New Roman" w:cs="David" w:hint="cs"/>
          <w:color w:val="002060"/>
          <w:sz w:val="24"/>
          <w:szCs w:val="24"/>
          <w:rtl/>
        </w:rPr>
        <w:t xml:space="preserve"> </w:t>
      </w:r>
      <w:r>
        <w:rPr>
          <w:rFonts w:ascii="Times New Roman" w:eastAsia="Times New Roman" w:hAnsi="Times New Roman" w:cs="David"/>
          <w:color w:val="002060"/>
          <w:sz w:val="24"/>
          <w:szCs w:val="24"/>
          <w:rtl/>
        </w:rPr>
        <w:t xml:space="preserve">רשימת המניעויות של כלל השופטים והרשמים באתר הרשות השופטת באופן יזום. הרשימה תכלול את המניעויות העדכניות ותעודכן מעת לעת. </w:t>
      </w:r>
    </w:p>
    <w:p w:rsidR="00C152F8" w:rsidRDefault="00C152F8" w:rsidP="00C152F8">
      <w:pPr>
        <w:spacing w:after="240" w:line="360" w:lineRule="auto"/>
        <w:jc w:val="both"/>
        <w:rPr>
          <w:rFonts w:ascii="Times New Roman" w:eastAsia="Times New Roman" w:hAnsi="Times New Roman" w:cs="David"/>
          <w:color w:val="002060"/>
          <w:sz w:val="24"/>
          <w:szCs w:val="24"/>
          <w:rtl/>
        </w:rPr>
      </w:pPr>
      <w:r>
        <w:rPr>
          <w:rFonts w:ascii="Times New Roman" w:eastAsia="Times New Roman" w:hAnsi="Times New Roman" w:cs="David"/>
          <w:color w:val="002060"/>
          <w:sz w:val="24"/>
          <w:szCs w:val="24"/>
          <w:rtl/>
        </w:rPr>
        <w:t>הרשימה היא רשימה דינאמית, המתייחסת בעיקרה לבעלי דין חוזרים המופיעים בבתי המשפט לעיתים קרובות והיא נועדה להבטיח ניהול משפט הוגן ויעיל ולמנוע מצב שבו תיקים שבהם יש עילה לפסלות ("חשש ממשי למשוא פנים") או סיכוי גבוה לפסלות, ינותבו לכתחילה לגורם השיפוטי המעורב. רשימה זו, אשר אין חובה על פי דין לנהלה, משמשת ככלי עזר עבור גורמים מינהלתיים המנתבים את התיקים השונים לטיפול השופטים והרשמים. זאת על מנת שלא לגרום לעיכוב בבירור התיק שלא לצורך, בשל גילוי עילת הפסלות בשלב מאוחר או טעות שתוביל לאי גילויה במקרים אחרים.</w:t>
      </w:r>
      <w:r>
        <w:rPr>
          <w:rFonts w:ascii="Times New Roman" w:eastAsia="Times New Roman" w:hAnsi="Times New Roman" w:cs="David" w:hint="cs"/>
          <w:color w:val="002060"/>
          <w:sz w:val="24"/>
          <w:szCs w:val="24"/>
          <w:rtl/>
        </w:rPr>
        <w:t xml:space="preserve"> </w:t>
      </w:r>
      <w:r>
        <w:rPr>
          <w:rFonts w:ascii="Times New Roman" w:eastAsia="Times New Roman" w:hAnsi="Times New Roman" w:cs="David"/>
          <w:color w:val="002060"/>
          <w:sz w:val="24"/>
          <w:szCs w:val="24"/>
          <w:rtl/>
        </w:rPr>
        <w:t xml:space="preserve">רשימת המניעויות אינה מייתרת את החובה המוטלת על כל שופט ורשם לבחון האם קמה בהליך מסוים עילת פסלות וזאת בין אם הגורם הנוגע בדבר נכלל ברשימת המניעויות ובין אם לאו. </w:t>
      </w:r>
    </w:p>
    <w:p w:rsidR="00C152F8" w:rsidRDefault="00C152F8" w:rsidP="00C152F8">
      <w:pPr>
        <w:spacing w:after="240" w:line="360" w:lineRule="auto"/>
        <w:jc w:val="both"/>
        <w:rPr>
          <w:rFonts w:ascii="Times New Roman" w:eastAsia="Times New Roman" w:hAnsi="Times New Roman" w:cs="David"/>
          <w:color w:val="002060"/>
          <w:sz w:val="24"/>
          <w:szCs w:val="24"/>
          <w:rtl/>
        </w:rPr>
      </w:pPr>
      <w:r>
        <w:rPr>
          <w:rFonts w:ascii="Times New Roman" w:eastAsia="Times New Roman" w:hAnsi="Times New Roman" w:cs="David"/>
          <w:color w:val="002060"/>
          <w:sz w:val="24"/>
          <w:szCs w:val="24"/>
          <w:rtl/>
        </w:rPr>
        <w:t xml:space="preserve">ביום 07.08.20 פורסם מסמך המרכז אמות מידה שנועדו לסייע לשופטים ולרשמים בהכנת הרשימה העדכנית במתכונת אחידה ככל הניתן. המסמך מבוסס בעיקרו על הוראות חוק בתי המשפט וכללי האתיקה לשופטים בנושא, וכן על הניסיון שנצבר בתחום. הוא הוכן בהנחיית נשיאת בית המשפט העליון ובהתייעצות עם חבר שופטי בית המשפט העליון ונשיאי בתי המשפט ובתי הדין לעבודה, וכן בסיועה של ד"ר לימור זר-גוטמן, ראש המרכז לאתיקה ע"ש וינר במכללה למנהל ומומחית בתחום אתיקה לשופטים. מסמך אמות המידה מצורף בזאת. </w:t>
      </w:r>
    </w:p>
    <w:p w:rsidR="00C152F8" w:rsidRDefault="00C152F8" w:rsidP="00C152F8">
      <w:pPr>
        <w:spacing w:after="240" w:line="360" w:lineRule="auto"/>
        <w:jc w:val="both"/>
        <w:rPr>
          <w:rFonts w:ascii="Times New Roman" w:eastAsia="Times New Roman" w:hAnsi="Times New Roman" w:cs="David"/>
          <w:color w:val="002060"/>
          <w:sz w:val="24"/>
          <w:szCs w:val="24"/>
          <w:rtl/>
        </w:rPr>
      </w:pPr>
      <w:r>
        <w:rPr>
          <w:rFonts w:ascii="Times New Roman" w:eastAsia="Times New Roman" w:hAnsi="Times New Roman" w:cs="David"/>
          <w:color w:val="002060"/>
          <w:sz w:val="24"/>
          <w:szCs w:val="24"/>
          <w:rtl/>
        </w:rPr>
        <w:t xml:space="preserve">רשימת המניעויות של שופטי ושופטות בית המשפט העליון נכון ליום 1.9.2020 זמינה לעיון </w:t>
      </w:r>
      <w:hyperlink r:id="rId7" w:history="1">
        <w:r w:rsidRPr="003B34E9">
          <w:rPr>
            <w:rStyle w:val="Hyperlink"/>
            <w:rFonts w:ascii="Times New Roman" w:eastAsia="Times New Roman" w:hAnsi="Times New Roman" w:cs="David"/>
            <w:sz w:val="24"/>
            <w:szCs w:val="24"/>
            <w:rtl/>
          </w:rPr>
          <w:t>באתר הרשות השופטת.</w:t>
        </w:r>
      </w:hyperlink>
      <w:r>
        <w:rPr>
          <w:rFonts w:ascii="Times New Roman" w:eastAsia="Times New Roman" w:hAnsi="Times New Roman" w:cs="David"/>
          <w:color w:val="002060"/>
          <w:sz w:val="24"/>
          <w:szCs w:val="24"/>
          <w:rtl/>
        </w:rPr>
        <w:t xml:space="preserve"> </w:t>
      </w:r>
    </w:p>
    <w:p w:rsidR="00C152F8" w:rsidRDefault="00C152F8" w:rsidP="00403A6F">
      <w:pPr>
        <w:spacing w:after="240" w:line="360" w:lineRule="auto"/>
        <w:jc w:val="both"/>
        <w:rPr>
          <w:rFonts w:ascii="Times New Roman" w:eastAsia="Times New Roman" w:hAnsi="Times New Roman" w:cs="David"/>
          <w:color w:val="002060"/>
          <w:sz w:val="24"/>
          <w:szCs w:val="24"/>
          <w:rtl/>
        </w:rPr>
      </w:pPr>
      <w:r>
        <w:rPr>
          <w:rFonts w:ascii="Times New Roman" w:eastAsia="Times New Roman" w:hAnsi="Times New Roman" w:cs="David"/>
          <w:color w:val="002060"/>
          <w:sz w:val="24"/>
          <w:szCs w:val="24"/>
          <w:rtl/>
        </w:rPr>
        <w:t xml:space="preserve">רשימת המניעויות של שופטי הערכאות הדיוניות תהא זמינה לחיפוש באמצעות </w:t>
      </w:r>
      <w:hyperlink r:id="rId8" w:history="1">
        <w:r w:rsidRPr="003B34E9">
          <w:rPr>
            <w:rStyle w:val="Hyperlink"/>
            <w:rFonts w:ascii="Times New Roman" w:eastAsia="Times New Roman" w:hAnsi="Times New Roman" w:cs="David"/>
            <w:sz w:val="24"/>
            <w:szCs w:val="24"/>
            <w:rtl/>
          </w:rPr>
          <w:t>מערכת "נט המשפט",</w:t>
        </w:r>
      </w:hyperlink>
      <w:r>
        <w:rPr>
          <w:rFonts w:ascii="Times New Roman" w:eastAsia="Times New Roman" w:hAnsi="Times New Roman" w:cs="David"/>
          <w:color w:val="002060"/>
          <w:sz w:val="24"/>
          <w:szCs w:val="24"/>
          <w:rtl/>
        </w:rPr>
        <w:t xml:space="preserve"> בלשונית "מניעויות השופטים" במרכז דף הבית, שם ניתן לבצע חיפוש לפי שם של שופט/רשם ולאתר מניעויות הנוגעות אליו. קישור למנוע החיפוש ניתן למצוא גם </w:t>
      </w:r>
      <w:hyperlink r:id="rId9" w:history="1">
        <w:r w:rsidRPr="00403A6F">
          <w:rPr>
            <w:rStyle w:val="Hyperlink"/>
            <w:rFonts w:ascii="Times New Roman" w:eastAsia="Times New Roman" w:hAnsi="Times New Roman" w:cs="David"/>
            <w:sz w:val="24"/>
            <w:szCs w:val="24"/>
            <w:rtl/>
          </w:rPr>
          <w:t>באתר הרשות השופטת</w:t>
        </w:r>
      </w:hyperlink>
      <w:r w:rsidR="00403A6F">
        <w:rPr>
          <w:rFonts w:ascii="Times New Roman" w:eastAsia="Times New Roman" w:hAnsi="Times New Roman" w:cs="David" w:hint="cs"/>
          <w:color w:val="002060"/>
          <w:sz w:val="24"/>
          <w:szCs w:val="24"/>
          <w:rtl/>
        </w:rPr>
        <w:t>.</w:t>
      </w:r>
    </w:p>
    <w:p w:rsidR="00C152F8" w:rsidRDefault="00C152F8" w:rsidP="00C152F8">
      <w:pPr>
        <w:spacing w:before="100" w:beforeAutospacing="1" w:after="240" w:line="276" w:lineRule="auto"/>
        <w:ind w:left="3600" w:firstLine="720"/>
        <w:jc w:val="both"/>
        <w:rPr>
          <w:rFonts w:ascii="Times New Roman" w:eastAsia="Times New Roman" w:hAnsi="Times New Roman" w:cs="David"/>
          <w:b/>
          <w:bCs/>
          <w:color w:val="002060"/>
          <w:sz w:val="24"/>
          <w:szCs w:val="24"/>
          <w:rtl/>
        </w:rPr>
      </w:pPr>
      <w:r>
        <w:rPr>
          <w:noProof/>
          <w:rtl/>
        </w:rPr>
        <w:drawing>
          <wp:anchor distT="0" distB="0" distL="114300" distR="114300" simplePos="0" relativeHeight="251661312" behindDoc="1" locked="0" layoutInCell="1" allowOverlap="1">
            <wp:simplePos x="0" y="0"/>
            <wp:positionH relativeFrom="column">
              <wp:posOffset>701040</wp:posOffset>
            </wp:positionH>
            <wp:positionV relativeFrom="paragraph">
              <wp:posOffset>349885</wp:posOffset>
            </wp:positionV>
            <wp:extent cx="1343025" cy="581025"/>
            <wp:effectExtent l="0" t="0" r="9525" b="9525"/>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David"/>
          <w:b/>
          <w:bCs/>
          <w:color w:val="002060"/>
          <w:sz w:val="24"/>
          <w:szCs w:val="24"/>
          <w:rtl/>
        </w:rPr>
        <w:t>בברכה,</w:t>
      </w:r>
    </w:p>
    <w:p w:rsidR="00C152F8" w:rsidRDefault="00C152F8" w:rsidP="00C152F8">
      <w:pPr>
        <w:spacing w:before="100" w:beforeAutospacing="1" w:after="240" w:line="276" w:lineRule="auto"/>
        <w:ind w:left="4320"/>
        <w:jc w:val="both"/>
        <w:rPr>
          <w:rFonts w:ascii="Times New Roman" w:eastAsia="Times New Roman" w:hAnsi="Times New Roman" w:cs="David"/>
          <w:b/>
          <w:bCs/>
          <w:color w:val="002060"/>
          <w:sz w:val="24"/>
          <w:szCs w:val="24"/>
          <w:rtl/>
        </w:rPr>
      </w:pPr>
      <w:r>
        <w:rPr>
          <w:rFonts w:ascii="Times New Roman" w:eastAsia="Times New Roman" w:hAnsi="Times New Roman" w:cs="David"/>
          <w:b/>
          <w:bCs/>
          <w:color w:val="002060"/>
          <w:sz w:val="24"/>
          <w:szCs w:val="24"/>
          <w:rtl/>
        </w:rPr>
        <w:t>אילת פילו, עו"ד</w:t>
      </w:r>
      <w:r>
        <w:rPr>
          <w:rFonts w:ascii="Arial" w:eastAsia="Times New Roman" w:hAnsi="Arial" w:cs="Arial"/>
          <w:b/>
          <w:bCs/>
          <w:color w:val="002060"/>
          <w:sz w:val="24"/>
          <w:szCs w:val="24"/>
          <w:rtl/>
        </w:rPr>
        <w:t>│</w:t>
      </w:r>
      <w:r>
        <w:rPr>
          <w:rFonts w:ascii="Times New Roman" w:eastAsia="Times New Roman" w:hAnsi="Times New Roman" w:cs="David"/>
          <w:b/>
          <w:bCs/>
          <w:color w:val="002060"/>
          <w:sz w:val="24"/>
          <w:szCs w:val="24"/>
          <w:rtl/>
        </w:rPr>
        <w:t>ראש מערך דוברות והסברה</w:t>
      </w:r>
    </w:p>
    <w:p w:rsidR="002453CF" w:rsidRPr="00D205AB" w:rsidRDefault="00C152F8" w:rsidP="00C152F8">
      <w:pPr>
        <w:spacing w:before="100" w:beforeAutospacing="1" w:after="240" w:line="360" w:lineRule="auto"/>
        <w:ind w:left="4320"/>
        <w:jc w:val="both"/>
        <w:rPr>
          <w:rFonts w:cs="David"/>
          <w:b/>
          <w:bCs/>
          <w:color w:val="002060"/>
          <w:sz w:val="24"/>
          <w:szCs w:val="24"/>
          <w:rtl/>
        </w:rPr>
      </w:pPr>
      <w:r>
        <w:rPr>
          <w:rFonts w:ascii="Times New Roman" w:eastAsia="Times New Roman" w:hAnsi="Times New Roman" w:cs="David"/>
          <w:b/>
          <w:bCs/>
          <w:color w:val="002060"/>
          <w:sz w:val="24"/>
          <w:szCs w:val="24"/>
          <w:rtl/>
        </w:rPr>
        <w:t xml:space="preserve">               הרשות השופטת בישרא</w:t>
      </w:r>
      <w:r>
        <w:rPr>
          <w:rFonts w:ascii="Times New Roman" w:eastAsia="Times New Roman" w:hAnsi="Times New Roman" w:cs="David" w:hint="cs"/>
          <w:b/>
          <w:bCs/>
          <w:color w:val="002060"/>
          <w:sz w:val="24"/>
          <w:szCs w:val="24"/>
          <w:rtl/>
        </w:rPr>
        <w:t>ל</w:t>
      </w:r>
    </w:p>
    <w:sectPr w:rsidR="002453CF" w:rsidRPr="00D205AB" w:rsidSect="00B16422">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CA1" w:rsidRDefault="00730CA1" w:rsidP="00730CA1">
      <w:pPr>
        <w:spacing w:after="0" w:line="240" w:lineRule="auto"/>
      </w:pPr>
      <w:r>
        <w:separator/>
      </w:r>
    </w:p>
  </w:endnote>
  <w:endnote w:type="continuationSeparator" w:id="0">
    <w:p w:rsidR="00730CA1" w:rsidRDefault="00730CA1" w:rsidP="0073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entury">
    <w:panose1 w:val="02040603050705020303"/>
    <w:charset w:val="00"/>
    <w:family w:val="roman"/>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F" w:rsidRPr="003C61AF" w:rsidRDefault="003C61AF" w:rsidP="003C61AF">
    <w:pPr>
      <w:tabs>
        <w:tab w:val="center" w:pos="4153"/>
        <w:tab w:val="right" w:pos="8306"/>
      </w:tabs>
      <w:spacing w:after="0" w:line="240" w:lineRule="auto"/>
      <w:rPr>
        <w:rFonts w:ascii="Times New Roman" w:eastAsia="Times New Roman" w:hAnsi="Times New Roman" w:cs="FrankRuehl"/>
        <w:b/>
        <w:bCs/>
        <w:color w:val="000080"/>
        <w:spacing w:val="6"/>
        <w:sz w:val="24"/>
        <w:szCs w:val="24"/>
        <w:rtl/>
      </w:rPr>
    </w:pPr>
    <w:r w:rsidRPr="003C61AF">
      <w:rPr>
        <w:rFonts w:ascii="Times New Roman" w:eastAsia="Times New Roman" w:hAnsi="Times New Roman" w:cs="FrankRuehl"/>
        <w:b/>
        <w:bCs/>
        <w:color w:val="000080"/>
        <w:spacing w:val="6"/>
        <w:sz w:val="24"/>
        <w:szCs w:val="24"/>
        <w:rtl/>
      </w:rPr>
      <w:t>________________________________________________________________</w:t>
    </w:r>
  </w:p>
  <w:p w:rsidR="003C61AF" w:rsidRPr="003C61AF" w:rsidRDefault="003C61AF" w:rsidP="003C61AF">
    <w:pPr>
      <w:tabs>
        <w:tab w:val="center" w:pos="4153"/>
        <w:tab w:val="right" w:pos="8306"/>
      </w:tabs>
      <w:spacing w:after="0" w:line="240" w:lineRule="auto"/>
      <w:jc w:val="center"/>
      <w:rPr>
        <w:rFonts w:ascii="Times New Roman" w:eastAsia="Times New Roman" w:hAnsi="Times New Roman" w:cs="FrankRuehl"/>
        <w:b/>
        <w:bCs/>
        <w:color w:val="000080"/>
        <w:spacing w:val="6"/>
        <w:sz w:val="24"/>
        <w:szCs w:val="24"/>
        <w:rtl/>
      </w:rPr>
    </w:pPr>
    <w:r w:rsidRPr="003C61AF">
      <w:rPr>
        <w:rFonts w:ascii="Times New Roman" w:eastAsia="Times New Roman" w:hAnsi="Times New Roman" w:cs="FrankRuehl" w:hint="cs"/>
        <w:b/>
        <w:bCs/>
        <w:color w:val="000080"/>
        <w:spacing w:val="6"/>
        <w:sz w:val="24"/>
        <w:szCs w:val="24"/>
        <w:rtl/>
      </w:rPr>
      <w:t>בית משפט העליון רח' שערי משפט, קרית בן גוריון, ירושלים</w:t>
    </w:r>
  </w:p>
  <w:p w:rsidR="003C61AF" w:rsidRPr="003C61AF" w:rsidRDefault="003C61AF" w:rsidP="003C61AF">
    <w:pPr>
      <w:tabs>
        <w:tab w:val="center" w:pos="4153"/>
        <w:tab w:val="right" w:pos="8306"/>
      </w:tabs>
      <w:spacing w:after="0" w:line="240" w:lineRule="auto"/>
      <w:jc w:val="center"/>
      <w:rPr>
        <w:rFonts w:ascii="Times New Roman" w:eastAsia="Times New Roman" w:hAnsi="Times New Roman" w:cs="FrankRuehl"/>
        <w:b/>
        <w:bCs/>
        <w:color w:val="000080"/>
        <w:spacing w:val="6"/>
        <w:sz w:val="24"/>
        <w:szCs w:val="24"/>
      </w:rPr>
    </w:pPr>
    <w:r w:rsidRPr="003C61AF">
      <w:rPr>
        <w:rFonts w:ascii="Times New Roman" w:eastAsia="Times New Roman" w:hAnsi="Times New Roman" w:cs="FrankRuehl" w:hint="cs"/>
        <w:b/>
        <w:bCs/>
        <w:color w:val="000080"/>
        <w:spacing w:val="6"/>
        <w:sz w:val="24"/>
        <w:szCs w:val="24"/>
        <w:rtl/>
      </w:rPr>
      <w:t xml:space="preserve">טל: </w:t>
    </w:r>
    <w:r w:rsidRPr="003C61AF">
      <w:rPr>
        <w:rFonts w:ascii="Times New Roman" w:eastAsia="Times New Roman" w:hAnsi="Times New Roman" w:cs="FrankRuehl"/>
        <w:b/>
        <w:bCs/>
        <w:color w:val="000080"/>
        <w:spacing w:val="6"/>
        <w:sz w:val="24"/>
        <w:szCs w:val="24"/>
      </w:rPr>
      <w:t>074-7480412</w:t>
    </w:r>
    <w:r w:rsidRPr="003C61AF">
      <w:rPr>
        <w:rFonts w:ascii="Times New Roman" w:eastAsia="Times New Roman" w:hAnsi="Times New Roman" w:cs="FrankRuehl" w:hint="cs"/>
        <w:b/>
        <w:bCs/>
        <w:color w:val="000080"/>
        <w:spacing w:val="6"/>
        <w:sz w:val="24"/>
        <w:szCs w:val="24"/>
        <w:rtl/>
      </w:rPr>
      <w:t xml:space="preserve">                דוא"ל</w:t>
    </w:r>
    <w:r w:rsidRPr="003C61AF">
      <w:rPr>
        <w:rFonts w:ascii="Times New Roman" w:eastAsia="Times New Roman" w:hAnsi="Times New Roman" w:cs="FrankRuehl"/>
        <w:b/>
        <w:bCs/>
        <w:color w:val="000080"/>
        <w:spacing w:val="6"/>
        <w:sz w:val="24"/>
        <w:szCs w:val="24"/>
      </w:rPr>
      <w:t>:</w:t>
    </w:r>
    <w:r w:rsidRPr="003C61AF">
      <w:rPr>
        <w:rFonts w:ascii="Times New Roman" w:eastAsia="Times New Roman" w:hAnsi="Times New Roman" w:cs="FrankRuehl" w:hint="cs"/>
        <w:b/>
        <w:bCs/>
        <w:color w:val="000080"/>
        <w:spacing w:val="6"/>
        <w:sz w:val="24"/>
        <w:szCs w:val="24"/>
        <w:rtl/>
      </w:rPr>
      <w:t xml:space="preserve">  </w:t>
    </w:r>
    <w:hyperlink r:id="rId1" w:history="1">
      <w:r w:rsidRPr="003C61AF">
        <w:rPr>
          <w:rFonts w:ascii="Times New Roman" w:eastAsia="Times New Roman" w:hAnsi="Times New Roman" w:cs="FrankRuehl"/>
          <w:b/>
          <w:bCs/>
          <w:color w:val="0000FF"/>
          <w:spacing w:val="6"/>
          <w:sz w:val="24"/>
          <w:szCs w:val="24"/>
          <w:u w:val="single"/>
        </w:rPr>
        <w:t>Dover@court.gov.il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A1" w:rsidRDefault="00730CA1" w:rsidP="00730CA1">
      <w:pPr>
        <w:spacing w:after="0" w:line="240" w:lineRule="auto"/>
      </w:pPr>
      <w:r>
        <w:separator/>
      </w:r>
    </w:p>
  </w:footnote>
  <w:footnote w:type="continuationSeparator" w:id="0">
    <w:p w:rsidR="00730CA1" w:rsidRDefault="00730CA1" w:rsidP="00730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B2" w:rsidRPr="005253B2" w:rsidRDefault="005253B2"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David"/>
        <w:sz w:val="20"/>
        <w:szCs w:val="24"/>
        <w:lang w:eastAsia="he-IL"/>
      </w:rPr>
    </w:pPr>
    <w:r w:rsidRPr="005253B2">
      <w:rPr>
        <w:rFonts w:ascii="Times New Roman" w:eastAsia="Times New Roman" w:hAnsi="Times New Roman" w:cs="David"/>
        <w:noProof/>
        <w:sz w:val="20"/>
        <w:szCs w:val="24"/>
      </w:rPr>
      <w:drawing>
        <wp:inline distT="0" distB="0" distL="0" distR="0">
          <wp:extent cx="523875" cy="619125"/>
          <wp:effectExtent l="0" t="0" r="9525" b="9525"/>
          <wp:docPr id="1" name="תמונה 2" descr="תיאור: 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יאור: 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r w:rsidRPr="005253B2">
      <w:rPr>
        <w:rFonts w:ascii="Century" w:eastAsia="Times New Roman" w:hAnsi="Century" w:cs="FrankRuehl" w:hint="cs"/>
        <w:noProof/>
        <w:spacing w:val="10"/>
        <w:sz w:val="20"/>
        <w:szCs w:val="28"/>
        <w:rtl/>
        <w:lang w:eastAsia="he-IL"/>
      </w:rPr>
      <w:t xml:space="preserve">                                            </w:t>
    </w:r>
  </w:p>
  <w:p w:rsidR="005253B2" w:rsidRPr="005253B2" w:rsidRDefault="001477AA"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FrankRuehl"/>
        <w:b/>
        <w:bCs/>
        <w:color w:val="000080"/>
        <w:spacing w:val="6"/>
        <w:sz w:val="28"/>
        <w:szCs w:val="28"/>
        <w:rtl/>
        <w:lang w:eastAsia="he-IL"/>
      </w:rPr>
    </w:pPr>
    <w:r>
      <w:rPr>
        <w:rFonts w:ascii="Times New Roman" w:eastAsia="Times New Roman" w:hAnsi="Times New Roman" w:cs="FrankRuehl" w:hint="cs"/>
        <w:b/>
        <w:bCs/>
        <w:color w:val="000080"/>
        <w:spacing w:val="6"/>
        <w:sz w:val="28"/>
        <w:szCs w:val="28"/>
        <w:rtl/>
        <w:lang w:eastAsia="he-IL"/>
      </w:rPr>
      <w:t>הרשות השופטת</w:t>
    </w:r>
  </w:p>
  <w:p w:rsidR="007007D7" w:rsidRPr="005253B2" w:rsidRDefault="001477AA"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FrankRuehl"/>
        <w:b/>
        <w:bCs/>
        <w:color w:val="000080"/>
        <w:spacing w:val="6"/>
        <w:sz w:val="28"/>
        <w:szCs w:val="28"/>
        <w:lang w:eastAsia="he-IL"/>
      </w:rPr>
    </w:pPr>
    <w:r>
      <w:rPr>
        <w:rFonts w:ascii="Times New Roman" w:eastAsia="Times New Roman" w:hAnsi="Times New Roman" w:cs="FrankRuehl" w:hint="cs"/>
        <w:b/>
        <w:bCs/>
        <w:color w:val="000080"/>
        <w:spacing w:val="6"/>
        <w:sz w:val="28"/>
        <w:szCs w:val="28"/>
        <w:rtl/>
        <w:lang w:eastAsia="he-IL"/>
      </w:rPr>
      <w:t xml:space="preserve">מערך </w:t>
    </w:r>
    <w:r w:rsidR="005253B2" w:rsidRPr="005253B2">
      <w:rPr>
        <w:rFonts w:ascii="Times New Roman" w:eastAsia="Times New Roman" w:hAnsi="Times New Roman" w:cs="FrankRuehl" w:hint="cs"/>
        <w:b/>
        <w:bCs/>
        <w:color w:val="000080"/>
        <w:spacing w:val="6"/>
        <w:sz w:val="28"/>
        <w:szCs w:val="28"/>
        <w:rtl/>
        <w:lang w:eastAsia="he-IL"/>
      </w:rPr>
      <w:t>דוברות והסברה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CF"/>
    <w:rsid w:val="000011AE"/>
    <w:rsid w:val="00025761"/>
    <w:rsid w:val="001477AA"/>
    <w:rsid w:val="001D42A7"/>
    <w:rsid w:val="002453CF"/>
    <w:rsid w:val="002C0E83"/>
    <w:rsid w:val="003921C3"/>
    <w:rsid w:val="00396099"/>
    <w:rsid w:val="003B34E9"/>
    <w:rsid w:val="003C61AF"/>
    <w:rsid w:val="003E6E39"/>
    <w:rsid w:val="00403A6F"/>
    <w:rsid w:val="00426AA7"/>
    <w:rsid w:val="00432D23"/>
    <w:rsid w:val="005253B2"/>
    <w:rsid w:val="00690B6F"/>
    <w:rsid w:val="006B7B96"/>
    <w:rsid w:val="006C3B1F"/>
    <w:rsid w:val="006F1E1F"/>
    <w:rsid w:val="007007D7"/>
    <w:rsid w:val="00711675"/>
    <w:rsid w:val="00730CA1"/>
    <w:rsid w:val="008C02E0"/>
    <w:rsid w:val="00952CB8"/>
    <w:rsid w:val="00983123"/>
    <w:rsid w:val="009E5C0E"/>
    <w:rsid w:val="00AD7644"/>
    <w:rsid w:val="00B16422"/>
    <w:rsid w:val="00B62F01"/>
    <w:rsid w:val="00BA3143"/>
    <w:rsid w:val="00C152F8"/>
    <w:rsid w:val="00C22E08"/>
    <w:rsid w:val="00C37F37"/>
    <w:rsid w:val="00C50C55"/>
    <w:rsid w:val="00C529CC"/>
    <w:rsid w:val="00C842A7"/>
    <w:rsid w:val="00C85A27"/>
    <w:rsid w:val="00CA2D6A"/>
    <w:rsid w:val="00CB4940"/>
    <w:rsid w:val="00D11F77"/>
    <w:rsid w:val="00D205AB"/>
    <w:rsid w:val="00D43C0E"/>
    <w:rsid w:val="00E35DF3"/>
    <w:rsid w:val="00E55232"/>
    <w:rsid w:val="00EB6609"/>
    <w:rsid w:val="00F46250"/>
    <w:rsid w:val="00FF55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0E45"/>
  <w15:chartTrackingRefBased/>
  <w15:docId w15:val="{73C43B57-6867-4F06-9DF1-55588D3D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AA7"/>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426AA7"/>
    <w:rPr>
      <w:rFonts w:ascii="Tahoma" w:hAnsi="Tahoma" w:cs="Tahoma"/>
      <w:sz w:val="18"/>
      <w:szCs w:val="18"/>
    </w:rPr>
  </w:style>
  <w:style w:type="character" w:styleId="Hyperlink">
    <w:name w:val="Hyperlink"/>
    <w:basedOn w:val="a0"/>
    <w:uiPriority w:val="99"/>
    <w:unhideWhenUsed/>
    <w:rsid w:val="00E35DF3"/>
    <w:rPr>
      <w:color w:val="0563C1" w:themeColor="hyperlink"/>
      <w:u w:val="single"/>
    </w:rPr>
  </w:style>
  <w:style w:type="paragraph" w:styleId="a5">
    <w:name w:val="header"/>
    <w:basedOn w:val="a"/>
    <w:link w:val="a6"/>
    <w:uiPriority w:val="99"/>
    <w:unhideWhenUsed/>
    <w:rsid w:val="00730CA1"/>
    <w:pPr>
      <w:tabs>
        <w:tab w:val="center" w:pos="4153"/>
        <w:tab w:val="right" w:pos="8306"/>
      </w:tabs>
      <w:spacing w:after="0" w:line="240" w:lineRule="auto"/>
    </w:pPr>
  </w:style>
  <w:style w:type="character" w:customStyle="1" w:styleId="a6">
    <w:name w:val="כותרת עליונה תו"/>
    <w:basedOn w:val="a0"/>
    <w:link w:val="a5"/>
    <w:uiPriority w:val="99"/>
    <w:rsid w:val="00730CA1"/>
  </w:style>
  <w:style w:type="paragraph" w:styleId="a7">
    <w:name w:val="footer"/>
    <w:basedOn w:val="a"/>
    <w:link w:val="a8"/>
    <w:uiPriority w:val="99"/>
    <w:unhideWhenUsed/>
    <w:rsid w:val="00730CA1"/>
    <w:pPr>
      <w:tabs>
        <w:tab w:val="center" w:pos="4153"/>
        <w:tab w:val="right" w:pos="8306"/>
      </w:tabs>
      <w:spacing w:after="0" w:line="240" w:lineRule="auto"/>
    </w:pPr>
  </w:style>
  <w:style w:type="character" w:customStyle="1" w:styleId="a8">
    <w:name w:val="כותרת תחתונה תו"/>
    <w:basedOn w:val="a0"/>
    <w:link w:val="a7"/>
    <w:uiPriority w:val="99"/>
    <w:rsid w:val="00730CA1"/>
  </w:style>
  <w:style w:type="character" w:styleId="FollowedHyperlink">
    <w:name w:val="FollowedHyperlink"/>
    <w:basedOn w:val="a0"/>
    <w:uiPriority w:val="99"/>
    <w:semiHidden/>
    <w:unhideWhenUsed/>
    <w:rsid w:val="00C15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3622">
      <w:bodyDiv w:val="1"/>
      <w:marLeft w:val="0"/>
      <w:marRight w:val="0"/>
      <w:marTop w:val="0"/>
      <w:marBottom w:val="0"/>
      <w:divBdr>
        <w:top w:val="none" w:sz="0" w:space="0" w:color="auto"/>
        <w:left w:val="none" w:sz="0" w:space="0" w:color="auto"/>
        <w:bottom w:val="none" w:sz="0" w:space="0" w:color="auto"/>
        <w:right w:val="none" w:sz="0" w:space="0" w:color="auto"/>
      </w:divBdr>
    </w:div>
    <w:div w:id="639304028">
      <w:bodyDiv w:val="1"/>
      <w:marLeft w:val="0"/>
      <w:marRight w:val="0"/>
      <w:marTop w:val="0"/>
      <w:marBottom w:val="0"/>
      <w:divBdr>
        <w:top w:val="none" w:sz="0" w:space="0" w:color="auto"/>
        <w:left w:val="none" w:sz="0" w:space="0" w:color="auto"/>
        <w:bottom w:val="none" w:sz="0" w:space="0" w:color="auto"/>
        <w:right w:val="none" w:sz="0" w:space="0" w:color="auto"/>
      </w:divBdr>
    </w:div>
    <w:div w:id="1171139320">
      <w:bodyDiv w:val="1"/>
      <w:marLeft w:val="0"/>
      <w:marRight w:val="0"/>
      <w:marTop w:val="0"/>
      <w:marBottom w:val="0"/>
      <w:divBdr>
        <w:top w:val="none" w:sz="0" w:space="0" w:color="auto"/>
        <w:left w:val="none" w:sz="0" w:space="0" w:color="auto"/>
        <w:bottom w:val="none" w:sz="0" w:space="0" w:color="auto"/>
        <w:right w:val="none" w:sz="0" w:space="0" w:color="auto"/>
      </w:divBdr>
    </w:div>
    <w:div w:id="1552304460">
      <w:bodyDiv w:val="1"/>
      <w:marLeft w:val="0"/>
      <w:marRight w:val="0"/>
      <w:marTop w:val="0"/>
      <w:marBottom w:val="0"/>
      <w:divBdr>
        <w:top w:val="none" w:sz="0" w:space="0" w:color="auto"/>
        <w:left w:val="none" w:sz="0" w:space="0" w:color="auto"/>
        <w:bottom w:val="none" w:sz="0" w:space="0" w:color="auto"/>
        <w:right w:val="none" w:sz="0" w:space="0" w:color="auto"/>
      </w:divBdr>
    </w:div>
    <w:div w:id="20642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gov.il/NGCS.Web.Site/HomePag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il/BlobFolder/generalpage/judges_and_registrars_p_list/he/%D7%A8%D7%A9%D7%99%D7%9E%D7%AA%20%D7%9E%D7%A0%D7%99%D7%A2%D7%95%D7%99%D7%95%D7%AA%20-%20%D7%A9%D7%95%D7%A4%D7%98%D7%99%20%D7%95%D7%A8%D7%A9%D7%9E%D7%99%20%D7%91%D7%99%D7%AA%20%D7%94%D7%9E%D7%A9%D7%A4%D7%98%20%D7%94%D7%A2%D7%9C%D7%99%D7%95%D7%9F%20-%2001.09.2020.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ov.il/he/departments/general/judges_and_registrars_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over@court.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SixthEditionOfficeOnline.xsl"/>
</file>

<file path=customXml/itemProps1.xml><?xml version="1.0" encoding="utf-8"?>
<ds:datastoreItem xmlns:ds="http://schemas.openxmlformats.org/officeDocument/2006/customXml" ds:itemID="{7B64E7BE-F71B-4FF2-A54E-9D4794FEFDD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E1EDCD5C</Template>
  <TotalTime>1</TotalTime>
  <Pages>1</Pages>
  <Words>449</Words>
  <Characters>2248</Characters>
  <Application>Microsoft Office Word</Application>
  <DocSecurity>4</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court</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נירית לזימי</dc:creator>
  <cp:keywords/>
  <dc:description/>
  <cp:lastModifiedBy>Court</cp:lastModifiedBy>
  <cp:revision>2</cp:revision>
  <cp:lastPrinted>2017-11-13T12:38:00Z</cp:lastPrinted>
  <dcterms:created xsi:type="dcterms:W3CDTF">2020-09-07T12:56:00Z</dcterms:created>
  <dcterms:modified xsi:type="dcterms:W3CDTF">2020-09-07T12:56:00Z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Eng">
    <vt:lpwstr>06 בספטמבר 2020</vt:lpwstr>
  </property>
  <property fmtid="{D5CDD505-2E9C-101B-9397-08002B2CF9AE}" pid="3" name="DocDateHeb">
    <vt:lpwstr>י"ז באלול תש"ף</vt:lpwstr>
  </property>
  <property fmtid="{D5CDD505-2E9C-101B-9397-08002B2CF9AE}" pid="4" name="DocNumber">
    <vt:lpwstr>4700-1039-2020-186811</vt:lpwstr>
  </property>
  <property fmtid="{D5CDD505-2E9C-101B-9397-08002B2CF9AE}" pid="5" name="DocRecipientsName">
    <vt:lpwstr/>
  </property>
  <property fmtid="{D5CDD505-2E9C-101B-9397-08002B2CF9AE}" pid="6" name="DocToName">
    <vt:lpwstr/>
  </property>
  <property fmtid="{D5CDD505-2E9C-101B-9397-08002B2CF9AE}" pid="7" name="DocObjectName">
    <vt:lpwstr>הודעה לעיתונות: פרסום רשימת המניעויות של השופטים והרשמים</vt:lpwstr>
  </property>
</Properties>
</file>